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E781E">
      <w:pPr>
        <w:pStyle w:val="6"/>
        <w:rPr>
          <w:rFonts w:hint="eastAsia" w:ascii="黑体" w:hAnsi="黑体" w:eastAsia="黑体" w:cs="黑体"/>
          <w:color w:val="auto"/>
          <w:kern w:val="2"/>
          <w:sz w:val="32"/>
          <w:szCs w:val="32"/>
          <w:highlight w:val="none"/>
          <w:lang w:val="en-US" w:eastAsia="zh-CN" w:bidi="ar-SA"/>
        </w:rPr>
      </w:pPr>
      <w:bookmarkStart w:id="0" w:name="_Toc15396475"/>
      <w:bookmarkStart w:id="1" w:name="_Toc15377425"/>
      <w:bookmarkStart w:id="2" w:name="_Toc15396597"/>
      <w:bookmarkStart w:id="3" w:name="_Toc15377193"/>
      <w:bookmarkStart w:id="4" w:name="_Toc15378441"/>
      <w:bookmarkStart w:id="5" w:name="_Toc15306267"/>
      <w:r>
        <w:rPr>
          <w:rFonts w:hint="eastAsia" w:ascii="黑体" w:hAnsi="黑体" w:eastAsia="黑体" w:cs="黑体"/>
          <w:color w:val="auto"/>
          <w:kern w:val="2"/>
          <w:sz w:val="32"/>
          <w:szCs w:val="32"/>
          <w:highlight w:val="none"/>
          <w:lang w:val="en-US" w:eastAsia="zh-CN" w:bidi="ar-SA"/>
        </w:rPr>
        <w:t>附件4</w:t>
      </w:r>
    </w:p>
    <w:p w14:paraId="7EDDC1A8">
      <w:pPr>
        <w:pStyle w:val="6"/>
        <w:rPr>
          <w:rFonts w:hint="eastAsia" w:ascii="Times New Roman" w:hAnsi="Times New Roman" w:eastAsia="方正小标宋简体" w:cs="Times New Roman"/>
          <w:color w:val="auto"/>
          <w:kern w:val="2"/>
          <w:sz w:val="72"/>
          <w:szCs w:val="72"/>
          <w:highlight w:val="none"/>
          <w:lang w:val="en-US" w:eastAsia="zh-CN" w:bidi="ar-SA"/>
        </w:rPr>
      </w:pPr>
    </w:p>
    <w:p w14:paraId="708E3301">
      <w:pPr>
        <w:pStyle w:val="6"/>
        <w:rPr>
          <w:rFonts w:hint="eastAsia" w:ascii="Times New Roman" w:hAnsi="Times New Roman" w:eastAsia="方正小标宋简体" w:cs="Times New Roman"/>
          <w:color w:val="auto"/>
          <w:kern w:val="2"/>
          <w:sz w:val="72"/>
          <w:szCs w:val="72"/>
          <w:highlight w:val="none"/>
          <w:lang w:val="en-US" w:eastAsia="zh-CN" w:bidi="ar-SA"/>
        </w:rPr>
      </w:pPr>
    </w:p>
    <w:p w14:paraId="5E619BD8">
      <w:pPr>
        <w:pStyle w:val="6"/>
        <w:rPr>
          <w:rFonts w:hint="eastAsia" w:ascii="Times New Roman" w:hAnsi="Times New Roman" w:eastAsia="方正小标宋简体" w:cs="Times New Roman"/>
          <w:color w:val="auto"/>
          <w:kern w:val="2"/>
          <w:sz w:val="72"/>
          <w:szCs w:val="72"/>
          <w:highlight w:val="none"/>
          <w:lang w:val="en-US" w:eastAsia="zh-CN" w:bidi="ar-SA"/>
        </w:rPr>
      </w:pPr>
    </w:p>
    <w:p w14:paraId="2439BA99">
      <w:pPr>
        <w:pStyle w:val="6"/>
        <w:rPr>
          <w:rFonts w:hint="eastAsia" w:ascii="Times New Roman" w:hAnsi="Times New Roman" w:eastAsia="方正小标宋简体" w:cs="Times New Roman"/>
          <w:color w:val="auto"/>
          <w:kern w:val="2"/>
          <w:sz w:val="72"/>
          <w:szCs w:val="72"/>
          <w:highlight w:val="none"/>
          <w:lang w:val="en-US" w:eastAsia="zh-CN" w:bidi="ar-SA"/>
        </w:rPr>
      </w:pPr>
    </w:p>
    <w:p w14:paraId="28B01B6E">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2025年度松潘县退役军人服务中心</w:t>
      </w:r>
      <w:r>
        <w:rPr>
          <w:rFonts w:hint="eastAsia" w:ascii="Times New Roman" w:hAnsi="Times New Roman" w:eastAsia="方正小标宋简体" w:cs="Times New Roman"/>
          <w:color w:val="auto"/>
          <w:kern w:val="2"/>
          <w:sz w:val="44"/>
          <w:szCs w:val="44"/>
          <w:highlight w:val="none"/>
          <w:lang w:val="en-US" w:eastAsia="zh-CN" w:bidi="ar-SA"/>
        </w:rPr>
        <w:t>决算</w:t>
      </w:r>
    </w:p>
    <w:p w14:paraId="6FB3C120">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w:t>
      </w:r>
    </w:p>
    <w:p w14:paraId="0FB7A9FF">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78D8156C">
      <w:pPr>
        <w:spacing w:line="600" w:lineRule="exact"/>
        <w:jc w:val="center"/>
        <w:outlineLvl w:val="0"/>
        <w:rPr>
          <w:rFonts w:ascii="Times New Roman" w:hAnsi="Times New Roman" w:eastAsia="方正小标宋简体"/>
          <w:color w:val="auto"/>
          <w:sz w:val="72"/>
          <w:szCs w:val="72"/>
          <w:highlight w:val="none"/>
        </w:rPr>
      </w:pPr>
    </w:p>
    <w:p w14:paraId="3A12ECB9">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CBA2787">
      <w:pPr>
        <w:rPr>
          <w:rFonts w:ascii="Times New Roman" w:hAnsi="Times New Roman"/>
        </w:rPr>
      </w:pPr>
    </w:p>
    <w:p w14:paraId="169EBDDF">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ADAFC70">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6AB41A5">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5D36C23F">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4DC0AB08">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78442"/>
      <w:bookmarkStart w:id="8" w:name="_Toc15377426"/>
      <w:bookmarkStart w:id="9" w:name="_Toc15396476"/>
      <w:bookmarkStart w:id="10" w:name="_Toc15396598"/>
      <w:r>
        <w:rPr>
          <w:rFonts w:hint="eastAsia" w:ascii="Times New Roman" w:eastAsia="方正小标宋简体" w:cs="Times New Roman"/>
          <w:color w:val="auto"/>
          <w:kern w:val="2"/>
          <w:sz w:val="44"/>
          <w:szCs w:val="44"/>
          <w:highlight w:val="none"/>
          <w:lang w:val="en-US" w:eastAsia="zh-CN" w:bidi="ar-SA"/>
        </w:rPr>
        <w:t>2025年度</w:t>
      </w:r>
      <w:bookmarkEnd w:id="5"/>
      <w:bookmarkEnd w:id="6"/>
      <w:bookmarkEnd w:id="7"/>
      <w:bookmarkEnd w:id="8"/>
      <w:bookmarkEnd w:id="9"/>
      <w:bookmarkEnd w:id="10"/>
      <w:r>
        <w:rPr>
          <w:rFonts w:hint="eastAsia" w:ascii="Times New Roman" w:hAnsi="Times New Roman" w:eastAsia="方正小标宋简体" w:cs="Times New Roman"/>
          <w:color w:val="auto"/>
          <w:kern w:val="2"/>
          <w:sz w:val="44"/>
          <w:szCs w:val="44"/>
          <w:highlight w:val="none"/>
          <w:lang w:val="en-US" w:eastAsia="zh-CN" w:bidi="ar-SA"/>
        </w:rPr>
        <w:t>四川省</w:t>
      </w:r>
      <w:bookmarkStart w:id="11" w:name="_Toc15306268"/>
      <w:r>
        <w:rPr>
          <w:rFonts w:hint="eastAsia" w:ascii="Times New Roman" w:eastAsia="方正小标宋简体" w:cs="Times New Roman"/>
          <w:color w:val="auto"/>
          <w:kern w:val="2"/>
          <w:sz w:val="44"/>
          <w:szCs w:val="44"/>
          <w:highlight w:val="none"/>
          <w:lang w:val="en-US" w:eastAsia="zh-CN" w:bidi="ar-SA"/>
        </w:rPr>
        <w:t>阿坝州松潘县退役军人服务中心</w:t>
      </w:r>
      <w:r>
        <w:rPr>
          <w:rFonts w:hint="eastAsia" w:ascii="Times New Roman" w:hAnsi="Times New Roman" w:eastAsia="方正小标宋简体" w:cs="Times New Roman"/>
          <w:color w:val="auto"/>
          <w:kern w:val="2"/>
          <w:sz w:val="44"/>
          <w:szCs w:val="44"/>
          <w:highlight w:val="none"/>
          <w:lang w:val="en-US" w:eastAsia="zh-CN" w:bidi="ar-SA"/>
        </w:rPr>
        <w:t>决算</w:t>
      </w:r>
      <w:bookmarkEnd w:id="11"/>
    </w:p>
    <w:p w14:paraId="604900CA">
      <w:pPr>
        <w:widowControl/>
        <w:jc w:val="center"/>
        <w:rPr>
          <w:rFonts w:hint="eastAsia" w:ascii="Times New Roman" w:hAnsi="Times New Roman" w:eastAsia="黑体"/>
          <w:color w:val="auto"/>
          <w:sz w:val="48"/>
          <w:szCs w:val="48"/>
          <w:highlight w:val="none"/>
        </w:rPr>
      </w:pPr>
    </w:p>
    <w:p w14:paraId="6DF9BC54">
      <w:pPr>
        <w:widowControl/>
        <w:jc w:val="center"/>
        <w:rPr>
          <w:rFonts w:hint="eastAsia" w:ascii="Times New Roman" w:hAnsi="Times New Roman" w:eastAsia="黑体"/>
          <w:color w:val="auto"/>
          <w:sz w:val="48"/>
          <w:szCs w:val="48"/>
          <w:highlight w:val="none"/>
        </w:rPr>
      </w:pPr>
    </w:p>
    <w:p w14:paraId="43899D60">
      <w:pPr>
        <w:widowControl/>
        <w:jc w:val="center"/>
        <w:rPr>
          <w:rFonts w:hint="eastAsia" w:ascii="Times New Roman" w:hAnsi="Times New Roman" w:eastAsia="黑体"/>
          <w:color w:val="auto"/>
          <w:sz w:val="48"/>
          <w:szCs w:val="48"/>
          <w:highlight w:val="none"/>
        </w:rPr>
      </w:pPr>
    </w:p>
    <w:p w14:paraId="53059073">
      <w:pPr>
        <w:widowControl/>
        <w:jc w:val="center"/>
        <w:rPr>
          <w:rFonts w:hint="eastAsia" w:ascii="Times New Roman" w:hAnsi="Times New Roman" w:eastAsia="黑体"/>
          <w:color w:val="auto"/>
          <w:sz w:val="48"/>
          <w:szCs w:val="48"/>
          <w:highlight w:val="none"/>
        </w:rPr>
      </w:pPr>
    </w:p>
    <w:p w14:paraId="7424ACB1">
      <w:pPr>
        <w:widowControl/>
        <w:jc w:val="center"/>
        <w:rPr>
          <w:rFonts w:hint="eastAsia" w:ascii="Times New Roman" w:hAnsi="Times New Roman" w:eastAsia="黑体"/>
          <w:color w:val="auto"/>
          <w:sz w:val="48"/>
          <w:szCs w:val="48"/>
          <w:highlight w:val="none"/>
        </w:rPr>
      </w:pPr>
    </w:p>
    <w:p w14:paraId="272A2799">
      <w:pPr>
        <w:widowControl/>
        <w:jc w:val="center"/>
        <w:rPr>
          <w:rFonts w:hint="eastAsia" w:ascii="Times New Roman" w:hAnsi="Times New Roman" w:eastAsia="黑体"/>
          <w:color w:val="auto"/>
          <w:sz w:val="48"/>
          <w:szCs w:val="48"/>
          <w:highlight w:val="none"/>
        </w:rPr>
      </w:pPr>
    </w:p>
    <w:p w14:paraId="3C07DBF4">
      <w:pPr>
        <w:widowControl/>
        <w:jc w:val="center"/>
        <w:rPr>
          <w:rFonts w:hint="eastAsia" w:ascii="Times New Roman" w:hAnsi="Times New Roman" w:eastAsia="黑体"/>
          <w:color w:val="auto"/>
          <w:sz w:val="48"/>
          <w:szCs w:val="48"/>
          <w:highlight w:val="none"/>
        </w:rPr>
      </w:pPr>
    </w:p>
    <w:p w14:paraId="4DF5268B">
      <w:pPr>
        <w:widowControl/>
        <w:jc w:val="center"/>
        <w:rPr>
          <w:rFonts w:hint="eastAsia" w:ascii="Times New Roman" w:hAnsi="Times New Roman" w:eastAsia="黑体"/>
          <w:color w:val="auto"/>
          <w:sz w:val="48"/>
          <w:szCs w:val="48"/>
          <w:highlight w:val="none"/>
        </w:rPr>
      </w:pPr>
    </w:p>
    <w:p w14:paraId="739757E2">
      <w:pPr>
        <w:widowControl/>
        <w:jc w:val="center"/>
        <w:rPr>
          <w:rFonts w:hint="eastAsia" w:ascii="Times New Roman" w:hAnsi="Times New Roman" w:eastAsia="黑体"/>
          <w:color w:val="auto"/>
          <w:sz w:val="48"/>
          <w:szCs w:val="48"/>
          <w:highlight w:val="none"/>
        </w:rPr>
      </w:pPr>
    </w:p>
    <w:p w14:paraId="2821F108">
      <w:pPr>
        <w:widowControl/>
        <w:jc w:val="center"/>
        <w:rPr>
          <w:rFonts w:hint="eastAsia" w:ascii="Times New Roman" w:hAnsi="Times New Roman" w:eastAsia="黑体"/>
          <w:color w:val="auto"/>
          <w:sz w:val="48"/>
          <w:szCs w:val="48"/>
          <w:highlight w:val="none"/>
        </w:rPr>
      </w:pPr>
    </w:p>
    <w:p w14:paraId="6A9E959D">
      <w:pPr>
        <w:widowControl/>
        <w:jc w:val="center"/>
        <w:rPr>
          <w:rFonts w:hint="eastAsia" w:ascii="Times New Roman" w:hAnsi="Times New Roman" w:eastAsia="黑体"/>
          <w:color w:val="auto"/>
          <w:sz w:val="48"/>
          <w:szCs w:val="48"/>
          <w:highlight w:val="none"/>
        </w:rPr>
      </w:pPr>
    </w:p>
    <w:p w14:paraId="3206EE3C">
      <w:pPr>
        <w:widowControl/>
        <w:jc w:val="center"/>
        <w:rPr>
          <w:rFonts w:hint="eastAsia" w:ascii="Times New Roman" w:hAnsi="Times New Roman" w:eastAsia="黑体"/>
          <w:color w:val="auto"/>
          <w:sz w:val="48"/>
          <w:szCs w:val="48"/>
          <w:highlight w:val="none"/>
        </w:rPr>
      </w:pPr>
    </w:p>
    <w:p w14:paraId="276B5E49">
      <w:pPr>
        <w:widowControl/>
        <w:jc w:val="center"/>
        <w:rPr>
          <w:rFonts w:hint="eastAsia" w:ascii="Times New Roman" w:hAnsi="Times New Roman" w:eastAsia="黑体"/>
          <w:color w:val="auto"/>
          <w:sz w:val="48"/>
          <w:szCs w:val="48"/>
          <w:highlight w:val="none"/>
        </w:rPr>
      </w:pPr>
    </w:p>
    <w:p w14:paraId="73F98123">
      <w:pPr>
        <w:widowControl/>
        <w:jc w:val="center"/>
        <w:rPr>
          <w:rFonts w:hint="eastAsia" w:ascii="Times New Roman" w:hAnsi="Times New Roman" w:eastAsia="黑体"/>
          <w:color w:val="auto"/>
          <w:sz w:val="48"/>
          <w:szCs w:val="48"/>
          <w:highlight w:val="none"/>
        </w:rPr>
      </w:pPr>
    </w:p>
    <w:p w14:paraId="6CB69E34">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CF920A7">
      <w:pPr>
        <w:widowControl/>
        <w:jc w:val="center"/>
        <w:rPr>
          <w:rFonts w:ascii="Times New Roman" w:hAnsi="Times New Roman" w:eastAsia="黑体" w:cstheme="minorBidi"/>
          <w:color w:val="auto"/>
          <w:sz w:val="28"/>
          <w:szCs w:val="28"/>
          <w:highlight w:val="none"/>
        </w:rPr>
      </w:pPr>
    </w:p>
    <w:p w14:paraId="535BA653">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15  </w:t>
      </w:r>
      <w:r>
        <w:rPr>
          <w:rFonts w:hint="eastAsia" w:ascii="Times New Roman" w:hAnsi="Times New Roman" w:eastAsia="仿宋_GB2312" w:cs="仿宋_GB2312"/>
          <w:color w:val="auto"/>
          <w:sz w:val="32"/>
          <w:szCs w:val="32"/>
          <w:highlight w:val="none"/>
        </w:rPr>
        <w:t>日</w:t>
      </w:r>
    </w:p>
    <w:p w14:paraId="19C33E21">
      <w:pPr>
        <w:rPr>
          <w:rFonts w:ascii="Times New Roman" w:hAnsi="Times New Roman"/>
          <w:color w:val="auto"/>
          <w:highlight w:val="none"/>
        </w:rPr>
      </w:pPr>
    </w:p>
    <w:p w14:paraId="2132293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82DE81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2B99B5D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A22914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322E46B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8A27D8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7A27378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36ED1AA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C7B5EC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974510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7BF423C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4AE095C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4AB70F2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99B2A0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61F41BD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E64FB3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2E931812">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9158CD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E4634E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CCBA10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B0154F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40534E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42CCF4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07392A5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0E0931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073925D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558636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1370AED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58069F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54EB58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F703E3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ED9E287">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5951D94B">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14:paraId="05CB1130">
      <w:pPr>
        <w:widowControl/>
        <w:jc w:val="left"/>
        <w:rPr>
          <w:rFonts w:ascii="Times New Roman" w:hAnsi="Times New Roman" w:eastAsia="黑体"/>
          <w:color w:val="auto"/>
          <w:sz w:val="32"/>
          <w:szCs w:val="32"/>
          <w:highlight w:val="none"/>
        </w:rPr>
      </w:pPr>
    </w:p>
    <w:p w14:paraId="225D3946">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70D289E">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ascii="仿宋" w:hAnsi="仿宋" w:eastAsia="仿宋" w:cs="仿宋"/>
          <w:kern w:val="2"/>
          <w:sz w:val="32"/>
          <w:szCs w:val="32"/>
        </w:rPr>
      </w:pPr>
      <w:r>
        <w:rPr>
          <w:rFonts w:hint="eastAsia" w:ascii="仿宋" w:hAnsi="仿宋" w:eastAsia="仿宋" w:cs="仿宋"/>
          <w:kern w:val="2"/>
          <w:sz w:val="32"/>
          <w:szCs w:val="32"/>
        </w:rPr>
        <w:t>负责军队转业干部、复员干部、离休退休干部、退役士兵和无军籍退休退职职工的移交安置和自主择业、退役军人就业等服务管理工作。组织、指导退役军人教育培训工作，承担退役军人和随军随调家属就业创业扶持工作。 贯彻执行有关</w:t>
      </w:r>
      <w:bookmarkStart w:id="66" w:name="_GoBack"/>
      <w:r>
        <w:rPr>
          <w:rFonts w:hint="eastAsia" w:ascii="仿宋" w:hAnsi="仿宋" w:eastAsia="仿宋" w:cs="仿宋"/>
          <w:kern w:val="2"/>
          <w:sz w:val="32"/>
          <w:szCs w:val="32"/>
          <w:lang w:eastAsia="zh-CN"/>
        </w:rPr>
        <w:t>退役军人服务保障</w:t>
      </w:r>
      <w:bookmarkEnd w:id="66"/>
      <w:r>
        <w:rPr>
          <w:rFonts w:hint="eastAsia" w:ascii="仿宋" w:hAnsi="仿宋" w:eastAsia="仿宋" w:cs="仿宋"/>
          <w:kern w:val="2"/>
          <w:sz w:val="32"/>
          <w:szCs w:val="32"/>
        </w:rPr>
        <w:t>政策。组织、协调落实移交地方的离休退休军人、符合条件的其他退役军人和无军籍退休退职职工的住房保障工作，以及退役军人医疗保障、社会保险等待遇保障工作。负责伤病残退役军人服务管理和抚恤工作，贯彻执行有关退役军人医疗、疗养、养老等机构的规划政策；承担不适宜继续服役的伤病残军人移交安置、退休安置、供养等工作；组织军供服务保障工作。</w:t>
      </w:r>
    </w:p>
    <w:p w14:paraId="1E703803">
      <w:pPr>
        <w:rPr>
          <w:rFonts w:hint="eastAsia"/>
          <w:lang w:eastAsia="zh-CN"/>
        </w:rPr>
      </w:pPr>
    </w:p>
    <w:p w14:paraId="74A365B7">
      <w:pPr>
        <w:numPr>
          <w:ilvl w:val="0"/>
          <w:numId w:val="0"/>
        </w:numPr>
        <w:rPr>
          <w:rFonts w:hint="eastAsia"/>
          <w:lang w:eastAsia="zh-CN"/>
        </w:rPr>
      </w:pPr>
    </w:p>
    <w:p w14:paraId="79AFFFB7">
      <w:pPr>
        <w:pStyle w:val="4"/>
        <w:rPr>
          <w:rStyle w:val="31"/>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4"/>
      <w:bookmarkEnd w:id="15"/>
    </w:p>
    <w:p w14:paraId="47666586">
      <w:pPr>
        <w:spacing w:line="580" w:lineRule="exact"/>
        <w:ind w:firstLine="640" w:firstLineChars="200"/>
        <w:rPr>
          <w:rFonts w:ascii="仿宋_GB2312" w:hAnsi="仿宋" w:eastAsia="仿宋_GB2312" w:cs="仿宋"/>
          <w:color w:val="000000"/>
          <w:sz w:val="32"/>
          <w:szCs w:val="32"/>
        </w:rPr>
      </w:pPr>
      <w:bookmarkStart w:id="16" w:name="_Toc15377204"/>
      <w:bookmarkStart w:id="17" w:name="_Toc15396602"/>
      <w:r>
        <w:rPr>
          <w:rFonts w:hint="eastAsia" w:ascii="仿宋_GB2312" w:hAnsi="仿宋_GB2312" w:eastAsia="仿宋_GB2312" w:cs="仿宋_GB2312"/>
          <w:bCs/>
          <w:sz w:val="32"/>
          <w:szCs w:val="32"/>
        </w:rPr>
        <w:t>退役军人服务中心：负责就业、档案管理，指导乡镇退役军人相关工作。</w:t>
      </w:r>
    </w:p>
    <w:p w14:paraId="3FC140E6">
      <w:pPr>
        <w:pStyle w:val="6"/>
        <w:adjustRightInd w:val="0"/>
        <w:snapToGrid w:val="0"/>
        <w:spacing w:before="93" w:line="600" w:lineRule="exact"/>
        <w:ind w:firstLine="640" w:firstLineChars="200"/>
        <w:rPr>
          <w:rFonts w:ascii="仿宋" w:hAnsi="仿宋" w:eastAsia="仿宋"/>
          <w:color w:val="000000"/>
          <w:sz w:val="32"/>
          <w:szCs w:val="32"/>
        </w:rPr>
      </w:pPr>
      <w:r>
        <w:rPr>
          <w:rFonts w:hint="eastAsia" w:hAnsi="仿宋" w:cs="仿宋"/>
          <w:sz w:val="32"/>
          <w:szCs w:val="32"/>
        </w:rPr>
        <w:t>松潘县退役军人</w:t>
      </w:r>
      <w:r>
        <w:rPr>
          <w:rFonts w:hint="eastAsia" w:hAnsi="仿宋" w:cs="仿宋"/>
          <w:sz w:val="32"/>
          <w:szCs w:val="32"/>
          <w:lang w:eastAsia="zh-CN"/>
        </w:rPr>
        <w:t>服务中心</w:t>
      </w:r>
      <w:r>
        <w:rPr>
          <w:rFonts w:hint="eastAsia" w:hAnsi="仿宋" w:cs="仿宋"/>
          <w:sz w:val="32"/>
          <w:szCs w:val="32"/>
        </w:rPr>
        <w:t>属</w:t>
      </w:r>
      <w:r>
        <w:rPr>
          <w:rFonts w:hint="eastAsia" w:hAnsi="仿宋" w:cs="仿宋"/>
          <w:sz w:val="32"/>
          <w:szCs w:val="32"/>
          <w:lang w:eastAsia="zh-CN"/>
        </w:rPr>
        <w:t>二</w:t>
      </w:r>
      <w:r>
        <w:rPr>
          <w:rFonts w:hint="eastAsia" w:hAnsi="仿宋" w:cs="仿宋"/>
          <w:sz w:val="32"/>
          <w:szCs w:val="32"/>
        </w:rPr>
        <w:t>级预算单位，独立编制机构数1个，独立核算机构数1个。松潘县退役军人</w:t>
      </w:r>
      <w:r>
        <w:rPr>
          <w:rFonts w:hint="eastAsia" w:hAnsi="仿宋" w:cs="仿宋"/>
          <w:sz w:val="32"/>
          <w:szCs w:val="32"/>
          <w:lang w:eastAsia="zh-CN"/>
        </w:rPr>
        <w:t>服务中心事业</w:t>
      </w:r>
      <w:r>
        <w:rPr>
          <w:rFonts w:hint="eastAsia" w:hAnsi="仿宋" w:cs="仿宋"/>
          <w:sz w:val="32"/>
          <w:szCs w:val="32"/>
        </w:rPr>
        <w:t>编制</w:t>
      </w:r>
      <w:r>
        <w:rPr>
          <w:rFonts w:hint="eastAsia" w:hAnsi="仿宋" w:cs="仿宋"/>
          <w:sz w:val="32"/>
          <w:szCs w:val="32"/>
          <w:lang w:val="en-US" w:eastAsia="zh-CN"/>
        </w:rPr>
        <w:t>3</w:t>
      </w:r>
      <w:r>
        <w:rPr>
          <w:rFonts w:hint="eastAsia" w:hAnsi="仿宋" w:cs="仿宋"/>
          <w:sz w:val="32"/>
          <w:szCs w:val="32"/>
        </w:rPr>
        <w:t>名</w:t>
      </w:r>
      <w:r>
        <w:rPr>
          <w:rFonts w:hint="eastAsia" w:hAnsi="仿宋" w:cs="仿宋"/>
          <w:sz w:val="32"/>
          <w:szCs w:val="32"/>
          <w:lang w:eastAsia="zh-CN"/>
        </w:rPr>
        <w:t>，</w:t>
      </w:r>
      <w:r>
        <w:rPr>
          <w:rFonts w:hint="eastAsia" w:hAnsi="仿宋" w:cs="仿宋"/>
          <w:sz w:val="32"/>
          <w:szCs w:val="32"/>
        </w:rPr>
        <w:t>股级领导职数</w:t>
      </w:r>
      <w:r>
        <w:rPr>
          <w:rFonts w:hint="eastAsia" w:hAnsi="仿宋" w:cs="仿宋"/>
          <w:sz w:val="32"/>
          <w:szCs w:val="32"/>
          <w:lang w:val="en-US" w:eastAsia="zh-CN"/>
        </w:rPr>
        <w:t>1</w:t>
      </w:r>
      <w:r>
        <w:rPr>
          <w:rFonts w:hint="eastAsia" w:hAnsi="仿宋" w:cs="仿宋"/>
          <w:sz w:val="32"/>
          <w:szCs w:val="32"/>
        </w:rPr>
        <w:t>名。</w:t>
      </w:r>
    </w:p>
    <w:p w14:paraId="0971A8AA">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2A82BCB">
      <w:pPr>
        <w:pStyle w:val="3"/>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3B884C1F">
      <w:pPr>
        <w:rPr>
          <w:rFonts w:ascii="Times New Roman" w:hAnsi="Times New Roman"/>
          <w:color w:val="auto"/>
          <w:highlight w:val="none"/>
        </w:rPr>
      </w:pPr>
    </w:p>
    <w:p w14:paraId="4F6F88B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8"/>
      <w:bookmarkEnd w:id="19"/>
    </w:p>
    <w:p w14:paraId="57A9051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6.06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9.7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人员经费增加</w:t>
      </w:r>
    </w:p>
    <w:p w14:paraId="3B0106C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5E93FAC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116FA04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2"/>
      <w:bookmarkEnd w:id="23"/>
    </w:p>
    <w:p w14:paraId="5FFFDD3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486EC2CA">
      <w:pPr>
        <w:spacing w:line="600" w:lineRule="exact"/>
        <w:ind w:firstLine="640" w:firstLineChars="200"/>
        <w:outlineLvl w:val="1"/>
        <w:rPr>
          <w:rStyle w:val="31"/>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4"/>
      <w:bookmarkEnd w:id="25"/>
    </w:p>
    <w:p w14:paraId="0756A9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6.06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9.7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人员经费增加</w:t>
      </w:r>
    </w:p>
    <w:p w14:paraId="48A99CA1">
      <w:pPr>
        <w:spacing w:line="600" w:lineRule="exact"/>
        <w:ind w:firstLine="640" w:firstLineChars="200"/>
        <w:outlineLvl w:val="1"/>
        <w:rPr>
          <w:rStyle w:val="31"/>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6"/>
      <w:bookmarkEnd w:id="27"/>
    </w:p>
    <w:p w14:paraId="4A178D2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6B42A1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9.7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人员经费增加</w:t>
      </w:r>
    </w:p>
    <w:p w14:paraId="66C133C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49F03C9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59.56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87.4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5.04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6160CB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00D8D6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0A5B0D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7444"/>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19DF99A9">
      <w:pPr>
        <w:numPr>
          <w:ilvl w:val="0"/>
          <w:numId w:val="2"/>
        </w:numPr>
        <w:rPr>
          <w:rFonts w:hint="eastAsia" w:eastAsia="仿宋_GB2312" w:cs="仿宋_GB2312"/>
          <w:b/>
          <w:bCs/>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社会保障和就业</w:t>
      </w:r>
    </w:p>
    <w:p w14:paraId="64CA66E8">
      <w:pPr>
        <w:numPr>
          <w:ilvl w:val="0"/>
          <w:numId w:val="0"/>
        </w:numPr>
        <w:rPr>
          <w:rStyle w:val="19"/>
          <w:rFonts w:ascii="仿宋" w:hAnsi="仿宋" w:eastAsia="仿宋"/>
          <w:b w:val="0"/>
          <w:bCs/>
          <w:color w:val="000000"/>
          <w:sz w:val="32"/>
          <w:szCs w:val="32"/>
        </w:rPr>
      </w:pPr>
      <w:r>
        <w:rPr>
          <w:rFonts w:hint="eastAsia" w:ascii="仿宋" w:hAnsi="仿宋" w:eastAsia="仿宋"/>
          <w:color w:val="4E4342"/>
          <w:sz w:val="32"/>
          <w:szCs w:val="32"/>
        </w:rPr>
        <w:t>2080505机关事业单位基本养老保险缴费</w:t>
      </w:r>
      <w:r>
        <w:rPr>
          <w:rStyle w:val="19"/>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6.21</w:t>
      </w:r>
      <w:r>
        <w:rPr>
          <w:rFonts w:hint="eastAsia" w:ascii="仿宋" w:hAnsi="仿宋" w:eastAsia="仿宋"/>
          <w:color w:val="4E4342"/>
          <w:sz w:val="32"/>
          <w:szCs w:val="32"/>
        </w:rPr>
        <w:t>万元</w:t>
      </w:r>
      <w:r>
        <w:rPr>
          <w:rStyle w:val="19"/>
          <w:rFonts w:hint="eastAsia" w:ascii="仿宋" w:hAnsi="仿宋" w:eastAsia="仿宋"/>
          <w:b w:val="0"/>
          <w:bCs/>
          <w:color w:val="000000"/>
          <w:sz w:val="32"/>
          <w:szCs w:val="32"/>
        </w:rPr>
        <w:t>，完成100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p>
    <w:p w14:paraId="6C2C6594">
      <w:pPr>
        <w:rPr>
          <w:rFonts w:ascii="仿宋" w:hAnsi="仿宋" w:eastAsia="仿宋"/>
          <w:color w:val="4E4342"/>
          <w:sz w:val="32"/>
          <w:szCs w:val="32"/>
        </w:rPr>
      </w:pPr>
      <w:r>
        <w:rPr>
          <w:rFonts w:hint="eastAsia" w:ascii="仿宋" w:hAnsi="仿宋" w:eastAsia="仿宋"/>
          <w:color w:val="4E4342"/>
          <w:sz w:val="32"/>
          <w:szCs w:val="32"/>
        </w:rPr>
        <w:t>2080506机关事业单位职业年金缴费</w:t>
      </w:r>
      <w:r>
        <w:rPr>
          <w:rStyle w:val="19"/>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3.1</w:t>
      </w:r>
      <w:r>
        <w:rPr>
          <w:rFonts w:hint="eastAsia" w:ascii="仿宋" w:hAnsi="仿宋" w:eastAsia="仿宋"/>
          <w:color w:val="4E4342"/>
          <w:sz w:val="32"/>
          <w:szCs w:val="32"/>
        </w:rPr>
        <w:t>万元；</w:t>
      </w:r>
      <w:r>
        <w:rPr>
          <w:rStyle w:val="19"/>
          <w:rFonts w:hint="eastAsia" w:ascii="仿宋" w:hAnsi="仿宋" w:eastAsia="仿宋"/>
          <w:b w:val="0"/>
          <w:bCs/>
          <w:color w:val="000000"/>
          <w:sz w:val="32"/>
          <w:szCs w:val="32"/>
        </w:rPr>
        <w:t>完成100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p>
    <w:p w14:paraId="3CECCBCA">
      <w:pPr>
        <w:rPr>
          <w:rStyle w:val="19"/>
          <w:rFonts w:hint="eastAsia" w:ascii="仿宋" w:hAnsi="仿宋" w:eastAsia="仿宋"/>
          <w:b w:val="0"/>
          <w:bCs/>
          <w:color w:val="000000"/>
          <w:sz w:val="32"/>
          <w:szCs w:val="32"/>
        </w:rPr>
      </w:pPr>
      <w:r>
        <w:rPr>
          <w:rFonts w:hint="eastAsia" w:ascii="仿宋" w:hAnsi="仿宋" w:eastAsia="仿宋"/>
          <w:color w:val="4E4342"/>
          <w:sz w:val="32"/>
          <w:szCs w:val="32"/>
        </w:rPr>
        <w:t>20828</w:t>
      </w:r>
      <w:r>
        <w:rPr>
          <w:rFonts w:hint="eastAsia" w:ascii="仿宋" w:hAnsi="仿宋" w:eastAsia="仿宋"/>
          <w:color w:val="4E4342"/>
          <w:sz w:val="32"/>
          <w:szCs w:val="32"/>
          <w:lang w:val="en-US" w:eastAsia="zh-CN"/>
        </w:rPr>
        <w:t>50</w:t>
      </w:r>
      <w:r>
        <w:rPr>
          <w:rFonts w:hint="eastAsia" w:ascii="仿宋" w:hAnsi="仿宋" w:eastAsia="仿宋"/>
          <w:color w:val="4E4342"/>
          <w:sz w:val="32"/>
          <w:szCs w:val="32"/>
          <w:lang w:eastAsia="zh-CN"/>
        </w:rPr>
        <w:t>事业运行</w:t>
      </w:r>
      <w:r>
        <w:rPr>
          <w:rStyle w:val="19"/>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50.24</w:t>
      </w:r>
      <w:r>
        <w:rPr>
          <w:rFonts w:hint="eastAsia" w:ascii="仿宋" w:hAnsi="仿宋" w:eastAsia="仿宋"/>
          <w:color w:val="4E4342"/>
          <w:sz w:val="32"/>
          <w:szCs w:val="32"/>
        </w:rPr>
        <w:t>万元；</w:t>
      </w:r>
      <w:r>
        <w:rPr>
          <w:rStyle w:val="19"/>
          <w:rFonts w:hint="eastAsia" w:ascii="仿宋" w:hAnsi="仿宋" w:eastAsia="仿宋"/>
          <w:b w:val="0"/>
          <w:bCs/>
          <w:color w:val="000000"/>
          <w:sz w:val="32"/>
          <w:szCs w:val="32"/>
        </w:rPr>
        <w:t>完成100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p>
    <w:p w14:paraId="5731D8FD">
      <w:pPr>
        <w:rPr>
          <w:rFonts w:hint="eastAsia" w:ascii="仿宋" w:hAnsi="仿宋" w:eastAsia="仿宋" w:cs="Times New Roman"/>
          <w:b/>
          <w:bCs/>
          <w:color w:val="4E4342"/>
          <w:kern w:val="2"/>
          <w:sz w:val="32"/>
          <w:szCs w:val="32"/>
          <w:lang w:val="en-US" w:eastAsia="zh-CN" w:bidi="ar-SA"/>
        </w:rPr>
      </w:pPr>
      <w:r>
        <w:rPr>
          <w:rFonts w:hint="eastAsia" w:ascii="仿宋" w:hAnsi="仿宋" w:eastAsia="仿宋" w:cs="Times New Roman"/>
          <w:b/>
          <w:bCs/>
          <w:color w:val="4E4342"/>
          <w:kern w:val="2"/>
          <w:sz w:val="32"/>
          <w:szCs w:val="32"/>
          <w:lang w:val="en-US" w:eastAsia="zh-CN" w:bidi="ar-SA"/>
        </w:rPr>
        <w:t>2</w:t>
      </w:r>
      <w:r>
        <w:rPr>
          <w:rFonts w:hint="eastAsia" w:cs="Times New Roman"/>
          <w:b/>
          <w:bCs/>
          <w:color w:val="4E4342"/>
          <w:kern w:val="2"/>
          <w:sz w:val="32"/>
          <w:szCs w:val="32"/>
          <w:lang w:val="en-US" w:eastAsia="zh-CN" w:bidi="ar-SA"/>
        </w:rPr>
        <w:t>.</w:t>
      </w:r>
      <w:r>
        <w:rPr>
          <w:rFonts w:hint="default" w:ascii="仿宋" w:hAnsi="仿宋" w:eastAsia="仿宋" w:cs="Times New Roman"/>
          <w:b/>
          <w:bCs/>
          <w:color w:val="4E4342"/>
          <w:kern w:val="2"/>
          <w:sz w:val="32"/>
          <w:szCs w:val="32"/>
          <w:lang w:val="en-US" w:eastAsia="zh-CN" w:bidi="ar-SA"/>
        </w:rPr>
        <w:t>卫生健康支出</w:t>
      </w:r>
    </w:p>
    <w:p w14:paraId="6B60D391">
      <w:pPr>
        <w:rPr>
          <w:rStyle w:val="19"/>
          <w:rFonts w:hint="eastAsia" w:ascii="仿宋" w:hAnsi="仿宋" w:eastAsia="仿宋"/>
          <w:b w:val="0"/>
          <w:bCs/>
          <w:color w:val="000000"/>
          <w:sz w:val="32"/>
          <w:szCs w:val="32"/>
        </w:rPr>
      </w:pPr>
      <w:r>
        <w:rPr>
          <w:rFonts w:hint="eastAsia" w:ascii="仿宋" w:hAnsi="仿宋" w:eastAsia="仿宋" w:cs="Times New Roman"/>
          <w:color w:val="4E4342"/>
          <w:sz w:val="32"/>
          <w:szCs w:val="32"/>
          <w:lang w:val="en-US" w:eastAsia="zh-CN"/>
        </w:rPr>
        <w:t>2101102事业单位医疗支出决</w:t>
      </w:r>
      <w:r>
        <w:rPr>
          <w:rStyle w:val="19"/>
          <w:rFonts w:hint="eastAsia" w:ascii="仿宋" w:hAnsi="仿宋" w:eastAsia="仿宋"/>
          <w:b w:val="0"/>
          <w:bCs/>
          <w:color w:val="000000"/>
          <w:sz w:val="32"/>
          <w:szCs w:val="32"/>
        </w:rPr>
        <w:t>算为</w:t>
      </w:r>
      <w:r>
        <w:rPr>
          <w:rFonts w:hint="eastAsia" w:ascii="仿宋" w:hAnsi="仿宋" w:eastAsia="仿宋"/>
          <w:color w:val="4E4342"/>
          <w:sz w:val="32"/>
          <w:szCs w:val="32"/>
          <w:lang w:val="en-US" w:eastAsia="zh-CN"/>
        </w:rPr>
        <w:t>2.97</w:t>
      </w:r>
      <w:r>
        <w:rPr>
          <w:rFonts w:hint="eastAsia" w:ascii="仿宋" w:hAnsi="仿宋" w:eastAsia="仿宋"/>
          <w:color w:val="4E4342"/>
          <w:sz w:val="32"/>
          <w:szCs w:val="32"/>
        </w:rPr>
        <w:t>万元；</w:t>
      </w:r>
      <w:r>
        <w:rPr>
          <w:rStyle w:val="19"/>
          <w:rFonts w:hint="eastAsia" w:ascii="仿宋" w:hAnsi="仿宋" w:eastAsia="仿宋"/>
          <w:b w:val="0"/>
          <w:bCs/>
          <w:color w:val="000000"/>
          <w:sz w:val="32"/>
          <w:szCs w:val="32"/>
        </w:rPr>
        <w:t>完成100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p>
    <w:p w14:paraId="5E67E087">
      <w:pPr>
        <w:rPr>
          <w:rStyle w:val="19"/>
          <w:rFonts w:hint="eastAsia" w:ascii="仿宋" w:hAnsi="仿宋" w:eastAsia="仿宋"/>
          <w:b w:val="0"/>
          <w:bCs/>
          <w:color w:val="000000"/>
          <w:sz w:val="32"/>
          <w:szCs w:val="32"/>
        </w:rPr>
      </w:pPr>
      <w:r>
        <w:rPr>
          <w:rFonts w:hint="eastAsia" w:ascii="仿宋" w:hAnsi="仿宋" w:eastAsia="仿宋" w:cs="Times New Roman"/>
          <w:color w:val="4E4342"/>
          <w:sz w:val="32"/>
          <w:szCs w:val="32"/>
          <w:lang w:val="en-US" w:eastAsia="zh-CN"/>
        </w:rPr>
        <w:t>2101199其他行政事业单位医疗支出支出决</w:t>
      </w:r>
      <w:r>
        <w:rPr>
          <w:rStyle w:val="19"/>
          <w:rFonts w:hint="eastAsia" w:ascii="仿宋" w:hAnsi="仿宋" w:eastAsia="仿宋"/>
          <w:b w:val="0"/>
          <w:bCs/>
          <w:color w:val="000000"/>
          <w:sz w:val="32"/>
          <w:szCs w:val="32"/>
        </w:rPr>
        <w:t>算为</w:t>
      </w:r>
      <w:r>
        <w:rPr>
          <w:rFonts w:hint="eastAsia" w:ascii="仿宋" w:hAnsi="仿宋" w:eastAsia="仿宋"/>
          <w:color w:val="4E4342"/>
          <w:sz w:val="32"/>
          <w:szCs w:val="32"/>
          <w:lang w:val="en-US" w:eastAsia="zh-CN"/>
        </w:rPr>
        <w:t>0.54</w:t>
      </w:r>
      <w:r>
        <w:rPr>
          <w:rFonts w:hint="eastAsia" w:ascii="仿宋" w:hAnsi="仿宋" w:eastAsia="仿宋"/>
          <w:color w:val="4E4342"/>
          <w:sz w:val="32"/>
          <w:szCs w:val="32"/>
        </w:rPr>
        <w:t>万元；</w:t>
      </w:r>
      <w:r>
        <w:rPr>
          <w:rStyle w:val="19"/>
          <w:rFonts w:hint="eastAsia" w:ascii="仿宋" w:hAnsi="仿宋" w:eastAsia="仿宋"/>
          <w:b w:val="0"/>
          <w:bCs/>
          <w:color w:val="000000"/>
          <w:sz w:val="32"/>
          <w:szCs w:val="32"/>
        </w:rPr>
        <w:t>完成100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p>
    <w:p w14:paraId="649D6123">
      <w:pPr>
        <w:rPr>
          <w:rStyle w:val="19"/>
          <w:rFonts w:hint="eastAsia"/>
          <w:b/>
          <w:bCs w:val="0"/>
          <w:color w:val="000000"/>
          <w:sz w:val="32"/>
          <w:szCs w:val="32"/>
          <w:lang w:val="en-US" w:eastAsia="zh-CN"/>
        </w:rPr>
      </w:pPr>
      <w:r>
        <w:rPr>
          <w:rStyle w:val="19"/>
          <w:rFonts w:hint="eastAsia"/>
          <w:b/>
          <w:bCs w:val="0"/>
          <w:color w:val="000000"/>
          <w:sz w:val="32"/>
          <w:szCs w:val="32"/>
          <w:lang w:val="en-US" w:eastAsia="zh-CN"/>
        </w:rPr>
        <w:t>3.住房保障</w:t>
      </w:r>
    </w:p>
    <w:p w14:paraId="3266C0C1">
      <w:pPr>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Times New Roman"/>
          <w:color w:val="4E4342"/>
          <w:sz w:val="32"/>
          <w:szCs w:val="32"/>
          <w:lang w:val="en-US" w:eastAsia="zh-CN"/>
        </w:rPr>
        <w:t>2210201住房公积金支出决算为5.05万元；完成100%。</w:t>
      </w:r>
    </w:p>
    <w:p w14:paraId="562E5A80">
      <w:pPr>
        <w:tabs>
          <w:tab w:val="right" w:pos="8306"/>
        </w:tabs>
        <w:spacing w:line="600" w:lineRule="exact"/>
        <w:ind w:firstLine="640"/>
        <w:outlineLvl w:val="1"/>
        <w:rPr>
          <w:rStyle w:val="31"/>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4"/>
      <w:bookmarkEnd w:id="35"/>
      <w:r>
        <w:rPr>
          <w:rStyle w:val="31"/>
          <w:rFonts w:ascii="Times New Roman" w:hAnsi="Times New Roman" w:eastAsia="黑体"/>
          <w:b w:val="0"/>
          <w:color w:val="auto"/>
          <w:highlight w:val="none"/>
        </w:rPr>
        <w:tab/>
      </w:r>
    </w:p>
    <w:p w14:paraId="174A68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68.11</w:t>
      </w:r>
      <w:r>
        <w:rPr>
          <w:rFonts w:hint="eastAsia" w:ascii="Times New Roman" w:hAnsi="Times New Roman" w:eastAsia="仿宋_GB2312" w:cs="仿宋_GB2312"/>
          <w:color w:val="auto"/>
          <w:kern w:val="2"/>
          <w:sz w:val="32"/>
          <w:szCs w:val="32"/>
          <w:highlight w:val="none"/>
          <w:lang w:val="en-US" w:eastAsia="zh-CN" w:bidi="ar-SA"/>
        </w:rPr>
        <w:t>万元，其中：</w:t>
      </w:r>
    </w:p>
    <w:p w14:paraId="34A63B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64.51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3.6</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1A940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82B9F49">
      <w:pPr>
        <w:spacing w:line="600" w:lineRule="exact"/>
        <w:ind w:firstLine="640"/>
        <w:outlineLvl w:val="1"/>
        <w:rPr>
          <w:rStyle w:val="31"/>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6"/>
      <w:bookmarkEnd w:id="37"/>
    </w:p>
    <w:p w14:paraId="1B5FD3C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52762F5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7386C72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7738C0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588216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87CFF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114F27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万元。所需的公务用车燃料费、维修费、过路过桥费、保险费等支出。</w:t>
      </w:r>
    </w:p>
    <w:p w14:paraId="249FB6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630993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87F38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0" w:name="_Toc15377218"/>
      <w:bookmarkStart w:id="41" w:name="_Toc15396610"/>
    </w:p>
    <w:p w14:paraId="713E896E">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0"/>
      <w:bookmarkEnd w:id="41"/>
    </w:p>
    <w:p w14:paraId="1493E9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23E56A59">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42" w:name="_Toc15377219"/>
      <w:bookmarkStart w:id="43"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2"/>
      <w:bookmarkEnd w:id="43"/>
    </w:p>
    <w:p w14:paraId="38469E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1AA2B6CF">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4" w:name="_Toc15396612"/>
      <w:bookmarkStart w:id="45"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4"/>
      <w:bookmarkEnd w:id="45"/>
    </w:p>
    <w:p w14:paraId="3BF3AB1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3BC4AE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松潘县退役军人服务中心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B8BCF5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706797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松潘县退役军人服务中心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E80CE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4DB6F4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松潘县退役军人服务中心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9284DF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4534862">
      <w:pPr>
        <w:spacing w:line="600" w:lineRule="exact"/>
        <w:ind w:firstLine="640" w:firstLineChars="200"/>
        <w:rPr>
          <w:rFonts w:ascii="仿宋_GB2312" w:eastAsia="仿宋_GB2312"/>
          <w:sz w:val="32"/>
          <w:szCs w:val="32"/>
        </w:rPr>
      </w:pPr>
      <w:r>
        <w:rPr>
          <w:rFonts w:hint="eastAsia" w:ascii="仿宋_GB2312" w:eastAsia="仿宋_GB2312"/>
          <w:sz w:val="32"/>
          <w:szCs w:val="32"/>
        </w:rPr>
        <w:t>根据预算绩效管理要求，本单位在202</w:t>
      </w:r>
      <w:r>
        <w:rPr>
          <w:rFonts w:hint="eastAsia" w:ascii="仿宋_GB2312" w:eastAsia="仿宋_GB2312"/>
          <w:sz w:val="32"/>
          <w:szCs w:val="32"/>
          <w:lang w:val="en-US" w:eastAsia="zh-CN"/>
        </w:rPr>
        <w:t>5</w:t>
      </w:r>
      <w:r>
        <w:rPr>
          <w:rFonts w:hint="eastAsia" w:ascii="仿宋_GB2312" w:eastAsia="仿宋_GB2312"/>
          <w:sz w:val="32"/>
          <w:szCs w:val="32"/>
        </w:rPr>
        <w:t>年度预算编制阶段，组织对</w:t>
      </w:r>
      <w:r>
        <w:rPr>
          <w:rFonts w:hint="eastAsia" w:ascii="仿宋_GB2312" w:eastAsia="仿宋_GB2312"/>
          <w:sz w:val="32"/>
          <w:szCs w:val="32"/>
          <w:lang w:eastAsia="zh-CN"/>
        </w:rPr>
        <w:t>工资、日常公用经费</w:t>
      </w:r>
      <w:r>
        <w:rPr>
          <w:rFonts w:hint="eastAsia" w:ascii="仿宋_GB2312" w:eastAsia="仿宋_GB2312"/>
          <w:sz w:val="32"/>
          <w:szCs w:val="32"/>
        </w:rPr>
        <w:t>等</w:t>
      </w:r>
      <w:r>
        <w:rPr>
          <w:rFonts w:hint="eastAsia" w:ascii="仿宋_GB2312" w:eastAsia="仿宋_GB2312"/>
          <w:sz w:val="32"/>
          <w:szCs w:val="32"/>
          <w:lang w:val="en-US" w:eastAsia="zh-CN"/>
        </w:rPr>
        <w:t>8</w:t>
      </w:r>
      <w:r>
        <w:rPr>
          <w:rFonts w:hint="eastAsia" w:ascii="仿宋_GB2312" w:eastAsia="仿宋_GB2312"/>
          <w:sz w:val="32"/>
          <w:szCs w:val="32"/>
        </w:rPr>
        <w:t>个项目开展了预算事前绩效评估，对</w:t>
      </w:r>
      <w:r>
        <w:rPr>
          <w:rFonts w:hint="eastAsia" w:ascii="仿宋_GB2312" w:eastAsia="仿宋_GB2312"/>
          <w:sz w:val="32"/>
          <w:szCs w:val="32"/>
          <w:lang w:val="en-US" w:eastAsia="zh-CN"/>
        </w:rPr>
        <w:t>8</w:t>
      </w:r>
      <w:r>
        <w:rPr>
          <w:rFonts w:hint="eastAsia" w:ascii="仿宋_GB2312" w:eastAsia="仿宋_GB2312"/>
          <w:sz w:val="32"/>
          <w:szCs w:val="32"/>
        </w:rPr>
        <w:t>个项目编制了绩效目标</w:t>
      </w:r>
      <w:r>
        <w:rPr>
          <w:rFonts w:hint="eastAsia" w:ascii="仿宋_GB2312" w:eastAsia="仿宋_GB2312"/>
          <w:sz w:val="32"/>
          <w:szCs w:val="32"/>
          <w:lang w:eastAsia="zh-CN"/>
        </w:rPr>
        <w:t>，在</w:t>
      </w:r>
      <w:r>
        <w:rPr>
          <w:rFonts w:hint="eastAsia" w:ascii="仿宋_GB2312" w:eastAsia="仿宋_GB2312"/>
          <w:sz w:val="32"/>
          <w:szCs w:val="32"/>
        </w:rPr>
        <w:t>预算执行过程中，选取</w:t>
      </w:r>
      <w:r>
        <w:rPr>
          <w:rFonts w:hint="eastAsia" w:ascii="仿宋_GB2312" w:eastAsia="仿宋_GB2312"/>
          <w:sz w:val="32"/>
          <w:szCs w:val="32"/>
          <w:lang w:val="en-US" w:eastAsia="zh-CN"/>
        </w:rPr>
        <w:t>8</w:t>
      </w:r>
      <w:r>
        <w:rPr>
          <w:rFonts w:hint="eastAsia" w:ascii="仿宋_GB2312" w:eastAsia="仿宋_GB2312"/>
          <w:sz w:val="32"/>
          <w:szCs w:val="32"/>
        </w:rPr>
        <w:t>个项目开展绩效监控。</w:t>
      </w:r>
    </w:p>
    <w:p w14:paraId="269B21A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rPr>
        <w:br w:type="page"/>
      </w:r>
    </w:p>
    <w:p w14:paraId="4531F3B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5F3FAF48">
      <w:pPr>
        <w:spacing w:line="600" w:lineRule="exact"/>
        <w:jc w:val="left"/>
        <w:rPr>
          <w:rFonts w:ascii="Times New Roman" w:hAnsi="Times New Roman"/>
          <w:b/>
          <w:color w:val="auto"/>
          <w:sz w:val="44"/>
          <w:szCs w:val="44"/>
          <w:highlight w:val="none"/>
        </w:rPr>
      </w:pPr>
    </w:p>
    <w:p w14:paraId="1377F3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8A22B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4EFF72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5D4A2B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229443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34340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63111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13E7AC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9A2A0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37FA26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58B00E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7E84AB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4E8F7C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0F54B3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0E3D7E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3B41AB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073236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44C085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1FB1D9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163665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6E8ABE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35366C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1EC712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09F45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4DDD9E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2EB58F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2834B4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28A878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5A9814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0D2A2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0C401C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27F9D9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0E1D5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CFAB9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61D2D55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45D25A0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8"/>
    </w:p>
    <w:p w14:paraId="5CBB048A">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eastAsia="黑体"/>
          <w:b w:val="0"/>
          <w:color w:val="auto"/>
          <w:highlight w:val="none"/>
          <w:lang w:eastAsia="zh-CN"/>
        </w:rPr>
        <w:t>四</w:t>
      </w:r>
      <w:r>
        <w:rPr>
          <w:rStyle w:val="30"/>
          <w:rFonts w:hint="eastAsia" w:ascii="Times New Roman" w:hAnsi="Times New Roman" w:eastAsia="黑体"/>
          <w:b w:val="0"/>
          <w:color w:val="auto"/>
          <w:highlight w:val="none"/>
        </w:rPr>
        <w:t>部分 附表</w:t>
      </w:r>
      <w:bookmarkEnd w:id="51"/>
      <w:bookmarkEnd w:id="52"/>
      <w:bookmarkStart w:id="53" w:name="_Toc15396619"/>
    </w:p>
    <w:p w14:paraId="2AA773D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8A31E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3"/>
    </w:p>
    <w:p w14:paraId="173ED4F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0"/>
      <w:r>
        <w:rPr>
          <w:rFonts w:hint="eastAsia" w:ascii="Times New Roman" w:hAnsi="Times New Roman" w:eastAsia="仿宋_GB2312" w:cs="仿宋_GB2312"/>
          <w:color w:val="auto"/>
          <w:sz w:val="32"/>
          <w:szCs w:val="32"/>
          <w:highlight w:val="none"/>
        </w:rPr>
        <w:t>二、收入决算表</w:t>
      </w:r>
      <w:bookmarkEnd w:id="54"/>
    </w:p>
    <w:p w14:paraId="30461B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1"/>
      <w:r>
        <w:rPr>
          <w:rFonts w:hint="eastAsia" w:ascii="Times New Roman" w:hAnsi="Times New Roman" w:eastAsia="仿宋_GB2312" w:cs="仿宋_GB2312"/>
          <w:color w:val="auto"/>
          <w:sz w:val="32"/>
          <w:szCs w:val="32"/>
          <w:highlight w:val="none"/>
        </w:rPr>
        <w:t>三、支出决算表</w:t>
      </w:r>
      <w:bookmarkEnd w:id="55"/>
    </w:p>
    <w:p w14:paraId="025F3C7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2"/>
      <w:r>
        <w:rPr>
          <w:rFonts w:hint="eastAsia" w:ascii="Times New Roman" w:hAnsi="Times New Roman" w:eastAsia="仿宋_GB2312" w:cs="仿宋_GB2312"/>
          <w:color w:val="auto"/>
          <w:sz w:val="32"/>
          <w:szCs w:val="32"/>
          <w:highlight w:val="none"/>
        </w:rPr>
        <w:t>四、财政拨款收入支出决算总表</w:t>
      </w:r>
      <w:bookmarkEnd w:id="56"/>
    </w:p>
    <w:p w14:paraId="41DE003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3"/>
      <w:r>
        <w:rPr>
          <w:rFonts w:hint="eastAsia" w:ascii="Times New Roman" w:hAnsi="Times New Roman" w:eastAsia="仿宋_GB2312" w:cs="仿宋_GB2312"/>
          <w:color w:val="auto"/>
          <w:sz w:val="32"/>
          <w:szCs w:val="32"/>
          <w:highlight w:val="none"/>
        </w:rPr>
        <w:t>五、财政拨款支出决算明细表</w:t>
      </w:r>
      <w:bookmarkEnd w:id="57"/>
      <w:bookmarkStart w:id="58" w:name="_Toc15396624"/>
    </w:p>
    <w:p w14:paraId="4115727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8"/>
    </w:p>
    <w:p w14:paraId="5C3556D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5"/>
      <w:r>
        <w:rPr>
          <w:rFonts w:hint="eastAsia" w:ascii="Times New Roman" w:hAnsi="Times New Roman" w:eastAsia="仿宋_GB2312" w:cs="仿宋_GB2312"/>
          <w:color w:val="auto"/>
          <w:sz w:val="32"/>
          <w:szCs w:val="32"/>
          <w:highlight w:val="none"/>
        </w:rPr>
        <w:t>七、一般公共预算财政拨款支出决算明细表</w:t>
      </w:r>
      <w:bookmarkEnd w:id="59"/>
    </w:p>
    <w:p w14:paraId="7BB069F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6"/>
      <w:r>
        <w:rPr>
          <w:rFonts w:hint="eastAsia" w:ascii="Times New Roman" w:hAnsi="Times New Roman" w:eastAsia="仿宋_GB2312" w:cs="仿宋_GB2312"/>
          <w:color w:val="auto"/>
          <w:sz w:val="32"/>
          <w:szCs w:val="32"/>
          <w:highlight w:val="none"/>
        </w:rPr>
        <w:t>八、一般公共预算财政拨款基本支出决算表</w:t>
      </w:r>
      <w:bookmarkEnd w:id="60"/>
    </w:p>
    <w:p w14:paraId="696E6F9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7"/>
      <w:r>
        <w:rPr>
          <w:rFonts w:hint="eastAsia" w:ascii="Times New Roman" w:hAnsi="Times New Roman" w:eastAsia="仿宋_GB2312" w:cs="仿宋_GB2312"/>
          <w:color w:val="auto"/>
          <w:sz w:val="32"/>
          <w:szCs w:val="32"/>
          <w:highlight w:val="none"/>
        </w:rPr>
        <w:t>九、一般公共预算财政拨款项目支出决算表</w:t>
      </w:r>
      <w:bookmarkEnd w:id="61"/>
    </w:p>
    <w:p w14:paraId="2AD6904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8"/>
      <w:r>
        <w:rPr>
          <w:rFonts w:hint="eastAsia" w:ascii="Times New Roman" w:hAnsi="Times New Roman" w:eastAsia="仿宋_GB2312" w:cs="仿宋_GB2312"/>
          <w:color w:val="auto"/>
          <w:sz w:val="32"/>
          <w:szCs w:val="32"/>
          <w:highlight w:val="none"/>
        </w:rPr>
        <w:t>十、</w:t>
      </w:r>
      <w:bookmarkEnd w:id="62"/>
      <w:r>
        <w:rPr>
          <w:rFonts w:hint="eastAsia" w:ascii="Times New Roman" w:hAnsi="Times New Roman" w:eastAsia="仿宋_GB2312" w:cs="仿宋_GB2312"/>
          <w:color w:val="auto"/>
          <w:sz w:val="32"/>
          <w:szCs w:val="32"/>
          <w:highlight w:val="none"/>
        </w:rPr>
        <w:t>政府性基金预算财政拨款收入支出决算表</w:t>
      </w:r>
    </w:p>
    <w:p w14:paraId="28CED48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9"/>
      <w:r>
        <w:rPr>
          <w:rFonts w:hint="eastAsia" w:ascii="Times New Roman" w:hAnsi="Times New Roman" w:eastAsia="仿宋_GB2312" w:cs="仿宋_GB2312"/>
          <w:color w:val="auto"/>
          <w:sz w:val="32"/>
          <w:szCs w:val="32"/>
          <w:highlight w:val="none"/>
        </w:rPr>
        <w:t>十一、</w:t>
      </w:r>
      <w:bookmarkEnd w:id="6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41CF28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30"/>
      <w:r>
        <w:rPr>
          <w:rFonts w:hint="eastAsia" w:ascii="Times New Roman" w:hAnsi="Times New Roman" w:eastAsia="仿宋_GB2312" w:cs="仿宋_GB2312"/>
          <w:color w:val="auto"/>
          <w:sz w:val="32"/>
          <w:szCs w:val="32"/>
          <w:highlight w:val="none"/>
        </w:rPr>
        <w:t>十二、</w:t>
      </w:r>
      <w:bookmarkEnd w:id="64"/>
      <w:r>
        <w:rPr>
          <w:rFonts w:hint="eastAsia" w:ascii="Times New Roman" w:hAnsi="Times New Roman" w:eastAsia="仿宋_GB2312" w:cs="仿宋_GB2312"/>
          <w:color w:val="auto"/>
          <w:sz w:val="32"/>
          <w:szCs w:val="32"/>
          <w:highlight w:val="none"/>
          <w:lang w:eastAsia="zh-CN"/>
        </w:rPr>
        <w:t>国有资本经营预算财政拨款支出决算表</w:t>
      </w:r>
    </w:p>
    <w:p w14:paraId="57DCEE9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5" w:name="_Toc15396631"/>
      <w:r>
        <w:rPr>
          <w:rFonts w:hint="eastAsia" w:ascii="Times New Roman" w:hAnsi="Times New Roman" w:eastAsia="仿宋_GB2312" w:cs="仿宋_GB2312"/>
          <w:color w:val="auto"/>
          <w:sz w:val="32"/>
          <w:szCs w:val="32"/>
          <w:highlight w:val="none"/>
        </w:rPr>
        <w:t>十三、</w:t>
      </w:r>
      <w:bookmarkEnd w:id="65"/>
      <w:r>
        <w:rPr>
          <w:rFonts w:hint="eastAsia" w:ascii="Times New Roman" w:hAnsi="Times New Roman" w:eastAsia="仿宋_GB2312" w:cs="仿宋_GB2312"/>
          <w:color w:val="auto"/>
          <w:sz w:val="32"/>
          <w:szCs w:val="32"/>
          <w:highlight w:val="none"/>
          <w:lang w:eastAsia="zh-CN"/>
        </w:rPr>
        <w:t>财政拨款“三公”经费支出决算表</w:t>
      </w:r>
    </w:p>
    <w:p w14:paraId="5F4E4B7F">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F1E549-5CD4-4265-B511-8D6352DE65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57D39397-71B3-4410-ADF5-2060B8FC0E1B}"/>
  </w:font>
  <w:font w:name="仿宋_GB2312">
    <w:panose1 w:val="02010609030101010101"/>
    <w:charset w:val="86"/>
    <w:family w:val="modern"/>
    <w:pitch w:val="default"/>
    <w:sig w:usb0="00000001" w:usb1="080E0000" w:usb2="00000000" w:usb3="00000000" w:csb0="00040000" w:csb1="00000000"/>
    <w:embedRegular r:id="rId3" w:fontKey="{C25A6DD0-99C5-473E-BE68-690EF68B4853}"/>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4029C729-87BB-4888-A812-AC4146E29900}"/>
  </w:font>
  <w:font w:name="楷体_GB2312">
    <w:panose1 w:val="02010609030101010101"/>
    <w:charset w:val="86"/>
    <w:family w:val="auto"/>
    <w:pitch w:val="default"/>
    <w:sig w:usb0="00000001" w:usb1="080E0000" w:usb2="00000000" w:usb3="00000000" w:csb0="00040000" w:csb1="00000000"/>
    <w:embedRegular r:id="rId5" w:fontKey="{0EE637B1-9A99-455C-B0D8-46140423F3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2F5B6">
    <w:pPr>
      <w:pStyle w:val="11"/>
      <w:jc w:val="center"/>
    </w:pPr>
  </w:p>
  <w:p w14:paraId="06C0A26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F3E25">
    <w:pPr>
      <w:pStyle w:val="11"/>
      <w:jc w:val="center"/>
    </w:pPr>
  </w:p>
  <w:p w14:paraId="70E7D9A1">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98262">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D5543A">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BD5543A">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5FA4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4C2245"/>
    <w:multiLevelType w:val="singleLevel"/>
    <w:tmpl w:val="C54C2245"/>
    <w:lvl w:ilvl="0" w:tentative="0">
      <w:start w:val="1"/>
      <w:numFmt w:val="decimal"/>
      <w:lvlText w:val="%1."/>
      <w:lvlJc w:val="left"/>
      <w:pPr>
        <w:tabs>
          <w:tab w:val="left" w:pos="312"/>
        </w:tabs>
      </w:pPr>
    </w:lvl>
  </w:abstractNum>
  <w:abstractNum w:abstractNumId="1">
    <w:nsid w:val="7C784E91"/>
    <w:multiLevelType w:val="singleLevel"/>
    <w:tmpl w:val="7C784E9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AB538E"/>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886D22"/>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F550C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TOC 标题"/>
    <w:basedOn w:val="3"/>
    <w:next w:val="1"/>
    <w:qFormat/>
    <w:uiPriority w:val="39"/>
    <w:pPr>
      <w:keepNext/>
      <w:keepLines/>
      <w:spacing w:before="480" w:beforeLines="0" w:beforeAutospacing="0" w:after="0" w:afterLines="0" w:afterAutospacing="0" w:line="276" w:lineRule="auto"/>
      <w:outlineLvl w:val="9"/>
    </w:pPr>
    <w:rPr>
      <w:rFonts w:ascii="仿宋" w:hAnsi="仿宋" w:eastAsia="仿宋"/>
      <w:color w:val="000000"/>
      <w:kern w:val="0"/>
      <w:sz w:val="32"/>
      <w:szCs w:val="32"/>
      <w:lang w:val="en-US" w:eastAsia="zh-CN"/>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e38ed891-c0db-48cc-9523-f1f18c5203cc</errorID>
      <errorWord>退役军人特殊保障</errorWord>
      <group>L1_Political</group>
      <groupName>政治性问题</groupName>
      <ability>L2_Keyword</ability>
      <abilityName>固定表述</abilityName>
      <candidateList>
        <item>退役军人服务保障</item>
      </candidateList>
      <explain>词汇“退役军人服务保障”在特定场景下为固定表述形式，请确认此处的“退役军人特殊保障”是否存在不当。</explain>
      <paraID> 70D289E</paraID>
      <start>105</start>
      <end>113</end>
      <status>modified</status>
      <modifiedWord>退役军人服务保障</modifiedWord>
      <trackRevisions>false</trackRevisions>
    </reviewItem>
    <reviewItem>
      <errorID>bc801c23-44b3-43e4-9923-4a3625e63f7e</errorID>
      <errorWord>支出支出</errorWord>
      <group>L1_Word</group>
      <groupName>字词问题</groupName>
      <ability>L2_Typo</ability>
      <abilityName>字词错误</abilityName>
      <candidateList>
        <item>支出</item>
      </candidateList>
      <explain/>
      <paraID>3266C0C1</paraID>
      <start>12</start>
      <end>14</end>
      <status>modified</status>
      <modifiedWord>支出</modifiedWord>
      <trackRevisions>false</trackRevisions>
    </reviewItem>
    <reviewItem>
      <errorID>ba0d4bfd-fe96-4203-8f41-cf9d1aa30458</errorID>
      <errorWord>，</errorWord>
      <group>L1_Word</group>
      <groupName>字词问题</groupName>
      <ability>L2_Typo</ability>
      <abilityName>字词错误</abilityName>
      <candidateList>
        <item>，在</item>
      </candidateList>
      <explain/>
      <paraID>74534862</paraID>
      <start>69</start>
      <end>71</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78e68a-8089-4a11-adfb-d4f52d3e9af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5081</Words>
  <Characters>5419</Characters>
  <Lines>61</Lines>
  <Paragraphs>17</Paragraphs>
  <TotalTime>5</TotalTime>
  <ScaleCrop>false</ScaleCrop>
  <LinksUpToDate>false</LinksUpToDate>
  <CharactersWithSpaces>5442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2026-10-15T02:56:33Z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86A6B3AD8E1C434884E1FE87806D3CC8_13</vt:lpwstr>
  </property>
  <property fmtid="{D5CDD505-2E9C-101B-9397-08002B2CF9AE}" pid="4" name="KSOTemplateDocerSaveRecord">
    <vt:lpwstr>eyJoZGlkIjoiNTU1MWNhN2ZmY2ZhZmY3ODhlYTg0MWU5OGMyY2QwZmUiLCJ1c2VySWQiOiI0MzQ2NTM0NzEifQ==</vt:lpwstr>
  </property>
</Properties>
</file>