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98744">
      <w:pPr>
        <w:pStyle w:val="7"/>
        <w:spacing w:after="0" w:line="578" w:lineRule="exact"/>
        <w:ind w:left="0" w:leftChars="0" w:right="-318" w:firstLine="0" w:firstLineChars="0"/>
        <w:jc w:val="left"/>
        <w:rPr>
          <w:rFonts w:eastAsia="黑体"/>
          <w:color w:val="000000"/>
          <w:sz w:val="44"/>
          <w:szCs w:val="44"/>
        </w:rPr>
      </w:pPr>
      <w:bookmarkStart w:id="0" w:name="_Toc26578"/>
      <w:bookmarkStart w:id="1" w:name="_Toc23226"/>
      <w:bookmarkStart w:id="2" w:name="_Toc11725"/>
      <w:bookmarkStart w:id="3" w:name="_Toc30176"/>
      <w:r>
        <w:rPr>
          <w:rFonts w:ascii="Times New Roman" w:hAnsi="Times New Roman" w:eastAsia="黑体"/>
          <w:color w:val="000000"/>
        </w:rPr>
        <w:t>附件</w:t>
      </w:r>
      <w:r>
        <w:rPr>
          <w:rFonts w:hint="eastAsia" w:ascii="Times New Roman" w:hAnsi="Times New Roman" w:eastAsia="黑体"/>
          <w:color w:val="000000"/>
        </w:rPr>
        <w:t>1</w:t>
      </w:r>
    </w:p>
    <w:p w14:paraId="0AF24CA3">
      <w:pPr>
        <w:pStyle w:val="2"/>
      </w:pPr>
    </w:p>
    <w:p w14:paraId="01EFED4C">
      <w:pPr>
        <w:overflowPunct w:val="0"/>
        <w:autoSpaceDE w:val="0"/>
        <w:autoSpaceDN w:val="0"/>
        <w:adjustRightInd w:val="0"/>
        <w:snapToGrid w:val="0"/>
        <w:spacing w:line="576" w:lineRule="exact"/>
        <w:ind w:left="0"/>
        <w:jc w:val="center"/>
        <w:outlineLvl w:val="0"/>
        <w:rPr>
          <w:rFonts w:eastAsia="微软雅黑"/>
          <w:color w:val="000000"/>
          <w:sz w:val="44"/>
          <w:szCs w:val="44"/>
        </w:rPr>
      </w:pPr>
      <w:r>
        <w:rPr>
          <w:rFonts w:eastAsia="微软雅黑"/>
          <w:color w:val="000000"/>
          <w:sz w:val="44"/>
          <w:szCs w:val="44"/>
        </w:rPr>
        <w:t>松潘县2025年财政涉农资金统筹整合</w:t>
      </w:r>
    </w:p>
    <w:p w14:paraId="65403125">
      <w:pPr>
        <w:overflowPunct w:val="0"/>
        <w:autoSpaceDE w:val="0"/>
        <w:autoSpaceDN w:val="0"/>
        <w:adjustRightInd w:val="0"/>
        <w:snapToGrid w:val="0"/>
        <w:spacing w:line="576" w:lineRule="exact"/>
        <w:ind w:left="0"/>
        <w:jc w:val="center"/>
        <w:outlineLvl w:val="0"/>
        <w:rPr>
          <w:rFonts w:eastAsia="微软雅黑"/>
          <w:color w:val="000000"/>
          <w:sz w:val="44"/>
          <w:szCs w:val="44"/>
        </w:rPr>
      </w:pPr>
      <w:r>
        <w:rPr>
          <w:rFonts w:eastAsia="微软雅黑"/>
          <w:color w:val="000000"/>
          <w:sz w:val="44"/>
          <w:szCs w:val="44"/>
        </w:rPr>
        <w:t>使用调整方案</w:t>
      </w:r>
    </w:p>
    <w:p w14:paraId="04DFC6F4">
      <w:pPr>
        <w:pStyle w:val="2"/>
        <w:spacing w:line="578" w:lineRule="exact"/>
        <w:ind w:left="0"/>
        <w:jc w:val="center"/>
        <w:rPr>
          <w:rFonts w:eastAsia="微软雅黑"/>
          <w:sz w:val="32"/>
          <w:szCs w:val="32"/>
        </w:rPr>
      </w:pPr>
      <w:r>
        <w:rPr>
          <w:rFonts w:eastAsia="微软雅黑"/>
          <w:color w:val="000000"/>
          <w:sz w:val="32"/>
          <w:szCs w:val="32"/>
        </w:rPr>
        <w:t>（审议稿）</w:t>
      </w:r>
    </w:p>
    <w:p w14:paraId="30FB141A">
      <w:pPr>
        <w:overflowPunct w:val="0"/>
        <w:autoSpaceDE w:val="0"/>
        <w:autoSpaceDN w:val="0"/>
        <w:adjustRightInd w:val="0"/>
        <w:snapToGrid w:val="0"/>
        <w:spacing w:line="578" w:lineRule="exact"/>
        <w:ind w:left="0"/>
        <w:rPr>
          <w:rFonts w:eastAsia="微软雅黑"/>
          <w:sz w:val="44"/>
          <w:szCs w:val="44"/>
        </w:rPr>
      </w:pPr>
      <w:bookmarkStart w:id="188" w:name="_GoBack"/>
      <w:bookmarkEnd w:id="188"/>
    </w:p>
    <w:p w14:paraId="00826240">
      <w:pPr>
        <w:pStyle w:val="3"/>
        <w:keepNext w:val="0"/>
        <w:keepLines w:val="0"/>
        <w:autoSpaceDE w:val="0"/>
        <w:autoSpaceDN w:val="0"/>
        <w:snapToGrid w:val="0"/>
        <w:spacing w:line="578" w:lineRule="exact"/>
        <w:rPr>
          <w:sz w:val="32"/>
          <w:szCs w:val="32"/>
        </w:rPr>
      </w:pPr>
      <w:bookmarkStart w:id="4" w:name="_Toc32029"/>
      <w:bookmarkStart w:id="5" w:name="_Toc12775"/>
      <w:bookmarkStart w:id="6" w:name="_Toc20988"/>
      <w:bookmarkStart w:id="7" w:name="_Toc2375"/>
      <w:bookmarkStart w:id="8" w:name="_Toc23995"/>
      <w:bookmarkStart w:id="9" w:name="_Toc11258"/>
      <w:r>
        <w:rPr>
          <w:sz w:val="32"/>
          <w:szCs w:val="32"/>
        </w:rPr>
        <w:t>第一章  序言</w:t>
      </w:r>
      <w:bookmarkEnd w:id="4"/>
      <w:bookmarkEnd w:id="5"/>
    </w:p>
    <w:p w14:paraId="05BB5B2B">
      <w:pPr>
        <w:spacing w:line="578" w:lineRule="exact"/>
      </w:pPr>
    </w:p>
    <w:p w14:paraId="33C6BDC1">
      <w:pPr>
        <w:pStyle w:val="8"/>
        <w:spacing w:line="578" w:lineRule="exact"/>
        <w:ind w:firstLine="640" w:firstLineChars="200"/>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为进一步加强财政涉农资金管理，切实提高涉农资金使用效益，集中财力办大事、办实事，优化财政涉农资金供给机制，进一步加强和规范涉农项目管理，提高项目资金使用效益，推动全县巩固拓展脱贫攻坚成果同乡村振兴有效衔接各项工作高效开展。</w:t>
      </w:r>
    </w:p>
    <w:p w14:paraId="7B4967A3">
      <w:pPr>
        <w:pStyle w:val="4"/>
        <w:numPr>
          <w:ilvl w:val="0"/>
          <w:numId w:val="1"/>
        </w:numPr>
        <w:autoSpaceDE w:val="0"/>
        <w:autoSpaceDN w:val="0"/>
        <w:snapToGrid w:val="0"/>
        <w:spacing w:line="578" w:lineRule="exact"/>
        <w:ind w:firstLine="643"/>
        <w:jc w:val="both"/>
        <w:rPr>
          <w:rFonts w:eastAsia="仿宋_GB2312"/>
          <w:sz w:val="32"/>
          <w:szCs w:val="32"/>
        </w:rPr>
      </w:pPr>
      <w:bookmarkStart w:id="10" w:name="_Toc18297"/>
      <w:bookmarkStart w:id="11" w:name="_Toc2282"/>
      <w:bookmarkStart w:id="12" w:name="_Toc8614"/>
      <w:bookmarkStart w:id="13" w:name="_Toc19149"/>
      <w:r>
        <w:rPr>
          <w:rFonts w:eastAsia="楷体_GB2312"/>
          <w:b/>
          <w:bCs/>
          <w:sz w:val="32"/>
          <w:szCs w:val="32"/>
        </w:rPr>
        <w:t>方案编制依据。</w:t>
      </w:r>
      <w:bookmarkEnd w:id="10"/>
      <w:bookmarkEnd w:id="11"/>
      <w:bookmarkEnd w:id="12"/>
      <w:bookmarkEnd w:id="13"/>
      <w:r>
        <w:rPr>
          <w:rFonts w:eastAsia="仿宋_GB2312"/>
          <w:sz w:val="32"/>
          <w:szCs w:val="32"/>
        </w:rPr>
        <w:t>为深入贯彻中央、省、州关于巩固拓展脱贫攻坚成果同乡村振兴有效衔接的工作决策部署，</w:t>
      </w:r>
      <w:r>
        <w:rPr>
          <w:rFonts w:eastAsia="仿宋_GB2312"/>
          <w:bCs/>
          <w:sz w:val="32"/>
          <w:szCs w:val="32"/>
        </w:rPr>
        <w:t>根据</w:t>
      </w:r>
      <w:r>
        <w:rPr>
          <w:rFonts w:eastAsia="仿宋_GB2312"/>
          <w:sz w:val="32"/>
          <w:szCs w:val="32"/>
        </w:rPr>
        <w:t>《四川省财政厅 四川省发展和改革委员会等12部门关于继续支持脱贫县统筹整合使用调整财政涉农资金的通知》（川财农〔2021〕45号）、《财政部 国家发展改革委等10部门关于将脱贫县涉农资金</w:t>
      </w:r>
      <w:r>
        <w:rPr>
          <w:rFonts w:hint="eastAsia" w:eastAsia="仿宋_GB2312"/>
          <w:sz w:val="32"/>
          <w:szCs w:val="32"/>
          <w:lang w:val="en-US" w:eastAsia="zh-CN"/>
        </w:rPr>
        <w:t>统筹</w:t>
      </w:r>
      <w:r>
        <w:rPr>
          <w:rFonts w:eastAsia="仿宋_GB2312"/>
          <w:sz w:val="32"/>
          <w:szCs w:val="32"/>
        </w:rPr>
        <w:t>整合试点政策优化调整至国家乡村振兴重点帮扶县实施的通知》（财农〔2024〕1号）、《四川省财政厅 四川省发展和改革委员会等11部门关于优化调整脱贫县涉农资金统筹整合试点政策的通知》（川财农〔2024〕14号）等文件规定</w:t>
      </w:r>
      <w:r>
        <w:rPr>
          <w:rFonts w:eastAsia="仿宋_GB2312"/>
          <w:bCs/>
          <w:sz w:val="32"/>
          <w:szCs w:val="32"/>
        </w:rPr>
        <w:t>，结合我县实际，制定本方案</w:t>
      </w:r>
      <w:r>
        <w:rPr>
          <w:rFonts w:eastAsia="仿宋_GB2312"/>
          <w:color w:val="000000"/>
          <w:sz w:val="32"/>
          <w:szCs w:val="32"/>
        </w:rPr>
        <w:t>。</w:t>
      </w:r>
    </w:p>
    <w:p w14:paraId="6FCC8DBA">
      <w:pPr>
        <w:pStyle w:val="4"/>
        <w:numPr>
          <w:ilvl w:val="0"/>
          <w:numId w:val="1"/>
        </w:numPr>
        <w:autoSpaceDE w:val="0"/>
        <w:autoSpaceDN w:val="0"/>
        <w:snapToGrid w:val="0"/>
        <w:spacing w:line="578" w:lineRule="exact"/>
        <w:ind w:firstLine="643"/>
        <w:jc w:val="both"/>
        <w:rPr>
          <w:rFonts w:eastAsia="仿宋_GB2312"/>
          <w:sz w:val="32"/>
          <w:szCs w:val="32"/>
        </w:rPr>
      </w:pPr>
      <w:bookmarkStart w:id="14" w:name="_Toc21170"/>
      <w:bookmarkStart w:id="15" w:name="_Toc24298"/>
      <w:bookmarkStart w:id="16" w:name="_Toc8080"/>
      <w:bookmarkStart w:id="17" w:name="_Toc24808"/>
      <w:r>
        <w:rPr>
          <w:rFonts w:eastAsia="楷体_GB2312"/>
          <w:b/>
          <w:bCs/>
          <w:sz w:val="32"/>
          <w:szCs w:val="32"/>
        </w:rPr>
        <w:t>方案编制因由。</w:t>
      </w:r>
      <w:bookmarkEnd w:id="14"/>
      <w:bookmarkEnd w:id="15"/>
      <w:bookmarkEnd w:id="16"/>
      <w:bookmarkEnd w:id="17"/>
      <w:r>
        <w:rPr>
          <w:rFonts w:hint="eastAsia" w:eastAsia="仿宋_GB2312"/>
          <w:sz w:val="32"/>
          <w:szCs w:val="32"/>
          <w:lang w:eastAsia="zh-CN"/>
        </w:rPr>
        <w:t>2025年是“十四五”规划收官之年</w:t>
      </w:r>
      <w:r>
        <w:rPr>
          <w:rFonts w:eastAsia="仿宋_GB2312"/>
          <w:sz w:val="32"/>
          <w:szCs w:val="32"/>
        </w:rPr>
        <w:t>，也是巩固拓展脱贫攻坚成果同乡村振兴有效衔接5年过渡期最后一年，在抓好各项重点工作的同时，按照产业兴旺、生态宜居、乡风文明、治理有效、生活富裕的总要求，以及“目标、任务、资金、权责”四到县的原则，围绕实现乡村产业振兴、人才振兴、文化振兴、生态振兴、组织振兴，做好脱贫攻坚成果巩固与乡村振兴有效衔接优化财政涉农资金供给机制，改革财政涉农资金管理使用方式，充分利用统筹整合使用财政涉农资金的自主权，助力</w:t>
      </w:r>
      <w:r>
        <w:rPr>
          <w:rFonts w:hint="eastAsia" w:eastAsia="仿宋_GB2312"/>
          <w:sz w:val="32"/>
          <w:szCs w:val="32"/>
          <w:lang w:eastAsia="zh-CN"/>
        </w:rPr>
        <w:t>巩固拓展脱贫攻坚成果</w:t>
      </w:r>
      <w:r>
        <w:rPr>
          <w:rFonts w:eastAsia="仿宋_GB2312"/>
          <w:sz w:val="32"/>
          <w:szCs w:val="32"/>
        </w:rPr>
        <w:t>同乡村振兴有效衔接。</w:t>
      </w:r>
    </w:p>
    <w:p w14:paraId="0329F591">
      <w:pPr>
        <w:pStyle w:val="4"/>
        <w:autoSpaceDE w:val="0"/>
        <w:autoSpaceDN w:val="0"/>
        <w:snapToGrid w:val="0"/>
        <w:spacing w:line="578" w:lineRule="exact"/>
        <w:ind w:firstLine="482" w:firstLineChars="150"/>
        <w:jc w:val="both"/>
        <w:rPr>
          <w:rFonts w:eastAsia="仿宋_GB2312"/>
          <w:sz w:val="32"/>
          <w:szCs w:val="32"/>
        </w:rPr>
      </w:pPr>
      <w:bookmarkStart w:id="18" w:name="_Toc4469"/>
      <w:bookmarkStart w:id="19" w:name="_Toc398"/>
      <w:bookmarkStart w:id="20" w:name="_Toc15328"/>
      <w:bookmarkStart w:id="21" w:name="_Toc32016"/>
      <w:r>
        <w:rPr>
          <w:rFonts w:eastAsia="楷体_GB2312"/>
          <w:b/>
          <w:bCs/>
          <w:sz w:val="32"/>
          <w:szCs w:val="32"/>
        </w:rPr>
        <w:t>（三）方案编制原则。</w:t>
      </w:r>
      <w:bookmarkEnd w:id="18"/>
      <w:bookmarkEnd w:id="19"/>
      <w:bookmarkEnd w:id="20"/>
      <w:bookmarkEnd w:id="21"/>
    </w:p>
    <w:p w14:paraId="023413EC">
      <w:pPr>
        <w:spacing w:line="578" w:lineRule="exact"/>
        <w:ind w:firstLine="643" w:firstLineChars="200"/>
        <w:rPr>
          <w:rFonts w:eastAsia="仿宋_GB2312"/>
          <w:sz w:val="32"/>
          <w:szCs w:val="32"/>
        </w:rPr>
      </w:pPr>
      <w:bookmarkStart w:id="22" w:name="_Toc25265"/>
      <w:bookmarkStart w:id="23" w:name="_Toc12110"/>
      <w:bookmarkStart w:id="24" w:name="_Toc28365"/>
      <w:bookmarkStart w:id="25" w:name="_Toc14849"/>
      <w:r>
        <w:rPr>
          <w:rFonts w:eastAsia="仿宋_GB2312"/>
          <w:b/>
          <w:bCs/>
          <w:sz w:val="32"/>
          <w:szCs w:val="32"/>
        </w:rPr>
        <w:t>1.兼收并蓄，源头整合。</w:t>
      </w:r>
      <w:bookmarkEnd w:id="22"/>
      <w:bookmarkEnd w:id="23"/>
      <w:bookmarkEnd w:id="24"/>
      <w:bookmarkEnd w:id="25"/>
      <w:r>
        <w:rPr>
          <w:rFonts w:eastAsia="仿宋_GB2312"/>
          <w:sz w:val="32"/>
          <w:szCs w:val="32"/>
        </w:rPr>
        <w:t>为进一步优化财政涉农资金供给机制，按照中央、省、州相关文件要求，梳理各类资金，属于整合范围内的资金全部纳入县级整合盘子，构建“蓄水统配”“截长补短”“引流归口”模式，对符合整合范围内的涉农资金，合力做到应统尽统、应整尽整、应用尽用，引导各类要素向巩固脱贫成果与乡村振兴有效衔接集聚，促使整合见到成效。</w:t>
      </w:r>
    </w:p>
    <w:p w14:paraId="3DE2BEAC">
      <w:pPr>
        <w:overflowPunct w:val="0"/>
        <w:spacing w:line="578" w:lineRule="exact"/>
        <w:ind w:left="0" w:firstLine="643" w:firstLineChars="200"/>
        <w:rPr>
          <w:rFonts w:eastAsia="仿宋_GB2312"/>
          <w:sz w:val="32"/>
          <w:szCs w:val="32"/>
        </w:rPr>
      </w:pPr>
      <w:bookmarkStart w:id="26" w:name="_Toc29560"/>
      <w:bookmarkStart w:id="27" w:name="_Toc7756"/>
      <w:bookmarkStart w:id="28" w:name="_Toc16962"/>
      <w:bookmarkStart w:id="29" w:name="_Toc26908"/>
      <w:r>
        <w:rPr>
          <w:rFonts w:eastAsia="仿宋_GB2312"/>
          <w:b/>
          <w:bCs/>
          <w:sz w:val="32"/>
          <w:szCs w:val="32"/>
        </w:rPr>
        <w:t>2.统筹</w:t>
      </w:r>
      <w:bookmarkEnd w:id="26"/>
      <w:bookmarkEnd w:id="27"/>
      <w:bookmarkEnd w:id="28"/>
      <w:bookmarkEnd w:id="29"/>
      <w:bookmarkStart w:id="30" w:name="_Toc2382"/>
      <w:bookmarkStart w:id="31" w:name="_Toc7293"/>
      <w:bookmarkStart w:id="32" w:name="_Toc15371"/>
      <w:bookmarkStart w:id="33" w:name="_Toc23266"/>
      <w:r>
        <w:rPr>
          <w:rFonts w:eastAsia="仿宋_GB2312"/>
          <w:b/>
          <w:bCs/>
          <w:sz w:val="32"/>
          <w:szCs w:val="32"/>
        </w:rPr>
        <w:t>协调，权责匹配。</w:t>
      </w:r>
      <w:r>
        <w:rPr>
          <w:rFonts w:eastAsia="仿宋_GB2312"/>
          <w:sz w:val="32"/>
          <w:szCs w:val="32"/>
        </w:rPr>
        <w:t>做到上下统筹、条块统筹，坚持以统筹财政涉农资金为主体，带动统筹其他财政资金、金融资金和社会资本以及各种资源和各方面力量。做到以县级为主体统筹整合使用财政涉农资金，增强县级统筹功能。县级财政和各主管部门作为统筹整合使用财政涉农资金主体，对项目和资金进行监管；各乡（镇）作为统筹整合使用财政涉农资金的实施主体，并承担资金安全、规范、高效实用的责任。</w:t>
      </w:r>
    </w:p>
    <w:p w14:paraId="2898C665">
      <w:pPr>
        <w:kinsoku w:val="0"/>
        <w:spacing w:line="578" w:lineRule="exact"/>
        <w:ind w:firstLine="643" w:firstLineChars="200"/>
        <w:jc w:val="left"/>
        <w:textAlignment w:val="auto"/>
      </w:pPr>
      <w:r>
        <w:rPr>
          <w:rFonts w:eastAsia="仿宋_GB2312"/>
          <w:b/>
          <w:bCs/>
          <w:sz w:val="32"/>
          <w:szCs w:val="32"/>
        </w:rPr>
        <w:t>3.精准施策，</w:t>
      </w:r>
      <w:bookmarkEnd w:id="30"/>
      <w:bookmarkEnd w:id="31"/>
      <w:bookmarkEnd w:id="32"/>
      <w:bookmarkEnd w:id="33"/>
      <w:r>
        <w:rPr>
          <w:rFonts w:eastAsia="仿宋_GB2312"/>
          <w:b/>
          <w:bCs/>
          <w:sz w:val="32"/>
          <w:szCs w:val="32"/>
        </w:rPr>
        <w:t>注重实效。</w:t>
      </w:r>
      <w:r>
        <w:rPr>
          <w:rFonts w:eastAsia="仿宋_GB2312"/>
          <w:sz w:val="32"/>
          <w:szCs w:val="32"/>
        </w:rPr>
        <w:t>财政涉农资金统筹整合使用要与巩固脱贫成果和推进乡村振兴紧密挂钩，主要用于农业生产、畜牧发展、水利发展、林业草原改革发展、高标准农田建设、农村综合改革、林业草原生态保护恢复、农村环境整治、农村道路建设、农村危房改造、农业生态资源保护、乡村旅游、乡村水务建设等农业生产发展和农村基础设施建设项目。要贯彻落实更多依靠发展来巩固拓展脱贫攻坚成果的要求，将整合资金优先用于支持产业项目（含必要的产业配套基础设施），发展壮大优势特色产业，促进产业提质增效，带动脱贫人口就业增收。</w:t>
      </w:r>
    </w:p>
    <w:p w14:paraId="0B186E70">
      <w:pPr>
        <w:pStyle w:val="3"/>
        <w:keepNext w:val="0"/>
        <w:keepLines w:val="0"/>
        <w:autoSpaceDE w:val="0"/>
        <w:autoSpaceDN w:val="0"/>
        <w:snapToGrid w:val="0"/>
        <w:spacing w:line="578" w:lineRule="exact"/>
        <w:rPr>
          <w:sz w:val="32"/>
          <w:szCs w:val="32"/>
        </w:rPr>
      </w:pPr>
      <w:bookmarkStart w:id="34" w:name="_Toc5987"/>
      <w:bookmarkStart w:id="35" w:name="_Toc22479"/>
      <w:bookmarkStart w:id="36" w:name="_Toc29842"/>
      <w:bookmarkStart w:id="37" w:name="_Toc1835"/>
    </w:p>
    <w:p w14:paraId="6B0F1256">
      <w:pPr>
        <w:pStyle w:val="3"/>
        <w:keepNext w:val="0"/>
        <w:keepLines w:val="0"/>
        <w:autoSpaceDE w:val="0"/>
        <w:autoSpaceDN w:val="0"/>
        <w:snapToGrid w:val="0"/>
        <w:spacing w:line="578" w:lineRule="exact"/>
        <w:rPr>
          <w:sz w:val="32"/>
          <w:szCs w:val="32"/>
        </w:rPr>
      </w:pPr>
      <w:r>
        <w:rPr>
          <w:sz w:val="32"/>
          <w:szCs w:val="32"/>
        </w:rPr>
        <w:t>第二章  目标任务</w:t>
      </w:r>
      <w:bookmarkEnd w:id="34"/>
      <w:bookmarkEnd w:id="35"/>
      <w:bookmarkEnd w:id="36"/>
      <w:bookmarkEnd w:id="37"/>
    </w:p>
    <w:p w14:paraId="09A97259">
      <w:pPr>
        <w:spacing w:line="578" w:lineRule="exact"/>
      </w:pPr>
    </w:p>
    <w:p w14:paraId="4FCBB470">
      <w:pPr>
        <w:kinsoku w:val="0"/>
        <w:overflowPunct w:val="0"/>
        <w:adjustRightInd w:val="0"/>
        <w:snapToGrid w:val="0"/>
        <w:spacing w:line="578" w:lineRule="exact"/>
        <w:ind w:left="0" w:firstLine="640" w:firstLineChars="200"/>
        <w:jc w:val="left"/>
        <w:textAlignment w:val="auto"/>
        <w:rPr>
          <w:rFonts w:eastAsia="仿宋_GB2312"/>
          <w:sz w:val="32"/>
          <w:szCs w:val="32"/>
        </w:rPr>
      </w:pPr>
      <w:bookmarkStart w:id="38" w:name="_Toc2935"/>
      <w:bookmarkStart w:id="39" w:name="_Toc30814"/>
      <w:bookmarkStart w:id="40" w:name="_Toc25585"/>
      <w:bookmarkStart w:id="41" w:name="_Toc16808"/>
      <w:r>
        <w:rPr>
          <w:rFonts w:eastAsia="仿宋_GB2312"/>
          <w:sz w:val="32"/>
          <w:szCs w:val="32"/>
        </w:rPr>
        <w:t>通过开展统筹整合使用财政涉农资金，激发内生动力，围绕突出问题，以重点项目为整合平台，撬动金融资本和社会帮扶资金投入，提高财政涉农资金使用精准度，确保涉农资金的投入取得更好效益。</w:t>
      </w:r>
    </w:p>
    <w:bookmarkEnd w:id="38"/>
    <w:bookmarkEnd w:id="39"/>
    <w:bookmarkEnd w:id="40"/>
    <w:bookmarkEnd w:id="41"/>
    <w:p w14:paraId="59536F0F">
      <w:pPr>
        <w:autoSpaceDE w:val="0"/>
        <w:autoSpaceDN w:val="0"/>
        <w:snapToGrid w:val="0"/>
        <w:spacing w:line="578" w:lineRule="exact"/>
        <w:ind w:firstLine="643" w:firstLineChars="200"/>
        <w:outlineLvl w:val="1"/>
        <w:rPr>
          <w:rFonts w:eastAsia="仿宋_GB2312"/>
          <w:sz w:val="32"/>
          <w:szCs w:val="32"/>
        </w:rPr>
      </w:pPr>
      <w:r>
        <w:rPr>
          <w:rFonts w:eastAsia="楷体_GB2312"/>
          <w:b/>
          <w:bCs/>
          <w:sz w:val="32"/>
          <w:szCs w:val="32"/>
        </w:rPr>
        <w:t>（一）全面</w:t>
      </w:r>
      <w:r>
        <w:rPr>
          <w:rFonts w:hint="eastAsia" w:eastAsia="楷体_GB2312"/>
          <w:b/>
          <w:bCs/>
          <w:sz w:val="32"/>
          <w:szCs w:val="32"/>
          <w:lang w:eastAsia="zh-CN"/>
        </w:rPr>
        <w:t>巩固拓展脱贫攻坚成果</w:t>
      </w:r>
      <w:r>
        <w:rPr>
          <w:rFonts w:eastAsia="楷体_GB2312"/>
          <w:b/>
          <w:bCs/>
          <w:sz w:val="32"/>
          <w:szCs w:val="32"/>
        </w:rPr>
        <w:t>，支持衔接推进乡村振兴。</w:t>
      </w:r>
      <w:r>
        <w:rPr>
          <w:rFonts w:eastAsia="仿宋_GB2312"/>
          <w:sz w:val="32"/>
          <w:szCs w:val="32"/>
        </w:rPr>
        <w:t>坚持“精准”方略，健全防止返贫致贫监测和帮扶机制，因地因人制宜，根据不同对象的不同自然禀赋，发展产业、基础设施等方面，从而提升</w:t>
      </w:r>
      <w:r>
        <w:rPr>
          <w:rFonts w:hint="eastAsia" w:eastAsia="仿宋_GB2312"/>
          <w:sz w:val="32"/>
          <w:szCs w:val="32"/>
          <w:lang w:eastAsia="zh-CN"/>
        </w:rPr>
        <w:t>巩固拓展脱贫攻坚成果</w:t>
      </w:r>
      <w:r>
        <w:rPr>
          <w:rFonts w:eastAsia="仿宋_GB2312"/>
          <w:sz w:val="32"/>
          <w:szCs w:val="32"/>
        </w:rPr>
        <w:t>的针对性和有效性。通过整合项目建设，实现乡村产业兴旺、生态宜居、乡风文明、治理有效、生活富裕。</w:t>
      </w:r>
    </w:p>
    <w:p w14:paraId="62E67ACC">
      <w:pPr>
        <w:autoSpaceDE w:val="0"/>
        <w:autoSpaceDN w:val="0"/>
        <w:snapToGrid w:val="0"/>
        <w:spacing w:line="578" w:lineRule="exact"/>
        <w:ind w:firstLine="643" w:firstLineChars="200"/>
        <w:outlineLvl w:val="1"/>
        <w:rPr>
          <w:rFonts w:eastAsia="仿宋_GB2312"/>
          <w:sz w:val="32"/>
          <w:szCs w:val="32"/>
        </w:rPr>
      </w:pPr>
      <w:bookmarkStart w:id="42" w:name="_Toc7835"/>
      <w:bookmarkStart w:id="43" w:name="_Toc18795"/>
      <w:bookmarkStart w:id="44" w:name="_Toc28792"/>
      <w:bookmarkStart w:id="45" w:name="_Toc11763"/>
      <w:r>
        <w:rPr>
          <w:rFonts w:eastAsia="楷体_GB2312"/>
          <w:b/>
          <w:bCs/>
          <w:sz w:val="32"/>
          <w:szCs w:val="32"/>
        </w:rPr>
        <w:t>（二）加强统筹整合管理，充分发挥整合资金效益。</w:t>
      </w:r>
      <w:bookmarkEnd w:id="42"/>
      <w:bookmarkEnd w:id="43"/>
      <w:bookmarkEnd w:id="44"/>
      <w:bookmarkEnd w:id="45"/>
      <w:r>
        <w:rPr>
          <w:rFonts w:eastAsia="仿宋_GB2312"/>
          <w:sz w:val="32"/>
          <w:szCs w:val="32"/>
        </w:rPr>
        <w:t>围绕服务“三农”工作方针政策及相关行业规划等，科学精细编制年度整合资金实施方案，强化统筹整合使用财政涉农资金管理，通过项目资金整合，支持巩固提升脱贫成果，围绕乡村振兴发展，全面提升资金使用精准度和效益，确保顺利实现巩固提升脱贫成果和衔接推进乡村振兴产业发展的目标任务。</w:t>
      </w:r>
    </w:p>
    <w:p w14:paraId="423E0007">
      <w:pPr>
        <w:autoSpaceDE w:val="0"/>
        <w:autoSpaceDN w:val="0"/>
        <w:snapToGrid w:val="0"/>
        <w:spacing w:line="578" w:lineRule="exact"/>
        <w:jc w:val="center"/>
        <w:outlineLvl w:val="0"/>
        <w:rPr>
          <w:rFonts w:eastAsia="黑体"/>
          <w:kern w:val="44"/>
          <w:sz w:val="32"/>
          <w:szCs w:val="32"/>
        </w:rPr>
      </w:pPr>
      <w:bookmarkStart w:id="46" w:name="_Toc201"/>
      <w:bookmarkStart w:id="47" w:name="_Toc29153"/>
      <w:bookmarkStart w:id="48" w:name="_Toc11710"/>
      <w:bookmarkStart w:id="49" w:name="_Toc32163"/>
    </w:p>
    <w:p w14:paraId="6FBA5D0F">
      <w:pPr>
        <w:autoSpaceDE w:val="0"/>
        <w:autoSpaceDN w:val="0"/>
        <w:snapToGrid w:val="0"/>
        <w:spacing w:line="578" w:lineRule="exact"/>
        <w:jc w:val="center"/>
        <w:outlineLvl w:val="0"/>
        <w:rPr>
          <w:rFonts w:eastAsia="黑体"/>
          <w:kern w:val="44"/>
          <w:sz w:val="32"/>
          <w:szCs w:val="32"/>
        </w:rPr>
      </w:pPr>
      <w:r>
        <w:rPr>
          <w:rFonts w:eastAsia="黑体"/>
          <w:kern w:val="44"/>
          <w:sz w:val="32"/>
          <w:szCs w:val="32"/>
        </w:rPr>
        <w:t>第三章  工作措施</w:t>
      </w:r>
      <w:bookmarkEnd w:id="46"/>
      <w:bookmarkEnd w:id="47"/>
      <w:bookmarkEnd w:id="48"/>
      <w:bookmarkEnd w:id="49"/>
    </w:p>
    <w:p w14:paraId="3FDF372E">
      <w:pPr>
        <w:adjustRightInd w:val="0"/>
        <w:snapToGrid w:val="0"/>
        <w:spacing w:line="578" w:lineRule="exact"/>
        <w:ind w:left="0"/>
        <w:textAlignment w:val="auto"/>
        <w:rPr>
          <w:rFonts w:eastAsia="仿宋_GB2312"/>
          <w:sz w:val="32"/>
          <w:szCs w:val="22"/>
        </w:rPr>
      </w:pPr>
    </w:p>
    <w:p w14:paraId="22A85C9E">
      <w:pPr>
        <w:autoSpaceDE w:val="0"/>
        <w:autoSpaceDN w:val="0"/>
        <w:snapToGrid w:val="0"/>
        <w:spacing w:line="578" w:lineRule="exact"/>
        <w:ind w:firstLine="643" w:firstLineChars="200"/>
        <w:outlineLvl w:val="1"/>
        <w:rPr>
          <w:rFonts w:eastAsia="仿宋_GB2312"/>
          <w:sz w:val="32"/>
          <w:szCs w:val="32"/>
        </w:rPr>
      </w:pPr>
      <w:bookmarkStart w:id="50" w:name="_Toc16266"/>
      <w:bookmarkStart w:id="51" w:name="_Toc29688"/>
      <w:bookmarkStart w:id="52" w:name="_Toc1163"/>
      <w:bookmarkStart w:id="53" w:name="_Toc16924"/>
      <w:r>
        <w:rPr>
          <w:rFonts w:eastAsia="楷体_GB2312"/>
          <w:b/>
          <w:bCs/>
          <w:sz w:val="32"/>
          <w:szCs w:val="32"/>
        </w:rPr>
        <w:t>（一）统一思想，强化工作责任落实。</w:t>
      </w:r>
      <w:bookmarkEnd w:id="50"/>
      <w:bookmarkEnd w:id="51"/>
      <w:bookmarkEnd w:id="52"/>
      <w:bookmarkEnd w:id="53"/>
      <w:r>
        <w:rPr>
          <w:rFonts w:eastAsia="仿宋_GB2312"/>
          <w:sz w:val="32"/>
          <w:szCs w:val="32"/>
        </w:rPr>
        <w:t>本着“政府引导、集中使用、突出重点、分步实施、提高效益”的原则，各相关部门要高度重视，强化大局意识，全面落实一把手主体责任，全力支持财政涉农资金统筹整合的各项工作，确保拓展</w:t>
      </w:r>
      <w:r>
        <w:rPr>
          <w:rFonts w:hint="eastAsia" w:eastAsia="仿宋_GB2312"/>
          <w:sz w:val="32"/>
          <w:szCs w:val="32"/>
          <w:lang w:eastAsia="zh-CN"/>
        </w:rPr>
        <w:t>脱贫攻坚成果同乡村振兴有效衔接</w:t>
      </w:r>
      <w:r>
        <w:rPr>
          <w:rFonts w:eastAsia="仿宋_GB2312"/>
          <w:sz w:val="32"/>
          <w:szCs w:val="32"/>
        </w:rPr>
        <w:t>工作顺利推进。</w:t>
      </w:r>
    </w:p>
    <w:p w14:paraId="2334556A">
      <w:pPr>
        <w:autoSpaceDE w:val="0"/>
        <w:autoSpaceDN w:val="0"/>
        <w:snapToGrid w:val="0"/>
        <w:spacing w:line="578" w:lineRule="exact"/>
        <w:ind w:firstLine="643" w:firstLineChars="200"/>
        <w:outlineLvl w:val="1"/>
        <w:rPr>
          <w:rFonts w:eastAsia="仿宋_GB2312"/>
          <w:sz w:val="32"/>
          <w:szCs w:val="32"/>
        </w:rPr>
      </w:pPr>
      <w:bookmarkStart w:id="54" w:name="_Toc27987"/>
      <w:bookmarkStart w:id="55" w:name="_Toc9377"/>
      <w:bookmarkStart w:id="56" w:name="_Toc8921"/>
      <w:bookmarkStart w:id="57" w:name="_Toc32716"/>
      <w:r>
        <w:rPr>
          <w:rFonts w:eastAsia="楷体_GB2312"/>
          <w:b/>
          <w:bCs/>
          <w:sz w:val="32"/>
          <w:szCs w:val="32"/>
        </w:rPr>
        <w:t>（二）严格程序，确保资金发挥效益。</w:t>
      </w:r>
      <w:bookmarkEnd w:id="54"/>
      <w:bookmarkEnd w:id="55"/>
      <w:bookmarkEnd w:id="56"/>
      <w:bookmarkEnd w:id="57"/>
      <w:r>
        <w:rPr>
          <w:rFonts w:eastAsia="仿宋_GB2312"/>
          <w:sz w:val="32"/>
          <w:szCs w:val="32"/>
        </w:rPr>
        <w:t>各部门在项目管理中，规范项目建设程序，严格执行《招投标法》《</w:t>
      </w:r>
      <w:r>
        <w:rPr>
          <w:rFonts w:hint="eastAsia" w:eastAsia="仿宋_GB2312"/>
          <w:sz w:val="32"/>
          <w:szCs w:val="32"/>
          <w:lang w:eastAsia="zh-CN"/>
        </w:rPr>
        <w:t>中华人民共和国政府采购法</w:t>
      </w:r>
      <w:r>
        <w:rPr>
          <w:rFonts w:eastAsia="仿宋_GB2312"/>
          <w:sz w:val="32"/>
          <w:szCs w:val="32"/>
        </w:rPr>
        <w:t>》《基本建设财务规则》等制度。切实加强项目资金管理，及时拨付项目资金，确保资金支付进度，提高资金使用效益。</w:t>
      </w:r>
    </w:p>
    <w:p w14:paraId="511C2221">
      <w:pPr>
        <w:pStyle w:val="3"/>
        <w:keepNext w:val="0"/>
        <w:keepLines w:val="0"/>
        <w:overflowPunct w:val="0"/>
        <w:autoSpaceDE w:val="0"/>
        <w:autoSpaceDN w:val="0"/>
        <w:adjustRightInd w:val="0"/>
        <w:snapToGrid w:val="0"/>
        <w:spacing w:line="578" w:lineRule="exact"/>
        <w:ind w:left="0"/>
        <w:rPr>
          <w:rFonts w:eastAsia="仿宋_GB2312"/>
          <w:sz w:val="32"/>
          <w:szCs w:val="32"/>
        </w:rPr>
      </w:pPr>
      <w:bookmarkStart w:id="58" w:name="_Toc8676"/>
      <w:bookmarkStart w:id="59" w:name="_Toc24186"/>
      <w:bookmarkStart w:id="60" w:name="_Toc6174"/>
      <w:bookmarkStart w:id="61" w:name="_Toc23028"/>
      <w:r>
        <w:rPr>
          <w:rFonts w:eastAsia="楷体_GB2312"/>
          <w:b/>
          <w:bCs/>
          <w:sz w:val="32"/>
          <w:szCs w:val="32"/>
        </w:rPr>
        <w:t>（三）上下联动，加强沟通协调工作。</w:t>
      </w:r>
      <w:bookmarkEnd w:id="58"/>
      <w:bookmarkEnd w:id="59"/>
      <w:bookmarkEnd w:id="60"/>
      <w:bookmarkEnd w:id="61"/>
      <w:r>
        <w:rPr>
          <w:rFonts w:eastAsia="仿宋_GB2312"/>
          <w:sz w:val="32"/>
          <w:szCs w:val="32"/>
        </w:rPr>
        <w:t>围绕服务“三农”工作，统筹整合使用财政衔接资金用于服务项目、服务基层，全面提高整合工作的针对性和实效性。建立相关部门共同参与的工作协调机制。定期或不定期召开会议，解决工作中遇到的实际问题，总结推广好的经验做法，稳步推进财政涉农资金统筹整合使用工作。</w:t>
      </w:r>
    </w:p>
    <w:p w14:paraId="5EF96955">
      <w:pPr>
        <w:spacing w:line="578" w:lineRule="exact"/>
        <w:rPr>
          <w:rFonts w:eastAsia="仿宋_GB2312"/>
          <w:sz w:val="32"/>
          <w:szCs w:val="32"/>
        </w:rPr>
      </w:pPr>
    </w:p>
    <w:p w14:paraId="1E3D706B">
      <w:pPr>
        <w:pStyle w:val="2"/>
        <w:spacing w:line="578" w:lineRule="exact"/>
      </w:pPr>
    </w:p>
    <w:p w14:paraId="12BADB7E">
      <w:pPr>
        <w:pStyle w:val="3"/>
        <w:keepNext w:val="0"/>
        <w:keepLines w:val="0"/>
        <w:overflowPunct w:val="0"/>
        <w:autoSpaceDE w:val="0"/>
        <w:autoSpaceDN w:val="0"/>
        <w:adjustRightInd w:val="0"/>
        <w:snapToGrid w:val="0"/>
        <w:spacing w:line="578" w:lineRule="exact"/>
        <w:ind w:left="0"/>
        <w:rPr>
          <w:sz w:val="32"/>
          <w:szCs w:val="32"/>
        </w:rPr>
      </w:pPr>
      <w:r>
        <w:rPr>
          <w:sz w:val="32"/>
          <w:szCs w:val="32"/>
        </w:rPr>
        <w:t>第四章  项目建设</w:t>
      </w:r>
      <w:bookmarkEnd w:id="6"/>
      <w:bookmarkEnd w:id="7"/>
      <w:bookmarkEnd w:id="8"/>
      <w:bookmarkEnd w:id="9"/>
    </w:p>
    <w:p w14:paraId="0A3DC827">
      <w:pPr>
        <w:overflowPunct w:val="0"/>
        <w:adjustRightInd w:val="0"/>
        <w:snapToGrid w:val="0"/>
        <w:spacing w:line="578" w:lineRule="exact"/>
        <w:ind w:left="0"/>
      </w:pPr>
    </w:p>
    <w:p w14:paraId="00E4D1D5">
      <w:pPr>
        <w:overflowPunct w:val="0"/>
        <w:adjustRightInd w:val="0"/>
        <w:snapToGrid w:val="0"/>
        <w:spacing w:line="578" w:lineRule="exact"/>
        <w:ind w:left="0" w:firstLine="616" w:firstLineChars="200"/>
        <w:rPr>
          <w:rFonts w:eastAsia="仿宋_GB2312"/>
          <w:spacing w:val="-6"/>
          <w:sz w:val="32"/>
          <w:szCs w:val="32"/>
        </w:rPr>
      </w:pPr>
      <w:r>
        <w:rPr>
          <w:rFonts w:eastAsia="仿宋_GB2312"/>
          <w:spacing w:val="-6"/>
          <w:sz w:val="32"/>
          <w:szCs w:val="32"/>
        </w:rPr>
        <w:t>按照统筹整合资金使用相关政策，结合我县年度目标任务，</w:t>
      </w:r>
      <w:r>
        <w:rPr>
          <w:rFonts w:eastAsia="仿宋_GB2312"/>
          <w:sz w:val="32"/>
          <w:szCs w:val="32"/>
        </w:rPr>
        <w:t>2025年年初统筹整合资金5970万元，涉及项目21个，本次调整后</w:t>
      </w:r>
      <w:r>
        <w:rPr>
          <w:rFonts w:eastAsia="仿宋_GB2312"/>
          <w:bCs/>
          <w:sz w:val="32"/>
          <w:szCs w:val="32"/>
        </w:rPr>
        <w:t>统筹整合资金</w:t>
      </w:r>
      <w:r>
        <w:rPr>
          <w:rFonts w:hint="eastAsia" w:eastAsia="仿宋_GB2312"/>
          <w:bCs/>
          <w:sz w:val="32"/>
          <w:szCs w:val="32"/>
        </w:rPr>
        <w:t>7618.5</w:t>
      </w:r>
      <w:r>
        <w:rPr>
          <w:rFonts w:eastAsia="仿宋_GB2312"/>
          <w:bCs/>
          <w:sz w:val="32"/>
          <w:szCs w:val="32"/>
        </w:rPr>
        <w:t>万元，涉及项目53个，</w:t>
      </w:r>
      <w:r>
        <w:rPr>
          <w:rFonts w:eastAsia="仿宋_GB2312"/>
          <w:spacing w:val="-6"/>
          <w:sz w:val="32"/>
          <w:szCs w:val="32"/>
        </w:rPr>
        <w:t>具体情况如下：</w:t>
      </w:r>
    </w:p>
    <w:p w14:paraId="51CF05B9">
      <w:pPr>
        <w:pStyle w:val="4"/>
        <w:overflowPunct w:val="0"/>
        <w:autoSpaceDE w:val="0"/>
        <w:autoSpaceDN w:val="0"/>
        <w:adjustRightInd w:val="0"/>
        <w:snapToGrid w:val="0"/>
        <w:spacing w:line="578" w:lineRule="exact"/>
        <w:ind w:left="0" w:firstLine="643" w:firstLineChars="200"/>
        <w:jc w:val="both"/>
        <w:rPr>
          <w:rFonts w:eastAsia="楷体_GB2312"/>
          <w:b/>
          <w:bCs/>
          <w:sz w:val="32"/>
          <w:szCs w:val="32"/>
        </w:rPr>
      </w:pPr>
      <w:r>
        <w:rPr>
          <w:rFonts w:eastAsia="楷体_GB2312"/>
          <w:b/>
          <w:bCs/>
          <w:sz w:val="32"/>
          <w:szCs w:val="32"/>
        </w:rPr>
        <w:t>（一）基础设施项目。</w:t>
      </w:r>
    </w:p>
    <w:p w14:paraId="1FDEB37F">
      <w:pPr>
        <w:overflowPunct w:val="0"/>
        <w:adjustRightInd w:val="0"/>
        <w:snapToGrid w:val="0"/>
        <w:spacing w:line="578" w:lineRule="exact"/>
        <w:ind w:left="0" w:firstLine="640" w:firstLineChars="200"/>
        <w:rPr>
          <w:rFonts w:eastAsia="仿宋_GB2312"/>
          <w:sz w:val="32"/>
          <w:szCs w:val="32"/>
        </w:rPr>
      </w:pPr>
      <w:r>
        <w:rPr>
          <w:rFonts w:eastAsia="仿宋_GB2312"/>
          <w:sz w:val="32"/>
          <w:szCs w:val="32"/>
        </w:rPr>
        <w:t>基础设施类共有项目</w:t>
      </w:r>
      <w:r>
        <w:rPr>
          <w:sz w:val="32"/>
          <w:szCs w:val="32"/>
        </w:rPr>
        <w:t>5</w:t>
      </w:r>
      <w:r>
        <w:rPr>
          <w:rFonts w:eastAsia="仿宋_GB2312"/>
          <w:sz w:val="32"/>
          <w:szCs w:val="32"/>
        </w:rPr>
        <w:t>个，其中：交通类项目</w:t>
      </w:r>
      <w:r>
        <w:rPr>
          <w:sz w:val="32"/>
          <w:szCs w:val="32"/>
        </w:rPr>
        <w:t>1</w:t>
      </w:r>
      <w:r>
        <w:rPr>
          <w:rFonts w:eastAsia="仿宋_GB2312"/>
          <w:sz w:val="32"/>
          <w:szCs w:val="32"/>
        </w:rPr>
        <w:t>个、水利类项目</w:t>
      </w:r>
      <w:r>
        <w:rPr>
          <w:sz w:val="32"/>
          <w:szCs w:val="32"/>
        </w:rPr>
        <w:t>4</w:t>
      </w:r>
      <w:r>
        <w:rPr>
          <w:rFonts w:eastAsia="仿宋_GB2312"/>
          <w:sz w:val="32"/>
          <w:szCs w:val="32"/>
        </w:rPr>
        <w:t>个。</w:t>
      </w:r>
      <w:r>
        <w:rPr>
          <w:rFonts w:eastAsia="仿宋_GB2312"/>
          <w:spacing w:val="-6"/>
          <w:sz w:val="32"/>
          <w:szCs w:val="32"/>
        </w:rPr>
        <w:t>本次调整后：</w:t>
      </w:r>
      <w:r>
        <w:rPr>
          <w:rFonts w:eastAsia="仿宋_GB2312"/>
          <w:sz w:val="32"/>
          <w:szCs w:val="32"/>
        </w:rPr>
        <w:t>基础设施类共有项目16个，其中：交通类项目7个、水利类项目9个。</w:t>
      </w:r>
    </w:p>
    <w:p w14:paraId="4BD4554C">
      <w:pPr>
        <w:numPr>
          <w:ilvl w:val="0"/>
          <w:numId w:val="2"/>
        </w:numPr>
        <w:overflowPunct w:val="0"/>
        <w:autoSpaceDE w:val="0"/>
        <w:autoSpaceDN w:val="0"/>
        <w:adjustRightInd w:val="0"/>
        <w:snapToGrid w:val="0"/>
        <w:spacing w:line="578" w:lineRule="exact"/>
        <w:ind w:left="0" w:firstLine="643" w:firstLineChars="200"/>
        <w:outlineLvl w:val="0"/>
        <w:rPr>
          <w:rFonts w:eastAsia="仿宋_GB2312"/>
          <w:b/>
          <w:bCs/>
          <w:sz w:val="32"/>
          <w:szCs w:val="32"/>
        </w:rPr>
      </w:pPr>
      <w:bookmarkStart w:id="62" w:name="_Toc8001"/>
      <w:bookmarkStart w:id="63" w:name="_Toc12203"/>
      <w:bookmarkStart w:id="64" w:name="_Toc13980"/>
      <w:bookmarkStart w:id="65" w:name="_Toc30551"/>
      <w:r>
        <w:rPr>
          <w:rFonts w:eastAsia="仿宋_GB2312"/>
          <w:b/>
          <w:bCs/>
          <w:sz w:val="32"/>
          <w:szCs w:val="32"/>
        </w:rPr>
        <w:t>交通类项目</w:t>
      </w:r>
      <w:bookmarkEnd w:id="62"/>
      <w:bookmarkEnd w:id="63"/>
      <w:bookmarkEnd w:id="64"/>
      <w:bookmarkEnd w:id="65"/>
      <w:r>
        <w:rPr>
          <w:rFonts w:eastAsia="仿宋_GB2312"/>
          <w:b/>
          <w:bCs/>
          <w:sz w:val="32"/>
          <w:szCs w:val="32"/>
        </w:rPr>
        <w:t>。</w:t>
      </w:r>
    </w:p>
    <w:p w14:paraId="31F53765">
      <w:pPr>
        <w:pStyle w:val="2"/>
        <w:spacing w:line="578" w:lineRule="exact"/>
        <w:ind w:left="0" w:firstLine="640" w:firstLineChars="200"/>
      </w:pPr>
      <w:r>
        <w:rPr>
          <w:rFonts w:eastAsia="仿宋_GB2312"/>
          <w:bCs/>
          <w:color w:val="000000"/>
          <w:sz w:val="32"/>
          <w:szCs w:val="32"/>
        </w:rPr>
        <w:t>年初交通类项目共有1个。本次调整后共有</w:t>
      </w:r>
      <w:r>
        <w:rPr>
          <w:bCs/>
          <w:color w:val="000000"/>
          <w:sz w:val="32"/>
          <w:szCs w:val="32"/>
        </w:rPr>
        <w:t>7</w:t>
      </w:r>
      <w:r>
        <w:rPr>
          <w:rFonts w:eastAsia="仿宋_GB2312"/>
          <w:bCs/>
          <w:color w:val="000000"/>
          <w:sz w:val="32"/>
          <w:szCs w:val="32"/>
        </w:rPr>
        <w:t>个。</w:t>
      </w:r>
    </w:p>
    <w:p w14:paraId="3FB23E29">
      <w:pPr>
        <w:overflowPunct w:val="0"/>
        <w:autoSpaceDE w:val="0"/>
        <w:autoSpaceDN w:val="0"/>
        <w:adjustRightInd w:val="0"/>
        <w:snapToGrid w:val="0"/>
        <w:spacing w:line="578" w:lineRule="exact"/>
        <w:ind w:left="0" w:firstLine="643" w:firstLineChars="200"/>
        <w:rPr>
          <w:rFonts w:eastAsia="仿宋_GB2312"/>
          <w:sz w:val="32"/>
          <w:szCs w:val="32"/>
        </w:rPr>
      </w:pPr>
      <w:r>
        <w:rPr>
          <w:rFonts w:eastAsia="仿宋_GB2312"/>
          <w:b/>
          <w:bCs/>
          <w:sz w:val="32"/>
          <w:szCs w:val="32"/>
        </w:rPr>
        <w:t>（1）实施地点。</w:t>
      </w:r>
      <w:r>
        <w:rPr>
          <w:rFonts w:eastAsia="仿宋_GB2312"/>
          <w:sz w:val="32"/>
          <w:szCs w:val="32"/>
        </w:rPr>
        <w:t>燕云乡</w:t>
      </w:r>
      <w:r>
        <w:rPr>
          <w:rFonts w:eastAsia="仿宋_GB2312"/>
          <w:b/>
          <w:bCs/>
          <w:sz w:val="32"/>
          <w:szCs w:val="32"/>
        </w:rPr>
        <w:t>、</w:t>
      </w:r>
      <w:r>
        <w:rPr>
          <w:rFonts w:eastAsia="仿宋_GB2312"/>
          <w:sz w:val="32"/>
          <w:szCs w:val="32"/>
        </w:rPr>
        <w:t>十里回族乡、小河镇、白羊乡、镇坪乡等。</w:t>
      </w:r>
    </w:p>
    <w:p w14:paraId="03D6C71B">
      <w:pPr>
        <w:overflowPunct w:val="0"/>
        <w:autoSpaceDE w:val="0"/>
        <w:autoSpaceDN w:val="0"/>
        <w:adjustRightInd w:val="0"/>
        <w:snapToGrid w:val="0"/>
        <w:spacing w:line="578" w:lineRule="exact"/>
        <w:ind w:left="0" w:firstLine="643" w:firstLineChars="200"/>
        <w:rPr>
          <w:rFonts w:eastAsia="仿宋_GB2312"/>
          <w:sz w:val="32"/>
          <w:szCs w:val="32"/>
        </w:rPr>
      </w:pPr>
      <w:r>
        <w:rPr>
          <w:rFonts w:eastAsia="仿宋_GB2312"/>
          <w:b/>
          <w:bCs/>
          <w:sz w:val="32"/>
          <w:szCs w:val="32"/>
        </w:rPr>
        <w:t>（2）建设内容和规模。</w:t>
      </w:r>
      <w:bookmarkStart w:id="66" w:name="_Toc21475"/>
      <w:bookmarkStart w:id="67" w:name="_Toc5838"/>
      <w:bookmarkStart w:id="68" w:name="_Toc25396"/>
      <w:bookmarkStart w:id="69" w:name="_Toc5075"/>
      <w:r>
        <w:rPr>
          <w:rFonts w:eastAsia="仿宋_GB2312"/>
          <w:sz w:val="32"/>
          <w:szCs w:val="32"/>
        </w:rPr>
        <w:t>燕云乡：黑化道路长1.27千米、均宽6米，排水沟900米等；十里回族乡：1.沥青路面铺设1000米，均宽3.5米，厚0.2米。2.排水沟建设长925米（高0.2米，宽0.2米）；小河镇：修建桥梁一座长约24米宽约6米及附属配套设施；白羊乡：1.道路提升改造1.5KM、均宽3.5M、厚0.2M ；2.道路路基修复4000余立方米；3.修建长15米、高2.5米、均宽1米的挡墙一处；修建长136米、高3.5米均宽1米的挡墙一处；镇坪乡：综合环境整治（麦吉村维修人行便道80米，宽1.5米</w:t>
      </w:r>
      <w:r>
        <w:rPr>
          <w:rFonts w:hint="eastAsia" w:eastAsia="仿宋_GB2312"/>
          <w:sz w:val="32"/>
          <w:szCs w:val="32"/>
          <w:lang w:eastAsia="zh-CN"/>
        </w:rPr>
        <w:t>，</w:t>
      </w:r>
      <w:r>
        <w:rPr>
          <w:rFonts w:eastAsia="仿宋_GB2312"/>
          <w:sz w:val="32"/>
          <w:szCs w:val="32"/>
        </w:rPr>
        <w:t>安全护栏安装30米</w:t>
      </w:r>
      <w:r>
        <w:rPr>
          <w:rFonts w:hint="eastAsia" w:eastAsia="仿宋_GB2312"/>
          <w:sz w:val="32"/>
          <w:szCs w:val="32"/>
          <w:lang w:eastAsia="zh-CN"/>
        </w:rPr>
        <w:t>；</w:t>
      </w:r>
      <w:r>
        <w:rPr>
          <w:rFonts w:eastAsia="仿宋_GB2312"/>
          <w:sz w:val="32"/>
          <w:szCs w:val="32"/>
        </w:rPr>
        <w:t>新民村产业道路沿线田间堡坎整治100余米，错车道3处</w:t>
      </w:r>
      <w:r>
        <w:rPr>
          <w:rFonts w:hint="eastAsia" w:eastAsia="仿宋_GB2312"/>
          <w:sz w:val="32"/>
          <w:szCs w:val="32"/>
          <w:lang w:eastAsia="zh-CN"/>
        </w:rPr>
        <w:t>）</w:t>
      </w:r>
      <w:r>
        <w:rPr>
          <w:rFonts w:eastAsia="仿宋_GB2312"/>
          <w:sz w:val="32"/>
          <w:szCs w:val="32"/>
        </w:rPr>
        <w:t>、环境卫生整治约900平方米等。</w:t>
      </w:r>
    </w:p>
    <w:p w14:paraId="1F46B8E2">
      <w:pPr>
        <w:overflowPunct w:val="0"/>
        <w:autoSpaceDE w:val="0"/>
        <w:autoSpaceDN w:val="0"/>
        <w:adjustRightInd w:val="0"/>
        <w:snapToGrid w:val="0"/>
        <w:spacing w:line="578" w:lineRule="exact"/>
        <w:ind w:left="0" w:firstLine="643" w:firstLineChars="200"/>
        <w:rPr>
          <w:rFonts w:eastAsia="仿宋_GB2312"/>
          <w:sz w:val="32"/>
          <w:szCs w:val="32"/>
        </w:rPr>
      </w:pPr>
      <w:r>
        <w:rPr>
          <w:rFonts w:eastAsia="仿宋_GB2312"/>
          <w:b/>
          <w:bCs/>
          <w:sz w:val="32"/>
          <w:szCs w:val="32"/>
        </w:rPr>
        <w:t>（3）项目建设进度计划。</w:t>
      </w:r>
      <w:r>
        <w:rPr>
          <w:rFonts w:eastAsia="仿宋_GB2312"/>
          <w:sz w:val="32"/>
          <w:szCs w:val="32"/>
        </w:rPr>
        <w:t>项目于3月启动实施，11月完成本年目标计划。</w:t>
      </w:r>
      <w:bookmarkEnd w:id="66"/>
      <w:bookmarkEnd w:id="67"/>
      <w:bookmarkEnd w:id="68"/>
      <w:bookmarkEnd w:id="69"/>
    </w:p>
    <w:p w14:paraId="772CF454">
      <w:pPr>
        <w:overflowPunct w:val="0"/>
        <w:autoSpaceDE w:val="0"/>
        <w:autoSpaceDN w:val="0"/>
        <w:adjustRightInd w:val="0"/>
        <w:snapToGrid w:val="0"/>
        <w:spacing w:line="578" w:lineRule="exact"/>
        <w:ind w:left="0" w:firstLine="643" w:firstLineChars="200"/>
        <w:outlineLvl w:val="0"/>
        <w:rPr>
          <w:rFonts w:eastAsia="仿宋_GB2312"/>
          <w:sz w:val="32"/>
          <w:szCs w:val="32"/>
        </w:rPr>
      </w:pPr>
      <w:bookmarkStart w:id="70" w:name="_Toc25296"/>
      <w:bookmarkStart w:id="71" w:name="_Toc10659"/>
      <w:bookmarkStart w:id="72" w:name="_Toc11545"/>
      <w:bookmarkStart w:id="73" w:name="_Toc5946"/>
      <w:r>
        <w:rPr>
          <w:rFonts w:eastAsia="仿宋_GB2312"/>
          <w:b/>
          <w:bCs/>
          <w:sz w:val="32"/>
          <w:szCs w:val="32"/>
        </w:rPr>
        <w:t>（4）项目效益。</w:t>
      </w:r>
      <w:r>
        <w:rPr>
          <w:rFonts w:eastAsia="仿宋_GB2312"/>
          <w:sz w:val="32"/>
          <w:szCs w:val="32"/>
        </w:rPr>
        <w:t>项目实施后，将极大改善大多数高半山村的交通现状，改善生产生活条件。惠及6个脱贫村、236户脱贫户。</w:t>
      </w:r>
      <w:bookmarkEnd w:id="70"/>
      <w:bookmarkEnd w:id="71"/>
      <w:bookmarkEnd w:id="72"/>
      <w:bookmarkEnd w:id="73"/>
    </w:p>
    <w:p w14:paraId="61C79A8B">
      <w:pPr>
        <w:overflowPunct w:val="0"/>
        <w:autoSpaceDE w:val="0"/>
        <w:autoSpaceDN w:val="0"/>
        <w:adjustRightInd w:val="0"/>
        <w:snapToGrid w:val="0"/>
        <w:spacing w:line="578" w:lineRule="exact"/>
        <w:ind w:left="0" w:firstLine="643" w:firstLineChars="200"/>
        <w:outlineLvl w:val="0"/>
        <w:rPr>
          <w:rFonts w:eastAsia="仿宋_GB2312"/>
          <w:b/>
          <w:bCs/>
          <w:sz w:val="32"/>
          <w:szCs w:val="32"/>
        </w:rPr>
      </w:pPr>
      <w:bookmarkStart w:id="74" w:name="_Toc32631"/>
      <w:bookmarkStart w:id="75" w:name="_Toc9797"/>
      <w:bookmarkStart w:id="76" w:name="_Toc20377"/>
      <w:bookmarkStart w:id="77" w:name="_Toc4857"/>
      <w:r>
        <w:rPr>
          <w:rFonts w:eastAsia="仿宋_GB2312"/>
          <w:b/>
          <w:bCs/>
          <w:sz w:val="32"/>
          <w:szCs w:val="32"/>
        </w:rPr>
        <w:t>2.水利项目</w:t>
      </w:r>
      <w:bookmarkEnd w:id="74"/>
      <w:bookmarkEnd w:id="75"/>
      <w:bookmarkEnd w:id="76"/>
      <w:bookmarkEnd w:id="77"/>
      <w:r>
        <w:rPr>
          <w:rFonts w:eastAsia="仿宋_GB2312"/>
          <w:b/>
          <w:bCs/>
          <w:sz w:val="32"/>
          <w:szCs w:val="32"/>
        </w:rPr>
        <w:t>。</w:t>
      </w:r>
    </w:p>
    <w:p w14:paraId="2C4E6852">
      <w:pPr>
        <w:pStyle w:val="2"/>
        <w:spacing w:line="578" w:lineRule="exact"/>
        <w:ind w:left="0" w:firstLine="640" w:firstLineChars="200"/>
      </w:pPr>
      <w:r>
        <w:rPr>
          <w:rFonts w:eastAsia="仿宋_GB2312"/>
          <w:bCs/>
          <w:color w:val="000000"/>
          <w:sz w:val="32"/>
          <w:szCs w:val="32"/>
        </w:rPr>
        <w:t>年初水利类项目共有4个。本次调整后共有</w:t>
      </w:r>
      <w:r>
        <w:rPr>
          <w:bCs/>
          <w:color w:val="000000"/>
          <w:sz w:val="32"/>
          <w:szCs w:val="32"/>
        </w:rPr>
        <w:t>9</w:t>
      </w:r>
      <w:r>
        <w:rPr>
          <w:rFonts w:eastAsia="仿宋_GB2312"/>
          <w:bCs/>
          <w:color w:val="000000"/>
          <w:sz w:val="32"/>
          <w:szCs w:val="32"/>
        </w:rPr>
        <w:t>个。</w:t>
      </w:r>
    </w:p>
    <w:p w14:paraId="51369EF2">
      <w:pPr>
        <w:overflowPunct w:val="0"/>
        <w:autoSpaceDE w:val="0"/>
        <w:autoSpaceDN w:val="0"/>
        <w:adjustRightInd w:val="0"/>
        <w:snapToGrid w:val="0"/>
        <w:spacing w:line="578" w:lineRule="exact"/>
        <w:ind w:left="0" w:firstLine="643" w:firstLineChars="200"/>
        <w:rPr>
          <w:rFonts w:eastAsia="仿宋_GB2312"/>
          <w:sz w:val="32"/>
          <w:szCs w:val="32"/>
        </w:rPr>
      </w:pPr>
      <w:r>
        <w:rPr>
          <w:rFonts w:eastAsia="仿宋_GB2312"/>
          <w:b/>
          <w:bCs/>
          <w:sz w:val="32"/>
          <w:szCs w:val="32"/>
        </w:rPr>
        <w:t>（1）实施地点。</w:t>
      </w:r>
      <w:r>
        <w:rPr>
          <w:rFonts w:eastAsia="仿宋_GB2312"/>
          <w:sz w:val="32"/>
          <w:szCs w:val="32"/>
        </w:rPr>
        <w:t>燕云乡、川主寺镇、毛儿盖镇、青云镇等。</w:t>
      </w:r>
    </w:p>
    <w:p w14:paraId="38665006">
      <w:pPr>
        <w:overflowPunct w:val="0"/>
        <w:autoSpaceDE w:val="0"/>
        <w:autoSpaceDN w:val="0"/>
        <w:adjustRightInd w:val="0"/>
        <w:snapToGrid w:val="0"/>
        <w:spacing w:line="578" w:lineRule="exact"/>
        <w:ind w:left="0" w:firstLine="643" w:firstLineChars="200"/>
        <w:rPr>
          <w:rFonts w:eastAsia="仿宋_GB2312"/>
          <w:sz w:val="32"/>
          <w:szCs w:val="32"/>
        </w:rPr>
      </w:pPr>
      <w:r>
        <w:rPr>
          <w:rFonts w:eastAsia="仿宋_GB2312"/>
          <w:b/>
          <w:bCs/>
          <w:sz w:val="32"/>
          <w:szCs w:val="32"/>
        </w:rPr>
        <w:t>（2）建设内容和规模。</w:t>
      </w:r>
      <w:bookmarkStart w:id="78" w:name="_Toc20981"/>
      <w:bookmarkStart w:id="79" w:name="_Toc9351"/>
      <w:bookmarkStart w:id="80" w:name="_Toc23749"/>
      <w:bookmarkStart w:id="81" w:name="_Toc26588"/>
      <w:r>
        <w:rPr>
          <w:rFonts w:eastAsia="仿宋_GB2312"/>
          <w:sz w:val="32"/>
          <w:szCs w:val="32"/>
        </w:rPr>
        <w:t>燕云乡：新建取水池1个、消毒设备一套、过滤</w:t>
      </w:r>
      <w:r>
        <w:rPr>
          <w:rFonts w:hint="eastAsia" w:eastAsia="仿宋_GB2312"/>
          <w:sz w:val="32"/>
          <w:szCs w:val="32"/>
          <w:lang w:eastAsia="zh-CN"/>
        </w:rPr>
        <w:t>池</w:t>
      </w:r>
      <w:r>
        <w:rPr>
          <w:rFonts w:eastAsia="仿宋_GB2312"/>
          <w:sz w:val="32"/>
          <w:szCs w:val="32"/>
        </w:rPr>
        <w:t>1个、60立方米的蓄水池1个，DN63（PE100级，1.6mpa）主管约3千米，改造DN25（PE100级，1.6mpa）入户管500米；川主寺镇：新建80立方米蓄水池一座，新建DN110主管道1190米，新建取水池一座，阀门井2座，拆除恢复路面30平方米，消毒设备一套等；毛儿盖镇：新建80立方米蓄水池2座。取水口2个、沉淀池2个、消毒设施2套维修管道若干及配套设施建设。青云镇：提升改造30立方米蓄水池1座，取水池1座；新建DN50饮水管道1000米，DN25饮水管1100米。</w:t>
      </w:r>
    </w:p>
    <w:p w14:paraId="5A695CDE">
      <w:pPr>
        <w:overflowPunct w:val="0"/>
        <w:autoSpaceDE w:val="0"/>
        <w:autoSpaceDN w:val="0"/>
        <w:adjustRightInd w:val="0"/>
        <w:snapToGrid w:val="0"/>
        <w:spacing w:line="578" w:lineRule="exact"/>
        <w:ind w:left="0" w:firstLine="643" w:firstLineChars="200"/>
        <w:rPr>
          <w:rFonts w:eastAsia="仿宋_GB2312"/>
          <w:sz w:val="32"/>
          <w:szCs w:val="32"/>
        </w:rPr>
      </w:pPr>
      <w:r>
        <w:rPr>
          <w:rFonts w:eastAsia="仿宋_GB2312"/>
          <w:b/>
          <w:bCs/>
          <w:sz w:val="32"/>
          <w:szCs w:val="32"/>
        </w:rPr>
        <w:t>（3）项目建设进度计划。</w:t>
      </w:r>
      <w:r>
        <w:rPr>
          <w:rFonts w:eastAsia="仿宋_GB2312"/>
          <w:sz w:val="32"/>
          <w:szCs w:val="32"/>
        </w:rPr>
        <w:t>项目于3月启动实施，11月完成本年目标计划。</w:t>
      </w:r>
      <w:bookmarkEnd w:id="78"/>
      <w:bookmarkEnd w:id="79"/>
      <w:bookmarkEnd w:id="80"/>
      <w:bookmarkEnd w:id="81"/>
    </w:p>
    <w:p w14:paraId="6807EF61">
      <w:pPr>
        <w:overflowPunct w:val="0"/>
        <w:adjustRightInd w:val="0"/>
        <w:snapToGrid w:val="0"/>
        <w:spacing w:line="578" w:lineRule="exact"/>
        <w:ind w:left="0" w:firstLine="643" w:firstLineChars="200"/>
        <w:rPr>
          <w:rFonts w:eastAsia="仿宋_GB2312"/>
          <w:sz w:val="32"/>
          <w:szCs w:val="32"/>
          <w:highlight w:val="yellow"/>
        </w:rPr>
      </w:pPr>
      <w:bookmarkStart w:id="82" w:name="_Toc21156"/>
      <w:bookmarkStart w:id="83" w:name="_Toc8723"/>
      <w:bookmarkStart w:id="84" w:name="_Toc6659"/>
      <w:bookmarkStart w:id="85" w:name="_Toc20810"/>
      <w:r>
        <w:rPr>
          <w:rFonts w:eastAsia="仿宋_GB2312"/>
          <w:b/>
          <w:bCs/>
          <w:sz w:val="32"/>
          <w:szCs w:val="32"/>
        </w:rPr>
        <w:t>（4）项目效益。</w:t>
      </w:r>
      <w:r>
        <w:rPr>
          <w:rFonts w:eastAsia="仿宋_GB2312"/>
          <w:sz w:val="32"/>
          <w:szCs w:val="32"/>
        </w:rPr>
        <w:t>项目实施后，提升群众的饮水安全和饮水质量，改善生产生活条件</w:t>
      </w:r>
      <w:r>
        <w:rPr>
          <w:sz w:val="32"/>
          <w:szCs w:val="32"/>
        </w:rPr>
        <w:t>，</w:t>
      </w:r>
      <w:r>
        <w:rPr>
          <w:rFonts w:eastAsia="仿宋_GB2312"/>
          <w:sz w:val="32"/>
          <w:szCs w:val="32"/>
        </w:rPr>
        <w:t>惠及5个脱贫村、惠及186户脱贫户。</w:t>
      </w:r>
      <w:bookmarkEnd w:id="82"/>
      <w:bookmarkEnd w:id="83"/>
      <w:bookmarkEnd w:id="84"/>
      <w:bookmarkEnd w:id="85"/>
    </w:p>
    <w:p w14:paraId="376CEC57">
      <w:pPr>
        <w:pStyle w:val="4"/>
        <w:overflowPunct w:val="0"/>
        <w:autoSpaceDE w:val="0"/>
        <w:autoSpaceDN w:val="0"/>
        <w:adjustRightInd w:val="0"/>
        <w:snapToGrid w:val="0"/>
        <w:spacing w:line="578" w:lineRule="exact"/>
        <w:ind w:left="0" w:firstLine="643" w:firstLineChars="200"/>
        <w:jc w:val="both"/>
        <w:rPr>
          <w:rFonts w:eastAsia="楷体_GB2312"/>
          <w:b/>
          <w:bCs/>
          <w:sz w:val="32"/>
          <w:szCs w:val="32"/>
        </w:rPr>
      </w:pPr>
      <w:bookmarkStart w:id="86" w:name="_Toc20024"/>
      <w:bookmarkStart w:id="87" w:name="_Toc19950"/>
      <w:bookmarkStart w:id="88" w:name="_Toc26017"/>
      <w:bookmarkStart w:id="89" w:name="_Toc23310"/>
      <w:r>
        <w:rPr>
          <w:rFonts w:eastAsia="楷体_GB2312"/>
          <w:b/>
          <w:bCs/>
          <w:sz w:val="32"/>
          <w:szCs w:val="32"/>
        </w:rPr>
        <w:t>（二）农业产业发展项目。</w:t>
      </w:r>
      <w:bookmarkEnd w:id="86"/>
      <w:bookmarkEnd w:id="87"/>
    </w:p>
    <w:bookmarkEnd w:id="88"/>
    <w:bookmarkEnd w:id="89"/>
    <w:p w14:paraId="2D3613D3">
      <w:pPr>
        <w:overflowPunct w:val="0"/>
        <w:autoSpaceDE w:val="0"/>
        <w:autoSpaceDN w:val="0"/>
        <w:adjustRightInd w:val="0"/>
        <w:snapToGrid w:val="0"/>
        <w:spacing w:line="578" w:lineRule="exact"/>
        <w:ind w:left="0" w:firstLine="640" w:firstLineChars="200"/>
        <w:rPr>
          <w:rFonts w:eastAsia="仿宋_GB2312"/>
          <w:spacing w:val="-6"/>
          <w:sz w:val="32"/>
          <w:szCs w:val="32"/>
        </w:rPr>
      </w:pPr>
      <w:r>
        <w:rPr>
          <w:rFonts w:eastAsia="仿宋_GB2312"/>
          <w:sz w:val="32"/>
          <w:szCs w:val="32"/>
        </w:rPr>
        <w:t>农业产业发展类共有项目13个。其中：种植业6个、养殖业3</w:t>
      </w:r>
      <w:r>
        <w:rPr>
          <w:rFonts w:eastAsia="仿宋_GB2312"/>
          <w:spacing w:val="-6"/>
          <w:sz w:val="32"/>
          <w:szCs w:val="32"/>
        </w:rPr>
        <w:t>个、农副产品加工业、手工业2个、乡村旅游业2个。本次调整后：</w:t>
      </w:r>
      <w:r>
        <w:rPr>
          <w:rFonts w:eastAsia="仿宋_GB2312"/>
          <w:sz w:val="32"/>
          <w:szCs w:val="32"/>
        </w:rPr>
        <w:t>农业产业发展类共有项目31个。其中：种植业14个</w:t>
      </w:r>
      <w:r>
        <w:rPr>
          <w:sz w:val="32"/>
          <w:szCs w:val="32"/>
        </w:rPr>
        <w:t>，</w:t>
      </w:r>
      <w:r>
        <w:rPr>
          <w:rFonts w:eastAsia="仿宋_GB2312"/>
          <w:sz w:val="32"/>
          <w:szCs w:val="32"/>
        </w:rPr>
        <w:t>养殖业6</w:t>
      </w:r>
      <w:r>
        <w:rPr>
          <w:rFonts w:eastAsia="仿宋_GB2312"/>
          <w:spacing w:val="-6"/>
          <w:sz w:val="32"/>
          <w:szCs w:val="32"/>
        </w:rPr>
        <w:t>个</w:t>
      </w:r>
      <w:r>
        <w:rPr>
          <w:spacing w:val="-6"/>
          <w:sz w:val="32"/>
          <w:szCs w:val="32"/>
        </w:rPr>
        <w:t>，</w:t>
      </w:r>
      <w:r>
        <w:rPr>
          <w:rFonts w:eastAsia="仿宋_GB2312"/>
          <w:spacing w:val="-6"/>
          <w:sz w:val="32"/>
          <w:szCs w:val="32"/>
        </w:rPr>
        <w:t>农副产品加工业、手工业4个、乡村旅游业2个、其他5个。</w:t>
      </w:r>
    </w:p>
    <w:p w14:paraId="2B2783A5">
      <w:pPr>
        <w:numPr>
          <w:ilvl w:val="0"/>
          <w:numId w:val="3"/>
        </w:numPr>
        <w:overflowPunct w:val="0"/>
        <w:autoSpaceDE w:val="0"/>
        <w:autoSpaceDN w:val="0"/>
        <w:adjustRightInd w:val="0"/>
        <w:snapToGrid w:val="0"/>
        <w:spacing w:line="578" w:lineRule="exact"/>
        <w:ind w:left="0" w:firstLine="643" w:firstLineChars="200"/>
        <w:outlineLvl w:val="0"/>
        <w:rPr>
          <w:rFonts w:eastAsia="仿宋_GB2312"/>
          <w:b/>
          <w:bCs/>
          <w:sz w:val="32"/>
          <w:szCs w:val="32"/>
        </w:rPr>
      </w:pPr>
      <w:bookmarkStart w:id="90" w:name="_Toc23557"/>
      <w:bookmarkStart w:id="91" w:name="_Toc24384"/>
      <w:bookmarkStart w:id="92" w:name="_Toc8507"/>
      <w:bookmarkStart w:id="93" w:name="_Toc23756"/>
      <w:r>
        <w:rPr>
          <w:rFonts w:eastAsia="仿宋_GB2312"/>
          <w:b/>
          <w:bCs/>
          <w:sz w:val="32"/>
          <w:szCs w:val="32"/>
        </w:rPr>
        <w:t>种植业</w:t>
      </w:r>
      <w:bookmarkEnd w:id="90"/>
      <w:bookmarkEnd w:id="91"/>
      <w:bookmarkEnd w:id="92"/>
      <w:r>
        <w:rPr>
          <w:rFonts w:eastAsia="仿宋_GB2312"/>
          <w:b/>
          <w:bCs/>
          <w:sz w:val="32"/>
          <w:szCs w:val="32"/>
        </w:rPr>
        <w:t>项目</w:t>
      </w:r>
      <w:bookmarkEnd w:id="93"/>
      <w:r>
        <w:rPr>
          <w:rFonts w:eastAsia="仿宋_GB2312"/>
          <w:b/>
          <w:bCs/>
          <w:sz w:val="32"/>
          <w:szCs w:val="32"/>
        </w:rPr>
        <w:t>。</w:t>
      </w:r>
    </w:p>
    <w:p w14:paraId="5F334E84">
      <w:pPr>
        <w:pStyle w:val="2"/>
        <w:spacing w:line="578" w:lineRule="exact"/>
        <w:ind w:left="0" w:firstLine="640" w:firstLineChars="200"/>
      </w:pPr>
      <w:r>
        <w:rPr>
          <w:rFonts w:eastAsia="仿宋_GB2312"/>
          <w:bCs/>
          <w:color w:val="000000"/>
          <w:sz w:val="32"/>
          <w:szCs w:val="32"/>
        </w:rPr>
        <w:t>年初种植类项目共有6个。本次调整后共有</w:t>
      </w:r>
      <w:r>
        <w:rPr>
          <w:bCs/>
          <w:color w:val="000000"/>
          <w:sz w:val="32"/>
          <w:szCs w:val="32"/>
        </w:rPr>
        <w:t>14</w:t>
      </w:r>
      <w:r>
        <w:rPr>
          <w:rFonts w:eastAsia="仿宋_GB2312"/>
          <w:bCs/>
          <w:color w:val="000000"/>
          <w:sz w:val="32"/>
          <w:szCs w:val="32"/>
        </w:rPr>
        <w:t>个。</w:t>
      </w:r>
    </w:p>
    <w:p w14:paraId="46749B2C">
      <w:pPr>
        <w:overflowPunct w:val="0"/>
        <w:autoSpaceDE w:val="0"/>
        <w:autoSpaceDN w:val="0"/>
        <w:adjustRightInd w:val="0"/>
        <w:snapToGrid w:val="0"/>
        <w:spacing w:line="578" w:lineRule="exact"/>
        <w:ind w:left="0" w:firstLine="643" w:firstLineChars="200"/>
        <w:rPr>
          <w:rFonts w:eastAsia="仿宋_GB2312"/>
          <w:sz w:val="32"/>
          <w:szCs w:val="32"/>
        </w:rPr>
      </w:pPr>
      <w:r>
        <w:rPr>
          <w:rFonts w:eastAsia="仿宋_GB2312"/>
          <w:b/>
          <w:bCs/>
          <w:sz w:val="32"/>
          <w:szCs w:val="32"/>
        </w:rPr>
        <w:t>（1）实施地点。</w:t>
      </w:r>
      <w:r>
        <w:rPr>
          <w:rFonts w:eastAsia="仿宋_GB2312"/>
          <w:sz w:val="32"/>
          <w:szCs w:val="32"/>
        </w:rPr>
        <w:t>川主寺镇、小河镇、毛儿盖镇、安宏乡等。</w:t>
      </w:r>
    </w:p>
    <w:p w14:paraId="46CE61C3">
      <w:pPr>
        <w:overflowPunct w:val="0"/>
        <w:autoSpaceDE w:val="0"/>
        <w:autoSpaceDN w:val="0"/>
        <w:adjustRightInd w:val="0"/>
        <w:snapToGrid w:val="0"/>
        <w:spacing w:line="578" w:lineRule="exact"/>
        <w:ind w:left="0" w:firstLine="643" w:firstLineChars="200"/>
        <w:rPr>
          <w:rFonts w:eastAsia="仿宋_GB2312"/>
          <w:sz w:val="32"/>
          <w:szCs w:val="32"/>
        </w:rPr>
      </w:pPr>
      <w:r>
        <w:rPr>
          <w:rFonts w:eastAsia="仿宋_GB2312"/>
          <w:b/>
          <w:bCs/>
          <w:sz w:val="32"/>
          <w:szCs w:val="32"/>
        </w:rPr>
        <w:t>（2）建设内容及规模。</w:t>
      </w:r>
      <w:bookmarkStart w:id="94" w:name="_Toc24401"/>
      <w:bookmarkStart w:id="95" w:name="_Toc3810"/>
      <w:bookmarkStart w:id="96" w:name="_Toc21263"/>
      <w:bookmarkStart w:id="97" w:name="_Toc10599"/>
      <w:r>
        <w:rPr>
          <w:rFonts w:eastAsia="仿宋_GB2312"/>
          <w:sz w:val="32"/>
          <w:szCs w:val="32"/>
        </w:rPr>
        <w:t>川主寺镇：新增建设面积233亩，新建暖棚 7 栋（占地 21 亩）（包含水肥一体化设施设备），新建冷棚 68 栋 （34 亩），陆地间种178亩等；小河镇：提升食用菌种植大棚10个，建设钢结构蜂窝状网架600组，高2米长3米，加设喷淋温控排风设备各10组等；毛儿盖镇：开展庭院经济发展项目，为2户村民修建种植大棚</w:t>
      </w:r>
      <w:r>
        <w:rPr>
          <w:rFonts w:hint="eastAsia" w:eastAsia="仿宋_GB2312"/>
          <w:sz w:val="32"/>
          <w:szCs w:val="32"/>
          <w:lang w:eastAsia="zh-CN"/>
        </w:rPr>
        <w:t>等配套设施</w:t>
      </w:r>
      <w:r>
        <w:rPr>
          <w:rFonts w:eastAsia="仿宋_GB2312"/>
          <w:sz w:val="32"/>
          <w:szCs w:val="32"/>
        </w:rPr>
        <w:t>；安宏乡：修建4000平方米大棚建设，2000平方米贝母种子，1000米长3米宽产业机耕道，新建灌溉蓄水池20立方米，50#水管2500米等。</w:t>
      </w:r>
    </w:p>
    <w:p w14:paraId="7B292B39">
      <w:pPr>
        <w:overflowPunct w:val="0"/>
        <w:autoSpaceDE w:val="0"/>
        <w:autoSpaceDN w:val="0"/>
        <w:adjustRightInd w:val="0"/>
        <w:snapToGrid w:val="0"/>
        <w:spacing w:line="578" w:lineRule="exact"/>
        <w:ind w:left="0" w:firstLine="643" w:firstLineChars="200"/>
        <w:rPr>
          <w:rFonts w:eastAsia="仿宋_GB2312"/>
          <w:sz w:val="32"/>
          <w:szCs w:val="32"/>
        </w:rPr>
      </w:pPr>
      <w:r>
        <w:rPr>
          <w:rFonts w:eastAsia="仿宋_GB2312"/>
          <w:b/>
          <w:bCs/>
          <w:sz w:val="32"/>
          <w:szCs w:val="32"/>
        </w:rPr>
        <w:t>（3）项目建设进度计划。</w:t>
      </w:r>
      <w:r>
        <w:rPr>
          <w:rFonts w:eastAsia="仿宋_GB2312"/>
          <w:sz w:val="32"/>
          <w:szCs w:val="32"/>
        </w:rPr>
        <w:t>项目于3月启动实施，11月</w:t>
      </w:r>
      <w:r>
        <w:rPr>
          <w:rFonts w:hint="eastAsia" w:eastAsia="仿宋_GB2312"/>
          <w:sz w:val="32"/>
          <w:szCs w:val="32"/>
          <w:lang w:eastAsia="zh-CN"/>
        </w:rPr>
        <w:t>完成</w:t>
      </w:r>
      <w:r>
        <w:rPr>
          <w:rFonts w:eastAsia="仿宋_GB2312"/>
          <w:sz w:val="32"/>
          <w:szCs w:val="32"/>
        </w:rPr>
        <w:t>本年目标计划。</w:t>
      </w:r>
      <w:bookmarkEnd w:id="94"/>
      <w:bookmarkEnd w:id="95"/>
      <w:bookmarkEnd w:id="96"/>
      <w:bookmarkEnd w:id="97"/>
    </w:p>
    <w:p w14:paraId="540A5E4E">
      <w:pPr>
        <w:overflowPunct w:val="0"/>
        <w:adjustRightInd w:val="0"/>
        <w:snapToGrid w:val="0"/>
        <w:spacing w:line="578" w:lineRule="exact"/>
        <w:ind w:left="0" w:firstLine="643" w:firstLineChars="200"/>
        <w:rPr>
          <w:rFonts w:eastAsia="仿宋_GB2312"/>
          <w:sz w:val="32"/>
          <w:szCs w:val="32"/>
        </w:rPr>
      </w:pPr>
      <w:bookmarkStart w:id="98" w:name="_Toc24567"/>
      <w:bookmarkStart w:id="99" w:name="_Toc22008"/>
      <w:bookmarkStart w:id="100" w:name="_Toc14624"/>
      <w:bookmarkStart w:id="101" w:name="_Toc21692"/>
      <w:r>
        <w:rPr>
          <w:rFonts w:eastAsia="仿宋_GB2312"/>
          <w:b/>
          <w:bCs/>
          <w:sz w:val="32"/>
          <w:szCs w:val="32"/>
        </w:rPr>
        <w:t>（4）项目效益。</w:t>
      </w:r>
      <w:r>
        <w:rPr>
          <w:rFonts w:eastAsia="仿宋_GB2312"/>
          <w:sz w:val="32"/>
          <w:szCs w:val="32"/>
        </w:rPr>
        <w:t>项目实施后，提升产业发展，壮大产业规模，促进群众增收。</w:t>
      </w:r>
      <w:bookmarkEnd w:id="98"/>
      <w:bookmarkEnd w:id="99"/>
      <w:bookmarkEnd w:id="100"/>
      <w:bookmarkEnd w:id="101"/>
      <w:r>
        <w:rPr>
          <w:rFonts w:eastAsia="仿宋_GB2312"/>
          <w:sz w:val="32"/>
          <w:szCs w:val="32"/>
        </w:rPr>
        <w:t>惠及32个脱贫村、973户脱贫户。</w:t>
      </w:r>
    </w:p>
    <w:p w14:paraId="75062858">
      <w:pPr>
        <w:overflowPunct w:val="0"/>
        <w:autoSpaceDE w:val="0"/>
        <w:autoSpaceDN w:val="0"/>
        <w:adjustRightInd w:val="0"/>
        <w:snapToGrid w:val="0"/>
        <w:spacing w:line="578" w:lineRule="exact"/>
        <w:ind w:left="0" w:firstLine="643" w:firstLineChars="200"/>
        <w:outlineLvl w:val="0"/>
        <w:rPr>
          <w:rFonts w:eastAsia="仿宋_GB2312"/>
          <w:b/>
          <w:bCs/>
          <w:sz w:val="32"/>
          <w:szCs w:val="32"/>
        </w:rPr>
      </w:pPr>
      <w:bookmarkStart w:id="102" w:name="_Toc17555"/>
      <w:bookmarkStart w:id="103" w:name="_Toc16758"/>
      <w:bookmarkStart w:id="104" w:name="_Toc19997"/>
      <w:bookmarkStart w:id="105" w:name="_Toc22551"/>
      <w:r>
        <w:rPr>
          <w:rFonts w:eastAsia="仿宋_GB2312"/>
          <w:b/>
          <w:bCs/>
          <w:sz w:val="32"/>
          <w:szCs w:val="32"/>
        </w:rPr>
        <w:t>2.养殖业</w:t>
      </w:r>
      <w:bookmarkEnd w:id="102"/>
      <w:bookmarkEnd w:id="103"/>
      <w:bookmarkEnd w:id="104"/>
      <w:r>
        <w:rPr>
          <w:rFonts w:eastAsia="仿宋_GB2312"/>
          <w:b/>
          <w:bCs/>
          <w:sz w:val="32"/>
          <w:szCs w:val="32"/>
        </w:rPr>
        <w:t>项目</w:t>
      </w:r>
      <w:bookmarkEnd w:id="105"/>
      <w:r>
        <w:rPr>
          <w:rFonts w:eastAsia="仿宋_GB2312"/>
          <w:b/>
          <w:bCs/>
          <w:sz w:val="32"/>
          <w:szCs w:val="32"/>
        </w:rPr>
        <w:t>。</w:t>
      </w:r>
    </w:p>
    <w:p w14:paraId="074135D7">
      <w:pPr>
        <w:pStyle w:val="2"/>
        <w:spacing w:line="578" w:lineRule="exact"/>
        <w:ind w:left="0" w:firstLine="640" w:firstLineChars="200"/>
      </w:pPr>
      <w:r>
        <w:rPr>
          <w:rFonts w:eastAsia="仿宋_GB2312"/>
          <w:bCs/>
          <w:color w:val="000000"/>
          <w:sz w:val="32"/>
          <w:szCs w:val="32"/>
        </w:rPr>
        <w:t>年初养殖业类项目共有3个。本次调整后共有</w:t>
      </w:r>
      <w:r>
        <w:rPr>
          <w:bCs/>
          <w:color w:val="000000"/>
          <w:sz w:val="32"/>
          <w:szCs w:val="32"/>
        </w:rPr>
        <w:t>6</w:t>
      </w:r>
      <w:r>
        <w:rPr>
          <w:rFonts w:eastAsia="仿宋_GB2312"/>
          <w:bCs/>
          <w:color w:val="000000"/>
          <w:sz w:val="32"/>
          <w:szCs w:val="32"/>
        </w:rPr>
        <w:t>个。</w:t>
      </w:r>
    </w:p>
    <w:p w14:paraId="29DC5683">
      <w:pPr>
        <w:overflowPunct w:val="0"/>
        <w:autoSpaceDE w:val="0"/>
        <w:autoSpaceDN w:val="0"/>
        <w:adjustRightInd w:val="0"/>
        <w:snapToGrid w:val="0"/>
        <w:spacing w:line="578" w:lineRule="exact"/>
        <w:ind w:left="0" w:firstLine="643" w:firstLineChars="200"/>
        <w:outlineLvl w:val="0"/>
        <w:rPr>
          <w:rFonts w:eastAsia="仿宋_GB2312"/>
          <w:sz w:val="32"/>
          <w:szCs w:val="32"/>
        </w:rPr>
      </w:pPr>
      <w:bookmarkStart w:id="106" w:name="_Toc26015"/>
      <w:bookmarkStart w:id="107" w:name="_Toc17569"/>
      <w:bookmarkStart w:id="108" w:name="_Toc4234"/>
      <w:bookmarkStart w:id="109" w:name="_Toc10781"/>
      <w:r>
        <w:rPr>
          <w:rFonts w:eastAsia="仿宋_GB2312"/>
          <w:b/>
          <w:bCs/>
          <w:sz w:val="32"/>
          <w:szCs w:val="32"/>
        </w:rPr>
        <w:t>（1）实施地点。</w:t>
      </w:r>
      <w:bookmarkEnd w:id="106"/>
      <w:bookmarkEnd w:id="107"/>
      <w:bookmarkEnd w:id="108"/>
      <w:bookmarkEnd w:id="109"/>
      <w:bookmarkStart w:id="110" w:name="_Toc11234"/>
      <w:bookmarkStart w:id="111" w:name="_Toc30454"/>
      <w:bookmarkStart w:id="112" w:name="_Toc9946"/>
      <w:bookmarkStart w:id="113" w:name="_Toc12981"/>
      <w:r>
        <w:rPr>
          <w:rFonts w:eastAsia="仿宋_GB2312"/>
          <w:sz w:val="32"/>
          <w:szCs w:val="32"/>
        </w:rPr>
        <w:t>镇坪乡、安宏乡、毛儿盖镇、燕云乡等</w:t>
      </w:r>
      <w:r>
        <w:rPr>
          <w:sz w:val="32"/>
          <w:szCs w:val="32"/>
        </w:rPr>
        <w:t>。</w:t>
      </w:r>
    </w:p>
    <w:p w14:paraId="43BF2473">
      <w:pPr>
        <w:overflowPunct w:val="0"/>
        <w:autoSpaceDE w:val="0"/>
        <w:autoSpaceDN w:val="0"/>
        <w:adjustRightInd w:val="0"/>
        <w:snapToGrid w:val="0"/>
        <w:spacing w:line="578" w:lineRule="exact"/>
        <w:ind w:left="0" w:firstLine="643" w:firstLineChars="200"/>
        <w:outlineLvl w:val="0"/>
        <w:rPr>
          <w:rFonts w:eastAsia="仿宋_GB2312"/>
          <w:sz w:val="32"/>
          <w:szCs w:val="32"/>
        </w:rPr>
      </w:pPr>
      <w:r>
        <w:rPr>
          <w:rFonts w:eastAsia="仿宋_GB2312"/>
          <w:b/>
          <w:bCs/>
          <w:sz w:val="32"/>
          <w:szCs w:val="32"/>
        </w:rPr>
        <w:t>（2）建设内容及规模。</w:t>
      </w:r>
      <w:bookmarkEnd w:id="110"/>
      <w:bookmarkEnd w:id="111"/>
      <w:bookmarkEnd w:id="112"/>
      <w:bookmarkEnd w:id="113"/>
      <w:r>
        <w:rPr>
          <w:rFonts w:eastAsia="仿宋_GB2312"/>
          <w:sz w:val="32"/>
          <w:szCs w:val="32"/>
        </w:rPr>
        <w:t>镇坪乡：在已建的“镇坪乡新民蛋鸡养殖基地”上建设智能化精准化养殖体系：（1）建设年产10000吨的鸡蛋智能加工车间1个，（2）建设年产饲料3万吨的智能化饲料厂1个，达到降低养殖成本、提高生蛋量和质量；安宏乡：养殖场厂房建设1380平方米，育雏舍480平方米及基础设施建设及配套设备安装；毛儿盖镇：新建牦牛养殖圈舍2套1200平方米；燕云乡：新建电路（线）7000米，变压器1台，电线杆等生产配套设施设备，新建该处养殖所需引用水管道及水池等。</w:t>
      </w:r>
    </w:p>
    <w:p w14:paraId="73FA292F">
      <w:pPr>
        <w:overflowPunct w:val="0"/>
        <w:autoSpaceDE w:val="0"/>
        <w:autoSpaceDN w:val="0"/>
        <w:adjustRightInd w:val="0"/>
        <w:snapToGrid w:val="0"/>
        <w:spacing w:line="578" w:lineRule="exact"/>
        <w:ind w:left="0" w:firstLine="643" w:firstLineChars="200"/>
        <w:outlineLvl w:val="0"/>
        <w:rPr>
          <w:rFonts w:eastAsia="仿宋_GB2312"/>
          <w:sz w:val="32"/>
          <w:szCs w:val="32"/>
        </w:rPr>
      </w:pPr>
      <w:r>
        <w:rPr>
          <w:rFonts w:eastAsia="仿宋_GB2312"/>
          <w:b/>
          <w:bCs/>
          <w:sz w:val="32"/>
          <w:szCs w:val="32"/>
        </w:rPr>
        <w:t>（3）项目建设进度计划。</w:t>
      </w:r>
      <w:r>
        <w:rPr>
          <w:rFonts w:eastAsia="仿宋_GB2312"/>
          <w:sz w:val="32"/>
          <w:szCs w:val="32"/>
        </w:rPr>
        <w:t>项目于3月启动实施，11月完成本年目标计划。</w:t>
      </w:r>
    </w:p>
    <w:p w14:paraId="12251B56">
      <w:pPr>
        <w:overflowPunct w:val="0"/>
        <w:adjustRightInd w:val="0"/>
        <w:snapToGrid w:val="0"/>
        <w:spacing w:line="578" w:lineRule="exact"/>
        <w:ind w:left="0" w:firstLine="643" w:firstLineChars="200"/>
        <w:rPr>
          <w:rFonts w:eastAsia="仿宋_GB2312"/>
          <w:sz w:val="32"/>
          <w:szCs w:val="32"/>
        </w:rPr>
      </w:pPr>
      <w:bookmarkStart w:id="114" w:name="_Toc5106"/>
      <w:bookmarkStart w:id="115" w:name="_Toc17776"/>
      <w:bookmarkStart w:id="116" w:name="_Toc32173"/>
      <w:bookmarkStart w:id="117" w:name="_Toc21462"/>
      <w:r>
        <w:rPr>
          <w:rFonts w:eastAsia="仿宋_GB2312"/>
          <w:b/>
          <w:bCs/>
          <w:sz w:val="32"/>
          <w:szCs w:val="32"/>
        </w:rPr>
        <w:t>（4）项目效益。</w:t>
      </w:r>
      <w:r>
        <w:rPr>
          <w:rFonts w:eastAsia="仿宋_GB2312"/>
          <w:sz w:val="32"/>
          <w:szCs w:val="32"/>
        </w:rPr>
        <w:t>项目实施后，不断壮大村集体产业发展，让群众增收。惠及2个脱贫村、171户脱贫户。</w:t>
      </w:r>
      <w:bookmarkEnd w:id="114"/>
      <w:bookmarkEnd w:id="115"/>
      <w:bookmarkEnd w:id="116"/>
      <w:bookmarkEnd w:id="117"/>
    </w:p>
    <w:p w14:paraId="4F8E4058">
      <w:pPr>
        <w:overflowPunct w:val="0"/>
        <w:autoSpaceDE w:val="0"/>
        <w:autoSpaceDN w:val="0"/>
        <w:adjustRightInd w:val="0"/>
        <w:snapToGrid w:val="0"/>
        <w:spacing w:line="578" w:lineRule="exact"/>
        <w:ind w:left="0" w:firstLine="643" w:firstLineChars="200"/>
        <w:outlineLvl w:val="0"/>
        <w:rPr>
          <w:rFonts w:eastAsia="仿宋_GB2312"/>
          <w:b/>
          <w:bCs/>
          <w:sz w:val="32"/>
          <w:szCs w:val="32"/>
        </w:rPr>
      </w:pPr>
      <w:bookmarkStart w:id="118" w:name="_Toc8973"/>
      <w:bookmarkStart w:id="119" w:name="_Toc12486"/>
      <w:bookmarkStart w:id="120" w:name="_Toc21748"/>
      <w:bookmarkStart w:id="121" w:name="_Toc27432"/>
      <w:r>
        <w:rPr>
          <w:rFonts w:eastAsia="仿宋_GB2312"/>
          <w:b/>
          <w:bCs/>
          <w:sz w:val="32"/>
          <w:szCs w:val="32"/>
        </w:rPr>
        <w:t>3.</w:t>
      </w:r>
      <w:bookmarkEnd w:id="118"/>
      <w:bookmarkEnd w:id="119"/>
      <w:bookmarkEnd w:id="120"/>
      <w:bookmarkEnd w:id="121"/>
      <w:r>
        <w:rPr>
          <w:rFonts w:eastAsia="仿宋_GB2312"/>
          <w:b/>
          <w:bCs/>
          <w:sz w:val="32"/>
          <w:szCs w:val="32"/>
        </w:rPr>
        <w:t>农副产品加工业、手工业项目。</w:t>
      </w:r>
    </w:p>
    <w:p w14:paraId="77F6B707">
      <w:pPr>
        <w:pStyle w:val="2"/>
        <w:spacing w:line="578" w:lineRule="exact"/>
        <w:ind w:left="0" w:firstLine="640" w:firstLineChars="200"/>
      </w:pPr>
      <w:r>
        <w:rPr>
          <w:rFonts w:eastAsia="仿宋_GB2312"/>
          <w:bCs/>
          <w:color w:val="000000"/>
          <w:sz w:val="32"/>
          <w:szCs w:val="32"/>
        </w:rPr>
        <w:t>年初农副产品加工业、手工业项目共有2个。本次调整后共有</w:t>
      </w:r>
      <w:r>
        <w:rPr>
          <w:bCs/>
          <w:color w:val="000000"/>
          <w:sz w:val="32"/>
          <w:szCs w:val="32"/>
        </w:rPr>
        <w:t>4</w:t>
      </w:r>
      <w:r>
        <w:rPr>
          <w:rFonts w:eastAsia="仿宋_GB2312"/>
          <w:bCs/>
          <w:color w:val="000000"/>
          <w:sz w:val="32"/>
          <w:szCs w:val="32"/>
        </w:rPr>
        <w:t>个。</w:t>
      </w:r>
    </w:p>
    <w:p w14:paraId="4119BCC1">
      <w:pPr>
        <w:overflowPunct w:val="0"/>
        <w:autoSpaceDE w:val="0"/>
        <w:autoSpaceDN w:val="0"/>
        <w:adjustRightInd w:val="0"/>
        <w:snapToGrid w:val="0"/>
        <w:spacing w:line="578" w:lineRule="exact"/>
        <w:ind w:left="0" w:firstLine="643" w:firstLineChars="200"/>
        <w:outlineLvl w:val="0"/>
        <w:rPr>
          <w:rFonts w:eastAsia="仿宋_GB2312"/>
          <w:sz w:val="32"/>
          <w:szCs w:val="32"/>
        </w:rPr>
      </w:pPr>
      <w:bookmarkStart w:id="122" w:name="_Toc30195"/>
      <w:bookmarkStart w:id="123" w:name="_Toc8753"/>
      <w:bookmarkStart w:id="124" w:name="_Toc31318"/>
      <w:bookmarkStart w:id="125" w:name="_Toc28235"/>
      <w:r>
        <w:rPr>
          <w:rFonts w:eastAsia="仿宋_GB2312"/>
          <w:b/>
          <w:bCs/>
          <w:sz w:val="32"/>
          <w:szCs w:val="32"/>
        </w:rPr>
        <w:t>（1）实施地点。</w:t>
      </w:r>
      <w:bookmarkEnd w:id="122"/>
      <w:bookmarkEnd w:id="123"/>
      <w:bookmarkEnd w:id="124"/>
      <w:bookmarkEnd w:id="125"/>
      <w:r>
        <w:rPr>
          <w:rFonts w:eastAsia="仿宋_GB2312"/>
          <w:sz w:val="32"/>
          <w:szCs w:val="32"/>
        </w:rPr>
        <w:t>岷江乡、青云镇等。</w:t>
      </w:r>
    </w:p>
    <w:p w14:paraId="56440992">
      <w:pPr>
        <w:overflowPunct w:val="0"/>
        <w:autoSpaceDE w:val="0"/>
        <w:autoSpaceDN w:val="0"/>
        <w:adjustRightInd w:val="0"/>
        <w:snapToGrid w:val="0"/>
        <w:spacing w:line="578" w:lineRule="exact"/>
        <w:ind w:left="0" w:firstLine="643" w:firstLineChars="200"/>
        <w:outlineLvl w:val="0"/>
        <w:rPr>
          <w:rFonts w:eastAsia="仿宋_GB2312"/>
          <w:sz w:val="32"/>
          <w:szCs w:val="32"/>
        </w:rPr>
      </w:pPr>
      <w:bookmarkStart w:id="126" w:name="_Toc19576"/>
      <w:bookmarkStart w:id="127" w:name="_Toc24746"/>
      <w:bookmarkStart w:id="128" w:name="_Toc30050"/>
      <w:bookmarkStart w:id="129" w:name="_Toc3935"/>
      <w:r>
        <w:rPr>
          <w:rFonts w:eastAsia="仿宋_GB2312"/>
          <w:b/>
          <w:bCs/>
          <w:sz w:val="32"/>
          <w:szCs w:val="32"/>
        </w:rPr>
        <w:t>（2）建设内容及规模。</w:t>
      </w:r>
      <w:bookmarkEnd w:id="126"/>
      <w:bookmarkEnd w:id="127"/>
      <w:bookmarkEnd w:id="128"/>
      <w:bookmarkEnd w:id="129"/>
      <w:r>
        <w:rPr>
          <w:rFonts w:eastAsia="仿宋_GB2312"/>
          <w:sz w:val="32"/>
          <w:szCs w:val="32"/>
        </w:rPr>
        <w:t>岷江乡：1.购置2台全自动内外袋包装机（六头称三角包内外袋包装机）；2.购置全自动包装热缩机1套；青云镇：建设农产品交易中心1座，建筑面积约700平方米及附属设施；对全村进行人居环境综合整治及附属设施建设等；在全县范围内为县域特色产业：花椒、梨、茶叶、鸡蛋、蜂蜜、小番茄等产品设计全新的包装。为绿色食品、特色农</w:t>
      </w:r>
      <w:r>
        <w:rPr>
          <w:rFonts w:hint="eastAsia" w:eastAsia="仿宋_GB2312"/>
          <w:sz w:val="32"/>
          <w:szCs w:val="32"/>
          <w:lang w:eastAsia="zh-CN"/>
        </w:rPr>
        <w:t>产品</w:t>
      </w:r>
      <w:r>
        <w:rPr>
          <w:rFonts w:eastAsia="仿宋_GB2312"/>
          <w:sz w:val="32"/>
          <w:szCs w:val="32"/>
        </w:rPr>
        <w:t>等申请认证，确保产品从生产到加工全程符合标准，提升产品的市场竞争力和品牌知名度。</w:t>
      </w:r>
    </w:p>
    <w:p w14:paraId="323B9E18">
      <w:pPr>
        <w:overflowPunct w:val="0"/>
        <w:autoSpaceDE w:val="0"/>
        <w:autoSpaceDN w:val="0"/>
        <w:adjustRightInd w:val="0"/>
        <w:snapToGrid w:val="0"/>
        <w:spacing w:line="578" w:lineRule="exact"/>
        <w:ind w:left="0" w:firstLine="643" w:firstLineChars="200"/>
        <w:rPr>
          <w:rFonts w:eastAsia="仿宋_GB2312"/>
          <w:sz w:val="32"/>
          <w:szCs w:val="32"/>
        </w:rPr>
      </w:pPr>
      <w:r>
        <w:rPr>
          <w:rFonts w:eastAsia="仿宋_GB2312"/>
          <w:b/>
          <w:bCs/>
          <w:sz w:val="32"/>
          <w:szCs w:val="32"/>
        </w:rPr>
        <w:t>（3）项目建设进度计划。</w:t>
      </w:r>
      <w:r>
        <w:rPr>
          <w:rFonts w:eastAsia="仿宋_GB2312"/>
          <w:sz w:val="32"/>
          <w:szCs w:val="32"/>
        </w:rPr>
        <w:t>项目于3月启动实施，11月完成本年目标计划。</w:t>
      </w:r>
    </w:p>
    <w:p w14:paraId="7378A5EC">
      <w:pPr>
        <w:overflowPunct w:val="0"/>
        <w:autoSpaceDE w:val="0"/>
        <w:autoSpaceDN w:val="0"/>
        <w:adjustRightInd w:val="0"/>
        <w:snapToGrid w:val="0"/>
        <w:spacing w:line="578" w:lineRule="exact"/>
        <w:ind w:left="0" w:firstLine="643" w:firstLineChars="200"/>
        <w:rPr>
          <w:rFonts w:eastAsia="仿宋_GB2312"/>
          <w:sz w:val="32"/>
          <w:szCs w:val="32"/>
        </w:rPr>
      </w:pPr>
      <w:r>
        <w:rPr>
          <w:rFonts w:eastAsia="仿宋_GB2312"/>
          <w:b/>
          <w:bCs/>
          <w:sz w:val="32"/>
          <w:szCs w:val="32"/>
        </w:rPr>
        <w:t>（4）项目效益。</w:t>
      </w:r>
      <w:r>
        <w:rPr>
          <w:rFonts w:eastAsia="仿宋_GB2312"/>
          <w:sz w:val="32"/>
          <w:szCs w:val="32"/>
        </w:rPr>
        <w:t>项目实施后，不断壮大村产业发展，</w:t>
      </w:r>
      <w:r>
        <w:rPr>
          <w:sz w:val="32"/>
          <w:szCs w:val="32"/>
        </w:rPr>
        <w:t>带动</w:t>
      </w:r>
      <w:r>
        <w:rPr>
          <w:rFonts w:eastAsia="仿宋_GB2312"/>
          <w:sz w:val="32"/>
          <w:szCs w:val="32"/>
        </w:rPr>
        <w:t>群众增收。惠及6个脱贫村、79户脱贫户。</w:t>
      </w:r>
    </w:p>
    <w:p w14:paraId="1BD47B9B">
      <w:pPr>
        <w:autoSpaceDE w:val="0"/>
        <w:autoSpaceDN w:val="0"/>
        <w:snapToGrid w:val="0"/>
        <w:spacing w:line="578" w:lineRule="exact"/>
        <w:ind w:left="0" w:firstLine="643" w:firstLineChars="200"/>
        <w:outlineLvl w:val="0"/>
        <w:rPr>
          <w:rFonts w:eastAsia="仿宋_GB2312"/>
          <w:b/>
          <w:bCs/>
          <w:sz w:val="32"/>
          <w:szCs w:val="32"/>
        </w:rPr>
      </w:pPr>
      <w:r>
        <w:rPr>
          <w:rFonts w:eastAsia="仿宋_GB2312"/>
          <w:b/>
          <w:bCs/>
          <w:sz w:val="32"/>
          <w:szCs w:val="32"/>
        </w:rPr>
        <w:t>4.乡村旅游业项目。</w:t>
      </w:r>
    </w:p>
    <w:p w14:paraId="150CA9C5">
      <w:pPr>
        <w:pStyle w:val="2"/>
        <w:spacing w:line="578" w:lineRule="exact"/>
        <w:ind w:left="0" w:firstLine="640" w:firstLineChars="200"/>
        <w:rPr>
          <w:rFonts w:eastAsia="仿宋_GB2312"/>
          <w:bCs/>
          <w:color w:val="000000"/>
          <w:sz w:val="32"/>
          <w:szCs w:val="32"/>
        </w:rPr>
      </w:pPr>
      <w:r>
        <w:rPr>
          <w:rFonts w:eastAsia="仿宋_GB2312"/>
          <w:bCs/>
          <w:color w:val="000000"/>
          <w:sz w:val="32"/>
          <w:szCs w:val="32"/>
        </w:rPr>
        <w:t>年初乡村旅游类项目共有2个。本次调整后共有</w:t>
      </w:r>
      <w:r>
        <w:rPr>
          <w:bCs/>
          <w:color w:val="000000"/>
          <w:sz w:val="32"/>
          <w:szCs w:val="32"/>
        </w:rPr>
        <w:t>2</w:t>
      </w:r>
      <w:r>
        <w:rPr>
          <w:rFonts w:eastAsia="仿宋_GB2312"/>
          <w:bCs/>
          <w:color w:val="000000"/>
          <w:sz w:val="32"/>
          <w:szCs w:val="32"/>
        </w:rPr>
        <w:t>个。</w:t>
      </w:r>
    </w:p>
    <w:p w14:paraId="75EC08A3">
      <w:pPr>
        <w:overflowPunct w:val="0"/>
        <w:adjustRightInd w:val="0"/>
        <w:snapToGrid w:val="0"/>
        <w:spacing w:line="578" w:lineRule="exact"/>
        <w:ind w:left="0" w:firstLine="643" w:firstLineChars="200"/>
        <w:rPr>
          <w:rFonts w:eastAsia="仿宋_GB2312"/>
          <w:sz w:val="32"/>
          <w:szCs w:val="32"/>
        </w:rPr>
      </w:pPr>
      <w:r>
        <w:rPr>
          <w:rFonts w:eastAsia="仿宋_GB2312"/>
          <w:b/>
          <w:color w:val="000000"/>
          <w:sz w:val="32"/>
          <w:szCs w:val="32"/>
        </w:rPr>
        <w:t>（1）实施地点。</w:t>
      </w:r>
      <w:r>
        <w:rPr>
          <w:sz w:val="32"/>
          <w:szCs w:val="32"/>
        </w:rPr>
        <w:t>青云镇、进安镇</w:t>
      </w:r>
      <w:r>
        <w:rPr>
          <w:rFonts w:eastAsia="仿宋_GB2312"/>
          <w:sz w:val="32"/>
          <w:szCs w:val="32"/>
        </w:rPr>
        <w:t>。</w:t>
      </w:r>
    </w:p>
    <w:p w14:paraId="1410EFB3">
      <w:pPr>
        <w:overflowPunct w:val="0"/>
        <w:adjustRightInd w:val="0"/>
        <w:snapToGrid w:val="0"/>
        <w:spacing w:line="578" w:lineRule="exact"/>
        <w:ind w:left="0" w:firstLine="643" w:firstLineChars="200"/>
        <w:rPr>
          <w:rFonts w:eastAsia="仿宋_GB2312"/>
          <w:b/>
          <w:color w:val="000000"/>
          <w:sz w:val="32"/>
          <w:szCs w:val="32"/>
        </w:rPr>
      </w:pPr>
      <w:r>
        <w:rPr>
          <w:rFonts w:eastAsia="仿宋_GB2312"/>
          <w:b/>
          <w:color w:val="000000"/>
          <w:sz w:val="32"/>
          <w:szCs w:val="32"/>
        </w:rPr>
        <w:t>（2）建设内容及规模。</w:t>
      </w:r>
      <w:r>
        <w:rPr>
          <w:rFonts w:eastAsia="仿宋_GB2312"/>
          <w:bCs/>
          <w:color w:val="000000"/>
          <w:sz w:val="32"/>
          <w:szCs w:val="32"/>
        </w:rPr>
        <w:t>青云镇：提升村内人居综合环境整治约2000平方米，修建人行道路280米及护栏等配套设施；进安镇：打造集传统工艺酿酒区400</w:t>
      </w:r>
      <w:r>
        <w:rPr>
          <w:rFonts w:hint="eastAsia" w:eastAsia="仿宋_GB2312"/>
          <w:bCs/>
          <w:color w:val="000000"/>
          <w:sz w:val="32"/>
          <w:szCs w:val="32"/>
          <w:lang w:eastAsia="zh-CN"/>
        </w:rPr>
        <w:t>平方米</w:t>
      </w:r>
      <w:r>
        <w:rPr>
          <w:rFonts w:eastAsia="仿宋_GB2312"/>
          <w:bCs/>
          <w:color w:val="000000"/>
          <w:sz w:val="32"/>
          <w:szCs w:val="32"/>
        </w:rPr>
        <w:t>；游客体验、美酒美食品鉴研学及团建于一体的沉浸式体验区200</w:t>
      </w:r>
      <w:r>
        <w:rPr>
          <w:rFonts w:hint="eastAsia" w:eastAsia="仿宋_GB2312"/>
          <w:bCs/>
          <w:color w:val="000000"/>
          <w:sz w:val="32"/>
          <w:szCs w:val="32"/>
          <w:lang w:eastAsia="zh-CN"/>
        </w:rPr>
        <w:t>平方米</w:t>
      </w:r>
      <w:r>
        <w:rPr>
          <w:rFonts w:eastAsia="仿宋_GB2312"/>
          <w:bCs/>
          <w:color w:val="000000"/>
          <w:sz w:val="32"/>
          <w:szCs w:val="32"/>
        </w:rPr>
        <w:t>。</w:t>
      </w:r>
    </w:p>
    <w:p w14:paraId="001AB06F">
      <w:pPr>
        <w:overflowPunct w:val="0"/>
        <w:adjustRightInd w:val="0"/>
        <w:snapToGrid w:val="0"/>
        <w:spacing w:line="578" w:lineRule="exact"/>
        <w:ind w:left="0" w:firstLine="643" w:firstLineChars="200"/>
        <w:rPr>
          <w:rFonts w:eastAsia="仿宋_GB2312"/>
          <w:bCs/>
          <w:color w:val="000000"/>
          <w:sz w:val="32"/>
          <w:szCs w:val="32"/>
        </w:rPr>
      </w:pPr>
      <w:r>
        <w:rPr>
          <w:rFonts w:eastAsia="仿宋_GB2312"/>
          <w:b/>
          <w:color w:val="000000"/>
          <w:sz w:val="32"/>
          <w:szCs w:val="32"/>
        </w:rPr>
        <w:t>（3）项目建设进度计划。</w:t>
      </w:r>
      <w:r>
        <w:rPr>
          <w:rFonts w:eastAsia="仿宋_GB2312"/>
          <w:bCs/>
          <w:color w:val="000000"/>
          <w:sz w:val="32"/>
          <w:szCs w:val="32"/>
        </w:rPr>
        <w:t>项目于3月启动实施，11月完成本年目标计划。</w:t>
      </w:r>
    </w:p>
    <w:p w14:paraId="08B2BF96">
      <w:pPr>
        <w:autoSpaceDE w:val="0"/>
        <w:autoSpaceDN w:val="0"/>
        <w:snapToGrid w:val="0"/>
        <w:spacing w:line="578" w:lineRule="exact"/>
        <w:ind w:firstLine="643" w:firstLineChars="200"/>
        <w:rPr>
          <w:rFonts w:eastAsia="仿宋_GB2312"/>
          <w:sz w:val="32"/>
          <w:szCs w:val="32"/>
        </w:rPr>
      </w:pPr>
      <w:r>
        <w:rPr>
          <w:rFonts w:eastAsia="仿宋_GB2312"/>
          <w:b/>
          <w:color w:val="000000"/>
          <w:sz w:val="32"/>
          <w:szCs w:val="32"/>
        </w:rPr>
        <w:t>（4）项目效益。</w:t>
      </w:r>
      <w:r>
        <w:rPr>
          <w:rFonts w:eastAsia="仿宋_GB2312"/>
          <w:sz w:val="32"/>
          <w:szCs w:val="32"/>
        </w:rPr>
        <w:t>项目实施后，不断壮大村产业发展，让群众增收。惠及1个脱贫村、21户脱贫户。</w:t>
      </w:r>
    </w:p>
    <w:p w14:paraId="0ED8EA92">
      <w:pPr>
        <w:overflowPunct w:val="0"/>
        <w:adjustRightInd w:val="0"/>
        <w:snapToGrid w:val="0"/>
        <w:spacing w:line="578" w:lineRule="exact"/>
        <w:ind w:left="0" w:firstLine="643" w:firstLineChars="200"/>
        <w:rPr>
          <w:rFonts w:eastAsia="仿宋_GB2312"/>
          <w:b/>
          <w:color w:val="000000"/>
          <w:sz w:val="32"/>
          <w:szCs w:val="32"/>
        </w:rPr>
      </w:pPr>
      <w:r>
        <w:rPr>
          <w:rFonts w:eastAsia="仿宋_GB2312"/>
          <w:b/>
          <w:color w:val="000000"/>
          <w:sz w:val="32"/>
          <w:szCs w:val="32"/>
        </w:rPr>
        <w:t>5.其他类项目。</w:t>
      </w:r>
    </w:p>
    <w:p w14:paraId="2A8568DC">
      <w:pPr>
        <w:overflowPunct w:val="0"/>
        <w:autoSpaceDE w:val="0"/>
        <w:autoSpaceDN w:val="0"/>
        <w:adjustRightInd w:val="0"/>
        <w:snapToGrid w:val="0"/>
        <w:spacing w:line="578" w:lineRule="exact"/>
        <w:ind w:left="0" w:firstLine="640" w:firstLineChars="200"/>
      </w:pPr>
      <w:r>
        <w:rPr>
          <w:rFonts w:eastAsia="仿宋_GB2312"/>
          <w:bCs/>
          <w:color w:val="000000"/>
          <w:sz w:val="32"/>
          <w:szCs w:val="32"/>
        </w:rPr>
        <w:t>年初其他类项目共有0个。本次调整后共有</w:t>
      </w:r>
      <w:r>
        <w:rPr>
          <w:bCs/>
          <w:color w:val="000000"/>
          <w:sz w:val="32"/>
          <w:szCs w:val="32"/>
        </w:rPr>
        <w:t>5</w:t>
      </w:r>
      <w:r>
        <w:rPr>
          <w:rFonts w:eastAsia="仿宋_GB2312"/>
          <w:bCs/>
          <w:color w:val="000000"/>
          <w:sz w:val="32"/>
          <w:szCs w:val="32"/>
        </w:rPr>
        <w:t>个。</w:t>
      </w:r>
    </w:p>
    <w:p w14:paraId="72BB5D3D">
      <w:pPr>
        <w:overflowPunct w:val="0"/>
        <w:adjustRightInd w:val="0"/>
        <w:snapToGrid w:val="0"/>
        <w:spacing w:line="578" w:lineRule="exact"/>
        <w:ind w:left="0" w:firstLine="643" w:firstLineChars="200"/>
        <w:rPr>
          <w:rFonts w:eastAsia="仿宋_GB2312"/>
          <w:sz w:val="32"/>
          <w:szCs w:val="32"/>
        </w:rPr>
      </w:pPr>
      <w:r>
        <w:rPr>
          <w:rFonts w:eastAsia="仿宋_GB2312"/>
          <w:b/>
          <w:color w:val="000000"/>
          <w:sz w:val="32"/>
          <w:szCs w:val="32"/>
        </w:rPr>
        <w:t>（1）实施地点。</w:t>
      </w:r>
      <w:r>
        <w:rPr>
          <w:rFonts w:eastAsia="仿宋_GB2312"/>
          <w:bCs/>
          <w:color w:val="000000"/>
          <w:sz w:val="32"/>
          <w:szCs w:val="32"/>
        </w:rPr>
        <w:t>川主寺镇、全县范围内</w:t>
      </w:r>
      <w:r>
        <w:rPr>
          <w:rFonts w:eastAsia="仿宋_GB2312"/>
          <w:sz w:val="32"/>
          <w:szCs w:val="32"/>
        </w:rPr>
        <w:t>实施。</w:t>
      </w:r>
    </w:p>
    <w:p w14:paraId="307C16F3">
      <w:pPr>
        <w:overflowPunct w:val="0"/>
        <w:adjustRightInd w:val="0"/>
        <w:snapToGrid w:val="0"/>
        <w:spacing w:line="578" w:lineRule="exact"/>
        <w:ind w:left="0" w:firstLine="643" w:firstLineChars="200"/>
        <w:rPr>
          <w:rFonts w:eastAsia="仿宋_GB2312"/>
          <w:bCs/>
          <w:color w:val="000000"/>
          <w:sz w:val="32"/>
          <w:szCs w:val="32"/>
        </w:rPr>
      </w:pPr>
      <w:r>
        <w:rPr>
          <w:rFonts w:eastAsia="仿宋_GB2312"/>
          <w:b/>
          <w:color w:val="000000"/>
          <w:sz w:val="32"/>
          <w:szCs w:val="32"/>
        </w:rPr>
        <w:t>（2）建设内容及规模。</w:t>
      </w:r>
      <w:r>
        <w:rPr>
          <w:rFonts w:eastAsia="仿宋_GB2312"/>
          <w:bCs/>
          <w:color w:val="000000"/>
          <w:sz w:val="32"/>
          <w:szCs w:val="32"/>
        </w:rPr>
        <w:t>川主寺镇：1.对灌溉用水池边坡进行加固整治，彻底消除坍塌风险；2.运用专业防渗技术，对水池实施防渗漏处理，以此实现水资源的高效利用等；在全县范围内：1.对实际从事种养殖、服务行业且具备产业发展能力、发展条件、发展愿望未消除风险监测对象；2.纳入全州“石榴籽”工程重点帮扶对象的脱贫户；3.以及年人均纯收入低于12000元的脱贫户等。</w:t>
      </w:r>
    </w:p>
    <w:p w14:paraId="24A2EA1D">
      <w:pPr>
        <w:overflowPunct w:val="0"/>
        <w:adjustRightInd w:val="0"/>
        <w:snapToGrid w:val="0"/>
        <w:spacing w:line="578" w:lineRule="exact"/>
        <w:ind w:left="0" w:firstLine="643" w:firstLineChars="200"/>
        <w:rPr>
          <w:rFonts w:eastAsia="仿宋_GB2312"/>
          <w:bCs/>
          <w:color w:val="000000"/>
          <w:sz w:val="32"/>
          <w:szCs w:val="32"/>
        </w:rPr>
      </w:pPr>
      <w:r>
        <w:rPr>
          <w:rFonts w:eastAsia="仿宋_GB2312"/>
          <w:b/>
          <w:color w:val="000000"/>
          <w:sz w:val="32"/>
          <w:szCs w:val="32"/>
        </w:rPr>
        <w:t>（3）项目建设进度计划。</w:t>
      </w:r>
      <w:r>
        <w:rPr>
          <w:rFonts w:eastAsia="仿宋_GB2312"/>
          <w:bCs/>
          <w:color w:val="000000"/>
          <w:sz w:val="32"/>
          <w:szCs w:val="32"/>
        </w:rPr>
        <w:t>项目于3月启动实施，11月完成本年目标计划。</w:t>
      </w:r>
    </w:p>
    <w:p w14:paraId="62E04A36">
      <w:pPr>
        <w:overflowPunct w:val="0"/>
        <w:adjustRightInd w:val="0"/>
        <w:snapToGrid w:val="0"/>
        <w:spacing w:line="578" w:lineRule="exact"/>
        <w:ind w:left="0" w:firstLine="643" w:firstLineChars="200"/>
        <w:rPr>
          <w:rFonts w:eastAsia="仿宋_GB2312"/>
          <w:sz w:val="32"/>
          <w:szCs w:val="32"/>
        </w:rPr>
      </w:pPr>
      <w:r>
        <w:rPr>
          <w:rFonts w:eastAsia="仿宋_GB2312"/>
          <w:b/>
          <w:color w:val="000000"/>
          <w:sz w:val="32"/>
          <w:szCs w:val="32"/>
        </w:rPr>
        <w:t>（4）项目效益。</w:t>
      </w:r>
      <w:r>
        <w:rPr>
          <w:rFonts w:eastAsia="仿宋_GB2312"/>
          <w:sz w:val="32"/>
          <w:szCs w:val="32"/>
        </w:rPr>
        <w:t>补齐产业发展短板。惠及</w:t>
      </w:r>
      <w:r>
        <w:rPr>
          <w:sz w:val="32"/>
          <w:szCs w:val="32"/>
        </w:rPr>
        <w:t>42</w:t>
      </w:r>
      <w:r>
        <w:rPr>
          <w:rFonts w:eastAsia="仿宋_GB2312"/>
          <w:sz w:val="32"/>
          <w:szCs w:val="32"/>
        </w:rPr>
        <w:t>个脱贫村、23</w:t>
      </w:r>
      <w:r>
        <w:rPr>
          <w:sz w:val="32"/>
          <w:szCs w:val="32"/>
        </w:rPr>
        <w:t>7</w:t>
      </w:r>
      <w:r>
        <w:rPr>
          <w:rFonts w:eastAsia="仿宋_GB2312"/>
          <w:sz w:val="32"/>
          <w:szCs w:val="32"/>
        </w:rPr>
        <w:t>户脱贫户。</w:t>
      </w:r>
    </w:p>
    <w:p w14:paraId="08347656">
      <w:pPr>
        <w:pStyle w:val="4"/>
        <w:overflowPunct w:val="0"/>
        <w:autoSpaceDE w:val="0"/>
        <w:autoSpaceDN w:val="0"/>
        <w:adjustRightInd w:val="0"/>
        <w:snapToGrid w:val="0"/>
        <w:spacing w:line="578" w:lineRule="exact"/>
        <w:ind w:left="0" w:firstLine="643" w:firstLineChars="200"/>
        <w:jc w:val="both"/>
        <w:rPr>
          <w:rFonts w:eastAsia="楷体_GB2312"/>
          <w:b/>
          <w:bCs/>
          <w:sz w:val="32"/>
          <w:szCs w:val="32"/>
        </w:rPr>
      </w:pPr>
      <w:bookmarkStart w:id="130" w:name="_Toc17714"/>
      <w:bookmarkStart w:id="131" w:name="_Toc7750"/>
      <w:bookmarkStart w:id="132" w:name="_Toc1699"/>
      <w:bookmarkStart w:id="133" w:name="_Toc2135"/>
      <w:r>
        <w:rPr>
          <w:rFonts w:eastAsia="楷体_GB2312"/>
          <w:b/>
          <w:bCs/>
          <w:sz w:val="32"/>
          <w:szCs w:val="32"/>
        </w:rPr>
        <w:t>（三）其他项目。</w:t>
      </w:r>
      <w:bookmarkEnd w:id="130"/>
      <w:bookmarkEnd w:id="131"/>
    </w:p>
    <w:bookmarkEnd w:id="132"/>
    <w:bookmarkEnd w:id="133"/>
    <w:p w14:paraId="19ADD619">
      <w:pPr>
        <w:overflowPunct w:val="0"/>
        <w:autoSpaceDE w:val="0"/>
        <w:autoSpaceDN w:val="0"/>
        <w:adjustRightInd w:val="0"/>
        <w:snapToGrid w:val="0"/>
        <w:spacing w:line="578" w:lineRule="exact"/>
        <w:ind w:left="0" w:firstLine="800" w:firstLineChars="250"/>
        <w:rPr>
          <w:rFonts w:eastAsia="仿宋_GB2312"/>
          <w:sz w:val="32"/>
          <w:szCs w:val="32"/>
        </w:rPr>
      </w:pPr>
      <w:r>
        <w:rPr>
          <w:rFonts w:eastAsia="仿宋_GB2312"/>
          <w:sz w:val="32"/>
          <w:szCs w:val="32"/>
        </w:rPr>
        <w:t>其他类共有项目3个。</w:t>
      </w:r>
      <w:r>
        <w:rPr>
          <w:rFonts w:eastAsia="仿宋_GB2312"/>
          <w:bCs/>
          <w:color w:val="000000"/>
          <w:sz w:val="32"/>
          <w:szCs w:val="32"/>
        </w:rPr>
        <w:t>本次调整后共有</w:t>
      </w:r>
      <w:r>
        <w:rPr>
          <w:bCs/>
          <w:color w:val="000000"/>
          <w:sz w:val="32"/>
          <w:szCs w:val="32"/>
        </w:rPr>
        <w:t>6</w:t>
      </w:r>
      <w:r>
        <w:rPr>
          <w:rFonts w:eastAsia="仿宋_GB2312"/>
          <w:bCs/>
          <w:color w:val="000000"/>
          <w:sz w:val="32"/>
          <w:szCs w:val="32"/>
        </w:rPr>
        <w:t>个</w:t>
      </w:r>
      <w:r>
        <w:rPr>
          <w:bCs/>
          <w:color w:val="000000"/>
          <w:sz w:val="32"/>
          <w:szCs w:val="32"/>
        </w:rPr>
        <w:t>。</w:t>
      </w:r>
    </w:p>
    <w:p w14:paraId="7446F437">
      <w:pPr>
        <w:overflowPunct w:val="0"/>
        <w:adjustRightInd w:val="0"/>
        <w:snapToGrid w:val="0"/>
        <w:spacing w:line="578" w:lineRule="exact"/>
        <w:ind w:left="0" w:firstLine="643" w:firstLineChars="200"/>
        <w:rPr>
          <w:rFonts w:eastAsia="仿宋_GB2312"/>
          <w:bCs/>
          <w:color w:val="000000"/>
          <w:sz w:val="32"/>
          <w:szCs w:val="32"/>
        </w:rPr>
      </w:pPr>
      <w:r>
        <w:rPr>
          <w:rFonts w:eastAsia="仿宋_GB2312"/>
          <w:b/>
          <w:color w:val="000000"/>
          <w:sz w:val="32"/>
          <w:szCs w:val="32"/>
        </w:rPr>
        <w:t>（1）实施地点。</w:t>
      </w:r>
      <w:r>
        <w:rPr>
          <w:rFonts w:eastAsia="仿宋_GB2312"/>
          <w:bCs/>
          <w:color w:val="000000"/>
          <w:sz w:val="32"/>
          <w:szCs w:val="32"/>
        </w:rPr>
        <w:t>十里回族乡、镇坪乡、川主寺镇、岷江乡等。</w:t>
      </w:r>
    </w:p>
    <w:p w14:paraId="10FC768C">
      <w:pPr>
        <w:overflowPunct w:val="0"/>
        <w:adjustRightInd w:val="0"/>
        <w:snapToGrid w:val="0"/>
        <w:spacing w:line="578" w:lineRule="exact"/>
        <w:ind w:left="0" w:firstLine="643" w:firstLineChars="200"/>
        <w:rPr>
          <w:rFonts w:eastAsia="仿宋_GB2312"/>
          <w:bCs/>
          <w:color w:val="000000"/>
          <w:sz w:val="32"/>
          <w:szCs w:val="32"/>
        </w:rPr>
      </w:pPr>
      <w:r>
        <w:rPr>
          <w:rFonts w:eastAsia="仿宋_GB2312"/>
          <w:b/>
          <w:color w:val="000000"/>
          <w:sz w:val="32"/>
          <w:szCs w:val="32"/>
        </w:rPr>
        <w:t>（2）建设内容及规模。</w:t>
      </w:r>
      <w:r>
        <w:rPr>
          <w:rFonts w:eastAsia="仿宋_GB2312"/>
          <w:bCs/>
          <w:color w:val="000000"/>
          <w:sz w:val="32"/>
          <w:szCs w:val="32"/>
        </w:rPr>
        <w:t>十里回族乡：沥青路面铺设8240.14平方米；新村公共环境综合提升约20800平方米等；镇坪乡：恢复连接靖夷堡遗址道路600米、均宽2米及周边基础配套设施等，实现该村农旅融合发展等；川主寺镇：从十里乡交界至川主寺镇区范围内进行环境综合整治，修建挡土墙、围墙、裸土治理，公共区域乱象等；岷江乡：1.新塘关村产业道路维修维护7公里，涵管铺设10处；2.若尔寨产业道路维修维护14公里，涵管铺设3处。</w:t>
      </w:r>
    </w:p>
    <w:p w14:paraId="0F773037">
      <w:pPr>
        <w:overflowPunct w:val="0"/>
        <w:adjustRightInd w:val="0"/>
        <w:snapToGrid w:val="0"/>
        <w:spacing w:line="578" w:lineRule="exact"/>
        <w:ind w:left="0" w:firstLine="643" w:firstLineChars="200"/>
        <w:rPr>
          <w:rFonts w:eastAsia="仿宋_GB2312"/>
          <w:bCs/>
          <w:color w:val="000000"/>
          <w:sz w:val="32"/>
          <w:szCs w:val="32"/>
        </w:rPr>
      </w:pPr>
      <w:r>
        <w:rPr>
          <w:rFonts w:eastAsia="仿宋_GB2312"/>
          <w:b/>
          <w:color w:val="000000"/>
          <w:sz w:val="32"/>
          <w:szCs w:val="32"/>
        </w:rPr>
        <w:t>（3）项目建设进度计划。</w:t>
      </w:r>
      <w:r>
        <w:rPr>
          <w:rFonts w:eastAsia="仿宋_GB2312"/>
          <w:bCs/>
          <w:color w:val="000000"/>
          <w:sz w:val="32"/>
          <w:szCs w:val="32"/>
        </w:rPr>
        <w:t>项目于3月启动实施，11月完成本年目标计划。</w:t>
      </w:r>
    </w:p>
    <w:p w14:paraId="4EFB1A4A">
      <w:pPr>
        <w:overflowPunct w:val="0"/>
        <w:adjustRightInd w:val="0"/>
        <w:snapToGrid w:val="0"/>
        <w:spacing w:line="578" w:lineRule="exact"/>
        <w:ind w:left="0" w:firstLine="643" w:firstLineChars="200"/>
        <w:rPr>
          <w:rFonts w:eastAsia="仿宋_GB2312"/>
          <w:sz w:val="32"/>
          <w:szCs w:val="32"/>
        </w:rPr>
      </w:pPr>
      <w:r>
        <w:rPr>
          <w:rFonts w:eastAsia="仿宋_GB2312"/>
          <w:b/>
          <w:color w:val="000000"/>
          <w:sz w:val="32"/>
          <w:szCs w:val="32"/>
        </w:rPr>
        <w:t>（4）项目效益。</w:t>
      </w:r>
      <w:r>
        <w:rPr>
          <w:rFonts w:eastAsia="仿宋_GB2312"/>
          <w:sz w:val="32"/>
          <w:szCs w:val="32"/>
        </w:rPr>
        <w:t>补齐产业发展短板。惠及</w:t>
      </w:r>
      <w:r>
        <w:rPr>
          <w:sz w:val="32"/>
          <w:szCs w:val="32"/>
        </w:rPr>
        <w:t>1</w:t>
      </w:r>
      <w:r>
        <w:rPr>
          <w:rFonts w:eastAsia="仿宋_GB2312"/>
          <w:sz w:val="32"/>
          <w:szCs w:val="32"/>
        </w:rPr>
        <w:t>个脱贫村、</w:t>
      </w:r>
      <w:r>
        <w:rPr>
          <w:sz w:val="32"/>
          <w:szCs w:val="32"/>
        </w:rPr>
        <w:t>173</w:t>
      </w:r>
      <w:r>
        <w:rPr>
          <w:rFonts w:eastAsia="仿宋_GB2312"/>
          <w:sz w:val="32"/>
          <w:szCs w:val="32"/>
        </w:rPr>
        <w:t>户脱贫户。</w:t>
      </w:r>
    </w:p>
    <w:p w14:paraId="5883DCF0">
      <w:pPr>
        <w:overflowPunct w:val="0"/>
        <w:adjustRightInd w:val="0"/>
        <w:snapToGrid w:val="0"/>
        <w:spacing w:line="578" w:lineRule="exact"/>
        <w:ind w:left="0" w:firstLine="640" w:firstLineChars="200"/>
        <w:rPr>
          <w:rFonts w:eastAsia="仿宋_GB2312"/>
          <w:sz w:val="32"/>
          <w:szCs w:val="32"/>
        </w:rPr>
      </w:pPr>
    </w:p>
    <w:p w14:paraId="2244BF3D">
      <w:pPr>
        <w:pStyle w:val="3"/>
        <w:keepNext w:val="0"/>
        <w:keepLines w:val="0"/>
        <w:overflowPunct w:val="0"/>
        <w:autoSpaceDE w:val="0"/>
        <w:autoSpaceDN w:val="0"/>
        <w:adjustRightInd w:val="0"/>
        <w:snapToGrid w:val="0"/>
        <w:spacing w:line="578" w:lineRule="exact"/>
        <w:ind w:left="0"/>
        <w:rPr>
          <w:sz w:val="32"/>
          <w:szCs w:val="32"/>
        </w:rPr>
      </w:pPr>
      <w:bookmarkStart w:id="134" w:name="_Toc7971"/>
      <w:bookmarkStart w:id="135" w:name="_Toc7348"/>
      <w:bookmarkStart w:id="136" w:name="_Toc1558"/>
      <w:bookmarkStart w:id="137" w:name="_Toc11956"/>
      <w:r>
        <w:rPr>
          <w:sz w:val="32"/>
          <w:szCs w:val="32"/>
        </w:rPr>
        <w:t>第五章  整合资金</w:t>
      </w:r>
      <w:bookmarkEnd w:id="134"/>
      <w:bookmarkEnd w:id="135"/>
      <w:bookmarkEnd w:id="136"/>
      <w:bookmarkEnd w:id="137"/>
    </w:p>
    <w:p w14:paraId="73B67AE6">
      <w:pPr>
        <w:overflowPunct w:val="0"/>
        <w:adjustRightInd w:val="0"/>
        <w:snapToGrid w:val="0"/>
        <w:spacing w:line="578" w:lineRule="exact"/>
        <w:ind w:left="0"/>
      </w:pPr>
    </w:p>
    <w:p w14:paraId="681C8792">
      <w:pPr>
        <w:pStyle w:val="4"/>
        <w:overflowPunct w:val="0"/>
        <w:autoSpaceDE w:val="0"/>
        <w:autoSpaceDN w:val="0"/>
        <w:adjustRightInd w:val="0"/>
        <w:snapToGrid w:val="0"/>
        <w:spacing w:line="578" w:lineRule="exact"/>
        <w:ind w:left="0" w:firstLine="643" w:firstLineChars="200"/>
        <w:jc w:val="both"/>
        <w:rPr>
          <w:rFonts w:eastAsia="楷体_GB2312"/>
          <w:b/>
          <w:bCs/>
          <w:sz w:val="32"/>
          <w:szCs w:val="32"/>
        </w:rPr>
      </w:pPr>
      <w:bookmarkStart w:id="138" w:name="_Toc15043"/>
      <w:bookmarkStart w:id="139" w:name="_Toc12182"/>
      <w:bookmarkStart w:id="140" w:name="_Toc8368"/>
      <w:bookmarkStart w:id="141" w:name="_Toc2762"/>
      <w:r>
        <w:rPr>
          <w:rFonts w:eastAsia="楷体_GB2312"/>
          <w:b/>
          <w:bCs/>
          <w:sz w:val="32"/>
          <w:szCs w:val="32"/>
        </w:rPr>
        <w:t>（一）项目计划总投资情况。</w:t>
      </w:r>
      <w:bookmarkEnd w:id="138"/>
      <w:bookmarkEnd w:id="139"/>
      <w:bookmarkEnd w:id="140"/>
      <w:bookmarkEnd w:id="141"/>
    </w:p>
    <w:p w14:paraId="2DCF3D1B">
      <w:pPr>
        <w:pStyle w:val="4"/>
        <w:autoSpaceDE w:val="0"/>
        <w:autoSpaceDN w:val="0"/>
        <w:snapToGrid w:val="0"/>
        <w:spacing w:line="578" w:lineRule="exact"/>
        <w:ind w:left="0" w:firstLine="640" w:firstLineChars="200"/>
        <w:jc w:val="both"/>
        <w:rPr>
          <w:rFonts w:eastAsia="仿宋_GB2312"/>
          <w:sz w:val="32"/>
          <w:szCs w:val="32"/>
        </w:rPr>
      </w:pPr>
      <w:bookmarkStart w:id="142" w:name="_Toc12788"/>
      <w:bookmarkStart w:id="143" w:name="_Toc5508"/>
      <w:bookmarkStart w:id="144" w:name="_Toc26704"/>
      <w:bookmarkStart w:id="145" w:name="_Toc104"/>
      <w:r>
        <w:rPr>
          <w:rFonts w:eastAsia="仿宋_GB2312"/>
          <w:sz w:val="32"/>
          <w:szCs w:val="32"/>
        </w:rPr>
        <w:t>2025年我县财政涉农资金统筹整合方案项目计划总</w:t>
      </w:r>
      <w:r>
        <w:rPr>
          <w:rFonts w:hint="eastAsia" w:eastAsia="仿宋_GB2312"/>
          <w:sz w:val="32"/>
          <w:szCs w:val="32"/>
          <w:lang w:eastAsia="zh-CN"/>
        </w:rPr>
        <w:t>投资</w:t>
      </w:r>
      <w:r>
        <w:rPr>
          <w:rFonts w:eastAsia="仿宋_GB2312"/>
          <w:sz w:val="32"/>
          <w:szCs w:val="32"/>
        </w:rPr>
        <w:t>45778万元，其中整合涉农资金5970万元。</w:t>
      </w:r>
      <w:bookmarkEnd w:id="142"/>
      <w:bookmarkEnd w:id="143"/>
      <w:bookmarkEnd w:id="144"/>
      <w:bookmarkEnd w:id="145"/>
      <w:r>
        <w:rPr>
          <w:rFonts w:eastAsia="仿宋_GB2312"/>
          <w:b/>
          <w:sz w:val="32"/>
          <w:szCs w:val="32"/>
        </w:rPr>
        <w:t>本次调整后：</w:t>
      </w:r>
      <w:r>
        <w:rPr>
          <w:rFonts w:eastAsia="仿宋_GB2312"/>
          <w:sz w:val="32"/>
          <w:szCs w:val="32"/>
        </w:rPr>
        <w:t>2025年我县财政涉农资金统筹整合方案年初项目计划总投</w:t>
      </w:r>
      <w:r>
        <w:rPr>
          <w:sz w:val="32"/>
          <w:szCs w:val="32"/>
        </w:rPr>
        <w:t>资60176.5</w:t>
      </w:r>
      <w:r>
        <w:rPr>
          <w:rFonts w:eastAsia="仿宋_GB2312"/>
          <w:sz w:val="32"/>
          <w:szCs w:val="32"/>
        </w:rPr>
        <w:t xml:space="preserve">万元，其中整合涉农资金7618.5万元。 </w:t>
      </w:r>
    </w:p>
    <w:p w14:paraId="14896CFC">
      <w:pPr>
        <w:overflowPunct w:val="0"/>
        <w:autoSpaceDE w:val="0"/>
        <w:autoSpaceDN w:val="0"/>
        <w:adjustRightInd w:val="0"/>
        <w:snapToGrid w:val="0"/>
        <w:spacing w:line="578" w:lineRule="exact"/>
        <w:ind w:left="0" w:firstLine="643" w:firstLineChars="200"/>
        <w:outlineLvl w:val="0"/>
        <w:rPr>
          <w:rFonts w:eastAsia="仿宋_GB2312"/>
          <w:b/>
          <w:bCs/>
          <w:sz w:val="32"/>
          <w:szCs w:val="32"/>
        </w:rPr>
      </w:pPr>
      <w:bookmarkStart w:id="146" w:name="_Toc25751"/>
      <w:bookmarkStart w:id="147" w:name="_Toc22205"/>
      <w:bookmarkStart w:id="148" w:name="_Toc17713"/>
      <w:bookmarkStart w:id="149" w:name="_Toc30902"/>
      <w:r>
        <w:rPr>
          <w:rFonts w:eastAsia="仿宋_GB2312"/>
          <w:b/>
          <w:bCs/>
          <w:sz w:val="32"/>
          <w:szCs w:val="32"/>
        </w:rPr>
        <w:t>1.基础设施类</w:t>
      </w:r>
      <w:bookmarkEnd w:id="146"/>
      <w:bookmarkEnd w:id="147"/>
      <w:r>
        <w:rPr>
          <w:rFonts w:eastAsia="仿宋_GB2312"/>
          <w:b/>
          <w:bCs/>
          <w:sz w:val="32"/>
          <w:szCs w:val="32"/>
        </w:rPr>
        <w:t>。</w:t>
      </w:r>
    </w:p>
    <w:p w14:paraId="6069B324">
      <w:pPr>
        <w:autoSpaceDE w:val="0"/>
        <w:autoSpaceDN w:val="0"/>
        <w:snapToGrid w:val="0"/>
        <w:spacing w:line="578" w:lineRule="exact"/>
        <w:ind w:firstLine="643" w:firstLineChars="200"/>
        <w:outlineLvl w:val="0"/>
        <w:rPr>
          <w:rFonts w:eastAsia="仿宋_GB2312"/>
          <w:sz w:val="32"/>
          <w:szCs w:val="32"/>
        </w:rPr>
      </w:pPr>
      <w:bookmarkStart w:id="150" w:name="_Toc27115"/>
      <w:bookmarkStart w:id="151" w:name="_Toc2514"/>
      <w:r>
        <w:rPr>
          <w:rFonts w:eastAsia="仿宋_GB2312"/>
          <w:b/>
          <w:bCs/>
          <w:sz w:val="32"/>
          <w:szCs w:val="32"/>
        </w:rPr>
        <w:t>年初：</w:t>
      </w:r>
      <w:bookmarkEnd w:id="148"/>
      <w:bookmarkEnd w:id="149"/>
      <w:bookmarkEnd w:id="150"/>
      <w:bookmarkEnd w:id="151"/>
      <w:r>
        <w:rPr>
          <w:rFonts w:eastAsia="仿宋_GB2312"/>
          <w:sz w:val="32"/>
          <w:szCs w:val="32"/>
        </w:rPr>
        <w:t>计划投资354万元，其中整合涉农资金354万元。具体是：农村交通（通村路、村内道路、其他）200万元，其中整合涉农资金200万元；水利（水利工程、饮水工程）154元，其中整合涉农资金154万元。</w:t>
      </w:r>
      <w:r>
        <w:rPr>
          <w:rFonts w:eastAsia="仿宋_GB2312"/>
          <w:b/>
          <w:sz w:val="32"/>
          <w:szCs w:val="32"/>
        </w:rPr>
        <w:t>本次调整后：</w:t>
      </w:r>
      <w:r>
        <w:rPr>
          <w:rFonts w:eastAsia="仿宋_GB2312"/>
          <w:bCs/>
          <w:sz w:val="32"/>
          <w:szCs w:val="32"/>
        </w:rPr>
        <w:t>计划总投</w:t>
      </w:r>
      <w:r>
        <w:rPr>
          <w:sz w:val="32"/>
          <w:szCs w:val="32"/>
        </w:rPr>
        <w:t>资</w:t>
      </w:r>
      <w:r>
        <w:rPr>
          <w:rFonts w:eastAsia="仿宋_GB2312"/>
          <w:bCs/>
          <w:sz w:val="32"/>
          <w:szCs w:val="32"/>
        </w:rPr>
        <w:t>1551万元，其中整合涉农资金</w:t>
      </w:r>
      <w:r>
        <w:rPr>
          <w:bCs/>
          <w:sz w:val="32"/>
          <w:szCs w:val="32"/>
        </w:rPr>
        <w:t>1551</w:t>
      </w:r>
      <w:r>
        <w:rPr>
          <w:rFonts w:eastAsia="仿宋_GB2312"/>
          <w:bCs/>
          <w:sz w:val="32"/>
          <w:szCs w:val="32"/>
        </w:rPr>
        <w:t>万元。具体是：农村交通（通村路、村内道路、其他）967万元，其中整合涉农资金</w:t>
      </w:r>
      <w:r>
        <w:rPr>
          <w:bCs/>
          <w:sz w:val="32"/>
          <w:szCs w:val="32"/>
        </w:rPr>
        <w:t>967</w:t>
      </w:r>
      <w:r>
        <w:rPr>
          <w:rFonts w:eastAsia="仿宋_GB2312"/>
          <w:bCs/>
          <w:sz w:val="32"/>
          <w:szCs w:val="32"/>
        </w:rPr>
        <w:t>万元；水利（水利工程、饮水工程）574.5万元，其中整合涉农资金574.5万元。</w:t>
      </w:r>
    </w:p>
    <w:p w14:paraId="13A0532E">
      <w:pPr>
        <w:overflowPunct w:val="0"/>
        <w:autoSpaceDE w:val="0"/>
        <w:autoSpaceDN w:val="0"/>
        <w:adjustRightInd w:val="0"/>
        <w:snapToGrid w:val="0"/>
        <w:spacing w:line="578" w:lineRule="exact"/>
        <w:ind w:left="0" w:firstLine="643" w:firstLineChars="200"/>
        <w:outlineLvl w:val="0"/>
        <w:rPr>
          <w:rFonts w:eastAsia="仿宋_GB2312"/>
          <w:b/>
          <w:bCs/>
          <w:sz w:val="32"/>
          <w:szCs w:val="32"/>
        </w:rPr>
      </w:pPr>
      <w:bookmarkStart w:id="152" w:name="_Toc4264"/>
      <w:bookmarkStart w:id="153" w:name="_Toc23814"/>
      <w:bookmarkStart w:id="154" w:name="_Toc16307"/>
      <w:bookmarkStart w:id="155" w:name="_Toc78"/>
      <w:r>
        <w:rPr>
          <w:rFonts w:eastAsia="仿宋_GB2312"/>
          <w:b/>
          <w:bCs/>
          <w:sz w:val="32"/>
          <w:szCs w:val="32"/>
        </w:rPr>
        <w:t>2.农业产业发展类</w:t>
      </w:r>
      <w:bookmarkEnd w:id="152"/>
      <w:bookmarkEnd w:id="153"/>
      <w:r>
        <w:rPr>
          <w:rFonts w:eastAsia="仿宋_GB2312"/>
          <w:b/>
          <w:bCs/>
          <w:sz w:val="32"/>
          <w:szCs w:val="32"/>
        </w:rPr>
        <w:t>。</w:t>
      </w:r>
    </w:p>
    <w:p w14:paraId="70666B23">
      <w:pPr>
        <w:autoSpaceDE w:val="0"/>
        <w:autoSpaceDN w:val="0"/>
        <w:snapToGrid w:val="0"/>
        <w:spacing w:line="578" w:lineRule="exact"/>
        <w:ind w:firstLine="643" w:firstLineChars="200"/>
        <w:outlineLvl w:val="0"/>
        <w:rPr>
          <w:rFonts w:eastAsia="仿宋_GB2312"/>
          <w:sz w:val="32"/>
          <w:szCs w:val="32"/>
        </w:rPr>
      </w:pPr>
      <w:bookmarkStart w:id="156" w:name="_Toc18614"/>
      <w:bookmarkStart w:id="157" w:name="_Toc12800"/>
      <w:r>
        <w:rPr>
          <w:rFonts w:eastAsia="仿宋_GB2312"/>
          <w:b/>
          <w:bCs/>
          <w:sz w:val="32"/>
          <w:szCs w:val="32"/>
        </w:rPr>
        <w:t>年初：</w:t>
      </w:r>
      <w:bookmarkEnd w:id="154"/>
      <w:bookmarkEnd w:id="155"/>
      <w:bookmarkEnd w:id="156"/>
      <w:bookmarkEnd w:id="157"/>
      <w:r>
        <w:rPr>
          <w:rFonts w:eastAsia="仿宋_GB2312"/>
          <w:sz w:val="32"/>
          <w:szCs w:val="32"/>
        </w:rPr>
        <w:t>计划投资44884万元，其中整合涉农资金5076万元。具体是：种植业22464万元，其中整合涉农资金2400万元；养殖业21500万元，其中整合资金1900万元；农副产品加工业、手工业690万元，其中整合涉农资金636万元；乡村旅游业230万元，其中整合涉农资金140万元。</w:t>
      </w:r>
      <w:r>
        <w:rPr>
          <w:rFonts w:eastAsia="仿宋_GB2312"/>
          <w:b/>
          <w:sz w:val="32"/>
          <w:szCs w:val="32"/>
        </w:rPr>
        <w:t>本次调整后</w:t>
      </w:r>
      <w:r>
        <w:rPr>
          <w:rFonts w:eastAsia="仿宋_GB2312"/>
          <w:bCs/>
          <w:sz w:val="32"/>
          <w:szCs w:val="32"/>
        </w:rPr>
        <w:t>：计划总投资57806万元，其中整合涉农资金</w:t>
      </w:r>
      <w:r>
        <w:rPr>
          <w:bCs/>
          <w:sz w:val="32"/>
          <w:szCs w:val="32"/>
        </w:rPr>
        <w:t>5435</w:t>
      </w:r>
      <w:r>
        <w:rPr>
          <w:rFonts w:eastAsia="仿宋_GB2312"/>
          <w:bCs/>
          <w:sz w:val="32"/>
          <w:szCs w:val="32"/>
        </w:rPr>
        <w:t>万元。具体是：种植业29989.37万元，其中整合涉农资金</w:t>
      </w:r>
      <w:r>
        <w:rPr>
          <w:bCs/>
          <w:sz w:val="32"/>
          <w:szCs w:val="32"/>
        </w:rPr>
        <w:t>2610.37</w:t>
      </w:r>
      <w:r>
        <w:rPr>
          <w:rFonts w:eastAsia="仿宋_GB2312"/>
          <w:bCs/>
          <w:sz w:val="32"/>
          <w:szCs w:val="32"/>
        </w:rPr>
        <w:t>万元；养殖业26721万元，其中整合资金</w:t>
      </w:r>
      <w:r>
        <w:rPr>
          <w:bCs/>
          <w:sz w:val="32"/>
          <w:szCs w:val="32"/>
        </w:rPr>
        <w:t>2029</w:t>
      </w:r>
      <w:r>
        <w:rPr>
          <w:rFonts w:eastAsia="仿宋_GB2312"/>
          <w:bCs/>
          <w:sz w:val="32"/>
          <w:szCs w:val="32"/>
        </w:rPr>
        <w:t>万元；农副产品加工业、手工业510万元，其中整合涉农资金</w:t>
      </w:r>
      <w:r>
        <w:rPr>
          <w:bCs/>
          <w:sz w:val="32"/>
          <w:szCs w:val="32"/>
        </w:rPr>
        <w:t>280</w:t>
      </w:r>
      <w:r>
        <w:rPr>
          <w:rFonts w:eastAsia="仿宋_GB2312"/>
          <w:bCs/>
          <w:sz w:val="32"/>
          <w:szCs w:val="32"/>
        </w:rPr>
        <w:t>万元；乡村旅游业230万元，其中整合涉农资金</w:t>
      </w:r>
      <w:r>
        <w:rPr>
          <w:bCs/>
          <w:sz w:val="32"/>
          <w:szCs w:val="32"/>
        </w:rPr>
        <w:t>160</w:t>
      </w:r>
      <w:r>
        <w:rPr>
          <w:rFonts w:eastAsia="仿宋_GB2312"/>
          <w:bCs/>
          <w:sz w:val="32"/>
          <w:szCs w:val="32"/>
        </w:rPr>
        <w:t>万元；其他355.63万元，其中整合涉农资金355.63万元。</w:t>
      </w:r>
    </w:p>
    <w:p w14:paraId="642A182B">
      <w:pPr>
        <w:overflowPunct w:val="0"/>
        <w:autoSpaceDE w:val="0"/>
        <w:autoSpaceDN w:val="0"/>
        <w:adjustRightInd w:val="0"/>
        <w:snapToGrid w:val="0"/>
        <w:spacing w:line="578" w:lineRule="exact"/>
        <w:ind w:left="0" w:firstLine="643" w:firstLineChars="200"/>
        <w:outlineLvl w:val="0"/>
        <w:rPr>
          <w:rFonts w:eastAsia="仿宋_GB2312"/>
          <w:b/>
          <w:bCs/>
          <w:sz w:val="32"/>
          <w:szCs w:val="32"/>
        </w:rPr>
      </w:pPr>
      <w:bookmarkStart w:id="158" w:name="_Toc27247"/>
      <w:bookmarkStart w:id="159" w:name="_Toc19336"/>
      <w:bookmarkStart w:id="160" w:name="_Toc21166"/>
      <w:bookmarkStart w:id="161" w:name="_Toc26867"/>
      <w:r>
        <w:rPr>
          <w:rFonts w:eastAsia="仿宋_GB2312"/>
          <w:b/>
          <w:bCs/>
          <w:sz w:val="32"/>
          <w:szCs w:val="32"/>
        </w:rPr>
        <w:t>3.其他</w:t>
      </w:r>
      <w:bookmarkEnd w:id="158"/>
      <w:bookmarkEnd w:id="159"/>
      <w:r>
        <w:rPr>
          <w:rFonts w:eastAsia="仿宋_GB2312"/>
          <w:b/>
          <w:bCs/>
          <w:sz w:val="32"/>
          <w:szCs w:val="32"/>
        </w:rPr>
        <w:t>。</w:t>
      </w:r>
    </w:p>
    <w:p w14:paraId="4B389334">
      <w:pPr>
        <w:autoSpaceDE w:val="0"/>
        <w:autoSpaceDN w:val="0"/>
        <w:snapToGrid w:val="0"/>
        <w:spacing w:line="578" w:lineRule="exact"/>
        <w:ind w:firstLine="643" w:firstLineChars="200"/>
        <w:outlineLvl w:val="0"/>
        <w:rPr>
          <w:rFonts w:eastAsia="仿宋_GB2312"/>
          <w:sz w:val="32"/>
          <w:szCs w:val="32"/>
        </w:rPr>
      </w:pPr>
      <w:bookmarkStart w:id="162" w:name="_Toc26877"/>
      <w:bookmarkStart w:id="163" w:name="_Toc31623"/>
      <w:r>
        <w:rPr>
          <w:rFonts w:eastAsia="仿宋_GB2312"/>
          <w:b/>
          <w:bCs/>
          <w:sz w:val="32"/>
          <w:szCs w:val="32"/>
        </w:rPr>
        <w:t>年初：</w:t>
      </w:r>
      <w:bookmarkEnd w:id="160"/>
      <w:bookmarkEnd w:id="161"/>
      <w:bookmarkEnd w:id="162"/>
      <w:bookmarkEnd w:id="163"/>
      <w:r>
        <w:rPr>
          <w:rFonts w:eastAsia="仿宋_GB2312"/>
          <w:sz w:val="32"/>
          <w:szCs w:val="32"/>
        </w:rPr>
        <w:t>计划投资540万元，其中整合涉农资金540万元。</w:t>
      </w:r>
      <w:r>
        <w:rPr>
          <w:rFonts w:eastAsia="仿宋_GB2312"/>
          <w:b/>
          <w:sz w:val="32"/>
          <w:szCs w:val="32"/>
        </w:rPr>
        <w:t>本次调整后：</w:t>
      </w:r>
      <w:r>
        <w:rPr>
          <w:rFonts w:eastAsia="仿宋_GB2312"/>
          <w:bCs/>
          <w:sz w:val="32"/>
          <w:szCs w:val="32"/>
        </w:rPr>
        <w:t>计划总投资</w:t>
      </w:r>
      <w:r>
        <w:rPr>
          <w:bCs/>
          <w:sz w:val="32"/>
          <w:szCs w:val="32"/>
        </w:rPr>
        <w:t>820</w:t>
      </w:r>
      <w:r>
        <w:rPr>
          <w:rFonts w:eastAsia="仿宋_GB2312"/>
          <w:bCs/>
          <w:sz w:val="32"/>
          <w:szCs w:val="32"/>
        </w:rPr>
        <w:t>万元，其中整合涉农资金</w:t>
      </w:r>
      <w:r>
        <w:rPr>
          <w:bCs/>
          <w:sz w:val="32"/>
          <w:szCs w:val="32"/>
        </w:rPr>
        <w:t>633</w:t>
      </w:r>
      <w:r>
        <w:rPr>
          <w:rFonts w:eastAsia="仿宋_GB2312"/>
          <w:bCs/>
          <w:sz w:val="32"/>
          <w:szCs w:val="32"/>
        </w:rPr>
        <w:t>万元。</w:t>
      </w:r>
    </w:p>
    <w:p w14:paraId="71173C2B">
      <w:pPr>
        <w:pStyle w:val="4"/>
        <w:overflowPunct w:val="0"/>
        <w:autoSpaceDE w:val="0"/>
        <w:autoSpaceDN w:val="0"/>
        <w:adjustRightInd w:val="0"/>
        <w:snapToGrid w:val="0"/>
        <w:spacing w:line="578" w:lineRule="exact"/>
        <w:ind w:left="0" w:firstLine="643" w:firstLineChars="200"/>
        <w:jc w:val="both"/>
        <w:rPr>
          <w:rFonts w:eastAsia="楷体_GB2312"/>
          <w:b/>
          <w:bCs/>
          <w:sz w:val="32"/>
          <w:szCs w:val="32"/>
        </w:rPr>
      </w:pPr>
      <w:bookmarkStart w:id="164" w:name="_Toc10662"/>
      <w:bookmarkStart w:id="165" w:name="_Toc17087"/>
      <w:bookmarkStart w:id="166" w:name="_Toc30755"/>
      <w:bookmarkStart w:id="167" w:name="_Toc27093"/>
      <w:r>
        <w:rPr>
          <w:rFonts w:eastAsia="楷体_GB2312"/>
          <w:b/>
          <w:bCs/>
          <w:sz w:val="32"/>
          <w:szCs w:val="32"/>
        </w:rPr>
        <w:t>（二）整合资金来源及规模。</w:t>
      </w:r>
      <w:bookmarkEnd w:id="164"/>
      <w:bookmarkEnd w:id="165"/>
      <w:bookmarkEnd w:id="166"/>
      <w:bookmarkEnd w:id="167"/>
    </w:p>
    <w:p w14:paraId="0F03CDAB">
      <w:pPr>
        <w:overflowPunct w:val="0"/>
        <w:autoSpaceDE w:val="0"/>
        <w:autoSpaceDN w:val="0"/>
        <w:adjustRightInd w:val="0"/>
        <w:snapToGrid w:val="0"/>
        <w:spacing w:line="578" w:lineRule="exact"/>
        <w:ind w:left="0" w:firstLine="643" w:firstLineChars="200"/>
        <w:rPr>
          <w:rFonts w:eastAsia="仿宋_GB2312"/>
          <w:sz w:val="32"/>
          <w:szCs w:val="32"/>
        </w:rPr>
      </w:pPr>
      <w:r>
        <w:rPr>
          <w:rFonts w:eastAsia="仿宋_GB2312"/>
          <w:b/>
          <w:bCs/>
          <w:sz w:val="32"/>
          <w:szCs w:val="32"/>
        </w:rPr>
        <w:t>年初：</w:t>
      </w:r>
      <w:r>
        <w:rPr>
          <w:rFonts w:eastAsia="仿宋_GB2312"/>
          <w:sz w:val="32"/>
          <w:szCs w:val="32"/>
        </w:rPr>
        <w:t>2025年我县计划整合涉农资金5970万元。其中：省级资金5512万元、县级资金458万元。</w:t>
      </w:r>
      <w:r>
        <w:rPr>
          <w:rFonts w:eastAsia="仿宋_GB2312"/>
          <w:b/>
          <w:sz w:val="32"/>
          <w:szCs w:val="32"/>
        </w:rPr>
        <w:t>本次调整后：</w:t>
      </w:r>
      <w:r>
        <w:rPr>
          <w:rFonts w:eastAsia="仿宋_GB2312"/>
          <w:bCs/>
          <w:sz w:val="32"/>
          <w:szCs w:val="32"/>
        </w:rPr>
        <w:t>2025年我县计划整合涉农资金</w:t>
      </w:r>
      <w:r>
        <w:rPr>
          <w:rFonts w:hint="eastAsia" w:eastAsia="仿宋_GB2312"/>
          <w:bCs/>
          <w:sz w:val="32"/>
          <w:szCs w:val="32"/>
        </w:rPr>
        <w:t>7618.5</w:t>
      </w:r>
      <w:r>
        <w:rPr>
          <w:rFonts w:eastAsia="仿宋_GB2312"/>
          <w:bCs/>
          <w:sz w:val="32"/>
          <w:szCs w:val="32"/>
        </w:rPr>
        <w:t>万元。其中：省级资金6445.5万元、州级资金744万元、县级资金429万元。</w:t>
      </w:r>
    </w:p>
    <w:p w14:paraId="11EEC03F">
      <w:pPr>
        <w:overflowPunct w:val="0"/>
        <w:autoSpaceDE w:val="0"/>
        <w:autoSpaceDN w:val="0"/>
        <w:adjustRightInd w:val="0"/>
        <w:snapToGrid w:val="0"/>
        <w:spacing w:line="578" w:lineRule="exact"/>
        <w:ind w:left="0" w:firstLine="643" w:firstLineChars="200"/>
        <w:outlineLvl w:val="0"/>
        <w:rPr>
          <w:rFonts w:eastAsia="仿宋_GB2312"/>
          <w:b/>
          <w:bCs/>
          <w:sz w:val="32"/>
          <w:szCs w:val="32"/>
        </w:rPr>
      </w:pPr>
      <w:bookmarkStart w:id="168" w:name="_Toc30821"/>
      <w:bookmarkStart w:id="169" w:name="_Toc17118"/>
      <w:bookmarkStart w:id="170" w:name="_Toc9547"/>
      <w:bookmarkStart w:id="171" w:name="_Toc28040"/>
      <w:r>
        <w:rPr>
          <w:rFonts w:eastAsia="仿宋_GB2312"/>
          <w:b/>
          <w:bCs/>
          <w:sz w:val="32"/>
          <w:szCs w:val="32"/>
        </w:rPr>
        <w:t>1.省级财政涉农资金</w:t>
      </w:r>
      <w:bookmarkEnd w:id="168"/>
      <w:bookmarkEnd w:id="169"/>
      <w:r>
        <w:rPr>
          <w:rFonts w:eastAsia="仿宋_GB2312"/>
          <w:b/>
          <w:bCs/>
          <w:sz w:val="32"/>
          <w:szCs w:val="32"/>
        </w:rPr>
        <w:t>。</w:t>
      </w:r>
    </w:p>
    <w:p w14:paraId="571C530A">
      <w:pPr>
        <w:overflowPunct w:val="0"/>
        <w:autoSpaceDE w:val="0"/>
        <w:autoSpaceDN w:val="0"/>
        <w:adjustRightInd w:val="0"/>
        <w:snapToGrid w:val="0"/>
        <w:spacing w:line="578" w:lineRule="exact"/>
        <w:ind w:left="0" w:firstLine="643" w:firstLineChars="200"/>
        <w:outlineLvl w:val="0"/>
        <w:rPr>
          <w:rFonts w:eastAsia="仿宋_GB2312"/>
          <w:sz w:val="32"/>
          <w:szCs w:val="32"/>
        </w:rPr>
      </w:pPr>
      <w:bookmarkStart w:id="172" w:name="_Toc2288"/>
      <w:bookmarkStart w:id="173" w:name="_Toc24559"/>
      <w:r>
        <w:rPr>
          <w:rFonts w:eastAsia="仿宋_GB2312"/>
          <w:b/>
          <w:bCs/>
          <w:sz w:val="32"/>
          <w:szCs w:val="32"/>
        </w:rPr>
        <w:t>年初：</w:t>
      </w:r>
      <w:r>
        <w:rPr>
          <w:rFonts w:eastAsia="仿宋_GB2312"/>
          <w:sz w:val="32"/>
          <w:szCs w:val="32"/>
        </w:rPr>
        <w:t>省级财政衔接推进乡村振兴补助资金5512万元</w:t>
      </w:r>
      <w:bookmarkEnd w:id="170"/>
      <w:bookmarkEnd w:id="171"/>
      <w:bookmarkEnd w:id="172"/>
      <w:bookmarkEnd w:id="173"/>
      <w:r>
        <w:rPr>
          <w:rFonts w:eastAsia="仿宋_GB2312"/>
          <w:sz w:val="32"/>
          <w:szCs w:val="32"/>
        </w:rPr>
        <w:t>。本次调整后：省级财政衔接推进乡村振兴补助资金6445.5万元</w:t>
      </w:r>
    </w:p>
    <w:p w14:paraId="28F5C5A2">
      <w:pPr>
        <w:overflowPunct w:val="0"/>
        <w:autoSpaceDE w:val="0"/>
        <w:autoSpaceDN w:val="0"/>
        <w:adjustRightInd w:val="0"/>
        <w:snapToGrid w:val="0"/>
        <w:spacing w:line="578" w:lineRule="exact"/>
        <w:ind w:left="0" w:firstLine="643" w:firstLineChars="200"/>
        <w:outlineLvl w:val="0"/>
        <w:rPr>
          <w:rFonts w:eastAsia="仿宋_GB2312"/>
          <w:b/>
          <w:bCs/>
          <w:sz w:val="32"/>
          <w:szCs w:val="32"/>
        </w:rPr>
      </w:pPr>
      <w:r>
        <w:rPr>
          <w:rFonts w:eastAsia="仿宋_GB2312"/>
          <w:b/>
          <w:bCs/>
          <w:sz w:val="32"/>
          <w:szCs w:val="32"/>
        </w:rPr>
        <w:t>2.州级财政涉农资金。</w:t>
      </w:r>
    </w:p>
    <w:p w14:paraId="1F4A663A">
      <w:pPr>
        <w:pStyle w:val="7"/>
        <w:overflowPunct w:val="0"/>
        <w:spacing w:after="0" w:line="578" w:lineRule="exact"/>
        <w:ind w:left="0" w:leftChars="0" w:right="-318" w:firstLine="643"/>
        <w:rPr>
          <w:rFonts w:ascii="Times New Roman" w:hAnsi="Times New Roman"/>
        </w:rPr>
      </w:pPr>
      <w:r>
        <w:rPr>
          <w:rFonts w:ascii="Times New Roman" w:hAnsi="Times New Roman"/>
          <w:b/>
          <w:bCs/>
        </w:rPr>
        <w:t>年初</w:t>
      </w:r>
      <w:r>
        <w:rPr>
          <w:rFonts w:ascii="Times New Roman" w:hAnsi="Times New Roman"/>
        </w:rPr>
        <w:t>：州级财政衔接推进乡村振兴补助资金0万元。</w:t>
      </w:r>
      <w:r>
        <w:rPr>
          <w:rFonts w:ascii="Times New Roman" w:hAnsi="Times New Roman"/>
          <w:b/>
          <w:bCs/>
        </w:rPr>
        <w:t>本次调整后</w:t>
      </w:r>
      <w:r>
        <w:rPr>
          <w:rFonts w:ascii="Times New Roman" w:hAnsi="Times New Roman"/>
        </w:rPr>
        <w:t>：州级财政衔接推进乡村振兴补助资金744万元</w:t>
      </w:r>
      <w:r>
        <w:rPr>
          <w:rFonts w:hint="eastAsia" w:ascii="Times New Roman" w:hAnsi="Times New Roman"/>
          <w:lang w:eastAsia="zh-CN"/>
        </w:rPr>
        <w:t>。</w:t>
      </w:r>
    </w:p>
    <w:p w14:paraId="0AD02E95">
      <w:pPr>
        <w:overflowPunct w:val="0"/>
        <w:autoSpaceDE w:val="0"/>
        <w:autoSpaceDN w:val="0"/>
        <w:adjustRightInd w:val="0"/>
        <w:snapToGrid w:val="0"/>
        <w:spacing w:line="578" w:lineRule="exact"/>
        <w:ind w:left="0" w:firstLine="643" w:firstLineChars="200"/>
        <w:outlineLvl w:val="0"/>
        <w:rPr>
          <w:rFonts w:eastAsia="仿宋_GB2312"/>
          <w:b/>
          <w:bCs/>
          <w:sz w:val="32"/>
          <w:szCs w:val="32"/>
        </w:rPr>
      </w:pPr>
      <w:r>
        <w:rPr>
          <w:rFonts w:eastAsia="仿宋_GB2312"/>
          <w:b/>
          <w:bCs/>
          <w:sz w:val="32"/>
          <w:szCs w:val="32"/>
        </w:rPr>
        <w:t>3.县级财政涉农资金。</w:t>
      </w:r>
    </w:p>
    <w:p w14:paraId="1C7A8B20">
      <w:pPr>
        <w:overflowPunct w:val="0"/>
        <w:autoSpaceDE w:val="0"/>
        <w:autoSpaceDN w:val="0"/>
        <w:adjustRightInd w:val="0"/>
        <w:snapToGrid w:val="0"/>
        <w:spacing w:line="578" w:lineRule="exact"/>
        <w:ind w:left="0" w:firstLine="640" w:firstLineChars="200"/>
        <w:outlineLvl w:val="0"/>
        <w:rPr>
          <w:rFonts w:eastAsia="仿宋_GB2312"/>
          <w:sz w:val="32"/>
          <w:szCs w:val="32"/>
        </w:rPr>
      </w:pPr>
      <w:r>
        <w:rPr>
          <w:rFonts w:eastAsia="仿宋_GB2312"/>
          <w:sz w:val="32"/>
          <w:szCs w:val="32"/>
        </w:rPr>
        <w:t>年初：县级财政衔接推进乡村振兴补助资金458万元。本次调整后：县级财政衔接推进乡村振兴补助资金429万元。</w:t>
      </w:r>
    </w:p>
    <w:p w14:paraId="2439330E">
      <w:pPr>
        <w:pStyle w:val="7"/>
        <w:overflowPunct w:val="0"/>
        <w:spacing w:after="0" w:line="578" w:lineRule="exact"/>
        <w:ind w:left="0" w:leftChars="0" w:right="-318" w:firstLine="640"/>
        <w:rPr>
          <w:rFonts w:ascii="Times New Roman" w:hAnsi="Times New Roman"/>
        </w:rPr>
      </w:pPr>
    </w:p>
    <w:p w14:paraId="0FFEB314">
      <w:pPr>
        <w:overflowPunct w:val="0"/>
        <w:autoSpaceDE w:val="0"/>
        <w:autoSpaceDN w:val="0"/>
        <w:adjustRightInd w:val="0"/>
        <w:snapToGrid w:val="0"/>
        <w:spacing w:line="578" w:lineRule="exact"/>
        <w:ind w:left="0"/>
        <w:jc w:val="center"/>
        <w:outlineLvl w:val="0"/>
        <w:rPr>
          <w:rFonts w:eastAsia="黑体"/>
          <w:kern w:val="44"/>
          <w:sz w:val="32"/>
          <w:szCs w:val="32"/>
        </w:rPr>
      </w:pPr>
      <w:r>
        <w:rPr>
          <w:rFonts w:eastAsia="黑体"/>
          <w:kern w:val="44"/>
          <w:sz w:val="32"/>
          <w:szCs w:val="32"/>
        </w:rPr>
        <w:t>第六章  保障措施</w:t>
      </w:r>
    </w:p>
    <w:p w14:paraId="38790DCD">
      <w:pPr>
        <w:overflowPunct w:val="0"/>
        <w:adjustRightInd w:val="0"/>
        <w:snapToGrid w:val="0"/>
        <w:spacing w:line="578" w:lineRule="exact"/>
        <w:ind w:left="0"/>
        <w:textAlignment w:val="auto"/>
        <w:rPr>
          <w:rFonts w:eastAsia="仿宋_GB2312"/>
          <w:sz w:val="32"/>
          <w:szCs w:val="22"/>
        </w:rPr>
      </w:pPr>
    </w:p>
    <w:p w14:paraId="1285CAFA">
      <w:pPr>
        <w:overflowPunct w:val="0"/>
        <w:autoSpaceDE w:val="0"/>
        <w:autoSpaceDN w:val="0"/>
        <w:adjustRightInd w:val="0"/>
        <w:snapToGrid w:val="0"/>
        <w:spacing w:line="578" w:lineRule="exact"/>
        <w:ind w:left="0" w:firstLine="643" w:firstLineChars="200"/>
        <w:outlineLvl w:val="1"/>
        <w:rPr>
          <w:rFonts w:eastAsia="仿宋_GB2312"/>
          <w:sz w:val="32"/>
          <w:szCs w:val="32"/>
        </w:rPr>
      </w:pPr>
      <w:bookmarkStart w:id="174" w:name="_Toc15951"/>
      <w:bookmarkStart w:id="175" w:name="_Toc14610"/>
      <w:bookmarkStart w:id="176" w:name="_Toc11421"/>
      <w:bookmarkStart w:id="177" w:name="_Toc10919"/>
      <w:r>
        <w:rPr>
          <w:rFonts w:eastAsia="楷体_GB2312"/>
          <w:b/>
          <w:bCs/>
          <w:sz w:val="32"/>
          <w:szCs w:val="32"/>
        </w:rPr>
        <w:t>（一）明确工作职责。</w:t>
      </w:r>
      <w:bookmarkEnd w:id="174"/>
      <w:bookmarkEnd w:id="175"/>
      <w:bookmarkEnd w:id="176"/>
      <w:bookmarkEnd w:id="177"/>
      <w:r>
        <w:rPr>
          <w:rFonts w:eastAsia="仿宋_GB2312"/>
          <w:sz w:val="32"/>
          <w:szCs w:val="32"/>
        </w:rPr>
        <w:t>各相关部门要把统筹整合使用涉农资金作为巩固拓展脱贫攻坚成果同乡村振兴有效衔接的重要途径和抓手，下大力气抓好抓实，明确职责、协调配合、主动作为，确保资金安全高效使用，项目如期完成。</w:t>
      </w:r>
    </w:p>
    <w:p w14:paraId="3230BA98">
      <w:pPr>
        <w:overflowPunct w:val="0"/>
        <w:autoSpaceDE w:val="0"/>
        <w:autoSpaceDN w:val="0"/>
        <w:adjustRightInd w:val="0"/>
        <w:snapToGrid w:val="0"/>
        <w:spacing w:line="578" w:lineRule="exact"/>
        <w:ind w:left="0" w:firstLine="643" w:firstLineChars="200"/>
        <w:outlineLvl w:val="1"/>
        <w:rPr>
          <w:rFonts w:eastAsia="仿宋_GB2312"/>
          <w:sz w:val="32"/>
          <w:szCs w:val="32"/>
        </w:rPr>
      </w:pPr>
      <w:bookmarkStart w:id="178" w:name="_Toc2998"/>
      <w:bookmarkStart w:id="179" w:name="_Toc9138"/>
      <w:r>
        <w:rPr>
          <w:rFonts w:eastAsia="楷体_GB2312"/>
          <w:b/>
          <w:bCs/>
          <w:sz w:val="32"/>
          <w:szCs w:val="32"/>
        </w:rPr>
        <w:t>（二）做好公示公告。</w:t>
      </w:r>
      <w:bookmarkEnd w:id="178"/>
      <w:bookmarkEnd w:id="179"/>
      <w:r>
        <w:rPr>
          <w:rFonts w:eastAsia="仿宋_GB2312"/>
          <w:sz w:val="32"/>
          <w:szCs w:val="32"/>
        </w:rPr>
        <w:t>按照“谁分配、谁公开，谁使用、谁公开，分配到哪里、公开到哪里”的原则，采取分级分类的形式落实公开公示制度，接受社会和群众监督，做好资金及项目各阶段公告公示工作。</w:t>
      </w:r>
    </w:p>
    <w:p w14:paraId="23036087">
      <w:pPr>
        <w:overflowPunct w:val="0"/>
        <w:autoSpaceDE w:val="0"/>
        <w:autoSpaceDN w:val="0"/>
        <w:adjustRightInd w:val="0"/>
        <w:snapToGrid w:val="0"/>
        <w:spacing w:line="578" w:lineRule="exact"/>
        <w:ind w:left="0" w:firstLine="643" w:firstLineChars="200"/>
        <w:outlineLvl w:val="1"/>
        <w:rPr>
          <w:rFonts w:eastAsia="仿宋_GB2312"/>
          <w:sz w:val="32"/>
          <w:szCs w:val="32"/>
        </w:rPr>
      </w:pPr>
      <w:bookmarkStart w:id="180" w:name="_Toc31601"/>
      <w:bookmarkStart w:id="181" w:name="_Toc30489"/>
      <w:bookmarkStart w:id="182" w:name="_Toc27943"/>
      <w:bookmarkStart w:id="183" w:name="_Toc8903"/>
      <w:r>
        <w:rPr>
          <w:rFonts w:eastAsia="楷体_GB2312"/>
          <w:b/>
          <w:bCs/>
          <w:sz w:val="32"/>
          <w:szCs w:val="32"/>
        </w:rPr>
        <w:t>（三）强化监督检查。</w:t>
      </w:r>
      <w:bookmarkEnd w:id="180"/>
      <w:bookmarkEnd w:id="181"/>
      <w:bookmarkEnd w:id="182"/>
      <w:bookmarkEnd w:id="183"/>
      <w:r>
        <w:rPr>
          <w:rFonts w:eastAsia="仿宋_GB2312"/>
          <w:sz w:val="32"/>
          <w:szCs w:val="32"/>
        </w:rPr>
        <w:t>县纪委监委、县发改局、县科技农牧局、县民宗局、县财政局、县水务局、县审计局等相关部门，要强化统筹整合财政涉农资金的监督检查，建立事前、事中、事后全过程监管机制。对在资金管理使用中违反财政资金拨付和预算管理规定，及</w:t>
      </w:r>
      <w:r>
        <w:rPr>
          <w:sz w:val="32"/>
          <w:szCs w:val="32"/>
        </w:rPr>
        <w:t>存在</w:t>
      </w:r>
      <w:r>
        <w:rPr>
          <w:rFonts w:eastAsia="仿宋_GB2312"/>
          <w:sz w:val="32"/>
          <w:szCs w:val="32"/>
        </w:rPr>
        <w:t>弄虚作假或挤占、截留、挪用涉农整合资金等行为</w:t>
      </w:r>
      <w:r>
        <w:rPr>
          <w:sz w:val="32"/>
          <w:szCs w:val="32"/>
        </w:rPr>
        <w:t>的</w:t>
      </w:r>
      <w:r>
        <w:rPr>
          <w:rFonts w:eastAsia="仿宋_GB2312"/>
          <w:sz w:val="32"/>
          <w:szCs w:val="32"/>
        </w:rPr>
        <w:t>，将严肃追究相关责任。</w:t>
      </w:r>
    </w:p>
    <w:p w14:paraId="5357CDFC">
      <w:pPr>
        <w:overflowPunct w:val="0"/>
        <w:autoSpaceDE w:val="0"/>
        <w:autoSpaceDN w:val="0"/>
        <w:adjustRightInd w:val="0"/>
        <w:snapToGrid w:val="0"/>
        <w:spacing w:line="578" w:lineRule="exact"/>
        <w:ind w:left="0" w:firstLine="643" w:firstLineChars="200"/>
        <w:outlineLvl w:val="1"/>
        <w:rPr>
          <w:rFonts w:eastAsia="仿宋_GB2312"/>
          <w:sz w:val="32"/>
          <w:szCs w:val="32"/>
        </w:rPr>
      </w:pPr>
      <w:bookmarkStart w:id="184" w:name="_Toc17407"/>
      <w:bookmarkStart w:id="185" w:name="_Toc29946"/>
      <w:bookmarkStart w:id="186" w:name="_Toc4986"/>
      <w:bookmarkStart w:id="187" w:name="_Toc32113"/>
      <w:r>
        <w:rPr>
          <w:rFonts w:eastAsia="楷体_GB2312"/>
          <w:b/>
          <w:bCs/>
          <w:sz w:val="32"/>
          <w:szCs w:val="32"/>
        </w:rPr>
        <w:t>（四）严格绩效评价。</w:t>
      </w:r>
      <w:bookmarkEnd w:id="184"/>
      <w:bookmarkEnd w:id="185"/>
      <w:bookmarkEnd w:id="186"/>
      <w:bookmarkEnd w:id="187"/>
      <w:r>
        <w:rPr>
          <w:rFonts w:eastAsia="仿宋_GB2312"/>
          <w:sz w:val="32"/>
          <w:szCs w:val="32"/>
        </w:rPr>
        <w:t>各相关部门要切实加强财政涉农资金统筹整合使用的绩效评价工作，项目实施后，要对项目资金使用情况进行整体绩效评价，评价结果在全县范围内通报，并将绩效评价结果作为下年度统筹整合财政涉农资金分配的重要依据。</w:t>
      </w:r>
    </w:p>
    <w:p w14:paraId="1BDB73F7">
      <w:pPr>
        <w:overflowPunct w:val="0"/>
        <w:autoSpaceDE w:val="0"/>
        <w:autoSpaceDN w:val="0"/>
        <w:adjustRightInd w:val="0"/>
        <w:snapToGrid w:val="0"/>
        <w:spacing w:line="578" w:lineRule="exact"/>
        <w:ind w:left="0" w:firstLine="640" w:firstLineChars="200"/>
        <w:outlineLvl w:val="1"/>
        <w:rPr>
          <w:rFonts w:eastAsia="仿宋_GB2312"/>
          <w:sz w:val="32"/>
          <w:szCs w:val="32"/>
        </w:rPr>
      </w:pPr>
    </w:p>
    <w:p w14:paraId="5837D547">
      <w:pPr>
        <w:pStyle w:val="12"/>
        <w:spacing w:line="578" w:lineRule="exact"/>
        <w:ind w:left="0" w:leftChars="0" w:firstLine="0" w:firstLineChars="0"/>
        <w:rPr>
          <w:rFonts w:eastAsia="黑体"/>
          <w:sz w:val="32"/>
          <w:szCs w:val="32"/>
        </w:rPr>
      </w:pPr>
    </w:p>
    <w:p w14:paraId="7FE45B3E">
      <w:pPr>
        <w:spacing w:line="578" w:lineRule="exact"/>
        <w:rPr>
          <w:rFonts w:eastAsia="黑体"/>
          <w:sz w:val="32"/>
          <w:szCs w:val="32"/>
        </w:rPr>
      </w:pPr>
    </w:p>
    <w:p w14:paraId="4F52D9A8">
      <w:pPr>
        <w:pStyle w:val="2"/>
        <w:spacing w:line="578" w:lineRule="exact"/>
      </w:pPr>
    </w:p>
    <w:p w14:paraId="3D1C7F32">
      <w:pPr>
        <w:pStyle w:val="12"/>
        <w:spacing w:line="578" w:lineRule="exact"/>
        <w:ind w:left="0" w:leftChars="0" w:firstLine="0" w:firstLineChars="0"/>
        <w:rPr>
          <w:rFonts w:eastAsia="黑体"/>
          <w:sz w:val="32"/>
          <w:szCs w:val="32"/>
        </w:rPr>
      </w:pPr>
    </w:p>
    <w:p w14:paraId="7AD05334">
      <w:pPr>
        <w:pStyle w:val="12"/>
        <w:spacing w:line="578" w:lineRule="exact"/>
        <w:ind w:left="0" w:leftChars="0" w:firstLine="0" w:firstLineChars="0"/>
        <w:rPr>
          <w:rFonts w:eastAsia="黑体"/>
          <w:sz w:val="32"/>
          <w:szCs w:val="32"/>
        </w:rPr>
      </w:pPr>
    </w:p>
    <w:p w14:paraId="20D847E8">
      <w:pPr>
        <w:pStyle w:val="12"/>
        <w:spacing w:line="578" w:lineRule="exact"/>
        <w:ind w:left="0" w:leftChars="0" w:firstLine="0" w:firstLineChars="0"/>
        <w:rPr>
          <w:rFonts w:eastAsia="黑体"/>
          <w:sz w:val="32"/>
          <w:szCs w:val="32"/>
        </w:rPr>
      </w:pPr>
    </w:p>
    <w:p w14:paraId="0A23204A">
      <w:pPr>
        <w:pStyle w:val="12"/>
        <w:ind w:left="0" w:leftChars="0" w:firstLine="0" w:firstLineChars="0"/>
        <w:rPr>
          <w:rFonts w:eastAsia="黑体"/>
          <w:sz w:val="32"/>
          <w:szCs w:val="32"/>
        </w:rPr>
      </w:pPr>
    </w:p>
    <w:p w14:paraId="5075144E">
      <w:pPr>
        <w:pStyle w:val="12"/>
        <w:ind w:left="0" w:leftChars="0" w:firstLine="0" w:firstLineChars="0"/>
        <w:rPr>
          <w:rFonts w:eastAsia="黑体"/>
          <w:sz w:val="32"/>
          <w:szCs w:val="32"/>
        </w:rPr>
      </w:pPr>
    </w:p>
    <w:p w14:paraId="2B91BAFB">
      <w:pPr>
        <w:pStyle w:val="12"/>
        <w:ind w:left="0" w:leftChars="0" w:firstLine="0" w:firstLineChars="0"/>
        <w:rPr>
          <w:rFonts w:eastAsia="黑体"/>
          <w:sz w:val="32"/>
          <w:szCs w:val="32"/>
        </w:rPr>
      </w:pPr>
    </w:p>
    <w:p w14:paraId="3EC48AF3">
      <w:pPr>
        <w:pStyle w:val="12"/>
        <w:ind w:left="0" w:leftChars="0" w:firstLine="0" w:firstLineChars="0"/>
        <w:rPr>
          <w:rFonts w:eastAsia="黑体"/>
          <w:sz w:val="32"/>
          <w:szCs w:val="32"/>
        </w:rPr>
      </w:pPr>
    </w:p>
    <w:p w14:paraId="354AFD2D">
      <w:pPr>
        <w:pStyle w:val="12"/>
        <w:ind w:left="0" w:leftChars="0" w:firstLine="0" w:firstLineChars="0"/>
        <w:rPr>
          <w:rFonts w:eastAsia="黑体"/>
          <w:sz w:val="32"/>
          <w:szCs w:val="32"/>
        </w:rPr>
      </w:pPr>
    </w:p>
    <w:p w14:paraId="13C074B6">
      <w:pPr>
        <w:rPr>
          <w:rFonts w:eastAsia="黑体"/>
          <w:sz w:val="32"/>
          <w:szCs w:val="32"/>
        </w:rPr>
      </w:pPr>
    </w:p>
    <w:p w14:paraId="7E85B650">
      <w:pPr>
        <w:pStyle w:val="2"/>
        <w:rPr>
          <w:rFonts w:eastAsia="黑体"/>
          <w:sz w:val="32"/>
          <w:szCs w:val="32"/>
        </w:rPr>
      </w:pPr>
    </w:p>
    <w:p w14:paraId="4597E32E">
      <w:pPr>
        <w:rPr>
          <w:rFonts w:eastAsia="黑体"/>
          <w:sz w:val="32"/>
          <w:szCs w:val="32"/>
        </w:rPr>
      </w:pPr>
    </w:p>
    <w:p w14:paraId="7720F66A">
      <w:pPr>
        <w:pStyle w:val="2"/>
        <w:rPr>
          <w:rFonts w:eastAsia="黑体"/>
          <w:sz w:val="32"/>
          <w:szCs w:val="32"/>
        </w:rPr>
      </w:pPr>
    </w:p>
    <w:p w14:paraId="5956D112">
      <w:pPr>
        <w:rPr>
          <w:rFonts w:eastAsia="黑体"/>
          <w:sz w:val="32"/>
          <w:szCs w:val="32"/>
        </w:rPr>
      </w:pPr>
    </w:p>
    <w:p w14:paraId="0301E1EA">
      <w:pPr>
        <w:pStyle w:val="2"/>
        <w:rPr>
          <w:rFonts w:eastAsia="黑体"/>
          <w:sz w:val="32"/>
          <w:szCs w:val="32"/>
        </w:rPr>
      </w:pPr>
    </w:p>
    <w:p w14:paraId="7D2CF795">
      <w:pPr>
        <w:rPr>
          <w:rFonts w:eastAsia="黑体"/>
          <w:sz w:val="32"/>
          <w:szCs w:val="32"/>
        </w:rPr>
      </w:pPr>
    </w:p>
    <w:bookmarkEnd w:id="0"/>
    <w:bookmarkEnd w:id="1"/>
    <w:bookmarkEnd w:id="2"/>
    <w:bookmarkEnd w:id="3"/>
    <w:p w14:paraId="412630F2">
      <w:pPr>
        <w:pStyle w:val="7"/>
        <w:ind w:left="0" w:leftChars="0" w:right="-318" w:firstLine="0" w:firstLineChars="0"/>
        <w:rPr>
          <w:rFonts w:ascii="Times New Roman" w:hAnsi="Times New Roman"/>
        </w:rPr>
      </w:pPr>
    </w:p>
    <w:sectPr>
      <w:footerReference r:id="rId6" w:type="first"/>
      <w:footerReference r:id="rId5" w:type="default"/>
      <w:pgSz w:w="11905" w:h="16838"/>
      <w:pgMar w:top="2098" w:right="1474" w:bottom="1984" w:left="1587" w:header="851" w:footer="1474" w:gutter="0"/>
      <w:cols w:space="0" w:num="1"/>
      <w:titlePg/>
      <w:docGrid w:linePitch="31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105F60-64F9-4947-B330-02F7A9079C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7573175-8832-41C2-BAE7-1F49AEB14C3C}"/>
  </w:font>
  <w:font w:name="仿宋_GB2312">
    <w:panose1 w:val="02010609030101010101"/>
    <w:charset w:val="86"/>
    <w:family w:val="modern"/>
    <w:pitch w:val="default"/>
    <w:sig w:usb0="00000001" w:usb1="080E0000" w:usb2="00000000" w:usb3="00000000" w:csb0="00040000" w:csb1="00000000"/>
    <w:embedRegular r:id="rId3" w:fontKey="{2B63214A-5088-4D3F-A09B-9D3471D5BAE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embedRegular r:id="rId4" w:fontKey="{ED6F0852-81A2-4171-85D0-29F924CEF2FD}"/>
  </w:font>
  <w:font w:name="楷体_GB2312">
    <w:panose1 w:val="02010609030101010101"/>
    <w:charset w:val="86"/>
    <w:family w:val="modern"/>
    <w:pitch w:val="default"/>
    <w:sig w:usb0="00000001" w:usb1="080E0000" w:usb2="00000000" w:usb3="00000000" w:csb0="00040000" w:csb1="00000000"/>
    <w:embedRegular r:id="rId5" w:fontKey="{E931FE22-D550-4719-86D0-39B1BD51427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5476A">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D95A3">
    <w:pPr>
      <w:pStyle w:val="10"/>
      <w:ind w:left="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C1793E"/>
    <w:multiLevelType w:val="singleLevel"/>
    <w:tmpl w:val="A1C1793E"/>
    <w:lvl w:ilvl="0" w:tentative="0">
      <w:start w:val="1"/>
      <w:numFmt w:val="chineseCounting"/>
      <w:suff w:val="nothing"/>
      <w:lvlText w:val="（%1）"/>
      <w:lvlJc w:val="left"/>
      <w:rPr>
        <w:rFonts w:hint="eastAsia"/>
        <w:b/>
        <w:bCs/>
      </w:rPr>
    </w:lvl>
  </w:abstractNum>
  <w:abstractNum w:abstractNumId="1">
    <w:nsid w:val="DBA0CB60"/>
    <w:multiLevelType w:val="singleLevel"/>
    <w:tmpl w:val="DBA0CB60"/>
    <w:lvl w:ilvl="0" w:tentative="0">
      <w:start w:val="1"/>
      <w:numFmt w:val="decimal"/>
      <w:lvlText w:val="%1."/>
      <w:lvlJc w:val="left"/>
      <w:pPr>
        <w:tabs>
          <w:tab w:val="left" w:pos="312"/>
        </w:tabs>
      </w:pPr>
    </w:lvl>
  </w:abstractNum>
  <w:abstractNum w:abstractNumId="2">
    <w:nsid w:val="450A44D0"/>
    <w:multiLevelType w:val="singleLevel"/>
    <w:tmpl w:val="450A44D0"/>
    <w:lvl w:ilvl="0" w:tentative="0">
      <w:start w:val="1"/>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200"/>
  <w:drawingGridVerticalSpacing w:val="-794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2ZiNzU4NWM2NjFkMmU0NGVlMGU1NDY4MmU0NDhlOGEifQ=="/>
  </w:docVars>
  <w:rsids>
    <w:rsidRoot w:val="00BF32B7"/>
    <w:rsid w:val="001773E5"/>
    <w:rsid w:val="001C4F24"/>
    <w:rsid w:val="00281F6C"/>
    <w:rsid w:val="00454C36"/>
    <w:rsid w:val="00470D2F"/>
    <w:rsid w:val="0048538D"/>
    <w:rsid w:val="00913B8F"/>
    <w:rsid w:val="00A00A50"/>
    <w:rsid w:val="00AE108C"/>
    <w:rsid w:val="00BF32B7"/>
    <w:rsid w:val="016E4D66"/>
    <w:rsid w:val="022B385B"/>
    <w:rsid w:val="082F2D28"/>
    <w:rsid w:val="10FC5772"/>
    <w:rsid w:val="139B74C4"/>
    <w:rsid w:val="176B2968"/>
    <w:rsid w:val="195B20DE"/>
    <w:rsid w:val="19AF16EF"/>
    <w:rsid w:val="1B5C578B"/>
    <w:rsid w:val="1C0D191D"/>
    <w:rsid w:val="1C916747"/>
    <w:rsid w:val="1CFC7225"/>
    <w:rsid w:val="1F040613"/>
    <w:rsid w:val="1F77335D"/>
    <w:rsid w:val="203942EC"/>
    <w:rsid w:val="21FD6859"/>
    <w:rsid w:val="248E6289"/>
    <w:rsid w:val="24E72569"/>
    <w:rsid w:val="25983863"/>
    <w:rsid w:val="28B76A3B"/>
    <w:rsid w:val="2AB4113F"/>
    <w:rsid w:val="2B077CFD"/>
    <w:rsid w:val="3123310F"/>
    <w:rsid w:val="32421041"/>
    <w:rsid w:val="34FF79FB"/>
    <w:rsid w:val="3E90522D"/>
    <w:rsid w:val="42402E61"/>
    <w:rsid w:val="47953C4F"/>
    <w:rsid w:val="48253403"/>
    <w:rsid w:val="48622D96"/>
    <w:rsid w:val="4A855B00"/>
    <w:rsid w:val="4CD53E91"/>
    <w:rsid w:val="503900ED"/>
    <w:rsid w:val="517843C5"/>
    <w:rsid w:val="51BE32F7"/>
    <w:rsid w:val="55537E94"/>
    <w:rsid w:val="5BCA3A6F"/>
    <w:rsid w:val="5D801B4F"/>
    <w:rsid w:val="5EA031AD"/>
    <w:rsid w:val="60483FD8"/>
    <w:rsid w:val="60CF38D6"/>
    <w:rsid w:val="63230FF3"/>
    <w:rsid w:val="64A870E4"/>
    <w:rsid w:val="658804E4"/>
    <w:rsid w:val="669B7D29"/>
    <w:rsid w:val="66DC53F8"/>
    <w:rsid w:val="67652C62"/>
    <w:rsid w:val="69C577C7"/>
    <w:rsid w:val="6FB24440"/>
    <w:rsid w:val="70BB22A5"/>
    <w:rsid w:val="74545099"/>
    <w:rsid w:val="7512151E"/>
    <w:rsid w:val="7A5977C7"/>
    <w:rsid w:val="7A944A05"/>
    <w:rsid w:val="7CC905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5" w:lineRule="atLeast"/>
      <w:ind w:left="1"/>
      <w:jc w:val="both"/>
      <w:textAlignment w:val="bottom"/>
    </w:pPr>
    <w:rPr>
      <w:rFonts w:ascii="Times New Roman" w:hAnsi="Times New Roman" w:eastAsia="宋体" w:cs="Times New Roman"/>
      <w:lang w:val="en-US" w:eastAsia="zh-CN" w:bidi="ar-SA"/>
    </w:rPr>
  </w:style>
  <w:style w:type="paragraph" w:styleId="3">
    <w:name w:val="heading 1"/>
    <w:basedOn w:val="1"/>
    <w:next w:val="1"/>
    <w:qFormat/>
    <w:uiPriority w:val="9"/>
    <w:pPr>
      <w:keepNext/>
      <w:keepLines/>
      <w:spacing w:line="576" w:lineRule="exact"/>
      <w:jc w:val="center"/>
      <w:outlineLvl w:val="0"/>
    </w:pPr>
    <w:rPr>
      <w:rFonts w:eastAsia="黑体"/>
      <w:kern w:val="44"/>
    </w:rPr>
  </w:style>
  <w:style w:type="paragraph" w:styleId="4">
    <w:name w:val="heading 2"/>
    <w:basedOn w:val="1"/>
    <w:next w:val="1"/>
    <w:qFormat/>
    <w:uiPriority w:val="0"/>
    <w:pPr>
      <w:spacing w:line="0" w:lineRule="atLeast"/>
      <w:jc w:val="center"/>
      <w:outlineLvl w:val="1"/>
    </w:pPr>
    <w:rPr>
      <w:sz w:val="28"/>
    </w:rPr>
  </w:style>
  <w:style w:type="paragraph" w:styleId="5">
    <w:name w:val="heading 3"/>
    <w:basedOn w:val="1"/>
    <w:next w:val="1"/>
    <w:link w:val="17"/>
    <w:qFormat/>
    <w:uiPriority w:val="0"/>
    <w:pPr>
      <w:outlineLvl w:val="2"/>
    </w:pPr>
    <w:rPr>
      <w:rFonts w:eastAsia="黑体"/>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index 6"/>
    <w:basedOn w:val="1"/>
    <w:next w:val="1"/>
    <w:qFormat/>
    <w:uiPriority w:val="0"/>
    <w:pPr>
      <w:ind w:left="2100"/>
    </w:pPr>
  </w:style>
  <w:style w:type="paragraph" w:styleId="6">
    <w:name w:val="Body Text Indent"/>
    <w:basedOn w:val="1"/>
    <w:next w:val="7"/>
    <w:qFormat/>
    <w:uiPriority w:val="0"/>
    <w:pPr>
      <w:spacing w:line="240" w:lineRule="auto"/>
      <w:ind w:left="0" w:right="-334" w:rightChars="-159" w:firstLine="640" w:firstLineChars="200"/>
      <w:jc w:val="left"/>
      <w:textAlignment w:val="auto"/>
    </w:pPr>
    <w:rPr>
      <w:rFonts w:ascii="仿宋_GB2312" w:hAnsi="仿宋_GB2312" w:eastAsia="仿宋_GB2312"/>
      <w:kern w:val="2"/>
      <w:sz w:val="32"/>
      <w:szCs w:val="32"/>
    </w:rPr>
  </w:style>
  <w:style w:type="paragraph" w:styleId="7">
    <w:name w:val="Body Text First Indent 2"/>
    <w:basedOn w:val="6"/>
    <w:next w:val="1"/>
    <w:unhideWhenUsed/>
    <w:qFormat/>
    <w:uiPriority w:val="99"/>
    <w:pPr>
      <w:adjustRightInd w:val="0"/>
      <w:snapToGrid w:val="0"/>
      <w:spacing w:after="120" w:line="552" w:lineRule="exact"/>
      <w:ind w:left="200" w:leftChars="200" w:firstLine="420"/>
      <w:jc w:val="both"/>
    </w:pPr>
    <w:rPr>
      <w:rFonts w:ascii="Tahoma" w:hAnsi="Tahoma"/>
      <w:kern w:val="0"/>
    </w:rPr>
  </w:style>
  <w:style w:type="paragraph" w:styleId="8">
    <w:name w:val="Plain Text"/>
    <w:basedOn w:val="1"/>
    <w:qFormat/>
    <w:uiPriority w:val="0"/>
    <w:pPr>
      <w:spacing w:line="240" w:lineRule="auto"/>
      <w:ind w:left="0"/>
      <w:textAlignment w:val="auto"/>
    </w:pPr>
    <w:rPr>
      <w:rFonts w:ascii="宋体" w:hAnsi="Courier New" w:cs="Courier New"/>
      <w:kern w:val="2"/>
      <w:sz w:val="21"/>
      <w:szCs w:val="21"/>
    </w:rPr>
  </w:style>
  <w:style w:type="paragraph" w:styleId="9">
    <w:name w:val="Balloon Text"/>
    <w:basedOn w:val="1"/>
    <w:link w:val="24"/>
    <w:qFormat/>
    <w:uiPriority w:val="0"/>
    <w:pPr>
      <w:spacing w:line="240" w:lineRule="auto"/>
    </w:pPr>
    <w:rPr>
      <w:sz w:val="18"/>
      <w:szCs w:val="18"/>
    </w:rPr>
  </w:style>
  <w:style w:type="paragraph" w:styleId="10">
    <w:name w:val="footer"/>
    <w:basedOn w:val="1"/>
    <w:unhideWhenUsed/>
    <w:qFormat/>
    <w:uiPriority w:val="99"/>
    <w:pPr>
      <w:tabs>
        <w:tab w:val="center" w:pos="4153"/>
        <w:tab w:val="right" w:pos="8306"/>
      </w:tabs>
      <w:snapToGrid w:val="0"/>
      <w:spacing w:line="240" w:lineRule="atLeast"/>
      <w:jc w:val="left"/>
    </w:pPr>
    <w:rPr>
      <w:sz w:val="18"/>
      <w:szCs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2">
    <w:name w:val="table of figures"/>
    <w:basedOn w:val="1"/>
    <w:next w:val="1"/>
    <w:qFormat/>
    <w:uiPriority w:val="0"/>
    <w:pPr>
      <w:ind w:left="200" w:leftChars="200" w:hanging="200" w:hangingChars="200"/>
    </w:pPr>
  </w:style>
  <w:style w:type="paragraph" w:styleId="13">
    <w:name w:val="Normal (Web)"/>
    <w:basedOn w:val="1"/>
    <w:qFormat/>
    <w:uiPriority w:val="0"/>
    <w:rPr>
      <w:sz w:val="24"/>
    </w:rPr>
  </w:style>
  <w:style w:type="character" w:styleId="16">
    <w:name w:val="Hyperlink"/>
    <w:basedOn w:val="15"/>
    <w:qFormat/>
    <w:uiPriority w:val="0"/>
    <w:rPr>
      <w:color w:val="0000FF"/>
      <w:u w:val="single"/>
    </w:rPr>
  </w:style>
  <w:style w:type="character" w:customStyle="1" w:styleId="17">
    <w:name w:val="标题 3 Char"/>
    <w:basedOn w:val="15"/>
    <w:link w:val="5"/>
    <w:qFormat/>
    <w:uiPriority w:val="9"/>
    <w:rPr>
      <w:rFonts w:eastAsia="黑体"/>
    </w:rPr>
  </w:style>
  <w:style w:type="paragraph" w:customStyle="1" w:styleId="18">
    <w:name w:val="WPSOffice手动目录 2"/>
    <w:basedOn w:val="1"/>
    <w:qFormat/>
    <w:uiPriority w:val="0"/>
    <w:pPr>
      <w:spacing w:line="240" w:lineRule="auto"/>
      <w:ind w:left="200" w:leftChars="200"/>
      <w:jc w:val="left"/>
    </w:pPr>
    <w:rPr>
      <w:sz w:val="24"/>
      <w:szCs w:val="24"/>
    </w:rPr>
  </w:style>
  <w:style w:type="character" w:customStyle="1" w:styleId="19">
    <w:name w:val="10"/>
    <w:basedOn w:val="15"/>
    <w:qFormat/>
    <w:uiPriority w:val="0"/>
    <w:rPr>
      <w:rFonts w:hint="default" w:ascii="Times New Roman" w:hAnsi="Times New Roman" w:cs="Times New Roman"/>
    </w:rPr>
  </w:style>
  <w:style w:type="character" w:customStyle="1" w:styleId="20">
    <w:name w:val="15"/>
    <w:basedOn w:val="15"/>
    <w:qFormat/>
    <w:uiPriority w:val="0"/>
    <w:rPr>
      <w:rFonts w:hint="default" w:ascii="Times New Roman" w:hAnsi="Times New Roman" w:cs="Times New Roman"/>
      <w:b/>
    </w:rPr>
  </w:style>
  <w:style w:type="paragraph" w:customStyle="1" w:styleId="21">
    <w:name w:val="WPSOffice手动目录 3"/>
    <w:basedOn w:val="1"/>
    <w:qFormat/>
    <w:uiPriority w:val="0"/>
    <w:pPr>
      <w:spacing w:line="240" w:lineRule="auto"/>
      <w:ind w:left="400" w:leftChars="400"/>
      <w:jc w:val="left"/>
    </w:pPr>
    <w:rPr>
      <w:sz w:val="24"/>
      <w:szCs w:val="24"/>
    </w:rPr>
  </w:style>
  <w:style w:type="paragraph" w:customStyle="1" w:styleId="22">
    <w:name w:val="WPSOffice手动目录 1"/>
    <w:basedOn w:val="1"/>
    <w:qFormat/>
    <w:uiPriority w:val="0"/>
    <w:pPr>
      <w:spacing w:line="240" w:lineRule="auto"/>
      <w:ind w:left="0"/>
      <w:jc w:val="left"/>
    </w:pPr>
    <w:rPr>
      <w:sz w:val="24"/>
      <w:szCs w:val="24"/>
    </w:rPr>
  </w:style>
  <w:style w:type="character" w:customStyle="1" w:styleId="23">
    <w:name w:val="font51"/>
    <w:basedOn w:val="15"/>
    <w:qFormat/>
    <w:uiPriority w:val="0"/>
    <w:rPr>
      <w:rFonts w:hint="eastAsia" w:ascii="仿宋_GB2312" w:eastAsia="仿宋_GB2312" w:cs="仿宋_GB2312"/>
      <w:b/>
      <w:bCs/>
      <w:color w:val="000000"/>
      <w:sz w:val="16"/>
      <w:szCs w:val="16"/>
      <w:u w:val="none"/>
    </w:rPr>
  </w:style>
  <w:style w:type="character" w:customStyle="1" w:styleId="24">
    <w:name w:val="批注框文本 Char"/>
    <w:basedOn w:val="15"/>
    <w:link w:val="9"/>
    <w:qFormat/>
    <w:uiPriority w:val="0"/>
    <w:rPr>
      <w:sz w:val="18"/>
      <w:szCs w:val="18"/>
    </w:rPr>
  </w:style>
  <w:style w:type="paragraph" w:customStyle="1" w:styleId="25">
    <w:name w:val="列出段落1"/>
    <w:basedOn w:val="1"/>
    <w:unhideWhenUsed/>
    <w:qFormat/>
    <w:uiPriority w:val="99"/>
    <w:pPr>
      <w:ind w:firstLine="420" w:firstLineChars="200"/>
    </w:pPr>
  </w:style>
  <w:style w:type="table" w:customStyle="1" w:styleId="26">
    <w:name w:val="Table Normal"/>
    <w:unhideWhenUsed/>
    <w:qFormat/>
    <w:uiPriority w:val="0"/>
    <w:tblPr>
      <w:tblCellMar>
        <w:top w:w="0" w:type="dxa"/>
        <w:left w:w="0" w:type="dxa"/>
        <w:bottom w:w="0" w:type="dxa"/>
        <w:right w:w="0" w:type="dxa"/>
      </w:tblCellMar>
    </w:tblPr>
  </w:style>
  <w:style w:type="paragraph" w:customStyle="1" w:styleId="27">
    <w:name w:val="Table Text"/>
    <w:basedOn w:val="1"/>
    <w:semiHidden/>
    <w:qFormat/>
    <w:uiPriority w:val="0"/>
    <w:rPr>
      <w:rFonts w:ascii="宋体" w:hAnsi="宋体" w:cs="宋体"/>
      <w:sz w:val="27"/>
      <w:szCs w:val="27"/>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6262</Words>
  <Characters>6699</Characters>
  <Lines>53</Lines>
  <Paragraphs>15</Paragraphs>
  <TotalTime>2</TotalTime>
  <ScaleCrop>false</ScaleCrop>
  <LinksUpToDate>false</LinksUpToDate>
  <CharactersWithSpaces>6724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2024-08-13T02:01:00Z</dcterms:created>
  <dc:creator>风后觉</dc:creator>
  <cp:lastModifiedBy>对影成三人</cp:lastModifiedBy>
  <cp:lastPrinted>2025-09-11T01:35:00Z</cp:lastPrinted>
  <dcterms:modified xsi:type="dcterms:W3CDTF">2026-08-17T08:57:49Z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E10D634C8F47499FAE0658055C0D02DA_13</vt:lpwstr>
  </property>
  <property fmtid="{D5CDD505-2E9C-101B-9397-08002B2CF9AE}" pid="4" name="KSOTemplateDocerSaveRecord">
    <vt:lpwstr>eyJoZGlkIjoiYjA1ZDg3Y2Y1MzJlNDVjZjA5NTk4YjViYTliYmM3NTYiLCJ1c2VySWQiOiIyNDIyNDYwNDUifQ==</vt:lpwstr>
  </property>
</Properties>
</file>