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227B2F">
      <w:pPr>
        <w:pStyle w:val="2"/>
        <w:spacing w:after="0" w:line="578" w:lineRule="exact"/>
        <w:ind w:left="0" w:leftChars="0" w:right="-318" w:firstLine="0" w:firstLineChars="0"/>
        <w:jc w:val="left"/>
        <w:rPr>
          <w:rFonts w:ascii="Times New Roman" w:hAnsi="Times New Roman" w:eastAsia="黑体"/>
          <w:color w:val="000000"/>
        </w:rPr>
      </w:pPr>
      <w:r>
        <w:rPr>
          <w:rFonts w:ascii="Times New Roman" w:hAnsi="Times New Roman" w:eastAsia="黑体"/>
          <w:color w:val="000000"/>
        </w:rPr>
        <w:t>附件1</w:t>
      </w:r>
    </w:p>
    <w:p w14:paraId="5D0DE0FC">
      <w:pPr>
        <w:autoSpaceDE w:val="0"/>
        <w:autoSpaceDN w:val="0"/>
        <w:adjustRightInd w:val="0"/>
        <w:snapToGrid w:val="0"/>
        <w:spacing w:line="578" w:lineRule="exact"/>
        <w:ind w:left="0"/>
        <w:jc w:val="center"/>
        <w:rPr>
          <w:rFonts w:eastAsia="方正小标宋简体"/>
          <w:color w:val="000000"/>
          <w:sz w:val="44"/>
          <w:szCs w:val="44"/>
        </w:rPr>
      </w:pPr>
    </w:p>
    <w:p w14:paraId="6DCDB256">
      <w:pPr>
        <w:autoSpaceDE w:val="0"/>
        <w:autoSpaceDN w:val="0"/>
        <w:adjustRightInd w:val="0"/>
        <w:snapToGrid w:val="0"/>
        <w:spacing w:line="578" w:lineRule="exact"/>
        <w:ind w:left="0"/>
        <w:jc w:val="center"/>
        <w:outlineLvl w:val="0"/>
        <w:rPr>
          <w:rFonts w:eastAsia="楷体"/>
          <w:color w:val="000000"/>
          <w:sz w:val="52"/>
          <w:szCs w:val="52"/>
        </w:rPr>
      </w:pPr>
      <w:r>
        <w:rPr>
          <w:rFonts w:eastAsia="方正小标宋简体"/>
          <w:color w:val="000000"/>
          <w:sz w:val="44"/>
          <w:szCs w:val="44"/>
        </w:rPr>
        <w:t>松潘县2024年财政涉农资金统筹整合使用方案</w:t>
      </w:r>
      <w:r>
        <w:rPr>
          <w:rFonts w:eastAsia="楷体"/>
          <w:color w:val="000000"/>
          <w:sz w:val="32"/>
          <w:szCs w:val="32"/>
        </w:rPr>
        <w:t>（审议稿）</w:t>
      </w:r>
    </w:p>
    <w:p w14:paraId="5FEFA22A">
      <w:pPr>
        <w:autoSpaceDE w:val="0"/>
        <w:autoSpaceDN w:val="0"/>
        <w:adjustRightInd w:val="0"/>
        <w:snapToGrid w:val="0"/>
        <w:spacing w:line="578" w:lineRule="exact"/>
        <w:ind w:left="0"/>
        <w:rPr>
          <w:rFonts w:eastAsia="方正小标宋简体"/>
          <w:sz w:val="44"/>
          <w:szCs w:val="44"/>
        </w:rPr>
      </w:pPr>
      <w:r>
        <w:rPr>
          <w:rFonts w:eastAsia="方正小标宋简体"/>
          <w:sz w:val="44"/>
          <w:szCs w:val="44"/>
        </w:rPr>
        <w:t xml:space="preserve"> </w:t>
      </w:r>
    </w:p>
    <w:p w14:paraId="2B7B1435">
      <w:pPr>
        <w:pStyle w:val="4"/>
        <w:keepNext w:val="0"/>
        <w:keepLines w:val="0"/>
        <w:autoSpaceDE w:val="0"/>
        <w:autoSpaceDN w:val="0"/>
        <w:snapToGrid w:val="0"/>
        <w:spacing w:line="510" w:lineRule="exact"/>
        <w:rPr>
          <w:sz w:val="32"/>
          <w:szCs w:val="32"/>
        </w:rPr>
      </w:pPr>
      <w:bookmarkStart w:id="0" w:name="_Toc12775"/>
      <w:bookmarkStart w:id="1" w:name="_Toc32029"/>
      <w:r>
        <w:rPr>
          <w:sz w:val="32"/>
          <w:szCs w:val="32"/>
        </w:rPr>
        <w:t>第一章  序言</w:t>
      </w:r>
      <w:bookmarkEnd w:id="0"/>
      <w:bookmarkEnd w:id="1"/>
    </w:p>
    <w:p w14:paraId="7EBA6AC6">
      <w:pPr>
        <w:spacing w:line="510" w:lineRule="exact"/>
      </w:pPr>
    </w:p>
    <w:p w14:paraId="0BA4A02E">
      <w:pPr>
        <w:pStyle w:val="7"/>
        <w:spacing w:line="578"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为进一步加强财政涉农资金管理，切实提高涉农资金使用效益，集中财力办大事、办实事，优化财政涉农资金供给机制，进一步加强和规范涉农项目管理，提高项目资金使用效益，确保顺利做好巩固</w:t>
      </w:r>
      <w:r>
        <w:rPr>
          <w:rFonts w:hint="eastAsia" w:ascii="Times New Roman" w:hAnsi="Times New Roman" w:eastAsia="仿宋_GB2312" w:cs="Times New Roman"/>
          <w:kern w:val="0"/>
          <w:sz w:val="32"/>
          <w:szCs w:val="32"/>
          <w:lang w:val="en-US" w:eastAsia="zh-CN"/>
        </w:rPr>
        <w:t>拓展</w:t>
      </w:r>
      <w:bookmarkStart w:id="184" w:name="_GoBack"/>
      <w:bookmarkEnd w:id="184"/>
      <w:r>
        <w:rPr>
          <w:rFonts w:ascii="Times New Roman" w:hAnsi="Times New Roman" w:eastAsia="仿宋_GB2312" w:cs="Times New Roman"/>
          <w:kern w:val="0"/>
          <w:sz w:val="32"/>
          <w:szCs w:val="32"/>
        </w:rPr>
        <w:t>脱贫攻坚成果同乡村振兴有效衔接。</w:t>
      </w:r>
    </w:p>
    <w:p w14:paraId="7EC5AD85">
      <w:pPr>
        <w:pStyle w:val="5"/>
        <w:numPr>
          <w:ilvl w:val="0"/>
          <w:numId w:val="1"/>
        </w:numPr>
        <w:autoSpaceDE w:val="0"/>
        <w:autoSpaceDN w:val="0"/>
        <w:snapToGrid w:val="0"/>
        <w:spacing w:line="578" w:lineRule="exact"/>
        <w:ind w:firstLine="643"/>
        <w:jc w:val="both"/>
        <w:rPr>
          <w:rFonts w:eastAsia="楷体_GB2312"/>
          <w:b/>
          <w:bCs/>
          <w:sz w:val="32"/>
          <w:szCs w:val="32"/>
        </w:rPr>
      </w:pPr>
      <w:bookmarkStart w:id="2" w:name="_Toc2282"/>
      <w:bookmarkStart w:id="3" w:name="_Toc19149"/>
      <w:bookmarkStart w:id="4" w:name="_Toc8614"/>
      <w:bookmarkStart w:id="5" w:name="_Toc18297"/>
      <w:r>
        <w:rPr>
          <w:rFonts w:eastAsia="楷体_GB2312"/>
          <w:b/>
          <w:bCs/>
          <w:sz w:val="32"/>
          <w:szCs w:val="32"/>
        </w:rPr>
        <w:t>方案编制依据。</w:t>
      </w:r>
      <w:bookmarkEnd w:id="2"/>
      <w:bookmarkEnd w:id="3"/>
      <w:bookmarkEnd w:id="4"/>
      <w:bookmarkEnd w:id="5"/>
    </w:p>
    <w:p w14:paraId="6F92858F">
      <w:pPr>
        <w:autoSpaceDE w:val="0"/>
        <w:autoSpaceDN w:val="0"/>
        <w:snapToGrid w:val="0"/>
        <w:spacing w:line="578" w:lineRule="exact"/>
        <w:ind w:firstLine="640" w:firstLineChars="200"/>
        <w:rPr>
          <w:rFonts w:eastAsia="仿宋_GB2312"/>
          <w:sz w:val="32"/>
          <w:szCs w:val="32"/>
        </w:rPr>
      </w:pPr>
      <w:r>
        <w:rPr>
          <w:rFonts w:eastAsia="仿宋_GB2312"/>
          <w:sz w:val="32"/>
          <w:szCs w:val="32"/>
        </w:rPr>
        <w:t>为深入贯彻中央、省、州、县关于巩固拓展脱贫攻坚成果和乡村振兴有效衔接的决策部署，</w:t>
      </w:r>
      <w:r>
        <w:rPr>
          <w:rFonts w:eastAsia="仿宋_GB2312"/>
          <w:bCs/>
          <w:sz w:val="32"/>
          <w:szCs w:val="32"/>
        </w:rPr>
        <w:t>根据</w:t>
      </w:r>
      <w:r>
        <w:rPr>
          <w:rFonts w:eastAsia="仿宋_GB2312"/>
          <w:sz w:val="32"/>
          <w:szCs w:val="32"/>
        </w:rPr>
        <w:t>《关于继续支持脱贫县统筹整合使用财政涉农资金的通知》（川财农〔2021〕45号）、《关于将脱贫县涉农资金统整合试点政策优化调整至国家乡村振兴重点帮扶县实施的通知》（财农〔2024〕1号）、《关于优化调整脱贫县涉农资金统筹整合试点政策的通知》（川财农〔2024〕14号）等文件规定，结合我县实际，制定本方案。</w:t>
      </w:r>
    </w:p>
    <w:p w14:paraId="3CB112DB">
      <w:pPr>
        <w:pStyle w:val="5"/>
        <w:numPr>
          <w:ilvl w:val="0"/>
          <w:numId w:val="1"/>
        </w:numPr>
        <w:autoSpaceDE w:val="0"/>
        <w:autoSpaceDN w:val="0"/>
        <w:snapToGrid w:val="0"/>
        <w:spacing w:line="578" w:lineRule="exact"/>
        <w:ind w:firstLine="643"/>
        <w:jc w:val="both"/>
        <w:rPr>
          <w:rFonts w:eastAsia="楷体_GB2312"/>
          <w:b/>
          <w:bCs/>
          <w:sz w:val="32"/>
          <w:szCs w:val="32"/>
        </w:rPr>
      </w:pPr>
      <w:bookmarkStart w:id="6" w:name="_Toc24298"/>
      <w:bookmarkStart w:id="7" w:name="_Toc21170"/>
      <w:bookmarkStart w:id="8" w:name="_Toc8080"/>
      <w:bookmarkStart w:id="9" w:name="_Toc24808"/>
      <w:r>
        <w:rPr>
          <w:rFonts w:eastAsia="楷体_GB2312"/>
          <w:b/>
          <w:bCs/>
          <w:sz w:val="32"/>
          <w:szCs w:val="32"/>
        </w:rPr>
        <w:t>方案编制因由。</w:t>
      </w:r>
      <w:bookmarkEnd w:id="6"/>
      <w:bookmarkEnd w:id="7"/>
      <w:bookmarkEnd w:id="8"/>
      <w:bookmarkEnd w:id="9"/>
    </w:p>
    <w:p w14:paraId="78EE9FB0">
      <w:pPr>
        <w:pStyle w:val="5"/>
        <w:autoSpaceDE w:val="0"/>
        <w:autoSpaceDN w:val="0"/>
        <w:snapToGrid w:val="0"/>
        <w:spacing w:line="578" w:lineRule="exact"/>
        <w:ind w:left="0" w:firstLine="640" w:firstLineChars="200"/>
        <w:jc w:val="both"/>
        <w:rPr>
          <w:rFonts w:eastAsia="仿宋_GB2312"/>
          <w:sz w:val="32"/>
          <w:szCs w:val="32"/>
        </w:rPr>
      </w:pPr>
      <w:r>
        <w:rPr>
          <w:rFonts w:eastAsia="仿宋_GB2312"/>
          <w:sz w:val="32"/>
          <w:szCs w:val="32"/>
        </w:rPr>
        <w:t>按照产业兴旺、生态宜居、乡风文明、治理有效、生活富裕的总要求，围绕实现乡村产业振兴、人才振兴、文化振兴、生态振兴、组织振兴，做好脱贫攻坚成果巩固与乡村振兴有效衔接，按照“目标、任务、资金、权责”四到县的原则，优化财政涉农资金供给机制，改革财政涉农资金管理使用方式，充分利用统筹整合使用财政涉农资金的自主权，助力巩固拓展脱贫</w:t>
      </w:r>
      <w:r>
        <w:rPr>
          <w:rFonts w:hint="eastAsia" w:eastAsia="仿宋_GB2312"/>
          <w:sz w:val="32"/>
          <w:szCs w:val="32"/>
          <w:lang w:val="en-US" w:eastAsia="zh-CN"/>
        </w:rPr>
        <w:t>攻坚</w:t>
      </w:r>
      <w:r>
        <w:rPr>
          <w:rFonts w:eastAsia="仿宋_GB2312"/>
          <w:sz w:val="32"/>
          <w:szCs w:val="32"/>
        </w:rPr>
        <w:t>成果同乡村振兴有效衔接。</w:t>
      </w:r>
    </w:p>
    <w:p w14:paraId="336A97F1">
      <w:pPr>
        <w:pStyle w:val="5"/>
        <w:autoSpaceDE w:val="0"/>
        <w:autoSpaceDN w:val="0"/>
        <w:snapToGrid w:val="0"/>
        <w:spacing w:line="578" w:lineRule="exact"/>
        <w:ind w:firstLine="482" w:firstLineChars="150"/>
        <w:jc w:val="both"/>
        <w:rPr>
          <w:rFonts w:eastAsia="仿宋_GB2312"/>
          <w:sz w:val="32"/>
          <w:szCs w:val="32"/>
        </w:rPr>
      </w:pPr>
      <w:bookmarkStart w:id="10" w:name="_Toc15328"/>
      <w:bookmarkStart w:id="11" w:name="_Toc32016"/>
      <w:bookmarkStart w:id="12" w:name="_Toc398"/>
      <w:bookmarkStart w:id="13" w:name="_Toc4469"/>
      <w:r>
        <w:rPr>
          <w:rFonts w:eastAsia="楷体_GB2312"/>
          <w:b/>
          <w:bCs/>
          <w:sz w:val="32"/>
          <w:szCs w:val="32"/>
        </w:rPr>
        <w:t>（三）方案编制原则。</w:t>
      </w:r>
      <w:bookmarkEnd w:id="10"/>
      <w:bookmarkEnd w:id="11"/>
      <w:bookmarkEnd w:id="12"/>
      <w:bookmarkEnd w:id="13"/>
    </w:p>
    <w:p w14:paraId="55FE57A4">
      <w:pPr>
        <w:spacing w:line="578" w:lineRule="exact"/>
        <w:ind w:firstLine="643" w:firstLineChars="200"/>
        <w:rPr>
          <w:rFonts w:eastAsia="仿宋_GB2312"/>
          <w:sz w:val="32"/>
          <w:szCs w:val="32"/>
        </w:rPr>
      </w:pPr>
      <w:bookmarkStart w:id="14" w:name="_Toc12110"/>
      <w:bookmarkStart w:id="15" w:name="_Toc28365"/>
      <w:bookmarkStart w:id="16" w:name="_Toc14849"/>
      <w:bookmarkStart w:id="17" w:name="_Toc25265"/>
      <w:r>
        <w:rPr>
          <w:rFonts w:eastAsia="仿宋_GB2312"/>
          <w:b/>
          <w:bCs/>
          <w:sz w:val="32"/>
          <w:szCs w:val="32"/>
        </w:rPr>
        <w:t>1.兼收并蓄，源头整合。</w:t>
      </w:r>
      <w:bookmarkEnd w:id="14"/>
      <w:bookmarkEnd w:id="15"/>
      <w:bookmarkEnd w:id="16"/>
      <w:bookmarkEnd w:id="17"/>
      <w:r>
        <w:rPr>
          <w:rFonts w:eastAsia="仿宋_GB2312"/>
          <w:sz w:val="32"/>
          <w:szCs w:val="32"/>
        </w:rPr>
        <w:t>为进一步优化财政涉农资金供给机制，按照中央、省、州相关文件要求，梳理各类资金，属整合范围内的全部纳入县级整合盘子，构建“蓄水统配”“截长补短”“引流归口”模式，对符合整合范围内的涉农资金，合力做到应统尽统、应整尽整、应用尽用，引导各类要素向巩固脱贫成果与乡村振兴有效衔接集聚，促使整合见到成效。</w:t>
      </w:r>
    </w:p>
    <w:p w14:paraId="29BB246D">
      <w:pPr>
        <w:kinsoku w:val="0"/>
        <w:overflowPunct w:val="0"/>
        <w:spacing w:line="578" w:lineRule="exact"/>
        <w:ind w:firstLine="643" w:firstLineChars="200"/>
        <w:jc w:val="left"/>
        <w:rPr>
          <w:rFonts w:eastAsia="仿宋_GB2312"/>
          <w:sz w:val="32"/>
          <w:szCs w:val="32"/>
        </w:rPr>
      </w:pPr>
      <w:bookmarkStart w:id="18" w:name="_Toc16962"/>
      <w:bookmarkStart w:id="19" w:name="_Toc7756"/>
      <w:bookmarkStart w:id="20" w:name="_Toc29560"/>
      <w:bookmarkStart w:id="21" w:name="_Toc26908"/>
      <w:r>
        <w:rPr>
          <w:rFonts w:eastAsia="仿宋_GB2312"/>
          <w:b/>
          <w:bCs/>
          <w:sz w:val="32"/>
          <w:szCs w:val="32"/>
        </w:rPr>
        <w:t>2.统筹</w:t>
      </w:r>
      <w:bookmarkEnd w:id="18"/>
      <w:bookmarkEnd w:id="19"/>
      <w:bookmarkEnd w:id="20"/>
      <w:bookmarkEnd w:id="21"/>
      <w:bookmarkStart w:id="22" w:name="_Toc15371"/>
      <w:bookmarkStart w:id="23" w:name="_Toc2382"/>
      <w:bookmarkStart w:id="24" w:name="_Toc23266"/>
      <w:bookmarkStart w:id="25" w:name="_Toc7293"/>
      <w:r>
        <w:rPr>
          <w:rFonts w:eastAsia="仿宋_GB2312"/>
          <w:b/>
          <w:bCs/>
          <w:sz w:val="32"/>
          <w:szCs w:val="32"/>
        </w:rPr>
        <w:t>协调，权责匹配。</w:t>
      </w:r>
      <w:r>
        <w:rPr>
          <w:rFonts w:eastAsia="仿宋_GB2312"/>
          <w:sz w:val="32"/>
          <w:szCs w:val="32"/>
        </w:rPr>
        <w:t>做到上下统筹、条块统筹，坚持以统筹财政涉农资金为主体，带动统筹其他财政资金、金融资金和社会资本，以及各种资源和各方面力量。做到以县级为主体统筹整合使用财政涉农资金，增强县级统筹功能。县级财政和各主管部门作为统筹整合使用财政涉农资金主体，对项目和资金进行监管；各乡（镇）作为统筹整合使用财政涉农资金的实施主体，并承担资金安全、规范、高效实用的责任。</w:t>
      </w:r>
    </w:p>
    <w:p w14:paraId="3ACD47D9">
      <w:pPr>
        <w:kinsoku w:val="0"/>
        <w:spacing w:line="578" w:lineRule="exact"/>
        <w:ind w:firstLine="643" w:firstLineChars="200"/>
        <w:jc w:val="left"/>
        <w:textAlignment w:val="auto"/>
      </w:pPr>
      <w:r>
        <w:rPr>
          <w:rFonts w:eastAsia="仿宋_GB2312"/>
          <w:b/>
          <w:bCs/>
          <w:sz w:val="32"/>
          <w:szCs w:val="32"/>
        </w:rPr>
        <w:t>3.精准施策，</w:t>
      </w:r>
      <w:bookmarkEnd w:id="22"/>
      <w:bookmarkEnd w:id="23"/>
      <w:bookmarkEnd w:id="24"/>
      <w:bookmarkEnd w:id="25"/>
      <w:r>
        <w:rPr>
          <w:rFonts w:eastAsia="仿宋_GB2312"/>
          <w:b/>
          <w:bCs/>
          <w:sz w:val="32"/>
          <w:szCs w:val="32"/>
        </w:rPr>
        <w:t>注重实效。</w:t>
      </w:r>
      <w:r>
        <w:rPr>
          <w:rFonts w:eastAsia="仿宋_GB2312"/>
          <w:sz w:val="32"/>
          <w:szCs w:val="32"/>
        </w:rPr>
        <w:t>财政涉农资金统筹整合使用要与巩固脱贫成果和推进乡村振兴紧密挂钩，主要用于农业生产、畜牧发展、水利发展、林业草原改革发展、高标准农田建设、农村综合改革、林业草原生态保护恢复、农村环境整治、农村道路建设、农村危房改造、农业生态资源保护、乡村旅游、乡村水务建设等农业生产发展和农村基础设施建设项曰，在整合资金范围内打通，统筹安排使用。要贯彻落实更多依靠发展来巩固拓展脱贫攻坚成果的要求，将整合资金优先用于支持产业项目（含必要的产业配套基础设施），发展壮大优势特色产业，促进产业提质增效，带动脱贫人口就业增收。</w:t>
      </w:r>
    </w:p>
    <w:p w14:paraId="24C97905">
      <w:pPr>
        <w:pStyle w:val="4"/>
        <w:keepNext w:val="0"/>
        <w:keepLines w:val="0"/>
        <w:autoSpaceDE w:val="0"/>
        <w:autoSpaceDN w:val="0"/>
        <w:snapToGrid w:val="0"/>
        <w:spacing w:line="578" w:lineRule="exact"/>
        <w:rPr>
          <w:sz w:val="32"/>
          <w:szCs w:val="32"/>
        </w:rPr>
      </w:pPr>
      <w:bookmarkStart w:id="26" w:name="_Toc22479"/>
      <w:bookmarkStart w:id="27" w:name="_Toc5987"/>
      <w:bookmarkStart w:id="28" w:name="_Toc29842"/>
      <w:bookmarkStart w:id="29" w:name="_Toc1835"/>
    </w:p>
    <w:p w14:paraId="7A45F796">
      <w:pPr>
        <w:pStyle w:val="4"/>
        <w:keepNext w:val="0"/>
        <w:keepLines w:val="0"/>
        <w:autoSpaceDE w:val="0"/>
        <w:autoSpaceDN w:val="0"/>
        <w:snapToGrid w:val="0"/>
        <w:spacing w:line="578" w:lineRule="exact"/>
        <w:rPr>
          <w:sz w:val="32"/>
          <w:szCs w:val="32"/>
        </w:rPr>
      </w:pPr>
      <w:r>
        <w:rPr>
          <w:sz w:val="32"/>
          <w:szCs w:val="32"/>
        </w:rPr>
        <w:t>第二章  目标任务</w:t>
      </w:r>
      <w:bookmarkEnd w:id="26"/>
      <w:bookmarkEnd w:id="27"/>
      <w:bookmarkEnd w:id="28"/>
      <w:bookmarkEnd w:id="29"/>
    </w:p>
    <w:p w14:paraId="0739FC9A">
      <w:pPr>
        <w:spacing w:line="578" w:lineRule="exact"/>
      </w:pPr>
    </w:p>
    <w:p w14:paraId="74728F7D">
      <w:pPr>
        <w:kinsoku w:val="0"/>
        <w:overflowPunct w:val="0"/>
        <w:adjustRightInd w:val="0"/>
        <w:snapToGrid w:val="0"/>
        <w:spacing w:line="578" w:lineRule="exact"/>
        <w:ind w:left="0" w:firstLine="640" w:firstLineChars="200"/>
        <w:jc w:val="left"/>
        <w:textAlignment w:val="auto"/>
        <w:rPr>
          <w:rFonts w:eastAsia="仿宋_GB2312"/>
          <w:sz w:val="32"/>
          <w:szCs w:val="32"/>
        </w:rPr>
      </w:pPr>
      <w:bookmarkStart w:id="30" w:name="_Toc30814"/>
      <w:bookmarkStart w:id="31" w:name="_Toc2935"/>
      <w:bookmarkStart w:id="32" w:name="_Toc16808"/>
      <w:bookmarkStart w:id="33" w:name="_Toc25585"/>
      <w:r>
        <w:rPr>
          <w:rFonts w:eastAsia="仿宋_GB2312"/>
          <w:sz w:val="32"/>
          <w:szCs w:val="32"/>
        </w:rPr>
        <w:t>通过开展统筹整合使用财政涉农资金，激发内生动力，围绕突出问题，以重点项目为整合平台，撬动金融资本和社会帮扶资金投入</w:t>
      </w:r>
      <w:r>
        <w:rPr>
          <w:rFonts w:hint="eastAsia" w:eastAsia="仿宋_GB2312"/>
          <w:sz w:val="32"/>
          <w:szCs w:val="32"/>
        </w:rPr>
        <w:t>农业生产发展等领域</w:t>
      </w:r>
      <w:r>
        <w:rPr>
          <w:rFonts w:eastAsia="仿宋_GB2312"/>
          <w:sz w:val="32"/>
          <w:szCs w:val="32"/>
        </w:rPr>
        <w:t>，提高财政涉农资金使用精准度，确保涉农资金的投入取得更好效益。</w:t>
      </w:r>
    </w:p>
    <w:bookmarkEnd w:id="30"/>
    <w:bookmarkEnd w:id="31"/>
    <w:bookmarkEnd w:id="32"/>
    <w:bookmarkEnd w:id="33"/>
    <w:p w14:paraId="02F40457">
      <w:pPr>
        <w:autoSpaceDE w:val="0"/>
        <w:autoSpaceDN w:val="0"/>
        <w:snapToGrid w:val="0"/>
        <w:spacing w:line="578" w:lineRule="exact"/>
        <w:ind w:firstLine="643" w:firstLineChars="200"/>
        <w:outlineLvl w:val="1"/>
        <w:rPr>
          <w:rFonts w:eastAsia="仿宋_GB2312"/>
          <w:sz w:val="32"/>
          <w:szCs w:val="32"/>
        </w:rPr>
      </w:pPr>
      <w:r>
        <w:rPr>
          <w:rFonts w:eastAsia="楷体_GB2312"/>
          <w:b/>
          <w:bCs/>
          <w:sz w:val="32"/>
          <w:szCs w:val="32"/>
        </w:rPr>
        <w:t>（一）全面巩固拓展脱贫</w:t>
      </w:r>
      <w:r>
        <w:rPr>
          <w:rFonts w:hint="eastAsia" w:eastAsia="楷体_GB2312"/>
          <w:b/>
          <w:bCs/>
          <w:sz w:val="32"/>
          <w:szCs w:val="32"/>
          <w:lang w:val="en-US" w:eastAsia="zh-CN"/>
        </w:rPr>
        <w:t>攻坚</w:t>
      </w:r>
      <w:r>
        <w:rPr>
          <w:rFonts w:eastAsia="楷体_GB2312"/>
          <w:b/>
          <w:bCs/>
          <w:sz w:val="32"/>
          <w:szCs w:val="32"/>
        </w:rPr>
        <w:t>成果，支持衔接推进乡村振兴。</w:t>
      </w:r>
      <w:r>
        <w:rPr>
          <w:rFonts w:eastAsia="仿宋_GB2312"/>
          <w:sz w:val="32"/>
          <w:szCs w:val="32"/>
        </w:rPr>
        <w:t>坚持“精准”方略，健全防止返贫致贫监测和帮扶机制，因地因人制宜，根据不同对象的不同自然禀赋，发展产业、基础设施等方面从而提升巩固拓展脱贫</w:t>
      </w:r>
      <w:r>
        <w:rPr>
          <w:rFonts w:hint="eastAsia" w:eastAsia="仿宋_GB2312"/>
          <w:sz w:val="32"/>
          <w:szCs w:val="32"/>
          <w:lang w:val="en-US" w:eastAsia="zh-CN"/>
        </w:rPr>
        <w:t>攻坚</w:t>
      </w:r>
      <w:r>
        <w:rPr>
          <w:rFonts w:eastAsia="仿宋_GB2312"/>
          <w:sz w:val="32"/>
          <w:szCs w:val="32"/>
        </w:rPr>
        <w:t>成果的针对性和有效性。通过整合项目建设，实现乡村产业兴旺、生态宜居、乡风文明、治理有效、生活富裕。</w:t>
      </w:r>
    </w:p>
    <w:p w14:paraId="087D2FCE">
      <w:pPr>
        <w:autoSpaceDE w:val="0"/>
        <w:autoSpaceDN w:val="0"/>
        <w:snapToGrid w:val="0"/>
        <w:spacing w:line="578" w:lineRule="exact"/>
        <w:ind w:firstLine="643" w:firstLineChars="200"/>
        <w:outlineLvl w:val="1"/>
        <w:rPr>
          <w:rFonts w:eastAsia="仿宋_GB2312"/>
          <w:sz w:val="32"/>
          <w:szCs w:val="32"/>
        </w:rPr>
      </w:pPr>
      <w:bookmarkStart w:id="34" w:name="_Toc11763"/>
      <w:bookmarkStart w:id="35" w:name="_Toc18795"/>
      <w:bookmarkStart w:id="36" w:name="_Toc28792"/>
      <w:bookmarkStart w:id="37" w:name="_Toc7835"/>
      <w:r>
        <w:rPr>
          <w:rFonts w:eastAsia="楷体_GB2312"/>
          <w:b/>
          <w:bCs/>
          <w:sz w:val="32"/>
          <w:szCs w:val="32"/>
        </w:rPr>
        <w:t>（二）加强统筹整合管理，充分发挥整合资金效益。</w:t>
      </w:r>
      <w:bookmarkEnd w:id="34"/>
      <w:bookmarkEnd w:id="35"/>
      <w:bookmarkEnd w:id="36"/>
      <w:bookmarkEnd w:id="37"/>
      <w:r>
        <w:rPr>
          <w:rFonts w:eastAsia="仿宋_GB2312"/>
          <w:sz w:val="32"/>
          <w:szCs w:val="32"/>
        </w:rPr>
        <w:t>围绕服务“三农”工作方针政策及相关行业规划等，科学精细编制年度整合资金实施方案，强化统筹整合使用财政涉农资金管理，通过项目资金整合，支持巩固提升脱贫成果，围绕乡村振兴发展，全面提升资金使用精准度和效益，确保顺利实现巩固提升脱贫成果和衔接推进乡村振兴产业发展的目标任务。</w:t>
      </w:r>
    </w:p>
    <w:p w14:paraId="5DE61261">
      <w:pPr>
        <w:autoSpaceDE w:val="0"/>
        <w:autoSpaceDN w:val="0"/>
        <w:snapToGrid w:val="0"/>
        <w:spacing w:line="578" w:lineRule="exact"/>
        <w:jc w:val="center"/>
        <w:outlineLvl w:val="0"/>
        <w:rPr>
          <w:rFonts w:eastAsia="黑体"/>
          <w:kern w:val="44"/>
          <w:sz w:val="32"/>
          <w:szCs w:val="32"/>
        </w:rPr>
      </w:pPr>
      <w:bookmarkStart w:id="38" w:name="_Toc11710"/>
      <w:bookmarkStart w:id="39" w:name="_Toc201"/>
      <w:bookmarkStart w:id="40" w:name="_Toc29153"/>
      <w:bookmarkStart w:id="41" w:name="_Toc32163"/>
    </w:p>
    <w:p w14:paraId="343519CC">
      <w:pPr>
        <w:autoSpaceDE w:val="0"/>
        <w:autoSpaceDN w:val="0"/>
        <w:snapToGrid w:val="0"/>
        <w:spacing w:line="578" w:lineRule="exact"/>
        <w:jc w:val="center"/>
        <w:outlineLvl w:val="0"/>
        <w:rPr>
          <w:rFonts w:eastAsia="黑体"/>
          <w:kern w:val="44"/>
          <w:sz w:val="32"/>
          <w:szCs w:val="32"/>
        </w:rPr>
      </w:pPr>
      <w:r>
        <w:rPr>
          <w:rFonts w:eastAsia="黑体"/>
          <w:kern w:val="44"/>
          <w:sz w:val="32"/>
          <w:szCs w:val="32"/>
        </w:rPr>
        <w:t>第三章  工作措施</w:t>
      </w:r>
      <w:bookmarkEnd w:id="38"/>
      <w:bookmarkEnd w:id="39"/>
      <w:bookmarkEnd w:id="40"/>
      <w:bookmarkEnd w:id="41"/>
    </w:p>
    <w:p w14:paraId="33EFF821">
      <w:pPr>
        <w:adjustRightInd w:val="0"/>
        <w:snapToGrid w:val="0"/>
        <w:spacing w:line="578" w:lineRule="exact"/>
        <w:ind w:left="0"/>
        <w:textAlignment w:val="auto"/>
        <w:rPr>
          <w:rFonts w:eastAsia="仿宋_GB2312"/>
          <w:sz w:val="32"/>
          <w:szCs w:val="22"/>
        </w:rPr>
      </w:pPr>
    </w:p>
    <w:p w14:paraId="7BFD1DAC">
      <w:pPr>
        <w:autoSpaceDE w:val="0"/>
        <w:autoSpaceDN w:val="0"/>
        <w:snapToGrid w:val="0"/>
        <w:spacing w:line="578" w:lineRule="exact"/>
        <w:ind w:firstLine="643" w:firstLineChars="200"/>
        <w:outlineLvl w:val="1"/>
        <w:rPr>
          <w:rFonts w:eastAsia="仿宋_GB2312"/>
          <w:sz w:val="32"/>
          <w:szCs w:val="32"/>
        </w:rPr>
      </w:pPr>
      <w:bookmarkStart w:id="42" w:name="_Toc16924"/>
      <w:bookmarkStart w:id="43" w:name="_Toc29688"/>
      <w:bookmarkStart w:id="44" w:name="_Toc16266"/>
      <w:bookmarkStart w:id="45" w:name="_Toc1163"/>
      <w:r>
        <w:rPr>
          <w:rFonts w:eastAsia="楷体_GB2312"/>
          <w:b/>
          <w:bCs/>
          <w:sz w:val="32"/>
          <w:szCs w:val="32"/>
        </w:rPr>
        <w:t>（一）统一思想，强化工作责任落实。</w:t>
      </w:r>
      <w:bookmarkEnd w:id="42"/>
      <w:bookmarkEnd w:id="43"/>
      <w:bookmarkEnd w:id="44"/>
      <w:bookmarkEnd w:id="45"/>
      <w:r>
        <w:rPr>
          <w:rFonts w:eastAsia="仿宋_GB2312"/>
          <w:sz w:val="32"/>
          <w:szCs w:val="32"/>
        </w:rPr>
        <w:t>本着“政府引导、集中使用、突出重点、分步实施、提高效益”的原则，各相关部门要高度重视，强化大局意识，全面落实一把手主体责任，全力支持财政涉农资金统筹整合的各项工作，确保拓展脱贫攻坚成果与乡村振兴有效衔接工作顺利推进。</w:t>
      </w:r>
    </w:p>
    <w:p w14:paraId="6E2DBACC">
      <w:pPr>
        <w:autoSpaceDE w:val="0"/>
        <w:autoSpaceDN w:val="0"/>
        <w:snapToGrid w:val="0"/>
        <w:spacing w:line="578" w:lineRule="exact"/>
        <w:ind w:firstLine="643" w:firstLineChars="200"/>
        <w:outlineLvl w:val="1"/>
        <w:rPr>
          <w:rFonts w:eastAsia="仿宋_GB2312"/>
          <w:sz w:val="32"/>
          <w:szCs w:val="32"/>
        </w:rPr>
      </w:pPr>
      <w:bookmarkStart w:id="46" w:name="_Toc9377"/>
      <w:bookmarkStart w:id="47" w:name="_Toc8921"/>
      <w:bookmarkStart w:id="48" w:name="_Toc32716"/>
      <w:bookmarkStart w:id="49" w:name="_Toc27987"/>
      <w:r>
        <w:rPr>
          <w:rFonts w:eastAsia="楷体_GB2312"/>
          <w:b/>
          <w:bCs/>
          <w:sz w:val="32"/>
          <w:szCs w:val="32"/>
        </w:rPr>
        <w:t>（二）严格程序，确保资金发挥效益。</w:t>
      </w:r>
      <w:bookmarkEnd w:id="46"/>
      <w:bookmarkEnd w:id="47"/>
      <w:bookmarkEnd w:id="48"/>
      <w:bookmarkEnd w:id="49"/>
      <w:r>
        <w:rPr>
          <w:rFonts w:eastAsia="仿宋_GB2312"/>
          <w:sz w:val="32"/>
          <w:szCs w:val="32"/>
        </w:rPr>
        <w:t>各部门在项目管理中，规范项目建设程序，严格执行《招投标法》《政府采购法》《基本建设财务规则》等制度。切实加强项目资金管理，及时拨付项目资金，确保资金支付进度，提高资金使用效益。</w:t>
      </w:r>
    </w:p>
    <w:p w14:paraId="69230AD2">
      <w:pPr>
        <w:autoSpaceDE w:val="0"/>
        <w:autoSpaceDN w:val="0"/>
        <w:snapToGrid w:val="0"/>
        <w:spacing w:line="578" w:lineRule="exact"/>
        <w:ind w:firstLine="643" w:firstLineChars="200"/>
        <w:outlineLvl w:val="1"/>
        <w:rPr>
          <w:rFonts w:eastAsia="仿宋_GB2312"/>
          <w:sz w:val="32"/>
          <w:szCs w:val="32"/>
        </w:rPr>
      </w:pPr>
      <w:bookmarkStart w:id="50" w:name="_Toc24186"/>
      <w:bookmarkStart w:id="51" w:name="_Toc6174"/>
      <w:bookmarkStart w:id="52" w:name="_Toc23028"/>
      <w:bookmarkStart w:id="53" w:name="_Toc8676"/>
      <w:r>
        <w:rPr>
          <w:rFonts w:eastAsia="楷体_GB2312"/>
          <w:b/>
          <w:bCs/>
          <w:sz w:val="32"/>
          <w:szCs w:val="32"/>
        </w:rPr>
        <w:t>（三）上下联动，加强沟通协调工作。</w:t>
      </w:r>
      <w:bookmarkEnd w:id="50"/>
      <w:bookmarkEnd w:id="51"/>
      <w:bookmarkEnd w:id="52"/>
      <w:bookmarkEnd w:id="53"/>
      <w:r>
        <w:rPr>
          <w:rFonts w:eastAsia="仿宋_GB2312"/>
          <w:sz w:val="32"/>
          <w:szCs w:val="32"/>
        </w:rPr>
        <w:t>围绕服务“三农”工作，统筹整合使用财政衔接资金用于服务项目、服务基层，全面提高整合工作的针对性和实效性。建立相关部门共同参与的工作协调机制。定期或不定期召开会议，解决工作中遇到的实际问题，总结推广好的经验做法，稳步推进财政涉农资金统筹整合使用工作。</w:t>
      </w:r>
    </w:p>
    <w:p w14:paraId="7086ACBD">
      <w:pPr>
        <w:pStyle w:val="4"/>
        <w:keepNext w:val="0"/>
        <w:keepLines w:val="0"/>
        <w:autoSpaceDE w:val="0"/>
        <w:autoSpaceDN w:val="0"/>
        <w:snapToGrid w:val="0"/>
        <w:spacing w:line="578" w:lineRule="exact"/>
        <w:rPr>
          <w:sz w:val="32"/>
          <w:szCs w:val="32"/>
        </w:rPr>
      </w:pPr>
      <w:bookmarkStart w:id="54" w:name="_Toc20988"/>
      <w:bookmarkStart w:id="55" w:name="_Toc23995"/>
      <w:bookmarkStart w:id="56" w:name="_Toc11258"/>
      <w:bookmarkStart w:id="57" w:name="_Toc2375"/>
    </w:p>
    <w:p w14:paraId="7BFBCE03">
      <w:pPr>
        <w:pStyle w:val="4"/>
        <w:keepNext w:val="0"/>
        <w:keepLines w:val="0"/>
        <w:autoSpaceDE w:val="0"/>
        <w:autoSpaceDN w:val="0"/>
        <w:snapToGrid w:val="0"/>
        <w:spacing w:line="578" w:lineRule="exact"/>
        <w:rPr>
          <w:sz w:val="32"/>
          <w:szCs w:val="32"/>
        </w:rPr>
      </w:pPr>
      <w:r>
        <w:rPr>
          <w:sz w:val="32"/>
          <w:szCs w:val="32"/>
        </w:rPr>
        <w:t>第四章  项目建设</w:t>
      </w:r>
      <w:bookmarkEnd w:id="54"/>
      <w:bookmarkEnd w:id="55"/>
      <w:bookmarkEnd w:id="56"/>
      <w:bookmarkEnd w:id="57"/>
    </w:p>
    <w:p w14:paraId="4C252566">
      <w:pPr>
        <w:spacing w:line="578" w:lineRule="exact"/>
      </w:pPr>
    </w:p>
    <w:p w14:paraId="6E7F5989">
      <w:pPr>
        <w:snapToGrid w:val="0"/>
        <w:spacing w:line="578" w:lineRule="exact"/>
        <w:ind w:firstLine="640" w:firstLineChars="200"/>
        <w:rPr>
          <w:rFonts w:eastAsia="仿宋_GB2312"/>
          <w:sz w:val="32"/>
          <w:szCs w:val="32"/>
        </w:rPr>
      </w:pPr>
      <w:r>
        <w:rPr>
          <w:rFonts w:eastAsia="仿宋_GB2312"/>
          <w:sz w:val="32"/>
          <w:szCs w:val="32"/>
        </w:rPr>
        <w:t>按照统筹整合资金使用相关政策，结合我县年度目标任务，2024年年初统筹整合资金4293万元，涉及项目15个，具体情况如下：</w:t>
      </w:r>
    </w:p>
    <w:p w14:paraId="041749AA">
      <w:pPr>
        <w:pStyle w:val="5"/>
        <w:autoSpaceDE w:val="0"/>
        <w:autoSpaceDN w:val="0"/>
        <w:snapToGrid w:val="0"/>
        <w:spacing w:line="578" w:lineRule="exact"/>
        <w:ind w:left="644"/>
        <w:jc w:val="both"/>
        <w:rPr>
          <w:rFonts w:eastAsia="楷体_GB2312"/>
          <w:b/>
          <w:bCs/>
          <w:sz w:val="32"/>
          <w:szCs w:val="32"/>
        </w:rPr>
      </w:pPr>
      <w:r>
        <w:rPr>
          <w:rFonts w:eastAsia="楷体_GB2312"/>
          <w:b/>
          <w:bCs/>
          <w:sz w:val="32"/>
          <w:szCs w:val="32"/>
        </w:rPr>
        <w:t>（一）基础设施项目。</w:t>
      </w:r>
    </w:p>
    <w:p w14:paraId="786326B9">
      <w:pPr>
        <w:snapToGrid w:val="0"/>
        <w:spacing w:line="578" w:lineRule="exact"/>
        <w:ind w:firstLine="640" w:firstLineChars="200"/>
        <w:rPr>
          <w:rFonts w:eastAsia="仿宋_GB2312"/>
          <w:sz w:val="32"/>
          <w:szCs w:val="32"/>
        </w:rPr>
      </w:pPr>
      <w:r>
        <w:rPr>
          <w:rFonts w:eastAsia="仿宋_GB2312"/>
          <w:sz w:val="32"/>
          <w:szCs w:val="32"/>
        </w:rPr>
        <w:t>基础设施类共有项目3个，其中：交通类项目2个、水利类项目1个。</w:t>
      </w:r>
    </w:p>
    <w:p w14:paraId="1D41F071">
      <w:pPr>
        <w:autoSpaceDE w:val="0"/>
        <w:autoSpaceDN w:val="0"/>
        <w:snapToGrid w:val="0"/>
        <w:spacing w:line="578" w:lineRule="exact"/>
        <w:ind w:firstLine="643" w:firstLineChars="200"/>
        <w:outlineLvl w:val="0"/>
        <w:rPr>
          <w:rFonts w:eastAsia="仿宋_GB2312"/>
          <w:b/>
          <w:bCs/>
          <w:sz w:val="32"/>
          <w:szCs w:val="32"/>
        </w:rPr>
      </w:pPr>
      <w:bookmarkStart w:id="58" w:name="_Toc8001"/>
      <w:bookmarkStart w:id="59" w:name="_Toc30551"/>
      <w:bookmarkStart w:id="60" w:name="_Toc12203"/>
      <w:bookmarkStart w:id="61" w:name="_Toc13980"/>
      <w:r>
        <w:rPr>
          <w:rFonts w:eastAsia="仿宋_GB2312"/>
          <w:b/>
          <w:bCs/>
          <w:sz w:val="32"/>
          <w:szCs w:val="32"/>
        </w:rPr>
        <w:t>1.村内道路项目</w:t>
      </w:r>
      <w:bookmarkEnd w:id="58"/>
      <w:bookmarkEnd w:id="59"/>
      <w:bookmarkEnd w:id="60"/>
      <w:bookmarkEnd w:id="61"/>
      <w:r>
        <w:rPr>
          <w:rFonts w:eastAsia="仿宋_GB2312"/>
          <w:b/>
          <w:bCs/>
          <w:sz w:val="32"/>
          <w:szCs w:val="32"/>
        </w:rPr>
        <w:t>。</w:t>
      </w:r>
    </w:p>
    <w:p w14:paraId="4D17B4C9">
      <w:pPr>
        <w:autoSpaceDE w:val="0"/>
        <w:autoSpaceDN w:val="0"/>
        <w:snapToGrid w:val="0"/>
        <w:spacing w:line="578" w:lineRule="exact"/>
        <w:ind w:firstLine="643" w:firstLineChars="200"/>
        <w:rPr>
          <w:rFonts w:eastAsia="仿宋_GB2312"/>
          <w:w w:val="90"/>
          <w:sz w:val="32"/>
          <w:szCs w:val="32"/>
        </w:rPr>
      </w:pPr>
      <w:r>
        <w:rPr>
          <w:rFonts w:eastAsia="仿宋_GB2312"/>
          <w:b/>
          <w:bCs/>
          <w:sz w:val="32"/>
          <w:szCs w:val="32"/>
        </w:rPr>
        <w:t>（1）实施地点。</w:t>
      </w:r>
      <w:r>
        <w:rPr>
          <w:rFonts w:eastAsia="仿宋_GB2312"/>
          <w:w w:val="90"/>
          <w:sz w:val="32"/>
          <w:szCs w:val="32"/>
        </w:rPr>
        <w:t>村内道路项目在下八寨乡、镇坪乡2个村实施；</w:t>
      </w:r>
    </w:p>
    <w:p w14:paraId="1972F8EE">
      <w:pPr>
        <w:autoSpaceDE w:val="0"/>
        <w:autoSpaceDN w:val="0"/>
        <w:snapToGrid w:val="0"/>
        <w:spacing w:line="578" w:lineRule="exact"/>
        <w:ind w:firstLine="643" w:firstLineChars="200"/>
        <w:rPr>
          <w:rFonts w:eastAsia="仿宋_GB2312"/>
          <w:spacing w:val="-6"/>
          <w:sz w:val="32"/>
          <w:szCs w:val="32"/>
        </w:rPr>
      </w:pPr>
      <w:r>
        <w:rPr>
          <w:rFonts w:eastAsia="仿宋_GB2312"/>
          <w:b/>
          <w:bCs/>
          <w:sz w:val="32"/>
          <w:szCs w:val="32"/>
        </w:rPr>
        <w:t>（2）建设内容和规模。</w:t>
      </w:r>
      <w:bookmarkStart w:id="62" w:name="_Toc5838"/>
      <w:bookmarkStart w:id="63" w:name="_Toc5075"/>
      <w:bookmarkStart w:id="64" w:name="_Toc25396"/>
      <w:bookmarkStart w:id="65" w:name="_Toc21475"/>
      <w:r>
        <w:rPr>
          <w:rFonts w:eastAsia="仿宋_GB2312"/>
          <w:sz w:val="32"/>
          <w:szCs w:val="32"/>
        </w:rPr>
        <w:t>下八寨乡</w:t>
      </w:r>
      <w:r>
        <w:rPr>
          <w:rFonts w:eastAsia="仿宋_GB2312"/>
          <w:spacing w:val="-6"/>
          <w:sz w:val="32"/>
          <w:szCs w:val="32"/>
        </w:rPr>
        <w:t>改建沙窝展陈馆至446省道道路长1200米×4米，水稳层20厘米，沥青厚8厘米；</w:t>
      </w:r>
      <w:r>
        <w:rPr>
          <w:rFonts w:eastAsia="仿宋_GB2312"/>
          <w:sz w:val="32"/>
          <w:szCs w:val="32"/>
        </w:rPr>
        <w:t>镇坪乡</w:t>
      </w:r>
      <w:r>
        <w:rPr>
          <w:rFonts w:eastAsia="仿宋_GB2312"/>
          <w:spacing w:val="-6"/>
          <w:sz w:val="32"/>
          <w:szCs w:val="32"/>
        </w:rPr>
        <w:t>改造提升产业道路长约3.3公里均宽约4.5米（含板涵桥一座）。</w:t>
      </w:r>
    </w:p>
    <w:p w14:paraId="51893816">
      <w:pPr>
        <w:autoSpaceDE w:val="0"/>
        <w:autoSpaceDN w:val="0"/>
        <w:snapToGrid w:val="0"/>
        <w:spacing w:line="578" w:lineRule="exact"/>
        <w:ind w:firstLine="643" w:firstLineChars="200"/>
        <w:rPr>
          <w:rFonts w:eastAsia="仿宋_GB2312"/>
          <w:sz w:val="32"/>
          <w:szCs w:val="32"/>
        </w:rPr>
      </w:pPr>
      <w:r>
        <w:rPr>
          <w:rFonts w:eastAsia="仿宋_GB2312"/>
          <w:b/>
          <w:bCs/>
          <w:sz w:val="32"/>
          <w:szCs w:val="32"/>
        </w:rPr>
        <w:t>（3）项目建设进度计划。</w:t>
      </w:r>
      <w:r>
        <w:rPr>
          <w:rFonts w:eastAsia="仿宋_GB2312"/>
          <w:sz w:val="32"/>
          <w:szCs w:val="32"/>
        </w:rPr>
        <w:t>项目拟于3月启动实施，11月完成本年目标计划。</w:t>
      </w:r>
      <w:bookmarkEnd w:id="62"/>
      <w:bookmarkEnd w:id="63"/>
      <w:bookmarkEnd w:id="64"/>
      <w:bookmarkEnd w:id="65"/>
    </w:p>
    <w:p w14:paraId="624E91D3">
      <w:pPr>
        <w:autoSpaceDE w:val="0"/>
        <w:autoSpaceDN w:val="0"/>
        <w:snapToGrid w:val="0"/>
        <w:spacing w:line="578" w:lineRule="exact"/>
        <w:ind w:firstLine="643" w:firstLineChars="200"/>
        <w:outlineLvl w:val="0"/>
        <w:rPr>
          <w:rFonts w:eastAsia="仿宋_GB2312"/>
          <w:sz w:val="32"/>
          <w:szCs w:val="32"/>
        </w:rPr>
      </w:pPr>
      <w:bookmarkStart w:id="66" w:name="_Toc11545"/>
      <w:bookmarkStart w:id="67" w:name="_Toc25296"/>
      <w:bookmarkStart w:id="68" w:name="_Toc5946"/>
      <w:bookmarkStart w:id="69" w:name="_Toc10659"/>
      <w:r>
        <w:rPr>
          <w:rFonts w:eastAsia="仿宋_GB2312"/>
          <w:b/>
          <w:bCs/>
          <w:sz w:val="32"/>
          <w:szCs w:val="32"/>
        </w:rPr>
        <w:t>（4）项目效益。</w:t>
      </w:r>
      <w:r>
        <w:rPr>
          <w:rFonts w:eastAsia="仿宋_GB2312"/>
          <w:sz w:val="32"/>
          <w:szCs w:val="32"/>
        </w:rPr>
        <w:t>项目实施后，将极大解决大多数高半山村的交通瓶颈，促进村级经济社会事业的各方面发展。惠及1个脱贫村、112户脱贫户。</w:t>
      </w:r>
      <w:bookmarkEnd w:id="66"/>
      <w:bookmarkEnd w:id="67"/>
      <w:bookmarkEnd w:id="68"/>
      <w:bookmarkEnd w:id="69"/>
    </w:p>
    <w:p w14:paraId="13233E58">
      <w:pPr>
        <w:autoSpaceDE w:val="0"/>
        <w:autoSpaceDN w:val="0"/>
        <w:snapToGrid w:val="0"/>
        <w:spacing w:line="578" w:lineRule="exact"/>
        <w:ind w:firstLine="643" w:firstLineChars="200"/>
        <w:outlineLvl w:val="0"/>
        <w:rPr>
          <w:rFonts w:eastAsia="仿宋_GB2312"/>
          <w:b/>
          <w:bCs/>
          <w:sz w:val="32"/>
          <w:szCs w:val="32"/>
        </w:rPr>
      </w:pPr>
      <w:bookmarkStart w:id="70" w:name="_Toc4857"/>
      <w:bookmarkStart w:id="71" w:name="_Toc32631"/>
      <w:bookmarkStart w:id="72" w:name="_Toc9797"/>
      <w:bookmarkStart w:id="73" w:name="_Toc20377"/>
      <w:r>
        <w:rPr>
          <w:rFonts w:eastAsia="仿宋_GB2312"/>
          <w:b/>
          <w:bCs/>
          <w:sz w:val="32"/>
          <w:szCs w:val="32"/>
        </w:rPr>
        <w:t>2.水利项目</w:t>
      </w:r>
      <w:bookmarkEnd w:id="70"/>
      <w:bookmarkEnd w:id="71"/>
      <w:bookmarkEnd w:id="72"/>
      <w:bookmarkEnd w:id="73"/>
      <w:r>
        <w:rPr>
          <w:rFonts w:eastAsia="仿宋_GB2312"/>
          <w:b/>
          <w:bCs/>
          <w:sz w:val="32"/>
          <w:szCs w:val="32"/>
        </w:rPr>
        <w:t>。</w:t>
      </w:r>
    </w:p>
    <w:p w14:paraId="07BDA7CA">
      <w:pPr>
        <w:autoSpaceDE w:val="0"/>
        <w:autoSpaceDN w:val="0"/>
        <w:snapToGrid w:val="0"/>
        <w:spacing w:line="578" w:lineRule="exact"/>
        <w:ind w:firstLine="643" w:firstLineChars="200"/>
        <w:rPr>
          <w:rFonts w:eastAsia="仿宋_GB2312"/>
          <w:sz w:val="32"/>
          <w:szCs w:val="32"/>
        </w:rPr>
      </w:pPr>
      <w:r>
        <w:rPr>
          <w:rFonts w:eastAsia="仿宋_GB2312"/>
          <w:b/>
          <w:bCs/>
          <w:sz w:val="32"/>
          <w:szCs w:val="32"/>
        </w:rPr>
        <w:t>（1）实施地点。</w:t>
      </w:r>
      <w:r>
        <w:rPr>
          <w:rFonts w:eastAsia="仿宋_GB2312"/>
          <w:sz w:val="32"/>
          <w:szCs w:val="32"/>
        </w:rPr>
        <w:t>水利项目十里回族乡佑所屯村实施。</w:t>
      </w:r>
    </w:p>
    <w:p w14:paraId="44EB20F5">
      <w:pPr>
        <w:autoSpaceDE w:val="0"/>
        <w:autoSpaceDN w:val="0"/>
        <w:snapToGrid w:val="0"/>
        <w:spacing w:line="578" w:lineRule="exact"/>
        <w:ind w:firstLine="643" w:firstLineChars="200"/>
        <w:rPr>
          <w:rFonts w:eastAsia="仿宋_GB2312"/>
          <w:sz w:val="32"/>
          <w:szCs w:val="32"/>
        </w:rPr>
      </w:pPr>
      <w:r>
        <w:rPr>
          <w:rFonts w:eastAsia="仿宋_GB2312"/>
          <w:b/>
          <w:bCs/>
          <w:sz w:val="32"/>
          <w:szCs w:val="32"/>
        </w:rPr>
        <w:t>（2）建设内容和规模。</w:t>
      </w:r>
      <w:bookmarkStart w:id="74" w:name="_Toc23749"/>
      <w:bookmarkStart w:id="75" w:name="_Toc20981"/>
      <w:bookmarkStart w:id="76" w:name="_Toc9351"/>
      <w:bookmarkStart w:id="77" w:name="_Toc26588"/>
      <w:r>
        <w:rPr>
          <w:rFonts w:eastAsia="仿宋_GB2312"/>
          <w:sz w:val="32"/>
          <w:szCs w:val="32"/>
        </w:rPr>
        <w:t>自来水管网改造，主管2.2公里DN50、分管2.6公里DN25；开挖回填0.5米宽（硬化），水表井30个，入户首孔井150个。</w:t>
      </w:r>
    </w:p>
    <w:p w14:paraId="4CE00E85">
      <w:pPr>
        <w:autoSpaceDE w:val="0"/>
        <w:autoSpaceDN w:val="0"/>
        <w:snapToGrid w:val="0"/>
        <w:spacing w:line="578" w:lineRule="exact"/>
        <w:ind w:firstLine="643" w:firstLineChars="200"/>
        <w:rPr>
          <w:rFonts w:eastAsia="仿宋_GB2312"/>
          <w:sz w:val="32"/>
          <w:szCs w:val="32"/>
        </w:rPr>
      </w:pPr>
      <w:r>
        <w:rPr>
          <w:rFonts w:eastAsia="仿宋_GB2312"/>
          <w:b/>
          <w:bCs/>
          <w:sz w:val="32"/>
          <w:szCs w:val="32"/>
        </w:rPr>
        <w:t>（3）项目建设进度计划。</w:t>
      </w:r>
      <w:r>
        <w:rPr>
          <w:rFonts w:eastAsia="仿宋_GB2312"/>
          <w:sz w:val="32"/>
          <w:szCs w:val="32"/>
        </w:rPr>
        <w:t>项目拟于3月启动实施，11月完成本年目标计划。</w:t>
      </w:r>
      <w:bookmarkEnd w:id="74"/>
      <w:bookmarkEnd w:id="75"/>
      <w:bookmarkEnd w:id="76"/>
      <w:bookmarkEnd w:id="77"/>
    </w:p>
    <w:p w14:paraId="2EE87B9D">
      <w:pPr>
        <w:spacing w:line="578" w:lineRule="exact"/>
        <w:ind w:firstLine="643" w:firstLineChars="200"/>
        <w:rPr>
          <w:rFonts w:eastAsia="仿宋_GB2312"/>
          <w:sz w:val="32"/>
          <w:szCs w:val="32"/>
        </w:rPr>
      </w:pPr>
      <w:bookmarkStart w:id="78" w:name="_Toc20810"/>
      <w:bookmarkStart w:id="79" w:name="_Toc6659"/>
      <w:bookmarkStart w:id="80" w:name="_Toc21156"/>
      <w:bookmarkStart w:id="81" w:name="_Toc8723"/>
      <w:r>
        <w:rPr>
          <w:rFonts w:eastAsia="仿宋_GB2312"/>
          <w:b/>
          <w:bCs/>
          <w:sz w:val="32"/>
          <w:szCs w:val="32"/>
        </w:rPr>
        <w:t>（4）项目效益。</w:t>
      </w:r>
      <w:r>
        <w:rPr>
          <w:rFonts w:eastAsia="仿宋_GB2312"/>
          <w:sz w:val="32"/>
          <w:szCs w:val="32"/>
        </w:rPr>
        <w:t>项目实施后，提升群众的饮水安全和饮水质量，改善生产生活条件，保障人民群众生命财产安全。惠及19户脱贫户。</w:t>
      </w:r>
      <w:bookmarkEnd w:id="78"/>
      <w:bookmarkEnd w:id="79"/>
      <w:bookmarkEnd w:id="80"/>
      <w:bookmarkEnd w:id="81"/>
    </w:p>
    <w:p w14:paraId="740942BD">
      <w:pPr>
        <w:pStyle w:val="5"/>
        <w:autoSpaceDE w:val="0"/>
        <w:autoSpaceDN w:val="0"/>
        <w:snapToGrid w:val="0"/>
        <w:spacing w:line="578" w:lineRule="exact"/>
        <w:ind w:left="644"/>
        <w:jc w:val="both"/>
        <w:rPr>
          <w:rFonts w:eastAsia="楷体_GB2312"/>
          <w:b/>
          <w:bCs/>
          <w:sz w:val="32"/>
          <w:szCs w:val="32"/>
        </w:rPr>
      </w:pPr>
      <w:bookmarkStart w:id="82" w:name="_Toc20024"/>
      <w:bookmarkStart w:id="83" w:name="_Toc19950"/>
      <w:bookmarkStart w:id="84" w:name="_Toc26017"/>
      <w:bookmarkStart w:id="85" w:name="_Toc23310"/>
      <w:r>
        <w:rPr>
          <w:rFonts w:eastAsia="楷体_GB2312"/>
          <w:b/>
          <w:bCs/>
          <w:sz w:val="32"/>
          <w:szCs w:val="32"/>
        </w:rPr>
        <w:t>（二）农业产业发展项目。</w:t>
      </w:r>
      <w:bookmarkEnd w:id="82"/>
      <w:bookmarkEnd w:id="83"/>
    </w:p>
    <w:bookmarkEnd w:id="84"/>
    <w:bookmarkEnd w:id="85"/>
    <w:p w14:paraId="480ED60C">
      <w:pPr>
        <w:autoSpaceDE w:val="0"/>
        <w:autoSpaceDN w:val="0"/>
        <w:snapToGrid w:val="0"/>
        <w:spacing w:line="578" w:lineRule="exact"/>
        <w:ind w:left="0" w:firstLine="640" w:firstLineChars="200"/>
        <w:rPr>
          <w:rFonts w:eastAsia="仿宋_GB2312"/>
          <w:spacing w:val="-6"/>
          <w:sz w:val="32"/>
          <w:szCs w:val="32"/>
        </w:rPr>
      </w:pPr>
      <w:r>
        <w:rPr>
          <w:rFonts w:eastAsia="仿宋_GB2312"/>
          <w:sz w:val="32"/>
          <w:szCs w:val="32"/>
        </w:rPr>
        <w:t>农业产业发展类共有项目10个。其中：种植业4个、养殖业2</w:t>
      </w:r>
      <w:r>
        <w:rPr>
          <w:rFonts w:eastAsia="仿宋_GB2312"/>
          <w:spacing w:val="-6"/>
          <w:sz w:val="32"/>
          <w:szCs w:val="32"/>
        </w:rPr>
        <w:t>个、农副产品加工业、手工业4个。</w:t>
      </w:r>
    </w:p>
    <w:p w14:paraId="5254B0DA">
      <w:pPr>
        <w:autoSpaceDE w:val="0"/>
        <w:autoSpaceDN w:val="0"/>
        <w:snapToGrid w:val="0"/>
        <w:spacing w:line="578" w:lineRule="exact"/>
        <w:ind w:firstLine="643" w:firstLineChars="200"/>
        <w:outlineLvl w:val="0"/>
        <w:rPr>
          <w:rFonts w:eastAsia="仿宋_GB2312"/>
          <w:b/>
          <w:bCs/>
          <w:sz w:val="32"/>
          <w:szCs w:val="32"/>
        </w:rPr>
      </w:pPr>
      <w:bookmarkStart w:id="86" w:name="_Toc8507"/>
      <w:bookmarkStart w:id="87" w:name="_Toc23557"/>
      <w:bookmarkStart w:id="88" w:name="_Toc24384"/>
      <w:bookmarkStart w:id="89" w:name="_Toc23756"/>
      <w:r>
        <w:rPr>
          <w:rFonts w:eastAsia="仿宋_GB2312"/>
          <w:b/>
          <w:bCs/>
          <w:sz w:val="32"/>
          <w:szCs w:val="32"/>
        </w:rPr>
        <w:t>1.种植业</w:t>
      </w:r>
      <w:bookmarkEnd w:id="86"/>
      <w:bookmarkEnd w:id="87"/>
      <w:bookmarkEnd w:id="88"/>
      <w:r>
        <w:rPr>
          <w:rFonts w:eastAsia="仿宋_GB2312"/>
          <w:b/>
          <w:bCs/>
          <w:sz w:val="32"/>
          <w:szCs w:val="32"/>
        </w:rPr>
        <w:t>项目</w:t>
      </w:r>
      <w:bookmarkEnd w:id="89"/>
      <w:r>
        <w:rPr>
          <w:rFonts w:eastAsia="仿宋_GB2312"/>
          <w:b/>
          <w:bCs/>
          <w:sz w:val="32"/>
          <w:szCs w:val="32"/>
        </w:rPr>
        <w:t>。</w:t>
      </w:r>
    </w:p>
    <w:p w14:paraId="5E143DF9">
      <w:pPr>
        <w:autoSpaceDE w:val="0"/>
        <w:autoSpaceDN w:val="0"/>
        <w:snapToGrid w:val="0"/>
        <w:spacing w:line="578" w:lineRule="exact"/>
        <w:ind w:firstLine="643" w:firstLineChars="200"/>
        <w:rPr>
          <w:rFonts w:eastAsia="仿宋_GB2312"/>
          <w:sz w:val="32"/>
          <w:szCs w:val="32"/>
        </w:rPr>
      </w:pPr>
      <w:r>
        <w:rPr>
          <w:rFonts w:eastAsia="仿宋_GB2312"/>
          <w:b/>
          <w:bCs/>
          <w:sz w:val="32"/>
          <w:szCs w:val="32"/>
        </w:rPr>
        <w:t>（1）实施地点。</w:t>
      </w:r>
      <w:r>
        <w:rPr>
          <w:rFonts w:eastAsia="仿宋_GB2312"/>
          <w:sz w:val="32"/>
          <w:szCs w:val="32"/>
        </w:rPr>
        <w:t>小河镇、川主寺镇、红土镇等乡镇实施。</w:t>
      </w:r>
    </w:p>
    <w:p w14:paraId="11F34D99">
      <w:pPr>
        <w:autoSpaceDE w:val="0"/>
        <w:autoSpaceDN w:val="0"/>
        <w:snapToGrid w:val="0"/>
        <w:spacing w:line="578" w:lineRule="exact"/>
        <w:ind w:firstLine="643" w:firstLineChars="200"/>
        <w:rPr>
          <w:rFonts w:eastAsia="仿宋_GB2312"/>
          <w:sz w:val="32"/>
          <w:szCs w:val="32"/>
        </w:rPr>
      </w:pPr>
      <w:r>
        <w:rPr>
          <w:rFonts w:eastAsia="仿宋_GB2312"/>
          <w:b/>
          <w:bCs/>
          <w:sz w:val="32"/>
          <w:szCs w:val="32"/>
        </w:rPr>
        <w:t>（2）建设内容及规模。</w:t>
      </w:r>
      <w:bookmarkStart w:id="90" w:name="_Toc10599"/>
      <w:bookmarkStart w:id="91" w:name="_Toc3810"/>
      <w:bookmarkStart w:id="92" w:name="_Toc21263"/>
      <w:bookmarkStart w:id="93" w:name="_Toc24401"/>
      <w:r>
        <w:rPr>
          <w:rFonts w:eastAsia="仿宋_GB2312"/>
          <w:sz w:val="32"/>
          <w:szCs w:val="32"/>
        </w:rPr>
        <w:t>建设标准化羊肚菌（食用菌）生产大棚30亩；开展羊肚菌种植、病虫害防治及销售等技术培训；修缮配套产业路200米；新建组装式扶贫车间300平方米，配备加工炮制设备、烘干设备；对松潘县土地板结问题进行试点改良土壤10亩；修建大棚6个，每个4亩。</w:t>
      </w:r>
    </w:p>
    <w:p w14:paraId="5B8F58DB">
      <w:pPr>
        <w:autoSpaceDE w:val="0"/>
        <w:autoSpaceDN w:val="0"/>
        <w:snapToGrid w:val="0"/>
        <w:spacing w:line="578" w:lineRule="exact"/>
        <w:ind w:firstLine="643" w:firstLineChars="200"/>
        <w:rPr>
          <w:rFonts w:eastAsia="仿宋_GB2312"/>
          <w:sz w:val="32"/>
          <w:szCs w:val="32"/>
        </w:rPr>
      </w:pPr>
      <w:r>
        <w:rPr>
          <w:rFonts w:eastAsia="仿宋_GB2312"/>
          <w:b/>
          <w:bCs/>
          <w:sz w:val="32"/>
          <w:szCs w:val="32"/>
        </w:rPr>
        <w:t>（3）项目建设进度计划。</w:t>
      </w:r>
      <w:r>
        <w:rPr>
          <w:rFonts w:eastAsia="仿宋_GB2312"/>
          <w:sz w:val="32"/>
          <w:szCs w:val="32"/>
        </w:rPr>
        <w:t>项目拟于3月启动实施，11月完成完成本年目标计划。</w:t>
      </w:r>
      <w:bookmarkEnd w:id="90"/>
      <w:bookmarkEnd w:id="91"/>
      <w:bookmarkEnd w:id="92"/>
      <w:bookmarkEnd w:id="93"/>
    </w:p>
    <w:p w14:paraId="57EDFCF7">
      <w:pPr>
        <w:spacing w:line="578" w:lineRule="exact"/>
        <w:ind w:firstLine="643" w:firstLineChars="200"/>
        <w:rPr>
          <w:rFonts w:eastAsia="仿宋_GB2312"/>
          <w:sz w:val="32"/>
          <w:szCs w:val="32"/>
        </w:rPr>
      </w:pPr>
      <w:bookmarkStart w:id="94" w:name="_Toc24567"/>
      <w:bookmarkStart w:id="95" w:name="_Toc21692"/>
      <w:bookmarkStart w:id="96" w:name="_Toc22008"/>
      <w:bookmarkStart w:id="97" w:name="_Toc14624"/>
      <w:r>
        <w:rPr>
          <w:rFonts w:eastAsia="仿宋_GB2312"/>
          <w:b/>
          <w:bCs/>
          <w:sz w:val="32"/>
          <w:szCs w:val="32"/>
        </w:rPr>
        <w:t>（4）项目效益。</w:t>
      </w:r>
      <w:r>
        <w:rPr>
          <w:rFonts w:eastAsia="仿宋_GB2312"/>
          <w:sz w:val="32"/>
          <w:szCs w:val="32"/>
        </w:rPr>
        <w:t>项目实施后，提升产业发展，壮大产业规模，促进群众增收。</w:t>
      </w:r>
      <w:bookmarkEnd w:id="94"/>
      <w:bookmarkEnd w:id="95"/>
      <w:bookmarkEnd w:id="96"/>
      <w:bookmarkEnd w:id="97"/>
      <w:r>
        <w:rPr>
          <w:rFonts w:eastAsia="仿宋_GB2312"/>
          <w:sz w:val="32"/>
          <w:szCs w:val="32"/>
        </w:rPr>
        <w:t>惠及7个脱贫村、53户脱贫户。</w:t>
      </w:r>
    </w:p>
    <w:p w14:paraId="37468233">
      <w:pPr>
        <w:autoSpaceDE w:val="0"/>
        <w:autoSpaceDN w:val="0"/>
        <w:snapToGrid w:val="0"/>
        <w:spacing w:line="578" w:lineRule="exact"/>
        <w:ind w:firstLine="643" w:firstLineChars="200"/>
        <w:outlineLvl w:val="0"/>
        <w:rPr>
          <w:rFonts w:eastAsia="仿宋_GB2312"/>
          <w:b/>
          <w:bCs/>
          <w:sz w:val="32"/>
          <w:szCs w:val="32"/>
        </w:rPr>
      </w:pPr>
      <w:bookmarkStart w:id="98" w:name="_Toc19997"/>
      <w:bookmarkStart w:id="99" w:name="_Toc16758"/>
      <w:bookmarkStart w:id="100" w:name="_Toc17555"/>
      <w:bookmarkStart w:id="101" w:name="_Toc22551"/>
      <w:r>
        <w:rPr>
          <w:rFonts w:eastAsia="仿宋_GB2312"/>
          <w:b/>
          <w:bCs/>
          <w:sz w:val="32"/>
          <w:szCs w:val="32"/>
        </w:rPr>
        <w:t>2.养殖业</w:t>
      </w:r>
      <w:bookmarkEnd w:id="98"/>
      <w:bookmarkEnd w:id="99"/>
      <w:bookmarkEnd w:id="100"/>
      <w:r>
        <w:rPr>
          <w:rFonts w:eastAsia="仿宋_GB2312"/>
          <w:b/>
          <w:bCs/>
          <w:sz w:val="32"/>
          <w:szCs w:val="32"/>
        </w:rPr>
        <w:t>项目</w:t>
      </w:r>
      <w:bookmarkEnd w:id="101"/>
      <w:r>
        <w:rPr>
          <w:rFonts w:eastAsia="仿宋_GB2312"/>
          <w:b/>
          <w:bCs/>
          <w:sz w:val="32"/>
          <w:szCs w:val="32"/>
        </w:rPr>
        <w:t>。</w:t>
      </w:r>
    </w:p>
    <w:p w14:paraId="49BC11D5">
      <w:pPr>
        <w:autoSpaceDE w:val="0"/>
        <w:autoSpaceDN w:val="0"/>
        <w:snapToGrid w:val="0"/>
        <w:spacing w:line="578" w:lineRule="exact"/>
        <w:ind w:firstLine="643" w:firstLineChars="200"/>
        <w:outlineLvl w:val="0"/>
        <w:rPr>
          <w:rFonts w:eastAsia="仿宋_GB2312"/>
          <w:sz w:val="32"/>
          <w:szCs w:val="32"/>
        </w:rPr>
      </w:pPr>
      <w:bookmarkStart w:id="102" w:name="_Toc10781"/>
      <w:bookmarkStart w:id="103" w:name="_Toc26015"/>
      <w:bookmarkStart w:id="104" w:name="_Toc17569"/>
      <w:bookmarkStart w:id="105" w:name="_Toc4234"/>
      <w:r>
        <w:rPr>
          <w:rFonts w:eastAsia="仿宋_GB2312"/>
          <w:b/>
          <w:bCs/>
          <w:sz w:val="32"/>
          <w:szCs w:val="32"/>
        </w:rPr>
        <w:t>（1）实施地点。</w:t>
      </w:r>
      <w:r>
        <w:rPr>
          <w:rFonts w:eastAsia="仿宋_GB2312"/>
          <w:sz w:val="32"/>
          <w:szCs w:val="32"/>
        </w:rPr>
        <w:t>燕云乡、川主寺镇。</w:t>
      </w:r>
      <w:bookmarkEnd w:id="102"/>
      <w:bookmarkEnd w:id="103"/>
      <w:bookmarkEnd w:id="104"/>
      <w:bookmarkEnd w:id="105"/>
    </w:p>
    <w:p w14:paraId="33625F1C">
      <w:pPr>
        <w:autoSpaceDE w:val="0"/>
        <w:autoSpaceDN w:val="0"/>
        <w:snapToGrid w:val="0"/>
        <w:spacing w:line="578" w:lineRule="exact"/>
        <w:ind w:firstLine="643" w:firstLineChars="200"/>
        <w:outlineLvl w:val="0"/>
        <w:rPr>
          <w:rFonts w:eastAsia="仿宋_GB2312"/>
          <w:bCs/>
          <w:sz w:val="32"/>
          <w:szCs w:val="32"/>
        </w:rPr>
      </w:pPr>
      <w:bookmarkStart w:id="106" w:name="_Toc9946"/>
      <w:bookmarkStart w:id="107" w:name="_Toc11234"/>
      <w:bookmarkStart w:id="108" w:name="_Toc12981"/>
      <w:bookmarkStart w:id="109" w:name="_Toc30454"/>
      <w:r>
        <w:rPr>
          <w:rFonts w:eastAsia="仿宋_GB2312"/>
          <w:b/>
          <w:bCs/>
          <w:sz w:val="32"/>
          <w:szCs w:val="32"/>
        </w:rPr>
        <w:t>（2）建设内容及规模。</w:t>
      </w:r>
      <w:bookmarkEnd w:id="106"/>
      <w:bookmarkEnd w:id="107"/>
      <w:bookmarkEnd w:id="108"/>
      <w:bookmarkEnd w:id="109"/>
      <w:r>
        <w:rPr>
          <w:rFonts w:eastAsia="仿宋_GB2312"/>
          <w:sz w:val="32"/>
          <w:szCs w:val="32"/>
        </w:rPr>
        <w:t>在燕云乡新建标准化牦牛养殖圈舍1.6万平方米，舍饲圈养承载规模约3000头牦牛（6个月），辅以适宜的饲草加工生产设施设备等。在川主寺镇</w:t>
      </w:r>
      <w:r>
        <w:rPr>
          <w:rFonts w:eastAsia="仿宋_GB2312"/>
          <w:bCs/>
          <w:sz w:val="32"/>
          <w:szCs w:val="32"/>
        </w:rPr>
        <w:t>新建标准化牦牛养殖圈舍2000平方米，舍饲圈养承载规模500头牦牛；配套建设饲草加工生产设施设备等。</w:t>
      </w:r>
    </w:p>
    <w:p w14:paraId="3D173747">
      <w:pPr>
        <w:autoSpaceDE w:val="0"/>
        <w:autoSpaceDN w:val="0"/>
        <w:snapToGrid w:val="0"/>
        <w:spacing w:line="578" w:lineRule="exact"/>
        <w:ind w:firstLine="643" w:firstLineChars="200"/>
        <w:outlineLvl w:val="0"/>
        <w:rPr>
          <w:rFonts w:eastAsia="仿宋_GB2312"/>
          <w:sz w:val="32"/>
          <w:szCs w:val="32"/>
        </w:rPr>
      </w:pPr>
      <w:r>
        <w:rPr>
          <w:rFonts w:eastAsia="仿宋_GB2312"/>
          <w:b/>
          <w:bCs/>
          <w:sz w:val="32"/>
          <w:szCs w:val="32"/>
        </w:rPr>
        <w:t>（3）项目建设进度计划。</w:t>
      </w:r>
      <w:r>
        <w:rPr>
          <w:rFonts w:eastAsia="仿宋_GB2312"/>
          <w:sz w:val="32"/>
          <w:szCs w:val="32"/>
        </w:rPr>
        <w:t>项目拟于3月启动实施，11月完成本年目标计划。</w:t>
      </w:r>
    </w:p>
    <w:p w14:paraId="21E11889">
      <w:pPr>
        <w:spacing w:line="578" w:lineRule="exact"/>
        <w:ind w:firstLine="643" w:firstLineChars="200"/>
        <w:rPr>
          <w:rFonts w:eastAsia="仿宋_GB2312"/>
          <w:sz w:val="32"/>
          <w:szCs w:val="32"/>
        </w:rPr>
      </w:pPr>
      <w:bookmarkStart w:id="110" w:name="_Toc21462"/>
      <w:bookmarkStart w:id="111" w:name="_Toc5106"/>
      <w:bookmarkStart w:id="112" w:name="_Toc32173"/>
      <w:bookmarkStart w:id="113" w:name="_Toc17776"/>
      <w:r>
        <w:rPr>
          <w:rFonts w:eastAsia="仿宋_GB2312"/>
          <w:b/>
          <w:bCs/>
          <w:sz w:val="32"/>
          <w:szCs w:val="32"/>
        </w:rPr>
        <w:t>（4）项目效益。</w:t>
      </w:r>
      <w:r>
        <w:rPr>
          <w:rFonts w:eastAsia="仿宋_GB2312"/>
          <w:sz w:val="32"/>
          <w:szCs w:val="32"/>
        </w:rPr>
        <w:t>项目实施后，不断壮大村集体产业发展，让群众增收。惠及1个脱贫村、55户脱贫户。</w:t>
      </w:r>
      <w:bookmarkEnd w:id="110"/>
      <w:bookmarkEnd w:id="111"/>
      <w:bookmarkEnd w:id="112"/>
      <w:bookmarkEnd w:id="113"/>
    </w:p>
    <w:p w14:paraId="32DC097C">
      <w:pPr>
        <w:autoSpaceDE w:val="0"/>
        <w:autoSpaceDN w:val="0"/>
        <w:snapToGrid w:val="0"/>
        <w:spacing w:line="578" w:lineRule="exact"/>
        <w:ind w:left="0" w:firstLine="643" w:firstLineChars="200"/>
        <w:outlineLvl w:val="0"/>
        <w:rPr>
          <w:rFonts w:eastAsia="仿宋_GB2312"/>
          <w:b/>
          <w:bCs/>
          <w:sz w:val="32"/>
          <w:szCs w:val="32"/>
        </w:rPr>
      </w:pPr>
      <w:bookmarkStart w:id="114" w:name="_Toc12486"/>
      <w:bookmarkStart w:id="115" w:name="_Toc27432"/>
      <w:bookmarkStart w:id="116" w:name="_Toc21748"/>
      <w:bookmarkStart w:id="117" w:name="_Toc8973"/>
      <w:r>
        <w:rPr>
          <w:rFonts w:eastAsia="仿宋_GB2312"/>
          <w:b/>
          <w:bCs/>
          <w:sz w:val="32"/>
          <w:szCs w:val="32"/>
        </w:rPr>
        <w:t>3.</w:t>
      </w:r>
      <w:bookmarkEnd w:id="114"/>
      <w:bookmarkEnd w:id="115"/>
      <w:bookmarkEnd w:id="116"/>
      <w:bookmarkEnd w:id="117"/>
      <w:r>
        <w:rPr>
          <w:rFonts w:eastAsia="仿宋_GB2312"/>
          <w:b/>
          <w:bCs/>
          <w:sz w:val="32"/>
          <w:szCs w:val="32"/>
        </w:rPr>
        <w:t>农副产品加工业、手工业项目。</w:t>
      </w:r>
    </w:p>
    <w:p w14:paraId="398F314B">
      <w:pPr>
        <w:autoSpaceDE w:val="0"/>
        <w:autoSpaceDN w:val="0"/>
        <w:snapToGrid w:val="0"/>
        <w:spacing w:line="578" w:lineRule="exact"/>
        <w:ind w:firstLine="643" w:firstLineChars="200"/>
        <w:outlineLvl w:val="0"/>
        <w:rPr>
          <w:rFonts w:eastAsia="仿宋_GB2312"/>
          <w:sz w:val="32"/>
          <w:szCs w:val="32"/>
        </w:rPr>
      </w:pPr>
      <w:bookmarkStart w:id="118" w:name="_Toc28235"/>
      <w:bookmarkStart w:id="119" w:name="_Toc30195"/>
      <w:bookmarkStart w:id="120" w:name="_Toc31318"/>
      <w:bookmarkStart w:id="121" w:name="_Toc8753"/>
      <w:r>
        <w:rPr>
          <w:rFonts w:eastAsia="仿宋_GB2312"/>
          <w:b/>
          <w:bCs/>
          <w:sz w:val="32"/>
          <w:szCs w:val="32"/>
        </w:rPr>
        <w:t>（1）实施地点。</w:t>
      </w:r>
      <w:bookmarkEnd w:id="118"/>
      <w:bookmarkEnd w:id="119"/>
      <w:bookmarkEnd w:id="120"/>
      <w:bookmarkEnd w:id="121"/>
      <w:r>
        <w:rPr>
          <w:rFonts w:eastAsia="仿宋_GB2312"/>
          <w:sz w:val="32"/>
          <w:szCs w:val="32"/>
        </w:rPr>
        <w:t>镇坪乡、镇江关镇、大姓乡。</w:t>
      </w:r>
    </w:p>
    <w:p w14:paraId="72903DAB">
      <w:pPr>
        <w:autoSpaceDE w:val="0"/>
        <w:autoSpaceDN w:val="0"/>
        <w:snapToGrid w:val="0"/>
        <w:spacing w:line="578" w:lineRule="exact"/>
        <w:ind w:firstLine="643" w:firstLineChars="200"/>
        <w:outlineLvl w:val="0"/>
        <w:rPr>
          <w:rFonts w:eastAsia="仿宋_GB2312"/>
          <w:sz w:val="32"/>
          <w:szCs w:val="32"/>
        </w:rPr>
      </w:pPr>
      <w:bookmarkStart w:id="122" w:name="_Toc30050"/>
      <w:bookmarkStart w:id="123" w:name="_Toc24746"/>
      <w:bookmarkStart w:id="124" w:name="_Toc3935"/>
      <w:bookmarkStart w:id="125" w:name="_Toc19576"/>
      <w:r>
        <w:rPr>
          <w:rFonts w:eastAsia="仿宋_GB2312"/>
          <w:b/>
          <w:bCs/>
          <w:sz w:val="32"/>
          <w:szCs w:val="32"/>
        </w:rPr>
        <w:t>（2）建设内容及规模。</w:t>
      </w:r>
      <w:bookmarkEnd w:id="122"/>
      <w:bookmarkEnd w:id="123"/>
      <w:bookmarkEnd w:id="124"/>
      <w:bookmarkEnd w:id="125"/>
      <w:r>
        <w:rPr>
          <w:rFonts w:eastAsia="仿宋_GB2312"/>
          <w:sz w:val="32"/>
          <w:szCs w:val="32"/>
        </w:rPr>
        <w:t>建设3600平方米花椒产业园及配套附属设施，采购花椒次产品处理设备1套，采购垃圾箱10处。新建农贸市场一处及相关附属设施；对污水处理设备两处进行提档升级；村内公共区域环境提升约6000平方米；改建硬化村内道路1200米。采购35平方米的“几何木屋”5栋。</w:t>
      </w:r>
    </w:p>
    <w:p w14:paraId="6F482766">
      <w:pPr>
        <w:autoSpaceDE w:val="0"/>
        <w:autoSpaceDN w:val="0"/>
        <w:snapToGrid w:val="0"/>
        <w:spacing w:line="578" w:lineRule="exact"/>
        <w:ind w:firstLine="643" w:firstLineChars="200"/>
        <w:rPr>
          <w:rFonts w:eastAsia="仿宋_GB2312"/>
          <w:sz w:val="32"/>
          <w:szCs w:val="32"/>
        </w:rPr>
      </w:pPr>
      <w:r>
        <w:rPr>
          <w:rFonts w:eastAsia="仿宋_GB2312"/>
          <w:b/>
          <w:bCs/>
          <w:sz w:val="32"/>
          <w:szCs w:val="32"/>
        </w:rPr>
        <w:t>（3）项目建设进度计划。</w:t>
      </w:r>
      <w:r>
        <w:rPr>
          <w:rFonts w:eastAsia="仿宋_GB2312"/>
          <w:sz w:val="32"/>
          <w:szCs w:val="32"/>
        </w:rPr>
        <w:t>项目拟于3月启动实施，11月完成本年目标计划。</w:t>
      </w:r>
    </w:p>
    <w:p w14:paraId="79F6F758">
      <w:pPr>
        <w:autoSpaceDE w:val="0"/>
        <w:autoSpaceDN w:val="0"/>
        <w:snapToGrid w:val="0"/>
        <w:spacing w:line="578" w:lineRule="exact"/>
        <w:ind w:firstLine="643" w:firstLineChars="200"/>
        <w:rPr>
          <w:rFonts w:eastAsia="仿宋_GB2312"/>
          <w:sz w:val="32"/>
          <w:szCs w:val="32"/>
        </w:rPr>
      </w:pPr>
      <w:r>
        <w:rPr>
          <w:rFonts w:eastAsia="仿宋_GB2312"/>
          <w:b/>
          <w:bCs/>
          <w:sz w:val="32"/>
          <w:szCs w:val="32"/>
        </w:rPr>
        <w:t>（4）项目效益。</w:t>
      </w:r>
      <w:r>
        <w:rPr>
          <w:rFonts w:eastAsia="仿宋_GB2312"/>
          <w:sz w:val="32"/>
          <w:szCs w:val="32"/>
        </w:rPr>
        <w:t>项目实施后，不断壮大村产业发展，让群众增收。惠及2个脱贫村、96户脱贫户。</w:t>
      </w:r>
    </w:p>
    <w:p w14:paraId="1CB695B2">
      <w:pPr>
        <w:pStyle w:val="5"/>
        <w:autoSpaceDE w:val="0"/>
        <w:autoSpaceDN w:val="0"/>
        <w:snapToGrid w:val="0"/>
        <w:spacing w:line="578" w:lineRule="exact"/>
        <w:ind w:left="644"/>
        <w:jc w:val="both"/>
        <w:rPr>
          <w:rFonts w:eastAsia="楷体_GB2312"/>
          <w:b/>
          <w:bCs/>
          <w:sz w:val="32"/>
          <w:szCs w:val="32"/>
        </w:rPr>
      </w:pPr>
      <w:bookmarkStart w:id="126" w:name="_Toc17714"/>
      <w:bookmarkStart w:id="127" w:name="_Toc7750"/>
      <w:bookmarkStart w:id="128" w:name="_Toc2135"/>
      <w:bookmarkStart w:id="129" w:name="_Toc1699"/>
      <w:r>
        <w:rPr>
          <w:rFonts w:eastAsia="楷体_GB2312"/>
          <w:b/>
          <w:bCs/>
          <w:sz w:val="32"/>
          <w:szCs w:val="32"/>
        </w:rPr>
        <w:t>（三）其他项目。</w:t>
      </w:r>
      <w:bookmarkEnd w:id="126"/>
      <w:bookmarkEnd w:id="127"/>
    </w:p>
    <w:bookmarkEnd w:id="128"/>
    <w:bookmarkEnd w:id="129"/>
    <w:p w14:paraId="409B3BD3">
      <w:pPr>
        <w:autoSpaceDE w:val="0"/>
        <w:autoSpaceDN w:val="0"/>
        <w:snapToGrid w:val="0"/>
        <w:spacing w:line="578" w:lineRule="exact"/>
        <w:ind w:firstLine="800" w:firstLineChars="250"/>
        <w:rPr>
          <w:rFonts w:eastAsia="仿宋_GB2312"/>
          <w:sz w:val="32"/>
          <w:szCs w:val="32"/>
        </w:rPr>
      </w:pPr>
      <w:r>
        <w:rPr>
          <w:rFonts w:eastAsia="仿宋_GB2312"/>
          <w:sz w:val="32"/>
          <w:szCs w:val="32"/>
        </w:rPr>
        <w:t>其他类共有项目2个。</w:t>
      </w:r>
    </w:p>
    <w:p w14:paraId="2BD01D80">
      <w:pPr>
        <w:autoSpaceDE w:val="0"/>
        <w:autoSpaceDN w:val="0"/>
        <w:snapToGrid w:val="0"/>
        <w:spacing w:line="578" w:lineRule="exact"/>
        <w:ind w:firstLine="643" w:firstLineChars="200"/>
        <w:rPr>
          <w:rFonts w:eastAsia="仿宋_GB2312"/>
          <w:sz w:val="32"/>
          <w:szCs w:val="32"/>
        </w:rPr>
      </w:pPr>
      <w:r>
        <w:rPr>
          <w:rFonts w:eastAsia="仿宋_GB2312"/>
          <w:b/>
          <w:bCs/>
          <w:sz w:val="32"/>
          <w:szCs w:val="32"/>
        </w:rPr>
        <w:t>（1）实施地点。</w:t>
      </w:r>
      <w:r>
        <w:rPr>
          <w:rFonts w:eastAsia="仿宋_GB2312"/>
          <w:sz w:val="32"/>
          <w:szCs w:val="32"/>
        </w:rPr>
        <w:t>安宏乡、十里回族乡。</w:t>
      </w:r>
    </w:p>
    <w:p w14:paraId="2DF25D23">
      <w:pPr>
        <w:autoSpaceDE w:val="0"/>
        <w:autoSpaceDN w:val="0"/>
        <w:snapToGrid w:val="0"/>
        <w:spacing w:line="578" w:lineRule="exact"/>
        <w:ind w:firstLine="643" w:firstLineChars="200"/>
        <w:rPr>
          <w:rFonts w:eastAsia="仿宋_GB2312"/>
          <w:sz w:val="32"/>
          <w:szCs w:val="32"/>
        </w:rPr>
      </w:pPr>
      <w:r>
        <w:rPr>
          <w:rFonts w:eastAsia="仿宋_GB2312"/>
          <w:b/>
          <w:bCs/>
          <w:sz w:val="32"/>
          <w:szCs w:val="32"/>
        </w:rPr>
        <w:t>（2）建设内容及规模。</w:t>
      </w:r>
      <w:r>
        <w:rPr>
          <w:rFonts w:eastAsia="仿宋_GB2312"/>
          <w:sz w:val="32"/>
          <w:szCs w:val="32"/>
        </w:rPr>
        <w:t>1.通组路提升改造1580米，宽2米，厚度0.15米，路灯100盏；2.维修加固桥梁一座，跨度6米；3.村内环境整治提升及其附属设施。4.环境综合整治2600平方米，新建农产品展销长廊一处（60平方米）。</w:t>
      </w:r>
    </w:p>
    <w:p w14:paraId="4D7E90E1">
      <w:pPr>
        <w:autoSpaceDE w:val="0"/>
        <w:autoSpaceDN w:val="0"/>
        <w:snapToGrid w:val="0"/>
        <w:spacing w:line="578" w:lineRule="exact"/>
        <w:ind w:firstLine="643" w:firstLineChars="200"/>
        <w:rPr>
          <w:rFonts w:eastAsia="仿宋_GB2312"/>
          <w:sz w:val="32"/>
          <w:szCs w:val="32"/>
        </w:rPr>
      </w:pPr>
      <w:r>
        <w:rPr>
          <w:rFonts w:eastAsia="仿宋_GB2312"/>
          <w:b/>
          <w:bCs/>
          <w:sz w:val="32"/>
          <w:szCs w:val="32"/>
        </w:rPr>
        <w:t>（3）项目建设进度计划。</w:t>
      </w:r>
      <w:r>
        <w:rPr>
          <w:rFonts w:eastAsia="仿宋_GB2312"/>
          <w:sz w:val="32"/>
          <w:szCs w:val="32"/>
        </w:rPr>
        <w:t>项目拟于3月启动实施，11月完成本年目标计划。</w:t>
      </w:r>
    </w:p>
    <w:p w14:paraId="0E019B77">
      <w:pPr>
        <w:spacing w:line="578" w:lineRule="exact"/>
        <w:ind w:firstLine="643" w:firstLineChars="200"/>
        <w:rPr>
          <w:rFonts w:eastAsia="仿宋_GB2312"/>
          <w:sz w:val="32"/>
          <w:szCs w:val="32"/>
        </w:rPr>
      </w:pPr>
      <w:r>
        <w:rPr>
          <w:rFonts w:eastAsia="仿宋_GB2312"/>
          <w:b/>
          <w:bCs/>
          <w:sz w:val="32"/>
          <w:szCs w:val="32"/>
        </w:rPr>
        <w:t>（4）项目效益。</w:t>
      </w:r>
      <w:r>
        <w:rPr>
          <w:rFonts w:eastAsia="仿宋_GB2312"/>
          <w:sz w:val="32"/>
          <w:szCs w:val="32"/>
        </w:rPr>
        <w:t>解决民生问题。惠及43户脱贫户。</w:t>
      </w:r>
    </w:p>
    <w:p w14:paraId="2D16218D">
      <w:pPr>
        <w:pStyle w:val="11"/>
        <w:spacing w:line="578" w:lineRule="exact"/>
        <w:ind w:left="800" w:hanging="400"/>
      </w:pPr>
    </w:p>
    <w:p w14:paraId="5F13BECD">
      <w:pPr>
        <w:pStyle w:val="4"/>
        <w:keepNext w:val="0"/>
        <w:keepLines w:val="0"/>
        <w:autoSpaceDE w:val="0"/>
        <w:autoSpaceDN w:val="0"/>
        <w:snapToGrid w:val="0"/>
        <w:spacing w:line="578" w:lineRule="exact"/>
        <w:rPr>
          <w:sz w:val="32"/>
          <w:szCs w:val="32"/>
        </w:rPr>
      </w:pPr>
      <w:bookmarkStart w:id="130" w:name="_Toc1558"/>
      <w:bookmarkStart w:id="131" w:name="_Toc7348"/>
      <w:bookmarkStart w:id="132" w:name="_Toc7971"/>
      <w:bookmarkStart w:id="133" w:name="_Toc11956"/>
      <w:r>
        <w:rPr>
          <w:sz w:val="32"/>
          <w:szCs w:val="32"/>
        </w:rPr>
        <w:t>第五章  整合资金</w:t>
      </w:r>
      <w:bookmarkEnd w:id="130"/>
      <w:bookmarkEnd w:id="131"/>
      <w:bookmarkEnd w:id="132"/>
      <w:bookmarkEnd w:id="133"/>
    </w:p>
    <w:p w14:paraId="70FD0D28">
      <w:pPr>
        <w:spacing w:line="578" w:lineRule="exact"/>
      </w:pPr>
    </w:p>
    <w:p w14:paraId="0A76847B">
      <w:pPr>
        <w:pStyle w:val="5"/>
        <w:autoSpaceDE w:val="0"/>
        <w:autoSpaceDN w:val="0"/>
        <w:snapToGrid w:val="0"/>
        <w:spacing w:line="578" w:lineRule="exact"/>
        <w:ind w:left="0" w:firstLine="643" w:firstLineChars="200"/>
        <w:jc w:val="both"/>
        <w:rPr>
          <w:rFonts w:eastAsia="楷体_GB2312"/>
          <w:b/>
          <w:bCs/>
          <w:sz w:val="32"/>
          <w:szCs w:val="32"/>
        </w:rPr>
      </w:pPr>
      <w:bookmarkStart w:id="134" w:name="_Toc15043"/>
      <w:bookmarkStart w:id="135" w:name="_Toc2762"/>
      <w:bookmarkStart w:id="136" w:name="_Toc12182"/>
      <w:bookmarkStart w:id="137" w:name="_Toc8368"/>
      <w:r>
        <w:rPr>
          <w:rFonts w:eastAsia="楷体_GB2312"/>
          <w:b/>
          <w:bCs/>
          <w:sz w:val="32"/>
          <w:szCs w:val="32"/>
        </w:rPr>
        <w:t>（一）项目计划总投资情况。</w:t>
      </w:r>
      <w:bookmarkEnd w:id="134"/>
      <w:bookmarkEnd w:id="135"/>
      <w:bookmarkEnd w:id="136"/>
      <w:bookmarkEnd w:id="137"/>
    </w:p>
    <w:p w14:paraId="65D89493">
      <w:pPr>
        <w:autoSpaceDE w:val="0"/>
        <w:autoSpaceDN w:val="0"/>
        <w:snapToGrid w:val="0"/>
        <w:spacing w:line="578" w:lineRule="exact"/>
        <w:ind w:firstLine="640" w:firstLineChars="200"/>
        <w:outlineLvl w:val="0"/>
        <w:rPr>
          <w:rFonts w:eastAsia="仿宋_GB2312"/>
          <w:sz w:val="32"/>
          <w:szCs w:val="32"/>
        </w:rPr>
      </w:pPr>
      <w:bookmarkStart w:id="138" w:name="_Toc5508"/>
      <w:bookmarkStart w:id="139" w:name="_Toc12788"/>
      <w:bookmarkStart w:id="140" w:name="_Toc26704"/>
      <w:bookmarkStart w:id="141" w:name="_Toc104"/>
      <w:r>
        <w:rPr>
          <w:rFonts w:eastAsia="仿宋_GB2312"/>
          <w:sz w:val="32"/>
          <w:szCs w:val="32"/>
        </w:rPr>
        <w:t>2024年我县财政涉农资金统筹整合方案年初项目计划总投1029</w:t>
      </w:r>
      <w:r>
        <w:rPr>
          <w:rFonts w:hint="eastAsia" w:eastAsia="仿宋_GB2312"/>
          <w:sz w:val="32"/>
          <w:szCs w:val="32"/>
        </w:rPr>
        <w:t>3</w:t>
      </w:r>
      <w:r>
        <w:rPr>
          <w:rFonts w:eastAsia="仿宋_GB2312"/>
          <w:sz w:val="32"/>
          <w:szCs w:val="32"/>
        </w:rPr>
        <w:t>万元，其中整合涉农资金4293万元。</w:t>
      </w:r>
      <w:bookmarkEnd w:id="138"/>
      <w:bookmarkEnd w:id="139"/>
      <w:bookmarkEnd w:id="140"/>
      <w:bookmarkEnd w:id="141"/>
    </w:p>
    <w:p w14:paraId="0A5532FC">
      <w:pPr>
        <w:autoSpaceDE w:val="0"/>
        <w:autoSpaceDN w:val="0"/>
        <w:snapToGrid w:val="0"/>
        <w:spacing w:line="578" w:lineRule="exact"/>
        <w:ind w:firstLine="643" w:firstLineChars="200"/>
        <w:outlineLvl w:val="0"/>
        <w:rPr>
          <w:rFonts w:eastAsia="仿宋_GB2312"/>
          <w:b/>
          <w:bCs/>
          <w:sz w:val="32"/>
          <w:szCs w:val="32"/>
        </w:rPr>
      </w:pPr>
      <w:bookmarkStart w:id="142" w:name="_Toc22205"/>
      <w:bookmarkStart w:id="143" w:name="_Toc25751"/>
      <w:bookmarkStart w:id="144" w:name="_Toc30902"/>
      <w:bookmarkStart w:id="145" w:name="_Toc17713"/>
      <w:r>
        <w:rPr>
          <w:rFonts w:eastAsia="仿宋_GB2312"/>
          <w:b/>
          <w:bCs/>
          <w:sz w:val="32"/>
          <w:szCs w:val="32"/>
        </w:rPr>
        <w:t>1.基础设施类</w:t>
      </w:r>
      <w:bookmarkEnd w:id="142"/>
      <w:bookmarkEnd w:id="143"/>
      <w:r>
        <w:rPr>
          <w:rFonts w:eastAsia="仿宋_GB2312"/>
          <w:b/>
          <w:bCs/>
          <w:sz w:val="32"/>
          <w:szCs w:val="32"/>
        </w:rPr>
        <w:t>。</w:t>
      </w:r>
    </w:p>
    <w:p w14:paraId="2339A662">
      <w:pPr>
        <w:autoSpaceDE w:val="0"/>
        <w:autoSpaceDN w:val="0"/>
        <w:snapToGrid w:val="0"/>
        <w:spacing w:line="578" w:lineRule="exact"/>
        <w:ind w:firstLine="640" w:firstLineChars="200"/>
        <w:outlineLvl w:val="0"/>
        <w:rPr>
          <w:rFonts w:eastAsia="仿宋_GB2312"/>
          <w:sz w:val="32"/>
          <w:szCs w:val="32"/>
        </w:rPr>
      </w:pPr>
      <w:bookmarkStart w:id="146" w:name="_Toc2514"/>
      <w:bookmarkStart w:id="147" w:name="_Toc27115"/>
      <w:r>
        <w:rPr>
          <w:rFonts w:eastAsia="仿宋_GB2312"/>
          <w:sz w:val="32"/>
          <w:szCs w:val="32"/>
        </w:rPr>
        <w:t>计划投资648万元，其中整合涉农资金448万元。具体是：农村交通（通村路、村内道路、其他）578万元，其中整合涉农资金378万元；水利（水利工程、饮水工程）70元，其中整合涉农资金70万元。</w:t>
      </w:r>
      <w:bookmarkEnd w:id="144"/>
      <w:bookmarkEnd w:id="145"/>
      <w:bookmarkEnd w:id="146"/>
      <w:bookmarkEnd w:id="147"/>
    </w:p>
    <w:p w14:paraId="4AE66E97">
      <w:pPr>
        <w:autoSpaceDE w:val="0"/>
        <w:autoSpaceDN w:val="0"/>
        <w:snapToGrid w:val="0"/>
        <w:spacing w:line="578" w:lineRule="exact"/>
        <w:ind w:firstLine="643" w:firstLineChars="200"/>
        <w:outlineLvl w:val="0"/>
        <w:rPr>
          <w:rFonts w:eastAsia="仿宋_GB2312"/>
          <w:b/>
          <w:bCs/>
          <w:sz w:val="32"/>
          <w:szCs w:val="32"/>
        </w:rPr>
      </w:pPr>
      <w:bookmarkStart w:id="148" w:name="_Toc4264"/>
      <w:bookmarkStart w:id="149" w:name="_Toc23814"/>
      <w:bookmarkStart w:id="150" w:name="_Toc78"/>
      <w:bookmarkStart w:id="151" w:name="_Toc16307"/>
      <w:r>
        <w:rPr>
          <w:rFonts w:eastAsia="仿宋_GB2312"/>
          <w:b/>
          <w:bCs/>
          <w:sz w:val="32"/>
          <w:szCs w:val="32"/>
        </w:rPr>
        <w:t>2.农业产业发展类</w:t>
      </w:r>
      <w:bookmarkEnd w:id="148"/>
      <w:bookmarkEnd w:id="149"/>
      <w:r>
        <w:rPr>
          <w:rFonts w:eastAsia="仿宋_GB2312"/>
          <w:b/>
          <w:bCs/>
          <w:sz w:val="32"/>
          <w:szCs w:val="32"/>
        </w:rPr>
        <w:t>。</w:t>
      </w:r>
    </w:p>
    <w:p w14:paraId="7D55AFAC">
      <w:pPr>
        <w:autoSpaceDE w:val="0"/>
        <w:autoSpaceDN w:val="0"/>
        <w:snapToGrid w:val="0"/>
        <w:spacing w:line="578" w:lineRule="exact"/>
        <w:ind w:firstLine="640" w:firstLineChars="200"/>
        <w:outlineLvl w:val="0"/>
        <w:rPr>
          <w:rFonts w:eastAsia="仿宋_GB2312"/>
          <w:sz w:val="32"/>
          <w:szCs w:val="32"/>
        </w:rPr>
      </w:pPr>
      <w:bookmarkStart w:id="152" w:name="_Toc12800"/>
      <w:bookmarkStart w:id="153" w:name="_Toc18614"/>
      <w:r>
        <w:rPr>
          <w:rFonts w:eastAsia="仿宋_GB2312"/>
          <w:sz w:val="32"/>
          <w:szCs w:val="32"/>
        </w:rPr>
        <w:t>计划投资912</w:t>
      </w:r>
      <w:r>
        <w:rPr>
          <w:rFonts w:hint="eastAsia" w:eastAsia="仿宋_GB2312"/>
          <w:sz w:val="32"/>
          <w:szCs w:val="32"/>
        </w:rPr>
        <w:t>5</w:t>
      </w:r>
      <w:r>
        <w:rPr>
          <w:rFonts w:eastAsia="仿宋_GB2312"/>
          <w:sz w:val="32"/>
          <w:szCs w:val="32"/>
        </w:rPr>
        <w:t>万元，其中整合涉农资金3325万元。具体是：种植业1225万元，其中整合涉农资金1225万元；养殖业6630万元，其中整合资金1600万元；农副产品加工业、手工业1270万元，其中整合涉农资金500万元</w:t>
      </w:r>
      <w:bookmarkEnd w:id="150"/>
      <w:bookmarkEnd w:id="151"/>
      <w:bookmarkEnd w:id="152"/>
      <w:bookmarkEnd w:id="153"/>
      <w:r>
        <w:rPr>
          <w:rFonts w:eastAsia="仿宋_GB2312"/>
          <w:sz w:val="32"/>
          <w:szCs w:val="32"/>
        </w:rPr>
        <w:t>。</w:t>
      </w:r>
    </w:p>
    <w:p w14:paraId="488D8A8E">
      <w:pPr>
        <w:autoSpaceDE w:val="0"/>
        <w:autoSpaceDN w:val="0"/>
        <w:snapToGrid w:val="0"/>
        <w:spacing w:line="578" w:lineRule="exact"/>
        <w:ind w:firstLine="643" w:firstLineChars="200"/>
        <w:outlineLvl w:val="0"/>
        <w:rPr>
          <w:rFonts w:eastAsia="仿宋_GB2312"/>
          <w:b/>
          <w:bCs/>
          <w:sz w:val="32"/>
          <w:szCs w:val="32"/>
        </w:rPr>
      </w:pPr>
      <w:bookmarkStart w:id="154" w:name="_Toc19336"/>
      <w:bookmarkStart w:id="155" w:name="_Toc27247"/>
      <w:bookmarkStart w:id="156" w:name="_Toc21166"/>
      <w:bookmarkStart w:id="157" w:name="_Toc26867"/>
      <w:r>
        <w:rPr>
          <w:rFonts w:eastAsia="仿宋_GB2312"/>
          <w:b/>
          <w:bCs/>
          <w:sz w:val="32"/>
          <w:szCs w:val="32"/>
        </w:rPr>
        <w:t>3.其他</w:t>
      </w:r>
      <w:bookmarkEnd w:id="154"/>
      <w:bookmarkEnd w:id="155"/>
      <w:r>
        <w:rPr>
          <w:rFonts w:eastAsia="仿宋_GB2312"/>
          <w:b/>
          <w:bCs/>
          <w:sz w:val="32"/>
          <w:szCs w:val="32"/>
        </w:rPr>
        <w:t>。</w:t>
      </w:r>
    </w:p>
    <w:p w14:paraId="1FD054CF">
      <w:pPr>
        <w:autoSpaceDE w:val="0"/>
        <w:autoSpaceDN w:val="0"/>
        <w:snapToGrid w:val="0"/>
        <w:spacing w:line="578" w:lineRule="exact"/>
        <w:ind w:firstLine="640" w:firstLineChars="200"/>
        <w:outlineLvl w:val="0"/>
        <w:rPr>
          <w:rFonts w:eastAsia="仿宋_GB2312"/>
          <w:sz w:val="32"/>
          <w:szCs w:val="32"/>
        </w:rPr>
      </w:pPr>
      <w:bookmarkStart w:id="158" w:name="_Toc26877"/>
      <w:bookmarkStart w:id="159" w:name="_Toc31623"/>
      <w:r>
        <w:rPr>
          <w:rFonts w:eastAsia="仿宋_GB2312"/>
          <w:sz w:val="32"/>
          <w:szCs w:val="32"/>
        </w:rPr>
        <w:t>计划投资520万元，其中整合涉农资金520万元。</w:t>
      </w:r>
      <w:bookmarkEnd w:id="156"/>
      <w:bookmarkEnd w:id="157"/>
      <w:bookmarkEnd w:id="158"/>
      <w:bookmarkEnd w:id="159"/>
    </w:p>
    <w:p w14:paraId="7E236393">
      <w:pPr>
        <w:pStyle w:val="5"/>
        <w:autoSpaceDE w:val="0"/>
        <w:autoSpaceDN w:val="0"/>
        <w:snapToGrid w:val="0"/>
        <w:spacing w:line="578" w:lineRule="exact"/>
        <w:ind w:left="0" w:firstLine="643" w:firstLineChars="200"/>
        <w:jc w:val="both"/>
        <w:rPr>
          <w:rFonts w:eastAsia="楷体_GB2312"/>
          <w:b/>
          <w:bCs/>
          <w:sz w:val="32"/>
          <w:szCs w:val="32"/>
        </w:rPr>
      </w:pPr>
      <w:bookmarkStart w:id="160" w:name="_Toc10662"/>
      <w:bookmarkStart w:id="161" w:name="_Toc30755"/>
      <w:bookmarkStart w:id="162" w:name="_Toc27093"/>
      <w:bookmarkStart w:id="163" w:name="_Toc17087"/>
      <w:r>
        <w:rPr>
          <w:rFonts w:eastAsia="楷体_GB2312"/>
          <w:b/>
          <w:bCs/>
          <w:sz w:val="32"/>
          <w:szCs w:val="32"/>
        </w:rPr>
        <w:t>（二）整合资金来源及规模。</w:t>
      </w:r>
      <w:bookmarkEnd w:id="160"/>
      <w:bookmarkEnd w:id="161"/>
      <w:bookmarkEnd w:id="162"/>
      <w:bookmarkEnd w:id="163"/>
    </w:p>
    <w:p w14:paraId="37700560">
      <w:pPr>
        <w:autoSpaceDE w:val="0"/>
        <w:autoSpaceDN w:val="0"/>
        <w:snapToGrid w:val="0"/>
        <w:spacing w:line="578" w:lineRule="exact"/>
        <w:ind w:firstLine="640" w:firstLineChars="200"/>
        <w:rPr>
          <w:rFonts w:eastAsia="仿宋_GB2312"/>
          <w:sz w:val="32"/>
          <w:szCs w:val="32"/>
        </w:rPr>
      </w:pPr>
      <w:r>
        <w:rPr>
          <w:rFonts w:eastAsia="仿宋_GB2312"/>
          <w:sz w:val="32"/>
          <w:szCs w:val="32"/>
        </w:rPr>
        <w:t>2024年我县计划整合涉农资金4293万元。其中：省级资金3895万元、县级资金398万元。</w:t>
      </w:r>
    </w:p>
    <w:p w14:paraId="20D3C3F7">
      <w:pPr>
        <w:autoSpaceDE w:val="0"/>
        <w:autoSpaceDN w:val="0"/>
        <w:snapToGrid w:val="0"/>
        <w:spacing w:line="578" w:lineRule="exact"/>
        <w:ind w:firstLine="643" w:firstLineChars="200"/>
        <w:outlineLvl w:val="0"/>
        <w:rPr>
          <w:rFonts w:eastAsia="仿宋_GB2312"/>
          <w:b/>
          <w:bCs/>
          <w:sz w:val="32"/>
          <w:szCs w:val="32"/>
        </w:rPr>
      </w:pPr>
      <w:bookmarkStart w:id="164" w:name="_Toc30821"/>
      <w:bookmarkStart w:id="165" w:name="_Toc17118"/>
      <w:bookmarkStart w:id="166" w:name="_Toc28040"/>
      <w:bookmarkStart w:id="167" w:name="_Toc9547"/>
      <w:r>
        <w:rPr>
          <w:rFonts w:eastAsia="仿宋_GB2312"/>
          <w:b/>
          <w:bCs/>
          <w:sz w:val="32"/>
          <w:szCs w:val="32"/>
        </w:rPr>
        <w:t>1.省级财政涉农资金</w:t>
      </w:r>
      <w:bookmarkEnd w:id="164"/>
      <w:bookmarkEnd w:id="165"/>
      <w:r>
        <w:rPr>
          <w:rFonts w:eastAsia="仿宋_GB2312"/>
          <w:b/>
          <w:bCs/>
          <w:sz w:val="32"/>
          <w:szCs w:val="32"/>
        </w:rPr>
        <w:t>。</w:t>
      </w:r>
    </w:p>
    <w:p w14:paraId="13245C5F">
      <w:pPr>
        <w:autoSpaceDE w:val="0"/>
        <w:autoSpaceDN w:val="0"/>
        <w:snapToGrid w:val="0"/>
        <w:spacing w:line="578" w:lineRule="exact"/>
        <w:ind w:firstLine="640" w:firstLineChars="200"/>
        <w:outlineLvl w:val="0"/>
        <w:rPr>
          <w:rFonts w:eastAsia="仿宋_GB2312"/>
          <w:sz w:val="32"/>
          <w:szCs w:val="32"/>
        </w:rPr>
      </w:pPr>
      <w:bookmarkStart w:id="168" w:name="_Toc24559"/>
      <w:bookmarkStart w:id="169" w:name="_Toc2288"/>
      <w:r>
        <w:rPr>
          <w:rFonts w:eastAsia="仿宋_GB2312"/>
          <w:sz w:val="32"/>
          <w:szCs w:val="32"/>
        </w:rPr>
        <w:t>省级财政衔接推进乡村振兴补助资金3895万元</w:t>
      </w:r>
      <w:bookmarkEnd w:id="166"/>
      <w:bookmarkEnd w:id="167"/>
      <w:bookmarkEnd w:id="168"/>
      <w:bookmarkEnd w:id="169"/>
      <w:r>
        <w:rPr>
          <w:rFonts w:eastAsia="仿宋_GB2312"/>
          <w:sz w:val="32"/>
          <w:szCs w:val="32"/>
        </w:rPr>
        <w:t>。</w:t>
      </w:r>
    </w:p>
    <w:p w14:paraId="5196CC5C">
      <w:pPr>
        <w:autoSpaceDE w:val="0"/>
        <w:autoSpaceDN w:val="0"/>
        <w:snapToGrid w:val="0"/>
        <w:spacing w:line="578" w:lineRule="exact"/>
        <w:ind w:firstLine="643" w:firstLineChars="200"/>
        <w:outlineLvl w:val="0"/>
        <w:rPr>
          <w:rFonts w:eastAsia="仿宋_GB2312"/>
          <w:b/>
          <w:bCs/>
          <w:sz w:val="32"/>
          <w:szCs w:val="32"/>
        </w:rPr>
      </w:pPr>
      <w:r>
        <w:rPr>
          <w:rFonts w:eastAsia="仿宋_GB2312"/>
          <w:b/>
          <w:bCs/>
          <w:sz w:val="32"/>
          <w:szCs w:val="32"/>
        </w:rPr>
        <w:t>2.县级财政涉农资金。</w:t>
      </w:r>
    </w:p>
    <w:p w14:paraId="2EF55C9C">
      <w:pPr>
        <w:autoSpaceDE w:val="0"/>
        <w:autoSpaceDN w:val="0"/>
        <w:snapToGrid w:val="0"/>
        <w:spacing w:line="578" w:lineRule="exact"/>
        <w:ind w:firstLine="640" w:firstLineChars="200"/>
        <w:outlineLvl w:val="0"/>
        <w:rPr>
          <w:rFonts w:eastAsia="仿宋_GB2312"/>
          <w:sz w:val="32"/>
          <w:szCs w:val="32"/>
        </w:rPr>
      </w:pPr>
      <w:r>
        <w:rPr>
          <w:rFonts w:eastAsia="仿宋_GB2312"/>
          <w:sz w:val="32"/>
          <w:szCs w:val="32"/>
        </w:rPr>
        <w:t>县级财政衔接推进乡村振兴补助资金398万元</w:t>
      </w:r>
      <w:r>
        <w:rPr>
          <w:rFonts w:hint="eastAsia" w:eastAsia="仿宋_GB2312"/>
          <w:sz w:val="32"/>
          <w:szCs w:val="32"/>
        </w:rPr>
        <w:t>。</w:t>
      </w:r>
    </w:p>
    <w:p w14:paraId="34AC7F89">
      <w:pPr>
        <w:pStyle w:val="2"/>
        <w:ind w:left="400" w:right="-318" w:firstLine="640"/>
        <w:rPr>
          <w:rFonts w:ascii="Times New Roman" w:hAnsi="Times New Roman"/>
        </w:rPr>
      </w:pPr>
    </w:p>
    <w:p w14:paraId="40B897CE">
      <w:pPr>
        <w:autoSpaceDE w:val="0"/>
        <w:autoSpaceDN w:val="0"/>
        <w:snapToGrid w:val="0"/>
        <w:spacing w:line="578" w:lineRule="exact"/>
        <w:jc w:val="center"/>
        <w:outlineLvl w:val="0"/>
        <w:rPr>
          <w:rFonts w:eastAsia="黑体"/>
          <w:kern w:val="44"/>
          <w:sz w:val="32"/>
          <w:szCs w:val="32"/>
        </w:rPr>
      </w:pPr>
      <w:r>
        <w:rPr>
          <w:rFonts w:eastAsia="黑体"/>
          <w:kern w:val="44"/>
          <w:sz w:val="32"/>
          <w:szCs w:val="32"/>
        </w:rPr>
        <w:t>第六章  保障措施</w:t>
      </w:r>
    </w:p>
    <w:p w14:paraId="207927B0">
      <w:pPr>
        <w:adjustRightInd w:val="0"/>
        <w:snapToGrid w:val="0"/>
        <w:spacing w:line="578" w:lineRule="exact"/>
        <w:ind w:left="0"/>
        <w:textAlignment w:val="auto"/>
        <w:rPr>
          <w:rFonts w:eastAsia="仿宋_GB2312"/>
          <w:sz w:val="32"/>
          <w:szCs w:val="22"/>
        </w:rPr>
      </w:pPr>
    </w:p>
    <w:p w14:paraId="718AD9C2">
      <w:pPr>
        <w:autoSpaceDE w:val="0"/>
        <w:autoSpaceDN w:val="0"/>
        <w:snapToGrid w:val="0"/>
        <w:spacing w:line="578" w:lineRule="exact"/>
        <w:ind w:firstLine="643" w:firstLineChars="200"/>
        <w:outlineLvl w:val="1"/>
        <w:rPr>
          <w:rFonts w:eastAsia="仿宋_GB2312"/>
          <w:sz w:val="32"/>
          <w:szCs w:val="32"/>
        </w:rPr>
      </w:pPr>
      <w:bookmarkStart w:id="170" w:name="_Toc11421"/>
      <w:bookmarkStart w:id="171" w:name="_Toc14610"/>
      <w:bookmarkStart w:id="172" w:name="_Toc10919"/>
      <w:bookmarkStart w:id="173" w:name="_Toc15951"/>
      <w:r>
        <w:rPr>
          <w:rFonts w:eastAsia="楷体_GB2312"/>
          <w:b/>
          <w:bCs/>
          <w:sz w:val="32"/>
          <w:szCs w:val="32"/>
        </w:rPr>
        <w:t>（一）明确工作职责。</w:t>
      </w:r>
      <w:bookmarkEnd w:id="170"/>
      <w:bookmarkEnd w:id="171"/>
      <w:bookmarkEnd w:id="172"/>
      <w:bookmarkEnd w:id="173"/>
      <w:r>
        <w:rPr>
          <w:rFonts w:eastAsia="仿宋_GB2312"/>
          <w:sz w:val="32"/>
          <w:szCs w:val="32"/>
        </w:rPr>
        <w:t>各相关部门要统一思想认识，与中央、省、州保持高度一致，把统筹整合使用涉农资金作为巩固拓展脱贫攻坚成果同乡村振兴有效衔接的重要途径和抓手，下大力气抓好抓实，明确职责、协调配合、主动作为，确保资金安全高效使用，项目如期完成。</w:t>
      </w:r>
    </w:p>
    <w:p w14:paraId="34127C99">
      <w:pPr>
        <w:autoSpaceDE w:val="0"/>
        <w:autoSpaceDN w:val="0"/>
        <w:snapToGrid w:val="0"/>
        <w:spacing w:line="578" w:lineRule="exact"/>
        <w:ind w:firstLine="643" w:firstLineChars="200"/>
        <w:outlineLvl w:val="1"/>
        <w:rPr>
          <w:rFonts w:eastAsia="仿宋_GB2312"/>
          <w:sz w:val="32"/>
          <w:szCs w:val="32"/>
        </w:rPr>
      </w:pPr>
      <w:bookmarkStart w:id="174" w:name="_Toc2998"/>
      <w:bookmarkStart w:id="175" w:name="_Toc9138"/>
      <w:r>
        <w:rPr>
          <w:rFonts w:eastAsia="楷体_GB2312"/>
          <w:b/>
          <w:bCs/>
          <w:sz w:val="32"/>
          <w:szCs w:val="32"/>
        </w:rPr>
        <w:t>（二）做好公示公告。</w:t>
      </w:r>
      <w:bookmarkEnd w:id="174"/>
      <w:bookmarkEnd w:id="175"/>
      <w:r>
        <w:rPr>
          <w:rFonts w:eastAsia="仿宋_GB2312"/>
          <w:sz w:val="32"/>
          <w:szCs w:val="32"/>
        </w:rPr>
        <w:t>按照“谁分配、谁公开，谁使用、谁公开，分配到哪里、公开到哪里”的原则，采取分级分类的形式落实公开公示制度，接受社会和群众监督，做好资金及项目各阶段公告公示工作。</w:t>
      </w:r>
    </w:p>
    <w:p w14:paraId="1C79DD2B">
      <w:pPr>
        <w:autoSpaceDE w:val="0"/>
        <w:autoSpaceDN w:val="0"/>
        <w:snapToGrid w:val="0"/>
        <w:spacing w:line="578" w:lineRule="exact"/>
        <w:ind w:firstLine="643" w:firstLineChars="200"/>
        <w:outlineLvl w:val="1"/>
        <w:rPr>
          <w:rFonts w:eastAsia="仿宋_GB2312"/>
          <w:sz w:val="32"/>
          <w:szCs w:val="32"/>
        </w:rPr>
      </w:pPr>
      <w:bookmarkStart w:id="176" w:name="_Toc31601"/>
      <w:bookmarkStart w:id="177" w:name="_Toc8903"/>
      <w:bookmarkStart w:id="178" w:name="_Toc30489"/>
      <w:bookmarkStart w:id="179" w:name="_Toc27943"/>
      <w:r>
        <w:rPr>
          <w:rFonts w:eastAsia="楷体_GB2312"/>
          <w:b/>
          <w:bCs/>
          <w:sz w:val="32"/>
          <w:szCs w:val="32"/>
        </w:rPr>
        <w:t>（三）强化监督检查。</w:t>
      </w:r>
      <w:bookmarkEnd w:id="176"/>
      <w:bookmarkEnd w:id="177"/>
      <w:bookmarkEnd w:id="178"/>
      <w:bookmarkEnd w:id="179"/>
      <w:r>
        <w:rPr>
          <w:rFonts w:eastAsia="仿宋_GB2312"/>
          <w:sz w:val="32"/>
          <w:szCs w:val="32"/>
        </w:rPr>
        <w:t>县纪委监委、县发改局、县科技农牧局、县民宗局、县财政局、县水务局、县审计局、县乡村振兴局等相关部门，要强化统筹整合财政涉农资金的监督检查，建立事前、事中、事后全过程监管机制。对在资金管理使用中违反财政资金拨付和预算管理规定的，及弄虚作假或挤占、截留、挪用涉农整合资金等行为，将严肃追究相关责任。</w:t>
      </w:r>
    </w:p>
    <w:p w14:paraId="37129BC9">
      <w:pPr>
        <w:autoSpaceDE w:val="0"/>
        <w:autoSpaceDN w:val="0"/>
        <w:snapToGrid w:val="0"/>
        <w:spacing w:line="576" w:lineRule="exact"/>
        <w:ind w:firstLine="643" w:firstLineChars="200"/>
        <w:outlineLvl w:val="1"/>
        <w:rPr>
          <w:rFonts w:eastAsia="仿宋_GB2312"/>
          <w:sz w:val="32"/>
          <w:szCs w:val="32"/>
        </w:rPr>
      </w:pPr>
      <w:bookmarkStart w:id="180" w:name="_Toc4986"/>
      <w:bookmarkStart w:id="181" w:name="_Toc17407"/>
      <w:bookmarkStart w:id="182" w:name="_Toc29946"/>
      <w:bookmarkStart w:id="183" w:name="_Toc32113"/>
      <w:r>
        <w:rPr>
          <w:rFonts w:eastAsia="楷体_GB2312"/>
          <w:b/>
          <w:bCs/>
          <w:sz w:val="32"/>
          <w:szCs w:val="32"/>
        </w:rPr>
        <w:t>（四）严格绩效评价。</w:t>
      </w:r>
      <w:bookmarkEnd w:id="180"/>
      <w:bookmarkEnd w:id="181"/>
      <w:bookmarkEnd w:id="182"/>
      <w:bookmarkEnd w:id="183"/>
      <w:r>
        <w:rPr>
          <w:rFonts w:eastAsia="仿宋_GB2312"/>
          <w:bCs/>
          <w:sz w:val="32"/>
          <w:szCs w:val="32"/>
        </w:rPr>
        <w:t>各相关部门要</w:t>
      </w:r>
      <w:r>
        <w:rPr>
          <w:rFonts w:eastAsia="仿宋_GB2312"/>
          <w:sz w:val="32"/>
          <w:szCs w:val="32"/>
        </w:rPr>
        <w:t>切实加强财政涉农资金统筹整合使用的绩效评价工作，项目实施后，要对项目资金使用情况进行整体绩效评价，评价结果在全县范围内通报，将绩效评价结果作为下年度统筹整合财政涉农资金分配的重要依据。</w:t>
      </w:r>
    </w:p>
    <w:p w14:paraId="57A8F62F">
      <w:pPr>
        <w:pStyle w:val="2"/>
        <w:spacing w:after="0" w:line="240" w:lineRule="auto"/>
        <w:ind w:left="0" w:leftChars="0" w:right="-318" w:firstLine="0" w:firstLineChars="0"/>
        <w:jc w:val="left"/>
        <w:rPr>
          <w:rFonts w:ascii="Times New Roman" w:hAnsi="Times New Roman"/>
        </w:rPr>
      </w:pPr>
    </w:p>
    <w:p w14:paraId="301299FB"/>
    <w:p w14:paraId="424E095A">
      <w:pPr>
        <w:pStyle w:val="2"/>
        <w:ind w:left="400" w:right="-318" w:firstLine="640"/>
        <w:rPr>
          <w:rFonts w:ascii="Times New Roman" w:hAnsi="Times New Roman"/>
        </w:rPr>
      </w:pPr>
    </w:p>
    <w:p w14:paraId="64E1CF5C"/>
    <w:p w14:paraId="41F383CC">
      <w:pPr>
        <w:pStyle w:val="2"/>
        <w:ind w:left="400" w:right="-318" w:firstLine="640"/>
        <w:rPr>
          <w:rFonts w:ascii="Times New Roman" w:hAnsi="Times New Roman"/>
        </w:rPr>
      </w:pPr>
    </w:p>
    <w:p w14:paraId="79EABA53"/>
    <w:p w14:paraId="2FC86DC5"/>
    <w:p w14:paraId="015492CB">
      <w:pPr>
        <w:pStyle w:val="11"/>
        <w:ind w:left="800" w:hanging="400"/>
      </w:pPr>
    </w:p>
    <w:p w14:paraId="1AC14E30"/>
    <w:p w14:paraId="007B5DAF">
      <w:pPr>
        <w:pStyle w:val="11"/>
        <w:ind w:left="800" w:hanging="400"/>
      </w:pPr>
    </w:p>
    <w:p w14:paraId="4E3681A9"/>
    <w:p w14:paraId="35730D86"/>
    <w:p w14:paraId="74C4576B">
      <w:pPr>
        <w:pStyle w:val="2"/>
        <w:ind w:left="400" w:right="-318" w:firstLine="640"/>
        <w:rPr>
          <w:rFonts w:ascii="Times New Roman" w:hAnsi="Times New Roman"/>
        </w:rPr>
      </w:pPr>
    </w:p>
    <w:sectPr>
      <w:footerReference r:id="rId6" w:type="first"/>
      <w:footerReference r:id="rId5" w:type="default"/>
      <w:footnotePr>
        <w:numFmt w:val="decimalHalfWidth"/>
      </w:footnotePr>
      <w:endnotePr>
        <w:numFmt w:val="chineseCounting"/>
      </w:endnotePr>
      <w:pgSz w:w="11905" w:h="16838"/>
      <w:pgMar w:top="2098" w:right="1474" w:bottom="1984" w:left="1587" w:header="851" w:footer="1134" w:gutter="0"/>
      <w:cols w:space="0" w:num="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2231A">
    <w:pPr>
      <w:pStyle w:val="9"/>
    </w:pPr>
    <w:r>
      <w:pict>
        <v:shape id="_x0000_s4098" o:spid="_x0000_s4098"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65F3BAC9">
                <w:pPr>
                  <w:pStyle w:val="9"/>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A7E04">
    <w:pPr>
      <w:pStyle w:val="9"/>
    </w:pPr>
    <w:r>
      <w:pict>
        <v:shape id="_x0000_s4097" o:spid="_x0000_s4097"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263A60A7">
                <w:pPr>
                  <w:pStyle w:val="9"/>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C1793E"/>
    <w:multiLevelType w:val="singleLevel"/>
    <w:tmpl w:val="A1C1793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200"/>
  <w:drawingGridVerticalSpacing w:val="-7946"/>
  <w:noPunctuationKerning w:val="1"/>
  <w:characterSpacingControl w:val="compressPunctuation"/>
  <w:hdrShapeDefaults>
    <o:shapelayout v:ext="edit">
      <o:idmap v:ext="edit" data="3,4"/>
    </o:shapelayout>
  </w:hdrShapeDefaults>
  <w:footnotePr>
    <w:numFmt w:val="decimalHalfWidth"/>
    <w:footnote w:id="0"/>
    <w:footnote w:id="1"/>
  </w:footnotePr>
  <w:endnotePr>
    <w:numFmt w:val="chineseCounting"/>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ZiNzU4NWM2NjFkMmU0NGVlMGU1NDY4MmU0NDhlOGEifQ=="/>
  </w:docVars>
  <w:rsids>
    <w:rsidRoot w:val="0044485D"/>
    <w:rsid w:val="00284FFD"/>
    <w:rsid w:val="0044485D"/>
    <w:rsid w:val="005B7367"/>
    <w:rsid w:val="005F5243"/>
    <w:rsid w:val="006B5304"/>
    <w:rsid w:val="00B94A54"/>
    <w:rsid w:val="00CB6C1E"/>
    <w:rsid w:val="00D54267"/>
    <w:rsid w:val="00EA0CBA"/>
    <w:rsid w:val="0ADD2A7D"/>
    <w:rsid w:val="19FF69FF"/>
    <w:rsid w:val="247B1377"/>
    <w:rsid w:val="617866B8"/>
    <w:rsid w:val="625D21F2"/>
    <w:rsid w:val="62D37F43"/>
    <w:rsid w:val="6E5D4C17"/>
    <w:rsid w:val="78D110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5" w:lineRule="atLeast"/>
      <w:ind w:left="1"/>
      <w:jc w:val="both"/>
      <w:textAlignment w:val="bottom"/>
    </w:pPr>
    <w:rPr>
      <w:rFonts w:ascii="Times New Roman" w:hAnsi="Times New Roman" w:eastAsia="宋体" w:cs="Times New Roman"/>
      <w:lang w:val="en-US" w:eastAsia="zh-CN" w:bidi="ar-SA"/>
    </w:rPr>
  </w:style>
  <w:style w:type="paragraph" w:styleId="4">
    <w:name w:val="heading 1"/>
    <w:basedOn w:val="1"/>
    <w:next w:val="1"/>
    <w:qFormat/>
    <w:uiPriority w:val="9"/>
    <w:pPr>
      <w:keepNext/>
      <w:keepLines/>
      <w:spacing w:line="576" w:lineRule="exact"/>
      <w:jc w:val="center"/>
      <w:outlineLvl w:val="0"/>
    </w:pPr>
    <w:rPr>
      <w:rFonts w:eastAsia="黑体"/>
      <w:kern w:val="44"/>
    </w:rPr>
  </w:style>
  <w:style w:type="paragraph" w:styleId="5">
    <w:name w:val="heading 2"/>
    <w:basedOn w:val="1"/>
    <w:next w:val="1"/>
    <w:qFormat/>
    <w:uiPriority w:val="0"/>
    <w:pPr>
      <w:spacing w:line="0" w:lineRule="atLeast"/>
      <w:jc w:val="center"/>
      <w:outlineLvl w:val="1"/>
    </w:pPr>
    <w:rPr>
      <w:sz w:val="28"/>
    </w:rPr>
  </w:style>
  <w:style w:type="paragraph" w:styleId="6">
    <w:name w:val="heading 3"/>
    <w:basedOn w:val="1"/>
    <w:next w:val="1"/>
    <w:link w:val="16"/>
    <w:qFormat/>
    <w:uiPriority w:val="0"/>
    <w:pPr>
      <w:outlineLvl w:val="2"/>
    </w:pPr>
    <w:rPr>
      <w:rFonts w:eastAsia="黑体"/>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adjustRightInd w:val="0"/>
      <w:snapToGrid w:val="0"/>
      <w:spacing w:after="120" w:line="552" w:lineRule="exact"/>
      <w:ind w:left="200" w:leftChars="200" w:firstLine="420"/>
      <w:jc w:val="both"/>
    </w:pPr>
    <w:rPr>
      <w:rFonts w:ascii="Tahoma" w:hAnsi="Tahoma"/>
      <w:kern w:val="0"/>
    </w:rPr>
  </w:style>
  <w:style w:type="paragraph" w:styleId="3">
    <w:name w:val="Body Text Indent"/>
    <w:basedOn w:val="1"/>
    <w:next w:val="2"/>
    <w:qFormat/>
    <w:uiPriority w:val="0"/>
    <w:pPr>
      <w:spacing w:line="240" w:lineRule="auto"/>
      <w:ind w:left="0" w:right="-334" w:rightChars="-159" w:firstLine="640" w:firstLineChars="200"/>
      <w:jc w:val="left"/>
      <w:textAlignment w:val="auto"/>
    </w:pPr>
    <w:rPr>
      <w:rFonts w:ascii="仿宋_GB2312" w:hAnsi="仿宋_GB2312" w:eastAsia="仿宋_GB2312"/>
      <w:kern w:val="2"/>
      <w:sz w:val="32"/>
      <w:szCs w:val="32"/>
    </w:rPr>
  </w:style>
  <w:style w:type="paragraph" w:styleId="7">
    <w:name w:val="Plain Text"/>
    <w:basedOn w:val="1"/>
    <w:qFormat/>
    <w:uiPriority w:val="0"/>
    <w:pPr>
      <w:spacing w:line="240" w:lineRule="auto"/>
      <w:ind w:left="0"/>
      <w:textAlignment w:val="auto"/>
    </w:pPr>
    <w:rPr>
      <w:rFonts w:ascii="宋体" w:hAnsi="Courier New" w:cs="Courier New"/>
      <w:kern w:val="2"/>
      <w:sz w:val="21"/>
      <w:szCs w:val="21"/>
    </w:rPr>
  </w:style>
  <w:style w:type="paragraph" w:styleId="8">
    <w:name w:val="Balloon Text"/>
    <w:basedOn w:val="1"/>
    <w:link w:val="23"/>
    <w:qFormat/>
    <w:uiPriority w:val="0"/>
    <w:pPr>
      <w:spacing w:line="240" w:lineRule="auto"/>
    </w:pPr>
    <w:rPr>
      <w:sz w:val="18"/>
      <w:szCs w:val="18"/>
    </w:rPr>
  </w:style>
  <w:style w:type="paragraph" w:styleId="9">
    <w:name w:val="footer"/>
    <w:basedOn w:val="1"/>
    <w:unhideWhenUsed/>
    <w:qFormat/>
    <w:uiPriority w:val="99"/>
    <w:pPr>
      <w:tabs>
        <w:tab w:val="center" w:pos="4153"/>
        <w:tab w:val="right" w:pos="8306"/>
      </w:tabs>
      <w:snapToGrid w:val="0"/>
      <w:spacing w:line="240" w:lineRule="atLeast"/>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1">
    <w:name w:val="table of figures"/>
    <w:basedOn w:val="1"/>
    <w:next w:val="1"/>
    <w:qFormat/>
    <w:uiPriority w:val="0"/>
    <w:pPr>
      <w:ind w:left="200" w:leftChars="200" w:hanging="200" w:hangingChars="200"/>
    </w:pPr>
  </w:style>
  <w:style w:type="paragraph" w:styleId="12">
    <w:name w:val="Normal (Web)"/>
    <w:basedOn w:val="1"/>
    <w:qFormat/>
    <w:uiPriority w:val="0"/>
    <w:rPr>
      <w:sz w:val="24"/>
    </w:rPr>
  </w:style>
  <w:style w:type="character" w:styleId="15">
    <w:name w:val="Hyperlink"/>
    <w:basedOn w:val="14"/>
    <w:qFormat/>
    <w:uiPriority w:val="0"/>
    <w:rPr>
      <w:color w:val="0000FF"/>
      <w:u w:val="single"/>
    </w:rPr>
  </w:style>
  <w:style w:type="character" w:customStyle="1" w:styleId="16">
    <w:name w:val="标题 3 Char"/>
    <w:basedOn w:val="14"/>
    <w:link w:val="6"/>
    <w:qFormat/>
    <w:uiPriority w:val="9"/>
    <w:rPr>
      <w:rFonts w:eastAsia="黑体"/>
    </w:rPr>
  </w:style>
  <w:style w:type="paragraph" w:customStyle="1" w:styleId="17">
    <w:name w:val="WPSOffice手动目录 2"/>
    <w:basedOn w:val="1"/>
    <w:qFormat/>
    <w:uiPriority w:val="0"/>
    <w:pPr>
      <w:spacing w:line="240" w:lineRule="auto"/>
      <w:ind w:left="200" w:leftChars="200"/>
      <w:jc w:val="left"/>
    </w:pPr>
    <w:rPr>
      <w:sz w:val="24"/>
      <w:szCs w:val="24"/>
    </w:rPr>
  </w:style>
  <w:style w:type="character" w:customStyle="1" w:styleId="18">
    <w:name w:val="10"/>
    <w:basedOn w:val="14"/>
    <w:qFormat/>
    <w:uiPriority w:val="0"/>
    <w:rPr>
      <w:rFonts w:hint="default" w:ascii="Times New Roman" w:hAnsi="Times New Roman" w:cs="Times New Roman"/>
    </w:rPr>
  </w:style>
  <w:style w:type="character" w:customStyle="1" w:styleId="19">
    <w:name w:val="15"/>
    <w:basedOn w:val="14"/>
    <w:qFormat/>
    <w:uiPriority w:val="0"/>
    <w:rPr>
      <w:rFonts w:hint="default" w:ascii="Times New Roman" w:hAnsi="Times New Roman" w:cs="Times New Roman"/>
      <w:b/>
    </w:rPr>
  </w:style>
  <w:style w:type="paragraph" w:customStyle="1" w:styleId="20">
    <w:name w:val="WPSOffice手动目录 3"/>
    <w:basedOn w:val="1"/>
    <w:qFormat/>
    <w:uiPriority w:val="0"/>
    <w:pPr>
      <w:spacing w:line="240" w:lineRule="auto"/>
      <w:ind w:left="400" w:leftChars="400"/>
      <w:jc w:val="left"/>
    </w:pPr>
    <w:rPr>
      <w:sz w:val="24"/>
      <w:szCs w:val="24"/>
    </w:rPr>
  </w:style>
  <w:style w:type="paragraph" w:customStyle="1" w:styleId="21">
    <w:name w:val="WPSOffice手动目录 1"/>
    <w:basedOn w:val="1"/>
    <w:qFormat/>
    <w:uiPriority w:val="0"/>
    <w:pPr>
      <w:spacing w:line="240" w:lineRule="auto"/>
      <w:ind w:left="0"/>
      <w:jc w:val="left"/>
    </w:pPr>
    <w:rPr>
      <w:sz w:val="24"/>
      <w:szCs w:val="24"/>
    </w:rPr>
  </w:style>
  <w:style w:type="character" w:customStyle="1" w:styleId="22">
    <w:name w:val="font51"/>
    <w:basedOn w:val="14"/>
    <w:qFormat/>
    <w:uiPriority w:val="0"/>
    <w:rPr>
      <w:rFonts w:hint="eastAsia" w:ascii="仿宋_GB2312" w:eastAsia="仿宋_GB2312" w:cs="仿宋_GB2312"/>
      <w:b/>
      <w:bCs/>
      <w:color w:val="000000"/>
      <w:sz w:val="16"/>
      <w:szCs w:val="16"/>
      <w:u w:val="none"/>
    </w:rPr>
  </w:style>
  <w:style w:type="character" w:customStyle="1" w:styleId="23">
    <w:name w:val="批注框文本 Char"/>
    <w:basedOn w:val="14"/>
    <w:link w:val="8"/>
    <w:qFormat/>
    <w:uiPriority w:val="0"/>
    <w:rPr>
      <w:sz w:val="18"/>
      <w:szCs w:val="18"/>
    </w:rPr>
  </w:style>
  <w:style w:type="paragraph" w:customStyle="1" w:styleId="24">
    <w:name w:val="列出段落1"/>
    <w:basedOn w:val="1"/>
    <w:unhideWhenUsed/>
    <w:qFormat/>
    <w:uiPriority w:val="99"/>
    <w:pPr>
      <w:ind w:firstLine="420" w:firstLineChars="200"/>
    </w:pPr>
  </w:style>
  <w:style w:type="table" w:customStyle="1" w:styleId="25">
    <w:name w:val="Table Normal"/>
    <w:unhideWhenUsed/>
    <w:qFormat/>
    <w:uiPriority w:val="0"/>
    <w:tblPr>
      <w:tblCellMar>
        <w:top w:w="0" w:type="dxa"/>
        <w:left w:w="0" w:type="dxa"/>
        <w:bottom w:w="0" w:type="dxa"/>
        <w:right w:w="0" w:type="dxa"/>
      </w:tblCellMar>
    </w:tblPr>
  </w:style>
  <w:style w:type="paragraph" w:customStyle="1" w:styleId="26">
    <w:name w:val="Table Text"/>
    <w:basedOn w:val="1"/>
    <w:semiHidden/>
    <w:qFormat/>
    <w:uiPriority w:val="0"/>
    <w:rPr>
      <w:rFonts w:ascii="宋体" w:hAnsi="宋体" w:cs="宋体"/>
      <w:sz w:val="27"/>
      <w:szCs w:val="27"/>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8"/>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4208</Words>
  <Characters>4391</Characters>
  <Lines>2</Lines>
  <Paragraphs>8</Paragraphs>
  <TotalTime>22</TotalTime>
  <ScaleCrop>false</ScaleCrop>
  <LinksUpToDate>false</LinksUpToDate>
  <CharactersWithSpaces>4404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2024-05-09T02:11:00Z</dcterms:created>
  <dc:creator>风后觉</dc:creator>
  <cp:lastModifiedBy>对影成三人</cp:lastModifiedBy>
  <cp:lastPrinted>2024-05-10T08:44:00Z</cp:lastPrinted>
  <dcterms:modified xsi:type="dcterms:W3CDTF">2026-08-17T08:41:27Z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6AD098008FAA4B31B386BC91346BA6C0_13</vt:lpwstr>
  </property>
  <property fmtid="{D5CDD505-2E9C-101B-9397-08002B2CF9AE}" pid="4" name="KSOTemplateDocerSaveRecord">
    <vt:lpwstr>eyJoZGlkIjoiYjA1ZDg3Y2Y1MzJlNDVjZjA5NTk4YjViYTliYmM3NTYiLCJ1c2VySWQiOiIyNDIyNDYwNDUifQ==</vt:lpwstr>
  </property>
</Properties>
</file>