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8"/>
        <w:tblpPr w:leftFromText="180" w:rightFromText="180" w:vertAnchor="text" w:horzAnchor="page" w:tblpX="1479" w:tblpY="766"/>
        <w:tblOverlap w:val="never"/>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6"/>
        <w:gridCol w:w="1425"/>
        <w:gridCol w:w="1125"/>
        <w:gridCol w:w="1426"/>
        <w:gridCol w:w="1208"/>
        <w:gridCol w:w="1318"/>
        <w:gridCol w:w="1359"/>
        <w:gridCol w:w="2294"/>
        <w:gridCol w:w="3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eastAsia="zh-CN"/>
              </w:rPr>
              <w:t>松潘县自然资源局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w:t>
            </w:r>
            <w:r>
              <w:rPr>
                <w:rFonts w:hint="eastAsia" w:ascii="宋体" w:hAnsi="宋体" w:eastAsia="宋体"/>
                <w:i w:val="0"/>
                <w:color w:val="000000"/>
                <w:position w:val="0"/>
                <w:sz w:val="24"/>
                <w:szCs w:val="24"/>
                <w:u w:val="none"/>
                <w:lang w:val="en-US" w:eastAsia="zh-CN"/>
              </w:rPr>
              <w:t>30</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8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6179"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行政许可实施数量（件）</w:t>
            </w:r>
          </w:p>
        </w:tc>
        <w:tc>
          <w:tcPr>
            <w:tcW w:w="3089"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4" w:hRule="atLeast"/>
        </w:trPr>
        <w:tc>
          <w:tcPr>
            <w:tcW w:w="8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25"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25"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申请数量</w:t>
            </w: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受理数量</w:t>
            </w: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许可的数量</w:t>
            </w: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不予许可的数量</w:t>
            </w:r>
          </w:p>
        </w:tc>
        <w:tc>
          <w:tcPr>
            <w:tcW w:w="3089"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4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11513224008927871C</w:t>
            </w:r>
          </w:p>
        </w:tc>
        <w:tc>
          <w:tcPr>
            <w:tcW w:w="11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rPr>
            </w:pPr>
          </w:p>
        </w:tc>
        <w:tc>
          <w:tcPr>
            <w:tcW w:w="142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eastAsia="zh-CN"/>
              </w:rPr>
            </w:pPr>
            <w:r>
              <w:rPr>
                <w:rFonts w:hint="eastAsia" w:ascii="宋体" w:hAnsi="宋体" w:eastAsia="宋体"/>
                <w:i w:val="0"/>
                <w:color w:val="000000"/>
                <w:position w:val="0"/>
                <w:sz w:val="24"/>
                <w:szCs w:val="24"/>
                <w:u w:val="none"/>
                <w:lang w:eastAsia="zh-CN"/>
              </w:rPr>
              <w:t>松潘县自然资源局</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223</w:t>
            </w: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223</w:t>
            </w: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240</w:t>
            </w: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4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483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trPr>
        <w:tc>
          <w:tcPr>
            <w:tcW w:w="14100"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 “申请数量”的统计范围为统计年度1月1日至12月31日期间许可机关收到当事人许可申请的数量。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 “受理数量”、“许可的数量”、“不予许可的数量”、“撤销许可的数量”的统计范围为统计年度1月1日至12月31日期间许可机关作出受理决定、许可决定、不予许可决定的数量，以及撤销许可决定的数量。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 准予变更、延续和不予变更、延续的数量，分别计入“许可的数量”、“不予许可的数量”。</w:t>
            </w:r>
          </w:p>
        </w:tc>
      </w:tr>
    </w:tbl>
    <w:p>
      <w:pPr>
        <w:numPr>
          <w:ilvl w:val="0"/>
          <w:numId w:val="0"/>
        </w:numPr>
        <w:autoSpaceDE/>
        <w:autoSpaceDN/>
        <w:spacing w:before="0" w:after="160" w:line="240" w:lineRule="auto"/>
        <w:ind w:right="0" w:firstLine="0"/>
        <w:jc w:val="both"/>
        <w:rPr>
          <w:rFonts w:hint="default" w:ascii="仿宋_GB2312" w:hAnsi="仿宋_GB2312" w:eastAsia="仿宋_GB2312"/>
          <w:color w:val="auto"/>
          <w:spacing w:val="-6"/>
          <w:position w:val="0"/>
          <w:sz w:val="32"/>
          <w:szCs w:val="32"/>
        </w:rPr>
      </w:pPr>
      <w:r>
        <w:br w:type="page"/>
      </w:r>
    </w:p>
    <w:tbl>
      <w:tblPr>
        <w:tblStyle w:val="28"/>
        <w:tblpPr w:leftFromText="180" w:rightFromText="180" w:vertAnchor="text" w:horzAnchor="page" w:tblpX="1436" w:tblpY="16"/>
        <w:tblOverlap w:val="never"/>
        <w:tblW w:w="13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6"/>
        <w:gridCol w:w="762"/>
        <w:gridCol w:w="750"/>
        <w:gridCol w:w="806"/>
        <w:gridCol w:w="806"/>
        <w:gridCol w:w="806"/>
        <w:gridCol w:w="807"/>
        <w:gridCol w:w="806"/>
        <w:gridCol w:w="806"/>
        <w:gridCol w:w="806"/>
        <w:gridCol w:w="806"/>
        <w:gridCol w:w="806"/>
        <w:gridCol w:w="807"/>
        <w:gridCol w:w="977"/>
        <w:gridCol w:w="2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eastAsia="zh-CN"/>
              </w:rPr>
              <w:t>松潘县自然资源局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w:t>
            </w:r>
            <w:r>
              <w:rPr>
                <w:rFonts w:hint="eastAsia" w:ascii="宋体" w:hAnsi="宋体" w:eastAsia="宋体"/>
                <w:i w:val="0"/>
                <w:color w:val="000000"/>
                <w:position w:val="0"/>
                <w:sz w:val="24"/>
                <w:szCs w:val="24"/>
                <w:u w:val="none"/>
                <w:lang w:val="en-US" w:eastAsia="zh-CN"/>
              </w:rPr>
              <w:t>30</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7256"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行政处罚实施数量（件）</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罚没金额（万元）</w:t>
            </w:r>
          </w:p>
        </w:tc>
        <w:tc>
          <w:tcPr>
            <w:tcW w:w="223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6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警告</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罚款</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没收违法所得、没收非法财物</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暂扣许可证、执照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责令停产停业</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吊销许可证、执照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行政拘留</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其他行政处罚</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 计（件）</w:t>
            </w:r>
          </w:p>
        </w:tc>
        <w:tc>
          <w:tcPr>
            <w:tcW w:w="97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23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11513224008927871C</w:t>
            </w: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eastAsia="zh-CN"/>
              </w:rPr>
            </w:pPr>
            <w:r>
              <w:rPr>
                <w:rFonts w:hint="eastAsia" w:ascii="宋体" w:hAnsi="宋体" w:eastAsia="宋体"/>
                <w:i w:val="0"/>
                <w:color w:val="000000"/>
                <w:position w:val="0"/>
                <w:sz w:val="24"/>
                <w:szCs w:val="24"/>
                <w:u w:val="none"/>
                <w:lang w:eastAsia="zh-CN"/>
              </w:rPr>
              <w:t>松潘县自然资源局</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6</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355kg矿产品</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9</w:t>
            </w:r>
          </w:p>
        </w:tc>
        <w:tc>
          <w:tcPr>
            <w:tcW w:w="9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33.6113</w:t>
            </w:r>
          </w:p>
        </w:tc>
        <w:tc>
          <w:tcPr>
            <w:tcW w:w="223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23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124"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6</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355kg</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9</w:t>
            </w:r>
          </w:p>
        </w:tc>
        <w:tc>
          <w:tcPr>
            <w:tcW w:w="9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33.6113</w:t>
            </w:r>
          </w:p>
        </w:tc>
        <w:tc>
          <w:tcPr>
            <w:tcW w:w="223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1.行政处罚实施数量的统计范围为统计年度1月1日至12月31日期间作出行政处罚决定的数量（包括经行政复议或者行政诉讼被撤销的行政处罚决定数量）。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2.其他行政处罚，为法律、行政法规规定的其他行政处罚，比如通报批评、驱逐出境等。 </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4.没收违法所得、没收非法财物能确定金额的，计入“罚没金额”；不能确定金额的，不计入“罚没金额”。</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5.“罚没金额”以处罚决定书确定的金额为准。</w:t>
            </w:r>
          </w:p>
        </w:tc>
      </w:tr>
    </w:tbl>
    <w:p>
      <w:pPr>
        <w:numPr>
          <w:ilvl w:val="0"/>
          <w:numId w:val="0"/>
        </w:numPr>
        <w:autoSpaceDE/>
        <w:autoSpaceDN/>
        <w:spacing w:before="0" w:after="160" w:line="580" w:lineRule="exact"/>
        <w:ind w:right="0" w:firstLine="0"/>
        <w:jc w:val="both"/>
        <w:rPr>
          <w:rFonts w:hint="default" w:ascii="仿宋_GB2312" w:hAnsi="仿宋_GB2312" w:eastAsia="仿宋_GB2312"/>
          <w:color w:val="auto"/>
          <w:spacing w:val="-6"/>
          <w:position w:val="0"/>
          <w:sz w:val="32"/>
          <w:szCs w:val="32"/>
        </w:rPr>
        <w:sectPr>
          <w:footerReference r:id="rId6" w:type="first"/>
          <w:headerReference r:id="rId3" w:type="default"/>
          <w:footerReference r:id="rId4" w:type="default"/>
          <w:footerReference r:id="rId5" w:type="even"/>
          <w:pgSz w:w="16838" w:h="11906" w:orient="landscape"/>
          <w:pgMar w:top="720" w:right="720" w:bottom="720" w:left="720" w:header="851" w:footer="992" w:gutter="0"/>
          <w:pgNumType w:fmt="numberInDash" w:start="1" w:chapStyle="1" w:chapSep="hyphen"/>
          <w:titlePg/>
          <w:docGrid w:type="lines" w:linePitch="312" w:charSpace="0"/>
        </w:sectPr>
      </w:pPr>
    </w:p>
    <w:tbl>
      <w:tblPr>
        <w:tblStyle w:val="28"/>
        <w:tblpPr w:vertAnchor="text" w:tblpX="67" w:tblpY="20"/>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年度行政强制实施情况统计表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xml:space="preserve">制表单位（盖章）： </w:t>
            </w:r>
            <w:r>
              <w:rPr>
                <w:rFonts w:hint="eastAsia" w:ascii="宋体" w:hAnsi="宋体" w:eastAsia="宋体"/>
                <w:i w:val="0"/>
                <w:color w:val="000000"/>
                <w:position w:val="0"/>
                <w:sz w:val="24"/>
                <w:szCs w:val="24"/>
                <w:u w:val="none"/>
                <w:lang w:eastAsia="zh-CN"/>
              </w:rPr>
              <w:t>松潘县自然资源局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w:t>
            </w:r>
            <w:r>
              <w:rPr>
                <w:rFonts w:hint="eastAsia" w:ascii="宋体" w:hAnsi="宋体" w:eastAsia="宋体"/>
                <w:i w:val="0"/>
                <w:color w:val="000000"/>
                <w:position w:val="0"/>
                <w:sz w:val="24"/>
                <w:szCs w:val="24"/>
                <w:u w:val="none"/>
                <w:lang w:val="en-US" w:eastAsia="zh-CN"/>
              </w:rPr>
              <w:t>30</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11513224008927871C</w:t>
            </w: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eastAsia="zh-CN"/>
              </w:rPr>
            </w:pPr>
            <w:r>
              <w:rPr>
                <w:rFonts w:hint="eastAsia" w:ascii="宋体" w:hAnsi="宋体" w:eastAsia="宋体"/>
                <w:i w:val="0"/>
                <w:color w:val="000000"/>
                <w:position w:val="0"/>
                <w:sz w:val="24"/>
                <w:szCs w:val="24"/>
                <w:u w:val="none"/>
                <w:lang w:eastAsia="zh-CN"/>
              </w:rPr>
              <w:t>松潘县自然资源局</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5</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1</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5</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1</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1.行政强制措施实施数量的统计范围为统计年度1月1日至12月31日期间作出“查封场所、设施或者财物”、“扣押财物”、“冻结存款、汇款”或者“其他行政强制措施”决定的数量。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3.其他强制执行方式，如《城乡规划法》规定的强制拆除；《煤炭法》规定的强制停产、强制消除安全隐患；《金银管理条例》规定的强制收购；《外汇管理条例》规定的回兑等。</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4.申请法院强制执行数量的统计范围为统计年度1月1日至12月31日期间向法院申请强制执行的数量，时间以申请日期为准。</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tbl>
      <w:tblPr>
        <w:tblStyle w:val="28"/>
        <w:tblpPr w:leftFromText="180" w:rightFromText="180" w:vertAnchor="text" w:horzAnchor="page" w:tblpX="1341" w:tblpY="325"/>
        <w:tblOverlap w:val="never"/>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8"/>
        <w:gridCol w:w="1527"/>
        <w:gridCol w:w="2991"/>
        <w:gridCol w:w="3877"/>
        <w:gridCol w:w="4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333333"/>
                <w:position w:val="0"/>
                <w:sz w:val="32"/>
                <w:szCs w:val="32"/>
                <w:u w:val="none"/>
              </w:rPr>
            </w:pPr>
            <w:r>
              <w:rPr>
                <w:rFonts w:hint="default" w:ascii="方正小标宋简体" w:hAnsi="方正小标宋简体" w:eastAsia="方正小标宋简体"/>
                <w:i w:val="0"/>
                <w:color w:val="333333"/>
                <w:position w:val="0"/>
                <w:sz w:val="36"/>
                <w:szCs w:val="36"/>
                <w:u w:val="none"/>
              </w:rPr>
              <w:t>20</w:t>
            </w:r>
            <w:r>
              <w:rPr>
                <w:rFonts w:hint="eastAsia" w:ascii="方正小标宋简体" w:hAnsi="方正小标宋简体" w:eastAsia="方正小标宋简体"/>
                <w:i w:val="0"/>
                <w:color w:val="333333"/>
                <w:position w:val="0"/>
                <w:sz w:val="36"/>
                <w:szCs w:val="36"/>
                <w:u w:val="none"/>
                <w:lang w:val="en-US" w:eastAsia="zh-CN"/>
              </w:rPr>
              <w:t>20</w:t>
            </w:r>
            <w:r>
              <w:rPr>
                <w:rFonts w:hint="default" w:ascii="方正小标宋简体" w:hAnsi="方正小标宋简体" w:eastAsia="方正小标宋简体"/>
                <w:i w:val="0"/>
                <w:color w:val="333333"/>
                <w:position w:val="0"/>
                <w:sz w:val="36"/>
                <w:szCs w:val="36"/>
                <w:u w:val="none"/>
              </w:rPr>
              <w:t>年度行政检查实施情况统计表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eastAsia="zh-CN"/>
              </w:rPr>
              <w:t>松潘县自然资源局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w:t>
            </w:r>
            <w:r>
              <w:rPr>
                <w:rFonts w:hint="eastAsia" w:ascii="宋体" w:hAnsi="宋体" w:eastAsia="宋体"/>
                <w:i w:val="0"/>
                <w:color w:val="000000"/>
                <w:position w:val="0"/>
                <w:sz w:val="24"/>
                <w:szCs w:val="24"/>
                <w:u w:val="none"/>
                <w:lang w:val="en-US" w:eastAsia="zh-CN"/>
              </w:rPr>
              <w:t>30</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11513224008927871C</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eastAsia="zh-CN"/>
              </w:rPr>
            </w:pPr>
            <w:r>
              <w:rPr>
                <w:rFonts w:hint="eastAsia" w:ascii="宋体" w:hAnsi="宋体" w:eastAsia="宋体"/>
                <w:i w:val="0"/>
                <w:color w:val="000000"/>
                <w:position w:val="0"/>
                <w:sz w:val="24"/>
                <w:szCs w:val="24"/>
                <w:u w:val="none"/>
                <w:lang w:eastAsia="zh-CN"/>
              </w:rPr>
              <w:t>松潘县自然资源局</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720" w:firstLineChars="30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17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trPr>
        <w:tc>
          <w:tcPr>
            <w:tcW w:w="13920" w:type="dxa"/>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firstLine="0"/>
        <w:jc w:val="left"/>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firstLine="640"/>
        <w:jc w:val="left"/>
        <w:rPr>
          <w:rFonts w:hint="default" w:ascii="黑体" w:hAnsi="黑体" w:eastAsia="黑体"/>
          <w:color w:val="auto"/>
          <w:position w:val="0"/>
          <w:sz w:val="32"/>
          <w:szCs w:val="32"/>
        </w:rPr>
      </w:pPr>
    </w:p>
    <w:p>
      <w:pPr>
        <w:pageBreakBefore w:val="0"/>
        <w:numPr>
          <w:ilvl w:val="0"/>
          <w:numId w:val="0"/>
        </w:numPr>
        <w:autoSpaceDE/>
        <w:autoSpaceDN/>
        <w:bidi w:val="0"/>
        <w:snapToGrid/>
        <w:spacing w:before="0" w:after="160" w:line="560" w:lineRule="exact"/>
        <w:ind w:right="0" w:firstLine="0"/>
        <w:jc w:val="center"/>
        <w:rPr>
          <w:rFonts w:hint="default" w:ascii="方正小标宋简体" w:hAnsi="方正小标宋简体" w:eastAsia="方正小标宋简体"/>
          <w:color w:val="auto"/>
          <w:position w:val="0"/>
          <w:sz w:val="44"/>
          <w:szCs w:val="44"/>
        </w:rPr>
      </w:pPr>
      <w:r>
        <w:rPr>
          <w:rFonts w:hint="default" w:ascii="方正小标宋简体" w:hAnsi="方正小标宋简体" w:eastAsia="方正小标宋简体"/>
          <w:color w:val="auto"/>
          <w:position w:val="0"/>
          <w:sz w:val="44"/>
          <w:szCs w:val="44"/>
        </w:rPr>
        <w:t>20</w:t>
      </w:r>
      <w:r>
        <w:rPr>
          <w:rFonts w:hint="eastAsia" w:ascii="方正小标宋简体" w:hAnsi="方正小标宋简体" w:eastAsia="方正小标宋简体"/>
          <w:color w:val="auto"/>
          <w:position w:val="0"/>
          <w:sz w:val="44"/>
          <w:szCs w:val="44"/>
          <w:lang w:val="en-US" w:eastAsia="zh-CN"/>
        </w:rPr>
        <w:t>20</w:t>
      </w:r>
      <w:r>
        <w:rPr>
          <w:rFonts w:hint="default" w:ascii="方正小标宋简体" w:hAnsi="方正小标宋简体" w:eastAsia="方正小标宋简体"/>
          <w:color w:val="auto"/>
          <w:position w:val="0"/>
          <w:sz w:val="44"/>
          <w:szCs w:val="44"/>
        </w:rPr>
        <w:t>年度行政执法和行政执法监督工作备案报告</w:t>
      </w:r>
    </w:p>
    <w:p>
      <w:pPr>
        <w:pageBreakBefore w:val="0"/>
        <w:numPr>
          <w:ilvl w:val="0"/>
          <w:numId w:val="0"/>
        </w:numPr>
        <w:autoSpaceDE/>
        <w:autoSpaceDN/>
        <w:bidi w:val="0"/>
        <w:snapToGrid/>
        <w:spacing w:before="0" w:after="160" w:line="560" w:lineRule="exact"/>
        <w:ind w:right="0" w:firstLine="640"/>
        <w:jc w:val="both"/>
        <w:rPr>
          <w:rFonts w:hint="default" w:ascii="仿宋_GB2312" w:hAnsi="仿宋_GB2312" w:eastAsia="仿宋_GB2312"/>
          <w:color w:val="auto"/>
          <w:position w:val="0"/>
          <w:sz w:val="32"/>
          <w:szCs w:val="32"/>
          <w:u w:val="none"/>
        </w:rPr>
      </w:pP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备案机关：</w:t>
      </w:r>
      <w:r>
        <w:rPr>
          <w:rFonts w:hint="eastAsia" w:ascii="仿宋_GB2312" w:hAnsi="仿宋_GB2312" w:eastAsia="仿宋_GB2312"/>
          <w:color w:val="auto"/>
          <w:position w:val="0"/>
          <w:sz w:val="32"/>
          <w:szCs w:val="32"/>
          <w:u w:val="none"/>
          <w:lang w:eastAsia="zh-CN"/>
        </w:rPr>
        <w:t>松潘县自然资源局</w:t>
      </w:r>
      <w:r>
        <w:rPr>
          <w:rFonts w:hint="default" w:ascii="仿宋_GB2312" w:hAnsi="仿宋_GB2312" w:eastAsia="仿宋_GB2312"/>
          <w:color w:val="auto"/>
          <w:position w:val="0"/>
          <w:sz w:val="32"/>
          <w:szCs w:val="32"/>
          <w:u w:val="singl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报备机关：</w:t>
      </w:r>
      <w:r>
        <w:rPr>
          <w:rFonts w:hint="eastAsia" w:ascii="仿宋_GB2312" w:hAnsi="仿宋_GB2312" w:eastAsia="仿宋_GB2312"/>
          <w:color w:val="auto"/>
          <w:position w:val="0"/>
          <w:sz w:val="32"/>
          <w:szCs w:val="32"/>
          <w:u w:val="none"/>
          <w:lang w:eastAsia="zh-CN"/>
        </w:rPr>
        <w:t>松潘县人民政府</w:t>
      </w:r>
      <w:r>
        <w:rPr>
          <w:rFonts w:hint="eastAsia" w:ascii="仿宋_GB2312" w:hAnsi="仿宋_GB2312" w:eastAsia="仿宋_GB2312"/>
          <w:color w:val="auto"/>
          <w:position w:val="0"/>
          <w:sz w:val="32"/>
          <w:szCs w:val="32"/>
          <w:u w:val="none"/>
          <w:lang w:val="en-US" w:eastAsia="zh-CN"/>
        </w:rPr>
        <w:t xml:space="preserve">   阿坝州自然资源局</w:t>
      </w:r>
      <w:r>
        <w:rPr>
          <w:rFonts w:hint="default" w:ascii="仿宋_GB2312" w:hAnsi="仿宋_GB2312" w:eastAsia="仿宋_GB2312"/>
          <w:color w:val="auto"/>
          <w:position w:val="0"/>
          <w:sz w:val="32"/>
          <w:szCs w:val="32"/>
          <w:u w:val="singl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公示时间：</w:t>
      </w:r>
      <w:r>
        <w:rPr>
          <w:rFonts w:hint="eastAsia" w:ascii="仿宋_GB2312" w:hAnsi="仿宋_GB2312" w:eastAsia="仿宋_GB2312"/>
          <w:color w:val="auto"/>
          <w:position w:val="0"/>
          <w:sz w:val="32"/>
          <w:szCs w:val="32"/>
          <w:u w:val="single"/>
          <w:lang w:val="en-US" w:eastAsia="zh-CN"/>
        </w:rPr>
        <w:t>2020</w:t>
      </w:r>
      <w:r>
        <w:rPr>
          <w:rFonts w:hint="default" w:ascii="仿宋_GB2312" w:hAnsi="仿宋_GB2312" w:eastAsia="仿宋_GB2312"/>
          <w:color w:val="auto"/>
          <w:position w:val="0"/>
          <w:sz w:val="32"/>
          <w:szCs w:val="32"/>
          <w:u w:val="single"/>
        </w:rPr>
        <w:t>年</w:t>
      </w:r>
      <w:r>
        <w:rPr>
          <w:rFonts w:hint="eastAsia" w:ascii="仿宋_GB2312" w:hAnsi="仿宋_GB2312" w:eastAsia="仿宋_GB2312"/>
          <w:color w:val="auto"/>
          <w:position w:val="0"/>
          <w:sz w:val="32"/>
          <w:szCs w:val="32"/>
          <w:u w:val="single"/>
          <w:lang w:val="en-US" w:eastAsia="zh-CN"/>
        </w:rPr>
        <w:t>1</w:t>
      </w:r>
      <w:r>
        <w:rPr>
          <w:rFonts w:hint="default" w:ascii="仿宋_GB2312" w:hAnsi="仿宋_GB2312" w:eastAsia="仿宋_GB2312"/>
          <w:color w:val="auto"/>
          <w:position w:val="0"/>
          <w:sz w:val="32"/>
          <w:szCs w:val="32"/>
          <w:u w:val="single"/>
        </w:rPr>
        <w:t>月</w:t>
      </w:r>
      <w:r>
        <w:rPr>
          <w:rFonts w:hint="eastAsia" w:ascii="仿宋_GB2312" w:hAnsi="仿宋_GB2312" w:eastAsia="仿宋_GB2312"/>
          <w:color w:val="auto"/>
          <w:position w:val="0"/>
          <w:sz w:val="32"/>
          <w:szCs w:val="32"/>
          <w:u w:val="single"/>
          <w:lang w:val="en-US" w:eastAsia="zh-CN"/>
        </w:rPr>
        <w:t>7</w:t>
      </w:r>
      <w:r>
        <w:rPr>
          <w:rFonts w:hint="default" w:ascii="仿宋_GB2312" w:hAnsi="仿宋_GB2312" w:eastAsia="仿宋_GB2312"/>
          <w:color w:val="auto"/>
          <w:position w:val="0"/>
          <w:sz w:val="32"/>
          <w:szCs w:val="32"/>
          <w:u w:val="single"/>
        </w:rPr>
        <w:t xml:space="preserve">日    </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公示网站：</w:t>
      </w:r>
      <w:r>
        <w:rPr>
          <w:rFonts w:hint="eastAsia" w:ascii="仿宋_GB2312" w:hAnsi="仿宋_GB2312" w:eastAsia="仿宋_GB2312"/>
          <w:color w:val="auto"/>
          <w:position w:val="0"/>
          <w:sz w:val="32"/>
          <w:szCs w:val="32"/>
          <w:u w:val="single"/>
          <w:lang w:eastAsia="zh-CN"/>
        </w:rPr>
        <w:t>松潘</w:t>
      </w:r>
      <w:r>
        <w:rPr>
          <w:rFonts w:hint="default" w:ascii="仿宋_GB2312" w:hAnsi="仿宋_GB2312" w:eastAsia="仿宋_GB2312"/>
          <w:color w:val="auto"/>
          <w:position w:val="0"/>
          <w:sz w:val="32"/>
          <w:szCs w:val="32"/>
          <w:u w:val="single"/>
        </w:rPr>
        <w:t xml:space="preserve">县人民政府网站行政执法公示专栏 </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2249" w:firstLineChars="703"/>
        <w:jc w:val="both"/>
        <w:textAlignment w:val="auto"/>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single"/>
        </w:rPr>
        <w:t>（网址：http://www.songpan.gov.cn/spxrmzf/c101715/nav_list.shtml ）</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公示和备案内容：</w:t>
      </w:r>
      <w:r>
        <w:rPr>
          <w:rFonts w:hint="eastAsia" w:ascii="仿宋_GB2312" w:hAnsi="仿宋_GB2312" w:eastAsia="仿宋_GB2312"/>
          <w:color w:val="auto"/>
          <w:position w:val="0"/>
          <w:sz w:val="32"/>
          <w:szCs w:val="32"/>
          <w:u w:val="single"/>
          <w:lang w:eastAsia="zh-CN"/>
        </w:rPr>
        <w:t>2020</w:t>
      </w:r>
      <w:r>
        <w:rPr>
          <w:rFonts w:hint="default" w:ascii="仿宋_GB2312" w:hAnsi="仿宋_GB2312" w:eastAsia="仿宋_GB2312"/>
          <w:color w:val="auto"/>
          <w:position w:val="0"/>
          <w:sz w:val="32"/>
          <w:szCs w:val="32"/>
          <w:u w:val="single"/>
        </w:rPr>
        <w:t>年度本机关实施行政许可、行政处罚、行政强制和行政检查的情况</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none"/>
        </w:rPr>
      </w:pP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u w:val="none"/>
        </w:rPr>
        <w:t>附件：</w:t>
      </w:r>
      <w:r>
        <w:rPr>
          <w:rFonts w:hint="eastAsia" w:ascii="仿宋_GB2312" w:hAnsi="仿宋_GB2312" w:eastAsia="仿宋_GB2312"/>
          <w:color w:val="auto"/>
          <w:position w:val="0"/>
          <w:sz w:val="32"/>
          <w:szCs w:val="32"/>
          <w:lang w:eastAsia="zh-CN"/>
        </w:rPr>
        <w:t>2020</w:t>
      </w:r>
      <w:r>
        <w:rPr>
          <w:rFonts w:hint="default" w:ascii="仿宋_GB2312" w:hAnsi="仿宋_GB2312" w:eastAsia="仿宋_GB2312"/>
          <w:color w:val="auto"/>
          <w:position w:val="0"/>
          <w:sz w:val="32"/>
          <w:szCs w:val="32"/>
        </w:rPr>
        <w:t>年度行政许可、行政处罚、行政强制、行政检查实施情况统计表</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eastAsia" w:ascii="仿宋_GB2312" w:hAnsi="仿宋_GB2312" w:eastAsia="仿宋_GB2312"/>
          <w:color w:val="auto"/>
          <w:position w:val="0"/>
          <w:sz w:val="32"/>
          <w:szCs w:val="32"/>
          <w:u w:val="none"/>
          <w:lang w:eastAsia="zh-CN"/>
        </w:rPr>
      </w:pPr>
      <w:r>
        <w:rPr>
          <w:rFonts w:hint="default" w:ascii="仿宋_GB2312" w:hAnsi="仿宋_GB2312" w:eastAsia="仿宋_GB2312"/>
          <w:color w:val="auto"/>
          <w:position w:val="0"/>
          <w:sz w:val="32"/>
          <w:szCs w:val="32"/>
          <w:u w:val="none"/>
        </w:rPr>
        <w:t xml:space="preserve">                                                          </w:t>
      </w:r>
      <w:r>
        <w:rPr>
          <w:rFonts w:hint="eastAsia" w:ascii="仿宋_GB2312" w:hAnsi="仿宋_GB2312" w:eastAsia="仿宋_GB2312"/>
          <w:color w:val="auto"/>
          <w:position w:val="0"/>
          <w:sz w:val="32"/>
          <w:szCs w:val="32"/>
          <w:u w:val="none"/>
          <w:lang w:val="en-US" w:eastAsia="zh-CN"/>
        </w:rPr>
        <w:t xml:space="preserve">       </w:t>
      </w:r>
      <w:r>
        <w:rPr>
          <w:rFonts w:hint="eastAsia" w:ascii="仿宋_GB2312" w:hAnsi="仿宋_GB2312" w:eastAsia="仿宋_GB2312"/>
          <w:color w:val="auto"/>
          <w:position w:val="0"/>
          <w:sz w:val="32"/>
          <w:szCs w:val="32"/>
          <w:u w:val="none"/>
          <w:lang w:eastAsia="zh-CN"/>
        </w:rPr>
        <w:t>松潘县自然资源局</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r>
        <w:rPr>
          <w:rFonts w:hint="eastAsia" w:ascii="仿宋_GB2312" w:hAnsi="仿宋_GB2312" w:eastAsia="仿宋_GB2312"/>
          <w:color w:val="auto"/>
          <w:position w:val="0"/>
          <w:sz w:val="32"/>
          <w:szCs w:val="32"/>
          <w:u w:val="none"/>
          <w:lang w:val="en-US" w:eastAsia="zh-CN"/>
        </w:rPr>
        <w:t>2021</w:t>
      </w:r>
      <w:r>
        <w:rPr>
          <w:rFonts w:hint="default" w:ascii="仿宋_GB2312" w:hAnsi="仿宋_GB2312" w:eastAsia="仿宋_GB2312"/>
          <w:color w:val="auto"/>
          <w:position w:val="0"/>
          <w:sz w:val="32"/>
          <w:szCs w:val="32"/>
          <w:u w:val="none"/>
        </w:rPr>
        <w:t>年</w:t>
      </w:r>
      <w:r>
        <w:rPr>
          <w:rFonts w:hint="eastAsia" w:ascii="仿宋_GB2312" w:hAnsi="仿宋_GB2312" w:eastAsia="仿宋_GB2312"/>
          <w:color w:val="auto"/>
          <w:position w:val="0"/>
          <w:sz w:val="32"/>
          <w:szCs w:val="32"/>
          <w:u w:val="none"/>
          <w:lang w:val="en-US" w:eastAsia="zh-CN"/>
        </w:rPr>
        <w:t>1</w:t>
      </w:r>
      <w:r>
        <w:rPr>
          <w:rFonts w:hint="default" w:ascii="仿宋_GB2312" w:hAnsi="仿宋_GB2312" w:eastAsia="仿宋_GB2312"/>
          <w:color w:val="auto"/>
          <w:position w:val="0"/>
          <w:sz w:val="32"/>
          <w:szCs w:val="32"/>
          <w:u w:val="none"/>
        </w:rPr>
        <w:t xml:space="preserve">月 </w:t>
      </w:r>
      <w:r>
        <w:rPr>
          <w:rFonts w:hint="eastAsia" w:ascii="仿宋_GB2312" w:hAnsi="仿宋_GB2312" w:eastAsia="仿宋_GB2312"/>
          <w:color w:val="auto"/>
          <w:position w:val="0"/>
          <w:sz w:val="32"/>
          <w:szCs w:val="32"/>
          <w:u w:val="none"/>
          <w:lang w:val="en-US" w:eastAsia="zh-CN"/>
        </w:rPr>
        <w:t>7</w:t>
      </w:r>
      <w:r>
        <w:rPr>
          <w:rFonts w:hint="default" w:ascii="仿宋_GB2312" w:hAnsi="仿宋_GB2312" w:eastAsia="仿宋_GB2312"/>
          <w:color w:val="auto"/>
          <w:position w:val="0"/>
          <w:sz w:val="32"/>
          <w:szCs w:val="32"/>
          <w:u w:val="none"/>
        </w:rPr>
        <w:t>日</w:t>
      </w:r>
    </w:p>
    <w:p>
      <w:pPr>
        <w:keepNext w:val="0"/>
        <w:keepLines w:val="0"/>
        <w:pageBreakBefore w:val="0"/>
        <w:widowControl/>
        <w:numPr>
          <w:ilvl w:val="0"/>
          <w:numId w:val="0"/>
        </w:numPr>
        <w:kinsoku/>
        <w:wordWrap/>
        <w:overflowPunct/>
        <w:topLinePunct w:val="0"/>
        <w:autoSpaceDE/>
        <w:autoSpaceDN/>
        <w:bidi w:val="0"/>
        <w:adjustRightInd/>
        <w:snapToGrid/>
        <w:spacing w:before="0" w:after="160" w:line="440" w:lineRule="exact"/>
        <w:ind w:right="0" w:firstLine="640"/>
        <w:jc w:val="both"/>
        <w:textAlignment w:val="auto"/>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（联系人：</w:t>
      </w:r>
      <w:r>
        <w:rPr>
          <w:rFonts w:hint="eastAsia" w:ascii="仿宋_GB2312" w:hAnsi="仿宋_GB2312" w:eastAsia="仿宋_GB2312"/>
          <w:color w:val="auto"/>
          <w:position w:val="0"/>
          <w:sz w:val="32"/>
          <w:szCs w:val="32"/>
          <w:u w:val="none"/>
          <w:lang w:eastAsia="zh-CN"/>
        </w:rPr>
        <w:t>马丽勇</w:t>
      </w:r>
      <w:r>
        <w:rPr>
          <w:rFonts w:hint="default" w:ascii="仿宋_GB2312" w:hAnsi="仿宋_GB2312" w:eastAsia="仿宋_GB2312"/>
          <w:color w:val="auto"/>
          <w:position w:val="0"/>
          <w:sz w:val="32"/>
          <w:szCs w:val="32"/>
          <w:u w:val="none"/>
        </w:rPr>
        <w:t xml:space="preserve">          电话：</w:t>
      </w:r>
      <w:r>
        <w:rPr>
          <w:rFonts w:hint="eastAsia" w:ascii="仿宋_GB2312" w:hAnsi="仿宋_GB2312" w:eastAsia="仿宋_GB2312"/>
          <w:color w:val="auto"/>
          <w:position w:val="0"/>
          <w:sz w:val="32"/>
          <w:szCs w:val="32"/>
          <w:u w:val="none"/>
          <w:lang w:val="en-US" w:eastAsia="zh-CN"/>
        </w:rPr>
        <w:t>18090247825</w:t>
      </w:r>
      <w:r>
        <w:rPr>
          <w:rFonts w:hint="default" w:ascii="仿宋_GB2312" w:hAnsi="仿宋_GB2312" w:eastAsia="仿宋_GB2312"/>
          <w:color w:val="auto"/>
          <w:position w:val="0"/>
          <w:sz w:val="32"/>
          <w:szCs w:val="32"/>
          <w:u w:val="none"/>
        </w:rPr>
        <w:t>）</w:t>
      </w: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p>
    <w:tbl>
      <w:tblPr>
        <w:tblStyle w:val="28"/>
        <w:tblW w:w="14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1170"/>
        <w:gridCol w:w="795"/>
        <w:gridCol w:w="795"/>
        <w:gridCol w:w="795"/>
        <w:gridCol w:w="702"/>
        <w:gridCol w:w="510"/>
        <w:gridCol w:w="903"/>
        <w:gridCol w:w="540"/>
        <w:gridCol w:w="420"/>
        <w:gridCol w:w="795"/>
        <w:gridCol w:w="795"/>
        <w:gridCol w:w="615"/>
        <w:gridCol w:w="630"/>
        <w:gridCol w:w="585"/>
        <w:gridCol w:w="600"/>
        <w:gridCol w:w="630"/>
        <w:gridCol w:w="615"/>
        <w:gridCol w:w="690"/>
        <w:gridCol w:w="7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4775"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eastAsia" w:ascii="方正小标宋简体" w:hAnsi="方正小标宋简体" w:eastAsia="方正小标宋简体"/>
                <w:i w:val="0"/>
                <w:color w:val="000000"/>
                <w:position w:val="0"/>
                <w:sz w:val="32"/>
                <w:szCs w:val="32"/>
                <w:u w:val="none"/>
                <w:lang w:eastAsia="zh-CN"/>
              </w:rPr>
              <w:t>2020</w:t>
            </w:r>
            <w:r>
              <w:rPr>
                <w:rFonts w:hint="default" w:ascii="方正小标宋简体" w:hAnsi="方正小标宋简体" w:eastAsia="方正小标宋简体"/>
                <w:i w:val="0"/>
                <w:color w:val="000000"/>
                <w:position w:val="0"/>
                <w:sz w:val="32"/>
                <w:szCs w:val="32"/>
                <w:u w:val="none"/>
              </w:rPr>
              <w:t>年度行政执法和行政执法监督工作情况统计表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7"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行政执法机关（个）</w:t>
            </w:r>
          </w:p>
        </w:tc>
        <w:tc>
          <w:tcPr>
            <w:tcW w:w="46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实施行政执法（件）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行政执法人员（人）</w:t>
            </w:r>
          </w:p>
        </w:tc>
        <w:tc>
          <w:tcPr>
            <w:tcW w:w="43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对行政执法行为监督（件）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行政执法主体总数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行政许可</w:t>
            </w: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行政处罚</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罚没金额（元）</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行政强制</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行政检查</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持省政府统一式样执法证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评查行政处罚案卷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评查行政许可案卷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评查行政强制案卷</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重大行政处罚备案</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重大行政强制备案</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登记立案行政执法监督案件</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追究行政机关责任总数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追究执法人员责任总数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申请行政许可</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受理行政许可</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903"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4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42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8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纠错案件</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560" w:lineRule="exact"/>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州级行政执法部门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县级政府和部门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9</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eastAsia" w:ascii="宋体" w:hAnsi="宋体" w:eastAsia="宋体"/>
                <w:i w:val="0"/>
                <w:color w:val="000000"/>
                <w:position w:val="0"/>
                <w:sz w:val="24"/>
                <w:szCs w:val="24"/>
                <w:u w:val="none"/>
                <w:lang w:val="en-US" w:eastAsia="zh-CN"/>
              </w:rPr>
              <w:t>33.6113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6</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9</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乡镇政府</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总计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填表单位：</w:t>
            </w:r>
            <w:r>
              <w:rPr>
                <w:rFonts w:hint="eastAsia" w:ascii="宋体" w:hAnsi="宋体" w:eastAsia="宋体"/>
                <w:i w:val="0"/>
                <w:color w:val="000000"/>
                <w:position w:val="0"/>
                <w:sz w:val="24"/>
                <w:szCs w:val="24"/>
                <w:u w:val="none"/>
                <w:lang w:eastAsia="zh-CN"/>
              </w:rPr>
              <w:t>松潘县自然资源局</w:t>
            </w:r>
            <w:r>
              <w:rPr>
                <w:rFonts w:hint="default" w:ascii="宋体" w:hAnsi="宋体" w:eastAsia="宋体"/>
                <w:i w:val="0"/>
                <w:color w:val="000000"/>
                <w:position w:val="0"/>
                <w:sz w:val="24"/>
                <w:szCs w:val="24"/>
                <w:u w:val="none"/>
              </w:rPr>
              <w:t xml:space="preserve">           填表人：</w:t>
            </w:r>
            <w:r>
              <w:rPr>
                <w:rFonts w:hint="eastAsia" w:ascii="宋体" w:hAnsi="宋体" w:eastAsia="宋体"/>
                <w:i w:val="0"/>
                <w:color w:val="000000"/>
                <w:position w:val="0"/>
                <w:sz w:val="24"/>
                <w:szCs w:val="24"/>
                <w:u w:val="none"/>
                <w:lang w:eastAsia="zh-CN"/>
              </w:rPr>
              <w:t>卓尔玛、</w:t>
            </w:r>
            <w:bookmarkStart w:id="0" w:name="_GoBack"/>
            <w:bookmarkEnd w:id="0"/>
            <w:r>
              <w:rPr>
                <w:rFonts w:hint="eastAsia" w:ascii="宋体" w:hAnsi="宋体" w:eastAsia="宋体"/>
                <w:i w:val="0"/>
                <w:color w:val="000000"/>
                <w:position w:val="0"/>
                <w:sz w:val="24"/>
                <w:szCs w:val="24"/>
                <w:u w:val="none"/>
                <w:lang w:eastAsia="zh-CN"/>
              </w:rPr>
              <w:t>马丽勇</w:t>
            </w:r>
            <w:r>
              <w:rPr>
                <w:rFonts w:hint="default" w:ascii="宋体" w:hAnsi="宋体" w:eastAsia="宋体"/>
                <w:i w:val="0"/>
                <w:color w:val="000000"/>
                <w:position w:val="0"/>
                <w:sz w:val="24"/>
                <w:szCs w:val="24"/>
                <w:u w:val="none"/>
              </w:rPr>
              <w:t xml:space="preserve">  </w:t>
            </w:r>
            <w:r>
              <w:rPr>
                <w:rFonts w:hint="eastAsia" w:ascii="宋体" w:hAnsi="宋体" w:eastAsia="宋体"/>
                <w:i w:val="0"/>
                <w:color w:val="000000"/>
                <w:position w:val="0"/>
                <w:sz w:val="24"/>
                <w:szCs w:val="24"/>
                <w:u w:val="none"/>
                <w:lang w:val="en-US" w:eastAsia="zh-CN"/>
              </w:rPr>
              <w:t xml:space="preserve"> </w:t>
            </w:r>
            <w:r>
              <w:rPr>
                <w:rFonts w:hint="default" w:ascii="宋体" w:hAnsi="宋体" w:eastAsia="宋体"/>
                <w:i w:val="0"/>
                <w:color w:val="000000"/>
                <w:position w:val="0"/>
                <w:sz w:val="24"/>
                <w:szCs w:val="24"/>
                <w:u w:val="none"/>
              </w:rPr>
              <w:t>审核人：          电话：</w:t>
            </w:r>
            <w:r>
              <w:rPr>
                <w:rFonts w:hint="eastAsia" w:ascii="宋体" w:hAnsi="宋体" w:eastAsia="宋体"/>
                <w:i w:val="0"/>
                <w:color w:val="000000"/>
                <w:position w:val="0"/>
                <w:sz w:val="24"/>
                <w:szCs w:val="24"/>
                <w:u w:val="none"/>
                <w:lang w:val="en-US" w:eastAsia="zh-CN"/>
              </w:rPr>
              <w:t xml:space="preserve">7232565   </w:t>
            </w:r>
            <w:r>
              <w:rPr>
                <w:rFonts w:hint="default" w:ascii="宋体" w:hAnsi="宋体" w:eastAsia="宋体"/>
                <w:i w:val="0"/>
                <w:color w:val="000000"/>
                <w:position w:val="0"/>
                <w:sz w:val="24"/>
                <w:szCs w:val="24"/>
                <w:u w:val="none"/>
              </w:rPr>
              <w:t>填表日期：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8"/>
                <w:szCs w:val="28"/>
                <w:u w:val="none"/>
              </w:rPr>
            </w:pPr>
            <w:r>
              <w:rPr>
                <w:rFonts w:hint="default" w:ascii="宋体" w:hAnsi="宋体" w:eastAsia="宋体"/>
                <w:i w:val="0"/>
                <w:color w:val="000000"/>
                <w:position w:val="0"/>
                <w:sz w:val="28"/>
                <w:szCs w:val="28"/>
                <w:u w:val="none"/>
              </w:rPr>
              <w:t xml:space="preserve">                                        </w:t>
            </w:r>
          </w:p>
          <w:p>
            <w:pPr>
              <w:pageBreakBefore w:val="0"/>
              <w:numPr>
                <w:ilvl w:val="0"/>
                <w:numId w:val="0"/>
              </w:numPr>
              <w:autoSpaceDE/>
              <w:autoSpaceDN/>
              <w:bidi w:val="0"/>
              <w:snapToGrid/>
              <w:spacing w:before="0" w:after="160" w:line="240" w:lineRule="auto"/>
              <w:ind w:right="0" w:firstLine="0"/>
              <w:jc w:val="both"/>
              <w:rPr>
                <w:rFonts w:hint="default" w:ascii="宋体" w:hAnsi="宋体" w:eastAsia="宋体"/>
                <w:i w:val="0"/>
                <w:color w:val="000000"/>
                <w:position w:val="0"/>
                <w:sz w:val="28"/>
                <w:szCs w:val="28"/>
                <w:u w:val="none"/>
              </w:rPr>
            </w:pPr>
            <w:r>
              <w:rPr>
                <w:rStyle w:val="50"/>
                <w:rFonts w:hint="default" w:ascii="方正小标宋简体" w:hAnsi="方正小标宋简体" w:eastAsia="方正小标宋简体"/>
                <w:color w:val="000000"/>
                <w:position w:val="0"/>
                <w:sz w:val="28"/>
                <w:szCs w:val="28"/>
                <w:u w:val="none"/>
              </w:rPr>
              <w:t>说明</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1.本表统计范围为统计年度1月1日至12月31日期间行政执法和行政执法监督工作的开展情况。</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2.“行政执法人员总数”包括持有本省统一式样执法证及持有依据法律、法规规定或经省人民政府批准使用非本省统一式样执法证的行政执法人员。</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3.“纠错案件”包括通知自行纠正、撤销和责令限期重新作出。</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4.“追究行政机关责任总数”包括通报批评、责令改正、取消评比先进的资格和对负责人给予行政处罚。</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5.“追究执法人员责任总数”包括通报批评、离岗培训、暂扣行政执法证、吊销行政执法证、建议调离行政执法岗位、提请监察机关调查处理、给予行政处分和涉嫌犯罪移送司法机关。</w:t>
            </w:r>
          </w:p>
        </w:tc>
      </w:tr>
    </w:tbl>
    <w:p>
      <w:pPr>
        <w:numPr>
          <w:ilvl w:val="0"/>
          <w:numId w:val="0"/>
        </w:numPr>
        <w:tabs>
          <w:tab w:val="left" w:pos="1531"/>
        </w:tabs>
        <w:autoSpaceDE/>
        <w:autoSpaceDN/>
        <w:bidi w:val="0"/>
        <w:spacing w:before="0" w:after="160" w:line="240" w:lineRule="auto"/>
        <w:ind w:right="0" w:firstLine="0"/>
        <w:jc w:val="left"/>
        <w:rPr>
          <w:rFonts w:hint="default" w:ascii="黑体" w:hAnsi="黑体" w:eastAsia="黑体"/>
          <w:color w:val="auto"/>
          <w:position w:val="0"/>
          <w:sz w:val="32"/>
          <w:szCs w:val="32"/>
        </w:rPr>
      </w:pPr>
    </w:p>
    <w:sectPr>
      <w:pgSz w:w="16838" w:h="11906" w:orient="landscape"/>
      <w:pgMar w:top="720" w:right="720" w:bottom="720" w:left="720" w:header="851" w:footer="850"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bottom w:val="none" w:color="000000" w:sz="0" w:space="0"/>
      </w:pBdr>
      <w:autoSpaceDE/>
      <w:autoSpaceDN/>
      <w:snapToGrid w:val="0"/>
      <w:spacing w:before="0" w:after="160" w:line="240" w:lineRule="auto"/>
      <w:ind w:right="0" w:firstLine="0"/>
      <w:jc w:val="center"/>
      <w:rPr>
        <w:rFonts w:hint="default" w:ascii="Calibri" w:hAnsi="黑体" w:eastAsia="黑体"/>
        <w:color w:val="auto"/>
        <w:positio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evenAndOddHeaders w:val="1"/>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
  <w:rsids>
    <w:rsidRoot w:val="00000000"/>
    <w:rsid w:val="008D6F1E"/>
    <w:rsid w:val="01553E7A"/>
    <w:rsid w:val="06BD7ACB"/>
    <w:rsid w:val="094055F3"/>
    <w:rsid w:val="0ED31F9F"/>
    <w:rsid w:val="100D2E50"/>
    <w:rsid w:val="10FC18D2"/>
    <w:rsid w:val="198429F3"/>
    <w:rsid w:val="1A08107B"/>
    <w:rsid w:val="2CA469BB"/>
    <w:rsid w:val="32F64CB7"/>
    <w:rsid w:val="340C3DAB"/>
    <w:rsid w:val="345542EC"/>
    <w:rsid w:val="348F7F59"/>
    <w:rsid w:val="3FA92DB4"/>
    <w:rsid w:val="465F713D"/>
    <w:rsid w:val="597E6633"/>
    <w:rsid w:val="59905C2F"/>
    <w:rsid w:val="5F043B8F"/>
    <w:rsid w:val="615A2AD5"/>
    <w:rsid w:val="66095B63"/>
    <w:rsid w:val="66F13E5F"/>
    <w:rsid w:val="68824071"/>
    <w:rsid w:val="6A5D4332"/>
    <w:rsid w:val="6A991E32"/>
    <w:rsid w:val="6C1C7B94"/>
    <w:rsid w:val="6EB2794D"/>
    <w:rsid w:val="72077121"/>
    <w:rsid w:val="74A530BD"/>
    <w:rsid w:val="75BE0755"/>
    <w:rsid w:val="769A6187"/>
    <w:rsid w:val="7E76147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5" w:semiHidden="0"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7"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qFormat="1" w:unhideWhenUsed="0" w:uiPriority="15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iPriority="152"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158"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6"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3"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黑体" w:cs="Times New Roman"/>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imes New Roman"/>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imes New Roman"/>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imes New Roman"/>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imes New Roman"/>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imes New Roman"/>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imes New Roman"/>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imes New Roman"/>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imes New Roman"/>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imes New Roman"/>
      <w:w w:val="100"/>
      <w:sz w:val="21"/>
      <w:szCs w:val="21"/>
      <w:shd w:val="clear"/>
    </w:rPr>
  </w:style>
  <w:style w:type="character" w:default="1" w:styleId="29">
    <w:name w:val="Default Paragraph Font"/>
    <w:semiHidden/>
    <w:unhideWhenUsed/>
    <w:qFormat/>
    <w:uiPriority w:val="2"/>
  </w:style>
  <w:style w:type="table" w:default="1" w:styleId="28">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imes New Roman"/>
      <w:w w:val="100"/>
      <w:sz w:val="21"/>
      <w:szCs w:val="21"/>
      <w:shd w:val="clear"/>
    </w:rPr>
  </w:style>
  <w:style w:type="paragraph" w:styleId="12">
    <w:name w:val="Body Text"/>
    <w:basedOn w:val="1"/>
    <w:link w:val="48"/>
    <w:qFormat/>
    <w:uiPriority w:val="151"/>
    <w:pPr>
      <w:widowControl/>
      <w:wordWrap/>
      <w:autoSpaceDE/>
      <w:autoSpaceDN/>
      <w:ind w:right="34" w:firstLine="0"/>
      <w:jc w:val="center"/>
    </w:pPr>
    <w:rPr>
      <w:rFonts w:ascii="宋体" w:hAnsi="宋体" w:eastAsia="Times New Roman"/>
      <w:b/>
      <w:spacing w:val="-10"/>
      <w:w w:val="100"/>
      <w:sz w:val="18"/>
      <w:szCs w:val="18"/>
      <w:shd w:val="clear"/>
    </w:rPr>
  </w:style>
  <w:style w:type="paragraph" w:styleId="13">
    <w:name w:val="toc 5"/>
    <w:next w:val="1"/>
    <w:unhideWhenUsed/>
    <w:qFormat/>
    <w:uiPriority w:val="32"/>
    <w:pPr>
      <w:widowControl/>
      <w:wordWrap/>
      <w:autoSpaceDE/>
      <w:autoSpaceDN/>
      <w:ind w:left="1700" w:firstLine="0"/>
      <w:jc w:val="both"/>
    </w:pPr>
    <w:rPr>
      <w:rFonts w:ascii="Times New Roman" w:hAnsi="Times New Roman" w:eastAsia="Times New Roman" w:cs="Times New Roman"/>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styleId="15">
    <w:name w:val="toc 8"/>
    <w:next w:val="1"/>
    <w:unhideWhenUsed/>
    <w:qFormat/>
    <w:uiPriority w:val="35"/>
    <w:pPr>
      <w:widowControl/>
      <w:wordWrap/>
      <w:autoSpaceDE/>
      <w:autoSpaceDN/>
      <w:ind w:left="2975" w:firstLine="0"/>
      <w:jc w:val="both"/>
    </w:pPr>
    <w:rPr>
      <w:rFonts w:ascii="Times New Roman" w:hAnsi="Times New Roman" w:eastAsia="Times New Roman" w:cs="Times New Roman"/>
      <w:w w:val="100"/>
      <w:sz w:val="21"/>
      <w:szCs w:val="21"/>
      <w:shd w:val="clear"/>
    </w:rPr>
  </w:style>
  <w:style w:type="paragraph" w:styleId="16">
    <w:name w:val="Date"/>
    <w:basedOn w:val="1"/>
    <w:next w:val="1"/>
    <w:link w:val="49"/>
    <w:unhideWhenUsed/>
    <w:qFormat/>
    <w:uiPriority w:val="152"/>
    <w:pPr>
      <w:widowControl/>
      <w:wordWrap/>
      <w:autoSpaceDE/>
      <w:autoSpaceDN/>
      <w:ind w:left="100" w:firstLine="0"/>
    </w:pPr>
  </w:style>
  <w:style w:type="paragraph" w:styleId="17">
    <w:name w:val="Balloon Text"/>
    <w:basedOn w:val="1"/>
    <w:link w:val="47"/>
    <w:unhideWhenUsed/>
    <w:qFormat/>
    <w:uiPriority w:val="153"/>
    <w:rPr>
      <w:w w:val="100"/>
      <w:sz w:val="18"/>
      <w:szCs w:val="18"/>
      <w:shd w:val="clear"/>
    </w:rPr>
  </w:style>
  <w:style w:type="paragraph" w:styleId="18">
    <w:name w:val="footer"/>
    <w:basedOn w:val="1"/>
    <w:link w:val="46"/>
    <w:unhideWhenUsed/>
    <w:qFormat/>
    <w:uiPriority w:val="154"/>
    <w:pPr>
      <w:widowControl/>
      <w:tabs>
        <w:tab w:val="center" w:pos="4153"/>
        <w:tab w:val="right" w:pos="8306"/>
      </w:tabs>
      <w:wordWrap/>
      <w:autoSpaceDE/>
      <w:autoSpaceDN/>
    </w:pPr>
    <w:rPr>
      <w:w w:val="100"/>
      <w:sz w:val="18"/>
      <w:szCs w:val="18"/>
      <w:shd w:val="clear"/>
    </w:rPr>
  </w:style>
  <w:style w:type="paragraph" w:styleId="19">
    <w:name w:val="header"/>
    <w:basedOn w:val="1"/>
    <w:link w:val="45"/>
    <w:unhideWhenUsed/>
    <w:qFormat/>
    <w:uiPriority w:val="155"/>
    <w:pPr>
      <w:widowControl/>
      <w:tabs>
        <w:tab w:val="center" w:pos="4153"/>
        <w:tab w:val="right" w:pos="8306"/>
      </w:tabs>
      <w:wordWrap/>
      <w:autoSpaceDE/>
      <w:autoSpaceDN/>
      <w:jc w:val="center"/>
    </w:pPr>
    <w:rPr>
      <w:w w:val="100"/>
      <w:sz w:val="18"/>
      <w:szCs w:val="18"/>
      <w:shd w:val="clear"/>
    </w:rPr>
  </w:style>
  <w:style w:type="paragraph" w:styleId="20">
    <w:name w:val="toc 1"/>
    <w:next w:val="1"/>
    <w:unhideWhenUsed/>
    <w:qFormat/>
    <w:uiPriority w:val="28"/>
    <w:pPr>
      <w:widowControl/>
      <w:wordWrap/>
      <w:autoSpaceDE/>
      <w:autoSpaceDN/>
      <w:jc w:val="both"/>
    </w:pPr>
    <w:rPr>
      <w:rFonts w:ascii="Times New Roman" w:hAnsi="Times New Roman" w:eastAsia="Times New Roman" w:cs="Times New Roman"/>
      <w:w w:val="100"/>
      <w:sz w:val="21"/>
      <w:szCs w:val="21"/>
      <w:shd w:val="clear"/>
    </w:rPr>
  </w:style>
  <w:style w:type="paragraph" w:styleId="21">
    <w:name w:val="toc 4"/>
    <w:next w:val="1"/>
    <w:unhideWhenUsed/>
    <w:qFormat/>
    <w:uiPriority w:val="31"/>
    <w:pPr>
      <w:widowControl/>
      <w:wordWrap/>
      <w:autoSpaceDE/>
      <w:autoSpaceDN/>
      <w:ind w:left="1275" w:firstLine="0"/>
      <w:jc w:val="both"/>
    </w:pPr>
    <w:rPr>
      <w:rFonts w:ascii="Times New Roman" w:hAnsi="Times New Roman" w:eastAsia="Times New Roman" w:cs="Times New Roman"/>
      <w:w w:val="100"/>
      <w:sz w:val="21"/>
      <w:szCs w:val="21"/>
      <w:shd w:val="clear"/>
    </w:rPr>
  </w:style>
  <w:style w:type="paragraph" w:styleId="22">
    <w:name w:val="Subtitle"/>
    <w:qFormat/>
    <w:uiPriority w:val="16"/>
    <w:pPr>
      <w:widowControl/>
      <w:wordWrap/>
      <w:autoSpaceDE/>
      <w:autoSpaceDN/>
      <w:jc w:val="center"/>
    </w:pPr>
    <w:rPr>
      <w:rFonts w:ascii="Times New Roman" w:hAnsi="Times New Roman" w:eastAsia="Times New Roman" w:cs="Times New Roman"/>
      <w:w w:val="100"/>
      <w:sz w:val="24"/>
      <w:szCs w:val="24"/>
      <w:shd w:val="clear"/>
    </w:rPr>
  </w:style>
  <w:style w:type="paragraph" w:styleId="23">
    <w:name w:val="toc 6"/>
    <w:next w:val="1"/>
    <w:unhideWhenUsed/>
    <w:qFormat/>
    <w:uiPriority w:val="33"/>
    <w:pPr>
      <w:widowControl/>
      <w:wordWrap/>
      <w:autoSpaceDE/>
      <w:autoSpaceDN/>
      <w:ind w:left="2125" w:firstLine="0"/>
      <w:jc w:val="both"/>
    </w:pPr>
    <w:rPr>
      <w:rFonts w:ascii="Times New Roman" w:hAnsi="Times New Roman" w:eastAsia="Times New Roman" w:cs="Times New Roman"/>
      <w:w w:val="100"/>
      <w:sz w:val="21"/>
      <w:szCs w:val="21"/>
      <w:shd w:val="clear"/>
    </w:rPr>
  </w:style>
  <w:style w:type="paragraph" w:styleId="24">
    <w:name w:val="toc 2"/>
    <w:next w:val="1"/>
    <w:unhideWhenUsed/>
    <w:qFormat/>
    <w:uiPriority w:val="29"/>
    <w:pPr>
      <w:widowControl/>
      <w:wordWrap/>
      <w:autoSpaceDE/>
      <w:autoSpaceDN/>
      <w:ind w:left="425" w:firstLine="0"/>
      <w:jc w:val="both"/>
    </w:pPr>
    <w:rPr>
      <w:rFonts w:ascii="Times New Roman" w:hAnsi="Times New Roman" w:eastAsia="Times New Roman" w:cs="Times New Roman"/>
      <w:w w:val="100"/>
      <w:sz w:val="21"/>
      <w:szCs w:val="21"/>
      <w:shd w:val="clear"/>
    </w:rPr>
  </w:style>
  <w:style w:type="paragraph" w:styleId="25">
    <w:name w:val="toc 9"/>
    <w:next w:val="1"/>
    <w:unhideWhenUsed/>
    <w:qFormat/>
    <w:uiPriority w:val="36"/>
    <w:pPr>
      <w:widowControl/>
      <w:wordWrap/>
      <w:autoSpaceDE/>
      <w:autoSpaceDN/>
      <w:ind w:left="3400" w:firstLine="0"/>
      <w:jc w:val="both"/>
    </w:pPr>
    <w:rPr>
      <w:rFonts w:ascii="Times New Roman" w:hAnsi="Times New Roman" w:eastAsia="Times New Roman" w:cs="Times New Roman"/>
      <w:w w:val="100"/>
      <w:sz w:val="21"/>
      <w:szCs w:val="21"/>
      <w:shd w:val="clear"/>
    </w:rPr>
  </w:style>
  <w:style w:type="paragraph" w:styleId="26">
    <w:name w:val="Normal (Web)"/>
    <w:basedOn w:val="1"/>
    <w:qFormat/>
    <w:uiPriority w:val="156"/>
    <w:pPr>
      <w:widowControl/>
      <w:wordWrap/>
      <w:autoSpaceDE/>
      <w:autoSpaceDN/>
    </w:pPr>
    <w:rPr>
      <w:rFonts w:ascii="宋体" w:hAnsi="宋体" w:eastAsia="宋体"/>
      <w:w w:val="100"/>
      <w:sz w:val="24"/>
      <w:szCs w:val="24"/>
      <w:shd w:val="clear"/>
    </w:rPr>
  </w:style>
  <w:style w:type="paragraph" w:styleId="27">
    <w:name w:val="Title"/>
    <w:qFormat/>
    <w:uiPriority w:val="6"/>
    <w:pPr>
      <w:widowControl/>
      <w:wordWrap/>
      <w:autoSpaceDE/>
      <w:autoSpaceDN/>
      <w:jc w:val="center"/>
    </w:pPr>
    <w:rPr>
      <w:rFonts w:ascii="Times New Roman" w:hAnsi="Times New Roman" w:eastAsia="Times New Roman" w:cs="Times New Roman"/>
      <w:b/>
      <w:w w:val="100"/>
      <w:sz w:val="32"/>
      <w:szCs w:val="32"/>
      <w:shd w:val="clear"/>
    </w:rPr>
  </w:style>
  <w:style w:type="character" w:styleId="30">
    <w:name w:val="Strong"/>
    <w:qFormat/>
    <w:uiPriority w:val="20"/>
    <w:rPr>
      <w:b/>
      <w:w w:val="100"/>
      <w:sz w:val="20"/>
      <w:szCs w:val="20"/>
      <w:shd w:val="clear"/>
    </w:rPr>
  </w:style>
  <w:style w:type="character" w:styleId="31">
    <w:name w:val="page number"/>
    <w:basedOn w:val="29"/>
    <w:qFormat/>
    <w:uiPriority w:val="157"/>
  </w:style>
  <w:style w:type="character" w:styleId="32">
    <w:name w:val="Emphasis"/>
    <w:qFormat/>
    <w:uiPriority w:val="18"/>
    <w:rPr>
      <w:i/>
      <w:w w:val="100"/>
      <w:sz w:val="21"/>
      <w:szCs w:val="21"/>
      <w:shd w:val="clear"/>
    </w:rPr>
  </w:style>
  <w:style w:type="character" w:styleId="33">
    <w:name w:val="Hyperlink"/>
    <w:unhideWhenUsed/>
    <w:qFormat/>
    <w:uiPriority w:val="158"/>
    <w:rPr>
      <w:color w:val="0000FF"/>
      <w:w w:val="100"/>
      <w:sz w:val="20"/>
      <w:szCs w:val="20"/>
      <w:u w:val="single"/>
      <w:shd w:val="clear"/>
    </w:rPr>
  </w:style>
  <w:style w:type="paragraph" w:styleId="34">
    <w:name w:val="No Spacing"/>
    <w:qFormat/>
    <w:uiPriority w:val="5"/>
    <w:pPr>
      <w:widowControl/>
      <w:wordWrap/>
      <w:autoSpaceDE/>
      <w:autoSpaceDN/>
      <w:jc w:val="both"/>
    </w:pPr>
    <w:rPr>
      <w:rFonts w:ascii="Times New Roman" w:hAnsi="Times New Roman" w:eastAsia="Times New Roman" w:cs="Times New Roman"/>
      <w:w w:val="100"/>
      <w:sz w:val="21"/>
      <w:szCs w:val="21"/>
      <w:shd w:val="clear"/>
    </w:rPr>
  </w:style>
  <w:style w:type="character" w:customStyle="1" w:styleId="35">
    <w:name w:val="Subtle Emphasis"/>
    <w:qFormat/>
    <w:uiPriority w:val="17"/>
    <w:rPr>
      <w:i/>
      <w:color w:val="404040"/>
      <w:w w:val="100"/>
      <w:sz w:val="21"/>
      <w:szCs w:val="21"/>
      <w:shd w:val="clear"/>
    </w:rPr>
  </w:style>
  <w:style w:type="character" w:customStyle="1" w:styleId="36">
    <w:name w:val="Intense Emphasis"/>
    <w:qFormat/>
    <w:uiPriority w:val="19"/>
    <w:rPr>
      <w:i/>
      <w:color w:val="5B9BD5"/>
      <w:w w:val="100"/>
      <w:sz w:val="21"/>
      <w:szCs w:val="21"/>
      <w:shd w:val="clear"/>
    </w:rPr>
  </w:style>
  <w:style w:type="paragraph" w:styleId="37">
    <w:name w:val="Quote"/>
    <w:qFormat/>
    <w:uiPriority w:val="21"/>
    <w:pPr>
      <w:widowControl/>
      <w:wordWrap/>
      <w:autoSpaceDE/>
      <w:autoSpaceDN/>
      <w:ind w:left="864" w:right="864" w:firstLine="0"/>
      <w:jc w:val="center"/>
    </w:pPr>
    <w:rPr>
      <w:rFonts w:ascii="Times New Roman" w:hAnsi="Times New Roman" w:eastAsia="Times New Roman" w:cs="Times New Roman"/>
      <w:i/>
      <w:color w:val="404040"/>
      <w:w w:val="100"/>
      <w:sz w:val="21"/>
      <w:szCs w:val="21"/>
      <w:shd w:val="clear"/>
    </w:rPr>
  </w:style>
  <w:style w:type="paragraph" w:styleId="38">
    <w:name w:val="Intense Quote"/>
    <w:qFormat/>
    <w:uiPriority w:val="22"/>
    <w:pPr>
      <w:widowControl/>
      <w:wordWrap/>
      <w:autoSpaceDE/>
      <w:autoSpaceDN/>
      <w:ind w:left="950" w:right="950" w:firstLine="0"/>
      <w:jc w:val="center"/>
    </w:pPr>
    <w:rPr>
      <w:rFonts w:ascii="Times New Roman" w:hAnsi="Times New Roman" w:eastAsia="Times New Roman" w:cs="Times New Roman"/>
      <w:i/>
      <w:color w:val="5B9BD5"/>
      <w:w w:val="100"/>
      <w:sz w:val="21"/>
      <w:szCs w:val="21"/>
      <w:shd w:val="clear"/>
    </w:rPr>
  </w:style>
  <w:style w:type="character" w:customStyle="1" w:styleId="39">
    <w:name w:val="Subtle Reference"/>
    <w:qFormat/>
    <w:uiPriority w:val="23"/>
    <w:rPr>
      <w:smallCaps/>
      <w:color w:val="5A5A5A"/>
      <w:w w:val="100"/>
      <w:sz w:val="21"/>
      <w:szCs w:val="21"/>
      <w:shd w:val="clear"/>
    </w:rPr>
  </w:style>
  <w:style w:type="character" w:customStyle="1" w:styleId="40">
    <w:name w:val="Intense Reference"/>
    <w:qFormat/>
    <w:uiPriority w:val="24"/>
    <w:rPr>
      <w:b/>
      <w:smallCaps/>
      <w:color w:val="5B9BD5"/>
      <w:w w:val="100"/>
      <w:sz w:val="21"/>
      <w:szCs w:val="21"/>
      <w:shd w:val="clear"/>
    </w:rPr>
  </w:style>
  <w:style w:type="character" w:customStyle="1" w:styleId="41">
    <w:name w:val="Book Title"/>
    <w:qFormat/>
    <w:uiPriority w:val="25"/>
    <w:rPr>
      <w:b/>
      <w:i/>
      <w:w w:val="100"/>
      <w:sz w:val="21"/>
      <w:szCs w:val="21"/>
      <w:shd w:val="clear"/>
    </w:rPr>
  </w:style>
  <w:style w:type="paragraph" w:styleId="42">
    <w:name w:val="List Paragraph"/>
    <w:qFormat/>
    <w:uiPriority w:val="26"/>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customStyle="1" w:styleId="43">
    <w:name w:val="TOC Heading"/>
    <w:unhideWhenUsed/>
    <w:qFormat/>
    <w:uiPriority w:val="27"/>
    <w:pPr>
      <w:widowControl/>
      <w:wordWrap/>
      <w:autoSpaceDE/>
      <w:autoSpaceDN/>
    </w:pPr>
    <w:rPr>
      <w:rFonts w:ascii="Times New Roman" w:hAnsi="Times New Roman" w:eastAsia="Times New Roman" w:cs="Times New Roman"/>
      <w:color w:val="2E74B5"/>
      <w:w w:val="100"/>
      <w:sz w:val="32"/>
      <w:szCs w:val="32"/>
      <w:shd w:val="clear"/>
    </w:rPr>
  </w:style>
  <w:style w:type="paragraph" w:customStyle="1" w:styleId="44">
    <w:name w:val="列出段落1"/>
    <w:basedOn w:val="1"/>
    <w:qFormat/>
    <w:uiPriority w:val="159"/>
    <w:pPr>
      <w:widowControl/>
      <w:wordWrap/>
      <w:autoSpaceDE/>
      <w:autoSpaceDN/>
      <w:ind w:firstLine="420"/>
    </w:pPr>
  </w:style>
  <w:style w:type="character" w:customStyle="1" w:styleId="45">
    <w:name w:val="页眉 Char"/>
    <w:link w:val="19"/>
    <w:qFormat/>
    <w:uiPriority w:val="160"/>
    <w:rPr>
      <w:w w:val="100"/>
      <w:sz w:val="18"/>
      <w:szCs w:val="18"/>
      <w:shd w:val="clear"/>
    </w:rPr>
  </w:style>
  <w:style w:type="character" w:customStyle="1" w:styleId="46">
    <w:name w:val="页脚 Char"/>
    <w:link w:val="18"/>
    <w:qFormat/>
    <w:uiPriority w:val="161"/>
    <w:rPr>
      <w:w w:val="100"/>
      <w:sz w:val="18"/>
      <w:szCs w:val="18"/>
      <w:shd w:val="clear"/>
    </w:rPr>
  </w:style>
  <w:style w:type="character" w:customStyle="1" w:styleId="47">
    <w:name w:val="批注框文本 Char"/>
    <w:link w:val="17"/>
    <w:semiHidden/>
    <w:qFormat/>
    <w:uiPriority w:val="162"/>
    <w:rPr>
      <w:w w:val="100"/>
      <w:sz w:val="18"/>
      <w:szCs w:val="18"/>
      <w:shd w:val="clear"/>
    </w:rPr>
  </w:style>
  <w:style w:type="character" w:customStyle="1" w:styleId="48">
    <w:name w:val="正文文本 Char"/>
    <w:link w:val="12"/>
    <w:qFormat/>
    <w:uiPriority w:val="163"/>
    <w:rPr>
      <w:rFonts w:ascii="宋体" w:hAnsi="宋体" w:eastAsia="Times New Roman"/>
      <w:b/>
      <w:spacing w:val="-10"/>
      <w:w w:val="100"/>
      <w:sz w:val="18"/>
      <w:szCs w:val="18"/>
      <w:shd w:val="clear"/>
    </w:rPr>
  </w:style>
  <w:style w:type="character" w:customStyle="1" w:styleId="49">
    <w:name w:val="日期 Char"/>
    <w:link w:val="16"/>
    <w:semiHidden/>
    <w:qFormat/>
    <w:uiPriority w:val="164"/>
    <w:rPr>
      <w:rFonts w:ascii="Calibri" w:hAnsi="Calibri" w:eastAsia="黑体"/>
      <w:w w:val="100"/>
      <w:sz w:val="21"/>
      <w:szCs w:val="21"/>
      <w:shd w:val="clear"/>
    </w:rPr>
  </w:style>
  <w:style w:type="character" w:customStyle="1" w:styleId="50">
    <w:name w:val="font61"/>
    <w:basedOn w:val="29"/>
    <w:qFormat/>
    <w:uiPriority w:val="165"/>
    <w:rPr>
      <w:rFonts w:ascii="方正小标宋简体" w:hAnsi="方正小标宋简体" w:eastAsia="方正小标宋简体"/>
      <w:color w:val="000000"/>
      <w:w w:val="100"/>
      <w:sz w:val="28"/>
      <w:szCs w:val="28"/>
      <w:u w:val="none"/>
      <w:shd w:val="clear"/>
    </w:rPr>
  </w:style>
  <w:style w:type="character" w:customStyle="1" w:styleId="51">
    <w:name w:val="font71"/>
    <w:basedOn w:val="29"/>
    <w:qFormat/>
    <w:uiPriority w:val="166"/>
    <w:rPr>
      <w:rFonts w:ascii="宋体" w:hAnsi="宋体" w:eastAsia="宋体"/>
      <w:color w:val="000000"/>
      <w:w w:val="100"/>
      <w:sz w:val="28"/>
      <w:szCs w:val="28"/>
      <w:u w:val="none"/>
      <w:shd w:val="cle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13</Pages>
  <Words>311</Words>
  <Characters>0</Characters>
  <Lines>14</Lines>
  <Paragraphs>4</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2019-12-18T02:27:00Z</dcterms:created>
  <dc:creator>USER</dc:creator>
  <cp:lastModifiedBy>九月先生</cp:lastModifiedBy>
  <cp:lastPrinted>2021-01-07T03:34:00Z</cp:lastPrinted>
  <dcterms:modified xsi:type="dcterms:W3CDTF">2021-01-07T03:38:08Z</dcterms:modified>
  <dc:title>四川省人民政府法制办公室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