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12CAC9">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37B04FF0">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2025年度四川省阿坝州松潘县白羊乡农业农村服务中心单位决算</w:t>
      </w:r>
    </w:p>
    <w:p w14:paraId="6737637E">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7BB77B02">
      <w:pPr>
        <w:widowControl/>
        <w:jc w:val="center"/>
        <w:rPr>
          <w:rFonts w:ascii="黑体" w:hAnsi="黑体" w:eastAsia="黑体" w:cs="Times New Roman"/>
          <w:color w:val="000000"/>
          <w:sz w:val="28"/>
          <w:szCs w:val="28"/>
          <w:highlight w:val="none"/>
        </w:rPr>
      </w:pPr>
    </w:p>
    <w:p w14:paraId="4EC22F57">
      <w:pPr>
        <w:pStyle w:val="9"/>
        <w:rPr>
          <w:color w:val="000000"/>
          <w:highlight w:val="none"/>
        </w:rPr>
      </w:pPr>
      <w:r>
        <w:rPr>
          <w:color w:val="000000"/>
        </w:rPr>
        <w:t xml:space="preserve">公开时间：2026年10月 </w:t>
      </w:r>
      <w:r>
        <w:rPr>
          <w:rFonts w:hint="eastAsia"/>
          <w:color w:val="000000"/>
          <w:lang w:val="en-US" w:eastAsia="zh-CN"/>
        </w:rPr>
        <w:t>13</w:t>
      </w:r>
      <w:r>
        <w:rPr>
          <w:color w:val="000000"/>
        </w:rPr>
        <w:t>日</w:t>
      </w:r>
    </w:p>
    <w:p w14:paraId="1DE2FD9E">
      <w:pPr>
        <w:rPr>
          <w:color w:val="000000"/>
          <w:highlight w:val="none"/>
        </w:rPr>
      </w:pPr>
    </w:p>
    <w:p w14:paraId="1EFC63F0">
      <w:pPr>
        <w:pStyle w:val="9"/>
        <w:snapToGrid w:val="0"/>
        <w:spacing w:before="0" w:after="0" w:line="440" w:lineRule="exact"/>
        <w:jc w:val="left"/>
        <w:rPr>
          <w:rFonts w:cs="Times New Roman"/>
          <w:color w:val="000000"/>
          <w:sz w:val="24"/>
          <w:szCs w:val="24"/>
          <w:highlight w:val="none"/>
        </w:rPr>
      </w:pPr>
      <w:r>
        <w:rPr>
          <w:color w:val="000000"/>
          <w:sz w:val="24"/>
        </w:rPr>
        <w:t xml:space="preserve">第一部分 </w:t>
      </w:r>
      <w:r>
        <w:rPr>
          <w:color w:val="000000"/>
          <w:sz w:val="24"/>
          <w:lang w:eastAsia="zh-CN"/>
        </w:rPr>
        <w:t>单位</w:t>
      </w:r>
      <w:r>
        <w:rPr>
          <w:color w:val="000000"/>
          <w:sz w:val="24"/>
        </w:rPr>
        <w:t>概况</w:t>
      </w:r>
    </w:p>
    <w:p w14:paraId="0432CFD6">
      <w:pPr>
        <w:pStyle w:val="12"/>
        <w:snapToGrid w:val="0"/>
        <w:spacing w:line="440" w:lineRule="exact"/>
        <w:jc w:val="left"/>
        <w:rPr>
          <w:rFonts w:eastAsia="宋体"/>
          <w:color w:val="000000"/>
          <w:sz w:val="24"/>
          <w:highlight w:val="none"/>
          <w:lang w:eastAsia="zh-CN"/>
        </w:rPr>
      </w:pPr>
      <w:r>
        <w:rPr>
          <w:color w:val="000000"/>
          <w:sz w:val="24"/>
        </w:rPr>
        <w:t>一、</w:t>
      </w:r>
      <w:r>
        <w:rPr>
          <w:color w:val="000000"/>
          <w:sz w:val="24"/>
          <w:lang w:eastAsia="zh-CN"/>
        </w:rPr>
        <w:t>主要职责</w:t>
      </w:r>
    </w:p>
    <w:p w14:paraId="13CB1CD9">
      <w:pPr>
        <w:pStyle w:val="12"/>
        <w:snapToGrid w:val="0"/>
        <w:spacing w:line="440" w:lineRule="exact"/>
        <w:jc w:val="left"/>
        <w:rPr>
          <w:rFonts w:eastAsia="宋体"/>
          <w:color w:val="000000"/>
          <w:lang w:eastAsia="zh-CN"/>
        </w:rPr>
      </w:pPr>
      <w:r>
        <w:rPr>
          <w:color w:val="000000"/>
          <w:sz w:val="24"/>
          <w:lang w:eastAsia="zh-CN"/>
        </w:rPr>
        <w:t>二</w:t>
      </w:r>
      <w:r>
        <w:rPr>
          <w:color w:val="000000"/>
          <w:sz w:val="24"/>
        </w:rPr>
        <w:t>、</w:t>
      </w:r>
      <w:r>
        <w:rPr>
          <w:color w:val="000000"/>
          <w:sz w:val="24"/>
          <w:lang w:eastAsia="zh-CN"/>
        </w:rPr>
        <w:t>机构设置</w:t>
      </w:r>
    </w:p>
    <w:p w14:paraId="592CF779">
      <w:pPr>
        <w:pStyle w:val="9"/>
        <w:snapToGrid w:val="0"/>
        <w:spacing w:before="0" w:after="0" w:line="440" w:lineRule="exact"/>
        <w:jc w:val="left"/>
        <w:rPr>
          <w:color w:val="000000"/>
          <w:sz w:val="24"/>
          <w:szCs w:val="24"/>
          <w:highlight w:val="none"/>
        </w:rPr>
      </w:pPr>
      <w:r>
        <w:rPr>
          <w:color w:val="000000"/>
          <w:sz w:val="24"/>
        </w:rPr>
        <w:t>第二部分 2025年度单位决算情况说明</w:t>
      </w:r>
    </w:p>
    <w:p w14:paraId="3EC5D8BD">
      <w:pPr>
        <w:pStyle w:val="12"/>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27F08867">
      <w:pPr>
        <w:pStyle w:val="12"/>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4E02A767">
      <w:pPr>
        <w:pStyle w:val="12"/>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0F2E0064">
      <w:pPr>
        <w:pStyle w:val="12"/>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1C9691CA">
      <w:pPr>
        <w:pStyle w:val="12"/>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4F3F69C8">
      <w:pPr>
        <w:pStyle w:val="12"/>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4FD6AA0A">
      <w:pPr>
        <w:pStyle w:val="12"/>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499BABE3">
      <w:pPr>
        <w:pStyle w:val="12"/>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4D56D2F6">
      <w:pPr>
        <w:pStyle w:val="12"/>
        <w:snapToGrid w:val="0"/>
        <w:spacing w:line="440" w:lineRule="exact"/>
        <w:jc w:val="left"/>
        <w:rPr>
          <w:color w:val="000000"/>
          <w:sz w:val="24"/>
          <w:highlight w:val="none"/>
        </w:rPr>
      </w:pPr>
      <w:r>
        <w:rPr>
          <w:color w:val="000000"/>
          <w:sz w:val="24"/>
        </w:rPr>
        <w:t>九、国有资本经营预算支出决算情况说明</w:t>
      </w:r>
    </w:p>
    <w:p w14:paraId="1F7A091B">
      <w:pPr>
        <w:pStyle w:val="12"/>
        <w:snapToGrid w:val="0"/>
        <w:spacing w:line="440" w:lineRule="exact"/>
        <w:jc w:val="left"/>
        <w:rPr>
          <w:color w:val="000000"/>
          <w:sz w:val="24"/>
          <w:highlight w:val="none"/>
          <w:lang w:eastAsia="zh-CN"/>
        </w:rPr>
      </w:pPr>
      <w:r>
        <w:rPr>
          <w:color w:val="000000"/>
          <w:sz w:val="24"/>
        </w:rPr>
        <w:t>十、其他重要事项的情况说明</w:t>
      </w:r>
    </w:p>
    <w:p w14:paraId="37F5B00D">
      <w:pPr>
        <w:pStyle w:val="9"/>
        <w:snapToGrid w:val="0"/>
        <w:spacing w:before="0" w:after="0" w:line="440" w:lineRule="exact"/>
        <w:jc w:val="left"/>
        <w:rPr>
          <w:rFonts w:cs="Times New Roman"/>
          <w:color w:val="000000"/>
          <w:sz w:val="24"/>
          <w:szCs w:val="24"/>
          <w:highlight w:val="none"/>
        </w:rPr>
      </w:pPr>
      <w:r>
        <w:rPr>
          <w:color w:val="000000"/>
          <w:sz w:val="24"/>
        </w:rPr>
        <w:t>第三部分 名词解释</w:t>
      </w:r>
    </w:p>
    <w:p w14:paraId="4C59881F">
      <w:pPr>
        <w:pStyle w:val="9"/>
        <w:snapToGrid w:val="0"/>
        <w:spacing w:before="0" w:after="0" w:line="440" w:lineRule="exact"/>
        <w:jc w:val="left"/>
        <w:rPr>
          <w:rFonts w:cs="Times New Roman"/>
          <w:color w:val="000000"/>
          <w:sz w:val="24"/>
          <w:szCs w:val="24"/>
          <w:highlight w:val="none"/>
        </w:rPr>
      </w:pPr>
      <w:r>
        <w:rPr>
          <w:color w:val="000000"/>
          <w:sz w:val="24"/>
        </w:rPr>
        <w:t>第四部分 附件</w:t>
      </w:r>
    </w:p>
    <w:p w14:paraId="14F06D3D">
      <w:pPr>
        <w:pStyle w:val="9"/>
        <w:snapToGrid w:val="0"/>
        <w:spacing w:before="0" w:after="0" w:line="440" w:lineRule="exact"/>
        <w:jc w:val="left"/>
        <w:rPr>
          <w:rFonts w:cs="Times New Roman"/>
          <w:color w:val="000000"/>
          <w:sz w:val="24"/>
          <w:szCs w:val="24"/>
          <w:highlight w:val="none"/>
        </w:rPr>
      </w:pPr>
      <w:r>
        <w:rPr>
          <w:color w:val="000000"/>
          <w:sz w:val="24"/>
        </w:rPr>
        <w:t>第五部分 附表</w:t>
      </w:r>
    </w:p>
    <w:p w14:paraId="3AFF9643">
      <w:pPr>
        <w:pStyle w:val="12"/>
        <w:snapToGrid w:val="0"/>
        <w:spacing w:line="440" w:lineRule="exact"/>
        <w:jc w:val="left"/>
        <w:rPr>
          <w:color w:val="000000"/>
          <w:sz w:val="24"/>
          <w:highlight w:val="none"/>
        </w:rPr>
      </w:pPr>
      <w:r>
        <w:rPr>
          <w:color w:val="000000"/>
          <w:sz w:val="24"/>
        </w:rPr>
        <w:t>一、收入支出决算总表</w:t>
      </w:r>
    </w:p>
    <w:p w14:paraId="68B84BFD">
      <w:pPr>
        <w:pStyle w:val="12"/>
        <w:snapToGrid w:val="0"/>
        <w:spacing w:line="440" w:lineRule="exact"/>
        <w:jc w:val="left"/>
        <w:rPr>
          <w:color w:val="000000"/>
          <w:sz w:val="24"/>
          <w:highlight w:val="none"/>
        </w:rPr>
      </w:pPr>
      <w:r>
        <w:rPr>
          <w:color w:val="000000"/>
          <w:sz w:val="24"/>
        </w:rPr>
        <w:t>二、收入决算表</w:t>
      </w:r>
    </w:p>
    <w:p w14:paraId="0ED7E31D">
      <w:pPr>
        <w:pStyle w:val="12"/>
        <w:snapToGrid w:val="0"/>
        <w:spacing w:line="440" w:lineRule="exact"/>
        <w:jc w:val="left"/>
        <w:rPr>
          <w:color w:val="000000"/>
          <w:sz w:val="24"/>
          <w:highlight w:val="none"/>
        </w:rPr>
      </w:pPr>
      <w:r>
        <w:rPr>
          <w:color w:val="000000"/>
          <w:sz w:val="24"/>
        </w:rPr>
        <w:t>三、支出决算表</w:t>
      </w:r>
    </w:p>
    <w:p w14:paraId="43FE6C84">
      <w:pPr>
        <w:pStyle w:val="12"/>
        <w:snapToGrid w:val="0"/>
        <w:spacing w:line="440" w:lineRule="exact"/>
        <w:jc w:val="left"/>
        <w:rPr>
          <w:color w:val="000000"/>
          <w:sz w:val="24"/>
          <w:highlight w:val="none"/>
        </w:rPr>
      </w:pPr>
      <w:r>
        <w:rPr>
          <w:color w:val="000000"/>
          <w:sz w:val="24"/>
        </w:rPr>
        <w:t>四、财政拨款收入支出决算总表</w:t>
      </w:r>
    </w:p>
    <w:p w14:paraId="0D4AACD1">
      <w:pPr>
        <w:pStyle w:val="12"/>
        <w:snapToGrid w:val="0"/>
        <w:spacing w:line="440" w:lineRule="exact"/>
        <w:jc w:val="left"/>
        <w:rPr>
          <w:color w:val="000000"/>
          <w:sz w:val="24"/>
          <w:highlight w:val="none"/>
        </w:rPr>
      </w:pPr>
      <w:r>
        <w:rPr>
          <w:color w:val="000000"/>
          <w:sz w:val="24"/>
        </w:rPr>
        <w:t>五、财政拨款支出决算明细表</w:t>
      </w:r>
    </w:p>
    <w:p w14:paraId="23973417">
      <w:pPr>
        <w:pStyle w:val="12"/>
        <w:snapToGrid w:val="0"/>
        <w:spacing w:line="440" w:lineRule="exact"/>
        <w:jc w:val="left"/>
        <w:rPr>
          <w:color w:val="000000"/>
          <w:sz w:val="24"/>
          <w:highlight w:val="none"/>
        </w:rPr>
      </w:pPr>
      <w:r>
        <w:rPr>
          <w:color w:val="000000"/>
          <w:sz w:val="24"/>
        </w:rPr>
        <w:t>六、一般公共预算财政拨款支出决算表</w:t>
      </w:r>
    </w:p>
    <w:p w14:paraId="250A3DF4">
      <w:pPr>
        <w:pStyle w:val="12"/>
        <w:snapToGrid w:val="0"/>
        <w:spacing w:line="440" w:lineRule="exact"/>
        <w:jc w:val="left"/>
        <w:rPr>
          <w:color w:val="000000"/>
          <w:sz w:val="24"/>
          <w:highlight w:val="none"/>
        </w:rPr>
      </w:pPr>
      <w:r>
        <w:rPr>
          <w:color w:val="000000"/>
          <w:sz w:val="24"/>
        </w:rPr>
        <w:t>七、一般公共预算财政拨款支出决算明细表</w:t>
      </w:r>
    </w:p>
    <w:p w14:paraId="04164CDD">
      <w:pPr>
        <w:pStyle w:val="12"/>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567A598B">
      <w:pPr>
        <w:pStyle w:val="12"/>
        <w:snapToGrid w:val="0"/>
        <w:spacing w:line="440" w:lineRule="exact"/>
        <w:jc w:val="left"/>
        <w:rPr>
          <w:color w:val="000000"/>
          <w:sz w:val="24"/>
          <w:highlight w:val="none"/>
        </w:rPr>
      </w:pPr>
      <w:r>
        <w:rPr>
          <w:color w:val="000000"/>
          <w:sz w:val="24"/>
        </w:rPr>
        <w:t>九、一般公共预算财政拨款项目支出决算表</w:t>
      </w:r>
    </w:p>
    <w:p w14:paraId="01630784">
      <w:pPr>
        <w:pStyle w:val="12"/>
        <w:snapToGrid w:val="0"/>
        <w:spacing w:line="440" w:lineRule="exact"/>
        <w:jc w:val="left"/>
        <w:rPr>
          <w:color w:val="000000"/>
          <w:sz w:val="24"/>
          <w:highlight w:val="none"/>
        </w:rPr>
      </w:pPr>
      <w:r>
        <w:rPr>
          <w:color w:val="000000"/>
          <w:sz w:val="24"/>
        </w:rPr>
        <w:t>十、政府性基金预算财政拨款收入支出决算表</w:t>
      </w:r>
    </w:p>
    <w:p w14:paraId="053F6353">
      <w:pPr>
        <w:pStyle w:val="12"/>
        <w:snapToGrid w:val="0"/>
        <w:spacing w:line="440" w:lineRule="exact"/>
        <w:jc w:val="left"/>
        <w:rPr>
          <w:color w:val="000000"/>
          <w:sz w:val="24"/>
          <w:highlight w:val="none"/>
        </w:rPr>
      </w:pPr>
      <w:r>
        <w:rPr>
          <w:color w:val="000000"/>
          <w:sz w:val="24"/>
        </w:rPr>
        <w:t>十一、国有资本经营预算财政拨款收入支出决算表</w:t>
      </w:r>
    </w:p>
    <w:p w14:paraId="1C524740">
      <w:pPr>
        <w:pStyle w:val="12"/>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6D40EFA7">
      <w:pPr>
        <w:pStyle w:val="12"/>
        <w:snapToGrid w:val="0"/>
        <w:spacing w:line="440" w:lineRule="exact"/>
        <w:jc w:val="left"/>
        <w:rPr>
          <w:color w:val="000000"/>
          <w:sz w:val="24"/>
          <w:highlight w:val="none"/>
        </w:rPr>
      </w:pPr>
      <w:r>
        <w:rPr>
          <w:color w:val="000000"/>
          <w:sz w:val="24"/>
        </w:rPr>
        <w:t>十三、财政拨款“三公”经费支出决算表</w:t>
      </w:r>
    </w:p>
    <w:p w14:paraId="0C9F2020">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lang w:eastAsia="zh-CN"/>
        </w:rPr>
        <w:t>（</w:t>
      </w:r>
      <w:r>
        <w:rPr>
          <w:rFonts w:ascii="仿宋" w:hAnsi="仿宋" w:eastAsia="仿宋" w:cs="仿宋"/>
          <w:color w:val="000000"/>
          <w:sz w:val="24"/>
        </w:rPr>
        <w:t>注：请</w:t>
      </w:r>
      <w:r>
        <w:rPr>
          <w:rFonts w:ascii="仿宋" w:hAnsi="仿宋" w:eastAsia="仿宋" w:cs="仿宋"/>
          <w:color w:val="000000"/>
          <w:sz w:val="24"/>
          <w:lang w:eastAsia="zh-CN"/>
        </w:rPr>
        <w:t>单位</w:t>
      </w:r>
      <w:r>
        <w:rPr>
          <w:rFonts w:ascii="仿宋" w:hAnsi="仿宋" w:eastAsia="仿宋" w:cs="仿宋"/>
          <w:color w:val="000000"/>
          <w:sz w:val="24"/>
        </w:rPr>
        <w:t>根据实际注明页码</w:t>
      </w:r>
      <w:r>
        <w:rPr>
          <w:rFonts w:ascii="仿宋" w:hAnsi="仿宋" w:eastAsia="仿宋" w:cs="仿宋"/>
          <w:color w:val="000000"/>
          <w:sz w:val="24"/>
          <w:lang w:eastAsia="zh-CN"/>
        </w:rPr>
        <w:t>）</w:t>
      </w:r>
      <w:r>
        <w:br w:type="page"/>
      </w:r>
    </w:p>
    <w:p w14:paraId="68BD0B36">
      <w:pPr>
        <w:widowControl/>
        <w:spacing w:line="440" w:lineRule="exact"/>
        <w:jc w:val="left"/>
        <w:rPr>
          <w:rFonts w:ascii="仿宋" w:hAnsi="仿宋" w:eastAsia="仿宋" w:cs="仿宋"/>
          <w:b/>
          <w:bCs/>
          <w:color w:val="000000"/>
          <w:kern w:val="2"/>
          <w:sz w:val="24"/>
          <w:highlight w:val="none"/>
        </w:rPr>
      </w:pPr>
    </w:p>
    <w:p w14:paraId="5D90B80E">
      <w:pPr>
        <w:pStyle w:val="3"/>
        <w:jc w:val="center"/>
        <w:rPr>
          <w:rStyle w:val="17"/>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17"/>
          <w:rFonts w:ascii="黑体" w:hAnsi="黑体" w:eastAsia="黑体" w:cs="黑体"/>
          <w:b w:val="0"/>
          <w:bCs w:val="0"/>
          <w:color w:val="000000"/>
        </w:rPr>
        <w:t>概况</w:t>
      </w:r>
    </w:p>
    <w:p w14:paraId="189F632E">
      <w:pPr>
        <w:widowControl/>
        <w:jc w:val="left"/>
        <w:rPr>
          <w:rStyle w:val="17"/>
          <w:rFonts w:ascii="黑体" w:hAnsi="黑体" w:eastAsia="黑体" w:cs="黑体"/>
          <w:b/>
          <w:bCs w:val="0"/>
          <w:color w:val="000000"/>
          <w:sz w:val="32"/>
          <w:szCs w:val="32"/>
          <w:highlight w:val="none"/>
        </w:rPr>
      </w:pPr>
    </w:p>
    <w:p w14:paraId="6D8D77B7">
      <w:pPr>
        <w:pStyle w:val="4"/>
        <w:numPr>
          <w:ilvl w:val="0"/>
          <w:numId w:val="2"/>
        </w:numPr>
        <w:rPr>
          <w:rStyle w:val="18"/>
          <w:rFonts w:ascii="黑体" w:hAnsi="黑体" w:eastAsia="黑体" w:cs="黑体"/>
          <w:b w:val="0"/>
          <w:bCs w:val="0"/>
          <w:color w:val="000000"/>
          <w:highlight w:val="none"/>
          <w:lang w:eastAsia="zh-CN"/>
        </w:rPr>
      </w:pPr>
      <w:r>
        <w:rPr>
          <w:rStyle w:val="18"/>
          <w:rFonts w:ascii="黑体" w:hAnsi="黑体" w:eastAsia="黑体" w:cs="黑体"/>
          <w:b w:val="0"/>
          <w:bCs w:val="0"/>
          <w:color w:val="000000"/>
          <w:lang w:eastAsia="zh-CN"/>
        </w:rPr>
        <w:t>主要职责</w:t>
      </w:r>
    </w:p>
    <w:p w14:paraId="2E79369F">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（一）加强党的领导。</w:t>
      </w:r>
    </w:p>
    <w:p w14:paraId="36268CE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7DD6001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2.履行</w:t>
      </w:r>
      <w:r>
        <w:rPr>
          <w:rFonts w:hint="eastAsia" w:ascii="仿宋" w:hAnsi="仿宋" w:eastAsia="仿宋" w:cs="仿宋"/>
          <w:color w:val="000000"/>
          <w:kern w:val="0"/>
          <w:sz w:val="30"/>
          <w:szCs w:val="30"/>
          <w:lang w:eastAsia="zh-CN"/>
        </w:rPr>
        <w:t>党要管党、全面从严治党</w:t>
      </w:r>
      <w:r>
        <w:rPr>
          <w:rFonts w:ascii="仿宋" w:hAnsi="仿宋" w:eastAsia="仿宋" w:cs="仿宋"/>
          <w:color w:val="000000"/>
          <w:kern w:val="0"/>
          <w:sz w:val="30"/>
          <w:szCs w:val="30"/>
          <w:lang w:eastAsia="zh-CN"/>
        </w:rPr>
        <w:t>主体责任</w:t>
      </w:r>
      <w:r>
        <w:rPr>
          <w:rFonts w:ascii="仿宋" w:hAnsi="仿宋" w:eastAsia="仿宋" w:cs="仿宋"/>
          <w:color w:val="000000"/>
          <w:kern w:val="0"/>
          <w:sz w:val="30"/>
          <w:szCs w:val="30"/>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2042B785">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3.讨论和决定辖区内</w:t>
      </w:r>
      <w:r>
        <w:rPr>
          <w:rFonts w:hint="eastAsia" w:ascii="仿宋" w:hAnsi="仿宋" w:eastAsia="仿宋" w:cs="仿宋"/>
          <w:color w:val="000000"/>
          <w:kern w:val="0"/>
          <w:sz w:val="30"/>
          <w:szCs w:val="30"/>
          <w:lang w:eastAsia="zh-CN"/>
        </w:rPr>
        <w:t>经济建设、政治建设、文化建设、社会建设、生态文明建设</w:t>
      </w:r>
      <w:r>
        <w:rPr>
          <w:rFonts w:ascii="仿宋" w:hAnsi="仿宋" w:eastAsia="仿宋" w:cs="仿宋"/>
          <w:color w:val="000000"/>
          <w:kern w:val="0"/>
          <w:sz w:val="30"/>
          <w:szCs w:val="30"/>
        </w:rPr>
        <w:t>、</w:t>
      </w:r>
      <w:r>
        <w:rPr>
          <w:rFonts w:hint="eastAsia" w:ascii="仿宋" w:hAnsi="仿宋" w:eastAsia="仿宋" w:cs="仿宋"/>
          <w:color w:val="000000"/>
          <w:kern w:val="0"/>
          <w:sz w:val="30"/>
          <w:szCs w:val="30"/>
          <w:lang w:eastAsia="zh-CN"/>
        </w:rPr>
        <w:t>法治建设</w:t>
      </w:r>
      <w:r>
        <w:rPr>
          <w:rFonts w:ascii="仿宋" w:hAnsi="仿宋" w:eastAsia="仿宋" w:cs="仿宋"/>
          <w:color w:val="000000"/>
          <w:kern w:val="0"/>
          <w:sz w:val="30"/>
          <w:szCs w:val="30"/>
        </w:rPr>
        <w:t>和党的建设以及乡村振兴中的重大问题。其他应当由党委讨论和决定的重大问题。</w:t>
      </w:r>
    </w:p>
    <w:p w14:paraId="197BF44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4.贯彻党管干部原则，加强干部队伍建设，完善干部培养选拔机制，加强干部教育管理监督。贯彻党管人才原则，加强人才队伍建设。加强对本</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工会、共青团、妇联等群团工作的领导。</w:t>
      </w:r>
    </w:p>
    <w:p w14:paraId="5F9283F2">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5.指导农村党建，落实基层党建工作责任制，严格抓好基层党组织建设各项制度，统筹抓好</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机关、村、驻辖区单位、行、</w:t>
      </w:r>
    </w:p>
    <w:p w14:paraId="24B07569">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“两新”组织等党建工作，推进全面从严治党，落实农村基层建设工作要求。</w:t>
      </w:r>
    </w:p>
    <w:p w14:paraId="1D66C2C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hAnsi="仿宋" w:eastAsia="仿宋" w:cs="仿宋"/>
          <w:color w:val="000000"/>
          <w:kern w:val="0"/>
          <w:sz w:val="30"/>
          <w:szCs w:val="30"/>
          <w:lang w:eastAsia="zh-CN"/>
        </w:rPr>
        <w:t>党的政治领导力、思想引领力、群众组织力、社会号召力</w:t>
      </w:r>
      <w:r>
        <w:rPr>
          <w:rFonts w:ascii="仿宋" w:hAnsi="仿宋" w:eastAsia="仿宋" w:cs="仿宋"/>
          <w:color w:val="000000"/>
          <w:kern w:val="0"/>
          <w:sz w:val="30"/>
          <w:szCs w:val="30"/>
        </w:rPr>
        <w:t>。</w:t>
      </w:r>
    </w:p>
    <w:p w14:paraId="30A9681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（二）统筹经济发展。</w:t>
      </w:r>
    </w:p>
    <w:p w14:paraId="5A14428B">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1.负责辖区经济发展工作，执行辖区内的经济和社会</w:t>
      </w:r>
      <w:r>
        <w:rPr>
          <w:rFonts w:ascii="仿宋" w:hAnsi="仿宋" w:eastAsia="仿宋" w:cs="仿宋"/>
          <w:color w:val="000000"/>
          <w:kern w:val="0"/>
          <w:sz w:val="30"/>
          <w:szCs w:val="30"/>
          <w:lang w:eastAsia="zh-CN"/>
        </w:rPr>
        <w:t>发展计划</w:t>
      </w:r>
      <w:r>
        <w:rPr>
          <w:rFonts w:ascii="仿宋" w:hAnsi="仿宋" w:eastAsia="仿宋" w:cs="仿宋"/>
          <w:color w:val="000000"/>
          <w:kern w:val="0"/>
          <w:sz w:val="30"/>
          <w:szCs w:val="30"/>
        </w:rPr>
        <w:t>、预算。参与区域内土地利用、产业发展等规划编制，对区内重大基础设施建设、重大公共服务资源布局、重大政策提出意见建议。落实辖区内发展规划、专项规划、区域规划、国土空间规划和“四好农村路”建设等。</w:t>
      </w:r>
    </w:p>
    <w:p w14:paraId="643E28C6">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2.</w:t>
      </w:r>
      <w:r>
        <w:rPr>
          <w:rFonts w:hint="eastAsia" w:ascii="仿宋" w:hAnsi="仿宋" w:eastAsia="仿宋" w:cs="仿宋"/>
          <w:color w:val="000000"/>
          <w:kern w:val="0"/>
          <w:sz w:val="30"/>
          <w:szCs w:val="30"/>
          <w:lang w:eastAsia="zh-CN"/>
        </w:rPr>
        <w:t>巩固拓展脱贫攻坚成果</w:t>
      </w:r>
      <w:r>
        <w:rPr>
          <w:rFonts w:ascii="仿宋" w:hAnsi="仿宋" w:eastAsia="仿宋" w:cs="仿宋"/>
          <w:color w:val="000000"/>
          <w:kern w:val="0"/>
          <w:sz w:val="30"/>
          <w:szCs w:val="30"/>
        </w:rPr>
        <w:t>，贯彻落实中央、省、州、县关于实施乡村振兴战略的决策部署，提升农业发展质量，加强农村人居环境整治，推进宜居乡村建设，增强乡村振兴内生动力。</w:t>
      </w:r>
    </w:p>
    <w:p w14:paraId="7A45977D">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3.指导农村经济发展，推动产业结构调整。保护各种经济组织的合法权益，营造良好的营商环境。</w:t>
      </w:r>
    </w:p>
    <w:p w14:paraId="3571AA05">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4.落实财政保障和财政管理有关政策，统筹管理本级财务及国有资产，协助做好税收征管工作，指导、监管村级财务和资产管理工作等。</w:t>
      </w:r>
    </w:p>
    <w:p w14:paraId="293E4940">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5.</w:t>
      </w:r>
      <w:r>
        <w:rPr>
          <w:rFonts w:hint="eastAsia" w:ascii="仿宋" w:hAnsi="仿宋" w:eastAsia="仿宋" w:cs="仿宋"/>
          <w:color w:val="000000"/>
          <w:kern w:val="0"/>
          <w:sz w:val="30"/>
          <w:szCs w:val="30"/>
          <w:lang w:eastAsia="zh-CN"/>
        </w:rPr>
        <w:t>负责乡村</w:t>
      </w:r>
      <w:r>
        <w:rPr>
          <w:rFonts w:ascii="仿宋" w:hAnsi="仿宋" w:eastAsia="仿宋" w:cs="仿宋"/>
          <w:color w:val="000000"/>
          <w:kern w:val="0"/>
          <w:sz w:val="30"/>
          <w:szCs w:val="30"/>
        </w:rPr>
        <w:t>规范建设管理，统筹农村基础设施建设等工作。负责辖区内自然资源保护、生态环境保护、城</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管理等工作。</w:t>
      </w:r>
    </w:p>
    <w:p w14:paraId="17AAF059">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（三）加强民生改善。</w:t>
      </w:r>
    </w:p>
    <w:p w14:paraId="0640EB2A">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1.加强</w:t>
      </w:r>
      <w:r>
        <w:rPr>
          <w:rFonts w:ascii="仿宋" w:hAnsi="仿宋" w:eastAsia="仿宋" w:cs="仿宋"/>
          <w:color w:val="000000"/>
          <w:kern w:val="0"/>
          <w:sz w:val="30"/>
          <w:szCs w:val="30"/>
          <w:lang w:eastAsia="zh-CN"/>
        </w:rPr>
        <w:t>乡村</w:t>
      </w:r>
      <w:r>
        <w:rPr>
          <w:rFonts w:ascii="仿宋" w:hAnsi="仿宋" w:eastAsia="仿宋" w:cs="仿宋"/>
          <w:color w:val="000000"/>
          <w:kern w:val="0"/>
          <w:sz w:val="30"/>
          <w:szCs w:val="30"/>
        </w:rPr>
        <w:t>综合便民服务平台标准化建设，做</w:t>
      </w:r>
      <w:r>
        <w:rPr>
          <w:rFonts w:ascii="仿宋" w:hAnsi="仿宋" w:eastAsia="仿宋" w:cs="仿宋"/>
          <w:color w:val="000000"/>
          <w:kern w:val="0"/>
          <w:sz w:val="30"/>
          <w:szCs w:val="30"/>
          <w:lang w:eastAsia="zh-CN"/>
        </w:rPr>
        <w:t>好农</w:t>
      </w:r>
      <w:r>
        <w:rPr>
          <w:rFonts w:ascii="仿宋" w:hAnsi="仿宋" w:eastAsia="仿宋" w:cs="仿宋"/>
          <w:color w:val="000000"/>
          <w:kern w:val="0"/>
          <w:sz w:val="30"/>
          <w:szCs w:val="30"/>
        </w:rPr>
        <w:t>村服务配套设施和综合服务平台建设，提升便民服务质量。</w:t>
      </w:r>
    </w:p>
    <w:p w14:paraId="4A10D76E">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2.负责教育体育、劳动就业、社会保障、卫生健康、计划生育、医疗保障、低保救助、助老助残、殡葬管理、文化旅游</w:t>
      </w:r>
      <w:r>
        <w:rPr>
          <w:rFonts w:ascii="仿宋" w:hAnsi="仿宋" w:eastAsia="仿宋" w:cs="仿宋"/>
          <w:color w:val="000000"/>
          <w:kern w:val="0"/>
          <w:sz w:val="30"/>
          <w:szCs w:val="30"/>
          <w:lang w:eastAsia="zh-CN"/>
        </w:rPr>
        <w:t>、民</w:t>
      </w:r>
      <w:r>
        <w:rPr>
          <w:rFonts w:ascii="仿宋" w:hAnsi="仿宋" w:eastAsia="仿宋" w:cs="仿宋"/>
          <w:color w:val="000000"/>
          <w:kern w:val="0"/>
          <w:sz w:val="30"/>
          <w:szCs w:val="30"/>
        </w:rPr>
        <w:t>族宗教、移民搬迁、农技推广、农民工、妇女和未成年人保护公共服务工作，承担组织领导、推进实施、综合协调等职责。（四）维护社会稳定。</w:t>
      </w:r>
    </w:p>
    <w:p w14:paraId="64222EF6">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1.负责辖区公共安全及安全生产监管、应急管理工作。构建公共安全防控体系，建立应对突发紧急事件的处理预案，做好安全生产、防汛、消防、森林（草原）防灭火、减灾救灾、</w:t>
      </w:r>
      <w:r>
        <w:rPr>
          <w:rFonts w:ascii="仿宋" w:hAnsi="仿宋" w:eastAsia="仿宋" w:cs="仿宋"/>
          <w:color w:val="000000"/>
          <w:kern w:val="0"/>
          <w:sz w:val="30"/>
          <w:szCs w:val="30"/>
          <w:lang w:eastAsia="zh-CN"/>
        </w:rPr>
        <w:t>防控</w:t>
      </w:r>
      <w:r>
        <w:rPr>
          <w:rFonts w:ascii="仿宋" w:hAnsi="仿宋" w:eastAsia="仿宋" w:cs="仿宋"/>
          <w:color w:val="000000"/>
          <w:kern w:val="0"/>
          <w:sz w:val="30"/>
          <w:szCs w:val="30"/>
        </w:rPr>
        <w:t>、</w:t>
      </w:r>
    </w:p>
    <w:p w14:paraId="339CA38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气象灾害防御、食品药品安全、地质灾害防治等应急管理</w:t>
      </w:r>
      <w:r>
        <w:rPr>
          <w:rFonts w:ascii="仿宋" w:hAnsi="仿宋" w:eastAsia="仿宋" w:cs="仿宋"/>
          <w:color w:val="000000"/>
          <w:kern w:val="0"/>
          <w:sz w:val="30"/>
          <w:szCs w:val="30"/>
          <w:lang w:eastAsia="zh-CN"/>
        </w:rPr>
        <w:t>工作</w:t>
      </w:r>
      <w:r>
        <w:rPr>
          <w:rFonts w:ascii="仿宋" w:hAnsi="仿宋" w:eastAsia="仿宋" w:cs="仿宋"/>
          <w:color w:val="000000"/>
          <w:kern w:val="0"/>
          <w:sz w:val="30"/>
          <w:szCs w:val="30"/>
        </w:rPr>
        <w:t>，</w:t>
      </w:r>
    </w:p>
    <w:p w14:paraId="2F6527A5">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加强监督检查、隐患排查，落实安全生产责任制。负责辖区内</w:t>
      </w:r>
    </w:p>
    <w:p w14:paraId="7D78599E">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态环境保护和自然资源管理等工作。</w:t>
      </w:r>
    </w:p>
    <w:p w14:paraId="5129A5BB">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2.承担辖区社会治安综合治理工作，加强</w:t>
      </w:r>
      <w:r>
        <w:rPr>
          <w:rFonts w:hint="eastAsia" w:ascii="仿宋" w:hAnsi="仿宋" w:eastAsia="仿宋" w:cs="仿宋"/>
          <w:color w:val="000000"/>
          <w:kern w:val="0"/>
          <w:sz w:val="30"/>
          <w:szCs w:val="30"/>
          <w:lang w:eastAsia="zh-CN"/>
        </w:rPr>
        <w:t>法治建设</w:t>
      </w:r>
      <w:r>
        <w:rPr>
          <w:rFonts w:ascii="仿宋" w:hAnsi="仿宋" w:eastAsia="仿宋" w:cs="仿宋"/>
          <w:color w:val="000000"/>
          <w:kern w:val="0"/>
          <w:sz w:val="30"/>
          <w:szCs w:val="30"/>
        </w:rPr>
        <w:t>和社会治安综合治理。贯彻落实社会矛盾纠纷排查调处机制，及时化解辖区社会矛盾纠纷，确保社会稳定。协助司法机关开展打击各类</w:t>
      </w:r>
    </w:p>
    <w:p w14:paraId="715BED73">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事犯罪和禁毒、扫黑除恶等活动，稳妥处理突发性、群体性</w:t>
      </w:r>
      <w:r>
        <w:rPr>
          <w:rFonts w:ascii="仿宋" w:hAnsi="仿宋" w:eastAsia="仿宋" w:cs="仿宋"/>
          <w:color w:val="000000"/>
          <w:kern w:val="0"/>
          <w:sz w:val="30"/>
          <w:szCs w:val="30"/>
          <w:lang w:eastAsia="zh-CN"/>
        </w:rPr>
        <w:t>事件</w:t>
      </w:r>
      <w:r>
        <w:rPr>
          <w:rFonts w:ascii="仿宋" w:hAnsi="仿宋" w:eastAsia="仿宋" w:cs="仿宋"/>
          <w:color w:val="000000"/>
          <w:kern w:val="0"/>
          <w:sz w:val="30"/>
          <w:szCs w:val="30"/>
        </w:rPr>
        <w:t>，确保人民群众生命财产安全。</w:t>
      </w:r>
    </w:p>
    <w:p w14:paraId="3787A12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3.指导村民自治，促进社会组织健康发展，完善村规民约，增强社会自治功能。</w:t>
      </w:r>
    </w:p>
    <w:p w14:paraId="6C1A96CB">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4.负责国防教育，承担辖区内国防动员、征兵、民兵预备役、双拥等工作。</w:t>
      </w:r>
    </w:p>
    <w:p w14:paraId="6F233231">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5.保障各少数民族的</w:t>
      </w:r>
      <w:r>
        <w:rPr>
          <w:rFonts w:ascii="仿宋" w:hAnsi="仿宋" w:eastAsia="仿宋" w:cs="仿宋"/>
          <w:color w:val="000000"/>
          <w:kern w:val="0"/>
          <w:sz w:val="30"/>
          <w:szCs w:val="30"/>
          <w:lang w:eastAsia="zh-CN"/>
        </w:rPr>
        <w:t>合法权利</w:t>
      </w:r>
      <w:r>
        <w:rPr>
          <w:rFonts w:ascii="仿宋" w:hAnsi="仿宋" w:eastAsia="仿宋" w:cs="仿宋"/>
          <w:color w:val="000000"/>
          <w:kern w:val="0"/>
          <w:sz w:val="30"/>
          <w:szCs w:val="30"/>
        </w:rPr>
        <w:t>和利益，尊重少数民族的风俗习惯，坚决与民族分裂活动和邪教组织斗争。</w:t>
      </w:r>
    </w:p>
    <w:p w14:paraId="143C4B12">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6.保障宪法和法律赋予妇女的男女平等、同工同酬和婚姻自由等各项权利。</w:t>
      </w:r>
    </w:p>
    <w:p w14:paraId="12F36D0F">
      <w:pPr>
        <w:keepNext w:val="0"/>
        <w:keepLines w:val="0"/>
        <w:widowControl/>
        <w:rPr>
          <w:color w:val="000000"/>
          <w:lang w:eastAsia="zh-CN"/>
        </w:rPr>
      </w:pPr>
      <w:r>
        <w:rPr>
          <w:rFonts w:ascii="仿宋" w:hAnsi="仿宋" w:eastAsia="仿宋" w:cs="仿宋"/>
          <w:color w:val="000000"/>
          <w:kern w:val="0"/>
          <w:sz w:val="30"/>
          <w:szCs w:val="30"/>
        </w:rPr>
        <w:t>（五）完成上级交办的其他事项。</w:t>
      </w:r>
    </w:p>
    <w:p w14:paraId="22D00B69">
      <w:pPr>
        <w:pStyle w:val="4"/>
        <w:numPr>
          <w:ilvl w:val="0"/>
          <w:numId w:val="0"/>
        </w:numPr>
        <w:ind w:left="0" w:firstLine="0"/>
        <w:rPr>
          <w:rFonts w:ascii="黑体" w:hAnsi="黑体" w:eastAsia="黑体" w:cs="黑体"/>
          <w:b w:val="0"/>
          <w:color w:val="000000"/>
          <w:highlight w:val="none"/>
          <w:lang w:val="en-US" w:eastAsia="zh-CN"/>
        </w:rPr>
      </w:pPr>
      <w:r>
        <w:rPr>
          <w:rFonts w:ascii="黑体" w:hAnsi="黑体" w:eastAsia="黑体" w:cs="黑体"/>
          <w:b w:val="0"/>
          <w:color w:val="000000"/>
          <w:lang w:val="en-US" w:eastAsia="zh-CN"/>
        </w:rPr>
        <w:t>二、机构设置</w:t>
      </w:r>
    </w:p>
    <w:p w14:paraId="1EA1F3C7">
      <w:pPr>
        <w:pStyle w:val="25"/>
        <w:keepNext w:val="0"/>
        <w:keepLines w:val="0"/>
        <w:widowControl w:val="0"/>
        <w:autoSpaceDE w:val="0"/>
        <w:spacing w:line="552" w:lineRule="exact"/>
        <w:ind w:left="0" w:right="0" w:firstLine="640"/>
        <w:jc w:val="left"/>
        <w:rPr>
          <w:rFonts w:ascii="仿宋" w:hAnsi="仿宋" w:eastAsia="仿宋" w:cs="仿宋"/>
          <w:color w:val="000000"/>
          <w:kern w:val="0"/>
          <w:sz w:val="32"/>
          <w:szCs w:val="32"/>
          <w:shd w:val="clear" w:fill="FFFFFF"/>
        </w:rPr>
      </w:pPr>
      <w:r>
        <w:rPr>
          <w:rFonts w:ascii="仿宋" w:hAnsi="仿宋" w:eastAsia="仿宋" w:cs="仿宋"/>
          <w:color w:val="000000"/>
          <w:kern w:val="0"/>
          <w:sz w:val="32"/>
          <w:szCs w:val="32"/>
          <w:shd w:val="clear" w:fill="FFFFFF"/>
        </w:rPr>
        <w:t>根据上述职责，松潘县</w:t>
      </w:r>
      <w:r>
        <w:rPr>
          <w:rFonts w:ascii="仿宋" w:hAnsi="仿宋" w:eastAsia="仿宋" w:cs="仿宋"/>
          <w:color w:val="000000"/>
          <w:kern w:val="0"/>
          <w:sz w:val="32"/>
          <w:szCs w:val="32"/>
          <w:shd w:val="clear" w:fill="FFFFFF"/>
          <w:lang w:eastAsia="zh-CN"/>
        </w:rPr>
        <w:t>白羊乡</w:t>
      </w:r>
      <w:r>
        <w:rPr>
          <w:rFonts w:ascii="仿宋" w:hAnsi="仿宋" w:eastAsia="仿宋" w:cs="仿宋"/>
          <w:color w:val="000000"/>
          <w:kern w:val="0"/>
          <w:sz w:val="32"/>
          <w:szCs w:val="32"/>
          <w:shd w:val="clear" w:fill="FFFFFF"/>
        </w:rPr>
        <w:t>设7个内设机构：</w:t>
      </w:r>
    </w:p>
    <w:p w14:paraId="4648EFEB">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（一）党政办公室，挂财政工作办公室牌子。负责</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机关日常事务和综合协调工作。负责综合文秘、档案管理、党政印章管理、信息、机要、保密、后勤保障等工作。组织办理人大代</w:t>
      </w:r>
      <w:r>
        <w:rPr>
          <w:rFonts w:ascii="仿宋" w:hAnsi="仿宋" w:eastAsia="仿宋" w:cs="仿宋"/>
          <w:color w:val="000000"/>
          <w:kern w:val="0"/>
          <w:sz w:val="30"/>
          <w:szCs w:val="30"/>
          <w:lang w:eastAsia="zh-CN"/>
        </w:rPr>
        <w:t>表提</w:t>
      </w:r>
      <w:r>
        <w:rPr>
          <w:rFonts w:ascii="仿宋" w:hAnsi="仿宋" w:eastAsia="仿宋" w:cs="仿宋"/>
          <w:color w:val="000000"/>
          <w:kern w:val="0"/>
          <w:sz w:val="30"/>
          <w:szCs w:val="30"/>
        </w:rPr>
        <w:t>案建议、政协委员提案和人大代表、政协委员的联络服务</w:t>
      </w:r>
      <w:r>
        <w:rPr>
          <w:rFonts w:ascii="仿宋" w:hAnsi="仿宋" w:eastAsia="仿宋" w:cs="仿宋"/>
          <w:color w:val="000000"/>
          <w:kern w:val="0"/>
          <w:sz w:val="30"/>
          <w:szCs w:val="30"/>
          <w:lang w:eastAsia="zh-CN"/>
        </w:rPr>
        <w:t>工作</w:t>
      </w:r>
      <w:r>
        <w:rPr>
          <w:rFonts w:ascii="仿宋" w:hAnsi="仿宋" w:eastAsia="仿宋" w:cs="仿宋"/>
          <w:color w:val="000000"/>
          <w:kern w:val="0"/>
          <w:sz w:val="30"/>
          <w:szCs w:val="30"/>
        </w:rPr>
        <w:t>。负责国有资产管理，指导村级财务管理，管理</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行政事业单</w:t>
      </w:r>
      <w:r>
        <w:rPr>
          <w:rFonts w:ascii="仿宋" w:hAnsi="仿宋" w:eastAsia="仿宋" w:cs="仿宋"/>
          <w:color w:val="000000"/>
          <w:kern w:val="0"/>
          <w:sz w:val="30"/>
          <w:szCs w:val="30"/>
          <w:lang w:eastAsia="zh-CN"/>
        </w:rPr>
        <w:t>位和</w:t>
      </w:r>
      <w:r>
        <w:rPr>
          <w:rFonts w:ascii="仿宋" w:hAnsi="仿宋" w:eastAsia="仿宋" w:cs="仿宋"/>
          <w:color w:val="000000"/>
          <w:kern w:val="0"/>
          <w:sz w:val="30"/>
          <w:szCs w:val="30"/>
        </w:rPr>
        <w:t>其他组织的各类财政资金等工作。完成领导交办的其他工作。</w:t>
      </w:r>
    </w:p>
    <w:p w14:paraId="22112733">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（二）党建工作办公室，挂群团工作办公室牌子。负责基层党组织建设、</w:t>
      </w:r>
      <w:r>
        <w:rPr>
          <w:rFonts w:hint="eastAsia" w:ascii="仿宋" w:hAnsi="仿宋" w:eastAsia="仿宋" w:cs="仿宋"/>
          <w:color w:val="000000"/>
          <w:kern w:val="0"/>
          <w:sz w:val="30"/>
          <w:szCs w:val="30"/>
          <w:lang w:eastAsia="zh-CN"/>
        </w:rPr>
        <w:t>流动党员党支部</w:t>
      </w:r>
      <w:r>
        <w:rPr>
          <w:rFonts w:ascii="仿宋" w:hAnsi="仿宋" w:eastAsia="仿宋" w:cs="仿宋"/>
          <w:color w:val="000000"/>
          <w:kern w:val="0"/>
          <w:sz w:val="30"/>
          <w:szCs w:val="30"/>
        </w:rPr>
        <w:t>建设、党风廉政建设、反腐败等工作。统筹辖区内党员和流动党员的发展、教育、管理和党费收缴工作，指导村党组织建设管理等工作。负责宣传思想、意识形态、精神文明建设和群众工作。负责本</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3D776F00">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（三）维护稳定办公室，挂群众工作办公室牌子。负责社会治安综合治理、维护稳定、群众信访等工作；组织开展人武、政法、统战、信访、稳定、民宗、群众、防邪和网格化管理</w:t>
      </w:r>
      <w:r>
        <w:rPr>
          <w:rFonts w:ascii="仿宋" w:hAnsi="仿宋" w:eastAsia="仿宋" w:cs="仿宋"/>
          <w:color w:val="000000"/>
          <w:kern w:val="0"/>
          <w:sz w:val="30"/>
          <w:szCs w:val="30"/>
          <w:lang w:eastAsia="zh-CN"/>
        </w:rPr>
        <w:t>等</w:t>
      </w:r>
      <w:r>
        <w:rPr>
          <w:rFonts w:ascii="仿宋" w:hAnsi="仿宋" w:eastAsia="仿宋" w:cs="仿宋"/>
          <w:color w:val="000000"/>
          <w:kern w:val="0"/>
          <w:sz w:val="30"/>
          <w:szCs w:val="30"/>
        </w:rPr>
        <w:t>工作。负责辖区内法治建设，配合开展调解和帮教管理，承担区内矛盾纠纷多元化解协调工作。协助司法机关开展打击违</w:t>
      </w:r>
      <w:r>
        <w:rPr>
          <w:rFonts w:ascii="仿宋" w:hAnsi="仿宋" w:eastAsia="仿宋" w:cs="仿宋"/>
          <w:color w:val="000000"/>
          <w:kern w:val="0"/>
          <w:sz w:val="30"/>
          <w:szCs w:val="30"/>
          <w:lang w:eastAsia="zh-CN"/>
        </w:rPr>
        <w:t>法犯</w:t>
      </w:r>
      <w:r>
        <w:rPr>
          <w:rFonts w:ascii="仿宋" w:hAnsi="仿宋" w:eastAsia="仿宋" w:cs="仿宋"/>
          <w:color w:val="000000"/>
          <w:kern w:val="0"/>
          <w:sz w:val="30"/>
          <w:szCs w:val="30"/>
        </w:rPr>
        <w:t>罪和禁毒、扫黑除恶活动。负责流动人口、外来僧道管理。</w:t>
      </w:r>
      <w:r>
        <w:rPr>
          <w:rFonts w:ascii="仿宋" w:hAnsi="仿宋" w:eastAsia="仿宋" w:cs="仿宋"/>
          <w:color w:val="000000"/>
          <w:kern w:val="0"/>
          <w:sz w:val="30"/>
          <w:szCs w:val="30"/>
          <w:lang w:eastAsia="zh-CN"/>
        </w:rPr>
        <w:t>负责</w:t>
      </w:r>
      <w:r>
        <w:rPr>
          <w:rFonts w:ascii="仿宋" w:hAnsi="仿宋" w:eastAsia="仿宋" w:cs="仿宋"/>
          <w:color w:val="000000"/>
          <w:kern w:val="0"/>
          <w:sz w:val="30"/>
          <w:szCs w:val="30"/>
        </w:rPr>
        <w:t>基层自治建设和民主法治建设，指导基层群众性自治组织规范化、制度化建设。组织开展法制、综治、平安建设等宣传教</w:t>
      </w:r>
      <w:r>
        <w:rPr>
          <w:rFonts w:ascii="仿宋" w:hAnsi="仿宋" w:eastAsia="仿宋" w:cs="仿宋"/>
          <w:color w:val="000000"/>
          <w:kern w:val="0"/>
          <w:sz w:val="30"/>
          <w:szCs w:val="30"/>
          <w:lang w:eastAsia="zh-CN"/>
        </w:rPr>
        <w:t>育活</w:t>
      </w:r>
      <w:r>
        <w:rPr>
          <w:rFonts w:ascii="仿宋" w:hAnsi="仿宋" w:eastAsia="仿宋" w:cs="仿宋"/>
          <w:color w:val="000000"/>
          <w:kern w:val="0"/>
          <w:sz w:val="30"/>
          <w:szCs w:val="30"/>
        </w:rPr>
        <w:t>动，负责基层综治干部和群防群治队伍的教育、培训和管理</w:t>
      </w:r>
      <w:r>
        <w:rPr>
          <w:rFonts w:ascii="仿宋" w:hAnsi="仿宋" w:eastAsia="仿宋" w:cs="仿宋"/>
          <w:color w:val="000000"/>
          <w:kern w:val="0"/>
          <w:sz w:val="30"/>
          <w:szCs w:val="30"/>
          <w:lang w:eastAsia="zh-CN"/>
        </w:rPr>
        <w:t>等工</w:t>
      </w:r>
      <w:r>
        <w:rPr>
          <w:rFonts w:ascii="仿宋" w:hAnsi="仿宋" w:eastAsia="仿宋" w:cs="仿宋"/>
          <w:color w:val="000000"/>
          <w:kern w:val="0"/>
          <w:sz w:val="30"/>
          <w:szCs w:val="30"/>
        </w:rPr>
        <w:t>作。负责国防动员和兵役服务工作。完成领导交办的其他</w:t>
      </w:r>
      <w:r>
        <w:rPr>
          <w:rFonts w:ascii="仿宋" w:hAnsi="仿宋" w:eastAsia="仿宋" w:cs="仿宋"/>
          <w:color w:val="000000"/>
          <w:kern w:val="0"/>
          <w:sz w:val="30"/>
          <w:szCs w:val="30"/>
          <w:lang w:eastAsia="zh-CN"/>
        </w:rPr>
        <w:t>工作</w:t>
      </w:r>
      <w:r>
        <w:rPr>
          <w:rFonts w:ascii="仿宋" w:hAnsi="仿宋" w:eastAsia="仿宋" w:cs="仿宋"/>
          <w:color w:val="000000"/>
          <w:kern w:val="0"/>
          <w:sz w:val="30"/>
          <w:szCs w:val="30"/>
        </w:rPr>
        <w:t>。</w:t>
      </w:r>
    </w:p>
    <w:p w14:paraId="43383FB0">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w:t>
      </w:r>
      <w:r>
        <w:rPr>
          <w:rFonts w:ascii="仿宋" w:hAnsi="仿宋" w:eastAsia="仿宋" w:cs="仿宋"/>
          <w:color w:val="000000"/>
          <w:kern w:val="0"/>
          <w:sz w:val="30"/>
          <w:szCs w:val="30"/>
          <w:lang w:eastAsia="zh-CN"/>
        </w:rPr>
        <w:t>振兴</w:t>
      </w:r>
      <w:r>
        <w:rPr>
          <w:rFonts w:ascii="仿宋" w:hAnsi="仿宋" w:eastAsia="仿宋" w:cs="仿宋"/>
          <w:color w:val="000000"/>
          <w:kern w:val="0"/>
          <w:sz w:val="30"/>
          <w:szCs w:val="30"/>
        </w:rPr>
        <w:t>、农村人居环境整治，推动宜居乡村建设。统筹、指导、监管辖内农业农村、林业、水利等工作。指导农民合作经济组织、</w:t>
      </w:r>
      <w:r>
        <w:rPr>
          <w:rFonts w:ascii="仿宋" w:hAnsi="仿宋" w:eastAsia="仿宋" w:cs="仿宋"/>
          <w:color w:val="000000"/>
          <w:kern w:val="0"/>
          <w:sz w:val="30"/>
          <w:szCs w:val="30"/>
          <w:lang w:eastAsia="zh-CN"/>
        </w:rPr>
        <w:t>村集</w:t>
      </w:r>
      <w:r>
        <w:rPr>
          <w:rFonts w:ascii="仿宋" w:hAnsi="仿宋" w:eastAsia="仿宋" w:cs="仿宋"/>
          <w:color w:val="000000"/>
          <w:kern w:val="0"/>
          <w:sz w:val="30"/>
          <w:szCs w:val="30"/>
        </w:rPr>
        <w:t>体经济组织建设和发展。负责</w:t>
      </w:r>
      <w:r>
        <w:rPr>
          <w:rFonts w:ascii="仿宋" w:hAnsi="仿宋" w:eastAsia="仿宋" w:cs="仿宋"/>
          <w:color w:val="000000"/>
          <w:kern w:val="0"/>
          <w:sz w:val="30"/>
          <w:szCs w:val="30"/>
          <w:lang w:eastAsia="zh-CN"/>
        </w:rPr>
        <w:t>村庄规划</w:t>
      </w:r>
      <w:r>
        <w:rPr>
          <w:rFonts w:ascii="仿宋" w:hAnsi="仿宋" w:eastAsia="仿宋" w:cs="仿宋"/>
          <w:color w:val="000000"/>
          <w:kern w:val="0"/>
          <w:sz w:val="30"/>
          <w:szCs w:val="30"/>
        </w:rPr>
        <w:t>建设管理，统筹农村基础设施建设等工作。完成领导交办的其他工作。</w:t>
      </w:r>
    </w:p>
    <w:p w14:paraId="154E51D7">
      <w:pPr>
        <w:keepNext w:val="0"/>
        <w:keepLines w:val="0"/>
        <w:widowControl/>
        <w:rPr>
          <w:rFonts w:ascii="仿宋" w:hAnsi="仿宋" w:eastAsia="仿宋" w:cs="仿宋"/>
          <w:color w:val="000000"/>
          <w:kern w:val="0"/>
          <w:sz w:val="30"/>
          <w:szCs w:val="30"/>
        </w:rPr>
      </w:pPr>
      <w:r>
        <w:rPr>
          <w:rFonts w:ascii="仿宋" w:hAnsi="仿宋" w:eastAsia="仿宋" w:cs="仿宋"/>
          <w:color w:val="000000"/>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33E3F0D5">
      <w:pPr>
        <w:pStyle w:val="27"/>
        <w:keepNext w:val="0"/>
        <w:keepLines w:val="0"/>
        <w:widowControl/>
        <w:spacing w:before="0" w:after="100"/>
        <w:jc w:val="left"/>
        <w:rPr>
          <w:rFonts w:ascii="仿宋" w:hAnsi="仿宋" w:eastAsia="仿宋" w:cs="仿宋"/>
          <w:color w:val="000000"/>
          <w:kern w:val="0"/>
          <w:sz w:val="30"/>
          <w:szCs w:val="30"/>
        </w:rPr>
      </w:pPr>
      <w:r>
        <w:rPr>
          <w:rFonts w:ascii="仿宋" w:hAnsi="仿宋" w:eastAsia="仿宋" w:cs="仿宋"/>
          <w:color w:val="000000"/>
          <w:kern w:val="0"/>
          <w:sz w:val="30"/>
          <w:szCs w:val="30"/>
        </w:rPr>
        <w:t>（六）</w:t>
      </w:r>
      <w:r>
        <w:rPr>
          <w:rFonts w:ascii="仿宋" w:hAnsi="仿宋" w:eastAsia="仿宋" w:cs="仿宋"/>
          <w:color w:val="000000"/>
          <w:kern w:val="0"/>
          <w:sz w:val="30"/>
          <w:szCs w:val="30"/>
          <w:lang w:eastAsia="zh-CN"/>
        </w:rPr>
        <w:t>乡村</w:t>
      </w:r>
      <w:r>
        <w:rPr>
          <w:rFonts w:ascii="仿宋" w:hAnsi="仿宋" w:eastAsia="仿宋" w:cs="仿宋"/>
          <w:color w:val="000000"/>
          <w:kern w:val="0"/>
          <w:sz w:val="30"/>
          <w:szCs w:val="30"/>
        </w:rPr>
        <w:t>规划建设管理办公室，挂生态环境办公室牌子。负责</w:t>
      </w:r>
      <w:r>
        <w:rPr>
          <w:rFonts w:ascii="仿宋" w:hAnsi="仿宋" w:eastAsia="仿宋" w:cs="仿宋"/>
          <w:color w:val="000000"/>
          <w:kern w:val="0"/>
          <w:sz w:val="30"/>
          <w:szCs w:val="30"/>
          <w:lang w:eastAsia="zh-CN"/>
        </w:rPr>
        <w:t>乡村</w:t>
      </w:r>
      <w:r>
        <w:rPr>
          <w:rFonts w:ascii="仿宋" w:hAnsi="仿宋" w:eastAsia="仿宋" w:cs="仿宋"/>
          <w:color w:val="000000"/>
          <w:kern w:val="0"/>
          <w:sz w:val="30"/>
          <w:szCs w:val="30"/>
        </w:rPr>
        <w:t>规划建设管理、生态环境保护工作。负责参与拟订</w:t>
      </w:r>
      <w:r>
        <w:rPr>
          <w:rFonts w:ascii="仿宋" w:hAnsi="仿宋" w:eastAsia="仿宋" w:cs="仿宋"/>
          <w:color w:val="000000"/>
          <w:kern w:val="0"/>
          <w:sz w:val="30"/>
          <w:szCs w:val="30"/>
          <w:lang w:eastAsia="zh-CN"/>
        </w:rPr>
        <w:t>乡村</w:t>
      </w:r>
      <w:r>
        <w:rPr>
          <w:rFonts w:ascii="仿宋" w:hAnsi="仿宋" w:eastAsia="仿宋" w:cs="仿宋"/>
          <w:color w:val="000000"/>
          <w:kern w:val="0"/>
          <w:sz w:val="30"/>
          <w:szCs w:val="30"/>
        </w:rPr>
        <w:t>经济发展规划并组织实施，对辖区内重大基础设施建设、重大</w:t>
      </w:r>
      <w:r>
        <w:rPr>
          <w:rFonts w:ascii="仿宋" w:hAnsi="仿宋" w:eastAsia="仿宋" w:cs="仿宋"/>
          <w:color w:val="000000"/>
          <w:kern w:val="0"/>
          <w:sz w:val="30"/>
          <w:szCs w:val="30"/>
          <w:lang w:eastAsia="zh-CN"/>
        </w:rPr>
        <w:t>公共服务</w:t>
      </w:r>
      <w:r>
        <w:rPr>
          <w:rFonts w:ascii="仿宋" w:hAnsi="仿宋" w:eastAsia="仿宋" w:cs="仿宋"/>
          <w:color w:val="000000"/>
          <w:kern w:val="0"/>
          <w:sz w:val="30"/>
          <w:szCs w:val="30"/>
        </w:rPr>
        <w:t>资源布局、重大决策提出意见及建议。负责辖区内自然</w:t>
      </w:r>
      <w:r>
        <w:rPr>
          <w:rFonts w:ascii="仿宋" w:hAnsi="仿宋" w:eastAsia="仿宋" w:cs="仿宋"/>
          <w:color w:val="000000"/>
          <w:kern w:val="0"/>
          <w:sz w:val="30"/>
          <w:szCs w:val="30"/>
          <w:lang w:eastAsia="zh-CN"/>
        </w:rPr>
        <w:t>资源</w:t>
      </w:r>
      <w:r>
        <w:rPr>
          <w:rFonts w:ascii="仿宋" w:hAnsi="仿宋" w:eastAsia="仿宋" w:cs="仿宋"/>
          <w:color w:val="000000"/>
          <w:kern w:val="0"/>
          <w:sz w:val="30"/>
          <w:szCs w:val="30"/>
        </w:rPr>
        <w:t>保护、生态环境保护、城</w:t>
      </w:r>
      <w:r>
        <w:rPr>
          <w:rFonts w:ascii="仿宋" w:hAnsi="仿宋" w:eastAsia="仿宋" w:cs="仿宋"/>
          <w:color w:val="000000"/>
          <w:kern w:val="0"/>
          <w:sz w:val="30"/>
          <w:szCs w:val="30"/>
          <w:lang w:eastAsia="zh-CN"/>
        </w:rPr>
        <w:t>乡</w:t>
      </w:r>
      <w:r>
        <w:rPr>
          <w:rFonts w:ascii="仿宋" w:hAnsi="仿宋" w:eastAsia="仿宋" w:cs="仿宋"/>
          <w:color w:val="000000"/>
          <w:kern w:val="0"/>
          <w:sz w:val="30"/>
          <w:szCs w:val="30"/>
        </w:rPr>
        <w:t>管理等工作。配合相关部门组织</w:t>
      </w:r>
      <w:r>
        <w:rPr>
          <w:rFonts w:ascii="仿宋" w:hAnsi="仿宋" w:eastAsia="仿宋" w:cs="仿宋"/>
          <w:color w:val="000000"/>
          <w:kern w:val="0"/>
          <w:sz w:val="30"/>
          <w:szCs w:val="30"/>
          <w:lang w:eastAsia="zh-CN"/>
        </w:rPr>
        <w:t>开展</w:t>
      </w:r>
      <w:r>
        <w:rPr>
          <w:rFonts w:ascii="仿宋" w:hAnsi="仿宋" w:eastAsia="仿宋" w:cs="仿宋"/>
          <w:color w:val="000000"/>
          <w:kern w:val="0"/>
          <w:sz w:val="30"/>
          <w:szCs w:val="30"/>
        </w:rPr>
        <w:t>工业、生活、生产、经营、农业等污染的监督检查和防控整</w:t>
      </w:r>
      <w:r>
        <w:rPr>
          <w:rFonts w:ascii="仿宋" w:hAnsi="仿宋" w:eastAsia="仿宋" w:cs="仿宋"/>
          <w:color w:val="000000"/>
          <w:kern w:val="0"/>
          <w:sz w:val="30"/>
          <w:szCs w:val="30"/>
          <w:lang w:eastAsia="zh-CN"/>
        </w:rPr>
        <w:t>治工</w:t>
      </w:r>
      <w:r>
        <w:rPr>
          <w:rFonts w:ascii="仿宋" w:hAnsi="仿宋" w:eastAsia="仿宋" w:cs="仿宋"/>
          <w:color w:val="000000"/>
          <w:kern w:val="0"/>
          <w:sz w:val="30"/>
          <w:szCs w:val="30"/>
        </w:rPr>
        <w:t>作，指导辖区内生态业</w:t>
      </w:r>
      <w:r>
        <w:rPr>
          <w:rFonts w:ascii="仿宋" w:hAnsi="仿宋" w:eastAsia="仿宋" w:cs="仿宋"/>
          <w:color w:val="000000"/>
          <w:kern w:val="0"/>
          <w:sz w:val="30"/>
          <w:szCs w:val="30"/>
          <w:lang w:eastAsia="zh-CN"/>
        </w:rPr>
        <w:t>、农</w:t>
      </w:r>
      <w:r>
        <w:rPr>
          <w:rFonts w:ascii="仿宋" w:hAnsi="仿宋" w:eastAsia="仿宋" w:cs="仿宋"/>
          <w:color w:val="000000"/>
          <w:kern w:val="0"/>
          <w:sz w:val="30"/>
          <w:szCs w:val="30"/>
        </w:rPr>
        <w:t>牧业建设。负责辖区内水资源</w:t>
      </w:r>
      <w:r>
        <w:rPr>
          <w:rFonts w:ascii="仿宋" w:hAnsi="仿宋" w:eastAsia="仿宋" w:cs="仿宋"/>
          <w:color w:val="000000"/>
          <w:kern w:val="0"/>
          <w:sz w:val="30"/>
          <w:szCs w:val="30"/>
          <w:lang w:eastAsia="zh-CN"/>
        </w:rPr>
        <w:t>保护</w:t>
      </w:r>
      <w:r>
        <w:rPr>
          <w:rFonts w:ascii="仿宋" w:hAnsi="仿宋" w:eastAsia="仿宋" w:cs="仿宋"/>
          <w:color w:val="000000"/>
          <w:kern w:val="0"/>
          <w:sz w:val="30"/>
          <w:szCs w:val="30"/>
        </w:rPr>
        <w:t>、水环境治理、节约用水、环境卫生管理等工作。参与重大</w:t>
      </w:r>
      <w:r>
        <w:rPr>
          <w:rFonts w:ascii="仿宋" w:hAnsi="仿宋" w:eastAsia="仿宋" w:cs="仿宋"/>
          <w:color w:val="000000"/>
          <w:kern w:val="0"/>
          <w:sz w:val="30"/>
          <w:szCs w:val="30"/>
          <w:lang w:eastAsia="zh-CN"/>
        </w:rPr>
        <w:t>生态</w:t>
      </w:r>
      <w:r>
        <w:rPr>
          <w:rFonts w:ascii="仿宋" w:hAnsi="仿宋" w:eastAsia="仿宋" w:cs="仿宋"/>
          <w:color w:val="000000"/>
          <w:kern w:val="0"/>
          <w:sz w:val="30"/>
          <w:szCs w:val="30"/>
        </w:rPr>
        <w:t>事件的调查处理。完成领导交办的其他工作。</w:t>
      </w:r>
    </w:p>
    <w:p w14:paraId="7DA55602">
      <w:pPr>
        <w:pStyle w:val="27"/>
        <w:keepNext w:val="0"/>
        <w:keepLines w:val="0"/>
        <w:widowControl/>
        <w:spacing w:before="0" w:after="100"/>
        <w:jc w:val="left"/>
        <w:rPr>
          <w:rFonts w:ascii="仿宋" w:hAnsi="仿宋" w:eastAsia="仿宋" w:cs="仿宋"/>
          <w:color w:val="000000"/>
          <w:kern w:val="0"/>
          <w:sz w:val="30"/>
          <w:szCs w:val="30"/>
        </w:rPr>
      </w:pPr>
      <w:r>
        <w:rPr>
          <w:rFonts w:ascii="仿宋" w:hAnsi="仿宋" w:eastAsia="仿宋" w:cs="仿宋"/>
          <w:color w:val="000000"/>
          <w:kern w:val="0"/>
          <w:sz w:val="30"/>
          <w:szCs w:val="30"/>
        </w:rPr>
        <w:t>（七）综合执法办公室。根据有关法律规定和省政府授权，按照县政府职权调整事项目录，统一组织和指挥协调开展综合行政执法工作。负责整合落实行政执法信息平台和行政执法监</w:t>
      </w:r>
      <w:r>
        <w:rPr>
          <w:rFonts w:ascii="仿宋" w:hAnsi="仿宋" w:eastAsia="仿宋" w:cs="仿宋"/>
          <w:color w:val="000000"/>
          <w:kern w:val="0"/>
          <w:sz w:val="30"/>
          <w:szCs w:val="30"/>
          <w:lang w:eastAsia="zh-CN"/>
        </w:rPr>
        <w:t>督网</w:t>
      </w:r>
      <w:r>
        <w:rPr>
          <w:rFonts w:ascii="仿宋" w:hAnsi="仿宋" w:eastAsia="仿宋" w:cs="仿宋"/>
          <w:color w:val="000000"/>
          <w:kern w:val="0"/>
          <w:sz w:val="30"/>
          <w:szCs w:val="30"/>
        </w:rPr>
        <w:t>络平台建设。完成领导交办的其他工作。</w:t>
      </w:r>
      <w:r>
        <w:br w:type="page"/>
      </w:r>
    </w:p>
    <w:p w14:paraId="10546BDD">
      <w:pPr>
        <w:widowControl/>
        <w:jc w:val="left"/>
        <w:rPr>
          <w:rFonts w:ascii="仿宋" w:hAnsi="仿宋" w:eastAsia="仿宋" w:cs="仿宋"/>
          <w:color w:val="000000"/>
          <w:kern w:val="0"/>
          <w:sz w:val="32"/>
          <w:szCs w:val="32"/>
          <w:highlight w:val="none"/>
        </w:rPr>
      </w:pPr>
    </w:p>
    <w:p w14:paraId="464057E8">
      <w:pPr>
        <w:pStyle w:val="3"/>
        <w:ind w:right="440" w:firstLine="0"/>
        <w:jc w:val="center"/>
        <w:rPr>
          <w:rStyle w:val="17"/>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12AD02E2">
      <w:pPr>
        <w:rPr>
          <w:rStyle w:val="17"/>
          <w:rFonts w:ascii="黑体" w:hAnsi="黑体" w:eastAsia="黑体" w:cs="黑体"/>
          <w:b w:val="0"/>
          <w:bCs/>
          <w:color w:val="000000"/>
          <w:highlight w:val="none"/>
        </w:rPr>
      </w:pPr>
    </w:p>
    <w:p w14:paraId="636BF594">
      <w:pPr>
        <w:pStyle w:val="26"/>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18"/>
          <w:rFonts w:ascii="黑体" w:hAnsi="黑体" w:eastAsia="黑体" w:cs="黑体"/>
          <w:b w:val="0"/>
          <w:color w:val="000000"/>
        </w:rPr>
        <w:t>入支出决算总体情况说明</w:t>
      </w:r>
    </w:p>
    <w:p w14:paraId="2E7FD587">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2025年度收入总计为294.82万元。与2024年度相比，收入增加72.36万元，增长32.53%。主要变动原因是人员增加、调整工资标准、增加福利费。</w:t>
      </w:r>
    </w:p>
    <w:p w14:paraId="4C70406E">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2025年支出总计为294.82万元。与2024年度相比，支出总计增加72.36万元，增长32.53%。主要变动原因是人员增加、调整工资标准、增加福利费。</w:t>
      </w:r>
    </w:p>
    <w:p w14:paraId="555D6485">
      <w:pPr>
        <w:pStyle w:val="8"/>
        <w:ind w:left="0" w:firstLine="0"/>
        <w:rPr>
          <w:rFonts w:ascii="仿宋" w:hAnsi="仿宋" w:eastAsia="仿宋" w:cs="仿宋"/>
          <w:color w:val="000000"/>
          <w:sz w:val="32"/>
          <w:szCs w:val="32"/>
          <w:highlight w:val="none"/>
          <w:lang w:eastAsia="zh-CN"/>
        </w:rPr>
      </w:pPr>
    </w:p>
    <w:p w14:paraId="5F6A7F76">
      <w:pPr>
        <w:pStyle w:val="8"/>
        <w:rPr>
          <w:rFonts w:ascii="仿宋" w:hAnsi="仿宋" w:eastAsia="仿宋" w:cs="仿宋"/>
          <w:color w:val="000000"/>
          <w:sz w:val="32"/>
          <w:szCs w:val="32"/>
          <w:highlight w:val="none"/>
          <w:lang w:eastAsia="zh-CN"/>
        </w:rPr>
      </w:pPr>
      <w:r>
        <w:drawing>
          <wp:inline distT="0" distB="0" distL="0" distR="0">
            <wp:extent cx="4838700" cy="2762250"/>
            <wp:effectExtent l="0" t="0" r="0" b="0"/>
            <wp:docPr id="1"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
                    <pic:cNvPicPr>
                      <a:picLocks noChangeAspect="1" noChangeArrowheads="1"/>
                    </pic:cNvPicPr>
                  </pic:nvPicPr>
                  <pic:blipFill>
                    <a:blip r:embed="rId4"/>
                    <a:srcRect l="-7" t="-13" r="-7" b="-13"/>
                    <a:stretch>
                      <a:fillRect/>
                    </a:stretch>
                  </pic:blipFill>
                  <pic:spPr>
                    <a:xfrm>
                      <a:off x="0" y="0"/>
                      <a:ext cx="4838700" cy="2762250"/>
                    </a:xfrm>
                    <a:prstGeom prst="rect">
                      <a:avLst/>
                    </a:prstGeom>
                  </pic:spPr>
                </pic:pic>
              </a:graphicData>
            </a:graphic>
          </wp:inline>
        </w:drawing>
      </w:r>
    </w:p>
    <w:p w14:paraId="13B31634">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（图1：收、支决算总计变动情况图）（柱状图）</w:t>
      </w:r>
    </w:p>
    <w:p w14:paraId="61ECB894">
      <w:pPr>
        <w:spacing w:line="600" w:lineRule="exact"/>
        <w:ind w:firstLine="640"/>
        <w:jc w:val="left"/>
        <w:rPr>
          <w:rFonts w:ascii="仿宋" w:hAnsi="仿宋" w:eastAsia="仿宋" w:cs="仿宋"/>
          <w:color w:val="000000"/>
          <w:sz w:val="32"/>
          <w:szCs w:val="32"/>
          <w:highlight w:val="none"/>
        </w:rPr>
      </w:pPr>
    </w:p>
    <w:p w14:paraId="32003757">
      <w:pPr>
        <w:pStyle w:val="26"/>
        <w:numPr>
          <w:ilvl w:val="0"/>
          <w:numId w:val="0"/>
        </w:numPr>
        <w:spacing w:line="600" w:lineRule="exact"/>
        <w:ind w:left="640" w:firstLine="0"/>
        <w:outlineLvl w:val="1"/>
        <w:rPr>
          <w:rFonts w:ascii="黑体" w:hAnsi="黑体" w:eastAsia="黑体" w:cs="黑体"/>
          <w:color w:val="000000"/>
          <w:sz w:val="32"/>
          <w:szCs w:val="32"/>
          <w:highlight w:val="none"/>
          <w:lang w:eastAsia="zh-CN"/>
        </w:rPr>
      </w:pPr>
    </w:p>
    <w:p w14:paraId="3FA42E69">
      <w:pPr>
        <w:pStyle w:val="26"/>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18"/>
          <w:rFonts w:ascii="黑体" w:hAnsi="黑体" w:eastAsia="黑体" w:cs="黑体"/>
          <w:b w:val="0"/>
          <w:color w:val="000000"/>
        </w:rPr>
        <w:t>入决算情况说明</w:t>
      </w:r>
    </w:p>
    <w:p w14:paraId="25593604">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294.82万元，其中：一般公共预算财政拨款收入294.82万元，占100%；政府性基金预算财政拨款收入0万元，占0%；国有资本经营预算财政拨款收入0万元，占0%；上级补助收入0万元，占0%；事业收入0万元，占0%；经营收入0万元，占0%；附属单位上缴收入0万元，占0%；其他收入0万元，占0%。</w:t>
      </w:r>
    </w:p>
    <w:p w14:paraId="195CCA27">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52A41681">
      <w:pPr>
        <w:pStyle w:val="8"/>
        <w:rPr>
          <w:rFonts w:ascii="仿宋" w:hAnsi="仿宋" w:eastAsia="仿宋" w:cs="仿宋"/>
          <w:color w:val="000000"/>
          <w:sz w:val="32"/>
          <w:szCs w:val="32"/>
          <w:highlight w:val="none"/>
        </w:rPr>
      </w:pPr>
      <w:r>
        <w:drawing>
          <wp:inline distT="0" distB="0" distL="0" distR="0">
            <wp:extent cx="4838700" cy="2762250"/>
            <wp:effectExtent l="0" t="0" r="0" b="0"/>
            <wp:docPr id="2" name="图表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3"/>
                    <pic:cNvPicPr>
                      <a:picLocks noChangeAspect="1" noChangeArrowheads="1"/>
                    </pic:cNvPicPr>
                  </pic:nvPicPr>
                  <pic:blipFill>
                    <a:blip r:embed="rId5"/>
                    <a:srcRect l="-7" t="-13" r="-7" b="-13"/>
                    <a:stretch>
                      <a:fillRect/>
                    </a:stretch>
                  </pic:blipFill>
                  <pic:spPr>
                    <a:xfrm>
                      <a:off x="0" y="0"/>
                      <a:ext cx="4838700" cy="2762250"/>
                    </a:xfrm>
                    <a:prstGeom prst="rect">
                      <a:avLst/>
                    </a:prstGeom>
                  </pic:spPr>
                </pic:pic>
              </a:graphicData>
            </a:graphic>
          </wp:inline>
        </w:drawing>
      </w:r>
    </w:p>
    <w:p w14:paraId="5AB68C00">
      <w:pPr>
        <w:spacing w:line="600" w:lineRule="exact"/>
        <w:ind w:firstLine="640"/>
        <w:rPr>
          <w:rFonts w:ascii="仿宋" w:hAnsi="仿宋" w:eastAsia="仿宋"/>
          <w:color w:val="000000"/>
          <w:sz w:val="32"/>
          <w:szCs w:val="32"/>
          <w:highlight w:val="none"/>
        </w:rPr>
      </w:pPr>
      <w:r>
        <w:rPr>
          <w:rFonts w:ascii="仿宋" w:hAnsi="仿宋" w:eastAsia="仿宋" w:cs="仿宋"/>
          <w:color w:val="000000"/>
          <w:sz w:val="32"/>
          <w:szCs w:val="32"/>
        </w:rPr>
        <w:t>（图2：收入决算结构图）（饼状图）</w:t>
      </w:r>
    </w:p>
    <w:p w14:paraId="5B3BFBB3">
      <w:pPr>
        <w:pStyle w:val="26"/>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18"/>
          <w:rFonts w:ascii="黑体" w:hAnsi="黑体" w:eastAsia="黑体" w:cs="黑体"/>
          <w:b w:val="0"/>
          <w:color w:val="000000"/>
        </w:rPr>
        <w:t>出决算情况说明</w:t>
      </w:r>
    </w:p>
    <w:p w14:paraId="03945E70">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2025年度本年支出合计294.82万元，其中：基本支出294.82万元，占100%；项目支出0万元，占0%；上缴上级支出0万元，占0%；经营支出0万元，占0%；对附属单位补助支出0万元，占0%。</w:t>
      </w:r>
    </w:p>
    <w:p w14:paraId="2DC947B5">
      <w:pPr>
        <w:numPr>
          <w:ilvl w:val="0"/>
          <w:numId w:val="0"/>
        </w:numPr>
        <w:spacing w:line="600" w:lineRule="exact"/>
        <w:outlineLvl w:val="1"/>
        <w:rPr>
          <w:rStyle w:val="18"/>
          <w:rFonts w:ascii="黑体" w:hAnsi="黑体" w:eastAsia="黑体" w:cs="黑体"/>
          <w:b w:val="0"/>
          <w:color w:val="000000"/>
          <w:highlight w:val="none"/>
        </w:rPr>
      </w:pPr>
      <w:r>
        <w:rPr>
          <w:rFonts w:ascii="黑体" w:hAnsi="黑体" w:eastAsia="黑体" w:cs="黑体"/>
          <w:color w:val="000000"/>
          <w:sz w:val="32"/>
          <w:szCs w:val="32"/>
        </w:rPr>
        <w:t>四、财</w:t>
      </w:r>
      <w:r>
        <w:rPr>
          <w:rStyle w:val="18"/>
          <w:rFonts w:ascii="黑体" w:hAnsi="黑体" w:eastAsia="黑体" w:cs="黑体"/>
          <w:b w:val="0"/>
          <w:color w:val="000000"/>
        </w:rPr>
        <w:t>政拨款收入支出决算总体情况说明</w:t>
      </w:r>
    </w:p>
    <w:p w14:paraId="480E56E4">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2025年度财政拨款收入总计为294.82万元。与2024年度相比，财政拨款收入增加72.36万元，增长32.53%。主要变动原因是人员增加、调整工资标准、增加福利费。</w:t>
      </w:r>
    </w:p>
    <w:p w14:paraId="564AC956">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2025年财政拨款支出总计为294.82万元。与2024年度相比，财政拨款支出总计增加72.36万元，增长32.53%。主要变动原因是人员增加、调整工资标准、增加福利费。</w:t>
      </w:r>
    </w:p>
    <w:p w14:paraId="08A407DD">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18"/>
          <w:rFonts w:ascii="黑体" w:hAnsi="黑体" w:eastAsia="黑体" w:cs="黑体"/>
          <w:b w:val="0"/>
          <w:color w:val="000000"/>
        </w:rPr>
        <w:t>般公共预算财政拨款支出决算情况说明</w:t>
      </w:r>
    </w:p>
    <w:p w14:paraId="102D14C4">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758ACE96">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2025年度一般公共预算财政拨款支出294.82万元，占本年支出合计的100%。与2024年度相比，一般公共预算财政拨款支出增加72.36万元，增长32.53%。主要变动原因是人员增加、调整工资标准、增加福利费。</w:t>
      </w:r>
    </w:p>
    <w:p w14:paraId="6F3C5C6B">
      <w:pPr>
        <w:bidi w:val="0"/>
        <w:jc w:val="left"/>
        <w:rPr>
          <w:rFonts w:ascii="仿宋" w:hAnsi="仿宋" w:eastAsia="仿宋" w:cs="仿宋"/>
          <w:color w:val="000000"/>
          <w:sz w:val="32"/>
          <w:szCs w:val="32"/>
          <w:highlight w:val="none"/>
          <w:lang w:eastAsia="zh-CN"/>
        </w:rPr>
      </w:pPr>
    </w:p>
    <w:p w14:paraId="299019B6">
      <w:pPr>
        <w:pStyle w:val="8"/>
        <w:rPr>
          <w:rFonts w:ascii="仿宋" w:hAnsi="仿宋" w:eastAsia="仿宋" w:cs="仿宋"/>
          <w:color w:val="000000"/>
          <w:sz w:val="32"/>
          <w:szCs w:val="32"/>
          <w:highlight w:val="none"/>
        </w:rPr>
      </w:pPr>
      <w:r>
        <w:drawing>
          <wp:inline distT="0" distB="0" distL="0" distR="0">
            <wp:extent cx="4838700" cy="2762250"/>
            <wp:effectExtent l="0" t="0" r="0" b="0"/>
            <wp:docPr id="3" name="图表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13"/>
                    <pic:cNvPicPr>
                      <a:picLocks noChangeAspect="1" noChangeArrowheads="1"/>
                    </pic:cNvPicPr>
                  </pic:nvPicPr>
                  <pic:blipFill>
                    <a:blip r:embed="rId6"/>
                    <a:srcRect l="-7" t="-13" r="-7" b="-13"/>
                    <a:stretch>
                      <a:fillRect/>
                    </a:stretch>
                  </pic:blipFill>
                  <pic:spPr>
                    <a:xfrm>
                      <a:off x="0" y="0"/>
                      <a:ext cx="4838700" cy="2762250"/>
                    </a:xfrm>
                    <a:prstGeom prst="rect">
                      <a:avLst/>
                    </a:prstGeom>
                  </pic:spPr>
                </pic:pic>
              </a:graphicData>
            </a:graphic>
          </wp:inline>
        </w:drawing>
      </w:r>
    </w:p>
    <w:p w14:paraId="360C0DF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5FE499B1">
      <w:pPr>
        <w:spacing w:line="600" w:lineRule="exact"/>
        <w:ind w:firstLine="640"/>
        <w:rPr>
          <w:rFonts w:ascii="仿宋" w:hAnsi="仿宋" w:eastAsia="仿宋" w:cs="仿宋"/>
          <w:color w:val="000000"/>
          <w:sz w:val="32"/>
          <w:szCs w:val="32"/>
          <w:highlight w:val="none"/>
        </w:rPr>
      </w:pPr>
    </w:p>
    <w:p w14:paraId="204C2054">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13EC5F5E">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eastAsia="zh-CN"/>
        </w:rPr>
        <w:t>2025年度一般公共预算财政拨款支出294.82万元，主要用于以下方面：一般公共服务支出217.53万元，占73.78%；教育支出0万元，占0%；科学技术支出0万元，占0%；文化旅游体育与传媒支出0万元，占0%；社会保障和就业支出39.05万元，占13.25%；卫生健康支出15.47万元，占5.25%；住房保障支出22.78万元，占7.73%。</w:t>
      </w:r>
    </w:p>
    <w:p w14:paraId="72014563">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3FDC7AFC">
      <w:pPr>
        <w:spacing w:line="600" w:lineRule="exact"/>
        <w:ind w:firstLine="640"/>
        <w:rPr>
          <w:rFonts w:ascii="仿宋" w:hAnsi="仿宋" w:eastAsia="仿宋" w:cs="仿宋"/>
          <w:b/>
          <w:color w:val="000000"/>
          <w:sz w:val="32"/>
          <w:szCs w:val="32"/>
          <w:highlight w:val="none"/>
        </w:rPr>
      </w:pPr>
    </w:p>
    <w:p w14:paraId="0AF08213">
      <w:pPr>
        <w:pStyle w:val="8"/>
        <w:rPr>
          <w:rFonts w:ascii="仿宋" w:hAnsi="仿宋" w:eastAsia="仿宋" w:cs="仿宋"/>
          <w:color w:val="000000"/>
          <w:sz w:val="32"/>
          <w:szCs w:val="32"/>
          <w:highlight w:val="none"/>
        </w:rPr>
      </w:pPr>
    </w:p>
    <w:p w14:paraId="1254315D">
      <w:pPr>
        <w:pStyle w:val="8"/>
        <w:ind w:left="0" w:firstLine="0"/>
        <w:rPr>
          <w:rFonts w:ascii="仿宋" w:hAnsi="仿宋" w:eastAsia="仿宋" w:cs="仿宋"/>
          <w:color w:val="000000"/>
          <w:sz w:val="32"/>
          <w:szCs w:val="32"/>
          <w:highlight w:val="none"/>
        </w:rPr>
      </w:pPr>
    </w:p>
    <w:p w14:paraId="3A036643">
      <w:pPr>
        <w:pStyle w:val="8"/>
        <w:rPr>
          <w:rFonts w:ascii="仿宋" w:hAnsi="仿宋" w:eastAsia="仿宋" w:cs="仿宋"/>
          <w:color w:val="000000"/>
          <w:sz w:val="32"/>
          <w:szCs w:val="32"/>
          <w:highlight w:val="none"/>
        </w:rPr>
      </w:pPr>
    </w:p>
    <w:p w14:paraId="5A45683A">
      <w:pPr>
        <w:pStyle w:val="8"/>
        <w:rPr>
          <w:rFonts w:ascii="仿宋" w:hAnsi="仿宋" w:eastAsia="仿宋" w:cs="仿宋"/>
          <w:color w:val="000000"/>
          <w:sz w:val="32"/>
          <w:szCs w:val="32"/>
          <w:highlight w:val="none"/>
        </w:rPr>
      </w:pPr>
      <w:r>
        <w:drawing>
          <wp:inline distT="0" distB="0" distL="0" distR="0">
            <wp:extent cx="4838700" cy="2762250"/>
            <wp:effectExtent l="0" t="0" r="0" b="0"/>
            <wp:docPr id="4" name="图表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14"/>
                    <pic:cNvPicPr>
                      <a:picLocks noChangeAspect="1" noChangeArrowheads="1"/>
                    </pic:cNvPicPr>
                  </pic:nvPicPr>
                  <pic:blipFill>
                    <a:blip r:embed="rId7"/>
                    <a:srcRect l="-7" t="-13" r="-7" b="-13"/>
                    <a:stretch>
                      <a:fillRect/>
                    </a:stretch>
                  </pic:blipFill>
                  <pic:spPr>
                    <a:xfrm>
                      <a:off x="0" y="0"/>
                      <a:ext cx="4838700" cy="2762250"/>
                    </a:xfrm>
                    <a:prstGeom prst="rect">
                      <a:avLst/>
                    </a:prstGeom>
                  </pic:spPr>
                </pic:pic>
              </a:graphicData>
            </a:graphic>
          </wp:inline>
        </w:drawing>
      </w:r>
    </w:p>
    <w:p w14:paraId="6FDAF67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7A21236C">
      <w:pPr>
        <w:spacing w:line="600" w:lineRule="exact"/>
        <w:ind w:firstLine="640"/>
        <w:rPr>
          <w:rFonts w:ascii="仿宋" w:hAnsi="仿宋" w:eastAsia="仿宋" w:cs="仿宋"/>
          <w:color w:val="000000"/>
          <w:sz w:val="32"/>
          <w:szCs w:val="32"/>
          <w:highlight w:val="none"/>
        </w:rPr>
      </w:pPr>
    </w:p>
    <w:p w14:paraId="20F5600A">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36EDF886">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2025年度一般公共预算支出决算数为294.82万元，完成预算100%。其中：</w:t>
      </w:r>
    </w:p>
    <w:p w14:paraId="54A29199">
      <w:pPr>
        <w:numPr>
          <w:ilvl w:val="0"/>
          <w:numId w:val="0"/>
        </w:numPr>
        <w:spacing w:line="600" w:lineRule="exact"/>
        <w:ind w:left="0" w:firstLine="643"/>
        <w:rPr>
          <w:rFonts w:ascii="仿宋" w:hAnsi="仿宋" w:eastAsia="仿宋" w:cs="仿宋"/>
          <w:b/>
          <w:color w:val="000000"/>
          <w:sz w:val="32"/>
          <w:szCs w:val="32"/>
          <w:highlight w:val="none"/>
        </w:rPr>
      </w:pPr>
      <w:r>
        <w:rPr>
          <w:rStyle w:val="19"/>
          <w:rFonts w:ascii="仿宋" w:hAnsi="仿宋" w:eastAsia="仿宋" w:cs="仿宋"/>
          <w:bCs/>
          <w:color w:val="000000"/>
          <w:sz w:val="32"/>
          <w:szCs w:val="32"/>
        </w:rPr>
        <w:t>1.一般公共服务（类）201（款）03（项）：2010350－事业运行支出217.53万元，支出决算为217.53万元，完成预算100%，决算数等于预算数的主要原因是年初严格编制单位预算，严格预算执行。</w:t>
      </w:r>
    </w:p>
    <w:p w14:paraId="50438FE7">
      <w:pPr>
        <w:numPr>
          <w:ilvl w:val="0"/>
          <w:numId w:val="0"/>
        </w:numPr>
        <w:spacing w:line="600" w:lineRule="exact"/>
        <w:ind w:left="0" w:firstLine="643"/>
        <w:rPr>
          <w:rStyle w:val="19"/>
          <w:rFonts w:ascii="仿宋" w:hAnsi="仿宋" w:eastAsia="仿宋" w:cs="仿宋"/>
          <w:b w:val="0"/>
          <w:bCs/>
          <w:color w:val="000000"/>
          <w:sz w:val="32"/>
          <w:szCs w:val="32"/>
          <w:highlight w:val="none"/>
        </w:rPr>
      </w:pPr>
      <w:r>
        <w:rPr>
          <w:rStyle w:val="19"/>
          <w:rFonts w:ascii="仿宋" w:hAnsi="仿宋" w:eastAsia="仿宋" w:cs="仿宋"/>
          <w:bCs/>
          <w:color w:val="000000"/>
          <w:sz w:val="32"/>
          <w:szCs w:val="32"/>
          <w:lang w:val="en-US" w:eastAsia="zh-CN"/>
        </w:rPr>
        <w:t>2.社会保障和就业（类）208（款）05、06（项）：</w:t>
      </w:r>
    </w:p>
    <w:p w14:paraId="3289C608">
      <w:pPr>
        <w:numPr>
          <w:ilvl w:val="0"/>
          <w:numId w:val="0"/>
        </w:numPr>
        <w:spacing w:line="600" w:lineRule="exact"/>
        <w:ind w:left="0" w:firstLine="32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rPr>
        <w:t>2080505－机关事业单位基本养老保险缴费支出26.26万元，支出决算为26.26万元，完成预算100%，决算数等于预算数的主要原因是年初严格编制单位预算，严格预算执行。</w:t>
      </w:r>
    </w:p>
    <w:p w14:paraId="7CD01C86">
      <w:pPr>
        <w:numPr>
          <w:ilvl w:val="0"/>
          <w:numId w:val="0"/>
        </w:numPr>
        <w:spacing w:line="600" w:lineRule="exact"/>
        <w:ind w:left="0" w:firstLine="64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lang w:val="en-US" w:eastAsia="zh-CN"/>
        </w:rPr>
        <w:t>2080506－机关事业单位职业年金缴费支出12.79万元，支出决算为12.79万元，完成预算100%，决算数等于预算数的主要原因是年初严格编制单位预算，严格预算执行。</w:t>
      </w:r>
    </w:p>
    <w:p w14:paraId="461FC6D1">
      <w:pPr>
        <w:spacing w:line="600" w:lineRule="exact"/>
        <w:ind w:firstLine="643"/>
        <w:rPr>
          <w:rFonts w:ascii="仿宋" w:hAnsi="仿宋" w:eastAsia="仿宋" w:cs="仿宋"/>
          <w:b/>
          <w:color w:val="000000"/>
          <w:sz w:val="32"/>
          <w:szCs w:val="32"/>
          <w:highlight w:val="none"/>
        </w:rPr>
      </w:pPr>
      <w:r>
        <w:rPr>
          <w:rStyle w:val="19"/>
          <w:rFonts w:ascii="仿宋" w:hAnsi="仿宋" w:eastAsia="仿宋" w:cs="仿宋"/>
          <w:bCs/>
          <w:color w:val="000000"/>
          <w:sz w:val="32"/>
          <w:szCs w:val="32"/>
          <w:lang w:val="en-US" w:eastAsia="zh-CN"/>
        </w:rPr>
        <w:t>3.卫生健康（类）210（款）11（项）：2101102－事业单位医疗13.12万元，2101199－其他行政事业单位医疗支出2.35万元，支出决算为15.47万元，完成预算100%，决算数等于预算数的主要原因是年初严格编制单位预算，严格预算执行。</w:t>
      </w:r>
    </w:p>
    <w:p w14:paraId="37AF1B4E">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val="en-US" w:eastAsia="zh-CN"/>
        </w:rPr>
        <w:t>4.住房保障支出（类）221（款）02（项）：2210201－住房公积金支出决算为22.78万元，完成预算100%，决算数等于预算数的主要原因是年初严格编制单位预算，严格预算执行。</w:t>
      </w:r>
    </w:p>
    <w:p w14:paraId="1C43F459">
      <w:pPr>
        <w:spacing w:line="600" w:lineRule="exact"/>
        <w:ind w:firstLine="640"/>
        <w:rPr>
          <w:rFonts w:ascii="仿宋" w:hAnsi="仿宋" w:eastAsia="仿宋" w:cs="仿宋"/>
          <w:b/>
          <w:color w:val="000000"/>
          <w:sz w:val="32"/>
          <w:szCs w:val="32"/>
          <w:highlight w:val="none"/>
          <w:lang w:val="en-US" w:eastAsia="zh-CN"/>
        </w:rPr>
      </w:pPr>
    </w:p>
    <w:p w14:paraId="62455630">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59A0B796">
      <w:pPr>
        <w:spacing w:line="600" w:lineRule="exact"/>
        <w:ind w:firstLine="640"/>
        <w:rPr>
          <w:rFonts w:ascii="仿宋" w:hAnsi="仿宋" w:eastAsia="仿宋" w:cs="仿宋"/>
          <w:b/>
          <w:color w:val="000000"/>
          <w:sz w:val="32"/>
          <w:szCs w:val="32"/>
          <w:highlight w:val="none"/>
        </w:rPr>
      </w:pPr>
    </w:p>
    <w:p w14:paraId="7622A000">
      <w:pPr>
        <w:numPr>
          <w:ilvl w:val="0"/>
          <w:numId w:val="0"/>
        </w:numPr>
        <w:tabs>
          <w:tab w:val="right" w:pos="8306"/>
        </w:tabs>
        <w:spacing w:line="600" w:lineRule="exact"/>
        <w:ind w:firstLine="640"/>
        <w:outlineLvl w:val="1"/>
        <w:rPr>
          <w:rStyle w:val="18"/>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18"/>
          <w:rFonts w:ascii="黑体" w:hAnsi="黑体" w:eastAsia="黑体" w:cs="黑体"/>
          <w:b w:val="0"/>
          <w:color w:val="000000"/>
        </w:rPr>
        <w:t>般公共预算财政拨款基本支出决算情况说明</w:t>
      </w:r>
      <w:r>
        <w:rPr>
          <w:rStyle w:val="18"/>
          <w:rFonts w:ascii="黑体" w:hAnsi="黑体" w:eastAsia="黑体" w:cs="黑体"/>
          <w:b w:val="0"/>
          <w:color w:val="000000"/>
        </w:rPr>
        <w:tab/>
      </w:r>
    </w:p>
    <w:p w14:paraId="25157B5A">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2025年度一般公共预算财政拨款基本支出294.82万元，其中：</w:t>
      </w:r>
    </w:p>
    <w:p w14:paraId="759B81E4">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281.18万元，主要包括：基本工资58.78万元、津贴补贴30.17万元、奖金71.58万元、绩效工资42.04万元、机关事业单位基本养老保险缴费26.26万元、职业年金缴费12.79万元、职工基本医疗保险缴费13.12万元、其他社会保障缴费1.31万元、住房公积金22.78万元、医疗费2.35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公用经费13.64万元，主要包括：办公费2.35万元、电费0.43万元、邮电费0.5万元、差旅费6.54万元、工会经费2.18万元、其他交通费用1.65万元。</w:t>
      </w:r>
    </w:p>
    <w:p w14:paraId="5EDE0A1C">
      <w:pPr>
        <w:spacing w:line="600" w:lineRule="exact"/>
        <w:ind w:firstLine="645"/>
        <w:rPr>
          <w:rFonts w:ascii="仿宋" w:hAnsi="仿宋" w:eastAsia="仿宋" w:cs="仿宋"/>
          <w:b/>
          <w:color w:val="000000"/>
          <w:sz w:val="32"/>
          <w:szCs w:val="32"/>
          <w:highlight w:val="none"/>
          <w:lang w:val="en-US" w:eastAsia="zh-CN"/>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7F2C2C86">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olor w:val="000000"/>
          <w:sz w:val="32"/>
          <w:szCs w:val="32"/>
        </w:rPr>
        <w:t>七、</w:t>
      </w:r>
      <w:r>
        <w:rPr>
          <w:rStyle w:val="18"/>
          <w:rFonts w:ascii="黑体" w:hAnsi="黑体" w:eastAsia="黑体" w:cs="黑体"/>
          <w:b w:val="0"/>
          <w:color w:val="000000"/>
        </w:rPr>
        <w:t>财政拨款</w:t>
      </w:r>
      <w:r>
        <w:rPr>
          <w:rStyle w:val="18"/>
          <w:rFonts w:ascii="黑体" w:hAnsi="黑体" w:eastAsia="黑体" w:cs="黑体"/>
          <w:color w:val="000000"/>
        </w:rPr>
        <w:t>“</w:t>
      </w:r>
      <w:r>
        <w:rPr>
          <w:rStyle w:val="18"/>
          <w:rFonts w:ascii="黑体" w:hAnsi="黑体" w:eastAsia="黑体" w:cs="黑体"/>
          <w:b w:val="0"/>
          <w:color w:val="000000"/>
        </w:rPr>
        <w:t>三公”经费支出决算情况说明</w:t>
      </w:r>
    </w:p>
    <w:p w14:paraId="2C6CFF66">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0D45CDD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2025年度“三公”经费财政拨款支出决算为0万元，完成预算0%，较上年度增加0万元，增长0%。主要原因是该单位为农业农村服务中心，未设定车辆编制数，产生的车辆费用为其他交通费用。</w:t>
      </w:r>
    </w:p>
    <w:p w14:paraId="4CFCE6BC">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1063CE0B">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36283419">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2025年度“三公”经费财政拨款支出决算中，因公出国（境）费支出决算0万元，占0%；公务用车购置及运行维护费支出决算0万元，占0%；公务接待费支出决算0万元，占0%。具体情况如下：</w:t>
      </w:r>
    </w:p>
    <w:p w14:paraId="5DA26A56">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（图7：“三公”经费财政拨款支出结构）（饼状图）</w:t>
      </w:r>
    </w:p>
    <w:p w14:paraId="32FC8AAE">
      <w:pPr>
        <w:spacing w:line="600" w:lineRule="exact"/>
        <w:ind w:firstLine="640"/>
        <w:rPr>
          <w:rFonts w:ascii="仿宋" w:hAnsi="仿宋" w:eastAsia="仿宋"/>
          <w:b/>
          <w:color w:val="000000"/>
          <w:sz w:val="32"/>
          <w:szCs w:val="32"/>
          <w:highlight w:val="none"/>
        </w:rPr>
      </w:pPr>
      <w:r>
        <w:rPr>
          <w:rFonts w:ascii="仿宋" w:hAnsi="仿宋" w:eastAsia="仿宋"/>
          <w:b/>
          <w:color w:val="000000"/>
          <w:sz w:val="32"/>
          <w:szCs w:val="32"/>
        </w:rPr>
        <w:t>因公出国（境）支出决算较上年度增加0万元，增长0%。主要原因是农业农村服务中心无因公出境人员。</w:t>
      </w:r>
    </w:p>
    <w:p w14:paraId="69F80B5F">
      <w:pPr>
        <w:spacing w:line="600" w:lineRule="exact"/>
        <w:ind w:firstLine="640"/>
        <w:rPr>
          <w:rFonts w:ascii="仿宋" w:hAnsi="仿宋" w:eastAsia="仿宋"/>
          <w:b/>
          <w:color w:val="000000"/>
          <w:sz w:val="32"/>
          <w:szCs w:val="32"/>
          <w:highlight w:val="none"/>
        </w:rPr>
      </w:pPr>
      <w:r>
        <w:rPr>
          <w:rFonts w:ascii="仿宋" w:hAnsi="仿宋" w:eastAsia="仿宋"/>
          <w:b/>
          <w:color w:val="000000"/>
          <w:sz w:val="32"/>
          <w:szCs w:val="32"/>
        </w:rPr>
        <w:t>公务用车购置及运行维护费支出决算较上年度增加0万元，增长0%。主要原因是农业农村服务中心未设定车辆编制数，产生的车辆费用为其他交通费用。</w:t>
      </w:r>
    </w:p>
    <w:p w14:paraId="2EE13BEC">
      <w:pPr>
        <w:spacing w:line="600" w:lineRule="exact"/>
        <w:ind w:firstLine="640"/>
        <w:rPr>
          <w:rFonts w:ascii="仿宋" w:hAnsi="仿宋" w:eastAsia="仿宋"/>
          <w:b/>
          <w:color w:val="000000"/>
          <w:sz w:val="32"/>
          <w:szCs w:val="32"/>
          <w:highlight w:val="none"/>
        </w:rPr>
      </w:pPr>
      <w:r>
        <w:rPr>
          <w:rFonts w:ascii="仿宋" w:hAnsi="仿宋" w:eastAsia="仿宋"/>
          <w:color w:val="000000"/>
          <w:sz w:val="32"/>
          <w:szCs w:val="32"/>
        </w:rPr>
        <w:t>截至2025年12月31日，单位共有公务用车0辆，其中：轿车0辆、越野车0辆、载客汽车0辆。</w:t>
      </w:r>
    </w:p>
    <w:p w14:paraId="084FAC8F">
      <w:pPr>
        <w:spacing w:line="600" w:lineRule="exact"/>
        <w:ind w:firstLine="640"/>
        <w:rPr>
          <w:rFonts w:ascii="仿宋" w:hAnsi="仿宋" w:eastAsia="仿宋"/>
          <w:color w:val="000000"/>
          <w:sz w:val="32"/>
          <w:szCs w:val="32"/>
          <w:highlight w:val="none"/>
        </w:rPr>
      </w:pPr>
      <w:r>
        <w:rPr>
          <w:rFonts w:ascii="仿宋" w:hAnsi="仿宋" w:eastAsia="仿宋"/>
          <w:b/>
          <w:color w:val="000000"/>
          <w:sz w:val="32"/>
          <w:szCs w:val="32"/>
        </w:rPr>
        <w:t>公务用车运行维护费支出</w:t>
      </w:r>
      <w:r>
        <w:rPr>
          <w:rFonts w:ascii="仿宋" w:hAnsi="仿宋" w:eastAsia="仿宋"/>
          <w:color w:val="000000"/>
          <w:sz w:val="32"/>
          <w:szCs w:val="32"/>
          <w:lang w:val="en-US" w:eastAsia="zh-CN"/>
        </w:rPr>
        <w:t>0</w:t>
      </w:r>
      <w:r>
        <w:rPr>
          <w:rFonts w:ascii="仿宋" w:hAnsi="仿宋" w:eastAsia="仿宋"/>
          <w:color w:val="000000"/>
          <w:sz w:val="32"/>
          <w:szCs w:val="32"/>
        </w:rPr>
        <w:t>万元。主要</w:t>
      </w:r>
      <w:r>
        <w:rPr>
          <w:rFonts w:ascii="仿宋" w:hAnsi="仿宋" w:eastAsia="仿宋"/>
          <w:color w:val="000000"/>
          <w:sz w:val="32"/>
          <w:szCs w:val="32"/>
          <w:lang w:eastAsia="zh-CN"/>
        </w:rPr>
        <w:t>用于</w:t>
      </w:r>
      <w:r>
        <w:rPr>
          <w:rFonts w:ascii="仿宋" w:hAnsi="仿宋" w:eastAsia="仿宋"/>
          <w:color w:val="000000"/>
          <w:sz w:val="32"/>
          <w:szCs w:val="32"/>
        </w:rPr>
        <w:t>所需的公务用车燃料费、维修费、过路过桥费、保险费等支出。</w:t>
      </w:r>
    </w:p>
    <w:p w14:paraId="3D548118">
      <w:pPr>
        <w:numPr>
          <w:ilvl w:val="0"/>
          <w:numId w:val="3"/>
        </w:numPr>
        <w:tabs>
          <w:tab w:val="left" w:pos="312"/>
          <w:tab w:val="clear" w:pos="420"/>
        </w:tabs>
        <w:spacing w:line="600" w:lineRule="exact"/>
        <w:ind w:left="0" w:firstLine="640"/>
        <w:rPr>
          <w:rFonts w:ascii="仿宋" w:hAnsi="仿宋" w:eastAsia="仿宋"/>
          <w:color w:val="000000"/>
          <w:sz w:val="32"/>
          <w:szCs w:val="32"/>
          <w:highlight w:val="none"/>
        </w:rPr>
      </w:pPr>
      <w:r>
        <w:rPr>
          <w:rFonts w:ascii="仿宋" w:hAnsi="仿宋" w:eastAsia="仿宋"/>
          <w:b/>
          <w:color w:val="000000"/>
          <w:sz w:val="32"/>
          <w:szCs w:val="32"/>
        </w:rPr>
        <w:t>公务接待费支出决算较上年度增加0万元，增长0%。主要原因是农业农村服务中心无公务接待费支出。</w:t>
      </w:r>
    </w:p>
    <w:p w14:paraId="28765FB1">
      <w:pPr>
        <w:numPr>
          <w:ilvl w:val="0"/>
          <w:numId w:val="0"/>
        </w:numPr>
        <w:spacing w:line="600" w:lineRule="exact"/>
        <w:ind w:firstLine="640"/>
        <w:outlineLvl w:val="1"/>
        <w:rPr>
          <w:rStyle w:val="18"/>
          <w:rFonts w:ascii="黑体" w:hAnsi="黑体" w:eastAsia="黑体" w:cs="黑体"/>
          <w:color w:val="000000"/>
          <w:highlight w:val="none"/>
        </w:rPr>
      </w:pPr>
      <w:r>
        <w:rPr>
          <w:rFonts w:ascii="黑体" w:hAnsi="黑体" w:eastAsia="黑体"/>
          <w:color w:val="000000"/>
          <w:sz w:val="32"/>
          <w:szCs w:val="32"/>
        </w:rPr>
        <w:t>八、</w:t>
      </w:r>
      <w:r>
        <w:rPr>
          <w:rStyle w:val="18"/>
          <w:rFonts w:ascii="黑体" w:hAnsi="黑体" w:eastAsia="黑体" w:cs="黑体"/>
          <w:b w:val="0"/>
          <w:color w:val="000000"/>
        </w:rPr>
        <w:t>政府性基金预算支出决算情况说明</w:t>
      </w:r>
    </w:p>
    <w:p w14:paraId="4AB07695">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54C64334">
      <w:pPr>
        <w:spacing w:line="600" w:lineRule="exact"/>
        <w:ind w:firstLine="960"/>
        <w:rPr>
          <w:rFonts w:ascii="仿宋" w:hAnsi="仿宋" w:eastAsia="仿宋"/>
          <w:color w:val="000000"/>
          <w:sz w:val="32"/>
          <w:szCs w:val="32"/>
          <w:highlight w:val="none"/>
          <w:lang w:eastAsia="zh-CN"/>
        </w:rPr>
      </w:pPr>
      <w:r>
        <w:rPr>
          <w:rFonts w:ascii="仿宋" w:hAnsi="仿宋" w:eastAsia="仿宋"/>
          <w:color w:val="000000"/>
          <w:sz w:val="32"/>
          <w:szCs w:val="32"/>
          <w:lang w:eastAsia="zh-CN"/>
        </w:rPr>
        <w:t>无</w:t>
      </w:r>
    </w:p>
    <w:p w14:paraId="4EF7C58B">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九、</w:t>
      </w:r>
      <w:r>
        <w:rPr>
          <w:rStyle w:val="18"/>
          <w:rFonts w:ascii="黑体" w:hAnsi="黑体" w:eastAsia="黑体" w:cs="黑体"/>
          <w:b w:val="0"/>
          <w:color w:val="000000"/>
        </w:rPr>
        <w:t>国有资本经营预算支出决算情况说明</w:t>
      </w:r>
    </w:p>
    <w:p w14:paraId="6C31A610">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2025年度国有资本经营预算财政拨款支出0万元。</w:t>
      </w:r>
    </w:p>
    <w:p w14:paraId="4FCDD98C">
      <w:pPr>
        <w:keepNext w:val="0"/>
        <w:keepLines w:val="0"/>
        <w:pageBreakBefore w:val="0"/>
        <w:widowControl w:val="0"/>
        <w:kinsoku/>
        <w:overflowPunct/>
        <w:autoSpaceDE/>
        <w:bidi w:val="0"/>
        <w:snapToGrid/>
        <w:spacing w:line="580" w:lineRule="exact"/>
        <w:ind w:firstLine="480"/>
        <w:jc w:val="left"/>
        <w:textAlignment w:val="auto"/>
        <w:rPr>
          <w:rFonts w:ascii="方正小标宋简体" w:hAnsi="方正小标宋简体" w:eastAsia="方正小标宋简体" w:cs="方正小标宋简体"/>
          <w:color w:val="000000"/>
          <w:sz w:val="24"/>
          <w:szCs w:val="24"/>
          <w:highlight w:val="none"/>
          <w:lang w:eastAsia="zh-CN"/>
        </w:rPr>
      </w:pPr>
      <w:r>
        <w:rPr>
          <w:rFonts w:ascii="方正小标宋简体" w:hAnsi="方正小标宋简体" w:eastAsia="方正小标宋简体" w:cs="方正小标宋简体"/>
          <w:color w:val="000000"/>
          <w:sz w:val="24"/>
          <w:szCs w:val="24"/>
          <w:lang w:eastAsia="zh-CN"/>
        </w:rPr>
        <w:t>无</w:t>
      </w:r>
    </w:p>
    <w:p w14:paraId="1D770837">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十、</w:t>
      </w:r>
      <w:r>
        <w:rPr>
          <w:rStyle w:val="18"/>
          <w:rFonts w:ascii="黑体" w:hAnsi="黑体" w:eastAsia="黑体" w:cs="黑体"/>
          <w:b w:val="0"/>
          <w:color w:val="000000"/>
        </w:rPr>
        <w:t>其他重要事项的情况说明</w:t>
      </w:r>
    </w:p>
    <w:p w14:paraId="5E73245B">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117DBBD2">
      <w:pPr>
        <w:spacing w:line="600" w:lineRule="exact"/>
        <w:ind w:firstLine="640"/>
        <w:rPr>
          <w:rFonts w:ascii="仿宋" w:hAnsi="仿宋" w:eastAsia="仿宋"/>
          <w:color w:val="000000"/>
          <w:sz w:val="32"/>
          <w:szCs w:val="32"/>
          <w:highlight w:val="none"/>
          <w:lang w:eastAsia="zh-CN"/>
        </w:rPr>
      </w:pPr>
      <w:r>
        <w:rPr>
          <w:rFonts w:ascii="仿宋" w:hAnsi="仿宋" w:eastAsia="仿宋"/>
          <w:color w:val="000000"/>
          <w:sz w:val="32"/>
          <w:szCs w:val="32"/>
          <w:lang w:eastAsia="zh-CN"/>
        </w:rPr>
        <w:t>2025年度，农业农村服务中心机关运行经费支出0万元。</w:t>
      </w:r>
    </w:p>
    <w:p w14:paraId="7F198024">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29BC84AF">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1A158D45">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2025年度，白羊乡农业农村服务中心政府采购支出总额0万元，其中：政府采购货物支出0万元、政府采购工程支出0万元、政府采购服务支出0万元。</w:t>
      </w:r>
    </w:p>
    <w:p w14:paraId="1CF69BF1">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2267A082">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2D06C608">
      <w:pPr>
        <w:autoSpaceDE w:val="0"/>
        <w:spacing w:line="600" w:lineRule="exact"/>
        <w:ind w:firstLine="640"/>
        <w:jc w:val="left"/>
        <w:rPr>
          <w:rFonts w:ascii="仿宋" w:hAnsi="仿宋" w:eastAsia="仿宋"/>
          <w:color w:val="000000"/>
          <w:sz w:val="32"/>
          <w:szCs w:val="32"/>
          <w:highlight w:val="none"/>
          <w:lang w:val="en-US" w:eastAsia="zh-CN"/>
        </w:rPr>
      </w:pPr>
      <w:r>
        <w:rPr>
          <w:rFonts w:ascii="仿宋" w:hAnsi="仿宋" w:eastAsia="仿宋"/>
          <w:color w:val="000000"/>
          <w:sz w:val="32"/>
          <w:szCs w:val="32"/>
        </w:rPr>
        <w:t>截至2025年12月31日，白羊乡农业农村服务中心无车辆及资产，因该单位是2022年新成立的中心，为单独划拨资产。</w:t>
      </w:r>
    </w:p>
    <w:p w14:paraId="200F9C92">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决算报表填报数据罗列车辆情况。）</w:t>
      </w:r>
    </w:p>
    <w:p w14:paraId="3E6B0183">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110E7E4E">
      <w:pPr>
        <w:spacing w:line="600" w:lineRule="exact"/>
        <w:ind w:firstLine="640"/>
        <w:rPr>
          <w:rFonts w:ascii="仿宋" w:hAnsi="仿宋" w:eastAsia="仿宋" w:cs="Times New Roman"/>
          <w:color w:val="000000"/>
          <w:sz w:val="32"/>
          <w:szCs w:val="32"/>
          <w:highlight w:val="none"/>
          <w:lang w:val="en-US" w:eastAsia="zh-CN"/>
        </w:rPr>
      </w:pPr>
      <w:r>
        <w:rPr>
          <w:rFonts w:ascii="仿宋" w:hAnsi="仿宋" w:eastAsia="仿宋" w:cs="Times New Roman"/>
          <w:color w:val="000000"/>
          <w:sz w:val="32"/>
          <w:szCs w:val="32"/>
          <w:lang w:eastAsia="zh-CN"/>
        </w:rPr>
        <w:t>根据预算绩效管理要求，本单位在2025年度预算编制阶段，组织对0个项目开展了预算事前绩效评估，对0个项目编制了绩效目标</w:t>
      </w:r>
      <w:r>
        <w:rPr>
          <w:rFonts w:hint="eastAsia" w:ascii="仿宋" w:hAnsi="仿宋" w:eastAsia="仿宋" w:cs="Times New Roman"/>
          <w:color w:val="000000"/>
          <w:sz w:val="32"/>
          <w:szCs w:val="32"/>
          <w:lang w:eastAsia="zh-CN"/>
        </w:rPr>
        <w:t>，在</w:t>
      </w:r>
      <w:r>
        <w:rPr>
          <w:rFonts w:ascii="仿宋" w:hAnsi="仿宋" w:eastAsia="仿宋" w:cs="Times New Roman"/>
          <w:color w:val="000000"/>
          <w:sz w:val="32"/>
          <w:szCs w:val="32"/>
          <w:lang w:eastAsia="zh-CN"/>
        </w:rPr>
        <w:t>预算执行过程中，选取0个项目开展绩效监控，组织对0个项目开展绩效自评，绩效自评表详见第四部分附件。</w:t>
      </w:r>
    </w:p>
    <w:p w14:paraId="5AA6C0FA">
      <w:pPr>
        <w:spacing w:line="600" w:lineRule="exact"/>
        <w:ind w:firstLine="640"/>
        <w:rPr>
          <w:rFonts w:ascii="仿宋" w:hAnsi="仿宋" w:eastAsia="仿宋"/>
          <w:color w:val="000000"/>
          <w:sz w:val="32"/>
          <w:szCs w:val="32"/>
          <w:highlight w:val="none"/>
          <w:lang w:eastAsia="zh-CN"/>
        </w:rPr>
      </w:pPr>
      <w:r>
        <w:rPr>
          <w:rFonts w:ascii="仿宋" w:hAnsi="仿宋" w:eastAsia="仿宋" w:cs="Times New Roman"/>
          <w:color w:val="000000"/>
          <w:sz w:val="32"/>
          <w:szCs w:val="32"/>
          <w:lang w:val="en-US" w:eastAsia="zh-CN"/>
        </w:rPr>
        <w:t>2025年白羊乡农业农村服务中心无项目经费。</w:t>
      </w:r>
    </w:p>
    <w:p w14:paraId="00768A8D">
      <w:pPr>
        <w:spacing w:line="600" w:lineRule="exact"/>
        <w:ind w:firstLine="640"/>
        <w:rPr>
          <w:rFonts w:ascii="仿宋" w:hAnsi="仿宋" w:eastAsia="仿宋"/>
          <w:color w:val="000000"/>
          <w:sz w:val="32"/>
          <w:szCs w:val="32"/>
          <w:highlight w:val="none"/>
          <w:lang w:eastAsia="zh-CN"/>
        </w:rPr>
      </w:pPr>
    </w:p>
    <w:p w14:paraId="384B545A">
      <w:pPr>
        <w:spacing w:line="600" w:lineRule="exact"/>
        <w:ind w:firstLine="640"/>
        <w:rPr>
          <w:rFonts w:ascii="仿宋" w:hAnsi="仿宋" w:eastAsia="仿宋"/>
          <w:color w:val="000000"/>
          <w:sz w:val="32"/>
          <w:szCs w:val="32"/>
          <w:highlight w:val="none"/>
          <w:lang w:eastAsia="zh-CN"/>
        </w:rPr>
      </w:pPr>
    </w:p>
    <w:p w14:paraId="1F321AEC">
      <w:pPr>
        <w:spacing w:line="600" w:lineRule="exact"/>
        <w:ind w:firstLine="640"/>
        <w:rPr>
          <w:rFonts w:ascii="仿宋" w:hAnsi="仿宋" w:eastAsia="仿宋"/>
          <w:color w:val="000000"/>
          <w:sz w:val="32"/>
          <w:szCs w:val="32"/>
          <w:highlight w:val="none"/>
          <w:lang w:eastAsia="zh-CN"/>
        </w:rPr>
      </w:pPr>
    </w:p>
    <w:p w14:paraId="27847C2D">
      <w:pPr>
        <w:spacing w:line="600" w:lineRule="exact"/>
        <w:ind w:firstLine="640"/>
        <w:rPr>
          <w:rFonts w:ascii="仿宋" w:hAnsi="仿宋" w:eastAsia="仿宋"/>
          <w:color w:val="000000"/>
          <w:sz w:val="32"/>
          <w:szCs w:val="32"/>
          <w:highlight w:val="none"/>
          <w:lang w:eastAsia="zh-CN"/>
        </w:rPr>
      </w:pPr>
    </w:p>
    <w:p w14:paraId="6214F7E0">
      <w:pPr>
        <w:spacing w:line="600" w:lineRule="exact"/>
        <w:ind w:firstLine="640"/>
        <w:rPr>
          <w:rFonts w:ascii="仿宋" w:hAnsi="仿宋" w:eastAsia="仿宋"/>
          <w:color w:val="000000"/>
          <w:sz w:val="32"/>
          <w:szCs w:val="32"/>
          <w:highlight w:val="none"/>
          <w:lang w:eastAsia="zh-CN"/>
        </w:rPr>
      </w:pPr>
    </w:p>
    <w:p w14:paraId="13D56CFF">
      <w:pPr>
        <w:spacing w:line="600" w:lineRule="exact"/>
        <w:ind w:firstLine="640"/>
        <w:rPr>
          <w:rFonts w:ascii="仿宋" w:hAnsi="仿宋" w:eastAsia="仿宋"/>
          <w:color w:val="000000"/>
          <w:sz w:val="32"/>
          <w:szCs w:val="32"/>
          <w:highlight w:val="none"/>
          <w:lang w:eastAsia="zh-CN"/>
        </w:rPr>
      </w:pPr>
      <w:r>
        <w:br w:type="page"/>
      </w:r>
    </w:p>
    <w:p w14:paraId="57EA0132">
      <w:pPr>
        <w:spacing w:line="600" w:lineRule="exact"/>
        <w:rPr>
          <w:rFonts w:ascii="仿宋" w:hAnsi="仿宋" w:eastAsia="仿宋" w:cs="Times New Roman"/>
          <w:color w:val="000000"/>
          <w:sz w:val="32"/>
          <w:szCs w:val="32"/>
          <w:highlight w:val="none"/>
          <w:lang w:eastAsia="zh-CN"/>
        </w:rPr>
      </w:pPr>
    </w:p>
    <w:p w14:paraId="210462CE">
      <w:pPr>
        <w:numPr>
          <w:ilvl w:val="0"/>
          <w:numId w:val="0"/>
        </w:numPr>
        <w:spacing w:line="600" w:lineRule="exact"/>
        <w:ind w:left="0" w:firstLine="0"/>
        <w:jc w:val="center"/>
        <w:outlineLvl w:val="0"/>
        <w:rPr>
          <w:rStyle w:val="17"/>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17"/>
          <w:rFonts w:ascii="黑体" w:hAnsi="黑体" w:eastAsia="黑体" w:cs="黑体"/>
          <w:b w:val="0"/>
          <w:color w:val="000000"/>
        </w:rPr>
        <w:t>词解释</w:t>
      </w:r>
    </w:p>
    <w:p w14:paraId="3D3A5C98">
      <w:pPr>
        <w:spacing w:line="600" w:lineRule="exact"/>
        <w:jc w:val="left"/>
        <w:rPr>
          <w:rStyle w:val="17"/>
          <w:rFonts w:ascii="宋体" w:hAnsi="宋体" w:eastAsia="黑体" w:cs="黑体"/>
          <w:b/>
          <w:color w:val="000000"/>
          <w:sz w:val="44"/>
          <w:szCs w:val="44"/>
          <w:highlight w:val="none"/>
        </w:rPr>
      </w:pPr>
    </w:p>
    <w:p w14:paraId="6135A6EF">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1.财政拨款收入：指单位从同级财政部门取得的财政预算资金。</w:t>
      </w:r>
    </w:p>
    <w:p w14:paraId="4A43EF0B">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2.事业收入：指事业单位开展专业业务活动及辅助活动取得的收入。如…（二级预算单位事业收入情况）等。</w:t>
      </w:r>
    </w:p>
    <w:p w14:paraId="2567719F">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3.经营收入：指事业单位在专业业务活动及其辅助活动之外开展非独立核算经营活动取得的收入。如…（二级预算单位经营收入情况）等。</w:t>
      </w:r>
    </w:p>
    <w:p w14:paraId="49F6DE3F">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4.其他收入：指单位取得的除上述收入以外的各项收入。主要是…（收入类型）等。 </w:t>
      </w:r>
    </w:p>
    <w:p w14:paraId="475086ED">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5.</w:t>
      </w:r>
      <w:r>
        <w:rPr>
          <w:rFonts w:ascii="仿宋" w:hAnsi="仿宋" w:eastAsia="仿宋" w:cs="华文中宋;宋体"/>
          <w:color w:val="000000"/>
          <w:sz w:val="32"/>
          <w:szCs w:val="32"/>
          <w:u w:val="none"/>
          <w:lang w:eastAsia="zh-CN"/>
        </w:rPr>
        <w:t>使用非财政拨款结余（含专用结余）</w:t>
      </w:r>
      <w:r>
        <w:rPr>
          <w:rFonts w:ascii="仿宋" w:hAnsi="仿宋" w:eastAsia="仿宋"/>
          <w:color w:val="000000"/>
          <w:sz w:val="32"/>
          <w:szCs w:val="32"/>
        </w:rPr>
        <w:t>：指事业单位</w:t>
      </w:r>
      <w:r>
        <w:rPr>
          <w:rFonts w:ascii="仿宋" w:hAnsi="仿宋" w:eastAsia="仿宋"/>
          <w:color w:val="000000"/>
          <w:sz w:val="32"/>
          <w:szCs w:val="32"/>
          <w:lang w:eastAsia="zh-CN"/>
        </w:rPr>
        <w:t>使用以前年度积累的非财政拨款结余弥补当年收支差额的金额。</w:t>
      </w:r>
      <w:r>
        <w:rPr>
          <w:rFonts w:ascii="仿宋" w:hAnsi="仿宋" w:eastAsia="仿宋"/>
          <w:color w:val="000000"/>
          <w:sz w:val="32"/>
          <w:szCs w:val="32"/>
        </w:rPr>
        <w:t xml:space="preserve"> </w:t>
      </w:r>
    </w:p>
    <w:p w14:paraId="5B1050DB">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6.年初结转和结余：指以前年度尚未完成、结转到本年按有关规定继续使用的资金。 </w:t>
      </w:r>
    </w:p>
    <w:p w14:paraId="3D4FAA27">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7.结余分配：指事业单位按照会计制度规定</w:t>
      </w:r>
      <w:r>
        <w:rPr>
          <w:rFonts w:ascii="仿宋" w:hAnsi="仿宋" w:eastAsia="仿宋"/>
          <w:color w:val="000000"/>
          <w:sz w:val="32"/>
          <w:szCs w:val="32"/>
          <w:lang w:eastAsia="zh-CN"/>
        </w:rPr>
        <w:t>缴纳的所得税、提取的专用结余以及转入非财政拨款结余的金额</w:t>
      </w:r>
      <w:r>
        <w:rPr>
          <w:rFonts w:ascii="仿宋" w:hAnsi="仿宋" w:eastAsia="仿宋"/>
          <w:color w:val="000000"/>
          <w:sz w:val="32"/>
          <w:szCs w:val="32"/>
        </w:rPr>
        <w:t>等。</w:t>
      </w:r>
    </w:p>
    <w:p w14:paraId="465E2488">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8</w:t>
      </w:r>
      <w:r>
        <w:rPr>
          <w:rFonts w:ascii="仿宋" w:hAnsi="仿宋" w:eastAsia="仿宋"/>
          <w:color w:val="000000"/>
          <w:sz w:val="32"/>
          <w:szCs w:val="32"/>
          <w:lang w:val="en-US" w:eastAsia="zh-CN"/>
        </w:rPr>
        <w:t>.</w:t>
      </w:r>
      <w:r>
        <w:rPr>
          <w:rFonts w:ascii="仿宋" w:hAnsi="仿宋" w:eastAsia="仿宋"/>
          <w:color w:val="000000"/>
          <w:sz w:val="32"/>
          <w:szCs w:val="32"/>
        </w:rPr>
        <w:t>年末结转和结余：指单位按有关规定结转到下年或以后年度继续使用的资金。</w:t>
      </w:r>
    </w:p>
    <w:p w14:paraId="630EFE22">
      <w:pPr>
        <w:ind w:firstLine="640"/>
        <w:rPr>
          <w:rFonts w:ascii="仿宋" w:hAnsi="仿宋" w:eastAsia="仿宋"/>
          <w:color w:val="000000"/>
          <w:sz w:val="32"/>
          <w:szCs w:val="32"/>
          <w:highlight w:val="none"/>
        </w:rPr>
      </w:pPr>
      <w:r>
        <w:rPr>
          <w:rFonts w:ascii="仿宋" w:hAnsi="仿宋" w:eastAsia="仿宋"/>
          <w:color w:val="000000"/>
          <w:sz w:val="32"/>
          <w:szCs w:val="32"/>
        </w:rPr>
        <w:t>9.一般公共服务（类）…（款）…（项）：指……。</w:t>
      </w:r>
    </w:p>
    <w:p w14:paraId="41712BB0">
      <w:pPr>
        <w:ind w:firstLine="640"/>
        <w:rPr>
          <w:rFonts w:ascii="仿宋" w:hAnsi="仿宋" w:eastAsia="仿宋"/>
          <w:color w:val="000000"/>
          <w:sz w:val="32"/>
          <w:szCs w:val="32"/>
          <w:highlight w:val="none"/>
        </w:rPr>
      </w:pPr>
      <w:r>
        <w:rPr>
          <w:rFonts w:ascii="仿宋" w:hAnsi="仿宋" w:eastAsia="仿宋"/>
          <w:color w:val="000000"/>
          <w:sz w:val="32"/>
          <w:szCs w:val="32"/>
        </w:rPr>
        <w:t>10.外交（类）…（款）…（项）：指……。</w:t>
      </w:r>
    </w:p>
    <w:p w14:paraId="5A901F0B">
      <w:pPr>
        <w:ind w:firstLine="640"/>
        <w:rPr>
          <w:rFonts w:ascii="仿宋" w:hAnsi="仿宋" w:eastAsia="仿宋"/>
          <w:color w:val="000000"/>
          <w:sz w:val="32"/>
          <w:szCs w:val="32"/>
          <w:highlight w:val="none"/>
        </w:rPr>
      </w:pPr>
      <w:r>
        <w:rPr>
          <w:rFonts w:ascii="仿宋" w:hAnsi="仿宋" w:eastAsia="仿宋"/>
          <w:color w:val="000000"/>
          <w:sz w:val="32"/>
          <w:szCs w:val="32"/>
        </w:rPr>
        <w:t>11.公共安全（类）…（款）…（项）：指……。</w:t>
      </w:r>
    </w:p>
    <w:p w14:paraId="5030ABD6">
      <w:pPr>
        <w:ind w:firstLine="640"/>
        <w:rPr>
          <w:rFonts w:ascii="仿宋" w:hAnsi="仿宋" w:eastAsia="仿宋"/>
          <w:color w:val="000000"/>
          <w:sz w:val="32"/>
          <w:szCs w:val="32"/>
          <w:highlight w:val="none"/>
        </w:rPr>
      </w:pPr>
      <w:r>
        <w:rPr>
          <w:rFonts w:ascii="仿宋" w:hAnsi="仿宋" w:eastAsia="仿宋"/>
          <w:color w:val="000000"/>
          <w:sz w:val="32"/>
          <w:szCs w:val="32"/>
        </w:rPr>
        <w:t>12.教育（类）…（款）…（项）：指……。</w:t>
      </w:r>
    </w:p>
    <w:p w14:paraId="4B5846C5">
      <w:pPr>
        <w:ind w:firstLine="640"/>
        <w:rPr>
          <w:rFonts w:ascii="仿宋" w:hAnsi="仿宋" w:eastAsia="仿宋"/>
          <w:color w:val="000000"/>
          <w:sz w:val="32"/>
          <w:szCs w:val="32"/>
          <w:highlight w:val="none"/>
        </w:rPr>
      </w:pPr>
      <w:r>
        <w:rPr>
          <w:rFonts w:ascii="仿宋" w:hAnsi="仿宋" w:eastAsia="仿宋"/>
          <w:color w:val="000000"/>
          <w:sz w:val="32"/>
          <w:szCs w:val="32"/>
        </w:rPr>
        <w:t>13.科学技术（类）…（款）…（项）：指……。</w:t>
      </w:r>
    </w:p>
    <w:p w14:paraId="36F7B483">
      <w:pPr>
        <w:ind w:firstLine="640"/>
        <w:rPr>
          <w:rFonts w:ascii="仿宋" w:hAnsi="仿宋" w:eastAsia="仿宋"/>
          <w:color w:val="000000"/>
          <w:sz w:val="32"/>
          <w:szCs w:val="32"/>
          <w:highlight w:val="none"/>
        </w:rPr>
      </w:pPr>
      <w:r>
        <w:rPr>
          <w:rFonts w:ascii="仿宋" w:hAnsi="仿宋" w:eastAsia="仿宋"/>
          <w:color w:val="000000"/>
          <w:sz w:val="32"/>
          <w:szCs w:val="32"/>
        </w:rPr>
        <w:t>14.文化</w:t>
      </w:r>
      <w:r>
        <w:rPr>
          <w:rFonts w:ascii="仿宋" w:hAnsi="仿宋" w:eastAsia="仿宋"/>
          <w:color w:val="000000"/>
          <w:sz w:val="32"/>
          <w:szCs w:val="32"/>
          <w:lang w:eastAsia="zh-CN"/>
        </w:rPr>
        <w:t>旅游</w:t>
      </w:r>
      <w:r>
        <w:rPr>
          <w:rFonts w:ascii="仿宋" w:hAnsi="仿宋" w:eastAsia="仿宋"/>
          <w:color w:val="000000"/>
          <w:sz w:val="32"/>
          <w:szCs w:val="32"/>
        </w:rPr>
        <w:t>体育与传媒（类）…（款）…（项）：指……。</w:t>
      </w:r>
    </w:p>
    <w:p w14:paraId="25B6B319">
      <w:pPr>
        <w:ind w:firstLine="640"/>
        <w:rPr>
          <w:rFonts w:ascii="仿宋" w:hAnsi="仿宋" w:eastAsia="仿宋"/>
          <w:color w:val="000000"/>
          <w:sz w:val="32"/>
          <w:szCs w:val="32"/>
          <w:highlight w:val="none"/>
        </w:rPr>
      </w:pPr>
      <w:r>
        <w:rPr>
          <w:rFonts w:ascii="仿宋" w:hAnsi="仿宋" w:eastAsia="仿宋"/>
          <w:color w:val="000000"/>
          <w:sz w:val="32"/>
          <w:szCs w:val="32"/>
        </w:rPr>
        <w:t>15.社会保障和就业（类）…（款）…（项）：指……。</w:t>
      </w:r>
    </w:p>
    <w:p w14:paraId="0FF272FA">
      <w:pPr>
        <w:ind w:firstLine="640"/>
        <w:rPr>
          <w:rFonts w:ascii="仿宋" w:hAnsi="仿宋" w:eastAsia="仿宋"/>
          <w:color w:val="000000"/>
          <w:sz w:val="32"/>
          <w:szCs w:val="32"/>
          <w:highlight w:val="none"/>
        </w:rPr>
      </w:pPr>
      <w:r>
        <w:rPr>
          <w:rFonts w:ascii="仿宋" w:hAnsi="仿宋" w:eastAsia="仿宋"/>
          <w:color w:val="000000"/>
          <w:sz w:val="32"/>
          <w:szCs w:val="32"/>
        </w:rPr>
        <w:t>16.</w:t>
      </w:r>
      <w:r>
        <w:rPr>
          <w:rFonts w:ascii="仿宋" w:hAnsi="仿宋" w:eastAsia="仿宋"/>
          <w:color w:val="000000"/>
          <w:sz w:val="32"/>
          <w:szCs w:val="32"/>
          <w:lang w:eastAsia="zh-CN"/>
        </w:rPr>
        <w:t>卫生健康</w:t>
      </w:r>
      <w:r>
        <w:rPr>
          <w:rFonts w:ascii="仿宋" w:hAnsi="仿宋" w:eastAsia="仿宋"/>
          <w:color w:val="000000"/>
          <w:sz w:val="32"/>
          <w:szCs w:val="32"/>
        </w:rPr>
        <w:t>（类）…（款）…（项）：指……。</w:t>
      </w:r>
    </w:p>
    <w:p w14:paraId="0C0FA79C">
      <w:pPr>
        <w:ind w:firstLine="640"/>
        <w:rPr>
          <w:rFonts w:ascii="仿宋" w:hAnsi="仿宋" w:eastAsia="仿宋"/>
          <w:color w:val="000000"/>
          <w:sz w:val="32"/>
          <w:szCs w:val="32"/>
          <w:highlight w:val="none"/>
        </w:rPr>
      </w:pPr>
      <w:r>
        <w:rPr>
          <w:rFonts w:ascii="仿宋" w:hAnsi="仿宋" w:eastAsia="仿宋"/>
          <w:color w:val="000000"/>
          <w:sz w:val="32"/>
          <w:szCs w:val="32"/>
        </w:rPr>
        <w:t>17.节能环保（类）…（款）…（项）：指……。</w:t>
      </w:r>
    </w:p>
    <w:p w14:paraId="120E38A4">
      <w:pPr>
        <w:ind w:firstLine="640"/>
        <w:rPr>
          <w:rFonts w:ascii="仿宋" w:hAnsi="仿宋" w:eastAsia="仿宋"/>
          <w:color w:val="000000"/>
          <w:sz w:val="32"/>
          <w:szCs w:val="32"/>
          <w:highlight w:val="none"/>
        </w:rPr>
      </w:pPr>
      <w:r>
        <w:rPr>
          <w:rFonts w:ascii="仿宋" w:hAnsi="仿宋" w:eastAsia="仿宋"/>
          <w:color w:val="000000"/>
          <w:sz w:val="32"/>
          <w:szCs w:val="32"/>
        </w:rPr>
        <w:t>18.城乡社区（类）…（款）…（项）：指……。</w:t>
      </w:r>
    </w:p>
    <w:p w14:paraId="4B567415">
      <w:pPr>
        <w:ind w:firstLine="640"/>
        <w:rPr>
          <w:rFonts w:ascii="仿宋" w:hAnsi="仿宋" w:eastAsia="仿宋"/>
          <w:color w:val="000000"/>
          <w:sz w:val="32"/>
          <w:szCs w:val="32"/>
          <w:highlight w:val="none"/>
        </w:rPr>
      </w:pPr>
      <w:r>
        <w:rPr>
          <w:rFonts w:ascii="仿宋" w:hAnsi="仿宋" w:eastAsia="仿宋"/>
          <w:color w:val="000000"/>
          <w:sz w:val="32"/>
          <w:szCs w:val="32"/>
        </w:rPr>
        <w:t>19.农林水（类）…（款）…（项）：指……。</w:t>
      </w:r>
    </w:p>
    <w:p w14:paraId="5066CD90">
      <w:pPr>
        <w:ind w:firstLine="640"/>
        <w:rPr>
          <w:rFonts w:ascii="仿宋" w:hAnsi="仿宋" w:eastAsia="仿宋"/>
          <w:color w:val="000000"/>
          <w:sz w:val="32"/>
          <w:szCs w:val="32"/>
          <w:highlight w:val="none"/>
        </w:rPr>
      </w:pPr>
      <w:r>
        <w:rPr>
          <w:rFonts w:ascii="仿宋" w:hAnsi="仿宋" w:eastAsia="仿宋"/>
          <w:color w:val="000000"/>
          <w:sz w:val="32"/>
          <w:szCs w:val="32"/>
        </w:rPr>
        <w:t>20.交通运输（类）…（款）…（项）：指……。</w:t>
      </w:r>
    </w:p>
    <w:p w14:paraId="1E093871">
      <w:pPr>
        <w:ind w:firstLine="640"/>
        <w:rPr>
          <w:rFonts w:ascii="仿宋" w:hAnsi="仿宋" w:eastAsia="仿宋"/>
          <w:color w:val="000000"/>
          <w:sz w:val="32"/>
          <w:szCs w:val="32"/>
          <w:highlight w:val="none"/>
        </w:rPr>
      </w:pPr>
      <w:r>
        <w:rPr>
          <w:rFonts w:ascii="仿宋" w:hAnsi="仿宋" w:eastAsia="仿宋"/>
          <w:color w:val="000000"/>
          <w:sz w:val="32"/>
          <w:szCs w:val="32"/>
        </w:rPr>
        <w:t>21.资源勘探</w:t>
      </w:r>
      <w:r>
        <w:rPr>
          <w:rFonts w:ascii="仿宋" w:hAnsi="仿宋" w:eastAsia="仿宋"/>
          <w:color w:val="000000"/>
          <w:sz w:val="32"/>
          <w:szCs w:val="32"/>
          <w:lang w:eastAsia="zh-CN"/>
        </w:rPr>
        <w:t>工业</w:t>
      </w:r>
      <w:r>
        <w:rPr>
          <w:rFonts w:ascii="仿宋" w:hAnsi="仿宋" w:eastAsia="仿宋"/>
          <w:color w:val="000000"/>
          <w:sz w:val="32"/>
          <w:szCs w:val="32"/>
        </w:rPr>
        <w:t>信息等（类）…（款）…（项）：指……。</w:t>
      </w:r>
    </w:p>
    <w:p w14:paraId="0BAEB8FF">
      <w:pPr>
        <w:ind w:firstLine="640"/>
        <w:rPr>
          <w:rFonts w:ascii="仿宋" w:hAnsi="仿宋" w:eastAsia="仿宋"/>
          <w:color w:val="000000"/>
          <w:sz w:val="32"/>
          <w:szCs w:val="32"/>
          <w:highlight w:val="none"/>
        </w:rPr>
      </w:pPr>
      <w:r>
        <w:rPr>
          <w:rFonts w:ascii="仿宋" w:hAnsi="仿宋" w:eastAsia="仿宋"/>
          <w:color w:val="000000"/>
          <w:sz w:val="32"/>
          <w:szCs w:val="32"/>
        </w:rPr>
        <w:t>22.商业服务业（类）…（款）…（项）：指……。</w:t>
      </w:r>
    </w:p>
    <w:p w14:paraId="355C12DC">
      <w:pPr>
        <w:ind w:firstLine="640"/>
        <w:rPr>
          <w:rFonts w:ascii="仿宋" w:hAnsi="仿宋" w:eastAsia="仿宋"/>
          <w:color w:val="000000"/>
          <w:sz w:val="32"/>
          <w:szCs w:val="32"/>
          <w:highlight w:val="none"/>
        </w:rPr>
      </w:pPr>
      <w:r>
        <w:rPr>
          <w:rFonts w:ascii="仿宋" w:hAnsi="仿宋" w:eastAsia="仿宋"/>
          <w:color w:val="000000"/>
          <w:sz w:val="32"/>
          <w:szCs w:val="32"/>
        </w:rPr>
        <w:t>23.金融（类）…（款）…（项）：指……。</w:t>
      </w:r>
    </w:p>
    <w:p w14:paraId="346539BC">
      <w:pPr>
        <w:ind w:firstLine="640"/>
        <w:rPr>
          <w:rFonts w:ascii="仿宋" w:hAnsi="仿宋" w:eastAsia="仿宋"/>
          <w:color w:val="000000"/>
          <w:sz w:val="32"/>
          <w:szCs w:val="32"/>
          <w:highlight w:val="none"/>
        </w:rPr>
      </w:pPr>
      <w:r>
        <w:rPr>
          <w:rFonts w:ascii="仿宋" w:hAnsi="仿宋" w:eastAsia="仿宋"/>
          <w:color w:val="000000"/>
          <w:sz w:val="32"/>
          <w:szCs w:val="32"/>
        </w:rPr>
        <w:t>24.</w:t>
      </w:r>
      <w:r>
        <w:rPr>
          <w:rFonts w:ascii="仿宋" w:hAnsi="仿宋" w:eastAsia="仿宋"/>
          <w:color w:val="000000"/>
          <w:sz w:val="32"/>
          <w:szCs w:val="32"/>
          <w:lang w:eastAsia="zh-CN"/>
        </w:rPr>
        <w:t>自然资源</w:t>
      </w:r>
      <w:r>
        <w:rPr>
          <w:rFonts w:ascii="仿宋" w:hAnsi="仿宋" w:eastAsia="仿宋"/>
          <w:color w:val="000000"/>
          <w:sz w:val="32"/>
          <w:szCs w:val="32"/>
        </w:rPr>
        <w:t>海洋气象等（类）…（款）…（项）：指……。</w:t>
      </w:r>
    </w:p>
    <w:p w14:paraId="0F1CE277">
      <w:pPr>
        <w:ind w:firstLine="640"/>
        <w:rPr>
          <w:rFonts w:ascii="仿宋" w:hAnsi="仿宋" w:eastAsia="仿宋"/>
          <w:color w:val="000000"/>
          <w:sz w:val="32"/>
          <w:szCs w:val="32"/>
          <w:highlight w:val="none"/>
        </w:rPr>
      </w:pPr>
      <w:r>
        <w:rPr>
          <w:rFonts w:ascii="仿宋" w:hAnsi="仿宋" w:eastAsia="仿宋"/>
          <w:color w:val="000000"/>
          <w:sz w:val="32"/>
          <w:szCs w:val="32"/>
        </w:rPr>
        <w:t>25.住房保障（类）…（款）…（项）：指……。</w:t>
      </w:r>
    </w:p>
    <w:p w14:paraId="043C7F76">
      <w:pPr>
        <w:ind w:firstLine="640"/>
        <w:rPr>
          <w:rFonts w:ascii="仿宋" w:hAnsi="仿宋" w:eastAsia="仿宋"/>
          <w:color w:val="000000"/>
          <w:sz w:val="32"/>
          <w:szCs w:val="32"/>
          <w:highlight w:val="none"/>
        </w:rPr>
      </w:pPr>
      <w:r>
        <w:rPr>
          <w:rFonts w:ascii="仿宋" w:hAnsi="仿宋" w:eastAsia="仿宋"/>
          <w:color w:val="000000"/>
          <w:sz w:val="32"/>
          <w:szCs w:val="32"/>
        </w:rPr>
        <w:t>26.粮油物资储备（类）…（款）…（项）：指……。</w:t>
      </w:r>
    </w:p>
    <w:p w14:paraId="495AA353">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7251245C">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03F11ED5">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27EC5E55">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w:t>
      </w:r>
      <w:r>
        <w:rPr>
          <w:rFonts w:hint="eastAsia" w:ascii="仿宋" w:hAnsi="仿宋" w:eastAsia="仿宋" w:cs="仿宋"/>
          <w:b/>
          <w:color w:val="000000"/>
          <w:sz w:val="32"/>
          <w:szCs w:val="32"/>
          <w:lang w:val="en-US" w:eastAsia="zh-CN"/>
        </w:rPr>
        <w:t>5</w:t>
      </w:r>
      <w:r>
        <w:rPr>
          <w:rFonts w:ascii="仿宋" w:hAnsi="仿宋" w:eastAsia="仿宋" w:cs="仿宋"/>
          <w:b/>
          <w:color w:val="000000"/>
          <w:sz w:val="32"/>
          <w:szCs w:val="32"/>
        </w:rPr>
        <w:t>年政府收支分类科目》增减内容。）</w:t>
      </w:r>
    </w:p>
    <w:p w14:paraId="2E47F6CE">
      <w:pPr>
        <w:ind w:firstLine="640"/>
        <w:rPr>
          <w:rFonts w:ascii="仿宋" w:hAnsi="仿宋" w:eastAsia="仿宋"/>
          <w:color w:val="000000"/>
          <w:sz w:val="32"/>
          <w:szCs w:val="32"/>
          <w:highlight w:val="none"/>
        </w:rPr>
      </w:pPr>
      <w:r>
        <w:rPr>
          <w:rFonts w:ascii="仿宋" w:hAnsi="仿宋" w:eastAsia="仿宋"/>
          <w:color w:val="000000"/>
          <w:sz w:val="32"/>
          <w:szCs w:val="32"/>
        </w:rPr>
        <w:t>27.基本支出：指为保障机构正常运转、完成日常工作任务而发生的人员支出和公用支出。</w:t>
      </w:r>
    </w:p>
    <w:p w14:paraId="7A033CE9">
      <w:pPr>
        <w:ind w:firstLine="640"/>
        <w:rPr>
          <w:rFonts w:ascii="仿宋" w:hAnsi="仿宋" w:eastAsia="仿宋"/>
          <w:color w:val="000000"/>
          <w:sz w:val="32"/>
          <w:szCs w:val="32"/>
          <w:highlight w:val="none"/>
        </w:rPr>
      </w:pPr>
      <w:r>
        <w:rPr>
          <w:rFonts w:ascii="仿宋" w:hAnsi="仿宋" w:eastAsia="仿宋"/>
          <w:color w:val="000000"/>
          <w:sz w:val="32"/>
          <w:szCs w:val="32"/>
        </w:rPr>
        <w:t xml:space="preserve">28.项目支出：指在基本支出之外为完成特定行政任务和事业发展目标所发生的支出。 </w:t>
      </w:r>
    </w:p>
    <w:p w14:paraId="555A201E">
      <w:pPr>
        <w:ind w:firstLine="640"/>
        <w:rPr>
          <w:rFonts w:ascii="仿宋" w:hAnsi="仿宋" w:eastAsia="仿宋"/>
          <w:color w:val="000000"/>
          <w:sz w:val="32"/>
          <w:szCs w:val="32"/>
          <w:highlight w:val="none"/>
        </w:rPr>
      </w:pPr>
      <w:r>
        <w:rPr>
          <w:rFonts w:ascii="仿宋" w:hAnsi="仿宋" w:eastAsia="仿宋"/>
          <w:color w:val="000000"/>
          <w:sz w:val="32"/>
          <w:szCs w:val="32"/>
        </w:rPr>
        <w:t>29.经营支出：指事业单位在专业业务活动及其辅助活动之外开展非独立核算经营活动发生的支出。</w:t>
      </w:r>
    </w:p>
    <w:p w14:paraId="01A01F32">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30.“三公”经费：指</w:t>
      </w:r>
      <w:r>
        <w:rPr>
          <w:rFonts w:ascii="仿宋" w:hAnsi="仿宋" w:eastAsia="仿宋"/>
          <w:color w:val="000000"/>
          <w:sz w:val="32"/>
          <w:szCs w:val="32"/>
          <w:lang w:eastAsia="zh-CN"/>
        </w:rPr>
        <w:t>单位</w:t>
      </w:r>
      <w:r>
        <w:rPr>
          <w:rFonts w:ascii="仿宋" w:hAnsi="仿宋" w:eastAsia="仿宋"/>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DE7DC0">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59AE03">
      <w:pPr>
        <w:pStyle w:val="28"/>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32.……</w:t>
      </w:r>
      <w:r>
        <w:rPr>
          <w:rFonts w:hint="eastAsia"/>
          <w:color w:val="000000"/>
          <w:sz w:val="32"/>
          <w:szCs w:val="32"/>
          <w:lang w:eastAsia="zh-CN"/>
        </w:rPr>
        <w:t>.</w:t>
      </w:r>
    </w:p>
    <w:p w14:paraId="11653BBC">
      <w:pPr>
        <w:pStyle w:val="28"/>
        <w:bidi w:val="0"/>
        <w:spacing w:line="560" w:lineRule="exact"/>
        <w:ind w:firstLine="640"/>
        <w:jc w:val="left"/>
        <w:rPr>
          <w:rFonts w:ascii="仿宋" w:hAnsi="仿宋" w:eastAsia="仿宋" w:cs="黑体"/>
          <w:color w:val="000000"/>
          <w:sz w:val="32"/>
          <w:szCs w:val="32"/>
          <w:highlight w:val="none"/>
        </w:rPr>
      </w:pPr>
    </w:p>
    <w:p w14:paraId="4B98EAF2">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br w:type="page"/>
      </w:r>
    </w:p>
    <w:p w14:paraId="7D585BFE">
      <w:pPr>
        <w:numPr>
          <w:ilvl w:val="0"/>
          <w:numId w:val="0"/>
        </w:numPr>
        <w:spacing w:line="600" w:lineRule="exact"/>
        <w:jc w:val="both"/>
        <w:outlineLvl w:val="0"/>
        <w:rPr>
          <w:rStyle w:val="17"/>
          <w:rFonts w:ascii="黑体" w:hAnsi="黑体" w:eastAsia="黑体" w:cs="黑体"/>
          <w:b w:val="0"/>
          <w:color w:val="000000"/>
          <w:highlight w:val="none"/>
        </w:rPr>
      </w:pPr>
      <w:r>
        <w:rPr>
          <w:rFonts w:ascii="黑体" w:hAnsi="黑体" w:eastAsia="黑体" w:cs="黑体"/>
          <w:color w:val="000000"/>
          <w:sz w:val="44"/>
          <w:szCs w:val="44"/>
        </w:rPr>
        <w:t>第</w:t>
      </w:r>
      <w:r>
        <w:rPr>
          <w:rStyle w:val="17"/>
          <w:rFonts w:ascii="黑体" w:hAnsi="黑体" w:eastAsia="黑体" w:cs="黑体"/>
          <w:b w:val="0"/>
          <w:color w:val="000000"/>
        </w:rPr>
        <w:t>四部分 附件</w:t>
      </w:r>
    </w:p>
    <w:p w14:paraId="1AEEBDB9">
      <w:pPr>
        <w:keepNext w:val="0"/>
        <w:keepLines w:val="0"/>
        <w:pageBreakBefore w:val="0"/>
        <w:numPr>
          <w:ilvl w:val="0"/>
          <w:numId w:val="0"/>
        </w:numPr>
        <w:kinsoku/>
        <w:overflowPunct/>
        <w:autoSpaceDE/>
        <w:bidi w:val="0"/>
        <w:spacing w:line="572" w:lineRule="exact"/>
        <w:jc w:val="left"/>
        <w:textAlignment w:val="auto"/>
        <w:outlineLvl w:val="0"/>
        <w:rPr>
          <w:rStyle w:val="17"/>
          <w:rFonts w:ascii="仿宋" w:hAnsi="仿宋" w:eastAsia="仿宋" w:cs="仿宋"/>
          <w:b w:val="0"/>
          <w:color w:val="000000"/>
          <w:sz w:val="32"/>
          <w:szCs w:val="32"/>
          <w:highlight w:val="none"/>
        </w:rPr>
      </w:pPr>
    </w:p>
    <w:p w14:paraId="34D98D44">
      <w:pPr>
        <w:numPr>
          <w:ilvl w:val="0"/>
          <w:numId w:val="0"/>
        </w:numPr>
        <w:spacing w:line="600" w:lineRule="exact"/>
        <w:jc w:val="center"/>
        <w:outlineLvl w:val="0"/>
        <w:rPr>
          <w:rFonts w:ascii="黑体" w:hAnsi="黑体" w:eastAsia="黑体" w:cs="黑体"/>
          <w:color w:val="000000"/>
          <w:sz w:val="44"/>
          <w:szCs w:val="44"/>
          <w:highlight w:val="none"/>
        </w:rPr>
      </w:pPr>
      <w:r>
        <w:rPr>
          <w:rFonts w:cs="Times New Roman"/>
          <w:color w:val="000000"/>
          <w:sz w:val="32"/>
          <w:szCs w:val="32"/>
          <w:lang w:val="en-US" w:eastAsia="zh-CN"/>
        </w:rPr>
        <w:t>部门预算项目支出绩效自评表（202</w:t>
      </w:r>
      <w:r>
        <w:rPr>
          <w:rFonts w:hint="eastAsia" w:cs="Times New Roman"/>
          <w:color w:val="000000"/>
          <w:sz w:val="32"/>
          <w:szCs w:val="32"/>
          <w:lang w:val="en-US" w:eastAsia="zh-CN"/>
        </w:rPr>
        <w:t>5</w:t>
      </w:r>
      <w:r>
        <w:rPr>
          <w:rFonts w:cs="Times New Roman"/>
          <w:color w:val="000000"/>
          <w:sz w:val="32"/>
          <w:szCs w:val="32"/>
          <w:lang w:val="en-US" w:eastAsia="zh-CN"/>
        </w:rPr>
        <w:t>年度）</w:t>
      </w:r>
    </w:p>
    <w:p w14:paraId="341252B3">
      <w:pPr>
        <w:pStyle w:val="8"/>
        <w:keepNext w:val="0"/>
        <w:keepLines w:val="0"/>
        <w:pageBreakBefore w:val="0"/>
        <w:numPr>
          <w:ilvl w:val="0"/>
          <w:numId w:val="0"/>
        </w:numPr>
        <w:kinsoku/>
        <w:overflowPunct/>
        <w:autoSpaceDE/>
        <w:bidi w:val="0"/>
        <w:spacing w:line="560" w:lineRule="exact"/>
        <w:ind w:left="0" w:firstLine="640"/>
        <w:textAlignment w:val="auto"/>
        <w:rPr>
          <w:rFonts w:cs="Times New Roman"/>
          <w:color w:val="000000"/>
          <w:sz w:val="32"/>
          <w:szCs w:val="32"/>
          <w:highlight w:val="none"/>
          <w:lang w:val="en-US" w:eastAsia="zh-CN"/>
        </w:rPr>
      </w:pPr>
      <w:r>
        <w:rPr>
          <w:rFonts w:cs="Times New Roman"/>
          <w:color w:val="000000"/>
          <w:sz w:val="32"/>
          <w:szCs w:val="32"/>
          <w:lang w:val="en-US" w:eastAsia="zh-CN"/>
        </w:rPr>
        <w:t>农业农村服务中心无项目支出。</w:t>
      </w:r>
    </w:p>
    <w:p w14:paraId="58182094">
      <w:pPr>
        <w:pStyle w:val="8"/>
        <w:keepNext w:val="0"/>
        <w:keepLines w:val="0"/>
        <w:pageBreakBefore w:val="0"/>
        <w:numPr>
          <w:ilvl w:val="0"/>
          <w:numId w:val="0"/>
        </w:numPr>
        <w:kinsoku/>
        <w:overflowPunct/>
        <w:autoSpaceDE/>
        <w:bidi w:val="0"/>
        <w:spacing w:line="560" w:lineRule="exact"/>
        <w:ind w:left="0" w:firstLine="640"/>
        <w:textAlignment w:val="auto"/>
        <w:rPr>
          <w:rFonts w:cs="Times New Roman"/>
          <w:color w:val="000000"/>
          <w:sz w:val="32"/>
          <w:szCs w:val="32"/>
          <w:highlight w:val="none"/>
          <w:lang w:val="en-US" w:eastAsia="zh-CN"/>
        </w:rPr>
      </w:pPr>
    </w:p>
    <w:p w14:paraId="13A26F2C">
      <w:pPr>
        <w:pStyle w:val="8"/>
        <w:keepNext w:val="0"/>
        <w:keepLines w:val="0"/>
        <w:pageBreakBefore w:val="0"/>
        <w:numPr>
          <w:ilvl w:val="0"/>
          <w:numId w:val="0"/>
        </w:numPr>
        <w:kinsoku/>
        <w:overflowPunct/>
        <w:autoSpaceDE/>
        <w:bidi w:val="0"/>
        <w:spacing w:line="560" w:lineRule="exact"/>
        <w:ind w:left="0" w:firstLine="640"/>
        <w:textAlignment w:val="auto"/>
        <w:rPr>
          <w:rFonts w:cs="Times New Roman"/>
          <w:color w:val="000000"/>
          <w:sz w:val="32"/>
          <w:szCs w:val="32"/>
          <w:highlight w:val="none"/>
          <w:lang w:val="en-US" w:eastAsia="zh-CN"/>
        </w:rPr>
      </w:pPr>
    </w:p>
    <w:p w14:paraId="4F7FA2E8">
      <w:pPr>
        <w:pStyle w:val="8"/>
        <w:keepNext w:val="0"/>
        <w:keepLines w:val="0"/>
        <w:pageBreakBefore w:val="0"/>
        <w:numPr>
          <w:ilvl w:val="0"/>
          <w:numId w:val="0"/>
        </w:numPr>
        <w:kinsoku/>
        <w:overflowPunct/>
        <w:autoSpaceDE/>
        <w:bidi w:val="0"/>
        <w:spacing w:line="560" w:lineRule="exact"/>
        <w:ind w:left="0" w:firstLine="640"/>
        <w:textAlignment w:val="auto"/>
        <w:rPr>
          <w:rFonts w:ascii="仿宋" w:hAnsi="仿宋" w:eastAsia="仿宋" w:cs="仿宋"/>
          <w:color w:val="000000"/>
          <w:kern w:val="0"/>
          <w:sz w:val="32"/>
          <w:szCs w:val="32"/>
          <w:highlight w:val="none"/>
          <w:lang w:val="en-US" w:eastAsia="zh-CN" w:bidi="ar-SA"/>
        </w:rPr>
      </w:pPr>
      <w:bookmarkStart w:id="0" w:name="_GoBack"/>
      <w:r>
        <w:rPr>
          <w:rFonts w:ascii="仿宋" w:hAnsi="仿宋" w:eastAsia="仿宋" w:cs="仿宋"/>
          <w:color w:val="000000"/>
          <w:sz w:val="32"/>
          <w:szCs w:val="32"/>
          <w:lang w:val="en-US" w:eastAsia="zh-CN" w:bidi="ar-SA"/>
        </w:rPr>
        <w:t>（</w:t>
      </w:r>
      <w:bookmarkEnd w:id="0"/>
      <w:r>
        <w:rPr>
          <w:rFonts w:ascii="仿宋" w:hAnsi="仿宋" w:eastAsia="仿宋" w:cs="仿宋"/>
          <w:color w:val="000000"/>
          <w:sz w:val="32"/>
          <w:szCs w:val="32"/>
          <w:lang w:val="en-US" w:eastAsia="zh-CN" w:bidi="ar-SA"/>
        </w:rPr>
        <w:t>备注：按照绩效自评工作安排，各单位可在预算管理一体化系统—综合报表查询—预算绩效报表模块中下载本单位“部门预算项目支出绩效自评表（</w:t>
      </w:r>
      <w:r>
        <w:rPr>
          <w:rFonts w:eastAsia="仿宋" w:cs="仿宋"/>
          <w:color w:val="000000"/>
          <w:sz w:val="32"/>
          <w:szCs w:val="32"/>
          <w:lang w:val="en-US" w:eastAsia="zh-CN" w:bidi="ar-SA"/>
        </w:rPr>
        <w:t>202</w:t>
      </w:r>
      <w:r>
        <w:rPr>
          <w:rFonts w:hint="eastAsia" w:eastAsia="仿宋" w:cs="仿宋"/>
          <w:color w:val="000000"/>
          <w:sz w:val="32"/>
          <w:szCs w:val="32"/>
          <w:lang w:val="en-US" w:eastAsia="zh-CN" w:bidi="ar-SA"/>
        </w:rPr>
        <w:t>5</w:t>
      </w:r>
      <w:r>
        <w:rPr>
          <w:rFonts w:ascii="仿宋" w:hAnsi="仿宋" w:eastAsia="仿宋" w:cs="仿宋"/>
          <w:color w:val="000000"/>
          <w:sz w:val="32"/>
          <w:szCs w:val="32"/>
          <w:lang w:val="en-US" w:eastAsia="zh-CN" w:bidi="ar-SA"/>
        </w:rPr>
        <w:t>年度）”，该表格应作为附件予以公开。</w:t>
      </w:r>
    </w:p>
    <w:p w14:paraId="085E746E">
      <w:pPr>
        <w:pStyle w:val="6"/>
        <w:rPr>
          <w:rFonts w:ascii="仿宋" w:hAnsi="仿宋" w:eastAsia="仿宋" w:cs="仿宋"/>
          <w:color w:val="000000"/>
          <w:kern w:val="0"/>
          <w:sz w:val="32"/>
          <w:szCs w:val="32"/>
          <w:highlight w:val="none"/>
          <w:lang w:val="en-US" w:eastAsia="zh-CN" w:bidi="ar-SA"/>
        </w:rPr>
      </w:pPr>
    </w:p>
    <w:p w14:paraId="0A2BE45A">
      <w:pPr>
        <w:rPr>
          <w:rFonts w:ascii="黑体" w:hAnsi="黑体" w:eastAsia="黑体" w:cs="黑体"/>
          <w:color w:val="000000"/>
          <w:kern w:val="0"/>
          <w:sz w:val="44"/>
          <w:szCs w:val="44"/>
          <w:highlight w:val="none"/>
          <w:lang w:val="en-US" w:eastAsia="zh-CN" w:bidi="ar-SA"/>
        </w:rPr>
      </w:pPr>
    </w:p>
    <w:p w14:paraId="29C43FAD">
      <w:pPr>
        <w:rPr>
          <w:rFonts w:ascii="黑体" w:hAnsi="黑体" w:eastAsia="黑体" w:cs="黑体"/>
          <w:color w:val="000000"/>
          <w:sz w:val="44"/>
          <w:szCs w:val="44"/>
          <w:highlight w:val="none"/>
        </w:rPr>
      </w:pPr>
    </w:p>
    <w:p w14:paraId="6C9E2962">
      <w:pPr>
        <w:rPr>
          <w:rFonts w:ascii="黑体" w:hAnsi="黑体" w:eastAsia="黑体" w:cs="黑体"/>
          <w:color w:val="000000"/>
          <w:sz w:val="44"/>
          <w:szCs w:val="44"/>
          <w:highlight w:val="none"/>
        </w:rPr>
      </w:pPr>
    </w:p>
    <w:p w14:paraId="523BA096">
      <w:pPr>
        <w:rPr>
          <w:rFonts w:ascii="黑体" w:hAnsi="黑体" w:eastAsia="黑体" w:cs="黑体"/>
          <w:color w:val="000000"/>
          <w:sz w:val="44"/>
          <w:szCs w:val="44"/>
          <w:highlight w:val="none"/>
        </w:rPr>
      </w:pPr>
    </w:p>
    <w:p w14:paraId="400A828F">
      <w:pPr>
        <w:rPr>
          <w:rFonts w:ascii="黑体" w:hAnsi="黑体" w:eastAsia="黑体" w:cs="黑体"/>
          <w:color w:val="000000"/>
          <w:sz w:val="44"/>
          <w:szCs w:val="44"/>
          <w:highlight w:val="none"/>
        </w:rPr>
      </w:pPr>
    </w:p>
    <w:p w14:paraId="41BEB23C">
      <w:pPr>
        <w:rPr>
          <w:rFonts w:ascii="黑体" w:hAnsi="黑体" w:eastAsia="黑体" w:cs="黑体"/>
          <w:color w:val="000000"/>
          <w:sz w:val="44"/>
          <w:szCs w:val="44"/>
          <w:highlight w:val="none"/>
        </w:rPr>
      </w:pPr>
    </w:p>
    <w:p w14:paraId="00A94C56">
      <w:pPr>
        <w:rPr>
          <w:rFonts w:ascii="黑体" w:hAnsi="黑体" w:eastAsia="黑体" w:cs="黑体"/>
          <w:color w:val="000000"/>
          <w:sz w:val="44"/>
          <w:szCs w:val="44"/>
          <w:highlight w:val="none"/>
        </w:rPr>
      </w:pPr>
    </w:p>
    <w:p w14:paraId="66D5AF57">
      <w:pPr>
        <w:rPr>
          <w:rFonts w:ascii="黑体" w:hAnsi="黑体" w:eastAsia="黑体" w:cs="黑体"/>
          <w:color w:val="000000"/>
          <w:sz w:val="44"/>
          <w:szCs w:val="44"/>
          <w:highlight w:val="none"/>
        </w:rPr>
      </w:pPr>
    </w:p>
    <w:p w14:paraId="2F4B2237">
      <w:pPr>
        <w:rPr>
          <w:rFonts w:ascii="黑体" w:hAnsi="黑体" w:eastAsia="黑体" w:cs="黑体"/>
          <w:color w:val="000000"/>
          <w:sz w:val="44"/>
          <w:szCs w:val="44"/>
          <w:highlight w:val="none"/>
        </w:rPr>
      </w:pPr>
    </w:p>
    <w:p w14:paraId="04DAA90E">
      <w:pPr>
        <w:rPr>
          <w:rFonts w:ascii="黑体" w:hAnsi="黑体" w:eastAsia="黑体" w:cs="黑体"/>
          <w:color w:val="000000"/>
          <w:sz w:val="44"/>
          <w:szCs w:val="44"/>
          <w:highlight w:val="none"/>
        </w:rPr>
      </w:pPr>
      <w:r>
        <w:br w:type="page"/>
      </w:r>
    </w:p>
    <w:p w14:paraId="1EBD6FE0">
      <w:pPr>
        <w:rPr>
          <w:rFonts w:ascii="黑体" w:hAnsi="黑体" w:eastAsia="黑体" w:cs="黑体"/>
          <w:color w:val="000000"/>
          <w:sz w:val="44"/>
          <w:szCs w:val="44"/>
          <w:highlight w:val="none"/>
        </w:rPr>
      </w:pPr>
    </w:p>
    <w:p w14:paraId="4FCDB7C0">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17"/>
          <w:rFonts w:ascii="黑体" w:hAnsi="黑体" w:eastAsia="黑体" w:cs="黑体"/>
          <w:b w:val="0"/>
          <w:color w:val="000000"/>
        </w:rPr>
        <w:t>五部分 附表</w:t>
      </w:r>
    </w:p>
    <w:p w14:paraId="29E12C2E">
      <w:pPr>
        <w:pStyle w:val="4"/>
        <w:rPr>
          <w:rFonts w:ascii="仿宋" w:hAnsi="仿宋" w:eastAsia="仿宋" w:cs="仿宋"/>
          <w:color w:val="000000"/>
          <w:highlight w:val="none"/>
        </w:rPr>
      </w:pPr>
      <w:r>
        <w:rPr>
          <w:rFonts w:ascii="仿宋" w:hAnsi="仿宋" w:eastAsia="仿宋" w:cs="仿宋"/>
          <w:b w:val="0"/>
          <w:color w:val="000000"/>
        </w:rPr>
        <w:t>一、收</w:t>
      </w:r>
      <w:r>
        <w:rPr>
          <w:rStyle w:val="18"/>
          <w:rFonts w:ascii="仿宋" w:hAnsi="仿宋" w:eastAsia="仿宋" w:cs="仿宋"/>
          <w:b w:val="0"/>
          <w:bCs w:val="0"/>
          <w:color w:val="000000"/>
        </w:rPr>
        <w:t>入支出决算总表</w:t>
      </w:r>
    </w:p>
    <w:p w14:paraId="3C518B73">
      <w:pPr>
        <w:pStyle w:val="4"/>
        <w:rPr>
          <w:rFonts w:ascii="仿宋" w:hAnsi="仿宋" w:eastAsia="仿宋" w:cs="仿宋"/>
          <w:color w:val="000000"/>
          <w:highlight w:val="none"/>
        </w:rPr>
      </w:pPr>
      <w:r>
        <w:rPr>
          <w:rFonts w:ascii="仿宋" w:hAnsi="仿宋" w:eastAsia="仿宋" w:cs="仿宋"/>
          <w:b w:val="0"/>
          <w:color w:val="000000"/>
        </w:rPr>
        <w:t>二、收</w:t>
      </w:r>
      <w:r>
        <w:rPr>
          <w:rStyle w:val="18"/>
          <w:rFonts w:ascii="仿宋" w:hAnsi="仿宋" w:eastAsia="仿宋" w:cs="仿宋"/>
          <w:b w:val="0"/>
          <w:bCs w:val="0"/>
          <w:color w:val="000000"/>
        </w:rPr>
        <w:t>入决算表</w:t>
      </w:r>
    </w:p>
    <w:p w14:paraId="011D6A78">
      <w:pPr>
        <w:pStyle w:val="4"/>
        <w:rPr>
          <w:rFonts w:ascii="仿宋" w:hAnsi="仿宋" w:eastAsia="仿宋" w:cs="仿宋"/>
          <w:color w:val="000000"/>
          <w:highlight w:val="none"/>
        </w:rPr>
      </w:pPr>
      <w:r>
        <w:rPr>
          <w:rStyle w:val="18"/>
          <w:rFonts w:ascii="仿宋" w:hAnsi="仿宋" w:eastAsia="仿宋" w:cs="仿宋"/>
          <w:b w:val="0"/>
          <w:bCs w:val="0"/>
          <w:color w:val="000000"/>
        </w:rPr>
        <w:t>三、</w:t>
      </w:r>
      <w:r>
        <w:rPr>
          <w:rFonts w:ascii="仿宋" w:hAnsi="仿宋" w:eastAsia="仿宋" w:cs="仿宋"/>
          <w:b w:val="0"/>
          <w:color w:val="000000"/>
        </w:rPr>
        <w:t>支</w:t>
      </w:r>
      <w:r>
        <w:rPr>
          <w:rStyle w:val="18"/>
          <w:rFonts w:ascii="仿宋" w:hAnsi="仿宋" w:eastAsia="仿宋" w:cs="仿宋"/>
          <w:b w:val="0"/>
          <w:bCs w:val="0"/>
          <w:color w:val="000000"/>
        </w:rPr>
        <w:t>出决算表</w:t>
      </w:r>
    </w:p>
    <w:p w14:paraId="0380693B">
      <w:pPr>
        <w:pStyle w:val="4"/>
        <w:rPr>
          <w:rFonts w:ascii="仿宋" w:hAnsi="仿宋" w:eastAsia="仿宋" w:cs="仿宋"/>
          <w:b w:val="0"/>
          <w:color w:val="000000"/>
          <w:highlight w:val="none"/>
        </w:rPr>
      </w:pPr>
      <w:r>
        <w:rPr>
          <w:rStyle w:val="18"/>
          <w:rFonts w:ascii="仿宋" w:hAnsi="仿宋" w:eastAsia="仿宋" w:cs="仿宋"/>
          <w:b w:val="0"/>
          <w:bCs w:val="0"/>
          <w:color w:val="000000"/>
        </w:rPr>
        <w:t>四、</w:t>
      </w:r>
      <w:r>
        <w:rPr>
          <w:rFonts w:ascii="仿宋" w:hAnsi="仿宋" w:eastAsia="仿宋" w:cs="仿宋"/>
          <w:b w:val="0"/>
          <w:color w:val="000000"/>
        </w:rPr>
        <w:t>财</w:t>
      </w:r>
      <w:r>
        <w:rPr>
          <w:rStyle w:val="18"/>
          <w:rFonts w:ascii="仿宋" w:hAnsi="仿宋" w:eastAsia="仿宋" w:cs="仿宋"/>
          <w:b w:val="0"/>
          <w:bCs w:val="0"/>
          <w:color w:val="000000"/>
        </w:rPr>
        <w:t>政拨款收入支出决算总表</w:t>
      </w:r>
    </w:p>
    <w:p w14:paraId="723BACF8">
      <w:pPr>
        <w:pStyle w:val="4"/>
        <w:rPr>
          <w:rStyle w:val="18"/>
          <w:rFonts w:ascii="仿宋" w:hAnsi="仿宋" w:eastAsia="仿宋" w:cs="仿宋"/>
          <w:b w:val="0"/>
          <w:bCs w:val="0"/>
          <w:color w:val="000000"/>
          <w:highlight w:val="none"/>
        </w:rPr>
      </w:pPr>
      <w:r>
        <w:rPr>
          <w:rStyle w:val="18"/>
          <w:rFonts w:ascii="仿宋" w:hAnsi="仿宋" w:eastAsia="仿宋" w:cs="仿宋"/>
          <w:b w:val="0"/>
          <w:bCs w:val="0"/>
          <w:color w:val="000000"/>
        </w:rPr>
        <w:t>五、</w:t>
      </w:r>
      <w:r>
        <w:rPr>
          <w:rFonts w:ascii="仿宋" w:hAnsi="仿宋" w:eastAsia="仿宋" w:cs="仿宋"/>
          <w:b w:val="0"/>
          <w:color w:val="000000"/>
        </w:rPr>
        <w:t>财</w:t>
      </w:r>
      <w:r>
        <w:rPr>
          <w:rStyle w:val="18"/>
          <w:rFonts w:ascii="仿宋" w:hAnsi="仿宋" w:eastAsia="仿宋" w:cs="仿宋"/>
          <w:b w:val="0"/>
          <w:bCs w:val="0"/>
          <w:color w:val="000000"/>
        </w:rPr>
        <w:t>政拨款支出决算明细表</w:t>
      </w:r>
    </w:p>
    <w:p w14:paraId="45973619">
      <w:pPr>
        <w:pStyle w:val="4"/>
        <w:rPr>
          <w:rFonts w:ascii="仿宋" w:hAnsi="仿宋" w:eastAsia="仿宋" w:cs="仿宋"/>
          <w:color w:val="000000"/>
          <w:highlight w:val="none"/>
        </w:rPr>
      </w:pPr>
      <w:r>
        <w:rPr>
          <w:rStyle w:val="18"/>
          <w:rFonts w:ascii="仿宋" w:hAnsi="仿宋" w:eastAsia="仿宋" w:cs="仿宋"/>
          <w:b w:val="0"/>
          <w:bCs w:val="0"/>
          <w:color w:val="000000"/>
        </w:rPr>
        <w:t>六、</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般公共预算财政拨款支出决算表</w:t>
      </w:r>
    </w:p>
    <w:p w14:paraId="1D73BAE0">
      <w:pPr>
        <w:pStyle w:val="4"/>
        <w:rPr>
          <w:rFonts w:ascii="仿宋" w:hAnsi="仿宋" w:eastAsia="仿宋" w:cs="仿宋"/>
          <w:color w:val="000000"/>
          <w:highlight w:val="none"/>
        </w:rPr>
      </w:pPr>
      <w:r>
        <w:rPr>
          <w:rStyle w:val="18"/>
          <w:rFonts w:ascii="仿宋" w:hAnsi="仿宋" w:eastAsia="仿宋" w:cs="仿宋"/>
          <w:b w:val="0"/>
          <w:bCs w:val="0"/>
          <w:color w:val="000000"/>
        </w:rPr>
        <w:t>七、</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般公共预算财政拨款支出决算明细表</w:t>
      </w:r>
    </w:p>
    <w:p w14:paraId="1074C9FC">
      <w:pPr>
        <w:pStyle w:val="4"/>
        <w:rPr>
          <w:rFonts w:ascii="仿宋" w:hAnsi="仿宋" w:eastAsia="仿宋" w:cs="仿宋"/>
          <w:color w:val="000000"/>
          <w:highlight w:val="none"/>
        </w:rPr>
      </w:pPr>
      <w:r>
        <w:rPr>
          <w:rStyle w:val="18"/>
          <w:rFonts w:ascii="仿宋" w:hAnsi="仿宋" w:eastAsia="仿宋" w:cs="仿宋"/>
          <w:b w:val="0"/>
          <w:bCs w:val="0"/>
          <w:color w:val="000000"/>
        </w:rPr>
        <w:t>八、</w:t>
      </w:r>
      <w:r>
        <w:rPr>
          <w:rFonts w:ascii="仿宋" w:hAnsi="仿宋" w:eastAsia="仿宋" w:cs="仿宋"/>
          <w:b w:val="0"/>
          <w:color w:val="000000"/>
        </w:rPr>
        <w:t>一</w:t>
      </w:r>
      <w:r>
        <w:rPr>
          <w:rStyle w:val="18"/>
          <w:rFonts w:ascii="仿宋" w:hAnsi="仿宋" w:eastAsia="仿宋" w:cs="仿宋"/>
          <w:b w:val="0"/>
          <w:bCs w:val="0"/>
          <w:color w:val="000000"/>
        </w:rPr>
        <w:t>般公共预算财政拨款基本支出决算表</w:t>
      </w:r>
    </w:p>
    <w:p w14:paraId="0322CEDA">
      <w:pPr>
        <w:pStyle w:val="4"/>
        <w:rPr>
          <w:rFonts w:ascii="仿宋" w:hAnsi="仿宋" w:eastAsia="仿宋" w:cs="仿宋"/>
          <w:color w:val="000000"/>
          <w:highlight w:val="none"/>
        </w:rPr>
      </w:pPr>
      <w:r>
        <w:rPr>
          <w:rStyle w:val="18"/>
          <w:rFonts w:ascii="仿宋" w:hAnsi="仿宋" w:eastAsia="仿宋" w:cs="仿宋"/>
          <w:b w:val="0"/>
          <w:bCs w:val="0"/>
          <w:color w:val="000000"/>
        </w:rPr>
        <w:t>九、</w:t>
      </w:r>
      <w:r>
        <w:rPr>
          <w:rFonts w:ascii="仿宋" w:hAnsi="仿宋" w:eastAsia="仿宋" w:cs="仿宋"/>
          <w:b w:val="0"/>
          <w:color w:val="000000"/>
        </w:rPr>
        <w:t>一</w:t>
      </w:r>
      <w:r>
        <w:rPr>
          <w:rStyle w:val="18"/>
          <w:rFonts w:ascii="仿宋" w:hAnsi="仿宋" w:eastAsia="仿宋" w:cs="仿宋"/>
          <w:b w:val="0"/>
          <w:bCs w:val="0"/>
          <w:color w:val="000000"/>
        </w:rPr>
        <w:t>般公共预算财政拨款项目支出决算表</w:t>
      </w:r>
    </w:p>
    <w:p w14:paraId="6B28303B">
      <w:pPr>
        <w:pStyle w:val="4"/>
        <w:rPr>
          <w:rFonts w:ascii="仿宋" w:hAnsi="仿宋" w:eastAsia="仿宋" w:cs="仿宋"/>
          <w:color w:val="000000"/>
          <w:highlight w:val="none"/>
        </w:rPr>
      </w:pPr>
      <w:r>
        <w:rPr>
          <w:rStyle w:val="18"/>
          <w:rFonts w:ascii="仿宋" w:hAnsi="仿宋" w:eastAsia="仿宋" w:cs="仿宋"/>
          <w:b w:val="0"/>
          <w:bCs w:val="0"/>
          <w:color w:val="000000"/>
        </w:rPr>
        <w:t>十、</w:t>
      </w:r>
      <w:r>
        <w:rPr>
          <w:rFonts w:ascii="仿宋" w:hAnsi="仿宋" w:eastAsia="仿宋" w:cs="仿宋"/>
          <w:b w:val="0"/>
          <w:color w:val="000000"/>
        </w:rPr>
        <w:t>政</w:t>
      </w:r>
      <w:r>
        <w:rPr>
          <w:rStyle w:val="18"/>
          <w:rFonts w:ascii="仿宋" w:hAnsi="仿宋" w:eastAsia="仿宋" w:cs="仿宋"/>
          <w:b w:val="0"/>
          <w:bCs w:val="0"/>
          <w:color w:val="000000"/>
        </w:rPr>
        <w:t>府性基金预算财政拨款收入支出决算表</w:t>
      </w:r>
    </w:p>
    <w:p w14:paraId="0B200C63">
      <w:pPr>
        <w:pStyle w:val="4"/>
        <w:rPr>
          <w:rFonts w:ascii="仿宋" w:hAnsi="仿宋" w:eastAsia="仿宋" w:cs="仿宋"/>
          <w:color w:val="000000"/>
          <w:highlight w:val="none"/>
        </w:rPr>
      </w:pPr>
      <w:r>
        <w:rPr>
          <w:rStyle w:val="18"/>
          <w:rFonts w:ascii="仿宋" w:hAnsi="仿宋" w:eastAsia="仿宋" w:cs="仿宋"/>
          <w:b w:val="0"/>
          <w:bCs w:val="0"/>
          <w:color w:val="000000"/>
        </w:rPr>
        <w:t>十一、</w:t>
      </w:r>
      <w:r>
        <w:rPr>
          <w:rFonts w:ascii="仿宋" w:hAnsi="仿宋" w:eastAsia="仿宋" w:cs="仿宋"/>
          <w:b w:val="0"/>
          <w:color w:val="000000"/>
        </w:rPr>
        <w:t>国</w:t>
      </w:r>
      <w:r>
        <w:rPr>
          <w:rStyle w:val="18"/>
          <w:rFonts w:ascii="仿宋" w:hAnsi="仿宋" w:eastAsia="仿宋" w:cs="仿宋"/>
          <w:b w:val="0"/>
          <w:bCs w:val="0"/>
          <w:color w:val="000000"/>
        </w:rPr>
        <w:t>有资本经营预算</w:t>
      </w:r>
      <w:r>
        <w:rPr>
          <w:rStyle w:val="18"/>
          <w:rFonts w:ascii="仿宋" w:hAnsi="仿宋" w:eastAsia="仿宋" w:cs="仿宋"/>
          <w:b w:val="0"/>
          <w:bCs w:val="0"/>
          <w:color w:val="000000"/>
          <w:lang w:eastAsia="zh-CN"/>
        </w:rPr>
        <w:t>财政拨款收入</w:t>
      </w:r>
      <w:r>
        <w:rPr>
          <w:rStyle w:val="18"/>
          <w:rFonts w:ascii="仿宋" w:hAnsi="仿宋" w:eastAsia="仿宋" w:cs="仿宋"/>
          <w:b w:val="0"/>
          <w:bCs w:val="0"/>
          <w:color w:val="000000"/>
        </w:rPr>
        <w:t>支出决算表</w:t>
      </w:r>
    </w:p>
    <w:p w14:paraId="0771CC14">
      <w:pPr>
        <w:pStyle w:val="4"/>
        <w:rPr>
          <w:rFonts w:ascii="仿宋" w:hAnsi="仿宋" w:eastAsia="仿宋" w:cs="仿宋"/>
          <w:color w:val="000000"/>
          <w:highlight w:val="none"/>
        </w:rPr>
      </w:pPr>
      <w:r>
        <w:rPr>
          <w:rStyle w:val="18"/>
          <w:rFonts w:ascii="仿宋" w:hAnsi="仿宋" w:eastAsia="仿宋" w:cs="仿宋"/>
          <w:b w:val="0"/>
          <w:bCs w:val="0"/>
          <w:color w:val="000000"/>
        </w:rPr>
        <w:t>十二、</w:t>
      </w:r>
      <w:r>
        <w:rPr>
          <w:rStyle w:val="18"/>
          <w:rFonts w:ascii="仿宋" w:hAnsi="仿宋" w:eastAsia="仿宋" w:cs="仿宋"/>
          <w:b w:val="0"/>
          <w:bCs w:val="0"/>
          <w:color w:val="000000"/>
          <w:lang w:eastAsia="zh-CN"/>
        </w:rPr>
        <w:t>国有资本经营预算财政拨款支出决算表</w:t>
      </w:r>
    </w:p>
    <w:p w14:paraId="6B658AD5">
      <w:pPr>
        <w:pStyle w:val="4"/>
        <w:rPr>
          <w:rFonts w:eastAsia="仿宋"/>
          <w:color w:val="000000"/>
          <w:highlight w:val="none"/>
          <w:lang w:eastAsia="zh-CN"/>
        </w:rPr>
      </w:pPr>
      <w:r>
        <w:rPr>
          <w:rStyle w:val="18"/>
          <w:rFonts w:ascii="仿宋" w:hAnsi="仿宋" w:eastAsia="仿宋" w:cs="仿宋"/>
          <w:b w:val="0"/>
          <w:bCs w:val="0"/>
          <w:color w:val="000000"/>
        </w:rPr>
        <w:t>十三、</w:t>
      </w:r>
      <w:r>
        <w:rPr>
          <w:rStyle w:val="18"/>
          <w:rFonts w:ascii="仿宋" w:hAnsi="仿宋" w:eastAsia="仿宋" w:cs="仿宋"/>
          <w:b w:val="0"/>
          <w:bCs w:val="0"/>
          <w:color w:val="000000"/>
          <w:lang w:eastAsia="zh-CN"/>
        </w:rPr>
        <w:t>财政拨款“三公”经费支出决算表</w:t>
      </w:r>
    </w:p>
    <w:p w14:paraId="540AD4B2">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2029A4-F7C5-4947-AA76-7E8F7A661C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2" w:fontKey="{A7D399BF-EBE3-441F-8790-32B241B16CC4}"/>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3" w:fontKey="{39999922-43FA-46FA-8EE6-399C266EBF23}"/>
  </w:font>
  <w:font w:name="Noto Serif CJK SC">
    <w:altName w:val="宋体"/>
    <w:panose1 w:val="00000000000000000000"/>
    <w:charset w:val="86"/>
    <w:family w:val="auto"/>
    <w:pitch w:val="default"/>
    <w:sig w:usb0="00000000" w:usb1="00000000" w:usb2="00000000" w:usb3="00000000" w:csb0="00000000" w:csb1="00000000"/>
    <w:embedRegular r:id="rId4" w:fontKey="{534AD558-4028-4407-A508-FAF099A7F869}"/>
  </w:font>
  <w:font w:name="Cambria">
    <w:panose1 w:val="02040503050406030204"/>
    <w:charset w:val="00"/>
    <w:family w:val="roman"/>
    <w:pitch w:val="default"/>
    <w:sig w:usb0="E00006FF" w:usb1="420024FF" w:usb2="02000000" w:usb3="00000000" w:csb0="2000019F" w:csb1="00000000"/>
    <w:embedRegular r:id="rId5" w:fontKey="{881C25CE-5B44-4E2A-BB39-82E8BFE24480}"/>
  </w:font>
  <w:font w:name="仿宋">
    <w:panose1 w:val="02010609060101010101"/>
    <w:charset w:val="86"/>
    <w:family w:val="modern"/>
    <w:pitch w:val="default"/>
    <w:sig w:usb0="800002BF" w:usb1="38CF7CFA" w:usb2="00000016" w:usb3="00000000" w:csb0="00040001" w:csb1="00000000"/>
    <w:embedRegular r:id="rId6" w:fontKey="{86AEF8B0-9DE4-49FA-88F2-4DBE0A7C1AF9}"/>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7" w:fontKey="{4FE2FE7B-EC63-48DD-87C4-B65D321EE397}"/>
  </w:font>
  <w:font w:name="华文中宋;宋体">
    <w:altName w:val="宋体"/>
    <w:panose1 w:val="00000000000000000000"/>
    <w:charset w:val="00"/>
    <w:family w:val="auto"/>
    <w:pitch w:val="default"/>
    <w:sig w:usb0="00000000" w:usb1="00000000" w:usb2="00000000" w:usb3="00000000" w:csb0="00000000" w:csb1="00000000"/>
    <w:embedRegular r:id="rId8" w:fontKey="{D7B543E5-2E95-4552-8A83-8B0FB0AEE8F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59ADCABA"/>
    <w:multiLevelType w:val="singleLevel"/>
    <w:tmpl w:val="59ADCABA"/>
    <w:lvl w:ilvl="0" w:tentative="0">
      <w:start w:val="3"/>
      <w:numFmt w:val="decimal"/>
      <w:lvlText w:val="%1."/>
      <w:lvlJc w:val="left"/>
      <w:pPr>
        <w:tabs>
          <w:tab w:val="left" w:pos="42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20670E5A"/>
    <w:rsid w:val="2F381CDC"/>
    <w:rsid w:val="3DA1224C"/>
    <w:rsid w:val="4FA113E3"/>
    <w:rsid w:val="5AB83A84"/>
    <w:rsid w:val="7E0E3838"/>
    <w:rsid w:val="7FFC5E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styleId="5">
    <w:name w:val="caption"/>
    <w:basedOn w:val="1"/>
    <w:qFormat/>
    <w:uiPriority w:val="0"/>
    <w:pPr>
      <w:suppressLineNumbers/>
      <w:spacing w:before="120" w:after="120"/>
    </w:pPr>
    <w:rPr>
      <w:rFonts w:cs="Lohit Devanagari"/>
      <w:i/>
      <w:iCs/>
      <w:sz w:val="24"/>
      <w:szCs w:val="24"/>
    </w:rPr>
  </w:style>
  <w:style w:type="paragraph" w:styleId="6">
    <w:name w:val="Body Text"/>
    <w:basedOn w:val="1"/>
    <w:qFormat/>
    <w:uiPriority w:val="0"/>
    <w:pPr>
      <w:spacing w:before="0" w:after="140" w:line="276" w:lineRule="auto"/>
    </w:pPr>
  </w:style>
  <w:style w:type="paragraph" w:styleId="7">
    <w:name w:val="Body Text Indent"/>
    <w:basedOn w:val="1"/>
    <w:next w:val="8"/>
    <w:qFormat/>
    <w:uiPriority w:val="0"/>
    <w:pPr>
      <w:spacing w:before="0" w:after="120"/>
    </w:pPr>
    <w:rPr>
      <w:rFonts w:ascii="仿宋" w:hAnsi="仿宋"/>
      <w:szCs w:val="32"/>
    </w:rPr>
  </w:style>
  <w:style w:type="paragraph" w:customStyle="1" w:styleId="8">
    <w:name w:val="正文首行缩进 21"/>
    <w:basedOn w:val="7"/>
    <w:qFormat/>
    <w:uiPriority w:val="0"/>
    <w:pPr>
      <w:ind w:firstLine="420"/>
    </w:pPr>
  </w:style>
  <w:style w:type="paragraph" w:styleId="9">
    <w:name w:val="toc 1"/>
    <w:basedOn w:val="1"/>
    <w:next w:val="1"/>
    <w:uiPriority w:val="0"/>
    <w:pPr>
      <w:tabs>
        <w:tab w:val="right" w:leader="dot" w:pos="8296"/>
      </w:tabs>
      <w:spacing w:before="93" w:after="0"/>
      <w:jc w:val="center"/>
    </w:pPr>
    <w:rPr>
      <w:rFonts w:ascii="仿宋" w:hAnsi="仿宋" w:eastAsia="仿宋" w:cs="仿宋"/>
      <w:sz w:val="28"/>
      <w:szCs w:val="28"/>
    </w:rPr>
  </w:style>
  <w:style w:type="paragraph" w:styleId="10">
    <w:name w:val="List"/>
    <w:basedOn w:val="6"/>
    <w:qFormat/>
    <w:uiPriority w:val="0"/>
  </w:style>
  <w:style w:type="paragraph" w:styleId="11">
    <w:name w:val="footnote text"/>
    <w:basedOn w:val="1"/>
    <w:next w:val="8"/>
    <w:qFormat/>
    <w:uiPriority w:val="0"/>
    <w:pPr>
      <w:snapToGrid w:val="0"/>
      <w:jc w:val="left"/>
    </w:pPr>
    <w:rPr>
      <w:sz w:val="18"/>
      <w:szCs w:val="18"/>
    </w:rPr>
  </w:style>
  <w:style w:type="paragraph" w:styleId="12">
    <w:name w:val="toc 2"/>
    <w:basedOn w:val="1"/>
    <w:next w:val="1"/>
    <w:qFormat/>
    <w:uiPriority w:val="0"/>
    <w:pPr>
      <w:tabs>
        <w:tab w:val="right" w:leader="dot" w:pos="8296"/>
      </w:tabs>
      <w:ind w:left="420" w:firstLine="0"/>
    </w:pPr>
  </w:style>
  <w:style w:type="character" w:customStyle="1" w:styleId="15">
    <w:name w:val="WW8Num2z0"/>
    <w:qFormat/>
    <w:uiPriority w:val="0"/>
  </w:style>
  <w:style w:type="character" w:customStyle="1" w:styleId="16">
    <w:name w:val="默认段落字体11"/>
    <w:qFormat/>
    <w:uiPriority w:val="0"/>
  </w:style>
  <w:style w:type="character" w:customStyle="1" w:styleId="17">
    <w:name w:val="标题 1 Char"/>
    <w:basedOn w:val="16"/>
    <w:qFormat/>
    <w:uiPriority w:val="0"/>
    <w:rPr>
      <w:b/>
      <w:bCs/>
      <w:kern w:val="2"/>
      <w:sz w:val="44"/>
      <w:szCs w:val="44"/>
    </w:rPr>
  </w:style>
  <w:style w:type="character" w:customStyle="1" w:styleId="18">
    <w:name w:val="标题 2 Char"/>
    <w:basedOn w:val="16"/>
    <w:qFormat/>
    <w:uiPriority w:val="0"/>
    <w:rPr>
      <w:rFonts w:ascii="Cambria" w:hAnsi="Cambria" w:eastAsia="宋体" w:cs="Times New Roman"/>
      <w:b/>
      <w:bCs/>
      <w:sz w:val="32"/>
      <w:szCs w:val="32"/>
    </w:rPr>
  </w:style>
  <w:style w:type="character" w:customStyle="1" w:styleId="19">
    <w:name w:val="Strong Emphasis"/>
    <w:basedOn w:val="16"/>
    <w:qFormat/>
    <w:uiPriority w:val="0"/>
    <w:rPr>
      <w:b/>
    </w:rPr>
  </w:style>
  <w:style w:type="character" w:customStyle="1" w:styleId="20">
    <w:name w:val="默认段落字体1"/>
    <w:qFormat/>
    <w:uiPriority w:val="0"/>
  </w:style>
  <w:style w:type="paragraph" w:customStyle="1" w:styleId="21">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2">
    <w:name w:val="Index"/>
    <w:basedOn w:val="1"/>
    <w:qFormat/>
    <w:uiPriority w:val="0"/>
    <w:pPr>
      <w:widowControl w:val="0"/>
      <w:suppressLineNumbers/>
      <w:suppressAutoHyphens/>
    </w:pPr>
  </w:style>
  <w:style w:type="paragraph" w:customStyle="1" w:styleId="23">
    <w:name w:val="题注1"/>
    <w:basedOn w:val="1"/>
    <w:qFormat/>
    <w:uiPriority w:val="0"/>
    <w:pPr>
      <w:widowControl w:val="0"/>
      <w:suppressLineNumbers/>
      <w:suppressAutoHyphens/>
      <w:spacing w:before="120" w:after="120"/>
    </w:pPr>
    <w:rPr>
      <w:i/>
      <w:iCs/>
      <w:sz w:val="24"/>
      <w:szCs w:val="24"/>
    </w:rPr>
  </w:style>
  <w:style w:type="paragraph" w:customStyle="1" w:styleId="24">
    <w:name w:val="索引 51"/>
    <w:basedOn w:val="1"/>
    <w:next w:val="1"/>
    <w:qFormat/>
    <w:uiPriority w:val="0"/>
    <w:pPr>
      <w:spacing w:before="0" w:after="0"/>
      <w:ind w:left="1680" w:right="0" w:firstLine="0"/>
      <w:jc w:val="left"/>
    </w:pPr>
    <w:rPr>
      <w:rFonts w:ascii="宋体" w:hAnsi="宋体" w:eastAsia="宋体" w:cs="宋体"/>
      <w:kern w:val="0"/>
      <w:sz w:val="24"/>
      <w:szCs w:val="24"/>
      <w:lang w:val="en-US" w:eastAsia="zh-CN" w:bidi="ar"/>
    </w:rPr>
  </w:style>
  <w:style w:type="paragraph" w:customStyle="1" w:styleId="25">
    <w:name w:val="纯文本1"/>
    <w:basedOn w:val="1"/>
    <w:next w:val="24"/>
    <w:qFormat/>
    <w:uiPriority w:val="0"/>
    <w:pPr>
      <w:spacing w:before="0" w:after="0"/>
      <w:ind w:left="0" w:right="0" w:firstLine="0"/>
      <w:jc w:val="left"/>
    </w:pPr>
    <w:rPr>
      <w:rFonts w:ascii="宋体" w:hAnsi="宋体" w:eastAsia="宋体" w:cs="宋体"/>
      <w:kern w:val="0"/>
      <w:sz w:val="24"/>
      <w:szCs w:val="24"/>
      <w:lang w:val="en-US" w:eastAsia="zh-CN" w:bidi="ar"/>
    </w:rPr>
  </w:style>
  <w:style w:type="paragraph" w:styleId="26">
    <w:name w:val="List Paragraph"/>
    <w:basedOn w:val="1"/>
    <w:qFormat/>
    <w:uiPriority w:val="0"/>
    <w:pPr>
      <w:ind w:firstLine="420"/>
    </w:pPr>
  </w:style>
  <w:style w:type="paragraph" w:customStyle="1" w:styleId="27">
    <w:name w:val="普通(网站) Char"/>
    <w:basedOn w:val="1"/>
    <w:qFormat/>
    <w:uiPriority w:val="0"/>
    <w:pPr>
      <w:spacing w:before="100" w:after="100"/>
      <w:ind w:left="0" w:right="0" w:firstLine="0"/>
      <w:jc w:val="left"/>
    </w:pPr>
    <w:rPr>
      <w:rFonts w:ascii="宋体" w:hAnsi="宋体" w:eastAsia="宋体" w:cs="宋体"/>
      <w:kern w:val="0"/>
      <w:sz w:val="24"/>
      <w:szCs w:val="24"/>
      <w:lang w:val="en-US" w:eastAsia="zh-CN" w:bidi="ar"/>
    </w:rPr>
  </w:style>
  <w:style w:type="paragraph" w:customStyle="1" w:styleId="28">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bfe9960e-98b5-41ad-a3e3-89d79aea43b8</errorID>
      <errorWord>党要管党、从严治党</errorWord>
      <group>L1_Political</group>
      <groupName>政治性问题</groupName>
      <ability>L2_Unpolitical</ability>
      <abilityName>政治敏感错误</abilityName>
      <candidateList>
        <item>党要管党、全面从严治党</item>
      </candidateList>
      <explain/>
      <paraID>7DD60017</paraID>
      <start>4</start>
      <end>15</end>
      <status>modified</status>
      <modifiedWord>党要管党、全面从严治党</modifiedWord>
      <trackRevisions>false</trackRevisions>
    </reviewItem>
    <reviewItem>
      <errorID>def79f9e-ecbf-4798-9fd2-dc5911445fc4</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2042B785</paraID>
      <start>10</start>
      <end>36</end>
      <status>modified</status>
      <modifiedWord>经济建设、政治建设、文化建设、社会建设、生态文明建设</modifiedWord>
      <trackRevisions>false</trackRevisions>
    </reviewItem>
    <reviewItem>
      <errorID>71299318-b322-41e0-8c11-36dd37ec88c2</errorID>
      <errorWord>法制建设</errorWord>
      <group>L1_Political</group>
      <groupName>政治性问题</groupName>
      <ability>L2_Unpolitical</ability>
      <abilityName>政治敏感错误</abilityName>
      <candidateList>
        <item>法治建设</item>
      </candidateList>
      <explain/>
      <paraID>2042B785</paraID>
      <start>37</start>
      <end>41</end>
      <status>modified</status>
      <modifiedWord>法治建设</modifiedWord>
      <trackRevisions>false</trackRevisions>
    </reviewItem>
    <reviewItem>
      <errorID>a93b60ca-ed4a-4379-b706-2949777d24a4</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1D66C2C7</paraID>
      <start>78</start>
      <end>103</end>
      <status>modified</status>
      <modifiedWord>党的政治领导力、思想引领力、群众组织力、社会号召力</modifiedWord>
      <trackRevisions>false</trackRevisions>
    </reviewItem>
    <reviewItem>
      <errorID>2dbc9713-15a4-44c9-8580-2f5a59f00ebd</errorID>
      <errorWord>巩固脱贫攻坚成果</errorWord>
      <group>L1_Word</group>
      <groupName>字词问题</groupName>
      <ability>L2_Typo</ability>
      <abilityName>字词错误</abilityName>
      <candidateList>
        <item>巩固拓展脱贫攻坚成果</item>
      </candidateList>
      <explain/>
      <paraID>643E28C6</paraID>
      <start>2</start>
      <end>12</end>
      <status>modified</status>
      <modifiedWord>巩固拓展脱贫攻坚成果</modifiedWord>
      <trackRevisions>false</trackRevisions>
    </reviewItem>
    <reviewItem>
      <errorID>61843560-bf3a-44e7-8a8b-fafbbf069928</errorID>
      <errorWord>负责村乡</errorWord>
      <group>L1_Word</group>
      <groupName>字词问题</groupName>
      <ability>L2_Typo</ability>
      <abilityName>字词错误</abilityName>
      <candidateList>
        <item>负责乡村</item>
      </candidateList>
      <explain/>
      <paraID>293E4940</paraID>
      <start>2</start>
      <end>6</end>
      <status>modified</status>
      <modifiedWord>负责乡村</modifiedWord>
      <trackRevisions>false</trackRevisions>
    </reviewItem>
    <reviewItem>
      <errorID>bb48af5f-0f1c-4f6d-9da1-cdece41e06f5</errorID>
      <errorWord>法制建设</errorWord>
      <group>L1_Political</group>
      <groupName>政治性问题</groupName>
      <ability>L2_Unpolitical</ability>
      <abilityName>政治敏感错误</abilityName>
      <candidateList>
        <item>法治建设</item>
      </candidateList>
      <explain/>
      <paraID>5129A5BB</paraID>
      <start>19</start>
      <end>23</end>
      <status>modified</status>
      <modifiedWord>法治建设</modifiedWord>
      <trackRevisions>false</trackRevisions>
    </reviewItem>
    <reviewItem>
      <errorID>9f9d8c32-75d5-4459-99f8-fa33b1a8f00a</errorID>
      <errorWord>流动党支部</errorWord>
      <group>L1_Political</group>
      <groupName>政治性问题</groupName>
      <ability>L2_Unpolitical</ability>
      <abilityName>政治敏感错误</abilityName>
      <candidateList>
        <item>流动党员党支部</item>
      </candidateList>
      <explain/>
      <paraID>22112733</paraID>
      <start>32</start>
      <end>39</end>
      <status>modified</status>
      <modifiedWord>流动党员党支部</modifiedWord>
      <trackRevisions>false</trackRevisions>
    </reviewItem>
    <reviewItem>
      <errorID>6134e8af-0f0d-4263-87ee-7e3ba9736afb</errorID>
      <errorWord>，</errorWord>
      <group>L1_Word</group>
      <groupName>字词问题</groupName>
      <ability>L2_Typo</ability>
      <abilityName>字词错误</abilityName>
      <candidateList>
        <item>，在</item>
      </candidateList>
      <explain/>
      <paraID>110E7E4E</paraID>
      <start>59</start>
      <end>61</end>
      <status>modified</status>
      <modifiedWord>，在</modifiedWord>
      <trackRevisions>false</trackRevisions>
    </reviewItem>
    <reviewItem>
      <errorID>7f8ef517-47c8-4776-99e4-ad3c91359f5a</errorID>
      <errorWord>。</errorWord>
      <group>L1_Format</group>
      <groupName>格式问题</groupName>
      <ability>L2_HalfPunc_CN</ability>
      <abilityName>全半角问题</abilityName>
      <candidateList>
        <item>.</item>
      </candidateList>
      <explain>文本全半角错误。</explain>
      <paraID> 759AE03</paraID>
      <start>5</start>
      <end>6</end>
      <status>modified</status>
      <modifiedWord>.</modifiedWord>
      <trackRevisions>false</trackRevisions>
    </reviewItem>
    <reviewItem>
      <errorID>b6763488-3b3b-43c5-bedb-aa4d135b2b8a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4F7FA2E8</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393e5d6d-c3cc-4b4c-994a-9e23d83337af}">
  <ds:schemaRefs/>
</ds:datastoreItem>
</file>

<file path=docProps/app.xml><?xml version="1.0" encoding="utf-8"?>
<Properties xmlns="http://schemas.openxmlformats.org/officeDocument/2006/extended-properties" xmlns:vt="http://schemas.openxmlformats.org/officeDocument/2006/docPropsVTypes">
  <Pages>24</Pages>
  <Words>8019</Words>
  <Characters>8560</Characters>
  <TotalTime>1441</TotalTime>
  <ScaleCrop>false</ScaleCrop>
  <LinksUpToDate>false</LinksUpToDate>
  <CharactersWithSpaces>8579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2026-10-13T02:07:45Z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C99CA331CFC04379ACEFF2DB8E8D27ED_12</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