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95131BA">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51AC41C6">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011FB77B">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2025年度四川省阿坝州松潘县白羊乡人民政府部门决算</w:t>
      </w:r>
    </w:p>
    <w:p w14:paraId="2833DFC9">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（部门公开）</w:t>
      </w:r>
    </w:p>
    <w:p w14:paraId="2A1B3804">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1A0E7D75">
      <w:pPr>
        <w:widowControl/>
        <w:jc w:val="center"/>
        <w:rPr>
          <w:rFonts w:ascii="黑体" w:hAnsi="黑体" w:eastAsia="黑体" w:cs="Times New Roman"/>
          <w:color w:val="000000"/>
          <w:sz w:val="28"/>
          <w:szCs w:val="28"/>
          <w:highlight w:val="none"/>
        </w:rPr>
      </w:pPr>
    </w:p>
    <w:p w14:paraId="1F29375B">
      <w:pPr>
        <w:pStyle w:val="10"/>
        <w:rPr>
          <w:color w:val="000000"/>
          <w:highlight w:val="none"/>
        </w:rPr>
      </w:pPr>
      <w:r>
        <w:rPr>
          <w:color w:val="000000"/>
        </w:rPr>
        <w:t xml:space="preserve">公开时间：2026年10月 </w:t>
      </w:r>
      <w:r>
        <w:rPr>
          <w:rFonts w:hint="eastAsia"/>
          <w:color w:val="000000"/>
          <w:lang w:val="en-US" w:eastAsia="zh-CN"/>
        </w:rPr>
        <w:t>13</w:t>
      </w:r>
      <w:r>
        <w:rPr>
          <w:color w:val="000000"/>
        </w:rPr>
        <w:t>日</w:t>
      </w:r>
    </w:p>
    <w:p w14:paraId="127CB49D">
      <w:pPr>
        <w:rPr>
          <w:color w:val="000000"/>
          <w:highlight w:val="none"/>
        </w:rPr>
      </w:pPr>
    </w:p>
    <w:p w14:paraId="30CBB7F6">
      <w:pPr>
        <w:pStyle w:val="10"/>
        <w:snapToGrid w:val="0"/>
        <w:spacing w:before="0" w:after="0" w:line="440" w:lineRule="exact"/>
        <w:jc w:val="left"/>
        <w:rPr>
          <w:rFonts w:cs="Times New Roman"/>
          <w:color w:val="000000"/>
          <w:sz w:val="24"/>
          <w:szCs w:val="24"/>
          <w:highlight w:val="none"/>
        </w:rPr>
      </w:pPr>
      <w:r>
        <w:rPr>
          <w:color w:val="000000"/>
          <w:sz w:val="24"/>
        </w:rPr>
        <w:t>第一部分 部门概况</w:t>
      </w:r>
    </w:p>
    <w:p w14:paraId="5D406BF9">
      <w:pPr>
        <w:pStyle w:val="14"/>
        <w:snapToGrid w:val="0"/>
        <w:spacing w:line="440" w:lineRule="exact"/>
        <w:jc w:val="left"/>
        <w:rPr>
          <w:rFonts w:ascii="仿宋" w:hAnsi="仿宋" w:eastAsia="仿宋" w:cs="仿宋"/>
          <w:color w:val="000000"/>
          <w:sz w:val="24"/>
          <w:highlight w:val="none"/>
        </w:rPr>
      </w:pPr>
      <w:r>
        <w:rPr>
          <w:color w:val="000000"/>
          <w:sz w:val="24"/>
        </w:rPr>
        <w:t>一、</w:t>
      </w:r>
      <w:r>
        <w:rPr>
          <w:color w:val="000000"/>
          <w:sz w:val="24"/>
          <w:lang w:eastAsia="zh-CN"/>
        </w:rPr>
        <w:t>部门职责</w:t>
      </w:r>
    </w:p>
    <w:p w14:paraId="33B2F2FC">
      <w:pPr>
        <w:pStyle w:val="14"/>
        <w:snapToGrid w:val="0"/>
        <w:spacing w:line="440" w:lineRule="exact"/>
        <w:jc w:val="left"/>
        <w:rPr>
          <w:rFonts w:ascii="仿宋" w:hAnsi="仿宋" w:eastAsia="仿宋" w:cs="Times New Roman"/>
          <w:color w:val="000000"/>
          <w:sz w:val="24"/>
          <w:highlight w:val="none"/>
        </w:rPr>
      </w:pPr>
      <w:r>
        <w:rPr>
          <w:color w:val="000000"/>
          <w:sz w:val="24"/>
        </w:rPr>
        <w:t>二、机构设置</w:t>
      </w:r>
    </w:p>
    <w:p w14:paraId="44DC19EC">
      <w:pPr>
        <w:pStyle w:val="10"/>
        <w:snapToGrid w:val="0"/>
        <w:spacing w:before="0" w:after="0" w:line="440" w:lineRule="exact"/>
        <w:jc w:val="left"/>
        <w:rPr>
          <w:color w:val="000000"/>
          <w:sz w:val="24"/>
          <w:szCs w:val="24"/>
          <w:highlight w:val="none"/>
        </w:rPr>
      </w:pPr>
      <w:r>
        <w:rPr>
          <w:color w:val="000000"/>
          <w:sz w:val="24"/>
        </w:rPr>
        <w:t>第二部分 2025年度部门决算情况说明</w:t>
      </w:r>
    </w:p>
    <w:p w14:paraId="31CD4FDF">
      <w:pPr>
        <w:pStyle w:val="14"/>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7094747F">
      <w:pPr>
        <w:pStyle w:val="14"/>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48693B52">
      <w:pPr>
        <w:pStyle w:val="14"/>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60514A40">
      <w:pPr>
        <w:pStyle w:val="14"/>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01D9A10E">
      <w:pPr>
        <w:pStyle w:val="14"/>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4CD0A47F">
      <w:pPr>
        <w:pStyle w:val="14"/>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4B7A63D8">
      <w:pPr>
        <w:pStyle w:val="14"/>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2F9DBA80">
      <w:pPr>
        <w:pStyle w:val="14"/>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1006E7F7">
      <w:pPr>
        <w:pStyle w:val="14"/>
        <w:snapToGrid w:val="0"/>
        <w:spacing w:line="440" w:lineRule="exact"/>
        <w:jc w:val="left"/>
        <w:rPr>
          <w:rFonts w:ascii="宋体" w:hAnsi="宋体" w:eastAsia="宋体" w:cs="宋体"/>
          <w:color w:val="000000"/>
          <w:sz w:val="24"/>
          <w:highlight w:val="none"/>
        </w:rPr>
      </w:pPr>
      <w:r>
        <w:rPr>
          <w:rFonts w:ascii="宋体" w:hAnsi="宋体" w:cs="宋体"/>
          <w:color w:val="000000"/>
          <w:sz w:val="24"/>
        </w:rPr>
        <w:t>九、</w:t>
      </w:r>
      <w:r>
        <w:rPr>
          <w:rFonts w:ascii="宋体" w:hAnsi="宋体" w:cs="宋体"/>
          <w:color w:val="000000"/>
          <w:sz w:val="24"/>
          <w:lang w:eastAsia="zh-CN"/>
        </w:rPr>
        <w:t>国</w:t>
      </w:r>
      <w:r>
        <w:rPr>
          <w:rFonts w:ascii="宋体" w:hAnsi="宋体" w:cs="宋体"/>
          <w:color w:val="000000"/>
          <w:sz w:val="24"/>
        </w:rPr>
        <w:t>有资本经营预算支出决算情况说明</w:t>
      </w:r>
    </w:p>
    <w:p w14:paraId="1BD50696">
      <w:pPr>
        <w:keepNext w:val="0"/>
        <w:keepLines w:val="0"/>
        <w:pageBreakBefore w:val="0"/>
        <w:widowControl w:val="0"/>
        <w:kinsoku/>
        <w:overflowPunct/>
        <w:autoSpaceDE/>
        <w:bidi w:val="0"/>
        <w:snapToGrid w:val="0"/>
        <w:spacing w:line="440" w:lineRule="exact"/>
        <w:ind w:left="0" w:firstLine="420"/>
        <w:jc w:val="left"/>
        <w:textAlignment w:val="auto"/>
        <w:rPr>
          <w:rFonts w:ascii="宋体" w:hAnsi="宋体" w:eastAsia="宋体" w:cs="宋体"/>
          <w:color w:val="000000"/>
          <w:sz w:val="24"/>
          <w:highlight w:val="none"/>
        </w:rPr>
      </w:pPr>
      <w:r>
        <w:rPr>
          <w:rStyle w:val="17"/>
          <w:rFonts w:ascii="宋体" w:hAnsi="宋体" w:cs="宋体"/>
          <w:color w:val="000000"/>
          <w:sz w:val="24"/>
          <w:u w:val="none"/>
          <w:lang w:eastAsia="zh-CN"/>
        </w:rPr>
        <w:t>十</w:t>
      </w:r>
      <w:r>
        <w:rPr>
          <w:rStyle w:val="17"/>
          <w:rFonts w:ascii="宋体" w:hAnsi="宋体" w:cs="宋体"/>
          <w:color w:val="000000"/>
          <w:sz w:val="24"/>
          <w:u w:val="none"/>
        </w:rPr>
        <w:t>、</w:t>
      </w:r>
      <w:r>
        <w:rPr>
          <w:rFonts w:ascii="宋体" w:hAnsi="宋体" w:cs="宋体"/>
          <w:color w:val="000000"/>
          <w:sz w:val="24"/>
        </w:rPr>
        <w:t>其他重要事项的情况说明</w:t>
      </w:r>
      <w:r>
        <w:rPr>
          <w:rFonts w:ascii="宋体" w:hAnsi="宋体" w:eastAsia="宋体" w:cs="宋体"/>
          <w:color w:val="000000"/>
          <w:sz w:val="24"/>
        </w:rPr>
        <w:tab/>
      </w:r>
    </w:p>
    <w:p w14:paraId="38B0C6C4">
      <w:pPr>
        <w:pStyle w:val="10"/>
        <w:snapToGrid w:val="0"/>
        <w:spacing w:before="0" w:after="0" w:line="440" w:lineRule="exact"/>
        <w:jc w:val="left"/>
        <w:rPr>
          <w:rFonts w:cs="Times New Roman"/>
          <w:color w:val="000000"/>
          <w:sz w:val="24"/>
          <w:szCs w:val="24"/>
          <w:highlight w:val="none"/>
        </w:rPr>
      </w:pPr>
      <w:r>
        <w:rPr>
          <w:color w:val="000000"/>
          <w:sz w:val="24"/>
        </w:rPr>
        <w:t>第三部分 名词解释</w:t>
      </w:r>
    </w:p>
    <w:p w14:paraId="7BE6C6D0">
      <w:pPr>
        <w:pStyle w:val="10"/>
        <w:snapToGrid w:val="0"/>
        <w:spacing w:before="0" w:after="0" w:line="440" w:lineRule="exact"/>
        <w:jc w:val="left"/>
        <w:rPr>
          <w:rFonts w:cs="Times New Roman"/>
          <w:color w:val="000000"/>
          <w:sz w:val="24"/>
          <w:szCs w:val="24"/>
          <w:highlight w:val="none"/>
        </w:rPr>
      </w:pPr>
      <w:r>
        <w:rPr>
          <w:color w:val="000000"/>
          <w:sz w:val="24"/>
        </w:rPr>
        <w:t>第四部分 附件</w:t>
      </w:r>
    </w:p>
    <w:p w14:paraId="6820A33C">
      <w:pPr>
        <w:pStyle w:val="10"/>
        <w:snapToGrid w:val="0"/>
        <w:spacing w:before="0" w:after="0" w:line="440" w:lineRule="exact"/>
        <w:jc w:val="left"/>
        <w:rPr>
          <w:rFonts w:cs="Times New Roman"/>
          <w:color w:val="000000"/>
          <w:sz w:val="24"/>
          <w:szCs w:val="24"/>
          <w:highlight w:val="none"/>
        </w:rPr>
      </w:pPr>
      <w:r>
        <w:rPr>
          <w:color w:val="000000"/>
          <w:sz w:val="24"/>
        </w:rPr>
        <w:t>第五部分 附表</w:t>
      </w:r>
    </w:p>
    <w:p w14:paraId="5758F45D">
      <w:pPr>
        <w:pStyle w:val="14"/>
        <w:snapToGrid w:val="0"/>
        <w:spacing w:line="440" w:lineRule="exact"/>
        <w:jc w:val="left"/>
        <w:rPr>
          <w:color w:val="000000"/>
          <w:sz w:val="24"/>
          <w:highlight w:val="none"/>
        </w:rPr>
      </w:pPr>
      <w:r>
        <w:rPr>
          <w:color w:val="000000"/>
          <w:sz w:val="24"/>
        </w:rPr>
        <w:t>一、收入支出决算总表</w:t>
      </w:r>
    </w:p>
    <w:p w14:paraId="444290EC">
      <w:pPr>
        <w:pStyle w:val="14"/>
        <w:snapToGrid w:val="0"/>
        <w:spacing w:line="440" w:lineRule="exact"/>
        <w:jc w:val="left"/>
        <w:rPr>
          <w:color w:val="000000"/>
          <w:sz w:val="24"/>
          <w:highlight w:val="none"/>
        </w:rPr>
      </w:pPr>
      <w:r>
        <w:rPr>
          <w:color w:val="000000"/>
          <w:sz w:val="24"/>
        </w:rPr>
        <w:t>二、收入决算表</w:t>
      </w:r>
    </w:p>
    <w:p w14:paraId="5C44F028">
      <w:pPr>
        <w:pStyle w:val="14"/>
        <w:snapToGrid w:val="0"/>
        <w:spacing w:line="440" w:lineRule="exact"/>
        <w:jc w:val="left"/>
        <w:rPr>
          <w:color w:val="000000"/>
          <w:sz w:val="24"/>
          <w:highlight w:val="none"/>
        </w:rPr>
      </w:pPr>
      <w:r>
        <w:rPr>
          <w:color w:val="000000"/>
          <w:sz w:val="24"/>
        </w:rPr>
        <w:t>三、支出决算表</w:t>
      </w:r>
    </w:p>
    <w:p w14:paraId="36EFC365">
      <w:pPr>
        <w:pStyle w:val="14"/>
        <w:snapToGrid w:val="0"/>
        <w:spacing w:line="440" w:lineRule="exact"/>
        <w:jc w:val="left"/>
        <w:rPr>
          <w:color w:val="000000"/>
          <w:sz w:val="24"/>
          <w:highlight w:val="none"/>
        </w:rPr>
      </w:pPr>
      <w:r>
        <w:rPr>
          <w:color w:val="000000"/>
          <w:sz w:val="24"/>
        </w:rPr>
        <w:t>四、财政拨款收入支出决算总表</w:t>
      </w:r>
    </w:p>
    <w:p w14:paraId="01902B9A">
      <w:pPr>
        <w:pStyle w:val="14"/>
        <w:snapToGrid w:val="0"/>
        <w:spacing w:line="440" w:lineRule="exact"/>
        <w:jc w:val="left"/>
        <w:rPr>
          <w:color w:val="000000"/>
          <w:sz w:val="24"/>
          <w:highlight w:val="none"/>
        </w:rPr>
      </w:pPr>
      <w:r>
        <w:rPr>
          <w:color w:val="000000"/>
          <w:sz w:val="24"/>
        </w:rPr>
        <w:t>五、财政拨款支出决算明细表</w:t>
      </w:r>
    </w:p>
    <w:p w14:paraId="73DDC3B5">
      <w:pPr>
        <w:pStyle w:val="14"/>
        <w:snapToGrid w:val="0"/>
        <w:spacing w:line="440" w:lineRule="exact"/>
        <w:jc w:val="left"/>
        <w:rPr>
          <w:color w:val="000000"/>
          <w:sz w:val="24"/>
          <w:highlight w:val="none"/>
        </w:rPr>
      </w:pPr>
      <w:r>
        <w:rPr>
          <w:color w:val="000000"/>
          <w:sz w:val="24"/>
        </w:rPr>
        <w:t>六、一般公共预算财政拨款支出决算表</w:t>
      </w:r>
    </w:p>
    <w:p w14:paraId="657E4D64">
      <w:pPr>
        <w:pStyle w:val="14"/>
        <w:snapToGrid w:val="0"/>
        <w:spacing w:line="440" w:lineRule="exact"/>
        <w:jc w:val="left"/>
        <w:rPr>
          <w:color w:val="000000"/>
          <w:sz w:val="24"/>
          <w:highlight w:val="none"/>
        </w:rPr>
      </w:pPr>
      <w:r>
        <w:rPr>
          <w:color w:val="000000"/>
          <w:sz w:val="24"/>
        </w:rPr>
        <w:t>七、一般公共预算财政拨款支出决算明细表</w:t>
      </w:r>
    </w:p>
    <w:p w14:paraId="15B87D72">
      <w:pPr>
        <w:pStyle w:val="14"/>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40641E57">
      <w:pPr>
        <w:pStyle w:val="14"/>
        <w:snapToGrid w:val="0"/>
        <w:spacing w:line="440" w:lineRule="exact"/>
        <w:jc w:val="left"/>
        <w:rPr>
          <w:color w:val="000000"/>
          <w:sz w:val="24"/>
          <w:highlight w:val="none"/>
        </w:rPr>
      </w:pPr>
      <w:r>
        <w:rPr>
          <w:color w:val="000000"/>
          <w:sz w:val="24"/>
        </w:rPr>
        <w:t>九、一般公共预算财政拨款项目支出决算表</w:t>
      </w:r>
    </w:p>
    <w:p w14:paraId="1AC3BAB5">
      <w:pPr>
        <w:pStyle w:val="14"/>
        <w:snapToGrid w:val="0"/>
        <w:spacing w:line="440" w:lineRule="exact"/>
        <w:jc w:val="left"/>
        <w:rPr>
          <w:color w:val="000000"/>
          <w:sz w:val="24"/>
          <w:highlight w:val="none"/>
        </w:rPr>
      </w:pPr>
      <w:r>
        <w:rPr>
          <w:color w:val="000000"/>
          <w:sz w:val="24"/>
        </w:rPr>
        <w:t>十、政府性基金预算财政拨款收入支出决算表</w:t>
      </w:r>
    </w:p>
    <w:p w14:paraId="31B29C84">
      <w:pPr>
        <w:pStyle w:val="14"/>
        <w:snapToGrid w:val="0"/>
        <w:spacing w:line="440" w:lineRule="exact"/>
        <w:jc w:val="left"/>
        <w:rPr>
          <w:color w:val="000000"/>
          <w:sz w:val="24"/>
          <w:highlight w:val="none"/>
        </w:rPr>
      </w:pPr>
      <w:r>
        <w:rPr>
          <w:color w:val="000000"/>
          <w:sz w:val="24"/>
        </w:rPr>
        <w:t>十一、国有资本经营预算财政拨款收入支出决算表</w:t>
      </w:r>
    </w:p>
    <w:p w14:paraId="285E4E80">
      <w:pPr>
        <w:pStyle w:val="14"/>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60A9C187">
      <w:pPr>
        <w:pStyle w:val="14"/>
        <w:snapToGrid w:val="0"/>
        <w:spacing w:line="440" w:lineRule="exact"/>
        <w:jc w:val="left"/>
        <w:rPr>
          <w:rFonts w:ascii="宋体" w:hAnsi="宋体" w:eastAsia="宋体" w:cs="宋体"/>
          <w:color w:val="000000"/>
          <w:sz w:val="24"/>
          <w:highlight w:val="none"/>
          <w:lang w:val="en-US" w:eastAsia="zh-CN"/>
        </w:rPr>
      </w:pPr>
      <w:r>
        <w:rPr>
          <w:color w:val="000000"/>
          <w:sz w:val="24"/>
        </w:rPr>
        <w:t>十三、财政拨款“三公”经费支出决算表</w:t>
      </w:r>
    </w:p>
    <w:p w14:paraId="25D11D47">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lang w:eastAsia="zh-CN"/>
        </w:rPr>
        <w:t>（</w:t>
      </w:r>
      <w:r>
        <w:rPr>
          <w:rFonts w:ascii="仿宋" w:hAnsi="仿宋" w:eastAsia="仿宋" w:cs="仿宋"/>
          <w:color w:val="000000"/>
          <w:sz w:val="24"/>
        </w:rPr>
        <w:t>注：请部门根据实际注明页码</w:t>
      </w:r>
      <w:r>
        <w:rPr>
          <w:rFonts w:ascii="仿宋" w:hAnsi="仿宋" w:eastAsia="仿宋" w:cs="仿宋"/>
          <w:color w:val="000000"/>
          <w:sz w:val="24"/>
          <w:lang w:eastAsia="zh-CN"/>
        </w:rPr>
        <w:t>）</w:t>
      </w:r>
      <w:r>
        <w:br w:type="page"/>
      </w:r>
    </w:p>
    <w:p w14:paraId="57D63B9B">
      <w:pPr>
        <w:widowControl/>
        <w:spacing w:line="440" w:lineRule="exact"/>
        <w:jc w:val="left"/>
        <w:rPr>
          <w:rFonts w:ascii="仿宋" w:hAnsi="仿宋" w:eastAsia="仿宋" w:cs="仿宋"/>
          <w:b/>
          <w:bCs/>
          <w:color w:val="000000"/>
          <w:kern w:val="2"/>
          <w:sz w:val="24"/>
          <w:highlight w:val="none"/>
        </w:rPr>
      </w:pPr>
    </w:p>
    <w:p w14:paraId="150BFAA7">
      <w:pPr>
        <w:pStyle w:val="3"/>
        <w:jc w:val="center"/>
        <w:rPr>
          <w:rStyle w:val="24"/>
          <w:rFonts w:ascii="黑体" w:hAnsi="黑体" w:eastAsia="黑体" w:cs="黑体"/>
          <w:b/>
          <w:bCs w:val="0"/>
          <w:color w:val="000000"/>
          <w:highlight w:val="none"/>
        </w:rPr>
      </w:pPr>
      <w:r>
        <w:rPr>
          <w:rFonts w:ascii="黑体" w:hAnsi="黑体" w:eastAsia="黑体" w:cs="黑体"/>
          <w:b w:val="0"/>
          <w:color w:val="000000"/>
        </w:rPr>
        <w:t xml:space="preserve">第一部分 </w:t>
      </w:r>
      <w:r>
        <w:rPr>
          <w:rStyle w:val="24"/>
          <w:rFonts w:ascii="黑体" w:hAnsi="黑体" w:eastAsia="黑体" w:cs="黑体"/>
          <w:b w:val="0"/>
          <w:bCs w:val="0"/>
          <w:color w:val="000000"/>
        </w:rPr>
        <w:t>部门概况</w:t>
      </w:r>
    </w:p>
    <w:p w14:paraId="29BE2A0C">
      <w:pPr>
        <w:widowControl/>
        <w:jc w:val="left"/>
        <w:rPr>
          <w:rStyle w:val="24"/>
          <w:rFonts w:ascii="黑体" w:hAnsi="黑体" w:eastAsia="黑体" w:cs="黑体"/>
          <w:b/>
          <w:bCs w:val="0"/>
          <w:color w:val="000000"/>
          <w:sz w:val="32"/>
          <w:szCs w:val="32"/>
          <w:highlight w:val="none"/>
        </w:rPr>
      </w:pPr>
    </w:p>
    <w:p w14:paraId="6E44693D">
      <w:pPr>
        <w:pStyle w:val="4"/>
        <w:numPr>
          <w:ilvl w:val="0"/>
          <w:numId w:val="2"/>
        </w:numPr>
        <w:rPr>
          <w:rFonts w:ascii="黑体" w:hAnsi="黑体" w:eastAsia="黑体" w:cs="黑体"/>
          <w:b w:val="0"/>
          <w:color w:val="000000"/>
          <w:highlight w:val="none"/>
          <w:lang w:eastAsia="zh-CN"/>
        </w:rPr>
      </w:pPr>
      <w:r>
        <w:rPr>
          <w:rFonts w:ascii="黑体" w:hAnsi="黑体" w:eastAsia="黑体" w:cs="黑体"/>
          <w:b w:val="0"/>
          <w:color w:val="000000"/>
          <w:lang w:eastAsia="zh-CN"/>
        </w:rPr>
        <w:t>部门职责</w:t>
      </w:r>
    </w:p>
    <w:p w14:paraId="145702A6">
      <w:pPr>
        <w:keepNext w:val="0"/>
        <w:keepLines w:val="0"/>
        <w:widowControl/>
        <w:rPr>
          <w:rFonts w:ascii="仿宋" w:hAnsi="仿宋" w:eastAsia="仿宋" w:cs="仿宋"/>
          <w:kern w:val="0"/>
          <w:sz w:val="30"/>
          <w:szCs w:val="30"/>
        </w:rPr>
      </w:pPr>
      <w:r>
        <w:rPr>
          <w:rFonts w:ascii="仿宋" w:hAnsi="仿宋" w:eastAsia="仿宋" w:cs="仿宋"/>
          <w:kern w:val="0"/>
          <w:sz w:val="30"/>
          <w:szCs w:val="30"/>
        </w:rPr>
        <w:t>（一）加强党的领导。</w:t>
      </w:r>
    </w:p>
    <w:p w14:paraId="1719FAC3">
      <w:pPr>
        <w:keepNext w:val="0"/>
        <w:keepLines w:val="0"/>
        <w:widowControl/>
        <w:rPr>
          <w:rFonts w:ascii="仿宋" w:hAnsi="仿宋" w:eastAsia="仿宋" w:cs="仿宋"/>
          <w:kern w:val="0"/>
          <w:sz w:val="30"/>
          <w:szCs w:val="30"/>
        </w:rPr>
      </w:pPr>
      <w:r>
        <w:rPr>
          <w:rFonts w:ascii="仿宋" w:hAns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53E3CE0A">
      <w:pPr>
        <w:keepNext w:val="0"/>
        <w:keepLines w:val="0"/>
        <w:widowControl/>
        <w:rPr>
          <w:rFonts w:ascii="仿宋" w:hAnsi="仿宋" w:eastAsia="仿宋" w:cs="仿宋"/>
          <w:kern w:val="0"/>
          <w:sz w:val="30"/>
          <w:szCs w:val="30"/>
        </w:rPr>
      </w:pPr>
      <w:r>
        <w:rPr>
          <w:rFonts w:ascii="仿宋" w:hAnsi="仿宋" w:eastAsia="仿宋" w:cs="仿宋"/>
          <w:kern w:val="0"/>
          <w:sz w:val="30"/>
          <w:szCs w:val="30"/>
        </w:rPr>
        <w:t>2.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38299D34">
      <w:pPr>
        <w:keepNext w:val="0"/>
        <w:keepLines w:val="0"/>
        <w:widowControl/>
        <w:rPr>
          <w:rFonts w:ascii="仿宋" w:hAnsi="仿宋" w:eastAsia="仿宋" w:cs="仿宋"/>
          <w:kern w:val="0"/>
          <w:sz w:val="30"/>
          <w:szCs w:val="30"/>
        </w:rPr>
      </w:pPr>
      <w:r>
        <w:rPr>
          <w:rFonts w:ascii="仿宋" w:hAnsi="仿宋" w:eastAsia="仿宋" w:cs="仿宋"/>
          <w:kern w:val="0"/>
          <w:sz w:val="30"/>
          <w:szCs w:val="30"/>
        </w:rPr>
        <w:t>3.讨论和决定辖区内</w:t>
      </w:r>
      <w:r>
        <w:rPr>
          <w:rFonts w:hint="eastAsia" w:ascii="仿宋" w:hAnsi="仿宋" w:eastAsia="仿宋" w:cs="仿宋"/>
          <w:kern w:val="0"/>
          <w:sz w:val="30"/>
          <w:szCs w:val="30"/>
          <w:lang w:eastAsia="zh-CN"/>
        </w:rPr>
        <w:t>经济建设、政治建设、文化建设、社会建设、生态文明建设</w:t>
      </w:r>
      <w:r>
        <w:rPr>
          <w:rFonts w:ascii="仿宋" w:hAnsi="仿宋" w:eastAsia="仿宋" w:cs="仿宋"/>
          <w:kern w:val="0"/>
          <w:sz w:val="30"/>
          <w:szCs w:val="30"/>
        </w:rPr>
        <w:t>、</w:t>
      </w:r>
      <w:r>
        <w:rPr>
          <w:rFonts w:hint="eastAsia" w:ascii="仿宋" w:hAnsi="仿宋" w:eastAsia="仿宋" w:cs="仿宋"/>
          <w:kern w:val="0"/>
          <w:sz w:val="30"/>
          <w:szCs w:val="30"/>
          <w:lang w:eastAsia="zh-CN"/>
        </w:rPr>
        <w:t>法治建设</w:t>
      </w:r>
      <w:r>
        <w:rPr>
          <w:rFonts w:ascii="仿宋" w:hAnsi="仿宋" w:eastAsia="仿宋" w:cs="仿宋"/>
          <w:kern w:val="0"/>
          <w:sz w:val="30"/>
          <w:szCs w:val="30"/>
        </w:rPr>
        <w:t>和党的建设以及乡村振兴中的重大问题。其他应当由党委讨论和决定的重大问题。</w:t>
      </w:r>
    </w:p>
    <w:p w14:paraId="057249C0">
      <w:pPr>
        <w:keepNext w:val="0"/>
        <w:keepLines w:val="0"/>
        <w:widowControl/>
        <w:rPr>
          <w:rFonts w:ascii="仿宋" w:hAnsi="仿宋" w:eastAsia="仿宋" w:cs="仿宋"/>
          <w:kern w:val="0"/>
          <w:sz w:val="30"/>
          <w:szCs w:val="30"/>
        </w:rPr>
      </w:pPr>
      <w:r>
        <w:rPr>
          <w:rFonts w:ascii="仿宋" w:hAnsi="仿宋" w:eastAsia="仿宋" w:cs="仿宋"/>
          <w:kern w:val="0"/>
          <w:sz w:val="30"/>
          <w:szCs w:val="30"/>
        </w:rPr>
        <w:t>4.贯彻党管干部原则，加强干部队伍建设，完善干部培养选拔机制，加强干部教育管理监督。贯彻党管人才原则，加强人才队伍建设。加强对本</w:t>
      </w:r>
      <w:r>
        <w:rPr>
          <w:rFonts w:ascii="仿宋" w:hAnsi="仿宋" w:eastAsia="仿宋" w:cs="仿宋"/>
          <w:kern w:val="0"/>
          <w:sz w:val="30"/>
          <w:szCs w:val="30"/>
          <w:lang w:eastAsia="zh-CN"/>
        </w:rPr>
        <w:t>乡</w:t>
      </w:r>
      <w:r>
        <w:rPr>
          <w:rFonts w:ascii="仿宋" w:hAnsi="仿宋" w:eastAsia="仿宋" w:cs="仿宋"/>
          <w:kern w:val="0"/>
          <w:sz w:val="30"/>
          <w:szCs w:val="30"/>
        </w:rPr>
        <w:t>工会、共青团、妇联等群团工作的领导。</w:t>
      </w:r>
    </w:p>
    <w:p w14:paraId="6D88C1E9">
      <w:pPr>
        <w:keepNext w:val="0"/>
        <w:keepLines w:val="0"/>
        <w:widowControl/>
        <w:rPr>
          <w:rFonts w:ascii="仿宋" w:hAnsi="仿宋" w:eastAsia="仿宋" w:cs="仿宋"/>
          <w:kern w:val="0"/>
          <w:sz w:val="30"/>
          <w:szCs w:val="30"/>
        </w:rPr>
      </w:pPr>
      <w:r>
        <w:rPr>
          <w:rFonts w:ascii="仿宋" w:hAnsi="仿宋" w:eastAsia="仿宋" w:cs="仿宋"/>
          <w:kern w:val="0"/>
          <w:sz w:val="30"/>
          <w:szCs w:val="30"/>
        </w:rPr>
        <w:t>5.指导农村党建，落实基层党建工作责任制，严格抓好基层党组织建设各项制度，统筹抓好</w:t>
      </w:r>
      <w:r>
        <w:rPr>
          <w:rFonts w:ascii="仿宋" w:hAnsi="仿宋" w:eastAsia="仿宋" w:cs="仿宋"/>
          <w:kern w:val="0"/>
          <w:sz w:val="30"/>
          <w:szCs w:val="30"/>
          <w:lang w:eastAsia="zh-CN"/>
        </w:rPr>
        <w:t>乡</w:t>
      </w:r>
      <w:r>
        <w:rPr>
          <w:rFonts w:ascii="仿宋" w:hAnsi="仿宋" w:eastAsia="仿宋" w:cs="仿宋"/>
          <w:kern w:val="0"/>
          <w:sz w:val="30"/>
          <w:szCs w:val="30"/>
        </w:rPr>
        <w:t>机关、村、驻辖区单位、行、</w:t>
      </w:r>
    </w:p>
    <w:p w14:paraId="78240825">
      <w:pPr>
        <w:keepNext w:val="0"/>
        <w:keepLines w:val="0"/>
        <w:widowControl/>
        <w:rPr>
          <w:rFonts w:ascii="仿宋" w:hAnsi="仿宋" w:eastAsia="仿宋" w:cs="仿宋"/>
          <w:kern w:val="0"/>
          <w:sz w:val="30"/>
          <w:szCs w:val="30"/>
        </w:rPr>
      </w:pPr>
      <w:r>
        <w:rPr>
          <w:rFonts w:ascii="仿宋" w:hAnsi="仿宋" w:eastAsia="仿宋" w:cs="仿宋"/>
          <w:kern w:val="0"/>
          <w:sz w:val="30"/>
          <w:szCs w:val="30"/>
        </w:rPr>
        <w:t>“两新”组织等党建工作，推进全面从严治党，落实农村基层建设工作要求。</w:t>
      </w:r>
    </w:p>
    <w:p w14:paraId="46943B1B">
      <w:pPr>
        <w:keepNext w:val="0"/>
        <w:keepLines w:val="0"/>
        <w:widowControl/>
        <w:rPr>
          <w:rFonts w:ascii="仿宋" w:hAnsi="仿宋" w:eastAsia="仿宋" w:cs="仿宋"/>
          <w:kern w:val="0"/>
          <w:sz w:val="30"/>
          <w:szCs w:val="30"/>
        </w:rPr>
      </w:pPr>
      <w:r>
        <w:rPr>
          <w:rFonts w:ascii="仿宋" w:hAns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hAnsi="仿宋" w:eastAsia="仿宋" w:cs="仿宋"/>
          <w:kern w:val="0"/>
          <w:sz w:val="30"/>
          <w:szCs w:val="30"/>
          <w:lang w:eastAsia="zh-CN"/>
        </w:rPr>
        <w:t>党的政治领导力、思想引领力、群众组织力、社会号召力</w:t>
      </w:r>
      <w:r>
        <w:rPr>
          <w:rFonts w:ascii="仿宋" w:hAnsi="仿宋" w:eastAsia="仿宋" w:cs="仿宋"/>
          <w:kern w:val="0"/>
          <w:sz w:val="30"/>
          <w:szCs w:val="30"/>
        </w:rPr>
        <w:t>。</w:t>
      </w:r>
    </w:p>
    <w:p w14:paraId="470F603E">
      <w:pPr>
        <w:keepNext w:val="0"/>
        <w:keepLines w:val="0"/>
        <w:widowControl/>
        <w:rPr>
          <w:rFonts w:ascii="仿宋" w:hAnsi="仿宋" w:eastAsia="仿宋" w:cs="仿宋"/>
          <w:kern w:val="0"/>
          <w:sz w:val="30"/>
          <w:szCs w:val="30"/>
        </w:rPr>
      </w:pPr>
      <w:r>
        <w:rPr>
          <w:rFonts w:ascii="仿宋" w:hAnsi="仿宋" w:eastAsia="仿宋" w:cs="仿宋"/>
          <w:kern w:val="0"/>
          <w:sz w:val="30"/>
          <w:szCs w:val="30"/>
        </w:rPr>
        <w:t>（二）统筹经济发展。</w:t>
      </w:r>
    </w:p>
    <w:p w14:paraId="57BFEF5C">
      <w:pPr>
        <w:keepNext w:val="0"/>
        <w:keepLines w:val="0"/>
        <w:widowControl/>
        <w:rPr>
          <w:rFonts w:ascii="仿宋" w:hAnsi="仿宋" w:eastAsia="仿宋" w:cs="仿宋"/>
          <w:kern w:val="0"/>
          <w:sz w:val="30"/>
          <w:szCs w:val="30"/>
        </w:rPr>
      </w:pPr>
      <w:r>
        <w:rPr>
          <w:rFonts w:ascii="仿宋" w:hAnsi="仿宋" w:eastAsia="仿宋" w:cs="仿宋"/>
          <w:kern w:val="0"/>
          <w:sz w:val="30"/>
          <w:szCs w:val="30"/>
        </w:rPr>
        <w:t>1.负责辖区经济发展工作，执行辖区内的经济和社会</w:t>
      </w:r>
      <w:r>
        <w:rPr>
          <w:rFonts w:ascii="仿宋" w:hAnsi="仿宋" w:eastAsia="仿宋" w:cs="仿宋"/>
          <w:kern w:val="0"/>
          <w:sz w:val="30"/>
          <w:szCs w:val="30"/>
          <w:lang w:eastAsia="zh-CN"/>
        </w:rPr>
        <w:t>发展计划</w:t>
      </w:r>
      <w:r>
        <w:rPr>
          <w:rFonts w:ascii="仿宋" w:hAnsi="仿宋" w:eastAsia="仿宋" w:cs="仿宋"/>
          <w:kern w:val="0"/>
          <w:sz w:val="30"/>
          <w:szCs w:val="30"/>
        </w:rPr>
        <w:t>、预算。参与区域内土地利用、产业发展等规划编制，对区内重大基础设施建设、重大公共服务资源布局、重大政策提出意见建议。落实辖区内发展规划、专项规划、区域规划、国土空间规划和“四好农村路”建设等。</w:t>
      </w:r>
    </w:p>
    <w:p w14:paraId="37F4983F">
      <w:pPr>
        <w:keepNext w:val="0"/>
        <w:keepLines w:val="0"/>
        <w:widowControl/>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lang w:eastAsia="zh-CN"/>
        </w:rPr>
        <w:t>巩固拓展脱贫攻坚成果</w:t>
      </w:r>
      <w:r>
        <w:rPr>
          <w:rFonts w:ascii="仿宋" w:hAnsi="仿宋" w:eastAsia="仿宋" w:cs="仿宋"/>
          <w:kern w:val="0"/>
          <w:sz w:val="30"/>
          <w:szCs w:val="30"/>
        </w:rPr>
        <w:t>，贯彻落实中央、省、州、县关于实施乡村振兴战略的决策部署，提升农业发展质量，加强农村人居环境整治，推进宜居乡村建设，增强乡村振兴内生动力。</w:t>
      </w:r>
    </w:p>
    <w:p w14:paraId="269120FA">
      <w:pPr>
        <w:keepNext w:val="0"/>
        <w:keepLines w:val="0"/>
        <w:widowControl/>
        <w:rPr>
          <w:rFonts w:ascii="仿宋" w:hAnsi="仿宋" w:eastAsia="仿宋" w:cs="仿宋"/>
          <w:kern w:val="0"/>
          <w:sz w:val="30"/>
          <w:szCs w:val="30"/>
        </w:rPr>
      </w:pPr>
      <w:r>
        <w:rPr>
          <w:rFonts w:ascii="仿宋" w:hAnsi="仿宋" w:eastAsia="仿宋" w:cs="仿宋"/>
          <w:kern w:val="0"/>
          <w:sz w:val="30"/>
          <w:szCs w:val="30"/>
        </w:rPr>
        <w:t>3.指导农村经济发展，推动产业结构调整。保护各种经济组织的合法权益，营造良好的营商环境。</w:t>
      </w:r>
    </w:p>
    <w:p w14:paraId="6DA302C0">
      <w:pPr>
        <w:keepNext w:val="0"/>
        <w:keepLines w:val="0"/>
        <w:widowControl/>
        <w:rPr>
          <w:rFonts w:ascii="仿宋" w:hAnsi="仿宋" w:eastAsia="仿宋" w:cs="仿宋"/>
          <w:kern w:val="0"/>
          <w:sz w:val="30"/>
          <w:szCs w:val="30"/>
        </w:rPr>
      </w:pPr>
      <w:r>
        <w:rPr>
          <w:rFonts w:ascii="仿宋" w:hAnsi="仿宋" w:eastAsia="仿宋" w:cs="仿宋"/>
          <w:kern w:val="0"/>
          <w:sz w:val="30"/>
          <w:szCs w:val="30"/>
        </w:rPr>
        <w:t>4.落实财政保障和财政管理有关政策，统筹管理本级财务及国有资产，协助做好税收征管工作，指导、监管村级财务和资产管理工作等。</w:t>
      </w:r>
    </w:p>
    <w:p w14:paraId="2637F416">
      <w:pPr>
        <w:keepNext w:val="0"/>
        <w:keepLines w:val="0"/>
        <w:widowControl/>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lang w:eastAsia="zh-CN"/>
        </w:rPr>
        <w:t>负责乡村</w:t>
      </w:r>
      <w:r>
        <w:rPr>
          <w:rFonts w:ascii="仿宋" w:hAnsi="仿宋" w:eastAsia="仿宋" w:cs="仿宋"/>
          <w:kern w:val="0"/>
          <w:sz w:val="30"/>
          <w:szCs w:val="30"/>
        </w:rPr>
        <w:t>规范建设管理，统筹农村基础设施建设等工作。负责辖区内自然资源保护、生态环境保护、城</w:t>
      </w:r>
      <w:r>
        <w:rPr>
          <w:rFonts w:ascii="仿宋" w:hAnsi="仿宋" w:eastAsia="仿宋" w:cs="仿宋"/>
          <w:kern w:val="0"/>
          <w:sz w:val="30"/>
          <w:szCs w:val="30"/>
          <w:lang w:eastAsia="zh-CN"/>
        </w:rPr>
        <w:t>乡</w:t>
      </w:r>
      <w:r>
        <w:rPr>
          <w:rFonts w:ascii="仿宋" w:hAnsi="仿宋" w:eastAsia="仿宋" w:cs="仿宋"/>
          <w:kern w:val="0"/>
          <w:sz w:val="30"/>
          <w:szCs w:val="30"/>
        </w:rPr>
        <w:t>管理等工作。</w:t>
      </w:r>
    </w:p>
    <w:p w14:paraId="44D6B6D5">
      <w:pPr>
        <w:keepNext w:val="0"/>
        <w:keepLines w:val="0"/>
        <w:widowControl/>
        <w:rPr>
          <w:rFonts w:ascii="仿宋" w:hAnsi="仿宋" w:eastAsia="仿宋" w:cs="仿宋"/>
          <w:kern w:val="0"/>
          <w:sz w:val="30"/>
          <w:szCs w:val="30"/>
        </w:rPr>
      </w:pPr>
      <w:r>
        <w:rPr>
          <w:rFonts w:ascii="仿宋" w:hAnsi="仿宋" w:eastAsia="仿宋" w:cs="仿宋"/>
          <w:kern w:val="0"/>
          <w:sz w:val="30"/>
          <w:szCs w:val="30"/>
        </w:rPr>
        <w:t>（三）加强民生改善。</w:t>
      </w:r>
    </w:p>
    <w:p w14:paraId="747F44D2">
      <w:pPr>
        <w:keepNext w:val="0"/>
        <w:keepLines w:val="0"/>
        <w:widowControl/>
        <w:rPr>
          <w:rFonts w:ascii="仿宋" w:hAnsi="仿宋" w:eastAsia="仿宋" w:cs="仿宋"/>
          <w:kern w:val="0"/>
          <w:sz w:val="30"/>
          <w:szCs w:val="30"/>
        </w:rPr>
      </w:pPr>
      <w:r>
        <w:rPr>
          <w:rFonts w:ascii="仿宋" w:hAnsi="仿宋" w:eastAsia="仿宋" w:cs="仿宋"/>
          <w:kern w:val="0"/>
          <w:sz w:val="30"/>
          <w:szCs w:val="30"/>
        </w:rPr>
        <w:t>1.加强</w:t>
      </w:r>
      <w:r>
        <w:rPr>
          <w:rFonts w:ascii="仿宋" w:hAnsi="仿宋" w:eastAsia="仿宋" w:cs="仿宋"/>
          <w:kern w:val="0"/>
          <w:sz w:val="30"/>
          <w:szCs w:val="30"/>
          <w:lang w:eastAsia="zh-CN"/>
        </w:rPr>
        <w:t>乡村</w:t>
      </w:r>
      <w:r>
        <w:rPr>
          <w:rFonts w:ascii="仿宋" w:hAnsi="仿宋" w:eastAsia="仿宋" w:cs="仿宋"/>
          <w:kern w:val="0"/>
          <w:sz w:val="30"/>
          <w:szCs w:val="30"/>
        </w:rPr>
        <w:t>综合便民服务平台标准化建设，做</w:t>
      </w:r>
      <w:r>
        <w:rPr>
          <w:rFonts w:ascii="仿宋" w:hAnsi="仿宋" w:eastAsia="仿宋" w:cs="仿宋"/>
          <w:kern w:val="0"/>
          <w:sz w:val="30"/>
          <w:szCs w:val="30"/>
          <w:lang w:eastAsia="zh-CN"/>
        </w:rPr>
        <w:t>好农</w:t>
      </w:r>
      <w:r>
        <w:rPr>
          <w:rFonts w:ascii="仿宋" w:hAnsi="仿宋" w:eastAsia="仿宋" w:cs="仿宋"/>
          <w:kern w:val="0"/>
          <w:sz w:val="30"/>
          <w:szCs w:val="30"/>
        </w:rPr>
        <w:t>村服务配套设施和综合服务平台建设，提升便民服务质量。</w:t>
      </w:r>
    </w:p>
    <w:p w14:paraId="53490038">
      <w:pPr>
        <w:keepNext w:val="0"/>
        <w:keepLines w:val="0"/>
        <w:widowControl/>
        <w:rPr>
          <w:rFonts w:ascii="仿宋" w:hAnsi="仿宋" w:eastAsia="仿宋" w:cs="仿宋"/>
          <w:kern w:val="0"/>
          <w:sz w:val="30"/>
          <w:szCs w:val="30"/>
        </w:rPr>
      </w:pPr>
      <w:r>
        <w:rPr>
          <w:rFonts w:ascii="仿宋" w:hAnsi="仿宋" w:eastAsia="仿宋" w:cs="仿宋"/>
          <w:kern w:val="0"/>
          <w:sz w:val="30"/>
          <w:szCs w:val="30"/>
        </w:rPr>
        <w:t>2.负责教育体育、劳动就业、社会保障、卫生健康、计划生育、医疗保障、低保救助、助老助残、殡葬管理、文化旅游</w:t>
      </w:r>
      <w:r>
        <w:rPr>
          <w:rFonts w:ascii="仿宋" w:hAnsi="仿宋" w:eastAsia="仿宋" w:cs="仿宋"/>
          <w:kern w:val="0"/>
          <w:sz w:val="30"/>
          <w:szCs w:val="30"/>
          <w:lang w:eastAsia="zh-CN"/>
        </w:rPr>
        <w:t>、民</w:t>
      </w:r>
      <w:r>
        <w:rPr>
          <w:rFonts w:ascii="仿宋" w:hAnsi="仿宋" w:eastAsia="仿宋" w:cs="仿宋"/>
          <w:kern w:val="0"/>
          <w:sz w:val="30"/>
          <w:szCs w:val="30"/>
        </w:rPr>
        <w:t>族宗教、移民搬迁、农技推广、农民工、妇女和未成年人保护公共服务工作，承担组织领导、推进实施、综合协调等职责。（四）维护社会稳定。</w:t>
      </w:r>
    </w:p>
    <w:p w14:paraId="5960315B">
      <w:pPr>
        <w:keepNext w:val="0"/>
        <w:keepLines w:val="0"/>
        <w:widowControl/>
        <w:rPr>
          <w:rFonts w:ascii="仿宋" w:hAnsi="仿宋" w:eastAsia="仿宋" w:cs="仿宋"/>
          <w:kern w:val="0"/>
          <w:sz w:val="30"/>
          <w:szCs w:val="30"/>
        </w:rPr>
      </w:pPr>
      <w:r>
        <w:rPr>
          <w:rFonts w:ascii="仿宋" w:hAnsi="仿宋" w:eastAsia="仿宋" w:cs="仿宋"/>
          <w:kern w:val="0"/>
          <w:sz w:val="30"/>
          <w:szCs w:val="30"/>
        </w:rPr>
        <w:t>1.负责辖区公共安全及安全生产监管、应急管理工作。构建公共安全防控体系，建立应对突发紧急事件的处理预案，做好安全生产、防汛、消防、森林（草原）防灭火、减灾救灾、</w:t>
      </w:r>
      <w:r>
        <w:rPr>
          <w:rFonts w:ascii="仿宋" w:hAnsi="仿宋" w:eastAsia="仿宋" w:cs="仿宋"/>
          <w:kern w:val="0"/>
          <w:sz w:val="30"/>
          <w:szCs w:val="30"/>
          <w:lang w:eastAsia="zh-CN"/>
        </w:rPr>
        <w:t>防控</w:t>
      </w:r>
      <w:r>
        <w:rPr>
          <w:rFonts w:ascii="仿宋" w:hAnsi="仿宋" w:eastAsia="仿宋" w:cs="仿宋"/>
          <w:kern w:val="0"/>
          <w:sz w:val="30"/>
          <w:szCs w:val="30"/>
        </w:rPr>
        <w:t>、</w:t>
      </w:r>
    </w:p>
    <w:p w14:paraId="4B55A58C">
      <w:pPr>
        <w:keepNext w:val="0"/>
        <w:keepLines w:val="0"/>
        <w:widowControl/>
        <w:rPr>
          <w:rFonts w:ascii="仿宋" w:hAnsi="仿宋" w:eastAsia="仿宋" w:cs="仿宋"/>
          <w:kern w:val="0"/>
          <w:sz w:val="30"/>
          <w:szCs w:val="30"/>
        </w:rPr>
      </w:pPr>
      <w:r>
        <w:rPr>
          <w:rFonts w:ascii="仿宋" w:hAnsi="仿宋" w:eastAsia="仿宋" w:cs="仿宋"/>
          <w:kern w:val="0"/>
          <w:sz w:val="30"/>
          <w:szCs w:val="30"/>
        </w:rPr>
        <w:t>气象灾害防御、食品药品安全、地质灾害防治等应急管理</w:t>
      </w:r>
      <w:r>
        <w:rPr>
          <w:rFonts w:ascii="仿宋" w:hAnsi="仿宋" w:eastAsia="仿宋" w:cs="仿宋"/>
          <w:kern w:val="0"/>
          <w:sz w:val="30"/>
          <w:szCs w:val="30"/>
          <w:lang w:eastAsia="zh-CN"/>
        </w:rPr>
        <w:t>工作</w:t>
      </w:r>
      <w:r>
        <w:rPr>
          <w:rFonts w:ascii="仿宋" w:hAnsi="仿宋" w:eastAsia="仿宋" w:cs="仿宋"/>
          <w:kern w:val="0"/>
          <w:sz w:val="30"/>
          <w:szCs w:val="30"/>
        </w:rPr>
        <w:t>，</w:t>
      </w:r>
    </w:p>
    <w:p w14:paraId="5236D6A8">
      <w:pPr>
        <w:keepNext w:val="0"/>
        <w:keepLines w:val="0"/>
        <w:widowControl/>
        <w:rPr>
          <w:rFonts w:ascii="仿宋" w:hAnsi="仿宋" w:eastAsia="仿宋" w:cs="仿宋"/>
          <w:kern w:val="0"/>
          <w:sz w:val="30"/>
          <w:szCs w:val="30"/>
        </w:rPr>
      </w:pPr>
      <w:r>
        <w:rPr>
          <w:rFonts w:ascii="仿宋" w:hAnsi="仿宋" w:eastAsia="仿宋" w:cs="仿宋"/>
          <w:kern w:val="0"/>
          <w:sz w:val="30"/>
          <w:szCs w:val="30"/>
        </w:rPr>
        <w:t>加强监督检查、隐患排查，落实安全生产责任制。负责辖区内</w:t>
      </w:r>
    </w:p>
    <w:p w14:paraId="57964704">
      <w:pPr>
        <w:keepNext w:val="0"/>
        <w:keepLines w:val="0"/>
        <w:widowControl/>
        <w:rPr>
          <w:rFonts w:ascii="仿宋" w:hAnsi="仿宋" w:eastAsia="仿宋" w:cs="仿宋"/>
          <w:kern w:val="0"/>
          <w:sz w:val="30"/>
          <w:szCs w:val="30"/>
        </w:rPr>
      </w:pPr>
      <w:r>
        <w:rPr>
          <w:rFonts w:ascii="仿宋" w:hAnsi="仿宋" w:eastAsia="仿宋" w:cs="仿宋"/>
          <w:kern w:val="0"/>
          <w:sz w:val="30"/>
          <w:szCs w:val="30"/>
        </w:rPr>
        <w:t>态环境保护和自然资源管理等工作。</w:t>
      </w:r>
    </w:p>
    <w:p w14:paraId="3E9F3824">
      <w:pPr>
        <w:keepNext w:val="0"/>
        <w:keepLines w:val="0"/>
        <w:widowControl/>
        <w:rPr>
          <w:rFonts w:ascii="仿宋" w:hAnsi="仿宋" w:eastAsia="仿宋" w:cs="仿宋"/>
          <w:kern w:val="0"/>
          <w:sz w:val="30"/>
          <w:szCs w:val="30"/>
        </w:rPr>
      </w:pPr>
      <w:r>
        <w:rPr>
          <w:rFonts w:ascii="仿宋" w:hAnsi="仿宋" w:eastAsia="仿宋" w:cs="仿宋"/>
          <w:kern w:val="0"/>
          <w:sz w:val="30"/>
          <w:szCs w:val="30"/>
        </w:rPr>
        <w:t>2.承担辖区社会治安综合治理工作，加强</w:t>
      </w:r>
      <w:r>
        <w:rPr>
          <w:rFonts w:hint="eastAsia" w:ascii="仿宋" w:hAnsi="仿宋" w:eastAsia="仿宋" w:cs="仿宋"/>
          <w:kern w:val="0"/>
          <w:sz w:val="30"/>
          <w:szCs w:val="30"/>
          <w:lang w:eastAsia="zh-CN"/>
        </w:rPr>
        <w:t>法治建设</w:t>
      </w:r>
      <w:r>
        <w:rPr>
          <w:rFonts w:ascii="仿宋" w:hAnsi="仿宋" w:eastAsia="仿宋" w:cs="仿宋"/>
          <w:kern w:val="0"/>
          <w:sz w:val="30"/>
          <w:szCs w:val="30"/>
        </w:rPr>
        <w:t>和社会治安综合治理。贯彻落实社会矛盾纠纷排查调处机制，及时化解辖区社会矛盾纠纷，确保社会稳定。协助司法机关开展打击各类</w:t>
      </w:r>
    </w:p>
    <w:p w14:paraId="01E75E40">
      <w:pPr>
        <w:keepNext w:val="0"/>
        <w:keepLines w:val="0"/>
        <w:widowControl/>
        <w:rPr>
          <w:rFonts w:ascii="仿宋" w:hAnsi="仿宋" w:eastAsia="仿宋" w:cs="仿宋"/>
          <w:kern w:val="0"/>
          <w:sz w:val="30"/>
          <w:szCs w:val="30"/>
        </w:rPr>
      </w:pPr>
      <w:r>
        <w:rPr>
          <w:rFonts w:ascii="仿宋" w:hAnsi="仿宋" w:eastAsia="仿宋" w:cs="仿宋"/>
          <w:kern w:val="0"/>
          <w:sz w:val="30"/>
          <w:szCs w:val="30"/>
        </w:rPr>
        <w:t>事犯罪和禁毒、扫黑除恶等活动，稳妥处理突发性、群体性</w:t>
      </w:r>
      <w:r>
        <w:rPr>
          <w:rFonts w:ascii="仿宋" w:hAnsi="仿宋" w:eastAsia="仿宋" w:cs="仿宋"/>
          <w:kern w:val="0"/>
          <w:sz w:val="30"/>
          <w:szCs w:val="30"/>
          <w:lang w:eastAsia="zh-CN"/>
        </w:rPr>
        <w:t>事件</w:t>
      </w:r>
      <w:r>
        <w:rPr>
          <w:rFonts w:ascii="仿宋" w:hAnsi="仿宋" w:eastAsia="仿宋" w:cs="仿宋"/>
          <w:kern w:val="0"/>
          <w:sz w:val="30"/>
          <w:szCs w:val="30"/>
        </w:rPr>
        <w:t>，确保人民群众生命财产安全。</w:t>
      </w:r>
    </w:p>
    <w:p w14:paraId="40307A27">
      <w:pPr>
        <w:keepNext w:val="0"/>
        <w:keepLines w:val="0"/>
        <w:widowControl/>
        <w:rPr>
          <w:rFonts w:ascii="仿宋" w:hAnsi="仿宋" w:eastAsia="仿宋" w:cs="仿宋"/>
          <w:kern w:val="0"/>
          <w:sz w:val="30"/>
          <w:szCs w:val="30"/>
        </w:rPr>
      </w:pPr>
      <w:r>
        <w:rPr>
          <w:rFonts w:ascii="仿宋" w:hAnsi="仿宋" w:eastAsia="仿宋" w:cs="仿宋"/>
          <w:kern w:val="0"/>
          <w:sz w:val="30"/>
          <w:szCs w:val="30"/>
        </w:rPr>
        <w:t>3.指导村民自治，促进社会组织健康发展，完善村规民约，增强社会自治功能。</w:t>
      </w:r>
    </w:p>
    <w:p w14:paraId="260AB332">
      <w:pPr>
        <w:keepNext w:val="0"/>
        <w:keepLines w:val="0"/>
        <w:widowControl/>
        <w:rPr>
          <w:rFonts w:ascii="仿宋" w:hAnsi="仿宋" w:eastAsia="仿宋" w:cs="仿宋"/>
          <w:kern w:val="0"/>
          <w:sz w:val="30"/>
          <w:szCs w:val="30"/>
        </w:rPr>
      </w:pPr>
      <w:r>
        <w:rPr>
          <w:rFonts w:ascii="仿宋" w:hAnsi="仿宋" w:eastAsia="仿宋" w:cs="仿宋"/>
          <w:kern w:val="0"/>
          <w:sz w:val="30"/>
          <w:szCs w:val="30"/>
        </w:rPr>
        <w:t>4.负责国防教育，承担辖区内国防动员、征兵、民兵预备役、双拥等工作。</w:t>
      </w:r>
    </w:p>
    <w:p w14:paraId="165CC5A3">
      <w:pPr>
        <w:keepNext w:val="0"/>
        <w:keepLines w:val="0"/>
        <w:widowControl/>
        <w:rPr>
          <w:rFonts w:ascii="仿宋" w:hAnsi="仿宋" w:eastAsia="仿宋" w:cs="仿宋"/>
          <w:kern w:val="0"/>
          <w:sz w:val="30"/>
          <w:szCs w:val="30"/>
        </w:rPr>
      </w:pPr>
      <w:r>
        <w:rPr>
          <w:rFonts w:ascii="仿宋" w:hAnsi="仿宋" w:eastAsia="仿宋" w:cs="仿宋"/>
          <w:kern w:val="0"/>
          <w:sz w:val="30"/>
          <w:szCs w:val="30"/>
        </w:rPr>
        <w:t>5.保障各少数民族的</w:t>
      </w:r>
      <w:r>
        <w:rPr>
          <w:rFonts w:ascii="仿宋" w:hAnsi="仿宋" w:eastAsia="仿宋" w:cs="仿宋"/>
          <w:kern w:val="0"/>
          <w:sz w:val="30"/>
          <w:szCs w:val="30"/>
          <w:lang w:eastAsia="zh-CN"/>
        </w:rPr>
        <w:t>合法权利</w:t>
      </w:r>
      <w:r>
        <w:rPr>
          <w:rFonts w:ascii="仿宋" w:hAnsi="仿宋" w:eastAsia="仿宋" w:cs="仿宋"/>
          <w:kern w:val="0"/>
          <w:sz w:val="30"/>
          <w:szCs w:val="30"/>
        </w:rPr>
        <w:t>和利益，尊重少数民族的风俗习惯，坚决与民族分裂活动和邪教组织斗争。</w:t>
      </w:r>
    </w:p>
    <w:p w14:paraId="3205078D">
      <w:pPr>
        <w:keepNext w:val="0"/>
        <w:keepLines w:val="0"/>
        <w:widowControl/>
        <w:rPr>
          <w:rFonts w:ascii="仿宋" w:hAnsi="仿宋" w:eastAsia="仿宋" w:cs="仿宋"/>
          <w:kern w:val="0"/>
          <w:sz w:val="30"/>
          <w:szCs w:val="30"/>
        </w:rPr>
      </w:pPr>
      <w:r>
        <w:rPr>
          <w:rFonts w:ascii="仿宋" w:hAnsi="仿宋" w:eastAsia="仿宋" w:cs="仿宋"/>
          <w:kern w:val="0"/>
          <w:sz w:val="30"/>
          <w:szCs w:val="30"/>
        </w:rPr>
        <w:t>6.保障宪法和法律赋予妇女的男女平等、同工同酬和婚姻自由等各项权利。</w:t>
      </w:r>
    </w:p>
    <w:p w14:paraId="46CD6323">
      <w:pPr>
        <w:rPr>
          <w:lang w:eastAsia="zh-CN"/>
        </w:rPr>
      </w:pPr>
      <w:r>
        <w:rPr>
          <w:rFonts w:ascii="仿宋" w:hAnsi="仿宋" w:eastAsia="仿宋" w:cs="仿宋"/>
          <w:kern w:val="0"/>
          <w:sz w:val="30"/>
          <w:szCs w:val="30"/>
        </w:rPr>
        <w:t>（五）完成上级交办的其他事项。</w:t>
      </w:r>
    </w:p>
    <w:p w14:paraId="34B50019">
      <w:pPr>
        <w:pStyle w:val="13"/>
        <w:ind w:left="0" w:firstLine="0"/>
        <w:rPr>
          <w:lang w:eastAsia="zh-CN"/>
        </w:rPr>
      </w:pPr>
    </w:p>
    <w:p w14:paraId="5187CC7D">
      <w:pPr>
        <w:pStyle w:val="4"/>
        <w:rPr>
          <w:rStyle w:val="25"/>
          <w:b w:val="0"/>
          <w:bCs w:val="0"/>
          <w:color w:val="000000"/>
          <w:highlight w:val="none"/>
        </w:rPr>
      </w:pPr>
      <w:r>
        <w:rPr>
          <w:rFonts w:ascii="黑体" w:hAnsi="黑体" w:eastAsia="黑体"/>
          <w:b w:val="0"/>
          <w:color w:val="000000"/>
        </w:rPr>
        <w:t>二、</w:t>
      </w:r>
      <w:r>
        <w:rPr>
          <w:rFonts w:ascii="黑体" w:hAnsi="黑体" w:eastAsia="黑体" w:cs="黑体"/>
          <w:b w:val="0"/>
          <w:color w:val="000000"/>
        </w:rPr>
        <w:t>机</w:t>
      </w:r>
      <w:r>
        <w:rPr>
          <w:rStyle w:val="25"/>
          <w:rFonts w:ascii="黑体" w:hAnsi="黑体" w:eastAsia="黑体" w:cs="黑体"/>
          <w:b w:val="0"/>
          <w:bCs w:val="0"/>
          <w:color w:val="000000"/>
        </w:rPr>
        <w:t>构设置</w:t>
      </w:r>
    </w:p>
    <w:p w14:paraId="38B97C35">
      <w:pPr>
        <w:ind w:firstLine="800"/>
        <w:rPr>
          <w:rFonts w:ascii="仿宋" w:hAnsi="仿宋" w:eastAsia="仿宋" w:cs="仿宋"/>
          <w:color w:val="000000"/>
          <w:sz w:val="32"/>
          <w:szCs w:val="32"/>
          <w:highlight w:val="none"/>
        </w:rPr>
      </w:pPr>
      <w:r>
        <w:rPr>
          <w:rFonts w:ascii="仿宋" w:hAnsi="仿宋" w:eastAsia="仿宋" w:cs="仿宋"/>
          <w:color w:val="000000"/>
          <w:sz w:val="32"/>
          <w:szCs w:val="32"/>
          <w:lang w:eastAsia="zh-CN"/>
        </w:rPr>
        <w:t>松潘县白羊乡人民政府</w:t>
      </w:r>
      <w:r>
        <w:rPr>
          <w:rFonts w:ascii="仿宋" w:hAnsi="仿宋" w:eastAsia="仿宋" w:cs="仿宋"/>
          <w:color w:val="000000"/>
          <w:sz w:val="32"/>
          <w:szCs w:val="32"/>
        </w:rPr>
        <w:t>下属二级</w:t>
      </w:r>
      <w:r>
        <w:rPr>
          <w:rFonts w:ascii="仿宋" w:hAnsi="仿宋" w:eastAsia="仿宋" w:cs="仿宋"/>
          <w:color w:val="000000"/>
          <w:sz w:val="32"/>
          <w:szCs w:val="32"/>
          <w:lang w:eastAsia="zh-CN"/>
        </w:rPr>
        <w:t>预算</w:t>
      </w:r>
      <w:r>
        <w:rPr>
          <w:rFonts w:ascii="仿宋" w:hAnsi="仿宋" w:eastAsia="仿宋" w:cs="仿宋"/>
          <w:color w:val="000000"/>
          <w:sz w:val="32"/>
          <w:szCs w:val="32"/>
        </w:rPr>
        <w:t>单位</w:t>
      </w:r>
      <w:r>
        <w:rPr>
          <w:rFonts w:ascii="仿宋" w:hAnsi="仿宋" w:eastAsia="仿宋" w:cs="仿宋"/>
          <w:color w:val="000000"/>
          <w:sz w:val="32"/>
          <w:szCs w:val="32"/>
          <w:lang w:val="en-US" w:eastAsia="zh-CN"/>
        </w:rPr>
        <w:t>2</w:t>
      </w:r>
      <w:r>
        <w:rPr>
          <w:rFonts w:ascii="仿宋" w:hAnsi="仿宋" w:eastAsia="仿宋" w:cs="仿宋"/>
          <w:color w:val="000000"/>
          <w:sz w:val="32"/>
          <w:szCs w:val="32"/>
        </w:rPr>
        <w:t>个，其中行政单位</w:t>
      </w:r>
      <w:r>
        <w:rPr>
          <w:rFonts w:ascii="仿宋" w:hAnsi="仿宋" w:eastAsia="仿宋" w:cs="仿宋"/>
          <w:color w:val="000000"/>
          <w:sz w:val="32"/>
          <w:szCs w:val="32"/>
          <w:lang w:val="en-US" w:eastAsia="zh-CN"/>
        </w:rPr>
        <w:t>1</w:t>
      </w:r>
      <w:r>
        <w:rPr>
          <w:rFonts w:ascii="仿宋" w:hAnsi="仿宋" w:eastAsia="仿宋" w:cs="仿宋"/>
          <w:color w:val="000000"/>
          <w:sz w:val="32"/>
          <w:szCs w:val="32"/>
        </w:rPr>
        <w:t>个，参照公务员法管理的事业单位</w:t>
      </w:r>
      <w:r>
        <w:rPr>
          <w:rFonts w:ascii="仿宋" w:hAnsi="仿宋" w:eastAsia="仿宋" w:cs="仿宋"/>
          <w:bCs/>
          <w:color w:val="000000"/>
          <w:sz w:val="32"/>
          <w:szCs w:val="32"/>
          <w:lang w:val="en-US" w:eastAsia="zh-CN"/>
        </w:rPr>
        <w:t>0</w:t>
      </w:r>
      <w:r>
        <w:rPr>
          <w:rFonts w:ascii="仿宋" w:hAnsi="仿宋" w:eastAsia="仿宋" w:cs="仿宋"/>
          <w:color w:val="000000"/>
          <w:sz w:val="32"/>
          <w:szCs w:val="32"/>
        </w:rPr>
        <w:t>个，其他事业单位</w:t>
      </w:r>
      <w:r>
        <w:rPr>
          <w:rFonts w:ascii="仿宋" w:hAnsi="仿宋" w:eastAsia="仿宋" w:cs="仿宋"/>
          <w:color w:val="000000"/>
          <w:sz w:val="32"/>
          <w:szCs w:val="32"/>
          <w:lang w:val="en-US" w:eastAsia="zh-CN"/>
        </w:rPr>
        <w:t>1</w:t>
      </w:r>
      <w:r>
        <w:rPr>
          <w:rFonts w:ascii="仿宋" w:hAnsi="仿宋" w:eastAsia="仿宋" w:cs="仿宋"/>
          <w:color w:val="000000"/>
          <w:sz w:val="32"/>
          <w:szCs w:val="32"/>
        </w:rPr>
        <w:t>个。</w:t>
      </w:r>
    </w:p>
    <w:p w14:paraId="3C216E19">
      <w:pPr>
        <w:pStyle w:val="6"/>
        <w:snapToGrid w:val="0"/>
        <w:spacing w:before="93" w:after="140" w:line="600" w:lineRule="exact"/>
        <w:ind w:firstLine="672"/>
        <w:rPr>
          <w:rFonts w:ascii="仿宋" w:hAnsi="仿宋" w:eastAsia="仿宋" w:cs="仿宋"/>
          <w:color w:val="000000"/>
          <w:sz w:val="32"/>
          <w:szCs w:val="32"/>
          <w:highlight w:val="none"/>
        </w:rPr>
      </w:pPr>
      <w:r>
        <w:rPr>
          <w:rFonts w:ascii="仿宋" w:hAnsi="仿宋" w:eastAsia="仿宋" w:cs="仿宋"/>
          <w:color w:val="000000"/>
          <w:sz w:val="32"/>
          <w:szCs w:val="32"/>
        </w:rPr>
        <w:t>纳入白羊乡人民政府2025年度部门决算编制范围的二级预算单位包括：</w:t>
      </w:r>
    </w:p>
    <w:p w14:paraId="3BCC0D24">
      <w:pPr>
        <w:pStyle w:val="6"/>
        <w:numPr>
          <w:ilvl w:val="0"/>
          <w:numId w:val="3"/>
        </w:numPr>
        <w:snapToGrid w:val="0"/>
        <w:spacing w:before="93" w:after="140" w:line="600" w:lineRule="exact"/>
        <w:outlineLvl w:val="2"/>
        <w:rPr>
          <w:rFonts w:ascii="仿宋" w:hAnsi="仿宋" w:eastAsia="仿宋" w:cs="仿宋"/>
          <w:color w:val="000000"/>
          <w:sz w:val="32"/>
          <w:szCs w:val="32"/>
          <w:highlight w:val="none"/>
        </w:rPr>
      </w:pPr>
      <w:r>
        <w:rPr>
          <w:rFonts w:ascii="仿宋" w:hAnsi="仿宋" w:eastAsia="仿宋" w:cs="仿宋"/>
          <w:color w:val="000000"/>
          <w:sz w:val="32"/>
          <w:szCs w:val="32"/>
          <w:lang w:eastAsia="zh-CN"/>
        </w:rPr>
        <w:t>松潘县白羊乡人民政府</w:t>
      </w:r>
    </w:p>
    <w:p w14:paraId="3EE8C2E0">
      <w:pPr>
        <w:pStyle w:val="6"/>
        <w:numPr>
          <w:ilvl w:val="0"/>
          <w:numId w:val="3"/>
        </w:numPr>
        <w:snapToGrid w:val="0"/>
        <w:spacing w:before="93" w:after="140" w:line="600" w:lineRule="exact"/>
        <w:outlineLvl w:val="2"/>
        <w:rPr>
          <w:rFonts w:ascii="仿宋" w:hAnsi="仿宋" w:eastAsia="仿宋" w:cs="仿宋"/>
          <w:color w:val="000000"/>
          <w:sz w:val="32"/>
          <w:szCs w:val="32"/>
          <w:highlight w:val="none"/>
        </w:rPr>
      </w:pPr>
      <w:r>
        <w:rPr>
          <w:rFonts w:ascii="仿宋" w:hAnsi="仿宋" w:eastAsia="仿宋" w:cs="仿宋"/>
          <w:color w:val="000000"/>
          <w:sz w:val="32"/>
          <w:szCs w:val="32"/>
          <w:lang w:eastAsia="zh-CN"/>
        </w:rPr>
        <w:t>松潘县白羊乡农业农村服务中心</w:t>
      </w:r>
      <w:r>
        <w:br w:type="page"/>
      </w:r>
    </w:p>
    <w:p w14:paraId="2CCC6D32">
      <w:pPr>
        <w:widowControl/>
        <w:jc w:val="left"/>
        <w:rPr>
          <w:rFonts w:ascii="仿宋" w:hAnsi="仿宋" w:eastAsia="仿宋" w:cs="仿宋"/>
          <w:color w:val="000000"/>
          <w:kern w:val="0"/>
          <w:sz w:val="32"/>
          <w:szCs w:val="32"/>
          <w:highlight w:val="none"/>
        </w:rPr>
      </w:pPr>
    </w:p>
    <w:p w14:paraId="155229DD">
      <w:pPr>
        <w:pStyle w:val="3"/>
        <w:ind w:right="440" w:firstLine="0"/>
        <w:jc w:val="center"/>
        <w:rPr>
          <w:rStyle w:val="24"/>
          <w:rFonts w:ascii="黑体" w:hAnsi="黑体" w:eastAsia="黑体" w:cs="黑体"/>
          <w:b w:val="0"/>
          <w:bCs/>
          <w:color w:val="000000"/>
          <w:highlight w:val="none"/>
        </w:rPr>
      </w:pPr>
      <w:r>
        <w:rPr>
          <w:rFonts w:ascii="黑体" w:hAnsi="黑体" w:eastAsia="黑体" w:cs="黑体"/>
          <w:b w:val="0"/>
          <w:bCs/>
          <w:color w:val="000000"/>
        </w:rPr>
        <w:t>第二部分 2025年度部门决算情况说明</w:t>
      </w:r>
    </w:p>
    <w:p w14:paraId="5B7BE91C">
      <w:pPr>
        <w:rPr>
          <w:rStyle w:val="24"/>
          <w:rFonts w:ascii="黑体" w:hAnsi="黑体" w:eastAsia="黑体" w:cs="黑体"/>
          <w:b w:val="0"/>
          <w:bCs/>
          <w:color w:val="000000"/>
          <w:highlight w:val="none"/>
        </w:rPr>
      </w:pPr>
    </w:p>
    <w:p w14:paraId="71F61BE5">
      <w:pPr>
        <w:pStyle w:val="33"/>
        <w:numPr>
          <w:ilvl w:val="0"/>
          <w:numId w:val="4"/>
        </w:numPr>
        <w:spacing w:line="600" w:lineRule="exact"/>
        <w:outlineLvl w:val="1"/>
        <w:rPr>
          <w:rStyle w:val="25"/>
          <w:rFonts w:ascii="黑体" w:hAnsi="黑体" w:eastAsia="黑体" w:cs="黑体"/>
          <w:b w:val="0"/>
          <w:color w:val="000000"/>
          <w:highlight w:val="none"/>
        </w:rPr>
      </w:pPr>
      <w:r>
        <w:rPr>
          <w:rFonts w:ascii="黑体" w:hAnsi="黑体" w:eastAsia="黑体" w:cs="黑体"/>
          <w:color w:val="000000"/>
          <w:sz w:val="32"/>
          <w:szCs w:val="32"/>
        </w:rPr>
        <w:t>收</w:t>
      </w:r>
      <w:r>
        <w:rPr>
          <w:rStyle w:val="25"/>
          <w:rFonts w:ascii="黑体" w:hAnsi="黑体" w:eastAsia="黑体" w:cs="黑体"/>
          <w:b w:val="0"/>
          <w:color w:val="000000"/>
        </w:rPr>
        <w:t>入支出决算总体情况说明</w:t>
      </w:r>
    </w:p>
    <w:p w14:paraId="5DAA9C71">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2025年度收入总计为1223.29万元。与2024年度相比，收入增加158.00万元，增加14.83%。主要变动原因是1.2025年工作人员数量增加；2.项目资金增加。</w:t>
      </w:r>
    </w:p>
    <w:p w14:paraId="56F4720B">
      <w:pPr>
        <w:spacing w:line="600" w:lineRule="exact"/>
        <w:ind w:firstLine="640"/>
      </w:pPr>
      <w:r>
        <w:rPr>
          <w:rFonts w:ascii="仿宋" w:hAnsi="仿宋" w:eastAsia="仿宋" w:cs="仿宋"/>
          <w:color w:val="000000"/>
          <w:sz w:val="32"/>
          <w:szCs w:val="32"/>
          <w:lang w:eastAsia="zh-CN"/>
        </w:rPr>
        <w:t>2025年度支出总计为1224.29万元。与2024年度相比，支出增加160.00万元，增加15.03%。主要变动原因是1.2025年工作人员数量增加；2.项目资金增加。</w:t>
      </w:r>
    </w:p>
    <w:p w14:paraId="75D91F7D">
      <w:r>
        <w:drawing>
          <wp:inline distT="0" distB="0" distL="0" distR="0">
            <wp:extent cx="4838700" cy="2762250"/>
            <wp:effectExtent l="0" t="0" r="0" b="0"/>
            <wp:docPr id="1"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
                    <pic:cNvPicPr>
                      <a:picLocks noChangeAspect="1" noChangeArrowheads="1"/>
                    </pic:cNvPicPr>
                  </pic:nvPicPr>
                  <pic:blipFill>
                    <a:blip r:embed="rId4"/>
                    <a:srcRect l="-7" t="-13" r="-7" b="-13"/>
                    <a:stretch>
                      <a:fillRect/>
                    </a:stretch>
                  </pic:blipFill>
                  <pic:spPr>
                    <a:xfrm>
                      <a:off x="0" y="0"/>
                      <a:ext cx="4838700" cy="2762250"/>
                    </a:xfrm>
                    <a:prstGeom prst="rect">
                      <a:avLst/>
                    </a:prstGeom>
                  </pic:spPr>
                </pic:pic>
              </a:graphicData>
            </a:graphic>
          </wp:inline>
        </w:drawing>
      </w:r>
    </w:p>
    <w:p w14:paraId="772ACA53">
      <w:pPr>
        <w:spacing w:line="600" w:lineRule="exact"/>
        <w:rPr>
          <w:rFonts w:ascii="仿宋" w:hAnsi="仿宋" w:eastAsia="仿宋" w:cs="仿宋"/>
          <w:color w:val="000000"/>
          <w:sz w:val="32"/>
          <w:szCs w:val="32"/>
          <w:highlight w:val="none"/>
        </w:rPr>
      </w:pPr>
    </w:p>
    <w:p w14:paraId="24966E1F">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（图1：收、支决算总计变动情况图）（柱状图）</w:t>
      </w:r>
    </w:p>
    <w:p w14:paraId="474843BA">
      <w:pPr>
        <w:spacing w:line="600" w:lineRule="exact"/>
        <w:ind w:firstLine="640"/>
        <w:jc w:val="left"/>
        <w:rPr>
          <w:rFonts w:ascii="仿宋" w:hAnsi="仿宋" w:eastAsia="仿宋" w:cs="仿宋"/>
          <w:color w:val="000000"/>
          <w:sz w:val="32"/>
          <w:szCs w:val="32"/>
          <w:highlight w:val="none"/>
        </w:rPr>
      </w:pPr>
    </w:p>
    <w:p w14:paraId="33E81E34">
      <w:pPr>
        <w:pStyle w:val="33"/>
        <w:numPr>
          <w:ilvl w:val="0"/>
          <w:numId w:val="4"/>
        </w:numPr>
        <w:spacing w:line="600" w:lineRule="exact"/>
        <w:outlineLvl w:val="1"/>
        <w:rPr>
          <w:rStyle w:val="25"/>
          <w:rFonts w:ascii="黑体" w:hAnsi="黑体" w:eastAsia="黑体" w:cs="黑体"/>
          <w:b w:val="0"/>
          <w:color w:val="000000"/>
          <w:highlight w:val="none"/>
        </w:rPr>
      </w:pPr>
      <w:r>
        <w:rPr>
          <w:rFonts w:ascii="黑体" w:hAnsi="黑体" w:eastAsia="黑体" w:cs="黑体"/>
          <w:color w:val="000000"/>
          <w:sz w:val="32"/>
          <w:szCs w:val="32"/>
        </w:rPr>
        <w:t>收</w:t>
      </w:r>
      <w:r>
        <w:rPr>
          <w:rStyle w:val="25"/>
          <w:rFonts w:ascii="黑体" w:hAnsi="黑体" w:eastAsia="黑体" w:cs="黑体"/>
          <w:b w:val="0"/>
          <w:color w:val="000000"/>
        </w:rPr>
        <w:t>入决算情况说明</w:t>
      </w:r>
    </w:p>
    <w:p w14:paraId="02D0FAE1">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1223.29万元，其中：一般公共预算财政拨款收入1219.87万元，占99.72%；政府性基金预算财政拨款收入0万元，占0%；国有资本经营预算财政拨款收入0.17万元，占0.01%；上级补助收入0万元，占0%；事业收入0万元，占0%；经营收入0万元，占0%；附属单位上缴收入0万元，占0%；其他收入3.24万元，占0.26%。（注：数据来源于财决01表，仅罗列本部门涉及的收入。）</w:t>
      </w:r>
    </w:p>
    <w:p w14:paraId="5CA5B0F9">
      <w:pPr>
        <w:pStyle w:val="13"/>
        <w:rPr>
          <w:rFonts w:ascii="仿宋" w:hAnsi="仿宋" w:eastAsia="仿宋" w:cs="仿宋"/>
          <w:color w:val="000000"/>
          <w:sz w:val="32"/>
          <w:szCs w:val="32"/>
          <w:highlight w:val="none"/>
        </w:rPr>
      </w:pPr>
    </w:p>
    <w:p w14:paraId="1270AE5E">
      <w:pPr>
        <w:pStyle w:val="13"/>
        <w:rPr>
          <w:rFonts w:ascii="仿宋" w:hAnsi="仿宋" w:eastAsia="仿宋" w:cs="仿宋"/>
          <w:color w:val="000000"/>
          <w:sz w:val="32"/>
          <w:szCs w:val="32"/>
          <w:highlight w:val="none"/>
        </w:rPr>
      </w:pPr>
      <w:r>
        <w:drawing>
          <wp:inline distT="0" distB="0" distL="0" distR="0">
            <wp:extent cx="4838700" cy="2838450"/>
            <wp:effectExtent l="0" t="0" r="0" b="0"/>
            <wp:docPr id="2" name="图表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3"/>
                    <pic:cNvPicPr>
                      <a:picLocks noChangeAspect="1" noChangeArrowheads="1"/>
                    </pic:cNvPicPr>
                  </pic:nvPicPr>
                  <pic:blipFill>
                    <a:blip r:embed="rId5"/>
                    <a:srcRect l="-7" t="-13" r="-7" b="-13"/>
                    <a:stretch>
                      <a:fillRect/>
                    </a:stretch>
                  </pic:blipFill>
                  <pic:spPr>
                    <a:xfrm>
                      <a:off x="0" y="0"/>
                      <a:ext cx="4838700" cy="2838450"/>
                    </a:xfrm>
                    <a:prstGeom prst="rect">
                      <a:avLst/>
                    </a:prstGeom>
                  </pic:spPr>
                </pic:pic>
              </a:graphicData>
            </a:graphic>
          </wp:inline>
        </w:drawing>
      </w:r>
    </w:p>
    <w:p w14:paraId="7AEE9F8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70A770D4">
      <w:pPr>
        <w:spacing w:line="600" w:lineRule="exact"/>
        <w:ind w:firstLine="640"/>
        <w:rPr>
          <w:rFonts w:ascii="仿宋" w:hAnsi="仿宋" w:eastAsia="仿宋" w:cs="仿宋"/>
          <w:color w:val="000000"/>
          <w:sz w:val="32"/>
          <w:szCs w:val="32"/>
          <w:highlight w:val="none"/>
        </w:rPr>
      </w:pPr>
    </w:p>
    <w:p w14:paraId="56EE5866">
      <w:pPr>
        <w:pStyle w:val="33"/>
        <w:numPr>
          <w:ilvl w:val="0"/>
          <w:numId w:val="4"/>
        </w:numPr>
        <w:spacing w:line="600" w:lineRule="exact"/>
        <w:outlineLvl w:val="1"/>
        <w:rPr>
          <w:rStyle w:val="25"/>
          <w:rFonts w:ascii="黑体" w:hAnsi="黑体" w:eastAsia="黑体" w:cs="黑体"/>
          <w:b w:val="0"/>
          <w:color w:val="000000"/>
          <w:highlight w:val="none"/>
        </w:rPr>
      </w:pPr>
      <w:r>
        <w:rPr>
          <w:rFonts w:ascii="黑体" w:hAnsi="黑体" w:eastAsia="黑体" w:cs="黑体"/>
          <w:color w:val="000000"/>
          <w:sz w:val="32"/>
          <w:szCs w:val="32"/>
        </w:rPr>
        <w:t>支</w:t>
      </w:r>
      <w:r>
        <w:rPr>
          <w:rStyle w:val="25"/>
          <w:rFonts w:ascii="黑体" w:hAnsi="黑体" w:eastAsia="黑体" w:cs="黑体"/>
          <w:b w:val="0"/>
          <w:color w:val="000000"/>
        </w:rPr>
        <w:t>出决算情况说明</w:t>
      </w:r>
    </w:p>
    <w:p w14:paraId="6B8E4B09">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2025年度本年支出合计1224.29万元，其中：基本支出832.95万元，占68.04%；项目支出391.34万元，占31.96%；上缴上级支出0万元，占0%；经营支出0万元，占0%；对附属单位补助支出0万元，占0%。</w:t>
      </w:r>
    </w:p>
    <w:p w14:paraId="7E12731A">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，仅罗列本部门涉及的支出。</w:t>
      </w:r>
      <w:r>
        <w:rPr>
          <w:rFonts w:ascii="仿宋" w:hAnsi="仿宋" w:eastAsia="仿宋" w:cs="仿宋"/>
          <w:b/>
          <w:color w:val="000000"/>
          <w:sz w:val="32"/>
          <w:szCs w:val="32"/>
        </w:rPr>
        <w:t>）</w:t>
      </w:r>
    </w:p>
    <w:p w14:paraId="4D8AEF48">
      <w:pPr>
        <w:pStyle w:val="12"/>
        <w:rPr>
          <w:rFonts w:ascii="仿宋" w:hAnsi="仿宋" w:eastAsia="仿宋" w:cs="仿宋"/>
          <w:b/>
          <w:color w:val="000000"/>
          <w:sz w:val="32"/>
          <w:szCs w:val="32"/>
          <w:highlight w:val="none"/>
        </w:rPr>
      </w:pPr>
      <w:r>
        <w:drawing>
          <wp:inline distT="0" distB="0" distL="0" distR="0">
            <wp:extent cx="4838700" cy="2762250"/>
            <wp:effectExtent l="0" t="0" r="0" b="0"/>
            <wp:docPr id="3"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6"/>
                    <pic:cNvPicPr>
                      <a:picLocks noChangeAspect="1" noChangeArrowheads="1"/>
                    </pic:cNvPicPr>
                  </pic:nvPicPr>
                  <pic:blipFill>
                    <a:blip r:embed="rId6"/>
                    <a:srcRect l="-7" t="-13" r="-7" b="-13"/>
                    <a:stretch>
                      <a:fillRect/>
                    </a:stretch>
                  </pic:blipFill>
                  <pic:spPr>
                    <a:xfrm>
                      <a:off x="0" y="0"/>
                      <a:ext cx="4838700" cy="2762250"/>
                    </a:xfrm>
                    <a:prstGeom prst="rect">
                      <a:avLst/>
                    </a:prstGeom>
                  </pic:spPr>
                </pic:pic>
              </a:graphicData>
            </a:graphic>
          </wp:inline>
        </w:drawing>
      </w:r>
    </w:p>
    <w:p w14:paraId="179FC6A0">
      <w:pPr>
        <w:spacing w:line="600" w:lineRule="exact"/>
        <w:rPr>
          <w:rFonts w:ascii="仿宋" w:hAnsi="仿宋" w:eastAsia="仿宋" w:cs="仿宋"/>
          <w:b/>
          <w:color w:val="000000"/>
          <w:sz w:val="32"/>
          <w:szCs w:val="32"/>
          <w:highlight w:val="none"/>
          <w:shd w:val="clear" w:fill="E5E5E5"/>
        </w:rPr>
      </w:pPr>
    </w:p>
    <w:p w14:paraId="322A3A41">
      <w:pPr>
        <w:spacing w:line="600" w:lineRule="exact"/>
        <w:ind w:firstLine="640"/>
        <w:rPr>
          <w:rFonts w:ascii="仿宋" w:hAnsi="仿宋" w:eastAsia="仿宋"/>
          <w:color w:val="000000"/>
          <w:sz w:val="32"/>
          <w:szCs w:val="32"/>
          <w:highlight w:val="none"/>
        </w:rPr>
      </w:pPr>
      <w:r>
        <w:rPr>
          <w:rFonts w:ascii="仿宋" w:hAnsi="仿宋" w:eastAsia="仿宋" w:cs="仿宋"/>
          <w:color w:val="000000"/>
          <w:sz w:val="32"/>
          <w:szCs w:val="32"/>
        </w:rPr>
        <w:t>（图3：支出决算结构图）（饼状图）</w:t>
      </w:r>
    </w:p>
    <w:p w14:paraId="2DFD8B56">
      <w:pPr>
        <w:numPr>
          <w:ilvl w:val="0"/>
          <w:numId w:val="0"/>
        </w:numPr>
        <w:spacing w:line="600" w:lineRule="exact"/>
        <w:ind w:firstLine="640"/>
        <w:outlineLvl w:val="1"/>
        <w:rPr>
          <w:rStyle w:val="25"/>
          <w:rFonts w:ascii="黑体" w:hAnsi="黑体" w:eastAsia="黑体" w:cs="黑体"/>
          <w:b w:val="0"/>
          <w:color w:val="000000"/>
          <w:highlight w:val="none"/>
        </w:rPr>
      </w:pPr>
      <w:r>
        <w:rPr>
          <w:rFonts w:ascii="黑体" w:hAnsi="黑体" w:eastAsia="黑体" w:cs="黑体"/>
          <w:color w:val="000000"/>
          <w:sz w:val="32"/>
          <w:szCs w:val="32"/>
        </w:rPr>
        <w:t>四、财</w:t>
      </w:r>
      <w:r>
        <w:rPr>
          <w:rStyle w:val="25"/>
          <w:rFonts w:ascii="黑体" w:hAnsi="黑体" w:eastAsia="黑体" w:cs="黑体"/>
          <w:b w:val="0"/>
          <w:color w:val="000000"/>
        </w:rPr>
        <w:t>政拨款收入支出决算总体情况说明</w:t>
      </w:r>
    </w:p>
    <w:p w14:paraId="6D4934EB">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2025年度财政拨款收入总计为1220.04万元。与2024年度相比，收入增加155.75万元，增加14.63%。主要变动原因是1.2025年工作人员数量增加；2.项目资金增加。</w:t>
      </w:r>
    </w:p>
    <w:p w14:paraId="6233D5A1">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2025年度财政拨款支出总计为1220.04万元。与2024年度相比，支出增加155.75万元，增加14.63%。主要变动原因是1.2025年工作人员数量增加；2.项目资金增加。</w:t>
      </w:r>
    </w:p>
    <w:p w14:paraId="5F487A6E">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2A9DB2C5">
      <w:pPr>
        <w:pStyle w:val="12"/>
        <w:rPr>
          <w:rFonts w:ascii="仿宋" w:hAnsi="仿宋" w:eastAsia="仿宋" w:cs="仿宋"/>
          <w:b/>
          <w:color w:val="000000"/>
          <w:sz w:val="32"/>
          <w:szCs w:val="32"/>
          <w:highlight w:val="none"/>
        </w:rPr>
      </w:pPr>
    </w:p>
    <w:p w14:paraId="73C6AA18">
      <w:pPr>
        <w:pStyle w:val="13"/>
        <w:rPr>
          <w:rFonts w:ascii="仿宋" w:hAnsi="仿宋" w:eastAsia="仿宋" w:cs="仿宋"/>
          <w:b/>
          <w:color w:val="000000"/>
          <w:sz w:val="32"/>
          <w:szCs w:val="32"/>
          <w:highlight w:val="none"/>
        </w:rPr>
      </w:pPr>
    </w:p>
    <w:p w14:paraId="24205C34">
      <w:pPr>
        <w:pStyle w:val="13"/>
        <w:rPr>
          <w:rFonts w:ascii="仿宋" w:hAnsi="仿宋" w:eastAsia="仿宋" w:cs="仿宋"/>
          <w:b/>
          <w:color w:val="000000"/>
          <w:sz w:val="32"/>
          <w:szCs w:val="32"/>
          <w:highlight w:val="none"/>
        </w:rPr>
      </w:pPr>
    </w:p>
    <w:p w14:paraId="7D72E8B4">
      <w:pPr>
        <w:pStyle w:val="13"/>
        <w:rPr>
          <w:rFonts w:ascii="仿宋" w:hAnsi="仿宋" w:eastAsia="仿宋" w:cs="仿宋"/>
          <w:b/>
          <w:color w:val="000000"/>
          <w:sz w:val="32"/>
          <w:szCs w:val="32"/>
          <w:highlight w:val="none"/>
        </w:rPr>
      </w:pPr>
    </w:p>
    <w:p w14:paraId="74B0B851">
      <w:pPr>
        <w:spacing w:line="600" w:lineRule="exact"/>
        <w:rPr>
          <w:rFonts w:ascii="仿宋" w:hAnsi="仿宋" w:eastAsia="仿宋" w:cs="仿宋"/>
          <w:b/>
          <w:color w:val="000000"/>
          <w:sz w:val="32"/>
          <w:szCs w:val="32"/>
          <w:highlight w:val="none"/>
        </w:rPr>
      </w:pPr>
    </w:p>
    <w:p w14:paraId="05AE277C">
      <w:pPr>
        <w:pStyle w:val="13"/>
        <w:ind w:left="0" w:firstLine="0"/>
        <w:rPr>
          <w:rFonts w:ascii="仿宋" w:hAnsi="仿宋" w:eastAsia="仿宋" w:cs="仿宋"/>
          <w:color w:val="000000"/>
          <w:sz w:val="32"/>
          <w:szCs w:val="32"/>
          <w:highlight w:val="none"/>
        </w:rPr>
      </w:pPr>
      <w:r>
        <w:drawing>
          <wp:inline distT="0" distB="0" distL="0" distR="0">
            <wp:extent cx="4838700" cy="2762250"/>
            <wp:effectExtent l="0" t="0" r="0" b="0"/>
            <wp:docPr id="4" name="图表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7"/>
                    <pic:cNvPicPr>
                      <a:picLocks noChangeAspect="1" noChangeArrowheads="1"/>
                    </pic:cNvPicPr>
                  </pic:nvPicPr>
                  <pic:blipFill>
                    <a:blip r:embed="rId7"/>
                    <a:srcRect l="-7" t="-13" r="-7" b="-13"/>
                    <a:stretch>
                      <a:fillRect/>
                    </a:stretch>
                  </pic:blipFill>
                  <pic:spPr>
                    <a:xfrm>
                      <a:off x="0" y="0"/>
                      <a:ext cx="4838700" cy="2762250"/>
                    </a:xfrm>
                    <a:prstGeom prst="rect">
                      <a:avLst/>
                    </a:prstGeom>
                  </pic:spPr>
                </pic:pic>
              </a:graphicData>
            </a:graphic>
          </wp:inline>
        </w:drawing>
      </w:r>
    </w:p>
    <w:p w14:paraId="248EBE1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（图4：财政拨款收、支决算总计变动情况）（柱状图）</w:t>
      </w:r>
    </w:p>
    <w:p w14:paraId="09911779">
      <w:pPr>
        <w:spacing w:line="600" w:lineRule="exact"/>
        <w:ind w:firstLine="640"/>
        <w:rPr>
          <w:rFonts w:ascii="仿宋" w:hAnsi="仿宋" w:eastAsia="仿宋" w:cs="仿宋"/>
          <w:b/>
          <w:color w:val="000000"/>
          <w:sz w:val="32"/>
          <w:szCs w:val="32"/>
          <w:highlight w:val="none"/>
        </w:rPr>
      </w:pPr>
    </w:p>
    <w:p w14:paraId="647D9061">
      <w:pPr>
        <w:numPr>
          <w:ilvl w:val="0"/>
          <w:numId w:val="0"/>
        </w:numPr>
        <w:spacing w:line="600" w:lineRule="exact"/>
        <w:ind w:firstLine="640"/>
        <w:outlineLvl w:val="1"/>
        <w:rPr>
          <w:rStyle w:val="25"/>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25"/>
          <w:rFonts w:ascii="黑体" w:hAnsi="黑体" w:eastAsia="黑体" w:cs="黑体"/>
          <w:b w:val="0"/>
          <w:color w:val="000000"/>
        </w:rPr>
        <w:t>般公共预算财政拨款支出决算情况说明</w:t>
      </w:r>
    </w:p>
    <w:p w14:paraId="788F1CE7">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1353F153">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2025年度一般公共预算财政拨款支出1219.87万元，占本年支出合计的99.64%。与2024年度相比，一般公共预算支出增加155.61万元，增加14.62%。主要变动原因是1.2025年工作人员数量增加；2.项目资金增加。</w:t>
      </w:r>
    </w:p>
    <w:p w14:paraId="0BCD0116">
      <w:pPr>
        <w:pStyle w:val="13"/>
        <w:ind w:left="0" w:firstLine="0"/>
        <w:rPr>
          <w:rFonts w:ascii="仿宋" w:hAnsi="仿宋" w:eastAsia="仿宋" w:cs="仿宋"/>
          <w:color w:val="000000"/>
          <w:sz w:val="32"/>
          <w:szCs w:val="32"/>
          <w:highlight w:val="none"/>
        </w:rPr>
      </w:pPr>
    </w:p>
    <w:p w14:paraId="31DB1899">
      <w:pPr>
        <w:pStyle w:val="13"/>
        <w:rPr>
          <w:rFonts w:ascii="仿宋" w:hAnsi="仿宋" w:eastAsia="仿宋" w:cs="仿宋"/>
          <w:color w:val="000000"/>
          <w:sz w:val="32"/>
          <w:szCs w:val="32"/>
          <w:highlight w:val="none"/>
        </w:rPr>
      </w:pPr>
    </w:p>
    <w:p w14:paraId="0C572421">
      <w:pPr>
        <w:pStyle w:val="13"/>
        <w:ind w:left="0" w:firstLine="0"/>
      </w:pPr>
      <w:r>
        <w:rPr>
          <w:rFonts w:eastAsia="仿宋" w:cs="仿宋"/>
          <w:lang w:val="en-US" w:eastAsia="zh-CN"/>
        </w:rPr>
        <w:t xml:space="preserve">   </w:t>
      </w:r>
      <w:r>
        <w:drawing>
          <wp:inline distT="0" distB="0" distL="0" distR="0">
            <wp:extent cx="3514090" cy="2127885"/>
            <wp:effectExtent l="0" t="0" r="0" b="0"/>
            <wp:docPr id="5" name="图表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13"/>
                    <pic:cNvPicPr>
                      <a:picLocks noChangeAspect="1" noChangeArrowheads="1"/>
                    </pic:cNvPicPr>
                  </pic:nvPicPr>
                  <pic:blipFill>
                    <a:blip r:embed="rId8"/>
                    <a:srcRect l="-7" t="-13" r="-7" b="-13"/>
                    <a:stretch>
                      <a:fillRect/>
                    </a:stretch>
                  </pic:blipFill>
                  <pic:spPr>
                    <a:xfrm>
                      <a:off x="0" y="0"/>
                      <a:ext cx="3514090" cy="2127885"/>
                    </a:xfrm>
                    <a:prstGeom prst="rect">
                      <a:avLst/>
                    </a:prstGeom>
                  </pic:spPr>
                </pic:pic>
              </a:graphicData>
            </a:graphic>
          </wp:inline>
        </w:drawing>
      </w:r>
    </w:p>
    <w:p w14:paraId="50C2FBE7">
      <w:pPr>
        <w:pStyle w:val="13"/>
        <w:rPr>
          <w:rFonts w:ascii="仿宋" w:hAnsi="仿宋" w:eastAsia="仿宋" w:cs="仿宋"/>
          <w:color w:val="000000"/>
          <w:sz w:val="32"/>
          <w:szCs w:val="32"/>
          <w:highlight w:val="none"/>
        </w:rPr>
      </w:pPr>
    </w:p>
    <w:p w14:paraId="624C0402">
      <w:pPr>
        <w:pStyle w:val="12"/>
        <w:rPr>
          <w:rFonts w:ascii="仿宋" w:hAnsi="仿宋" w:eastAsia="仿宋" w:cs="仿宋"/>
          <w:color w:val="000000"/>
          <w:sz w:val="32"/>
          <w:szCs w:val="32"/>
          <w:highlight w:val="none"/>
        </w:rPr>
      </w:pPr>
    </w:p>
    <w:p w14:paraId="10897D3D">
      <w:pPr>
        <w:numPr>
          <w:ilvl w:val="0"/>
          <w:numId w:val="0"/>
        </w:numPr>
        <w:spacing w:line="600" w:lineRule="exact"/>
        <w:ind w:firstLine="640"/>
        <w:outlineLvl w:val="2"/>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1FC51751">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23471502">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一般公共预算财政拨款支出1219.87万元，主要用于以下方面：一般公共服务支出626.43万元，占51.35%；农林水支出332.94万元，占27.29%；文化旅游体育与传媒支出0万元，占0%；社会保障和就业支出109.33万元，占8.96%；卫生健康支出40.55万元，占3.32%；住房保障支出60.62万元，占4.97%；灾害防治及应急管理支出50万元，占4.10%。</w:t>
      </w:r>
    </w:p>
    <w:p w14:paraId="4003BF4A">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本部门涉及的全部</w:t>
      </w:r>
      <w:r>
        <w:rPr>
          <w:rFonts w:ascii="仿宋" w:hAnsi="仿宋" w:eastAsia="仿宋" w:cs="仿宋"/>
          <w:b/>
          <w:color w:val="000000"/>
          <w:sz w:val="32"/>
          <w:szCs w:val="32"/>
        </w:rPr>
        <w:t>功能分类科目，至类级。）</w:t>
      </w:r>
    </w:p>
    <w:p w14:paraId="668152F5">
      <w:pPr>
        <w:spacing w:line="600" w:lineRule="exact"/>
        <w:ind w:firstLine="640"/>
        <w:rPr>
          <w:rFonts w:ascii="仿宋" w:hAnsi="仿宋" w:eastAsia="仿宋" w:cs="仿宋"/>
          <w:b/>
          <w:color w:val="000000"/>
          <w:sz w:val="32"/>
          <w:szCs w:val="32"/>
          <w:highlight w:val="none"/>
        </w:rPr>
      </w:pPr>
    </w:p>
    <w:p w14:paraId="000CCFCD">
      <w:pPr>
        <w:pStyle w:val="12"/>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w:t>
      </w:r>
      <w:r>
        <w:drawing>
          <wp:inline distT="0" distB="0" distL="0" distR="0">
            <wp:extent cx="4838700" cy="2762250"/>
            <wp:effectExtent l="0" t="0" r="0" b="0"/>
            <wp:docPr id="6" name="图表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9"/>
                    <pic:cNvPicPr>
                      <a:picLocks noChangeAspect="1" noChangeArrowheads="1"/>
                    </pic:cNvPicPr>
                  </pic:nvPicPr>
                  <pic:blipFill>
                    <a:blip r:embed="rId9"/>
                    <a:srcRect l="-7" t="-13" r="-7" b="-13"/>
                    <a:stretch>
                      <a:fillRect/>
                    </a:stretch>
                  </pic:blipFill>
                  <pic:spPr>
                    <a:xfrm>
                      <a:off x="0" y="0"/>
                      <a:ext cx="4838700" cy="2762250"/>
                    </a:xfrm>
                    <a:prstGeom prst="rect">
                      <a:avLst/>
                    </a:prstGeom>
                  </pic:spPr>
                </pic:pic>
              </a:graphicData>
            </a:graphic>
          </wp:inline>
        </w:drawing>
      </w:r>
    </w:p>
    <w:p w14:paraId="0990CB6C">
      <w:pPr>
        <w:pStyle w:val="13"/>
        <w:rPr>
          <w:rFonts w:ascii="仿宋" w:hAnsi="仿宋" w:eastAsia="仿宋" w:cs="仿宋"/>
          <w:color w:val="000000"/>
          <w:sz w:val="32"/>
          <w:szCs w:val="32"/>
          <w:highlight w:val="none"/>
          <w:lang w:eastAsia="zh-CN"/>
        </w:rPr>
      </w:pPr>
    </w:p>
    <w:p w14:paraId="7689B81F">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77012346">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6B50E3AD">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2025年度一般公共预算支出决算数为1219.87万元，完成预算100%。其中：</w:t>
      </w:r>
    </w:p>
    <w:p w14:paraId="65DCA262">
      <w:pPr>
        <w:numPr>
          <w:ilvl w:val="0"/>
          <w:numId w:val="5"/>
        </w:numPr>
        <w:tabs>
          <w:tab w:val="left" w:pos="312"/>
          <w:tab w:val="clear" w:pos="420"/>
        </w:tabs>
        <w:spacing w:line="600" w:lineRule="exact"/>
        <w:ind w:left="0" w:firstLine="643"/>
        <w:rPr>
          <w:rStyle w:val="26"/>
          <w:rFonts w:ascii="仿宋" w:hAnsi="仿宋" w:eastAsia="仿宋" w:cs="仿宋"/>
          <w:b w:val="0"/>
          <w:bCs/>
          <w:color w:val="000000"/>
          <w:sz w:val="32"/>
          <w:szCs w:val="32"/>
          <w:highlight w:val="none"/>
        </w:rPr>
      </w:pPr>
      <w:r>
        <w:rPr>
          <w:rStyle w:val="26"/>
          <w:rFonts w:ascii="仿宋" w:hAnsi="仿宋" w:eastAsia="仿宋" w:cs="仿宋"/>
          <w:bCs/>
          <w:color w:val="000000"/>
          <w:sz w:val="32"/>
          <w:szCs w:val="32"/>
        </w:rPr>
        <w:t>一般公共服务（类）201（款）01、03（项）：</w:t>
      </w:r>
    </w:p>
    <w:p w14:paraId="6BDE0DED">
      <w:pPr>
        <w:numPr>
          <w:ilvl w:val="0"/>
          <w:numId w:val="0"/>
        </w:numPr>
        <w:spacing w:line="600" w:lineRule="exact"/>
        <w:ind w:left="0" w:firstLine="640"/>
        <w:rPr>
          <w:rStyle w:val="26"/>
          <w:rFonts w:ascii="仿宋" w:hAnsi="仿宋" w:eastAsia="仿宋" w:cs="仿宋"/>
          <w:b w:val="0"/>
          <w:bCs/>
          <w:color w:val="000000"/>
          <w:sz w:val="32"/>
          <w:szCs w:val="32"/>
          <w:highlight w:val="none"/>
        </w:rPr>
      </w:pPr>
      <w:r>
        <w:rPr>
          <w:rStyle w:val="26"/>
          <w:rFonts w:ascii="仿宋" w:hAnsi="仿宋" w:eastAsia="仿宋" w:cs="仿宋"/>
          <w:b w:val="0"/>
          <w:bCs/>
          <w:color w:val="000000"/>
          <w:sz w:val="32"/>
          <w:szCs w:val="32"/>
          <w:lang w:eastAsia="zh-CN"/>
        </w:rPr>
        <w:t>其中2010104－人大会议支出0.16万元，2010108－代表工作支出3.13万元，2010301－行政运行支出405.61万元，2010350－事业运行支出217.53万元；支出决算数等于预算数，完成预算100%，决算数等于预算数的主要原因是年初严格编制单位预算，严格预算执行。</w:t>
      </w:r>
    </w:p>
    <w:p w14:paraId="7599CEDC">
      <w:pPr>
        <w:numPr>
          <w:ilvl w:val="0"/>
          <w:numId w:val="5"/>
        </w:numPr>
        <w:tabs>
          <w:tab w:val="left" w:pos="312"/>
          <w:tab w:val="clear" w:pos="420"/>
        </w:tabs>
        <w:spacing w:line="600" w:lineRule="exact"/>
        <w:ind w:left="0" w:firstLine="643"/>
        <w:rPr>
          <w:rStyle w:val="26"/>
          <w:rFonts w:ascii="仿宋" w:hAnsi="仿宋" w:eastAsia="仿宋" w:cs="仿宋"/>
          <w:b w:val="0"/>
          <w:bCs/>
          <w:color w:val="000000"/>
          <w:sz w:val="32"/>
          <w:szCs w:val="32"/>
          <w:highlight w:val="none"/>
        </w:rPr>
      </w:pPr>
      <w:r>
        <w:rPr>
          <w:rStyle w:val="26"/>
          <w:rFonts w:ascii="仿宋" w:hAnsi="仿宋" w:eastAsia="仿宋" w:cs="仿宋"/>
          <w:bCs/>
          <w:color w:val="000000"/>
          <w:sz w:val="32"/>
          <w:szCs w:val="32"/>
        </w:rPr>
        <w:t>农林水支出（类）213（款）01、05、07（项）：</w:t>
      </w:r>
    </w:p>
    <w:p w14:paraId="62B89516">
      <w:pPr>
        <w:numPr>
          <w:ilvl w:val="0"/>
          <w:numId w:val="0"/>
        </w:numPr>
        <w:spacing w:line="600" w:lineRule="exact"/>
        <w:ind w:left="0" w:firstLine="0"/>
        <w:rPr>
          <w:rFonts w:ascii="仿宋" w:hAnsi="仿宋" w:eastAsia="仿宋" w:cs="仿宋"/>
          <w:b/>
          <w:color w:val="000000"/>
          <w:sz w:val="32"/>
          <w:szCs w:val="32"/>
          <w:highlight w:val="none"/>
        </w:rPr>
      </w:pPr>
      <w:r>
        <w:rPr>
          <w:rStyle w:val="26"/>
          <w:rFonts w:ascii="仿宋" w:hAnsi="仿宋" w:eastAsia="仿宋" w:cs="仿宋"/>
          <w:b w:val="0"/>
          <w:bCs/>
          <w:color w:val="000000"/>
          <w:sz w:val="32"/>
          <w:szCs w:val="32"/>
        </w:rPr>
        <w:t>2130119－防灾救灾支出10万元，2130199－其他农业农村支出6.15万元，2130504－农村基础设施建设121.97万元，2130705－对村民委员会和村党支部的补助194.82万元，完成预算100%，决算数等于预算数的主要原因是年初严格编制单位预算，严格预算执行。</w:t>
      </w:r>
    </w:p>
    <w:p w14:paraId="66159129">
      <w:pPr>
        <w:numPr>
          <w:ilvl w:val="0"/>
          <w:numId w:val="0"/>
        </w:numPr>
        <w:spacing w:line="600" w:lineRule="exact"/>
        <w:ind w:left="0" w:firstLine="0"/>
        <w:rPr>
          <w:rFonts w:ascii="仿宋" w:hAnsi="仿宋" w:eastAsia="仿宋" w:cs="仿宋"/>
          <w:b/>
          <w:color w:val="000000"/>
          <w:sz w:val="32"/>
          <w:szCs w:val="32"/>
          <w:highlight w:val="none"/>
        </w:rPr>
      </w:pPr>
      <w:r>
        <w:rPr>
          <w:rStyle w:val="26"/>
          <w:rFonts w:ascii="仿宋" w:hAnsi="仿宋" w:eastAsia="仿宋" w:cs="仿宋"/>
          <w:bCs/>
          <w:color w:val="000000"/>
          <w:sz w:val="32"/>
          <w:szCs w:val="32"/>
        </w:rPr>
        <w:t>3.住房保障支出（类）221（款）02（项）：2210201－住房公积金支出决算为60.62万元，完成预算100%，决算数等于预算数的主要原因是年初严格编制单位预算，严格预算执行。</w:t>
      </w:r>
    </w:p>
    <w:p w14:paraId="426A5B73">
      <w:pPr>
        <w:spacing w:line="600" w:lineRule="exact"/>
        <w:ind w:firstLine="643"/>
        <w:rPr>
          <w:rStyle w:val="26"/>
          <w:rFonts w:ascii="仿宋" w:hAnsi="仿宋" w:eastAsia="仿宋" w:cs="仿宋"/>
          <w:bCs/>
          <w:color w:val="000000"/>
          <w:sz w:val="32"/>
          <w:szCs w:val="32"/>
          <w:highlight w:val="none"/>
        </w:rPr>
      </w:pPr>
      <w:r>
        <w:rPr>
          <w:rStyle w:val="26"/>
          <w:rFonts w:ascii="仿宋" w:hAnsi="仿宋" w:eastAsia="仿宋" w:cs="仿宋"/>
          <w:bCs/>
          <w:color w:val="000000"/>
          <w:sz w:val="32"/>
          <w:szCs w:val="32"/>
        </w:rPr>
        <w:t>4.社会保障和就业（类）208（款）01、05（项）：</w:t>
      </w:r>
    </w:p>
    <w:p w14:paraId="5AEEB77D">
      <w:pPr>
        <w:spacing w:line="600" w:lineRule="exact"/>
        <w:ind w:firstLine="640"/>
        <w:rPr>
          <w:rFonts w:ascii="仿宋" w:hAnsi="仿宋" w:eastAsia="仿宋" w:cs="仿宋"/>
          <w:b/>
          <w:color w:val="000000"/>
          <w:sz w:val="32"/>
          <w:szCs w:val="32"/>
          <w:highlight w:val="none"/>
        </w:rPr>
      </w:pPr>
      <w:r>
        <w:rPr>
          <w:rStyle w:val="26"/>
          <w:rFonts w:ascii="仿宋" w:hAnsi="仿宋" w:eastAsia="仿宋" w:cs="仿宋"/>
          <w:b w:val="0"/>
          <w:bCs/>
          <w:color w:val="000000"/>
          <w:sz w:val="32"/>
          <w:szCs w:val="32"/>
        </w:rPr>
        <w:t>2080199－其他人力资源和社会保障管理事务支出4.94万元，2080505－机关事业单位基本养老保险缴费支出69.61万元，2080506－机关事业单位职业年金缴费支出34.78万元，完成预算100%，决算数等于预算数的主要原因是年初严格编制单位预算，严格预算执行。</w:t>
      </w:r>
    </w:p>
    <w:p w14:paraId="38818205">
      <w:pPr>
        <w:numPr>
          <w:ilvl w:val="0"/>
          <w:numId w:val="6"/>
        </w:numPr>
        <w:tabs>
          <w:tab w:val="left" w:pos="312"/>
          <w:tab w:val="clear" w:pos="420"/>
        </w:tabs>
        <w:spacing w:line="600" w:lineRule="exact"/>
        <w:ind w:left="0" w:firstLine="643"/>
        <w:rPr>
          <w:rStyle w:val="26"/>
          <w:rFonts w:ascii="仿宋" w:hAnsi="仿宋" w:eastAsia="仿宋" w:cs="仿宋"/>
          <w:b w:val="0"/>
          <w:bCs/>
          <w:color w:val="000000"/>
          <w:sz w:val="32"/>
          <w:szCs w:val="32"/>
          <w:highlight w:val="none"/>
        </w:rPr>
      </w:pPr>
      <w:r>
        <w:rPr>
          <w:rStyle w:val="26"/>
          <w:rFonts w:ascii="仿宋" w:hAnsi="仿宋" w:eastAsia="仿宋" w:cs="仿宋"/>
          <w:bCs/>
          <w:color w:val="000000"/>
          <w:sz w:val="32"/>
          <w:szCs w:val="32"/>
        </w:rPr>
        <w:t>灾害防治及应急管理（类）224（款）06、07（项）：</w:t>
      </w:r>
    </w:p>
    <w:p w14:paraId="140B373F">
      <w:pPr>
        <w:numPr>
          <w:ilvl w:val="0"/>
          <w:numId w:val="0"/>
        </w:numPr>
        <w:spacing w:line="600" w:lineRule="exact"/>
        <w:ind w:left="0" w:firstLine="0"/>
        <w:rPr>
          <w:rStyle w:val="26"/>
          <w:rFonts w:ascii="仿宋" w:hAnsi="仿宋" w:eastAsia="仿宋" w:cs="仿宋"/>
          <w:b w:val="0"/>
          <w:bCs/>
          <w:color w:val="000000"/>
          <w:sz w:val="32"/>
          <w:szCs w:val="32"/>
          <w:highlight w:val="none"/>
          <w:lang w:val="en-US" w:eastAsia="zh-CN"/>
        </w:rPr>
      </w:pPr>
      <w:r>
        <w:rPr>
          <w:rStyle w:val="26"/>
          <w:rFonts w:ascii="仿宋" w:hAnsi="仿宋" w:eastAsia="仿宋" w:cs="仿宋"/>
          <w:b w:val="0"/>
          <w:bCs/>
          <w:color w:val="000000"/>
          <w:sz w:val="32"/>
          <w:szCs w:val="32"/>
        </w:rPr>
        <w:t>2240601－地质灾害防治支出10万元，2240799－其他自然灾害救灾及恢复重建支出40万元，完成预算100%，决算数等于预算数的主要原因是年初严格编制单位预算，严格预算执行。</w:t>
      </w:r>
    </w:p>
    <w:p w14:paraId="610898E4">
      <w:pPr>
        <w:spacing w:line="600" w:lineRule="exact"/>
        <w:rPr>
          <w:rFonts w:ascii="仿宋" w:hAnsi="仿宋" w:eastAsia="仿宋" w:cs="仿宋"/>
          <w:b/>
          <w:color w:val="000000"/>
          <w:sz w:val="32"/>
          <w:szCs w:val="32"/>
          <w:highlight w:val="none"/>
        </w:rPr>
      </w:pPr>
    </w:p>
    <w:p w14:paraId="664E3F44">
      <w:pPr>
        <w:numPr>
          <w:ilvl w:val="0"/>
          <w:numId w:val="0"/>
        </w:numPr>
        <w:spacing w:line="600" w:lineRule="exact"/>
        <w:ind w:left="0" w:firstLine="640"/>
        <w:rPr>
          <w:rFonts w:ascii="仿宋" w:hAnsi="仿宋" w:eastAsia="仿宋" w:cs="仿宋"/>
          <w:b/>
          <w:color w:val="000000"/>
          <w:sz w:val="32"/>
          <w:szCs w:val="32"/>
          <w:highlight w:val="none"/>
        </w:rPr>
      </w:pPr>
    </w:p>
    <w:p w14:paraId="29C2B9AF">
      <w:pPr>
        <w:spacing w:line="600" w:lineRule="exact"/>
        <w:ind w:firstLine="643"/>
        <w:rPr>
          <w:rFonts w:ascii="仿宋" w:hAnsi="仿宋" w:eastAsia="仿宋" w:cs="仿宋"/>
          <w:b/>
          <w:color w:val="000000"/>
          <w:sz w:val="32"/>
          <w:szCs w:val="32"/>
          <w:highlight w:val="none"/>
        </w:rPr>
      </w:pPr>
      <w:r>
        <w:rPr>
          <w:rStyle w:val="26"/>
          <w:rFonts w:ascii="仿宋" w:hAnsi="仿宋" w:eastAsia="仿宋" w:cs="仿宋"/>
          <w:bCs/>
          <w:color w:val="000000"/>
          <w:sz w:val="32"/>
          <w:szCs w:val="32"/>
        </w:rPr>
        <w:t>6.卫生健康（类）210（款）11（项）：2101101－行政单位医疗支出21.25万元，2101102－事业单位医疗支出13.12万元，2101103－公务员医疗补助3.83万元，2101199－其他行政事业单位医疗支出2.35万元，完成预算100%，决算数等于预算数的主要原因是年初严格编制单位预算，严格预算执行。</w:t>
      </w:r>
    </w:p>
    <w:p w14:paraId="6BA4A224">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本部门涉及的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25B42199">
      <w:pPr>
        <w:spacing w:line="600" w:lineRule="exact"/>
        <w:ind w:firstLine="640"/>
        <w:rPr>
          <w:rFonts w:ascii="仿宋" w:hAnsi="仿宋" w:eastAsia="仿宋" w:cs="仿宋"/>
          <w:b/>
          <w:color w:val="000000"/>
          <w:sz w:val="32"/>
          <w:szCs w:val="32"/>
          <w:highlight w:val="none"/>
        </w:rPr>
      </w:pPr>
    </w:p>
    <w:p w14:paraId="4D29BF44">
      <w:pPr>
        <w:numPr>
          <w:ilvl w:val="0"/>
          <w:numId w:val="0"/>
        </w:numPr>
        <w:tabs>
          <w:tab w:val="right" w:pos="8306"/>
        </w:tabs>
        <w:spacing w:line="600" w:lineRule="exact"/>
        <w:ind w:firstLine="640"/>
        <w:outlineLvl w:val="1"/>
        <w:rPr>
          <w:rStyle w:val="25"/>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25"/>
          <w:rFonts w:ascii="黑体" w:hAnsi="黑体" w:eastAsia="黑体" w:cs="黑体"/>
          <w:b w:val="0"/>
          <w:color w:val="000000"/>
        </w:rPr>
        <w:t>般公共预算财政拨款基本支出决算情况说明</w:t>
      </w:r>
      <w:r>
        <w:rPr>
          <w:rStyle w:val="25"/>
          <w:rFonts w:ascii="黑体" w:hAnsi="黑体" w:eastAsia="黑体" w:cs="黑体"/>
          <w:b w:val="0"/>
          <w:color w:val="000000"/>
        </w:rPr>
        <w:tab/>
      </w:r>
    </w:p>
    <w:p w14:paraId="1E1C431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2025年度一般公共预算财政拨款基本支出828.71万元，其中：</w:t>
      </w:r>
    </w:p>
    <w:p w14:paraId="595FC553">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770.89万元，主要包括：基本工资283.75万元、津贴补贴30.17万元、奖金192.09万元、绩效工资42.04万元、机关事业单位基本养老保险缴费69.61万元、职业年金缴费34.78万元、职工基本医疗保险缴费34.37万元、公务员医疗补助缴费3.83万元、其他社会保障缴费7.96万元、住房公积金60.62万元、医疗费2.35万元、其他工资福利支出8.54万元、生活补助0.75万元、奖励金0.02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57.82万元，主要包括：办公费16.04万元、电费1.43万元、邮电费1.50万元、取暖费1.51万元、差旅费18.61万元、培训费0.39万元、工会经费6.36万元、福利费4.45万元、公务用车运行维护费5.88万元、其他交通费用1.65万元。</w:t>
      </w:r>
    </w:p>
    <w:p w14:paraId="32B0BBC1">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本部门实际支出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21866BA4">
      <w:pPr>
        <w:numPr>
          <w:ilvl w:val="0"/>
          <w:numId w:val="0"/>
        </w:numPr>
        <w:spacing w:line="600" w:lineRule="exact"/>
        <w:ind w:firstLine="640"/>
        <w:outlineLvl w:val="1"/>
        <w:rPr>
          <w:rStyle w:val="25"/>
          <w:rFonts w:ascii="黑体" w:hAnsi="黑体" w:eastAsia="黑体" w:cs="黑体"/>
          <w:b w:val="0"/>
          <w:color w:val="000000"/>
          <w:highlight w:val="none"/>
        </w:rPr>
      </w:pPr>
      <w:r>
        <w:rPr>
          <w:rFonts w:ascii="黑体" w:hAnsi="黑体" w:eastAsia="黑体"/>
          <w:color w:val="000000"/>
          <w:sz w:val="32"/>
          <w:szCs w:val="32"/>
        </w:rPr>
        <w:t>七、</w:t>
      </w:r>
      <w:r>
        <w:rPr>
          <w:rStyle w:val="25"/>
          <w:rFonts w:ascii="黑体" w:hAnsi="黑体" w:eastAsia="黑体" w:cs="黑体"/>
          <w:b w:val="0"/>
          <w:color w:val="000000"/>
        </w:rPr>
        <w:t>财政拨款</w:t>
      </w:r>
      <w:r>
        <w:rPr>
          <w:rStyle w:val="25"/>
          <w:rFonts w:ascii="黑体" w:hAnsi="黑体" w:eastAsia="黑体" w:cs="黑体"/>
          <w:color w:val="000000"/>
        </w:rPr>
        <w:t>“</w:t>
      </w:r>
      <w:r>
        <w:rPr>
          <w:rStyle w:val="25"/>
          <w:rFonts w:ascii="黑体" w:hAnsi="黑体" w:eastAsia="黑体" w:cs="黑体"/>
          <w:b w:val="0"/>
          <w:color w:val="000000"/>
        </w:rPr>
        <w:t>三公”经费支出决算情况说明</w:t>
      </w:r>
    </w:p>
    <w:p w14:paraId="57610C1B">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1DDDAE63">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2025年度“三公”经费财政拨款支出决算为5.88万元，完成预算78.19%，较上年度减少0.02万元，减少0.36%。决算数小于预算数的主要原因是……。</w:t>
      </w:r>
    </w:p>
    <w:p w14:paraId="4B18C176">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4E9D270C">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40D78464">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2025年度“三公”经费财政拨款支出决算中，因公出国（境）费支出决算0万元，占0%；公务用车购置及运行维护费支出决算5.88万元，占100%；公务接待费支出决算0万元，占0%。具体情况如下：</w:t>
      </w:r>
    </w:p>
    <w:p w14:paraId="118325A0">
      <w:pPr>
        <w:spacing w:line="600" w:lineRule="exact"/>
        <w:ind w:firstLine="640"/>
        <w:rPr>
          <w:rFonts w:ascii="仿宋" w:hAnsi="仿宋" w:eastAsia="仿宋"/>
          <w:color w:val="000000"/>
          <w:sz w:val="32"/>
          <w:szCs w:val="32"/>
          <w:highlight w:val="none"/>
        </w:rPr>
      </w:pPr>
      <w:r>
        <w:rPr>
          <w:rFonts w:ascii="仿宋" w:hAnsi="仿宋" w:eastAsia="仿宋"/>
          <w:b/>
          <w:color w:val="000000"/>
          <w:sz w:val="32"/>
          <w:szCs w:val="32"/>
        </w:rPr>
        <w:t>1.因公出国（境）经费支出</w:t>
      </w:r>
      <w:r>
        <w:rPr>
          <w:rFonts w:ascii="仿宋" w:hAnsi="仿宋" w:eastAsia="仿宋"/>
          <w:color w:val="000000"/>
          <w:sz w:val="32"/>
          <w:szCs w:val="32"/>
          <w:lang w:val="en-US" w:eastAsia="zh-CN"/>
        </w:rPr>
        <w:t>0</w:t>
      </w:r>
      <w:r>
        <w:rPr>
          <w:rFonts w:ascii="仿宋" w:hAnsi="仿宋" w:eastAsia="仿宋"/>
          <w:color w:val="000000"/>
          <w:sz w:val="32"/>
          <w:szCs w:val="32"/>
        </w:rPr>
        <w:t>万元，</w:t>
      </w:r>
      <w:r>
        <w:rPr>
          <w:rStyle w:val="26"/>
          <w:rFonts w:ascii="仿宋" w:hAnsi="仿宋" w:eastAsia="仿宋" w:cs="仿宋"/>
          <w:b w:val="0"/>
          <w:bCs/>
          <w:color w:val="000000"/>
          <w:sz w:val="32"/>
          <w:szCs w:val="32"/>
        </w:rPr>
        <w:t>完成预算</w:t>
      </w:r>
      <w:r>
        <w:rPr>
          <w:rStyle w:val="26"/>
          <w:rFonts w:ascii="仿宋" w:hAnsi="仿宋" w:eastAsia="仿宋" w:cs="仿宋"/>
          <w:b w:val="0"/>
          <w:bCs/>
          <w:color w:val="000000"/>
          <w:sz w:val="32"/>
          <w:szCs w:val="32"/>
          <w:lang w:val="en-US" w:eastAsia="zh-CN"/>
        </w:rPr>
        <w:t>0</w:t>
      </w:r>
      <w:r>
        <w:rPr>
          <w:rStyle w:val="26"/>
          <w:rFonts w:ascii="仿宋" w:hAnsi="仿宋" w:eastAsia="仿宋" w:cs="仿宋"/>
          <w:b w:val="0"/>
          <w:bCs/>
          <w:color w:val="000000"/>
          <w:sz w:val="32"/>
          <w:szCs w:val="32"/>
        </w:rPr>
        <w:t>%。</w:t>
      </w:r>
      <w:r>
        <w:rPr>
          <w:rFonts w:ascii="仿宋" w:hAnsi="仿宋" w:eastAsia="仿宋"/>
          <w:color w:val="000000"/>
          <w:sz w:val="32"/>
          <w:szCs w:val="32"/>
        </w:rPr>
        <w:t>全年安排因公出国（境）团组</w:t>
      </w:r>
      <w:r>
        <w:rPr>
          <w:rFonts w:ascii="仿宋" w:hAnsi="仿宋" w:eastAsia="仿宋"/>
          <w:color w:val="000000"/>
          <w:sz w:val="32"/>
          <w:szCs w:val="32"/>
          <w:lang w:val="en-US" w:eastAsia="zh-CN"/>
        </w:rPr>
        <w:t>0</w:t>
      </w:r>
      <w:r>
        <w:rPr>
          <w:rFonts w:ascii="仿宋" w:hAnsi="仿宋" w:eastAsia="仿宋"/>
          <w:color w:val="000000"/>
          <w:sz w:val="32"/>
          <w:szCs w:val="32"/>
        </w:rPr>
        <w:t>次，出国（境）</w:t>
      </w:r>
      <w:r>
        <w:rPr>
          <w:rFonts w:ascii="仿宋" w:hAnsi="仿宋" w:eastAsia="仿宋"/>
          <w:color w:val="000000"/>
          <w:sz w:val="32"/>
          <w:szCs w:val="32"/>
          <w:lang w:val="en-US" w:eastAsia="zh-CN"/>
        </w:rPr>
        <w:t>0</w:t>
      </w:r>
      <w:r>
        <w:rPr>
          <w:rFonts w:ascii="仿宋" w:hAnsi="仿宋" w:eastAsia="仿宋"/>
          <w:color w:val="000000"/>
          <w:sz w:val="32"/>
          <w:szCs w:val="32"/>
        </w:rPr>
        <w:t>人。</w:t>
      </w:r>
    </w:p>
    <w:p w14:paraId="61FCE878">
      <w:pPr>
        <w:spacing w:line="600" w:lineRule="exact"/>
        <w:ind w:firstLine="640"/>
        <w:rPr>
          <w:rFonts w:ascii="仿宋" w:hAnsi="仿宋" w:eastAsia="仿宋"/>
          <w:b/>
          <w:color w:val="000000"/>
          <w:sz w:val="32"/>
          <w:szCs w:val="32"/>
          <w:highlight w:val="none"/>
        </w:rPr>
      </w:pPr>
      <w:r>
        <w:rPr>
          <w:rFonts w:ascii="仿宋" w:hAnsi="仿宋" w:eastAsia="仿宋"/>
          <w:b/>
          <w:color w:val="000000"/>
          <w:sz w:val="32"/>
          <w:szCs w:val="32"/>
        </w:rPr>
        <w:t>2.公务用车购置及运行维护费支出5.88万元，完成预算78.19%。公务用车购置及运行维护费支出决算较上年度减少0.02万元，减少0.36%。主要原因是……。</w:t>
      </w:r>
    </w:p>
    <w:p w14:paraId="7C8930EE">
      <w:pPr>
        <w:spacing w:line="600" w:lineRule="exact"/>
        <w:ind w:firstLine="640"/>
        <w:rPr>
          <w:rFonts w:ascii="仿宋" w:hAnsi="仿宋" w:eastAsia="仿宋"/>
          <w:b/>
          <w:color w:val="000000"/>
          <w:sz w:val="32"/>
          <w:szCs w:val="32"/>
          <w:highlight w:val="none"/>
        </w:rPr>
      </w:pPr>
      <w:r>
        <w:rPr>
          <w:rFonts w:ascii="仿宋" w:hAnsi="仿宋" w:eastAsia="仿宋"/>
          <w:color w:val="000000"/>
          <w:sz w:val="32"/>
          <w:szCs w:val="32"/>
        </w:rPr>
        <w:t>其中：公务用车购置支出0万元。全年按规定更新购置公务用车0辆，截至2025年12月31日，单位共有公务用车5辆。</w:t>
      </w:r>
    </w:p>
    <w:p w14:paraId="5AC5357C">
      <w:pPr>
        <w:spacing w:line="600" w:lineRule="exact"/>
        <w:ind w:firstLine="640"/>
        <w:rPr>
          <w:rFonts w:ascii="仿宋" w:hAnsi="仿宋" w:eastAsia="仿宋"/>
          <w:color w:val="000000"/>
          <w:sz w:val="32"/>
          <w:szCs w:val="32"/>
          <w:highlight w:val="none"/>
        </w:rPr>
      </w:pPr>
      <w:r>
        <w:rPr>
          <w:rFonts w:ascii="仿宋" w:hAnsi="仿宋" w:eastAsia="仿宋"/>
          <w:b/>
          <w:color w:val="000000"/>
          <w:sz w:val="32"/>
          <w:szCs w:val="32"/>
        </w:rPr>
        <w:t>公务用车运行维护费支出5.88万元。主要用于下村、州内、外出差等所需的公务用车燃料费、维修费、过路过桥费、保险费等支出。</w:t>
      </w:r>
    </w:p>
    <w:p w14:paraId="5A258A3B">
      <w:pPr>
        <w:spacing w:line="600" w:lineRule="exact"/>
        <w:ind w:firstLine="643"/>
        <w:rPr>
          <w:rFonts w:ascii="仿宋" w:hAnsi="仿宋" w:eastAsia="仿宋"/>
          <w:color w:val="000000"/>
          <w:sz w:val="32"/>
          <w:szCs w:val="32"/>
          <w:highlight w:val="none"/>
        </w:rPr>
      </w:pPr>
      <w:r>
        <w:rPr>
          <w:rFonts w:ascii="仿宋" w:hAnsi="仿宋" w:eastAsia="仿宋"/>
          <w:b/>
          <w:color w:val="000000"/>
          <w:sz w:val="32"/>
          <w:szCs w:val="32"/>
        </w:rPr>
        <w:t>3.公务接待费支出</w:t>
      </w:r>
      <w:r>
        <w:rPr>
          <w:rFonts w:ascii="仿宋" w:hAnsi="仿宋" w:eastAsia="仿宋"/>
          <w:color w:val="000000"/>
          <w:sz w:val="32"/>
          <w:szCs w:val="32"/>
          <w:lang w:val="en-US" w:eastAsia="zh-CN"/>
        </w:rPr>
        <w:t>0</w:t>
      </w:r>
      <w:r>
        <w:rPr>
          <w:rFonts w:ascii="仿宋" w:hAnsi="仿宋" w:eastAsia="仿宋"/>
          <w:color w:val="000000"/>
          <w:sz w:val="32"/>
          <w:szCs w:val="32"/>
        </w:rPr>
        <w:t>万元，</w:t>
      </w:r>
      <w:r>
        <w:rPr>
          <w:rStyle w:val="26"/>
          <w:rFonts w:ascii="仿宋" w:hAnsi="仿宋" w:eastAsia="仿宋" w:cs="仿宋"/>
          <w:b w:val="0"/>
          <w:bCs/>
          <w:color w:val="000000"/>
          <w:sz w:val="32"/>
          <w:szCs w:val="32"/>
        </w:rPr>
        <w:t>完成预算</w:t>
      </w:r>
      <w:r>
        <w:rPr>
          <w:rStyle w:val="26"/>
          <w:rFonts w:ascii="仿宋" w:hAnsi="仿宋" w:eastAsia="仿宋" w:cs="仿宋"/>
          <w:b w:val="0"/>
          <w:bCs/>
          <w:color w:val="000000"/>
          <w:sz w:val="32"/>
          <w:szCs w:val="32"/>
          <w:lang w:val="en-US" w:eastAsia="zh-CN"/>
        </w:rPr>
        <w:t>0</w:t>
      </w:r>
      <w:r>
        <w:rPr>
          <w:rStyle w:val="26"/>
          <w:rFonts w:ascii="仿宋" w:hAnsi="仿宋" w:eastAsia="仿宋" w:cs="仿宋"/>
          <w:b w:val="0"/>
          <w:bCs/>
          <w:color w:val="000000"/>
          <w:sz w:val="32"/>
          <w:szCs w:val="32"/>
        </w:rPr>
        <w:t>%。</w:t>
      </w:r>
    </w:p>
    <w:p w14:paraId="2B63521F">
      <w:pPr>
        <w:numPr>
          <w:ilvl w:val="0"/>
          <w:numId w:val="0"/>
        </w:numPr>
        <w:spacing w:line="600" w:lineRule="exact"/>
        <w:ind w:firstLine="640"/>
        <w:outlineLvl w:val="1"/>
        <w:rPr>
          <w:rFonts w:ascii="黑体" w:hAnsi="黑体" w:eastAsia="黑体"/>
          <w:color w:val="000000"/>
          <w:sz w:val="32"/>
          <w:szCs w:val="32"/>
          <w:highlight w:val="none"/>
        </w:rPr>
      </w:pPr>
    </w:p>
    <w:p w14:paraId="46518B33">
      <w:pPr>
        <w:numPr>
          <w:ilvl w:val="0"/>
          <w:numId w:val="0"/>
        </w:numPr>
        <w:spacing w:line="600" w:lineRule="exact"/>
        <w:ind w:firstLine="640"/>
        <w:outlineLvl w:val="1"/>
        <w:rPr>
          <w:rStyle w:val="25"/>
          <w:rFonts w:ascii="黑体" w:hAnsi="黑体" w:eastAsia="黑体" w:cs="黑体"/>
          <w:color w:val="000000"/>
          <w:highlight w:val="none"/>
        </w:rPr>
      </w:pPr>
      <w:r>
        <w:rPr>
          <w:rFonts w:ascii="黑体" w:hAnsi="黑体" w:eastAsia="黑体"/>
          <w:color w:val="000000"/>
          <w:sz w:val="32"/>
          <w:szCs w:val="32"/>
        </w:rPr>
        <w:t>八、</w:t>
      </w:r>
      <w:r>
        <w:rPr>
          <w:rStyle w:val="25"/>
          <w:rFonts w:ascii="黑体" w:hAnsi="黑体" w:eastAsia="黑体" w:cs="黑体"/>
          <w:b w:val="0"/>
          <w:color w:val="000000"/>
        </w:rPr>
        <w:t>政府性基金预算支出决算情况说明</w:t>
      </w:r>
    </w:p>
    <w:p w14:paraId="23278EB3">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29095277">
      <w:pPr>
        <w:spacing w:line="600" w:lineRule="exact"/>
        <w:ind w:firstLine="640"/>
        <w:rPr>
          <w:rFonts w:ascii="仿宋" w:hAnsi="仿宋" w:eastAsia="仿宋"/>
          <w:color w:val="000000"/>
          <w:sz w:val="32"/>
          <w:szCs w:val="32"/>
          <w:highlight w:val="none"/>
        </w:rPr>
      </w:pPr>
    </w:p>
    <w:p w14:paraId="7EF77FD8">
      <w:pPr>
        <w:numPr>
          <w:ilvl w:val="0"/>
          <w:numId w:val="7"/>
        </w:numPr>
        <w:spacing w:line="600" w:lineRule="exact"/>
        <w:ind w:left="0" w:firstLine="640"/>
        <w:outlineLvl w:val="1"/>
        <w:rPr>
          <w:rStyle w:val="25"/>
          <w:rFonts w:ascii="黑体" w:hAnsi="黑体" w:eastAsia="黑体" w:cs="黑体"/>
          <w:b w:val="0"/>
          <w:color w:val="000000"/>
          <w:highlight w:val="none"/>
        </w:rPr>
      </w:pPr>
      <w:r>
        <w:rPr>
          <w:rStyle w:val="25"/>
          <w:rFonts w:ascii="黑体" w:hAnsi="黑体" w:eastAsia="黑体" w:cs="黑体"/>
          <w:b w:val="0"/>
          <w:color w:val="000000"/>
        </w:rPr>
        <w:t>国有资本经营预算支出决算情况说明</w:t>
      </w:r>
    </w:p>
    <w:p w14:paraId="2E2C8FBA">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2025年度国有资本经营预算财政拨款支出0.17万元。</w:t>
      </w:r>
    </w:p>
    <w:p w14:paraId="59A7605D">
      <w:pPr>
        <w:spacing w:line="580" w:lineRule="exact"/>
        <w:jc w:val="center"/>
        <w:rPr>
          <w:rFonts w:ascii="方正小标宋简体" w:hAnsi="方正小标宋简体" w:eastAsia="方正小标宋简体" w:cs="方正小标宋简体"/>
          <w:color w:val="000000"/>
          <w:sz w:val="44"/>
          <w:szCs w:val="44"/>
          <w:highlight w:val="none"/>
        </w:rPr>
      </w:pPr>
    </w:p>
    <w:p w14:paraId="08B7066A">
      <w:pPr>
        <w:numPr>
          <w:ilvl w:val="0"/>
          <w:numId w:val="7"/>
        </w:numPr>
        <w:spacing w:line="600" w:lineRule="exact"/>
        <w:ind w:left="0" w:firstLine="640"/>
        <w:outlineLvl w:val="1"/>
        <w:rPr>
          <w:rStyle w:val="25"/>
          <w:rFonts w:ascii="黑体" w:hAnsi="黑体" w:eastAsia="黑体" w:cs="黑体"/>
          <w:b w:val="0"/>
          <w:color w:val="000000"/>
          <w:highlight w:val="none"/>
        </w:rPr>
      </w:pPr>
      <w:r>
        <w:rPr>
          <w:rStyle w:val="25"/>
          <w:rFonts w:ascii="黑体" w:hAnsi="黑体" w:eastAsia="黑体" w:cs="黑体"/>
          <w:b w:val="0"/>
          <w:color w:val="000000"/>
        </w:rPr>
        <w:t>其他重要事项的情况说明</w:t>
      </w:r>
    </w:p>
    <w:p w14:paraId="349996D7">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0F7EC036">
      <w:pPr>
        <w:spacing w:line="600" w:lineRule="exact"/>
        <w:ind w:firstLine="640"/>
        <w:rPr>
          <w:rFonts w:ascii="仿宋" w:hAnsi="仿宋" w:eastAsia="仿宋"/>
          <w:color w:val="000000"/>
          <w:sz w:val="32"/>
          <w:szCs w:val="32"/>
          <w:highlight w:val="none"/>
          <w:lang w:eastAsia="zh-CN"/>
        </w:rPr>
      </w:pPr>
      <w:r>
        <w:rPr>
          <w:rFonts w:ascii="仿宋" w:hAnsi="仿宋" w:eastAsia="仿宋"/>
          <w:color w:val="000000"/>
          <w:sz w:val="32"/>
          <w:szCs w:val="32"/>
          <w:lang w:eastAsia="zh-CN"/>
        </w:rPr>
        <w:t>2025年度，松潘县白羊乡人民政府本级机关运行经费支出44.18万元，比2024年度增加17.3万元，增加64.35%。主要原因是人员经费增加。</w:t>
      </w:r>
    </w:p>
    <w:p w14:paraId="09524F40">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08939B59">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7A878EED">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2025年度，松潘县白羊乡人</w:t>
      </w:r>
      <w:bookmarkStart w:id="0" w:name="_GoBack"/>
      <w:r>
        <w:rPr>
          <w:rFonts w:ascii="仿宋" w:hAnsi="仿宋" w:eastAsia="仿宋"/>
          <w:color w:val="000000"/>
          <w:sz w:val="32"/>
          <w:szCs w:val="32"/>
          <w:lang w:eastAsia="zh-CN"/>
        </w:rPr>
        <w:t>民政府政府</w:t>
      </w:r>
      <w:bookmarkEnd w:id="0"/>
      <w:r>
        <w:rPr>
          <w:rFonts w:ascii="仿宋" w:hAnsi="仿宋" w:eastAsia="仿宋"/>
          <w:color w:val="000000"/>
          <w:sz w:val="32"/>
          <w:szCs w:val="32"/>
          <w:lang w:eastAsia="zh-CN"/>
        </w:rPr>
        <w:t>采购支出总额0.39万元，其中：政府采购货物支出0万元、政府采购工程支出0万元、政府采购服务支出0.39万元。</w:t>
      </w:r>
    </w:p>
    <w:p w14:paraId="2218F7AD">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573302D9">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3E3F3A5E">
      <w:pPr>
        <w:autoSpaceDE w:val="0"/>
        <w:spacing w:line="60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截至2025年12月31日，白羊乡人民政府共有车辆5辆，其中：主要领导干部用车0辆、机要通信用车0辆、应急保障用车2辆、执法执勤用车0辆、特种专业技术用车1辆、其他用车2辆，其他用车主要是用于开展下村及州内、外出差使用。单价50万元以上通用设备0台（套），单价100万元以上专用设备（不含车辆）0台（套）。</w:t>
      </w:r>
    </w:p>
    <w:p w14:paraId="398698CA">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财决附03表，按部门决算报表填报数据罗列车辆情况。）</w:t>
      </w:r>
    </w:p>
    <w:p w14:paraId="5017CD5A">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（四）预算绩效管理情况</w:t>
      </w:r>
    </w:p>
    <w:p w14:paraId="775E3C60">
      <w:pPr>
        <w:spacing w:line="58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rPr>
        <w:t>根据预算绩效管理要求，本部门在</w:t>
      </w:r>
      <w:r>
        <w:rPr>
          <w:rFonts w:ascii="仿宋" w:hAnsi="仿宋" w:eastAsia="仿宋" w:cs="仿宋"/>
          <w:color w:val="000000"/>
          <w:sz w:val="32"/>
          <w:szCs w:val="32"/>
          <w:lang w:val="en-US" w:eastAsia="zh-CN"/>
        </w:rPr>
        <w:t>202</w:t>
      </w:r>
      <w:r>
        <w:rPr>
          <w:rFonts w:hint="eastAsia" w:ascii="仿宋" w:hAnsi="仿宋" w:eastAsia="仿宋" w:cs="仿宋"/>
          <w:color w:val="000000"/>
          <w:sz w:val="32"/>
          <w:szCs w:val="32"/>
          <w:lang w:val="en-US" w:eastAsia="zh-CN"/>
        </w:rPr>
        <w:t>5</w:t>
      </w:r>
      <w:r>
        <w:rPr>
          <w:rFonts w:ascii="仿宋" w:hAnsi="仿宋" w:eastAsia="仿宋" w:cs="仿宋"/>
          <w:color w:val="000000"/>
          <w:sz w:val="32"/>
          <w:szCs w:val="32"/>
          <w:lang w:val="en-US" w:eastAsia="zh-CN"/>
        </w:rPr>
        <w:t>年度</w:t>
      </w:r>
      <w:r>
        <w:rPr>
          <w:rFonts w:ascii="仿宋" w:hAnsi="仿宋" w:eastAsia="仿宋" w:cs="仿宋"/>
          <w:color w:val="000000"/>
          <w:sz w:val="32"/>
          <w:szCs w:val="32"/>
        </w:rPr>
        <w:t>预算编制阶段，</w:t>
      </w:r>
      <w:r>
        <w:rPr>
          <w:rFonts w:ascii="仿宋" w:hAnsi="仿宋" w:eastAsia="仿宋" w:cs="仿宋"/>
          <w:color w:val="000000"/>
          <w:sz w:val="32"/>
          <w:szCs w:val="32"/>
          <w:lang w:eastAsia="zh-CN"/>
        </w:rPr>
        <w:t>202</w:t>
      </w:r>
      <w:r>
        <w:rPr>
          <w:rFonts w:hint="eastAsia" w:ascii="仿宋" w:hAnsi="仿宋" w:eastAsia="仿宋" w:cs="仿宋"/>
          <w:color w:val="000000"/>
          <w:sz w:val="32"/>
          <w:szCs w:val="32"/>
          <w:lang w:val="en-US" w:eastAsia="zh-CN"/>
        </w:rPr>
        <w:t>5</w:t>
      </w:r>
      <w:r>
        <w:rPr>
          <w:rFonts w:ascii="仿宋" w:hAnsi="仿宋" w:eastAsia="仿宋" w:cs="仿宋"/>
          <w:color w:val="000000"/>
          <w:sz w:val="32"/>
          <w:szCs w:val="32"/>
          <w:lang w:eastAsia="zh-CN"/>
        </w:rPr>
        <w:t>年村干部工资及保险临岗、公共服务运行经费、项目二类费用</w:t>
      </w:r>
      <w:r>
        <w:rPr>
          <w:rFonts w:ascii="仿宋" w:hAnsi="仿宋" w:eastAsia="仿宋" w:cs="仿宋"/>
          <w:color w:val="000000"/>
          <w:sz w:val="32"/>
          <w:szCs w:val="32"/>
        </w:rPr>
        <w:t>项目（项目名称）</w:t>
      </w:r>
      <w:r>
        <w:rPr>
          <w:rFonts w:ascii="仿宋" w:hAnsi="仿宋" w:eastAsia="仿宋" w:cs="仿宋"/>
          <w:color w:val="000000"/>
          <w:sz w:val="32"/>
          <w:szCs w:val="32"/>
          <w:lang w:eastAsia="zh-CN"/>
        </w:rPr>
        <w:t>等</w:t>
      </w:r>
      <w:r>
        <w:rPr>
          <w:rFonts w:ascii="仿宋" w:hAnsi="仿宋" w:eastAsia="仿宋" w:cs="仿宋"/>
          <w:color w:val="000000"/>
          <w:sz w:val="32"/>
          <w:szCs w:val="32"/>
          <w:lang w:val="en-US" w:eastAsia="zh-CN"/>
        </w:rPr>
        <w:t>3个项目</w:t>
      </w:r>
      <w:r>
        <w:rPr>
          <w:rFonts w:ascii="仿宋" w:hAnsi="仿宋" w:eastAsia="仿宋" w:cs="仿宋"/>
          <w:color w:val="000000"/>
          <w:sz w:val="32"/>
          <w:szCs w:val="32"/>
        </w:rPr>
        <w:t>开展了预算事前绩效评估，对</w:t>
      </w:r>
      <w:r>
        <w:rPr>
          <w:rFonts w:ascii="仿宋" w:hAnsi="仿宋" w:eastAsia="仿宋" w:cs="仿宋"/>
          <w:color w:val="000000"/>
          <w:sz w:val="32"/>
          <w:szCs w:val="32"/>
          <w:lang w:val="en-US" w:eastAsia="zh-CN"/>
        </w:rPr>
        <w:t>3</w:t>
      </w:r>
      <w:r>
        <w:rPr>
          <w:rFonts w:ascii="仿宋" w:hAnsi="仿宋" w:eastAsia="仿宋" w:cs="仿宋"/>
          <w:color w:val="000000"/>
          <w:sz w:val="32"/>
          <w:szCs w:val="32"/>
        </w:rPr>
        <w:t>个项目编制了绩效目标，预算执行过程中，选取</w:t>
      </w:r>
      <w:r>
        <w:rPr>
          <w:rFonts w:ascii="仿宋" w:hAnsi="仿宋" w:eastAsia="仿宋" w:cs="仿宋"/>
          <w:color w:val="000000"/>
          <w:sz w:val="32"/>
          <w:szCs w:val="32"/>
          <w:lang w:val="en-US" w:eastAsia="zh-CN"/>
        </w:rPr>
        <w:t>2</w:t>
      </w:r>
      <w:r>
        <w:rPr>
          <w:rFonts w:ascii="仿宋" w:hAnsi="仿宋" w:eastAsia="仿宋" w:cs="仿宋"/>
          <w:color w:val="000000"/>
          <w:sz w:val="32"/>
          <w:szCs w:val="32"/>
        </w:rPr>
        <w:t>个项目开展绩效监控</w:t>
      </w:r>
      <w:r>
        <w:rPr>
          <w:rFonts w:ascii="仿宋" w:hAnsi="仿宋" w:eastAsia="仿宋" w:cs="仿宋"/>
          <w:color w:val="000000"/>
          <w:sz w:val="32"/>
          <w:szCs w:val="32"/>
          <w:lang w:eastAsia="zh-CN"/>
        </w:rPr>
        <w:t>。</w:t>
      </w:r>
    </w:p>
    <w:p w14:paraId="7C4966F8">
      <w:pPr>
        <w:spacing w:line="58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组织</w:t>
      </w:r>
      <w:r>
        <w:rPr>
          <w:rFonts w:ascii="仿宋" w:hAnsi="仿宋" w:eastAsia="仿宋" w:cs="仿宋"/>
          <w:color w:val="000000"/>
          <w:sz w:val="32"/>
          <w:szCs w:val="32"/>
        </w:rPr>
        <w:t>对</w:t>
      </w:r>
      <w:r>
        <w:rPr>
          <w:rFonts w:ascii="仿宋" w:hAnsi="仿宋" w:eastAsia="仿宋" w:cs="仿宋"/>
          <w:color w:val="000000"/>
          <w:sz w:val="32"/>
          <w:szCs w:val="32"/>
          <w:lang w:val="en-US" w:eastAsia="zh-CN"/>
        </w:rPr>
        <w:t>202</w:t>
      </w:r>
      <w:r>
        <w:rPr>
          <w:rFonts w:hint="eastAsia" w:ascii="仿宋" w:hAnsi="仿宋" w:eastAsia="仿宋" w:cs="仿宋"/>
          <w:color w:val="000000"/>
          <w:sz w:val="32"/>
          <w:szCs w:val="32"/>
          <w:lang w:val="en-US" w:eastAsia="zh-CN"/>
        </w:rPr>
        <w:t>5</w:t>
      </w:r>
      <w:r>
        <w:rPr>
          <w:rFonts w:ascii="仿宋" w:hAnsi="仿宋" w:eastAsia="仿宋" w:cs="仿宋"/>
          <w:color w:val="000000"/>
          <w:sz w:val="32"/>
          <w:szCs w:val="32"/>
          <w:lang w:val="en-US" w:eastAsia="zh-CN"/>
        </w:rPr>
        <w:t>年度一般公共预算、</w:t>
      </w:r>
      <w:r>
        <w:rPr>
          <w:rFonts w:ascii="仿宋" w:hAnsi="仿宋" w:eastAsia="仿宋" w:cs="仿宋"/>
          <w:color w:val="000000"/>
          <w:sz w:val="32"/>
          <w:szCs w:val="32"/>
          <w:lang w:eastAsia="zh-CN"/>
        </w:rPr>
        <w:t>政府性基金预算、国有资本经营预算、社会保险基金预算以及资本资产、债券资金等</w:t>
      </w:r>
      <w:r>
        <w:rPr>
          <w:rFonts w:ascii="仿宋" w:hAnsi="仿宋" w:eastAsia="仿宋" w:cs="仿宋"/>
          <w:color w:val="000000"/>
          <w:sz w:val="32"/>
          <w:szCs w:val="32"/>
          <w:lang w:val="en-US" w:eastAsia="zh-CN"/>
        </w:rPr>
        <w:t>全面开展绩效自评，形成白羊乡人民政府</w:t>
      </w:r>
      <w:r>
        <w:rPr>
          <w:rFonts w:ascii="仿宋" w:hAnsi="仿宋" w:eastAsia="仿宋" w:cs="仿宋"/>
          <w:color w:val="000000"/>
          <w:sz w:val="32"/>
          <w:szCs w:val="32"/>
          <w:lang w:eastAsia="zh-CN"/>
        </w:rPr>
        <w:t>部门整体（含部门预算项目）</w:t>
      </w:r>
      <w:r>
        <w:rPr>
          <w:rFonts w:ascii="仿宋" w:hAnsi="仿宋" w:eastAsia="仿宋" w:cs="仿宋"/>
          <w:color w:val="000000"/>
          <w:sz w:val="32"/>
          <w:szCs w:val="32"/>
          <w:lang w:val="en-US" w:eastAsia="zh-CN"/>
        </w:rPr>
        <w:t>绩效自评报告</w:t>
      </w:r>
      <w:r>
        <w:rPr>
          <w:rFonts w:ascii="仿宋" w:hAnsi="仿宋" w:eastAsia="仿宋" w:cs="仿宋"/>
          <w:color w:val="000000"/>
          <w:sz w:val="32"/>
          <w:szCs w:val="32"/>
          <w:lang w:eastAsia="zh-CN"/>
        </w:rPr>
        <w:t>、</w:t>
      </w:r>
      <w:r>
        <w:rPr>
          <w:rFonts w:ascii="仿宋" w:hAnsi="仿宋" w:eastAsia="仿宋" w:cs="仿宋"/>
          <w:color w:val="000000"/>
          <w:sz w:val="32"/>
          <w:szCs w:val="32"/>
          <w:lang w:val="en-US" w:eastAsia="zh-CN"/>
        </w:rPr>
        <w:t>9项</w:t>
      </w:r>
      <w:r>
        <w:rPr>
          <w:rFonts w:ascii="仿宋" w:hAnsi="仿宋" w:eastAsia="仿宋" w:cs="仿宋"/>
          <w:color w:val="000000"/>
          <w:sz w:val="32"/>
          <w:szCs w:val="32"/>
          <w:lang w:eastAsia="zh-CN"/>
        </w:rPr>
        <w:t>专项预算项目</w:t>
      </w:r>
      <w:r>
        <w:rPr>
          <w:rFonts w:ascii="仿宋" w:hAnsi="仿宋" w:eastAsia="仿宋" w:cs="仿宋"/>
          <w:color w:val="000000"/>
          <w:sz w:val="32"/>
          <w:szCs w:val="32"/>
          <w:lang w:val="en-US" w:eastAsia="zh-CN"/>
        </w:rPr>
        <w:t>绩效自评报告，其中，白羊乡人民政府部门整体</w:t>
      </w:r>
      <w:r>
        <w:rPr>
          <w:rFonts w:ascii="仿宋" w:hAnsi="仿宋" w:eastAsia="仿宋" w:cs="仿宋"/>
          <w:color w:val="000000"/>
          <w:sz w:val="32"/>
          <w:szCs w:val="32"/>
          <w:lang w:eastAsia="zh-CN"/>
        </w:rPr>
        <w:t>（含部门预算项目）</w:t>
      </w:r>
      <w:r>
        <w:rPr>
          <w:rFonts w:ascii="仿宋" w:hAnsi="仿宋" w:eastAsia="仿宋" w:cs="仿宋"/>
          <w:color w:val="000000"/>
          <w:sz w:val="32"/>
          <w:szCs w:val="32"/>
          <w:lang w:val="en-US" w:eastAsia="zh-CN"/>
        </w:rPr>
        <w:t>绩效自评得分为96分，绩效自评综述：我乡按要求设定部门整体目标，按时对整体绩效自评进行自评；3</w:t>
      </w:r>
      <w:r>
        <w:rPr>
          <w:rFonts w:ascii="仿宋" w:hAnsi="仿宋" w:eastAsia="仿宋" w:cs="仿宋"/>
          <w:color w:val="000000"/>
          <w:sz w:val="32"/>
          <w:szCs w:val="32"/>
          <w:lang w:eastAsia="zh-CN"/>
        </w:rPr>
        <w:t>专项预</w:t>
      </w:r>
      <w:r>
        <w:rPr>
          <w:rFonts w:ascii="仿宋" w:hAnsi="仿宋" w:eastAsia="仿宋" w:cs="仿宋"/>
          <w:color w:val="000000"/>
          <w:sz w:val="32"/>
          <w:szCs w:val="32"/>
          <w:lang w:val="en-US" w:eastAsia="zh-CN"/>
        </w:rPr>
        <w:t>算项目绩效自评得分为95分，绩效自评综述：我乡按要求对项目进行设定绩效目标，按时对项目进行绩效评价。绩效自评报告详见附件。（如不涉及，可根据实际修改表述。）</w:t>
      </w:r>
    </w:p>
    <w:p w14:paraId="3D83EBD9">
      <w:pPr>
        <w:widowControl/>
        <w:ind w:firstLine="643"/>
        <w:jc w:val="left"/>
        <w:rPr>
          <w:rFonts w:ascii="仿宋" w:hAnsi="仿宋" w:eastAsia="仿宋" w:cs="仿宋"/>
          <w:b/>
          <w:color w:val="000000"/>
          <w:sz w:val="32"/>
          <w:szCs w:val="32"/>
          <w:highlight w:val="none"/>
          <w:lang w:val="en-US" w:eastAsia="zh-CN"/>
        </w:rPr>
      </w:pPr>
    </w:p>
    <w:p w14:paraId="126A4EBF">
      <w:pPr>
        <w:rPr>
          <w:rFonts w:ascii="仿宋" w:hAnsi="仿宋" w:eastAsia="仿宋"/>
          <w:b/>
          <w:color w:val="000000"/>
          <w:sz w:val="32"/>
          <w:szCs w:val="32"/>
          <w:highlight w:val="none"/>
        </w:rPr>
      </w:pPr>
    </w:p>
    <w:p w14:paraId="53EB7193">
      <w:pPr>
        <w:pStyle w:val="12"/>
      </w:pPr>
    </w:p>
    <w:p w14:paraId="278D638C">
      <w:pPr>
        <w:pStyle w:val="13"/>
      </w:pPr>
    </w:p>
    <w:p w14:paraId="2B6E15C7">
      <w:pPr>
        <w:pStyle w:val="13"/>
      </w:pPr>
    </w:p>
    <w:p w14:paraId="509E3CBF">
      <w:pPr>
        <w:pStyle w:val="13"/>
      </w:pPr>
    </w:p>
    <w:p w14:paraId="24626744">
      <w:pPr>
        <w:pStyle w:val="13"/>
      </w:pPr>
    </w:p>
    <w:p w14:paraId="74113B25">
      <w:pPr>
        <w:pStyle w:val="13"/>
      </w:pPr>
    </w:p>
    <w:p w14:paraId="4B0C74D5">
      <w:pPr>
        <w:pStyle w:val="13"/>
      </w:pPr>
    </w:p>
    <w:p w14:paraId="788D052A">
      <w:pPr>
        <w:pStyle w:val="13"/>
      </w:pPr>
    </w:p>
    <w:p w14:paraId="44EA2552">
      <w:pPr>
        <w:pStyle w:val="13"/>
      </w:pPr>
    </w:p>
    <w:p w14:paraId="3CD29480">
      <w:pPr>
        <w:numPr>
          <w:ilvl w:val="0"/>
          <w:numId w:val="8"/>
        </w:numPr>
        <w:spacing w:line="600" w:lineRule="exact"/>
        <w:ind w:left="0" w:firstLine="660"/>
        <w:jc w:val="center"/>
        <w:outlineLvl w:val="0"/>
        <w:rPr>
          <w:rStyle w:val="24"/>
          <w:rFonts w:ascii="黑体" w:hAnsi="黑体" w:eastAsia="黑体" w:cs="黑体"/>
          <w:b w:val="0"/>
          <w:color w:val="000000"/>
          <w:highlight w:val="none"/>
        </w:rPr>
      </w:pPr>
      <w:r>
        <w:rPr>
          <w:rFonts w:ascii="黑体" w:hAnsi="黑体" w:eastAsia="黑体" w:cs="黑体"/>
          <w:color w:val="000000"/>
          <w:sz w:val="44"/>
          <w:szCs w:val="44"/>
        </w:rPr>
        <w:t>名</w:t>
      </w:r>
      <w:r>
        <w:rPr>
          <w:rStyle w:val="24"/>
          <w:rFonts w:ascii="黑体" w:hAnsi="黑体" w:eastAsia="黑体" w:cs="黑体"/>
          <w:b w:val="0"/>
          <w:color w:val="000000"/>
        </w:rPr>
        <w:t>词解释</w:t>
      </w:r>
    </w:p>
    <w:p w14:paraId="5AD8756A">
      <w:pPr>
        <w:spacing w:line="600" w:lineRule="exact"/>
        <w:jc w:val="left"/>
        <w:rPr>
          <w:rStyle w:val="24"/>
          <w:rFonts w:ascii="宋体" w:hAnsi="宋体" w:eastAsia="黑体" w:cs="黑体"/>
          <w:b/>
          <w:color w:val="000000"/>
          <w:sz w:val="44"/>
          <w:szCs w:val="44"/>
          <w:highlight w:val="none"/>
        </w:rPr>
      </w:pPr>
    </w:p>
    <w:p w14:paraId="75987B49">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1.财政拨款收入：指单位从同级财政部门取得的财政预算资金。</w:t>
      </w:r>
    </w:p>
    <w:p w14:paraId="60EA264F">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2.事业收入：指事业单位开展专业业务活动及辅助活动取得的收入。如…（二级预算单位事业收入情况）等。</w:t>
      </w:r>
    </w:p>
    <w:p w14:paraId="5D6943BE">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3.经营收入：指事业单位在专业业务活动及其辅助活动之外开展非独立核算经营活动取得的收入。如…（二级预算单位经营收入情况）等。</w:t>
      </w:r>
    </w:p>
    <w:p w14:paraId="00BCBA72">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4.其他收入：指单位取得的除上述收入以外的各项收入。主要是…（收入类型）等。 </w:t>
      </w:r>
    </w:p>
    <w:p w14:paraId="54FAA390">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5.</w:t>
      </w:r>
      <w:r>
        <w:rPr>
          <w:rFonts w:ascii="仿宋" w:hAnsi="仿宋" w:eastAsia="仿宋" w:cs="华文中宋;宋体"/>
          <w:sz w:val="32"/>
          <w:szCs w:val="32"/>
          <w:u w:val="none"/>
          <w:lang w:eastAsia="zh-CN"/>
        </w:rPr>
        <w:t>使用非财政拨款结余（含专用结余）</w:t>
      </w:r>
      <w:r>
        <w:rPr>
          <w:rFonts w:ascii="仿宋" w:hAnsi="仿宋" w:eastAsia="仿宋"/>
          <w:color w:val="000000"/>
          <w:sz w:val="32"/>
          <w:szCs w:val="32"/>
        </w:rPr>
        <w:t>：指事业单位</w:t>
      </w:r>
      <w:r>
        <w:rPr>
          <w:rFonts w:ascii="仿宋" w:hAnsi="仿宋" w:eastAsia="仿宋"/>
          <w:color w:val="000000"/>
          <w:sz w:val="32"/>
          <w:szCs w:val="32"/>
          <w:lang w:eastAsia="zh-CN"/>
        </w:rPr>
        <w:t>使用以前年度积累的非财政拨款结余弥补当年收支差额的金额。</w:t>
      </w:r>
      <w:r>
        <w:rPr>
          <w:rFonts w:ascii="仿宋" w:hAnsi="仿宋" w:eastAsia="仿宋"/>
          <w:color w:val="000000"/>
          <w:sz w:val="32"/>
          <w:szCs w:val="32"/>
        </w:rPr>
        <w:t xml:space="preserve"> </w:t>
      </w:r>
    </w:p>
    <w:p w14:paraId="747EAE09">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6.年初结转和结余：指以前年度尚未完成、结转到本年按有关规定继续使用的资金。 </w:t>
      </w:r>
    </w:p>
    <w:p w14:paraId="7872E3DD">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7.结余分配：指事业单位按照会计制度规定</w:t>
      </w:r>
      <w:r>
        <w:rPr>
          <w:rFonts w:ascii="仿宋" w:hAnsi="仿宋" w:eastAsia="仿宋"/>
          <w:color w:val="000000"/>
          <w:sz w:val="32"/>
          <w:szCs w:val="32"/>
          <w:lang w:eastAsia="zh-CN"/>
        </w:rPr>
        <w:t>缴纳的所得税、提取的专用结余以及转入非财政拨款结余的金额</w:t>
      </w:r>
      <w:r>
        <w:rPr>
          <w:rFonts w:ascii="仿宋" w:hAnsi="仿宋" w:eastAsia="仿宋"/>
          <w:color w:val="000000"/>
          <w:sz w:val="32"/>
          <w:szCs w:val="32"/>
        </w:rPr>
        <w:t>等。</w:t>
      </w:r>
    </w:p>
    <w:p w14:paraId="2B3B6D59">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8</w:t>
      </w:r>
      <w:r>
        <w:rPr>
          <w:rFonts w:ascii="仿宋" w:hAnsi="仿宋" w:eastAsia="仿宋"/>
          <w:color w:val="000000"/>
          <w:sz w:val="32"/>
          <w:szCs w:val="32"/>
          <w:lang w:val="en-US" w:eastAsia="zh-CN"/>
        </w:rPr>
        <w:t>.</w:t>
      </w:r>
      <w:r>
        <w:rPr>
          <w:rFonts w:ascii="仿宋" w:hAnsi="仿宋" w:eastAsia="仿宋"/>
          <w:color w:val="000000"/>
          <w:sz w:val="32"/>
          <w:szCs w:val="32"/>
        </w:rPr>
        <w:t>年末结转和结余：指单位按有关规定结转到下年或以后年度继续使用的资金。</w:t>
      </w:r>
    </w:p>
    <w:p w14:paraId="53C9BBE9">
      <w:pPr>
        <w:ind w:firstLine="640"/>
        <w:rPr>
          <w:rFonts w:ascii="仿宋" w:hAnsi="仿宋" w:eastAsia="仿宋"/>
          <w:color w:val="000000"/>
          <w:sz w:val="32"/>
          <w:szCs w:val="32"/>
          <w:highlight w:val="none"/>
        </w:rPr>
      </w:pPr>
      <w:r>
        <w:rPr>
          <w:rFonts w:ascii="仿宋" w:hAnsi="仿宋" w:eastAsia="仿宋"/>
          <w:color w:val="000000"/>
          <w:sz w:val="32"/>
          <w:szCs w:val="32"/>
        </w:rPr>
        <w:t>9.一般公共服务（类）…（款）…（项）：指……。</w:t>
      </w:r>
    </w:p>
    <w:p w14:paraId="2C5783B6">
      <w:pPr>
        <w:ind w:firstLine="640"/>
        <w:rPr>
          <w:rFonts w:ascii="仿宋" w:hAnsi="仿宋" w:eastAsia="仿宋"/>
          <w:color w:val="000000"/>
          <w:sz w:val="32"/>
          <w:szCs w:val="32"/>
          <w:highlight w:val="none"/>
        </w:rPr>
      </w:pPr>
      <w:r>
        <w:rPr>
          <w:rFonts w:ascii="仿宋" w:hAnsi="仿宋" w:eastAsia="仿宋"/>
          <w:color w:val="000000"/>
          <w:sz w:val="32"/>
          <w:szCs w:val="32"/>
        </w:rPr>
        <w:t>10.外交（类）…（款）…（项）：指……。</w:t>
      </w:r>
    </w:p>
    <w:p w14:paraId="0F90B7CA">
      <w:pPr>
        <w:ind w:firstLine="640"/>
        <w:rPr>
          <w:rFonts w:ascii="仿宋" w:hAnsi="仿宋" w:eastAsia="仿宋"/>
          <w:color w:val="000000"/>
          <w:sz w:val="32"/>
          <w:szCs w:val="32"/>
          <w:highlight w:val="none"/>
        </w:rPr>
      </w:pPr>
      <w:r>
        <w:rPr>
          <w:rFonts w:ascii="仿宋" w:hAnsi="仿宋" w:eastAsia="仿宋"/>
          <w:color w:val="000000"/>
          <w:sz w:val="32"/>
          <w:szCs w:val="32"/>
        </w:rPr>
        <w:t>11.公共安全（类）…（款）…（项）：指……。</w:t>
      </w:r>
    </w:p>
    <w:p w14:paraId="54F938B9">
      <w:pPr>
        <w:ind w:firstLine="640"/>
        <w:rPr>
          <w:rFonts w:ascii="仿宋" w:hAnsi="仿宋" w:eastAsia="仿宋"/>
          <w:color w:val="000000"/>
          <w:sz w:val="32"/>
          <w:szCs w:val="32"/>
          <w:highlight w:val="none"/>
        </w:rPr>
      </w:pPr>
      <w:r>
        <w:rPr>
          <w:rFonts w:ascii="仿宋" w:hAnsi="仿宋" w:eastAsia="仿宋"/>
          <w:color w:val="000000"/>
          <w:sz w:val="32"/>
          <w:szCs w:val="32"/>
        </w:rPr>
        <w:t>12.教育（类）…（款）…（项）：指……。</w:t>
      </w:r>
    </w:p>
    <w:p w14:paraId="64767D83">
      <w:pPr>
        <w:ind w:firstLine="640"/>
        <w:rPr>
          <w:rFonts w:ascii="仿宋" w:hAnsi="仿宋" w:eastAsia="仿宋"/>
          <w:color w:val="000000"/>
          <w:sz w:val="32"/>
          <w:szCs w:val="32"/>
          <w:highlight w:val="none"/>
        </w:rPr>
      </w:pPr>
      <w:r>
        <w:rPr>
          <w:rFonts w:ascii="仿宋" w:hAnsi="仿宋" w:eastAsia="仿宋"/>
          <w:color w:val="000000"/>
          <w:sz w:val="32"/>
          <w:szCs w:val="32"/>
        </w:rPr>
        <w:t>13.科学技术（类）…（款）…（项）：指……。</w:t>
      </w:r>
    </w:p>
    <w:p w14:paraId="132324C4">
      <w:pPr>
        <w:ind w:firstLine="640"/>
        <w:rPr>
          <w:rFonts w:ascii="仿宋" w:hAnsi="仿宋" w:eastAsia="仿宋"/>
          <w:color w:val="000000"/>
          <w:sz w:val="32"/>
          <w:szCs w:val="32"/>
          <w:highlight w:val="none"/>
        </w:rPr>
      </w:pPr>
      <w:r>
        <w:rPr>
          <w:rFonts w:ascii="仿宋" w:hAnsi="仿宋" w:eastAsia="仿宋"/>
          <w:color w:val="000000"/>
          <w:sz w:val="32"/>
          <w:szCs w:val="32"/>
        </w:rPr>
        <w:t>14.文化</w:t>
      </w:r>
      <w:r>
        <w:rPr>
          <w:rFonts w:ascii="仿宋" w:hAnsi="仿宋" w:eastAsia="仿宋"/>
          <w:color w:val="000000"/>
          <w:sz w:val="32"/>
          <w:szCs w:val="32"/>
          <w:lang w:eastAsia="zh-CN"/>
        </w:rPr>
        <w:t>旅游</w:t>
      </w:r>
      <w:r>
        <w:rPr>
          <w:rFonts w:ascii="仿宋" w:hAnsi="仿宋" w:eastAsia="仿宋"/>
          <w:color w:val="000000"/>
          <w:sz w:val="32"/>
          <w:szCs w:val="32"/>
        </w:rPr>
        <w:t>体育与传媒（类）…（款）…（项）：指……。</w:t>
      </w:r>
    </w:p>
    <w:p w14:paraId="0D36A528">
      <w:pPr>
        <w:ind w:firstLine="640"/>
        <w:rPr>
          <w:rFonts w:ascii="仿宋" w:hAnsi="仿宋" w:eastAsia="仿宋"/>
          <w:color w:val="000000"/>
          <w:sz w:val="32"/>
          <w:szCs w:val="32"/>
          <w:highlight w:val="none"/>
        </w:rPr>
      </w:pPr>
      <w:r>
        <w:rPr>
          <w:rFonts w:ascii="仿宋" w:hAnsi="仿宋" w:eastAsia="仿宋"/>
          <w:color w:val="000000"/>
          <w:sz w:val="32"/>
          <w:szCs w:val="32"/>
        </w:rPr>
        <w:t>15.社会保障和就业（类）…（款）…（项）：指……。</w:t>
      </w:r>
    </w:p>
    <w:p w14:paraId="4C4E37DD">
      <w:pPr>
        <w:ind w:firstLine="640"/>
        <w:rPr>
          <w:rFonts w:ascii="仿宋" w:hAnsi="仿宋" w:eastAsia="仿宋"/>
          <w:color w:val="000000"/>
          <w:sz w:val="32"/>
          <w:szCs w:val="32"/>
          <w:highlight w:val="none"/>
        </w:rPr>
      </w:pPr>
      <w:r>
        <w:rPr>
          <w:rFonts w:ascii="仿宋" w:hAnsi="仿宋" w:eastAsia="仿宋"/>
          <w:color w:val="000000"/>
          <w:sz w:val="32"/>
          <w:szCs w:val="32"/>
        </w:rPr>
        <w:t>16.</w:t>
      </w:r>
      <w:r>
        <w:rPr>
          <w:rFonts w:ascii="仿宋" w:hAnsi="仿宋" w:eastAsia="仿宋"/>
          <w:color w:val="000000"/>
          <w:sz w:val="32"/>
          <w:szCs w:val="32"/>
          <w:lang w:eastAsia="zh-CN"/>
        </w:rPr>
        <w:t>卫生健康</w:t>
      </w:r>
      <w:r>
        <w:rPr>
          <w:rFonts w:ascii="仿宋" w:hAnsi="仿宋" w:eastAsia="仿宋"/>
          <w:color w:val="000000"/>
          <w:sz w:val="32"/>
          <w:szCs w:val="32"/>
        </w:rPr>
        <w:t>（类）…（款）…（项）：指……。</w:t>
      </w:r>
    </w:p>
    <w:p w14:paraId="19D95A3F">
      <w:pPr>
        <w:ind w:firstLine="640"/>
        <w:rPr>
          <w:rFonts w:ascii="仿宋" w:hAnsi="仿宋" w:eastAsia="仿宋"/>
          <w:color w:val="000000"/>
          <w:sz w:val="32"/>
          <w:szCs w:val="32"/>
          <w:highlight w:val="none"/>
        </w:rPr>
      </w:pPr>
      <w:r>
        <w:rPr>
          <w:rFonts w:ascii="仿宋" w:hAnsi="仿宋" w:eastAsia="仿宋"/>
          <w:color w:val="000000"/>
          <w:sz w:val="32"/>
          <w:szCs w:val="32"/>
        </w:rPr>
        <w:t>17.节能环保（类）…（款）…（项）：指……。</w:t>
      </w:r>
    </w:p>
    <w:p w14:paraId="3936DB51">
      <w:pPr>
        <w:ind w:firstLine="640"/>
        <w:rPr>
          <w:rFonts w:ascii="仿宋" w:hAnsi="仿宋" w:eastAsia="仿宋"/>
          <w:color w:val="000000"/>
          <w:sz w:val="32"/>
          <w:szCs w:val="32"/>
          <w:highlight w:val="none"/>
        </w:rPr>
      </w:pPr>
      <w:r>
        <w:rPr>
          <w:rFonts w:ascii="仿宋" w:hAnsi="仿宋" w:eastAsia="仿宋"/>
          <w:color w:val="000000"/>
          <w:sz w:val="32"/>
          <w:szCs w:val="32"/>
        </w:rPr>
        <w:t>18.城乡社区（类）…（款）…（项）：指……。</w:t>
      </w:r>
    </w:p>
    <w:p w14:paraId="31B4C18C">
      <w:pPr>
        <w:ind w:firstLine="640"/>
        <w:rPr>
          <w:rFonts w:ascii="仿宋" w:hAnsi="仿宋" w:eastAsia="仿宋"/>
          <w:color w:val="000000"/>
          <w:sz w:val="32"/>
          <w:szCs w:val="32"/>
          <w:highlight w:val="none"/>
        </w:rPr>
      </w:pPr>
      <w:r>
        <w:rPr>
          <w:rFonts w:ascii="仿宋" w:hAnsi="仿宋" w:eastAsia="仿宋"/>
          <w:color w:val="000000"/>
          <w:sz w:val="32"/>
          <w:szCs w:val="32"/>
        </w:rPr>
        <w:t>19.农林水（类）…（款）…（项）：指……。</w:t>
      </w:r>
    </w:p>
    <w:p w14:paraId="5E61E661">
      <w:pPr>
        <w:ind w:firstLine="640"/>
        <w:rPr>
          <w:rFonts w:ascii="仿宋" w:hAnsi="仿宋" w:eastAsia="仿宋"/>
          <w:color w:val="000000"/>
          <w:sz w:val="32"/>
          <w:szCs w:val="32"/>
          <w:highlight w:val="none"/>
        </w:rPr>
      </w:pPr>
      <w:r>
        <w:rPr>
          <w:rFonts w:ascii="仿宋" w:hAnsi="仿宋" w:eastAsia="仿宋"/>
          <w:color w:val="000000"/>
          <w:sz w:val="32"/>
          <w:szCs w:val="32"/>
        </w:rPr>
        <w:t>20.交通运输（类）…（款）…（项）：指……。</w:t>
      </w:r>
    </w:p>
    <w:p w14:paraId="376CB317">
      <w:pPr>
        <w:ind w:firstLine="640"/>
        <w:rPr>
          <w:rFonts w:ascii="仿宋" w:hAnsi="仿宋" w:eastAsia="仿宋"/>
          <w:color w:val="000000"/>
          <w:sz w:val="32"/>
          <w:szCs w:val="32"/>
          <w:highlight w:val="none"/>
        </w:rPr>
      </w:pPr>
      <w:r>
        <w:rPr>
          <w:rFonts w:ascii="仿宋" w:hAnsi="仿宋" w:eastAsia="仿宋"/>
          <w:color w:val="000000"/>
          <w:sz w:val="32"/>
          <w:szCs w:val="32"/>
        </w:rPr>
        <w:t>21.资源勘探</w:t>
      </w:r>
      <w:r>
        <w:rPr>
          <w:rFonts w:ascii="仿宋" w:hAnsi="仿宋" w:eastAsia="仿宋"/>
          <w:color w:val="000000"/>
          <w:sz w:val="32"/>
          <w:szCs w:val="32"/>
          <w:lang w:eastAsia="zh-CN"/>
        </w:rPr>
        <w:t>工业</w:t>
      </w:r>
      <w:r>
        <w:rPr>
          <w:rFonts w:ascii="仿宋" w:hAnsi="仿宋" w:eastAsia="仿宋"/>
          <w:color w:val="000000"/>
          <w:sz w:val="32"/>
          <w:szCs w:val="32"/>
        </w:rPr>
        <w:t>信息等（类）…（款）…（项）：指……。</w:t>
      </w:r>
    </w:p>
    <w:p w14:paraId="50C1F668">
      <w:pPr>
        <w:ind w:firstLine="640"/>
        <w:rPr>
          <w:rFonts w:ascii="仿宋" w:hAnsi="仿宋" w:eastAsia="仿宋"/>
          <w:color w:val="000000"/>
          <w:sz w:val="32"/>
          <w:szCs w:val="32"/>
          <w:highlight w:val="none"/>
        </w:rPr>
      </w:pPr>
      <w:r>
        <w:rPr>
          <w:rFonts w:ascii="仿宋" w:hAnsi="仿宋" w:eastAsia="仿宋"/>
          <w:color w:val="000000"/>
          <w:sz w:val="32"/>
          <w:szCs w:val="32"/>
        </w:rPr>
        <w:t>22.商业服务业（类）…（款）…（项）：指……。</w:t>
      </w:r>
    </w:p>
    <w:p w14:paraId="5D3DE400">
      <w:pPr>
        <w:ind w:firstLine="640"/>
        <w:rPr>
          <w:rFonts w:ascii="仿宋" w:hAnsi="仿宋" w:eastAsia="仿宋"/>
          <w:color w:val="000000"/>
          <w:sz w:val="32"/>
          <w:szCs w:val="32"/>
          <w:highlight w:val="none"/>
        </w:rPr>
      </w:pPr>
      <w:r>
        <w:rPr>
          <w:rFonts w:ascii="仿宋" w:hAnsi="仿宋" w:eastAsia="仿宋"/>
          <w:color w:val="000000"/>
          <w:sz w:val="32"/>
          <w:szCs w:val="32"/>
        </w:rPr>
        <w:t>23.金融（类）…（款）…（项）：指……。</w:t>
      </w:r>
    </w:p>
    <w:p w14:paraId="3C74C238">
      <w:pPr>
        <w:ind w:firstLine="640"/>
        <w:rPr>
          <w:rFonts w:ascii="仿宋" w:hAnsi="仿宋" w:eastAsia="仿宋"/>
          <w:color w:val="000000"/>
          <w:sz w:val="32"/>
          <w:szCs w:val="32"/>
          <w:highlight w:val="none"/>
        </w:rPr>
      </w:pPr>
      <w:r>
        <w:rPr>
          <w:rFonts w:ascii="仿宋" w:hAnsi="仿宋" w:eastAsia="仿宋"/>
          <w:color w:val="000000"/>
          <w:sz w:val="32"/>
          <w:szCs w:val="32"/>
        </w:rPr>
        <w:t>24.</w:t>
      </w:r>
      <w:r>
        <w:rPr>
          <w:rFonts w:ascii="仿宋" w:hAnsi="仿宋" w:eastAsia="仿宋"/>
          <w:color w:val="000000"/>
          <w:sz w:val="32"/>
          <w:szCs w:val="32"/>
          <w:lang w:eastAsia="zh-CN"/>
        </w:rPr>
        <w:t>自然资源</w:t>
      </w:r>
      <w:r>
        <w:rPr>
          <w:rFonts w:ascii="仿宋" w:hAnsi="仿宋" w:eastAsia="仿宋"/>
          <w:color w:val="000000"/>
          <w:sz w:val="32"/>
          <w:szCs w:val="32"/>
        </w:rPr>
        <w:t>海洋气象等（类）…（款）…（项）：指……。</w:t>
      </w:r>
    </w:p>
    <w:p w14:paraId="7F9CC2B1">
      <w:pPr>
        <w:ind w:firstLine="640"/>
        <w:rPr>
          <w:rFonts w:ascii="仿宋" w:hAnsi="仿宋" w:eastAsia="仿宋"/>
          <w:color w:val="000000"/>
          <w:sz w:val="32"/>
          <w:szCs w:val="32"/>
          <w:highlight w:val="none"/>
        </w:rPr>
      </w:pPr>
      <w:r>
        <w:rPr>
          <w:rFonts w:ascii="仿宋" w:hAnsi="仿宋" w:eastAsia="仿宋"/>
          <w:color w:val="000000"/>
          <w:sz w:val="32"/>
          <w:szCs w:val="32"/>
        </w:rPr>
        <w:t>25.住房保障（类）…（款）…（项）：指……。</w:t>
      </w:r>
    </w:p>
    <w:p w14:paraId="3016ADE4">
      <w:pPr>
        <w:ind w:firstLine="640"/>
        <w:rPr>
          <w:rFonts w:ascii="仿宋" w:hAnsi="仿宋" w:eastAsia="仿宋"/>
          <w:color w:val="000000"/>
          <w:sz w:val="32"/>
          <w:szCs w:val="32"/>
          <w:highlight w:val="none"/>
        </w:rPr>
      </w:pPr>
      <w:r>
        <w:rPr>
          <w:rFonts w:ascii="仿宋" w:hAnsi="仿宋" w:eastAsia="仿宋"/>
          <w:color w:val="000000"/>
          <w:sz w:val="32"/>
          <w:szCs w:val="32"/>
        </w:rPr>
        <w:t>26.粮油物资储备（类）…（款）…（项）：指……。</w:t>
      </w:r>
    </w:p>
    <w:p w14:paraId="255811FF">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3FB2B99A">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604B2B03">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777D73E5">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（解释本部门决算报表中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w:t>
      </w:r>
      <w:r>
        <w:rPr>
          <w:rFonts w:hint="eastAsia" w:ascii="仿宋" w:hAnsi="仿宋" w:eastAsia="仿宋" w:cs="仿宋"/>
          <w:b/>
          <w:color w:val="000000"/>
          <w:sz w:val="32"/>
          <w:szCs w:val="32"/>
          <w:lang w:val="en-US" w:eastAsia="zh-CN"/>
        </w:rPr>
        <w:t>5</w:t>
      </w:r>
      <w:r>
        <w:rPr>
          <w:rFonts w:ascii="仿宋" w:hAnsi="仿宋" w:eastAsia="仿宋" w:cs="仿宋"/>
          <w:b/>
          <w:color w:val="000000"/>
          <w:sz w:val="32"/>
          <w:szCs w:val="32"/>
        </w:rPr>
        <w:t>年政府收支分类科目》增减内容。）</w:t>
      </w:r>
    </w:p>
    <w:p w14:paraId="6FAB82EB">
      <w:pPr>
        <w:ind w:firstLine="640"/>
        <w:rPr>
          <w:rFonts w:ascii="仿宋" w:hAnsi="仿宋" w:eastAsia="仿宋"/>
          <w:color w:val="000000"/>
          <w:sz w:val="32"/>
          <w:szCs w:val="32"/>
          <w:highlight w:val="none"/>
        </w:rPr>
      </w:pPr>
      <w:r>
        <w:rPr>
          <w:rFonts w:ascii="仿宋" w:hAnsi="仿宋" w:eastAsia="仿宋"/>
          <w:color w:val="000000"/>
          <w:sz w:val="32"/>
          <w:szCs w:val="32"/>
        </w:rPr>
        <w:t>27.基本支出：指为保障机构正常运转、完成日常工作任务而发生的人员支出和公用支出。</w:t>
      </w:r>
    </w:p>
    <w:p w14:paraId="3EBF63A5">
      <w:pPr>
        <w:ind w:firstLine="640"/>
        <w:rPr>
          <w:rFonts w:ascii="仿宋" w:hAnsi="仿宋" w:eastAsia="仿宋"/>
          <w:color w:val="000000"/>
          <w:sz w:val="32"/>
          <w:szCs w:val="32"/>
          <w:highlight w:val="none"/>
        </w:rPr>
      </w:pPr>
      <w:r>
        <w:rPr>
          <w:rFonts w:ascii="仿宋" w:hAnsi="仿宋" w:eastAsia="仿宋"/>
          <w:color w:val="000000"/>
          <w:sz w:val="32"/>
          <w:szCs w:val="32"/>
        </w:rPr>
        <w:t xml:space="preserve">28.项目支出：指在基本支出之外为完成特定行政任务和事业发展目标所发生的支出。 </w:t>
      </w:r>
    </w:p>
    <w:p w14:paraId="0316AB07">
      <w:pPr>
        <w:ind w:firstLine="640"/>
        <w:rPr>
          <w:rFonts w:ascii="仿宋" w:hAnsi="仿宋" w:eastAsia="仿宋"/>
          <w:color w:val="000000"/>
          <w:sz w:val="32"/>
          <w:szCs w:val="32"/>
          <w:highlight w:val="none"/>
        </w:rPr>
      </w:pPr>
      <w:r>
        <w:rPr>
          <w:rFonts w:ascii="仿宋" w:hAnsi="仿宋" w:eastAsia="仿宋"/>
          <w:color w:val="000000"/>
          <w:sz w:val="32"/>
          <w:szCs w:val="32"/>
        </w:rPr>
        <w:t>29.经营支出：指事业单位在专业业务活动及其辅助活动之外开展非独立核算经营活动发生的支出。</w:t>
      </w:r>
    </w:p>
    <w:p w14:paraId="3B461E80">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9C7D71">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0755906">
      <w:pPr>
        <w:pStyle w:val="3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32.……</w:t>
      </w:r>
      <w:r>
        <w:rPr>
          <w:rFonts w:hint="eastAsia"/>
          <w:color w:val="000000"/>
          <w:sz w:val="32"/>
          <w:szCs w:val="32"/>
          <w:lang w:eastAsia="zh-CN"/>
        </w:rPr>
        <w:t>.</w:t>
      </w:r>
    </w:p>
    <w:p w14:paraId="0A82955C">
      <w:pPr>
        <w:pStyle w:val="38"/>
        <w:bidi w:val="0"/>
        <w:spacing w:line="560" w:lineRule="exact"/>
        <w:ind w:firstLine="640"/>
        <w:jc w:val="left"/>
        <w:rPr>
          <w:rFonts w:ascii="仿宋" w:hAnsi="仿宋" w:eastAsia="仿宋" w:cs="黑体"/>
          <w:color w:val="000000"/>
          <w:sz w:val="32"/>
          <w:szCs w:val="32"/>
          <w:highlight w:val="none"/>
        </w:rPr>
      </w:pPr>
    </w:p>
    <w:p w14:paraId="5B57AFFA">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（名词解释部分请根据各部门实际列支情况罗列，并根据本部门职责职能增减名词解释内容。）</w:t>
      </w:r>
      <w:r>
        <w:br w:type="page"/>
      </w:r>
    </w:p>
    <w:p w14:paraId="04200722">
      <w:pPr>
        <w:numPr>
          <w:ilvl w:val="0"/>
          <w:numId w:val="0"/>
        </w:numPr>
        <w:spacing w:line="600" w:lineRule="exact"/>
        <w:jc w:val="center"/>
        <w:outlineLvl w:val="0"/>
        <w:rPr>
          <w:rStyle w:val="24"/>
          <w:rFonts w:ascii="黑体" w:hAnsi="黑体" w:eastAsia="黑体" w:cs="黑体"/>
          <w:b w:val="0"/>
          <w:color w:val="000000"/>
          <w:highlight w:val="none"/>
          <w:lang w:eastAsia="zh-CN"/>
        </w:rPr>
      </w:pPr>
      <w:r>
        <w:rPr>
          <w:rFonts w:ascii="黑体" w:hAnsi="黑体" w:eastAsia="黑体" w:cs="黑体"/>
          <w:color w:val="000000"/>
          <w:sz w:val="44"/>
          <w:szCs w:val="44"/>
        </w:rPr>
        <w:t>第</w:t>
      </w:r>
      <w:r>
        <w:rPr>
          <w:rStyle w:val="24"/>
          <w:rFonts w:ascii="黑体" w:hAnsi="黑体" w:eastAsia="黑体" w:cs="黑体"/>
          <w:b w:val="0"/>
          <w:color w:val="000000"/>
        </w:rPr>
        <w:t>四部分 附件</w:t>
      </w:r>
    </w:p>
    <w:p w14:paraId="6891DE3E">
      <w:pPr>
        <w:keepNext w:val="0"/>
        <w:keepLines w:val="0"/>
        <w:pageBreakBefore w:val="0"/>
        <w:numPr>
          <w:ilvl w:val="0"/>
          <w:numId w:val="0"/>
        </w:numPr>
        <w:kinsoku/>
        <w:overflowPunct/>
        <w:autoSpaceDE/>
        <w:bidi w:val="0"/>
        <w:spacing w:line="572" w:lineRule="exact"/>
        <w:jc w:val="left"/>
        <w:textAlignment w:val="auto"/>
        <w:outlineLvl w:val="0"/>
        <w:rPr>
          <w:rStyle w:val="24"/>
          <w:rFonts w:ascii="黑体" w:hAnsi="黑体" w:eastAsia="黑体" w:cs="黑体"/>
          <w:b w:val="0"/>
          <w:color w:val="FF0000"/>
          <w:sz w:val="32"/>
          <w:szCs w:val="32"/>
          <w:highlight w:val="none"/>
          <w:lang w:eastAsia="zh-CN"/>
        </w:rPr>
      </w:pPr>
    </w:p>
    <w:p w14:paraId="4CA21CD8">
      <w:pPr>
        <w:keepNext w:val="0"/>
        <w:keepLines w:val="0"/>
        <w:pageBreakBefore w:val="0"/>
        <w:numPr>
          <w:ilvl w:val="0"/>
          <w:numId w:val="0"/>
        </w:numPr>
        <w:kinsoku/>
        <w:overflowPunct/>
        <w:autoSpaceDE/>
        <w:bidi w:val="0"/>
        <w:spacing w:line="572" w:lineRule="exact"/>
        <w:jc w:val="left"/>
        <w:textAlignment w:val="auto"/>
        <w:outlineLvl w:val="0"/>
        <w:rPr>
          <w:rFonts w:ascii="方正小标宋简体" w:hAnsi="方正小标宋简体" w:eastAsia="黑体" w:cs="方正小标宋简体"/>
          <w:color w:val="000000"/>
          <w:sz w:val="44"/>
          <w:szCs w:val="44"/>
          <w:highlight w:val="none"/>
          <w:lang w:val="en-US" w:eastAsia="zh-CN"/>
        </w:rPr>
      </w:pPr>
      <w:r>
        <w:rPr>
          <w:rFonts w:ascii="黑体" w:hAnsi="黑体" w:eastAsia="黑体" w:cs="黑体"/>
          <w:color w:val="000000"/>
          <w:sz w:val="32"/>
          <w:szCs w:val="32"/>
        </w:rPr>
        <w:t>附件</w:t>
      </w:r>
      <w:r>
        <w:rPr>
          <w:rFonts w:ascii="黑体" w:hAnsi="黑体" w:eastAsia="黑体" w:cs="黑体"/>
          <w:color w:val="000000"/>
          <w:sz w:val="32"/>
          <w:szCs w:val="32"/>
          <w:lang w:val="en-US" w:eastAsia="zh-CN"/>
        </w:rPr>
        <w:t>1</w:t>
      </w:r>
    </w:p>
    <w:p w14:paraId="1BEE82CA">
      <w:pPr>
        <w:keepNext w:val="0"/>
        <w:keepLines w:val="0"/>
        <w:pageBreakBefore w:val="0"/>
        <w:widowControl/>
        <w:kinsoku/>
        <w:overflowPunct/>
        <w:autoSpaceDE/>
        <w:bidi w:val="0"/>
        <w:spacing w:before="0" w:after="0" w:line="578" w:lineRule="exact"/>
        <w:contextualSpacing/>
        <w:jc w:val="center"/>
        <w:textAlignment w:val="auto"/>
        <w:rPr>
          <w:rFonts w:ascii="Times New Roman" w:hAnsi="Times New Roman" w:eastAsia="方正小标宋简体" w:cs="Times New Roman"/>
          <w:b w:val="0"/>
          <w:bCs/>
          <w:sz w:val="44"/>
          <w:szCs w:val="44"/>
          <w:highlight w:val="none"/>
          <w:shd w:val="clear" w:fill="FFFFFF"/>
        </w:rPr>
      </w:pPr>
      <w:r>
        <w:rPr>
          <w:rFonts w:ascii="Times New Roman" w:hAnsi="Times New Roman" w:eastAsia="方正小标宋简体" w:cs="Times New Roman"/>
          <w:b w:val="0"/>
          <w:bCs/>
          <w:sz w:val="44"/>
          <w:szCs w:val="44"/>
          <w:shd w:val="clear" w:fill="FFFFFF"/>
        </w:rPr>
        <w:t>部门</w:t>
      </w:r>
      <w:r>
        <w:rPr>
          <w:rFonts w:ascii="Times New Roman" w:hAnsi="Times New Roman" w:eastAsia="方正小标宋简体" w:cs="Times New Roman"/>
          <w:b w:val="0"/>
          <w:bCs/>
          <w:sz w:val="44"/>
          <w:szCs w:val="44"/>
          <w:shd w:val="clear" w:fill="FFFFFF"/>
          <w:lang w:eastAsia="zh-CN"/>
        </w:rPr>
        <w:t>预算</w:t>
      </w:r>
      <w:r>
        <w:rPr>
          <w:rFonts w:ascii="Times New Roman" w:hAnsi="Times New Roman" w:eastAsia="方正小标宋简体" w:cs="Times New Roman"/>
          <w:b w:val="0"/>
          <w:bCs/>
          <w:sz w:val="44"/>
          <w:szCs w:val="44"/>
          <w:shd w:val="clear" w:fill="FFFFFF"/>
        </w:rPr>
        <w:t>绩效</w:t>
      </w:r>
      <w:r>
        <w:rPr>
          <w:rFonts w:ascii="Times New Roman" w:hAnsi="Times New Roman" w:eastAsia="方正小标宋简体" w:cs="Times New Roman"/>
          <w:b w:val="0"/>
          <w:bCs/>
          <w:sz w:val="44"/>
          <w:szCs w:val="44"/>
          <w:shd w:val="clear" w:fill="FFFFFF"/>
          <w:lang w:eastAsia="zh-CN"/>
        </w:rPr>
        <w:t>评价</w:t>
      </w:r>
      <w:r>
        <w:rPr>
          <w:rFonts w:ascii="Times New Roman" w:hAnsi="Times New Roman" w:eastAsia="方正小标宋简体" w:cs="Times New Roman"/>
          <w:b w:val="0"/>
          <w:bCs/>
          <w:sz w:val="44"/>
          <w:szCs w:val="44"/>
          <w:shd w:val="clear" w:fill="FFFFFF"/>
        </w:rPr>
        <w:t>报告范本</w:t>
      </w:r>
    </w:p>
    <w:p w14:paraId="3CDEDE7D">
      <w:pPr>
        <w:keepNext w:val="0"/>
        <w:keepLines w:val="0"/>
        <w:pageBreakBefore w:val="0"/>
        <w:widowControl/>
        <w:kinsoku/>
        <w:overflowPunct/>
        <w:autoSpaceDE/>
        <w:bidi w:val="0"/>
        <w:spacing w:before="0" w:after="0" w:line="578" w:lineRule="exact"/>
        <w:contextualSpacing/>
        <w:jc w:val="center"/>
        <w:textAlignment w:val="auto"/>
        <w:rPr>
          <w:rFonts w:ascii="Times New Roman" w:hAnsi="Times New Roman" w:eastAsia="仿宋" w:cs="Times New Roman"/>
          <w:sz w:val="32"/>
          <w:szCs w:val="32"/>
          <w:highlight w:val="none"/>
          <w:shd w:val="clear" w:fill="FFFFFF"/>
        </w:rPr>
      </w:pPr>
      <w:r>
        <w:rPr>
          <w:rFonts w:ascii="Times New Roman" w:hAnsi="Times New Roman" w:eastAsia="仿宋" w:cs="Times New Roman"/>
          <w:sz w:val="32"/>
          <w:szCs w:val="32"/>
          <w:shd w:val="clear" w:fill="FFFFFF"/>
        </w:rPr>
        <w:t>（</w:t>
      </w:r>
      <w:r>
        <w:rPr>
          <w:rFonts w:ascii="Times New Roman" w:hAnsi="Times New Roman" w:eastAsia="仿宋" w:cs="Times New Roman"/>
          <w:sz w:val="32"/>
          <w:szCs w:val="32"/>
          <w:shd w:val="clear" w:fill="FFFFFF"/>
          <w:lang w:eastAsia="zh-CN"/>
        </w:rPr>
        <w:t>松潘县白羊乡人民政府本级</w:t>
      </w:r>
      <w:r>
        <w:rPr>
          <w:rFonts w:ascii="Times New Roman" w:hAnsi="Times New Roman" w:eastAsia="仿宋" w:cs="Times New Roman"/>
          <w:sz w:val="32"/>
          <w:szCs w:val="32"/>
          <w:shd w:val="clear" w:fill="FFFFFF"/>
        </w:rPr>
        <w:t>）</w:t>
      </w:r>
    </w:p>
    <w:p w14:paraId="28DB4A41">
      <w:pPr>
        <w:keepNext w:val="0"/>
        <w:keepLines w:val="0"/>
        <w:pageBreakBefore w:val="0"/>
        <w:widowControl/>
        <w:kinsoku/>
        <w:overflowPunct/>
        <w:autoSpaceDE/>
        <w:bidi w:val="0"/>
        <w:snapToGrid w:val="0"/>
        <w:spacing w:before="0" w:after="0" w:line="578" w:lineRule="exact"/>
        <w:ind w:firstLine="480"/>
        <w:contextualSpacing/>
        <w:jc w:val="left"/>
        <w:textAlignment w:val="auto"/>
        <w:rPr>
          <w:rFonts w:ascii="Times New Roman" w:hAnsi="Times New Roman" w:eastAsia="黑体" w:cs="Times New Roman"/>
          <w:color w:val="000000"/>
          <w:kern w:val="0"/>
          <w:sz w:val="24"/>
          <w:szCs w:val="32"/>
          <w:highlight w:val="none"/>
          <w:shd w:val="clear" w:fill="FFFFFF"/>
        </w:rPr>
      </w:pPr>
    </w:p>
    <w:p w14:paraId="48756BF5">
      <w:pPr>
        <w:pStyle w:val="12"/>
        <w:rPr>
          <w:rFonts w:ascii="Times New Roman" w:hAnsi="Times New Roman" w:eastAsia="黑体" w:cs="Times New Roman"/>
          <w:color w:val="000000"/>
          <w:kern w:val="0"/>
          <w:sz w:val="24"/>
          <w:szCs w:val="32"/>
          <w:highlight w:val="none"/>
          <w:shd w:val="clear" w:fill="FFFFFF"/>
        </w:rPr>
      </w:pPr>
    </w:p>
    <w:p w14:paraId="4603E13F">
      <w:pPr>
        <w:keepNext w:val="0"/>
        <w:keepLines w:val="0"/>
        <w:pageBreakBefore w:val="0"/>
        <w:widowControl/>
        <w:numPr>
          <w:ilvl w:val="0"/>
          <w:numId w:val="0"/>
        </w:numPr>
        <w:kinsoku/>
        <w:overflowPunct/>
        <w:autoSpaceDE/>
        <w:bidi w:val="0"/>
        <w:snapToGrid w:val="0"/>
        <w:spacing w:before="0" w:after="0" w:line="578" w:lineRule="exact"/>
        <w:ind w:left="0" w:firstLine="420"/>
        <w:contextualSpacing/>
        <w:jc w:val="left"/>
        <w:textAlignment w:val="auto"/>
        <w:rPr>
          <w:rFonts w:ascii="仿宋" w:hAnsi="仿宋" w:eastAsia="仿宋" w:cs="仿宋"/>
          <w:sz w:val="32"/>
          <w:szCs w:val="32"/>
          <w:lang w:val="en-US" w:eastAsia="zh-CN"/>
        </w:rPr>
      </w:pPr>
      <w:r>
        <w:rPr>
          <w:rFonts w:eastAsia="黑体" w:cs="Times New Roman"/>
          <w:color w:val="000000"/>
          <w:kern w:val="0"/>
          <w:szCs w:val="32"/>
          <w:shd w:val="clear" w:fill="FFFFFF"/>
          <w:lang w:val="zh-CN"/>
        </w:rPr>
        <w:t>一、</w:t>
      </w:r>
      <w:r>
        <w:rPr>
          <w:rFonts w:ascii="仿宋" w:hAnsi="仿宋" w:eastAsia="仿宋" w:cs="仿宋"/>
          <w:sz w:val="32"/>
          <w:szCs w:val="32"/>
          <w:lang w:val="zh-CN" w:eastAsia="zh-CN"/>
        </w:rPr>
        <w:t>部门（单位）基本情况</w:t>
      </w:r>
    </w:p>
    <w:p w14:paraId="08ADA2F1">
      <w:pPr>
        <w:keepNext w:val="0"/>
        <w:keepLines w:val="0"/>
        <w:pageBreakBefore w:val="0"/>
        <w:widowControl/>
        <w:numPr>
          <w:ilvl w:val="0"/>
          <w:numId w:val="0"/>
        </w:numPr>
        <w:kinsoku/>
        <w:overflowPunct/>
        <w:autoSpaceDE/>
        <w:bidi w:val="0"/>
        <w:snapToGrid w:val="0"/>
        <w:spacing w:before="0" w:after="0" w:line="578" w:lineRule="exact"/>
        <w:ind w:left="0" w:firstLine="422"/>
        <w:contextualSpacing/>
        <w:jc w:val="left"/>
        <w:textAlignment w:val="auto"/>
        <w:rPr>
          <w:rFonts w:ascii="Times New Roman" w:hAnsi="Times New Roman" w:eastAsia="楷体_GB2312" w:cs="Times New Roman"/>
          <w:b/>
          <w:bCs/>
          <w:color w:val="000000"/>
          <w:kern w:val="0"/>
          <w:szCs w:val="32"/>
          <w:highlight w:val="none"/>
          <w:shd w:val="clear" w:fill="FFFFFF"/>
          <w:lang w:val="zh-CN"/>
        </w:rPr>
      </w:pPr>
      <w:r>
        <w:rPr>
          <w:rFonts w:eastAsia="楷体_GB2312" w:cs="Times New Roman"/>
          <w:b/>
          <w:bCs/>
          <w:color w:val="000000"/>
          <w:kern w:val="0"/>
          <w:szCs w:val="32"/>
          <w:shd w:val="clear" w:fill="FFFFFF"/>
          <w:lang w:val="zh-CN"/>
        </w:rPr>
        <w:t>（一）</w:t>
      </w:r>
      <w:r>
        <w:rPr>
          <w:rFonts w:ascii="Times New Roman" w:hAnsi="Times New Roman" w:eastAsia="楷体_GB2312" w:cs="Times New Roman"/>
          <w:b/>
          <w:bCs/>
          <w:color w:val="000000"/>
          <w:kern w:val="0"/>
          <w:szCs w:val="32"/>
          <w:shd w:val="clear" w:fill="FFFFFF"/>
          <w:lang w:val="zh-CN"/>
        </w:rPr>
        <w:t>机构组成。</w:t>
      </w:r>
    </w:p>
    <w:p w14:paraId="285F058B">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松潘县白羊乡人民政府包含松潘县白羊乡人民政府及松潘县白羊乡农业农村服务中心。</w:t>
      </w:r>
    </w:p>
    <w:p w14:paraId="24580B68">
      <w:pPr>
        <w:spacing w:before="0" w:after="0" w:line="580" w:lineRule="exact"/>
        <w:ind w:firstLine="643"/>
        <w:rPr>
          <w:rFonts w:ascii="楷体" w:hAnsi="楷体" w:eastAsia="楷体" w:cs="楷体"/>
          <w:b/>
          <w:bCs w:val="0"/>
          <w:color w:val="000000"/>
          <w:kern w:val="2"/>
          <w:sz w:val="32"/>
          <w:szCs w:val="32"/>
          <w:lang w:val="en-US" w:eastAsia="zh-CN" w:bidi="ar-SA"/>
        </w:rPr>
      </w:pPr>
      <w:r>
        <w:rPr>
          <w:rFonts w:ascii="楷体" w:hAnsi="楷体" w:eastAsia="楷体" w:cs="楷体"/>
          <w:b/>
          <w:bCs w:val="0"/>
          <w:color w:val="000000"/>
          <w:kern w:val="2"/>
          <w:sz w:val="32"/>
          <w:szCs w:val="32"/>
          <w:lang w:val="en-US" w:eastAsia="zh-CN" w:bidi="ar-SA"/>
        </w:rPr>
        <w:t>白羊乡人民政府：</w:t>
      </w:r>
    </w:p>
    <w:p w14:paraId="70A8FF45">
      <w:pPr>
        <w:spacing w:before="0" w:after="0" w:line="580" w:lineRule="exact"/>
        <w:ind w:firstLine="640"/>
        <w:rPr>
          <w:rFonts w:ascii="仿宋" w:hAnsi="仿宋" w:eastAsia="仿宋" w:cs="仿宋"/>
          <w:sz w:val="32"/>
          <w:szCs w:val="32"/>
        </w:rPr>
      </w:pPr>
      <w:r>
        <w:rPr>
          <w:rFonts w:ascii="仿宋" w:hAnsi="仿宋" w:eastAsia="仿宋" w:cs="仿宋"/>
          <w:sz w:val="32"/>
          <w:szCs w:val="32"/>
          <w:lang w:val="en-US" w:eastAsia="zh-CN"/>
        </w:rPr>
        <w:t>（一）党政办公室，挂财政工作办公室牌子。负责</w:t>
      </w:r>
      <w:r>
        <w:rPr>
          <w:rFonts w:ascii="仿宋" w:hAnsi="仿宋" w:cs="仿宋"/>
          <w:sz w:val="32"/>
          <w:szCs w:val="32"/>
          <w:lang w:val="en-US" w:eastAsia="zh-CN"/>
        </w:rPr>
        <w:t>乡</w:t>
      </w:r>
      <w:r>
        <w:rPr>
          <w:rFonts w:ascii="仿宋" w:hAnsi="仿宋" w:eastAsia="仿宋" w:cs="仿宋"/>
          <w:sz w:val="32"/>
          <w:szCs w:val="32"/>
          <w:lang w:val="en-US" w:eastAsia="zh-CN"/>
        </w:rPr>
        <w:t>机关日常事务和综合协调工作。负责综合文秘、档案管理、党政印章管理、信息、机要、保密、后勤保障等工作。</w:t>
      </w:r>
    </w:p>
    <w:p w14:paraId="4EF31643">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（二）党建工作办公室，挂群团工作办公室牌子。负责基层党组织建设、</w:t>
      </w:r>
      <w:r>
        <w:rPr>
          <w:rFonts w:hint="eastAsia" w:ascii="仿宋" w:hAnsi="仿宋" w:eastAsia="仿宋" w:cs="仿宋"/>
          <w:sz w:val="32"/>
          <w:szCs w:val="32"/>
          <w:lang w:val="en-US" w:eastAsia="zh-CN"/>
        </w:rPr>
        <w:t>流动党员党支部</w:t>
      </w:r>
      <w:r>
        <w:rPr>
          <w:rFonts w:ascii="仿宋" w:hAnsi="仿宋" w:eastAsia="仿宋" w:cs="仿宋"/>
          <w:sz w:val="32"/>
          <w:szCs w:val="32"/>
          <w:lang w:val="en-US" w:eastAsia="zh-CN"/>
        </w:rPr>
        <w:t>建设、党风廉政建设、反腐败等工作。统筹辖区内党员和流动党员的发展、教育、管理和党费收缴工作，指导村党组织建设管理等工作。</w:t>
      </w:r>
    </w:p>
    <w:p w14:paraId="7D0794A9">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三）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w:t>
      </w:r>
    </w:p>
    <w:p w14:paraId="15479D23">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eastAsia="zh-CN"/>
        </w:rPr>
        <w:t>（</w:t>
      </w:r>
      <w:r>
        <w:rPr>
          <w:rFonts w:ascii="仿宋" w:hAnsi="仿宋" w:eastAsia="仿宋" w:cs="仿宋"/>
          <w:sz w:val="32"/>
          <w:szCs w:val="32"/>
          <w:lang w:val="en-US" w:eastAsia="zh-CN"/>
        </w:rPr>
        <w:t>四</w:t>
      </w:r>
      <w:r>
        <w:rPr>
          <w:rFonts w:ascii="仿宋" w:hAnsi="仿宋" w:eastAsia="仿宋" w:cs="仿宋"/>
          <w:sz w:val="32"/>
          <w:szCs w:val="32"/>
          <w:lang w:eastAsia="zh-CN"/>
        </w:rPr>
        <w:t>）</w:t>
      </w:r>
      <w:r>
        <w:rPr>
          <w:rFonts w:ascii="仿宋" w:hAnsi="仿宋" w:eastAsia="仿宋" w:cs="仿宋"/>
          <w:sz w:val="32"/>
          <w:szCs w:val="32"/>
          <w:lang w:val="en-US" w:eastAsia="zh-CN"/>
        </w:rPr>
        <w:t>经济发展和乡村振兴办公室，挂扶贫开发办公室牌子。负责经济工作的指导、协调、服务和监督管理。负责优化营商环境建设。负责统筹、协调、指导、配合开展辖区内经济结构调整、项目建设、招商引资、旅游开发、移民搬迁、土地流转等工作。</w:t>
      </w:r>
    </w:p>
    <w:p w14:paraId="62AFB2FE">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（五）社会事务和应急管理办公室，挂安全生产监督管理办公室牌子</w:t>
      </w:r>
      <w:r>
        <w:rPr>
          <w:rFonts w:ascii="仿宋" w:hAnsi="仿宋" w:eastAsia="仿宋" w:cs="仿宋"/>
          <w:sz w:val="32"/>
          <w:szCs w:val="32"/>
        </w:rPr>
        <w:t>。</w:t>
      </w:r>
      <w:r>
        <w:rPr>
          <w:rFonts w:ascii="仿宋" w:hAnsi="仿宋" w:eastAsia="仿宋" w:cs="仿宋"/>
          <w:sz w:val="32"/>
          <w:szCs w:val="32"/>
          <w:lang w:val="en-US" w:eastAsia="zh-CN"/>
        </w:rPr>
        <w:t>负责公共事务综合管理。统一领导教育体育、科学、卫生健康、民政、文化等社会事业建设工作。负责应急体系建设、制度建设和应急管理工作，负责组织、指导、协调</w:t>
      </w:r>
      <w:r>
        <w:rPr>
          <w:rFonts w:ascii="仿宋" w:hAnsi="仿宋" w:eastAsia="仿宋" w:cs="仿宋"/>
          <w:sz w:val="32"/>
          <w:szCs w:val="32"/>
        </w:rPr>
        <w:t>安全生产</w:t>
      </w:r>
      <w:r>
        <w:rPr>
          <w:rFonts w:ascii="仿宋" w:hAnsi="仿宋" w:eastAsia="仿宋" w:cs="仿宋"/>
          <w:sz w:val="32"/>
          <w:szCs w:val="32"/>
          <w:lang w:eastAsia="zh-CN"/>
        </w:rPr>
        <w:t>、</w:t>
      </w:r>
      <w:r>
        <w:rPr>
          <w:rFonts w:ascii="仿宋" w:hAnsi="仿宋" w:eastAsia="仿宋" w:cs="仿宋"/>
          <w:sz w:val="32"/>
          <w:szCs w:val="32"/>
          <w:lang w:val="en-US" w:eastAsia="zh-CN"/>
        </w:rPr>
        <w:t>自然灾害、防灾减灾救灾等日常工作。</w:t>
      </w:r>
    </w:p>
    <w:p w14:paraId="050B06FC">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六）乡村规划建设管理办公室，挂生态环境办公室牌子。负责乡村规划建设管理、生态环境保护工作。负责参与拟订乡村经济发展规划并组织实施，对辖区内重大基础设施建设、重大公共服务资源布局、重大决策提出意见及建议。</w:t>
      </w:r>
    </w:p>
    <w:p w14:paraId="0E375C42">
      <w:pPr>
        <w:spacing w:before="0" w:after="0" w:line="580" w:lineRule="exact"/>
        <w:ind w:firstLine="640"/>
        <w:rPr>
          <w:rFonts w:ascii="仿宋" w:hAnsi="仿宋" w:eastAsia="仿宋" w:cs="仿宋"/>
          <w:sz w:val="32"/>
          <w:szCs w:val="32"/>
        </w:rPr>
      </w:pPr>
      <w:r>
        <w:rPr>
          <w:rFonts w:ascii="仿宋" w:hAnsi="仿宋" w:eastAsia="仿宋" w:cs="仿宋"/>
          <w:sz w:val="32"/>
          <w:szCs w:val="32"/>
          <w:lang w:val="en-US" w:eastAsia="zh-CN"/>
        </w:rPr>
        <w:t>（七）综合执法办公室。</w:t>
      </w:r>
      <w:r>
        <w:rPr>
          <w:rFonts w:ascii="仿宋" w:hAnsi="仿宋" w:eastAsia="仿宋" w:cs="仿宋"/>
          <w:sz w:val="32"/>
          <w:szCs w:val="32"/>
        </w:rPr>
        <w:t>根据有关法律规定和省政府授权，按照县政府职权调整事项目录，统一组织和指挥协调开展综合行政执法工作。负责整合落实行政执法信息平台和行政执法监督网络平台建设。完成领导交办的其他工作。</w:t>
      </w:r>
    </w:p>
    <w:p w14:paraId="53EE91AC">
      <w:pPr>
        <w:pStyle w:val="35"/>
        <w:ind w:left="0" w:firstLine="643"/>
        <w:rPr>
          <w:rFonts w:ascii="楷体" w:hAnsi="楷体" w:eastAsia="楷体" w:cs="楷体"/>
          <w:b/>
          <w:bCs/>
          <w:color w:val="000000"/>
          <w:sz w:val="32"/>
          <w:szCs w:val="32"/>
          <w:lang w:val="en-US" w:eastAsia="zh-CN"/>
        </w:rPr>
      </w:pPr>
      <w:r>
        <w:rPr>
          <w:rFonts w:ascii="楷体" w:hAnsi="楷体" w:eastAsia="楷体" w:cs="楷体"/>
          <w:b/>
          <w:bCs/>
          <w:color w:val="000000"/>
          <w:sz w:val="32"/>
          <w:szCs w:val="32"/>
          <w:lang w:val="en-US" w:eastAsia="zh-CN"/>
        </w:rPr>
        <w:t>白羊乡农业农村服务中心：</w:t>
      </w:r>
    </w:p>
    <w:p w14:paraId="266AD1F5">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一）便民服务中心，挂农民工服务中心牌子。宣传并贯彻落实政务服务、农民工服务等法律法规和方针政策。负责便民服务体系标准化、规范化建设，优化办事流程，拟订服务管理制度并组织实施，落实“最多跑一次”改革向基层延伸各项工作。</w:t>
      </w:r>
    </w:p>
    <w:p w14:paraId="10E80573">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（二）经济发展服务中心。</w:t>
      </w:r>
      <w:r>
        <w:rPr>
          <w:rFonts w:ascii="仿宋" w:hAnsi="仿宋" w:eastAsia="仿宋" w:cs="仿宋"/>
          <w:sz w:val="32"/>
          <w:szCs w:val="32"/>
          <w:lang w:eastAsia="zh-CN"/>
        </w:rPr>
        <w:t>负责乡村经济发展、乡村振兴、农村经济发展、农村体制改革、农村土地承包、</w:t>
      </w:r>
      <w:r>
        <w:rPr>
          <w:rFonts w:ascii="仿宋" w:hAnsi="仿宋" w:eastAsia="仿宋" w:cs="仿宋"/>
          <w:sz w:val="32"/>
          <w:szCs w:val="32"/>
          <w:lang w:val="en-US" w:eastAsia="zh-CN"/>
        </w:rPr>
        <w:t>扶贫</w:t>
      </w:r>
      <w:r>
        <w:rPr>
          <w:rFonts w:ascii="仿宋" w:hAnsi="仿宋" w:eastAsia="仿宋" w:cs="仿宋"/>
          <w:sz w:val="32"/>
          <w:szCs w:val="32"/>
          <w:lang w:eastAsia="zh-CN"/>
        </w:rPr>
        <w:t>开发和综合治理等工作。</w:t>
      </w:r>
      <w:r>
        <w:rPr>
          <w:rFonts w:ascii="仿宋" w:hAnsi="仿宋" w:eastAsia="仿宋" w:cs="仿宋"/>
          <w:sz w:val="32"/>
          <w:szCs w:val="32"/>
          <w:lang w:val="en-US" w:eastAsia="zh-CN"/>
        </w:rPr>
        <w:t>负责村级资金核拨和监督管理。</w:t>
      </w:r>
    </w:p>
    <w:p w14:paraId="49EE6CF4">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（三）农业农村服务中心。宣传并贯彻落实涉农法律法规和方针政策。负责农业、</w:t>
      </w:r>
      <w:r>
        <w:rPr>
          <w:rFonts w:ascii="仿宋" w:hAnsi="仿宋" w:eastAsia="仿宋" w:cs="仿宋"/>
          <w:sz w:val="32"/>
          <w:szCs w:val="32"/>
        </w:rPr>
        <w:t>林业、水利、</w:t>
      </w:r>
      <w:r>
        <w:rPr>
          <w:rFonts w:ascii="仿宋" w:hAnsi="仿宋" w:eastAsia="仿宋" w:cs="仿宋"/>
          <w:sz w:val="32"/>
          <w:szCs w:val="32"/>
          <w:lang w:val="en-US" w:eastAsia="zh-CN"/>
        </w:rPr>
        <w:t>渔业、畜牧业</w:t>
      </w:r>
      <w:r>
        <w:rPr>
          <w:rFonts w:ascii="仿宋" w:hAnsi="仿宋" w:eastAsia="仿宋" w:cs="仿宋"/>
          <w:sz w:val="32"/>
          <w:szCs w:val="32"/>
        </w:rPr>
        <w:t>、农业机械等技术、品种、机具等</w:t>
      </w:r>
      <w:r>
        <w:rPr>
          <w:rFonts w:ascii="仿宋" w:hAnsi="仿宋" w:eastAsia="仿宋" w:cs="仿宋"/>
          <w:sz w:val="32"/>
          <w:szCs w:val="32"/>
          <w:lang w:val="en-US" w:eastAsia="zh-CN"/>
        </w:rPr>
        <w:t>的</w:t>
      </w:r>
      <w:r>
        <w:rPr>
          <w:rFonts w:ascii="仿宋" w:hAnsi="仿宋" w:eastAsia="仿宋" w:cs="仿宋"/>
          <w:sz w:val="32"/>
          <w:szCs w:val="32"/>
        </w:rPr>
        <w:t>示范、推广，负责农业公共信息和培训教育等服务工作</w:t>
      </w:r>
      <w:r>
        <w:rPr>
          <w:rFonts w:ascii="仿宋" w:hAnsi="仿宋" w:eastAsia="仿宋" w:cs="仿宋"/>
          <w:sz w:val="32"/>
          <w:szCs w:val="32"/>
          <w:lang w:eastAsia="zh-CN"/>
        </w:rPr>
        <w:t>。</w:t>
      </w:r>
    </w:p>
    <w:p w14:paraId="593F421B">
      <w:pPr>
        <w:spacing w:before="0" w:after="0" w:line="580" w:lineRule="exact"/>
        <w:ind w:firstLine="640"/>
        <w:rPr>
          <w:rFonts w:ascii="仿宋" w:hAnsi="仿宋" w:eastAsia="仿宋" w:cs="仿宋"/>
          <w:b w:val="0"/>
          <w:bCs/>
          <w:color w:val="000000"/>
          <w:sz w:val="32"/>
          <w:szCs w:val="32"/>
          <w:lang w:val="en-US" w:eastAsia="zh-CN"/>
        </w:rPr>
      </w:pPr>
      <w:r>
        <w:rPr>
          <w:rFonts w:ascii="仿宋" w:hAnsi="仿宋" w:eastAsia="仿宋" w:cs="仿宋"/>
          <w:sz w:val="32"/>
          <w:szCs w:val="32"/>
          <w:lang w:val="en-US" w:eastAsia="zh-CN"/>
        </w:rPr>
        <w:t>（四）社会事业服务中心，挂文化体育广电和旅游综合服务中心、退役军人服务中心牌子。宣传并贯彻党和国家有关民政、社会保障、计划生育等方面的法律法规和方针政策。承担就业、社保、医保、劳动保障、计划生育、救助、救济、低保、儿童、老龄、残疾人等社会事业服务工作。宣传并贯彻落实宣传思想、精神文明建设、文化、旅游等法律法规和方针政策。</w:t>
      </w:r>
    </w:p>
    <w:p w14:paraId="46C36845">
      <w:pPr>
        <w:pStyle w:val="35"/>
        <w:rPr>
          <w:rFonts w:ascii="仿宋" w:hAnsi="仿宋" w:eastAsia="楷体_GB2312" w:cs="仿宋"/>
          <w:b w:val="0"/>
          <w:bCs/>
          <w:color w:val="000000"/>
          <w:sz w:val="32"/>
          <w:szCs w:val="32"/>
          <w:lang w:val="en-US" w:eastAsia="zh-CN"/>
        </w:rPr>
      </w:pPr>
    </w:p>
    <w:p w14:paraId="71560D56">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zh-CN" w:eastAsia="zh-CN"/>
        </w:rPr>
        <w:t>（二）机构职能。</w:t>
      </w:r>
    </w:p>
    <w:p w14:paraId="0E12306C">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ascii="仿宋" w:hAnsi="仿宋" w:eastAsia="仿宋" w:cs="仿宋"/>
          <w:sz w:val="32"/>
          <w:szCs w:val="32"/>
          <w:lang w:val="en-US" w:eastAsia="zh-CN"/>
        </w:rPr>
        <w:t>主要职能。</w:t>
      </w:r>
    </w:p>
    <w:p w14:paraId="5B559607">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（1）贯彻落实党和政府各项路线方针政策、法规规章和上级机关的决定和命令，加强农村党组织建设和基层政权建设，巩固党在农村的执政基础；</w:t>
      </w:r>
    </w:p>
    <w:p w14:paraId="52DB6A7B">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（2）负责拟订本行政区域经济社会发展和乡村建设等规划，组织农村基础设施和各项公益事业建设，加快经济社会发展，改善群众生活环境；</w:t>
      </w:r>
    </w:p>
    <w:p w14:paraId="52F6FFF1">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（3）指导农村经济发展，推进农业结构调整，促进经济增长方式转变，组织引导农村富余劳动力转移就业，促进农民增收；</w:t>
      </w:r>
    </w:p>
    <w:p w14:paraId="733E3F6E">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（4）负责抓好义务教育、人口和计划生育、民政事务、救灾救助、就业培训、社会保障、劳动关系协调和新型合作医疗实施等工作，加强农村精神文明建设，促进农村社会事业发展；</w:t>
      </w:r>
    </w:p>
    <w:p w14:paraId="2D0BF64A">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（5）推进基层民主</w:t>
      </w:r>
      <w:r>
        <w:rPr>
          <w:rFonts w:hint="eastAsia" w:ascii="仿宋" w:hAnsi="仿宋" w:eastAsia="仿宋" w:cs="仿宋"/>
          <w:sz w:val="32"/>
          <w:szCs w:val="32"/>
          <w:lang w:val="en-US" w:eastAsia="zh-CN"/>
        </w:rPr>
        <w:t>法治</w:t>
      </w:r>
      <w:r>
        <w:rPr>
          <w:rFonts w:ascii="仿宋" w:hAnsi="仿宋" w:eastAsia="仿宋" w:cs="仿宋"/>
          <w:sz w:val="32"/>
          <w:szCs w:val="32"/>
          <w:lang w:val="en-US" w:eastAsia="zh-CN"/>
        </w:rPr>
        <w:t>建设，指导村（居）民委员会工作，维护群众合法权益；</w:t>
      </w:r>
    </w:p>
    <w:p w14:paraId="5F29E79B">
      <w:pPr>
        <w:keepNext w:val="0"/>
        <w:keepLines w:val="0"/>
        <w:pageBreakBefore w:val="0"/>
        <w:widowControl w:val="0"/>
        <w:kinsoku/>
        <w:overflowPunct/>
        <w:autoSpaceDE/>
        <w:bidi w:val="0"/>
        <w:snapToGrid/>
        <w:spacing w:line="576" w:lineRule="exact"/>
        <w:ind w:left="0" w:firstLine="640"/>
        <w:textAlignment w:val="auto"/>
        <w:rPr>
          <w:rFonts w:ascii="仿宋" w:hAnsi="仿宋" w:eastAsia="仿宋" w:cs="仿宋"/>
          <w:sz w:val="32"/>
          <w:szCs w:val="32"/>
          <w:lang w:val="en-US" w:eastAsia="zh-CN"/>
        </w:rPr>
      </w:pPr>
      <w:r>
        <w:rPr>
          <w:rFonts w:ascii="仿宋" w:hAnsi="仿宋" w:eastAsia="仿宋" w:cs="仿宋"/>
          <w:sz w:val="32"/>
          <w:szCs w:val="32"/>
          <w:lang w:val="en-US" w:eastAsia="zh-CN"/>
        </w:rPr>
        <w:t>（6）加强社会治安综合治理，强化信访和矛盾纠纷调解工作，化解农村矛盾，维护农村社会和谐稳定，全面推进社会主义新农村建设。</w:t>
      </w:r>
    </w:p>
    <w:p w14:paraId="1CC700C8">
      <w:pPr>
        <w:keepNext w:val="0"/>
        <w:keepLines w:val="0"/>
        <w:pageBreakBefore w:val="0"/>
        <w:widowControl w:val="0"/>
        <w:kinsoku/>
        <w:overflowPunct/>
        <w:autoSpaceDE/>
        <w:bidi w:val="0"/>
        <w:snapToGrid/>
        <w:spacing w:line="576" w:lineRule="exact"/>
        <w:ind w:left="0" w:firstLine="640"/>
        <w:textAlignment w:val="auto"/>
        <w:rPr>
          <w:rFonts w:ascii="Times New Roman" w:hAnsi="Times New Roman" w:eastAsia="楷体_GB2312" w:cs="Times New Roman"/>
          <w:b/>
          <w:bCs/>
          <w:color w:val="000000"/>
          <w:kern w:val="0"/>
          <w:szCs w:val="32"/>
          <w:highlight w:val="none"/>
          <w:shd w:val="clear" w:fill="FFFFFF"/>
          <w:lang w:val="zh-CN"/>
        </w:rPr>
      </w:pPr>
      <w:r>
        <w:rPr>
          <w:rFonts w:ascii="仿宋" w:hAnsi="仿宋" w:eastAsia="仿宋" w:cs="仿宋"/>
          <w:sz w:val="32"/>
          <w:szCs w:val="32"/>
          <w:lang w:val="en-US" w:eastAsia="zh-CN"/>
        </w:rPr>
        <w:t>（7）承办</w:t>
      </w:r>
      <w:r>
        <w:rPr>
          <w:rFonts w:hint="eastAsia" w:ascii="仿宋" w:hAnsi="仿宋" w:eastAsia="仿宋" w:cs="仿宋"/>
          <w:sz w:val="32"/>
          <w:szCs w:val="32"/>
          <w:lang w:val="en-US" w:eastAsia="zh-CN"/>
        </w:rPr>
        <w:t>县委、县政府</w:t>
      </w:r>
      <w:r>
        <w:rPr>
          <w:rFonts w:ascii="仿宋" w:hAnsi="仿宋" w:eastAsia="仿宋" w:cs="仿宋"/>
          <w:sz w:val="32"/>
          <w:szCs w:val="32"/>
          <w:lang w:val="en-US" w:eastAsia="zh-CN"/>
        </w:rPr>
        <w:t>交办的其他事项。</w:t>
      </w:r>
    </w:p>
    <w:p w14:paraId="7F2A635E">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zh-CN" w:eastAsia="zh-CN"/>
        </w:rPr>
        <w:t>（三）人员概况。</w:t>
      </w:r>
      <w:r>
        <w:rPr>
          <w:rFonts w:ascii="仿宋" w:hAnsi="仿宋" w:eastAsia="仿宋" w:cs="仿宋"/>
          <w:sz w:val="32"/>
          <w:szCs w:val="32"/>
          <w:lang w:val="en-US" w:eastAsia="zh-CN"/>
        </w:rPr>
        <w:t>截至202</w:t>
      </w:r>
      <w:r>
        <w:rPr>
          <w:rFonts w:hint="eastAsia" w:ascii="仿宋" w:hAnsi="仿宋" w:eastAsia="仿宋" w:cs="仿宋"/>
          <w:sz w:val="32"/>
          <w:szCs w:val="32"/>
          <w:lang w:val="en-US" w:eastAsia="zh-CN"/>
        </w:rPr>
        <w:t>5</w:t>
      </w:r>
      <w:r>
        <w:rPr>
          <w:rFonts w:ascii="仿宋" w:hAnsi="仿宋" w:eastAsia="仿宋" w:cs="仿宋"/>
          <w:sz w:val="32"/>
          <w:szCs w:val="32"/>
          <w:lang w:val="en-US" w:eastAsia="zh-CN"/>
        </w:rPr>
        <w:t>年末，松潘县白羊乡人民政府及下属单位编制情况及年末实有人数情况。本单位本年度年末实有人数为3</w:t>
      </w:r>
      <w:r>
        <w:rPr>
          <w:rFonts w:hint="eastAsia" w:ascii="仿宋" w:hAnsi="仿宋" w:eastAsia="仿宋" w:cs="仿宋"/>
          <w:sz w:val="32"/>
          <w:szCs w:val="32"/>
          <w:lang w:val="en-US" w:eastAsia="zh-CN"/>
        </w:rPr>
        <w:t>3</w:t>
      </w:r>
      <w:r>
        <w:rPr>
          <w:rFonts w:ascii="仿宋" w:hAnsi="仿宋" w:eastAsia="仿宋" w:cs="仿宋"/>
          <w:sz w:val="32"/>
          <w:szCs w:val="32"/>
          <w:lang w:val="en-US" w:eastAsia="zh-CN"/>
        </w:rPr>
        <w:t>人，其中公务员</w:t>
      </w:r>
      <w:r>
        <w:rPr>
          <w:rFonts w:hint="eastAsia" w:ascii="仿宋" w:hAnsi="仿宋" w:eastAsia="仿宋" w:cs="仿宋"/>
          <w:sz w:val="32"/>
          <w:szCs w:val="32"/>
          <w:lang w:val="en-US" w:eastAsia="zh-CN"/>
        </w:rPr>
        <w:t>18</w:t>
      </w:r>
      <w:r>
        <w:rPr>
          <w:rFonts w:ascii="仿宋" w:hAnsi="仿宋" w:eastAsia="仿宋" w:cs="仿宋"/>
          <w:sz w:val="32"/>
          <w:szCs w:val="32"/>
          <w:lang w:val="en-US" w:eastAsia="zh-CN"/>
        </w:rPr>
        <w:t>人，行政工勤2人，事业人员</w:t>
      </w:r>
      <w:r>
        <w:rPr>
          <w:rFonts w:hint="eastAsia" w:ascii="仿宋" w:hAnsi="仿宋" w:eastAsia="仿宋" w:cs="仿宋"/>
          <w:sz w:val="32"/>
          <w:szCs w:val="32"/>
          <w:lang w:val="en-US" w:eastAsia="zh-CN"/>
        </w:rPr>
        <w:t>13</w:t>
      </w:r>
      <w:r>
        <w:rPr>
          <w:rFonts w:ascii="仿宋" w:hAnsi="仿宋" w:eastAsia="仿宋" w:cs="仿宋"/>
          <w:sz w:val="32"/>
          <w:szCs w:val="32"/>
          <w:lang w:val="en-US" w:eastAsia="zh-CN"/>
        </w:rPr>
        <w:t>人，事业工勤</w:t>
      </w:r>
      <w:r>
        <w:rPr>
          <w:rFonts w:hint="eastAsia" w:ascii="仿宋" w:hAnsi="仿宋" w:eastAsia="仿宋" w:cs="仿宋"/>
          <w:sz w:val="32"/>
          <w:szCs w:val="32"/>
          <w:lang w:val="en-US" w:eastAsia="zh-CN"/>
        </w:rPr>
        <w:t>0</w:t>
      </w:r>
      <w:r>
        <w:rPr>
          <w:rFonts w:ascii="仿宋" w:hAnsi="仿宋" w:eastAsia="仿宋" w:cs="仿宋"/>
          <w:sz w:val="32"/>
          <w:szCs w:val="32"/>
          <w:lang w:val="en-US" w:eastAsia="zh-CN"/>
        </w:rPr>
        <w:t>人。</w:t>
      </w:r>
    </w:p>
    <w:p w14:paraId="5B0F18A3">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二、部门资金收支情况</w:t>
      </w:r>
    </w:p>
    <w:p w14:paraId="3FAAE188">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zh-CN" w:eastAsia="zh-CN"/>
        </w:rPr>
        <w:t>（一）收入情况。</w:t>
      </w:r>
      <w:r>
        <w:rPr>
          <w:rFonts w:ascii="仿宋" w:hAnsi="仿宋" w:eastAsia="仿宋" w:cs="仿宋"/>
          <w:sz w:val="32"/>
          <w:szCs w:val="32"/>
          <w:lang w:val="en-US" w:eastAsia="zh-CN"/>
        </w:rPr>
        <w:t>白羊乡人民政府（单位）202</w:t>
      </w:r>
      <w:r>
        <w:rPr>
          <w:rFonts w:hint="eastAsia" w:ascii="仿宋" w:hAnsi="仿宋" w:eastAsia="仿宋" w:cs="仿宋"/>
          <w:sz w:val="32"/>
          <w:szCs w:val="32"/>
          <w:lang w:val="en-US" w:eastAsia="zh-CN"/>
        </w:rPr>
        <w:t>5</w:t>
      </w:r>
      <w:r>
        <w:rPr>
          <w:rFonts w:ascii="仿宋" w:hAnsi="仿宋" w:eastAsia="仿宋" w:cs="仿宋"/>
          <w:sz w:val="32"/>
          <w:szCs w:val="32"/>
          <w:lang w:val="en-US" w:eastAsia="zh-CN"/>
        </w:rPr>
        <w:t>年年初预算收入1065.29元整，决算报表收入1065.29万元。</w:t>
      </w:r>
    </w:p>
    <w:p w14:paraId="5C07B3A0">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zh-CN" w:eastAsia="zh-CN"/>
        </w:rPr>
        <w:t>（二）支出情况。</w:t>
      </w:r>
      <w:r>
        <w:rPr>
          <w:rFonts w:ascii="仿宋" w:hAnsi="仿宋" w:eastAsia="仿宋" w:cs="仿宋"/>
          <w:sz w:val="32"/>
          <w:szCs w:val="32"/>
          <w:lang w:val="en-US" w:eastAsia="zh-CN"/>
        </w:rPr>
        <w:t>白羊乡人民政府（单位）202</w:t>
      </w:r>
      <w:r>
        <w:rPr>
          <w:rFonts w:hint="eastAsia" w:ascii="仿宋" w:hAnsi="仿宋" w:eastAsia="仿宋" w:cs="仿宋"/>
          <w:sz w:val="32"/>
          <w:szCs w:val="32"/>
          <w:lang w:val="en-US" w:eastAsia="zh-CN"/>
        </w:rPr>
        <w:t>5</w:t>
      </w:r>
      <w:r>
        <w:rPr>
          <w:rFonts w:ascii="仿宋" w:hAnsi="仿宋" w:eastAsia="仿宋" w:cs="仿宋"/>
          <w:sz w:val="32"/>
          <w:szCs w:val="32"/>
          <w:lang w:val="en-US" w:eastAsia="zh-CN"/>
        </w:rPr>
        <w:t>年年初预算支出1065.29万元、决算报表支出1065.29万元。</w:t>
      </w:r>
    </w:p>
    <w:p w14:paraId="2FF5F341">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zh-CN" w:eastAsia="zh-CN"/>
        </w:rPr>
        <w:t>（三）</w:t>
      </w:r>
      <w:r>
        <w:rPr>
          <w:rFonts w:ascii="仿宋" w:hAnsi="仿宋" w:eastAsia="仿宋" w:cs="仿宋"/>
          <w:sz w:val="32"/>
          <w:szCs w:val="32"/>
          <w:lang w:val="en-US" w:eastAsia="zh-CN"/>
        </w:rPr>
        <w:t>结余分配和结转结余情况。白羊乡人民政府（单位）202</w:t>
      </w:r>
      <w:r>
        <w:rPr>
          <w:rFonts w:hint="eastAsia" w:ascii="仿宋" w:hAnsi="仿宋" w:eastAsia="仿宋" w:cs="仿宋"/>
          <w:sz w:val="32"/>
          <w:szCs w:val="32"/>
          <w:lang w:val="en-US" w:eastAsia="zh-CN"/>
        </w:rPr>
        <w:t>5</w:t>
      </w:r>
      <w:r>
        <w:rPr>
          <w:rFonts w:ascii="仿宋" w:hAnsi="仿宋" w:eastAsia="仿宋" w:cs="仿宋"/>
          <w:sz w:val="32"/>
          <w:szCs w:val="32"/>
          <w:lang w:val="en-US" w:eastAsia="zh-CN"/>
        </w:rPr>
        <w:t>年决算报表无结转结余情况。</w:t>
      </w:r>
    </w:p>
    <w:p w14:paraId="168D2568">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三、部门预算绩效分析</w:t>
      </w:r>
    </w:p>
    <w:p w14:paraId="3A0543DD">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zh-CN" w:eastAsia="zh-CN"/>
        </w:rPr>
        <w:t>（一）部门预算总体绩效分析。根据部门预算绩效评价指标体系“总体绩效”涉及二、三级指标进行逐项绩效分析并评分，依次包括履职效能、预算管理、财务管理、资产管理、采购管理等情况。</w:t>
      </w:r>
    </w:p>
    <w:p w14:paraId="0511FD2D">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en-US" w:eastAsia="zh-CN"/>
        </w:rPr>
        <w:t>1.</w:t>
      </w:r>
      <w:r>
        <w:rPr>
          <w:rFonts w:ascii="仿宋" w:hAnsi="仿宋" w:eastAsia="仿宋" w:cs="仿宋"/>
          <w:sz w:val="32"/>
          <w:szCs w:val="32"/>
          <w:lang w:val="zh-CN" w:eastAsia="zh-CN"/>
        </w:rPr>
        <w:t>履职效能。部门整体绩效目标中选定3—5个核心职能目标，对职能目标完成效果情况进行分析。</w:t>
      </w:r>
    </w:p>
    <w:p w14:paraId="0200F856">
      <w:pPr>
        <w:spacing w:before="0" w:after="0" w:line="580" w:lineRule="exact"/>
        <w:ind w:firstLine="640"/>
        <w:rPr>
          <w:rFonts w:ascii="仿宋" w:hAnsi="仿宋" w:eastAsia="仿宋" w:cs="仿宋"/>
          <w:sz w:val="32"/>
          <w:szCs w:val="32"/>
          <w:lang w:val="zh-CN" w:eastAsia="zh-CN"/>
        </w:rPr>
      </w:pPr>
      <w:r>
        <w:rPr>
          <w:rFonts w:ascii="仿宋" w:hAnsi="仿宋" w:eastAsia="仿宋" w:cs="仿宋"/>
          <w:sz w:val="32"/>
          <w:szCs w:val="32"/>
          <w:lang w:val="en-US" w:eastAsia="zh-CN"/>
        </w:rPr>
        <w:t>2.</w:t>
      </w:r>
      <w:r>
        <w:rPr>
          <w:rFonts w:ascii="仿宋" w:hAnsi="仿宋" w:eastAsia="仿宋" w:cs="仿宋"/>
          <w:sz w:val="32"/>
          <w:szCs w:val="32"/>
          <w:lang w:val="zh-CN" w:eastAsia="zh-CN"/>
        </w:rPr>
        <w:t>预算管理。</w:t>
      </w:r>
      <w:r>
        <w:rPr>
          <w:rFonts w:ascii="仿宋" w:hAnsi="仿宋" w:eastAsia="仿宋" w:cs="仿宋"/>
          <w:sz w:val="32"/>
          <w:szCs w:val="32"/>
          <w:lang w:val="en-US" w:eastAsia="zh-CN"/>
        </w:rPr>
        <w:t>我乡预算严格根据预算收支制度执行，严格预算管理；按要求编制本单位预算，</w:t>
      </w:r>
      <w:r>
        <w:rPr>
          <w:rFonts w:ascii="仿宋" w:hAnsi="仿宋" w:eastAsia="仿宋" w:cs="仿宋"/>
          <w:sz w:val="32"/>
          <w:szCs w:val="32"/>
          <w:lang w:val="zh-CN" w:eastAsia="zh-CN"/>
        </w:rPr>
        <w:t>我单位预算编制采用平均法，即将本局近三年所发生的收支数据予以平均计算、以平均值作为我单位编制次年预算的参考基数。特殊事项需要新增预算的，需提前报备至财务室，纳入次年预算。我单位预算编制应按照县级财政部门要求进行，在预算编制过程中，除按照规定方法进行编制外，同时应充分考虑本单位次年工作计划安排及人员增减变化等因素，预算编制明细项目应安排至财政支出经济科目。预算编制完成后，报送至财务分管领导进行审查；初步审查后的预算报乡党务会通过并按要求上报至财政局。</w:t>
      </w:r>
    </w:p>
    <w:p w14:paraId="2C613A03">
      <w:pPr>
        <w:spacing w:before="0" w:after="0" w:line="580" w:lineRule="exact"/>
        <w:ind w:firstLine="640"/>
        <w:rPr>
          <w:rFonts w:ascii="仿宋" w:hAnsi="仿宋" w:eastAsia="仿宋" w:cs="仿宋"/>
          <w:sz w:val="32"/>
          <w:szCs w:val="32"/>
          <w:lang w:val="en-US" w:eastAsia="zh-CN"/>
        </w:rPr>
      </w:pPr>
      <w:r>
        <w:rPr>
          <w:rFonts w:ascii="仿宋" w:hAnsi="仿宋" w:eastAsia="仿宋" w:cs="仿宋"/>
          <w:sz w:val="32"/>
          <w:szCs w:val="32"/>
          <w:lang w:val="en-US" w:eastAsia="zh-CN"/>
        </w:rPr>
        <w:t>3.</w:t>
      </w:r>
      <w:r>
        <w:rPr>
          <w:rFonts w:ascii="仿宋" w:hAnsi="仿宋" w:eastAsia="仿宋" w:cs="仿宋"/>
          <w:sz w:val="32"/>
          <w:szCs w:val="32"/>
          <w:lang w:val="zh-CN" w:eastAsia="zh-CN"/>
        </w:rPr>
        <w:t>财务管理。围绕财务管理制度、财务岗位设置、资金使用规范进行绩效分析。</w:t>
      </w:r>
      <w:r>
        <w:rPr>
          <w:rFonts w:ascii="仿宋" w:hAnsi="仿宋" w:eastAsia="仿宋" w:cs="仿宋"/>
          <w:sz w:val="32"/>
          <w:szCs w:val="32"/>
          <w:lang w:val="en-US" w:eastAsia="zh-CN"/>
        </w:rPr>
        <w:t>我乡相关财务管理制度有，收支管理制度、预算业务制度、资产管理制度、合同制度、印章管理制度、公务卡使用管理制度；我乡财务岗位按要求设置，出纳</w:t>
      </w:r>
      <w:r>
        <w:rPr>
          <w:rFonts w:hint="eastAsia" w:ascii="仿宋" w:hAnsi="仿宋" w:eastAsia="仿宋" w:cs="仿宋"/>
          <w:sz w:val="32"/>
          <w:szCs w:val="32"/>
          <w:lang w:val="en-US" w:eastAsia="zh-CN"/>
        </w:rPr>
        <w:t>李英红</w:t>
      </w:r>
      <w:r>
        <w:rPr>
          <w:rFonts w:ascii="仿宋" w:hAnsi="仿宋" w:eastAsia="仿宋" w:cs="仿宋"/>
          <w:sz w:val="32"/>
          <w:szCs w:val="32"/>
          <w:lang w:val="en-US" w:eastAsia="zh-CN"/>
        </w:rPr>
        <w:t>，会计陈启明，财务分管领导谢世德，单位负责人杨果。我乡资金使用严格按照财经纪律进行资金使用管理，办公室负责我单位日常公用经费和专项经费支出的管理，行使经办权（内部授权），不得行使财权（公务卡业务除外）。针对经办权，特殊情况可执行临时授权。我单位除办公室以外的其他内设机构针对日常公用经费的使用可提出事权报分管领导审批并提交办公室执行；专项经费的使用由事项所设业务股室经办，在履行审批程序后执行。</w:t>
      </w:r>
    </w:p>
    <w:p w14:paraId="7AA5C134">
      <w:pPr>
        <w:spacing w:before="0" w:after="0" w:line="580" w:lineRule="exact"/>
        <w:ind w:firstLine="640"/>
        <w:rPr>
          <w:rFonts w:ascii="仿宋" w:hAnsi="仿宋" w:eastAsia="仿宋" w:cs="仿宋"/>
          <w:b w:val="0"/>
          <w:bCs/>
          <w:sz w:val="32"/>
          <w:szCs w:val="32"/>
          <w:lang w:eastAsia="zh-CN"/>
        </w:rPr>
      </w:pPr>
      <w:r>
        <w:rPr>
          <w:rFonts w:ascii="仿宋" w:hAnsi="仿宋" w:eastAsia="仿宋" w:cs="仿宋"/>
          <w:sz w:val="32"/>
          <w:szCs w:val="32"/>
          <w:lang w:val="en-US" w:eastAsia="zh-CN"/>
        </w:rPr>
        <w:t>4.</w:t>
      </w:r>
      <w:r>
        <w:rPr>
          <w:rFonts w:ascii="仿宋" w:hAnsi="仿宋" w:eastAsia="仿宋" w:cs="仿宋"/>
          <w:sz w:val="32"/>
          <w:szCs w:val="32"/>
          <w:lang w:val="zh-CN" w:eastAsia="zh-CN"/>
        </w:rPr>
        <w:t>资产管理。围绕人均资产变化率、资产利用率、资产盘活率进行绩效分析。</w:t>
      </w:r>
      <w:r>
        <w:rPr>
          <w:rFonts w:ascii="仿宋" w:hAnsi="仿宋" w:eastAsia="仿宋" w:cs="仿宋"/>
          <w:sz w:val="32"/>
          <w:szCs w:val="32"/>
          <w:lang w:val="en-US" w:eastAsia="zh-CN"/>
        </w:rPr>
        <w:t>我乡涉及资产管理的内设机构主要为办公室和各内设股室，其职能职责具体包括：财务室负责按照会</w:t>
      </w:r>
      <w:r>
        <w:rPr>
          <w:rFonts w:ascii="仿宋" w:hAnsi="仿宋" w:eastAsia="仿宋" w:cs="仿宋"/>
          <w:b w:val="0"/>
          <w:bCs/>
          <w:sz w:val="32"/>
          <w:szCs w:val="32"/>
        </w:rPr>
        <w:t>计核算职能职责要求，对我</w:t>
      </w:r>
      <w:r>
        <w:rPr>
          <w:rFonts w:ascii="仿宋" w:hAnsi="仿宋" w:eastAsia="仿宋" w:cs="仿宋"/>
          <w:b w:val="0"/>
          <w:bCs/>
          <w:sz w:val="32"/>
          <w:szCs w:val="32"/>
          <w:lang w:eastAsia="zh-CN"/>
        </w:rPr>
        <w:t>乡</w:t>
      </w:r>
      <w:r>
        <w:rPr>
          <w:rFonts w:ascii="仿宋" w:hAnsi="仿宋" w:eastAsia="仿宋" w:cs="仿宋"/>
          <w:b w:val="0"/>
          <w:bCs/>
          <w:sz w:val="32"/>
          <w:szCs w:val="32"/>
        </w:rPr>
        <w:t>资产的增减变化进行会计核算、履行会计监督职能</w:t>
      </w:r>
      <w:r>
        <w:rPr>
          <w:rFonts w:ascii="仿宋" w:hAnsi="仿宋" w:eastAsia="仿宋" w:cs="仿宋"/>
          <w:b w:val="0"/>
          <w:bCs/>
          <w:sz w:val="32"/>
          <w:szCs w:val="32"/>
          <w:lang w:eastAsia="zh-CN"/>
        </w:rPr>
        <w:t>。办公室</w:t>
      </w:r>
      <w:r>
        <w:rPr>
          <w:rFonts w:ascii="仿宋" w:hAnsi="仿宋" w:eastAsia="仿宋" w:cs="仿宋"/>
          <w:b w:val="0"/>
          <w:bCs/>
          <w:color w:val="000000"/>
          <w:sz w:val="32"/>
          <w:szCs w:val="32"/>
        </w:rPr>
        <w:t>负责我</w:t>
      </w:r>
      <w:r>
        <w:rPr>
          <w:rFonts w:ascii="仿宋" w:hAnsi="仿宋" w:eastAsia="仿宋" w:cs="仿宋"/>
          <w:b w:val="0"/>
          <w:bCs/>
          <w:color w:val="000000"/>
          <w:sz w:val="32"/>
          <w:szCs w:val="32"/>
          <w:lang w:eastAsia="zh-CN"/>
        </w:rPr>
        <w:t>乡</w:t>
      </w:r>
      <w:r>
        <w:rPr>
          <w:rFonts w:ascii="仿宋" w:hAnsi="仿宋" w:eastAsia="仿宋" w:cs="仿宋"/>
          <w:b w:val="0"/>
          <w:bCs/>
          <w:color w:val="000000"/>
          <w:sz w:val="32"/>
          <w:szCs w:val="32"/>
        </w:rPr>
        <w:t>固定资产购置计划编制、收入、发出</w:t>
      </w:r>
      <w:r>
        <w:rPr>
          <w:rFonts w:ascii="仿宋" w:hAnsi="仿宋" w:eastAsia="仿宋" w:cs="仿宋"/>
          <w:b w:val="0"/>
          <w:bCs/>
          <w:color w:val="000000"/>
          <w:sz w:val="32"/>
          <w:szCs w:val="32"/>
          <w:lang w:eastAsia="zh-CN"/>
        </w:rPr>
        <w:t>、</w:t>
      </w:r>
      <w:r>
        <w:rPr>
          <w:rFonts w:ascii="仿宋" w:hAnsi="仿宋" w:eastAsia="仿宋" w:cs="仿宋"/>
          <w:b w:val="0"/>
          <w:bCs/>
          <w:color w:val="000000"/>
          <w:sz w:val="32"/>
          <w:szCs w:val="32"/>
        </w:rPr>
        <w:t>使用</w:t>
      </w:r>
      <w:r>
        <w:rPr>
          <w:rFonts w:ascii="仿宋" w:hAnsi="仿宋" w:eastAsia="仿宋" w:cs="仿宋"/>
          <w:b w:val="0"/>
          <w:bCs/>
          <w:color w:val="000000"/>
          <w:sz w:val="32"/>
          <w:szCs w:val="32"/>
          <w:lang w:eastAsia="zh-CN"/>
        </w:rPr>
        <w:t>、报废处置</w:t>
      </w:r>
      <w:r>
        <w:rPr>
          <w:rFonts w:ascii="仿宋" w:hAnsi="仿宋" w:eastAsia="仿宋" w:cs="仿宋"/>
          <w:b w:val="0"/>
          <w:bCs/>
          <w:color w:val="000000"/>
          <w:sz w:val="32"/>
          <w:szCs w:val="32"/>
        </w:rPr>
        <w:t>的管理，</w:t>
      </w:r>
      <w:r>
        <w:rPr>
          <w:rFonts w:ascii="仿宋" w:hAnsi="仿宋" w:eastAsia="仿宋" w:cs="仿宋"/>
          <w:b w:val="0"/>
          <w:bCs/>
          <w:color w:val="000000"/>
          <w:sz w:val="32"/>
          <w:szCs w:val="32"/>
          <w:lang w:eastAsia="zh-CN"/>
        </w:rPr>
        <w:t>对我乡</w:t>
      </w:r>
      <w:r>
        <w:rPr>
          <w:rFonts w:ascii="仿宋" w:hAnsi="仿宋" w:eastAsia="仿宋" w:cs="仿宋"/>
          <w:b w:val="0"/>
          <w:bCs/>
          <w:color w:val="000000"/>
          <w:sz w:val="32"/>
          <w:szCs w:val="32"/>
        </w:rPr>
        <w:t>资产使用管理</w:t>
      </w:r>
      <w:r>
        <w:rPr>
          <w:rFonts w:ascii="仿宋" w:hAnsi="仿宋" w:eastAsia="仿宋" w:cs="仿宋"/>
          <w:b w:val="0"/>
          <w:bCs/>
          <w:color w:val="000000"/>
          <w:sz w:val="32"/>
          <w:szCs w:val="32"/>
          <w:lang w:eastAsia="zh-CN"/>
        </w:rPr>
        <w:t>负总</w:t>
      </w:r>
      <w:r>
        <w:rPr>
          <w:rFonts w:ascii="仿宋" w:hAnsi="仿宋" w:eastAsia="仿宋" w:cs="仿宋"/>
          <w:b w:val="0"/>
          <w:bCs/>
          <w:color w:val="000000"/>
          <w:sz w:val="32"/>
          <w:szCs w:val="32"/>
        </w:rPr>
        <w:t>责。</w:t>
      </w:r>
      <w:r>
        <w:rPr>
          <w:rFonts w:ascii="仿宋" w:hAnsi="仿宋" w:eastAsia="仿宋" w:cs="仿宋"/>
          <w:b w:val="0"/>
          <w:bCs/>
          <w:color w:val="000000"/>
          <w:sz w:val="32"/>
          <w:szCs w:val="32"/>
          <w:lang w:eastAsia="zh-CN"/>
        </w:rPr>
        <w:t>各内设股室负责管理本部门</w:t>
      </w:r>
      <w:r>
        <w:rPr>
          <w:rFonts w:ascii="仿宋" w:hAnsi="仿宋" w:eastAsia="仿宋" w:cs="仿宋"/>
          <w:b w:val="0"/>
          <w:bCs/>
          <w:color w:val="000000"/>
          <w:sz w:val="32"/>
          <w:szCs w:val="32"/>
        </w:rPr>
        <w:t>固定资产</w:t>
      </w:r>
      <w:r>
        <w:rPr>
          <w:rFonts w:ascii="仿宋" w:hAnsi="仿宋" w:eastAsia="仿宋" w:cs="仿宋"/>
          <w:b w:val="0"/>
          <w:bCs/>
          <w:color w:val="000000"/>
          <w:sz w:val="32"/>
          <w:szCs w:val="32"/>
          <w:lang w:eastAsia="zh-CN"/>
        </w:rPr>
        <w:t>及</w:t>
      </w:r>
      <w:r>
        <w:rPr>
          <w:rFonts w:ascii="仿宋" w:hAnsi="仿宋" w:eastAsia="仿宋" w:cs="仿宋"/>
          <w:b w:val="0"/>
          <w:bCs/>
          <w:sz w:val="32"/>
          <w:szCs w:val="32"/>
        </w:rPr>
        <w:t>未达到固定资产入账标准，但使用年限在一年以上的实物资产</w:t>
      </w:r>
      <w:r>
        <w:rPr>
          <w:rFonts w:ascii="仿宋" w:hAnsi="仿宋" w:eastAsia="仿宋" w:cs="仿宋"/>
          <w:b w:val="0"/>
          <w:bCs/>
          <w:color w:val="000000"/>
          <w:sz w:val="32"/>
          <w:szCs w:val="32"/>
          <w:lang w:eastAsia="zh-CN"/>
        </w:rPr>
        <w:t>，履行分管</w:t>
      </w:r>
      <w:r>
        <w:rPr>
          <w:rFonts w:ascii="仿宋" w:hAnsi="仿宋" w:eastAsia="仿宋" w:cs="仿宋"/>
          <w:b w:val="0"/>
          <w:bCs/>
          <w:sz w:val="32"/>
          <w:szCs w:val="32"/>
          <w:lang w:eastAsia="zh-CN"/>
        </w:rPr>
        <w:t>职责。</w:t>
      </w:r>
    </w:p>
    <w:p w14:paraId="771A9468">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5.</w:t>
      </w:r>
      <w:r>
        <w:rPr>
          <w:rFonts w:ascii="仿宋" w:hAnsi="仿宋" w:eastAsia="仿宋" w:cs="Times New Roman"/>
          <w:b w:val="0"/>
          <w:bCs/>
          <w:sz w:val="32"/>
          <w:szCs w:val="32"/>
          <w:lang w:val="zh-CN"/>
        </w:rPr>
        <w:t>采购管理。围绕支持中小企业发展、采购执行率进行绩效分析。</w:t>
      </w:r>
      <w:r>
        <w:rPr>
          <w:rFonts w:ascii="仿宋" w:hAnsi="仿宋" w:eastAsia="仿宋" w:cs="Times New Roman"/>
          <w:b w:val="0"/>
          <w:bCs/>
          <w:sz w:val="32"/>
          <w:szCs w:val="32"/>
          <w:lang w:val="en-US" w:eastAsia="zh-CN"/>
        </w:rPr>
        <w:t>我乡涉及采购的业务较少，202</w:t>
      </w:r>
      <w:r>
        <w:rPr>
          <w:rFonts w:hint="eastAsia" w:ascii="仿宋" w:hAnsi="仿宋" w:eastAsia="仿宋" w:cs="Times New Roman"/>
          <w:b w:val="0"/>
          <w:bCs/>
          <w:sz w:val="32"/>
          <w:szCs w:val="32"/>
          <w:lang w:val="en-US" w:eastAsia="zh-CN"/>
        </w:rPr>
        <w:t>5</w:t>
      </w:r>
      <w:r>
        <w:rPr>
          <w:rFonts w:ascii="仿宋" w:hAnsi="仿宋" w:eastAsia="仿宋" w:cs="Times New Roman"/>
          <w:b w:val="0"/>
          <w:bCs/>
          <w:sz w:val="32"/>
          <w:szCs w:val="32"/>
          <w:lang w:val="en-US" w:eastAsia="zh-CN"/>
        </w:rPr>
        <w:t>年度无采购项目。</w:t>
      </w:r>
    </w:p>
    <w:p w14:paraId="2F35A1A5">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zh-CN"/>
        </w:rPr>
        <w:t>（二）部门预算项目绩效分析。</w:t>
      </w:r>
      <w:r>
        <w:rPr>
          <w:rFonts w:ascii="仿宋" w:hAnsi="仿宋" w:eastAsia="仿宋" w:cs="Times New Roman"/>
          <w:b w:val="0"/>
          <w:bCs/>
          <w:sz w:val="32"/>
          <w:szCs w:val="32"/>
          <w:lang w:val="zh-CN" w:eastAsia="zh-CN"/>
        </w:rPr>
        <w:t>填报以下数据，</w:t>
      </w:r>
      <w:r>
        <w:rPr>
          <w:rFonts w:ascii="仿宋" w:hAnsi="仿宋" w:eastAsia="仿宋" w:cs="Times New Roman"/>
          <w:b w:val="0"/>
          <w:bCs/>
          <w:sz w:val="32"/>
          <w:szCs w:val="32"/>
          <w:lang w:val="zh-CN"/>
        </w:rPr>
        <w:t>并根据部门预算绩效评价指标体系“项目绩效”涉及二、三级指标进行逐项绩效分析并评分，依次包括项目</w:t>
      </w:r>
      <w:r>
        <w:rPr>
          <w:rFonts w:ascii="仿宋" w:hAnsi="仿宋" w:eastAsia="仿宋" w:cs="Times New Roman"/>
          <w:b w:val="0"/>
          <w:bCs/>
          <w:sz w:val="32"/>
          <w:szCs w:val="32"/>
          <w:lang w:val="en-US" w:eastAsia="zh-CN"/>
        </w:rPr>
        <w:t>决策、项目执行、目标实现等情况。</w:t>
      </w:r>
    </w:p>
    <w:p w14:paraId="27C5AB35">
      <w:pPr>
        <w:spacing w:before="0" w:after="0" w:line="580" w:lineRule="exact"/>
        <w:ind w:firstLine="640"/>
        <w:rPr>
          <w:rFonts w:ascii="仿宋" w:hAnsi="仿宋" w:eastAsia="仿宋" w:cs="Times New Roman"/>
          <w:b w:val="0"/>
          <w:bCs/>
          <w:sz w:val="32"/>
          <w:szCs w:val="32"/>
          <w:lang w:val="zh-CN" w:eastAsia="zh-CN"/>
        </w:rPr>
      </w:pPr>
      <w:r>
        <w:rPr>
          <w:rFonts w:ascii="仿宋" w:hAnsi="仿宋" w:eastAsia="仿宋" w:cs="Times New Roman"/>
          <w:b w:val="0"/>
          <w:bCs/>
          <w:sz w:val="32"/>
          <w:szCs w:val="32"/>
          <w:lang w:val="en-US" w:eastAsia="zh-CN"/>
        </w:rPr>
        <w:t>常年项目绩效分析。</w:t>
      </w:r>
      <w:r>
        <w:rPr>
          <w:rFonts w:ascii="仿宋" w:hAnsi="仿宋" w:eastAsia="仿宋" w:cs="Times New Roman"/>
          <w:b w:val="0"/>
          <w:bCs/>
          <w:sz w:val="32"/>
          <w:szCs w:val="32"/>
          <w:lang w:val="zh-CN" w:eastAsia="zh-CN"/>
        </w:rPr>
        <w:t>该类项目总数</w:t>
      </w:r>
      <w:r>
        <w:rPr>
          <w:rFonts w:ascii="仿宋" w:hAnsi="仿宋" w:eastAsia="仿宋" w:cs="Times New Roman"/>
          <w:b w:val="0"/>
          <w:bCs/>
          <w:sz w:val="32"/>
          <w:szCs w:val="32"/>
          <w:lang w:val="en-US" w:eastAsia="zh-CN"/>
        </w:rPr>
        <w:t>12</w:t>
      </w:r>
      <w:r>
        <w:rPr>
          <w:rFonts w:ascii="仿宋" w:hAnsi="仿宋" w:eastAsia="仿宋" w:cs="Times New Roman"/>
          <w:b w:val="0"/>
          <w:bCs/>
          <w:sz w:val="32"/>
          <w:szCs w:val="32"/>
          <w:lang w:val="zh-CN" w:eastAsia="zh-CN"/>
        </w:rPr>
        <w:t>个，</w:t>
      </w:r>
      <w:r>
        <w:rPr>
          <w:rFonts w:ascii="仿宋" w:hAnsi="仿宋" w:eastAsia="仿宋" w:cs="Times New Roman"/>
          <w:b w:val="0"/>
          <w:bCs/>
          <w:sz w:val="32"/>
          <w:szCs w:val="32"/>
          <w:lang w:val="en-US" w:eastAsia="zh-CN"/>
        </w:rPr>
        <w:t>其中农村公共服务运行经费项目，预算总数145.47万元，预算执行数145.47万元，执行率100%；村干部补助项目预算总数104.57万元，预算执行数105.25万元，执行率100%；</w:t>
      </w:r>
      <w:r>
        <w:rPr>
          <w:rFonts w:ascii="仿宋" w:hAnsi="仿宋" w:eastAsia="仿宋" w:cs="Times New Roman"/>
          <w:b w:val="0"/>
          <w:bCs/>
          <w:sz w:val="32"/>
          <w:szCs w:val="32"/>
          <w:lang w:val="zh-CN" w:eastAsia="zh-CN"/>
        </w:rPr>
        <w:t>涉及预算总金额</w:t>
      </w:r>
      <w:r>
        <w:rPr>
          <w:rFonts w:ascii="仿宋" w:hAnsi="仿宋" w:eastAsia="仿宋" w:cs="Times New Roman"/>
          <w:b w:val="0"/>
          <w:bCs/>
          <w:sz w:val="32"/>
          <w:szCs w:val="32"/>
          <w:lang w:val="en-US" w:eastAsia="zh-CN"/>
        </w:rPr>
        <w:t>105.25</w:t>
      </w:r>
      <w:r>
        <w:rPr>
          <w:rFonts w:ascii="仿宋" w:hAnsi="仿宋" w:eastAsia="仿宋" w:cs="Times New Roman"/>
          <w:b w:val="0"/>
          <w:bCs/>
          <w:sz w:val="32"/>
          <w:szCs w:val="32"/>
          <w:lang w:val="zh-CN" w:eastAsia="zh-CN"/>
        </w:rPr>
        <w:t>万元，</w:t>
      </w:r>
      <w:r>
        <w:rPr>
          <w:rFonts w:ascii="仿宋" w:hAnsi="仿宋" w:eastAsia="仿宋" w:cs="Times New Roman"/>
          <w:b w:val="0"/>
          <w:bCs/>
          <w:sz w:val="32"/>
          <w:szCs w:val="32"/>
          <w:lang w:val="zh-CN"/>
        </w:rPr>
        <w:t>1</w:t>
      </w:r>
      <w:r>
        <w:rPr>
          <w:rFonts w:ascii="仿宋" w:hAnsi="仿宋" w:eastAsia="仿宋" w:cs="Times New Roman"/>
          <w:b w:val="0"/>
          <w:bCs/>
          <w:sz w:val="32"/>
          <w:szCs w:val="32"/>
          <w:lang w:val="zh-CN" w:eastAsia="zh-CN"/>
        </w:rPr>
        <w:t>—</w:t>
      </w:r>
      <w:r>
        <w:rPr>
          <w:rFonts w:ascii="仿宋" w:hAnsi="仿宋" w:eastAsia="仿宋" w:cs="Times New Roman"/>
          <w:b w:val="0"/>
          <w:bCs/>
          <w:sz w:val="32"/>
          <w:szCs w:val="32"/>
          <w:lang w:val="zh-CN"/>
        </w:rPr>
        <w:t>1</w:t>
      </w:r>
      <w:r>
        <w:rPr>
          <w:rFonts w:ascii="仿宋" w:hAnsi="仿宋" w:eastAsia="仿宋" w:cs="Times New Roman"/>
          <w:b w:val="0"/>
          <w:bCs/>
          <w:sz w:val="32"/>
          <w:szCs w:val="32"/>
          <w:lang w:val="en-US" w:eastAsia="zh-CN"/>
        </w:rPr>
        <w:t>2</w:t>
      </w:r>
      <w:r>
        <w:rPr>
          <w:rFonts w:ascii="仿宋" w:hAnsi="仿宋" w:eastAsia="仿宋" w:cs="Times New Roman"/>
          <w:b w:val="0"/>
          <w:bCs/>
          <w:sz w:val="32"/>
          <w:szCs w:val="32"/>
          <w:lang w:val="zh-CN"/>
        </w:rPr>
        <w:t>月预算执行总体进度为</w:t>
      </w:r>
      <w:r>
        <w:rPr>
          <w:rFonts w:ascii="仿宋" w:hAnsi="仿宋" w:eastAsia="仿宋" w:cs="Times New Roman"/>
          <w:b w:val="0"/>
          <w:bCs/>
          <w:sz w:val="32"/>
          <w:szCs w:val="32"/>
          <w:lang w:val="en-US" w:eastAsia="zh-CN"/>
        </w:rPr>
        <w:t xml:space="preserve">  100.00 </w:t>
      </w:r>
      <w:r>
        <w:rPr>
          <w:rFonts w:ascii="仿宋" w:hAnsi="仿宋" w:eastAsia="仿宋" w:cs="Times New Roman"/>
          <w:b w:val="0"/>
          <w:bCs/>
          <w:sz w:val="32"/>
          <w:szCs w:val="32"/>
          <w:lang w:val="zh-CN"/>
        </w:rPr>
        <w:t>%，其中：</w:t>
      </w:r>
      <w:r>
        <w:rPr>
          <w:rFonts w:ascii="仿宋" w:hAnsi="仿宋" w:eastAsia="仿宋" w:cs="Times New Roman"/>
          <w:b w:val="0"/>
          <w:bCs/>
          <w:sz w:val="32"/>
          <w:szCs w:val="32"/>
          <w:lang w:val="zh-CN" w:eastAsia="zh-CN"/>
        </w:rPr>
        <w:t>预算结余率大于</w:t>
      </w:r>
      <w:r>
        <w:rPr>
          <w:rFonts w:ascii="仿宋" w:hAnsi="仿宋" w:eastAsia="仿宋" w:cs="Times New Roman"/>
          <w:b w:val="0"/>
          <w:bCs/>
          <w:sz w:val="32"/>
          <w:szCs w:val="32"/>
          <w:lang w:val="en-US" w:eastAsia="zh-CN"/>
        </w:rPr>
        <w:t>10%</w:t>
      </w:r>
      <w:r>
        <w:rPr>
          <w:rFonts w:ascii="仿宋" w:hAnsi="仿宋" w:eastAsia="仿宋" w:cs="Times New Roman"/>
          <w:b w:val="0"/>
          <w:bCs/>
          <w:sz w:val="32"/>
          <w:szCs w:val="32"/>
          <w:lang w:val="zh-CN" w:eastAsia="zh-CN"/>
        </w:rPr>
        <w:t>的项目共计</w:t>
      </w:r>
      <w:r>
        <w:rPr>
          <w:rFonts w:ascii="仿宋" w:hAnsi="仿宋" w:eastAsia="仿宋" w:cs="Times New Roman"/>
          <w:b w:val="0"/>
          <w:bCs/>
          <w:sz w:val="32"/>
          <w:szCs w:val="32"/>
          <w:lang w:val="en-US" w:eastAsia="zh-CN"/>
        </w:rPr>
        <w:t xml:space="preserve">0 </w:t>
      </w:r>
      <w:r>
        <w:rPr>
          <w:rFonts w:ascii="仿宋" w:hAnsi="仿宋" w:eastAsia="仿宋" w:cs="Times New Roman"/>
          <w:b w:val="0"/>
          <w:bCs/>
          <w:sz w:val="32"/>
          <w:szCs w:val="32"/>
          <w:lang w:val="zh-CN" w:eastAsia="zh-CN"/>
        </w:rPr>
        <w:t>个。</w:t>
      </w:r>
    </w:p>
    <w:p w14:paraId="30E55B6D">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1.</w:t>
      </w:r>
      <w:r>
        <w:rPr>
          <w:rFonts w:ascii="仿宋" w:hAnsi="仿宋" w:eastAsia="仿宋" w:cs="Times New Roman"/>
          <w:b w:val="0"/>
          <w:bCs/>
          <w:sz w:val="32"/>
          <w:szCs w:val="32"/>
          <w:lang w:val="zh-CN"/>
        </w:rPr>
        <w:t>项目决策。</w:t>
      </w:r>
      <w:r>
        <w:rPr>
          <w:rFonts w:ascii="仿宋" w:hAnsi="仿宋" w:eastAsia="仿宋" w:cs="Times New Roman"/>
          <w:b w:val="0"/>
          <w:bCs/>
          <w:sz w:val="32"/>
          <w:szCs w:val="32"/>
          <w:lang w:val="en-US" w:eastAsia="zh-CN"/>
        </w:rPr>
        <w:t>我乡涉及的项目，一律根据我乡工作需要进行项目申报，进行全年目标设置，根据项目实际情况设定目标，并按目标设置实施项目。根据上级部门要求及时进行项目入库，编制绩效目标表和绩效目标报告。</w:t>
      </w:r>
    </w:p>
    <w:p w14:paraId="63036DA0">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2.项目执行</w:t>
      </w:r>
      <w:r>
        <w:rPr>
          <w:rFonts w:ascii="仿宋" w:hAnsi="仿宋" w:eastAsia="仿宋" w:cs="Times New Roman"/>
          <w:b w:val="0"/>
          <w:bCs/>
          <w:sz w:val="32"/>
          <w:szCs w:val="32"/>
          <w:lang w:val="zh-CN"/>
        </w:rPr>
        <w:t>。围绕资金执行导向、项目调整、执行结果进行绩效分析。</w:t>
      </w:r>
      <w:r>
        <w:rPr>
          <w:rFonts w:ascii="仿宋" w:hAnsi="仿宋" w:eastAsia="仿宋" w:cs="Times New Roman"/>
          <w:b w:val="0"/>
          <w:bCs/>
          <w:sz w:val="32"/>
          <w:szCs w:val="32"/>
          <w:lang w:val="en-US" w:eastAsia="zh-CN"/>
        </w:rPr>
        <w:t>项目根据实施情况支付资金，项目资金按规定使用，无违规使用资金的情况。如遇到年份变更、项目金额变更、项目名称变更、项目需走采购流程，会及时进行项目调整，执行率100%。</w:t>
      </w:r>
    </w:p>
    <w:p w14:paraId="45EA0B42">
      <w:pPr>
        <w:spacing w:before="0" w:after="0" w:line="580" w:lineRule="exact"/>
        <w:ind w:firstLine="640"/>
        <w:rPr>
          <w:rFonts w:ascii="仿宋" w:hAnsi="仿宋" w:eastAsia="仿宋" w:cs="Times New Roman"/>
          <w:b w:val="0"/>
          <w:bCs/>
          <w:sz w:val="32"/>
          <w:szCs w:val="32"/>
          <w:lang w:val="zh-CN"/>
        </w:rPr>
      </w:pPr>
      <w:r>
        <w:rPr>
          <w:rFonts w:ascii="仿宋" w:hAnsi="仿宋" w:eastAsia="仿宋" w:cs="Times New Roman"/>
          <w:b w:val="0"/>
          <w:bCs/>
          <w:sz w:val="32"/>
          <w:szCs w:val="32"/>
          <w:lang w:val="en-US" w:eastAsia="zh-CN"/>
        </w:rPr>
        <w:t>3.</w:t>
      </w:r>
      <w:r>
        <w:rPr>
          <w:rFonts w:ascii="仿宋" w:hAnsi="仿宋" w:eastAsia="仿宋" w:cs="Times New Roman"/>
          <w:b w:val="0"/>
          <w:bCs/>
          <w:sz w:val="32"/>
          <w:szCs w:val="32"/>
          <w:lang w:val="zh-CN"/>
        </w:rPr>
        <w:t>目标实现。围绕目标完成、目标偏离、实现效果进行绩效分析。</w:t>
      </w:r>
    </w:p>
    <w:p w14:paraId="5E1A173B">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项目目标完成较高，也有项目目标偏离的情况。</w:t>
      </w:r>
    </w:p>
    <w:p w14:paraId="64723BBE">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zh-CN" w:eastAsia="zh-CN"/>
        </w:rPr>
        <w:t>重点领域</w:t>
      </w:r>
      <w:r>
        <w:rPr>
          <w:rFonts w:ascii="仿宋" w:hAnsi="仿宋" w:eastAsia="仿宋" w:cs="Times New Roman"/>
          <w:b w:val="0"/>
          <w:bCs/>
          <w:sz w:val="32"/>
          <w:szCs w:val="32"/>
          <w:lang w:val="zh-CN"/>
        </w:rPr>
        <w:t>绩效分析</w:t>
      </w:r>
      <w:r>
        <w:rPr>
          <w:rFonts w:ascii="仿宋" w:hAnsi="仿宋" w:eastAsia="仿宋" w:cs="Times New Roman"/>
          <w:b w:val="0"/>
          <w:bCs/>
          <w:sz w:val="32"/>
          <w:szCs w:val="32"/>
          <w:lang w:val="zh-CN" w:eastAsia="zh-CN"/>
        </w:rPr>
        <w:t>。</w:t>
      </w:r>
    </w:p>
    <w:p w14:paraId="43444289">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我乡202</w:t>
      </w:r>
      <w:r>
        <w:rPr>
          <w:rFonts w:hint="eastAsia" w:ascii="仿宋" w:hAnsi="仿宋" w:eastAsia="仿宋" w:cs="Times New Roman"/>
          <w:b w:val="0"/>
          <w:bCs/>
          <w:sz w:val="32"/>
          <w:szCs w:val="32"/>
          <w:lang w:val="en-US" w:eastAsia="zh-CN"/>
        </w:rPr>
        <w:t>5</w:t>
      </w:r>
      <w:r>
        <w:rPr>
          <w:rFonts w:ascii="仿宋" w:hAnsi="仿宋" w:eastAsia="仿宋" w:cs="Times New Roman"/>
          <w:b w:val="0"/>
          <w:bCs/>
          <w:sz w:val="32"/>
          <w:szCs w:val="32"/>
          <w:lang w:val="en-US" w:eastAsia="zh-CN"/>
        </w:rPr>
        <w:t>年度不</w:t>
      </w:r>
      <w:r>
        <w:rPr>
          <w:rFonts w:ascii="仿宋" w:hAnsi="仿宋" w:eastAsia="仿宋" w:cs="Times New Roman"/>
          <w:b w:val="0"/>
          <w:bCs/>
          <w:sz w:val="32"/>
          <w:szCs w:val="32"/>
        </w:rPr>
        <w:t>涉及国有资本、行政事业性国有资产、债券</w:t>
      </w:r>
      <w:r>
        <w:rPr>
          <w:rFonts w:ascii="仿宋" w:hAnsi="仿宋" w:eastAsia="仿宋" w:cs="Times New Roman"/>
          <w:b w:val="0"/>
          <w:bCs/>
          <w:sz w:val="32"/>
          <w:szCs w:val="32"/>
          <w:lang w:eastAsia="zh-CN"/>
        </w:rPr>
        <w:t>资金、</w:t>
      </w:r>
      <w:r>
        <w:rPr>
          <w:rFonts w:ascii="仿宋" w:hAnsi="仿宋" w:eastAsia="仿宋" w:cs="Times New Roman"/>
          <w:b w:val="0"/>
          <w:bCs/>
          <w:sz w:val="32"/>
          <w:szCs w:val="32"/>
          <w:lang w:val="en-US" w:eastAsia="zh-CN"/>
        </w:rPr>
        <w:t>政府采购和</w:t>
      </w:r>
      <w:r>
        <w:rPr>
          <w:rFonts w:ascii="仿宋" w:hAnsi="仿宋" w:eastAsia="仿宋" w:cs="Times New Roman"/>
          <w:b w:val="0"/>
          <w:bCs/>
          <w:sz w:val="32"/>
          <w:szCs w:val="32"/>
          <w:lang w:eastAsia="zh-CN"/>
        </w:rPr>
        <w:t>政府购买服务等重点领域。</w:t>
      </w:r>
    </w:p>
    <w:p w14:paraId="4E6DD163">
      <w:pPr>
        <w:spacing w:before="0" w:after="0" w:line="580" w:lineRule="exact"/>
        <w:ind w:firstLine="640"/>
        <w:rPr>
          <w:rFonts w:ascii="仿宋" w:hAnsi="仿宋" w:eastAsia="仿宋" w:cs="Times New Roman"/>
          <w:b w:val="0"/>
          <w:bCs/>
          <w:sz w:val="32"/>
          <w:szCs w:val="32"/>
          <w:lang w:val="zh-CN" w:eastAsia="zh-CN"/>
        </w:rPr>
      </w:pPr>
      <w:r>
        <w:rPr>
          <w:rFonts w:ascii="仿宋" w:hAnsi="仿宋" w:eastAsia="仿宋" w:cs="Times New Roman"/>
          <w:b w:val="0"/>
          <w:bCs/>
          <w:sz w:val="32"/>
          <w:szCs w:val="32"/>
          <w:lang w:val="zh-CN"/>
        </w:rPr>
        <w:t>绩效结果应用情况。</w:t>
      </w:r>
    </w:p>
    <w:p w14:paraId="67FCB1F9">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1.深化绩效评价工作，不断提高部门预算整体绩效目标管理水平。根据《中华人民共和国预算法》按时完成预决算编制。在执行过程中有方案进行资金申报、使用、完善资金管理及内部掌握制度，确保资金安全，做到账账、账证、账实相符。</w:t>
      </w:r>
    </w:p>
    <w:p w14:paraId="755DD9EB">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2.通过绩效自评建立机关厉行节约制度、节能降耗。我单位仔细执行中央八项规定，秉承开源节流的宗旨，严格管控</w:t>
      </w:r>
      <w:r>
        <w:rPr>
          <w:rFonts w:hint="eastAsia" w:ascii="仿宋" w:hAnsi="仿宋" w:eastAsia="仿宋" w:cs="Times New Roman"/>
          <w:b w:val="0"/>
          <w:bCs/>
          <w:sz w:val="32"/>
          <w:szCs w:val="32"/>
          <w:lang w:val="en-US" w:eastAsia="zh-CN"/>
        </w:rPr>
        <w:t>“三公”经费</w:t>
      </w:r>
      <w:r>
        <w:rPr>
          <w:rFonts w:ascii="仿宋" w:hAnsi="仿宋" w:eastAsia="仿宋" w:cs="Times New Roman"/>
          <w:b w:val="0"/>
          <w:bCs/>
          <w:sz w:val="32"/>
          <w:szCs w:val="32"/>
          <w:lang w:val="en-US" w:eastAsia="zh-CN"/>
        </w:rPr>
        <w:t>支出，厉行节约。</w:t>
      </w:r>
    </w:p>
    <w:p w14:paraId="386EE664">
      <w:pPr>
        <w:spacing w:before="0" w:after="0" w:line="580" w:lineRule="exact"/>
        <w:ind w:firstLine="640"/>
        <w:rPr>
          <w:rFonts w:ascii="仿宋" w:hAnsi="仿宋" w:eastAsia="仿宋" w:cs="Times New Roman"/>
          <w:b w:val="0"/>
          <w:bCs/>
          <w:sz w:val="32"/>
          <w:szCs w:val="32"/>
          <w:lang w:val="zh-CN" w:eastAsia="zh-CN"/>
        </w:rPr>
      </w:pPr>
      <w:r>
        <w:rPr>
          <w:rFonts w:ascii="仿宋" w:hAnsi="仿宋" w:eastAsia="仿宋" w:cs="Times New Roman"/>
          <w:b w:val="0"/>
          <w:bCs/>
          <w:sz w:val="32"/>
          <w:szCs w:val="32"/>
          <w:lang w:val="en-US" w:eastAsia="zh-CN"/>
        </w:rPr>
        <w:t>3.强化单位财务管理工作，提高资金使用效率。根据年初预算项目，在资金的管理上，严守法律底线、纪律底线，会计核算真实完整，项目资金支出和原定用途、预算批复用途相符，提高财政资金使用效率。严格执行机关财务管理制度，准时进行会计核算。</w:t>
      </w:r>
    </w:p>
    <w:p w14:paraId="43FFBC51">
      <w:pPr>
        <w:spacing w:before="0" w:after="0" w:line="580" w:lineRule="exact"/>
        <w:ind w:firstLine="640"/>
        <w:rPr>
          <w:rFonts w:ascii="仿宋" w:hAnsi="仿宋" w:eastAsia="仿宋" w:cs="Times New Roman"/>
          <w:b w:val="0"/>
          <w:bCs/>
          <w:sz w:val="32"/>
          <w:szCs w:val="32"/>
        </w:rPr>
      </w:pPr>
      <w:r>
        <w:rPr>
          <w:rFonts w:ascii="仿宋" w:hAnsi="仿宋" w:eastAsia="仿宋" w:cs="Times New Roman"/>
          <w:b w:val="0"/>
          <w:bCs/>
          <w:sz w:val="32"/>
          <w:szCs w:val="32"/>
          <w:lang w:eastAsia="zh-CN"/>
        </w:rPr>
        <w:t>四、</w:t>
      </w:r>
      <w:r>
        <w:rPr>
          <w:rFonts w:ascii="仿宋" w:hAnsi="仿宋" w:eastAsia="仿宋" w:cs="Times New Roman"/>
          <w:b w:val="0"/>
          <w:bCs/>
          <w:sz w:val="32"/>
          <w:szCs w:val="32"/>
        </w:rPr>
        <w:t>评价结论及建议</w:t>
      </w:r>
    </w:p>
    <w:p w14:paraId="45EBE847">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zh-CN"/>
        </w:rPr>
        <w:t>（一）评价结论。</w:t>
      </w:r>
      <w:r>
        <w:rPr>
          <w:rFonts w:ascii="仿宋" w:hAnsi="仿宋" w:eastAsia="仿宋" w:cs="Times New Roman"/>
          <w:b w:val="0"/>
          <w:bCs/>
          <w:sz w:val="32"/>
          <w:szCs w:val="32"/>
          <w:lang w:val="en-US" w:eastAsia="zh-CN"/>
        </w:rPr>
        <w:t>简要阐述部门预算绩效自评总体结论，其中必须包含自评得分。</w:t>
      </w:r>
    </w:p>
    <w:p w14:paraId="74D67B4A">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我单位202</w:t>
      </w:r>
      <w:r>
        <w:rPr>
          <w:rFonts w:hint="eastAsia" w:ascii="仿宋" w:hAnsi="仿宋" w:eastAsia="仿宋" w:cs="Times New Roman"/>
          <w:b w:val="0"/>
          <w:bCs/>
          <w:sz w:val="32"/>
          <w:szCs w:val="32"/>
          <w:lang w:val="en-US" w:eastAsia="zh-CN"/>
        </w:rPr>
        <w:t>5</w:t>
      </w:r>
      <w:r>
        <w:rPr>
          <w:rFonts w:ascii="仿宋" w:hAnsi="仿宋" w:eastAsia="仿宋" w:cs="Times New Roman"/>
          <w:b w:val="0"/>
          <w:bCs/>
          <w:sz w:val="32"/>
          <w:szCs w:val="32"/>
          <w:lang w:val="en-US" w:eastAsia="zh-CN"/>
        </w:rPr>
        <w:t>年度部门整体支出评分96分，预算安排准确性较为合理，严格按照资金拨付进度完成支付，绩效目标量化，各部门职能职责较为完善，管理制度健全，资金使用合规，财务监控有效，202</w:t>
      </w:r>
      <w:r>
        <w:rPr>
          <w:rFonts w:hint="eastAsia" w:ascii="仿宋" w:hAnsi="仿宋" w:eastAsia="仿宋" w:cs="Times New Roman"/>
          <w:b w:val="0"/>
          <w:bCs/>
          <w:sz w:val="32"/>
          <w:szCs w:val="32"/>
          <w:lang w:val="en-US" w:eastAsia="zh-CN"/>
        </w:rPr>
        <w:t>5</w:t>
      </w:r>
      <w:r>
        <w:rPr>
          <w:rFonts w:ascii="仿宋" w:hAnsi="仿宋" w:eastAsia="仿宋" w:cs="Times New Roman"/>
          <w:b w:val="0"/>
          <w:bCs/>
          <w:sz w:val="32"/>
          <w:szCs w:val="32"/>
          <w:lang w:val="en-US" w:eastAsia="zh-CN"/>
        </w:rPr>
        <w:t>年“三公”经费为5.9万元，均为公务用车运行维护费未超预算；202</w:t>
      </w:r>
      <w:r>
        <w:rPr>
          <w:rFonts w:hint="eastAsia" w:ascii="仿宋" w:hAnsi="仿宋" w:eastAsia="仿宋" w:cs="Times New Roman"/>
          <w:b w:val="0"/>
          <w:bCs/>
          <w:sz w:val="32"/>
          <w:szCs w:val="32"/>
          <w:lang w:val="en-US" w:eastAsia="zh-CN"/>
        </w:rPr>
        <w:t>5</w:t>
      </w:r>
      <w:r>
        <w:rPr>
          <w:rFonts w:ascii="仿宋" w:hAnsi="仿宋" w:eastAsia="仿宋" w:cs="Times New Roman"/>
          <w:b w:val="0"/>
          <w:bCs/>
          <w:sz w:val="32"/>
          <w:szCs w:val="32"/>
          <w:lang w:val="en-US" w:eastAsia="zh-CN"/>
        </w:rPr>
        <w:t>年固定资产原值370.5万元，固定资产累计折旧130.02万元，固定资产净值为240.51万元，固定资产在用率90%，我单位高度重视支出绩效评价，具体绩效评分详见附件2，我单位按财政要求及时完成预算、决算、绩效等信息公开工作。</w:t>
      </w:r>
    </w:p>
    <w:p w14:paraId="53CAD0AD">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zh-CN"/>
        </w:rPr>
        <w:t>存在问题。</w:t>
      </w:r>
      <w:r>
        <w:rPr>
          <w:rFonts w:ascii="仿宋" w:hAnsi="仿宋" w:eastAsia="仿宋" w:cs="Times New Roman"/>
          <w:b w:val="0"/>
          <w:bCs/>
          <w:sz w:val="32"/>
          <w:szCs w:val="32"/>
          <w:lang w:val="en-US" w:eastAsia="zh-CN"/>
        </w:rPr>
        <w:t>简要阐述部门预算绩效自评发现的主要问题。</w:t>
      </w:r>
    </w:p>
    <w:p w14:paraId="5ACB654E">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1.绩效评价业务水平有待提高。</w:t>
      </w:r>
    </w:p>
    <w:p w14:paraId="6F9CE91C">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2.预算编制欠缺合理性，政府采购超预算执行。</w:t>
      </w:r>
    </w:p>
    <w:p w14:paraId="666694A1">
      <w:pPr>
        <w:spacing w:before="0" w:after="0" w:line="580" w:lineRule="exact"/>
        <w:ind w:firstLine="640"/>
        <w:rPr>
          <w:rFonts w:ascii="仿宋" w:hAnsi="仿宋" w:eastAsia="仿宋" w:cs="Times New Roman"/>
          <w:b w:val="0"/>
          <w:bCs/>
          <w:sz w:val="32"/>
          <w:szCs w:val="32"/>
          <w:lang w:val="en-US" w:eastAsia="zh-CN"/>
        </w:rPr>
      </w:pPr>
      <w:r>
        <w:rPr>
          <w:rFonts w:ascii="仿宋" w:hAnsi="仿宋" w:eastAsia="仿宋" w:cs="Times New Roman"/>
          <w:b w:val="0"/>
          <w:bCs/>
          <w:sz w:val="32"/>
          <w:szCs w:val="32"/>
          <w:lang w:val="en-US" w:eastAsia="zh-CN"/>
        </w:rPr>
        <w:t>3.财务基础工作有待提高。</w:t>
      </w:r>
    </w:p>
    <w:p w14:paraId="198DC40C">
      <w:pPr>
        <w:spacing w:before="0" w:after="0" w:line="580" w:lineRule="exact"/>
        <w:ind w:firstLine="640"/>
        <w:rPr>
          <w:rFonts w:ascii="Times New Roman" w:hAnsi="Times New Roman" w:eastAsia="仿宋" w:cs="Times New Roman"/>
          <w:kern w:val="2"/>
          <w:sz w:val="32"/>
          <w:szCs w:val="32"/>
          <w:lang w:val="en-US" w:eastAsia="zh-CN" w:bidi="ar-SA"/>
        </w:rPr>
      </w:pPr>
      <w:r>
        <w:rPr>
          <w:rFonts w:ascii="仿宋" w:hAnsi="仿宋" w:eastAsia="仿宋" w:cs="Times New Roman"/>
          <w:b w:val="0"/>
          <w:bCs/>
          <w:sz w:val="32"/>
          <w:szCs w:val="32"/>
          <w:lang w:val="zh-CN" w:eastAsia="zh-CN"/>
        </w:rPr>
        <w:t>（三）改进建议。</w:t>
      </w:r>
      <w:r>
        <w:rPr>
          <w:rFonts w:ascii="仿宋" w:hAnsi="仿宋" w:eastAsia="仿宋" w:cs="Times New Roman"/>
          <w:b w:val="0"/>
          <w:bCs/>
          <w:sz w:val="32"/>
          <w:szCs w:val="32"/>
          <w:lang w:val="en-US" w:eastAsia="zh-CN"/>
        </w:rPr>
        <w:t>1.我单位在今后</w:t>
      </w:r>
      <w:r>
        <w:rPr>
          <w:rFonts w:ascii="Times New Roman" w:hAnsi="Times New Roman" w:eastAsia="仿宋" w:cs="Times New Roman"/>
          <w:kern w:val="2"/>
          <w:sz w:val="32"/>
          <w:szCs w:val="32"/>
          <w:lang w:val="en-US" w:eastAsia="zh-CN" w:bidi="ar-SA"/>
        </w:rPr>
        <w:t>的工作中将加强种植业、畜牧业等工作的推进，扎实做好农牧产业推进工作，按时完成资金拨付。加强绩效评价工作管理，建立健全绩效评价工作机制；加强学习，提高绩效评价业务水平，确保绩效评价工作按时保质保量完成。</w:t>
      </w:r>
    </w:p>
    <w:p w14:paraId="062B3694">
      <w:pPr>
        <w:pStyle w:val="36"/>
        <w:keepNext w:val="0"/>
        <w:keepLines w:val="0"/>
        <w:pageBreakBefore w:val="0"/>
        <w:numPr>
          <w:ilvl w:val="0"/>
          <w:numId w:val="0"/>
        </w:numPr>
        <w:kinsoku/>
        <w:overflowPunct w:val="0"/>
        <w:bidi w:val="0"/>
        <w:spacing w:before="0" w:after="0" w:line="560" w:lineRule="exact"/>
        <w:ind w:left="0" w:firstLine="640"/>
        <w:textAlignment w:val="auto"/>
        <w:rPr>
          <w:rFonts w:ascii="Times New Roman" w:hAnsi="Times New Roman" w:eastAsia="仿宋" w:cs="Times New Roman"/>
          <w:kern w:val="2"/>
          <w:sz w:val="32"/>
          <w:szCs w:val="32"/>
          <w:lang w:val="en-US" w:eastAsia="zh-CN" w:bidi="ar-SA"/>
        </w:rPr>
      </w:pPr>
      <w:r>
        <w:rPr>
          <w:rFonts w:ascii="Times New Roman" w:hAnsi="Times New Roman" w:eastAsia="仿宋" w:cs="Times New Roman"/>
          <w:kern w:val="2"/>
          <w:sz w:val="32"/>
          <w:szCs w:val="32"/>
          <w:lang w:val="en-US" w:eastAsia="zh-CN" w:bidi="ar-SA"/>
        </w:rPr>
        <w:t>2.</w:t>
      </w:r>
      <w:r>
        <w:rPr>
          <w:rFonts w:ascii="Times New Roman" w:hAnsi="Times New Roman" w:cs="Times New Roman"/>
          <w:kern w:val="2"/>
          <w:sz w:val="32"/>
          <w:szCs w:val="32"/>
          <w:lang w:val="en-US" w:eastAsia="zh-CN" w:bidi="ar-SA"/>
        </w:rPr>
        <w:t>提高预算编制合理性，加大预算管理力度</w:t>
      </w:r>
    </w:p>
    <w:p w14:paraId="0F7B8594">
      <w:pPr>
        <w:pStyle w:val="36"/>
        <w:keepNext w:val="0"/>
        <w:keepLines w:val="0"/>
        <w:pageBreakBefore w:val="0"/>
        <w:numPr>
          <w:ilvl w:val="0"/>
          <w:numId w:val="0"/>
        </w:numPr>
        <w:kinsoku/>
        <w:overflowPunct w:val="0"/>
        <w:bidi w:val="0"/>
        <w:spacing w:before="0" w:after="0" w:line="560" w:lineRule="exact"/>
        <w:ind w:left="0" w:firstLine="640"/>
        <w:textAlignment w:val="auto"/>
        <w:rPr>
          <w:rFonts w:ascii="Times New Roman" w:hAnsi="Times New Roman" w:eastAsia="仿宋" w:cs="Times New Roman"/>
          <w:kern w:val="2"/>
          <w:sz w:val="32"/>
          <w:szCs w:val="32"/>
          <w:lang w:val="en-US" w:eastAsia="zh-CN" w:bidi="ar-SA"/>
        </w:rPr>
      </w:pPr>
      <w:r>
        <w:rPr>
          <w:rFonts w:ascii="Times New Roman" w:hAnsi="Times New Roman" w:cs="Times New Roman"/>
          <w:kern w:val="2"/>
          <w:sz w:val="32"/>
          <w:szCs w:val="32"/>
          <w:lang w:val="en-US" w:eastAsia="zh-CN" w:bidi="ar-SA"/>
        </w:rPr>
        <w:t>（</w:t>
      </w:r>
      <w:r>
        <w:rPr>
          <w:rFonts w:ascii="Times New Roman" w:hAnsi="Times New Roman" w:eastAsia="仿宋" w:cs="Times New Roman"/>
          <w:kern w:val="2"/>
          <w:sz w:val="32"/>
          <w:szCs w:val="32"/>
          <w:lang w:val="en-US" w:eastAsia="zh-CN" w:bidi="ar-SA"/>
        </w:rPr>
        <w:t>1</w:t>
      </w:r>
      <w:r>
        <w:rPr>
          <w:rFonts w:ascii="Times New Roman" w:hAnsi="Times New Roman" w:cs="Times New Roman"/>
          <w:kern w:val="2"/>
          <w:sz w:val="32"/>
          <w:szCs w:val="32"/>
          <w:lang w:val="en-US" w:eastAsia="zh-CN" w:bidi="ar-SA"/>
        </w:rPr>
        <w:t>）加强对政府采购项目的管理，完善项目申报、立项、批复工作，若存在以前年度政府采购项目未实施情况，及时调整政府采购预算结构，别让预算成为一纸空谈。</w:t>
      </w:r>
    </w:p>
    <w:p w14:paraId="74ABB3EB">
      <w:pPr>
        <w:pStyle w:val="36"/>
        <w:keepNext w:val="0"/>
        <w:keepLines w:val="0"/>
        <w:pageBreakBefore w:val="0"/>
        <w:numPr>
          <w:ilvl w:val="0"/>
          <w:numId w:val="0"/>
        </w:numPr>
        <w:kinsoku/>
        <w:overflowPunct w:val="0"/>
        <w:bidi w:val="0"/>
        <w:spacing w:before="0" w:after="0" w:line="560" w:lineRule="exact"/>
        <w:ind w:left="0" w:firstLine="640"/>
        <w:textAlignment w:val="auto"/>
        <w:rPr>
          <w:rFonts w:ascii="Times New Roman" w:hAnsi="Times New Roman" w:eastAsia="仿宋" w:cs="Times New Roman"/>
          <w:kern w:val="2"/>
          <w:sz w:val="32"/>
          <w:szCs w:val="32"/>
          <w:lang w:val="en-US" w:eastAsia="zh-CN" w:bidi="ar-SA"/>
        </w:rPr>
      </w:pPr>
      <w:r>
        <w:rPr>
          <w:rFonts w:ascii="Times New Roman" w:hAnsi="Times New Roman" w:cs="Times New Roman"/>
          <w:kern w:val="2"/>
          <w:sz w:val="32"/>
          <w:szCs w:val="32"/>
          <w:lang w:val="en-US" w:eastAsia="zh-CN" w:bidi="ar-SA"/>
        </w:rPr>
        <w:t>（</w:t>
      </w:r>
      <w:r>
        <w:rPr>
          <w:rFonts w:ascii="Times New Roman" w:hAnsi="Times New Roman" w:eastAsia="仿宋" w:cs="Times New Roman"/>
          <w:kern w:val="2"/>
          <w:sz w:val="32"/>
          <w:szCs w:val="32"/>
          <w:lang w:val="en-US" w:eastAsia="zh-CN" w:bidi="ar-SA"/>
        </w:rPr>
        <w:t>2</w:t>
      </w:r>
      <w:r>
        <w:rPr>
          <w:rFonts w:ascii="Times New Roman" w:hAnsi="Times New Roman" w:cs="Times New Roman"/>
          <w:kern w:val="2"/>
          <w:sz w:val="32"/>
          <w:szCs w:val="32"/>
          <w:lang w:val="en-US" w:eastAsia="zh-CN" w:bidi="ar-SA"/>
        </w:rPr>
        <w:t>）严格预算执行，把各项费用控制在预算范围内，做到无预算，不支出，同时严格控制公用经费支出，保证业务工作正常开展的同时，加大对机构运行成本的控制力度。</w:t>
      </w:r>
    </w:p>
    <w:p w14:paraId="376B5B6A">
      <w:pPr>
        <w:pStyle w:val="36"/>
        <w:keepNext w:val="0"/>
        <w:keepLines w:val="0"/>
        <w:pageBreakBefore w:val="0"/>
        <w:numPr>
          <w:ilvl w:val="0"/>
          <w:numId w:val="0"/>
        </w:numPr>
        <w:kinsoku/>
        <w:overflowPunct w:val="0"/>
        <w:bidi w:val="0"/>
        <w:spacing w:before="0" w:after="0" w:line="560" w:lineRule="exact"/>
        <w:ind w:left="0" w:firstLine="640"/>
        <w:textAlignment w:val="auto"/>
        <w:rPr>
          <w:rFonts w:ascii="Times New Roman" w:hAnsi="Times New Roman" w:cs="Times New Roman"/>
          <w:color w:val="000000"/>
          <w:kern w:val="0"/>
          <w:szCs w:val="32"/>
          <w:highlight w:val="none"/>
          <w:shd w:val="clear" w:fill="FFFFFF"/>
          <w:lang w:val="en-US" w:eastAsia="zh-CN"/>
        </w:rPr>
      </w:pPr>
      <w:r>
        <w:rPr>
          <w:rFonts w:ascii="Times New Roman" w:hAnsi="Times New Roman" w:cs="Times New Roman"/>
          <w:kern w:val="2"/>
          <w:sz w:val="32"/>
          <w:szCs w:val="32"/>
          <w:lang w:val="en-US" w:eastAsia="zh-CN" w:bidi="ar-SA"/>
        </w:rPr>
        <w:t>（3）重视财务基础工作，降低财务风险，重视财务审核工作，明确记账岗、审核岗的职责范围。对原始凭证不齐全，不合规的报账行为，各级审批人员和财务人员应拒绝报账、入账。同时加强对付款单位、账户及发票的审核，务必做到合同对象、开票单位和付款对象完全一致，避免</w:t>
      </w:r>
      <w:r>
        <w:rPr>
          <w:rFonts w:ascii="Times New Roman" w:hAnsi="Times New Roman" w:eastAsia="Times New Roman" w:cs="Times New Roman"/>
          <w:kern w:val="2"/>
          <w:sz w:val="32"/>
          <w:szCs w:val="32"/>
          <w:lang w:val="en-US" w:eastAsia="zh-CN" w:bidi="ar-SA"/>
        </w:rPr>
        <w:t>“</w:t>
      </w:r>
      <w:r>
        <w:rPr>
          <w:rFonts w:ascii="Times New Roman" w:hAnsi="Times New Roman" w:cs="Times New Roman"/>
          <w:kern w:val="2"/>
          <w:sz w:val="32"/>
          <w:szCs w:val="32"/>
          <w:lang w:val="en-US" w:eastAsia="zh-CN" w:bidi="ar-SA"/>
        </w:rPr>
        <w:t>借户付款”“公款私付</w:t>
      </w:r>
      <w:r>
        <w:rPr>
          <w:rFonts w:ascii="Times New Roman" w:hAnsi="Times New Roman" w:eastAsia="Times New Roman" w:cs="Times New Roman"/>
          <w:kern w:val="2"/>
          <w:sz w:val="32"/>
          <w:szCs w:val="32"/>
          <w:lang w:val="en-US" w:eastAsia="zh-CN" w:bidi="ar-SA"/>
        </w:rPr>
        <w:t>”</w:t>
      </w:r>
      <w:r>
        <w:rPr>
          <w:rFonts w:ascii="Times New Roman" w:hAnsi="Times New Roman" w:cs="Times New Roman"/>
          <w:kern w:val="2"/>
          <w:sz w:val="32"/>
          <w:szCs w:val="32"/>
          <w:lang w:val="en-US" w:eastAsia="zh-CN" w:bidi="ar-SA"/>
        </w:rPr>
        <w:t>等现象，预防一切可能出现的风险。</w:t>
      </w:r>
    </w:p>
    <w:p w14:paraId="40ECA352">
      <w:pPr>
        <w:keepNext w:val="0"/>
        <w:keepLines w:val="0"/>
        <w:pageBreakBefore w:val="0"/>
        <w:kinsoku/>
        <w:overflowPunct/>
        <w:autoSpaceDE/>
        <w:bidi w:val="0"/>
        <w:spacing w:line="578" w:lineRule="exact"/>
        <w:textAlignment w:val="auto"/>
        <w:rPr>
          <w:rFonts w:ascii="Times New Roman" w:hAnsi="Times New Roman" w:eastAsia="仿宋" w:cs="Times New Roman"/>
          <w:kern w:val="2"/>
          <w:sz w:val="32"/>
          <w:szCs w:val="24"/>
          <w:highlight w:val="none"/>
          <w:lang w:val="en-US" w:eastAsia="zh-CN" w:bidi="ar-SA"/>
        </w:rPr>
      </w:pPr>
      <w:r>
        <w:rPr>
          <w:rFonts w:ascii="Times New Roman" w:hAnsi="Times New Roman" w:eastAsia="仿宋" w:cs="Times New Roman"/>
          <w:kern w:val="2"/>
          <w:sz w:val="32"/>
          <w:szCs w:val="24"/>
          <w:lang w:val="en-US" w:eastAsia="zh-CN" w:bidi="ar-SA"/>
        </w:rPr>
        <w:t>附表</w:t>
      </w:r>
    </w:p>
    <w:p w14:paraId="7451A6F0">
      <w:pPr>
        <w:pStyle w:val="13"/>
        <w:ind w:left="0" w:firstLine="0"/>
        <w:rPr>
          <w:rFonts w:ascii="Times New Roman" w:hAnsi="Times New Roman" w:eastAsia="黑体" w:cs="Times New Roman"/>
          <w:sz w:val="24"/>
          <w:szCs w:val="24"/>
          <w:highlight w:val="none"/>
          <w:lang w:val="en-US" w:eastAsia="zh-CN"/>
        </w:rPr>
      </w:pPr>
    </w:p>
    <w:p w14:paraId="3605253F">
      <w:pPr>
        <w:rPr>
          <w:rFonts w:ascii="黑体" w:hAnsi="黑体" w:eastAsia="黑体" w:cs="黑体"/>
          <w:color w:val="000000"/>
          <w:kern w:val="0"/>
          <w:sz w:val="32"/>
          <w:szCs w:val="32"/>
          <w:highlight w:val="none"/>
          <w:shd w:val="clear" w:fill="FFFFFF"/>
          <w:lang w:val="zh-CN" w:eastAsia="zh-CN"/>
        </w:rPr>
      </w:pPr>
    </w:p>
    <w:p w14:paraId="021352BC">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shd w:val="clear" w:fill="FFFFFF"/>
          <w:lang w:val="en-US" w:eastAsia="zh-CN"/>
        </w:rPr>
      </w:pPr>
    </w:p>
    <w:p w14:paraId="4F2363D9">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p>
    <w:p w14:paraId="23F942C7">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p>
    <w:p w14:paraId="45C9A6DC">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p>
    <w:p w14:paraId="3C1CA76A">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p>
    <w:p w14:paraId="63A71E57">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r>
        <w:rPr>
          <w:rFonts w:ascii="方正小标宋简体" w:hAnsi="方正小标宋简体" w:eastAsia="方正小标宋简体" w:cs="方正小标宋简体"/>
          <w:color w:val="000000"/>
          <w:kern w:val="2"/>
          <w:sz w:val="44"/>
          <w:szCs w:val="44"/>
          <w:lang w:val="en-US" w:eastAsia="zh-CN"/>
        </w:rPr>
        <w:t>专项预算项目绩效评价报告</w:t>
      </w:r>
    </w:p>
    <w:p w14:paraId="6DA2C7B3">
      <w:pPr>
        <w:pStyle w:val="37"/>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r>
        <w:rPr>
          <w:rFonts w:ascii="方正小标宋简体" w:hAnsi="方正小标宋简体" w:eastAsia="方正小标宋简体" w:cs="方正小标宋简体"/>
          <w:color w:val="000000"/>
          <w:kern w:val="2"/>
          <w:sz w:val="44"/>
          <w:szCs w:val="44"/>
          <w:lang w:val="en-US" w:eastAsia="zh-CN"/>
        </w:rPr>
        <w:t>（村干部工资）</w:t>
      </w:r>
    </w:p>
    <w:p w14:paraId="47CCDCBD">
      <w:pPr>
        <w:pStyle w:val="37"/>
        <w:keepNext w:val="0"/>
        <w:keepLines w:val="0"/>
        <w:pageBreakBefore w:val="0"/>
        <w:widowControl w:val="0"/>
        <w:kinsoku/>
        <w:overflowPunct/>
        <w:autoSpaceDE/>
        <w:bidi w:val="0"/>
        <w:spacing w:line="578" w:lineRule="exact"/>
        <w:ind w:left="0" w:firstLine="640"/>
        <w:jc w:val="center"/>
        <w:textAlignment w:val="auto"/>
        <w:rPr>
          <w:rFonts w:ascii="宋体" w:hAnsi="宋体" w:eastAsia="方正小标宋简体" w:cs="宋体"/>
          <w:color w:val="000000"/>
          <w:kern w:val="2"/>
          <w:sz w:val="32"/>
          <w:szCs w:val="32"/>
          <w:highlight w:val="none"/>
          <w:lang w:val="en-US" w:eastAsia="zh-CN"/>
        </w:rPr>
      </w:pPr>
    </w:p>
    <w:p w14:paraId="5AB268BE">
      <w:pPr>
        <w:keepNext w:val="0"/>
        <w:keepLines w:val="0"/>
        <w:pageBreakBefore w:val="0"/>
        <w:widowControl w:val="0"/>
        <w:kinsoku/>
        <w:overflowPunct/>
        <w:autoSpaceDE/>
        <w:bidi w:val="0"/>
        <w:snapToGrid w:val="0"/>
        <w:spacing w:line="578" w:lineRule="exact"/>
        <w:ind w:firstLine="420"/>
        <w:textAlignment w:val="auto"/>
        <w:rPr>
          <w:rFonts w:ascii="黑体" w:hAnsi="黑体" w:eastAsia="黑体" w:cs="宋体"/>
          <w:highlight w:val="none"/>
          <w:lang w:val="zh-CN"/>
        </w:rPr>
      </w:pPr>
      <w:r>
        <w:rPr>
          <w:rFonts w:ascii="黑体" w:hAnsi="黑体" w:eastAsia="黑体" w:cs="宋体"/>
        </w:rPr>
        <w:t>一、</w:t>
      </w:r>
      <w:r>
        <w:rPr>
          <w:rFonts w:ascii="黑体" w:hAnsi="黑体" w:eastAsia="黑体" w:cs="宋体"/>
          <w:lang w:val="zh-CN"/>
        </w:rPr>
        <w:t>项目概况</w:t>
      </w:r>
    </w:p>
    <w:p w14:paraId="38672C66">
      <w:pPr>
        <w:keepNext w:val="0"/>
        <w:keepLines w:val="0"/>
        <w:pageBreakBefore w:val="0"/>
        <w:widowControl/>
        <w:numPr>
          <w:ilvl w:val="0"/>
          <w:numId w:val="0"/>
        </w:numPr>
        <w:kinsoku/>
        <w:overflowPunct/>
        <w:autoSpaceDE/>
        <w:bidi w:val="0"/>
        <w:snapToGrid w:val="0"/>
        <w:spacing w:before="0" w:after="0" w:line="578" w:lineRule="exact"/>
        <w:ind w:left="0" w:firstLine="643"/>
        <w:contextualSpacing/>
        <w:jc w:val="left"/>
        <w:textAlignment w:val="auto"/>
        <w:rPr>
          <w:rFonts w:ascii="仿宋" w:hAnsi="仿宋" w:eastAsia="仿宋" w:cs="仿宋"/>
          <w:color w:val="000000"/>
          <w:kern w:val="0"/>
          <w:sz w:val="32"/>
          <w:szCs w:val="32"/>
          <w:highlight w:val="none"/>
          <w:u w:val="none"/>
          <w:shd w:val="clear" w:fill="FFFFFF"/>
          <w:lang w:val="zh-CN"/>
        </w:rPr>
      </w:pPr>
      <w:r>
        <w:rPr>
          <w:rFonts w:ascii="楷体_GB2312" w:hAnsi="楷体_GB2312" w:eastAsia="楷体_GB2312" w:cs="宋体"/>
          <w:b/>
          <w:color w:val="000000"/>
          <w:sz w:val="32"/>
          <w:szCs w:val="32"/>
          <w:u w:val="none"/>
          <w:lang w:val="zh-CN"/>
        </w:rPr>
        <w:t>（一）设立背景及基本情况。</w:t>
      </w:r>
      <w:r>
        <w:rPr>
          <w:rFonts w:ascii="仿宋" w:hAnsi="仿宋" w:cs="仿宋"/>
          <w:color w:val="000000"/>
          <w:kern w:val="0"/>
          <w:sz w:val="32"/>
          <w:szCs w:val="32"/>
          <w:u w:val="none"/>
          <w:shd w:val="clear" w:fill="FFFFFF"/>
          <w:lang w:val="en-US" w:eastAsia="zh-CN"/>
        </w:rPr>
        <w:t>根据全年工作目标任务，按照《阿坝州人民政府办公室</w:t>
      </w:r>
      <w:r>
        <w:rPr>
          <w:rFonts w:ascii="仿宋" w:hAnsi="仿宋" w:eastAsia="仿宋" w:cs="仿宋"/>
          <w:color w:val="000000"/>
          <w:kern w:val="0"/>
          <w:sz w:val="32"/>
          <w:szCs w:val="32"/>
          <w:u w:val="none"/>
          <w:shd w:val="clear" w:fill="FFFFFF"/>
          <w:lang w:val="en-US" w:eastAsia="zh-CN"/>
        </w:rPr>
        <w:t xml:space="preserve"> </w:t>
      </w:r>
      <w:r>
        <w:rPr>
          <w:rFonts w:ascii="仿宋" w:hAnsi="仿宋" w:cs="仿宋"/>
          <w:color w:val="000000"/>
          <w:kern w:val="0"/>
          <w:sz w:val="32"/>
          <w:szCs w:val="32"/>
          <w:u w:val="none"/>
          <w:shd w:val="clear" w:fill="FFFFFF"/>
          <w:lang w:val="en-US" w:eastAsia="zh-CN"/>
        </w:rPr>
        <w:t>关于调整村干部基本报酬补助标准的通知》（阿委办发〔2021〕28号）文件精神，全面推行村干部“基本报酬+考核绩效”报酬制度，村干部是基层干部中最主要的力量，为了确保村干部个人收入，维护村干部的合法权益，强化农村的管理和发展，妥善解决好农村基层干部的工资待遇，充分调动广大基层村干部工作的积极性，发挥村干部在社会主义新农村建设中的引领作用。</w:t>
      </w:r>
    </w:p>
    <w:p w14:paraId="6CA2F725">
      <w:pPr>
        <w:keepNext w:val="0"/>
        <w:keepLines w:val="0"/>
        <w:pageBreakBefore w:val="0"/>
        <w:kinsoku/>
        <w:overflowPunct/>
        <w:autoSpaceDE/>
        <w:bidi w:val="0"/>
        <w:snapToGrid w:val="0"/>
        <w:spacing w:line="578" w:lineRule="exact"/>
        <w:ind w:left="0" w:firstLine="643"/>
        <w:textAlignment w:val="auto"/>
        <w:rPr>
          <w:rFonts w:ascii="楷体_GB2312" w:hAnsi="楷体_GB2312" w:eastAsia="楷体_GB2312" w:cs="宋体"/>
          <w:b/>
          <w:color w:val="000000"/>
          <w:sz w:val="32"/>
          <w:szCs w:val="32"/>
          <w:highlight w:val="none"/>
          <w:u w:val="none"/>
          <w:lang w:val="zh-CN"/>
        </w:rPr>
      </w:pPr>
      <w:r>
        <w:rPr>
          <w:rFonts w:ascii="楷体_GB2312" w:hAnsi="楷体_GB2312" w:eastAsia="楷体_GB2312" w:cs="宋体"/>
          <w:b/>
          <w:color w:val="000000"/>
          <w:sz w:val="32"/>
          <w:szCs w:val="32"/>
          <w:u w:val="none"/>
          <w:lang w:val="zh-CN"/>
        </w:rPr>
        <w:t>（</w:t>
      </w:r>
      <w:r>
        <w:rPr>
          <w:rFonts w:ascii="楷体_GB2312" w:hAnsi="楷体_GB2312" w:eastAsia="楷体_GB2312" w:cs="Times New Roman"/>
          <w:b/>
          <w:color w:val="000000"/>
          <w:sz w:val="32"/>
          <w:szCs w:val="32"/>
          <w:u w:val="none"/>
          <w:lang w:val="zh-CN"/>
        </w:rPr>
        <w:t>二）</w:t>
      </w:r>
      <w:r>
        <w:rPr>
          <w:rFonts w:ascii="楷体_GB2312" w:hAnsi="楷体_GB2312" w:eastAsia="楷体_GB2312" w:cs="Times New Roman"/>
          <w:b/>
          <w:color w:val="000000"/>
          <w:sz w:val="32"/>
          <w:szCs w:val="32"/>
          <w:u w:val="none"/>
          <w:lang w:val="en-US" w:eastAsia="zh-CN"/>
        </w:rPr>
        <w:t>实施目的及支持方向。</w:t>
      </w:r>
      <w:r>
        <w:rPr>
          <w:rFonts w:ascii="仿宋" w:hAnsi="仿宋" w:cs="仿宋"/>
          <w:color w:val="000000"/>
          <w:kern w:val="0"/>
          <w:sz w:val="32"/>
          <w:szCs w:val="32"/>
          <w:u w:val="none"/>
          <w:shd w:val="clear" w:fill="FFFFFF"/>
          <w:lang w:val="en-US" w:eastAsia="zh-CN"/>
        </w:rPr>
        <w:t>保障我乡6个村，村干部的基本报酬，为落实村干部工资待遇的管理，逐步提高村干部报酬待遇，做到干有所酬，退有所养，不断激发村干部的工作热情，充分调动村干部的工作积极性、主动性和创造性，发挥村干部在社会主义新农村建设中的引领作用。</w:t>
      </w:r>
    </w:p>
    <w:p w14:paraId="0F01B2B4">
      <w:pPr>
        <w:keepNext w:val="0"/>
        <w:keepLines w:val="0"/>
        <w:pageBreakBefore w:val="0"/>
        <w:widowControl/>
        <w:numPr>
          <w:ilvl w:val="0"/>
          <w:numId w:val="0"/>
        </w:numPr>
        <w:kinsoku/>
        <w:overflowPunct/>
        <w:autoSpaceDE/>
        <w:bidi w:val="0"/>
        <w:snapToGrid w:val="0"/>
        <w:spacing w:before="0" w:after="0" w:line="578" w:lineRule="exact"/>
        <w:ind w:left="0" w:firstLine="643"/>
        <w:contextualSpacing/>
        <w:jc w:val="left"/>
        <w:textAlignment w:val="auto"/>
        <w:rPr>
          <w:rFonts w:ascii="仿宋" w:hAnsi="仿宋" w:cs="仿宋"/>
          <w:color w:val="000000"/>
          <w:kern w:val="0"/>
          <w:sz w:val="32"/>
          <w:szCs w:val="32"/>
          <w:highlight w:val="none"/>
          <w:u w:val="none"/>
          <w:shd w:val="clear" w:fill="FFFFFF"/>
          <w:lang w:val="zh-CN"/>
        </w:rPr>
      </w:pPr>
      <w:r>
        <w:rPr>
          <w:rFonts w:ascii="楷体_GB2312" w:hAnsi="楷体_GB2312" w:eastAsia="楷体_GB2312" w:cs="Times New Roman"/>
          <w:b/>
          <w:color w:val="000000"/>
          <w:sz w:val="32"/>
          <w:szCs w:val="32"/>
          <w:u w:val="none"/>
          <w:lang w:val="zh-CN" w:eastAsia="zh-CN"/>
        </w:rPr>
        <w:t>（三）</w:t>
      </w:r>
      <w:r>
        <w:rPr>
          <w:rFonts w:ascii="楷体_GB2312" w:hAnsi="楷体_GB2312" w:eastAsia="楷体_GB2312" w:cs="Times New Roman"/>
          <w:b/>
          <w:color w:val="000000"/>
          <w:sz w:val="32"/>
          <w:szCs w:val="32"/>
          <w:u w:val="none"/>
          <w:lang w:val="en-US" w:eastAsia="zh-CN"/>
        </w:rPr>
        <w:t>预算安排及分配管理</w:t>
      </w:r>
      <w:r>
        <w:rPr>
          <w:rFonts w:ascii="楷体_GB2312" w:hAnsi="楷体_GB2312" w:eastAsia="楷体_GB2312" w:cs="Times New Roman"/>
          <w:b/>
          <w:color w:val="000000"/>
          <w:sz w:val="32"/>
          <w:szCs w:val="32"/>
          <w:u w:val="none"/>
          <w:lang w:val="zh-CN" w:eastAsia="zh-CN"/>
        </w:rPr>
        <w:t>。</w:t>
      </w:r>
      <w:r>
        <w:rPr>
          <w:rFonts w:ascii="仿宋" w:hAnsi="仿宋" w:cs="仿宋"/>
          <w:color w:val="000000"/>
          <w:kern w:val="0"/>
          <w:sz w:val="32"/>
          <w:szCs w:val="32"/>
          <w:u w:val="none"/>
          <w:shd w:val="clear" w:fill="FFFFFF"/>
          <w:lang w:val="zh-CN" w:eastAsia="zh-CN"/>
        </w:rPr>
        <w:t>根据我乡村干部具体人数，以及村干部报酬标准测算。</w:t>
      </w:r>
    </w:p>
    <w:p w14:paraId="2B423367">
      <w:pPr>
        <w:keepNext w:val="0"/>
        <w:keepLines w:val="0"/>
        <w:pageBreakBefore w:val="0"/>
        <w:kinsoku/>
        <w:overflowPunct/>
        <w:autoSpaceDE/>
        <w:bidi w:val="0"/>
        <w:snapToGrid w:val="0"/>
        <w:spacing w:line="578" w:lineRule="exact"/>
        <w:ind w:left="0" w:firstLine="643"/>
        <w:textAlignment w:val="auto"/>
        <w:rPr>
          <w:rFonts w:ascii="仿宋" w:hAnsi="仿宋" w:cs="仿宋"/>
          <w:color w:val="000000"/>
          <w:kern w:val="0"/>
          <w:sz w:val="32"/>
          <w:szCs w:val="32"/>
          <w:highlight w:val="none"/>
          <w:u w:val="none"/>
          <w:shd w:val="clear" w:fill="FFFFFF"/>
          <w:lang w:val="zh-CN" w:eastAsia="zh-CN"/>
        </w:rPr>
      </w:pPr>
      <w:r>
        <w:rPr>
          <w:rFonts w:ascii="楷体_GB2312" w:hAnsi="楷体_GB2312" w:eastAsia="楷体_GB2312" w:cs="Times New Roman"/>
          <w:b/>
          <w:color w:val="000000"/>
          <w:sz w:val="32"/>
          <w:szCs w:val="32"/>
          <w:u w:val="none"/>
          <w:lang w:val="zh-CN" w:eastAsia="zh-CN"/>
        </w:rPr>
        <w:t>（四）项目绩效目标设置。</w:t>
      </w:r>
      <w:r>
        <w:rPr>
          <w:rFonts w:ascii="仿宋" w:hAnsi="仿宋" w:cs="仿宋"/>
          <w:color w:val="000000"/>
          <w:kern w:val="0"/>
          <w:sz w:val="32"/>
          <w:szCs w:val="32"/>
          <w:u w:val="none"/>
          <w:shd w:val="clear" w:fill="FFFFFF"/>
          <w:lang w:val="zh-CN" w:eastAsia="zh-CN"/>
        </w:rPr>
        <w:t>202</w:t>
      </w:r>
      <w:r>
        <w:rPr>
          <w:rFonts w:hint="eastAsia" w:ascii="仿宋" w:hAnsi="仿宋" w:cs="仿宋"/>
          <w:color w:val="000000"/>
          <w:kern w:val="0"/>
          <w:sz w:val="32"/>
          <w:szCs w:val="32"/>
          <w:u w:val="none"/>
          <w:shd w:val="clear" w:fill="FFFFFF"/>
          <w:lang w:val="en-US" w:eastAsia="zh-CN"/>
        </w:rPr>
        <w:t>5</w:t>
      </w:r>
      <w:r>
        <w:rPr>
          <w:rFonts w:ascii="仿宋" w:hAnsi="仿宋" w:cs="仿宋"/>
          <w:color w:val="000000"/>
          <w:kern w:val="0"/>
          <w:sz w:val="32"/>
          <w:szCs w:val="32"/>
          <w:u w:val="none"/>
          <w:shd w:val="clear" w:fill="FFFFFF"/>
          <w:lang w:val="zh-CN" w:eastAsia="zh-CN"/>
        </w:rPr>
        <w:t>年村干部工资、临岗及保险</w:t>
      </w:r>
      <w:r>
        <w:rPr>
          <w:rFonts w:ascii="仿宋" w:hAnsi="仿宋" w:cs="仿宋"/>
          <w:color w:val="000000"/>
          <w:kern w:val="0"/>
          <w:sz w:val="32"/>
          <w:szCs w:val="32"/>
          <w:u w:val="none"/>
          <w:shd w:val="clear" w:fill="FFFFFF"/>
          <w:lang w:val="en-US" w:eastAsia="zh-CN"/>
        </w:rPr>
        <w:t>105.25</w:t>
      </w:r>
      <w:r>
        <w:rPr>
          <w:rFonts w:ascii="仿宋" w:hAnsi="仿宋" w:cs="仿宋"/>
          <w:color w:val="000000"/>
          <w:kern w:val="0"/>
          <w:sz w:val="32"/>
          <w:szCs w:val="32"/>
          <w:u w:val="none"/>
          <w:shd w:val="clear" w:fill="FFFFFF"/>
          <w:lang w:val="zh-CN" w:eastAsia="zh-CN"/>
        </w:rPr>
        <w:t>万元。资金拨付进度100%。</w:t>
      </w:r>
    </w:p>
    <w:p w14:paraId="413A88FD">
      <w:pPr>
        <w:keepNext w:val="0"/>
        <w:keepLines w:val="0"/>
        <w:pageBreakBefore w:val="0"/>
        <w:widowControl/>
        <w:numPr>
          <w:ilvl w:val="0"/>
          <w:numId w:val="0"/>
        </w:numPr>
        <w:kinsoku/>
        <w:overflowPunct/>
        <w:autoSpaceDE/>
        <w:bidi w:val="0"/>
        <w:snapToGrid w:val="0"/>
        <w:spacing w:before="0" w:after="0" w:line="578" w:lineRule="exact"/>
        <w:ind w:left="0" w:firstLine="420"/>
        <w:contextualSpacing/>
        <w:jc w:val="left"/>
        <w:textAlignment w:val="auto"/>
        <w:rPr>
          <w:rFonts w:ascii="仿宋" w:hAnsi="仿宋" w:eastAsia="宋体" w:cs="仿宋"/>
          <w:color w:val="000000"/>
          <w:kern w:val="0"/>
          <w:sz w:val="32"/>
          <w:szCs w:val="32"/>
          <w:highlight w:val="none"/>
          <w:u w:val="none"/>
          <w:shd w:val="clear" w:fill="FFFFFF"/>
          <w:lang w:val="en-US" w:eastAsia="zh-CN"/>
        </w:rPr>
      </w:pPr>
      <w:r>
        <w:rPr>
          <w:rFonts w:ascii="黑体" w:hAnsi="黑体" w:eastAsia="黑体" w:cs="宋体"/>
        </w:rPr>
        <w:t>二、</w:t>
      </w:r>
      <w:r>
        <w:rPr>
          <w:rFonts w:ascii="黑体" w:hAnsi="黑体" w:eastAsia="黑体" w:cs="宋体"/>
          <w:lang w:eastAsia="zh-CN"/>
        </w:rPr>
        <w:t>评价实施</w:t>
      </w:r>
    </w:p>
    <w:p w14:paraId="07593C6A">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en-US" w:eastAsia="zh-CN"/>
        </w:rPr>
      </w:pPr>
      <w:r>
        <w:rPr>
          <w:rFonts w:ascii="仿宋" w:hAnsi="仿宋" w:cs="仿宋"/>
          <w:color w:val="000000"/>
          <w:kern w:val="0"/>
          <w:sz w:val="32"/>
          <w:szCs w:val="32"/>
          <w:u w:val="none"/>
          <w:shd w:val="clear" w:fill="FFFFFF"/>
          <w:lang w:val="zh-CN" w:eastAsia="zh-CN"/>
        </w:rPr>
        <w:t>（一）评价目的。</w:t>
      </w:r>
      <w:r>
        <w:rPr>
          <w:rFonts w:ascii="仿宋" w:hAnsi="仿宋" w:cs="仿宋"/>
          <w:color w:val="000000"/>
          <w:kern w:val="0"/>
          <w:sz w:val="32"/>
          <w:szCs w:val="32"/>
          <w:u w:val="none"/>
          <w:shd w:val="clear" w:fill="FFFFFF"/>
          <w:lang w:val="en-US" w:eastAsia="zh-CN"/>
        </w:rPr>
        <w:t>按时足额发放村干部工资待遇，做到了干有所酬，退有所养，激发出村干部的工作热情，充分调动了村干部的工作积极性、主动性和创造性。</w:t>
      </w:r>
    </w:p>
    <w:p w14:paraId="198D9584">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en-US" w:eastAsia="zh-CN"/>
        </w:rPr>
      </w:pPr>
      <w:r>
        <w:rPr>
          <w:rFonts w:ascii="仿宋" w:hAnsi="仿宋" w:cs="仿宋"/>
          <w:color w:val="000000"/>
          <w:kern w:val="0"/>
          <w:sz w:val="32"/>
          <w:szCs w:val="32"/>
          <w:u w:val="none"/>
          <w:shd w:val="clear" w:fill="FFFFFF"/>
          <w:lang w:val="zh-CN" w:eastAsia="zh-CN"/>
        </w:rPr>
        <w:t>（二）预设问题及评价重点。是否能按月足额发放，保障每一位村干部的</w:t>
      </w:r>
      <w:r>
        <w:rPr>
          <w:rFonts w:ascii="仿宋" w:hAnsi="仿宋" w:cs="仿宋"/>
          <w:color w:val="000000"/>
          <w:kern w:val="0"/>
          <w:sz w:val="32"/>
          <w:szCs w:val="32"/>
          <w:u w:val="none"/>
          <w:shd w:val="clear" w:fill="FFFFFF"/>
          <w:lang w:val="en-US" w:eastAsia="zh-CN"/>
        </w:rPr>
        <w:t>待遇</w:t>
      </w:r>
    </w:p>
    <w:p w14:paraId="71D455DB">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zh-CN" w:eastAsia="zh-CN"/>
        </w:rPr>
      </w:pPr>
      <w:r>
        <w:rPr>
          <w:rFonts w:ascii="仿宋" w:hAnsi="仿宋" w:cs="仿宋"/>
          <w:color w:val="000000"/>
          <w:kern w:val="0"/>
          <w:sz w:val="32"/>
          <w:szCs w:val="32"/>
          <w:u w:val="none"/>
          <w:shd w:val="clear" w:fill="FFFFFF"/>
          <w:lang w:val="zh-CN" w:eastAsia="zh-CN"/>
        </w:rPr>
        <w:t>（三）评价选点。项目绩效自评所抽样点位情况。</w:t>
      </w:r>
    </w:p>
    <w:p w14:paraId="5A8D59A9">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en-US" w:eastAsia="zh-CN"/>
        </w:rPr>
      </w:pPr>
      <w:r>
        <w:rPr>
          <w:rFonts w:ascii="仿宋" w:hAnsi="仿宋" w:cs="仿宋"/>
          <w:color w:val="000000"/>
          <w:kern w:val="0"/>
          <w:sz w:val="32"/>
          <w:szCs w:val="32"/>
          <w:u w:val="none"/>
          <w:shd w:val="clear" w:fill="FFFFFF"/>
          <w:lang w:val="zh-CN" w:eastAsia="zh-CN"/>
        </w:rPr>
        <w:t>（四）评价方法。</w:t>
      </w:r>
      <w:r>
        <w:rPr>
          <w:rFonts w:ascii="仿宋" w:hAnsi="仿宋" w:cs="仿宋"/>
          <w:color w:val="000000"/>
          <w:kern w:val="0"/>
          <w:sz w:val="32"/>
          <w:szCs w:val="32"/>
          <w:u w:val="none"/>
          <w:shd w:val="clear" w:fill="FFFFFF"/>
          <w:lang w:val="en-US" w:eastAsia="zh-CN"/>
        </w:rPr>
        <w:t>单位自评法。</w:t>
      </w:r>
    </w:p>
    <w:p w14:paraId="00EB126C">
      <w:pPr>
        <w:keepNext w:val="0"/>
        <w:keepLines w:val="0"/>
        <w:pageBreakBefore w:val="0"/>
        <w:widowControl w:val="0"/>
        <w:kinsoku/>
        <w:overflowPunct/>
        <w:autoSpaceDE/>
        <w:bidi w:val="0"/>
        <w:spacing w:line="578" w:lineRule="exact"/>
        <w:ind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楷体_GB2312" w:hAnsi="楷体_GB2312" w:eastAsia="楷体_GB2312" w:cs="宋体"/>
          <w:b/>
          <w:color w:val="000000"/>
          <w:sz w:val="32"/>
          <w:szCs w:val="32"/>
          <w:u w:val="none"/>
          <w:lang w:val="zh-CN"/>
        </w:rPr>
        <w:t>（五）评价组织。</w:t>
      </w:r>
      <w:r>
        <w:rPr>
          <w:rFonts w:hint="eastAsia" w:ascii="楷体_GB2312" w:hAnsi="楷体_GB2312" w:eastAsia="楷体_GB2312" w:cs="宋体"/>
          <w:b/>
          <w:color w:val="000000"/>
          <w:sz w:val="32"/>
          <w:szCs w:val="32"/>
          <w:u w:val="none"/>
          <w:lang w:val="zh-CN"/>
        </w:rPr>
        <w:t>村“两委”</w:t>
      </w:r>
      <w:r>
        <w:rPr>
          <w:rFonts w:ascii="仿宋" w:hAnsi="仿宋" w:eastAsia="仿宋" w:cs="仿宋"/>
          <w:b w:val="0"/>
          <w:bCs w:val="0"/>
          <w:kern w:val="0"/>
          <w:position w:val="0"/>
          <w:sz w:val="32"/>
          <w:szCs w:val="32"/>
          <w:vertAlign w:val="baseline"/>
          <w:lang w:val="en-US" w:eastAsia="zh-CN" w:bidi="ar-SA"/>
        </w:rPr>
        <w:t>通过开支部大会自评。</w:t>
      </w:r>
    </w:p>
    <w:p w14:paraId="39EDC27F">
      <w:pPr>
        <w:keepNext w:val="0"/>
        <w:keepLines w:val="0"/>
        <w:pageBreakBefore w:val="0"/>
        <w:kinsoku/>
        <w:overflowPunct/>
        <w:autoSpaceDE/>
        <w:bidi w:val="0"/>
        <w:snapToGrid w:val="0"/>
        <w:spacing w:line="578" w:lineRule="exact"/>
        <w:ind w:firstLine="640"/>
        <w:textAlignment w:val="auto"/>
        <w:rPr>
          <w:rFonts w:ascii="仿宋" w:hAnsi="仿宋" w:cs="宋体"/>
          <w:color w:val="000000"/>
          <w:sz w:val="32"/>
          <w:szCs w:val="32"/>
          <w:highlight w:val="none"/>
          <w:u w:val="none"/>
          <w:lang w:val="zh-CN"/>
        </w:rPr>
      </w:pPr>
      <w:r>
        <w:rPr>
          <w:rFonts w:ascii="黑体" w:hAnsi="黑体" w:eastAsia="黑体" w:cs="宋体"/>
          <w:color w:val="000000"/>
          <w:sz w:val="32"/>
          <w:szCs w:val="32"/>
          <w:u w:val="none"/>
        </w:rPr>
        <w:t>三、</w:t>
      </w:r>
      <w:r>
        <w:rPr>
          <w:rFonts w:ascii="黑体" w:hAnsi="黑体" w:eastAsia="黑体" w:cs="宋体"/>
          <w:color w:val="000000"/>
          <w:sz w:val="32"/>
          <w:szCs w:val="32"/>
          <w:u w:val="none"/>
          <w:lang w:eastAsia="zh-CN"/>
        </w:rPr>
        <w:t>绩效分析</w:t>
      </w:r>
      <w:r>
        <w:rPr>
          <w:rFonts w:ascii="仿宋" w:hAnsi="仿宋" w:cs="宋体"/>
          <w:color w:val="000000"/>
          <w:sz w:val="32"/>
          <w:szCs w:val="32"/>
          <w:u w:val="none"/>
          <w:lang w:val="zh-CN"/>
        </w:rPr>
        <w:tab/>
      </w:r>
    </w:p>
    <w:p w14:paraId="034C2BCF">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en-US" w:eastAsia="zh-CN"/>
        </w:rPr>
      </w:pPr>
      <w:r>
        <w:rPr>
          <w:rFonts w:ascii="仿宋" w:hAnsi="仿宋" w:cs="仿宋"/>
          <w:color w:val="000000"/>
          <w:kern w:val="0"/>
          <w:sz w:val="32"/>
          <w:szCs w:val="32"/>
          <w:u w:val="none"/>
          <w:shd w:val="clear" w:fill="FFFFFF"/>
          <w:lang w:val="zh-CN" w:eastAsia="zh-CN"/>
        </w:rPr>
        <w:t>（一）</w:t>
      </w:r>
      <w:r>
        <w:rPr>
          <w:rFonts w:ascii="仿宋" w:hAnsi="仿宋" w:cs="仿宋"/>
          <w:color w:val="000000"/>
          <w:kern w:val="0"/>
          <w:sz w:val="32"/>
          <w:szCs w:val="32"/>
          <w:u w:val="none"/>
          <w:shd w:val="clear" w:fill="FFFFFF"/>
          <w:lang w:val="en-US" w:eastAsia="zh-CN"/>
        </w:rPr>
        <w:t>通用指标</w:t>
      </w:r>
      <w:r>
        <w:rPr>
          <w:rFonts w:ascii="仿宋" w:hAnsi="仿宋" w:cs="仿宋"/>
          <w:color w:val="000000"/>
          <w:kern w:val="0"/>
          <w:sz w:val="32"/>
          <w:szCs w:val="32"/>
          <w:u w:val="none"/>
          <w:shd w:val="clear" w:fill="FFFFFF"/>
          <w:lang w:val="zh-CN" w:eastAsia="zh-CN"/>
        </w:rPr>
        <w:t>绩效分析。</w:t>
      </w:r>
    </w:p>
    <w:p w14:paraId="08CA5756">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1.项目决策。项目资金由村申请、乡申报、县审批进行申报。</w:t>
      </w:r>
    </w:p>
    <w:p w14:paraId="445C5218">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2.项目管理。资金开支范围为</w:t>
      </w:r>
      <w:r>
        <w:rPr>
          <w:rFonts w:ascii="仿宋" w:hAnsi="仿宋" w:cs="仿宋"/>
          <w:b w:val="0"/>
          <w:bCs w:val="0"/>
          <w:kern w:val="0"/>
          <w:position w:val="0"/>
          <w:sz w:val="32"/>
          <w:szCs w:val="32"/>
          <w:vertAlign w:val="baseline"/>
          <w:lang w:val="en-US" w:eastAsia="zh-CN" w:bidi="ar-SA"/>
        </w:rPr>
        <w:t>白羊乡</w:t>
      </w:r>
      <w:r>
        <w:rPr>
          <w:rFonts w:ascii="仿宋" w:hAnsi="仿宋" w:eastAsia="仿宋" w:cs="仿宋"/>
          <w:b w:val="0"/>
          <w:bCs w:val="0"/>
          <w:kern w:val="0"/>
          <w:position w:val="0"/>
          <w:sz w:val="32"/>
          <w:szCs w:val="32"/>
          <w:vertAlign w:val="baseline"/>
          <w:lang w:val="en-US" w:eastAsia="zh-CN" w:bidi="ar-SA"/>
        </w:rPr>
        <w:t>6个行政村村干部保险临岗，支付依据合规合法，资金支付与预算相符。</w:t>
      </w:r>
    </w:p>
    <w:p w14:paraId="37FF1276">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3.项目实施。足额发放，资金支付率达100%。</w:t>
      </w:r>
    </w:p>
    <w:p w14:paraId="7CC46812">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4.项目结果。按时足额发放村干部工资待遇，做到了干有所酬，退有所养，激发出村干部的工作热情，充分调动了村干部的工作积极性、主动性和创造性。</w:t>
      </w:r>
    </w:p>
    <w:p w14:paraId="7F812E0E">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zh-CN" w:eastAsia="zh-CN"/>
        </w:rPr>
      </w:pPr>
      <w:r>
        <w:rPr>
          <w:rFonts w:ascii="仿宋" w:hAnsi="仿宋" w:cs="仿宋"/>
          <w:color w:val="000000"/>
          <w:kern w:val="0"/>
          <w:sz w:val="32"/>
          <w:szCs w:val="32"/>
          <w:u w:val="none"/>
          <w:shd w:val="clear" w:fill="FFFFFF"/>
          <w:lang w:val="zh-CN" w:eastAsia="zh-CN"/>
        </w:rPr>
        <w:t>（二）</w:t>
      </w:r>
      <w:r>
        <w:rPr>
          <w:rFonts w:ascii="仿宋" w:hAnsi="仿宋" w:cs="仿宋"/>
          <w:color w:val="000000"/>
          <w:kern w:val="0"/>
          <w:sz w:val="32"/>
          <w:szCs w:val="32"/>
          <w:u w:val="none"/>
          <w:shd w:val="clear" w:fill="FFFFFF"/>
          <w:lang w:val="en-US" w:eastAsia="zh-CN"/>
        </w:rPr>
        <w:t>专用指标</w:t>
      </w:r>
      <w:r>
        <w:rPr>
          <w:rFonts w:ascii="仿宋" w:hAnsi="仿宋" w:cs="仿宋"/>
          <w:color w:val="000000"/>
          <w:kern w:val="0"/>
          <w:sz w:val="32"/>
          <w:szCs w:val="32"/>
          <w:u w:val="none"/>
          <w:shd w:val="clear" w:fill="FFFFFF"/>
          <w:lang w:val="zh-CN" w:eastAsia="zh-CN"/>
        </w:rPr>
        <w:t>绩效分析。</w:t>
      </w:r>
    </w:p>
    <w:p w14:paraId="5C07EAE4">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1.产业发展。村干部报酬属于保障民生，不涉及产业发展方面内容。</w:t>
      </w:r>
    </w:p>
    <w:p w14:paraId="7F7072C4">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2.</w:t>
      </w:r>
      <w:r>
        <w:rPr>
          <w:rFonts w:ascii="仿宋" w:hAnsi="仿宋" w:eastAsia="仿宋" w:cs="仿宋"/>
          <w:b w:val="0"/>
          <w:bCs w:val="0"/>
          <w:kern w:val="0"/>
          <w:position w:val="0"/>
          <w:sz w:val="32"/>
          <w:szCs w:val="32"/>
          <w:vertAlign w:val="baseline"/>
          <w:lang w:val="zh-CN" w:eastAsia="zh-CN" w:bidi="ar-SA"/>
        </w:rPr>
        <w:t>民生保障。</w:t>
      </w:r>
      <w:r>
        <w:rPr>
          <w:rFonts w:ascii="仿宋" w:hAnsi="仿宋" w:eastAsia="仿宋" w:cs="仿宋"/>
          <w:b w:val="0"/>
          <w:bCs w:val="0"/>
          <w:kern w:val="0"/>
          <w:position w:val="0"/>
          <w:sz w:val="32"/>
          <w:szCs w:val="32"/>
          <w:vertAlign w:val="baseline"/>
          <w:lang w:val="en-US" w:eastAsia="zh-CN" w:bidi="ar-SA"/>
        </w:rPr>
        <w:t>资金开支范围为</w:t>
      </w:r>
      <w:r>
        <w:rPr>
          <w:rFonts w:ascii="仿宋" w:hAnsi="仿宋" w:cs="仿宋"/>
          <w:b w:val="0"/>
          <w:bCs w:val="0"/>
          <w:kern w:val="0"/>
          <w:position w:val="0"/>
          <w:sz w:val="32"/>
          <w:szCs w:val="32"/>
          <w:vertAlign w:val="baseline"/>
          <w:lang w:val="en-US" w:eastAsia="zh-CN" w:bidi="ar-SA"/>
        </w:rPr>
        <w:t>白羊乡</w:t>
      </w:r>
      <w:r>
        <w:rPr>
          <w:rFonts w:ascii="仿宋" w:hAnsi="仿宋" w:eastAsia="仿宋" w:cs="仿宋"/>
          <w:b w:val="0"/>
          <w:bCs w:val="0"/>
          <w:kern w:val="0"/>
          <w:position w:val="0"/>
          <w:sz w:val="32"/>
          <w:szCs w:val="32"/>
          <w:vertAlign w:val="baseline"/>
          <w:lang w:val="en-US" w:eastAsia="zh-CN" w:bidi="ar-SA"/>
        </w:rPr>
        <w:t>6个行政村20</w:t>
      </w:r>
      <w:r>
        <w:rPr>
          <w:rFonts w:hint="eastAsia" w:ascii="仿宋" w:hAnsi="仿宋" w:eastAsia="仿宋" w:cs="仿宋"/>
          <w:b w:val="0"/>
          <w:bCs w:val="0"/>
          <w:kern w:val="0"/>
          <w:position w:val="0"/>
          <w:sz w:val="32"/>
          <w:szCs w:val="32"/>
          <w:vertAlign w:val="baseline"/>
          <w:lang w:val="en-US" w:eastAsia="zh-CN" w:bidi="ar-SA"/>
        </w:rPr>
        <w:t>25</w:t>
      </w:r>
      <w:r>
        <w:rPr>
          <w:rFonts w:ascii="仿宋" w:hAnsi="仿宋" w:eastAsia="仿宋" w:cs="仿宋"/>
          <w:b w:val="0"/>
          <w:bCs w:val="0"/>
          <w:kern w:val="0"/>
          <w:position w:val="0"/>
          <w:sz w:val="32"/>
          <w:szCs w:val="32"/>
          <w:vertAlign w:val="baseline"/>
          <w:lang w:val="en-US" w:eastAsia="zh-CN" w:bidi="ar-SA"/>
        </w:rPr>
        <w:t>年村干部工资保险及学历津贴，支付依据合规合法，资金支付与预算相符。村干部满意度高。</w:t>
      </w:r>
    </w:p>
    <w:p w14:paraId="3EDFFA69">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3.基础设施。村干部报酬属于保障民生，不涉及基础设施方面内容。</w:t>
      </w:r>
    </w:p>
    <w:p w14:paraId="242F4380">
      <w:pPr>
        <w:keepNext w:val="0"/>
        <w:keepLines w:val="0"/>
        <w:pageBreakBefore w:val="0"/>
        <w:widowControl w:val="0"/>
        <w:kinsoku/>
        <w:overflowPunct/>
        <w:autoSpaceDE/>
        <w:bidi w:val="0"/>
        <w:snapToGrid/>
        <w:spacing w:line="578" w:lineRule="exact"/>
        <w:ind w:left="0" w:firstLine="640"/>
        <w:textAlignment w:val="auto"/>
        <w:rPr>
          <w:rFonts w:ascii="仿宋" w:hAnsi="仿宋" w:eastAsia="仿宋" w:cs="仿宋"/>
          <w:b w:val="0"/>
          <w:bCs w:val="0"/>
          <w:kern w:val="0"/>
          <w:position w:val="0"/>
          <w:sz w:val="32"/>
          <w:szCs w:val="32"/>
          <w:highlight w:val="none"/>
          <w:vertAlign w:val="baseline"/>
          <w:lang w:val="zh-CN" w:eastAsia="zh-CN" w:bidi="ar-SA"/>
        </w:rPr>
      </w:pPr>
      <w:r>
        <w:rPr>
          <w:rFonts w:ascii="仿宋" w:hAnsi="仿宋" w:eastAsia="仿宋" w:cs="仿宋"/>
          <w:b w:val="0"/>
          <w:bCs w:val="0"/>
          <w:kern w:val="0"/>
          <w:position w:val="0"/>
          <w:sz w:val="32"/>
          <w:szCs w:val="32"/>
          <w:vertAlign w:val="baseline"/>
          <w:lang w:val="en-US" w:eastAsia="zh-CN" w:bidi="ar-SA"/>
        </w:rPr>
        <w:t>4.</w:t>
      </w:r>
      <w:r>
        <w:rPr>
          <w:rFonts w:ascii="仿宋" w:hAnsi="仿宋" w:eastAsia="仿宋" w:cs="仿宋"/>
          <w:b w:val="0"/>
          <w:bCs w:val="0"/>
          <w:kern w:val="0"/>
          <w:position w:val="0"/>
          <w:sz w:val="32"/>
          <w:szCs w:val="32"/>
          <w:vertAlign w:val="baseline"/>
          <w:lang w:val="zh-CN" w:eastAsia="zh-CN" w:bidi="ar-SA"/>
        </w:rPr>
        <w:t>行政运转。资金开支范围为</w:t>
      </w:r>
      <w:r>
        <w:rPr>
          <w:rFonts w:ascii="仿宋" w:hAnsi="仿宋" w:cs="仿宋"/>
          <w:b w:val="0"/>
          <w:bCs w:val="0"/>
          <w:kern w:val="0"/>
          <w:position w:val="0"/>
          <w:sz w:val="32"/>
          <w:szCs w:val="32"/>
          <w:vertAlign w:val="baseline"/>
          <w:lang w:val="en-US" w:eastAsia="zh-CN" w:bidi="ar-SA"/>
        </w:rPr>
        <w:t>白羊乡</w:t>
      </w:r>
      <w:r>
        <w:rPr>
          <w:rFonts w:ascii="仿宋" w:hAnsi="仿宋" w:eastAsia="仿宋" w:cs="仿宋"/>
          <w:b w:val="0"/>
          <w:bCs w:val="0"/>
          <w:kern w:val="0"/>
          <w:position w:val="0"/>
          <w:sz w:val="32"/>
          <w:szCs w:val="32"/>
          <w:vertAlign w:val="baseline"/>
          <w:lang w:val="en-US" w:eastAsia="zh-CN" w:bidi="ar-SA"/>
        </w:rPr>
        <w:t>6</w:t>
      </w:r>
      <w:r>
        <w:rPr>
          <w:rFonts w:ascii="仿宋" w:hAnsi="仿宋" w:eastAsia="仿宋" w:cs="仿宋"/>
          <w:b w:val="0"/>
          <w:bCs w:val="0"/>
          <w:kern w:val="0"/>
          <w:position w:val="0"/>
          <w:sz w:val="32"/>
          <w:szCs w:val="32"/>
          <w:vertAlign w:val="baseline"/>
          <w:lang w:val="zh-CN" w:eastAsia="zh-CN" w:bidi="ar-SA"/>
        </w:rPr>
        <w:t>个行政村202</w:t>
      </w:r>
      <w:r>
        <w:rPr>
          <w:rFonts w:hint="eastAsia" w:ascii="仿宋" w:hAnsi="仿宋" w:eastAsia="仿宋" w:cs="仿宋"/>
          <w:b w:val="0"/>
          <w:bCs w:val="0"/>
          <w:kern w:val="0"/>
          <w:position w:val="0"/>
          <w:sz w:val="32"/>
          <w:szCs w:val="32"/>
          <w:vertAlign w:val="baseline"/>
          <w:lang w:val="en-US" w:eastAsia="zh-CN" w:bidi="ar-SA"/>
        </w:rPr>
        <w:t>5</w:t>
      </w:r>
      <w:r>
        <w:rPr>
          <w:rFonts w:ascii="仿宋" w:hAnsi="仿宋" w:eastAsia="仿宋" w:cs="仿宋"/>
          <w:b w:val="0"/>
          <w:bCs w:val="0"/>
          <w:kern w:val="0"/>
          <w:position w:val="0"/>
          <w:sz w:val="32"/>
          <w:szCs w:val="32"/>
          <w:vertAlign w:val="baseline"/>
          <w:lang w:val="zh-CN" w:eastAsia="zh-CN" w:bidi="ar-SA"/>
        </w:rPr>
        <w:t>年村干部工资保险及学历津贴，支付依据合规合法，资金支付与预算相符。</w:t>
      </w:r>
    </w:p>
    <w:p w14:paraId="7B6F1ED5">
      <w:pPr>
        <w:keepNext w:val="0"/>
        <w:keepLines w:val="0"/>
        <w:pageBreakBefore w:val="0"/>
        <w:widowControl/>
        <w:numPr>
          <w:ilvl w:val="0"/>
          <w:numId w:val="0"/>
        </w:numPr>
        <w:kinsoku/>
        <w:overflowPunct/>
        <w:autoSpaceDE/>
        <w:bidi w:val="0"/>
        <w:snapToGrid w:val="0"/>
        <w:spacing w:before="0" w:after="0" w:line="578" w:lineRule="exact"/>
        <w:ind w:left="0" w:firstLine="640"/>
        <w:contextualSpacing/>
        <w:jc w:val="left"/>
        <w:textAlignment w:val="auto"/>
        <w:rPr>
          <w:rFonts w:ascii="仿宋" w:hAnsi="仿宋" w:eastAsia="宋体" w:cs="仿宋"/>
          <w:color w:val="000000"/>
          <w:kern w:val="0"/>
          <w:sz w:val="32"/>
          <w:szCs w:val="32"/>
          <w:highlight w:val="none"/>
          <w:u w:val="none"/>
          <w:shd w:val="clear" w:fill="FFFFFF"/>
          <w:lang w:val="zh-CN" w:eastAsia="zh-CN"/>
        </w:rPr>
      </w:pPr>
      <w:r>
        <w:rPr>
          <w:rFonts w:ascii="仿宋" w:hAnsi="仿宋" w:cs="仿宋"/>
          <w:color w:val="000000"/>
          <w:kern w:val="0"/>
          <w:sz w:val="32"/>
          <w:szCs w:val="32"/>
          <w:u w:val="none"/>
          <w:shd w:val="clear" w:fill="FFFFFF"/>
          <w:lang w:val="zh-CN" w:eastAsia="zh-CN"/>
        </w:rPr>
        <w:t>（三）</w:t>
      </w:r>
      <w:r>
        <w:rPr>
          <w:rFonts w:ascii="仿宋" w:hAnsi="仿宋" w:cs="仿宋"/>
          <w:color w:val="000000"/>
          <w:kern w:val="0"/>
          <w:sz w:val="32"/>
          <w:szCs w:val="32"/>
          <w:u w:val="none"/>
          <w:shd w:val="clear" w:fill="FFFFFF"/>
          <w:lang w:val="en-US" w:eastAsia="zh-CN"/>
        </w:rPr>
        <w:t>个性指标</w:t>
      </w:r>
      <w:r>
        <w:rPr>
          <w:rFonts w:ascii="仿宋" w:hAnsi="仿宋" w:cs="仿宋"/>
          <w:color w:val="000000"/>
          <w:kern w:val="0"/>
          <w:sz w:val="32"/>
          <w:szCs w:val="32"/>
          <w:u w:val="none"/>
          <w:shd w:val="clear" w:fill="FFFFFF"/>
          <w:lang w:val="zh-CN" w:eastAsia="zh-CN"/>
        </w:rPr>
        <w:t>绩效分析。</w:t>
      </w:r>
    </w:p>
    <w:p w14:paraId="4EB626EA">
      <w:pPr>
        <w:pStyle w:val="2"/>
        <w:bidi w:val="0"/>
        <w:ind w:firstLine="320"/>
        <w:jc w:val="left"/>
        <w:rPr>
          <w:rFonts w:ascii="Times New Roman" w:hAnsi="Times New Roman" w:eastAsia="仿宋" w:cs="Times New Roman"/>
          <w:b w:val="0"/>
          <w:color w:val="000000"/>
          <w:kern w:val="2"/>
          <w:sz w:val="32"/>
          <w:szCs w:val="32"/>
          <w:lang w:val="en-US" w:eastAsia="zh-CN" w:bidi="ar-SA"/>
        </w:rPr>
      </w:pPr>
      <w:r>
        <w:rPr>
          <w:rFonts w:ascii="Times New Roman" w:hAnsi="Times New Roman" w:eastAsia="仿宋" w:cs="Times New Roman"/>
          <w:b w:val="0"/>
          <w:color w:val="000000"/>
          <w:kern w:val="2"/>
          <w:sz w:val="32"/>
          <w:szCs w:val="32"/>
          <w:lang w:val="zh-CN" w:eastAsia="zh-CN" w:bidi="ar-SA"/>
        </w:rPr>
        <w:t>无</w:t>
      </w:r>
    </w:p>
    <w:p w14:paraId="7DF3DD22">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宋体"/>
          <w:color w:val="000000"/>
          <w:sz w:val="32"/>
          <w:szCs w:val="32"/>
          <w:highlight w:val="none"/>
          <w:u w:val="none"/>
        </w:rPr>
      </w:pPr>
      <w:r>
        <w:rPr>
          <w:rFonts w:ascii="黑体" w:hAnsi="黑体" w:eastAsia="黑体" w:cs="宋体"/>
          <w:color w:val="000000"/>
          <w:sz w:val="32"/>
          <w:szCs w:val="32"/>
          <w:u w:val="none"/>
          <w:lang w:eastAsia="zh-CN"/>
        </w:rPr>
        <w:t>四</w:t>
      </w:r>
      <w:r>
        <w:rPr>
          <w:rFonts w:ascii="黑体" w:hAnsi="黑体" w:eastAsia="黑体" w:cs="宋体"/>
          <w:color w:val="000000"/>
          <w:sz w:val="32"/>
          <w:szCs w:val="32"/>
          <w:u w:val="none"/>
        </w:rPr>
        <w:t>、评价结论</w:t>
      </w:r>
    </w:p>
    <w:p w14:paraId="12C21CAF">
      <w:pPr>
        <w:pStyle w:val="6"/>
        <w:pageBreakBefore w:val="0"/>
        <w:numPr>
          <w:ilvl w:val="0"/>
          <w:numId w:val="0"/>
        </w:numPr>
        <w:tabs>
          <w:tab w:val="left" w:pos="2160"/>
        </w:tabs>
        <w:kinsoku/>
        <w:overflowPunct/>
        <w:autoSpaceDE/>
        <w:bidi w:val="0"/>
        <w:spacing w:line="600" w:lineRule="exact"/>
        <w:ind w:left="0" w:firstLine="640"/>
        <w:textAlignment w:val="auto"/>
        <w:rPr>
          <w:rFonts w:ascii="仿宋" w:hAnsi="仿宋" w:eastAsia="宋体" w:cs="仿宋"/>
          <w:color w:val="000000"/>
          <w:kern w:val="0"/>
          <w:sz w:val="32"/>
          <w:szCs w:val="32"/>
          <w:highlight w:val="none"/>
          <w:u w:val="none"/>
          <w:shd w:val="clear" w:fill="FFFFFF"/>
          <w:lang w:val="en-US" w:eastAsia="zh-CN" w:bidi="ar-SA"/>
        </w:rPr>
      </w:pPr>
      <w:r>
        <w:rPr>
          <w:rFonts w:ascii="仿宋" w:hAnsi="仿宋" w:cs="仿宋"/>
          <w:color w:val="000000"/>
          <w:kern w:val="0"/>
          <w:sz w:val="32"/>
          <w:szCs w:val="32"/>
          <w:u w:val="none"/>
          <w:shd w:val="clear" w:fill="FFFFFF"/>
          <w:lang w:val="en-US" w:eastAsia="zh-CN" w:bidi="ar-SA"/>
        </w:rPr>
        <w:t>项目经费采取直接支付形式，由财政所，按工程进度严格按照项目资金管理办法对资金进行计划申请、划拨、使用，及时、规范对收支进行账务处理和会计核算。</w:t>
      </w:r>
    </w:p>
    <w:p w14:paraId="7654ACFA">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Times New Roman"/>
          <w:color w:val="000000"/>
          <w:sz w:val="32"/>
          <w:szCs w:val="32"/>
          <w:highlight w:val="none"/>
          <w:u w:val="none"/>
          <w:lang w:eastAsia="zh-CN"/>
        </w:rPr>
      </w:pPr>
      <w:r>
        <w:rPr>
          <w:rFonts w:ascii="黑体" w:hAnsi="黑体" w:cs="Times New Roman"/>
          <w:color w:val="000000"/>
          <w:sz w:val="32"/>
          <w:szCs w:val="32"/>
          <w:u w:val="none"/>
          <w:lang w:eastAsia="zh-CN"/>
        </w:rPr>
        <w:t>五、</w:t>
      </w:r>
      <w:r>
        <w:rPr>
          <w:rFonts w:ascii="黑体" w:hAnsi="黑体" w:eastAsia="黑体" w:cs="Times New Roman"/>
          <w:color w:val="000000"/>
          <w:sz w:val="32"/>
          <w:szCs w:val="32"/>
          <w:u w:val="none"/>
          <w:lang w:eastAsia="zh-CN"/>
        </w:rPr>
        <w:t>存在主要问题</w:t>
      </w:r>
    </w:p>
    <w:p w14:paraId="3F9C09C8">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cs="黑体"/>
          <w:b w:val="0"/>
          <w:bCs w:val="0"/>
          <w:kern w:val="2"/>
          <w:position w:val="0"/>
          <w:sz w:val="32"/>
          <w:szCs w:val="32"/>
          <w:highlight w:val="none"/>
          <w:vertAlign w:val="baseline"/>
          <w:lang w:val="en-US" w:eastAsia="zh-CN" w:bidi="ar-SA"/>
        </w:rPr>
      </w:pPr>
      <w:r>
        <w:rPr>
          <w:rFonts w:ascii="仿宋" w:hAnsi="仿宋" w:eastAsia="仿宋" w:cs="仿宋"/>
          <w:b w:val="0"/>
          <w:bCs w:val="0"/>
          <w:kern w:val="0"/>
          <w:position w:val="0"/>
          <w:sz w:val="32"/>
          <w:szCs w:val="32"/>
          <w:vertAlign w:val="baseline"/>
          <w:lang w:val="en-US" w:eastAsia="zh-CN" w:bidi="ar-SA"/>
        </w:rPr>
        <w:t>无</w:t>
      </w:r>
    </w:p>
    <w:p w14:paraId="4D21DFE6">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Times New Roman"/>
          <w:color w:val="000000"/>
          <w:kern w:val="0"/>
          <w:position w:val="3"/>
          <w:sz w:val="32"/>
          <w:szCs w:val="32"/>
          <w:highlight w:val="none"/>
          <w:u w:val="none"/>
          <w:lang w:val="zh-CN" w:eastAsia="zh-CN" w:bidi="ar-SA"/>
        </w:rPr>
      </w:pPr>
      <w:r>
        <w:rPr>
          <w:rFonts w:ascii="黑体" w:hAnsi="黑体" w:eastAsia="黑体" w:cs="Times New Roman"/>
          <w:color w:val="000000"/>
          <w:kern w:val="0"/>
          <w:position w:val="3"/>
          <w:sz w:val="32"/>
          <w:szCs w:val="32"/>
          <w:u w:val="none"/>
          <w:lang w:val="zh-CN" w:eastAsia="zh-CN" w:bidi="ar-SA"/>
        </w:rPr>
        <w:t>六、改进建议</w:t>
      </w:r>
    </w:p>
    <w:p w14:paraId="40B5B908">
      <w:pPr>
        <w:tabs>
          <w:tab w:val="left" w:pos="1911"/>
        </w:tabs>
        <w:jc w:val="left"/>
        <w:rPr>
          <w:rFonts w:ascii="仿宋" w:hAnsi="仿宋" w:eastAsia="仿宋" w:cs="仿宋"/>
          <w:b w:val="0"/>
          <w:bCs w:val="0"/>
          <w:kern w:val="0"/>
          <w:position w:val="0"/>
          <w:sz w:val="32"/>
          <w:szCs w:val="32"/>
          <w:highlight w:val="none"/>
          <w:vertAlign w:val="baseline"/>
          <w:lang w:val="en" w:eastAsia="zh-CN" w:bidi="ar-SA"/>
        </w:rPr>
      </w:pPr>
      <w:r>
        <w:rPr>
          <w:rFonts w:ascii="仿宋" w:hAnsi="仿宋" w:eastAsia="仿宋" w:cs="仿宋"/>
          <w:color w:val="000000"/>
          <w:kern w:val="0"/>
          <w:sz w:val="32"/>
          <w:szCs w:val="32"/>
          <w:u w:val="none"/>
          <w:shd w:val="clear" w:fill="FFFFFF"/>
          <w:lang w:val="zh-CN" w:eastAsia="zh-CN"/>
        </w:rPr>
        <w:t xml:space="preserve"> </w:t>
      </w:r>
      <w:r>
        <w:rPr>
          <w:rFonts w:ascii="仿宋" w:hAnsi="仿宋" w:eastAsia="仿宋" w:cs="仿宋"/>
          <w:b w:val="0"/>
          <w:bCs w:val="0"/>
          <w:kern w:val="0"/>
          <w:position w:val="0"/>
          <w:sz w:val="32"/>
          <w:szCs w:val="32"/>
          <w:vertAlign w:val="baseline"/>
          <w:lang w:val="en-US" w:eastAsia="zh-CN" w:bidi="ar-SA"/>
        </w:rPr>
        <w:t xml:space="preserve">   </w:t>
      </w:r>
      <w:r>
        <w:rPr>
          <w:rFonts w:ascii="仿宋" w:hAnsi="仿宋" w:cs="仿宋"/>
          <w:b w:val="0"/>
          <w:bCs w:val="0"/>
          <w:kern w:val="0"/>
          <w:position w:val="0"/>
          <w:sz w:val="32"/>
          <w:szCs w:val="32"/>
          <w:vertAlign w:val="baseline"/>
          <w:lang w:val="en-US" w:eastAsia="zh-CN" w:bidi="ar-SA"/>
        </w:rPr>
        <w:t>无</w:t>
      </w:r>
    </w:p>
    <w:p w14:paraId="132AD6D4">
      <w:pPr>
        <w:keepNext w:val="0"/>
        <w:keepLines w:val="0"/>
        <w:pageBreakBefore w:val="0"/>
        <w:kinsoku/>
        <w:overflowPunct/>
        <w:autoSpaceDE/>
        <w:bidi w:val="0"/>
        <w:snapToGrid w:val="0"/>
        <w:spacing w:line="578" w:lineRule="exact"/>
        <w:ind w:left="0" w:firstLine="420"/>
        <w:textAlignment w:val="auto"/>
        <w:rPr>
          <w:rFonts w:ascii="Times New Roman" w:hAnsi="Times New Roman" w:eastAsia="仿宋" w:cs="Times New Roman"/>
          <w:b w:val="0"/>
          <w:bCs w:val="0"/>
          <w:color w:val="000000"/>
          <w:kern w:val="0"/>
          <w:position w:val="0"/>
          <w:sz w:val="32"/>
          <w:szCs w:val="32"/>
          <w:highlight w:val="none"/>
          <w:shd w:val="clear" w:fill="FFFFFF"/>
          <w:vertAlign w:val="baseline"/>
          <w:lang w:val="zh-CN" w:eastAsia="zh-CN" w:bidi="ar-SA"/>
        </w:rPr>
      </w:pPr>
    </w:p>
    <w:p w14:paraId="1252D520">
      <w:pPr>
        <w:rPr>
          <w:rStyle w:val="24"/>
          <w:rFonts w:ascii="黑体" w:hAnsi="黑体" w:eastAsia="黑体" w:cs="黑体"/>
          <w:b w:val="0"/>
          <w:color w:val="000000"/>
          <w:sz w:val="44"/>
          <w:szCs w:val="44"/>
          <w:highlight w:val="none"/>
        </w:rPr>
      </w:pPr>
    </w:p>
    <w:p w14:paraId="55CE27C2">
      <w:pPr>
        <w:widowControl/>
        <w:jc w:val="center"/>
        <w:rPr>
          <w:rFonts w:ascii="仿宋" w:hAnsi="仿宋" w:eastAsia="仿宋" w:cs="仿宋"/>
          <w:b w:val="0"/>
          <w:color w:val="000000"/>
          <w:highlight w:val="none"/>
        </w:rPr>
      </w:pPr>
      <w:r>
        <w:rPr>
          <w:rFonts w:ascii="黑体" w:hAnsi="黑体" w:eastAsia="黑体" w:cs="黑体"/>
          <w:color w:val="000000"/>
          <w:sz w:val="44"/>
          <w:szCs w:val="44"/>
        </w:rPr>
        <w:t>第</w:t>
      </w:r>
      <w:r>
        <w:rPr>
          <w:rStyle w:val="24"/>
          <w:rFonts w:ascii="黑体" w:hAnsi="黑体" w:eastAsia="黑体" w:cs="黑体"/>
          <w:b w:val="0"/>
          <w:color w:val="000000"/>
        </w:rPr>
        <w:t>五部分 附表</w:t>
      </w:r>
    </w:p>
    <w:p w14:paraId="51C17AE0">
      <w:pPr>
        <w:pStyle w:val="4"/>
        <w:rPr>
          <w:rFonts w:ascii="仿宋" w:hAnsi="仿宋" w:eastAsia="仿宋" w:cs="仿宋"/>
          <w:color w:val="000000"/>
          <w:highlight w:val="none"/>
        </w:rPr>
      </w:pPr>
      <w:r>
        <w:rPr>
          <w:rFonts w:ascii="仿宋" w:hAnsi="仿宋" w:eastAsia="仿宋" w:cs="仿宋"/>
          <w:b w:val="0"/>
          <w:color w:val="000000"/>
        </w:rPr>
        <w:t>一、收</w:t>
      </w:r>
      <w:r>
        <w:rPr>
          <w:rStyle w:val="25"/>
          <w:rFonts w:ascii="仿宋" w:hAnsi="仿宋" w:eastAsia="仿宋" w:cs="仿宋"/>
          <w:b w:val="0"/>
          <w:bCs w:val="0"/>
          <w:color w:val="000000"/>
        </w:rPr>
        <w:t>入支出决算总表</w:t>
      </w:r>
    </w:p>
    <w:p w14:paraId="5D0E5AFE">
      <w:pPr>
        <w:pStyle w:val="4"/>
        <w:rPr>
          <w:rFonts w:ascii="仿宋" w:hAnsi="仿宋" w:eastAsia="仿宋" w:cs="仿宋"/>
          <w:color w:val="000000"/>
          <w:highlight w:val="none"/>
        </w:rPr>
      </w:pPr>
      <w:r>
        <w:rPr>
          <w:rFonts w:ascii="仿宋" w:hAnsi="仿宋" w:eastAsia="仿宋" w:cs="仿宋"/>
          <w:b w:val="0"/>
          <w:color w:val="000000"/>
        </w:rPr>
        <w:t>二、收</w:t>
      </w:r>
      <w:r>
        <w:rPr>
          <w:rStyle w:val="25"/>
          <w:rFonts w:ascii="仿宋" w:hAnsi="仿宋" w:eastAsia="仿宋" w:cs="仿宋"/>
          <w:b w:val="0"/>
          <w:bCs w:val="0"/>
          <w:color w:val="000000"/>
        </w:rPr>
        <w:t>入决算表</w:t>
      </w:r>
    </w:p>
    <w:p w14:paraId="28927498">
      <w:pPr>
        <w:pStyle w:val="4"/>
        <w:rPr>
          <w:rFonts w:ascii="仿宋" w:hAnsi="仿宋" w:eastAsia="仿宋" w:cs="仿宋"/>
          <w:color w:val="000000"/>
          <w:highlight w:val="none"/>
        </w:rPr>
      </w:pPr>
      <w:r>
        <w:rPr>
          <w:rStyle w:val="25"/>
          <w:rFonts w:ascii="仿宋" w:hAnsi="仿宋" w:eastAsia="仿宋" w:cs="仿宋"/>
          <w:b w:val="0"/>
          <w:bCs w:val="0"/>
          <w:color w:val="000000"/>
        </w:rPr>
        <w:t>三、</w:t>
      </w:r>
      <w:r>
        <w:rPr>
          <w:rFonts w:ascii="仿宋" w:hAnsi="仿宋" w:eastAsia="仿宋" w:cs="仿宋"/>
          <w:b w:val="0"/>
          <w:color w:val="000000"/>
        </w:rPr>
        <w:t>支</w:t>
      </w:r>
      <w:r>
        <w:rPr>
          <w:rStyle w:val="25"/>
          <w:rFonts w:ascii="仿宋" w:hAnsi="仿宋" w:eastAsia="仿宋" w:cs="仿宋"/>
          <w:b w:val="0"/>
          <w:bCs w:val="0"/>
          <w:color w:val="000000"/>
        </w:rPr>
        <w:t>出决算表</w:t>
      </w:r>
    </w:p>
    <w:p w14:paraId="13C6BD1A">
      <w:pPr>
        <w:pStyle w:val="4"/>
        <w:rPr>
          <w:rFonts w:ascii="仿宋" w:hAnsi="仿宋" w:eastAsia="仿宋" w:cs="仿宋"/>
          <w:b w:val="0"/>
          <w:color w:val="000000"/>
          <w:highlight w:val="none"/>
        </w:rPr>
      </w:pPr>
      <w:r>
        <w:rPr>
          <w:rStyle w:val="25"/>
          <w:rFonts w:ascii="仿宋" w:hAnsi="仿宋" w:eastAsia="仿宋" w:cs="仿宋"/>
          <w:b w:val="0"/>
          <w:bCs w:val="0"/>
          <w:color w:val="000000"/>
        </w:rPr>
        <w:t>四、</w:t>
      </w:r>
      <w:r>
        <w:rPr>
          <w:rFonts w:ascii="仿宋" w:hAnsi="仿宋" w:eastAsia="仿宋" w:cs="仿宋"/>
          <w:b w:val="0"/>
          <w:color w:val="000000"/>
        </w:rPr>
        <w:t>财</w:t>
      </w:r>
      <w:r>
        <w:rPr>
          <w:rStyle w:val="25"/>
          <w:rFonts w:ascii="仿宋" w:hAnsi="仿宋" w:eastAsia="仿宋" w:cs="仿宋"/>
          <w:b w:val="0"/>
          <w:bCs w:val="0"/>
          <w:color w:val="000000"/>
        </w:rPr>
        <w:t>政拨款收入支出决算总表</w:t>
      </w:r>
    </w:p>
    <w:p w14:paraId="3957BACD">
      <w:pPr>
        <w:pStyle w:val="4"/>
        <w:rPr>
          <w:rStyle w:val="25"/>
          <w:rFonts w:ascii="仿宋" w:hAnsi="仿宋" w:eastAsia="仿宋" w:cs="仿宋"/>
          <w:b w:val="0"/>
          <w:bCs w:val="0"/>
          <w:color w:val="000000"/>
          <w:highlight w:val="none"/>
        </w:rPr>
      </w:pPr>
      <w:r>
        <w:rPr>
          <w:rStyle w:val="25"/>
          <w:rFonts w:ascii="仿宋" w:hAnsi="仿宋" w:eastAsia="仿宋" w:cs="仿宋"/>
          <w:b w:val="0"/>
          <w:bCs w:val="0"/>
          <w:color w:val="000000"/>
        </w:rPr>
        <w:t>五、</w:t>
      </w:r>
      <w:r>
        <w:rPr>
          <w:rFonts w:ascii="仿宋" w:hAnsi="仿宋" w:eastAsia="仿宋" w:cs="仿宋"/>
          <w:b w:val="0"/>
          <w:color w:val="000000"/>
        </w:rPr>
        <w:t>财</w:t>
      </w:r>
      <w:r>
        <w:rPr>
          <w:rStyle w:val="25"/>
          <w:rFonts w:ascii="仿宋" w:hAnsi="仿宋" w:eastAsia="仿宋" w:cs="仿宋"/>
          <w:b w:val="0"/>
          <w:bCs w:val="0"/>
          <w:color w:val="000000"/>
        </w:rPr>
        <w:t>政拨款支出决算明细表</w:t>
      </w:r>
    </w:p>
    <w:p w14:paraId="2A778D99">
      <w:pPr>
        <w:pStyle w:val="4"/>
        <w:rPr>
          <w:rFonts w:ascii="仿宋" w:hAnsi="仿宋" w:eastAsia="仿宋" w:cs="仿宋"/>
          <w:color w:val="000000"/>
          <w:highlight w:val="none"/>
        </w:rPr>
      </w:pPr>
      <w:r>
        <w:rPr>
          <w:rStyle w:val="25"/>
          <w:rFonts w:ascii="仿宋" w:hAnsi="仿宋" w:eastAsia="仿宋" w:cs="仿宋"/>
          <w:b w:val="0"/>
          <w:bCs w:val="0"/>
          <w:color w:val="000000"/>
        </w:rPr>
        <w:t>六、</w:t>
      </w:r>
      <w:r>
        <w:rPr>
          <w:rFonts w:ascii="仿宋" w:hAnsi="仿宋" w:eastAsia="仿宋" w:cs="仿宋"/>
          <w:b w:val="0"/>
          <w:color w:val="000000"/>
        </w:rPr>
        <w:t>一</w:t>
      </w:r>
      <w:r>
        <w:rPr>
          <w:rStyle w:val="25"/>
          <w:rFonts w:ascii="仿宋" w:hAnsi="仿宋" w:eastAsia="仿宋" w:cs="仿宋"/>
          <w:b w:val="0"/>
          <w:bCs w:val="0"/>
          <w:color w:val="000000"/>
        </w:rPr>
        <w:t>般公共预算财政拨款支出决算表</w:t>
      </w:r>
    </w:p>
    <w:p w14:paraId="61B0B395">
      <w:pPr>
        <w:pStyle w:val="4"/>
        <w:rPr>
          <w:rFonts w:ascii="仿宋" w:hAnsi="仿宋" w:eastAsia="仿宋" w:cs="仿宋"/>
          <w:color w:val="000000"/>
          <w:highlight w:val="none"/>
        </w:rPr>
      </w:pPr>
      <w:r>
        <w:rPr>
          <w:rStyle w:val="25"/>
          <w:rFonts w:ascii="仿宋" w:hAnsi="仿宋" w:eastAsia="仿宋" w:cs="仿宋"/>
          <w:b w:val="0"/>
          <w:bCs w:val="0"/>
          <w:color w:val="000000"/>
        </w:rPr>
        <w:t>七、</w:t>
      </w:r>
      <w:r>
        <w:rPr>
          <w:rFonts w:ascii="仿宋" w:hAnsi="仿宋" w:eastAsia="仿宋" w:cs="仿宋"/>
          <w:b w:val="0"/>
          <w:color w:val="000000"/>
        </w:rPr>
        <w:t>一</w:t>
      </w:r>
      <w:r>
        <w:rPr>
          <w:rStyle w:val="25"/>
          <w:rFonts w:ascii="仿宋" w:hAnsi="仿宋" w:eastAsia="仿宋" w:cs="仿宋"/>
          <w:b w:val="0"/>
          <w:bCs w:val="0"/>
          <w:color w:val="000000"/>
        </w:rPr>
        <w:t>般公共预算财政拨款支出决算明细表</w:t>
      </w:r>
    </w:p>
    <w:p w14:paraId="1F42E6E5">
      <w:pPr>
        <w:pStyle w:val="4"/>
        <w:rPr>
          <w:rFonts w:ascii="仿宋" w:hAnsi="仿宋" w:eastAsia="仿宋" w:cs="仿宋"/>
          <w:color w:val="000000"/>
          <w:highlight w:val="none"/>
        </w:rPr>
      </w:pPr>
      <w:r>
        <w:rPr>
          <w:rStyle w:val="25"/>
          <w:rFonts w:ascii="仿宋" w:hAnsi="仿宋" w:eastAsia="仿宋" w:cs="仿宋"/>
          <w:b w:val="0"/>
          <w:bCs w:val="0"/>
          <w:color w:val="000000"/>
        </w:rPr>
        <w:t>八、</w:t>
      </w:r>
      <w:r>
        <w:rPr>
          <w:rFonts w:ascii="仿宋" w:hAnsi="仿宋" w:eastAsia="仿宋" w:cs="仿宋"/>
          <w:b w:val="0"/>
          <w:color w:val="000000"/>
        </w:rPr>
        <w:t>一</w:t>
      </w:r>
      <w:r>
        <w:rPr>
          <w:rStyle w:val="25"/>
          <w:rFonts w:ascii="仿宋" w:hAnsi="仿宋" w:eastAsia="仿宋" w:cs="仿宋"/>
          <w:b w:val="0"/>
          <w:bCs w:val="0"/>
          <w:color w:val="000000"/>
        </w:rPr>
        <w:t>般公共预算财政拨款基本支出决算表</w:t>
      </w:r>
    </w:p>
    <w:p w14:paraId="406E0333">
      <w:pPr>
        <w:pStyle w:val="4"/>
        <w:rPr>
          <w:rFonts w:ascii="仿宋" w:hAnsi="仿宋" w:eastAsia="仿宋" w:cs="仿宋"/>
          <w:color w:val="000000"/>
          <w:highlight w:val="none"/>
        </w:rPr>
      </w:pPr>
      <w:r>
        <w:rPr>
          <w:rStyle w:val="25"/>
          <w:rFonts w:ascii="仿宋" w:hAnsi="仿宋" w:eastAsia="仿宋" w:cs="仿宋"/>
          <w:b w:val="0"/>
          <w:bCs w:val="0"/>
          <w:color w:val="000000"/>
        </w:rPr>
        <w:t>九、</w:t>
      </w:r>
      <w:r>
        <w:rPr>
          <w:rFonts w:ascii="仿宋" w:hAnsi="仿宋" w:eastAsia="仿宋" w:cs="仿宋"/>
          <w:b w:val="0"/>
          <w:color w:val="000000"/>
        </w:rPr>
        <w:t>一</w:t>
      </w:r>
      <w:r>
        <w:rPr>
          <w:rStyle w:val="25"/>
          <w:rFonts w:ascii="仿宋" w:hAnsi="仿宋" w:eastAsia="仿宋" w:cs="仿宋"/>
          <w:b w:val="0"/>
          <w:bCs w:val="0"/>
          <w:color w:val="000000"/>
        </w:rPr>
        <w:t>般公共预算财政拨款项目支出决算表</w:t>
      </w:r>
    </w:p>
    <w:p w14:paraId="217CC987">
      <w:pPr>
        <w:pStyle w:val="4"/>
        <w:rPr>
          <w:rFonts w:ascii="仿宋" w:hAnsi="仿宋" w:eastAsia="仿宋" w:cs="仿宋"/>
          <w:color w:val="000000"/>
          <w:highlight w:val="none"/>
        </w:rPr>
      </w:pPr>
      <w:r>
        <w:rPr>
          <w:rStyle w:val="25"/>
          <w:rFonts w:ascii="仿宋" w:hAnsi="仿宋" w:eastAsia="仿宋" w:cs="仿宋"/>
          <w:b w:val="0"/>
          <w:bCs w:val="0"/>
          <w:color w:val="000000"/>
        </w:rPr>
        <w:t>十、</w:t>
      </w:r>
      <w:r>
        <w:rPr>
          <w:rFonts w:ascii="仿宋" w:hAnsi="仿宋" w:eastAsia="仿宋" w:cs="仿宋"/>
          <w:b w:val="0"/>
          <w:color w:val="000000"/>
        </w:rPr>
        <w:t>政</w:t>
      </w:r>
      <w:r>
        <w:rPr>
          <w:rStyle w:val="25"/>
          <w:rFonts w:ascii="仿宋" w:hAnsi="仿宋" w:eastAsia="仿宋" w:cs="仿宋"/>
          <w:b w:val="0"/>
          <w:bCs w:val="0"/>
          <w:color w:val="000000"/>
        </w:rPr>
        <w:t>府性基金预算财政拨款收入支出决算表</w:t>
      </w:r>
    </w:p>
    <w:p w14:paraId="3607B084">
      <w:pPr>
        <w:pStyle w:val="4"/>
        <w:rPr>
          <w:rFonts w:ascii="仿宋" w:hAnsi="仿宋" w:eastAsia="仿宋" w:cs="仿宋"/>
          <w:color w:val="000000"/>
          <w:highlight w:val="none"/>
        </w:rPr>
      </w:pPr>
      <w:r>
        <w:rPr>
          <w:rStyle w:val="25"/>
          <w:rFonts w:ascii="仿宋" w:hAnsi="仿宋" w:eastAsia="仿宋" w:cs="仿宋"/>
          <w:b w:val="0"/>
          <w:bCs w:val="0"/>
          <w:color w:val="000000"/>
        </w:rPr>
        <w:t>十一、</w:t>
      </w:r>
      <w:r>
        <w:rPr>
          <w:rFonts w:ascii="仿宋" w:hAnsi="仿宋" w:eastAsia="仿宋" w:cs="仿宋"/>
          <w:b w:val="0"/>
          <w:color w:val="000000"/>
        </w:rPr>
        <w:t>国</w:t>
      </w:r>
      <w:r>
        <w:rPr>
          <w:rStyle w:val="25"/>
          <w:rFonts w:ascii="仿宋" w:hAnsi="仿宋" w:eastAsia="仿宋" w:cs="仿宋"/>
          <w:b w:val="0"/>
          <w:bCs w:val="0"/>
          <w:color w:val="000000"/>
        </w:rPr>
        <w:t>有资本经营预算</w:t>
      </w:r>
      <w:r>
        <w:rPr>
          <w:rStyle w:val="25"/>
          <w:rFonts w:ascii="仿宋" w:hAnsi="仿宋" w:eastAsia="仿宋" w:cs="仿宋"/>
          <w:b w:val="0"/>
          <w:bCs w:val="0"/>
          <w:color w:val="000000"/>
          <w:lang w:eastAsia="zh-CN"/>
        </w:rPr>
        <w:t>财政拨款收入</w:t>
      </w:r>
      <w:r>
        <w:rPr>
          <w:rStyle w:val="25"/>
          <w:rFonts w:ascii="仿宋" w:hAnsi="仿宋" w:eastAsia="仿宋" w:cs="仿宋"/>
          <w:b w:val="0"/>
          <w:bCs w:val="0"/>
          <w:color w:val="000000"/>
        </w:rPr>
        <w:t>支出决算表</w:t>
      </w:r>
    </w:p>
    <w:p w14:paraId="07ED3EC7">
      <w:pPr>
        <w:pStyle w:val="4"/>
        <w:rPr>
          <w:rFonts w:ascii="仿宋" w:hAnsi="仿宋" w:eastAsia="仿宋" w:cs="仿宋"/>
          <w:color w:val="000000"/>
          <w:highlight w:val="none"/>
        </w:rPr>
      </w:pPr>
      <w:r>
        <w:rPr>
          <w:rStyle w:val="25"/>
          <w:rFonts w:ascii="仿宋" w:hAnsi="仿宋" w:eastAsia="仿宋" w:cs="仿宋"/>
          <w:b w:val="0"/>
          <w:bCs w:val="0"/>
          <w:color w:val="000000"/>
        </w:rPr>
        <w:t>十二、</w:t>
      </w:r>
      <w:r>
        <w:rPr>
          <w:rStyle w:val="25"/>
          <w:rFonts w:ascii="仿宋" w:hAnsi="仿宋" w:eastAsia="仿宋" w:cs="仿宋"/>
          <w:b w:val="0"/>
          <w:bCs w:val="0"/>
          <w:color w:val="000000"/>
          <w:lang w:eastAsia="zh-CN"/>
        </w:rPr>
        <w:t>国有资本经营预算财政拨款支出决算表</w:t>
      </w:r>
    </w:p>
    <w:p w14:paraId="35D6E51D">
      <w:pPr>
        <w:pStyle w:val="4"/>
        <w:rPr>
          <w:rStyle w:val="25"/>
          <w:rFonts w:ascii="仿宋" w:hAnsi="仿宋" w:eastAsia="仿宋" w:cs="仿宋"/>
          <w:b w:val="0"/>
          <w:bCs w:val="0"/>
          <w:color w:val="000000"/>
          <w:highlight w:val="none"/>
          <w:lang w:eastAsia="zh-CN"/>
        </w:rPr>
      </w:pPr>
      <w:r>
        <w:rPr>
          <w:rStyle w:val="25"/>
          <w:rFonts w:ascii="仿宋" w:hAnsi="仿宋" w:eastAsia="仿宋" w:cs="仿宋"/>
          <w:b w:val="0"/>
          <w:bCs w:val="0"/>
          <w:color w:val="000000"/>
        </w:rPr>
        <w:t>十三、</w:t>
      </w:r>
      <w:r>
        <w:rPr>
          <w:rStyle w:val="25"/>
          <w:rFonts w:ascii="仿宋" w:hAnsi="仿宋" w:eastAsia="仿宋" w:cs="仿宋"/>
          <w:b w:val="0"/>
          <w:bCs w:val="0"/>
          <w:color w:val="000000"/>
          <w:lang w:eastAsia="zh-CN"/>
        </w:rPr>
        <w:t>财政拨款“三公”经费支出决算表</w:t>
      </w:r>
    </w:p>
    <w:p w14:paraId="383501EB">
      <w:pPr>
        <w:rPr>
          <w:rStyle w:val="25"/>
          <w:rFonts w:ascii="仿宋" w:hAnsi="仿宋" w:eastAsia="仿宋" w:cs="仿宋"/>
          <w:b w:val="0"/>
          <w:bCs w:val="0"/>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562DB3-A565-49BB-B91A-813AF1F207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2" w:fontKey="{A5B1166F-2201-417D-BC8E-2329B76C1EA4}"/>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3" w:fontKey="{70F98421-5560-468F-8D2A-B346B2A62E0F}"/>
  </w:font>
  <w:font w:name="Noto Serif CJK SC">
    <w:altName w:val="宋体"/>
    <w:panose1 w:val="00000000000000000000"/>
    <w:charset w:val="86"/>
    <w:family w:val="auto"/>
    <w:pitch w:val="default"/>
    <w:sig w:usb0="00000000" w:usb1="00000000" w:usb2="00000000" w:usb3="00000000" w:csb0="00000000" w:csb1="00000000"/>
    <w:embedRegular r:id="rId4" w:fontKey="{5738299C-5D2D-4BC0-AE87-EC5282906176}"/>
  </w:font>
  <w:font w:name="Cambria">
    <w:panose1 w:val="02040503050406030204"/>
    <w:charset w:val="00"/>
    <w:family w:val="roman"/>
    <w:pitch w:val="default"/>
    <w:sig w:usb0="E00006FF" w:usb1="420024FF" w:usb2="02000000" w:usb3="00000000" w:csb0="2000019F" w:csb1="00000000"/>
    <w:embedRegular r:id="rId5" w:fontKey="{F5D13B89-8AF5-462B-9DA9-03BB249D112E}"/>
  </w:font>
  <w:font w:name="仿宋">
    <w:panose1 w:val="02010609060101010101"/>
    <w:charset w:val="86"/>
    <w:family w:val="modern"/>
    <w:pitch w:val="default"/>
    <w:sig w:usb0="800002BF" w:usb1="38CF7CFA" w:usb2="00000016" w:usb3="00000000" w:csb0="00040001" w:csb1="00000000"/>
    <w:embedRegular r:id="rId6" w:fontKey="{0BFFED01-0869-4541-B1C0-13D56F115919}"/>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FFont-Family"/>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7" w:fontKey="{8B190E33-5E6F-47A8-88A2-19D354A41CB6}"/>
  </w:font>
  <w:font w:name="华文中宋;宋体">
    <w:altName w:val="宋体"/>
    <w:panose1 w:val="00000000000000000000"/>
    <w:charset w:val="00"/>
    <w:family w:val="auto"/>
    <w:pitch w:val="default"/>
    <w:sig w:usb0="00000000" w:usb1="00000000" w:usb2="00000000" w:usb3="00000000" w:csb0="00000000" w:csb1="00000000"/>
    <w:embedRegular r:id="rId8" w:fontKey="{859DB538-9B94-4F2C-B0E5-AB462AFB188E}"/>
  </w:font>
  <w:font w:name="楷体_GB2312">
    <w:panose1 w:val="02010609030101010101"/>
    <w:charset w:val="86"/>
    <w:family w:val="auto"/>
    <w:pitch w:val="default"/>
    <w:sig w:usb0="00000001" w:usb1="080E0000" w:usb2="00000000" w:usb3="00000000" w:csb0="00040000" w:csb1="00000000"/>
    <w:embedRegular r:id="rId9" w:fontKey="{E63157F0-65AD-4BA3-A9F2-3A86AC09FAF6}"/>
  </w:font>
  <w:font w:name="楷体">
    <w:panose1 w:val="02010609060101010101"/>
    <w:charset w:val="86"/>
    <w:family w:val="modern"/>
    <w:pitch w:val="default"/>
    <w:sig w:usb0="800002BF" w:usb1="38CF7CFA" w:usb2="00000016" w:usb3="00000000" w:csb0="00040001" w:csb1="00000000"/>
    <w:embedRegular r:id="rId10" w:fontKey="{16CEF6FD-E636-46A3-8C34-8E8F3C8D64D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decimal"/>
      <w:lvlText w:val="%1."/>
      <w:lvlJc w:val="left"/>
      <w:pPr>
        <w:tabs>
          <w:tab w:val="left" w:pos="420"/>
        </w:tabs>
        <w:ind w:left="0" w:firstLine="0"/>
      </w:pPr>
    </w:lvl>
  </w:abstractNum>
  <w:abstractNum w:abstractNumId="1">
    <w:nsid w:val="BF205925"/>
    <w:multiLevelType w:val="multilevel"/>
    <w:tmpl w:val="BF205925"/>
    <w:lvl w:ilvl="0" w:tentative="0">
      <w:start w:val="1"/>
      <w:numFmt w:val="chineseCountingThousand"/>
      <w:lvlText w:val="%1、"/>
      <w:lvlJc w:val="left"/>
      <w:pPr>
        <w:tabs>
          <w:tab w:val="left" w:pos="0"/>
        </w:tabs>
        <w:ind w:left="1360" w:hanging="720"/>
      </w:pPr>
      <w:rPr>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2">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3">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03D62ECE"/>
    <w:multiLevelType w:val="singleLevel"/>
    <w:tmpl w:val="03D62ECE"/>
    <w:lvl w:ilvl="0" w:tentative="0">
      <w:start w:val="5"/>
      <w:numFmt w:val="decimal"/>
      <w:lvlText w:val="%1."/>
      <w:lvlJc w:val="left"/>
      <w:pPr>
        <w:tabs>
          <w:tab w:val="left" w:pos="420"/>
        </w:tabs>
        <w:ind w:left="0" w:firstLine="0"/>
      </w:pPr>
    </w:lvl>
  </w:abstractNum>
  <w:abstractNum w:abstractNumId="5">
    <w:nsid w:val="25B654F3"/>
    <w:multiLevelType w:val="singleLevel"/>
    <w:tmpl w:val="25B654F3"/>
    <w:lvl w:ilvl="0" w:tentative="0">
      <w:start w:val="9"/>
      <w:numFmt w:val="chineseCountingThousand"/>
      <w:suff w:val="nothing"/>
      <w:lvlText w:val="%1、"/>
      <w:lvlJc w:val="left"/>
      <w:pPr>
        <w:tabs>
          <w:tab w:val="left" w:pos="0"/>
        </w:tabs>
        <w:ind w:left="0" w:firstLine="0"/>
      </w:pPr>
    </w:lvl>
  </w:abstractNum>
  <w:abstractNum w:abstractNumId="6">
    <w:nsid w:val="59ADCABA"/>
    <w:multiLevelType w:val="multilevel"/>
    <w:tmpl w:val="59ADCABA"/>
    <w:lvl w:ilvl="0" w:tentative="0">
      <w:start w:val="1"/>
      <w:numFmt w:val="decimal"/>
      <w:lvlText w:val="%1."/>
      <w:lvlJc w:val="left"/>
      <w:pPr>
        <w:tabs>
          <w:tab w:val="left" w:pos="0"/>
        </w:tabs>
        <w:ind w:left="1152" w:hanging="480"/>
      </w:pPr>
    </w:lvl>
    <w:lvl w:ilvl="1" w:tentative="0">
      <w:start w:val="1"/>
      <w:numFmt w:val="lowerLetter"/>
      <w:lvlText w:val="%2)"/>
      <w:lvlJc w:val="left"/>
      <w:pPr>
        <w:tabs>
          <w:tab w:val="left" w:pos="0"/>
        </w:tabs>
        <w:ind w:left="1512" w:hanging="420"/>
      </w:pPr>
    </w:lvl>
    <w:lvl w:ilvl="2" w:tentative="0">
      <w:start w:val="1"/>
      <w:numFmt w:val="lowerRoman"/>
      <w:lvlText w:val="%3."/>
      <w:lvlJc w:val="right"/>
      <w:pPr>
        <w:tabs>
          <w:tab w:val="left" w:pos="0"/>
        </w:tabs>
        <w:ind w:left="1932" w:hanging="420"/>
      </w:pPr>
    </w:lvl>
    <w:lvl w:ilvl="3" w:tentative="0">
      <w:start w:val="1"/>
      <w:numFmt w:val="decimal"/>
      <w:lvlText w:val="%4."/>
      <w:lvlJc w:val="left"/>
      <w:pPr>
        <w:tabs>
          <w:tab w:val="left" w:pos="0"/>
        </w:tabs>
        <w:ind w:left="2352" w:hanging="420"/>
      </w:pPr>
    </w:lvl>
    <w:lvl w:ilvl="4" w:tentative="0">
      <w:start w:val="1"/>
      <w:numFmt w:val="lowerLetter"/>
      <w:lvlText w:val="%5)"/>
      <w:lvlJc w:val="left"/>
      <w:pPr>
        <w:tabs>
          <w:tab w:val="left" w:pos="0"/>
        </w:tabs>
        <w:ind w:left="2772" w:hanging="420"/>
      </w:pPr>
    </w:lvl>
    <w:lvl w:ilvl="5" w:tentative="0">
      <w:start w:val="1"/>
      <w:numFmt w:val="lowerRoman"/>
      <w:lvlText w:val="%6."/>
      <w:lvlJc w:val="right"/>
      <w:pPr>
        <w:tabs>
          <w:tab w:val="left" w:pos="0"/>
        </w:tabs>
        <w:ind w:left="3192" w:hanging="420"/>
      </w:pPr>
    </w:lvl>
    <w:lvl w:ilvl="6" w:tentative="0">
      <w:start w:val="1"/>
      <w:numFmt w:val="decimal"/>
      <w:lvlText w:val="%7."/>
      <w:lvlJc w:val="left"/>
      <w:pPr>
        <w:tabs>
          <w:tab w:val="left" w:pos="0"/>
        </w:tabs>
        <w:ind w:left="3612" w:hanging="420"/>
      </w:pPr>
    </w:lvl>
    <w:lvl w:ilvl="7" w:tentative="0">
      <w:start w:val="1"/>
      <w:numFmt w:val="lowerLetter"/>
      <w:lvlText w:val="%8)"/>
      <w:lvlJc w:val="left"/>
      <w:pPr>
        <w:tabs>
          <w:tab w:val="left" w:pos="0"/>
        </w:tabs>
        <w:ind w:left="4032" w:hanging="420"/>
      </w:pPr>
    </w:lvl>
    <w:lvl w:ilvl="8" w:tentative="0">
      <w:start w:val="1"/>
      <w:numFmt w:val="lowerRoman"/>
      <w:lvlText w:val="%9."/>
      <w:lvlJc w:val="right"/>
      <w:pPr>
        <w:tabs>
          <w:tab w:val="left" w:pos="0"/>
        </w:tabs>
        <w:ind w:left="4452" w:hanging="420"/>
      </w:pPr>
    </w:lvl>
  </w:abstractNum>
  <w:abstractNum w:abstractNumId="7">
    <w:nsid w:val="72183CF9"/>
    <w:multiLevelType w:val="singleLevel"/>
    <w:tmpl w:val="72183CF9"/>
    <w:lvl w:ilvl="0" w:tentative="0">
      <w:start w:val="3"/>
      <w:numFmt w:val="chineseCountingThousand"/>
      <w:suff w:val="space"/>
      <w:lvlText w:val="第%1部分"/>
      <w:lvlJc w:val="left"/>
      <w:pPr>
        <w:tabs>
          <w:tab w:val="left" w:pos="0"/>
        </w:tabs>
        <w:ind w:left="0" w:firstLine="0"/>
      </w:p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374413D"/>
    <w:rsid w:val="03DA3169"/>
    <w:rsid w:val="1AA24A1C"/>
    <w:rsid w:val="29A24CB1"/>
    <w:rsid w:val="2C92575D"/>
    <w:rsid w:val="3D673DEF"/>
    <w:rsid w:val="44BA6EFA"/>
    <w:rsid w:val="54EB5847"/>
    <w:rsid w:val="6FA506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styleId="5">
    <w:name w:val="caption"/>
    <w:basedOn w:val="1"/>
    <w:qFormat/>
    <w:uiPriority w:val="0"/>
    <w:pPr>
      <w:suppressLineNumbers/>
      <w:spacing w:before="120" w:after="120"/>
    </w:pPr>
    <w:rPr>
      <w:rFonts w:cs="Lohit Devanagari"/>
      <w:i/>
      <w:iCs/>
      <w:sz w:val="24"/>
      <w:szCs w:val="24"/>
    </w:rPr>
  </w:style>
  <w:style w:type="paragraph" w:styleId="6">
    <w:name w:val="Body Text"/>
    <w:basedOn w:val="1"/>
    <w:uiPriority w:val="0"/>
    <w:pPr>
      <w:spacing w:before="0" w:after="140" w:line="276" w:lineRule="auto"/>
    </w:pPr>
  </w:style>
  <w:style w:type="paragraph" w:styleId="7">
    <w:name w:val="Body Text Indent"/>
    <w:basedOn w:val="1"/>
    <w:qFormat/>
    <w:uiPriority w:val="0"/>
    <w:pPr>
      <w:spacing w:before="0" w:after="120"/>
    </w:pPr>
    <w:rPr>
      <w:rFonts w:ascii="仿宋" w:hAnsi="仿宋"/>
      <w:szCs w:val="32"/>
    </w:rPr>
  </w:style>
  <w:style w:type="paragraph" w:styleId="8">
    <w:name w:val="footer"/>
    <w:basedOn w:val="1"/>
    <w:qFormat/>
    <w:uiPriority w:val="0"/>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000000" w:sz="6" w:space="1"/>
      </w:pBdr>
      <w:tabs>
        <w:tab w:val="center" w:pos="4153"/>
        <w:tab w:val="right" w:pos="8306"/>
      </w:tabs>
      <w:snapToGrid w:val="0"/>
      <w:jc w:val="center"/>
    </w:pPr>
    <w:rPr>
      <w:rFonts w:eastAsia="宋体"/>
      <w:sz w:val="18"/>
      <w:szCs w:val="18"/>
    </w:rPr>
  </w:style>
  <w:style w:type="paragraph" w:styleId="10">
    <w:name w:val="toc 1"/>
    <w:basedOn w:val="1"/>
    <w:next w:val="1"/>
    <w:uiPriority w:val="0"/>
    <w:pPr>
      <w:tabs>
        <w:tab w:val="right" w:leader="dot" w:pos="8296"/>
      </w:tabs>
      <w:spacing w:before="93" w:after="0"/>
      <w:jc w:val="center"/>
    </w:pPr>
    <w:rPr>
      <w:rFonts w:ascii="仿宋" w:hAnsi="仿宋" w:eastAsia="仿宋" w:cs="仿宋"/>
      <w:sz w:val="28"/>
      <w:szCs w:val="28"/>
    </w:rPr>
  </w:style>
  <w:style w:type="paragraph" w:styleId="11">
    <w:name w:val="List"/>
    <w:basedOn w:val="6"/>
    <w:qFormat/>
    <w:uiPriority w:val="0"/>
  </w:style>
  <w:style w:type="paragraph" w:styleId="12">
    <w:name w:val="footnote text"/>
    <w:basedOn w:val="1"/>
    <w:next w:val="13"/>
    <w:qFormat/>
    <w:uiPriority w:val="0"/>
    <w:pPr>
      <w:snapToGrid w:val="0"/>
      <w:jc w:val="left"/>
    </w:pPr>
    <w:rPr>
      <w:sz w:val="18"/>
      <w:szCs w:val="18"/>
    </w:rPr>
  </w:style>
  <w:style w:type="paragraph" w:customStyle="1" w:styleId="13">
    <w:name w:val="正文首行缩进 21"/>
    <w:basedOn w:val="7"/>
    <w:next w:val="1"/>
    <w:qFormat/>
    <w:uiPriority w:val="0"/>
    <w:pPr>
      <w:ind w:firstLine="420"/>
    </w:pPr>
  </w:style>
  <w:style w:type="paragraph" w:styleId="14">
    <w:name w:val="toc 2"/>
    <w:basedOn w:val="1"/>
    <w:next w:val="1"/>
    <w:uiPriority w:val="0"/>
    <w:pPr>
      <w:tabs>
        <w:tab w:val="right" w:leader="dot" w:pos="8296"/>
      </w:tabs>
      <w:ind w:left="420" w:firstLine="0"/>
    </w:pPr>
  </w:style>
  <w:style w:type="character" w:styleId="17">
    <w:name w:val="Hyperlink"/>
    <w:basedOn w:val="18"/>
    <w:qFormat/>
    <w:uiPriority w:val="0"/>
    <w:rPr>
      <w:color w:val="0000FF"/>
      <w:u w:val="single"/>
    </w:rPr>
  </w:style>
  <w:style w:type="character" w:customStyle="1" w:styleId="18">
    <w:name w:val="默认段落字体11"/>
    <w:qFormat/>
    <w:uiPriority w:val="0"/>
  </w:style>
  <w:style w:type="character" w:customStyle="1" w:styleId="19">
    <w:name w:val="WW8Num1z0"/>
    <w:qFormat/>
    <w:uiPriority w:val="0"/>
  </w:style>
  <w:style w:type="character" w:customStyle="1" w:styleId="20">
    <w:name w:val="WW8Num2z0"/>
    <w:qFormat/>
    <w:uiPriority w:val="0"/>
  </w:style>
  <w:style w:type="character" w:customStyle="1" w:styleId="21">
    <w:name w:val="WW8Num3z0"/>
    <w:qFormat/>
    <w:uiPriority w:val="0"/>
  </w:style>
  <w:style w:type="character" w:customStyle="1" w:styleId="22">
    <w:name w:val="WW8Num4z0"/>
    <w:qFormat/>
    <w:uiPriority w:val="0"/>
  </w:style>
  <w:style w:type="character" w:customStyle="1" w:styleId="23">
    <w:name w:val="WW8Num7z0"/>
    <w:qFormat/>
    <w:uiPriority w:val="0"/>
  </w:style>
  <w:style w:type="character" w:customStyle="1" w:styleId="24">
    <w:name w:val="标题 1 Char"/>
    <w:basedOn w:val="18"/>
    <w:qFormat/>
    <w:uiPriority w:val="0"/>
    <w:rPr>
      <w:b/>
      <w:bCs/>
      <w:kern w:val="2"/>
      <w:sz w:val="44"/>
      <w:szCs w:val="44"/>
    </w:rPr>
  </w:style>
  <w:style w:type="character" w:customStyle="1" w:styleId="25">
    <w:name w:val="标题 2 Char"/>
    <w:basedOn w:val="18"/>
    <w:qFormat/>
    <w:uiPriority w:val="0"/>
    <w:rPr>
      <w:rFonts w:ascii="Cambria" w:hAnsi="Cambria" w:eastAsia="宋体" w:cs="Times New Roman"/>
      <w:b/>
      <w:bCs/>
      <w:sz w:val="32"/>
      <w:szCs w:val="32"/>
    </w:rPr>
  </w:style>
  <w:style w:type="character" w:customStyle="1" w:styleId="26">
    <w:name w:val="Strong Emphasis"/>
    <w:basedOn w:val="18"/>
    <w:qFormat/>
    <w:uiPriority w:val="0"/>
    <w:rPr>
      <w:b/>
    </w:rPr>
  </w:style>
  <w:style w:type="character" w:customStyle="1" w:styleId="27">
    <w:name w:val="默认段落字体1"/>
    <w:qFormat/>
    <w:uiPriority w:val="0"/>
  </w:style>
  <w:style w:type="paragraph" w:customStyle="1" w:styleId="28">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9">
    <w:name w:val="Index"/>
    <w:basedOn w:val="1"/>
    <w:qFormat/>
    <w:uiPriority w:val="0"/>
    <w:pPr>
      <w:widowControl w:val="0"/>
      <w:suppressLineNumbers/>
      <w:suppressAutoHyphens/>
    </w:pPr>
  </w:style>
  <w:style w:type="paragraph" w:customStyle="1" w:styleId="30">
    <w:name w:val="题注1"/>
    <w:basedOn w:val="1"/>
    <w:qFormat/>
    <w:uiPriority w:val="0"/>
    <w:pPr>
      <w:widowControl w:val="0"/>
      <w:suppressLineNumbers/>
      <w:suppressAutoHyphens/>
      <w:spacing w:before="120" w:after="120"/>
    </w:pPr>
    <w:rPr>
      <w:i/>
      <w:iCs/>
      <w:sz w:val="24"/>
      <w:szCs w:val="24"/>
    </w:rPr>
  </w:style>
  <w:style w:type="paragraph" w:customStyle="1" w:styleId="31">
    <w:name w:val="Header and Footer"/>
    <w:basedOn w:val="1"/>
    <w:qFormat/>
    <w:uiPriority w:val="0"/>
    <w:pPr>
      <w:suppressLineNumbers/>
      <w:tabs>
        <w:tab w:val="center" w:pos="4986"/>
        <w:tab w:val="right" w:pos="9972"/>
      </w:tabs>
    </w:pPr>
  </w:style>
  <w:style w:type="paragraph" w:customStyle="1" w:styleId="32">
    <w:name w:val="普通(网站)1"/>
    <w:basedOn w:val="1"/>
    <w:qFormat/>
    <w:uiPriority w:val="0"/>
    <w:rPr>
      <w:sz w:val="24"/>
    </w:rPr>
  </w:style>
  <w:style w:type="paragraph" w:styleId="33">
    <w:name w:val="List Paragraph"/>
    <w:basedOn w:val="1"/>
    <w:qFormat/>
    <w:uiPriority w:val="0"/>
    <w:pPr>
      <w:ind w:firstLine="420"/>
    </w:pPr>
  </w:style>
  <w:style w:type="paragraph" w:customStyle="1" w:styleId="34">
    <w:name w:val="BodyTextIndent"/>
    <w:basedOn w:val="1"/>
    <w:qFormat/>
    <w:uiPriority w:val="0"/>
    <w:pPr>
      <w:spacing w:before="0" w:after="120"/>
      <w:ind w:left="420" w:firstLine="0"/>
      <w:jc w:val="both"/>
      <w:textAlignment w:val="baseline"/>
    </w:pPr>
  </w:style>
  <w:style w:type="paragraph" w:customStyle="1" w:styleId="35">
    <w:name w:val="BodyText1I2"/>
    <w:basedOn w:val="34"/>
    <w:qFormat/>
    <w:uiPriority w:val="0"/>
    <w:pPr>
      <w:spacing w:before="0" w:after="120"/>
      <w:ind w:left="420" w:firstLine="420"/>
      <w:jc w:val="both"/>
      <w:textAlignment w:val="baseline"/>
    </w:pPr>
  </w:style>
  <w:style w:type="paragraph" w:customStyle="1" w:styleId="36">
    <w:name w:val="正文文本1"/>
    <w:basedOn w:val="1"/>
    <w:qFormat/>
    <w:uiPriority w:val="0"/>
    <w:pPr>
      <w:spacing w:before="93" w:after="0"/>
    </w:pPr>
    <w:rPr>
      <w:rFonts w:ascii="仿宋" w:hAnsi="仿宋" w:eastAsia="仿宋" w:cs="仿宋"/>
      <w:kern w:val="0"/>
      <w:sz w:val="30"/>
      <w:szCs w:val="30"/>
    </w:rPr>
  </w:style>
  <w:style w:type="paragraph" w:customStyle="1" w:styleId="37">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paragraph" w:customStyle="1" w:styleId="38">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customStyle="1" w:styleId="39">
    <w:name w:val="Table Contents"/>
    <w:basedOn w:val="1"/>
    <w:qFormat/>
    <w:uiPriority w:val="0"/>
    <w:pPr>
      <w:widowControl w:val="0"/>
      <w:suppressLineNumbers/>
    </w:pPr>
  </w:style>
  <w:style w:type="paragraph" w:customStyle="1" w:styleId="40">
    <w:name w:val="Table Heading"/>
    <w:basedOn w:val="39"/>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c9f3d751-583d-41d5-a2c7-807e76f69aa7</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38299D34</paraID>
      <start>10</start>
      <end>36</end>
      <status>modified</status>
      <modifiedWord>经济建设、政治建设、文化建设、社会建设、生态文明建设</modifiedWord>
      <trackRevisions>false</trackRevisions>
    </reviewItem>
    <reviewItem>
      <errorID>2817518a-c1a5-4812-80ee-a4e8b922a198</errorID>
      <errorWord>法制建设</errorWord>
      <group>L1_Political</group>
      <groupName>政治性问题</groupName>
      <ability>L2_Unpolitical</ability>
      <abilityName>政治敏感错误</abilityName>
      <candidateList>
        <item>法治建设</item>
      </candidateList>
      <explain/>
      <paraID>38299D34</paraID>
      <start>37</start>
      <end>41</end>
      <status>modified</status>
      <modifiedWord>法治建设</modifiedWord>
      <trackRevisions>false</trackRevisions>
    </reviewItem>
    <reviewItem>
      <errorID>232363fa-f24b-43d6-90a1-6d33a6c293ff</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46943B1B</paraID>
      <start>78</start>
      <end>103</end>
      <status>modified</status>
      <modifiedWord>党的政治领导力、思想引领力、群众组织力、社会号召力</modifiedWord>
      <trackRevisions>false</trackRevisions>
    </reviewItem>
    <reviewItem>
      <errorID>34295be7-79a2-489d-b6d6-6b7950067631</errorID>
      <errorWord>巩固脱贫攻坚成果</errorWord>
      <group>L1_Word</group>
      <groupName>字词问题</groupName>
      <ability>L2_Typo</ability>
      <abilityName>字词错误</abilityName>
      <candidateList>
        <item>巩固拓展脱贫攻坚成果</item>
      </candidateList>
      <explain/>
      <paraID>37F4983F</paraID>
      <start>2</start>
      <end>12</end>
      <status>modified</status>
      <modifiedWord>巩固拓展脱贫攻坚成果</modifiedWord>
      <trackRevisions>false</trackRevisions>
    </reviewItem>
    <reviewItem>
      <errorID>93b19555-c260-46ab-89c7-d3a51d714bf6</errorID>
      <errorWord>负责村乡</errorWord>
      <group>L1_Word</group>
      <groupName>字词问题</groupName>
      <ability>L2_Typo</ability>
      <abilityName>字词错误</abilityName>
      <candidateList>
        <item>负责乡村</item>
      </candidateList>
      <explain/>
      <paraID>2637F416</paraID>
      <start>2</start>
      <end>6</end>
      <status>modified</status>
      <modifiedWord>负责乡村</modifiedWord>
      <trackRevisions>false</trackRevisions>
    </reviewItem>
    <reviewItem>
      <errorID>06fce6d4-0834-48e3-9b9f-d70dcf10b901</errorID>
      <errorWord>法制建设</errorWord>
      <group>L1_Political</group>
      <groupName>政治性问题</groupName>
      <ability>L2_Unpolitical</ability>
      <abilityName>政治敏感错误</abilityName>
      <candidateList>
        <item>法治建设</item>
      </candidateList>
      <explain/>
      <paraID>3E9F3824</paraID>
      <start>19</start>
      <end>23</end>
      <status>modified</status>
      <modifiedWord>法治建设</modifiedWord>
      <trackRevisions>false</trackRevisions>
    </reviewItem>
    <reviewItem>
      <errorID>9f2a4dad-adb3-4f71-996f-77b8a1745c5d</errorID>
      <errorWord>、</errorWord>
      <group>L1_Punc</group>
      <groupName>标点问题</groupName>
      <ability>L2_Punc_CN</ability>
      <abilityName>标点符号问题</abilityName>
      <candidateList/>
      <explain/>
      <paraID>   CCFCD</paraID>
      <start>0</start>
      <end>1</end>
      <status>ignored</status>
      <modifiedWord/>
      <trackRevisions>false</trackRevisions>
    </reviewItem>
    <reviewItem>
      <errorID>b87554c4-cb94-468c-bd14-3de336e5ec02</errorID>
      <errorWord>民政府政府</errorWord>
      <group>L1_Sensitive</group>
      <groupName>敏感问题</groupName>
      <ability>L2_Sensitive</ability>
      <abilityName>敏感内容</abilityName>
      <candidateList/>
      <explain>【敏感内容】句中涉及敏感性内容的违规表述，请注意甄别。</explain>
      <paraID>7A878EED</paraID>
      <start>14</start>
      <end>19</end>
      <status>ignored</status>
      <modifiedWord/>
      <trackRevisions>false</trackRevisions>
    </reviewItem>
    <reviewItem>
      <errorID>205a53e7-9ddb-4c1f-bc85-5788e5a789a7</errorID>
      <errorWord>。</errorWord>
      <group>L1_Format</group>
      <groupName>格式问题</groupName>
      <ability>L2_HalfPunc_CN</ability>
      <abilityName>全半角问题</abilityName>
      <candidateList>
        <item>.</item>
      </candidateList>
      <explain>文本全半角错误。</explain>
      <paraID>50755906</paraID>
      <start>5</start>
      <end>6</end>
      <status>modified</status>
      <modifiedWord>.</modifiedWord>
      <trackRevisions>false</trackRevisions>
    </reviewItem>
    <reviewItem>
      <errorID>a03fdb16-a467-4515-a778-9c37bddc7093</errorID>
      <errorWord>流动党支部</errorWord>
      <group>L1_Political</group>
      <groupName>政治性问题</groupName>
      <ability>L2_Unpolitical</ability>
      <abilityName>政治敏感错误</abilityName>
      <candidateList>
        <item>流动党员党支部</item>
      </candidateList>
      <explain/>
      <paraID>4EF31643</paraID>
      <start>32</start>
      <end>39</end>
      <status>modified</status>
      <modifiedWord>流动党员党支部</modifiedWord>
      <trackRevisions>false</trackRevisions>
    </reviewItem>
    <reviewItem>
      <errorID>01f1d3e7-b3f2-472e-9f2d-e9cc3853b654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E12306C</paraID>
      <start>0</start>
      <end>2</end>
      <status>modified</status>
      <modifiedWord>1.</modifiedWord>
      <trackRevisions>false</trackRevisions>
    </reviewItem>
    <reviewItem>
      <errorID>a3cd50c8-5de5-438c-b3af-6ace438bd0e5</errorID>
      <errorWord>法制</errorWord>
      <group>L1_Word</group>
      <groupName>字词问题</groupName>
      <ability>L2_Typo</ability>
      <abilityName>字词错误</abilityName>
      <candidateList>
        <item>法治</item>
      </candidateList>
      <explain>存在发音相同字词的误用。</explain>
      <paraID>2D0BF64A</paraID>
      <start>9</start>
      <end>11</end>
      <status>modified</status>
      <modifiedWord>法治</modifiedWord>
      <trackRevisions>false</trackRevisions>
    </reviewItem>
    <reviewItem>
      <errorID>ae17417e-4a6d-46c5-8c42-231c9c32f1f5</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1CC700C8</paraID>
      <start>5</start>
      <end>11</end>
      <status>modified</status>
      <modifiedWord>县委、县政府</modifiedWord>
      <trackRevisions>false</trackRevisions>
    </reviewItem>
    <reviewItem>
      <errorID>49662ccc-22cd-42ca-8be5-9171bd427826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755DD9EB</paraID>
      <start>52</start>
      <end>58</end>
      <status>modified</status>
      <modifiedWord>“三公”经费</modifiedWord>
      <trackRevisions>false</trackRevisions>
    </reviewItem>
    <reviewItem>
      <errorID>fbc4111b-d315-4c55-ae96-e395d4ffa7d9</errorID>
      <errorWord>村两委</errorWord>
      <group>L1_Political</group>
      <groupName>政治性问题</groupName>
      <ability>L2_Keyword</ability>
      <abilityName>固定表述</abilityName>
      <candidateList>
        <item>村“两委”</item>
      </candidateList>
      <explain>注意检查当前固定表述标点是否使用规范。</explain>
      <paraID>  EB126C</paraID>
      <start>8</start>
      <end>13</end>
      <status>modified</status>
      <modifiedWord>村“两委”</modifiedWord>
      <trackRevisions>false</trackRevisions>
    </reviewItem>
  </reviewItems>
  <config/>
</contractReview>
</file>

<file path=customXml/itemProps1.xml><?xml version="1.0" encoding="utf-8"?>
<ds:datastoreItem xmlns:ds="http://schemas.openxmlformats.org/officeDocument/2006/customXml" ds:itemID="{e76f7d8a-a80b-49ab-a30c-368ef22420ea}">
  <ds:schemaRefs/>
</ds:datastoreItem>
</file>

<file path=docProps/app.xml><?xml version="1.0" encoding="utf-8"?>
<Properties xmlns="http://schemas.openxmlformats.org/officeDocument/2006/extended-properties" xmlns:vt="http://schemas.openxmlformats.org/officeDocument/2006/docPropsVTypes">
  <Pages>35</Pages>
  <Words>6953</Words>
  <Characters>7780</Characters>
  <TotalTime>5766</TotalTime>
  <ScaleCrop>false</ScaleCrop>
  <LinksUpToDate>false</LinksUpToDate>
  <CharactersWithSpaces>7800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3F6E93641DEA4368BAC031F89490617A_12</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