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2F6FFCA">
      <w:pPr>
        <w:pStyle w:val="6"/>
        <w:jc w:val="center"/>
        <w:rPr>
          <w:rFonts w:ascii="方正小标宋简体" w:hAnsi="方正小标宋简体" w:eastAsia="方正小标宋简体" w:cs="Times New Roman"/>
          <w:color w:val="000000"/>
          <w:kern w:val="2"/>
          <w:sz w:val="44"/>
          <w:szCs w:val="44"/>
          <w:highlight w:val="none"/>
          <w:lang w:val="en-US" w:eastAsia="zh-CN" w:bidi="ar-SA"/>
        </w:rPr>
      </w:pPr>
    </w:p>
    <w:p w14:paraId="594D247D">
      <w:pPr>
        <w:pStyle w:val="6"/>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2025年度四川省阿坝州松潘县白羊乡人民政府单位决算</w:t>
      </w:r>
    </w:p>
    <w:p w14:paraId="38D3E41E">
      <w:pPr>
        <w:widowControl/>
        <w:jc w:val="both"/>
        <w:rPr>
          <w:rFonts w:ascii="方正小标宋简体" w:hAnsi="方正小标宋简体" w:eastAsia="方正小标宋简体" w:cs="宋体"/>
          <w:color w:val="000000"/>
          <w:kern w:val="2"/>
          <w:sz w:val="36"/>
          <w:szCs w:val="36"/>
          <w:highlight w:val="none"/>
          <w:lang w:val="en-US" w:eastAsia="zh-CN" w:bidi="ar-SA"/>
        </w:rPr>
      </w:pPr>
    </w:p>
    <w:p w14:paraId="2BB1B627">
      <w:pPr>
        <w:widowControl/>
        <w:jc w:val="both"/>
        <w:rPr>
          <w:rFonts w:ascii="方正小标宋简体" w:hAnsi="方正小标宋简体" w:eastAsia="方正小标宋简体" w:cs="宋体"/>
          <w:color w:val="000000"/>
          <w:sz w:val="36"/>
          <w:szCs w:val="36"/>
          <w:highlight w:val="none"/>
        </w:rPr>
      </w:pPr>
    </w:p>
    <w:p w14:paraId="53F94A26">
      <w:pPr>
        <w:widowControl/>
        <w:jc w:val="both"/>
        <w:rPr>
          <w:rFonts w:ascii="方正小标宋简体" w:hAnsi="方正小标宋简体" w:eastAsia="方正小标宋简体" w:cs="宋体"/>
          <w:color w:val="000000"/>
          <w:sz w:val="36"/>
          <w:szCs w:val="36"/>
          <w:highlight w:val="none"/>
        </w:rPr>
      </w:pPr>
    </w:p>
    <w:p w14:paraId="75F598B2">
      <w:pPr>
        <w:widowControl/>
        <w:jc w:val="both"/>
        <w:rPr>
          <w:rFonts w:ascii="方正小标宋简体" w:hAnsi="方正小标宋简体" w:eastAsia="方正小标宋简体" w:cs="宋体"/>
          <w:color w:val="000000"/>
          <w:sz w:val="36"/>
          <w:szCs w:val="36"/>
          <w:highlight w:val="none"/>
        </w:rPr>
      </w:pPr>
    </w:p>
    <w:p w14:paraId="5C4C5E9D">
      <w:pPr>
        <w:widowControl/>
        <w:jc w:val="both"/>
        <w:rPr>
          <w:rFonts w:ascii="方正小标宋简体" w:hAnsi="方正小标宋简体" w:eastAsia="方正小标宋简体" w:cs="宋体"/>
          <w:color w:val="000000"/>
          <w:sz w:val="36"/>
          <w:szCs w:val="36"/>
          <w:highlight w:val="none"/>
        </w:rPr>
      </w:pPr>
    </w:p>
    <w:p w14:paraId="34CCE00E">
      <w:pPr>
        <w:widowControl/>
        <w:jc w:val="both"/>
        <w:rPr>
          <w:rFonts w:ascii="方正小标宋简体" w:hAnsi="方正小标宋简体" w:eastAsia="方正小标宋简体" w:cs="宋体"/>
          <w:color w:val="000000"/>
          <w:sz w:val="36"/>
          <w:szCs w:val="36"/>
          <w:highlight w:val="none"/>
        </w:rPr>
      </w:pPr>
    </w:p>
    <w:p w14:paraId="4BA840C3">
      <w:pPr>
        <w:widowControl/>
        <w:jc w:val="both"/>
        <w:rPr>
          <w:rFonts w:ascii="方正小标宋简体" w:hAnsi="方正小标宋简体" w:eastAsia="方正小标宋简体" w:cs="宋体"/>
          <w:color w:val="000000"/>
          <w:sz w:val="36"/>
          <w:szCs w:val="36"/>
          <w:highlight w:val="none"/>
        </w:rPr>
      </w:pPr>
    </w:p>
    <w:p w14:paraId="6A88FD25">
      <w:pPr>
        <w:widowControl/>
        <w:jc w:val="both"/>
        <w:rPr>
          <w:rFonts w:ascii="方正小标宋简体" w:hAnsi="方正小标宋简体" w:eastAsia="方正小标宋简体" w:cs="宋体"/>
          <w:color w:val="000000"/>
          <w:sz w:val="36"/>
          <w:szCs w:val="36"/>
          <w:highlight w:val="none"/>
        </w:rPr>
      </w:pPr>
    </w:p>
    <w:p w14:paraId="34A0478E">
      <w:pPr>
        <w:widowControl/>
        <w:jc w:val="both"/>
        <w:rPr>
          <w:rFonts w:ascii="方正小标宋简体" w:hAnsi="方正小标宋简体" w:eastAsia="方正小标宋简体" w:cs="宋体"/>
          <w:color w:val="000000"/>
          <w:sz w:val="36"/>
          <w:szCs w:val="36"/>
          <w:highlight w:val="none"/>
        </w:rPr>
      </w:pPr>
    </w:p>
    <w:p w14:paraId="097C2490">
      <w:pPr>
        <w:widowControl/>
        <w:jc w:val="both"/>
        <w:rPr>
          <w:rFonts w:ascii="方正小标宋简体" w:hAnsi="方正小标宋简体" w:eastAsia="方正小标宋简体" w:cs="宋体"/>
          <w:color w:val="000000"/>
          <w:sz w:val="36"/>
          <w:szCs w:val="36"/>
          <w:highlight w:val="none"/>
        </w:rPr>
      </w:pPr>
    </w:p>
    <w:p w14:paraId="335AA0E3">
      <w:pPr>
        <w:widowControl/>
        <w:jc w:val="both"/>
        <w:rPr>
          <w:rFonts w:ascii="方正小标宋简体" w:hAnsi="方正小标宋简体" w:eastAsia="方正小标宋简体" w:cs="宋体"/>
          <w:color w:val="000000"/>
          <w:sz w:val="36"/>
          <w:szCs w:val="36"/>
          <w:highlight w:val="none"/>
        </w:rPr>
      </w:pPr>
    </w:p>
    <w:p w14:paraId="2E31BEFE">
      <w:pPr>
        <w:widowControl/>
        <w:jc w:val="both"/>
        <w:rPr>
          <w:rFonts w:ascii="方正小标宋简体" w:hAnsi="方正小标宋简体" w:eastAsia="方正小标宋简体" w:cs="宋体"/>
          <w:color w:val="000000"/>
          <w:sz w:val="36"/>
          <w:szCs w:val="36"/>
          <w:highlight w:val="none"/>
        </w:rPr>
      </w:pPr>
    </w:p>
    <w:p w14:paraId="6A8D3938">
      <w:pPr>
        <w:widowControl/>
        <w:jc w:val="both"/>
        <w:rPr>
          <w:rFonts w:ascii="方正小标宋简体" w:hAnsi="方正小标宋简体" w:eastAsia="方正小标宋简体" w:cs="宋体"/>
          <w:color w:val="000000"/>
          <w:sz w:val="36"/>
          <w:szCs w:val="36"/>
          <w:highlight w:val="none"/>
        </w:rPr>
      </w:pPr>
    </w:p>
    <w:p w14:paraId="6D5B89E3">
      <w:pPr>
        <w:widowControl/>
        <w:jc w:val="both"/>
        <w:rPr>
          <w:rFonts w:ascii="方正小标宋简体" w:hAnsi="方正小标宋简体" w:eastAsia="方正小标宋简体" w:cs="宋体"/>
          <w:color w:val="000000"/>
          <w:sz w:val="36"/>
          <w:szCs w:val="36"/>
          <w:highlight w:val="none"/>
        </w:rPr>
      </w:pPr>
    </w:p>
    <w:p w14:paraId="5FFF3837">
      <w:pPr>
        <w:widowControl/>
        <w:jc w:val="both"/>
        <w:rPr>
          <w:rFonts w:ascii="方正小标宋简体" w:hAnsi="方正小标宋简体" w:eastAsia="方正小标宋简体" w:cs="宋体"/>
          <w:color w:val="000000"/>
          <w:sz w:val="36"/>
          <w:szCs w:val="36"/>
          <w:highlight w:val="none"/>
        </w:rPr>
      </w:pPr>
    </w:p>
    <w:p w14:paraId="366E4CC8">
      <w:pPr>
        <w:widowControl/>
        <w:jc w:val="both"/>
        <w:rPr>
          <w:rFonts w:ascii="方正小标宋简体" w:hAnsi="方正小标宋简体" w:eastAsia="方正小标宋简体" w:cs="宋体"/>
          <w:color w:val="000000"/>
          <w:sz w:val="36"/>
          <w:szCs w:val="36"/>
          <w:highlight w:val="none"/>
        </w:rPr>
      </w:pPr>
      <w:r>
        <w:br w:type="page"/>
      </w:r>
    </w:p>
    <w:p w14:paraId="567AB7EB">
      <w:pPr>
        <w:widowControl/>
        <w:jc w:val="both"/>
        <w:rPr>
          <w:rFonts w:ascii="黑体" w:hAnsi="黑体" w:eastAsia="黑体" w:cs="黑体"/>
          <w:color w:val="000000"/>
          <w:sz w:val="48"/>
          <w:szCs w:val="48"/>
          <w:highlight w:val="none"/>
        </w:rPr>
      </w:pPr>
      <w:r>
        <w:rPr>
          <w:rFonts w:ascii="黑体" w:hAnsi="黑体" w:eastAsia="黑体" w:cs="黑体"/>
          <w:color w:val="000000"/>
          <w:sz w:val="48"/>
          <w:szCs w:val="48"/>
        </w:rPr>
        <w:t>目录</w:t>
      </w:r>
    </w:p>
    <w:p w14:paraId="53C6234B">
      <w:pPr>
        <w:widowControl/>
        <w:jc w:val="center"/>
        <w:rPr>
          <w:rFonts w:ascii="黑体" w:hAnsi="黑体" w:eastAsia="黑体" w:cs="Times New Roman"/>
          <w:color w:val="000000"/>
          <w:sz w:val="28"/>
          <w:szCs w:val="28"/>
          <w:highlight w:val="none"/>
        </w:rPr>
      </w:pPr>
    </w:p>
    <w:p w14:paraId="6F3DE622">
      <w:pPr>
        <w:pStyle w:val="9"/>
        <w:rPr>
          <w:color w:val="000000"/>
          <w:highlight w:val="none"/>
        </w:rPr>
      </w:pPr>
      <w:r>
        <w:rPr>
          <w:color w:val="000000"/>
        </w:rPr>
        <w:t xml:space="preserve">公开时间：2026年10月 </w:t>
      </w:r>
      <w:r>
        <w:rPr>
          <w:rFonts w:hint="eastAsia"/>
          <w:color w:val="000000"/>
          <w:lang w:val="en-US" w:eastAsia="zh-CN"/>
        </w:rPr>
        <w:t>13</w:t>
      </w:r>
      <w:r>
        <w:rPr>
          <w:color w:val="000000"/>
        </w:rPr>
        <w:t>日</w:t>
      </w:r>
    </w:p>
    <w:p w14:paraId="4132958C">
      <w:pPr>
        <w:rPr>
          <w:color w:val="000000"/>
          <w:highlight w:val="none"/>
        </w:rPr>
      </w:pPr>
    </w:p>
    <w:p w14:paraId="5D6C1B70">
      <w:pPr>
        <w:pStyle w:val="9"/>
        <w:snapToGrid w:val="0"/>
        <w:spacing w:before="0" w:after="0" w:line="440" w:lineRule="exact"/>
        <w:jc w:val="left"/>
        <w:rPr>
          <w:rFonts w:cs="Times New Roman"/>
          <w:color w:val="000000"/>
          <w:sz w:val="24"/>
          <w:szCs w:val="24"/>
          <w:highlight w:val="none"/>
        </w:rPr>
      </w:pPr>
      <w:r>
        <w:rPr>
          <w:color w:val="000000"/>
          <w:sz w:val="24"/>
        </w:rPr>
        <w:t xml:space="preserve">第一部分 </w:t>
      </w:r>
      <w:r>
        <w:rPr>
          <w:color w:val="000000"/>
          <w:sz w:val="24"/>
          <w:lang w:eastAsia="zh-CN"/>
        </w:rPr>
        <w:t>单位</w:t>
      </w:r>
      <w:r>
        <w:rPr>
          <w:color w:val="000000"/>
          <w:sz w:val="24"/>
        </w:rPr>
        <w:t>概况</w:t>
      </w:r>
    </w:p>
    <w:p w14:paraId="2182711A">
      <w:pPr>
        <w:pStyle w:val="12"/>
        <w:snapToGrid w:val="0"/>
        <w:spacing w:line="440" w:lineRule="exact"/>
        <w:jc w:val="left"/>
        <w:rPr>
          <w:rFonts w:eastAsia="宋体"/>
          <w:color w:val="000000"/>
          <w:sz w:val="24"/>
          <w:highlight w:val="none"/>
          <w:lang w:eastAsia="zh-CN"/>
        </w:rPr>
      </w:pPr>
      <w:r>
        <w:rPr>
          <w:color w:val="000000"/>
          <w:sz w:val="24"/>
        </w:rPr>
        <w:t>一、</w:t>
      </w:r>
      <w:r>
        <w:rPr>
          <w:color w:val="000000"/>
          <w:sz w:val="24"/>
          <w:lang w:eastAsia="zh-CN"/>
        </w:rPr>
        <w:t>主要职责</w:t>
      </w:r>
    </w:p>
    <w:p w14:paraId="38293DC1">
      <w:pPr>
        <w:pStyle w:val="12"/>
        <w:snapToGrid w:val="0"/>
        <w:spacing w:line="440" w:lineRule="exact"/>
        <w:jc w:val="left"/>
        <w:rPr>
          <w:rFonts w:eastAsia="宋体"/>
          <w:color w:val="000000"/>
          <w:lang w:eastAsia="zh-CN"/>
        </w:rPr>
      </w:pPr>
      <w:r>
        <w:rPr>
          <w:color w:val="000000"/>
          <w:sz w:val="24"/>
          <w:lang w:eastAsia="zh-CN"/>
        </w:rPr>
        <w:t>二</w:t>
      </w:r>
      <w:r>
        <w:rPr>
          <w:color w:val="000000"/>
          <w:sz w:val="24"/>
        </w:rPr>
        <w:t>、</w:t>
      </w:r>
      <w:r>
        <w:rPr>
          <w:color w:val="000000"/>
          <w:sz w:val="24"/>
          <w:lang w:eastAsia="zh-CN"/>
        </w:rPr>
        <w:t>机构设置</w:t>
      </w:r>
    </w:p>
    <w:p w14:paraId="08602996">
      <w:pPr>
        <w:pStyle w:val="9"/>
        <w:snapToGrid w:val="0"/>
        <w:spacing w:before="0" w:after="0" w:line="440" w:lineRule="exact"/>
        <w:jc w:val="left"/>
        <w:rPr>
          <w:color w:val="000000"/>
          <w:sz w:val="24"/>
          <w:szCs w:val="24"/>
          <w:highlight w:val="none"/>
        </w:rPr>
      </w:pPr>
      <w:r>
        <w:rPr>
          <w:color w:val="000000"/>
          <w:sz w:val="24"/>
        </w:rPr>
        <w:t>第二部分 2025年度单位决算情况说明</w:t>
      </w:r>
    </w:p>
    <w:p w14:paraId="2668BE25">
      <w:pPr>
        <w:pStyle w:val="12"/>
        <w:snapToGrid w:val="0"/>
        <w:spacing w:line="440" w:lineRule="exact"/>
        <w:jc w:val="left"/>
        <w:rPr>
          <w:rFonts w:ascii="仿宋" w:hAnsi="仿宋" w:eastAsia="仿宋" w:cs="Times New Roman"/>
          <w:color w:val="000000"/>
          <w:sz w:val="24"/>
          <w:highlight w:val="none"/>
        </w:rPr>
      </w:pPr>
      <w:r>
        <w:rPr>
          <w:color w:val="000000"/>
          <w:sz w:val="24"/>
        </w:rPr>
        <w:t>一、收入支出决算总体情况说明</w:t>
      </w:r>
    </w:p>
    <w:p w14:paraId="74776AA0">
      <w:pPr>
        <w:pStyle w:val="12"/>
        <w:snapToGrid w:val="0"/>
        <w:spacing w:line="440" w:lineRule="exact"/>
        <w:jc w:val="left"/>
        <w:rPr>
          <w:rFonts w:ascii="仿宋" w:hAnsi="仿宋" w:eastAsia="仿宋" w:cs="Times New Roman"/>
          <w:color w:val="000000"/>
          <w:sz w:val="24"/>
          <w:highlight w:val="none"/>
        </w:rPr>
      </w:pPr>
      <w:r>
        <w:rPr>
          <w:color w:val="000000"/>
          <w:sz w:val="24"/>
        </w:rPr>
        <w:t>二、收入决算情况说明</w:t>
      </w:r>
    </w:p>
    <w:p w14:paraId="37C24023">
      <w:pPr>
        <w:pStyle w:val="12"/>
        <w:snapToGrid w:val="0"/>
        <w:spacing w:line="440" w:lineRule="exact"/>
        <w:jc w:val="left"/>
        <w:rPr>
          <w:rFonts w:ascii="仿宋" w:hAnsi="仿宋" w:eastAsia="仿宋" w:cs="Times New Roman"/>
          <w:color w:val="000000"/>
          <w:sz w:val="24"/>
          <w:highlight w:val="none"/>
        </w:rPr>
      </w:pPr>
      <w:r>
        <w:rPr>
          <w:color w:val="000000"/>
          <w:sz w:val="24"/>
        </w:rPr>
        <w:t>三、支出决算情况说明</w:t>
      </w:r>
    </w:p>
    <w:p w14:paraId="15EA148F">
      <w:pPr>
        <w:pStyle w:val="12"/>
        <w:snapToGrid w:val="0"/>
        <w:spacing w:line="440" w:lineRule="exact"/>
        <w:jc w:val="left"/>
        <w:rPr>
          <w:rFonts w:ascii="仿宋" w:hAnsi="仿宋" w:eastAsia="仿宋" w:cs="Times New Roman"/>
          <w:color w:val="000000"/>
          <w:sz w:val="24"/>
          <w:highlight w:val="none"/>
        </w:rPr>
      </w:pPr>
      <w:r>
        <w:rPr>
          <w:color w:val="000000"/>
          <w:sz w:val="24"/>
        </w:rPr>
        <w:t>四、财政拨款收入支出决算总体情况说明</w:t>
      </w:r>
    </w:p>
    <w:p w14:paraId="2516FA1E">
      <w:pPr>
        <w:pStyle w:val="12"/>
        <w:snapToGrid w:val="0"/>
        <w:spacing w:line="440" w:lineRule="exact"/>
        <w:jc w:val="left"/>
        <w:rPr>
          <w:rFonts w:ascii="仿宋" w:hAnsi="仿宋" w:eastAsia="仿宋" w:cs="Times New Roman"/>
          <w:color w:val="000000"/>
          <w:sz w:val="24"/>
          <w:highlight w:val="none"/>
        </w:rPr>
      </w:pPr>
      <w:r>
        <w:rPr>
          <w:color w:val="000000"/>
          <w:sz w:val="24"/>
        </w:rPr>
        <w:t>五、一般公共预算财政拨款支出决算情况说明</w:t>
      </w:r>
    </w:p>
    <w:p w14:paraId="41C82892">
      <w:pPr>
        <w:pStyle w:val="12"/>
        <w:snapToGrid w:val="0"/>
        <w:spacing w:line="440" w:lineRule="exact"/>
        <w:jc w:val="left"/>
        <w:rPr>
          <w:rFonts w:ascii="仿宋" w:hAnsi="仿宋" w:eastAsia="仿宋" w:cs="Times New Roman"/>
          <w:color w:val="000000"/>
          <w:sz w:val="24"/>
          <w:highlight w:val="none"/>
        </w:rPr>
      </w:pPr>
      <w:r>
        <w:rPr>
          <w:color w:val="000000"/>
          <w:sz w:val="24"/>
        </w:rPr>
        <w:t>六、一般公共预算财政拨款基本支出决算情况说明</w:t>
      </w:r>
    </w:p>
    <w:p w14:paraId="55C82548">
      <w:pPr>
        <w:pStyle w:val="12"/>
        <w:snapToGrid w:val="0"/>
        <w:spacing w:line="440" w:lineRule="exact"/>
        <w:jc w:val="left"/>
        <w:rPr>
          <w:rFonts w:ascii="仿宋" w:hAnsi="仿宋" w:eastAsia="仿宋" w:cs="Times New Roman"/>
          <w:color w:val="000000"/>
          <w:sz w:val="24"/>
          <w:highlight w:val="none"/>
        </w:rPr>
      </w:pPr>
      <w:r>
        <w:rPr>
          <w:color w:val="000000"/>
          <w:sz w:val="24"/>
        </w:rPr>
        <w:t>七、财政拨款</w:t>
      </w:r>
      <w:r>
        <w:rPr>
          <w:color w:val="000000"/>
          <w:sz w:val="24"/>
          <w:lang w:eastAsia="zh-CN"/>
        </w:rPr>
        <w:t>“</w:t>
      </w:r>
      <w:r>
        <w:rPr>
          <w:color w:val="000000"/>
          <w:sz w:val="24"/>
        </w:rPr>
        <w:t>三公”经费支出决算情况说明</w:t>
      </w:r>
    </w:p>
    <w:p w14:paraId="2751C19E">
      <w:pPr>
        <w:pStyle w:val="12"/>
        <w:snapToGrid w:val="0"/>
        <w:spacing w:line="440" w:lineRule="exact"/>
        <w:jc w:val="left"/>
        <w:rPr>
          <w:rFonts w:ascii="仿宋" w:hAnsi="仿宋" w:eastAsia="仿宋" w:cs="Times New Roman"/>
          <w:color w:val="000000"/>
          <w:sz w:val="24"/>
          <w:highlight w:val="none"/>
        </w:rPr>
      </w:pPr>
      <w:r>
        <w:rPr>
          <w:color w:val="000000"/>
          <w:sz w:val="24"/>
        </w:rPr>
        <w:t>八、政府性基金预算支出决算情况说明</w:t>
      </w:r>
    </w:p>
    <w:p w14:paraId="3A1A1FC9">
      <w:pPr>
        <w:pStyle w:val="12"/>
        <w:snapToGrid w:val="0"/>
        <w:spacing w:line="440" w:lineRule="exact"/>
        <w:jc w:val="left"/>
        <w:rPr>
          <w:color w:val="000000"/>
          <w:sz w:val="24"/>
          <w:highlight w:val="none"/>
        </w:rPr>
      </w:pPr>
      <w:r>
        <w:rPr>
          <w:color w:val="000000"/>
          <w:sz w:val="24"/>
        </w:rPr>
        <w:t>九、国有资本经营预算支出决算情况说明</w:t>
      </w:r>
    </w:p>
    <w:p w14:paraId="1201E912">
      <w:pPr>
        <w:pStyle w:val="12"/>
        <w:snapToGrid w:val="0"/>
        <w:spacing w:line="440" w:lineRule="exact"/>
        <w:jc w:val="left"/>
        <w:rPr>
          <w:color w:val="000000"/>
          <w:sz w:val="24"/>
          <w:highlight w:val="none"/>
          <w:lang w:eastAsia="zh-CN"/>
        </w:rPr>
      </w:pPr>
      <w:r>
        <w:rPr>
          <w:color w:val="000000"/>
          <w:sz w:val="24"/>
        </w:rPr>
        <w:t>十、其他重要事项的情况说明</w:t>
      </w:r>
    </w:p>
    <w:p w14:paraId="021E0A5B">
      <w:pPr>
        <w:pStyle w:val="9"/>
        <w:snapToGrid w:val="0"/>
        <w:spacing w:before="0" w:after="0" w:line="440" w:lineRule="exact"/>
        <w:jc w:val="left"/>
        <w:rPr>
          <w:rFonts w:cs="Times New Roman"/>
          <w:color w:val="000000"/>
          <w:sz w:val="24"/>
          <w:szCs w:val="24"/>
          <w:highlight w:val="none"/>
        </w:rPr>
      </w:pPr>
      <w:r>
        <w:rPr>
          <w:color w:val="000000"/>
          <w:sz w:val="24"/>
        </w:rPr>
        <w:t>第三部分 名词解释</w:t>
      </w:r>
    </w:p>
    <w:p w14:paraId="5ADD9A89">
      <w:pPr>
        <w:pStyle w:val="9"/>
        <w:snapToGrid w:val="0"/>
        <w:spacing w:before="0" w:after="0" w:line="440" w:lineRule="exact"/>
        <w:jc w:val="left"/>
        <w:rPr>
          <w:rFonts w:cs="Times New Roman"/>
          <w:color w:val="000000"/>
          <w:sz w:val="24"/>
          <w:szCs w:val="24"/>
          <w:highlight w:val="none"/>
        </w:rPr>
      </w:pPr>
      <w:r>
        <w:rPr>
          <w:color w:val="000000"/>
          <w:sz w:val="24"/>
        </w:rPr>
        <w:t>第四部分 附件</w:t>
      </w:r>
    </w:p>
    <w:p w14:paraId="61E16A30">
      <w:pPr>
        <w:pStyle w:val="9"/>
        <w:snapToGrid w:val="0"/>
        <w:spacing w:before="0" w:after="0" w:line="440" w:lineRule="exact"/>
        <w:jc w:val="left"/>
        <w:rPr>
          <w:rFonts w:cs="Times New Roman"/>
          <w:color w:val="000000"/>
          <w:sz w:val="24"/>
          <w:szCs w:val="24"/>
          <w:highlight w:val="none"/>
        </w:rPr>
      </w:pPr>
      <w:r>
        <w:rPr>
          <w:color w:val="000000"/>
          <w:sz w:val="24"/>
        </w:rPr>
        <w:t>第五部分 附表</w:t>
      </w:r>
    </w:p>
    <w:p w14:paraId="4950C51F">
      <w:pPr>
        <w:pStyle w:val="12"/>
        <w:snapToGrid w:val="0"/>
        <w:spacing w:line="440" w:lineRule="exact"/>
        <w:jc w:val="left"/>
        <w:rPr>
          <w:color w:val="000000"/>
          <w:sz w:val="24"/>
          <w:highlight w:val="none"/>
        </w:rPr>
      </w:pPr>
      <w:r>
        <w:rPr>
          <w:color w:val="000000"/>
          <w:sz w:val="24"/>
        </w:rPr>
        <w:t>一、收入支出决算总表</w:t>
      </w:r>
    </w:p>
    <w:p w14:paraId="59C5C059">
      <w:pPr>
        <w:pStyle w:val="12"/>
        <w:snapToGrid w:val="0"/>
        <w:spacing w:line="440" w:lineRule="exact"/>
        <w:jc w:val="left"/>
        <w:rPr>
          <w:color w:val="000000"/>
          <w:sz w:val="24"/>
          <w:highlight w:val="none"/>
        </w:rPr>
      </w:pPr>
      <w:r>
        <w:rPr>
          <w:color w:val="000000"/>
          <w:sz w:val="24"/>
        </w:rPr>
        <w:t>二、收入决算表</w:t>
      </w:r>
    </w:p>
    <w:p w14:paraId="4B077A8D">
      <w:pPr>
        <w:pStyle w:val="12"/>
        <w:snapToGrid w:val="0"/>
        <w:spacing w:line="440" w:lineRule="exact"/>
        <w:jc w:val="left"/>
        <w:rPr>
          <w:color w:val="000000"/>
          <w:sz w:val="24"/>
          <w:highlight w:val="none"/>
        </w:rPr>
      </w:pPr>
      <w:r>
        <w:rPr>
          <w:color w:val="000000"/>
          <w:sz w:val="24"/>
        </w:rPr>
        <w:t>三、支出决算表</w:t>
      </w:r>
    </w:p>
    <w:p w14:paraId="020D8442">
      <w:pPr>
        <w:pStyle w:val="12"/>
        <w:snapToGrid w:val="0"/>
        <w:spacing w:line="440" w:lineRule="exact"/>
        <w:jc w:val="left"/>
        <w:rPr>
          <w:color w:val="000000"/>
          <w:sz w:val="24"/>
          <w:highlight w:val="none"/>
        </w:rPr>
      </w:pPr>
      <w:r>
        <w:rPr>
          <w:color w:val="000000"/>
          <w:sz w:val="24"/>
        </w:rPr>
        <w:t>四、财政拨款收入支出决算总表</w:t>
      </w:r>
    </w:p>
    <w:p w14:paraId="51FA2675">
      <w:pPr>
        <w:pStyle w:val="12"/>
        <w:snapToGrid w:val="0"/>
        <w:spacing w:line="440" w:lineRule="exact"/>
        <w:jc w:val="left"/>
        <w:rPr>
          <w:color w:val="000000"/>
          <w:sz w:val="24"/>
          <w:highlight w:val="none"/>
        </w:rPr>
      </w:pPr>
      <w:r>
        <w:rPr>
          <w:color w:val="000000"/>
          <w:sz w:val="24"/>
        </w:rPr>
        <w:t>五、财政拨款支出决算明细表</w:t>
      </w:r>
    </w:p>
    <w:p w14:paraId="136071B5">
      <w:pPr>
        <w:pStyle w:val="12"/>
        <w:snapToGrid w:val="0"/>
        <w:spacing w:line="440" w:lineRule="exact"/>
        <w:jc w:val="left"/>
        <w:rPr>
          <w:color w:val="000000"/>
          <w:sz w:val="24"/>
          <w:highlight w:val="none"/>
        </w:rPr>
      </w:pPr>
      <w:r>
        <w:rPr>
          <w:color w:val="000000"/>
          <w:sz w:val="24"/>
        </w:rPr>
        <w:t>六、一般公共预算财政拨款支出决算表</w:t>
      </w:r>
    </w:p>
    <w:p w14:paraId="726D368C">
      <w:pPr>
        <w:pStyle w:val="12"/>
        <w:snapToGrid w:val="0"/>
        <w:spacing w:line="440" w:lineRule="exact"/>
        <w:jc w:val="left"/>
        <w:rPr>
          <w:color w:val="000000"/>
          <w:sz w:val="24"/>
          <w:highlight w:val="none"/>
        </w:rPr>
      </w:pPr>
      <w:r>
        <w:rPr>
          <w:color w:val="000000"/>
          <w:sz w:val="24"/>
        </w:rPr>
        <w:t>七、一般公共预算财政拨款支出决算明细表</w:t>
      </w:r>
    </w:p>
    <w:p w14:paraId="0E352EBD">
      <w:pPr>
        <w:pStyle w:val="12"/>
        <w:snapToGrid w:val="0"/>
        <w:spacing w:line="440" w:lineRule="exact"/>
        <w:jc w:val="left"/>
        <w:rPr>
          <w:color w:val="000000"/>
          <w:sz w:val="24"/>
          <w:highlight w:val="none"/>
        </w:rPr>
      </w:pPr>
      <w:r>
        <w:rPr>
          <w:color w:val="000000"/>
          <w:sz w:val="24"/>
        </w:rPr>
        <w:t>八、一般公共预算财政拨款基本支出决算</w:t>
      </w:r>
      <w:r>
        <w:rPr>
          <w:color w:val="000000"/>
          <w:sz w:val="24"/>
          <w:lang w:eastAsia="zh-CN"/>
        </w:rPr>
        <w:t>明细</w:t>
      </w:r>
      <w:r>
        <w:rPr>
          <w:color w:val="000000"/>
          <w:sz w:val="24"/>
        </w:rPr>
        <w:t>表</w:t>
      </w:r>
    </w:p>
    <w:p w14:paraId="62570F68">
      <w:pPr>
        <w:pStyle w:val="12"/>
        <w:snapToGrid w:val="0"/>
        <w:spacing w:line="440" w:lineRule="exact"/>
        <w:jc w:val="left"/>
        <w:rPr>
          <w:color w:val="000000"/>
          <w:sz w:val="24"/>
          <w:highlight w:val="none"/>
        </w:rPr>
      </w:pPr>
      <w:r>
        <w:rPr>
          <w:color w:val="000000"/>
          <w:sz w:val="24"/>
        </w:rPr>
        <w:t>九、一般公共预算财政拨款项目支出决算表</w:t>
      </w:r>
    </w:p>
    <w:p w14:paraId="39E051A4">
      <w:pPr>
        <w:pStyle w:val="12"/>
        <w:snapToGrid w:val="0"/>
        <w:spacing w:line="440" w:lineRule="exact"/>
        <w:jc w:val="left"/>
        <w:rPr>
          <w:color w:val="000000"/>
          <w:sz w:val="24"/>
          <w:highlight w:val="none"/>
        </w:rPr>
      </w:pPr>
      <w:r>
        <w:rPr>
          <w:color w:val="000000"/>
          <w:sz w:val="24"/>
        </w:rPr>
        <w:t>十、政府性基金预算财政拨款收入支出决算表</w:t>
      </w:r>
    </w:p>
    <w:p w14:paraId="0989F4F9">
      <w:pPr>
        <w:pStyle w:val="12"/>
        <w:snapToGrid w:val="0"/>
        <w:spacing w:line="440" w:lineRule="exact"/>
        <w:jc w:val="left"/>
        <w:rPr>
          <w:color w:val="000000"/>
          <w:sz w:val="24"/>
          <w:highlight w:val="none"/>
        </w:rPr>
      </w:pPr>
      <w:r>
        <w:rPr>
          <w:color w:val="000000"/>
          <w:sz w:val="24"/>
        </w:rPr>
        <w:t>十一、国有资本经营预算财政拨款收入支出决算表</w:t>
      </w:r>
    </w:p>
    <w:p w14:paraId="7F0F4316">
      <w:pPr>
        <w:pStyle w:val="12"/>
        <w:snapToGrid w:val="0"/>
        <w:spacing w:line="440" w:lineRule="exact"/>
        <w:jc w:val="left"/>
        <w:rPr>
          <w:color w:val="000000"/>
          <w:sz w:val="24"/>
          <w:highlight w:val="none"/>
        </w:rPr>
      </w:pPr>
      <w:r>
        <w:rPr>
          <w:color w:val="000000"/>
          <w:sz w:val="24"/>
        </w:rPr>
        <w:t>十二、</w:t>
      </w:r>
      <w:r>
        <w:rPr>
          <w:color w:val="000000"/>
          <w:sz w:val="24"/>
          <w:lang w:val="en-US" w:eastAsia="zh-CN"/>
        </w:rPr>
        <w:t>国有资本经营预算财政拨款支出决算表</w:t>
      </w:r>
    </w:p>
    <w:p w14:paraId="551029A7">
      <w:pPr>
        <w:pStyle w:val="12"/>
        <w:snapToGrid w:val="0"/>
        <w:spacing w:line="440" w:lineRule="exact"/>
        <w:jc w:val="left"/>
        <w:rPr>
          <w:color w:val="000000"/>
          <w:sz w:val="24"/>
          <w:highlight w:val="none"/>
        </w:rPr>
      </w:pPr>
      <w:r>
        <w:rPr>
          <w:color w:val="000000"/>
          <w:sz w:val="24"/>
        </w:rPr>
        <w:t>十三、财政拨款“三公”经费支出决算表</w:t>
      </w:r>
    </w:p>
    <w:p w14:paraId="1471652D">
      <w:pPr>
        <w:widowControl/>
        <w:snapToGrid w:val="0"/>
        <w:spacing w:line="440" w:lineRule="exact"/>
        <w:ind w:firstLine="1320"/>
        <w:jc w:val="left"/>
        <w:rPr>
          <w:rFonts w:ascii="仿宋" w:hAnsi="仿宋" w:eastAsia="仿宋" w:cs="仿宋"/>
          <w:color w:val="000000"/>
          <w:sz w:val="24"/>
          <w:highlight w:val="none"/>
          <w:lang w:eastAsia="zh-CN"/>
        </w:rPr>
      </w:pPr>
      <w:r>
        <w:rPr>
          <w:rFonts w:ascii="仿宋" w:hAnsi="仿宋" w:eastAsia="仿宋" w:cs="仿宋"/>
          <w:color w:val="000000"/>
          <w:sz w:val="24"/>
          <w:lang w:eastAsia="zh-CN"/>
        </w:rPr>
        <w:t>（</w:t>
      </w:r>
      <w:r>
        <w:rPr>
          <w:rFonts w:ascii="仿宋" w:hAnsi="仿宋" w:eastAsia="仿宋" w:cs="仿宋"/>
          <w:color w:val="000000"/>
          <w:sz w:val="24"/>
        </w:rPr>
        <w:t>注：请</w:t>
      </w:r>
      <w:r>
        <w:rPr>
          <w:rFonts w:ascii="仿宋" w:hAnsi="仿宋" w:eastAsia="仿宋" w:cs="仿宋"/>
          <w:color w:val="000000"/>
          <w:sz w:val="24"/>
          <w:lang w:eastAsia="zh-CN"/>
        </w:rPr>
        <w:t>单位</w:t>
      </w:r>
      <w:r>
        <w:rPr>
          <w:rFonts w:ascii="仿宋" w:hAnsi="仿宋" w:eastAsia="仿宋" w:cs="仿宋"/>
          <w:color w:val="000000"/>
          <w:sz w:val="24"/>
        </w:rPr>
        <w:t>根据实际注明页码</w:t>
      </w:r>
      <w:r>
        <w:rPr>
          <w:rFonts w:ascii="仿宋" w:hAnsi="仿宋" w:eastAsia="仿宋" w:cs="仿宋"/>
          <w:color w:val="000000"/>
          <w:sz w:val="24"/>
          <w:lang w:eastAsia="zh-CN"/>
        </w:rPr>
        <w:t>）</w:t>
      </w:r>
    </w:p>
    <w:p w14:paraId="5E3BCB72">
      <w:pPr>
        <w:pStyle w:val="2"/>
        <w:bidi w:val="0"/>
        <w:jc w:val="left"/>
        <w:rPr>
          <w:rFonts w:ascii="仿宋" w:hAnsi="仿宋" w:eastAsia="仿宋" w:cs="仿宋"/>
          <w:color w:val="000000"/>
          <w:sz w:val="24"/>
          <w:highlight w:val="none"/>
          <w:lang w:eastAsia="zh-CN"/>
        </w:rPr>
      </w:pPr>
    </w:p>
    <w:p w14:paraId="2C5A00AA">
      <w:pPr>
        <w:rPr>
          <w:rFonts w:ascii="仿宋" w:hAnsi="仿宋" w:eastAsia="仿宋" w:cs="仿宋"/>
          <w:color w:val="000000"/>
          <w:sz w:val="24"/>
          <w:highlight w:val="none"/>
          <w:lang w:eastAsia="zh-CN"/>
        </w:rPr>
      </w:pPr>
    </w:p>
    <w:p w14:paraId="719A9819">
      <w:pPr>
        <w:pStyle w:val="2"/>
        <w:bidi w:val="0"/>
        <w:jc w:val="left"/>
        <w:rPr>
          <w:rFonts w:ascii="仿宋" w:hAnsi="仿宋" w:eastAsia="仿宋" w:cs="仿宋"/>
          <w:color w:val="000000"/>
          <w:sz w:val="24"/>
          <w:highlight w:val="none"/>
          <w:lang w:eastAsia="zh-CN"/>
        </w:rPr>
      </w:pPr>
    </w:p>
    <w:p w14:paraId="56C05E7E">
      <w:pPr>
        <w:rPr>
          <w:rFonts w:ascii="仿宋" w:hAnsi="仿宋" w:eastAsia="仿宋" w:cs="仿宋"/>
          <w:color w:val="000000"/>
          <w:sz w:val="24"/>
          <w:highlight w:val="none"/>
          <w:lang w:eastAsia="zh-CN"/>
        </w:rPr>
      </w:pPr>
    </w:p>
    <w:p w14:paraId="148AAD96">
      <w:pPr>
        <w:pStyle w:val="2"/>
        <w:bidi w:val="0"/>
        <w:jc w:val="left"/>
        <w:rPr>
          <w:rFonts w:ascii="仿宋" w:hAnsi="仿宋" w:eastAsia="仿宋" w:cs="仿宋"/>
          <w:color w:val="000000"/>
          <w:sz w:val="24"/>
          <w:highlight w:val="none"/>
          <w:lang w:eastAsia="zh-CN"/>
        </w:rPr>
      </w:pPr>
    </w:p>
    <w:p w14:paraId="7D9CB337">
      <w:pPr>
        <w:rPr>
          <w:rFonts w:ascii="仿宋" w:hAnsi="仿宋" w:eastAsia="仿宋" w:cs="仿宋"/>
          <w:color w:val="000000"/>
          <w:sz w:val="24"/>
          <w:highlight w:val="none"/>
          <w:lang w:eastAsia="zh-CN"/>
        </w:rPr>
      </w:pPr>
    </w:p>
    <w:p w14:paraId="1603C327">
      <w:pPr>
        <w:pStyle w:val="2"/>
        <w:bidi w:val="0"/>
        <w:jc w:val="left"/>
        <w:rPr>
          <w:rFonts w:ascii="仿宋" w:hAnsi="仿宋" w:eastAsia="仿宋" w:cs="仿宋"/>
          <w:color w:val="000000"/>
          <w:sz w:val="24"/>
          <w:highlight w:val="none"/>
          <w:lang w:eastAsia="zh-CN"/>
        </w:rPr>
      </w:pPr>
    </w:p>
    <w:p w14:paraId="2425C32C">
      <w:pPr>
        <w:rPr>
          <w:rFonts w:ascii="仿宋" w:hAnsi="仿宋" w:eastAsia="仿宋" w:cs="仿宋"/>
          <w:color w:val="000000"/>
          <w:sz w:val="24"/>
          <w:highlight w:val="none"/>
          <w:lang w:eastAsia="zh-CN"/>
        </w:rPr>
      </w:pPr>
    </w:p>
    <w:p w14:paraId="67F73D29">
      <w:pPr>
        <w:pStyle w:val="2"/>
        <w:bidi w:val="0"/>
        <w:jc w:val="left"/>
        <w:rPr>
          <w:rFonts w:ascii="仿宋" w:hAnsi="仿宋" w:eastAsia="仿宋" w:cs="仿宋"/>
          <w:color w:val="000000"/>
          <w:sz w:val="24"/>
          <w:highlight w:val="none"/>
          <w:lang w:eastAsia="zh-CN"/>
        </w:rPr>
      </w:pPr>
    </w:p>
    <w:p w14:paraId="6CB8FB31">
      <w:pPr>
        <w:rPr>
          <w:rFonts w:ascii="仿宋" w:hAnsi="仿宋" w:eastAsia="仿宋" w:cs="仿宋"/>
          <w:color w:val="000000"/>
          <w:sz w:val="24"/>
          <w:highlight w:val="none"/>
          <w:lang w:eastAsia="zh-CN"/>
        </w:rPr>
      </w:pPr>
    </w:p>
    <w:p w14:paraId="0F6050A7">
      <w:pPr>
        <w:pStyle w:val="2"/>
        <w:bidi w:val="0"/>
        <w:jc w:val="left"/>
        <w:rPr>
          <w:rFonts w:ascii="仿宋" w:hAnsi="仿宋" w:eastAsia="仿宋" w:cs="仿宋"/>
          <w:color w:val="000000"/>
          <w:sz w:val="24"/>
          <w:highlight w:val="none"/>
          <w:lang w:eastAsia="zh-CN"/>
        </w:rPr>
      </w:pPr>
    </w:p>
    <w:p w14:paraId="12A8DBDC">
      <w:pPr>
        <w:rPr>
          <w:rFonts w:ascii="仿宋" w:hAnsi="仿宋" w:eastAsia="仿宋" w:cs="仿宋"/>
          <w:color w:val="000000"/>
          <w:sz w:val="24"/>
          <w:highlight w:val="none"/>
          <w:lang w:eastAsia="zh-CN"/>
        </w:rPr>
      </w:pPr>
    </w:p>
    <w:p w14:paraId="31F4A5CC">
      <w:pPr>
        <w:pStyle w:val="2"/>
        <w:bidi w:val="0"/>
        <w:jc w:val="left"/>
        <w:rPr>
          <w:rFonts w:ascii="仿宋" w:hAnsi="仿宋" w:eastAsia="仿宋" w:cs="仿宋"/>
          <w:color w:val="000000"/>
          <w:sz w:val="24"/>
          <w:highlight w:val="none"/>
          <w:lang w:eastAsia="zh-CN"/>
        </w:rPr>
      </w:pPr>
    </w:p>
    <w:p w14:paraId="0FDE9446">
      <w:pPr>
        <w:rPr>
          <w:rFonts w:ascii="仿宋" w:hAnsi="仿宋" w:eastAsia="仿宋" w:cs="仿宋"/>
          <w:color w:val="000000"/>
          <w:sz w:val="24"/>
          <w:highlight w:val="none"/>
          <w:lang w:eastAsia="zh-CN"/>
        </w:rPr>
      </w:pPr>
    </w:p>
    <w:p w14:paraId="5733B441">
      <w:pPr>
        <w:pStyle w:val="2"/>
        <w:bidi w:val="0"/>
        <w:jc w:val="left"/>
        <w:rPr>
          <w:rFonts w:ascii="仿宋" w:hAnsi="仿宋" w:eastAsia="仿宋" w:cs="仿宋"/>
          <w:color w:val="000000"/>
          <w:sz w:val="24"/>
          <w:highlight w:val="none"/>
          <w:lang w:eastAsia="zh-CN"/>
        </w:rPr>
      </w:pPr>
    </w:p>
    <w:p w14:paraId="6F55E278">
      <w:pPr>
        <w:rPr>
          <w:rFonts w:ascii="仿宋" w:hAnsi="仿宋" w:eastAsia="仿宋" w:cs="仿宋"/>
          <w:color w:val="000000"/>
          <w:sz w:val="24"/>
          <w:highlight w:val="none"/>
          <w:lang w:eastAsia="zh-CN"/>
        </w:rPr>
      </w:pPr>
    </w:p>
    <w:p w14:paraId="72820D5D">
      <w:pPr>
        <w:pStyle w:val="2"/>
        <w:bidi w:val="0"/>
        <w:jc w:val="left"/>
        <w:rPr>
          <w:rFonts w:ascii="仿宋" w:hAnsi="仿宋" w:eastAsia="仿宋" w:cs="仿宋"/>
          <w:color w:val="000000"/>
          <w:sz w:val="24"/>
          <w:highlight w:val="none"/>
          <w:lang w:eastAsia="zh-CN"/>
        </w:rPr>
      </w:pPr>
      <w:r>
        <w:br w:type="page"/>
      </w:r>
    </w:p>
    <w:p w14:paraId="24F5BC2A">
      <w:pPr>
        <w:widowControl/>
        <w:spacing w:line="440" w:lineRule="exact"/>
        <w:jc w:val="left"/>
        <w:rPr>
          <w:rFonts w:ascii="仿宋" w:hAnsi="仿宋" w:eastAsia="仿宋" w:cs="仿宋"/>
          <w:b/>
          <w:bCs/>
          <w:color w:val="000000"/>
          <w:kern w:val="2"/>
          <w:sz w:val="24"/>
          <w:highlight w:val="none"/>
        </w:rPr>
      </w:pPr>
    </w:p>
    <w:p w14:paraId="03DCA2B9">
      <w:pPr>
        <w:pStyle w:val="3"/>
        <w:jc w:val="center"/>
        <w:rPr>
          <w:rStyle w:val="21"/>
          <w:rFonts w:ascii="黑体" w:hAnsi="黑体" w:eastAsia="黑体" w:cs="黑体"/>
          <w:b/>
          <w:bCs w:val="0"/>
          <w:color w:val="000000"/>
          <w:highlight w:val="none"/>
        </w:rPr>
      </w:pPr>
      <w:r>
        <w:rPr>
          <w:rFonts w:ascii="黑体" w:hAnsi="黑体" w:eastAsia="黑体" w:cs="黑体"/>
          <w:b w:val="0"/>
          <w:color w:val="000000"/>
        </w:rPr>
        <w:t xml:space="preserve">第一部分 </w:t>
      </w:r>
      <w:r>
        <w:rPr>
          <w:rFonts w:ascii="黑体" w:hAnsi="黑体" w:eastAsia="黑体" w:cs="黑体"/>
          <w:b w:val="0"/>
          <w:color w:val="000000"/>
          <w:lang w:eastAsia="zh-CN"/>
        </w:rPr>
        <w:t>单位</w:t>
      </w:r>
      <w:r>
        <w:rPr>
          <w:rStyle w:val="21"/>
          <w:rFonts w:ascii="黑体" w:hAnsi="黑体" w:eastAsia="黑体" w:cs="黑体"/>
          <w:b w:val="0"/>
          <w:bCs w:val="0"/>
          <w:color w:val="000000"/>
        </w:rPr>
        <w:t>概况</w:t>
      </w:r>
    </w:p>
    <w:p w14:paraId="4ED2CE83">
      <w:pPr>
        <w:widowControl/>
        <w:jc w:val="left"/>
        <w:rPr>
          <w:rStyle w:val="21"/>
          <w:rFonts w:ascii="黑体" w:hAnsi="黑体" w:eastAsia="黑体" w:cs="黑体"/>
          <w:b/>
          <w:bCs w:val="0"/>
          <w:color w:val="000000"/>
          <w:sz w:val="32"/>
          <w:szCs w:val="32"/>
          <w:highlight w:val="none"/>
        </w:rPr>
      </w:pPr>
    </w:p>
    <w:p w14:paraId="71BD7589">
      <w:pPr>
        <w:pStyle w:val="4"/>
        <w:numPr>
          <w:ilvl w:val="0"/>
          <w:numId w:val="2"/>
        </w:numPr>
        <w:rPr>
          <w:rStyle w:val="18"/>
          <w:rFonts w:ascii="黑体" w:hAnsi="黑体" w:eastAsia="黑体" w:cs="黑体"/>
          <w:b w:val="0"/>
          <w:bCs w:val="0"/>
          <w:color w:val="000000"/>
          <w:highlight w:val="none"/>
          <w:lang w:eastAsia="zh-CN"/>
        </w:rPr>
      </w:pPr>
      <w:r>
        <w:rPr>
          <w:rStyle w:val="18"/>
          <w:rFonts w:ascii="黑体" w:hAnsi="黑体" w:eastAsia="黑体" w:cs="黑体"/>
          <w:b w:val="0"/>
          <w:bCs w:val="0"/>
          <w:color w:val="000000"/>
          <w:lang w:eastAsia="zh-CN"/>
        </w:rPr>
        <w:t>主要职责</w:t>
      </w:r>
    </w:p>
    <w:p w14:paraId="5CF1C2EA">
      <w:pPr>
        <w:keepNext w:val="0"/>
        <w:keepLines w:val="0"/>
        <w:widowControl/>
        <w:rPr>
          <w:rFonts w:ascii="仿宋" w:hAnsi="仿宋" w:eastAsia="仿宋" w:cs="仿宋"/>
          <w:kern w:val="0"/>
          <w:sz w:val="30"/>
          <w:szCs w:val="30"/>
        </w:rPr>
      </w:pPr>
      <w:r>
        <w:rPr>
          <w:rFonts w:ascii="仿宋" w:hAnsi="仿宋" w:eastAsia="仿宋" w:cs="仿宋"/>
          <w:kern w:val="0"/>
          <w:sz w:val="30"/>
          <w:szCs w:val="30"/>
        </w:rPr>
        <w:t>（一）加强党的领导。</w:t>
      </w:r>
    </w:p>
    <w:p w14:paraId="30FDCECD">
      <w:pPr>
        <w:keepNext w:val="0"/>
        <w:keepLines w:val="0"/>
        <w:widowControl/>
        <w:rPr>
          <w:rFonts w:ascii="仿宋" w:hAnsi="仿宋" w:eastAsia="仿宋" w:cs="仿宋"/>
          <w:kern w:val="0"/>
          <w:sz w:val="30"/>
          <w:szCs w:val="30"/>
        </w:rPr>
      </w:pPr>
      <w:r>
        <w:rPr>
          <w:rFonts w:ascii="仿宋" w:hAnsi="仿宋" w:eastAsia="仿宋" w:cs="仿宋"/>
          <w:kern w:val="0"/>
          <w:sz w:val="30"/>
          <w:szCs w:val="30"/>
        </w:rPr>
        <w:t>1.履行政治领导责任，做好理论武装和思想政治工作，负责学习、宣传、贯彻执行党的理论和路线方针政策，贯彻落实党中央、省委、州委、县委的决策部署，发挥好把方向、管大局、保落实的重要作用。</w:t>
      </w:r>
    </w:p>
    <w:p w14:paraId="67C1E082">
      <w:pPr>
        <w:keepNext w:val="0"/>
        <w:keepLines w:val="0"/>
        <w:widowControl/>
        <w:rPr>
          <w:rFonts w:ascii="仿宋" w:hAnsi="仿宋" w:eastAsia="仿宋" w:cs="仿宋"/>
          <w:kern w:val="0"/>
          <w:sz w:val="30"/>
          <w:szCs w:val="30"/>
        </w:rPr>
      </w:pPr>
      <w:r>
        <w:rPr>
          <w:rFonts w:ascii="仿宋" w:hAnsi="仿宋" w:eastAsia="仿宋" w:cs="仿宋"/>
          <w:kern w:val="0"/>
          <w:sz w:val="30"/>
          <w:szCs w:val="30"/>
        </w:rPr>
        <w:t>2.履行</w:t>
      </w:r>
      <w:r>
        <w:rPr>
          <w:rFonts w:hint="eastAsia" w:ascii="仿宋" w:hAnsi="仿宋" w:eastAsia="仿宋" w:cs="仿宋"/>
          <w:kern w:val="0"/>
          <w:sz w:val="30"/>
          <w:szCs w:val="30"/>
          <w:lang w:eastAsia="zh-CN"/>
        </w:rPr>
        <w:t>党要管党、全面从严治党</w:t>
      </w:r>
      <w:r>
        <w:rPr>
          <w:rFonts w:ascii="仿宋" w:hAnsi="仿宋" w:eastAsia="仿宋" w:cs="仿宋"/>
          <w:kern w:val="0"/>
          <w:sz w:val="30"/>
          <w:szCs w:val="30"/>
          <w:lang w:eastAsia="zh-CN"/>
        </w:rPr>
        <w:t>主体责任</w:t>
      </w:r>
      <w:r>
        <w:rPr>
          <w:rFonts w:ascii="仿宋" w:hAnsi="仿宋" w:eastAsia="仿宋" w:cs="仿宋"/>
          <w:kern w:val="0"/>
          <w:sz w:val="30"/>
          <w:szCs w:val="30"/>
        </w:rPr>
        <w:t>，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7EC3D971">
      <w:pPr>
        <w:keepNext w:val="0"/>
        <w:keepLines w:val="0"/>
        <w:widowControl/>
        <w:rPr>
          <w:rFonts w:ascii="仿宋" w:hAnsi="仿宋" w:eastAsia="仿宋" w:cs="仿宋"/>
          <w:kern w:val="0"/>
          <w:sz w:val="30"/>
          <w:szCs w:val="30"/>
        </w:rPr>
      </w:pPr>
      <w:r>
        <w:rPr>
          <w:rFonts w:ascii="仿宋" w:hAnsi="仿宋" w:eastAsia="仿宋" w:cs="仿宋"/>
          <w:kern w:val="0"/>
          <w:sz w:val="30"/>
          <w:szCs w:val="30"/>
        </w:rPr>
        <w:t>3.讨论和决定辖区内</w:t>
      </w:r>
      <w:r>
        <w:rPr>
          <w:rFonts w:hint="eastAsia" w:ascii="仿宋" w:hAnsi="仿宋" w:eastAsia="仿宋" w:cs="仿宋"/>
          <w:kern w:val="0"/>
          <w:sz w:val="30"/>
          <w:szCs w:val="30"/>
          <w:lang w:eastAsia="zh-CN"/>
        </w:rPr>
        <w:t>经济建设、政治建设、文化建设、社会建设、生态文明建设</w:t>
      </w:r>
      <w:r>
        <w:rPr>
          <w:rFonts w:ascii="仿宋" w:hAnsi="仿宋" w:eastAsia="仿宋" w:cs="仿宋"/>
          <w:kern w:val="0"/>
          <w:sz w:val="30"/>
          <w:szCs w:val="30"/>
        </w:rPr>
        <w:t>、</w:t>
      </w:r>
      <w:r>
        <w:rPr>
          <w:rFonts w:hint="eastAsia" w:ascii="仿宋" w:hAnsi="仿宋" w:eastAsia="仿宋" w:cs="仿宋"/>
          <w:kern w:val="0"/>
          <w:sz w:val="30"/>
          <w:szCs w:val="30"/>
          <w:lang w:eastAsia="zh-CN"/>
        </w:rPr>
        <w:t>法治建设</w:t>
      </w:r>
      <w:r>
        <w:rPr>
          <w:rFonts w:ascii="仿宋" w:hAnsi="仿宋" w:eastAsia="仿宋" w:cs="仿宋"/>
          <w:kern w:val="0"/>
          <w:sz w:val="30"/>
          <w:szCs w:val="30"/>
        </w:rPr>
        <w:t>和党的建设以及乡村振兴中的重大问题。其他应当由党委讨论和决定的重大问题。</w:t>
      </w:r>
    </w:p>
    <w:p w14:paraId="57E28E82">
      <w:pPr>
        <w:keepNext w:val="0"/>
        <w:keepLines w:val="0"/>
        <w:widowControl/>
        <w:rPr>
          <w:rFonts w:ascii="仿宋" w:hAnsi="仿宋" w:eastAsia="仿宋" w:cs="仿宋"/>
          <w:kern w:val="0"/>
          <w:sz w:val="30"/>
          <w:szCs w:val="30"/>
        </w:rPr>
      </w:pPr>
      <w:r>
        <w:rPr>
          <w:rFonts w:ascii="仿宋" w:hAnsi="仿宋" w:eastAsia="仿宋" w:cs="仿宋"/>
          <w:kern w:val="0"/>
          <w:sz w:val="30"/>
          <w:szCs w:val="30"/>
        </w:rPr>
        <w:t>4.贯彻党管干部原则，加强干部队伍建设，完善干部培养选拔机制，加强干部教育管理监督。贯彻党管人才原则，加强人才队伍建设。加强对本</w:t>
      </w:r>
      <w:r>
        <w:rPr>
          <w:rFonts w:ascii="仿宋" w:hAnsi="仿宋" w:eastAsia="仿宋" w:cs="仿宋"/>
          <w:kern w:val="0"/>
          <w:sz w:val="30"/>
          <w:szCs w:val="30"/>
          <w:lang w:eastAsia="zh-CN"/>
        </w:rPr>
        <w:t>乡</w:t>
      </w:r>
      <w:r>
        <w:rPr>
          <w:rFonts w:ascii="仿宋" w:hAnsi="仿宋" w:eastAsia="仿宋" w:cs="仿宋"/>
          <w:kern w:val="0"/>
          <w:sz w:val="30"/>
          <w:szCs w:val="30"/>
        </w:rPr>
        <w:t>工会、共青团、妇联等群团工作的领导。</w:t>
      </w:r>
    </w:p>
    <w:p w14:paraId="734BEB03">
      <w:pPr>
        <w:keepNext w:val="0"/>
        <w:keepLines w:val="0"/>
        <w:widowControl/>
        <w:rPr>
          <w:rFonts w:ascii="仿宋" w:hAnsi="仿宋" w:eastAsia="仿宋" w:cs="仿宋"/>
          <w:kern w:val="0"/>
          <w:sz w:val="30"/>
          <w:szCs w:val="30"/>
        </w:rPr>
      </w:pPr>
      <w:r>
        <w:rPr>
          <w:rFonts w:ascii="仿宋" w:hAnsi="仿宋" w:eastAsia="仿宋" w:cs="仿宋"/>
          <w:kern w:val="0"/>
          <w:sz w:val="30"/>
          <w:szCs w:val="30"/>
        </w:rPr>
        <w:t>5.指导农村党建，落实基层党建工作责任制，严格抓好基层党组织建设各项制度，统筹抓好</w:t>
      </w:r>
      <w:r>
        <w:rPr>
          <w:rFonts w:ascii="仿宋" w:hAnsi="仿宋" w:eastAsia="仿宋" w:cs="仿宋"/>
          <w:kern w:val="0"/>
          <w:sz w:val="30"/>
          <w:szCs w:val="30"/>
          <w:lang w:eastAsia="zh-CN"/>
        </w:rPr>
        <w:t>乡</w:t>
      </w:r>
      <w:r>
        <w:rPr>
          <w:rFonts w:ascii="仿宋" w:hAnsi="仿宋" w:eastAsia="仿宋" w:cs="仿宋"/>
          <w:kern w:val="0"/>
          <w:sz w:val="30"/>
          <w:szCs w:val="30"/>
        </w:rPr>
        <w:t>机关、村、驻辖区单位、行、</w:t>
      </w:r>
    </w:p>
    <w:p w14:paraId="51EE28C0">
      <w:pPr>
        <w:keepNext w:val="0"/>
        <w:keepLines w:val="0"/>
        <w:widowControl/>
        <w:rPr>
          <w:rFonts w:ascii="仿宋" w:hAnsi="仿宋" w:eastAsia="仿宋" w:cs="仿宋"/>
          <w:kern w:val="0"/>
          <w:sz w:val="30"/>
          <w:szCs w:val="30"/>
        </w:rPr>
      </w:pPr>
      <w:r>
        <w:rPr>
          <w:rFonts w:ascii="仿宋" w:hAnsi="仿宋" w:eastAsia="仿宋" w:cs="仿宋"/>
          <w:kern w:val="0"/>
          <w:sz w:val="30"/>
          <w:szCs w:val="30"/>
        </w:rPr>
        <w:t>“两新”组织等党建工作，推进全面从严治党，落实农村基层建设工作要求。</w:t>
      </w:r>
    </w:p>
    <w:p w14:paraId="32F12665">
      <w:pPr>
        <w:keepNext w:val="0"/>
        <w:keepLines w:val="0"/>
        <w:widowControl/>
        <w:rPr>
          <w:rFonts w:ascii="仿宋" w:hAnsi="仿宋" w:eastAsia="仿宋" w:cs="仿宋"/>
          <w:kern w:val="0"/>
          <w:sz w:val="30"/>
          <w:szCs w:val="30"/>
        </w:rPr>
      </w:pPr>
      <w:r>
        <w:rPr>
          <w:rFonts w:ascii="仿宋" w:hAnsi="仿宋" w:eastAsia="仿宋" w:cs="仿宋"/>
          <w:kern w:val="0"/>
          <w:sz w:val="30"/>
          <w:szCs w:val="30"/>
        </w:rPr>
        <w:t>6.加强基层社会宣传、舆论引导、精神文明建设、统一战线工作，落实党管意识形态工作责任制，健全完善党建引领基层体系，强化基层治理平台建设，进一步增强党在农村的</w:t>
      </w:r>
      <w:r>
        <w:rPr>
          <w:rFonts w:hint="eastAsia" w:ascii="仿宋" w:hAnsi="仿宋" w:eastAsia="仿宋" w:cs="仿宋"/>
          <w:kern w:val="0"/>
          <w:sz w:val="30"/>
          <w:szCs w:val="30"/>
          <w:lang w:eastAsia="zh-CN"/>
        </w:rPr>
        <w:t>党的政治领导力、思想引领力、群众组织力、社会号召力</w:t>
      </w:r>
      <w:r>
        <w:rPr>
          <w:rFonts w:ascii="仿宋" w:hAnsi="仿宋" w:eastAsia="仿宋" w:cs="仿宋"/>
          <w:kern w:val="0"/>
          <w:sz w:val="30"/>
          <w:szCs w:val="30"/>
        </w:rPr>
        <w:t>。</w:t>
      </w:r>
    </w:p>
    <w:p w14:paraId="22DF3E7D">
      <w:pPr>
        <w:keepNext w:val="0"/>
        <w:keepLines w:val="0"/>
        <w:widowControl/>
        <w:rPr>
          <w:rFonts w:ascii="仿宋" w:hAnsi="仿宋" w:eastAsia="仿宋" w:cs="仿宋"/>
          <w:kern w:val="0"/>
          <w:sz w:val="30"/>
          <w:szCs w:val="30"/>
        </w:rPr>
      </w:pPr>
      <w:r>
        <w:rPr>
          <w:rFonts w:ascii="仿宋" w:hAnsi="仿宋" w:eastAsia="仿宋" w:cs="仿宋"/>
          <w:kern w:val="0"/>
          <w:sz w:val="30"/>
          <w:szCs w:val="30"/>
        </w:rPr>
        <w:t>（二）统筹经济发展。</w:t>
      </w:r>
    </w:p>
    <w:p w14:paraId="0DA26F1F">
      <w:pPr>
        <w:keepNext w:val="0"/>
        <w:keepLines w:val="0"/>
        <w:widowControl/>
        <w:rPr>
          <w:rFonts w:ascii="仿宋" w:hAnsi="仿宋" w:eastAsia="仿宋" w:cs="仿宋"/>
          <w:kern w:val="0"/>
          <w:sz w:val="30"/>
          <w:szCs w:val="30"/>
        </w:rPr>
      </w:pPr>
      <w:r>
        <w:rPr>
          <w:rFonts w:ascii="仿宋" w:hAnsi="仿宋" w:eastAsia="仿宋" w:cs="仿宋"/>
          <w:kern w:val="0"/>
          <w:sz w:val="30"/>
          <w:szCs w:val="30"/>
        </w:rPr>
        <w:t>1.负责辖区经济发展工作，执行辖区内的经济和社会</w:t>
      </w:r>
      <w:r>
        <w:rPr>
          <w:rFonts w:ascii="仿宋" w:hAnsi="仿宋" w:eastAsia="仿宋" w:cs="仿宋"/>
          <w:kern w:val="0"/>
          <w:sz w:val="30"/>
          <w:szCs w:val="30"/>
          <w:lang w:eastAsia="zh-CN"/>
        </w:rPr>
        <w:t>发展计划</w:t>
      </w:r>
      <w:r>
        <w:rPr>
          <w:rFonts w:ascii="仿宋" w:hAnsi="仿宋" w:eastAsia="仿宋" w:cs="仿宋"/>
          <w:kern w:val="0"/>
          <w:sz w:val="30"/>
          <w:szCs w:val="30"/>
        </w:rPr>
        <w:t>、预算。参与区域内土地利用、产业发展等规划编制，对区内重大基础设施建设、重大公共服务资源布局、重大政策提出意见建议。落实辖区内发展规划、专项规划、区域规划、国土空间规划和“四好农村路”建设等。</w:t>
      </w:r>
    </w:p>
    <w:p w14:paraId="024FFA46">
      <w:pPr>
        <w:keepNext w:val="0"/>
        <w:keepLines w:val="0"/>
        <w:widowControl/>
        <w:rPr>
          <w:rFonts w:ascii="仿宋" w:hAnsi="仿宋" w:eastAsia="仿宋" w:cs="仿宋"/>
          <w:kern w:val="0"/>
          <w:sz w:val="30"/>
          <w:szCs w:val="30"/>
        </w:rPr>
      </w:pPr>
      <w:r>
        <w:rPr>
          <w:rFonts w:ascii="仿宋" w:hAnsi="仿宋" w:eastAsia="仿宋" w:cs="仿宋"/>
          <w:kern w:val="0"/>
          <w:sz w:val="30"/>
          <w:szCs w:val="30"/>
        </w:rPr>
        <w:t>2.</w:t>
      </w:r>
      <w:r>
        <w:rPr>
          <w:rFonts w:hint="eastAsia" w:ascii="仿宋" w:hAnsi="仿宋" w:eastAsia="仿宋" w:cs="仿宋"/>
          <w:kern w:val="0"/>
          <w:sz w:val="30"/>
          <w:szCs w:val="30"/>
          <w:lang w:eastAsia="zh-CN"/>
        </w:rPr>
        <w:t>巩固拓展脱贫攻坚成果</w:t>
      </w:r>
      <w:r>
        <w:rPr>
          <w:rFonts w:ascii="仿宋" w:hAnsi="仿宋" w:eastAsia="仿宋" w:cs="仿宋"/>
          <w:kern w:val="0"/>
          <w:sz w:val="30"/>
          <w:szCs w:val="30"/>
        </w:rPr>
        <w:t>，贯彻落实中央、省、州、县关于实施乡村振兴战略的决策部署，提升农业发展质量，加强农村人居环境整治，推进宜居乡村建设，增强乡村振兴内生动力。</w:t>
      </w:r>
    </w:p>
    <w:p w14:paraId="60672C80">
      <w:pPr>
        <w:keepNext w:val="0"/>
        <w:keepLines w:val="0"/>
        <w:widowControl/>
        <w:rPr>
          <w:rFonts w:ascii="仿宋" w:hAnsi="仿宋" w:eastAsia="仿宋" w:cs="仿宋"/>
          <w:kern w:val="0"/>
          <w:sz w:val="30"/>
          <w:szCs w:val="30"/>
        </w:rPr>
      </w:pPr>
      <w:r>
        <w:rPr>
          <w:rFonts w:ascii="仿宋" w:hAnsi="仿宋" w:eastAsia="仿宋" w:cs="仿宋"/>
          <w:kern w:val="0"/>
          <w:sz w:val="30"/>
          <w:szCs w:val="30"/>
        </w:rPr>
        <w:t>3.指导农村经济发展，推动产业结构调整。保护各种经济组织的合法权益，营造良好的营商环境。</w:t>
      </w:r>
    </w:p>
    <w:p w14:paraId="71356AF8">
      <w:pPr>
        <w:keepNext w:val="0"/>
        <w:keepLines w:val="0"/>
        <w:widowControl/>
        <w:rPr>
          <w:rFonts w:ascii="仿宋" w:hAnsi="仿宋" w:eastAsia="仿宋" w:cs="仿宋"/>
          <w:kern w:val="0"/>
          <w:sz w:val="30"/>
          <w:szCs w:val="30"/>
        </w:rPr>
      </w:pPr>
      <w:r>
        <w:rPr>
          <w:rFonts w:ascii="仿宋" w:hAnsi="仿宋" w:eastAsia="仿宋" w:cs="仿宋"/>
          <w:kern w:val="0"/>
          <w:sz w:val="30"/>
          <w:szCs w:val="30"/>
        </w:rPr>
        <w:t>4.落实财政保障和财政管理有关政策，统筹管理本级财务及国有资产，协助做好税收征管工作，指导、监管村级财务和资产管理工作等。</w:t>
      </w:r>
    </w:p>
    <w:p w14:paraId="1A63B189">
      <w:pPr>
        <w:keepNext w:val="0"/>
        <w:keepLines w:val="0"/>
        <w:widowControl/>
        <w:rPr>
          <w:rFonts w:ascii="仿宋" w:hAnsi="仿宋" w:eastAsia="仿宋" w:cs="仿宋"/>
          <w:kern w:val="0"/>
          <w:sz w:val="30"/>
          <w:szCs w:val="30"/>
        </w:rPr>
      </w:pPr>
      <w:r>
        <w:rPr>
          <w:rFonts w:ascii="仿宋" w:hAnsi="仿宋" w:eastAsia="仿宋" w:cs="仿宋"/>
          <w:kern w:val="0"/>
          <w:sz w:val="30"/>
          <w:szCs w:val="30"/>
        </w:rPr>
        <w:t>5.</w:t>
      </w:r>
      <w:r>
        <w:rPr>
          <w:rFonts w:hint="eastAsia" w:ascii="仿宋" w:hAnsi="仿宋" w:eastAsia="仿宋" w:cs="仿宋"/>
          <w:kern w:val="0"/>
          <w:sz w:val="30"/>
          <w:szCs w:val="30"/>
          <w:lang w:eastAsia="zh-CN"/>
        </w:rPr>
        <w:t>负责乡村</w:t>
      </w:r>
      <w:r>
        <w:rPr>
          <w:rFonts w:ascii="仿宋" w:hAnsi="仿宋" w:eastAsia="仿宋" w:cs="仿宋"/>
          <w:kern w:val="0"/>
          <w:sz w:val="30"/>
          <w:szCs w:val="30"/>
        </w:rPr>
        <w:t>规范建设管理，统筹农村基础设施建设等工作。负责辖区内自然资源保护、生态环境保护、城</w:t>
      </w:r>
      <w:r>
        <w:rPr>
          <w:rFonts w:ascii="仿宋" w:hAnsi="仿宋" w:eastAsia="仿宋" w:cs="仿宋"/>
          <w:kern w:val="0"/>
          <w:sz w:val="30"/>
          <w:szCs w:val="30"/>
          <w:lang w:eastAsia="zh-CN"/>
        </w:rPr>
        <w:t>乡</w:t>
      </w:r>
      <w:r>
        <w:rPr>
          <w:rFonts w:ascii="仿宋" w:hAnsi="仿宋" w:eastAsia="仿宋" w:cs="仿宋"/>
          <w:kern w:val="0"/>
          <w:sz w:val="30"/>
          <w:szCs w:val="30"/>
        </w:rPr>
        <w:t>管理等工作。</w:t>
      </w:r>
    </w:p>
    <w:p w14:paraId="1FF397A4">
      <w:pPr>
        <w:keepNext w:val="0"/>
        <w:keepLines w:val="0"/>
        <w:widowControl/>
        <w:rPr>
          <w:rFonts w:ascii="仿宋" w:hAnsi="仿宋" w:eastAsia="仿宋" w:cs="仿宋"/>
          <w:kern w:val="0"/>
          <w:sz w:val="30"/>
          <w:szCs w:val="30"/>
        </w:rPr>
      </w:pPr>
      <w:r>
        <w:rPr>
          <w:rFonts w:ascii="仿宋" w:hAnsi="仿宋" w:eastAsia="仿宋" w:cs="仿宋"/>
          <w:kern w:val="0"/>
          <w:sz w:val="30"/>
          <w:szCs w:val="30"/>
        </w:rPr>
        <w:t>（三）加强民生改善。</w:t>
      </w:r>
    </w:p>
    <w:p w14:paraId="22EFC353">
      <w:pPr>
        <w:keepNext w:val="0"/>
        <w:keepLines w:val="0"/>
        <w:widowControl/>
        <w:rPr>
          <w:rFonts w:ascii="仿宋" w:hAnsi="仿宋" w:eastAsia="仿宋" w:cs="仿宋"/>
          <w:kern w:val="0"/>
          <w:sz w:val="30"/>
          <w:szCs w:val="30"/>
        </w:rPr>
      </w:pPr>
      <w:r>
        <w:rPr>
          <w:rFonts w:ascii="仿宋" w:hAnsi="仿宋" w:eastAsia="仿宋" w:cs="仿宋"/>
          <w:kern w:val="0"/>
          <w:sz w:val="30"/>
          <w:szCs w:val="30"/>
        </w:rPr>
        <w:t>1.加强</w:t>
      </w:r>
      <w:r>
        <w:rPr>
          <w:rFonts w:ascii="仿宋" w:hAnsi="仿宋" w:eastAsia="仿宋" w:cs="仿宋"/>
          <w:kern w:val="0"/>
          <w:sz w:val="30"/>
          <w:szCs w:val="30"/>
          <w:lang w:eastAsia="zh-CN"/>
        </w:rPr>
        <w:t>乡村</w:t>
      </w:r>
      <w:r>
        <w:rPr>
          <w:rFonts w:ascii="仿宋" w:hAnsi="仿宋" w:eastAsia="仿宋" w:cs="仿宋"/>
          <w:kern w:val="0"/>
          <w:sz w:val="30"/>
          <w:szCs w:val="30"/>
        </w:rPr>
        <w:t>综合便民服务平台标准化建设，做</w:t>
      </w:r>
      <w:r>
        <w:rPr>
          <w:rFonts w:ascii="仿宋" w:hAnsi="仿宋" w:eastAsia="仿宋" w:cs="仿宋"/>
          <w:kern w:val="0"/>
          <w:sz w:val="30"/>
          <w:szCs w:val="30"/>
          <w:lang w:eastAsia="zh-CN"/>
        </w:rPr>
        <w:t>好农</w:t>
      </w:r>
      <w:r>
        <w:rPr>
          <w:rFonts w:ascii="仿宋" w:hAnsi="仿宋" w:eastAsia="仿宋" w:cs="仿宋"/>
          <w:kern w:val="0"/>
          <w:sz w:val="30"/>
          <w:szCs w:val="30"/>
        </w:rPr>
        <w:t>村服务配套设施和综合服务平台建设，提升便民服务质量。</w:t>
      </w:r>
    </w:p>
    <w:p w14:paraId="7D13CAD0">
      <w:pPr>
        <w:keepNext w:val="0"/>
        <w:keepLines w:val="0"/>
        <w:widowControl/>
        <w:rPr>
          <w:rFonts w:ascii="仿宋" w:hAnsi="仿宋" w:eastAsia="仿宋" w:cs="仿宋"/>
          <w:kern w:val="0"/>
          <w:sz w:val="30"/>
          <w:szCs w:val="30"/>
        </w:rPr>
      </w:pPr>
      <w:r>
        <w:rPr>
          <w:rFonts w:ascii="仿宋" w:hAnsi="仿宋" w:eastAsia="仿宋" w:cs="仿宋"/>
          <w:kern w:val="0"/>
          <w:sz w:val="30"/>
          <w:szCs w:val="30"/>
        </w:rPr>
        <w:t>2.负责教育体育、劳动就业、社会保障、卫生健康、计划生育、医疗保障、低保救助、助老助残、殡葬管理、文化旅游</w:t>
      </w:r>
      <w:r>
        <w:rPr>
          <w:rFonts w:ascii="仿宋" w:hAnsi="仿宋" w:eastAsia="仿宋" w:cs="仿宋"/>
          <w:kern w:val="0"/>
          <w:sz w:val="30"/>
          <w:szCs w:val="30"/>
          <w:lang w:eastAsia="zh-CN"/>
        </w:rPr>
        <w:t>、民</w:t>
      </w:r>
      <w:r>
        <w:rPr>
          <w:rFonts w:ascii="仿宋" w:hAnsi="仿宋" w:eastAsia="仿宋" w:cs="仿宋"/>
          <w:kern w:val="0"/>
          <w:sz w:val="30"/>
          <w:szCs w:val="30"/>
        </w:rPr>
        <w:t>族宗教、移民搬迁、农技推广、农民工、妇女和未成年人保护公共服务工作，承担组织领导、推进实施、综合协调等职责。（四）维护社会稳定。</w:t>
      </w:r>
    </w:p>
    <w:p w14:paraId="7F0D70EC">
      <w:pPr>
        <w:keepNext w:val="0"/>
        <w:keepLines w:val="0"/>
        <w:widowControl/>
        <w:rPr>
          <w:rFonts w:ascii="仿宋" w:hAnsi="仿宋" w:eastAsia="仿宋" w:cs="仿宋"/>
          <w:kern w:val="0"/>
          <w:sz w:val="30"/>
          <w:szCs w:val="30"/>
        </w:rPr>
      </w:pPr>
      <w:r>
        <w:rPr>
          <w:rFonts w:ascii="仿宋" w:hAnsi="仿宋" w:eastAsia="仿宋" w:cs="仿宋"/>
          <w:kern w:val="0"/>
          <w:sz w:val="30"/>
          <w:szCs w:val="30"/>
        </w:rPr>
        <w:t>1.负责辖区公共安全及安全生产监管、应急管理工作。构建公共安全防控体系，建立应对突发紧急事件的处理预案，做好安全生产、防汛、消防、森林（草原）防灭火、减灾救灾、</w:t>
      </w:r>
      <w:r>
        <w:rPr>
          <w:rFonts w:ascii="仿宋" w:hAnsi="仿宋" w:eastAsia="仿宋" w:cs="仿宋"/>
          <w:kern w:val="0"/>
          <w:sz w:val="30"/>
          <w:szCs w:val="30"/>
          <w:lang w:eastAsia="zh-CN"/>
        </w:rPr>
        <w:t>防控</w:t>
      </w:r>
      <w:r>
        <w:rPr>
          <w:rFonts w:ascii="仿宋" w:hAnsi="仿宋" w:eastAsia="仿宋" w:cs="仿宋"/>
          <w:kern w:val="0"/>
          <w:sz w:val="30"/>
          <w:szCs w:val="30"/>
        </w:rPr>
        <w:t>、</w:t>
      </w:r>
    </w:p>
    <w:p w14:paraId="05E261D2">
      <w:pPr>
        <w:keepNext w:val="0"/>
        <w:keepLines w:val="0"/>
        <w:widowControl/>
        <w:rPr>
          <w:rFonts w:ascii="仿宋" w:hAnsi="仿宋" w:eastAsia="仿宋" w:cs="仿宋"/>
          <w:kern w:val="0"/>
          <w:sz w:val="30"/>
          <w:szCs w:val="30"/>
        </w:rPr>
      </w:pPr>
      <w:r>
        <w:rPr>
          <w:rFonts w:ascii="仿宋" w:hAnsi="仿宋" w:eastAsia="仿宋" w:cs="仿宋"/>
          <w:kern w:val="0"/>
          <w:sz w:val="30"/>
          <w:szCs w:val="30"/>
        </w:rPr>
        <w:t>气象灾害防御、食品药品安全、地质灾害防治等应急管理</w:t>
      </w:r>
      <w:r>
        <w:rPr>
          <w:rFonts w:ascii="仿宋" w:hAnsi="仿宋" w:eastAsia="仿宋" w:cs="仿宋"/>
          <w:kern w:val="0"/>
          <w:sz w:val="30"/>
          <w:szCs w:val="30"/>
          <w:lang w:eastAsia="zh-CN"/>
        </w:rPr>
        <w:t>工作</w:t>
      </w:r>
      <w:r>
        <w:rPr>
          <w:rFonts w:ascii="仿宋" w:hAnsi="仿宋" w:eastAsia="仿宋" w:cs="仿宋"/>
          <w:kern w:val="0"/>
          <w:sz w:val="30"/>
          <w:szCs w:val="30"/>
        </w:rPr>
        <w:t>，</w:t>
      </w:r>
    </w:p>
    <w:p w14:paraId="73C6AF5E">
      <w:pPr>
        <w:keepNext w:val="0"/>
        <w:keepLines w:val="0"/>
        <w:widowControl/>
        <w:rPr>
          <w:rFonts w:ascii="仿宋" w:hAnsi="仿宋" w:eastAsia="仿宋" w:cs="仿宋"/>
          <w:kern w:val="0"/>
          <w:sz w:val="30"/>
          <w:szCs w:val="30"/>
        </w:rPr>
      </w:pPr>
      <w:r>
        <w:rPr>
          <w:rFonts w:ascii="仿宋" w:hAnsi="仿宋" w:eastAsia="仿宋" w:cs="仿宋"/>
          <w:kern w:val="0"/>
          <w:sz w:val="30"/>
          <w:szCs w:val="30"/>
        </w:rPr>
        <w:t>加强监督检查、隐患排查，落实安全生产责任制。负责辖区内</w:t>
      </w:r>
    </w:p>
    <w:p w14:paraId="7FF2E610">
      <w:pPr>
        <w:keepNext w:val="0"/>
        <w:keepLines w:val="0"/>
        <w:widowControl/>
        <w:rPr>
          <w:rFonts w:ascii="仿宋" w:hAnsi="仿宋" w:eastAsia="仿宋" w:cs="仿宋"/>
          <w:kern w:val="0"/>
          <w:sz w:val="30"/>
          <w:szCs w:val="30"/>
        </w:rPr>
      </w:pPr>
      <w:r>
        <w:rPr>
          <w:rFonts w:ascii="仿宋" w:hAnsi="仿宋" w:eastAsia="仿宋" w:cs="仿宋"/>
          <w:kern w:val="0"/>
          <w:sz w:val="30"/>
          <w:szCs w:val="30"/>
        </w:rPr>
        <w:t>态环境保护和自然资源管理等工作。</w:t>
      </w:r>
    </w:p>
    <w:p w14:paraId="7CC06312">
      <w:pPr>
        <w:keepNext w:val="0"/>
        <w:keepLines w:val="0"/>
        <w:widowControl/>
        <w:rPr>
          <w:rFonts w:ascii="仿宋" w:hAnsi="仿宋" w:eastAsia="仿宋" w:cs="仿宋"/>
          <w:kern w:val="0"/>
          <w:sz w:val="30"/>
          <w:szCs w:val="30"/>
        </w:rPr>
      </w:pPr>
      <w:r>
        <w:rPr>
          <w:rFonts w:ascii="仿宋" w:hAnsi="仿宋" w:eastAsia="仿宋" w:cs="仿宋"/>
          <w:kern w:val="0"/>
          <w:sz w:val="30"/>
          <w:szCs w:val="30"/>
        </w:rPr>
        <w:t>2.承担辖区社会治安综合治理工作，加强</w:t>
      </w:r>
      <w:r>
        <w:rPr>
          <w:rFonts w:hint="eastAsia" w:ascii="仿宋" w:hAnsi="仿宋" w:eastAsia="仿宋" w:cs="仿宋"/>
          <w:kern w:val="0"/>
          <w:sz w:val="30"/>
          <w:szCs w:val="30"/>
          <w:lang w:eastAsia="zh-CN"/>
        </w:rPr>
        <w:t>法治建设</w:t>
      </w:r>
      <w:r>
        <w:rPr>
          <w:rFonts w:ascii="仿宋" w:hAnsi="仿宋" w:eastAsia="仿宋" w:cs="仿宋"/>
          <w:kern w:val="0"/>
          <w:sz w:val="30"/>
          <w:szCs w:val="30"/>
        </w:rPr>
        <w:t>和社会治安综合治理。贯彻落实社会矛盾纠纷排查调处机制，及时化解辖区社会矛盾纠纷，确保社会稳定。协助司法机关开展打击各类</w:t>
      </w:r>
    </w:p>
    <w:p w14:paraId="50FEB97F">
      <w:pPr>
        <w:keepNext w:val="0"/>
        <w:keepLines w:val="0"/>
        <w:widowControl/>
        <w:rPr>
          <w:rFonts w:ascii="仿宋" w:hAnsi="仿宋" w:eastAsia="仿宋" w:cs="仿宋"/>
          <w:kern w:val="0"/>
          <w:sz w:val="30"/>
          <w:szCs w:val="30"/>
        </w:rPr>
      </w:pPr>
      <w:r>
        <w:rPr>
          <w:rFonts w:ascii="仿宋" w:hAnsi="仿宋" w:eastAsia="仿宋" w:cs="仿宋"/>
          <w:kern w:val="0"/>
          <w:sz w:val="30"/>
          <w:szCs w:val="30"/>
        </w:rPr>
        <w:t>事犯罪和禁毒、扫黑除恶等活动，稳妥处理突发性、群体性</w:t>
      </w:r>
      <w:r>
        <w:rPr>
          <w:rFonts w:ascii="仿宋" w:hAnsi="仿宋" w:eastAsia="仿宋" w:cs="仿宋"/>
          <w:kern w:val="0"/>
          <w:sz w:val="30"/>
          <w:szCs w:val="30"/>
          <w:lang w:eastAsia="zh-CN"/>
        </w:rPr>
        <w:t>事件</w:t>
      </w:r>
      <w:r>
        <w:rPr>
          <w:rFonts w:ascii="仿宋" w:hAnsi="仿宋" w:eastAsia="仿宋" w:cs="仿宋"/>
          <w:kern w:val="0"/>
          <w:sz w:val="30"/>
          <w:szCs w:val="30"/>
        </w:rPr>
        <w:t>，确保人民群众生命财产安全。</w:t>
      </w:r>
    </w:p>
    <w:p w14:paraId="074AC178">
      <w:pPr>
        <w:keepNext w:val="0"/>
        <w:keepLines w:val="0"/>
        <w:widowControl/>
        <w:rPr>
          <w:rFonts w:ascii="仿宋" w:hAnsi="仿宋" w:eastAsia="仿宋" w:cs="仿宋"/>
          <w:kern w:val="0"/>
          <w:sz w:val="30"/>
          <w:szCs w:val="30"/>
        </w:rPr>
      </w:pPr>
      <w:r>
        <w:rPr>
          <w:rFonts w:ascii="仿宋" w:hAnsi="仿宋" w:eastAsia="仿宋" w:cs="仿宋"/>
          <w:kern w:val="0"/>
          <w:sz w:val="30"/>
          <w:szCs w:val="30"/>
        </w:rPr>
        <w:t>3.指导村民自治，促进社会组织健康发展，完善村规民约，增强社会自治功能。</w:t>
      </w:r>
    </w:p>
    <w:p w14:paraId="5EC59F4D">
      <w:pPr>
        <w:keepNext w:val="0"/>
        <w:keepLines w:val="0"/>
        <w:widowControl/>
        <w:rPr>
          <w:rFonts w:ascii="仿宋" w:hAnsi="仿宋" w:eastAsia="仿宋" w:cs="仿宋"/>
          <w:kern w:val="0"/>
          <w:sz w:val="30"/>
          <w:szCs w:val="30"/>
        </w:rPr>
      </w:pPr>
      <w:r>
        <w:rPr>
          <w:rFonts w:ascii="仿宋" w:hAnsi="仿宋" w:eastAsia="仿宋" w:cs="仿宋"/>
          <w:kern w:val="0"/>
          <w:sz w:val="30"/>
          <w:szCs w:val="30"/>
        </w:rPr>
        <w:t>4.负责国防教育，承担辖区内国防动员、征兵、民兵预备役、双拥等工作。</w:t>
      </w:r>
    </w:p>
    <w:p w14:paraId="4B802254">
      <w:pPr>
        <w:keepNext w:val="0"/>
        <w:keepLines w:val="0"/>
        <w:widowControl/>
        <w:rPr>
          <w:rFonts w:ascii="仿宋" w:hAnsi="仿宋" w:eastAsia="仿宋" w:cs="仿宋"/>
          <w:kern w:val="0"/>
          <w:sz w:val="30"/>
          <w:szCs w:val="30"/>
        </w:rPr>
      </w:pPr>
      <w:r>
        <w:rPr>
          <w:rFonts w:ascii="仿宋" w:hAnsi="仿宋" w:eastAsia="仿宋" w:cs="仿宋"/>
          <w:kern w:val="0"/>
          <w:sz w:val="30"/>
          <w:szCs w:val="30"/>
        </w:rPr>
        <w:t>5.保障各少数民族的</w:t>
      </w:r>
      <w:r>
        <w:rPr>
          <w:rFonts w:ascii="仿宋" w:hAnsi="仿宋" w:eastAsia="仿宋" w:cs="仿宋"/>
          <w:kern w:val="0"/>
          <w:sz w:val="30"/>
          <w:szCs w:val="30"/>
          <w:lang w:eastAsia="zh-CN"/>
        </w:rPr>
        <w:t>合法权利</w:t>
      </w:r>
      <w:r>
        <w:rPr>
          <w:rFonts w:ascii="仿宋" w:hAnsi="仿宋" w:eastAsia="仿宋" w:cs="仿宋"/>
          <w:kern w:val="0"/>
          <w:sz w:val="30"/>
          <w:szCs w:val="30"/>
        </w:rPr>
        <w:t>和利益，尊重少数民族的风俗习惯，坚决与民族分裂活动和邪教组织斗争。</w:t>
      </w:r>
    </w:p>
    <w:p w14:paraId="53E07E5A">
      <w:pPr>
        <w:keepNext w:val="0"/>
        <w:keepLines w:val="0"/>
        <w:widowControl/>
        <w:rPr>
          <w:rFonts w:ascii="仿宋" w:hAnsi="仿宋" w:eastAsia="仿宋" w:cs="仿宋"/>
          <w:kern w:val="0"/>
          <w:sz w:val="30"/>
          <w:szCs w:val="30"/>
        </w:rPr>
      </w:pPr>
      <w:r>
        <w:rPr>
          <w:rFonts w:ascii="仿宋" w:hAnsi="仿宋" w:eastAsia="仿宋" w:cs="仿宋"/>
          <w:kern w:val="0"/>
          <w:sz w:val="30"/>
          <w:szCs w:val="30"/>
        </w:rPr>
        <w:t>6.保障宪法和法律赋予妇女的男女平等、同工同酬和婚姻自由等各项权利。</w:t>
      </w:r>
    </w:p>
    <w:p w14:paraId="7B31A04D">
      <w:pPr>
        <w:keepNext w:val="0"/>
        <w:keepLines w:val="0"/>
        <w:widowControl/>
        <w:rPr>
          <w:lang w:eastAsia="zh-CN"/>
        </w:rPr>
      </w:pPr>
      <w:r>
        <w:rPr>
          <w:rFonts w:ascii="仿宋" w:hAnsi="仿宋" w:eastAsia="仿宋" w:cs="仿宋"/>
          <w:kern w:val="0"/>
          <w:sz w:val="30"/>
          <w:szCs w:val="30"/>
        </w:rPr>
        <w:t>（五）完成上级交办的其他事项。</w:t>
      </w:r>
    </w:p>
    <w:p w14:paraId="21F0B34B">
      <w:pPr>
        <w:pStyle w:val="4"/>
        <w:numPr>
          <w:ilvl w:val="0"/>
          <w:numId w:val="0"/>
        </w:numPr>
        <w:ind w:left="0" w:firstLine="0"/>
        <w:rPr>
          <w:rFonts w:ascii="黑体" w:hAnsi="黑体" w:eastAsia="黑体" w:cs="黑体"/>
          <w:b w:val="0"/>
          <w:color w:val="000000"/>
          <w:highlight w:val="none"/>
          <w:lang w:val="en-US" w:eastAsia="zh-CN"/>
        </w:rPr>
      </w:pPr>
      <w:r>
        <w:rPr>
          <w:rFonts w:ascii="黑体" w:hAnsi="黑体" w:eastAsia="黑体" w:cs="黑体"/>
          <w:b w:val="0"/>
          <w:color w:val="000000"/>
          <w:lang w:val="en-US" w:eastAsia="zh-CN"/>
        </w:rPr>
        <w:t>二、机构设置</w:t>
      </w:r>
    </w:p>
    <w:p w14:paraId="7EEFE1AF">
      <w:pPr>
        <w:pStyle w:val="26"/>
        <w:keepNext w:val="0"/>
        <w:keepLines w:val="0"/>
        <w:widowControl w:val="0"/>
        <w:autoSpaceDE w:val="0"/>
        <w:spacing w:line="552" w:lineRule="exact"/>
        <w:ind w:left="0" w:right="0" w:firstLine="640"/>
        <w:jc w:val="left"/>
        <w:rPr>
          <w:rFonts w:ascii="仿宋" w:hAnsi="仿宋" w:eastAsia="仿宋" w:cs="仿宋"/>
          <w:color w:val="333333"/>
          <w:kern w:val="0"/>
          <w:sz w:val="32"/>
          <w:szCs w:val="32"/>
          <w:shd w:val="clear" w:fill="FFFFFF"/>
        </w:rPr>
      </w:pPr>
      <w:r>
        <w:rPr>
          <w:rFonts w:ascii="仿宋" w:hAnsi="仿宋" w:eastAsia="仿宋" w:cs="仿宋"/>
          <w:color w:val="333333"/>
          <w:kern w:val="0"/>
          <w:sz w:val="32"/>
          <w:szCs w:val="32"/>
          <w:shd w:val="clear" w:fill="FFFFFF"/>
        </w:rPr>
        <w:t>根据上述职责，松潘县</w:t>
      </w:r>
      <w:r>
        <w:rPr>
          <w:rFonts w:ascii="仿宋" w:hAnsi="仿宋" w:eastAsia="仿宋" w:cs="仿宋"/>
          <w:color w:val="333333"/>
          <w:kern w:val="0"/>
          <w:sz w:val="32"/>
          <w:szCs w:val="32"/>
          <w:shd w:val="clear" w:fill="FFFFFF"/>
          <w:lang w:eastAsia="zh-CN"/>
        </w:rPr>
        <w:t>白羊乡</w:t>
      </w:r>
      <w:r>
        <w:rPr>
          <w:rFonts w:ascii="仿宋" w:hAnsi="仿宋" w:eastAsia="仿宋" w:cs="仿宋"/>
          <w:color w:val="333333"/>
          <w:kern w:val="0"/>
          <w:sz w:val="32"/>
          <w:szCs w:val="32"/>
          <w:shd w:val="clear" w:fill="FFFFFF"/>
        </w:rPr>
        <w:t>设7个内设机构：</w:t>
      </w:r>
    </w:p>
    <w:p w14:paraId="54A3CE45">
      <w:pPr>
        <w:keepNext w:val="0"/>
        <w:keepLines w:val="0"/>
        <w:widowControl/>
        <w:rPr>
          <w:rFonts w:ascii="仿宋" w:hAnsi="仿宋" w:eastAsia="仿宋" w:cs="仿宋"/>
          <w:kern w:val="0"/>
          <w:sz w:val="30"/>
          <w:szCs w:val="30"/>
        </w:rPr>
      </w:pPr>
      <w:r>
        <w:rPr>
          <w:rFonts w:ascii="仿宋" w:hAnsi="仿宋" w:eastAsia="仿宋" w:cs="仿宋"/>
          <w:kern w:val="0"/>
          <w:sz w:val="30"/>
          <w:szCs w:val="30"/>
        </w:rPr>
        <w:t>（一）党政办公室，挂财政工作办公室牌子。负责</w:t>
      </w:r>
      <w:r>
        <w:rPr>
          <w:rFonts w:ascii="仿宋" w:hAnsi="仿宋" w:eastAsia="仿宋" w:cs="仿宋"/>
          <w:kern w:val="0"/>
          <w:sz w:val="30"/>
          <w:szCs w:val="30"/>
          <w:lang w:eastAsia="zh-CN"/>
        </w:rPr>
        <w:t>乡</w:t>
      </w:r>
      <w:r>
        <w:rPr>
          <w:rFonts w:ascii="仿宋" w:hAnsi="仿宋" w:eastAsia="仿宋" w:cs="仿宋"/>
          <w:kern w:val="0"/>
          <w:sz w:val="30"/>
          <w:szCs w:val="30"/>
        </w:rPr>
        <w:t>机关日常事务和综合协调工作。负责综合文秘、档案管理、党政印章管理、信息、机要、保密、后勤保障等工作。组织办理人大代</w:t>
      </w:r>
      <w:r>
        <w:rPr>
          <w:rFonts w:ascii="仿宋" w:hAnsi="仿宋" w:eastAsia="仿宋" w:cs="仿宋"/>
          <w:kern w:val="0"/>
          <w:sz w:val="30"/>
          <w:szCs w:val="30"/>
          <w:lang w:eastAsia="zh-CN"/>
        </w:rPr>
        <w:t>表提</w:t>
      </w:r>
      <w:r>
        <w:rPr>
          <w:rFonts w:ascii="仿宋" w:hAnsi="仿宋" w:eastAsia="仿宋" w:cs="仿宋"/>
          <w:kern w:val="0"/>
          <w:sz w:val="30"/>
          <w:szCs w:val="30"/>
        </w:rPr>
        <w:t>案建议、政协委员提案和人大代表、政协委员的联络服务</w:t>
      </w:r>
      <w:r>
        <w:rPr>
          <w:rFonts w:ascii="仿宋" w:hAnsi="仿宋" w:eastAsia="仿宋" w:cs="仿宋"/>
          <w:kern w:val="0"/>
          <w:sz w:val="30"/>
          <w:szCs w:val="30"/>
          <w:lang w:eastAsia="zh-CN"/>
        </w:rPr>
        <w:t>工作</w:t>
      </w:r>
      <w:r>
        <w:rPr>
          <w:rFonts w:ascii="仿宋" w:hAnsi="仿宋" w:eastAsia="仿宋" w:cs="仿宋"/>
          <w:kern w:val="0"/>
          <w:sz w:val="30"/>
          <w:szCs w:val="30"/>
        </w:rPr>
        <w:t>。负责国有资产管理，指导村级财务管理，管理</w:t>
      </w:r>
      <w:r>
        <w:rPr>
          <w:rFonts w:ascii="仿宋" w:hAnsi="仿宋" w:eastAsia="仿宋" w:cs="仿宋"/>
          <w:kern w:val="0"/>
          <w:sz w:val="30"/>
          <w:szCs w:val="30"/>
          <w:lang w:eastAsia="zh-CN"/>
        </w:rPr>
        <w:t>乡</w:t>
      </w:r>
      <w:r>
        <w:rPr>
          <w:rFonts w:ascii="仿宋" w:hAnsi="仿宋" w:eastAsia="仿宋" w:cs="仿宋"/>
          <w:kern w:val="0"/>
          <w:sz w:val="30"/>
          <w:szCs w:val="30"/>
        </w:rPr>
        <w:t>行政事业单</w:t>
      </w:r>
      <w:r>
        <w:rPr>
          <w:rFonts w:ascii="仿宋" w:hAnsi="仿宋" w:eastAsia="仿宋" w:cs="仿宋"/>
          <w:kern w:val="0"/>
          <w:sz w:val="30"/>
          <w:szCs w:val="30"/>
          <w:lang w:eastAsia="zh-CN"/>
        </w:rPr>
        <w:t>位和</w:t>
      </w:r>
      <w:r>
        <w:rPr>
          <w:rFonts w:ascii="仿宋" w:hAnsi="仿宋" w:eastAsia="仿宋" w:cs="仿宋"/>
          <w:kern w:val="0"/>
          <w:sz w:val="30"/>
          <w:szCs w:val="30"/>
        </w:rPr>
        <w:t>其他组织的各类财政资金等工作。完成领导交办的其他工作。</w:t>
      </w:r>
    </w:p>
    <w:p w14:paraId="7538E2F1">
      <w:pPr>
        <w:keepNext w:val="0"/>
        <w:keepLines w:val="0"/>
        <w:widowControl/>
        <w:rPr>
          <w:rFonts w:ascii="仿宋" w:hAnsi="仿宋" w:eastAsia="仿宋" w:cs="仿宋"/>
          <w:kern w:val="0"/>
          <w:sz w:val="30"/>
          <w:szCs w:val="30"/>
        </w:rPr>
      </w:pPr>
      <w:r>
        <w:rPr>
          <w:rFonts w:ascii="仿宋" w:hAnsi="仿宋" w:eastAsia="仿宋" w:cs="仿宋"/>
          <w:kern w:val="0"/>
          <w:sz w:val="30"/>
          <w:szCs w:val="30"/>
        </w:rPr>
        <w:t>（二）党建工作办公室，挂群团工作办公室牌子。负责基层党组织建设、</w:t>
      </w:r>
      <w:r>
        <w:rPr>
          <w:rFonts w:hint="eastAsia" w:ascii="仿宋" w:hAnsi="仿宋" w:eastAsia="仿宋" w:cs="仿宋"/>
          <w:kern w:val="0"/>
          <w:sz w:val="30"/>
          <w:szCs w:val="30"/>
          <w:lang w:eastAsia="zh-CN"/>
        </w:rPr>
        <w:t>流动党员党支部</w:t>
      </w:r>
      <w:r>
        <w:rPr>
          <w:rFonts w:ascii="仿宋" w:hAnsi="仿宋" w:eastAsia="仿宋" w:cs="仿宋"/>
          <w:kern w:val="0"/>
          <w:sz w:val="30"/>
          <w:szCs w:val="30"/>
        </w:rPr>
        <w:t>建设、党风廉政建设、反腐败等工作。统筹辖区内党员和流动党员的发展、教育、管理和党费收缴工作，指导村党组织建设管理等工作。负责宣传思想、意识形态、精神文明建设和群众工作。负责本</w:t>
      </w:r>
      <w:r>
        <w:rPr>
          <w:rFonts w:ascii="仿宋" w:hAnsi="仿宋" w:eastAsia="仿宋" w:cs="仿宋"/>
          <w:kern w:val="0"/>
          <w:sz w:val="30"/>
          <w:szCs w:val="30"/>
          <w:lang w:eastAsia="zh-CN"/>
        </w:rPr>
        <w:t>乡</w:t>
      </w:r>
      <w:r>
        <w:rPr>
          <w:rFonts w:ascii="仿宋" w:hAnsi="仿宋" w:eastAsia="仿宋" w:cs="仿宋"/>
          <w:kern w:val="0"/>
          <w:sz w:val="30"/>
          <w:szCs w:val="30"/>
        </w:rPr>
        <w:t>机构编制管理及人才队伍建设、干部人事管理、离退休干部管理工作。指导村民委员会换届选举。负责工会、共青团、妇联等群团工作。监督干部职工福利待遇工作的落实，维护职工的合法权益。组织开展文体娱乐活动，组织各种形式的技能竞赛、报告和讲座。完成领导交办的其他工作。</w:t>
      </w:r>
    </w:p>
    <w:p w14:paraId="3CCE385C">
      <w:pPr>
        <w:keepNext w:val="0"/>
        <w:keepLines w:val="0"/>
        <w:widowControl/>
        <w:rPr>
          <w:rFonts w:ascii="仿宋" w:hAnsi="仿宋" w:eastAsia="仿宋" w:cs="仿宋"/>
          <w:kern w:val="0"/>
          <w:sz w:val="30"/>
          <w:szCs w:val="30"/>
        </w:rPr>
      </w:pPr>
      <w:r>
        <w:rPr>
          <w:rFonts w:ascii="仿宋" w:hAnsi="仿宋" w:eastAsia="仿宋" w:cs="仿宋"/>
          <w:kern w:val="0"/>
          <w:sz w:val="30"/>
          <w:szCs w:val="30"/>
        </w:rPr>
        <w:t>（三）维护稳定办公室，挂群众工作办公室牌子。负责社会治安综合治理、维护稳定、群众信访等工作；组织开展人武、政法、统战、信访、稳定、民宗、群众、防邪和网格化管理</w:t>
      </w:r>
      <w:r>
        <w:rPr>
          <w:rFonts w:ascii="仿宋" w:hAnsi="仿宋" w:eastAsia="仿宋" w:cs="仿宋"/>
          <w:kern w:val="0"/>
          <w:sz w:val="30"/>
          <w:szCs w:val="30"/>
          <w:lang w:eastAsia="zh-CN"/>
        </w:rPr>
        <w:t>等</w:t>
      </w:r>
      <w:r>
        <w:rPr>
          <w:rFonts w:ascii="仿宋" w:hAnsi="仿宋" w:eastAsia="仿宋" w:cs="仿宋"/>
          <w:kern w:val="0"/>
          <w:sz w:val="30"/>
          <w:szCs w:val="30"/>
        </w:rPr>
        <w:t>工作。负责辖区内法治建设，配合开展调解和帮教管理，承担区内矛盾纠纷多元化解协调工作。协助司法机关开展打击违</w:t>
      </w:r>
      <w:r>
        <w:rPr>
          <w:rFonts w:ascii="仿宋" w:hAnsi="仿宋" w:eastAsia="仿宋" w:cs="仿宋"/>
          <w:kern w:val="0"/>
          <w:sz w:val="30"/>
          <w:szCs w:val="30"/>
          <w:lang w:eastAsia="zh-CN"/>
        </w:rPr>
        <w:t>法犯</w:t>
      </w:r>
      <w:r>
        <w:rPr>
          <w:rFonts w:ascii="仿宋" w:hAnsi="仿宋" w:eastAsia="仿宋" w:cs="仿宋"/>
          <w:kern w:val="0"/>
          <w:sz w:val="30"/>
          <w:szCs w:val="30"/>
        </w:rPr>
        <w:t>罪和禁毒、扫黑除恶活动。负责流动人口、外来僧道管理。</w:t>
      </w:r>
      <w:r>
        <w:rPr>
          <w:rFonts w:ascii="仿宋" w:hAnsi="仿宋" w:eastAsia="仿宋" w:cs="仿宋"/>
          <w:kern w:val="0"/>
          <w:sz w:val="30"/>
          <w:szCs w:val="30"/>
          <w:lang w:eastAsia="zh-CN"/>
        </w:rPr>
        <w:t>负责</w:t>
      </w:r>
      <w:r>
        <w:rPr>
          <w:rFonts w:ascii="仿宋" w:hAnsi="仿宋" w:eastAsia="仿宋" w:cs="仿宋"/>
          <w:kern w:val="0"/>
          <w:sz w:val="30"/>
          <w:szCs w:val="30"/>
        </w:rPr>
        <w:t>基层自治建设和民主法治建设，指导基层群众性自治组织规范化、制度化建设。组织开展法制、综治、平安建设等宣传教</w:t>
      </w:r>
      <w:r>
        <w:rPr>
          <w:rFonts w:ascii="仿宋" w:hAnsi="仿宋" w:eastAsia="仿宋" w:cs="仿宋"/>
          <w:kern w:val="0"/>
          <w:sz w:val="30"/>
          <w:szCs w:val="30"/>
          <w:lang w:eastAsia="zh-CN"/>
        </w:rPr>
        <w:t>育活</w:t>
      </w:r>
      <w:r>
        <w:rPr>
          <w:rFonts w:ascii="仿宋" w:hAnsi="仿宋" w:eastAsia="仿宋" w:cs="仿宋"/>
          <w:kern w:val="0"/>
          <w:sz w:val="30"/>
          <w:szCs w:val="30"/>
        </w:rPr>
        <w:t>动，负责基层综治干部和群防群治队伍的教育、培训和管理</w:t>
      </w:r>
      <w:r>
        <w:rPr>
          <w:rFonts w:ascii="仿宋" w:hAnsi="仿宋" w:eastAsia="仿宋" w:cs="仿宋"/>
          <w:kern w:val="0"/>
          <w:sz w:val="30"/>
          <w:szCs w:val="30"/>
          <w:lang w:eastAsia="zh-CN"/>
        </w:rPr>
        <w:t>等工</w:t>
      </w:r>
      <w:r>
        <w:rPr>
          <w:rFonts w:ascii="仿宋" w:hAnsi="仿宋" w:eastAsia="仿宋" w:cs="仿宋"/>
          <w:kern w:val="0"/>
          <w:sz w:val="30"/>
          <w:szCs w:val="30"/>
        </w:rPr>
        <w:t>作。负责国防动员和兵役服务工作。完成领导交办的其他</w:t>
      </w:r>
      <w:r>
        <w:rPr>
          <w:rFonts w:ascii="仿宋" w:hAnsi="仿宋" w:eastAsia="仿宋" w:cs="仿宋"/>
          <w:kern w:val="0"/>
          <w:sz w:val="30"/>
          <w:szCs w:val="30"/>
          <w:lang w:eastAsia="zh-CN"/>
        </w:rPr>
        <w:t>工作</w:t>
      </w:r>
      <w:r>
        <w:rPr>
          <w:rFonts w:ascii="仿宋" w:hAnsi="仿宋" w:eastAsia="仿宋" w:cs="仿宋"/>
          <w:kern w:val="0"/>
          <w:sz w:val="30"/>
          <w:szCs w:val="30"/>
        </w:rPr>
        <w:t>。</w:t>
      </w:r>
    </w:p>
    <w:p w14:paraId="519AE73D">
      <w:pPr>
        <w:keepNext w:val="0"/>
        <w:keepLines w:val="0"/>
        <w:widowControl/>
        <w:rPr>
          <w:rFonts w:ascii="仿宋" w:hAnsi="仿宋" w:eastAsia="仿宋" w:cs="仿宋"/>
          <w:kern w:val="0"/>
          <w:sz w:val="30"/>
          <w:szCs w:val="30"/>
        </w:rPr>
      </w:pPr>
      <w:r>
        <w:rPr>
          <w:rFonts w:ascii="仿宋" w:hAnsi="仿宋" w:eastAsia="仿宋" w:cs="仿宋"/>
          <w:kern w:val="0"/>
          <w:sz w:val="30"/>
          <w:szCs w:val="30"/>
        </w:rPr>
        <w:t>（四）经济发展和乡村振兴办公室。负责经济工作的指导、协调、服务和监督管理。负责优化营商环境建设。负责统筹、指导、配合开展辖区内经济结构调整、项目建设、招商引资、旅游开发、移民搬迁、土地流转等工作。负责组织实施乡村</w:t>
      </w:r>
      <w:r>
        <w:rPr>
          <w:rFonts w:ascii="仿宋" w:hAnsi="仿宋" w:eastAsia="仿宋" w:cs="仿宋"/>
          <w:kern w:val="0"/>
          <w:sz w:val="30"/>
          <w:szCs w:val="30"/>
          <w:lang w:eastAsia="zh-CN"/>
        </w:rPr>
        <w:t>振兴</w:t>
      </w:r>
      <w:r>
        <w:rPr>
          <w:rFonts w:ascii="仿宋" w:hAnsi="仿宋" w:eastAsia="仿宋" w:cs="仿宋"/>
          <w:kern w:val="0"/>
          <w:sz w:val="30"/>
          <w:szCs w:val="30"/>
        </w:rPr>
        <w:t>、农村人居环境整治，推动宜居乡村建设。统筹、指导、监管辖内农业农村、林业、水利等工作。指导农民合作经济组织、</w:t>
      </w:r>
      <w:r>
        <w:rPr>
          <w:rFonts w:ascii="仿宋" w:hAnsi="仿宋" w:eastAsia="仿宋" w:cs="仿宋"/>
          <w:kern w:val="0"/>
          <w:sz w:val="30"/>
          <w:szCs w:val="30"/>
          <w:lang w:eastAsia="zh-CN"/>
        </w:rPr>
        <w:t>村集</w:t>
      </w:r>
      <w:r>
        <w:rPr>
          <w:rFonts w:ascii="仿宋" w:hAnsi="仿宋" w:eastAsia="仿宋" w:cs="仿宋"/>
          <w:kern w:val="0"/>
          <w:sz w:val="30"/>
          <w:szCs w:val="30"/>
        </w:rPr>
        <w:t>体经济组织建设和发展。负责</w:t>
      </w:r>
      <w:r>
        <w:rPr>
          <w:rFonts w:ascii="仿宋" w:hAnsi="仿宋" w:eastAsia="仿宋" w:cs="仿宋"/>
          <w:kern w:val="0"/>
          <w:sz w:val="30"/>
          <w:szCs w:val="30"/>
          <w:lang w:eastAsia="zh-CN"/>
        </w:rPr>
        <w:t>村庄规划</w:t>
      </w:r>
      <w:r>
        <w:rPr>
          <w:rFonts w:ascii="仿宋" w:hAnsi="仿宋" w:eastAsia="仿宋" w:cs="仿宋"/>
          <w:kern w:val="0"/>
          <w:sz w:val="30"/>
          <w:szCs w:val="30"/>
        </w:rPr>
        <w:t>建设管理，统筹农村基础设施建设等工作。完成领导交办的其他工作。</w:t>
      </w:r>
    </w:p>
    <w:p w14:paraId="07C27F13">
      <w:pPr>
        <w:keepNext w:val="0"/>
        <w:keepLines w:val="0"/>
        <w:widowControl/>
        <w:rPr>
          <w:rFonts w:ascii="仿宋" w:hAnsi="仿宋" w:eastAsia="仿宋" w:cs="仿宋"/>
          <w:kern w:val="0"/>
          <w:sz w:val="30"/>
          <w:szCs w:val="30"/>
        </w:rPr>
      </w:pPr>
      <w:r>
        <w:rPr>
          <w:rFonts w:ascii="仿宋" w:hAnsi="仿宋" w:eastAsia="仿宋" w:cs="仿宋"/>
          <w:kern w:val="0"/>
          <w:sz w:val="30"/>
          <w:szCs w:val="30"/>
        </w:rPr>
        <w:t>（五）社会事务和应急管理办公室，挂安全生产监督管理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14:paraId="60DAC2E2">
      <w:pPr>
        <w:pStyle w:val="29"/>
        <w:keepNext w:val="0"/>
        <w:keepLines w:val="0"/>
        <w:widowControl/>
        <w:spacing w:before="0" w:after="280"/>
        <w:jc w:val="left"/>
        <w:rPr>
          <w:rFonts w:ascii="仿宋" w:hAnsi="仿宋" w:eastAsia="仿宋" w:cs="仿宋"/>
          <w:kern w:val="0"/>
          <w:sz w:val="30"/>
          <w:szCs w:val="30"/>
        </w:rPr>
      </w:pPr>
      <w:r>
        <w:rPr>
          <w:rFonts w:ascii="仿宋" w:hAnsi="仿宋" w:eastAsia="仿宋" w:cs="仿宋"/>
          <w:kern w:val="0"/>
          <w:sz w:val="30"/>
          <w:szCs w:val="30"/>
        </w:rPr>
        <w:t>（六）</w:t>
      </w:r>
      <w:r>
        <w:rPr>
          <w:rFonts w:ascii="仿宋" w:hAnsi="仿宋" w:eastAsia="仿宋" w:cs="仿宋"/>
          <w:kern w:val="0"/>
          <w:sz w:val="30"/>
          <w:szCs w:val="30"/>
          <w:lang w:eastAsia="zh-CN"/>
        </w:rPr>
        <w:t>乡村</w:t>
      </w:r>
      <w:r>
        <w:rPr>
          <w:rFonts w:ascii="仿宋" w:hAnsi="仿宋" w:eastAsia="仿宋" w:cs="仿宋"/>
          <w:kern w:val="0"/>
          <w:sz w:val="30"/>
          <w:szCs w:val="30"/>
        </w:rPr>
        <w:t>规划建设管理办公室，挂生态环境办公室牌子。负责</w:t>
      </w:r>
      <w:r>
        <w:rPr>
          <w:rFonts w:ascii="仿宋" w:hAnsi="仿宋" w:eastAsia="仿宋" w:cs="仿宋"/>
          <w:kern w:val="0"/>
          <w:sz w:val="30"/>
          <w:szCs w:val="30"/>
          <w:lang w:eastAsia="zh-CN"/>
        </w:rPr>
        <w:t>乡村</w:t>
      </w:r>
      <w:r>
        <w:rPr>
          <w:rFonts w:ascii="仿宋" w:hAnsi="仿宋" w:eastAsia="仿宋" w:cs="仿宋"/>
          <w:kern w:val="0"/>
          <w:sz w:val="30"/>
          <w:szCs w:val="30"/>
        </w:rPr>
        <w:t>规划建设管理、生态环境保护工作。负责参与拟订</w:t>
      </w:r>
      <w:r>
        <w:rPr>
          <w:rFonts w:ascii="仿宋" w:hAnsi="仿宋" w:eastAsia="仿宋" w:cs="仿宋"/>
          <w:kern w:val="0"/>
          <w:sz w:val="30"/>
          <w:szCs w:val="30"/>
          <w:lang w:eastAsia="zh-CN"/>
        </w:rPr>
        <w:t>乡村</w:t>
      </w:r>
      <w:r>
        <w:rPr>
          <w:rFonts w:ascii="仿宋" w:hAnsi="仿宋" w:eastAsia="仿宋" w:cs="仿宋"/>
          <w:kern w:val="0"/>
          <w:sz w:val="30"/>
          <w:szCs w:val="30"/>
        </w:rPr>
        <w:t>经济发展规划并组织实施，对辖区内重大基础设施建设、重大</w:t>
      </w:r>
      <w:r>
        <w:rPr>
          <w:rFonts w:ascii="仿宋" w:hAnsi="仿宋" w:eastAsia="仿宋" w:cs="仿宋"/>
          <w:kern w:val="0"/>
          <w:sz w:val="30"/>
          <w:szCs w:val="30"/>
          <w:lang w:eastAsia="zh-CN"/>
        </w:rPr>
        <w:t>公共服务</w:t>
      </w:r>
      <w:r>
        <w:rPr>
          <w:rFonts w:ascii="仿宋" w:hAnsi="仿宋" w:eastAsia="仿宋" w:cs="仿宋"/>
          <w:kern w:val="0"/>
          <w:sz w:val="30"/>
          <w:szCs w:val="30"/>
        </w:rPr>
        <w:t>资源布局、重大决策提出意见及建议。负责辖区内自然</w:t>
      </w:r>
      <w:r>
        <w:rPr>
          <w:rFonts w:ascii="仿宋" w:hAnsi="仿宋" w:eastAsia="仿宋" w:cs="仿宋"/>
          <w:kern w:val="0"/>
          <w:sz w:val="30"/>
          <w:szCs w:val="30"/>
          <w:lang w:eastAsia="zh-CN"/>
        </w:rPr>
        <w:t>资源</w:t>
      </w:r>
      <w:r>
        <w:rPr>
          <w:rFonts w:ascii="仿宋" w:hAnsi="仿宋" w:eastAsia="仿宋" w:cs="仿宋"/>
          <w:kern w:val="0"/>
          <w:sz w:val="30"/>
          <w:szCs w:val="30"/>
        </w:rPr>
        <w:t>保护、生态环境保护、城</w:t>
      </w:r>
      <w:r>
        <w:rPr>
          <w:rFonts w:ascii="仿宋" w:hAnsi="仿宋" w:eastAsia="仿宋" w:cs="仿宋"/>
          <w:kern w:val="0"/>
          <w:sz w:val="30"/>
          <w:szCs w:val="30"/>
          <w:lang w:eastAsia="zh-CN"/>
        </w:rPr>
        <w:t>乡</w:t>
      </w:r>
      <w:r>
        <w:rPr>
          <w:rFonts w:ascii="仿宋" w:hAnsi="仿宋" w:eastAsia="仿宋" w:cs="仿宋"/>
          <w:kern w:val="0"/>
          <w:sz w:val="30"/>
          <w:szCs w:val="30"/>
        </w:rPr>
        <w:t>管理等工作。配合相关部门组织</w:t>
      </w:r>
      <w:r>
        <w:rPr>
          <w:rFonts w:ascii="仿宋" w:hAnsi="仿宋" w:eastAsia="仿宋" w:cs="仿宋"/>
          <w:kern w:val="0"/>
          <w:sz w:val="30"/>
          <w:szCs w:val="30"/>
          <w:lang w:eastAsia="zh-CN"/>
        </w:rPr>
        <w:t>开展</w:t>
      </w:r>
      <w:r>
        <w:rPr>
          <w:rFonts w:ascii="仿宋" w:hAnsi="仿宋" w:eastAsia="仿宋" w:cs="仿宋"/>
          <w:kern w:val="0"/>
          <w:sz w:val="30"/>
          <w:szCs w:val="30"/>
        </w:rPr>
        <w:t>工业、生活、生产、经营、农业等污染的监督检查和防控整</w:t>
      </w:r>
      <w:r>
        <w:rPr>
          <w:rFonts w:ascii="仿宋" w:hAnsi="仿宋" w:eastAsia="仿宋" w:cs="仿宋"/>
          <w:kern w:val="0"/>
          <w:sz w:val="30"/>
          <w:szCs w:val="30"/>
          <w:lang w:eastAsia="zh-CN"/>
        </w:rPr>
        <w:t>治工</w:t>
      </w:r>
      <w:r>
        <w:rPr>
          <w:rFonts w:ascii="仿宋" w:hAnsi="仿宋" w:eastAsia="仿宋" w:cs="仿宋"/>
          <w:kern w:val="0"/>
          <w:sz w:val="30"/>
          <w:szCs w:val="30"/>
        </w:rPr>
        <w:t>作，指导辖区内生态业</w:t>
      </w:r>
      <w:r>
        <w:rPr>
          <w:rFonts w:ascii="仿宋" w:hAnsi="仿宋" w:eastAsia="仿宋" w:cs="仿宋"/>
          <w:kern w:val="0"/>
          <w:sz w:val="30"/>
          <w:szCs w:val="30"/>
          <w:lang w:eastAsia="zh-CN"/>
        </w:rPr>
        <w:t>、农</w:t>
      </w:r>
      <w:r>
        <w:rPr>
          <w:rFonts w:ascii="仿宋" w:hAnsi="仿宋" w:eastAsia="仿宋" w:cs="仿宋"/>
          <w:kern w:val="0"/>
          <w:sz w:val="30"/>
          <w:szCs w:val="30"/>
        </w:rPr>
        <w:t>牧业建设。负责辖区内水资源</w:t>
      </w:r>
      <w:r>
        <w:rPr>
          <w:rFonts w:ascii="仿宋" w:hAnsi="仿宋" w:eastAsia="仿宋" w:cs="仿宋"/>
          <w:kern w:val="0"/>
          <w:sz w:val="30"/>
          <w:szCs w:val="30"/>
          <w:lang w:eastAsia="zh-CN"/>
        </w:rPr>
        <w:t>保护</w:t>
      </w:r>
      <w:r>
        <w:rPr>
          <w:rFonts w:ascii="仿宋" w:hAnsi="仿宋" w:eastAsia="仿宋" w:cs="仿宋"/>
          <w:kern w:val="0"/>
          <w:sz w:val="30"/>
          <w:szCs w:val="30"/>
        </w:rPr>
        <w:t>、水环境治理、节约用水、环境卫生管理等工作。参与重大</w:t>
      </w:r>
      <w:r>
        <w:rPr>
          <w:rFonts w:ascii="仿宋" w:hAnsi="仿宋" w:eastAsia="仿宋" w:cs="仿宋"/>
          <w:kern w:val="0"/>
          <w:sz w:val="30"/>
          <w:szCs w:val="30"/>
          <w:lang w:eastAsia="zh-CN"/>
        </w:rPr>
        <w:t>生态</w:t>
      </w:r>
      <w:r>
        <w:rPr>
          <w:rFonts w:ascii="仿宋" w:hAnsi="仿宋" w:eastAsia="仿宋" w:cs="仿宋"/>
          <w:kern w:val="0"/>
          <w:sz w:val="30"/>
          <w:szCs w:val="30"/>
        </w:rPr>
        <w:t>事件的调查处理。完成领导交办的其他工作。</w:t>
      </w:r>
    </w:p>
    <w:p w14:paraId="6A6479E7">
      <w:pPr>
        <w:pStyle w:val="29"/>
        <w:keepNext w:val="0"/>
        <w:keepLines w:val="0"/>
        <w:widowControl/>
        <w:spacing w:before="0" w:after="280"/>
        <w:jc w:val="left"/>
        <w:rPr>
          <w:rFonts w:ascii="仿宋" w:hAnsi="仿宋" w:eastAsia="仿宋" w:cs="仿宋"/>
          <w:kern w:val="0"/>
          <w:sz w:val="30"/>
          <w:szCs w:val="30"/>
        </w:rPr>
      </w:pPr>
      <w:r>
        <w:rPr>
          <w:rFonts w:ascii="仿宋" w:hAnsi="仿宋" w:eastAsia="仿宋" w:cs="仿宋"/>
          <w:kern w:val="0"/>
          <w:sz w:val="30"/>
          <w:szCs w:val="30"/>
        </w:rPr>
        <w:t>（七）综合执法办公室。根据有关法律规定和省政府授权，按照县政府职权调整事项目录，统一组织和指挥协调开展综合行政执法工作。负责整合落实行政执法信息平台和行政执法监</w:t>
      </w:r>
      <w:r>
        <w:rPr>
          <w:rFonts w:ascii="仿宋" w:hAnsi="仿宋" w:eastAsia="仿宋" w:cs="仿宋"/>
          <w:kern w:val="0"/>
          <w:sz w:val="30"/>
          <w:szCs w:val="30"/>
          <w:lang w:eastAsia="zh-CN"/>
        </w:rPr>
        <w:t>督网</w:t>
      </w:r>
      <w:r>
        <w:rPr>
          <w:rFonts w:ascii="仿宋" w:hAnsi="仿宋" w:eastAsia="仿宋" w:cs="仿宋"/>
          <w:kern w:val="0"/>
          <w:sz w:val="30"/>
          <w:szCs w:val="30"/>
        </w:rPr>
        <w:t>络平台建设。完成领导交办的其他工作。</w:t>
      </w:r>
    </w:p>
    <w:p w14:paraId="154A7905">
      <w:pPr>
        <w:widowControl/>
        <w:jc w:val="left"/>
        <w:rPr>
          <w:rFonts w:ascii="仿宋" w:hAnsi="仿宋" w:eastAsia="仿宋" w:cs="仿宋"/>
          <w:color w:val="000000"/>
          <w:kern w:val="0"/>
          <w:sz w:val="32"/>
          <w:szCs w:val="32"/>
          <w:highlight w:val="none"/>
        </w:rPr>
      </w:pPr>
    </w:p>
    <w:p w14:paraId="451C0EDC">
      <w:pPr>
        <w:widowControl/>
        <w:jc w:val="left"/>
        <w:rPr>
          <w:rFonts w:ascii="仿宋" w:hAnsi="仿宋" w:eastAsia="仿宋" w:cs="仿宋"/>
          <w:color w:val="000000"/>
          <w:sz w:val="32"/>
          <w:szCs w:val="32"/>
          <w:highlight w:val="none"/>
        </w:rPr>
      </w:pPr>
    </w:p>
    <w:p w14:paraId="727B6F92">
      <w:pPr>
        <w:widowControl/>
        <w:jc w:val="left"/>
        <w:rPr>
          <w:rFonts w:ascii="仿宋" w:hAnsi="仿宋" w:eastAsia="仿宋" w:cs="仿宋"/>
          <w:color w:val="000000"/>
          <w:sz w:val="32"/>
          <w:szCs w:val="32"/>
          <w:highlight w:val="none"/>
        </w:rPr>
      </w:pPr>
    </w:p>
    <w:p w14:paraId="731A5C31">
      <w:pPr>
        <w:widowControl/>
        <w:jc w:val="left"/>
        <w:rPr>
          <w:rFonts w:ascii="仿宋" w:hAnsi="仿宋" w:eastAsia="仿宋" w:cs="仿宋"/>
          <w:color w:val="000000"/>
          <w:sz w:val="32"/>
          <w:szCs w:val="32"/>
          <w:highlight w:val="none"/>
        </w:rPr>
      </w:pPr>
    </w:p>
    <w:p w14:paraId="1CCE41DD">
      <w:pPr>
        <w:widowControl/>
        <w:jc w:val="left"/>
        <w:rPr>
          <w:rFonts w:ascii="仿宋" w:hAnsi="仿宋" w:eastAsia="仿宋" w:cs="仿宋"/>
          <w:color w:val="000000"/>
          <w:sz w:val="32"/>
          <w:szCs w:val="32"/>
          <w:highlight w:val="none"/>
        </w:rPr>
      </w:pPr>
    </w:p>
    <w:p w14:paraId="170A3F0C">
      <w:pPr>
        <w:widowControl/>
        <w:jc w:val="left"/>
        <w:rPr>
          <w:rFonts w:ascii="仿宋" w:hAnsi="仿宋" w:eastAsia="仿宋" w:cs="仿宋"/>
          <w:color w:val="000000"/>
          <w:sz w:val="32"/>
          <w:szCs w:val="32"/>
          <w:highlight w:val="none"/>
        </w:rPr>
      </w:pPr>
    </w:p>
    <w:p w14:paraId="37F2B94D">
      <w:pPr>
        <w:widowControl/>
        <w:jc w:val="left"/>
        <w:rPr>
          <w:rFonts w:ascii="仿宋" w:hAnsi="仿宋" w:eastAsia="仿宋" w:cs="仿宋"/>
          <w:color w:val="000000"/>
          <w:sz w:val="32"/>
          <w:szCs w:val="32"/>
          <w:highlight w:val="none"/>
        </w:rPr>
      </w:pPr>
    </w:p>
    <w:p w14:paraId="57CD8D30">
      <w:pPr>
        <w:widowControl/>
        <w:jc w:val="left"/>
        <w:rPr>
          <w:rFonts w:ascii="仿宋" w:hAnsi="仿宋" w:eastAsia="仿宋" w:cs="仿宋"/>
          <w:color w:val="000000"/>
          <w:sz w:val="32"/>
          <w:szCs w:val="32"/>
          <w:highlight w:val="none"/>
        </w:rPr>
      </w:pPr>
    </w:p>
    <w:p w14:paraId="5B8A6E34">
      <w:pPr>
        <w:widowControl/>
        <w:jc w:val="left"/>
        <w:rPr>
          <w:rFonts w:ascii="仿宋" w:hAnsi="仿宋" w:eastAsia="仿宋" w:cs="仿宋"/>
          <w:color w:val="000000"/>
          <w:sz w:val="32"/>
          <w:szCs w:val="32"/>
          <w:highlight w:val="none"/>
        </w:rPr>
      </w:pPr>
    </w:p>
    <w:p w14:paraId="375AA721">
      <w:pPr>
        <w:widowControl/>
        <w:jc w:val="left"/>
        <w:rPr>
          <w:rFonts w:ascii="仿宋" w:hAnsi="仿宋" w:eastAsia="仿宋" w:cs="仿宋"/>
          <w:color w:val="000000"/>
          <w:sz w:val="32"/>
          <w:szCs w:val="32"/>
          <w:highlight w:val="none"/>
        </w:rPr>
      </w:pPr>
    </w:p>
    <w:p w14:paraId="594C1462">
      <w:pPr>
        <w:widowControl/>
        <w:jc w:val="left"/>
        <w:rPr>
          <w:rFonts w:ascii="仿宋" w:hAnsi="仿宋" w:eastAsia="仿宋" w:cs="仿宋"/>
          <w:color w:val="000000"/>
          <w:sz w:val="32"/>
          <w:szCs w:val="32"/>
          <w:highlight w:val="none"/>
        </w:rPr>
      </w:pPr>
    </w:p>
    <w:p w14:paraId="4B4851DA">
      <w:pPr>
        <w:widowControl/>
        <w:jc w:val="left"/>
        <w:rPr>
          <w:rFonts w:ascii="仿宋" w:hAnsi="仿宋" w:eastAsia="仿宋" w:cs="仿宋"/>
          <w:color w:val="000000"/>
          <w:sz w:val="32"/>
          <w:szCs w:val="32"/>
          <w:highlight w:val="none"/>
        </w:rPr>
      </w:pPr>
    </w:p>
    <w:p w14:paraId="36326D4A">
      <w:pPr>
        <w:widowControl/>
        <w:jc w:val="left"/>
        <w:rPr>
          <w:rFonts w:ascii="仿宋" w:hAnsi="仿宋" w:eastAsia="仿宋" w:cs="仿宋"/>
          <w:color w:val="000000"/>
          <w:sz w:val="32"/>
          <w:szCs w:val="32"/>
          <w:highlight w:val="none"/>
        </w:rPr>
      </w:pPr>
    </w:p>
    <w:p w14:paraId="0A398221">
      <w:pPr>
        <w:widowControl/>
        <w:jc w:val="left"/>
        <w:rPr>
          <w:rFonts w:ascii="仿宋" w:hAnsi="仿宋" w:eastAsia="仿宋" w:cs="仿宋"/>
          <w:color w:val="000000"/>
          <w:sz w:val="32"/>
          <w:szCs w:val="32"/>
          <w:highlight w:val="none"/>
        </w:rPr>
      </w:pPr>
    </w:p>
    <w:p w14:paraId="229E1AE2">
      <w:pPr>
        <w:widowControl/>
        <w:jc w:val="left"/>
        <w:rPr>
          <w:rFonts w:ascii="仿宋" w:hAnsi="仿宋" w:eastAsia="仿宋" w:cs="仿宋"/>
          <w:color w:val="000000"/>
          <w:sz w:val="32"/>
          <w:szCs w:val="32"/>
          <w:highlight w:val="none"/>
        </w:rPr>
      </w:pPr>
    </w:p>
    <w:p w14:paraId="1F43FFFD">
      <w:pPr>
        <w:widowControl/>
        <w:jc w:val="left"/>
        <w:rPr>
          <w:rFonts w:ascii="仿宋" w:hAnsi="仿宋" w:eastAsia="仿宋" w:cs="仿宋"/>
          <w:color w:val="000000"/>
          <w:sz w:val="32"/>
          <w:szCs w:val="32"/>
          <w:highlight w:val="none"/>
        </w:rPr>
      </w:pPr>
    </w:p>
    <w:p w14:paraId="6F1B4259">
      <w:pPr>
        <w:widowControl/>
        <w:jc w:val="left"/>
        <w:rPr>
          <w:rFonts w:ascii="仿宋" w:hAnsi="仿宋" w:eastAsia="仿宋" w:cs="仿宋"/>
          <w:color w:val="000000"/>
          <w:sz w:val="32"/>
          <w:szCs w:val="32"/>
          <w:highlight w:val="none"/>
        </w:rPr>
      </w:pPr>
      <w:r>
        <w:br w:type="page"/>
      </w:r>
    </w:p>
    <w:p w14:paraId="17CC8F3F">
      <w:pPr>
        <w:widowControl/>
        <w:jc w:val="left"/>
        <w:rPr>
          <w:rFonts w:ascii="仿宋" w:hAnsi="仿宋" w:eastAsia="仿宋" w:cs="仿宋"/>
          <w:color w:val="000000"/>
          <w:kern w:val="0"/>
          <w:sz w:val="32"/>
          <w:szCs w:val="32"/>
          <w:highlight w:val="none"/>
        </w:rPr>
      </w:pPr>
    </w:p>
    <w:p w14:paraId="22A49E47">
      <w:pPr>
        <w:pStyle w:val="3"/>
        <w:ind w:right="440" w:firstLine="0"/>
        <w:jc w:val="center"/>
        <w:rPr>
          <w:rStyle w:val="21"/>
          <w:rFonts w:ascii="黑体" w:hAnsi="黑体" w:eastAsia="黑体" w:cs="黑体"/>
          <w:b w:val="0"/>
          <w:bCs/>
          <w:color w:val="000000"/>
          <w:highlight w:val="none"/>
        </w:rPr>
      </w:pPr>
      <w:r>
        <w:rPr>
          <w:rFonts w:ascii="黑体" w:hAnsi="黑体" w:eastAsia="黑体" w:cs="黑体"/>
          <w:b w:val="0"/>
          <w:bCs/>
          <w:color w:val="000000"/>
        </w:rPr>
        <w:t>第二部分 2025年度单位决算情况说明</w:t>
      </w:r>
    </w:p>
    <w:p w14:paraId="06391BD9">
      <w:pPr>
        <w:rPr>
          <w:rStyle w:val="21"/>
          <w:rFonts w:ascii="黑体" w:hAnsi="黑体" w:eastAsia="黑体" w:cs="黑体"/>
          <w:b w:val="0"/>
          <w:bCs/>
          <w:color w:val="000000"/>
          <w:highlight w:val="none"/>
        </w:rPr>
      </w:pPr>
    </w:p>
    <w:p w14:paraId="74019DC1">
      <w:pPr>
        <w:pStyle w:val="28"/>
        <w:numPr>
          <w:ilvl w:val="0"/>
          <w:numId w:val="0"/>
        </w:numPr>
        <w:spacing w:line="600" w:lineRule="exact"/>
        <w:ind w:left="640" w:firstLine="0"/>
        <w:outlineLvl w:val="1"/>
        <w:rPr>
          <w:rStyle w:val="18"/>
          <w:rFonts w:ascii="黑体" w:hAnsi="黑体" w:eastAsia="黑体" w:cs="黑体"/>
          <w:b w:val="0"/>
          <w:color w:val="000000"/>
          <w:highlight w:val="none"/>
        </w:rPr>
      </w:pPr>
      <w:r>
        <w:rPr>
          <w:rFonts w:ascii="黑体" w:hAnsi="黑体" w:eastAsia="黑体" w:cs="黑体"/>
          <w:color w:val="000000"/>
          <w:sz w:val="32"/>
          <w:szCs w:val="32"/>
          <w:lang w:eastAsia="zh-CN"/>
        </w:rPr>
        <w:t>一、</w:t>
      </w:r>
      <w:r>
        <w:rPr>
          <w:rFonts w:ascii="黑体" w:hAnsi="黑体" w:eastAsia="黑体" w:cs="黑体"/>
          <w:color w:val="000000"/>
          <w:sz w:val="32"/>
          <w:szCs w:val="32"/>
        </w:rPr>
        <w:t>收</w:t>
      </w:r>
      <w:r>
        <w:rPr>
          <w:rStyle w:val="18"/>
          <w:rFonts w:ascii="黑体" w:hAnsi="黑体" w:eastAsia="黑体" w:cs="黑体"/>
          <w:b w:val="0"/>
          <w:color w:val="000000"/>
        </w:rPr>
        <w:t>入支出决算总体情况说明</w:t>
      </w:r>
    </w:p>
    <w:p w14:paraId="3D3503A4">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2025年度收入总计为929.47万元。与2024年度相比，收入增加85.64万元，增加10.16%。主要变动原因是人员增加、工资保险上调。</w:t>
      </w:r>
    </w:p>
    <w:p w14:paraId="08986A30">
      <w:pPr>
        <w:spacing w:line="600" w:lineRule="exact"/>
        <w:ind w:firstLine="640"/>
      </w:pPr>
      <w:r>
        <w:rPr>
          <w:rFonts w:ascii="仿宋" w:hAnsi="仿宋" w:eastAsia="仿宋" w:cs="仿宋"/>
          <w:color w:val="000000"/>
          <w:sz w:val="32"/>
          <w:szCs w:val="32"/>
          <w:lang w:eastAsia="zh-CN"/>
        </w:rPr>
        <w:t>2025年支出总计为929.47万元。与2024年度相比，支出总计增加87.64万元，增加10.41%。主要变动原因是人员增加、工资保险上调。</w:t>
      </w:r>
    </w:p>
    <w:p w14:paraId="4833C2EE">
      <w:pPr>
        <w:pStyle w:val="2"/>
        <w:bidi w:val="0"/>
        <w:jc w:val="left"/>
        <w:rPr>
          <w:rFonts w:ascii="仿宋" w:hAnsi="仿宋" w:eastAsia="仿宋" w:cs="仿宋"/>
          <w:color w:val="000000"/>
          <w:sz w:val="32"/>
          <w:szCs w:val="32"/>
          <w:highlight w:val="none"/>
        </w:rPr>
      </w:pPr>
      <w:r>
        <w:drawing>
          <wp:inline distT="0" distB="0" distL="0" distR="0">
            <wp:extent cx="4838700" cy="2762250"/>
            <wp:effectExtent l="0" t="0" r="0" b="0"/>
            <wp:docPr id="1" name="图表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表 1"/>
                    <pic:cNvPicPr>
                      <a:picLocks noChangeAspect="1" noChangeArrowheads="1"/>
                    </pic:cNvPicPr>
                  </pic:nvPicPr>
                  <pic:blipFill>
                    <a:blip r:embed="rId4"/>
                    <a:srcRect l="-7" t="-13" r="-7" b="-13"/>
                    <a:stretch>
                      <a:fillRect/>
                    </a:stretch>
                  </pic:blipFill>
                  <pic:spPr>
                    <a:xfrm>
                      <a:off x="0" y="0"/>
                      <a:ext cx="4838700" cy="2762250"/>
                    </a:xfrm>
                    <a:prstGeom prst="rect">
                      <a:avLst/>
                    </a:prstGeom>
                  </pic:spPr>
                </pic:pic>
              </a:graphicData>
            </a:graphic>
          </wp:inline>
        </w:drawing>
      </w:r>
    </w:p>
    <w:p w14:paraId="11DC328B">
      <w:pPr>
        <w:spacing w:line="600" w:lineRule="exact"/>
        <w:ind w:firstLine="640"/>
      </w:pPr>
      <w:r>
        <w:rPr>
          <w:rFonts w:ascii="仿宋" w:hAnsi="仿宋" w:eastAsia="仿宋" w:cs="仿宋"/>
          <w:color w:val="000000"/>
          <w:sz w:val="32"/>
          <w:szCs w:val="32"/>
        </w:rPr>
        <w:t>（图1：收、支决算总计变动情况图）（柱状图）</w:t>
      </w:r>
    </w:p>
    <w:p w14:paraId="39AEF6D0">
      <w:pPr>
        <w:pStyle w:val="28"/>
        <w:numPr>
          <w:ilvl w:val="0"/>
          <w:numId w:val="0"/>
        </w:numPr>
        <w:spacing w:line="600" w:lineRule="exact"/>
        <w:ind w:left="640" w:firstLine="0"/>
        <w:outlineLvl w:val="1"/>
        <w:rPr>
          <w:rStyle w:val="18"/>
          <w:rFonts w:ascii="黑体" w:hAnsi="黑体" w:eastAsia="黑体" w:cs="黑体"/>
          <w:b w:val="0"/>
          <w:color w:val="000000"/>
          <w:highlight w:val="none"/>
        </w:rPr>
      </w:pPr>
      <w:r>
        <w:rPr>
          <w:rFonts w:ascii="黑体" w:hAnsi="黑体" w:eastAsia="黑体" w:cs="黑体"/>
          <w:color w:val="000000"/>
          <w:sz w:val="32"/>
          <w:szCs w:val="32"/>
          <w:lang w:eastAsia="zh-CN"/>
        </w:rPr>
        <w:t>二、</w:t>
      </w:r>
      <w:r>
        <w:rPr>
          <w:rFonts w:ascii="黑体" w:hAnsi="黑体" w:eastAsia="黑体" w:cs="黑体"/>
          <w:color w:val="000000"/>
          <w:sz w:val="32"/>
          <w:szCs w:val="32"/>
        </w:rPr>
        <w:t>收</w:t>
      </w:r>
      <w:r>
        <w:rPr>
          <w:rStyle w:val="18"/>
          <w:rFonts w:ascii="黑体" w:hAnsi="黑体" w:eastAsia="黑体" w:cs="黑体"/>
          <w:b w:val="0"/>
          <w:color w:val="000000"/>
        </w:rPr>
        <w:t>入决算情况说明</w:t>
      </w:r>
    </w:p>
    <w:p w14:paraId="25FC2E76">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收入合计928.47万元，其中：一般公共预算财政拨款收入925.06万元，占99.63%；政府性基金预算财政拨款收入0万元，占0%；国有资本经营预算财政拨款收入0.17万元，占0.02%；上级补助收入0万元，占0%；事业收入0万元，占0%；经营收入0万元，占0%；附属单位上缴收入0万元，占0%；其他收入3.24万元，占0.35%。</w:t>
      </w:r>
    </w:p>
    <w:p w14:paraId="05BA0F00">
      <w:pPr>
        <w:numPr>
          <w:ilvl w:val="0"/>
          <w:numId w:val="0"/>
        </w:numPr>
        <w:spacing w:line="600" w:lineRule="exact"/>
        <w:ind w:firstLine="643"/>
        <w:outlineLvl w:val="1"/>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（注：数据来源于财决01表</w:t>
      </w:r>
      <w:r>
        <w:rPr>
          <w:rFonts w:ascii="仿宋" w:hAnsi="仿宋" w:eastAsia="仿宋" w:cs="仿宋"/>
          <w:b/>
          <w:color w:val="000000"/>
          <w:sz w:val="32"/>
          <w:szCs w:val="32"/>
          <w:lang w:eastAsia="zh-CN"/>
        </w:rPr>
        <w:t>，仅罗列本单位涉及的收入。</w:t>
      </w:r>
      <w:r>
        <w:rPr>
          <w:rFonts w:ascii="仿宋" w:hAnsi="仿宋" w:eastAsia="仿宋" w:cs="仿宋"/>
          <w:b/>
          <w:color w:val="000000"/>
          <w:sz w:val="32"/>
          <w:szCs w:val="32"/>
        </w:rPr>
        <w:t>）</w:t>
      </w:r>
    </w:p>
    <w:p w14:paraId="142BF3D0">
      <w:pPr>
        <w:pStyle w:val="11"/>
        <w:rPr>
          <w:rFonts w:ascii="仿宋" w:hAnsi="仿宋" w:eastAsia="仿宋" w:cs="仿宋"/>
          <w:b/>
          <w:color w:val="000000"/>
          <w:sz w:val="32"/>
          <w:szCs w:val="32"/>
          <w:highlight w:val="none"/>
        </w:rPr>
      </w:pPr>
    </w:p>
    <w:p w14:paraId="0755B1F9">
      <w:pPr>
        <w:pStyle w:val="8"/>
        <w:rPr>
          <w:rFonts w:ascii="仿宋" w:hAnsi="仿宋" w:eastAsia="仿宋" w:cs="仿宋"/>
          <w:b/>
          <w:color w:val="000000"/>
          <w:sz w:val="32"/>
          <w:szCs w:val="32"/>
          <w:highlight w:val="none"/>
        </w:rPr>
      </w:pPr>
      <w:r>
        <w:drawing>
          <wp:inline distT="0" distB="0" distL="0" distR="0">
            <wp:extent cx="4838700" cy="2762250"/>
            <wp:effectExtent l="0" t="0" r="0" b="0"/>
            <wp:docPr id="2" name="图表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表 3"/>
                    <pic:cNvPicPr>
                      <a:picLocks noChangeAspect="1" noChangeArrowheads="1"/>
                    </pic:cNvPicPr>
                  </pic:nvPicPr>
                  <pic:blipFill>
                    <a:blip r:embed="rId5"/>
                    <a:srcRect l="-7" t="-13" r="-7" b="-13"/>
                    <a:stretch>
                      <a:fillRect/>
                    </a:stretch>
                  </pic:blipFill>
                  <pic:spPr>
                    <a:xfrm>
                      <a:off x="0" y="0"/>
                      <a:ext cx="4838700" cy="2762250"/>
                    </a:xfrm>
                    <a:prstGeom prst="rect">
                      <a:avLst/>
                    </a:prstGeom>
                  </pic:spPr>
                </pic:pic>
              </a:graphicData>
            </a:graphic>
          </wp:inline>
        </w:drawing>
      </w:r>
    </w:p>
    <w:p w14:paraId="7DE2772F">
      <w:pPr>
        <w:numPr>
          <w:ilvl w:val="0"/>
          <w:numId w:val="0"/>
        </w:numPr>
        <w:spacing w:line="600" w:lineRule="exact"/>
        <w:ind w:firstLine="640"/>
        <w:outlineLvl w:val="1"/>
        <w:rPr>
          <w:rFonts w:ascii="仿宋" w:hAnsi="仿宋" w:eastAsia="仿宋" w:cs="仿宋"/>
          <w:b/>
          <w:color w:val="000000"/>
          <w:sz w:val="32"/>
          <w:szCs w:val="32"/>
          <w:highlight w:val="none"/>
        </w:rPr>
      </w:pPr>
    </w:p>
    <w:p w14:paraId="1B4F20A1">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（图2：收入决算结构图）（饼状图）</w:t>
      </w:r>
    </w:p>
    <w:p w14:paraId="028DC99A">
      <w:pPr>
        <w:spacing w:line="600" w:lineRule="exact"/>
        <w:ind w:firstLine="640"/>
        <w:rPr>
          <w:rFonts w:ascii="仿宋" w:hAnsi="仿宋" w:eastAsia="仿宋" w:cs="仿宋"/>
          <w:color w:val="000000"/>
          <w:sz w:val="32"/>
          <w:szCs w:val="32"/>
          <w:highlight w:val="none"/>
        </w:rPr>
      </w:pPr>
    </w:p>
    <w:p w14:paraId="5F697649">
      <w:pPr>
        <w:pStyle w:val="28"/>
        <w:numPr>
          <w:ilvl w:val="0"/>
          <w:numId w:val="0"/>
        </w:numPr>
        <w:spacing w:line="600" w:lineRule="exact"/>
        <w:ind w:left="640" w:firstLine="0"/>
        <w:outlineLvl w:val="1"/>
        <w:rPr>
          <w:rStyle w:val="18"/>
          <w:rFonts w:ascii="黑体" w:hAnsi="黑体" w:eastAsia="黑体" w:cs="黑体"/>
          <w:b w:val="0"/>
          <w:color w:val="000000"/>
          <w:highlight w:val="none"/>
        </w:rPr>
      </w:pPr>
      <w:r>
        <w:rPr>
          <w:rFonts w:ascii="黑体" w:hAnsi="黑体" w:eastAsia="黑体" w:cs="黑体"/>
          <w:color w:val="000000"/>
          <w:sz w:val="32"/>
          <w:szCs w:val="32"/>
          <w:lang w:eastAsia="zh-CN"/>
        </w:rPr>
        <w:t>三、</w:t>
      </w:r>
      <w:r>
        <w:rPr>
          <w:rFonts w:ascii="黑体" w:hAnsi="黑体" w:eastAsia="黑体" w:cs="黑体"/>
          <w:color w:val="000000"/>
          <w:sz w:val="32"/>
          <w:szCs w:val="32"/>
        </w:rPr>
        <w:t>支</w:t>
      </w:r>
      <w:r>
        <w:rPr>
          <w:rStyle w:val="18"/>
          <w:rFonts w:ascii="黑体" w:hAnsi="黑体" w:eastAsia="黑体" w:cs="黑体"/>
          <w:b w:val="0"/>
          <w:color w:val="000000"/>
        </w:rPr>
        <w:t>出决算情况说明</w:t>
      </w:r>
    </w:p>
    <w:p w14:paraId="23FEEC2A">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2025年度本年支出合计929.47万元，其中：基本支出538.14万元，占57.90%；项目支出391.34万元，占42.10%；上缴上级支出0万元，占0%；经营支出0万元，占0%；对附属单位补助支出0万元，占0%。</w:t>
      </w:r>
    </w:p>
    <w:p w14:paraId="3A01CB9A">
      <w:pPr>
        <w:numPr>
          <w:ilvl w:val="0"/>
          <w:numId w:val="0"/>
        </w:numPr>
        <w:spacing w:line="600" w:lineRule="exact"/>
        <w:ind w:firstLine="643"/>
        <w:outlineLvl w:val="1"/>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（注：数据来源于财决04表</w:t>
      </w:r>
      <w:r>
        <w:rPr>
          <w:rFonts w:ascii="仿宋" w:hAnsi="仿宋" w:eastAsia="仿宋" w:cs="仿宋"/>
          <w:b/>
          <w:color w:val="000000"/>
          <w:sz w:val="32"/>
          <w:szCs w:val="32"/>
          <w:lang w:eastAsia="zh-CN"/>
        </w:rPr>
        <w:t>，仅罗列本单位涉及的支出。</w:t>
      </w:r>
      <w:r>
        <w:rPr>
          <w:rFonts w:ascii="仿宋" w:hAnsi="仿宋" w:eastAsia="仿宋" w:cs="仿宋"/>
          <w:b/>
          <w:color w:val="000000"/>
          <w:sz w:val="32"/>
          <w:szCs w:val="32"/>
        </w:rPr>
        <w:t>）</w:t>
      </w:r>
    </w:p>
    <w:p w14:paraId="2D24116B">
      <w:pPr>
        <w:spacing w:line="600" w:lineRule="exact"/>
        <w:ind w:firstLine="640"/>
        <w:rPr>
          <w:rFonts w:ascii="仿宋" w:hAnsi="仿宋" w:eastAsia="仿宋" w:cs="仿宋"/>
          <w:b/>
          <w:color w:val="000000"/>
          <w:sz w:val="32"/>
          <w:szCs w:val="32"/>
          <w:highlight w:val="none"/>
          <w:shd w:val="clear" w:fill="E5E5E5"/>
        </w:rPr>
      </w:pPr>
    </w:p>
    <w:p w14:paraId="5D56D7D9">
      <w:pPr>
        <w:pStyle w:val="8"/>
        <w:ind w:left="0" w:firstLine="0"/>
        <w:rPr>
          <w:rFonts w:ascii="仿宋" w:hAnsi="仿宋" w:eastAsia="仿宋" w:cs="仿宋"/>
          <w:color w:val="000000"/>
          <w:sz w:val="32"/>
          <w:szCs w:val="32"/>
          <w:highlight w:val="none"/>
          <w:shd w:val="clear" w:fill="E5E5E5"/>
        </w:rPr>
      </w:pPr>
    </w:p>
    <w:p w14:paraId="78789C30">
      <w:pPr>
        <w:pStyle w:val="8"/>
        <w:rPr>
          <w:rFonts w:ascii="仿宋" w:hAnsi="仿宋" w:eastAsia="仿宋" w:cs="仿宋"/>
          <w:color w:val="000000"/>
          <w:sz w:val="32"/>
          <w:szCs w:val="32"/>
          <w:highlight w:val="none"/>
          <w:shd w:val="clear" w:fill="E5E5E5"/>
        </w:rPr>
      </w:pPr>
      <w:r>
        <w:drawing>
          <wp:inline distT="0" distB="0" distL="0" distR="0">
            <wp:extent cx="4838700" cy="2762250"/>
            <wp:effectExtent l="0" t="0" r="0" b="0"/>
            <wp:docPr id="3" name="图表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表 6"/>
                    <pic:cNvPicPr>
                      <a:picLocks noChangeAspect="1" noChangeArrowheads="1"/>
                    </pic:cNvPicPr>
                  </pic:nvPicPr>
                  <pic:blipFill>
                    <a:blip r:embed="rId6"/>
                    <a:srcRect l="-7" t="-13" r="-7" b="-13"/>
                    <a:stretch>
                      <a:fillRect/>
                    </a:stretch>
                  </pic:blipFill>
                  <pic:spPr>
                    <a:xfrm>
                      <a:off x="0" y="0"/>
                      <a:ext cx="4838700" cy="2762250"/>
                    </a:xfrm>
                    <a:prstGeom prst="rect">
                      <a:avLst/>
                    </a:prstGeom>
                  </pic:spPr>
                </pic:pic>
              </a:graphicData>
            </a:graphic>
          </wp:inline>
        </w:drawing>
      </w:r>
    </w:p>
    <w:p w14:paraId="428CEBF0">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（图3：支出决算结构图）（饼状图）</w:t>
      </w:r>
    </w:p>
    <w:p w14:paraId="1574E009">
      <w:pPr>
        <w:spacing w:line="600" w:lineRule="exact"/>
        <w:ind w:firstLine="640"/>
        <w:rPr>
          <w:rFonts w:ascii="仿宋" w:hAnsi="仿宋" w:eastAsia="仿宋" w:cs="仿宋"/>
          <w:color w:val="000000"/>
          <w:sz w:val="32"/>
          <w:szCs w:val="32"/>
          <w:highlight w:val="none"/>
        </w:rPr>
      </w:pPr>
    </w:p>
    <w:p w14:paraId="0A725B71">
      <w:pPr>
        <w:numPr>
          <w:ilvl w:val="0"/>
          <w:numId w:val="0"/>
        </w:numPr>
        <w:spacing w:line="600" w:lineRule="exact"/>
        <w:ind w:firstLine="640"/>
        <w:outlineLvl w:val="1"/>
        <w:rPr>
          <w:rStyle w:val="18"/>
          <w:rFonts w:ascii="黑体" w:hAnsi="黑体" w:eastAsia="黑体" w:cs="黑体"/>
          <w:b w:val="0"/>
          <w:color w:val="000000"/>
          <w:highlight w:val="none"/>
        </w:rPr>
      </w:pPr>
      <w:r>
        <w:rPr>
          <w:rFonts w:ascii="黑体" w:hAnsi="黑体" w:eastAsia="黑体" w:cs="黑体"/>
          <w:color w:val="000000"/>
          <w:sz w:val="32"/>
          <w:szCs w:val="32"/>
        </w:rPr>
        <w:t>四、财</w:t>
      </w:r>
      <w:r>
        <w:rPr>
          <w:rStyle w:val="18"/>
          <w:rFonts w:ascii="黑体" w:hAnsi="黑体" w:eastAsia="黑体" w:cs="黑体"/>
          <w:b w:val="0"/>
          <w:color w:val="000000"/>
        </w:rPr>
        <w:t>政拨款收入支出决算总体情况说明</w:t>
      </w:r>
    </w:p>
    <w:p w14:paraId="3F6F3629">
      <w:pPr>
        <w:spacing w:line="600" w:lineRule="exact"/>
        <w:ind w:firstLine="640"/>
        <w:rPr>
          <w:rFonts w:ascii="仿宋" w:hAnsi="仿宋" w:eastAsia="仿宋" w:cs="仿宋"/>
          <w:color w:val="000000"/>
          <w:sz w:val="32"/>
          <w:szCs w:val="32"/>
          <w:highlight w:val="none"/>
          <w:lang w:val="en-US" w:eastAsia="zh-CN"/>
        </w:rPr>
      </w:pPr>
      <w:r>
        <w:rPr>
          <w:rFonts w:ascii="仿宋" w:hAnsi="仿宋" w:eastAsia="仿宋" w:cs="仿宋"/>
          <w:color w:val="000000"/>
          <w:sz w:val="32"/>
          <w:szCs w:val="32"/>
          <w:lang w:eastAsia="zh-CN"/>
        </w:rPr>
        <w:t>2025年度财政拨款收入总计为925.23万元。与2024年度相比，财政拨款增加83.39万元，增加9.91%。主要变动原因是人员增加、工资保险上调。</w:t>
      </w:r>
    </w:p>
    <w:p w14:paraId="28C3FFCE">
      <w:pPr>
        <w:spacing w:line="600" w:lineRule="exact"/>
        <w:ind w:firstLine="640"/>
        <w:rPr>
          <w:rFonts w:ascii="仿宋" w:hAnsi="仿宋" w:eastAsia="仿宋" w:cs="仿宋"/>
          <w:color w:val="000000"/>
          <w:sz w:val="32"/>
          <w:szCs w:val="32"/>
          <w:highlight w:val="none"/>
          <w:lang w:val="en-US" w:eastAsia="zh-CN"/>
        </w:rPr>
      </w:pPr>
      <w:r>
        <w:rPr>
          <w:rFonts w:ascii="仿宋" w:hAnsi="仿宋" w:eastAsia="仿宋" w:cs="仿宋"/>
          <w:color w:val="000000"/>
          <w:sz w:val="32"/>
          <w:szCs w:val="32"/>
          <w:lang w:eastAsia="zh-CN"/>
        </w:rPr>
        <w:t>2025年财政拨款支出总计为925.23万元。与2024年度相比，财政拨款支出总计增加83.39万元，增加9.91%。主要变动原因是人员增加、工资保险上调。</w:t>
      </w:r>
    </w:p>
    <w:p w14:paraId="483C2039">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（注：数据来源于财决01-1表）</w:t>
      </w:r>
    </w:p>
    <w:p w14:paraId="031AC0B9">
      <w:pPr>
        <w:pStyle w:val="2"/>
        <w:bidi w:val="0"/>
        <w:jc w:val="left"/>
        <w:rPr>
          <w:rFonts w:ascii="仿宋" w:hAnsi="仿宋" w:eastAsia="仿宋" w:cs="仿宋"/>
          <w:b/>
          <w:color w:val="000000"/>
          <w:sz w:val="32"/>
          <w:szCs w:val="32"/>
          <w:highlight w:val="none"/>
        </w:rPr>
      </w:pPr>
    </w:p>
    <w:p w14:paraId="7A5FC1CD">
      <w:r>
        <w:drawing>
          <wp:inline distT="0" distB="0" distL="0" distR="0">
            <wp:extent cx="4838700" cy="2762250"/>
            <wp:effectExtent l="0" t="0" r="0" b="0"/>
            <wp:docPr id="4" name="图表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表 8"/>
                    <pic:cNvPicPr>
                      <a:picLocks noChangeAspect="1" noChangeArrowheads="1"/>
                    </pic:cNvPicPr>
                  </pic:nvPicPr>
                  <pic:blipFill>
                    <a:blip r:embed="rId7"/>
                    <a:srcRect l="-7" t="-13" r="-7" b="-13"/>
                    <a:stretch>
                      <a:fillRect/>
                    </a:stretch>
                  </pic:blipFill>
                  <pic:spPr>
                    <a:xfrm>
                      <a:off x="0" y="0"/>
                      <a:ext cx="4838700" cy="2762250"/>
                    </a:xfrm>
                    <a:prstGeom prst="rect">
                      <a:avLst/>
                    </a:prstGeom>
                  </pic:spPr>
                </pic:pic>
              </a:graphicData>
            </a:graphic>
          </wp:inline>
        </w:drawing>
      </w:r>
    </w:p>
    <w:p w14:paraId="59A235FD">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（图4：财政拨款收、支决算总计变动情况）（柱状图）</w:t>
      </w:r>
    </w:p>
    <w:p w14:paraId="4BA0BDDA">
      <w:pPr>
        <w:spacing w:line="600" w:lineRule="exact"/>
        <w:ind w:firstLine="640"/>
        <w:rPr>
          <w:rFonts w:ascii="仿宋" w:hAnsi="仿宋" w:eastAsia="仿宋" w:cs="仿宋"/>
          <w:b/>
          <w:color w:val="000000"/>
          <w:sz w:val="32"/>
          <w:szCs w:val="32"/>
          <w:highlight w:val="none"/>
        </w:rPr>
      </w:pPr>
    </w:p>
    <w:p w14:paraId="4FB9256E">
      <w:pPr>
        <w:numPr>
          <w:ilvl w:val="0"/>
          <w:numId w:val="0"/>
        </w:numPr>
        <w:spacing w:line="600" w:lineRule="exact"/>
        <w:ind w:firstLine="640"/>
        <w:outlineLvl w:val="1"/>
        <w:rPr>
          <w:rStyle w:val="18"/>
          <w:rFonts w:ascii="黑体" w:hAnsi="黑体" w:eastAsia="黑体" w:cs="黑体"/>
          <w:b w:val="0"/>
          <w:color w:val="000000"/>
          <w:highlight w:val="none"/>
        </w:rPr>
      </w:pPr>
      <w:r>
        <w:rPr>
          <w:rFonts w:ascii="黑体" w:hAnsi="黑体" w:eastAsia="黑体" w:cs="黑体"/>
          <w:color w:val="000000"/>
          <w:sz w:val="32"/>
          <w:szCs w:val="32"/>
        </w:rPr>
        <w:t>五、</w:t>
      </w:r>
      <w:r>
        <w:rPr>
          <w:rFonts w:ascii="黑体" w:hAnsi="黑体" w:eastAsia="黑体" w:cs="黑体"/>
          <w:b/>
          <w:color w:val="000000"/>
          <w:sz w:val="32"/>
          <w:szCs w:val="32"/>
        </w:rPr>
        <w:t>一</w:t>
      </w:r>
      <w:r>
        <w:rPr>
          <w:rStyle w:val="18"/>
          <w:rFonts w:ascii="黑体" w:hAnsi="黑体" w:eastAsia="黑体" w:cs="黑体"/>
          <w:b w:val="0"/>
          <w:color w:val="000000"/>
        </w:rPr>
        <w:t>般公共预算财政拨款支出决算情况说明</w:t>
      </w:r>
    </w:p>
    <w:p w14:paraId="2B6B9E2C">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（一）一般公共预算财政拨款支出决算总体情况</w:t>
      </w:r>
    </w:p>
    <w:p w14:paraId="02A28FDF">
      <w:pPr>
        <w:spacing w:line="600" w:lineRule="exact"/>
        <w:ind w:firstLine="640"/>
        <w:rPr>
          <w:rFonts w:ascii="仿宋" w:hAnsi="仿宋" w:eastAsia="仿宋" w:cs="仿宋"/>
          <w:color w:val="000000"/>
          <w:sz w:val="32"/>
          <w:szCs w:val="32"/>
          <w:highlight w:val="none"/>
          <w:lang w:val="en-US" w:eastAsia="zh-CN"/>
        </w:rPr>
      </w:pPr>
      <w:r>
        <w:rPr>
          <w:rFonts w:ascii="仿宋" w:hAnsi="仿宋" w:eastAsia="仿宋" w:cs="仿宋"/>
          <w:color w:val="000000"/>
          <w:sz w:val="32"/>
          <w:szCs w:val="32"/>
          <w:lang w:eastAsia="zh-CN"/>
        </w:rPr>
        <w:t>2025年度一般公共预算财政拨款支出925.06万元，占本年支出合计的99.53%。与2024年度相比，一般公共预算财政拨款支出增加83.25万元，增加9.89%。主要变动原因是人员增加、工资保险上调。</w:t>
      </w:r>
    </w:p>
    <w:p w14:paraId="7CDA1ECE">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（图5：一般公共预算财政拨款支出决算变动情况）（柱状图）</w:t>
      </w:r>
    </w:p>
    <w:p w14:paraId="29B886C0">
      <w:pPr>
        <w:pStyle w:val="11"/>
        <w:rPr>
          <w:rFonts w:ascii="仿宋" w:hAnsi="仿宋" w:eastAsia="仿宋" w:cs="仿宋"/>
          <w:color w:val="000000"/>
          <w:sz w:val="32"/>
          <w:szCs w:val="32"/>
          <w:highlight w:val="none"/>
        </w:rPr>
      </w:pPr>
    </w:p>
    <w:p w14:paraId="37E3D8CE">
      <w:pPr>
        <w:pStyle w:val="11"/>
      </w:pPr>
    </w:p>
    <w:p w14:paraId="57F5EA26">
      <w:pPr>
        <w:pStyle w:val="11"/>
      </w:pPr>
    </w:p>
    <w:p w14:paraId="502DC047">
      <w:pPr>
        <w:pStyle w:val="11"/>
        <w:rPr>
          <w:rFonts w:ascii="仿宋" w:hAnsi="仿宋" w:eastAsia="仿宋" w:cs="仿宋"/>
          <w:color w:val="000000"/>
          <w:sz w:val="32"/>
          <w:szCs w:val="32"/>
          <w:highlight w:val="none"/>
        </w:rPr>
      </w:pPr>
      <w:r>
        <w:drawing>
          <wp:inline distT="0" distB="0" distL="0" distR="0">
            <wp:extent cx="4838700" cy="2762250"/>
            <wp:effectExtent l="0" t="0" r="0" b="0"/>
            <wp:docPr id="5" name="图表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表 13"/>
                    <pic:cNvPicPr>
                      <a:picLocks noChangeAspect="1" noChangeArrowheads="1"/>
                    </pic:cNvPicPr>
                  </pic:nvPicPr>
                  <pic:blipFill>
                    <a:blip r:embed="rId8"/>
                    <a:srcRect l="-7" t="-13" r="-7" b="-13"/>
                    <a:stretch>
                      <a:fillRect/>
                    </a:stretch>
                  </pic:blipFill>
                  <pic:spPr>
                    <a:xfrm>
                      <a:off x="0" y="0"/>
                      <a:ext cx="4838700" cy="2762250"/>
                    </a:xfrm>
                    <a:prstGeom prst="rect">
                      <a:avLst/>
                    </a:prstGeom>
                  </pic:spPr>
                </pic:pic>
              </a:graphicData>
            </a:graphic>
          </wp:inline>
        </w:drawing>
      </w:r>
    </w:p>
    <w:p w14:paraId="3982D2ED">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（二）一般公共预算财政拨款支出决算结构情况</w:t>
      </w:r>
    </w:p>
    <w:p w14:paraId="69443AC3">
      <w:pPr>
        <w:spacing w:line="600" w:lineRule="exact"/>
        <w:ind w:firstLine="640"/>
        <w:rPr>
          <w:rFonts w:ascii="仿宋" w:hAnsi="仿宋" w:eastAsia="仿宋" w:cs="仿宋"/>
          <w:b/>
          <w:color w:val="000000"/>
          <w:sz w:val="32"/>
          <w:szCs w:val="32"/>
          <w:highlight w:val="none"/>
        </w:rPr>
      </w:pPr>
      <w:r>
        <w:rPr>
          <w:rFonts w:ascii="仿宋" w:hAnsi="仿宋" w:eastAsia="仿宋" w:cs="仿宋"/>
          <w:color w:val="000000"/>
          <w:sz w:val="32"/>
          <w:szCs w:val="32"/>
          <w:lang w:eastAsia="zh-CN"/>
        </w:rPr>
        <w:t>2025年度一般公共预算财政拨款支出925.06万元，主要用于以下方面：一般公共服务支出408.90万元，占44.20%；教育支出0万元，占0%；农林水支出332.94万元，占36.00%；文化旅游体育与传媒支出0万元，占0%；社会保障和就业支出70.28万元，占7.60%；卫生健康支出25.09万元，占2.71%；住房保障支出37.85万元，占4.09%；灾害防治及应急管理支出50万元，占5.41%。</w:t>
      </w:r>
    </w:p>
    <w:p w14:paraId="184237A8">
      <w:pPr>
        <w:spacing w:line="600" w:lineRule="exact"/>
        <w:ind w:firstLine="640"/>
        <w:rPr>
          <w:rFonts w:ascii="仿宋" w:hAnsi="仿宋" w:eastAsia="仿宋" w:cs="仿宋"/>
          <w:color w:val="000000"/>
          <w:sz w:val="32"/>
          <w:szCs w:val="32"/>
          <w:highlight w:val="none"/>
        </w:rPr>
      </w:pPr>
      <w:bookmarkStart w:id="0" w:name="_GoBack"/>
      <w:bookmarkEnd w:id="0"/>
      <w:r>
        <w:rPr>
          <w:rFonts w:ascii="仿宋" w:hAnsi="仿宋" w:eastAsia="仿宋" w:cs="仿宋"/>
          <w:b/>
          <w:color w:val="000000"/>
          <w:sz w:val="32"/>
          <w:szCs w:val="32"/>
          <w:lang w:eastAsia="zh-CN"/>
        </w:rPr>
        <w:t>注：数据来源于财决</w:t>
      </w:r>
      <w:r>
        <w:rPr>
          <w:rFonts w:ascii="仿宋" w:hAnsi="仿宋" w:eastAsia="仿宋" w:cs="仿宋"/>
          <w:b/>
          <w:color w:val="000000"/>
          <w:sz w:val="32"/>
          <w:szCs w:val="32"/>
          <w:lang w:val="en-US" w:eastAsia="zh-CN"/>
        </w:rPr>
        <w:t>01-1表，仅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本单位涉及的</w:t>
      </w:r>
      <w:r>
        <w:rPr>
          <w:rFonts w:ascii="仿宋" w:hAnsi="仿宋" w:eastAsia="仿宋" w:cs="仿宋"/>
          <w:b/>
          <w:color w:val="000000"/>
          <w:sz w:val="32"/>
          <w:szCs w:val="32"/>
        </w:rPr>
        <w:t>全部功能分类科目，至类级。</w:t>
      </w:r>
    </w:p>
    <w:p w14:paraId="191E6358">
      <w:pPr>
        <w:pStyle w:val="11"/>
        <w:rPr>
          <w:rFonts w:ascii="仿宋" w:hAnsi="仿宋" w:eastAsia="仿宋" w:cs="仿宋"/>
          <w:color w:val="000000"/>
          <w:sz w:val="32"/>
          <w:szCs w:val="32"/>
          <w:highlight w:val="none"/>
        </w:rPr>
      </w:pPr>
      <w:r>
        <w:drawing>
          <wp:inline distT="0" distB="0" distL="0" distR="0">
            <wp:extent cx="4838700" cy="2762250"/>
            <wp:effectExtent l="0" t="0" r="0" b="0"/>
            <wp:docPr id="6" name="图表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表 14"/>
                    <pic:cNvPicPr>
                      <a:picLocks noChangeAspect="1" noChangeArrowheads="1"/>
                    </pic:cNvPicPr>
                  </pic:nvPicPr>
                  <pic:blipFill>
                    <a:blip r:embed="rId9"/>
                    <a:srcRect l="-7" t="-13" r="-7" b="-13"/>
                    <a:stretch>
                      <a:fillRect/>
                    </a:stretch>
                  </pic:blipFill>
                  <pic:spPr>
                    <a:xfrm>
                      <a:off x="0" y="0"/>
                      <a:ext cx="4838700" cy="2762250"/>
                    </a:xfrm>
                    <a:prstGeom prst="rect">
                      <a:avLst/>
                    </a:prstGeom>
                  </pic:spPr>
                </pic:pic>
              </a:graphicData>
            </a:graphic>
          </wp:inline>
        </w:drawing>
      </w:r>
    </w:p>
    <w:p w14:paraId="11F0F348">
      <w:pPr>
        <w:pStyle w:val="8"/>
        <w:ind w:left="0" w:firstLine="0"/>
        <w:rPr>
          <w:rFonts w:ascii="仿宋" w:hAnsi="仿宋" w:eastAsia="仿宋" w:cs="仿宋"/>
          <w:color w:val="000000"/>
          <w:sz w:val="32"/>
          <w:szCs w:val="32"/>
          <w:highlight w:val="none"/>
        </w:rPr>
      </w:pPr>
    </w:p>
    <w:p w14:paraId="2D21D19C">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（图6：一般公共预算财政拨款支出决算结构）（饼状图）</w:t>
      </w:r>
    </w:p>
    <w:p w14:paraId="2227E595">
      <w:pPr>
        <w:spacing w:line="600" w:lineRule="exact"/>
        <w:ind w:firstLine="640"/>
        <w:rPr>
          <w:rFonts w:ascii="仿宋" w:hAnsi="仿宋" w:eastAsia="仿宋" w:cs="仿宋"/>
          <w:color w:val="000000"/>
          <w:sz w:val="32"/>
          <w:szCs w:val="32"/>
          <w:highlight w:val="none"/>
        </w:rPr>
      </w:pPr>
    </w:p>
    <w:p w14:paraId="4C1B5EA2">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（三）一般公共预算财政拨款支出决算具体情况</w:t>
      </w:r>
    </w:p>
    <w:p w14:paraId="2971C1BE">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lang w:eastAsia="zh-CN"/>
        </w:rPr>
        <w:t>2025年度一般公共预算支出决算数为925.06万元，完成预算100%。其中：</w:t>
      </w:r>
    </w:p>
    <w:p w14:paraId="738C7F27">
      <w:pPr>
        <w:numPr>
          <w:ilvl w:val="0"/>
          <w:numId w:val="3"/>
        </w:numPr>
        <w:tabs>
          <w:tab w:val="left" w:pos="312"/>
          <w:tab w:val="clear" w:pos="420"/>
        </w:tabs>
        <w:spacing w:line="600" w:lineRule="exact"/>
        <w:ind w:left="0" w:firstLine="643"/>
        <w:rPr>
          <w:rStyle w:val="19"/>
          <w:rFonts w:ascii="仿宋" w:hAnsi="仿宋" w:eastAsia="仿宋" w:cs="仿宋"/>
          <w:b w:val="0"/>
          <w:bCs/>
          <w:color w:val="000000"/>
          <w:sz w:val="32"/>
          <w:szCs w:val="32"/>
          <w:highlight w:val="none"/>
        </w:rPr>
      </w:pPr>
      <w:r>
        <w:rPr>
          <w:rStyle w:val="19"/>
          <w:rFonts w:ascii="仿宋" w:hAnsi="仿宋" w:eastAsia="仿宋" w:cs="仿宋"/>
          <w:bCs/>
          <w:color w:val="000000"/>
          <w:sz w:val="32"/>
          <w:szCs w:val="32"/>
        </w:rPr>
        <w:t>一般公共服务（类）201（款）01、03（项）：</w:t>
      </w:r>
    </w:p>
    <w:p w14:paraId="109587B5">
      <w:pPr>
        <w:numPr>
          <w:ilvl w:val="0"/>
          <w:numId w:val="0"/>
        </w:numPr>
        <w:spacing w:line="600" w:lineRule="exact"/>
        <w:ind w:left="0" w:firstLine="640"/>
        <w:rPr>
          <w:rStyle w:val="19"/>
          <w:rFonts w:ascii="仿宋" w:hAnsi="仿宋" w:eastAsia="仿宋" w:cs="仿宋"/>
          <w:b w:val="0"/>
          <w:bCs/>
          <w:color w:val="000000"/>
          <w:sz w:val="32"/>
          <w:szCs w:val="32"/>
          <w:highlight w:val="none"/>
        </w:rPr>
      </w:pPr>
      <w:r>
        <w:rPr>
          <w:rStyle w:val="19"/>
          <w:rFonts w:ascii="仿宋" w:hAnsi="仿宋" w:eastAsia="仿宋" w:cs="仿宋"/>
          <w:b w:val="0"/>
          <w:bCs/>
          <w:color w:val="000000"/>
          <w:sz w:val="32"/>
          <w:szCs w:val="32"/>
          <w:lang w:eastAsia="zh-CN"/>
        </w:rPr>
        <w:t>其中2010104－人大会议支出0.16万元，2010108－代表工作支出3.13万元，2010301－行政运行支出405.61万元；支出决算数等于预算数，完成预算100%，决算数等于预算数的主要原因是年初严格编制单位预算，严格预算执行。</w:t>
      </w:r>
    </w:p>
    <w:p w14:paraId="55349F9E">
      <w:pPr>
        <w:numPr>
          <w:ilvl w:val="0"/>
          <w:numId w:val="3"/>
        </w:numPr>
        <w:tabs>
          <w:tab w:val="left" w:pos="312"/>
          <w:tab w:val="clear" w:pos="420"/>
        </w:tabs>
        <w:spacing w:line="600" w:lineRule="exact"/>
        <w:ind w:left="0" w:firstLine="643"/>
        <w:rPr>
          <w:rStyle w:val="19"/>
          <w:rFonts w:ascii="仿宋" w:hAnsi="仿宋" w:eastAsia="仿宋" w:cs="仿宋"/>
          <w:b w:val="0"/>
          <w:bCs/>
          <w:color w:val="000000"/>
          <w:sz w:val="32"/>
          <w:szCs w:val="32"/>
          <w:highlight w:val="none"/>
        </w:rPr>
      </w:pPr>
      <w:r>
        <w:rPr>
          <w:rStyle w:val="19"/>
          <w:rFonts w:ascii="仿宋" w:hAnsi="仿宋" w:eastAsia="仿宋" w:cs="仿宋"/>
          <w:bCs/>
          <w:color w:val="000000"/>
          <w:sz w:val="32"/>
          <w:szCs w:val="32"/>
        </w:rPr>
        <w:t>农林水支出（类）213（款）01、05、07（项）：</w:t>
      </w:r>
    </w:p>
    <w:p w14:paraId="1317F094">
      <w:pPr>
        <w:numPr>
          <w:ilvl w:val="0"/>
          <w:numId w:val="0"/>
        </w:numPr>
        <w:spacing w:line="600" w:lineRule="exact"/>
        <w:ind w:left="0" w:firstLine="0"/>
        <w:rPr>
          <w:rFonts w:ascii="仿宋" w:hAnsi="仿宋" w:eastAsia="仿宋" w:cs="仿宋"/>
          <w:b/>
          <w:color w:val="000000"/>
          <w:sz w:val="32"/>
          <w:szCs w:val="32"/>
          <w:highlight w:val="none"/>
        </w:rPr>
      </w:pPr>
      <w:r>
        <w:rPr>
          <w:rStyle w:val="19"/>
          <w:rFonts w:ascii="仿宋" w:hAnsi="仿宋" w:eastAsia="仿宋" w:cs="仿宋"/>
          <w:b w:val="0"/>
          <w:bCs/>
          <w:color w:val="000000"/>
          <w:sz w:val="32"/>
          <w:szCs w:val="32"/>
        </w:rPr>
        <w:t>2130119－防灾救灾支出10万元，2130199－其他农业农村支出6.15万元，2130504－农村基础设施建设121.97万元，2130705－对村民委员会和村党支部的补助194.82万元，完成预算100%，决算数等于预算数的主要原因是年初严格编制单位预算，严格预算执行。</w:t>
      </w:r>
    </w:p>
    <w:p w14:paraId="4D782A7A">
      <w:pPr>
        <w:numPr>
          <w:ilvl w:val="0"/>
          <w:numId w:val="0"/>
        </w:numPr>
        <w:spacing w:line="600" w:lineRule="exact"/>
        <w:ind w:left="0" w:firstLine="0"/>
        <w:rPr>
          <w:rFonts w:ascii="仿宋" w:hAnsi="仿宋" w:eastAsia="仿宋" w:cs="仿宋"/>
          <w:b/>
          <w:color w:val="000000"/>
          <w:sz w:val="32"/>
          <w:szCs w:val="32"/>
          <w:highlight w:val="none"/>
        </w:rPr>
      </w:pPr>
      <w:r>
        <w:rPr>
          <w:rStyle w:val="19"/>
          <w:rFonts w:ascii="仿宋" w:hAnsi="仿宋" w:eastAsia="仿宋" w:cs="仿宋"/>
          <w:bCs/>
          <w:color w:val="000000"/>
          <w:sz w:val="32"/>
          <w:szCs w:val="32"/>
        </w:rPr>
        <w:t>3.住房保障支出（类）221（款）02（项）：2210201－住房公积金支出决算为37.85万元，完成预算100%，决算数等于预算数的主要原因是年初严格编制单位预算，严格预算执行。</w:t>
      </w:r>
    </w:p>
    <w:p w14:paraId="55E63EBC">
      <w:pPr>
        <w:spacing w:line="600" w:lineRule="exact"/>
        <w:ind w:firstLine="643"/>
        <w:rPr>
          <w:rStyle w:val="19"/>
          <w:rFonts w:ascii="仿宋" w:hAnsi="仿宋" w:eastAsia="仿宋" w:cs="仿宋"/>
          <w:bCs/>
          <w:color w:val="000000"/>
          <w:sz w:val="32"/>
          <w:szCs w:val="32"/>
          <w:highlight w:val="none"/>
        </w:rPr>
      </w:pPr>
      <w:r>
        <w:rPr>
          <w:rStyle w:val="19"/>
          <w:rFonts w:ascii="仿宋" w:hAnsi="仿宋" w:eastAsia="仿宋" w:cs="仿宋"/>
          <w:bCs/>
          <w:color w:val="000000"/>
          <w:sz w:val="32"/>
          <w:szCs w:val="32"/>
        </w:rPr>
        <w:t>4.社会保障和就业（类）208（款）01、05（项）：</w:t>
      </w:r>
    </w:p>
    <w:p w14:paraId="54A2CBD1">
      <w:pPr>
        <w:spacing w:line="600" w:lineRule="exact"/>
        <w:ind w:firstLine="640"/>
        <w:rPr>
          <w:rFonts w:ascii="仿宋" w:hAnsi="仿宋" w:eastAsia="仿宋" w:cs="仿宋"/>
          <w:b/>
          <w:color w:val="000000"/>
          <w:sz w:val="32"/>
          <w:szCs w:val="32"/>
          <w:highlight w:val="none"/>
        </w:rPr>
      </w:pPr>
      <w:r>
        <w:rPr>
          <w:rStyle w:val="19"/>
          <w:rFonts w:ascii="仿宋" w:hAnsi="仿宋" w:eastAsia="仿宋" w:cs="仿宋"/>
          <w:b w:val="0"/>
          <w:bCs/>
          <w:color w:val="000000"/>
          <w:sz w:val="32"/>
          <w:szCs w:val="32"/>
        </w:rPr>
        <w:t>2080199－其他人力资源和社会保障管理事务支出4.94万元，2080505－机关事业单位基本养老保险缴费支出43.35万元，2080506－机关事业单位职业年金缴费支出21.99万元，完成预算100%，决算数等于预算数的主要原因是年初严格编制单位预算，严格预算执行。</w:t>
      </w:r>
    </w:p>
    <w:p w14:paraId="3480D969">
      <w:pPr>
        <w:tabs>
          <w:tab w:val="left" w:pos="312"/>
        </w:tabs>
        <w:spacing w:line="600" w:lineRule="exact"/>
        <w:ind w:left="0" w:firstLine="643"/>
        <w:rPr>
          <w:rStyle w:val="19"/>
          <w:rFonts w:ascii="仿宋" w:hAnsi="仿宋" w:eastAsia="仿宋" w:cs="仿宋"/>
          <w:b w:val="0"/>
          <w:bCs/>
          <w:color w:val="000000"/>
          <w:sz w:val="32"/>
          <w:szCs w:val="32"/>
          <w:highlight w:val="none"/>
        </w:rPr>
      </w:pPr>
      <w:r>
        <w:rPr>
          <w:rStyle w:val="19"/>
          <w:rFonts w:ascii="仿宋" w:hAnsi="仿宋" w:eastAsia="仿宋" w:cs="仿宋"/>
          <w:bCs/>
          <w:color w:val="000000"/>
          <w:sz w:val="32"/>
          <w:szCs w:val="32"/>
        </w:rPr>
        <w:t>5.灾害防治及应急管理支出（类）224（款）06、07（项）：</w:t>
      </w:r>
    </w:p>
    <w:p w14:paraId="78BECA9A">
      <w:pPr>
        <w:numPr>
          <w:ilvl w:val="0"/>
          <w:numId w:val="0"/>
        </w:numPr>
        <w:spacing w:line="600" w:lineRule="exact"/>
        <w:ind w:left="0" w:firstLine="0"/>
        <w:rPr>
          <w:rFonts w:ascii="仿宋" w:hAnsi="仿宋" w:eastAsia="仿宋" w:cs="仿宋"/>
          <w:b/>
          <w:color w:val="000000"/>
          <w:sz w:val="32"/>
          <w:szCs w:val="32"/>
          <w:highlight w:val="none"/>
        </w:rPr>
      </w:pPr>
      <w:r>
        <w:rPr>
          <w:rStyle w:val="19"/>
          <w:rFonts w:ascii="仿宋" w:hAnsi="仿宋" w:eastAsia="仿宋" w:cs="仿宋"/>
          <w:b w:val="0"/>
          <w:bCs/>
          <w:color w:val="000000"/>
          <w:sz w:val="32"/>
          <w:szCs w:val="32"/>
        </w:rPr>
        <w:t>2240601－地质灾害防治支出10万元，支出决算为10万元，完成预算100%，决算数等于预算数的主要原因是年初严格编制单位预算，严格预算执行。</w:t>
      </w:r>
    </w:p>
    <w:p w14:paraId="2B16DC8C">
      <w:pPr>
        <w:numPr>
          <w:ilvl w:val="0"/>
          <w:numId w:val="0"/>
        </w:numPr>
        <w:spacing w:line="600" w:lineRule="exact"/>
        <w:ind w:left="0" w:firstLine="640"/>
        <w:rPr>
          <w:rFonts w:ascii="仿宋" w:hAnsi="仿宋" w:eastAsia="仿宋" w:cs="仿宋"/>
          <w:b/>
          <w:color w:val="000000"/>
          <w:sz w:val="32"/>
          <w:szCs w:val="32"/>
          <w:highlight w:val="none"/>
        </w:rPr>
      </w:pPr>
      <w:r>
        <w:rPr>
          <w:rStyle w:val="19"/>
          <w:rFonts w:ascii="仿宋" w:hAnsi="仿宋" w:eastAsia="仿宋" w:cs="仿宋"/>
          <w:b w:val="0"/>
          <w:bCs/>
          <w:color w:val="000000"/>
          <w:sz w:val="32"/>
          <w:szCs w:val="32"/>
          <w:lang w:val="en-US" w:eastAsia="zh-CN"/>
        </w:rPr>
        <w:t>2240799－其他自然灾害救灾及恢复重建支出40万元，支出决算为40万元，完成预算100%，决算数等于预算数的主要原因是年初严格编制单位预算，严格预算执行。</w:t>
      </w:r>
    </w:p>
    <w:p w14:paraId="7D0FE035">
      <w:pPr>
        <w:spacing w:line="600" w:lineRule="exact"/>
        <w:ind w:firstLine="643"/>
        <w:rPr>
          <w:rFonts w:ascii="仿宋" w:hAnsi="仿宋" w:eastAsia="仿宋" w:cs="仿宋"/>
          <w:b/>
          <w:color w:val="000000"/>
          <w:sz w:val="32"/>
          <w:szCs w:val="32"/>
          <w:highlight w:val="none"/>
        </w:rPr>
      </w:pPr>
      <w:r>
        <w:rPr>
          <w:rStyle w:val="19"/>
          <w:rFonts w:ascii="仿宋" w:hAnsi="仿宋" w:eastAsia="仿宋" w:cs="仿宋"/>
          <w:bCs/>
          <w:color w:val="000000"/>
          <w:sz w:val="32"/>
          <w:szCs w:val="32"/>
        </w:rPr>
        <w:t>6.卫生健康（类）210（款）11（项）：2101101－行政单位医疗支出21.25万元，2101103－公务员医疗补助支出3.83万元，完成预算100%，决算数等于预算数的主要原因是年初严格编制单位预算，严格预算执行。</w:t>
      </w:r>
    </w:p>
    <w:p w14:paraId="4C0C9F0A">
      <w:pPr>
        <w:spacing w:line="600" w:lineRule="exact"/>
        <w:ind w:firstLine="640"/>
        <w:rPr>
          <w:rFonts w:ascii="仿宋" w:hAnsi="仿宋" w:eastAsia="仿宋" w:cs="仿宋"/>
          <w:b/>
          <w:color w:val="000000"/>
          <w:sz w:val="32"/>
          <w:szCs w:val="32"/>
          <w:highlight w:val="none"/>
        </w:rPr>
      </w:pPr>
    </w:p>
    <w:p w14:paraId="37AF675E">
      <w:pPr>
        <w:numPr>
          <w:ilvl w:val="0"/>
          <w:numId w:val="0"/>
        </w:numPr>
        <w:tabs>
          <w:tab w:val="right" w:pos="8306"/>
        </w:tabs>
        <w:spacing w:line="600" w:lineRule="exact"/>
        <w:ind w:firstLine="640"/>
        <w:outlineLvl w:val="1"/>
        <w:rPr>
          <w:rStyle w:val="18"/>
          <w:color w:val="000000"/>
          <w:highlight w:val="none"/>
        </w:rPr>
      </w:pPr>
      <w:r>
        <w:rPr>
          <w:rFonts w:ascii="黑体" w:hAnsi="黑体" w:eastAsia="黑体"/>
          <w:color w:val="000000"/>
          <w:sz w:val="32"/>
          <w:szCs w:val="32"/>
        </w:rPr>
        <w:t>六</w:t>
      </w:r>
      <w:r>
        <w:rPr>
          <w:rFonts w:ascii="黑体" w:hAnsi="黑体" w:eastAsia="黑体"/>
          <w:b/>
          <w:color w:val="000000"/>
          <w:sz w:val="32"/>
          <w:szCs w:val="32"/>
        </w:rPr>
        <w:t>、</w:t>
      </w:r>
      <w:r>
        <w:rPr>
          <w:rFonts w:ascii="黑体" w:hAnsi="黑体" w:eastAsia="黑体" w:cs="黑体"/>
          <w:b/>
          <w:color w:val="000000"/>
          <w:sz w:val="32"/>
          <w:szCs w:val="32"/>
        </w:rPr>
        <w:t>一</w:t>
      </w:r>
      <w:r>
        <w:rPr>
          <w:rStyle w:val="18"/>
          <w:rFonts w:ascii="黑体" w:hAnsi="黑体" w:eastAsia="黑体" w:cs="黑体"/>
          <w:b w:val="0"/>
          <w:color w:val="000000"/>
        </w:rPr>
        <w:t>般公共预算财政拨款基本支出决算情况说明</w:t>
      </w:r>
      <w:r>
        <w:rPr>
          <w:rStyle w:val="18"/>
          <w:rFonts w:ascii="黑体" w:hAnsi="黑体" w:eastAsia="黑体" w:cs="黑体"/>
          <w:b w:val="0"/>
          <w:color w:val="000000"/>
        </w:rPr>
        <w:tab/>
      </w:r>
    </w:p>
    <w:p w14:paraId="2F3FF8EF">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2025年度一般公共预算财政拨款基本支出533.89万元，其中：</w:t>
      </w:r>
    </w:p>
    <w:p w14:paraId="2902459B">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rPr>
        <w:t>人员经费489.71万元，主要包括：基本工资224.97万元、奖金120.51万元、机关事业单位基本养老保险缴费43.35万元、职业年金缴费21.99万元、职工基本医疗保险缴费21.25万元、公务员医疗补助缴费3.83万元、其他社会保障缴费6.65万元、住房公积金37.85万元、其他工资福利支出8.54万元、生活补助0.75万元、奖励金0.02万元。</w:t>
      </w:r>
      <w:r>
        <w:rPr>
          <w:rFonts w:ascii="仿宋" w:hAnsi="仿宋" w:eastAsia="仿宋" w:cs="仿宋"/>
          <w:color w:val="000000"/>
          <w:sz w:val="32"/>
          <w:szCs w:val="32"/>
        </w:rPr>
        <w:br w:type="textWrapping"/>
      </w:r>
      <w:r>
        <w:rPr>
          <w:rFonts w:ascii="仿宋" w:hAnsi="仿宋" w:eastAsia="仿宋" w:cs="仿宋"/>
          <w:color w:val="000000"/>
          <w:sz w:val="32"/>
          <w:szCs w:val="32"/>
        </w:rPr>
        <w:t>　　公用经费44.18万元，主要包括：办公费13.69万元、电费1万元、邮电费1万元、取暖费1.51万元、差旅费12.07万元、培训费0.39万元、工会经费4.18万元、福利费4.45万元、公务用车运行维护费5.88万元。</w:t>
      </w:r>
    </w:p>
    <w:p w14:paraId="6F8DC962">
      <w:pPr>
        <w:spacing w:line="600" w:lineRule="exact"/>
        <w:ind w:firstLine="645"/>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（注：数据来源于财决07表</w:t>
      </w:r>
      <w:r>
        <w:rPr>
          <w:rFonts w:ascii="仿宋" w:hAnsi="仿宋" w:eastAsia="仿宋" w:cs="仿宋"/>
          <w:b/>
          <w:color w:val="000000"/>
          <w:sz w:val="32"/>
          <w:szCs w:val="32"/>
          <w:lang w:eastAsia="zh-CN"/>
        </w:rPr>
        <w:t>和财决</w:t>
      </w:r>
      <w:r>
        <w:rPr>
          <w:rFonts w:ascii="仿宋" w:hAnsi="仿宋" w:eastAsia="仿宋" w:cs="仿宋"/>
          <w:b/>
          <w:color w:val="000000"/>
          <w:sz w:val="32"/>
          <w:szCs w:val="32"/>
          <w:lang w:val="en-US" w:eastAsia="zh-CN"/>
        </w:rPr>
        <w:t>08-1表</w:t>
      </w:r>
      <w:r>
        <w:rPr>
          <w:rFonts w:ascii="仿宋" w:hAnsi="仿宋" w:eastAsia="仿宋" w:cs="仿宋"/>
          <w:b/>
          <w:color w:val="000000"/>
          <w:sz w:val="32"/>
          <w:szCs w:val="32"/>
        </w:rPr>
        <w:t>，</w:t>
      </w:r>
      <w:r>
        <w:rPr>
          <w:rFonts w:ascii="仿宋" w:hAnsi="仿宋" w:eastAsia="仿宋" w:cs="仿宋"/>
          <w:b/>
          <w:color w:val="000000"/>
          <w:sz w:val="32"/>
          <w:szCs w:val="32"/>
          <w:lang w:eastAsia="zh-CN"/>
        </w:rPr>
        <w:t>仅罗列</w:t>
      </w:r>
      <w:r>
        <w:rPr>
          <w:rFonts w:ascii="仿宋" w:hAnsi="仿宋" w:eastAsia="仿宋" w:cs="仿宋"/>
          <w:b/>
          <w:color w:val="000000"/>
          <w:sz w:val="32"/>
          <w:szCs w:val="32"/>
        </w:rPr>
        <w:t>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实际支出</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经济分类科目。）</w:t>
      </w:r>
    </w:p>
    <w:p w14:paraId="0E5437A4">
      <w:pPr>
        <w:spacing w:line="600" w:lineRule="exact"/>
        <w:ind w:firstLine="640"/>
        <w:rPr>
          <w:rFonts w:ascii="仿宋" w:hAnsi="仿宋" w:eastAsia="仿宋" w:cs="仿宋"/>
          <w:b/>
          <w:color w:val="000000"/>
          <w:sz w:val="32"/>
          <w:szCs w:val="32"/>
          <w:highlight w:val="none"/>
        </w:rPr>
      </w:pPr>
    </w:p>
    <w:p w14:paraId="2C62510E">
      <w:pPr>
        <w:numPr>
          <w:ilvl w:val="0"/>
          <w:numId w:val="0"/>
        </w:numPr>
        <w:spacing w:line="600" w:lineRule="exact"/>
        <w:ind w:firstLine="640"/>
        <w:outlineLvl w:val="1"/>
        <w:rPr>
          <w:rStyle w:val="18"/>
          <w:rFonts w:ascii="黑体" w:hAnsi="黑体" w:eastAsia="黑体" w:cs="黑体"/>
          <w:b w:val="0"/>
          <w:color w:val="000000"/>
          <w:highlight w:val="none"/>
        </w:rPr>
      </w:pPr>
      <w:r>
        <w:rPr>
          <w:rFonts w:ascii="黑体" w:hAnsi="黑体" w:eastAsia="黑体"/>
          <w:color w:val="000000"/>
          <w:sz w:val="32"/>
          <w:szCs w:val="32"/>
        </w:rPr>
        <w:t>七、</w:t>
      </w:r>
      <w:r>
        <w:rPr>
          <w:rStyle w:val="18"/>
          <w:rFonts w:ascii="黑体" w:hAnsi="黑体" w:eastAsia="黑体" w:cs="黑体"/>
          <w:b w:val="0"/>
          <w:color w:val="000000"/>
        </w:rPr>
        <w:t>财政拨款</w:t>
      </w:r>
      <w:r>
        <w:rPr>
          <w:rStyle w:val="18"/>
          <w:rFonts w:ascii="黑体" w:hAnsi="黑体" w:eastAsia="黑体" w:cs="黑体"/>
          <w:color w:val="000000"/>
        </w:rPr>
        <w:t>“</w:t>
      </w:r>
      <w:r>
        <w:rPr>
          <w:rStyle w:val="18"/>
          <w:rFonts w:ascii="黑体" w:hAnsi="黑体" w:eastAsia="黑体" w:cs="黑体"/>
          <w:b w:val="0"/>
          <w:color w:val="000000"/>
        </w:rPr>
        <w:t>三公”经费支出决算情况说明</w:t>
      </w:r>
    </w:p>
    <w:p w14:paraId="12C97621">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（一）“三公”经费财政拨款支出决算总体情况说明</w:t>
      </w:r>
    </w:p>
    <w:p w14:paraId="0232BEDC">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2025年度“三公”经费财政拨款支出决算为5.88万元，完成预算100%，较上年度减少0.02万元，减少0.36%。决算数与预算数持平的主要原因是严格控制</w:t>
      </w:r>
      <w:r>
        <w:rPr>
          <w:rFonts w:hint="eastAsia" w:ascii="仿宋" w:hAnsi="仿宋" w:eastAsia="仿宋" w:cs="仿宋"/>
          <w:color w:val="000000"/>
          <w:sz w:val="32"/>
          <w:szCs w:val="32"/>
          <w:lang w:eastAsia="zh-CN"/>
        </w:rPr>
        <w:t>“三公”经费</w:t>
      </w:r>
      <w:r>
        <w:rPr>
          <w:rFonts w:ascii="仿宋" w:hAnsi="仿宋" w:eastAsia="仿宋" w:cs="仿宋"/>
          <w:color w:val="000000"/>
          <w:sz w:val="32"/>
          <w:szCs w:val="32"/>
          <w:lang w:eastAsia="zh-CN"/>
        </w:rPr>
        <w:t>支出。</w:t>
      </w:r>
    </w:p>
    <w:p w14:paraId="05FAF231">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（注：上述“预算”口径为</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数，包括</w:t>
      </w:r>
      <w:r>
        <w:rPr>
          <w:rFonts w:ascii="仿宋" w:hAnsi="仿宋" w:eastAsia="仿宋" w:cs="仿宋"/>
          <w:b/>
          <w:color w:val="000000"/>
          <w:sz w:val="32"/>
          <w:szCs w:val="32"/>
          <w:lang w:eastAsia="zh-CN"/>
        </w:rPr>
        <w:t>一般公共预算和</w:t>
      </w:r>
      <w:r>
        <w:rPr>
          <w:rFonts w:ascii="仿宋" w:hAnsi="仿宋" w:eastAsia="仿宋" w:cs="仿宋"/>
          <w:b/>
          <w:color w:val="000000"/>
          <w:sz w:val="32"/>
          <w:szCs w:val="32"/>
        </w:rPr>
        <w:t>政府性基金</w:t>
      </w:r>
      <w:r>
        <w:rPr>
          <w:rFonts w:ascii="仿宋" w:hAnsi="仿宋" w:eastAsia="仿宋" w:cs="仿宋"/>
          <w:b/>
          <w:color w:val="000000"/>
          <w:sz w:val="32"/>
          <w:szCs w:val="32"/>
          <w:lang w:eastAsia="zh-CN"/>
        </w:rPr>
        <w:t>预算财政拨款</w:t>
      </w:r>
      <w:r>
        <w:rPr>
          <w:rFonts w:ascii="仿宋" w:hAnsi="仿宋" w:eastAsia="仿宋" w:cs="仿宋"/>
          <w:b/>
          <w:color w:val="000000"/>
          <w:sz w:val="32"/>
          <w:szCs w:val="32"/>
        </w:rPr>
        <w:t>支出决算情况。）</w:t>
      </w:r>
    </w:p>
    <w:p w14:paraId="0A46F175">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（二）“三公”经费财政拨款支出决算具体情况说明</w:t>
      </w:r>
    </w:p>
    <w:p w14:paraId="122CCC57">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2025年度“三公”经费财政拨款支出决算中，因公出国（境）费支出决算0万元，占0%；公务用车购置及运行维护费支出决算5.88万元，占100%；公务接待费支出决算0万元，占0%。具体情况如下：</w:t>
      </w:r>
    </w:p>
    <w:p w14:paraId="6A8B59C2">
      <w:pPr>
        <w:spacing w:line="600" w:lineRule="exact"/>
        <w:ind w:firstLine="640"/>
        <w:rPr>
          <w:rFonts w:ascii="仿宋" w:hAnsi="仿宋" w:eastAsia="仿宋"/>
          <w:color w:val="000000"/>
          <w:sz w:val="32"/>
          <w:szCs w:val="32"/>
          <w:highlight w:val="none"/>
        </w:rPr>
      </w:pPr>
      <w:r>
        <w:rPr>
          <w:rFonts w:ascii="仿宋" w:hAnsi="仿宋" w:eastAsia="仿宋" w:cs="仿宋"/>
          <w:color w:val="000000"/>
          <w:sz w:val="32"/>
          <w:szCs w:val="32"/>
          <w:lang w:val="en-US" w:eastAsia="zh-CN"/>
        </w:rPr>
        <w:t>1.</w:t>
      </w:r>
      <w:r>
        <w:rPr>
          <w:rFonts w:ascii="仿宋" w:hAnsi="仿宋" w:eastAsia="仿宋"/>
          <w:b/>
          <w:color w:val="000000"/>
          <w:sz w:val="32"/>
          <w:szCs w:val="32"/>
        </w:rPr>
        <w:t>因公出国（境）经费支出</w:t>
      </w:r>
      <w:r>
        <w:rPr>
          <w:rFonts w:ascii="仿宋" w:hAnsi="仿宋" w:eastAsia="仿宋"/>
          <w:color w:val="000000"/>
          <w:sz w:val="32"/>
          <w:szCs w:val="32"/>
          <w:lang w:val="en-US" w:eastAsia="zh-CN"/>
        </w:rPr>
        <w:t>0</w:t>
      </w:r>
      <w:r>
        <w:rPr>
          <w:rFonts w:ascii="仿宋" w:hAnsi="仿宋" w:eastAsia="仿宋"/>
          <w:color w:val="000000"/>
          <w:sz w:val="32"/>
          <w:szCs w:val="32"/>
        </w:rPr>
        <w:t>万元，</w:t>
      </w:r>
      <w:r>
        <w:rPr>
          <w:rStyle w:val="19"/>
          <w:rFonts w:ascii="仿宋" w:hAnsi="仿宋" w:eastAsia="仿宋" w:cs="仿宋"/>
          <w:b w:val="0"/>
          <w:bCs/>
          <w:color w:val="000000"/>
          <w:sz w:val="32"/>
          <w:szCs w:val="32"/>
        </w:rPr>
        <w:t>完成预算</w:t>
      </w:r>
      <w:r>
        <w:rPr>
          <w:rStyle w:val="19"/>
          <w:rFonts w:ascii="仿宋" w:hAnsi="仿宋" w:eastAsia="仿宋" w:cs="仿宋"/>
          <w:b w:val="0"/>
          <w:bCs/>
          <w:color w:val="000000"/>
          <w:sz w:val="32"/>
          <w:szCs w:val="32"/>
          <w:lang w:val="en-US" w:eastAsia="zh-CN"/>
        </w:rPr>
        <w:t>0</w:t>
      </w:r>
      <w:r>
        <w:rPr>
          <w:rStyle w:val="19"/>
          <w:rFonts w:ascii="仿宋" w:hAnsi="仿宋" w:eastAsia="仿宋" w:cs="仿宋"/>
          <w:b w:val="0"/>
          <w:bCs/>
          <w:color w:val="000000"/>
          <w:sz w:val="32"/>
          <w:szCs w:val="32"/>
        </w:rPr>
        <w:t>%。</w:t>
      </w:r>
      <w:r>
        <w:rPr>
          <w:rFonts w:ascii="仿宋" w:hAnsi="仿宋" w:eastAsia="仿宋"/>
          <w:color w:val="000000"/>
          <w:sz w:val="32"/>
          <w:szCs w:val="32"/>
        </w:rPr>
        <w:t>全年安排因公出国（境）团组</w:t>
      </w:r>
      <w:r>
        <w:rPr>
          <w:rFonts w:ascii="仿宋" w:hAnsi="仿宋" w:eastAsia="仿宋"/>
          <w:color w:val="000000"/>
          <w:sz w:val="32"/>
          <w:szCs w:val="32"/>
          <w:lang w:val="en-US" w:eastAsia="zh-CN"/>
        </w:rPr>
        <w:t>0</w:t>
      </w:r>
      <w:r>
        <w:rPr>
          <w:rFonts w:ascii="仿宋" w:hAnsi="仿宋" w:eastAsia="仿宋"/>
          <w:color w:val="000000"/>
          <w:sz w:val="32"/>
          <w:szCs w:val="32"/>
        </w:rPr>
        <w:t>次，出国（境）</w:t>
      </w:r>
      <w:r>
        <w:rPr>
          <w:rFonts w:ascii="仿宋" w:hAnsi="仿宋" w:eastAsia="仿宋"/>
          <w:color w:val="000000"/>
          <w:sz w:val="32"/>
          <w:szCs w:val="32"/>
          <w:lang w:val="en-US" w:eastAsia="zh-CN"/>
        </w:rPr>
        <w:t>0</w:t>
      </w:r>
      <w:r>
        <w:rPr>
          <w:rFonts w:ascii="仿宋" w:hAnsi="仿宋" w:eastAsia="仿宋"/>
          <w:color w:val="000000"/>
          <w:sz w:val="32"/>
          <w:szCs w:val="32"/>
        </w:rPr>
        <w:t>人。</w:t>
      </w:r>
    </w:p>
    <w:p w14:paraId="6D7FBE19">
      <w:pPr>
        <w:spacing w:line="600" w:lineRule="exact"/>
        <w:ind w:firstLine="640"/>
        <w:rPr>
          <w:rFonts w:ascii="仿宋" w:hAnsi="仿宋" w:eastAsia="仿宋" w:cs="仿宋"/>
          <w:color w:val="000000"/>
          <w:sz w:val="32"/>
          <w:szCs w:val="32"/>
          <w:highlight w:val="none"/>
        </w:rPr>
      </w:pPr>
      <w:r>
        <w:rPr>
          <w:rFonts w:ascii="仿宋" w:hAnsi="仿宋" w:eastAsia="仿宋"/>
          <w:b/>
          <w:color w:val="000000"/>
          <w:sz w:val="32"/>
          <w:szCs w:val="32"/>
        </w:rPr>
        <w:t>2.公务用车购置及运行维护费支出5.88万元，完成预算100%。公务用车购置及运行维护费支出决算较上年度减少0.02万元，减少0.36%。主要原因是严格控制</w:t>
      </w:r>
      <w:r>
        <w:rPr>
          <w:rFonts w:hint="eastAsia" w:ascii="仿宋" w:hAnsi="仿宋" w:eastAsia="仿宋"/>
          <w:b/>
          <w:color w:val="000000"/>
          <w:sz w:val="32"/>
          <w:szCs w:val="32"/>
          <w:lang w:eastAsia="zh-CN"/>
        </w:rPr>
        <w:t>“三公”经费</w:t>
      </w:r>
      <w:r>
        <w:rPr>
          <w:rFonts w:ascii="仿宋" w:hAnsi="仿宋" w:eastAsia="仿宋"/>
          <w:b/>
          <w:color w:val="000000"/>
          <w:sz w:val="32"/>
          <w:szCs w:val="32"/>
        </w:rPr>
        <w:t>支出。</w:t>
      </w:r>
    </w:p>
    <w:p w14:paraId="68AC16E9">
      <w:pPr>
        <w:spacing w:line="600" w:lineRule="exact"/>
        <w:ind w:firstLine="640"/>
        <w:rPr>
          <w:rFonts w:ascii="仿宋" w:hAnsi="仿宋" w:eastAsia="仿宋"/>
          <w:b/>
          <w:color w:val="000000"/>
          <w:sz w:val="32"/>
          <w:szCs w:val="32"/>
          <w:highlight w:val="none"/>
        </w:rPr>
      </w:pPr>
      <w:r>
        <w:rPr>
          <w:rFonts w:ascii="仿宋" w:hAnsi="仿宋" w:eastAsia="仿宋"/>
          <w:color w:val="000000"/>
          <w:sz w:val="32"/>
          <w:szCs w:val="32"/>
        </w:rPr>
        <w:t>其中：公务用车购置支出0万元。全年按规定更新购置公务用车0辆，截至2025年12月31日，单位共有公务用车5辆。</w:t>
      </w:r>
    </w:p>
    <w:p w14:paraId="12AA7217">
      <w:pPr>
        <w:spacing w:line="600" w:lineRule="exact"/>
        <w:ind w:firstLine="640"/>
        <w:rPr>
          <w:rFonts w:ascii="仿宋" w:hAnsi="仿宋" w:eastAsia="仿宋"/>
          <w:color w:val="000000"/>
          <w:sz w:val="32"/>
          <w:szCs w:val="32"/>
          <w:highlight w:val="none"/>
        </w:rPr>
      </w:pPr>
      <w:r>
        <w:rPr>
          <w:rFonts w:ascii="仿宋" w:hAnsi="仿宋" w:eastAsia="仿宋"/>
          <w:b/>
          <w:color w:val="000000"/>
          <w:sz w:val="32"/>
          <w:szCs w:val="32"/>
        </w:rPr>
        <w:t>公务用车运行维护费支出5.88万元。主要用于下村、州内、外出差等所需的公务用车燃料费、维修费、过路过桥费、保险费等支出。</w:t>
      </w:r>
    </w:p>
    <w:p w14:paraId="1CD78056">
      <w:pPr>
        <w:spacing w:line="600" w:lineRule="exact"/>
        <w:ind w:firstLine="643"/>
        <w:rPr>
          <w:rFonts w:ascii="黑体" w:hAnsi="黑体" w:eastAsia="黑体"/>
          <w:color w:val="000000"/>
          <w:sz w:val="32"/>
          <w:szCs w:val="32"/>
          <w:highlight w:val="none"/>
        </w:rPr>
      </w:pPr>
      <w:r>
        <w:rPr>
          <w:rFonts w:ascii="仿宋" w:hAnsi="仿宋" w:eastAsia="仿宋"/>
          <w:b/>
          <w:color w:val="000000"/>
          <w:sz w:val="32"/>
          <w:szCs w:val="32"/>
        </w:rPr>
        <w:t>3.公务接待费支出</w:t>
      </w:r>
      <w:r>
        <w:rPr>
          <w:rFonts w:ascii="仿宋" w:hAnsi="仿宋" w:eastAsia="仿宋"/>
          <w:color w:val="000000"/>
          <w:sz w:val="32"/>
          <w:szCs w:val="32"/>
          <w:lang w:val="en-US" w:eastAsia="zh-CN"/>
        </w:rPr>
        <w:t>0</w:t>
      </w:r>
      <w:r>
        <w:rPr>
          <w:rFonts w:ascii="仿宋" w:hAnsi="仿宋" w:eastAsia="仿宋"/>
          <w:color w:val="000000"/>
          <w:sz w:val="32"/>
          <w:szCs w:val="32"/>
        </w:rPr>
        <w:t>万元，</w:t>
      </w:r>
      <w:r>
        <w:rPr>
          <w:rStyle w:val="19"/>
          <w:rFonts w:ascii="仿宋" w:hAnsi="仿宋" w:eastAsia="仿宋" w:cs="仿宋"/>
          <w:b w:val="0"/>
          <w:bCs/>
          <w:color w:val="000000"/>
          <w:sz w:val="32"/>
          <w:szCs w:val="32"/>
        </w:rPr>
        <w:t>完成预算</w:t>
      </w:r>
      <w:r>
        <w:rPr>
          <w:rStyle w:val="19"/>
          <w:rFonts w:ascii="仿宋" w:hAnsi="仿宋" w:eastAsia="仿宋" w:cs="仿宋"/>
          <w:b w:val="0"/>
          <w:bCs/>
          <w:color w:val="000000"/>
          <w:sz w:val="32"/>
          <w:szCs w:val="32"/>
          <w:lang w:val="en-US" w:eastAsia="zh-CN"/>
        </w:rPr>
        <w:t>0</w:t>
      </w:r>
      <w:r>
        <w:rPr>
          <w:rStyle w:val="19"/>
          <w:rFonts w:ascii="仿宋" w:hAnsi="仿宋" w:eastAsia="仿宋" w:cs="仿宋"/>
          <w:b w:val="0"/>
          <w:bCs/>
          <w:color w:val="000000"/>
          <w:sz w:val="32"/>
          <w:szCs w:val="32"/>
        </w:rPr>
        <w:t>%。</w:t>
      </w:r>
    </w:p>
    <w:p w14:paraId="77ACEFF0">
      <w:pPr>
        <w:numPr>
          <w:ilvl w:val="0"/>
          <w:numId w:val="0"/>
        </w:numPr>
        <w:spacing w:line="600" w:lineRule="exact"/>
        <w:ind w:firstLine="640"/>
        <w:outlineLvl w:val="1"/>
        <w:rPr>
          <w:rStyle w:val="18"/>
          <w:rFonts w:ascii="黑体" w:hAnsi="黑体" w:eastAsia="黑体" w:cs="黑体"/>
          <w:color w:val="000000"/>
          <w:highlight w:val="none"/>
        </w:rPr>
      </w:pPr>
      <w:r>
        <w:rPr>
          <w:rFonts w:ascii="黑体" w:hAnsi="黑体" w:eastAsia="黑体"/>
          <w:color w:val="000000"/>
          <w:sz w:val="32"/>
          <w:szCs w:val="32"/>
        </w:rPr>
        <w:t>八、</w:t>
      </w:r>
      <w:r>
        <w:rPr>
          <w:rStyle w:val="18"/>
          <w:rFonts w:ascii="黑体" w:hAnsi="黑体" w:eastAsia="黑体" w:cs="黑体"/>
          <w:b w:val="0"/>
          <w:color w:val="000000"/>
        </w:rPr>
        <w:t>政府性基金预算支出决算情况说明</w:t>
      </w:r>
    </w:p>
    <w:p w14:paraId="04DFDB12">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2025年度政府性基金预算财政拨款支出0万元。</w:t>
      </w:r>
    </w:p>
    <w:p w14:paraId="42F60246">
      <w:pPr>
        <w:spacing w:line="600" w:lineRule="exact"/>
        <w:ind w:firstLine="640"/>
        <w:rPr>
          <w:rFonts w:ascii="仿宋" w:hAnsi="仿宋" w:eastAsia="仿宋"/>
          <w:color w:val="000000"/>
          <w:sz w:val="32"/>
          <w:szCs w:val="32"/>
          <w:highlight w:val="none"/>
        </w:rPr>
      </w:pPr>
    </w:p>
    <w:p w14:paraId="339E7455">
      <w:pPr>
        <w:keepNext w:val="0"/>
        <w:keepLines w:val="0"/>
        <w:pageBreakBefore w:val="0"/>
        <w:widowControl w:val="0"/>
        <w:numPr>
          <w:ilvl w:val="0"/>
          <w:numId w:val="0"/>
        </w:numPr>
        <w:kinsoku/>
        <w:overflowPunct/>
        <w:autoSpaceDE/>
        <w:bidi w:val="0"/>
        <w:snapToGrid/>
        <w:spacing w:line="600" w:lineRule="exact"/>
        <w:ind w:left="0" w:firstLine="640"/>
        <w:textAlignment w:val="auto"/>
        <w:outlineLvl w:val="1"/>
        <w:rPr>
          <w:rStyle w:val="18"/>
          <w:rFonts w:ascii="黑体" w:hAnsi="黑体" w:eastAsia="黑体" w:cs="黑体"/>
          <w:b w:val="0"/>
          <w:color w:val="000000"/>
          <w:highlight w:val="none"/>
        </w:rPr>
      </w:pPr>
      <w:r>
        <w:rPr>
          <w:rStyle w:val="18"/>
          <w:rFonts w:ascii="黑体" w:hAnsi="黑体" w:eastAsia="黑体" w:cs="黑体"/>
          <w:b w:val="0"/>
          <w:color w:val="000000"/>
          <w:lang w:eastAsia="zh-CN"/>
        </w:rPr>
        <w:t>九、</w:t>
      </w:r>
      <w:r>
        <w:rPr>
          <w:rStyle w:val="18"/>
          <w:rFonts w:ascii="黑体" w:hAnsi="黑体" w:eastAsia="黑体" w:cs="黑体"/>
          <w:b w:val="0"/>
          <w:color w:val="000000"/>
        </w:rPr>
        <w:t>国有资本经营预算支出决算情况说明</w:t>
      </w:r>
    </w:p>
    <w:p w14:paraId="4274CBCD">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2025年度国有资本经营预算财政拨款支出0.17万元，其中：国有企业退休人员社会化管理补助支出0.17万元。</w:t>
      </w:r>
    </w:p>
    <w:p w14:paraId="3E295F2B">
      <w:pPr>
        <w:keepNext w:val="0"/>
        <w:keepLines w:val="0"/>
        <w:pageBreakBefore w:val="0"/>
        <w:widowControl w:val="0"/>
        <w:kinsoku/>
        <w:overflowPunct/>
        <w:autoSpaceDE/>
        <w:bidi w:val="0"/>
        <w:snapToGrid/>
        <w:spacing w:line="580" w:lineRule="exact"/>
        <w:ind w:firstLine="880"/>
        <w:jc w:val="center"/>
        <w:textAlignment w:val="auto"/>
        <w:rPr>
          <w:rFonts w:ascii="方正小标宋简体" w:hAnsi="方正小标宋简体" w:eastAsia="方正小标宋简体" w:cs="方正小标宋简体"/>
          <w:color w:val="000000"/>
          <w:sz w:val="44"/>
          <w:szCs w:val="44"/>
          <w:highlight w:val="none"/>
        </w:rPr>
      </w:pPr>
    </w:p>
    <w:p w14:paraId="5FC6AFD9">
      <w:pPr>
        <w:keepNext w:val="0"/>
        <w:keepLines w:val="0"/>
        <w:pageBreakBefore w:val="0"/>
        <w:widowControl w:val="0"/>
        <w:numPr>
          <w:ilvl w:val="0"/>
          <w:numId w:val="0"/>
        </w:numPr>
        <w:kinsoku/>
        <w:overflowPunct/>
        <w:autoSpaceDE/>
        <w:bidi w:val="0"/>
        <w:snapToGrid/>
        <w:spacing w:line="600" w:lineRule="exact"/>
        <w:ind w:left="0" w:firstLine="640"/>
        <w:textAlignment w:val="auto"/>
        <w:outlineLvl w:val="1"/>
        <w:rPr>
          <w:rStyle w:val="18"/>
          <w:rFonts w:ascii="黑体" w:hAnsi="黑体" w:eastAsia="黑体" w:cs="黑体"/>
          <w:b w:val="0"/>
          <w:color w:val="000000"/>
          <w:highlight w:val="none"/>
        </w:rPr>
      </w:pPr>
      <w:r>
        <w:rPr>
          <w:rStyle w:val="18"/>
          <w:rFonts w:ascii="黑体" w:hAnsi="黑体" w:eastAsia="黑体" w:cs="黑体"/>
          <w:b w:val="0"/>
          <w:color w:val="000000"/>
          <w:lang w:eastAsia="zh-CN"/>
        </w:rPr>
        <w:t>十、</w:t>
      </w:r>
      <w:r>
        <w:rPr>
          <w:rStyle w:val="18"/>
          <w:rFonts w:ascii="黑体" w:hAnsi="黑体" w:eastAsia="黑体" w:cs="黑体"/>
          <w:b w:val="0"/>
          <w:color w:val="000000"/>
        </w:rPr>
        <w:t>其他重要事项的情况说明</w:t>
      </w:r>
    </w:p>
    <w:p w14:paraId="2DAAF3A8">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rPr>
        <w:t>（一）机关运行经费支出情况</w:t>
      </w:r>
    </w:p>
    <w:p w14:paraId="5F33B6E2">
      <w:pPr>
        <w:spacing w:line="600" w:lineRule="exact"/>
        <w:ind w:firstLine="640"/>
        <w:rPr>
          <w:rFonts w:ascii="仿宋" w:hAnsi="仿宋" w:eastAsia="仿宋" w:cs="仿宋"/>
          <w:color w:val="000000"/>
          <w:sz w:val="32"/>
          <w:szCs w:val="32"/>
          <w:highlight w:val="none"/>
        </w:rPr>
      </w:pPr>
      <w:r>
        <w:rPr>
          <w:rFonts w:ascii="仿宋" w:hAnsi="仿宋" w:eastAsia="仿宋"/>
          <w:color w:val="000000"/>
          <w:sz w:val="32"/>
          <w:szCs w:val="32"/>
          <w:lang w:eastAsia="zh-CN"/>
        </w:rPr>
        <w:t>2025年度，白羊乡人民政府机关运行经费支出44.18万元，比2024年度增加17.3万元，增加64.36%。主要原因是年初预算分类变化。</w:t>
      </w:r>
    </w:p>
    <w:p w14:paraId="6F9BA1F7">
      <w:pPr>
        <w:spacing w:line="600" w:lineRule="exact"/>
        <w:ind w:firstLine="640"/>
        <w:rPr>
          <w:rFonts w:ascii="仿宋" w:hAnsi="仿宋" w:eastAsia="仿宋" w:cs="仿宋"/>
          <w:color w:val="000000"/>
          <w:sz w:val="32"/>
          <w:szCs w:val="32"/>
          <w:highlight w:val="none"/>
        </w:rPr>
      </w:pPr>
    </w:p>
    <w:p w14:paraId="102847A4">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30C414C7">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（二）政府采购支出情况</w:t>
      </w:r>
    </w:p>
    <w:p w14:paraId="7EB05102">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2025年度，白羊乡人民政府采购支出总额0.39万元，其中：政府采购货物支出0万元、政府采购工程支出0万元、政府采购服务支出0.39万元。</w:t>
      </w:r>
    </w:p>
    <w:p w14:paraId="1A5807B7">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421102B7">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（三）国有资产占有使用情况</w:t>
      </w:r>
    </w:p>
    <w:p w14:paraId="35F91526">
      <w:pPr>
        <w:autoSpaceDE w:val="0"/>
        <w:spacing w:line="60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截至2025年12月31日，白羊乡人民政府共有车辆5辆，其中：主要领导干部用车0辆、机要通信用车0辆、应急保障用车2辆、执法执勤用车0辆、特种专业技术用车1辆、其他用车2辆，其他用车主要是用于开展下村及州内、外出差使用。单价50万元以上通用设备0台（套），单价100万元以上专用设备（不含车辆）0台（套）。</w:t>
      </w:r>
    </w:p>
    <w:p w14:paraId="71AD4ACB">
      <w:pPr>
        <w:autoSpaceDE w:val="0"/>
        <w:spacing w:line="600" w:lineRule="exact"/>
        <w:ind w:firstLine="643"/>
        <w:jc w:val="left"/>
        <w:rPr>
          <w:rFonts w:ascii="仿宋" w:hAnsi="仿宋" w:eastAsia="仿宋" w:cs="仿宋"/>
          <w:b/>
          <w:color w:val="000000"/>
          <w:sz w:val="32"/>
          <w:szCs w:val="32"/>
          <w:highlight w:val="none"/>
        </w:rPr>
      </w:pPr>
      <w:r>
        <w:rPr>
          <w:rFonts w:ascii="仿宋" w:hAnsi="仿宋" w:eastAsia="仿宋" w:cs="仿宋"/>
          <w:b/>
          <w:color w:val="000000"/>
          <w:sz w:val="32"/>
          <w:szCs w:val="32"/>
        </w:rPr>
        <w:t>（注：数据来源</w:t>
      </w:r>
      <w:r>
        <w:rPr>
          <w:rFonts w:ascii="仿宋" w:hAnsi="仿宋" w:eastAsia="仿宋" w:cs="仿宋"/>
          <w:b/>
          <w:color w:val="000000"/>
          <w:sz w:val="32"/>
          <w:szCs w:val="32"/>
          <w:lang w:eastAsia="zh-CN"/>
        </w:rPr>
        <w:t>于</w:t>
      </w:r>
      <w:r>
        <w:rPr>
          <w:rFonts w:ascii="仿宋" w:hAnsi="仿宋" w:eastAsia="仿宋" w:cs="仿宋"/>
          <w:b/>
          <w:color w:val="000000"/>
          <w:sz w:val="32"/>
          <w:szCs w:val="32"/>
        </w:rPr>
        <w:t>财决附03表，按</w:t>
      </w:r>
      <w:r>
        <w:rPr>
          <w:rFonts w:ascii="仿宋" w:hAnsi="仿宋" w:eastAsia="仿宋" w:cs="仿宋"/>
          <w:b/>
          <w:color w:val="000000"/>
          <w:sz w:val="32"/>
          <w:szCs w:val="32"/>
          <w:lang w:eastAsia="zh-CN"/>
        </w:rPr>
        <w:t>单位</w:t>
      </w:r>
      <w:r>
        <w:rPr>
          <w:rFonts w:ascii="仿宋" w:hAnsi="仿宋" w:eastAsia="仿宋" w:cs="仿宋"/>
          <w:b/>
          <w:color w:val="000000"/>
          <w:sz w:val="32"/>
          <w:szCs w:val="32"/>
        </w:rPr>
        <w:t>决算报表填报数据罗列车辆情况。）</w:t>
      </w:r>
    </w:p>
    <w:p w14:paraId="01F2A1AF">
      <w:pPr>
        <w:numPr>
          <w:ilvl w:val="0"/>
          <w:numId w:val="0"/>
        </w:numPr>
        <w:autoSpaceDE w:val="0"/>
        <w:spacing w:line="600" w:lineRule="exact"/>
        <w:ind w:firstLine="643"/>
        <w:jc w:val="left"/>
        <w:outlineLvl w:val="2"/>
        <w:rPr>
          <w:rFonts w:ascii="仿宋" w:hAnsi="仿宋" w:eastAsia="仿宋" w:cs="仿宋"/>
          <w:b/>
          <w:color w:val="000000"/>
          <w:sz w:val="32"/>
          <w:szCs w:val="32"/>
          <w:highlight w:val="none"/>
          <w:lang w:eastAsia="zh-CN"/>
        </w:rPr>
      </w:pPr>
      <w:r>
        <w:rPr>
          <w:rFonts w:ascii="仿宋" w:hAnsi="仿宋" w:eastAsia="仿宋" w:cs="仿宋"/>
          <w:b/>
          <w:color w:val="000000"/>
          <w:sz w:val="32"/>
          <w:szCs w:val="32"/>
        </w:rPr>
        <w:t>（四）预算绩效管理情况</w:t>
      </w:r>
    </w:p>
    <w:p w14:paraId="613516E0">
      <w:pPr>
        <w:spacing w:line="600" w:lineRule="exact"/>
        <w:ind w:firstLine="640"/>
        <w:rPr>
          <w:rFonts w:ascii="仿宋" w:hAnsi="仿宋" w:eastAsia="仿宋" w:cs="Times New Roman"/>
          <w:color w:val="000000"/>
          <w:sz w:val="32"/>
          <w:szCs w:val="32"/>
          <w:highlight w:val="none"/>
          <w:lang w:val="en-US" w:eastAsia="zh-CN"/>
        </w:rPr>
      </w:pPr>
      <w:r>
        <w:rPr>
          <w:rFonts w:ascii="仿宋" w:hAnsi="仿宋" w:eastAsia="仿宋" w:cs="Times New Roman"/>
          <w:color w:val="000000"/>
          <w:sz w:val="32"/>
          <w:szCs w:val="32"/>
          <w:lang w:eastAsia="zh-CN"/>
        </w:rPr>
        <w:t>根据预算绩效管理要求，本单位在2025年度预算编制阶段，组织对项目（项目名称）等</w:t>
      </w:r>
      <w:r>
        <w:rPr>
          <w:rFonts w:hint="eastAsia" w:ascii="仿宋" w:hAnsi="仿宋" w:eastAsia="仿宋" w:cs="Times New Roman"/>
          <w:color w:val="000000"/>
          <w:sz w:val="32"/>
          <w:szCs w:val="32"/>
          <w:lang w:val="en-US" w:eastAsia="zh-CN"/>
        </w:rPr>
        <w:t>7</w:t>
      </w:r>
      <w:r>
        <w:rPr>
          <w:rFonts w:ascii="仿宋" w:hAnsi="仿宋" w:eastAsia="仿宋" w:cs="Times New Roman"/>
          <w:color w:val="000000"/>
          <w:sz w:val="32"/>
          <w:szCs w:val="32"/>
          <w:lang w:eastAsia="zh-CN"/>
        </w:rPr>
        <w:t>个项目开展了预算事前绩效评估，对</w:t>
      </w:r>
      <w:r>
        <w:rPr>
          <w:rFonts w:hint="eastAsia" w:ascii="仿宋" w:hAnsi="仿宋" w:eastAsia="仿宋" w:cs="Times New Roman"/>
          <w:color w:val="000000"/>
          <w:sz w:val="32"/>
          <w:szCs w:val="32"/>
          <w:lang w:val="en-US" w:eastAsia="zh-CN"/>
        </w:rPr>
        <w:t>7</w:t>
      </w:r>
      <w:r>
        <w:rPr>
          <w:rFonts w:ascii="仿宋" w:hAnsi="仿宋" w:eastAsia="仿宋" w:cs="Times New Roman"/>
          <w:color w:val="000000"/>
          <w:sz w:val="32"/>
          <w:szCs w:val="32"/>
          <w:lang w:eastAsia="zh-CN"/>
        </w:rPr>
        <w:t>个项目编制了绩效目标</w:t>
      </w:r>
      <w:r>
        <w:rPr>
          <w:rFonts w:hint="eastAsia" w:ascii="仿宋" w:hAnsi="仿宋" w:eastAsia="仿宋" w:cs="Times New Roman"/>
          <w:color w:val="000000"/>
          <w:sz w:val="32"/>
          <w:szCs w:val="32"/>
          <w:lang w:eastAsia="zh-CN"/>
        </w:rPr>
        <w:t>，在</w:t>
      </w:r>
      <w:r>
        <w:rPr>
          <w:rFonts w:ascii="仿宋" w:hAnsi="仿宋" w:eastAsia="仿宋" w:cs="Times New Roman"/>
          <w:color w:val="000000"/>
          <w:sz w:val="32"/>
          <w:szCs w:val="32"/>
          <w:lang w:eastAsia="zh-CN"/>
        </w:rPr>
        <w:t>预算执行过程中，选取</w:t>
      </w:r>
      <w:r>
        <w:rPr>
          <w:rFonts w:hint="eastAsia" w:ascii="仿宋" w:hAnsi="仿宋" w:eastAsia="仿宋" w:cs="Times New Roman"/>
          <w:color w:val="000000"/>
          <w:sz w:val="32"/>
          <w:szCs w:val="32"/>
          <w:lang w:val="en-US" w:eastAsia="zh-CN"/>
        </w:rPr>
        <w:t>7</w:t>
      </w:r>
      <w:r>
        <w:rPr>
          <w:rFonts w:ascii="仿宋" w:hAnsi="仿宋" w:eastAsia="仿宋" w:cs="Times New Roman"/>
          <w:color w:val="000000"/>
          <w:sz w:val="32"/>
          <w:szCs w:val="32"/>
          <w:lang w:eastAsia="zh-CN"/>
        </w:rPr>
        <w:t>个项目开展绩效监控，组织对</w:t>
      </w:r>
      <w:r>
        <w:rPr>
          <w:rFonts w:hint="eastAsia" w:ascii="仿宋" w:hAnsi="仿宋" w:eastAsia="仿宋" w:cs="Times New Roman"/>
          <w:color w:val="000000"/>
          <w:sz w:val="32"/>
          <w:szCs w:val="32"/>
          <w:lang w:val="en-US" w:eastAsia="zh-CN"/>
        </w:rPr>
        <w:t>7</w:t>
      </w:r>
      <w:r>
        <w:rPr>
          <w:rFonts w:ascii="仿宋" w:hAnsi="仿宋" w:eastAsia="仿宋" w:cs="Times New Roman"/>
          <w:color w:val="000000"/>
          <w:sz w:val="32"/>
          <w:szCs w:val="32"/>
          <w:lang w:eastAsia="zh-CN"/>
        </w:rPr>
        <w:t>个项目开展绩效自评。</w:t>
      </w:r>
    </w:p>
    <w:p w14:paraId="447F8100">
      <w:pPr>
        <w:spacing w:line="600" w:lineRule="exact"/>
        <w:ind w:firstLine="640"/>
        <w:rPr>
          <w:rFonts w:ascii="仿宋" w:hAnsi="仿宋" w:eastAsia="仿宋" w:cs="Times New Roman"/>
          <w:color w:val="000000"/>
          <w:sz w:val="32"/>
          <w:szCs w:val="32"/>
          <w:highlight w:val="none"/>
          <w:lang w:val="en-US" w:eastAsia="zh-CN"/>
        </w:rPr>
      </w:pPr>
    </w:p>
    <w:p w14:paraId="2E7512E1">
      <w:pPr>
        <w:spacing w:line="600" w:lineRule="exact"/>
        <w:ind w:firstLine="640"/>
        <w:rPr>
          <w:rFonts w:ascii="仿宋" w:hAnsi="仿宋" w:eastAsia="仿宋" w:cs="Times New Roman"/>
          <w:color w:val="000000"/>
          <w:sz w:val="32"/>
          <w:szCs w:val="32"/>
          <w:highlight w:val="none"/>
          <w:lang w:eastAsia="zh-CN"/>
        </w:rPr>
      </w:pPr>
    </w:p>
    <w:p w14:paraId="6B4F8E6B">
      <w:pPr>
        <w:spacing w:line="600" w:lineRule="exact"/>
        <w:ind w:firstLine="640"/>
        <w:rPr>
          <w:rFonts w:ascii="仿宋" w:hAnsi="仿宋" w:eastAsia="仿宋" w:cs="Times New Roman"/>
          <w:color w:val="000000"/>
          <w:sz w:val="32"/>
          <w:szCs w:val="32"/>
          <w:highlight w:val="none"/>
          <w:lang w:eastAsia="zh-CN"/>
        </w:rPr>
      </w:pPr>
    </w:p>
    <w:p w14:paraId="2ED6E658">
      <w:pPr>
        <w:spacing w:line="600" w:lineRule="exact"/>
        <w:ind w:firstLine="640"/>
        <w:rPr>
          <w:rFonts w:ascii="仿宋" w:hAnsi="仿宋" w:eastAsia="仿宋" w:cs="Times New Roman"/>
          <w:color w:val="000000"/>
          <w:sz w:val="32"/>
          <w:szCs w:val="32"/>
          <w:highlight w:val="none"/>
          <w:lang w:eastAsia="zh-CN"/>
        </w:rPr>
      </w:pPr>
    </w:p>
    <w:p w14:paraId="69331ECA">
      <w:pPr>
        <w:spacing w:line="600" w:lineRule="exact"/>
        <w:ind w:firstLine="640"/>
        <w:rPr>
          <w:rFonts w:ascii="仿宋" w:hAnsi="仿宋" w:eastAsia="仿宋" w:cs="Times New Roman"/>
          <w:color w:val="000000"/>
          <w:sz w:val="32"/>
          <w:szCs w:val="32"/>
          <w:highlight w:val="none"/>
          <w:lang w:eastAsia="zh-CN"/>
        </w:rPr>
      </w:pPr>
    </w:p>
    <w:p w14:paraId="6E0A2DE9">
      <w:pPr>
        <w:spacing w:line="600" w:lineRule="exact"/>
        <w:ind w:firstLine="640"/>
        <w:rPr>
          <w:rFonts w:ascii="仿宋" w:hAnsi="仿宋" w:eastAsia="仿宋" w:cs="Times New Roman"/>
          <w:color w:val="000000"/>
          <w:sz w:val="32"/>
          <w:szCs w:val="32"/>
          <w:highlight w:val="none"/>
          <w:lang w:eastAsia="zh-CN"/>
        </w:rPr>
      </w:pPr>
    </w:p>
    <w:p w14:paraId="258CC93D">
      <w:pPr>
        <w:spacing w:line="600" w:lineRule="exact"/>
        <w:ind w:firstLine="640"/>
        <w:rPr>
          <w:rFonts w:ascii="仿宋" w:hAnsi="仿宋" w:eastAsia="仿宋" w:cs="Times New Roman"/>
          <w:color w:val="000000"/>
          <w:sz w:val="32"/>
          <w:szCs w:val="32"/>
          <w:highlight w:val="none"/>
          <w:lang w:eastAsia="zh-CN"/>
        </w:rPr>
      </w:pPr>
    </w:p>
    <w:p w14:paraId="2DDA5886">
      <w:pPr>
        <w:spacing w:line="600" w:lineRule="exact"/>
        <w:ind w:firstLine="640"/>
        <w:rPr>
          <w:rFonts w:ascii="仿宋" w:hAnsi="仿宋" w:eastAsia="仿宋" w:cs="Times New Roman"/>
          <w:color w:val="000000"/>
          <w:sz w:val="32"/>
          <w:szCs w:val="32"/>
          <w:highlight w:val="none"/>
          <w:lang w:eastAsia="zh-CN"/>
        </w:rPr>
      </w:pPr>
    </w:p>
    <w:p w14:paraId="784C5C5E">
      <w:pPr>
        <w:spacing w:line="600" w:lineRule="exact"/>
        <w:ind w:firstLine="640"/>
        <w:rPr>
          <w:rFonts w:ascii="仿宋" w:hAnsi="仿宋" w:eastAsia="仿宋" w:cs="Times New Roman"/>
          <w:color w:val="000000"/>
          <w:sz w:val="32"/>
          <w:szCs w:val="32"/>
          <w:highlight w:val="none"/>
          <w:lang w:eastAsia="zh-CN"/>
        </w:rPr>
      </w:pPr>
    </w:p>
    <w:p w14:paraId="342F8A31">
      <w:pPr>
        <w:spacing w:line="600" w:lineRule="exact"/>
        <w:ind w:firstLine="640"/>
        <w:rPr>
          <w:rFonts w:ascii="仿宋" w:hAnsi="仿宋" w:eastAsia="仿宋" w:cs="Times New Roman"/>
          <w:color w:val="000000"/>
          <w:sz w:val="32"/>
          <w:szCs w:val="32"/>
          <w:highlight w:val="none"/>
          <w:lang w:eastAsia="zh-CN"/>
        </w:rPr>
      </w:pPr>
    </w:p>
    <w:p w14:paraId="49F90178">
      <w:pPr>
        <w:spacing w:line="600" w:lineRule="exact"/>
        <w:ind w:firstLine="640"/>
        <w:rPr>
          <w:rFonts w:ascii="仿宋" w:hAnsi="仿宋" w:eastAsia="仿宋" w:cs="Times New Roman"/>
          <w:color w:val="000000"/>
          <w:sz w:val="32"/>
          <w:szCs w:val="32"/>
          <w:highlight w:val="none"/>
          <w:lang w:eastAsia="zh-CN"/>
        </w:rPr>
      </w:pPr>
    </w:p>
    <w:p w14:paraId="18B0E918">
      <w:pPr>
        <w:spacing w:line="600" w:lineRule="exact"/>
        <w:ind w:firstLine="640"/>
        <w:rPr>
          <w:rFonts w:ascii="仿宋" w:hAnsi="仿宋" w:eastAsia="仿宋" w:cs="Times New Roman"/>
          <w:color w:val="000000"/>
          <w:sz w:val="32"/>
          <w:szCs w:val="32"/>
          <w:highlight w:val="none"/>
          <w:lang w:eastAsia="zh-CN"/>
        </w:rPr>
      </w:pPr>
    </w:p>
    <w:p w14:paraId="6A41F960">
      <w:pPr>
        <w:spacing w:line="600" w:lineRule="exact"/>
        <w:ind w:firstLine="640"/>
        <w:rPr>
          <w:rFonts w:ascii="仿宋" w:hAnsi="仿宋" w:eastAsia="仿宋" w:cs="Times New Roman"/>
          <w:color w:val="000000"/>
          <w:sz w:val="32"/>
          <w:szCs w:val="32"/>
          <w:highlight w:val="none"/>
          <w:lang w:eastAsia="zh-CN"/>
        </w:rPr>
      </w:pPr>
    </w:p>
    <w:p w14:paraId="11921C48">
      <w:pPr>
        <w:spacing w:line="600" w:lineRule="exact"/>
        <w:ind w:firstLine="640"/>
        <w:rPr>
          <w:rFonts w:ascii="仿宋" w:hAnsi="仿宋" w:eastAsia="仿宋" w:cs="Times New Roman"/>
          <w:color w:val="000000"/>
          <w:sz w:val="32"/>
          <w:szCs w:val="32"/>
          <w:highlight w:val="none"/>
          <w:lang w:eastAsia="zh-CN"/>
        </w:rPr>
      </w:pPr>
    </w:p>
    <w:p w14:paraId="7C5A3E6A">
      <w:pPr>
        <w:spacing w:line="600" w:lineRule="exact"/>
        <w:ind w:firstLine="640"/>
        <w:rPr>
          <w:rFonts w:ascii="仿宋" w:hAnsi="仿宋" w:eastAsia="仿宋" w:cs="Times New Roman"/>
          <w:color w:val="000000"/>
          <w:sz w:val="32"/>
          <w:szCs w:val="32"/>
          <w:highlight w:val="none"/>
          <w:lang w:eastAsia="zh-CN"/>
        </w:rPr>
      </w:pPr>
    </w:p>
    <w:p w14:paraId="5795C75D">
      <w:pPr>
        <w:spacing w:line="600" w:lineRule="exact"/>
        <w:ind w:firstLine="640"/>
        <w:rPr>
          <w:rFonts w:ascii="仿宋" w:hAnsi="仿宋" w:eastAsia="仿宋" w:cs="Times New Roman"/>
          <w:color w:val="000000"/>
          <w:sz w:val="32"/>
          <w:szCs w:val="32"/>
          <w:highlight w:val="none"/>
          <w:lang w:eastAsia="zh-CN"/>
        </w:rPr>
      </w:pPr>
    </w:p>
    <w:p w14:paraId="649D8A38">
      <w:pPr>
        <w:spacing w:line="600" w:lineRule="exact"/>
        <w:ind w:firstLine="640"/>
        <w:rPr>
          <w:rFonts w:ascii="仿宋" w:hAnsi="仿宋" w:eastAsia="仿宋" w:cs="Times New Roman"/>
          <w:color w:val="000000"/>
          <w:sz w:val="32"/>
          <w:szCs w:val="32"/>
          <w:highlight w:val="none"/>
          <w:lang w:eastAsia="zh-CN"/>
        </w:rPr>
      </w:pPr>
      <w:r>
        <w:br w:type="page"/>
      </w:r>
    </w:p>
    <w:p w14:paraId="60D8AF41">
      <w:pPr>
        <w:spacing w:line="600" w:lineRule="exact"/>
        <w:rPr>
          <w:rFonts w:ascii="仿宋" w:hAnsi="仿宋" w:eastAsia="仿宋" w:cs="Times New Roman"/>
          <w:color w:val="000000"/>
          <w:sz w:val="32"/>
          <w:szCs w:val="32"/>
          <w:highlight w:val="none"/>
          <w:lang w:eastAsia="zh-CN"/>
        </w:rPr>
      </w:pPr>
    </w:p>
    <w:p w14:paraId="5738F281">
      <w:pPr>
        <w:numPr>
          <w:ilvl w:val="0"/>
          <w:numId w:val="0"/>
        </w:numPr>
        <w:spacing w:line="600" w:lineRule="exact"/>
        <w:ind w:left="0" w:firstLine="0"/>
        <w:jc w:val="center"/>
        <w:outlineLvl w:val="0"/>
        <w:rPr>
          <w:rStyle w:val="21"/>
          <w:rFonts w:ascii="黑体" w:hAnsi="黑体" w:eastAsia="黑体" w:cs="黑体"/>
          <w:b w:val="0"/>
          <w:color w:val="000000"/>
          <w:highlight w:val="none"/>
        </w:rPr>
      </w:pPr>
      <w:r>
        <w:rPr>
          <w:rFonts w:ascii="黑体" w:hAnsi="黑体" w:eastAsia="黑体" w:cs="黑体"/>
          <w:color w:val="000000"/>
          <w:sz w:val="44"/>
          <w:szCs w:val="44"/>
          <w:lang w:eastAsia="zh-CN"/>
        </w:rPr>
        <w:t>第三部分</w:t>
      </w:r>
      <w:r>
        <w:rPr>
          <w:rFonts w:ascii="黑体" w:hAnsi="黑体" w:eastAsia="黑体" w:cs="黑体"/>
          <w:color w:val="000000"/>
          <w:sz w:val="44"/>
          <w:szCs w:val="44"/>
          <w:lang w:val="en-US" w:eastAsia="zh-CN"/>
        </w:rPr>
        <w:t xml:space="preserve">  </w:t>
      </w:r>
      <w:r>
        <w:rPr>
          <w:rFonts w:ascii="黑体" w:hAnsi="黑体" w:eastAsia="黑体" w:cs="黑体"/>
          <w:color w:val="000000"/>
          <w:sz w:val="44"/>
          <w:szCs w:val="44"/>
        </w:rPr>
        <w:t>名</w:t>
      </w:r>
      <w:r>
        <w:rPr>
          <w:rStyle w:val="21"/>
          <w:rFonts w:ascii="黑体" w:hAnsi="黑体" w:eastAsia="黑体" w:cs="黑体"/>
          <w:b w:val="0"/>
          <w:color w:val="000000"/>
        </w:rPr>
        <w:t>词解释</w:t>
      </w:r>
    </w:p>
    <w:p w14:paraId="56CE02D5">
      <w:pPr>
        <w:spacing w:line="600" w:lineRule="exact"/>
        <w:jc w:val="left"/>
        <w:rPr>
          <w:rStyle w:val="21"/>
          <w:rFonts w:ascii="宋体" w:hAnsi="宋体" w:eastAsia="黑体" w:cs="黑体"/>
          <w:b/>
          <w:color w:val="000000"/>
          <w:sz w:val="44"/>
          <w:szCs w:val="44"/>
          <w:highlight w:val="none"/>
        </w:rPr>
      </w:pPr>
    </w:p>
    <w:p w14:paraId="404AF22A">
      <w:pPr>
        <w:pStyle w:val="27"/>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1.财政拨款收入：指单位从同级财政部门取得的财政预算资金。</w:t>
      </w:r>
    </w:p>
    <w:p w14:paraId="0C3D3C07">
      <w:pPr>
        <w:pStyle w:val="27"/>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2.事业收入：指事业单位开展专业业务活动及辅助活动取得的收入。如…（二级预算单位事业收入情况）等。</w:t>
      </w:r>
    </w:p>
    <w:p w14:paraId="054995CF">
      <w:pPr>
        <w:pStyle w:val="27"/>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3.经营收入：指事业单位在专业业务活动及其辅助活动之外开展非独立核算经营活动取得的收入。如…（二级预算单位经营收入情况）等。</w:t>
      </w:r>
    </w:p>
    <w:p w14:paraId="77110580">
      <w:pPr>
        <w:pStyle w:val="27"/>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 xml:space="preserve">4.其他收入：指单位取得的除上述收入以外的各项收入。主要是…（收入类型）等。 </w:t>
      </w:r>
    </w:p>
    <w:p w14:paraId="2A8BB4C0">
      <w:pPr>
        <w:pStyle w:val="27"/>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5.</w:t>
      </w:r>
      <w:r>
        <w:rPr>
          <w:rFonts w:ascii="仿宋" w:hAnsi="仿宋" w:eastAsia="仿宋" w:cs="华文中宋;宋体"/>
          <w:sz w:val="32"/>
          <w:szCs w:val="32"/>
          <w:u w:val="none"/>
          <w:lang w:eastAsia="zh-CN"/>
        </w:rPr>
        <w:t>使用非财政拨款结余（含专用结余）</w:t>
      </w:r>
      <w:r>
        <w:rPr>
          <w:rFonts w:ascii="仿宋" w:hAnsi="仿宋" w:eastAsia="仿宋"/>
          <w:color w:val="000000"/>
          <w:sz w:val="32"/>
          <w:szCs w:val="32"/>
        </w:rPr>
        <w:t>：指事业单位</w:t>
      </w:r>
      <w:r>
        <w:rPr>
          <w:rFonts w:ascii="仿宋" w:hAnsi="仿宋" w:eastAsia="仿宋"/>
          <w:color w:val="000000"/>
          <w:sz w:val="32"/>
          <w:szCs w:val="32"/>
          <w:lang w:eastAsia="zh-CN"/>
        </w:rPr>
        <w:t>使用以前年度积累的非财政拨款结余弥补当年收支差额的金额。</w:t>
      </w:r>
      <w:r>
        <w:rPr>
          <w:rFonts w:ascii="仿宋" w:hAnsi="仿宋" w:eastAsia="仿宋"/>
          <w:color w:val="000000"/>
          <w:sz w:val="32"/>
          <w:szCs w:val="32"/>
        </w:rPr>
        <w:t xml:space="preserve"> </w:t>
      </w:r>
    </w:p>
    <w:p w14:paraId="3568C0B2">
      <w:pPr>
        <w:pStyle w:val="27"/>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 xml:space="preserve">6.年初结转和结余：指以前年度尚未完成、结转到本年按有关规定继续使用的资金。 </w:t>
      </w:r>
    </w:p>
    <w:p w14:paraId="3209876E">
      <w:pPr>
        <w:pStyle w:val="27"/>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7.结余分配：指事业单位按照会计制度规定</w:t>
      </w:r>
      <w:r>
        <w:rPr>
          <w:rFonts w:ascii="仿宋" w:hAnsi="仿宋" w:eastAsia="仿宋"/>
          <w:color w:val="000000"/>
          <w:sz w:val="32"/>
          <w:szCs w:val="32"/>
          <w:lang w:eastAsia="zh-CN"/>
        </w:rPr>
        <w:t>缴纳的所得税、提取的专用结余以及转入非财政拨款结余的金额</w:t>
      </w:r>
      <w:r>
        <w:rPr>
          <w:rFonts w:ascii="仿宋" w:hAnsi="仿宋" w:eastAsia="仿宋"/>
          <w:color w:val="000000"/>
          <w:sz w:val="32"/>
          <w:szCs w:val="32"/>
        </w:rPr>
        <w:t>等。</w:t>
      </w:r>
    </w:p>
    <w:p w14:paraId="0A1A241E">
      <w:pPr>
        <w:pStyle w:val="27"/>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8</w:t>
      </w:r>
      <w:r>
        <w:rPr>
          <w:rFonts w:ascii="仿宋" w:hAnsi="仿宋" w:eastAsia="仿宋"/>
          <w:color w:val="000000"/>
          <w:sz w:val="32"/>
          <w:szCs w:val="32"/>
          <w:lang w:val="en-US" w:eastAsia="zh-CN"/>
        </w:rPr>
        <w:t>.</w:t>
      </w:r>
      <w:r>
        <w:rPr>
          <w:rFonts w:ascii="仿宋" w:hAnsi="仿宋" w:eastAsia="仿宋"/>
          <w:color w:val="000000"/>
          <w:sz w:val="32"/>
          <w:szCs w:val="32"/>
        </w:rPr>
        <w:t>年末结转和结余：指单位按有关规定结转到下年或以后年度继续使用的资金。</w:t>
      </w:r>
    </w:p>
    <w:p w14:paraId="15384C03">
      <w:pPr>
        <w:ind w:firstLine="640"/>
        <w:rPr>
          <w:rFonts w:ascii="仿宋" w:hAnsi="仿宋" w:eastAsia="仿宋"/>
          <w:color w:val="000000"/>
          <w:sz w:val="32"/>
          <w:szCs w:val="32"/>
          <w:highlight w:val="none"/>
        </w:rPr>
      </w:pPr>
      <w:r>
        <w:rPr>
          <w:rFonts w:ascii="仿宋" w:hAnsi="仿宋" w:eastAsia="仿宋"/>
          <w:color w:val="000000"/>
          <w:sz w:val="32"/>
          <w:szCs w:val="32"/>
        </w:rPr>
        <w:t>9.一般公共服务（类）…（款）…（项）：指……。</w:t>
      </w:r>
    </w:p>
    <w:p w14:paraId="63B53E42">
      <w:pPr>
        <w:ind w:firstLine="640"/>
        <w:rPr>
          <w:rFonts w:ascii="仿宋" w:hAnsi="仿宋" w:eastAsia="仿宋"/>
          <w:color w:val="000000"/>
          <w:sz w:val="32"/>
          <w:szCs w:val="32"/>
          <w:highlight w:val="none"/>
        </w:rPr>
      </w:pPr>
      <w:r>
        <w:rPr>
          <w:rFonts w:ascii="仿宋" w:hAnsi="仿宋" w:eastAsia="仿宋"/>
          <w:color w:val="000000"/>
          <w:sz w:val="32"/>
          <w:szCs w:val="32"/>
        </w:rPr>
        <w:t>10.外交（类）…（款）…（项）：指……。</w:t>
      </w:r>
    </w:p>
    <w:p w14:paraId="2228663A">
      <w:pPr>
        <w:ind w:firstLine="640"/>
        <w:rPr>
          <w:rFonts w:ascii="仿宋" w:hAnsi="仿宋" w:eastAsia="仿宋"/>
          <w:color w:val="000000"/>
          <w:sz w:val="32"/>
          <w:szCs w:val="32"/>
          <w:highlight w:val="none"/>
        </w:rPr>
      </w:pPr>
      <w:r>
        <w:rPr>
          <w:rFonts w:ascii="仿宋" w:hAnsi="仿宋" w:eastAsia="仿宋"/>
          <w:color w:val="000000"/>
          <w:sz w:val="32"/>
          <w:szCs w:val="32"/>
        </w:rPr>
        <w:t>11.公共安全（类）…（款）…（项）：指……。</w:t>
      </w:r>
    </w:p>
    <w:p w14:paraId="37ACE604">
      <w:pPr>
        <w:ind w:firstLine="640"/>
        <w:rPr>
          <w:rFonts w:ascii="仿宋" w:hAnsi="仿宋" w:eastAsia="仿宋"/>
          <w:color w:val="000000"/>
          <w:sz w:val="32"/>
          <w:szCs w:val="32"/>
          <w:highlight w:val="none"/>
        </w:rPr>
      </w:pPr>
      <w:r>
        <w:rPr>
          <w:rFonts w:ascii="仿宋" w:hAnsi="仿宋" w:eastAsia="仿宋"/>
          <w:color w:val="000000"/>
          <w:sz w:val="32"/>
          <w:szCs w:val="32"/>
        </w:rPr>
        <w:t>12.教育（类）…（款）…（项）：指……。</w:t>
      </w:r>
    </w:p>
    <w:p w14:paraId="13705673">
      <w:pPr>
        <w:ind w:firstLine="640"/>
        <w:rPr>
          <w:rFonts w:ascii="仿宋" w:hAnsi="仿宋" w:eastAsia="仿宋"/>
          <w:color w:val="000000"/>
          <w:sz w:val="32"/>
          <w:szCs w:val="32"/>
          <w:highlight w:val="none"/>
        </w:rPr>
      </w:pPr>
      <w:r>
        <w:rPr>
          <w:rFonts w:ascii="仿宋" w:hAnsi="仿宋" w:eastAsia="仿宋"/>
          <w:color w:val="000000"/>
          <w:sz w:val="32"/>
          <w:szCs w:val="32"/>
        </w:rPr>
        <w:t>13.科学技术（类）…（款）…（项）：指……。</w:t>
      </w:r>
    </w:p>
    <w:p w14:paraId="1F1D7A94">
      <w:pPr>
        <w:ind w:firstLine="640"/>
        <w:rPr>
          <w:rFonts w:ascii="仿宋" w:hAnsi="仿宋" w:eastAsia="仿宋"/>
          <w:color w:val="000000"/>
          <w:sz w:val="32"/>
          <w:szCs w:val="32"/>
          <w:highlight w:val="none"/>
        </w:rPr>
      </w:pPr>
      <w:r>
        <w:rPr>
          <w:rFonts w:ascii="仿宋" w:hAnsi="仿宋" w:eastAsia="仿宋"/>
          <w:color w:val="000000"/>
          <w:sz w:val="32"/>
          <w:szCs w:val="32"/>
        </w:rPr>
        <w:t>14.文化</w:t>
      </w:r>
      <w:r>
        <w:rPr>
          <w:rFonts w:ascii="仿宋" w:hAnsi="仿宋" w:eastAsia="仿宋"/>
          <w:color w:val="000000"/>
          <w:sz w:val="32"/>
          <w:szCs w:val="32"/>
          <w:lang w:eastAsia="zh-CN"/>
        </w:rPr>
        <w:t>旅游</w:t>
      </w:r>
      <w:r>
        <w:rPr>
          <w:rFonts w:ascii="仿宋" w:hAnsi="仿宋" w:eastAsia="仿宋"/>
          <w:color w:val="000000"/>
          <w:sz w:val="32"/>
          <w:szCs w:val="32"/>
        </w:rPr>
        <w:t>体育与传媒（类）…（款）…（项）：指……。</w:t>
      </w:r>
    </w:p>
    <w:p w14:paraId="30C69DF0">
      <w:pPr>
        <w:ind w:firstLine="640"/>
        <w:rPr>
          <w:rFonts w:ascii="仿宋" w:hAnsi="仿宋" w:eastAsia="仿宋"/>
          <w:color w:val="000000"/>
          <w:sz w:val="32"/>
          <w:szCs w:val="32"/>
          <w:highlight w:val="none"/>
        </w:rPr>
      </w:pPr>
      <w:r>
        <w:rPr>
          <w:rFonts w:ascii="仿宋" w:hAnsi="仿宋" w:eastAsia="仿宋"/>
          <w:color w:val="000000"/>
          <w:sz w:val="32"/>
          <w:szCs w:val="32"/>
        </w:rPr>
        <w:t>15.社会保障和就业（类）…（款）…（项）：指……。</w:t>
      </w:r>
    </w:p>
    <w:p w14:paraId="2416A73C">
      <w:pPr>
        <w:ind w:firstLine="640"/>
        <w:rPr>
          <w:rFonts w:ascii="仿宋" w:hAnsi="仿宋" w:eastAsia="仿宋"/>
          <w:color w:val="000000"/>
          <w:sz w:val="32"/>
          <w:szCs w:val="32"/>
          <w:highlight w:val="none"/>
        </w:rPr>
      </w:pPr>
      <w:r>
        <w:rPr>
          <w:rFonts w:ascii="仿宋" w:hAnsi="仿宋" w:eastAsia="仿宋"/>
          <w:color w:val="000000"/>
          <w:sz w:val="32"/>
          <w:szCs w:val="32"/>
        </w:rPr>
        <w:t>16.</w:t>
      </w:r>
      <w:r>
        <w:rPr>
          <w:rFonts w:ascii="仿宋" w:hAnsi="仿宋" w:eastAsia="仿宋"/>
          <w:color w:val="000000"/>
          <w:sz w:val="32"/>
          <w:szCs w:val="32"/>
          <w:lang w:eastAsia="zh-CN"/>
        </w:rPr>
        <w:t>卫生健康</w:t>
      </w:r>
      <w:r>
        <w:rPr>
          <w:rFonts w:ascii="仿宋" w:hAnsi="仿宋" w:eastAsia="仿宋"/>
          <w:color w:val="000000"/>
          <w:sz w:val="32"/>
          <w:szCs w:val="32"/>
        </w:rPr>
        <w:t>（类）…（款）…（项）：指……。</w:t>
      </w:r>
    </w:p>
    <w:p w14:paraId="0BA99394">
      <w:pPr>
        <w:ind w:firstLine="640"/>
        <w:rPr>
          <w:rFonts w:ascii="仿宋" w:hAnsi="仿宋" w:eastAsia="仿宋"/>
          <w:color w:val="000000"/>
          <w:sz w:val="32"/>
          <w:szCs w:val="32"/>
          <w:highlight w:val="none"/>
        </w:rPr>
      </w:pPr>
      <w:r>
        <w:rPr>
          <w:rFonts w:ascii="仿宋" w:hAnsi="仿宋" w:eastAsia="仿宋"/>
          <w:color w:val="000000"/>
          <w:sz w:val="32"/>
          <w:szCs w:val="32"/>
        </w:rPr>
        <w:t>17.节能环保（类）…（款）…（项）：指……。</w:t>
      </w:r>
    </w:p>
    <w:p w14:paraId="3EC34E9F">
      <w:pPr>
        <w:ind w:firstLine="640"/>
        <w:rPr>
          <w:rFonts w:ascii="仿宋" w:hAnsi="仿宋" w:eastAsia="仿宋"/>
          <w:color w:val="000000"/>
          <w:sz w:val="32"/>
          <w:szCs w:val="32"/>
          <w:highlight w:val="none"/>
        </w:rPr>
      </w:pPr>
      <w:r>
        <w:rPr>
          <w:rFonts w:ascii="仿宋" w:hAnsi="仿宋" w:eastAsia="仿宋"/>
          <w:color w:val="000000"/>
          <w:sz w:val="32"/>
          <w:szCs w:val="32"/>
        </w:rPr>
        <w:t>18.城乡社区（类）…（款）…（项）：指……。</w:t>
      </w:r>
    </w:p>
    <w:p w14:paraId="16455192">
      <w:pPr>
        <w:ind w:firstLine="640"/>
        <w:rPr>
          <w:rFonts w:ascii="仿宋" w:hAnsi="仿宋" w:eastAsia="仿宋"/>
          <w:color w:val="000000"/>
          <w:sz w:val="32"/>
          <w:szCs w:val="32"/>
          <w:highlight w:val="none"/>
        </w:rPr>
      </w:pPr>
      <w:r>
        <w:rPr>
          <w:rFonts w:ascii="仿宋" w:hAnsi="仿宋" w:eastAsia="仿宋"/>
          <w:color w:val="000000"/>
          <w:sz w:val="32"/>
          <w:szCs w:val="32"/>
        </w:rPr>
        <w:t>19.农林水（类）…（款）…（项）：指……。</w:t>
      </w:r>
    </w:p>
    <w:p w14:paraId="71F375F8">
      <w:pPr>
        <w:ind w:firstLine="640"/>
        <w:rPr>
          <w:rFonts w:ascii="仿宋" w:hAnsi="仿宋" w:eastAsia="仿宋"/>
          <w:color w:val="000000"/>
          <w:sz w:val="32"/>
          <w:szCs w:val="32"/>
          <w:highlight w:val="none"/>
        </w:rPr>
      </w:pPr>
      <w:r>
        <w:rPr>
          <w:rFonts w:ascii="仿宋" w:hAnsi="仿宋" w:eastAsia="仿宋"/>
          <w:color w:val="000000"/>
          <w:sz w:val="32"/>
          <w:szCs w:val="32"/>
        </w:rPr>
        <w:t>20.交通运输（类）…（款）…（项）：指……。</w:t>
      </w:r>
    </w:p>
    <w:p w14:paraId="35406E6F">
      <w:pPr>
        <w:ind w:firstLine="640"/>
        <w:rPr>
          <w:rFonts w:ascii="仿宋" w:hAnsi="仿宋" w:eastAsia="仿宋"/>
          <w:color w:val="000000"/>
          <w:sz w:val="32"/>
          <w:szCs w:val="32"/>
          <w:highlight w:val="none"/>
        </w:rPr>
      </w:pPr>
      <w:r>
        <w:rPr>
          <w:rFonts w:ascii="仿宋" w:hAnsi="仿宋" w:eastAsia="仿宋"/>
          <w:color w:val="000000"/>
          <w:sz w:val="32"/>
          <w:szCs w:val="32"/>
        </w:rPr>
        <w:t>21.资源勘探</w:t>
      </w:r>
      <w:r>
        <w:rPr>
          <w:rFonts w:ascii="仿宋" w:hAnsi="仿宋" w:eastAsia="仿宋"/>
          <w:color w:val="000000"/>
          <w:sz w:val="32"/>
          <w:szCs w:val="32"/>
          <w:lang w:eastAsia="zh-CN"/>
        </w:rPr>
        <w:t>工业</w:t>
      </w:r>
      <w:r>
        <w:rPr>
          <w:rFonts w:ascii="仿宋" w:hAnsi="仿宋" w:eastAsia="仿宋"/>
          <w:color w:val="000000"/>
          <w:sz w:val="32"/>
          <w:szCs w:val="32"/>
        </w:rPr>
        <w:t>信息等（类）…（款）…（项）：指……。</w:t>
      </w:r>
    </w:p>
    <w:p w14:paraId="0B12A22F">
      <w:pPr>
        <w:ind w:firstLine="640"/>
        <w:rPr>
          <w:rFonts w:ascii="仿宋" w:hAnsi="仿宋" w:eastAsia="仿宋"/>
          <w:color w:val="000000"/>
          <w:sz w:val="32"/>
          <w:szCs w:val="32"/>
          <w:highlight w:val="none"/>
        </w:rPr>
      </w:pPr>
      <w:r>
        <w:rPr>
          <w:rFonts w:ascii="仿宋" w:hAnsi="仿宋" w:eastAsia="仿宋"/>
          <w:color w:val="000000"/>
          <w:sz w:val="32"/>
          <w:szCs w:val="32"/>
        </w:rPr>
        <w:t>22.商业服务业（类）…（款）…（项）：指……。</w:t>
      </w:r>
    </w:p>
    <w:p w14:paraId="6D6B02F7">
      <w:pPr>
        <w:ind w:firstLine="640"/>
        <w:rPr>
          <w:rFonts w:ascii="仿宋" w:hAnsi="仿宋" w:eastAsia="仿宋"/>
          <w:color w:val="000000"/>
          <w:sz w:val="32"/>
          <w:szCs w:val="32"/>
          <w:highlight w:val="none"/>
        </w:rPr>
      </w:pPr>
      <w:r>
        <w:rPr>
          <w:rFonts w:ascii="仿宋" w:hAnsi="仿宋" w:eastAsia="仿宋"/>
          <w:color w:val="000000"/>
          <w:sz w:val="32"/>
          <w:szCs w:val="32"/>
        </w:rPr>
        <w:t>23.金融（类）…（款）…（项）：指……。</w:t>
      </w:r>
    </w:p>
    <w:p w14:paraId="632D0766">
      <w:pPr>
        <w:ind w:firstLine="640"/>
        <w:rPr>
          <w:rFonts w:ascii="仿宋" w:hAnsi="仿宋" w:eastAsia="仿宋"/>
          <w:color w:val="000000"/>
          <w:sz w:val="32"/>
          <w:szCs w:val="32"/>
          <w:highlight w:val="none"/>
        </w:rPr>
      </w:pPr>
      <w:r>
        <w:rPr>
          <w:rFonts w:ascii="仿宋" w:hAnsi="仿宋" w:eastAsia="仿宋"/>
          <w:color w:val="000000"/>
          <w:sz w:val="32"/>
          <w:szCs w:val="32"/>
        </w:rPr>
        <w:t>24.</w:t>
      </w:r>
      <w:r>
        <w:rPr>
          <w:rFonts w:ascii="仿宋" w:hAnsi="仿宋" w:eastAsia="仿宋"/>
          <w:color w:val="000000"/>
          <w:sz w:val="32"/>
          <w:szCs w:val="32"/>
          <w:lang w:eastAsia="zh-CN"/>
        </w:rPr>
        <w:t>自然资源</w:t>
      </w:r>
      <w:r>
        <w:rPr>
          <w:rFonts w:ascii="仿宋" w:hAnsi="仿宋" w:eastAsia="仿宋"/>
          <w:color w:val="000000"/>
          <w:sz w:val="32"/>
          <w:szCs w:val="32"/>
        </w:rPr>
        <w:t>海洋气象等（类）…（款）…（项）：指……。</w:t>
      </w:r>
    </w:p>
    <w:p w14:paraId="15648CF7">
      <w:pPr>
        <w:ind w:firstLine="640"/>
        <w:rPr>
          <w:rFonts w:ascii="仿宋" w:hAnsi="仿宋" w:eastAsia="仿宋"/>
          <w:color w:val="000000"/>
          <w:sz w:val="32"/>
          <w:szCs w:val="32"/>
          <w:highlight w:val="none"/>
        </w:rPr>
      </w:pPr>
      <w:r>
        <w:rPr>
          <w:rFonts w:ascii="仿宋" w:hAnsi="仿宋" w:eastAsia="仿宋"/>
          <w:color w:val="000000"/>
          <w:sz w:val="32"/>
          <w:szCs w:val="32"/>
        </w:rPr>
        <w:t>25.住房保障（类）…（款）…（项）：指……。</w:t>
      </w:r>
    </w:p>
    <w:p w14:paraId="702109CB">
      <w:pPr>
        <w:ind w:firstLine="640"/>
        <w:rPr>
          <w:rFonts w:ascii="仿宋" w:hAnsi="仿宋" w:eastAsia="仿宋"/>
          <w:color w:val="000000"/>
          <w:sz w:val="32"/>
          <w:szCs w:val="32"/>
          <w:highlight w:val="none"/>
        </w:rPr>
      </w:pPr>
      <w:r>
        <w:rPr>
          <w:rFonts w:ascii="仿宋" w:hAnsi="仿宋" w:eastAsia="仿宋"/>
          <w:color w:val="000000"/>
          <w:sz w:val="32"/>
          <w:szCs w:val="32"/>
        </w:rPr>
        <w:t>26.粮油物资储备（类）…（款）…（项）：指……。</w:t>
      </w:r>
    </w:p>
    <w:p w14:paraId="09ACCBC3">
      <w:pPr>
        <w:ind w:firstLine="640"/>
        <w:rPr>
          <w:rFonts w:ascii="仿宋" w:hAnsi="仿宋" w:eastAsia="仿宋"/>
          <w:color w:val="000000"/>
          <w:sz w:val="32"/>
          <w:szCs w:val="32"/>
          <w:highlight w:val="none"/>
        </w:rPr>
      </w:pPr>
      <w:r>
        <w:rPr>
          <w:rFonts w:ascii="仿宋" w:hAnsi="仿宋" w:eastAsia="仿宋" w:cs="仿宋"/>
          <w:color w:val="000000"/>
          <w:sz w:val="32"/>
          <w:szCs w:val="32"/>
        </w:rPr>
        <w:t>……</w:t>
      </w:r>
    </w:p>
    <w:p w14:paraId="55947F8D">
      <w:pPr>
        <w:ind w:firstLine="640"/>
        <w:rPr>
          <w:rFonts w:ascii="仿宋" w:hAnsi="仿宋" w:eastAsia="仿宋"/>
          <w:color w:val="000000"/>
          <w:sz w:val="32"/>
          <w:szCs w:val="32"/>
          <w:highlight w:val="none"/>
        </w:rPr>
      </w:pPr>
      <w:r>
        <w:rPr>
          <w:rFonts w:ascii="仿宋" w:hAnsi="仿宋" w:eastAsia="仿宋" w:cs="仿宋"/>
          <w:color w:val="000000"/>
          <w:sz w:val="32"/>
          <w:szCs w:val="32"/>
        </w:rPr>
        <w:t>……</w:t>
      </w:r>
    </w:p>
    <w:p w14:paraId="1D7B2B01">
      <w:pPr>
        <w:ind w:firstLine="640"/>
        <w:rPr>
          <w:rFonts w:ascii="仿宋" w:hAnsi="仿宋" w:eastAsia="仿宋"/>
          <w:color w:val="000000"/>
          <w:sz w:val="32"/>
          <w:szCs w:val="32"/>
          <w:highlight w:val="none"/>
        </w:rPr>
      </w:pPr>
      <w:r>
        <w:rPr>
          <w:rFonts w:ascii="仿宋" w:hAnsi="仿宋" w:eastAsia="仿宋" w:cs="仿宋"/>
          <w:color w:val="000000"/>
          <w:sz w:val="32"/>
          <w:szCs w:val="32"/>
        </w:rPr>
        <w:t>……</w:t>
      </w:r>
    </w:p>
    <w:p w14:paraId="3C70DBCE">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（解释本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决算报表中</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全部功能分类科目至项级，</w:t>
      </w:r>
      <w:r>
        <w:rPr>
          <w:rFonts w:ascii="仿宋" w:hAnsi="仿宋" w:eastAsia="仿宋" w:cs="仿宋"/>
          <w:b/>
          <w:color w:val="000000"/>
          <w:sz w:val="32"/>
          <w:szCs w:val="32"/>
          <w:lang w:eastAsia="zh-CN"/>
        </w:rPr>
        <w:t>不涉及的科目请自行删除。</w:t>
      </w:r>
      <w:r>
        <w:rPr>
          <w:rFonts w:ascii="仿宋" w:hAnsi="仿宋" w:eastAsia="仿宋" w:cs="仿宋"/>
          <w:b/>
          <w:color w:val="000000"/>
          <w:sz w:val="32"/>
          <w:szCs w:val="32"/>
        </w:rPr>
        <w:t>请参照《</w:t>
      </w:r>
      <w:r>
        <w:rPr>
          <w:rFonts w:ascii="仿宋" w:hAnsi="仿宋" w:eastAsia="仿宋" w:cs="仿宋"/>
          <w:b/>
          <w:color w:val="000000"/>
          <w:sz w:val="32"/>
          <w:szCs w:val="32"/>
          <w:lang w:eastAsia="zh-CN"/>
        </w:rPr>
        <w:t>202</w:t>
      </w:r>
      <w:r>
        <w:rPr>
          <w:rFonts w:hint="eastAsia" w:ascii="仿宋" w:hAnsi="仿宋" w:eastAsia="仿宋" w:cs="仿宋"/>
          <w:b/>
          <w:color w:val="000000"/>
          <w:sz w:val="32"/>
          <w:szCs w:val="32"/>
          <w:lang w:val="en-US" w:eastAsia="zh-CN"/>
        </w:rPr>
        <w:t>5</w:t>
      </w:r>
      <w:r>
        <w:rPr>
          <w:rFonts w:ascii="仿宋" w:hAnsi="仿宋" w:eastAsia="仿宋" w:cs="仿宋"/>
          <w:b/>
          <w:color w:val="000000"/>
          <w:sz w:val="32"/>
          <w:szCs w:val="32"/>
        </w:rPr>
        <w:t>年政府收支分类科目》增减内容。）</w:t>
      </w:r>
    </w:p>
    <w:p w14:paraId="6ABD662E">
      <w:pPr>
        <w:ind w:firstLine="640"/>
        <w:rPr>
          <w:rFonts w:ascii="仿宋" w:hAnsi="仿宋" w:eastAsia="仿宋"/>
          <w:color w:val="000000"/>
          <w:sz w:val="32"/>
          <w:szCs w:val="32"/>
          <w:highlight w:val="none"/>
        </w:rPr>
      </w:pPr>
      <w:r>
        <w:rPr>
          <w:rFonts w:ascii="仿宋" w:hAnsi="仿宋" w:eastAsia="仿宋"/>
          <w:color w:val="000000"/>
          <w:sz w:val="32"/>
          <w:szCs w:val="32"/>
        </w:rPr>
        <w:t>27.基本支出：指为保障机构正常运转、完成日常工作任务而发生的人员支出和公用支出。</w:t>
      </w:r>
    </w:p>
    <w:p w14:paraId="1C9A6358">
      <w:pPr>
        <w:ind w:firstLine="640"/>
        <w:rPr>
          <w:rFonts w:ascii="仿宋" w:hAnsi="仿宋" w:eastAsia="仿宋"/>
          <w:color w:val="000000"/>
          <w:sz w:val="32"/>
          <w:szCs w:val="32"/>
          <w:highlight w:val="none"/>
        </w:rPr>
      </w:pPr>
      <w:r>
        <w:rPr>
          <w:rFonts w:ascii="仿宋" w:hAnsi="仿宋" w:eastAsia="仿宋"/>
          <w:color w:val="000000"/>
          <w:sz w:val="32"/>
          <w:szCs w:val="32"/>
        </w:rPr>
        <w:t xml:space="preserve">28.项目支出：指在基本支出之外为完成特定行政任务和事业发展目标所发生的支出。 </w:t>
      </w:r>
    </w:p>
    <w:p w14:paraId="4AC6020E">
      <w:pPr>
        <w:ind w:firstLine="640"/>
        <w:rPr>
          <w:rFonts w:ascii="仿宋" w:hAnsi="仿宋" w:eastAsia="仿宋"/>
          <w:color w:val="000000"/>
          <w:sz w:val="32"/>
          <w:szCs w:val="32"/>
          <w:highlight w:val="none"/>
        </w:rPr>
      </w:pPr>
      <w:r>
        <w:rPr>
          <w:rFonts w:ascii="仿宋" w:hAnsi="仿宋" w:eastAsia="仿宋"/>
          <w:color w:val="000000"/>
          <w:sz w:val="32"/>
          <w:szCs w:val="32"/>
        </w:rPr>
        <w:t>29.经营支出：指事业单位在专业业务活动及其辅助活动之外开展非独立核算经营活动发生的支出。</w:t>
      </w:r>
    </w:p>
    <w:p w14:paraId="6AF270D1">
      <w:pPr>
        <w:pStyle w:val="27"/>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30.“三公”经费：指</w:t>
      </w:r>
      <w:r>
        <w:rPr>
          <w:rFonts w:ascii="仿宋" w:hAnsi="仿宋" w:eastAsia="仿宋"/>
          <w:color w:val="000000"/>
          <w:sz w:val="32"/>
          <w:szCs w:val="32"/>
          <w:lang w:eastAsia="zh-CN"/>
        </w:rPr>
        <w:t>单位</w:t>
      </w:r>
      <w:r>
        <w:rPr>
          <w:rFonts w:ascii="仿宋" w:hAnsi="仿宋" w:eastAsia="仿宋"/>
          <w:color w:val="00000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E5DA9FD">
      <w:pPr>
        <w:pStyle w:val="27"/>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FE710B9">
      <w:pPr>
        <w:pStyle w:val="27"/>
        <w:bidi w:val="0"/>
        <w:spacing w:line="560" w:lineRule="exact"/>
        <w:ind w:firstLine="640"/>
        <w:jc w:val="left"/>
        <w:rPr>
          <w:rFonts w:ascii="仿宋" w:hAnsi="仿宋" w:eastAsia="仿宋" w:cs="黑体"/>
          <w:color w:val="000000"/>
          <w:sz w:val="32"/>
          <w:szCs w:val="32"/>
          <w:highlight w:val="none"/>
        </w:rPr>
      </w:pPr>
    </w:p>
    <w:p w14:paraId="389B928C">
      <w:pPr>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（名词解释部分请根据各</w:t>
      </w:r>
      <w:r>
        <w:rPr>
          <w:rFonts w:ascii="仿宋" w:hAnsi="仿宋" w:eastAsia="仿宋" w:cs="仿宋"/>
          <w:b/>
          <w:color w:val="000000"/>
          <w:sz w:val="32"/>
          <w:szCs w:val="32"/>
          <w:lang w:eastAsia="zh-CN"/>
        </w:rPr>
        <w:t>单位</w:t>
      </w:r>
      <w:r>
        <w:rPr>
          <w:rFonts w:ascii="仿宋" w:hAnsi="仿宋" w:eastAsia="仿宋" w:cs="仿宋"/>
          <w:b/>
          <w:color w:val="000000"/>
          <w:sz w:val="32"/>
          <w:szCs w:val="32"/>
        </w:rPr>
        <w:t>实际列支情况罗列，并根据本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职责职能增减名词解释内容。）</w:t>
      </w:r>
      <w:r>
        <w:br w:type="page"/>
      </w:r>
    </w:p>
    <w:p w14:paraId="1273C90C">
      <w:pPr>
        <w:numPr>
          <w:ilvl w:val="0"/>
          <w:numId w:val="4"/>
        </w:numPr>
        <w:spacing w:line="600" w:lineRule="exact"/>
        <w:jc w:val="center"/>
        <w:outlineLvl w:val="0"/>
        <w:rPr>
          <w:rStyle w:val="21"/>
          <w:rFonts w:ascii="黑体" w:hAnsi="黑体" w:eastAsia="黑体" w:cs="黑体"/>
          <w:b w:val="0"/>
          <w:color w:val="000000"/>
          <w:highlight w:val="none"/>
        </w:rPr>
      </w:pPr>
      <w:r>
        <w:rPr>
          <w:rStyle w:val="21"/>
          <w:rFonts w:ascii="黑体" w:hAnsi="黑体" w:eastAsia="黑体" w:cs="黑体"/>
          <w:b w:val="0"/>
          <w:color w:val="000000"/>
        </w:rPr>
        <w:t>附件</w:t>
      </w:r>
    </w:p>
    <w:p w14:paraId="4863F32B">
      <w:pPr>
        <w:jc w:val="center"/>
        <w:rPr>
          <w:rFonts w:hint="eastAsia" w:ascii="黑体" w:hAnsi="黑体" w:eastAsia="黑体" w:cs="黑体"/>
          <w:color w:val="000000"/>
          <w:sz w:val="44"/>
          <w:szCs w:val="44"/>
          <w:highlight w:val="none"/>
          <w:lang w:val="en-US" w:eastAsia="zh-CN"/>
        </w:rPr>
      </w:pPr>
      <w:r>
        <w:rPr>
          <w:rFonts w:hint="eastAsia" w:ascii="黑体" w:hAnsi="黑体" w:eastAsia="黑体" w:cs="黑体"/>
          <w:color w:val="000000"/>
          <w:sz w:val="44"/>
          <w:szCs w:val="44"/>
          <w:highlight w:val="none"/>
          <w:lang w:val="en-US" w:eastAsia="zh-CN"/>
        </w:rPr>
        <w:t>无</w:t>
      </w:r>
    </w:p>
    <w:p w14:paraId="3397E754">
      <w:pPr>
        <w:jc w:val="center"/>
        <w:rPr>
          <w:rFonts w:ascii="黑体" w:hAnsi="黑体" w:eastAsia="黑体" w:cs="黑体"/>
          <w:color w:val="000000"/>
          <w:sz w:val="44"/>
          <w:szCs w:val="44"/>
          <w:highlight w:val="none"/>
        </w:rPr>
      </w:pPr>
    </w:p>
    <w:p w14:paraId="76BADCAF">
      <w:pPr>
        <w:jc w:val="center"/>
        <w:rPr>
          <w:rFonts w:ascii="黑体" w:hAnsi="黑体" w:eastAsia="黑体" w:cs="黑体"/>
          <w:color w:val="000000"/>
          <w:sz w:val="44"/>
          <w:szCs w:val="44"/>
          <w:highlight w:val="none"/>
        </w:rPr>
      </w:pPr>
    </w:p>
    <w:p w14:paraId="4770494B">
      <w:pPr>
        <w:jc w:val="center"/>
        <w:rPr>
          <w:rFonts w:ascii="黑体" w:hAnsi="黑体" w:eastAsia="黑体" w:cs="黑体"/>
          <w:color w:val="000000"/>
          <w:sz w:val="44"/>
          <w:szCs w:val="44"/>
          <w:highlight w:val="none"/>
        </w:rPr>
      </w:pPr>
    </w:p>
    <w:p w14:paraId="7E2BBACF">
      <w:pPr>
        <w:jc w:val="center"/>
        <w:rPr>
          <w:rFonts w:ascii="黑体" w:hAnsi="黑体" w:eastAsia="黑体" w:cs="黑体"/>
          <w:color w:val="000000"/>
          <w:sz w:val="44"/>
          <w:szCs w:val="44"/>
          <w:highlight w:val="none"/>
        </w:rPr>
      </w:pPr>
    </w:p>
    <w:p w14:paraId="1FDFFE7B">
      <w:pPr>
        <w:jc w:val="center"/>
        <w:rPr>
          <w:rFonts w:ascii="黑体" w:hAnsi="黑体" w:eastAsia="黑体" w:cs="黑体"/>
          <w:color w:val="000000"/>
          <w:sz w:val="44"/>
          <w:szCs w:val="44"/>
          <w:highlight w:val="none"/>
        </w:rPr>
      </w:pPr>
    </w:p>
    <w:p w14:paraId="77ED87C3">
      <w:pPr>
        <w:jc w:val="center"/>
        <w:rPr>
          <w:rFonts w:ascii="黑体" w:hAnsi="黑体" w:eastAsia="黑体" w:cs="黑体"/>
          <w:color w:val="000000"/>
          <w:sz w:val="44"/>
          <w:szCs w:val="44"/>
          <w:highlight w:val="none"/>
        </w:rPr>
      </w:pPr>
    </w:p>
    <w:p w14:paraId="5ECD79D2">
      <w:pPr>
        <w:jc w:val="center"/>
        <w:rPr>
          <w:rFonts w:ascii="黑体" w:hAnsi="黑体" w:eastAsia="黑体" w:cs="黑体"/>
          <w:color w:val="000000"/>
          <w:sz w:val="44"/>
          <w:szCs w:val="44"/>
          <w:highlight w:val="none"/>
        </w:rPr>
      </w:pPr>
    </w:p>
    <w:p w14:paraId="45BD03DF">
      <w:pPr>
        <w:jc w:val="center"/>
        <w:rPr>
          <w:rFonts w:ascii="黑体" w:hAnsi="黑体" w:eastAsia="黑体" w:cs="黑体"/>
          <w:color w:val="000000"/>
          <w:sz w:val="44"/>
          <w:szCs w:val="44"/>
          <w:highlight w:val="none"/>
        </w:rPr>
      </w:pPr>
    </w:p>
    <w:p w14:paraId="2C6A8D95">
      <w:pPr>
        <w:jc w:val="center"/>
        <w:rPr>
          <w:rFonts w:ascii="黑体" w:hAnsi="黑体" w:eastAsia="黑体" w:cs="黑体"/>
          <w:color w:val="000000"/>
          <w:sz w:val="44"/>
          <w:szCs w:val="44"/>
          <w:highlight w:val="none"/>
        </w:rPr>
      </w:pPr>
    </w:p>
    <w:p w14:paraId="53C6CFE7">
      <w:pPr>
        <w:jc w:val="center"/>
        <w:rPr>
          <w:rFonts w:ascii="黑体" w:hAnsi="黑体" w:eastAsia="黑体" w:cs="黑体"/>
          <w:color w:val="000000"/>
          <w:sz w:val="44"/>
          <w:szCs w:val="44"/>
          <w:highlight w:val="none"/>
        </w:rPr>
      </w:pPr>
    </w:p>
    <w:p w14:paraId="03130D95">
      <w:pPr>
        <w:jc w:val="center"/>
        <w:rPr>
          <w:rFonts w:ascii="黑体" w:hAnsi="黑体" w:eastAsia="黑体" w:cs="黑体"/>
          <w:color w:val="000000"/>
          <w:sz w:val="44"/>
          <w:szCs w:val="44"/>
          <w:highlight w:val="none"/>
        </w:rPr>
      </w:pPr>
    </w:p>
    <w:p w14:paraId="1FE7B967">
      <w:pPr>
        <w:jc w:val="center"/>
        <w:rPr>
          <w:rFonts w:ascii="黑体" w:hAnsi="黑体" w:eastAsia="黑体" w:cs="黑体"/>
          <w:color w:val="000000"/>
          <w:sz w:val="44"/>
          <w:szCs w:val="44"/>
          <w:highlight w:val="none"/>
        </w:rPr>
      </w:pPr>
    </w:p>
    <w:p w14:paraId="249AADCD">
      <w:pPr>
        <w:jc w:val="center"/>
        <w:rPr>
          <w:rFonts w:ascii="仿宋" w:hAnsi="仿宋" w:eastAsia="仿宋" w:cs="仿宋"/>
          <w:b w:val="0"/>
          <w:color w:val="000000"/>
          <w:highlight w:val="none"/>
        </w:rPr>
      </w:pPr>
      <w:r>
        <w:rPr>
          <w:rFonts w:ascii="黑体" w:hAnsi="黑体" w:eastAsia="黑体" w:cs="黑体"/>
          <w:color w:val="000000"/>
          <w:sz w:val="44"/>
          <w:szCs w:val="44"/>
        </w:rPr>
        <w:t>第</w:t>
      </w:r>
      <w:r>
        <w:rPr>
          <w:rStyle w:val="21"/>
          <w:rFonts w:ascii="黑体" w:hAnsi="黑体" w:eastAsia="黑体" w:cs="黑体"/>
          <w:b w:val="0"/>
          <w:color w:val="000000"/>
        </w:rPr>
        <w:t>五部分 附表</w:t>
      </w:r>
    </w:p>
    <w:p w14:paraId="38E1C71F">
      <w:pPr>
        <w:pStyle w:val="4"/>
        <w:rPr>
          <w:rFonts w:ascii="仿宋" w:hAnsi="仿宋" w:eastAsia="仿宋" w:cs="仿宋"/>
          <w:color w:val="000000"/>
          <w:highlight w:val="none"/>
        </w:rPr>
      </w:pPr>
      <w:r>
        <w:rPr>
          <w:rFonts w:ascii="仿宋" w:hAnsi="仿宋" w:eastAsia="仿宋" w:cs="仿宋"/>
          <w:b w:val="0"/>
          <w:color w:val="000000"/>
        </w:rPr>
        <w:t>一、收</w:t>
      </w:r>
      <w:r>
        <w:rPr>
          <w:rStyle w:val="18"/>
          <w:rFonts w:ascii="仿宋" w:hAnsi="仿宋" w:eastAsia="仿宋" w:cs="仿宋"/>
          <w:b w:val="0"/>
          <w:bCs w:val="0"/>
          <w:color w:val="000000"/>
        </w:rPr>
        <w:t>入支出决算总表</w:t>
      </w:r>
    </w:p>
    <w:p w14:paraId="6A5FD0A3">
      <w:pPr>
        <w:pStyle w:val="4"/>
        <w:rPr>
          <w:rFonts w:ascii="仿宋" w:hAnsi="仿宋" w:eastAsia="仿宋" w:cs="仿宋"/>
          <w:color w:val="000000"/>
          <w:highlight w:val="none"/>
        </w:rPr>
      </w:pPr>
      <w:r>
        <w:rPr>
          <w:rFonts w:ascii="仿宋" w:hAnsi="仿宋" w:eastAsia="仿宋" w:cs="仿宋"/>
          <w:b w:val="0"/>
          <w:color w:val="000000"/>
        </w:rPr>
        <w:t>二、收</w:t>
      </w:r>
      <w:r>
        <w:rPr>
          <w:rStyle w:val="18"/>
          <w:rFonts w:ascii="仿宋" w:hAnsi="仿宋" w:eastAsia="仿宋" w:cs="仿宋"/>
          <w:b w:val="0"/>
          <w:bCs w:val="0"/>
          <w:color w:val="000000"/>
        </w:rPr>
        <w:t>入决算表</w:t>
      </w:r>
    </w:p>
    <w:p w14:paraId="34A3217D">
      <w:pPr>
        <w:pStyle w:val="4"/>
        <w:rPr>
          <w:rFonts w:ascii="仿宋" w:hAnsi="仿宋" w:eastAsia="仿宋" w:cs="仿宋"/>
          <w:color w:val="000000"/>
          <w:highlight w:val="none"/>
        </w:rPr>
      </w:pPr>
      <w:r>
        <w:rPr>
          <w:rStyle w:val="18"/>
          <w:rFonts w:ascii="仿宋" w:hAnsi="仿宋" w:eastAsia="仿宋" w:cs="仿宋"/>
          <w:b w:val="0"/>
          <w:bCs w:val="0"/>
          <w:color w:val="000000"/>
        </w:rPr>
        <w:t>三、</w:t>
      </w:r>
      <w:r>
        <w:rPr>
          <w:rFonts w:ascii="仿宋" w:hAnsi="仿宋" w:eastAsia="仿宋" w:cs="仿宋"/>
          <w:b w:val="0"/>
          <w:color w:val="000000"/>
        </w:rPr>
        <w:t>支</w:t>
      </w:r>
      <w:r>
        <w:rPr>
          <w:rStyle w:val="18"/>
          <w:rFonts w:ascii="仿宋" w:hAnsi="仿宋" w:eastAsia="仿宋" w:cs="仿宋"/>
          <w:b w:val="0"/>
          <w:bCs w:val="0"/>
          <w:color w:val="000000"/>
        </w:rPr>
        <w:t>出决算表</w:t>
      </w:r>
    </w:p>
    <w:p w14:paraId="56B4D813">
      <w:pPr>
        <w:pStyle w:val="4"/>
        <w:rPr>
          <w:rFonts w:ascii="仿宋" w:hAnsi="仿宋" w:eastAsia="仿宋" w:cs="仿宋"/>
          <w:b w:val="0"/>
          <w:color w:val="000000"/>
          <w:highlight w:val="none"/>
        </w:rPr>
      </w:pPr>
      <w:r>
        <w:rPr>
          <w:rStyle w:val="18"/>
          <w:rFonts w:ascii="仿宋" w:hAnsi="仿宋" w:eastAsia="仿宋" w:cs="仿宋"/>
          <w:b w:val="0"/>
          <w:bCs w:val="0"/>
          <w:color w:val="000000"/>
        </w:rPr>
        <w:t>四、</w:t>
      </w:r>
      <w:r>
        <w:rPr>
          <w:rFonts w:ascii="仿宋" w:hAnsi="仿宋" w:eastAsia="仿宋" w:cs="仿宋"/>
          <w:b w:val="0"/>
          <w:color w:val="000000"/>
        </w:rPr>
        <w:t>财</w:t>
      </w:r>
      <w:r>
        <w:rPr>
          <w:rStyle w:val="18"/>
          <w:rFonts w:ascii="仿宋" w:hAnsi="仿宋" w:eastAsia="仿宋" w:cs="仿宋"/>
          <w:b w:val="0"/>
          <w:bCs w:val="0"/>
          <w:color w:val="000000"/>
        </w:rPr>
        <w:t>政拨款收入支出决算总表</w:t>
      </w:r>
    </w:p>
    <w:p w14:paraId="185D7E25">
      <w:pPr>
        <w:pStyle w:val="4"/>
        <w:rPr>
          <w:rStyle w:val="18"/>
          <w:rFonts w:ascii="仿宋" w:hAnsi="仿宋" w:eastAsia="仿宋" w:cs="仿宋"/>
          <w:b w:val="0"/>
          <w:bCs w:val="0"/>
          <w:color w:val="000000"/>
          <w:highlight w:val="none"/>
        </w:rPr>
      </w:pPr>
      <w:r>
        <w:rPr>
          <w:rStyle w:val="18"/>
          <w:rFonts w:ascii="仿宋" w:hAnsi="仿宋" w:eastAsia="仿宋" w:cs="仿宋"/>
          <w:b w:val="0"/>
          <w:bCs w:val="0"/>
          <w:color w:val="000000"/>
        </w:rPr>
        <w:t>五、</w:t>
      </w:r>
      <w:r>
        <w:rPr>
          <w:rFonts w:ascii="仿宋" w:hAnsi="仿宋" w:eastAsia="仿宋" w:cs="仿宋"/>
          <w:b w:val="0"/>
          <w:color w:val="000000"/>
        </w:rPr>
        <w:t>财</w:t>
      </w:r>
      <w:r>
        <w:rPr>
          <w:rStyle w:val="18"/>
          <w:rFonts w:ascii="仿宋" w:hAnsi="仿宋" w:eastAsia="仿宋" w:cs="仿宋"/>
          <w:b w:val="0"/>
          <w:bCs w:val="0"/>
          <w:color w:val="000000"/>
        </w:rPr>
        <w:t>政拨款支出决算明细表</w:t>
      </w:r>
    </w:p>
    <w:p w14:paraId="60AF39D4">
      <w:pPr>
        <w:pStyle w:val="4"/>
        <w:rPr>
          <w:rFonts w:ascii="仿宋" w:hAnsi="仿宋" w:eastAsia="仿宋" w:cs="仿宋"/>
          <w:color w:val="000000"/>
          <w:highlight w:val="none"/>
        </w:rPr>
      </w:pPr>
      <w:r>
        <w:rPr>
          <w:rStyle w:val="18"/>
          <w:rFonts w:ascii="仿宋" w:hAnsi="仿宋" w:eastAsia="仿宋" w:cs="仿宋"/>
          <w:b w:val="0"/>
          <w:bCs w:val="0"/>
          <w:color w:val="000000"/>
        </w:rPr>
        <w:t>六、</w:t>
      </w:r>
      <w:r>
        <w:rPr>
          <w:rFonts w:ascii="仿宋" w:hAnsi="仿宋" w:eastAsia="仿宋" w:cs="仿宋"/>
          <w:b w:val="0"/>
          <w:color w:val="000000"/>
        </w:rPr>
        <w:t>一</w:t>
      </w:r>
      <w:r>
        <w:rPr>
          <w:rStyle w:val="18"/>
          <w:rFonts w:ascii="仿宋" w:hAnsi="仿宋" w:eastAsia="仿宋" w:cs="仿宋"/>
          <w:b w:val="0"/>
          <w:bCs w:val="0"/>
          <w:color w:val="000000"/>
        </w:rPr>
        <w:t>般公共预算财政拨款支出决算表</w:t>
      </w:r>
    </w:p>
    <w:p w14:paraId="428CE958">
      <w:pPr>
        <w:pStyle w:val="4"/>
        <w:rPr>
          <w:rFonts w:ascii="仿宋" w:hAnsi="仿宋" w:eastAsia="仿宋" w:cs="仿宋"/>
          <w:color w:val="000000"/>
          <w:highlight w:val="none"/>
        </w:rPr>
      </w:pPr>
      <w:r>
        <w:rPr>
          <w:rStyle w:val="18"/>
          <w:rFonts w:ascii="仿宋" w:hAnsi="仿宋" w:eastAsia="仿宋" w:cs="仿宋"/>
          <w:b w:val="0"/>
          <w:bCs w:val="0"/>
          <w:color w:val="000000"/>
        </w:rPr>
        <w:t>七、</w:t>
      </w:r>
      <w:r>
        <w:rPr>
          <w:rFonts w:ascii="仿宋" w:hAnsi="仿宋" w:eastAsia="仿宋" w:cs="仿宋"/>
          <w:b w:val="0"/>
          <w:color w:val="000000"/>
        </w:rPr>
        <w:t>一</w:t>
      </w:r>
      <w:r>
        <w:rPr>
          <w:rStyle w:val="18"/>
          <w:rFonts w:ascii="仿宋" w:hAnsi="仿宋" w:eastAsia="仿宋" w:cs="仿宋"/>
          <w:b w:val="0"/>
          <w:bCs w:val="0"/>
          <w:color w:val="000000"/>
        </w:rPr>
        <w:t>般公共预算财政拨款支出决算明细表</w:t>
      </w:r>
    </w:p>
    <w:p w14:paraId="51F54656">
      <w:pPr>
        <w:pStyle w:val="4"/>
        <w:rPr>
          <w:rFonts w:ascii="仿宋" w:hAnsi="仿宋" w:eastAsia="仿宋" w:cs="仿宋"/>
          <w:color w:val="000000"/>
          <w:highlight w:val="none"/>
        </w:rPr>
      </w:pPr>
      <w:r>
        <w:rPr>
          <w:rStyle w:val="18"/>
          <w:rFonts w:ascii="仿宋" w:hAnsi="仿宋" w:eastAsia="仿宋" w:cs="仿宋"/>
          <w:b w:val="0"/>
          <w:bCs w:val="0"/>
          <w:color w:val="000000"/>
        </w:rPr>
        <w:t>八、</w:t>
      </w:r>
      <w:r>
        <w:rPr>
          <w:rFonts w:ascii="仿宋" w:hAnsi="仿宋" w:eastAsia="仿宋" w:cs="仿宋"/>
          <w:b w:val="0"/>
          <w:color w:val="000000"/>
        </w:rPr>
        <w:t>一</w:t>
      </w:r>
      <w:r>
        <w:rPr>
          <w:rStyle w:val="18"/>
          <w:rFonts w:ascii="仿宋" w:hAnsi="仿宋" w:eastAsia="仿宋" w:cs="仿宋"/>
          <w:b w:val="0"/>
          <w:bCs w:val="0"/>
          <w:color w:val="000000"/>
        </w:rPr>
        <w:t>般公共预算财政拨款基本支出决算表</w:t>
      </w:r>
    </w:p>
    <w:p w14:paraId="06C78963">
      <w:pPr>
        <w:pStyle w:val="4"/>
        <w:rPr>
          <w:rFonts w:ascii="仿宋" w:hAnsi="仿宋" w:eastAsia="仿宋" w:cs="仿宋"/>
          <w:color w:val="000000"/>
          <w:highlight w:val="none"/>
        </w:rPr>
      </w:pPr>
      <w:r>
        <w:rPr>
          <w:rStyle w:val="18"/>
          <w:rFonts w:ascii="仿宋" w:hAnsi="仿宋" w:eastAsia="仿宋" w:cs="仿宋"/>
          <w:b w:val="0"/>
          <w:bCs w:val="0"/>
          <w:color w:val="000000"/>
        </w:rPr>
        <w:t>九、</w:t>
      </w:r>
      <w:r>
        <w:rPr>
          <w:rFonts w:ascii="仿宋" w:hAnsi="仿宋" w:eastAsia="仿宋" w:cs="仿宋"/>
          <w:b w:val="0"/>
          <w:color w:val="000000"/>
        </w:rPr>
        <w:t>一</w:t>
      </w:r>
      <w:r>
        <w:rPr>
          <w:rStyle w:val="18"/>
          <w:rFonts w:ascii="仿宋" w:hAnsi="仿宋" w:eastAsia="仿宋" w:cs="仿宋"/>
          <w:b w:val="0"/>
          <w:bCs w:val="0"/>
          <w:color w:val="000000"/>
        </w:rPr>
        <w:t>般公共预算财政拨款项目支出决算表</w:t>
      </w:r>
    </w:p>
    <w:p w14:paraId="3F99A235">
      <w:pPr>
        <w:pStyle w:val="4"/>
        <w:rPr>
          <w:rFonts w:ascii="仿宋" w:hAnsi="仿宋" w:eastAsia="仿宋" w:cs="仿宋"/>
          <w:color w:val="000000"/>
          <w:highlight w:val="none"/>
        </w:rPr>
      </w:pPr>
      <w:r>
        <w:rPr>
          <w:rStyle w:val="18"/>
          <w:rFonts w:ascii="仿宋" w:hAnsi="仿宋" w:eastAsia="仿宋" w:cs="仿宋"/>
          <w:b w:val="0"/>
          <w:bCs w:val="0"/>
          <w:color w:val="000000"/>
        </w:rPr>
        <w:t>十、</w:t>
      </w:r>
      <w:r>
        <w:rPr>
          <w:rFonts w:ascii="仿宋" w:hAnsi="仿宋" w:eastAsia="仿宋" w:cs="仿宋"/>
          <w:b w:val="0"/>
          <w:color w:val="000000"/>
        </w:rPr>
        <w:t>政</w:t>
      </w:r>
      <w:r>
        <w:rPr>
          <w:rStyle w:val="18"/>
          <w:rFonts w:ascii="仿宋" w:hAnsi="仿宋" w:eastAsia="仿宋" w:cs="仿宋"/>
          <w:b w:val="0"/>
          <w:bCs w:val="0"/>
          <w:color w:val="000000"/>
        </w:rPr>
        <w:t>府性基金预算财政拨款收入支出决算表</w:t>
      </w:r>
    </w:p>
    <w:p w14:paraId="5F763854">
      <w:pPr>
        <w:pStyle w:val="4"/>
        <w:rPr>
          <w:rFonts w:ascii="仿宋" w:hAnsi="仿宋" w:eastAsia="仿宋" w:cs="仿宋"/>
          <w:color w:val="000000"/>
          <w:highlight w:val="none"/>
        </w:rPr>
      </w:pPr>
      <w:r>
        <w:rPr>
          <w:rStyle w:val="18"/>
          <w:rFonts w:ascii="仿宋" w:hAnsi="仿宋" w:eastAsia="仿宋" w:cs="仿宋"/>
          <w:b w:val="0"/>
          <w:bCs w:val="0"/>
          <w:color w:val="000000"/>
        </w:rPr>
        <w:t>十一、</w:t>
      </w:r>
      <w:r>
        <w:rPr>
          <w:rFonts w:ascii="仿宋" w:hAnsi="仿宋" w:eastAsia="仿宋" w:cs="仿宋"/>
          <w:b w:val="0"/>
          <w:color w:val="000000"/>
        </w:rPr>
        <w:t>国</w:t>
      </w:r>
      <w:r>
        <w:rPr>
          <w:rStyle w:val="18"/>
          <w:rFonts w:ascii="仿宋" w:hAnsi="仿宋" w:eastAsia="仿宋" w:cs="仿宋"/>
          <w:b w:val="0"/>
          <w:bCs w:val="0"/>
          <w:color w:val="000000"/>
        </w:rPr>
        <w:t>有资本经营预算</w:t>
      </w:r>
      <w:r>
        <w:rPr>
          <w:rStyle w:val="18"/>
          <w:rFonts w:ascii="仿宋" w:hAnsi="仿宋" w:eastAsia="仿宋" w:cs="仿宋"/>
          <w:b w:val="0"/>
          <w:bCs w:val="0"/>
          <w:color w:val="000000"/>
          <w:lang w:eastAsia="zh-CN"/>
        </w:rPr>
        <w:t>财政拨款收入</w:t>
      </w:r>
      <w:r>
        <w:rPr>
          <w:rStyle w:val="18"/>
          <w:rFonts w:ascii="仿宋" w:hAnsi="仿宋" w:eastAsia="仿宋" w:cs="仿宋"/>
          <w:b w:val="0"/>
          <w:bCs w:val="0"/>
          <w:color w:val="000000"/>
        </w:rPr>
        <w:t>支出决算表</w:t>
      </w:r>
    </w:p>
    <w:p w14:paraId="678B3F05">
      <w:pPr>
        <w:pStyle w:val="4"/>
        <w:rPr>
          <w:rFonts w:ascii="仿宋" w:hAnsi="仿宋" w:eastAsia="仿宋" w:cs="仿宋"/>
          <w:color w:val="000000"/>
          <w:highlight w:val="none"/>
        </w:rPr>
      </w:pPr>
      <w:r>
        <w:rPr>
          <w:rStyle w:val="18"/>
          <w:rFonts w:ascii="仿宋" w:hAnsi="仿宋" w:eastAsia="仿宋" w:cs="仿宋"/>
          <w:b w:val="0"/>
          <w:bCs w:val="0"/>
          <w:color w:val="000000"/>
        </w:rPr>
        <w:t>十二、</w:t>
      </w:r>
      <w:r>
        <w:rPr>
          <w:rStyle w:val="18"/>
          <w:rFonts w:ascii="仿宋" w:hAnsi="仿宋" w:eastAsia="仿宋" w:cs="仿宋"/>
          <w:b w:val="0"/>
          <w:bCs w:val="0"/>
          <w:color w:val="000000"/>
          <w:lang w:eastAsia="zh-CN"/>
        </w:rPr>
        <w:t>国有资本经营预算财政拨款支出决算表</w:t>
      </w:r>
    </w:p>
    <w:p w14:paraId="4FFD0D5A">
      <w:pPr>
        <w:pStyle w:val="4"/>
        <w:rPr>
          <w:rFonts w:eastAsia="仿宋"/>
          <w:color w:val="000000"/>
          <w:highlight w:val="none"/>
          <w:lang w:eastAsia="zh-CN"/>
        </w:rPr>
      </w:pPr>
      <w:r>
        <w:rPr>
          <w:rStyle w:val="18"/>
          <w:rFonts w:ascii="仿宋" w:hAnsi="仿宋" w:eastAsia="仿宋" w:cs="仿宋"/>
          <w:b w:val="0"/>
          <w:bCs w:val="0"/>
          <w:color w:val="000000"/>
        </w:rPr>
        <w:t>十三、</w:t>
      </w:r>
      <w:r>
        <w:rPr>
          <w:rStyle w:val="18"/>
          <w:rFonts w:ascii="仿宋" w:hAnsi="仿宋" w:eastAsia="仿宋" w:cs="仿宋"/>
          <w:b w:val="0"/>
          <w:bCs w:val="0"/>
          <w:color w:val="000000"/>
          <w:lang w:eastAsia="zh-CN"/>
        </w:rPr>
        <w:t>财政拨款“三公”经费支出决算表</w:t>
      </w:r>
    </w:p>
    <w:p w14:paraId="66C3E97C">
      <w:pPr>
        <w:rPr>
          <w:rFonts w:eastAsia="仿宋"/>
          <w:color w:val="000000"/>
          <w:highlight w:val="none"/>
          <w:lang w:eastAsia="zh-CN"/>
        </w:rPr>
      </w:pP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E2ADDDF-2D95-4D52-9371-E7CC825C40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FFont-Family"/>
    <w:panose1 w:val="00000000000000000000"/>
    <w:charset w:val="00"/>
    <w:family w:val="auto"/>
    <w:pitch w:val="default"/>
    <w:sig w:usb0="00000000" w:usb1="00000000" w:usb2="00000000" w:usb3="00000000" w:csb0="00000000" w:csb1="00000000"/>
    <w:embedRegular r:id="rId2" w:fontKey="{464A0F96-860F-47DC-B3A0-AB87F1FE0C1C}"/>
  </w:font>
  <w:font w:name="FFont-Family">
    <w:panose1 w:val="02000509000000000000"/>
    <w:charset w:val="00"/>
    <w:family w:val="auto"/>
    <w:pitch w:val="default"/>
    <w:sig w:usb0="00000001" w:usb1="00000000" w:usb2="00000000" w:usb3="00000000" w:csb0="00000001" w:csb1="00000000"/>
  </w:font>
  <w:font w:name="Liberation Serif">
    <w:altName w:val="Times New Roman"/>
    <w:panose1 w:val="00000000000000000000"/>
    <w:charset w:val="01"/>
    <w:family w:val="roman"/>
    <w:pitch w:val="default"/>
    <w:sig w:usb0="00000000" w:usb1="00000000" w:usb2="00000000" w:usb3="00000000" w:csb0="00000000" w:csb1="00000000"/>
    <w:embedRegular r:id="rId3" w:fontKey="{C5962067-0176-47AA-AF03-3798C4F5D461}"/>
  </w:font>
  <w:font w:name="Noto Serif CJK SC">
    <w:altName w:val="宋体"/>
    <w:panose1 w:val="00000000000000000000"/>
    <w:charset w:val="86"/>
    <w:family w:val="auto"/>
    <w:pitch w:val="default"/>
    <w:sig w:usb0="00000000" w:usb1="00000000" w:usb2="00000000" w:usb3="00000000" w:csb0="00000000" w:csb1="00000000"/>
    <w:embedRegular r:id="rId4" w:fontKey="{67EA3D30-4EF0-438F-BAE4-6ADC46F98B39}"/>
  </w:font>
  <w:font w:name="Cambria">
    <w:panose1 w:val="02040503050406030204"/>
    <w:charset w:val="00"/>
    <w:family w:val="roman"/>
    <w:pitch w:val="default"/>
    <w:sig w:usb0="E00006FF" w:usb1="420024FF" w:usb2="02000000" w:usb3="00000000" w:csb0="2000019F" w:csb1="00000000"/>
    <w:embedRegular r:id="rId5" w:fontKey="{00A465EE-647B-4839-B4F4-4B485C80476F}"/>
  </w:font>
  <w:font w:name="仿宋">
    <w:panose1 w:val="02010609060101010101"/>
    <w:charset w:val="86"/>
    <w:family w:val="modern"/>
    <w:pitch w:val="default"/>
    <w:sig w:usb0="800002BF" w:usb1="38CF7CFA" w:usb2="00000016" w:usb3="00000000" w:csb0="00040001" w:csb1="00000000"/>
    <w:embedRegular r:id="rId6" w:fontKey="{11662C85-1261-461D-AEA5-24E0F434E0CE}"/>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embedRegular r:id="rId7" w:fontKey="{7F719F64-54F2-4844-9D75-4E1AC241AA98}"/>
  </w:font>
  <w:font w:name="华文中宋;宋体">
    <w:altName w:val="宋体"/>
    <w:panose1 w:val="00000000000000000000"/>
    <w:charset w:val="00"/>
    <w:family w:val="auto"/>
    <w:pitch w:val="default"/>
    <w:sig w:usb0="00000000" w:usb1="00000000" w:usb2="00000000" w:usb3="00000000" w:csb0="00000000" w:csb1="00000000"/>
    <w:embedRegular r:id="rId8" w:fontKey="{43EB312A-2207-424C-9E42-CC08406F776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singleLevel"/>
    <w:tmpl w:val="BF205925"/>
    <w:lvl w:ilvl="0" w:tentative="0">
      <w:start w:val="4"/>
      <w:numFmt w:val="chineseCountingThousand"/>
      <w:suff w:val="space"/>
      <w:lvlText w:val="第%1部分"/>
      <w:lvlJc w:val="left"/>
      <w:pPr>
        <w:tabs>
          <w:tab w:val="left" w:pos="0"/>
        </w:tabs>
        <w:ind w:left="0" w:firstLine="0"/>
      </w:pPr>
    </w:lvl>
  </w:abstractNum>
  <w:abstractNum w:abstractNumId="1">
    <w:nsid w:val="CF092B84"/>
    <w:multiLevelType w:val="singleLevel"/>
    <w:tmpl w:val="CF092B84"/>
    <w:lvl w:ilvl="0" w:tentative="0">
      <w:start w:val="1"/>
      <w:numFmt w:val="chineseCountingThousand"/>
      <w:suff w:val="nothing"/>
      <w:lvlText w:val="%1、"/>
      <w:lvlJc w:val="left"/>
      <w:pPr>
        <w:tabs>
          <w:tab w:val="left" w:pos="0"/>
        </w:tabs>
        <w:ind w:left="0" w:firstLine="0"/>
      </w:pPr>
    </w:lvl>
  </w:abstractNum>
  <w:abstractNum w:abstractNumId="2">
    <w:nsid w:val="0053208E"/>
    <w:multiLevelType w:val="multilevel"/>
    <w:tmpl w:val="0053208E"/>
    <w:lvl w:ilvl="0" w:tentative="0">
      <w:start w:val="1"/>
      <w:numFmt w:val="none"/>
      <w:pStyle w:val="3"/>
      <w:suff w:val="nothing"/>
      <w:lvlText w:val=""/>
      <w:lvlJc w:val="left"/>
      <w:pPr>
        <w:tabs>
          <w:tab w:val="left" w:pos="0"/>
        </w:tabs>
        <w:ind w:left="0" w:firstLine="0"/>
      </w:pPr>
    </w:lvl>
    <w:lvl w:ilvl="1" w:tentative="0">
      <w:start w:val="1"/>
      <w:numFmt w:val="none"/>
      <w:pStyle w:val="4"/>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3">
    <w:nsid w:val="59ADCABA"/>
    <w:multiLevelType w:val="singleLevel"/>
    <w:tmpl w:val="59ADCABA"/>
    <w:lvl w:ilvl="0" w:tentative="0">
      <w:start w:val="1"/>
      <w:numFmt w:val="decimal"/>
      <w:lvlText w:val="%1."/>
      <w:lvlJc w:val="left"/>
      <w:pPr>
        <w:tabs>
          <w:tab w:val="left" w:pos="42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documentProtection w:enforcement="0"/>
  <w:defaultTabStop w:val="420"/>
  <w:autoHyphenation/>
  <w:compat>
    <w:noLeading/>
    <w:doNotExpandShiftReturn/>
    <w:useFELayout/>
    <w:compatSetting w:name="compatibilityMode" w:uri="http://schemas.microsoft.com/office/word" w:val="14"/>
  </w:compat>
  <w:rsids>
    <w:rsidRoot w:val="00000000"/>
    <w:rsid w:val="20C124B1"/>
    <w:rsid w:val="534851C2"/>
    <w:rsid w:val="592F4301"/>
    <w:rsid w:val="65D26342"/>
    <w:rsid w:val="715431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4">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uppressAutoHyphens/>
      <w:bidi w:val="0"/>
      <w:spacing w:before="280" w:after="156" w:line="376" w:lineRule="auto"/>
      <w:jc w:val="left"/>
      <w:outlineLvl w:val="4"/>
    </w:pPr>
    <w:rPr>
      <w:rFonts w:ascii="Arial" w:hAnsi="Arial" w:eastAsia="黑体" w:cs="Times New Roman"/>
      <w:b/>
      <w:color w:val="auto"/>
      <w:kern w:val="2"/>
      <w:sz w:val="24"/>
      <w:szCs w:val="28"/>
      <w:lang w:val="en-US" w:eastAsia="zh-CN" w:bidi="ar-SA"/>
    </w:rPr>
  </w:style>
  <w:style w:type="paragraph" w:styleId="5">
    <w:name w:val="caption"/>
    <w:basedOn w:val="1"/>
    <w:qFormat/>
    <w:uiPriority w:val="0"/>
    <w:pPr>
      <w:suppressLineNumbers/>
      <w:spacing w:before="120" w:after="120"/>
    </w:pPr>
    <w:rPr>
      <w:rFonts w:cs="Lohit Devanagari"/>
      <w:i/>
      <w:iCs/>
      <w:sz w:val="24"/>
      <w:szCs w:val="24"/>
    </w:rPr>
  </w:style>
  <w:style w:type="paragraph" w:styleId="6">
    <w:name w:val="Body Text"/>
    <w:basedOn w:val="1"/>
    <w:uiPriority w:val="0"/>
    <w:pPr>
      <w:spacing w:before="0" w:after="140" w:line="276" w:lineRule="auto"/>
    </w:pPr>
  </w:style>
  <w:style w:type="paragraph" w:styleId="7">
    <w:name w:val="Body Text Indent"/>
    <w:basedOn w:val="1"/>
    <w:next w:val="8"/>
    <w:uiPriority w:val="0"/>
    <w:pPr>
      <w:spacing w:before="0" w:after="120"/>
    </w:pPr>
    <w:rPr>
      <w:rFonts w:ascii="仿宋" w:hAnsi="仿宋"/>
      <w:szCs w:val="32"/>
    </w:rPr>
  </w:style>
  <w:style w:type="paragraph" w:customStyle="1" w:styleId="8">
    <w:name w:val="正文首行缩进 21"/>
    <w:basedOn w:val="7"/>
    <w:qFormat/>
    <w:uiPriority w:val="0"/>
    <w:pPr>
      <w:ind w:firstLine="420"/>
    </w:pPr>
  </w:style>
  <w:style w:type="paragraph" w:styleId="9">
    <w:name w:val="toc 1"/>
    <w:basedOn w:val="1"/>
    <w:next w:val="1"/>
    <w:uiPriority w:val="0"/>
    <w:pPr>
      <w:tabs>
        <w:tab w:val="right" w:leader="dot" w:pos="8296"/>
      </w:tabs>
      <w:spacing w:before="93" w:after="0"/>
      <w:jc w:val="center"/>
    </w:pPr>
    <w:rPr>
      <w:rFonts w:ascii="仿宋" w:hAnsi="仿宋" w:eastAsia="仿宋" w:cs="仿宋"/>
      <w:sz w:val="28"/>
      <w:szCs w:val="28"/>
    </w:rPr>
  </w:style>
  <w:style w:type="paragraph" w:styleId="10">
    <w:name w:val="List"/>
    <w:basedOn w:val="6"/>
    <w:uiPriority w:val="0"/>
  </w:style>
  <w:style w:type="paragraph" w:styleId="11">
    <w:name w:val="footnote text"/>
    <w:basedOn w:val="1"/>
    <w:next w:val="8"/>
    <w:uiPriority w:val="0"/>
    <w:pPr>
      <w:snapToGrid w:val="0"/>
      <w:jc w:val="left"/>
    </w:pPr>
    <w:rPr>
      <w:sz w:val="18"/>
      <w:szCs w:val="18"/>
    </w:rPr>
  </w:style>
  <w:style w:type="paragraph" w:styleId="12">
    <w:name w:val="toc 2"/>
    <w:basedOn w:val="1"/>
    <w:next w:val="1"/>
    <w:qFormat/>
    <w:uiPriority w:val="0"/>
    <w:pPr>
      <w:tabs>
        <w:tab w:val="right" w:leader="dot" w:pos="8296"/>
      </w:tabs>
      <w:ind w:left="420" w:firstLine="0"/>
    </w:pPr>
  </w:style>
  <w:style w:type="character" w:customStyle="1" w:styleId="15">
    <w:name w:val="WW8Num1z0"/>
    <w:qFormat/>
    <w:uiPriority w:val="0"/>
  </w:style>
  <w:style w:type="character" w:customStyle="1" w:styleId="16">
    <w:name w:val="WW8Num2z0"/>
    <w:qFormat/>
    <w:uiPriority w:val="0"/>
  </w:style>
  <w:style w:type="character" w:customStyle="1" w:styleId="17">
    <w:name w:val="默认段落字体11"/>
    <w:qFormat/>
    <w:uiPriority w:val="0"/>
  </w:style>
  <w:style w:type="character" w:customStyle="1" w:styleId="18">
    <w:name w:val="标题 2 Char"/>
    <w:basedOn w:val="17"/>
    <w:qFormat/>
    <w:uiPriority w:val="0"/>
    <w:rPr>
      <w:rFonts w:ascii="Cambria" w:hAnsi="Cambria" w:eastAsia="宋体" w:cs="Times New Roman"/>
      <w:b/>
      <w:bCs/>
      <w:sz w:val="32"/>
      <w:szCs w:val="32"/>
    </w:rPr>
  </w:style>
  <w:style w:type="character" w:customStyle="1" w:styleId="19">
    <w:name w:val="Strong Emphasis"/>
    <w:basedOn w:val="17"/>
    <w:qFormat/>
    <w:uiPriority w:val="0"/>
    <w:rPr>
      <w:b/>
    </w:rPr>
  </w:style>
  <w:style w:type="character" w:customStyle="1" w:styleId="20">
    <w:name w:val="默认段落字体1"/>
    <w:qFormat/>
    <w:uiPriority w:val="0"/>
  </w:style>
  <w:style w:type="character" w:customStyle="1" w:styleId="21">
    <w:name w:val="标题 1 Char"/>
    <w:basedOn w:val="17"/>
    <w:qFormat/>
    <w:uiPriority w:val="0"/>
    <w:rPr>
      <w:b/>
      <w:bCs/>
      <w:kern w:val="2"/>
      <w:sz w:val="44"/>
      <w:szCs w:val="44"/>
    </w:rPr>
  </w:style>
  <w:style w:type="paragraph" w:customStyle="1" w:styleId="22">
    <w:name w:val="Heading"/>
    <w:basedOn w:val="1"/>
    <w:next w:val="6"/>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23">
    <w:name w:val="Index"/>
    <w:basedOn w:val="1"/>
    <w:qFormat/>
    <w:uiPriority w:val="0"/>
    <w:pPr>
      <w:widowControl w:val="0"/>
      <w:suppressLineNumbers/>
      <w:suppressAutoHyphens/>
    </w:pPr>
  </w:style>
  <w:style w:type="paragraph" w:customStyle="1" w:styleId="24">
    <w:name w:val="题注1"/>
    <w:basedOn w:val="1"/>
    <w:qFormat/>
    <w:uiPriority w:val="0"/>
    <w:pPr>
      <w:widowControl w:val="0"/>
      <w:suppressLineNumbers/>
      <w:suppressAutoHyphens/>
      <w:spacing w:before="120" w:after="120"/>
    </w:pPr>
    <w:rPr>
      <w:i/>
      <w:iCs/>
      <w:sz w:val="24"/>
      <w:szCs w:val="24"/>
    </w:rPr>
  </w:style>
  <w:style w:type="paragraph" w:customStyle="1" w:styleId="25">
    <w:name w:val="索引 51"/>
    <w:basedOn w:val="1"/>
    <w:next w:val="1"/>
    <w:qFormat/>
    <w:uiPriority w:val="0"/>
    <w:pPr>
      <w:spacing w:before="0" w:after="0"/>
      <w:ind w:left="1680" w:right="0" w:firstLine="0"/>
      <w:jc w:val="left"/>
    </w:pPr>
    <w:rPr>
      <w:rFonts w:ascii="宋体" w:hAnsi="宋体" w:eastAsia="宋体" w:cs="宋体"/>
      <w:kern w:val="0"/>
      <w:sz w:val="24"/>
      <w:szCs w:val="24"/>
      <w:lang w:val="en-US" w:eastAsia="zh-CN" w:bidi="ar"/>
    </w:rPr>
  </w:style>
  <w:style w:type="paragraph" w:customStyle="1" w:styleId="26">
    <w:name w:val="纯文本1"/>
    <w:basedOn w:val="1"/>
    <w:next w:val="25"/>
    <w:qFormat/>
    <w:uiPriority w:val="0"/>
    <w:pPr>
      <w:spacing w:before="0" w:after="0"/>
      <w:ind w:left="0" w:right="0" w:firstLine="0"/>
      <w:jc w:val="left"/>
    </w:pPr>
    <w:rPr>
      <w:rFonts w:ascii="宋体" w:hAnsi="宋体" w:eastAsia="宋体" w:cs="宋体"/>
      <w:kern w:val="0"/>
      <w:sz w:val="24"/>
      <w:szCs w:val="24"/>
      <w:lang w:val="en-US" w:eastAsia="zh-CN" w:bidi="ar"/>
    </w:rPr>
  </w:style>
  <w:style w:type="paragraph" w:customStyle="1" w:styleId="27">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styleId="28">
    <w:name w:val="List Paragraph"/>
    <w:basedOn w:val="1"/>
    <w:qFormat/>
    <w:uiPriority w:val="0"/>
    <w:pPr>
      <w:ind w:firstLine="420"/>
    </w:pPr>
  </w:style>
  <w:style w:type="paragraph" w:customStyle="1" w:styleId="29">
    <w:name w:val="普通(网站) Char"/>
    <w:basedOn w:val="1"/>
    <w:qFormat/>
    <w:uiPriority w:val="0"/>
    <w:pPr>
      <w:spacing w:before="280" w:after="280"/>
      <w:ind w:left="0" w:right="0" w:firstLine="0"/>
      <w:jc w:val="left"/>
    </w:pPr>
    <w:rPr>
      <w:rFonts w:ascii="宋体" w:hAnsi="宋体" w:eastAsia="宋体" w:cs="宋体"/>
      <w:kern w:val="0"/>
      <w:sz w:val="24"/>
      <w:szCs w:val="24"/>
      <w:lang w:val="en-US" w:eastAsia="zh-CN" w:bidi="ar"/>
    </w:rPr>
  </w:style>
  <w:style w:type="paragraph" w:customStyle="1" w:styleId="30">
    <w:name w:val="Table Contents"/>
    <w:basedOn w:val="1"/>
    <w:qFormat/>
    <w:uiPriority w:val="0"/>
    <w:pPr>
      <w:widowControl w:val="0"/>
      <w:suppressLineNumbers/>
    </w:pPr>
  </w:style>
  <w:style w:type="paragraph" w:customStyle="1" w:styleId="31">
    <w:name w:val="Table Heading"/>
    <w:basedOn w:val="30"/>
    <w:qFormat/>
    <w:uiPriority w:val="0"/>
    <w:pPr>
      <w:suppressLineNumbers/>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227749ea-f615-4818-8fbc-10a0b1b4c41a</errorID>
      <errorWord>党要管党、从严治党</errorWord>
      <group>L1_Political</group>
      <groupName>政治性问题</groupName>
      <ability>L2_Unpolitical</ability>
      <abilityName>政治敏感错误</abilityName>
      <candidateList>
        <item>党要管党、全面从严治党</item>
      </candidateList>
      <explain/>
      <paraID>67C1E082</paraID>
      <start>4</start>
      <end>15</end>
      <status>modified</status>
      <modifiedWord>党要管党、全面从严治党</modifiedWord>
      <trackRevisions>false</trackRevisions>
    </reviewItem>
    <reviewItem>
      <errorID>49af610e-ad97-4ee6-94df-89888858af6b</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7EC3D971</paraID>
      <start>10</start>
      <end>36</end>
      <status>modified</status>
      <modifiedWord>经济建设、政治建设、文化建设、社会建设、生态文明建设</modifiedWord>
      <trackRevisions>false</trackRevisions>
    </reviewItem>
    <reviewItem>
      <errorID>0f1adf6d-74b4-49dd-91ba-31b58a381392</errorID>
      <errorWord>法制建设</errorWord>
      <group>L1_Political</group>
      <groupName>政治性问题</groupName>
      <ability>L2_Unpolitical</ability>
      <abilityName>政治敏感错误</abilityName>
      <candidateList>
        <item>法治建设</item>
      </candidateList>
      <explain/>
      <paraID>7EC3D971</paraID>
      <start>37</start>
      <end>41</end>
      <status>modified</status>
      <modifiedWord>法治建设</modifiedWord>
      <trackRevisions>false</trackRevisions>
    </reviewItem>
    <reviewItem>
      <errorID>29ce8a5a-2257-4b21-9c21-0f4d67c97c3b</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32F12665</paraID>
      <start>78</start>
      <end>103</end>
      <status>modified</status>
      <modifiedWord>党的政治领导力、思想引领力、群众组织力、社会号召力</modifiedWord>
      <trackRevisions>false</trackRevisions>
    </reviewItem>
    <reviewItem>
      <errorID>ff4bf218-19b0-4689-a903-f1a09a3e33c2</errorID>
      <errorWord>巩固脱贫攻坚成果</errorWord>
      <group>L1_Word</group>
      <groupName>字词问题</groupName>
      <ability>L2_Typo</ability>
      <abilityName>字词错误</abilityName>
      <candidateList>
        <item>巩固拓展脱贫攻坚成果</item>
      </candidateList>
      <explain/>
      <paraID> 24FFA46</paraID>
      <start>2</start>
      <end>12</end>
      <status>modified</status>
      <modifiedWord>巩固拓展脱贫攻坚成果</modifiedWord>
      <trackRevisions>false</trackRevisions>
    </reviewItem>
    <reviewItem>
      <errorID>f34f123a-4466-4302-ad00-fd5d8b6b146a</errorID>
      <errorWord>负责村乡</errorWord>
      <group>L1_Word</group>
      <groupName>字词问题</groupName>
      <ability>L2_Typo</ability>
      <abilityName>字词错误</abilityName>
      <candidateList>
        <item>负责乡村</item>
      </candidateList>
      <explain/>
      <paraID>1A63B189</paraID>
      <start>2</start>
      <end>6</end>
      <status>modified</status>
      <modifiedWord>负责乡村</modifiedWord>
      <trackRevisions>false</trackRevisions>
    </reviewItem>
    <reviewItem>
      <errorID>7436a2a4-4e20-4cf9-a717-5f970a3d463b</errorID>
      <errorWord>法制建设</errorWord>
      <group>L1_Political</group>
      <groupName>政治性问题</groupName>
      <ability>L2_Unpolitical</ability>
      <abilityName>政治敏感错误</abilityName>
      <candidateList>
        <item>法治建设</item>
      </candidateList>
      <explain/>
      <paraID>7CC06312</paraID>
      <start>19</start>
      <end>23</end>
      <status>modified</status>
      <modifiedWord>法治建设</modifiedWord>
      <trackRevisions>false</trackRevisions>
    </reviewItem>
    <reviewItem>
      <errorID>b7f17496-4312-4338-9145-c992b98bc530</errorID>
      <errorWord>流动党支部</errorWord>
      <group>L1_Political</group>
      <groupName>政治性问题</groupName>
      <ability>L2_Unpolitical</ability>
      <abilityName>政治敏感错误</abilityName>
      <candidateList>
        <item>流动党员党支部</item>
      </candidateList>
      <explain/>
      <paraID>7538E2F1</paraID>
      <start>32</start>
      <end>39</end>
      <status>modified</status>
      <modifiedWord>流动党员党支部</modifiedWord>
      <trackRevisions>false</trackRevisions>
    </reviewItem>
    <reviewItem>
      <errorID>c8c437a0-c586-4c8d-8526-60a01434a7b2</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232BEDC</paraID>
      <start>77</start>
      <end>83</end>
      <status>modified</status>
      <modifiedWord>“三公”经费</modifiedWord>
      <trackRevisions>false</trackRevisions>
    </reviewItem>
    <reviewItem>
      <errorID>bfc7a947-b32c-4942-8cd3-42f0342dd5f6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6D7FBE19</paraID>
      <start>78</start>
      <end>84</end>
      <status>modified</status>
      <modifiedWord>“三公”经费</modifiedWord>
      <trackRevisions>false</trackRevisions>
    </reviewItem>
    <reviewItem>
      <errorID>640fb678-400c-49ba-b94f-006848ecf011</errorID>
      <errorWord>，</errorWord>
      <group>L1_Word</group>
      <groupName>字词问题</groupName>
      <ability>L2_Typo</ability>
      <abilityName>字词错误</abilityName>
      <candidateList>
        <item>，在</item>
      </candidateList>
      <explain/>
      <paraID>613516E0</paraID>
      <start>68</start>
      <end>70</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0d79d820-f9e1-4315-a9fc-dd44efa105b0}">
  <ds:schemaRefs/>
</ds:datastoreItem>
</file>

<file path=docProps/app.xml><?xml version="1.0" encoding="utf-8"?>
<Properties xmlns="http://schemas.openxmlformats.org/officeDocument/2006/extended-properties" xmlns:vt="http://schemas.openxmlformats.org/officeDocument/2006/docPropsVTypes">
  <Pages>29</Pages>
  <Words>8235</Words>
  <Characters>8952</Characters>
  <TotalTime>2886</TotalTime>
  <ScaleCrop>false</ScaleCrop>
  <LinksUpToDate>false</LinksUpToDate>
  <CharactersWithSpaces>8970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奕夕^_^</cp:lastModifiedBy>
  <dcterms:modified xsi:type="dcterms:W3CDTF">2026-10-13T02:08:07Z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2F99F56CBD6040378975ECAC2D04C48F_12</vt:lpwstr>
  </property>
  <property fmtid="{D5CDD505-2E9C-101B-9397-08002B2CF9AE}" pid="3" name="KSOProductBuildVer">
    <vt:lpwstr>2052-12.1.0.28505</vt:lpwstr>
  </property>
  <property fmtid="{D5CDD505-2E9C-101B-9397-08002B2CF9AE}" pid="4" name="KSOTemplateDocerSaveRecord">
    <vt:lpwstr>eyJoZGlkIjoiNTU1MWNhN2ZmY2ZhZmY3ODhlYTg0MWU5OGMyY2QwZmUiLCJ1c2VySWQiOiI0MzQ2NTM0NzEifQ==</vt:lpwstr>
  </property>
  <property fmtid="{D5CDD505-2E9C-101B-9397-08002B2CF9AE}" pid="5" name="commondata">
    <vt:lpwstr>commondata</vt:lpwstr>
  </property>
</Properties>
</file>