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0D738B6">
      <w:pPr>
        <w:pStyle w:val="6"/>
        <w:jc w:val="center"/>
        <w:rPr>
          <w:rFonts w:ascii="方正小标宋简体" w:hAnsi="方正小标宋简体" w:eastAsia="方正小标宋简体" w:cs="Times New Roman"/>
          <w:color w:val="000000"/>
          <w:kern w:val="2"/>
          <w:sz w:val="44"/>
          <w:szCs w:val="44"/>
          <w:highlight w:val="none"/>
          <w:lang w:val="en-US" w:eastAsia="zh-CN" w:bidi="ar-SA"/>
        </w:rPr>
      </w:pPr>
    </w:p>
    <w:p w14:paraId="1AC1CCAF">
      <w:pPr>
        <w:pStyle w:val="6"/>
        <w:jc w:val="center"/>
        <w:rPr>
          <w:rFonts w:ascii="方正小标宋简体" w:hAnsi="方正小标宋简体" w:eastAsia="方正小标宋简体" w:cs="Times New Roman"/>
          <w:color w:val="000000"/>
          <w:kern w:val="2"/>
          <w:sz w:val="44"/>
          <w:szCs w:val="44"/>
          <w:highlight w:val="none"/>
          <w:lang w:val="en-US" w:eastAsia="zh-CN" w:bidi="ar-SA"/>
        </w:rPr>
      </w:pPr>
      <w:r>
        <w:rPr>
          <w:rFonts w:ascii="方正小标宋简体" w:hAnsi="方正小标宋简体" w:eastAsia="方正小标宋简体" w:cs="Times New Roman"/>
          <w:color w:val="000000"/>
          <w:kern w:val="2"/>
          <w:sz w:val="44"/>
          <w:szCs w:val="44"/>
          <w:lang w:val="en-US" w:eastAsia="zh-CN" w:bidi="ar-SA"/>
        </w:rPr>
        <w:t>2025年度四川省阿坝州松潘县红土镇农业农村服务中心单位决算</w:t>
      </w:r>
    </w:p>
    <w:p w14:paraId="4EF96102">
      <w:pPr>
        <w:pStyle w:val="6"/>
        <w:jc w:val="center"/>
        <w:rPr>
          <w:rFonts w:ascii="方正小标宋简体" w:hAnsi="方正小标宋简体" w:eastAsia="方正小标宋简体" w:cs="Times New Roman"/>
          <w:color w:val="000000"/>
          <w:kern w:val="2"/>
          <w:sz w:val="44"/>
          <w:szCs w:val="44"/>
          <w:highlight w:val="none"/>
          <w:lang w:val="en-US" w:eastAsia="zh-CN" w:bidi="ar-SA"/>
        </w:rPr>
      </w:pPr>
      <w:r>
        <w:rPr>
          <w:rFonts w:ascii="方正小标宋简体" w:hAnsi="方正小标宋简体" w:eastAsia="方正小标宋简体" w:cs="Times New Roman"/>
          <w:color w:val="000000"/>
          <w:kern w:val="2"/>
          <w:sz w:val="44"/>
          <w:szCs w:val="44"/>
          <w:lang w:val="en-US" w:eastAsia="zh-CN" w:bidi="ar-SA"/>
        </w:rPr>
        <w:t>（单位公开）</w:t>
      </w:r>
    </w:p>
    <w:p w14:paraId="62ED3E96">
      <w:pPr>
        <w:widowControl/>
        <w:jc w:val="center"/>
        <w:rPr>
          <w:rFonts w:ascii="黑体" w:hAnsi="黑体" w:eastAsia="黑体" w:cs="黑体"/>
          <w:color w:val="000000"/>
          <w:sz w:val="48"/>
          <w:szCs w:val="48"/>
          <w:highlight w:val="none"/>
        </w:rPr>
      </w:pPr>
      <w:r>
        <w:rPr>
          <w:rFonts w:ascii="黑体" w:hAnsi="黑体" w:eastAsia="黑体" w:cs="黑体"/>
          <w:color w:val="000000"/>
          <w:sz w:val="48"/>
          <w:szCs w:val="48"/>
        </w:rPr>
        <w:t>目录</w:t>
      </w:r>
    </w:p>
    <w:p w14:paraId="4FE15195">
      <w:pPr>
        <w:widowControl/>
        <w:jc w:val="center"/>
        <w:rPr>
          <w:rFonts w:ascii="黑体" w:hAnsi="黑体" w:eastAsia="黑体" w:cs="Times New Roman"/>
          <w:color w:val="000000"/>
          <w:sz w:val="28"/>
          <w:szCs w:val="28"/>
          <w:highlight w:val="none"/>
        </w:rPr>
      </w:pPr>
    </w:p>
    <w:p w14:paraId="6AF09C9A">
      <w:pPr>
        <w:pStyle w:val="9"/>
        <w:rPr>
          <w:color w:val="000000"/>
          <w:highlight w:val="none"/>
        </w:rPr>
      </w:pPr>
      <w:r>
        <w:rPr>
          <w:color w:val="000000"/>
        </w:rPr>
        <w:t>公开时间：2026年10月</w:t>
      </w:r>
      <w:r>
        <w:rPr>
          <w:rFonts w:hint="eastAsia"/>
          <w:color w:val="000000"/>
          <w:lang w:val="en-US" w:eastAsia="zh-CN"/>
        </w:rPr>
        <w:t>13</w:t>
      </w:r>
      <w:r>
        <w:rPr>
          <w:color w:val="000000"/>
        </w:rPr>
        <w:t>日</w:t>
      </w:r>
    </w:p>
    <w:p w14:paraId="12B1F70B">
      <w:pPr>
        <w:rPr>
          <w:color w:val="000000"/>
          <w:highlight w:val="none"/>
        </w:rPr>
      </w:pPr>
    </w:p>
    <w:p w14:paraId="267D67DD">
      <w:pPr>
        <w:pStyle w:val="9"/>
        <w:snapToGrid w:val="0"/>
        <w:spacing w:before="0" w:after="0" w:line="440" w:lineRule="exact"/>
        <w:jc w:val="left"/>
        <w:rPr>
          <w:rFonts w:cs="Times New Roman"/>
          <w:color w:val="000000"/>
          <w:sz w:val="24"/>
          <w:szCs w:val="24"/>
          <w:highlight w:val="none"/>
        </w:rPr>
      </w:pPr>
      <w:r>
        <w:rPr>
          <w:color w:val="000000"/>
          <w:sz w:val="24"/>
        </w:rPr>
        <w:t xml:space="preserve">第一部分 </w:t>
      </w:r>
      <w:r>
        <w:rPr>
          <w:color w:val="000000"/>
          <w:sz w:val="24"/>
          <w:lang w:eastAsia="zh-CN"/>
        </w:rPr>
        <w:t>单位</w:t>
      </w:r>
      <w:r>
        <w:rPr>
          <w:color w:val="000000"/>
          <w:sz w:val="24"/>
        </w:rPr>
        <w:t>概况</w:t>
      </w:r>
    </w:p>
    <w:p w14:paraId="7FC9D2A5">
      <w:pPr>
        <w:pStyle w:val="12"/>
        <w:snapToGrid w:val="0"/>
        <w:spacing w:line="440" w:lineRule="exact"/>
        <w:jc w:val="left"/>
        <w:rPr>
          <w:rFonts w:eastAsia="宋体"/>
          <w:color w:val="000000"/>
          <w:sz w:val="24"/>
          <w:highlight w:val="none"/>
          <w:lang w:eastAsia="zh-CN"/>
        </w:rPr>
      </w:pPr>
      <w:r>
        <w:rPr>
          <w:color w:val="000000"/>
          <w:sz w:val="24"/>
        </w:rPr>
        <w:t>一、</w:t>
      </w:r>
      <w:r>
        <w:rPr>
          <w:color w:val="000000"/>
          <w:sz w:val="24"/>
          <w:lang w:eastAsia="zh-CN"/>
        </w:rPr>
        <w:t>主要职责</w:t>
      </w:r>
    </w:p>
    <w:p w14:paraId="77FB0A1E">
      <w:pPr>
        <w:pStyle w:val="12"/>
        <w:snapToGrid w:val="0"/>
        <w:spacing w:line="440" w:lineRule="exact"/>
        <w:jc w:val="left"/>
        <w:rPr>
          <w:rFonts w:eastAsia="宋体"/>
          <w:color w:val="000000"/>
          <w:lang w:eastAsia="zh-CN"/>
        </w:rPr>
      </w:pPr>
      <w:r>
        <w:rPr>
          <w:color w:val="000000"/>
          <w:sz w:val="24"/>
          <w:lang w:eastAsia="zh-CN"/>
        </w:rPr>
        <w:t>二</w:t>
      </w:r>
      <w:r>
        <w:rPr>
          <w:color w:val="000000"/>
          <w:sz w:val="24"/>
        </w:rPr>
        <w:t>、</w:t>
      </w:r>
      <w:r>
        <w:rPr>
          <w:color w:val="000000"/>
          <w:sz w:val="24"/>
          <w:lang w:eastAsia="zh-CN"/>
        </w:rPr>
        <w:t>机构设置</w:t>
      </w:r>
    </w:p>
    <w:p w14:paraId="155693CF">
      <w:pPr>
        <w:pStyle w:val="9"/>
        <w:snapToGrid w:val="0"/>
        <w:spacing w:before="0" w:after="0" w:line="440" w:lineRule="exact"/>
        <w:jc w:val="left"/>
        <w:rPr>
          <w:rFonts w:ascii="Calibri" w:hAnsi="Calibri" w:eastAsia="宋体" w:cs="Times New Roman"/>
          <w:color w:val="000000"/>
          <w:kern w:val="2"/>
          <w:sz w:val="24"/>
          <w:szCs w:val="24"/>
          <w:highlight w:val="none"/>
          <w:lang w:val="en-US" w:eastAsia="zh-CN" w:bidi="ar-SA"/>
        </w:rPr>
      </w:pPr>
      <w:r>
        <w:rPr>
          <w:rFonts w:ascii="Calibri" w:hAnsi="Calibri" w:eastAsia="宋体" w:cs="Times New Roman"/>
          <w:color w:val="000000"/>
          <w:kern w:val="2"/>
          <w:sz w:val="24"/>
          <w:szCs w:val="24"/>
          <w:lang w:val="en-US" w:eastAsia="zh-CN" w:bidi="ar-SA"/>
        </w:rPr>
        <w:t>第二部分 2025年度单位决算情况说明</w:t>
      </w:r>
    </w:p>
    <w:p w14:paraId="5ABA763D">
      <w:pPr>
        <w:pStyle w:val="12"/>
        <w:snapToGrid w:val="0"/>
        <w:spacing w:line="440" w:lineRule="exact"/>
        <w:jc w:val="left"/>
        <w:rPr>
          <w:rFonts w:ascii="仿宋" w:hAnsi="仿宋" w:eastAsia="仿宋" w:cs="Times New Roman"/>
          <w:color w:val="000000"/>
          <w:sz w:val="24"/>
          <w:highlight w:val="none"/>
        </w:rPr>
      </w:pPr>
      <w:r>
        <w:rPr>
          <w:color w:val="000000"/>
          <w:sz w:val="24"/>
        </w:rPr>
        <w:t>一、收入支出决算总体情况说明</w:t>
      </w:r>
    </w:p>
    <w:p w14:paraId="2ACAB64E">
      <w:pPr>
        <w:pStyle w:val="12"/>
        <w:snapToGrid w:val="0"/>
        <w:spacing w:line="440" w:lineRule="exact"/>
        <w:jc w:val="left"/>
        <w:rPr>
          <w:rFonts w:ascii="仿宋" w:hAnsi="仿宋" w:eastAsia="仿宋" w:cs="Times New Roman"/>
          <w:color w:val="000000"/>
          <w:sz w:val="24"/>
          <w:highlight w:val="none"/>
        </w:rPr>
      </w:pPr>
      <w:r>
        <w:rPr>
          <w:color w:val="000000"/>
          <w:sz w:val="24"/>
        </w:rPr>
        <w:t>二、收入决算情况说明</w:t>
      </w:r>
    </w:p>
    <w:p w14:paraId="1D739D20">
      <w:pPr>
        <w:pStyle w:val="12"/>
        <w:snapToGrid w:val="0"/>
        <w:spacing w:line="440" w:lineRule="exact"/>
        <w:jc w:val="left"/>
        <w:rPr>
          <w:rFonts w:ascii="仿宋" w:hAnsi="仿宋" w:eastAsia="仿宋" w:cs="Times New Roman"/>
          <w:color w:val="000000"/>
          <w:sz w:val="24"/>
          <w:highlight w:val="none"/>
        </w:rPr>
      </w:pPr>
      <w:r>
        <w:rPr>
          <w:color w:val="000000"/>
          <w:sz w:val="24"/>
        </w:rPr>
        <w:t>三、支出决算情况说明</w:t>
      </w:r>
    </w:p>
    <w:p w14:paraId="71720A44">
      <w:pPr>
        <w:pStyle w:val="12"/>
        <w:snapToGrid w:val="0"/>
        <w:spacing w:line="440" w:lineRule="exact"/>
        <w:jc w:val="left"/>
        <w:rPr>
          <w:rFonts w:ascii="仿宋" w:hAnsi="仿宋" w:eastAsia="仿宋" w:cs="Times New Roman"/>
          <w:color w:val="000000"/>
          <w:sz w:val="24"/>
          <w:highlight w:val="none"/>
        </w:rPr>
      </w:pPr>
      <w:r>
        <w:rPr>
          <w:color w:val="000000"/>
          <w:sz w:val="24"/>
        </w:rPr>
        <w:t>四、财政拨款收入支出决算总体情况说明</w:t>
      </w:r>
    </w:p>
    <w:p w14:paraId="5FF75336">
      <w:pPr>
        <w:pStyle w:val="12"/>
        <w:snapToGrid w:val="0"/>
        <w:spacing w:line="440" w:lineRule="exact"/>
        <w:jc w:val="left"/>
        <w:rPr>
          <w:rFonts w:ascii="仿宋" w:hAnsi="仿宋" w:eastAsia="仿宋" w:cs="Times New Roman"/>
          <w:color w:val="000000"/>
          <w:sz w:val="24"/>
          <w:highlight w:val="none"/>
        </w:rPr>
      </w:pPr>
      <w:r>
        <w:rPr>
          <w:color w:val="000000"/>
          <w:sz w:val="24"/>
        </w:rPr>
        <w:t>五、一般公共预算财政拨款支出决算情况说明</w:t>
      </w:r>
    </w:p>
    <w:p w14:paraId="045A843C">
      <w:pPr>
        <w:pStyle w:val="12"/>
        <w:snapToGrid w:val="0"/>
        <w:spacing w:line="440" w:lineRule="exact"/>
        <w:jc w:val="left"/>
        <w:rPr>
          <w:rFonts w:ascii="仿宋" w:hAnsi="仿宋" w:eastAsia="仿宋" w:cs="Times New Roman"/>
          <w:color w:val="000000"/>
          <w:sz w:val="24"/>
          <w:highlight w:val="none"/>
        </w:rPr>
      </w:pPr>
      <w:r>
        <w:rPr>
          <w:color w:val="000000"/>
          <w:sz w:val="24"/>
        </w:rPr>
        <w:t>六、一般公共预算财政拨款基本支出决算情况说明</w:t>
      </w:r>
    </w:p>
    <w:p w14:paraId="332F3457">
      <w:pPr>
        <w:pStyle w:val="12"/>
        <w:snapToGrid w:val="0"/>
        <w:spacing w:line="440" w:lineRule="exact"/>
        <w:jc w:val="left"/>
        <w:rPr>
          <w:rFonts w:ascii="仿宋" w:hAnsi="仿宋" w:eastAsia="仿宋" w:cs="Times New Roman"/>
          <w:color w:val="000000"/>
          <w:sz w:val="24"/>
          <w:highlight w:val="none"/>
        </w:rPr>
      </w:pPr>
      <w:r>
        <w:rPr>
          <w:color w:val="000000"/>
          <w:sz w:val="24"/>
        </w:rPr>
        <w:t>七、财政拨款</w:t>
      </w:r>
      <w:r>
        <w:rPr>
          <w:color w:val="000000"/>
          <w:sz w:val="24"/>
          <w:lang w:eastAsia="zh-CN"/>
        </w:rPr>
        <w:t>“</w:t>
      </w:r>
      <w:r>
        <w:rPr>
          <w:color w:val="000000"/>
          <w:sz w:val="24"/>
        </w:rPr>
        <w:t>三公”经费支出决算情况说明</w:t>
      </w:r>
    </w:p>
    <w:p w14:paraId="486B629F">
      <w:pPr>
        <w:pStyle w:val="12"/>
        <w:snapToGrid w:val="0"/>
        <w:spacing w:line="440" w:lineRule="exact"/>
        <w:jc w:val="left"/>
        <w:rPr>
          <w:rFonts w:ascii="仿宋" w:hAnsi="仿宋" w:eastAsia="仿宋" w:cs="Times New Roman"/>
          <w:color w:val="000000"/>
          <w:sz w:val="24"/>
          <w:highlight w:val="none"/>
        </w:rPr>
      </w:pPr>
      <w:r>
        <w:rPr>
          <w:color w:val="000000"/>
          <w:sz w:val="24"/>
        </w:rPr>
        <w:t>八、政府性基金预算支出决算情况说明</w:t>
      </w:r>
    </w:p>
    <w:p w14:paraId="5E1D3800">
      <w:pPr>
        <w:pStyle w:val="12"/>
        <w:snapToGrid w:val="0"/>
        <w:spacing w:line="440" w:lineRule="exact"/>
        <w:jc w:val="left"/>
        <w:rPr>
          <w:color w:val="000000"/>
          <w:sz w:val="24"/>
          <w:highlight w:val="none"/>
        </w:rPr>
      </w:pPr>
      <w:r>
        <w:rPr>
          <w:color w:val="000000"/>
          <w:sz w:val="24"/>
        </w:rPr>
        <w:t>九、国有资本经营预算支出决算情况说明</w:t>
      </w:r>
    </w:p>
    <w:p w14:paraId="60A4CD70">
      <w:pPr>
        <w:pStyle w:val="12"/>
        <w:snapToGrid w:val="0"/>
        <w:spacing w:line="440" w:lineRule="exact"/>
        <w:jc w:val="left"/>
        <w:rPr>
          <w:color w:val="000000"/>
          <w:sz w:val="24"/>
          <w:highlight w:val="none"/>
          <w:lang w:eastAsia="zh-CN"/>
        </w:rPr>
      </w:pPr>
      <w:r>
        <w:rPr>
          <w:color w:val="000000"/>
          <w:sz w:val="24"/>
        </w:rPr>
        <w:t>十、其他重要事项的情况说明</w:t>
      </w:r>
    </w:p>
    <w:p w14:paraId="5D62F85E">
      <w:pPr>
        <w:pStyle w:val="9"/>
        <w:snapToGrid w:val="0"/>
        <w:spacing w:before="0" w:after="0" w:line="440" w:lineRule="exact"/>
        <w:jc w:val="left"/>
        <w:rPr>
          <w:rFonts w:cs="Times New Roman"/>
          <w:color w:val="000000"/>
          <w:sz w:val="24"/>
          <w:szCs w:val="24"/>
          <w:highlight w:val="none"/>
        </w:rPr>
      </w:pPr>
      <w:r>
        <w:rPr>
          <w:color w:val="000000"/>
          <w:sz w:val="24"/>
        </w:rPr>
        <w:t>第三部分 名词解释</w:t>
      </w:r>
    </w:p>
    <w:p w14:paraId="457EBCDF">
      <w:pPr>
        <w:pStyle w:val="9"/>
        <w:snapToGrid w:val="0"/>
        <w:spacing w:before="0" w:after="0" w:line="440" w:lineRule="exact"/>
        <w:jc w:val="left"/>
        <w:rPr>
          <w:rFonts w:cs="Times New Roman"/>
          <w:color w:val="000000"/>
          <w:sz w:val="24"/>
          <w:szCs w:val="24"/>
          <w:highlight w:val="none"/>
        </w:rPr>
      </w:pPr>
      <w:r>
        <w:rPr>
          <w:color w:val="000000"/>
          <w:sz w:val="24"/>
        </w:rPr>
        <w:t>第四部分 附件</w:t>
      </w:r>
    </w:p>
    <w:p w14:paraId="179BC97F">
      <w:pPr>
        <w:pStyle w:val="9"/>
        <w:snapToGrid w:val="0"/>
        <w:spacing w:before="0" w:after="0" w:line="440" w:lineRule="exact"/>
        <w:jc w:val="left"/>
        <w:rPr>
          <w:rFonts w:cs="Times New Roman"/>
          <w:color w:val="000000"/>
          <w:sz w:val="24"/>
          <w:szCs w:val="24"/>
          <w:highlight w:val="none"/>
        </w:rPr>
      </w:pPr>
      <w:r>
        <w:rPr>
          <w:color w:val="000000"/>
          <w:sz w:val="24"/>
        </w:rPr>
        <w:t>第五部分 附表</w:t>
      </w:r>
    </w:p>
    <w:p w14:paraId="436ADDDF">
      <w:pPr>
        <w:pStyle w:val="12"/>
        <w:snapToGrid w:val="0"/>
        <w:spacing w:line="440" w:lineRule="exact"/>
        <w:jc w:val="left"/>
        <w:rPr>
          <w:color w:val="000000"/>
          <w:sz w:val="24"/>
          <w:highlight w:val="none"/>
        </w:rPr>
      </w:pPr>
      <w:r>
        <w:rPr>
          <w:color w:val="000000"/>
          <w:sz w:val="24"/>
        </w:rPr>
        <w:t>一、收入支出决算总表</w:t>
      </w:r>
    </w:p>
    <w:p w14:paraId="1AB6768B">
      <w:pPr>
        <w:pStyle w:val="12"/>
        <w:snapToGrid w:val="0"/>
        <w:spacing w:line="440" w:lineRule="exact"/>
        <w:jc w:val="left"/>
        <w:rPr>
          <w:color w:val="000000"/>
          <w:sz w:val="24"/>
          <w:highlight w:val="none"/>
        </w:rPr>
      </w:pPr>
      <w:r>
        <w:rPr>
          <w:color w:val="000000"/>
          <w:sz w:val="24"/>
        </w:rPr>
        <w:t>二、收入决算表</w:t>
      </w:r>
    </w:p>
    <w:p w14:paraId="63EF2FBF">
      <w:pPr>
        <w:pStyle w:val="12"/>
        <w:snapToGrid w:val="0"/>
        <w:spacing w:line="440" w:lineRule="exact"/>
        <w:jc w:val="left"/>
        <w:rPr>
          <w:color w:val="000000"/>
          <w:sz w:val="24"/>
          <w:highlight w:val="none"/>
        </w:rPr>
      </w:pPr>
      <w:r>
        <w:rPr>
          <w:color w:val="000000"/>
          <w:sz w:val="24"/>
        </w:rPr>
        <w:t>三、支出决算表</w:t>
      </w:r>
    </w:p>
    <w:p w14:paraId="6810627F">
      <w:pPr>
        <w:pStyle w:val="12"/>
        <w:snapToGrid w:val="0"/>
        <w:spacing w:line="440" w:lineRule="exact"/>
        <w:jc w:val="left"/>
        <w:rPr>
          <w:color w:val="000000"/>
          <w:sz w:val="24"/>
          <w:highlight w:val="none"/>
        </w:rPr>
      </w:pPr>
      <w:r>
        <w:rPr>
          <w:color w:val="000000"/>
          <w:sz w:val="24"/>
        </w:rPr>
        <w:t>四、财政拨款收入支出决算总表</w:t>
      </w:r>
    </w:p>
    <w:p w14:paraId="47FEFA3A">
      <w:pPr>
        <w:pStyle w:val="12"/>
        <w:snapToGrid w:val="0"/>
        <w:spacing w:line="440" w:lineRule="exact"/>
        <w:jc w:val="left"/>
        <w:rPr>
          <w:color w:val="000000"/>
          <w:sz w:val="24"/>
          <w:highlight w:val="none"/>
        </w:rPr>
      </w:pPr>
      <w:r>
        <w:rPr>
          <w:color w:val="000000"/>
          <w:sz w:val="24"/>
        </w:rPr>
        <w:t>五、财政拨款支出决算明细表</w:t>
      </w:r>
    </w:p>
    <w:p w14:paraId="7F9EB04C">
      <w:pPr>
        <w:pStyle w:val="12"/>
        <w:snapToGrid w:val="0"/>
        <w:spacing w:line="440" w:lineRule="exact"/>
        <w:jc w:val="left"/>
        <w:rPr>
          <w:color w:val="000000"/>
          <w:sz w:val="24"/>
          <w:highlight w:val="none"/>
        </w:rPr>
      </w:pPr>
      <w:r>
        <w:rPr>
          <w:color w:val="000000"/>
          <w:sz w:val="24"/>
        </w:rPr>
        <w:t>六、一般公共预算财政拨款支出决算表</w:t>
      </w:r>
    </w:p>
    <w:p w14:paraId="657E5A68">
      <w:pPr>
        <w:pStyle w:val="12"/>
        <w:snapToGrid w:val="0"/>
        <w:spacing w:line="440" w:lineRule="exact"/>
        <w:jc w:val="left"/>
        <w:rPr>
          <w:color w:val="000000"/>
          <w:sz w:val="24"/>
          <w:highlight w:val="none"/>
        </w:rPr>
      </w:pPr>
      <w:r>
        <w:rPr>
          <w:color w:val="000000"/>
          <w:sz w:val="24"/>
        </w:rPr>
        <w:t>七、一般公共预算财政拨款支出决算明细表</w:t>
      </w:r>
    </w:p>
    <w:p w14:paraId="72F4AAD0">
      <w:pPr>
        <w:pStyle w:val="12"/>
        <w:snapToGrid w:val="0"/>
        <w:spacing w:line="440" w:lineRule="exact"/>
        <w:jc w:val="left"/>
        <w:rPr>
          <w:color w:val="000000"/>
          <w:sz w:val="24"/>
          <w:highlight w:val="none"/>
        </w:rPr>
      </w:pPr>
      <w:r>
        <w:rPr>
          <w:color w:val="000000"/>
          <w:sz w:val="24"/>
        </w:rPr>
        <w:t>八、一般公共预算财政拨款基本支出决算</w:t>
      </w:r>
      <w:r>
        <w:rPr>
          <w:color w:val="000000"/>
          <w:sz w:val="24"/>
          <w:lang w:eastAsia="zh-CN"/>
        </w:rPr>
        <w:t>明细</w:t>
      </w:r>
      <w:r>
        <w:rPr>
          <w:color w:val="000000"/>
          <w:sz w:val="24"/>
        </w:rPr>
        <w:t>表</w:t>
      </w:r>
    </w:p>
    <w:p w14:paraId="3D4CD9EE">
      <w:pPr>
        <w:pStyle w:val="12"/>
        <w:snapToGrid w:val="0"/>
        <w:spacing w:line="440" w:lineRule="exact"/>
        <w:jc w:val="left"/>
        <w:rPr>
          <w:color w:val="000000"/>
          <w:sz w:val="24"/>
          <w:highlight w:val="none"/>
        </w:rPr>
      </w:pPr>
      <w:r>
        <w:rPr>
          <w:color w:val="000000"/>
          <w:sz w:val="24"/>
        </w:rPr>
        <w:t>九、一般公共预算财政拨款项目支出决算表</w:t>
      </w:r>
    </w:p>
    <w:p w14:paraId="33CDBC3D">
      <w:pPr>
        <w:pStyle w:val="12"/>
        <w:snapToGrid w:val="0"/>
        <w:spacing w:line="440" w:lineRule="exact"/>
        <w:jc w:val="left"/>
        <w:rPr>
          <w:color w:val="000000"/>
          <w:sz w:val="24"/>
          <w:highlight w:val="none"/>
        </w:rPr>
      </w:pPr>
      <w:r>
        <w:rPr>
          <w:color w:val="000000"/>
          <w:sz w:val="24"/>
        </w:rPr>
        <w:t>十、政府性基金预算财政拨款收入支出决算表</w:t>
      </w:r>
    </w:p>
    <w:p w14:paraId="064C5A69">
      <w:pPr>
        <w:pStyle w:val="12"/>
        <w:snapToGrid w:val="0"/>
        <w:spacing w:line="440" w:lineRule="exact"/>
        <w:jc w:val="left"/>
        <w:rPr>
          <w:color w:val="000000"/>
          <w:sz w:val="24"/>
          <w:highlight w:val="none"/>
        </w:rPr>
      </w:pPr>
      <w:r>
        <w:rPr>
          <w:color w:val="000000"/>
          <w:sz w:val="24"/>
        </w:rPr>
        <w:t>十一、国有资本经营预算财政拨款收入支出决算表</w:t>
      </w:r>
    </w:p>
    <w:p w14:paraId="472F0300">
      <w:pPr>
        <w:pStyle w:val="12"/>
        <w:snapToGrid w:val="0"/>
        <w:spacing w:line="440" w:lineRule="exact"/>
        <w:jc w:val="left"/>
        <w:rPr>
          <w:color w:val="000000"/>
          <w:sz w:val="24"/>
          <w:highlight w:val="none"/>
        </w:rPr>
      </w:pPr>
      <w:r>
        <w:rPr>
          <w:color w:val="000000"/>
          <w:sz w:val="24"/>
        </w:rPr>
        <w:t>十二、</w:t>
      </w:r>
      <w:r>
        <w:rPr>
          <w:color w:val="000000"/>
          <w:sz w:val="24"/>
          <w:lang w:val="en-US" w:eastAsia="zh-CN"/>
        </w:rPr>
        <w:t>国有资本经营预算财政拨款支出决算表</w:t>
      </w:r>
    </w:p>
    <w:p w14:paraId="6FC0FEEC">
      <w:pPr>
        <w:pStyle w:val="12"/>
        <w:snapToGrid w:val="0"/>
        <w:spacing w:line="440" w:lineRule="exact"/>
        <w:jc w:val="left"/>
        <w:rPr>
          <w:color w:val="000000"/>
          <w:sz w:val="24"/>
          <w:highlight w:val="none"/>
        </w:rPr>
      </w:pPr>
      <w:r>
        <w:rPr>
          <w:color w:val="000000"/>
          <w:sz w:val="24"/>
        </w:rPr>
        <w:t>十三、财政拨款“三公”经费支出决算表</w:t>
      </w:r>
    </w:p>
    <w:p w14:paraId="06F9DD4B">
      <w:pPr>
        <w:widowControl/>
        <w:snapToGrid w:val="0"/>
        <w:spacing w:line="440" w:lineRule="exact"/>
        <w:ind w:firstLine="1320"/>
        <w:jc w:val="left"/>
        <w:rPr>
          <w:rFonts w:ascii="仿宋" w:hAnsi="仿宋" w:eastAsia="仿宋" w:cs="仿宋"/>
          <w:color w:val="000000"/>
          <w:sz w:val="24"/>
          <w:highlight w:val="none"/>
        </w:rPr>
      </w:pPr>
      <w:r>
        <w:rPr>
          <w:rFonts w:ascii="仿宋" w:hAnsi="仿宋" w:eastAsia="仿宋" w:cs="仿宋"/>
          <w:color w:val="000000"/>
          <w:sz w:val="24"/>
          <w:lang w:eastAsia="zh-CN"/>
        </w:rPr>
        <w:t>（</w:t>
      </w:r>
      <w:r>
        <w:rPr>
          <w:rFonts w:ascii="仿宋" w:hAnsi="仿宋" w:eastAsia="仿宋" w:cs="仿宋"/>
          <w:color w:val="000000"/>
          <w:sz w:val="24"/>
        </w:rPr>
        <w:t>注：请</w:t>
      </w:r>
      <w:r>
        <w:rPr>
          <w:rFonts w:ascii="仿宋" w:hAnsi="仿宋" w:eastAsia="仿宋" w:cs="仿宋"/>
          <w:color w:val="000000"/>
          <w:sz w:val="24"/>
          <w:lang w:eastAsia="zh-CN"/>
        </w:rPr>
        <w:t>单位</w:t>
      </w:r>
      <w:r>
        <w:rPr>
          <w:rFonts w:ascii="仿宋" w:hAnsi="仿宋" w:eastAsia="仿宋" w:cs="仿宋"/>
          <w:color w:val="000000"/>
          <w:sz w:val="24"/>
        </w:rPr>
        <w:t>根据实际注明页码</w:t>
      </w:r>
      <w:r>
        <w:rPr>
          <w:rFonts w:ascii="仿宋" w:hAnsi="仿宋" w:eastAsia="仿宋" w:cs="仿宋"/>
          <w:color w:val="000000"/>
          <w:sz w:val="24"/>
          <w:lang w:eastAsia="zh-CN"/>
        </w:rPr>
        <w:t>）</w:t>
      </w:r>
      <w:r>
        <w:br w:type="page"/>
      </w:r>
    </w:p>
    <w:p w14:paraId="7D1E8EDF">
      <w:pPr>
        <w:widowControl/>
        <w:spacing w:line="440" w:lineRule="exact"/>
        <w:jc w:val="left"/>
        <w:rPr>
          <w:rFonts w:ascii="仿宋" w:hAnsi="仿宋" w:eastAsia="仿宋" w:cs="仿宋"/>
          <w:b/>
          <w:bCs/>
          <w:color w:val="000000"/>
          <w:kern w:val="2"/>
          <w:sz w:val="24"/>
          <w:highlight w:val="none"/>
        </w:rPr>
      </w:pPr>
    </w:p>
    <w:p w14:paraId="11C596B6">
      <w:pPr>
        <w:pStyle w:val="3"/>
        <w:jc w:val="center"/>
        <w:rPr>
          <w:rStyle w:val="20"/>
          <w:rFonts w:ascii="黑体" w:hAnsi="黑体" w:eastAsia="黑体" w:cs="黑体"/>
          <w:b/>
          <w:bCs w:val="0"/>
          <w:color w:val="000000"/>
          <w:highlight w:val="none"/>
        </w:rPr>
      </w:pPr>
      <w:r>
        <w:rPr>
          <w:rFonts w:ascii="黑体" w:hAnsi="黑体" w:eastAsia="黑体" w:cs="黑体"/>
          <w:b w:val="0"/>
          <w:color w:val="000000"/>
        </w:rPr>
        <w:t xml:space="preserve">第一部分 </w:t>
      </w:r>
      <w:r>
        <w:rPr>
          <w:rFonts w:ascii="黑体" w:hAnsi="黑体" w:eastAsia="黑体" w:cs="黑体"/>
          <w:b w:val="0"/>
          <w:color w:val="000000"/>
          <w:lang w:eastAsia="zh-CN"/>
        </w:rPr>
        <w:t>单位</w:t>
      </w:r>
      <w:r>
        <w:rPr>
          <w:rStyle w:val="20"/>
          <w:rFonts w:ascii="黑体" w:hAnsi="黑体" w:eastAsia="黑体" w:cs="黑体"/>
          <w:b w:val="0"/>
          <w:bCs w:val="0"/>
          <w:color w:val="000000"/>
        </w:rPr>
        <w:t>概况</w:t>
      </w:r>
    </w:p>
    <w:p w14:paraId="6C34126C">
      <w:pPr>
        <w:widowControl/>
        <w:jc w:val="left"/>
        <w:rPr>
          <w:rStyle w:val="20"/>
          <w:rFonts w:ascii="黑体" w:hAnsi="黑体" w:eastAsia="黑体" w:cs="黑体"/>
          <w:b/>
          <w:bCs w:val="0"/>
          <w:color w:val="000000"/>
          <w:sz w:val="32"/>
          <w:szCs w:val="32"/>
          <w:highlight w:val="none"/>
        </w:rPr>
      </w:pPr>
    </w:p>
    <w:p w14:paraId="1C5D7390">
      <w:pPr>
        <w:pStyle w:val="4"/>
        <w:numPr>
          <w:ilvl w:val="0"/>
          <w:numId w:val="2"/>
        </w:numPr>
        <w:rPr>
          <w:rStyle w:val="19"/>
          <w:rFonts w:ascii="黑体" w:hAnsi="黑体" w:eastAsia="黑体" w:cs="黑体"/>
          <w:b w:val="0"/>
          <w:bCs w:val="0"/>
          <w:color w:val="000000"/>
          <w:highlight w:val="none"/>
          <w:lang w:eastAsia="zh-CN"/>
        </w:rPr>
      </w:pPr>
      <w:r>
        <w:rPr>
          <w:rStyle w:val="19"/>
          <w:rFonts w:ascii="黑体" w:hAnsi="黑体" w:eastAsia="黑体" w:cs="黑体"/>
          <w:b w:val="0"/>
          <w:bCs w:val="0"/>
          <w:color w:val="000000"/>
          <w:lang w:eastAsia="zh-CN"/>
        </w:rPr>
        <w:t>主要职责</w:t>
      </w:r>
    </w:p>
    <w:p w14:paraId="4F9185AC">
      <w:pPr>
        <w:pStyle w:val="7"/>
        <w:keepNext w:val="0"/>
        <w:keepLines w:val="0"/>
        <w:pageBreakBefore w:val="0"/>
        <w:kinsoku/>
        <w:overflowPunct/>
        <w:autoSpaceDE/>
        <w:bidi w:val="0"/>
        <w:spacing w:line="576" w:lineRule="exact"/>
        <w:jc w:val="left"/>
        <w:textAlignment w:val="auto"/>
        <w:rPr>
          <w:rFonts w:ascii="方正仿宋" w:hAnsi="方正仿宋" w:eastAsia="方正仿宋" w:cs="方正仿宋"/>
          <w:kern w:val="0"/>
          <w:sz w:val="32"/>
          <w:szCs w:val="32"/>
          <w:shd w:val="clear" w:fill="FFFFFF"/>
          <w:lang w:val="en-US" w:eastAsia="zh-CN" w:bidi="ar"/>
        </w:rPr>
      </w:pPr>
      <w:r>
        <w:rPr>
          <w:rFonts w:hint="eastAsia" w:ascii="方正仿宋" w:hAnsi="方正仿宋" w:eastAsia="方正仿宋" w:cs="方正仿宋"/>
          <w:kern w:val="0"/>
          <w:sz w:val="32"/>
          <w:szCs w:val="32"/>
          <w:shd w:val="clear" w:fill="FFFFFF"/>
          <w:lang w:val="en-US" w:eastAsia="zh-CN" w:bidi="ar"/>
        </w:rPr>
        <w:t>1.</w:t>
      </w:r>
      <w:r>
        <w:rPr>
          <w:rFonts w:ascii="方正仿宋" w:hAnsi="方正仿宋" w:eastAsia="方正仿宋" w:cs="方正仿宋"/>
          <w:kern w:val="0"/>
          <w:sz w:val="32"/>
          <w:szCs w:val="32"/>
          <w:shd w:val="clear" w:fill="FFFFFF"/>
          <w:lang w:val="en-US" w:eastAsia="zh-CN" w:bidi="ar"/>
        </w:rPr>
        <w:t>贯彻落实党和政府各项路线方针政策、法规规章和上级机关的决定和命令，加强农村党组织建设和基层政权建设，巩固党在农村的执政基础；</w:t>
      </w:r>
    </w:p>
    <w:p w14:paraId="4B66B5FF">
      <w:pPr>
        <w:pStyle w:val="7"/>
        <w:keepNext w:val="0"/>
        <w:keepLines w:val="0"/>
        <w:pageBreakBefore w:val="0"/>
        <w:kinsoku/>
        <w:overflowPunct/>
        <w:autoSpaceDE/>
        <w:bidi w:val="0"/>
        <w:spacing w:line="576" w:lineRule="exact"/>
        <w:jc w:val="left"/>
        <w:textAlignment w:val="auto"/>
        <w:rPr>
          <w:rFonts w:ascii="方正仿宋" w:hAnsi="方正仿宋" w:eastAsia="方正仿宋" w:cs="方正仿宋"/>
          <w:kern w:val="0"/>
          <w:sz w:val="32"/>
          <w:szCs w:val="32"/>
          <w:shd w:val="clear" w:fill="FFFFFF"/>
          <w:lang w:val="en-US" w:eastAsia="zh-CN" w:bidi="ar"/>
        </w:rPr>
      </w:pPr>
      <w:r>
        <w:rPr>
          <w:rFonts w:hint="eastAsia" w:ascii="方正仿宋" w:hAnsi="方正仿宋" w:eastAsia="方正仿宋" w:cs="方正仿宋"/>
          <w:kern w:val="0"/>
          <w:sz w:val="32"/>
          <w:szCs w:val="32"/>
          <w:shd w:val="clear" w:fill="FFFFFF"/>
          <w:lang w:val="en-US" w:eastAsia="zh-CN" w:bidi="ar"/>
        </w:rPr>
        <w:t>2.</w:t>
      </w:r>
      <w:r>
        <w:rPr>
          <w:rFonts w:ascii="方正仿宋" w:hAnsi="方正仿宋" w:eastAsia="方正仿宋" w:cs="方正仿宋"/>
          <w:kern w:val="0"/>
          <w:sz w:val="32"/>
          <w:szCs w:val="32"/>
          <w:shd w:val="clear" w:fill="FFFFFF"/>
          <w:lang w:val="en-US" w:eastAsia="zh-CN" w:bidi="ar"/>
        </w:rPr>
        <w:t>负责拟订本行政区域经济社会发展和镇村建设等规划，组织农村基础设施和各项公益事业建设，加快经济社会发展，改善群众生活环境；</w:t>
      </w:r>
    </w:p>
    <w:p w14:paraId="4991E07E">
      <w:pPr>
        <w:pStyle w:val="7"/>
        <w:keepNext w:val="0"/>
        <w:keepLines w:val="0"/>
        <w:pageBreakBefore w:val="0"/>
        <w:kinsoku/>
        <w:overflowPunct/>
        <w:autoSpaceDE/>
        <w:bidi w:val="0"/>
        <w:spacing w:line="576" w:lineRule="exact"/>
        <w:jc w:val="left"/>
        <w:textAlignment w:val="auto"/>
        <w:rPr>
          <w:rFonts w:ascii="方正仿宋" w:hAnsi="方正仿宋" w:eastAsia="方正仿宋" w:cs="方正仿宋"/>
          <w:kern w:val="0"/>
          <w:sz w:val="32"/>
          <w:szCs w:val="32"/>
          <w:shd w:val="clear" w:fill="FFFFFF"/>
          <w:lang w:val="en-US" w:eastAsia="zh-CN" w:bidi="ar"/>
        </w:rPr>
      </w:pPr>
      <w:r>
        <w:rPr>
          <w:rFonts w:hint="eastAsia" w:ascii="方正仿宋" w:hAnsi="方正仿宋" w:eastAsia="方正仿宋" w:cs="方正仿宋"/>
          <w:kern w:val="0"/>
          <w:sz w:val="32"/>
          <w:szCs w:val="32"/>
          <w:shd w:val="clear" w:fill="FFFFFF"/>
          <w:lang w:val="en-US" w:eastAsia="zh-CN" w:bidi="ar"/>
        </w:rPr>
        <w:t>3.</w:t>
      </w:r>
      <w:r>
        <w:rPr>
          <w:rFonts w:ascii="方正仿宋" w:hAnsi="方正仿宋" w:eastAsia="方正仿宋" w:cs="方正仿宋"/>
          <w:kern w:val="0"/>
          <w:sz w:val="32"/>
          <w:szCs w:val="32"/>
          <w:shd w:val="clear" w:fill="FFFFFF"/>
          <w:lang w:val="en-US" w:eastAsia="zh-CN" w:bidi="ar"/>
        </w:rPr>
        <w:t>指导农村经济发展，推进农业结构调整，促进经济增长方式转变，组织引导农村富余劳动力转移就业，促进农民增收；</w:t>
      </w:r>
    </w:p>
    <w:p w14:paraId="2E215DAD">
      <w:pPr>
        <w:pStyle w:val="7"/>
        <w:keepNext w:val="0"/>
        <w:keepLines w:val="0"/>
        <w:pageBreakBefore w:val="0"/>
        <w:kinsoku/>
        <w:overflowPunct/>
        <w:autoSpaceDE/>
        <w:bidi w:val="0"/>
        <w:spacing w:line="576" w:lineRule="exact"/>
        <w:jc w:val="left"/>
        <w:textAlignment w:val="auto"/>
        <w:rPr>
          <w:rFonts w:ascii="方正仿宋" w:hAnsi="方正仿宋" w:eastAsia="方正仿宋" w:cs="方正仿宋"/>
          <w:kern w:val="0"/>
          <w:sz w:val="32"/>
          <w:szCs w:val="32"/>
          <w:shd w:val="clear" w:fill="FFFFFF"/>
          <w:lang w:val="en-US" w:eastAsia="zh-CN" w:bidi="ar"/>
        </w:rPr>
      </w:pPr>
      <w:r>
        <w:rPr>
          <w:rFonts w:hint="eastAsia" w:ascii="方正仿宋" w:hAnsi="方正仿宋" w:eastAsia="方正仿宋" w:cs="方正仿宋"/>
          <w:kern w:val="0"/>
          <w:sz w:val="32"/>
          <w:szCs w:val="32"/>
          <w:shd w:val="clear" w:fill="FFFFFF"/>
          <w:lang w:val="en-US" w:eastAsia="zh-CN" w:bidi="ar"/>
        </w:rPr>
        <w:t>4.</w:t>
      </w:r>
      <w:r>
        <w:rPr>
          <w:rFonts w:ascii="方正仿宋" w:hAnsi="方正仿宋" w:eastAsia="方正仿宋" w:cs="方正仿宋"/>
          <w:kern w:val="0"/>
          <w:sz w:val="32"/>
          <w:szCs w:val="32"/>
          <w:shd w:val="clear" w:fill="FFFFFF"/>
          <w:lang w:val="en-US" w:eastAsia="zh-CN" w:bidi="ar"/>
        </w:rPr>
        <w:t>负责抓好义务教育、人口和计划生育、民政事务、救灾救助、就业培训、社会保障、劳动关系协调和新型合作医疗实施等工作，加强农村精神文明建设，促进农村社会事业发展；</w:t>
      </w:r>
    </w:p>
    <w:p w14:paraId="7026768B">
      <w:pPr>
        <w:pStyle w:val="7"/>
        <w:keepNext w:val="0"/>
        <w:keepLines w:val="0"/>
        <w:pageBreakBefore w:val="0"/>
        <w:kinsoku/>
        <w:overflowPunct/>
        <w:autoSpaceDE/>
        <w:bidi w:val="0"/>
        <w:spacing w:line="576" w:lineRule="exact"/>
        <w:jc w:val="left"/>
        <w:textAlignment w:val="auto"/>
        <w:rPr>
          <w:rFonts w:ascii="方正仿宋" w:hAnsi="方正仿宋" w:eastAsia="方正仿宋" w:cs="方正仿宋"/>
          <w:kern w:val="0"/>
          <w:sz w:val="32"/>
          <w:szCs w:val="32"/>
          <w:shd w:val="clear" w:fill="FFFFFF"/>
          <w:lang w:val="en-US" w:eastAsia="zh-CN" w:bidi="ar"/>
        </w:rPr>
      </w:pPr>
      <w:r>
        <w:rPr>
          <w:rFonts w:hint="eastAsia" w:ascii="方正仿宋" w:hAnsi="方正仿宋" w:eastAsia="方正仿宋" w:cs="方正仿宋"/>
          <w:kern w:val="0"/>
          <w:sz w:val="32"/>
          <w:szCs w:val="32"/>
          <w:shd w:val="clear" w:fill="FFFFFF"/>
          <w:lang w:val="en-US" w:eastAsia="zh-CN" w:bidi="ar"/>
        </w:rPr>
        <w:t>5.</w:t>
      </w:r>
      <w:r>
        <w:rPr>
          <w:rFonts w:ascii="方正仿宋" w:hAnsi="方正仿宋" w:eastAsia="方正仿宋" w:cs="方正仿宋"/>
          <w:kern w:val="0"/>
          <w:sz w:val="32"/>
          <w:szCs w:val="32"/>
          <w:shd w:val="clear" w:fill="FFFFFF"/>
          <w:lang w:val="en-US" w:eastAsia="zh-CN" w:bidi="ar"/>
        </w:rPr>
        <w:t>推进基层民主</w:t>
      </w:r>
      <w:r>
        <w:rPr>
          <w:rFonts w:hint="eastAsia" w:ascii="方正仿宋" w:hAnsi="方正仿宋" w:eastAsia="方正仿宋" w:cs="方正仿宋"/>
          <w:kern w:val="0"/>
          <w:sz w:val="32"/>
          <w:szCs w:val="32"/>
          <w:shd w:val="clear" w:fill="FFFFFF"/>
          <w:lang w:val="en-US" w:eastAsia="zh-CN" w:bidi="ar"/>
        </w:rPr>
        <w:t>法治</w:t>
      </w:r>
      <w:r>
        <w:rPr>
          <w:rFonts w:ascii="方正仿宋" w:hAnsi="方正仿宋" w:eastAsia="方正仿宋" w:cs="方正仿宋"/>
          <w:kern w:val="0"/>
          <w:sz w:val="32"/>
          <w:szCs w:val="32"/>
          <w:shd w:val="clear" w:fill="FFFFFF"/>
          <w:lang w:val="en-US" w:eastAsia="zh-CN" w:bidi="ar"/>
        </w:rPr>
        <w:t>建设，指导村（居）民委员会工作，维护群众合法权益；</w:t>
      </w:r>
    </w:p>
    <w:p w14:paraId="5E77F53B">
      <w:pPr>
        <w:pStyle w:val="7"/>
        <w:keepNext w:val="0"/>
        <w:keepLines w:val="0"/>
        <w:pageBreakBefore w:val="0"/>
        <w:kinsoku/>
        <w:overflowPunct/>
        <w:autoSpaceDE/>
        <w:bidi w:val="0"/>
        <w:spacing w:line="576" w:lineRule="exact"/>
        <w:jc w:val="left"/>
        <w:textAlignment w:val="auto"/>
        <w:rPr>
          <w:rFonts w:ascii="方正仿宋" w:hAnsi="方正仿宋" w:eastAsia="方正仿宋" w:cs="方正仿宋"/>
          <w:kern w:val="0"/>
          <w:sz w:val="32"/>
          <w:szCs w:val="32"/>
          <w:shd w:val="clear" w:fill="FFFFFF"/>
          <w:lang w:val="en-US" w:eastAsia="zh-CN" w:bidi="ar"/>
        </w:rPr>
      </w:pPr>
      <w:r>
        <w:rPr>
          <w:rFonts w:hint="eastAsia" w:ascii="方正仿宋" w:hAnsi="方正仿宋" w:eastAsia="方正仿宋" w:cs="方正仿宋"/>
          <w:kern w:val="0"/>
          <w:sz w:val="32"/>
          <w:szCs w:val="32"/>
          <w:shd w:val="clear" w:fill="FFFFFF"/>
          <w:lang w:val="en-US" w:eastAsia="zh-CN" w:bidi="ar"/>
        </w:rPr>
        <w:t>6.</w:t>
      </w:r>
      <w:r>
        <w:rPr>
          <w:rFonts w:ascii="方正仿宋" w:hAnsi="方正仿宋" w:eastAsia="方正仿宋" w:cs="方正仿宋"/>
          <w:kern w:val="0"/>
          <w:sz w:val="32"/>
          <w:szCs w:val="32"/>
          <w:shd w:val="clear" w:fill="FFFFFF"/>
          <w:lang w:val="en-US" w:eastAsia="zh-CN" w:bidi="ar"/>
        </w:rPr>
        <w:t>加强社会治安综合治理，强化信访和矛盾纠纷调解工作，化解农村矛盾，维护农村社会和谐稳定，全面推进社会主义新农村建设。</w:t>
      </w:r>
    </w:p>
    <w:p w14:paraId="5324D36C">
      <w:pPr>
        <w:pStyle w:val="7"/>
        <w:keepNext w:val="0"/>
        <w:keepLines w:val="0"/>
        <w:pageBreakBefore w:val="0"/>
        <w:kinsoku/>
        <w:overflowPunct/>
        <w:autoSpaceDE/>
        <w:bidi w:val="0"/>
        <w:spacing w:line="576" w:lineRule="exact"/>
        <w:jc w:val="left"/>
        <w:textAlignment w:val="auto"/>
        <w:rPr>
          <w:rFonts w:ascii="方正仿宋" w:hAnsi="方正仿宋" w:eastAsia="方正仿宋" w:cs="方正仿宋"/>
          <w:kern w:val="0"/>
          <w:sz w:val="32"/>
          <w:szCs w:val="32"/>
          <w:shd w:val="clear" w:fill="FFFFFF"/>
          <w:lang w:val="en-US" w:eastAsia="zh-CN" w:bidi="ar"/>
        </w:rPr>
      </w:pPr>
      <w:r>
        <w:rPr>
          <w:rFonts w:hint="eastAsia" w:ascii="方正仿宋" w:hAnsi="方正仿宋" w:eastAsia="方正仿宋" w:cs="方正仿宋"/>
          <w:kern w:val="0"/>
          <w:sz w:val="32"/>
          <w:szCs w:val="32"/>
          <w:shd w:val="clear" w:fill="FFFFFF"/>
          <w:lang w:val="en-US" w:eastAsia="zh-CN" w:bidi="ar"/>
        </w:rPr>
        <w:t>7.</w:t>
      </w:r>
      <w:r>
        <w:rPr>
          <w:rFonts w:ascii="方正仿宋" w:hAnsi="方正仿宋" w:eastAsia="方正仿宋" w:cs="方正仿宋"/>
          <w:kern w:val="0"/>
          <w:sz w:val="32"/>
          <w:szCs w:val="32"/>
          <w:shd w:val="clear" w:fill="FFFFFF"/>
          <w:lang w:val="en-US" w:eastAsia="zh-CN" w:bidi="ar"/>
        </w:rPr>
        <w:t>承办</w:t>
      </w:r>
      <w:r>
        <w:rPr>
          <w:rFonts w:hint="eastAsia" w:ascii="方正仿宋" w:hAnsi="方正仿宋" w:eastAsia="方正仿宋" w:cs="方正仿宋"/>
          <w:kern w:val="0"/>
          <w:sz w:val="32"/>
          <w:szCs w:val="32"/>
          <w:shd w:val="clear" w:fill="FFFFFF"/>
          <w:lang w:val="en-US" w:eastAsia="zh-CN" w:bidi="ar"/>
        </w:rPr>
        <w:t>县委、县政府</w:t>
      </w:r>
      <w:r>
        <w:rPr>
          <w:rFonts w:ascii="方正仿宋" w:hAnsi="方正仿宋" w:eastAsia="方正仿宋" w:cs="方正仿宋"/>
          <w:kern w:val="0"/>
          <w:sz w:val="32"/>
          <w:szCs w:val="32"/>
          <w:shd w:val="clear" w:fill="FFFFFF"/>
          <w:lang w:val="en-US" w:eastAsia="zh-CN" w:bidi="ar"/>
        </w:rPr>
        <w:t>交办的其他事项。</w:t>
      </w:r>
    </w:p>
    <w:p w14:paraId="46D72BBA">
      <w:pPr>
        <w:pStyle w:val="7"/>
        <w:keepNext w:val="0"/>
        <w:keepLines w:val="0"/>
        <w:pageBreakBefore w:val="0"/>
        <w:kinsoku/>
        <w:overflowPunct/>
        <w:autoSpaceDE/>
        <w:bidi w:val="0"/>
        <w:spacing w:line="576" w:lineRule="exact"/>
        <w:jc w:val="left"/>
        <w:textAlignment w:val="auto"/>
        <w:rPr>
          <w:shd w:val="clear" w:fill="FFFFFF"/>
        </w:rPr>
      </w:pPr>
      <w:r>
        <w:rPr>
          <w:rFonts w:ascii="方正仿宋" w:hAnsi="方正仿宋" w:eastAsia="方正仿宋" w:cs="方正仿宋"/>
          <w:kern w:val="0"/>
          <w:sz w:val="32"/>
          <w:szCs w:val="32"/>
          <w:shd w:val="clear" w:fill="FFFFFF"/>
          <w:lang w:val="en-US" w:eastAsia="zh-CN" w:bidi="ar"/>
        </w:rPr>
        <w:t>红土镇部门预算安排支出主要用于保障该部门机构正常运转、完成日常工作任务及承担相关事业发展相关工作。</w:t>
      </w:r>
    </w:p>
    <w:p w14:paraId="086849FC">
      <w:pPr>
        <w:rPr>
          <w:shd w:val="clear" w:fill="FFFFFF"/>
          <w:lang w:eastAsia="zh-CN"/>
        </w:rPr>
      </w:pPr>
    </w:p>
    <w:p w14:paraId="3C691842">
      <w:pPr>
        <w:pStyle w:val="4"/>
        <w:numPr>
          <w:ilvl w:val="0"/>
          <w:numId w:val="0"/>
        </w:numPr>
        <w:ind w:left="0" w:firstLine="0"/>
        <w:rPr>
          <w:rFonts w:ascii="黑体" w:hAnsi="黑体" w:eastAsia="黑体" w:cs="黑体"/>
          <w:b w:val="0"/>
          <w:color w:val="000000"/>
          <w:highlight w:val="none"/>
          <w:lang w:val="en-US" w:eastAsia="zh-CN"/>
        </w:rPr>
      </w:pPr>
      <w:r>
        <w:rPr>
          <w:rFonts w:ascii="黑体" w:hAnsi="黑体" w:eastAsia="黑体" w:cs="黑体"/>
          <w:b w:val="0"/>
          <w:color w:val="000000"/>
          <w:lang w:val="en-US" w:eastAsia="zh-CN"/>
        </w:rPr>
        <w:t>二、机构设置</w:t>
      </w:r>
    </w:p>
    <w:p w14:paraId="0EB728AE">
      <w:pPr>
        <w:pStyle w:val="7"/>
        <w:keepNext w:val="0"/>
        <w:keepLines w:val="0"/>
        <w:pageBreakBefore w:val="0"/>
        <w:kinsoku/>
        <w:overflowPunct/>
        <w:autoSpaceDE/>
        <w:bidi w:val="0"/>
        <w:spacing w:line="576" w:lineRule="exact"/>
        <w:jc w:val="left"/>
        <w:textAlignment w:val="auto"/>
        <w:rPr>
          <w:rFonts w:ascii="方正仿宋" w:hAnsi="方正仿宋" w:eastAsia="方正仿宋" w:cs="方正仿宋"/>
          <w:kern w:val="0"/>
          <w:sz w:val="32"/>
          <w:szCs w:val="32"/>
          <w:shd w:val="clear" w:fill="FFFFFF"/>
          <w:lang w:val="en-US" w:eastAsia="zh-CN" w:bidi="ar"/>
        </w:rPr>
      </w:pPr>
      <w:r>
        <w:rPr>
          <w:rFonts w:ascii="方正仿宋" w:hAnsi="方正仿宋" w:eastAsia="方正仿宋" w:cs="方正仿宋"/>
          <w:kern w:val="0"/>
          <w:sz w:val="32"/>
          <w:szCs w:val="32"/>
          <w:shd w:val="clear" w:fill="FFFFFF"/>
          <w:lang w:val="en-US" w:eastAsia="zh-CN" w:bidi="ar"/>
        </w:rPr>
        <w:t>  根据上述职责，松潘县红土镇设5个内设机构：</w:t>
      </w:r>
    </w:p>
    <w:p w14:paraId="76B4BDCA">
      <w:pPr>
        <w:keepNext w:val="0"/>
        <w:keepLines w:val="0"/>
        <w:pageBreakBefore w:val="0"/>
        <w:kinsoku/>
        <w:overflowPunct/>
        <w:autoSpaceDE/>
        <w:bidi w:val="0"/>
        <w:spacing w:line="576" w:lineRule="exact"/>
        <w:ind w:firstLine="640"/>
        <w:jc w:val="both"/>
        <w:textAlignment w:val="auto"/>
        <w:rPr>
          <w:rFonts w:ascii="方正仿宋" w:hAnsi="方正仿宋" w:eastAsia="方正仿宋" w:cs="方正仿宋"/>
          <w:kern w:val="0"/>
          <w:sz w:val="32"/>
          <w:szCs w:val="32"/>
          <w:shd w:val="clear" w:fill="FFFFFF"/>
          <w:lang w:val="en-US" w:eastAsia="zh-CN" w:bidi="ar"/>
        </w:rPr>
      </w:pPr>
      <w:r>
        <w:rPr>
          <w:rFonts w:ascii="方正仿宋" w:hAnsi="方正仿宋" w:eastAsia="方正仿宋" w:cs="方正仿宋"/>
          <w:kern w:val="0"/>
          <w:sz w:val="32"/>
          <w:szCs w:val="32"/>
          <w:shd w:val="clear" w:fill="FFFFFF"/>
          <w:lang w:val="en-US" w:eastAsia="zh-CN" w:bidi="ar"/>
        </w:rPr>
        <w:t>办公室：贯彻执行党和国家的有关方针、政策、法律和法规；执行上级政府的决定和命令；拟订适合本实际的政府措施，并有效地组织实施。负责组织编制本镇建设的总体规划。编制本镇财政预决算计划，负责经费的划拨和核算工作。</w:t>
      </w:r>
    </w:p>
    <w:p w14:paraId="3FFA3105">
      <w:pPr>
        <w:spacing w:before="0" w:after="0" w:line="580" w:lineRule="exact"/>
        <w:ind w:firstLine="640"/>
        <w:rPr>
          <w:rFonts w:ascii="方正仿宋" w:hAnsi="方正仿宋" w:eastAsia="方正仿宋" w:cs="方正仿宋"/>
          <w:kern w:val="0"/>
          <w:sz w:val="32"/>
          <w:szCs w:val="32"/>
          <w:shd w:val="clear" w:fill="FFFFFF"/>
          <w:lang w:val="en-US" w:eastAsia="zh-CN" w:bidi="ar"/>
        </w:rPr>
      </w:pPr>
      <w:r>
        <w:rPr>
          <w:rFonts w:ascii="方正仿宋" w:hAnsi="方正仿宋" w:eastAsia="方正仿宋" w:cs="方正仿宋"/>
          <w:kern w:val="0"/>
          <w:sz w:val="32"/>
          <w:szCs w:val="32"/>
          <w:shd w:val="clear" w:fill="FFFFFF"/>
          <w:lang w:val="en-US" w:eastAsia="zh-CN" w:bidi="ar"/>
        </w:rPr>
        <w:t>财务室：落实兑现各级惠农补助资金，对农民负担和农村政策实施监管；围绕镇政府财源建设搞好服务；农村财务管理指导、监督和审计，依法代理村级财务，财政项目资金管理和镇政府机关财务代理；镇公有资产管理利用及村级集体资产监督管理；财政预算编制、执行及管理。</w:t>
      </w:r>
    </w:p>
    <w:p w14:paraId="051B6316">
      <w:pPr>
        <w:spacing w:before="0" w:after="0" w:line="580" w:lineRule="exact"/>
        <w:ind w:firstLine="640"/>
        <w:rPr>
          <w:rFonts w:ascii="方正仿宋" w:hAnsi="方正仿宋" w:eastAsia="方正仿宋" w:cs="方正仿宋"/>
          <w:kern w:val="0"/>
          <w:sz w:val="32"/>
          <w:szCs w:val="32"/>
          <w:shd w:val="clear" w:fill="FFFFFF"/>
          <w:lang w:val="en-US" w:eastAsia="zh-CN" w:bidi="ar"/>
        </w:rPr>
      </w:pPr>
      <w:r>
        <w:rPr>
          <w:rFonts w:ascii="方正仿宋" w:hAnsi="方正仿宋" w:eastAsia="方正仿宋" w:cs="方正仿宋"/>
          <w:kern w:val="0"/>
          <w:sz w:val="32"/>
          <w:szCs w:val="32"/>
          <w:shd w:val="clear" w:fill="FFFFFF"/>
          <w:lang w:val="en-US" w:eastAsia="zh-CN" w:bidi="ar"/>
        </w:rPr>
        <w:t>综合文化服务中心：具体负责文化中心日常开放运行工作，做好接待群众、设备调试维护、图书登记整理、环境卫生、值班安全等日常事务；积极开展群众性文化活动，抓好活动组织工作；具体指导和督促各村委、居委的文化室、图书室、“农家书屋”、健身场所等村级文化建设和文体活动。</w:t>
      </w:r>
    </w:p>
    <w:p w14:paraId="42AEEFB7">
      <w:pPr>
        <w:spacing w:before="0" w:after="0" w:line="580" w:lineRule="exact"/>
        <w:ind w:firstLine="640"/>
        <w:rPr>
          <w:rFonts w:ascii="方正仿宋" w:hAnsi="方正仿宋" w:eastAsia="方正仿宋" w:cs="方正仿宋"/>
          <w:kern w:val="0"/>
          <w:sz w:val="32"/>
          <w:szCs w:val="32"/>
          <w:shd w:val="clear" w:fill="FFFFFF"/>
          <w:lang w:val="en-US" w:eastAsia="zh-CN" w:bidi="ar"/>
        </w:rPr>
      </w:pPr>
      <w:r>
        <w:rPr>
          <w:rFonts w:ascii="方正仿宋" w:hAnsi="方正仿宋" w:eastAsia="方正仿宋" w:cs="方正仿宋"/>
          <w:kern w:val="0"/>
          <w:sz w:val="32"/>
          <w:szCs w:val="32"/>
          <w:shd w:val="clear" w:fill="FFFFFF"/>
          <w:lang w:val="en-US" w:eastAsia="zh-CN" w:bidi="ar"/>
        </w:rPr>
        <w:t>经济发展服务中心：制定全镇经济发展规划和年度工作目标，负责镇属企业、个体、私营企业的规划管理、指导服务工作；做好项目筛选、储备、管理、申报等相关工作；负责做好编制年度财政资金预算，以及管理镇国有资产、集体资产等工作；协调与本镇经济发展相关的其他工作。</w:t>
      </w:r>
    </w:p>
    <w:p w14:paraId="26F35E52">
      <w:pPr>
        <w:spacing w:before="0" w:after="0" w:line="580" w:lineRule="exact"/>
        <w:ind w:firstLine="640"/>
        <w:rPr>
          <w:rFonts w:ascii="方正仿宋" w:hAnsi="方正仿宋" w:eastAsia="方正仿宋" w:cs="方正仿宋"/>
          <w:kern w:val="0"/>
          <w:sz w:val="32"/>
          <w:szCs w:val="32"/>
          <w:shd w:val="clear" w:fill="FFFFFF"/>
          <w:lang w:val="en-US" w:eastAsia="zh-CN" w:bidi="ar"/>
        </w:rPr>
      </w:pPr>
      <w:r>
        <w:rPr>
          <w:rFonts w:ascii="方正仿宋" w:hAnsi="方正仿宋" w:eastAsia="方正仿宋" w:cs="方正仿宋"/>
          <w:kern w:val="0"/>
          <w:sz w:val="32"/>
          <w:szCs w:val="32"/>
          <w:shd w:val="clear" w:fill="FFFFFF"/>
          <w:lang w:val="en-US" w:eastAsia="zh-CN" w:bidi="ar"/>
        </w:rPr>
        <w:t>社会事业服务中心：1、审核上报就业、失业登记资料，开展登记失业人员日常管理工作。收集发布就业信息；提供就业指导、职业介绍、农村劳动力转移就业等服务；组织辖区相关人员参加职业培训、创业培训和职业技能鉴定。2、开展就业促进、就业服务工作。开发社区就业岗位，开发管理社区、村公益性岗位，开展创建充分就业社区、村居活动。审核上报就业困难人员认定材料，组织开展就业困难人员就业援助和动态管理工作，协助落实就业扶持政策；开展创业服务工作，指导开展信用社区创建工作；审核上报灵活就业人员就业情况，协助落实社会保险补贴政策；承担上级部门安排的其他就业服务工作。3、协助开展本辖区人才引进和培训工作。协助开展本辖区各类人才开发服务工作，了解、掌握培训需求，组织推荐农村领导人才和实用人才参加培训。协助组织完成人才智力引进和留学归国专家服务工作，以项目开发形式短期聘用部分农业高科技人才下镇服务。</w:t>
      </w:r>
      <w:r>
        <w:br w:type="page"/>
      </w:r>
    </w:p>
    <w:p w14:paraId="09ED7925">
      <w:pPr>
        <w:widowControl/>
        <w:jc w:val="left"/>
        <w:rPr>
          <w:rFonts w:ascii="仿宋" w:hAnsi="仿宋" w:eastAsia="仿宋" w:cs="仿宋"/>
          <w:color w:val="000000"/>
          <w:kern w:val="0"/>
          <w:sz w:val="32"/>
          <w:szCs w:val="32"/>
          <w:highlight w:val="none"/>
          <w:shd w:val="clear" w:fill="FFFFFF"/>
          <w:lang w:val="en-US" w:eastAsia="zh-CN" w:bidi="ar"/>
        </w:rPr>
      </w:pPr>
    </w:p>
    <w:p w14:paraId="37D9465F">
      <w:pPr>
        <w:pStyle w:val="3"/>
        <w:ind w:right="440" w:firstLine="0"/>
        <w:jc w:val="center"/>
        <w:rPr>
          <w:rStyle w:val="20"/>
          <w:rFonts w:ascii="黑体" w:hAnsi="黑体" w:eastAsia="黑体" w:cs="黑体"/>
          <w:b w:val="0"/>
          <w:bCs/>
          <w:color w:val="000000"/>
          <w:highlight w:val="none"/>
        </w:rPr>
      </w:pPr>
      <w:r>
        <w:rPr>
          <w:rFonts w:ascii="黑体" w:hAnsi="黑体" w:eastAsia="黑体" w:cs="黑体"/>
          <w:b w:val="0"/>
          <w:bCs/>
          <w:color w:val="000000"/>
        </w:rPr>
        <w:t>第二部分 2025年度单位决算情况说明</w:t>
      </w:r>
    </w:p>
    <w:p w14:paraId="6FBAD4B2">
      <w:pPr>
        <w:rPr>
          <w:rStyle w:val="20"/>
          <w:rFonts w:ascii="黑体" w:hAnsi="黑体" w:eastAsia="黑体" w:cs="黑体"/>
          <w:b w:val="0"/>
          <w:bCs/>
          <w:color w:val="000000"/>
          <w:highlight w:val="none"/>
        </w:rPr>
      </w:pPr>
    </w:p>
    <w:p w14:paraId="1609BB84">
      <w:pPr>
        <w:pStyle w:val="25"/>
        <w:numPr>
          <w:ilvl w:val="0"/>
          <w:numId w:val="0"/>
        </w:numPr>
        <w:spacing w:line="600" w:lineRule="exact"/>
        <w:ind w:left="640" w:firstLine="0"/>
        <w:outlineLvl w:val="1"/>
        <w:rPr>
          <w:rStyle w:val="19"/>
          <w:rFonts w:ascii="黑体" w:hAnsi="黑体" w:eastAsia="黑体" w:cs="黑体"/>
          <w:b w:val="0"/>
          <w:color w:val="000000"/>
          <w:highlight w:val="none"/>
        </w:rPr>
      </w:pPr>
      <w:r>
        <w:rPr>
          <w:rFonts w:ascii="黑体" w:hAnsi="黑体" w:eastAsia="黑体" w:cs="黑体"/>
          <w:color w:val="000000"/>
          <w:sz w:val="32"/>
          <w:szCs w:val="32"/>
          <w:lang w:eastAsia="zh-CN"/>
        </w:rPr>
        <w:t>一、</w:t>
      </w:r>
      <w:r>
        <w:rPr>
          <w:rFonts w:ascii="黑体" w:hAnsi="黑体" w:eastAsia="黑体" w:cs="黑体"/>
          <w:color w:val="000000"/>
          <w:sz w:val="32"/>
          <w:szCs w:val="32"/>
        </w:rPr>
        <w:t>收</w:t>
      </w:r>
      <w:r>
        <w:rPr>
          <w:rStyle w:val="19"/>
          <w:rFonts w:ascii="黑体" w:hAnsi="黑体" w:eastAsia="黑体" w:cs="黑体"/>
          <w:b w:val="0"/>
          <w:color w:val="000000"/>
        </w:rPr>
        <w:t>入支出决算总体情况说明</w:t>
      </w:r>
    </w:p>
    <w:p w14:paraId="7F68DD8B">
      <w:pPr>
        <w:spacing w:line="600" w:lineRule="exact"/>
        <w:ind w:firstLine="640"/>
        <w:rPr>
          <w:rFonts w:ascii="仿宋" w:hAnsi="仿宋" w:eastAsia="仿宋" w:cs="仿宋"/>
          <w:color w:val="000000"/>
          <w:sz w:val="32"/>
          <w:szCs w:val="32"/>
          <w:highlight w:val="none"/>
          <w:lang w:eastAsia="zh-CN"/>
        </w:rPr>
      </w:pPr>
      <w:r>
        <w:rPr>
          <w:rFonts w:ascii="仿宋" w:hAnsi="仿宋" w:eastAsia="仿宋" w:cs="仿宋"/>
          <w:color w:val="000000"/>
          <w:sz w:val="32"/>
          <w:szCs w:val="32"/>
          <w:lang w:eastAsia="zh-CN"/>
        </w:rPr>
        <w:t>2025年度收、支总计均为485.28万元。与2024年度相比，收、支总计各增加85.49万元，增长21.38%。主要变动原因是……。</w:t>
      </w:r>
    </w:p>
    <w:p w14:paraId="0028F0BD">
      <w:pPr>
        <w:pStyle w:val="2"/>
        <w:jc w:val="both"/>
        <w:rPr>
          <w:rFonts w:ascii="仿宋" w:hAnsi="仿宋" w:eastAsia="仿宋" w:cs="仿宋"/>
          <w:color w:val="000000"/>
          <w:sz w:val="32"/>
          <w:szCs w:val="32"/>
          <w:highlight w:val="none"/>
        </w:rPr>
      </w:pPr>
      <w:r>
        <w:drawing>
          <wp:inline distT="0" distB="0" distL="0" distR="0">
            <wp:extent cx="4591050" cy="2762250"/>
            <wp:effectExtent l="0" t="0" r="0" b="0"/>
            <wp:docPr id="1" name="图表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表 11"/>
                    <pic:cNvPicPr>
                      <a:picLocks noChangeAspect="1" noChangeArrowheads="1"/>
                    </pic:cNvPicPr>
                  </pic:nvPicPr>
                  <pic:blipFill>
                    <a:blip r:embed="rId4"/>
                    <a:srcRect l="-8" t="-13" r="-8" b="-13"/>
                    <a:stretch>
                      <a:fillRect/>
                    </a:stretch>
                  </pic:blipFill>
                  <pic:spPr>
                    <a:xfrm>
                      <a:off x="0" y="0"/>
                      <a:ext cx="4591050" cy="2762250"/>
                    </a:xfrm>
                    <a:prstGeom prst="rect">
                      <a:avLst/>
                    </a:prstGeom>
                  </pic:spPr>
                </pic:pic>
              </a:graphicData>
            </a:graphic>
          </wp:inline>
        </w:drawing>
      </w:r>
    </w:p>
    <w:p w14:paraId="3BAFB5D3">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rPr>
        <w:t>（图1：收、支决算总计变动情况图）（柱状图）</w:t>
      </w:r>
    </w:p>
    <w:p w14:paraId="6F63C9E0">
      <w:pPr>
        <w:pStyle w:val="2"/>
        <w:rPr>
          <w:rFonts w:ascii="仿宋" w:hAnsi="仿宋" w:eastAsia="仿宋" w:cs="仿宋"/>
          <w:color w:val="000000"/>
          <w:sz w:val="32"/>
          <w:szCs w:val="32"/>
          <w:highlight w:val="none"/>
        </w:rPr>
      </w:pPr>
    </w:p>
    <w:p w14:paraId="3BF3C056">
      <w:pPr>
        <w:pStyle w:val="25"/>
        <w:numPr>
          <w:ilvl w:val="0"/>
          <w:numId w:val="0"/>
        </w:numPr>
        <w:spacing w:line="600" w:lineRule="exact"/>
        <w:ind w:left="640" w:firstLine="0"/>
        <w:outlineLvl w:val="1"/>
        <w:rPr>
          <w:rStyle w:val="19"/>
          <w:rFonts w:ascii="黑体" w:hAnsi="黑体" w:eastAsia="黑体" w:cs="黑体"/>
          <w:b w:val="0"/>
          <w:color w:val="000000"/>
          <w:highlight w:val="none"/>
        </w:rPr>
      </w:pPr>
      <w:r>
        <w:rPr>
          <w:rFonts w:ascii="黑体" w:hAnsi="黑体" w:eastAsia="黑体" w:cs="黑体"/>
          <w:color w:val="000000"/>
          <w:sz w:val="32"/>
          <w:szCs w:val="32"/>
          <w:lang w:eastAsia="zh-CN"/>
        </w:rPr>
        <w:t>二、</w:t>
      </w:r>
      <w:r>
        <w:rPr>
          <w:rFonts w:ascii="黑体" w:hAnsi="黑体" w:eastAsia="黑体" w:cs="黑体"/>
          <w:color w:val="000000"/>
          <w:sz w:val="32"/>
          <w:szCs w:val="32"/>
        </w:rPr>
        <w:t>收</w:t>
      </w:r>
      <w:r>
        <w:rPr>
          <w:rStyle w:val="19"/>
          <w:rFonts w:ascii="黑体" w:hAnsi="黑体" w:eastAsia="黑体" w:cs="黑体"/>
          <w:b w:val="0"/>
          <w:color w:val="000000"/>
        </w:rPr>
        <w:t>入决算情况说明</w:t>
      </w:r>
    </w:p>
    <w:p w14:paraId="3169DAAE">
      <w:pPr>
        <w:numPr>
          <w:ilvl w:val="0"/>
          <w:numId w:val="0"/>
        </w:numPr>
        <w:spacing w:line="600" w:lineRule="exact"/>
        <w:ind w:firstLine="640"/>
        <w:outlineLvl w:val="1"/>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本年收入合计485.28万元，其中：一般公共预算财政拨款收入485.28万元，占100%；政府性基金预算财政拨款收入0万元，占0%；国有资本经营预算财政拨款收入0万元，占0%；上级补助收入0万元，占0%；事业收入0万元，占0%；经营收入0万元，占0%；附属单位上缴收入0万元，占0%；其他收入0万元，占0%。</w:t>
      </w:r>
    </w:p>
    <w:p w14:paraId="3B158547">
      <w:pPr>
        <w:numPr>
          <w:ilvl w:val="0"/>
          <w:numId w:val="0"/>
        </w:numPr>
        <w:spacing w:line="600" w:lineRule="exact"/>
        <w:ind w:firstLine="643"/>
        <w:outlineLvl w:val="1"/>
        <w:rPr>
          <w:rFonts w:ascii="仿宋" w:hAnsi="仿宋" w:eastAsia="仿宋" w:cs="仿宋"/>
          <w:color w:val="000000"/>
          <w:sz w:val="32"/>
          <w:szCs w:val="32"/>
          <w:highlight w:val="none"/>
        </w:rPr>
      </w:pPr>
      <w:r>
        <w:rPr>
          <w:rFonts w:ascii="仿宋" w:hAnsi="仿宋" w:eastAsia="仿宋" w:cs="仿宋"/>
          <w:b/>
          <w:color w:val="000000"/>
          <w:sz w:val="32"/>
          <w:szCs w:val="32"/>
        </w:rPr>
        <w:t>（注：数据来源于财决01表</w:t>
      </w:r>
      <w:r>
        <w:rPr>
          <w:rFonts w:ascii="仿宋" w:hAnsi="仿宋" w:eastAsia="仿宋" w:cs="仿宋"/>
          <w:b/>
          <w:color w:val="000000"/>
          <w:sz w:val="32"/>
          <w:szCs w:val="32"/>
          <w:lang w:eastAsia="zh-CN"/>
        </w:rPr>
        <w:t>，仅罗列本单位涉及的收入。</w:t>
      </w:r>
      <w:r>
        <w:rPr>
          <w:rFonts w:ascii="仿宋" w:hAnsi="仿宋" w:eastAsia="仿宋" w:cs="仿宋"/>
          <w:b/>
          <w:color w:val="000000"/>
          <w:sz w:val="32"/>
          <w:szCs w:val="32"/>
        </w:rPr>
        <w:t>）</w:t>
      </w:r>
    </w:p>
    <w:p w14:paraId="43188C09">
      <w:pPr>
        <w:pStyle w:val="2"/>
        <w:jc w:val="center"/>
        <w:rPr>
          <w:rFonts w:ascii="仿宋" w:hAnsi="仿宋" w:eastAsia="仿宋" w:cs="仿宋"/>
          <w:color w:val="000000"/>
          <w:sz w:val="32"/>
          <w:szCs w:val="32"/>
          <w:highlight w:val="none"/>
        </w:rPr>
      </w:pPr>
      <w:r>
        <w:drawing>
          <wp:inline distT="0" distB="0" distL="0" distR="0">
            <wp:extent cx="4591050" cy="2609850"/>
            <wp:effectExtent l="0" t="0" r="0" b="0"/>
            <wp:docPr id="2" name="图表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表 6"/>
                    <pic:cNvPicPr>
                      <a:picLocks noChangeAspect="1" noChangeArrowheads="1"/>
                    </pic:cNvPicPr>
                  </pic:nvPicPr>
                  <pic:blipFill>
                    <a:blip r:embed="rId5"/>
                    <a:srcRect l="-8" t="-14" r="-8" b="-14"/>
                    <a:stretch>
                      <a:fillRect/>
                    </a:stretch>
                  </pic:blipFill>
                  <pic:spPr>
                    <a:xfrm>
                      <a:off x="0" y="0"/>
                      <a:ext cx="4591050" cy="2609850"/>
                    </a:xfrm>
                    <a:prstGeom prst="rect">
                      <a:avLst/>
                    </a:prstGeom>
                  </pic:spPr>
                </pic:pic>
              </a:graphicData>
            </a:graphic>
          </wp:inline>
        </w:drawing>
      </w:r>
    </w:p>
    <w:p w14:paraId="727085A0">
      <w:pPr>
        <w:pStyle w:val="2"/>
        <w:ind w:left="0" w:firstLine="0"/>
        <w:rPr>
          <w:rFonts w:ascii="仿宋" w:hAnsi="仿宋" w:eastAsia="仿宋" w:cs="仿宋"/>
          <w:color w:val="000000"/>
          <w:sz w:val="32"/>
          <w:szCs w:val="32"/>
          <w:highlight w:val="none"/>
        </w:rPr>
      </w:pPr>
    </w:p>
    <w:p w14:paraId="562AA837">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rPr>
        <w:t>（图2：收入决算结构图）（饼状图）</w:t>
      </w:r>
    </w:p>
    <w:p w14:paraId="047CC4C2">
      <w:pPr>
        <w:spacing w:line="600" w:lineRule="exact"/>
        <w:ind w:firstLine="640"/>
        <w:rPr>
          <w:rFonts w:ascii="仿宋" w:hAnsi="仿宋" w:eastAsia="仿宋" w:cs="仿宋"/>
          <w:color w:val="000000"/>
          <w:sz w:val="32"/>
          <w:szCs w:val="32"/>
          <w:highlight w:val="none"/>
        </w:rPr>
      </w:pPr>
    </w:p>
    <w:p w14:paraId="794D6486">
      <w:pPr>
        <w:pStyle w:val="25"/>
        <w:numPr>
          <w:ilvl w:val="0"/>
          <w:numId w:val="0"/>
        </w:numPr>
        <w:spacing w:line="600" w:lineRule="exact"/>
        <w:ind w:left="640" w:firstLine="0"/>
        <w:outlineLvl w:val="1"/>
        <w:rPr>
          <w:rStyle w:val="19"/>
          <w:rFonts w:ascii="黑体" w:hAnsi="黑体" w:eastAsia="黑体" w:cs="黑体"/>
          <w:b w:val="0"/>
          <w:color w:val="000000"/>
          <w:highlight w:val="none"/>
        </w:rPr>
      </w:pPr>
      <w:r>
        <w:rPr>
          <w:rFonts w:ascii="黑体" w:hAnsi="黑体" w:eastAsia="黑体" w:cs="黑体"/>
          <w:color w:val="000000"/>
          <w:sz w:val="32"/>
          <w:szCs w:val="32"/>
          <w:lang w:eastAsia="zh-CN"/>
        </w:rPr>
        <w:t>三、</w:t>
      </w:r>
      <w:r>
        <w:rPr>
          <w:rFonts w:ascii="黑体" w:hAnsi="黑体" w:eastAsia="黑体" w:cs="黑体"/>
          <w:color w:val="000000"/>
          <w:sz w:val="32"/>
          <w:szCs w:val="32"/>
        </w:rPr>
        <w:t>支</w:t>
      </w:r>
      <w:r>
        <w:rPr>
          <w:rStyle w:val="19"/>
          <w:rFonts w:ascii="黑体" w:hAnsi="黑体" w:eastAsia="黑体" w:cs="黑体"/>
          <w:b w:val="0"/>
          <w:color w:val="000000"/>
        </w:rPr>
        <w:t>出决算情况说明</w:t>
      </w:r>
    </w:p>
    <w:p w14:paraId="2B5AC5CB">
      <w:pPr>
        <w:numPr>
          <w:ilvl w:val="0"/>
          <w:numId w:val="0"/>
        </w:numPr>
        <w:spacing w:line="600" w:lineRule="exact"/>
        <w:ind w:firstLine="640"/>
        <w:outlineLvl w:val="1"/>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2025年度本年支出合计485.28万元，其中：基本支出485.28万元，占100%；项目支出0万元，占0%；上缴上级支出0万元，占0%；经营支出0万元，占0%；对附属单位补助支出0万元，占0%。</w:t>
      </w:r>
    </w:p>
    <w:p w14:paraId="184FACBA">
      <w:pPr>
        <w:numPr>
          <w:ilvl w:val="0"/>
          <w:numId w:val="0"/>
        </w:numPr>
        <w:spacing w:line="600" w:lineRule="exact"/>
        <w:ind w:firstLine="643"/>
        <w:outlineLvl w:val="1"/>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（注：数据来源于财决04表</w:t>
      </w:r>
      <w:r>
        <w:rPr>
          <w:rFonts w:ascii="仿宋" w:hAnsi="仿宋" w:eastAsia="仿宋" w:cs="仿宋"/>
          <w:b/>
          <w:color w:val="000000"/>
          <w:sz w:val="32"/>
          <w:szCs w:val="32"/>
          <w:lang w:eastAsia="zh-CN"/>
        </w:rPr>
        <w:t>，仅罗列本单位涉及的支出。</w:t>
      </w:r>
      <w:r>
        <w:rPr>
          <w:rFonts w:ascii="仿宋" w:hAnsi="仿宋" w:eastAsia="仿宋" w:cs="仿宋"/>
          <w:b/>
          <w:color w:val="000000"/>
          <w:sz w:val="32"/>
          <w:szCs w:val="32"/>
        </w:rPr>
        <w:t>）</w:t>
      </w:r>
    </w:p>
    <w:p w14:paraId="6807A78E">
      <w:pPr>
        <w:pStyle w:val="2"/>
        <w:jc w:val="center"/>
        <w:rPr>
          <w:rFonts w:ascii="仿宋" w:hAnsi="仿宋" w:eastAsia="仿宋" w:cs="仿宋"/>
          <w:color w:val="000000"/>
          <w:sz w:val="32"/>
          <w:szCs w:val="32"/>
          <w:highlight w:val="none"/>
          <w:shd w:val="clear" w:fill="E5E5E5"/>
        </w:rPr>
      </w:pPr>
      <w:r>
        <w:drawing>
          <wp:inline distT="0" distB="0" distL="0" distR="0">
            <wp:extent cx="4591050" cy="2762250"/>
            <wp:effectExtent l="0" t="0" r="0" b="0"/>
            <wp:docPr id="3" name="图表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表 7"/>
                    <pic:cNvPicPr>
                      <a:picLocks noChangeAspect="1" noChangeArrowheads="1"/>
                    </pic:cNvPicPr>
                  </pic:nvPicPr>
                  <pic:blipFill>
                    <a:blip r:embed="rId6"/>
                    <a:srcRect l="-8" t="-13" r="-8" b="-13"/>
                    <a:stretch>
                      <a:fillRect/>
                    </a:stretch>
                  </pic:blipFill>
                  <pic:spPr>
                    <a:xfrm>
                      <a:off x="0" y="0"/>
                      <a:ext cx="4591050" cy="2762250"/>
                    </a:xfrm>
                    <a:prstGeom prst="rect">
                      <a:avLst/>
                    </a:prstGeom>
                  </pic:spPr>
                </pic:pic>
              </a:graphicData>
            </a:graphic>
          </wp:inline>
        </w:drawing>
      </w:r>
    </w:p>
    <w:p w14:paraId="205B0766">
      <w:pPr>
        <w:spacing w:line="600" w:lineRule="exact"/>
        <w:ind w:firstLine="960"/>
        <w:rPr>
          <w:rFonts w:ascii="仿宋" w:hAnsi="仿宋" w:eastAsia="仿宋" w:cs="仿宋"/>
          <w:color w:val="000000"/>
          <w:sz w:val="32"/>
          <w:szCs w:val="32"/>
          <w:highlight w:val="none"/>
        </w:rPr>
      </w:pPr>
      <w:r>
        <w:rPr>
          <w:rFonts w:ascii="仿宋" w:hAnsi="仿宋" w:eastAsia="仿宋" w:cs="仿宋"/>
          <w:color w:val="000000"/>
          <w:sz w:val="32"/>
          <w:szCs w:val="32"/>
        </w:rPr>
        <w:t>（图3：支出决算结构图）（饼状图）</w:t>
      </w:r>
    </w:p>
    <w:p w14:paraId="4F3E0618">
      <w:pPr>
        <w:spacing w:line="600" w:lineRule="exact"/>
        <w:ind w:firstLine="640"/>
        <w:rPr>
          <w:rFonts w:ascii="仿宋" w:hAnsi="仿宋" w:eastAsia="仿宋" w:cs="仿宋"/>
          <w:color w:val="000000"/>
          <w:sz w:val="32"/>
          <w:szCs w:val="32"/>
          <w:highlight w:val="none"/>
        </w:rPr>
      </w:pPr>
    </w:p>
    <w:p w14:paraId="37A829F3">
      <w:pPr>
        <w:numPr>
          <w:ilvl w:val="0"/>
          <w:numId w:val="0"/>
        </w:numPr>
        <w:spacing w:line="600" w:lineRule="exact"/>
        <w:ind w:firstLine="640"/>
        <w:outlineLvl w:val="1"/>
        <w:rPr>
          <w:rStyle w:val="19"/>
          <w:rFonts w:ascii="黑体" w:hAnsi="黑体" w:eastAsia="黑体" w:cs="黑体"/>
          <w:b w:val="0"/>
          <w:color w:val="000000"/>
          <w:highlight w:val="none"/>
        </w:rPr>
      </w:pPr>
      <w:r>
        <w:rPr>
          <w:rFonts w:ascii="黑体" w:hAnsi="黑体" w:eastAsia="黑体" w:cs="黑体"/>
          <w:color w:val="000000"/>
          <w:sz w:val="32"/>
          <w:szCs w:val="32"/>
        </w:rPr>
        <w:t>四、财</w:t>
      </w:r>
      <w:r>
        <w:rPr>
          <w:rStyle w:val="19"/>
          <w:rFonts w:ascii="黑体" w:hAnsi="黑体" w:eastAsia="黑体" w:cs="黑体"/>
          <w:b w:val="0"/>
          <w:color w:val="000000"/>
        </w:rPr>
        <w:t>政拨款收入支出决算总体情况说明</w:t>
      </w:r>
    </w:p>
    <w:p w14:paraId="3EA93173">
      <w:pPr>
        <w:spacing w:line="600" w:lineRule="exact"/>
        <w:ind w:firstLine="640"/>
        <w:rPr>
          <w:rFonts w:ascii="仿宋" w:hAnsi="仿宋" w:eastAsia="仿宋" w:cs="仿宋"/>
          <w:color w:val="000000"/>
          <w:sz w:val="32"/>
          <w:szCs w:val="32"/>
          <w:highlight w:val="none"/>
          <w:lang w:eastAsia="zh-CN"/>
        </w:rPr>
      </w:pPr>
      <w:r>
        <w:rPr>
          <w:rFonts w:ascii="仿宋" w:hAnsi="仿宋" w:eastAsia="仿宋" w:cs="仿宋"/>
          <w:color w:val="000000"/>
          <w:sz w:val="32"/>
          <w:szCs w:val="32"/>
          <w:lang w:eastAsia="zh-CN"/>
        </w:rPr>
        <w:t>2025年度收、支总计均为485.28万元。与2024年度相比，收、支总计各增加85.49万元，增长21.38%。主要变动原因是……。</w:t>
      </w:r>
    </w:p>
    <w:p w14:paraId="05EE4CB2">
      <w:pPr>
        <w:spacing w:line="600" w:lineRule="exact"/>
        <w:ind w:firstLine="640"/>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（注：数据来源于财决01-1表）</w:t>
      </w:r>
    </w:p>
    <w:p w14:paraId="5148A038">
      <w:pPr>
        <w:jc w:val="center"/>
        <w:rPr>
          <w:rFonts w:ascii="仿宋" w:hAnsi="仿宋" w:eastAsia="仿宋" w:cs="仿宋"/>
          <w:color w:val="000000"/>
          <w:sz w:val="32"/>
          <w:szCs w:val="32"/>
          <w:highlight w:val="none"/>
        </w:rPr>
      </w:pPr>
      <w:r>
        <w:drawing>
          <wp:inline distT="0" distB="0" distL="0" distR="0">
            <wp:extent cx="4591050" cy="2762250"/>
            <wp:effectExtent l="0" t="0" r="0" b="0"/>
            <wp:docPr id="4" name="图表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表 1"/>
                    <pic:cNvPicPr>
                      <a:picLocks noChangeAspect="1" noChangeArrowheads="1"/>
                    </pic:cNvPicPr>
                  </pic:nvPicPr>
                  <pic:blipFill>
                    <a:blip r:embed="rId7"/>
                    <a:srcRect l="-8" t="-13" r="-8" b="-13"/>
                    <a:stretch>
                      <a:fillRect/>
                    </a:stretch>
                  </pic:blipFill>
                  <pic:spPr>
                    <a:xfrm>
                      <a:off x="0" y="0"/>
                      <a:ext cx="4591050" cy="2762250"/>
                    </a:xfrm>
                    <a:prstGeom prst="rect">
                      <a:avLst/>
                    </a:prstGeom>
                  </pic:spPr>
                </pic:pic>
              </a:graphicData>
            </a:graphic>
          </wp:inline>
        </w:drawing>
      </w:r>
    </w:p>
    <w:p w14:paraId="6E8F3AB1">
      <w:pPr>
        <w:spacing w:line="600" w:lineRule="exact"/>
        <w:ind w:firstLine="640"/>
        <w:rPr>
          <w:rFonts w:ascii="仿宋" w:hAnsi="仿宋" w:eastAsia="仿宋" w:cs="仿宋"/>
          <w:b/>
          <w:color w:val="000000"/>
          <w:sz w:val="32"/>
          <w:szCs w:val="32"/>
          <w:highlight w:val="none"/>
        </w:rPr>
      </w:pPr>
      <w:r>
        <w:rPr>
          <w:rFonts w:ascii="仿宋" w:hAnsi="仿宋" w:eastAsia="仿宋" w:cs="仿宋"/>
          <w:color w:val="000000"/>
          <w:sz w:val="32"/>
          <w:szCs w:val="32"/>
        </w:rPr>
        <w:t>（图4：财政拨款收、支决算总计变动情况）（柱状图）</w:t>
      </w:r>
    </w:p>
    <w:p w14:paraId="78CF8F1B">
      <w:pPr>
        <w:numPr>
          <w:ilvl w:val="0"/>
          <w:numId w:val="0"/>
        </w:numPr>
        <w:spacing w:line="600" w:lineRule="exact"/>
        <w:ind w:firstLine="640"/>
        <w:outlineLvl w:val="1"/>
        <w:rPr>
          <w:rStyle w:val="19"/>
          <w:rFonts w:ascii="黑体" w:hAnsi="黑体" w:eastAsia="黑体" w:cs="黑体"/>
          <w:b w:val="0"/>
          <w:color w:val="000000"/>
          <w:highlight w:val="none"/>
        </w:rPr>
      </w:pPr>
      <w:r>
        <w:rPr>
          <w:rFonts w:ascii="黑体" w:hAnsi="黑体" w:eastAsia="黑体" w:cs="黑体"/>
          <w:color w:val="000000"/>
          <w:sz w:val="32"/>
          <w:szCs w:val="32"/>
        </w:rPr>
        <w:t>五、</w:t>
      </w:r>
      <w:r>
        <w:rPr>
          <w:rFonts w:ascii="黑体" w:hAnsi="黑体" w:eastAsia="黑体" w:cs="黑体"/>
          <w:b/>
          <w:color w:val="000000"/>
          <w:sz w:val="32"/>
          <w:szCs w:val="32"/>
        </w:rPr>
        <w:t>一</w:t>
      </w:r>
      <w:r>
        <w:rPr>
          <w:rStyle w:val="19"/>
          <w:rFonts w:ascii="黑体" w:hAnsi="黑体" w:eastAsia="黑体" w:cs="黑体"/>
          <w:b w:val="0"/>
          <w:color w:val="000000"/>
        </w:rPr>
        <w:t>般公共预算财政拨款支出决算情况说明</w:t>
      </w:r>
    </w:p>
    <w:p w14:paraId="13874D34">
      <w:pPr>
        <w:numPr>
          <w:ilvl w:val="0"/>
          <w:numId w:val="0"/>
        </w:numPr>
        <w:spacing w:line="600" w:lineRule="exact"/>
        <w:ind w:firstLine="643"/>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（一）一般公共预算财政拨款支出决算总体情况</w:t>
      </w:r>
    </w:p>
    <w:p w14:paraId="0857DFCD">
      <w:pPr>
        <w:spacing w:line="600" w:lineRule="exact"/>
        <w:ind w:firstLine="640"/>
        <w:rPr>
          <w:rFonts w:ascii="仿宋" w:hAnsi="仿宋" w:eastAsia="仿宋" w:cs="仿宋"/>
          <w:color w:val="000000"/>
          <w:sz w:val="32"/>
          <w:szCs w:val="32"/>
          <w:highlight w:val="none"/>
          <w:lang w:eastAsia="zh-CN"/>
        </w:rPr>
      </w:pPr>
      <w:r>
        <w:rPr>
          <w:rFonts w:ascii="仿宋" w:hAnsi="仿宋" w:eastAsia="仿宋" w:cs="仿宋"/>
          <w:color w:val="000000"/>
          <w:sz w:val="32"/>
          <w:szCs w:val="32"/>
          <w:lang w:eastAsia="zh-CN"/>
        </w:rPr>
        <w:t>2025年度收、支总计均为485.28万元。与2024年度相比，收、支总计各增加85.49万元，增长21.38%。主要变动原因是……。</w:t>
      </w:r>
    </w:p>
    <w:p w14:paraId="3916BD8A">
      <w:pPr>
        <w:pStyle w:val="2"/>
        <w:jc w:val="center"/>
        <w:rPr>
          <w:rFonts w:ascii="仿宋" w:hAnsi="仿宋" w:eastAsia="仿宋" w:cs="仿宋"/>
          <w:color w:val="000000"/>
          <w:sz w:val="32"/>
          <w:szCs w:val="32"/>
          <w:highlight w:val="none"/>
          <w:lang w:eastAsia="zh-CN"/>
        </w:rPr>
      </w:pPr>
      <w:r>
        <w:drawing>
          <wp:inline distT="0" distB="0" distL="0" distR="0">
            <wp:extent cx="4591050" cy="2762250"/>
            <wp:effectExtent l="0" t="0" r="0" b="0"/>
            <wp:docPr id="5" name="图表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表 14"/>
                    <pic:cNvPicPr>
                      <a:picLocks noChangeAspect="1" noChangeArrowheads="1"/>
                    </pic:cNvPicPr>
                  </pic:nvPicPr>
                  <pic:blipFill>
                    <a:blip r:embed="rId8"/>
                    <a:srcRect l="-8" t="-13" r="-8" b="-13"/>
                    <a:stretch>
                      <a:fillRect/>
                    </a:stretch>
                  </pic:blipFill>
                  <pic:spPr>
                    <a:xfrm>
                      <a:off x="0" y="0"/>
                      <a:ext cx="4591050" cy="2762250"/>
                    </a:xfrm>
                    <a:prstGeom prst="rect">
                      <a:avLst/>
                    </a:prstGeom>
                  </pic:spPr>
                </pic:pic>
              </a:graphicData>
            </a:graphic>
          </wp:inline>
        </w:drawing>
      </w:r>
    </w:p>
    <w:p w14:paraId="155AE7C4">
      <w:pPr>
        <w:pStyle w:val="2"/>
        <w:ind w:left="0" w:firstLine="0"/>
        <w:rPr>
          <w:rFonts w:ascii="仿宋" w:hAnsi="仿宋" w:eastAsia="仿宋" w:cs="仿宋"/>
          <w:color w:val="000000"/>
          <w:sz w:val="32"/>
          <w:szCs w:val="32"/>
          <w:highlight w:val="none"/>
          <w:lang w:eastAsia="zh-CN"/>
        </w:rPr>
      </w:pPr>
    </w:p>
    <w:p w14:paraId="0749B6C4">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rPr>
        <w:t>（图5：一般公共预算财政拨款支出决算变动情况）（柱状图）</w:t>
      </w:r>
    </w:p>
    <w:p w14:paraId="4B53E7D0">
      <w:pPr>
        <w:numPr>
          <w:ilvl w:val="0"/>
          <w:numId w:val="0"/>
        </w:numPr>
        <w:spacing w:line="600" w:lineRule="exact"/>
        <w:ind w:firstLine="643"/>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（二）一般公共预算财政拨款支出决算结构情况</w:t>
      </w:r>
    </w:p>
    <w:p w14:paraId="04F83DD9">
      <w:pPr>
        <w:spacing w:line="600" w:lineRule="exact"/>
        <w:ind w:firstLine="640"/>
        <w:rPr>
          <w:rFonts w:ascii="仿宋" w:hAnsi="仿宋" w:eastAsia="仿宋" w:cs="仿宋"/>
          <w:b/>
          <w:color w:val="000000"/>
          <w:sz w:val="32"/>
          <w:szCs w:val="32"/>
          <w:highlight w:val="none"/>
        </w:rPr>
      </w:pPr>
      <w:r>
        <w:rPr>
          <w:rFonts w:ascii="仿宋" w:hAnsi="仿宋" w:eastAsia="仿宋" w:cs="仿宋"/>
          <w:color w:val="000000"/>
          <w:sz w:val="32"/>
          <w:szCs w:val="32"/>
          <w:lang w:eastAsia="zh-CN"/>
        </w:rPr>
        <w:t>2025年度一般公共预算财政拨款支出485.28万元，主要用于以下方面：一般公共服务支出358.80万元，占73.94%；教育支出0万元，占0%；科学技术支出0万元，占0%；文化旅游体育与传媒支出0万元，占0%；社会保障和就业支出63.59万元，占13.10%；卫生健康支出24.56万元，占5.06%；住房保障支出38.34万元，占7.90%。</w:t>
      </w:r>
    </w:p>
    <w:p w14:paraId="518C4D53">
      <w:pPr>
        <w:spacing w:line="600" w:lineRule="exact"/>
        <w:ind w:firstLine="640"/>
        <w:rPr>
          <w:rFonts w:ascii="仿宋" w:hAnsi="仿宋" w:eastAsia="仿宋" w:cs="仿宋"/>
          <w:color w:val="000000"/>
          <w:sz w:val="32"/>
          <w:szCs w:val="32"/>
          <w:highlight w:val="none"/>
        </w:rPr>
      </w:pPr>
      <w:r>
        <w:rPr>
          <w:rFonts w:ascii="仿宋" w:hAnsi="仿宋" w:eastAsia="仿宋" w:cs="仿宋"/>
          <w:b/>
          <w:color w:val="000000"/>
          <w:sz w:val="32"/>
          <w:szCs w:val="32"/>
        </w:rPr>
        <w:t>（</w:t>
      </w:r>
      <w:r>
        <w:rPr>
          <w:rFonts w:ascii="仿宋" w:hAnsi="仿宋" w:eastAsia="仿宋" w:cs="仿宋"/>
          <w:b/>
          <w:color w:val="000000"/>
          <w:sz w:val="32"/>
          <w:szCs w:val="32"/>
          <w:lang w:eastAsia="zh-CN"/>
        </w:rPr>
        <w:t>注：数据来源于财决</w:t>
      </w:r>
      <w:r>
        <w:rPr>
          <w:rFonts w:ascii="仿宋" w:hAnsi="仿宋" w:eastAsia="仿宋" w:cs="仿宋"/>
          <w:b/>
          <w:color w:val="000000"/>
          <w:sz w:val="32"/>
          <w:szCs w:val="32"/>
          <w:lang w:val="en-US" w:eastAsia="zh-CN"/>
        </w:rPr>
        <w:t>01-1表，仅</w:t>
      </w:r>
      <w:r>
        <w:rPr>
          <w:rFonts w:ascii="仿宋" w:hAnsi="仿宋" w:eastAsia="仿宋" w:cs="仿宋"/>
          <w:b/>
          <w:color w:val="000000"/>
          <w:sz w:val="32"/>
          <w:szCs w:val="32"/>
        </w:rPr>
        <w:t>罗列</w:t>
      </w:r>
      <w:r>
        <w:rPr>
          <w:rFonts w:ascii="仿宋" w:hAnsi="仿宋" w:eastAsia="仿宋" w:cs="仿宋"/>
          <w:b/>
          <w:color w:val="000000"/>
          <w:sz w:val="32"/>
          <w:szCs w:val="32"/>
          <w:lang w:eastAsia="zh-CN"/>
        </w:rPr>
        <w:t>本单位涉及的</w:t>
      </w:r>
      <w:r>
        <w:rPr>
          <w:rFonts w:ascii="仿宋" w:hAnsi="仿宋" w:eastAsia="仿宋" w:cs="仿宋"/>
          <w:b/>
          <w:color w:val="000000"/>
          <w:sz w:val="32"/>
          <w:szCs w:val="32"/>
        </w:rPr>
        <w:t>全部功能分类科目，至类级。）</w:t>
      </w:r>
    </w:p>
    <w:p w14:paraId="4D388C95">
      <w:pPr>
        <w:pStyle w:val="2"/>
      </w:pPr>
      <w:r>
        <w:drawing>
          <wp:inline distT="0" distB="0" distL="0" distR="0">
            <wp:extent cx="4591050" cy="2762250"/>
            <wp:effectExtent l="0" t="0" r="0" b="0"/>
            <wp:docPr id="6" name="图表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表 5"/>
                    <pic:cNvPicPr>
                      <a:picLocks noChangeAspect="1" noChangeArrowheads="1"/>
                    </pic:cNvPicPr>
                  </pic:nvPicPr>
                  <pic:blipFill>
                    <a:blip r:embed="rId9"/>
                    <a:srcRect l="-8" t="-13" r="-8" b="-13"/>
                    <a:stretch>
                      <a:fillRect/>
                    </a:stretch>
                  </pic:blipFill>
                  <pic:spPr>
                    <a:xfrm>
                      <a:off x="0" y="0"/>
                      <a:ext cx="4591050" cy="2762250"/>
                    </a:xfrm>
                    <a:prstGeom prst="rect">
                      <a:avLst/>
                    </a:prstGeom>
                  </pic:spPr>
                </pic:pic>
              </a:graphicData>
            </a:graphic>
          </wp:inline>
        </w:drawing>
      </w:r>
    </w:p>
    <w:p w14:paraId="0BF379C2">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rPr>
        <w:t>（图6：一般公共预算财政拨款支出决算结构）（饼状图）</w:t>
      </w:r>
    </w:p>
    <w:p w14:paraId="00114E65">
      <w:pPr>
        <w:spacing w:line="600" w:lineRule="exact"/>
        <w:ind w:firstLine="640"/>
        <w:rPr>
          <w:rFonts w:ascii="仿宋" w:hAnsi="仿宋" w:eastAsia="仿宋" w:cs="仿宋"/>
          <w:color w:val="000000"/>
          <w:sz w:val="32"/>
          <w:szCs w:val="32"/>
          <w:highlight w:val="none"/>
        </w:rPr>
      </w:pPr>
    </w:p>
    <w:p w14:paraId="7081A58A">
      <w:pPr>
        <w:numPr>
          <w:ilvl w:val="0"/>
          <w:numId w:val="0"/>
        </w:numPr>
        <w:spacing w:line="600" w:lineRule="exact"/>
        <w:ind w:firstLine="643"/>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（三）一般公共预算财政拨款支出决算具体情况</w:t>
      </w:r>
    </w:p>
    <w:p w14:paraId="18468E36">
      <w:pPr>
        <w:numPr>
          <w:ilvl w:val="0"/>
          <w:numId w:val="0"/>
        </w:numPr>
        <w:spacing w:line="600" w:lineRule="exact"/>
        <w:ind w:firstLine="643"/>
        <w:outlineLvl w:val="2"/>
        <w:rPr>
          <w:rFonts w:ascii="仿宋" w:hAnsi="仿宋" w:eastAsia="仿宋" w:cs="仿宋"/>
          <w:color w:val="000000"/>
          <w:sz w:val="32"/>
          <w:szCs w:val="32"/>
          <w:highlight w:val="none"/>
        </w:rPr>
      </w:pPr>
      <w:r>
        <w:rPr>
          <w:rFonts w:ascii="仿宋" w:hAnsi="仿宋" w:eastAsia="仿宋" w:cs="仿宋"/>
          <w:b/>
          <w:color w:val="000000"/>
          <w:sz w:val="32"/>
          <w:szCs w:val="32"/>
          <w:lang w:eastAsia="zh-CN"/>
        </w:rPr>
        <w:t>2025年度一般公共预算支出决算数为485.28，完成预算100%。其中：</w:t>
      </w:r>
    </w:p>
    <w:p w14:paraId="49C773BF">
      <w:pPr>
        <w:spacing w:line="600" w:lineRule="exact"/>
        <w:ind w:firstLine="643"/>
        <w:rPr>
          <w:rFonts w:ascii="仿宋" w:hAnsi="仿宋" w:eastAsia="仿宋" w:cs="仿宋"/>
          <w:b/>
          <w:color w:val="000000"/>
          <w:sz w:val="32"/>
          <w:szCs w:val="32"/>
          <w:highlight w:val="none"/>
        </w:rPr>
      </w:pPr>
      <w:r>
        <w:rPr>
          <w:rStyle w:val="17"/>
          <w:rFonts w:ascii="仿宋" w:hAnsi="仿宋" w:eastAsia="仿宋" w:cs="仿宋"/>
          <w:bCs/>
          <w:color w:val="000000"/>
          <w:sz w:val="32"/>
          <w:szCs w:val="32"/>
        </w:rPr>
        <w:t>1.一般公共服务（类）201（款）03（项）： 支出决算为358.80万元，完成预算100%，决算数等于预算数。</w:t>
      </w:r>
    </w:p>
    <w:p w14:paraId="6B8DB283">
      <w:pPr>
        <w:spacing w:line="600" w:lineRule="exact"/>
        <w:ind w:firstLine="643"/>
        <w:rPr>
          <w:rFonts w:ascii="仿宋" w:hAnsi="仿宋" w:eastAsia="仿宋" w:cs="仿宋"/>
          <w:b/>
          <w:color w:val="000000"/>
          <w:sz w:val="32"/>
          <w:szCs w:val="32"/>
          <w:highlight w:val="none"/>
        </w:rPr>
      </w:pPr>
      <w:r>
        <w:rPr>
          <w:rStyle w:val="17"/>
          <w:rFonts w:ascii="仿宋" w:hAnsi="仿宋" w:eastAsia="仿宋" w:cs="仿宋"/>
          <w:bCs/>
          <w:color w:val="000000"/>
          <w:sz w:val="32"/>
          <w:szCs w:val="32"/>
        </w:rPr>
        <w:t>2.教育（类）***（款）***（项）</w:t>
      </w:r>
      <w:r>
        <w:rPr>
          <w:rStyle w:val="17"/>
          <w:rFonts w:ascii="仿宋" w:hAnsi="仿宋" w:eastAsia="仿宋" w:cs="仿宋"/>
          <w:bCs/>
          <w:color w:val="000000"/>
          <w:sz w:val="32"/>
          <w:szCs w:val="32"/>
          <w:lang w:eastAsia="zh-CN"/>
        </w:rPr>
        <w:t>：</w:t>
      </w:r>
      <w:r>
        <w:rPr>
          <w:rStyle w:val="17"/>
          <w:rFonts w:ascii="仿宋" w:hAnsi="仿宋" w:eastAsia="仿宋" w:cs="仿宋"/>
          <w:b w:val="0"/>
          <w:bCs/>
          <w:color w:val="000000"/>
          <w:sz w:val="32"/>
          <w:szCs w:val="32"/>
        </w:rPr>
        <w:t xml:space="preserve"> 支出决算为</w:t>
      </w:r>
      <w:r>
        <w:rPr>
          <w:rStyle w:val="17"/>
          <w:rFonts w:ascii="仿宋" w:hAnsi="仿宋" w:eastAsia="仿宋" w:cs="仿宋"/>
          <w:b w:val="0"/>
          <w:bCs/>
          <w:color w:val="000000"/>
          <w:sz w:val="32"/>
          <w:szCs w:val="32"/>
          <w:lang w:val="en-US" w:eastAsia="zh-CN"/>
        </w:rPr>
        <w:t>0</w:t>
      </w:r>
      <w:r>
        <w:rPr>
          <w:rStyle w:val="17"/>
          <w:rFonts w:ascii="仿宋" w:hAnsi="仿宋" w:eastAsia="仿宋" w:cs="仿宋"/>
          <w:b w:val="0"/>
          <w:bCs/>
          <w:color w:val="000000"/>
          <w:sz w:val="32"/>
          <w:szCs w:val="32"/>
        </w:rPr>
        <w:t>万元，完成预算</w:t>
      </w:r>
      <w:r>
        <w:rPr>
          <w:rStyle w:val="17"/>
          <w:rFonts w:ascii="仿宋" w:hAnsi="仿宋" w:eastAsia="仿宋" w:cs="仿宋"/>
          <w:b w:val="0"/>
          <w:bCs/>
          <w:color w:val="000000"/>
          <w:sz w:val="32"/>
          <w:szCs w:val="32"/>
          <w:lang w:val="en-US" w:eastAsia="zh-CN"/>
        </w:rPr>
        <w:t>0</w:t>
      </w:r>
      <w:r>
        <w:rPr>
          <w:rStyle w:val="17"/>
          <w:rFonts w:ascii="仿宋" w:hAnsi="仿宋" w:eastAsia="仿宋" w:cs="仿宋"/>
          <w:b w:val="0"/>
          <w:bCs/>
          <w:color w:val="000000"/>
          <w:sz w:val="32"/>
          <w:szCs w:val="32"/>
        </w:rPr>
        <w:t>%。</w:t>
      </w:r>
    </w:p>
    <w:p w14:paraId="616D52D1">
      <w:pPr>
        <w:spacing w:line="600" w:lineRule="exact"/>
        <w:ind w:firstLine="643"/>
        <w:rPr>
          <w:rFonts w:ascii="仿宋" w:hAnsi="仿宋" w:eastAsia="仿宋" w:cs="仿宋"/>
          <w:b/>
          <w:color w:val="000000"/>
          <w:sz w:val="32"/>
          <w:szCs w:val="32"/>
          <w:highlight w:val="none"/>
        </w:rPr>
      </w:pPr>
      <w:r>
        <w:rPr>
          <w:rStyle w:val="17"/>
          <w:rFonts w:ascii="仿宋" w:hAnsi="仿宋" w:eastAsia="仿宋" w:cs="仿宋"/>
          <w:bCs/>
          <w:color w:val="000000"/>
          <w:sz w:val="32"/>
          <w:szCs w:val="32"/>
        </w:rPr>
        <w:t>3.科学技术（类）***（款）***（项）</w:t>
      </w:r>
      <w:r>
        <w:rPr>
          <w:rStyle w:val="17"/>
          <w:rFonts w:ascii="仿宋" w:hAnsi="仿宋" w:eastAsia="仿宋" w:cs="仿宋"/>
          <w:bCs/>
          <w:color w:val="000000"/>
          <w:sz w:val="32"/>
          <w:szCs w:val="32"/>
          <w:lang w:eastAsia="zh-CN"/>
        </w:rPr>
        <w:t>：</w:t>
      </w:r>
      <w:r>
        <w:rPr>
          <w:rStyle w:val="17"/>
          <w:rFonts w:ascii="仿宋" w:hAnsi="仿宋" w:eastAsia="仿宋" w:cs="仿宋"/>
          <w:b w:val="0"/>
          <w:bCs/>
          <w:color w:val="000000"/>
          <w:sz w:val="32"/>
          <w:szCs w:val="32"/>
        </w:rPr>
        <w:t xml:space="preserve"> 支出决算为</w:t>
      </w:r>
      <w:r>
        <w:rPr>
          <w:rStyle w:val="17"/>
          <w:rFonts w:ascii="仿宋" w:hAnsi="仿宋" w:eastAsia="仿宋" w:cs="仿宋"/>
          <w:b w:val="0"/>
          <w:bCs/>
          <w:color w:val="000000"/>
          <w:sz w:val="32"/>
          <w:szCs w:val="32"/>
          <w:lang w:val="en-US" w:eastAsia="zh-CN"/>
        </w:rPr>
        <w:t>0</w:t>
      </w:r>
      <w:r>
        <w:rPr>
          <w:rStyle w:val="17"/>
          <w:rFonts w:ascii="仿宋" w:hAnsi="仿宋" w:eastAsia="仿宋" w:cs="仿宋"/>
          <w:b w:val="0"/>
          <w:bCs/>
          <w:color w:val="000000"/>
          <w:sz w:val="32"/>
          <w:szCs w:val="32"/>
        </w:rPr>
        <w:t>万元，完成预算</w:t>
      </w:r>
      <w:r>
        <w:rPr>
          <w:rStyle w:val="17"/>
          <w:rFonts w:ascii="仿宋" w:hAnsi="仿宋" w:eastAsia="仿宋" w:cs="仿宋"/>
          <w:b w:val="0"/>
          <w:bCs/>
          <w:color w:val="000000"/>
          <w:sz w:val="32"/>
          <w:szCs w:val="32"/>
          <w:lang w:val="en-US" w:eastAsia="zh-CN"/>
        </w:rPr>
        <w:t>0</w:t>
      </w:r>
      <w:r>
        <w:rPr>
          <w:rStyle w:val="17"/>
          <w:rFonts w:ascii="仿宋" w:hAnsi="仿宋" w:eastAsia="仿宋" w:cs="仿宋"/>
          <w:b w:val="0"/>
          <w:bCs/>
          <w:color w:val="000000"/>
          <w:sz w:val="32"/>
          <w:szCs w:val="32"/>
        </w:rPr>
        <w:t>%。</w:t>
      </w:r>
    </w:p>
    <w:p w14:paraId="76A3431D">
      <w:pPr>
        <w:spacing w:line="600" w:lineRule="exact"/>
        <w:ind w:firstLine="643"/>
        <w:rPr>
          <w:rFonts w:ascii="仿宋" w:hAnsi="仿宋" w:eastAsia="仿宋" w:cs="仿宋"/>
          <w:b/>
          <w:color w:val="000000"/>
          <w:sz w:val="32"/>
          <w:szCs w:val="32"/>
          <w:highlight w:val="none"/>
        </w:rPr>
      </w:pPr>
      <w:r>
        <w:rPr>
          <w:rStyle w:val="17"/>
          <w:rFonts w:ascii="仿宋" w:hAnsi="仿宋" w:eastAsia="仿宋" w:cs="仿宋"/>
          <w:bCs/>
          <w:color w:val="000000"/>
          <w:sz w:val="32"/>
          <w:szCs w:val="32"/>
        </w:rPr>
        <w:t>4.文化旅游体育与传媒（类）***（款）***（项）</w:t>
      </w:r>
      <w:r>
        <w:rPr>
          <w:rStyle w:val="17"/>
          <w:rFonts w:ascii="仿宋" w:hAnsi="仿宋" w:eastAsia="仿宋" w:cs="仿宋"/>
          <w:bCs/>
          <w:color w:val="000000"/>
          <w:sz w:val="32"/>
          <w:szCs w:val="32"/>
          <w:lang w:eastAsia="zh-CN"/>
        </w:rPr>
        <w:t>：</w:t>
      </w:r>
      <w:r>
        <w:rPr>
          <w:rStyle w:val="17"/>
          <w:rFonts w:ascii="仿宋" w:hAnsi="仿宋" w:eastAsia="仿宋" w:cs="仿宋"/>
          <w:b w:val="0"/>
          <w:bCs/>
          <w:color w:val="000000"/>
          <w:sz w:val="32"/>
          <w:szCs w:val="32"/>
        </w:rPr>
        <w:t xml:space="preserve"> 支出决算为</w:t>
      </w:r>
      <w:r>
        <w:rPr>
          <w:rStyle w:val="17"/>
          <w:rFonts w:ascii="仿宋" w:hAnsi="仿宋" w:eastAsia="仿宋" w:cs="仿宋"/>
          <w:b w:val="0"/>
          <w:bCs/>
          <w:color w:val="000000"/>
          <w:sz w:val="32"/>
          <w:szCs w:val="32"/>
          <w:lang w:val="en-US" w:eastAsia="zh-CN"/>
        </w:rPr>
        <w:t>0</w:t>
      </w:r>
      <w:r>
        <w:rPr>
          <w:rStyle w:val="17"/>
          <w:rFonts w:ascii="仿宋" w:hAnsi="仿宋" w:eastAsia="仿宋" w:cs="仿宋"/>
          <w:b w:val="0"/>
          <w:bCs/>
          <w:color w:val="000000"/>
          <w:sz w:val="32"/>
          <w:szCs w:val="32"/>
        </w:rPr>
        <w:t>万元，完成预算</w:t>
      </w:r>
      <w:r>
        <w:rPr>
          <w:rStyle w:val="17"/>
          <w:rFonts w:ascii="仿宋" w:hAnsi="仿宋" w:eastAsia="仿宋" w:cs="仿宋"/>
          <w:b w:val="0"/>
          <w:bCs/>
          <w:color w:val="000000"/>
          <w:sz w:val="32"/>
          <w:szCs w:val="32"/>
          <w:lang w:val="en-US" w:eastAsia="zh-CN"/>
        </w:rPr>
        <w:t>0</w:t>
      </w:r>
      <w:r>
        <w:rPr>
          <w:rStyle w:val="17"/>
          <w:rFonts w:ascii="仿宋" w:hAnsi="仿宋" w:eastAsia="仿宋" w:cs="仿宋"/>
          <w:b w:val="0"/>
          <w:bCs/>
          <w:color w:val="000000"/>
          <w:sz w:val="32"/>
          <w:szCs w:val="32"/>
        </w:rPr>
        <w:t>%。</w:t>
      </w:r>
    </w:p>
    <w:p w14:paraId="41BD5A7F">
      <w:pPr>
        <w:spacing w:line="600" w:lineRule="exact"/>
        <w:ind w:firstLine="643"/>
        <w:rPr>
          <w:rFonts w:ascii="仿宋" w:hAnsi="仿宋" w:eastAsia="仿宋" w:cs="仿宋"/>
          <w:b/>
          <w:color w:val="000000"/>
          <w:sz w:val="32"/>
          <w:szCs w:val="32"/>
          <w:highlight w:val="none"/>
        </w:rPr>
      </w:pPr>
      <w:r>
        <w:rPr>
          <w:rStyle w:val="17"/>
          <w:rFonts w:ascii="仿宋" w:hAnsi="仿宋" w:eastAsia="仿宋" w:cs="仿宋"/>
          <w:bCs/>
          <w:color w:val="000000"/>
          <w:sz w:val="32"/>
          <w:szCs w:val="32"/>
        </w:rPr>
        <w:t>5.社会保障和就业（类）208（款）05（项）： 支出决算为63.59万元，完成预算100%，决算数等于预算数。</w:t>
      </w:r>
    </w:p>
    <w:p w14:paraId="515155BA">
      <w:pPr>
        <w:spacing w:line="600" w:lineRule="exact"/>
        <w:ind w:firstLine="643"/>
        <w:rPr>
          <w:rStyle w:val="17"/>
          <w:rFonts w:ascii="仿宋" w:hAnsi="仿宋" w:eastAsia="仿宋" w:cs="仿宋"/>
          <w:b w:val="0"/>
          <w:bCs/>
          <w:color w:val="000000"/>
          <w:sz w:val="32"/>
          <w:szCs w:val="32"/>
          <w:highlight w:val="none"/>
        </w:rPr>
      </w:pPr>
      <w:r>
        <w:rPr>
          <w:rStyle w:val="17"/>
          <w:rFonts w:ascii="仿宋" w:hAnsi="仿宋" w:eastAsia="仿宋" w:cs="仿宋"/>
          <w:bCs/>
          <w:color w:val="000000"/>
          <w:sz w:val="32"/>
          <w:szCs w:val="32"/>
        </w:rPr>
        <w:t>6.卫生健康（类）210（款）11（项）：支出决算为24.56万元，完成预算100%，决算数等于预算数。</w:t>
      </w:r>
    </w:p>
    <w:p w14:paraId="5F1BFAB1">
      <w:pPr>
        <w:spacing w:line="600" w:lineRule="exact"/>
        <w:ind w:firstLine="643"/>
        <w:rPr>
          <w:rStyle w:val="17"/>
          <w:rFonts w:ascii="仿宋" w:hAnsi="仿宋" w:eastAsia="仿宋" w:cs="Times New Roman"/>
          <w:b w:val="0"/>
          <w:bCs/>
          <w:color w:val="000000"/>
          <w:kern w:val="2"/>
          <w:sz w:val="32"/>
          <w:szCs w:val="32"/>
          <w:highlight w:val="none"/>
          <w:lang w:val="en-US" w:eastAsia="zh-CN" w:bidi="ar-SA"/>
        </w:rPr>
      </w:pPr>
      <w:r>
        <w:rPr>
          <w:rStyle w:val="17"/>
          <w:rFonts w:ascii="仿宋" w:hAnsi="仿宋" w:eastAsia="仿宋" w:cs="Times New Roman"/>
          <w:bCs/>
          <w:color w:val="000000"/>
          <w:kern w:val="2"/>
          <w:sz w:val="32"/>
          <w:szCs w:val="32"/>
          <w:lang w:val="en-US" w:eastAsia="zh-CN" w:bidi="ar-SA"/>
        </w:rPr>
        <w:t>7.住房保障（类）221（款）02（项）：支出决算为38.34万元，完成预算100%，决算数等于预算数。</w:t>
      </w:r>
    </w:p>
    <w:p w14:paraId="475F8EA8">
      <w:pPr>
        <w:spacing w:line="600" w:lineRule="exact"/>
        <w:ind w:firstLine="643"/>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（注：数据来源于财决01-1表</w:t>
      </w:r>
      <w:r>
        <w:rPr>
          <w:rFonts w:ascii="仿宋" w:hAnsi="仿宋" w:eastAsia="仿宋" w:cs="仿宋"/>
          <w:b/>
          <w:color w:val="000000"/>
          <w:sz w:val="32"/>
          <w:szCs w:val="32"/>
          <w:lang w:eastAsia="zh-CN"/>
        </w:rPr>
        <w:t>和财决</w:t>
      </w:r>
      <w:r>
        <w:rPr>
          <w:rFonts w:ascii="仿宋" w:hAnsi="仿宋" w:eastAsia="仿宋" w:cs="仿宋"/>
          <w:b/>
          <w:color w:val="000000"/>
          <w:sz w:val="32"/>
          <w:szCs w:val="32"/>
          <w:lang w:val="en-US" w:eastAsia="zh-CN"/>
        </w:rPr>
        <w:t>08表</w:t>
      </w:r>
      <w:r>
        <w:rPr>
          <w:rFonts w:ascii="仿宋" w:hAnsi="仿宋" w:eastAsia="仿宋" w:cs="仿宋"/>
          <w:b/>
          <w:color w:val="000000"/>
          <w:sz w:val="32"/>
          <w:szCs w:val="32"/>
        </w:rPr>
        <w:t>，</w:t>
      </w:r>
      <w:r>
        <w:rPr>
          <w:rFonts w:ascii="仿宋" w:hAnsi="仿宋" w:eastAsia="仿宋" w:cs="仿宋"/>
          <w:b/>
          <w:color w:val="000000"/>
          <w:sz w:val="32"/>
          <w:szCs w:val="32"/>
          <w:lang w:eastAsia="zh-CN"/>
        </w:rPr>
        <w:t>仅</w:t>
      </w:r>
      <w:r>
        <w:rPr>
          <w:rFonts w:ascii="仿宋" w:hAnsi="仿宋" w:eastAsia="仿宋" w:cs="仿宋"/>
          <w:b/>
          <w:color w:val="000000"/>
          <w:sz w:val="32"/>
          <w:szCs w:val="32"/>
        </w:rPr>
        <w:t>罗列</w:t>
      </w:r>
      <w:r>
        <w:rPr>
          <w:rFonts w:ascii="仿宋" w:hAnsi="仿宋" w:eastAsia="仿宋" w:cs="仿宋"/>
          <w:b/>
          <w:color w:val="000000"/>
          <w:sz w:val="32"/>
          <w:szCs w:val="32"/>
          <w:lang w:eastAsia="zh-CN"/>
        </w:rPr>
        <w:t>本单位涉及的</w:t>
      </w:r>
      <w:r>
        <w:rPr>
          <w:rFonts w:ascii="仿宋" w:hAnsi="仿宋" w:eastAsia="仿宋" w:cs="仿宋"/>
          <w:b/>
          <w:color w:val="000000"/>
          <w:sz w:val="32"/>
          <w:szCs w:val="32"/>
        </w:rPr>
        <w:t>全部功能分类科目</w:t>
      </w:r>
      <w:r>
        <w:rPr>
          <w:rFonts w:ascii="仿宋" w:hAnsi="仿宋" w:eastAsia="仿宋" w:cs="仿宋"/>
          <w:b/>
          <w:color w:val="000000"/>
          <w:sz w:val="32"/>
          <w:szCs w:val="32"/>
          <w:lang w:eastAsia="zh-CN"/>
        </w:rPr>
        <w:t>，</w:t>
      </w:r>
      <w:r>
        <w:rPr>
          <w:rFonts w:ascii="仿宋" w:hAnsi="仿宋" w:eastAsia="仿宋" w:cs="仿宋"/>
          <w:b/>
          <w:color w:val="000000"/>
          <w:sz w:val="32"/>
          <w:szCs w:val="32"/>
        </w:rPr>
        <w:t>至项级。上述“预算”口径为</w:t>
      </w:r>
      <w:r>
        <w:rPr>
          <w:rFonts w:ascii="仿宋" w:hAnsi="仿宋" w:eastAsia="仿宋" w:cs="仿宋"/>
          <w:b/>
          <w:color w:val="000000"/>
          <w:sz w:val="32"/>
          <w:szCs w:val="32"/>
          <w:lang w:eastAsia="zh-CN"/>
        </w:rPr>
        <w:t>全年预算</w:t>
      </w:r>
      <w:r>
        <w:rPr>
          <w:rFonts w:ascii="仿宋" w:hAnsi="仿宋" w:eastAsia="仿宋" w:cs="仿宋"/>
          <w:b/>
          <w:color w:val="000000"/>
          <w:sz w:val="32"/>
          <w:szCs w:val="32"/>
        </w:rPr>
        <w:t>数。增减变动原因为决算数</w:t>
      </w:r>
      <w:r>
        <w:rPr>
          <w:rFonts w:ascii="仿宋" w:hAnsi="仿宋" w:eastAsia="仿宋" w:cs="仿宋"/>
          <w:b/>
          <w:color w:val="000000"/>
          <w:sz w:val="32"/>
          <w:szCs w:val="32"/>
          <w:lang w:eastAsia="zh-CN"/>
        </w:rPr>
        <w:t>〈</w:t>
      </w:r>
      <w:r>
        <w:rPr>
          <w:rFonts w:ascii="仿宋" w:hAnsi="仿宋" w:eastAsia="仿宋" w:cs="仿宋"/>
          <w:b/>
          <w:color w:val="000000"/>
          <w:sz w:val="32"/>
          <w:szCs w:val="32"/>
        </w:rPr>
        <w:t>项级</w:t>
      </w:r>
      <w:r>
        <w:rPr>
          <w:rFonts w:ascii="仿宋" w:hAnsi="仿宋" w:eastAsia="仿宋" w:cs="仿宋"/>
          <w:b/>
          <w:color w:val="000000"/>
          <w:sz w:val="32"/>
          <w:szCs w:val="32"/>
          <w:lang w:eastAsia="zh-CN"/>
        </w:rPr>
        <w:t>〉</w:t>
      </w:r>
      <w:r>
        <w:rPr>
          <w:rFonts w:ascii="仿宋" w:hAnsi="仿宋" w:eastAsia="仿宋" w:cs="仿宋"/>
          <w:b/>
          <w:color w:val="000000"/>
          <w:sz w:val="32"/>
          <w:szCs w:val="32"/>
        </w:rPr>
        <w:t>和</w:t>
      </w:r>
      <w:r>
        <w:rPr>
          <w:rFonts w:ascii="仿宋" w:hAnsi="仿宋" w:eastAsia="仿宋" w:cs="仿宋"/>
          <w:b/>
          <w:color w:val="000000"/>
          <w:sz w:val="32"/>
          <w:szCs w:val="32"/>
          <w:lang w:eastAsia="zh-CN"/>
        </w:rPr>
        <w:t>全年预算</w:t>
      </w:r>
      <w:r>
        <w:rPr>
          <w:rFonts w:ascii="仿宋" w:hAnsi="仿宋" w:eastAsia="仿宋" w:cs="仿宋"/>
          <w:b/>
          <w:color w:val="000000"/>
          <w:sz w:val="32"/>
          <w:szCs w:val="32"/>
        </w:rPr>
        <w:t>数</w:t>
      </w:r>
      <w:r>
        <w:rPr>
          <w:rFonts w:ascii="仿宋" w:hAnsi="仿宋" w:eastAsia="仿宋" w:cs="仿宋"/>
          <w:b/>
          <w:color w:val="000000"/>
          <w:sz w:val="32"/>
          <w:szCs w:val="32"/>
          <w:lang w:eastAsia="zh-CN"/>
        </w:rPr>
        <w:t>〈</w:t>
      </w:r>
      <w:r>
        <w:rPr>
          <w:rFonts w:ascii="仿宋" w:hAnsi="仿宋" w:eastAsia="仿宋" w:cs="仿宋"/>
          <w:b/>
          <w:color w:val="000000"/>
          <w:sz w:val="32"/>
          <w:szCs w:val="32"/>
        </w:rPr>
        <w:t>项级</w:t>
      </w:r>
      <w:r>
        <w:rPr>
          <w:rFonts w:ascii="仿宋" w:hAnsi="仿宋" w:eastAsia="仿宋" w:cs="仿宋"/>
          <w:b/>
          <w:color w:val="000000"/>
          <w:sz w:val="32"/>
          <w:szCs w:val="32"/>
          <w:lang w:eastAsia="zh-CN"/>
        </w:rPr>
        <w:t>〉</w:t>
      </w:r>
      <w:r>
        <w:rPr>
          <w:rFonts w:ascii="仿宋" w:hAnsi="仿宋" w:eastAsia="仿宋" w:cs="仿宋"/>
          <w:b/>
          <w:color w:val="000000"/>
          <w:sz w:val="32"/>
          <w:szCs w:val="32"/>
        </w:rPr>
        <w:t>比较，与预算数持平可以不写原因。）</w:t>
      </w:r>
    </w:p>
    <w:p w14:paraId="2E0156F6">
      <w:pPr>
        <w:spacing w:line="600" w:lineRule="exact"/>
        <w:ind w:firstLine="640"/>
        <w:rPr>
          <w:rFonts w:ascii="仿宋" w:hAnsi="仿宋" w:eastAsia="仿宋" w:cs="仿宋"/>
          <w:b/>
          <w:color w:val="000000"/>
          <w:sz w:val="32"/>
          <w:szCs w:val="32"/>
          <w:highlight w:val="none"/>
        </w:rPr>
      </w:pPr>
    </w:p>
    <w:p w14:paraId="08F1660E">
      <w:pPr>
        <w:numPr>
          <w:ilvl w:val="0"/>
          <w:numId w:val="0"/>
        </w:numPr>
        <w:tabs>
          <w:tab w:val="right" w:pos="8306"/>
        </w:tabs>
        <w:spacing w:line="600" w:lineRule="exact"/>
        <w:ind w:firstLine="640"/>
        <w:outlineLvl w:val="1"/>
        <w:rPr>
          <w:rStyle w:val="19"/>
          <w:color w:val="000000"/>
          <w:highlight w:val="none"/>
        </w:rPr>
      </w:pPr>
      <w:r>
        <w:rPr>
          <w:rFonts w:ascii="黑体" w:hAnsi="黑体" w:eastAsia="黑体"/>
          <w:color w:val="000000"/>
          <w:sz w:val="32"/>
          <w:szCs w:val="32"/>
        </w:rPr>
        <w:t>六</w:t>
      </w:r>
      <w:r>
        <w:rPr>
          <w:rFonts w:ascii="黑体" w:hAnsi="黑体" w:eastAsia="黑体"/>
          <w:b/>
          <w:color w:val="000000"/>
          <w:sz w:val="32"/>
          <w:szCs w:val="32"/>
        </w:rPr>
        <w:t>、</w:t>
      </w:r>
      <w:r>
        <w:rPr>
          <w:rFonts w:ascii="黑体" w:hAnsi="黑体" w:eastAsia="黑体" w:cs="黑体"/>
          <w:b/>
          <w:color w:val="000000"/>
          <w:sz w:val="32"/>
          <w:szCs w:val="32"/>
        </w:rPr>
        <w:t>一</w:t>
      </w:r>
      <w:r>
        <w:rPr>
          <w:rStyle w:val="19"/>
          <w:rFonts w:ascii="黑体" w:hAnsi="黑体" w:eastAsia="黑体" w:cs="黑体"/>
          <w:b w:val="0"/>
          <w:color w:val="000000"/>
        </w:rPr>
        <w:t>般公共预算财政拨款基本支出决算情况说明</w:t>
      </w:r>
      <w:r>
        <w:rPr>
          <w:rStyle w:val="19"/>
          <w:rFonts w:ascii="黑体" w:hAnsi="黑体" w:eastAsia="黑体" w:cs="黑体"/>
          <w:b w:val="0"/>
          <w:color w:val="000000"/>
        </w:rPr>
        <w:tab/>
      </w:r>
    </w:p>
    <w:p w14:paraId="286D535C">
      <w:pPr>
        <w:spacing w:line="600" w:lineRule="exact"/>
        <w:ind w:firstLine="645"/>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2025年度一般公共预算财政拨款基本支出485.28万元，其中：</w:t>
      </w:r>
    </w:p>
    <w:p w14:paraId="7617E25F">
      <w:pPr>
        <w:spacing w:line="600" w:lineRule="exact"/>
        <w:ind w:firstLine="645"/>
        <w:rPr>
          <w:rFonts w:ascii="仿宋" w:hAnsi="仿宋" w:eastAsia="仿宋" w:cs="仿宋"/>
          <w:color w:val="000000"/>
          <w:sz w:val="32"/>
          <w:szCs w:val="32"/>
          <w:highlight w:val="none"/>
        </w:rPr>
      </w:pPr>
      <w:r>
        <w:rPr>
          <w:rFonts w:ascii="仿宋" w:hAnsi="仿宋" w:eastAsia="仿宋" w:cs="仿宋"/>
          <w:color w:val="000000"/>
          <w:sz w:val="32"/>
          <w:szCs w:val="32"/>
        </w:rPr>
        <w:t>人员经费463.46万元，主要包括：基本工资97.86万元、津贴补贴69.40万元、奖金100.98万元、绩效工资66.62万元、机关事业单位基本养老保险缴费42.82万元、职业年金缴费20.76万元、职工基本医疗保险缴费20.77万元、其他社会保障缴费2.11万元、医疗费3.79万元、住房公积金38.34万元、奖励金0.01万元。</w:t>
      </w:r>
      <w:r>
        <w:rPr>
          <w:rFonts w:ascii="仿宋" w:hAnsi="仿宋" w:eastAsia="仿宋" w:cs="仿宋"/>
          <w:color w:val="000000"/>
          <w:sz w:val="32"/>
          <w:szCs w:val="32"/>
        </w:rPr>
        <w:br w:type="textWrapping"/>
      </w:r>
      <w:r>
        <w:rPr>
          <w:rFonts w:ascii="仿宋" w:hAnsi="仿宋" w:eastAsia="仿宋" w:cs="仿宋"/>
          <w:color w:val="000000"/>
          <w:sz w:val="32"/>
          <w:szCs w:val="32"/>
        </w:rPr>
        <w:t>　　公用经费21.82万元，主要包括：办公费5.50万元、电费2.00万元、邮电费1.26万元、取暖费3.60万元、差旅费1.26万元、工会经费3.62万元、福利费1.07万元、其他交通费用3.50万元。</w:t>
      </w:r>
    </w:p>
    <w:p w14:paraId="68C1B62B">
      <w:pPr>
        <w:spacing w:line="600" w:lineRule="exact"/>
        <w:ind w:firstLine="645"/>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（注：数据来源于财决07表</w:t>
      </w:r>
      <w:r>
        <w:rPr>
          <w:rFonts w:ascii="仿宋" w:hAnsi="仿宋" w:eastAsia="仿宋" w:cs="仿宋"/>
          <w:b/>
          <w:color w:val="000000"/>
          <w:sz w:val="32"/>
          <w:szCs w:val="32"/>
          <w:lang w:eastAsia="zh-CN"/>
        </w:rPr>
        <w:t>和财决</w:t>
      </w:r>
      <w:r>
        <w:rPr>
          <w:rFonts w:ascii="仿宋" w:hAnsi="仿宋" w:eastAsia="仿宋" w:cs="仿宋"/>
          <w:b/>
          <w:color w:val="000000"/>
          <w:sz w:val="32"/>
          <w:szCs w:val="32"/>
          <w:lang w:val="en-US" w:eastAsia="zh-CN"/>
        </w:rPr>
        <w:t>08-1表</w:t>
      </w:r>
      <w:r>
        <w:rPr>
          <w:rFonts w:ascii="仿宋" w:hAnsi="仿宋" w:eastAsia="仿宋" w:cs="仿宋"/>
          <w:b/>
          <w:color w:val="000000"/>
          <w:sz w:val="32"/>
          <w:szCs w:val="32"/>
        </w:rPr>
        <w:t>，</w:t>
      </w:r>
      <w:r>
        <w:rPr>
          <w:rFonts w:ascii="仿宋" w:hAnsi="仿宋" w:eastAsia="仿宋" w:cs="仿宋"/>
          <w:b/>
          <w:color w:val="000000"/>
          <w:sz w:val="32"/>
          <w:szCs w:val="32"/>
          <w:lang w:eastAsia="zh-CN"/>
        </w:rPr>
        <w:t>仅罗列</w:t>
      </w:r>
      <w:r>
        <w:rPr>
          <w:rFonts w:ascii="仿宋" w:hAnsi="仿宋" w:eastAsia="仿宋" w:cs="仿宋"/>
          <w:b/>
          <w:color w:val="000000"/>
          <w:sz w:val="32"/>
          <w:szCs w:val="32"/>
        </w:rPr>
        <w:t>本</w:t>
      </w:r>
      <w:r>
        <w:rPr>
          <w:rFonts w:ascii="仿宋" w:hAnsi="仿宋" w:eastAsia="仿宋" w:cs="仿宋"/>
          <w:b/>
          <w:color w:val="000000"/>
          <w:sz w:val="32"/>
          <w:szCs w:val="32"/>
          <w:lang w:eastAsia="zh-CN"/>
        </w:rPr>
        <w:t>单位</w:t>
      </w:r>
      <w:r>
        <w:rPr>
          <w:rFonts w:ascii="仿宋" w:hAnsi="仿宋" w:eastAsia="仿宋" w:cs="仿宋"/>
          <w:b/>
          <w:color w:val="000000"/>
          <w:sz w:val="32"/>
          <w:szCs w:val="32"/>
        </w:rPr>
        <w:t>实际支出</w:t>
      </w:r>
      <w:r>
        <w:rPr>
          <w:rFonts w:ascii="仿宋" w:hAnsi="仿宋" w:eastAsia="仿宋" w:cs="仿宋"/>
          <w:b/>
          <w:color w:val="000000"/>
          <w:sz w:val="32"/>
          <w:szCs w:val="32"/>
          <w:lang w:eastAsia="zh-CN"/>
        </w:rPr>
        <w:t>涉及的</w:t>
      </w:r>
      <w:r>
        <w:rPr>
          <w:rFonts w:ascii="仿宋" w:hAnsi="仿宋" w:eastAsia="仿宋" w:cs="仿宋"/>
          <w:b/>
          <w:color w:val="000000"/>
          <w:sz w:val="32"/>
          <w:szCs w:val="32"/>
        </w:rPr>
        <w:t>经济分类科目。）</w:t>
      </w:r>
    </w:p>
    <w:p w14:paraId="26F0FD92">
      <w:pPr>
        <w:spacing w:line="600" w:lineRule="exact"/>
        <w:ind w:firstLine="640"/>
        <w:rPr>
          <w:rFonts w:ascii="仿宋" w:hAnsi="仿宋" w:eastAsia="仿宋" w:cs="仿宋"/>
          <w:b/>
          <w:color w:val="000000"/>
          <w:sz w:val="32"/>
          <w:szCs w:val="32"/>
          <w:highlight w:val="none"/>
        </w:rPr>
      </w:pPr>
    </w:p>
    <w:p w14:paraId="56135EE4">
      <w:pPr>
        <w:numPr>
          <w:ilvl w:val="0"/>
          <w:numId w:val="0"/>
        </w:numPr>
        <w:spacing w:line="600" w:lineRule="exact"/>
        <w:ind w:firstLine="640"/>
        <w:outlineLvl w:val="1"/>
        <w:rPr>
          <w:rStyle w:val="19"/>
          <w:rFonts w:ascii="黑体" w:hAnsi="黑体" w:eastAsia="黑体" w:cs="黑体"/>
          <w:b w:val="0"/>
          <w:color w:val="000000"/>
          <w:highlight w:val="none"/>
        </w:rPr>
      </w:pPr>
      <w:r>
        <w:rPr>
          <w:rFonts w:ascii="黑体" w:hAnsi="黑体" w:eastAsia="黑体"/>
          <w:color w:val="000000"/>
          <w:sz w:val="32"/>
          <w:szCs w:val="32"/>
        </w:rPr>
        <w:t>七、</w:t>
      </w:r>
      <w:r>
        <w:rPr>
          <w:rStyle w:val="19"/>
          <w:rFonts w:ascii="黑体" w:hAnsi="黑体" w:eastAsia="黑体" w:cs="黑体"/>
          <w:b w:val="0"/>
          <w:color w:val="000000"/>
        </w:rPr>
        <w:t>财政拨款</w:t>
      </w:r>
      <w:r>
        <w:rPr>
          <w:rStyle w:val="19"/>
          <w:rFonts w:ascii="黑体" w:hAnsi="黑体" w:eastAsia="黑体" w:cs="黑体"/>
          <w:color w:val="000000"/>
        </w:rPr>
        <w:t>“</w:t>
      </w:r>
      <w:r>
        <w:rPr>
          <w:rStyle w:val="19"/>
          <w:rFonts w:ascii="黑体" w:hAnsi="黑体" w:eastAsia="黑体" w:cs="黑体"/>
          <w:b w:val="0"/>
          <w:color w:val="000000"/>
        </w:rPr>
        <w:t>三公”经费支出决算情况说明</w:t>
      </w:r>
    </w:p>
    <w:p w14:paraId="53958279">
      <w:pPr>
        <w:numPr>
          <w:ilvl w:val="0"/>
          <w:numId w:val="0"/>
        </w:numPr>
        <w:spacing w:line="600" w:lineRule="exact"/>
        <w:ind w:firstLine="640"/>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（一）“三公”经费财政拨款支出决算总体情况说明</w:t>
      </w:r>
    </w:p>
    <w:p w14:paraId="3670EDEA">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2025年度“三公”经费财政拨款支出决算为0万元，完成预算0%，较上年度增加/减少0万元，增长/下降0%。</w:t>
      </w:r>
    </w:p>
    <w:p w14:paraId="4299BF3B">
      <w:pPr>
        <w:spacing w:line="600" w:lineRule="exact"/>
        <w:ind w:firstLine="640"/>
        <w:rPr>
          <w:rFonts w:ascii="仿宋" w:hAnsi="仿宋" w:eastAsia="仿宋" w:cs="仿宋"/>
          <w:b/>
          <w:color w:val="000000"/>
          <w:sz w:val="32"/>
          <w:szCs w:val="32"/>
          <w:highlight w:val="none"/>
        </w:rPr>
      </w:pPr>
      <w:r>
        <w:rPr>
          <w:rFonts w:ascii="仿宋" w:hAnsi="仿宋" w:eastAsia="仿宋" w:cs="仿宋"/>
          <w:b/>
          <w:color w:val="000000"/>
          <w:sz w:val="32"/>
          <w:szCs w:val="32"/>
        </w:rPr>
        <w:t>（注：上述“预算”口径为</w:t>
      </w:r>
      <w:r>
        <w:rPr>
          <w:rFonts w:ascii="仿宋" w:hAnsi="仿宋" w:eastAsia="仿宋" w:cs="仿宋"/>
          <w:b/>
          <w:color w:val="000000"/>
          <w:sz w:val="32"/>
          <w:szCs w:val="32"/>
          <w:lang w:eastAsia="zh-CN"/>
        </w:rPr>
        <w:t>全年预算</w:t>
      </w:r>
      <w:r>
        <w:rPr>
          <w:rFonts w:ascii="仿宋" w:hAnsi="仿宋" w:eastAsia="仿宋" w:cs="仿宋"/>
          <w:b/>
          <w:color w:val="000000"/>
          <w:sz w:val="32"/>
          <w:szCs w:val="32"/>
        </w:rPr>
        <w:t>数，包括</w:t>
      </w:r>
      <w:r>
        <w:rPr>
          <w:rFonts w:ascii="仿宋" w:hAnsi="仿宋" w:eastAsia="仿宋" w:cs="仿宋"/>
          <w:b/>
          <w:color w:val="000000"/>
          <w:sz w:val="32"/>
          <w:szCs w:val="32"/>
          <w:lang w:eastAsia="zh-CN"/>
        </w:rPr>
        <w:t>一般公共预算和</w:t>
      </w:r>
      <w:r>
        <w:rPr>
          <w:rFonts w:ascii="仿宋" w:hAnsi="仿宋" w:eastAsia="仿宋" w:cs="仿宋"/>
          <w:b/>
          <w:color w:val="000000"/>
          <w:sz w:val="32"/>
          <w:szCs w:val="32"/>
        </w:rPr>
        <w:t>政府性基金</w:t>
      </w:r>
      <w:r>
        <w:rPr>
          <w:rFonts w:ascii="仿宋" w:hAnsi="仿宋" w:eastAsia="仿宋" w:cs="仿宋"/>
          <w:b/>
          <w:color w:val="000000"/>
          <w:sz w:val="32"/>
          <w:szCs w:val="32"/>
          <w:lang w:eastAsia="zh-CN"/>
        </w:rPr>
        <w:t>预算财政拨款</w:t>
      </w:r>
      <w:r>
        <w:rPr>
          <w:rFonts w:ascii="仿宋" w:hAnsi="仿宋" w:eastAsia="仿宋" w:cs="仿宋"/>
          <w:b/>
          <w:color w:val="000000"/>
          <w:sz w:val="32"/>
          <w:szCs w:val="32"/>
        </w:rPr>
        <w:t>支出决算情况。）</w:t>
      </w:r>
    </w:p>
    <w:p w14:paraId="77B6D965">
      <w:pPr>
        <w:numPr>
          <w:ilvl w:val="0"/>
          <w:numId w:val="0"/>
        </w:numPr>
        <w:spacing w:line="600" w:lineRule="exact"/>
        <w:ind w:firstLine="640"/>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（二）“三公”经费财政拨款支出决算具体情况说明</w:t>
      </w:r>
    </w:p>
    <w:p w14:paraId="6DEE4EA2">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lang w:eastAsia="zh-CN"/>
        </w:rPr>
        <w:t>2025年度“三公”经费财政拨款支出决算中，因公出国（境）费支出决算0万元，占0%；公务用车购置及运行维护费支出决算0万元，占0%；公务接待费支出决算0万元，占0%。具体情况如下：</w:t>
      </w:r>
    </w:p>
    <w:p w14:paraId="7D41217C">
      <w:pPr>
        <w:pStyle w:val="2"/>
      </w:pPr>
      <w:r>
        <w:drawing>
          <wp:inline distT="0" distB="0" distL="0" distR="0">
            <wp:extent cx="4591050" cy="2762250"/>
            <wp:effectExtent l="0" t="0" r="0" b="0"/>
            <wp:docPr id="7" name="图表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表 10"/>
                    <pic:cNvPicPr>
                      <a:picLocks noChangeAspect="1" noChangeArrowheads="1"/>
                    </pic:cNvPicPr>
                  </pic:nvPicPr>
                  <pic:blipFill>
                    <a:blip r:embed="rId10"/>
                    <a:srcRect l="-8" t="-13" r="-8" b="-13"/>
                    <a:stretch>
                      <a:fillRect/>
                    </a:stretch>
                  </pic:blipFill>
                  <pic:spPr>
                    <a:xfrm>
                      <a:off x="0" y="0"/>
                      <a:ext cx="4591050" cy="2762250"/>
                    </a:xfrm>
                    <a:prstGeom prst="rect">
                      <a:avLst/>
                    </a:prstGeom>
                  </pic:spPr>
                </pic:pic>
              </a:graphicData>
            </a:graphic>
          </wp:inline>
        </w:drawing>
      </w:r>
    </w:p>
    <w:p w14:paraId="62830EA7">
      <w:pPr>
        <w:spacing w:line="600" w:lineRule="exact"/>
        <w:ind w:firstLine="640"/>
        <w:rPr>
          <w:rFonts w:ascii="仿宋" w:hAnsi="仿宋" w:eastAsia="仿宋" w:cs="仿宋"/>
          <w:color w:val="000000"/>
          <w:sz w:val="32"/>
          <w:szCs w:val="32"/>
          <w:highlight w:val="none"/>
        </w:rPr>
      </w:pPr>
      <w:r>
        <w:rPr>
          <w:rFonts w:ascii="仿宋" w:hAnsi="仿宋" w:eastAsia="仿宋" w:cs="仿宋"/>
          <w:color w:val="000000"/>
          <w:sz w:val="32"/>
          <w:szCs w:val="32"/>
        </w:rPr>
        <w:t>（图7：“三公”经费财政拨款支出结构）（饼状图）</w:t>
      </w:r>
    </w:p>
    <w:p w14:paraId="7F9E15C9">
      <w:pPr>
        <w:spacing w:line="600" w:lineRule="exact"/>
        <w:ind w:firstLine="640"/>
        <w:rPr>
          <w:rFonts w:ascii="仿宋" w:hAnsi="仿宋" w:eastAsia="仿宋"/>
          <w:color w:val="000000"/>
          <w:sz w:val="32"/>
          <w:szCs w:val="32"/>
          <w:highlight w:val="none"/>
        </w:rPr>
      </w:pPr>
      <w:r>
        <w:rPr>
          <w:rFonts w:ascii="仿宋" w:hAnsi="仿宋" w:eastAsia="仿宋"/>
          <w:b/>
          <w:color w:val="000000"/>
          <w:sz w:val="32"/>
          <w:szCs w:val="32"/>
        </w:rPr>
        <w:t>1.因公出国（境）经费支出0万元，完成预算0%。全年安排因公出国（境）团组0次，出国（境）0人。因公出国（境）支出决算比2024年度增加/减少0万元，增长/下降0%。</w:t>
      </w:r>
    </w:p>
    <w:p w14:paraId="5055DF43">
      <w:pPr>
        <w:spacing w:line="600" w:lineRule="exact"/>
        <w:ind w:firstLine="640"/>
        <w:rPr>
          <w:rFonts w:ascii="仿宋" w:hAnsi="仿宋" w:eastAsia="仿宋"/>
          <w:b/>
          <w:color w:val="000000"/>
          <w:sz w:val="32"/>
          <w:szCs w:val="32"/>
          <w:highlight w:val="none"/>
        </w:rPr>
      </w:pPr>
      <w:r>
        <w:rPr>
          <w:rFonts w:ascii="仿宋" w:hAnsi="仿宋" w:eastAsia="仿宋"/>
          <w:b/>
          <w:color w:val="000000"/>
          <w:sz w:val="32"/>
          <w:szCs w:val="32"/>
        </w:rPr>
        <w:t>2.公务用车购置及运行维护费支出</w:t>
      </w:r>
      <w:r>
        <w:rPr>
          <w:rFonts w:ascii="仿宋" w:hAnsi="仿宋" w:eastAsia="仿宋"/>
          <w:color w:val="000000"/>
          <w:sz w:val="32"/>
          <w:szCs w:val="32"/>
          <w:lang w:val="en-US" w:eastAsia="zh-CN"/>
        </w:rPr>
        <w:t>0</w:t>
      </w:r>
      <w:r>
        <w:rPr>
          <w:rFonts w:ascii="仿宋" w:hAnsi="仿宋" w:eastAsia="仿宋"/>
          <w:color w:val="000000"/>
          <w:sz w:val="32"/>
          <w:szCs w:val="32"/>
        </w:rPr>
        <w:t>万元</w:t>
      </w:r>
      <w:r>
        <w:rPr>
          <w:rFonts w:ascii="仿宋" w:hAnsi="仿宋" w:eastAsia="仿宋"/>
          <w:color w:val="000000"/>
          <w:sz w:val="32"/>
          <w:szCs w:val="32"/>
          <w:lang w:eastAsia="zh-CN"/>
        </w:rPr>
        <w:t>，</w:t>
      </w:r>
      <w:r>
        <w:rPr>
          <w:rStyle w:val="17"/>
          <w:rFonts w:ascii="仿宋" w:hAnsi="仿宋" w:eastAsia="仿宋" w:cs="仿宋"/>
          <w:b w:val="0"/>
          <w:bCs/>
          <w:color w:val="000000"/>
          <w:sz w:val="32"/>
          <w:szCs w:val="32"/>
        </w:rPr>
        <w:t>完成预算</w:t>
      </w:r>
      <w:r>
        <w:rPr>
          <w:rStyle w:val="17"/>
          <w:rFonts w:ascii="仿宋" w:hAnsi="仿宋" w:eastAsia="仿宋" w:cs="仿宋"/>
          <w:b w:val="0"/>
          <w:bCs/>
          <w:color w:val="000000"/>
          <w:sz w:val="32"/>
          <w:szCs w:val="32"/>
          <w:lang w:val="en-US" w:eastAsia="zh-CN"/>
        </w:rPr>
        <w:t>0</w:t>
      </w:r>
      <w:r>
        <w:rPr>
          <w:rStyle w:val="17"/>
          <w:rFonts w:ascii="仿宋" w:hAnsi="仿宋" w:eastAsia="仿宋" w:cs="仿宋"/>
          <w:b w:val="0"/>
          <w:bCs/>
          <w:color w:val="000000"/>
          <w:sz w:val="32"/>
          <w:szCs w:val="32"/>
        </w:rPr>
        <w:t>%。</w:t>
      </w:r>
    </w:p>
    <w:p w14:paraId="2E09E256">
      <w:pPr>
        <w:numPr>
          <w:ilvl w:val="0"/>
          <w:numId w:val="0"/>
        </w:numPr>
        <w:spacing w:line="600" w:lineRule="exact"/>
        <w:ind w:left="0" w:firstLine="643"/>
        <w:rPr>
          <w:rFonts w:ascii="仿宋" w:hAnsi="仿宋" w:eastAsia="仿宋"/>
          <w:color w:val="000000"/>
          <w:sz w:val="32"/>
          <w:szCs w:val="32"/>
          <w:highlight w:val="none"/>
        </w:rPr>
      </w:pPr>
      <w:r>
        <w:rPr>
          <w:rFonts w:ascii="仿宋" w:hAnsi="仿宋" w:eastAsia="仿宋"/>
          <w:b/>
          <w:color w:val="000000"/>
          <w:sz w:val="32"/>
          <w:szCs w:val="32"/>
          <w:lang w:val="en-US" w:eastAsia="zh-CN"/>
        </w:rPr>
        <w:t>3.公务接待费支出0万元，完成预算0%。公务接待费支出决算比2024年度增加/减少0万元，增长/下降0%。</w:t>
      </w:r>
    </w:p>
    <w:p w14:paraId="0FE48B3B">
      <w:pPr>
        <w:numPr>
          <w:ilvl w:val="0"/>
          <w:numId w:val="0"/>
        </w:numPr>
        <w:spacing w:line="600" w:lineRule="exact"/>
        <w:ind w:left="0" w:firstLine="643"/>
        <w:rPr>
          <w:rFonts w:ascii="仿宋" w:hAnsi="仿宋" w:eastAsia="仿宋"/>
          <w:color w:val="000000"/>
          <w:sz w:val="32"/>
          <w:szCs w:val="32"/>
          <w:highlight w:val="none"/>
        </w:rPr>
      </w:pPr>
      <w:r>
        <w:rPr>
          <w:rFonts w:ascii="仿宋" w:hAnsi="仿宋" w:eastAsia="仿宋" w:cs="仿宋"/>
          <w:b/>
          <w:color w:val="000000"/>
          <w:sz w:val="32"/>
          <w:szCs w:val="32"/>
        </w:rPr>
        <w:t>国内公务接待支出</w:t>
      </w:r>
      <w:r>
        <w:rPr>
          <w:rFonts w:ascii="仿宋" w:hAnsi="仿宋" w:eastAsia="仿宋" w:cs="仿宋"/>
          <w:color w:val="000000"/>
          <w:sz w:val="32"/>
          <w:szCs w:val="32"/>
          <w:lang w:val="en-US" w:eastAsia="zh-CN"/>
        </w:rPr>
        <w:t>0</w:t>
      </w:r>
      <w:r>
        <w:rPr>
          <w:rFonts w:ascii="仿宋" w:hAnsi="仿宋" w:eastAsia="仿宋"/>
          <w:color w:val="000000"/>
          <w:sz w:val="32"/>
          <w:szCs w:val="32"/>
        </w:rPr>
        <w:t>万元，主要用于……</w:t>
      </w:r>
      <w:r>
        <w:rPr>
          <w:rFonts w:ascii="仿宋" w:hAnsi="仿宋" w:eastAsia="仿宋"/>
          <w:color w:val="000000"/>
          <w:sz w:val="32"/>
          <w:szCs w:val="32"/>
          <w:lang w:eastAsia="zh-CN"/>
        </w:rPr>
        <w:t>（</w:t>
      </w:r>
      <w:r>
        <w:rPr>
          <w:rFonts w:ascii="仿宋" w:hAnsi="仿宋" w:eastAsia="仿宋"/>
          <w:color w:val="000000"/>
          <w:sz w:val="32"/>
          <w:szCs w:val="32"/>
        </w:rPr>
        <w:t>执行公务、开展业务活动开支的交通费、住宿费、用餐费等</w:t>
      </w:r>
      <w:r>
        <w:rPr>
          <w:rFonts w:ascii="仿宋" w:hAnsi="仿宋" w:eastAsia="仿宋"/>
          <w:color w:val="000000"/>
          <w:sz w:val="32"/>
          <w:szCs w:val="32"/>
          <w:lang w:eastAsia="zh-CN"/>
        </w:rPr>
        <w:t>）</w:t>
      </w:r>
      <w:r>
        <w:rPr>
          <w:rFonts w:ascii="仿宋" w:hAnsi="仿宋" w:eastAsia="仿宋"/>
          <w:color w:val="000000"/>
          <w:sz w:val="32"/>
          <w:szCs w:val="32"/>
        </w:rPr>
        <w:t>。国内公务接待</w:t>
      </w:r>
      <w:r>
        <w:rPr>
          <w:rFonts w:ascii="仿宋" w:hAnsi="仿宋" w:eastAsia="仿宋"/>
          <w:color w:val="000000"/>
          <w:sz w:val="32"/>
          <w:szCs w:val="32"/>
          <w:lang w:val="en-US" w:eastAsia="zh-CN"/>
        </w:rPr>
        <w:t>0</w:t>
      </w:r>
      <w:r>
        <w:rPr>
          <w:rFonts w:ascii="仿宋" w:hAnsi="仿宋" w:eastAsia="仿宋"/>
          <w:color w:val="000000"/>
          <w:sz w:val="32"/>
          <w:szCs w:val="32"/>
        </w:rPr>
        <w:t>批次，</w:t>
      </w:r>
      <w:r>
        <w:rPr>
          <w:rFonts w:ascii="仿宋" w:hAnsi="仿宋" w:eastAsia="仿宋"/>
          <w:color w:val="000000"/>
          <w:sz w:val="32"/>
          <w:szCs w:val="32"/>
          <w:lang w:val="en-US" w:eastAsia="zh-CN"/>
        </w:rPr>
        <w:t>0</w:t>
      </w:r>
      <w:r>
        <w:rPr>
          <w:rFonts w:ascii="仿宋" w:hAnsi="仿宋" w:eastAsia="仿宋"/>
          <w:color w:val="000000"/>
          <w:sz w:val="32"/>
          <w:szCs w:val="32"/>
        </w:rPr>
        <w:t>人次（不包括陪同人员），共计支出</w:t>
      </w:r>
      <w:r>
        <w:rPr>
          <w:rFonts w:ascii="仿宋" w:hAnsi="仿宋" w:eastAsia="仿宋"/>
          <w:color w:val="000000"/>
          <w:sz w:val="32"/>
          <w:szCs w:val="32"/>
          <w:lang w:val="en-US" w:eastAsia="zh-CN"/>
        </w:rPr>
        <w:t>0</w:t>
      </w:r>
      <w:r>
        <w:rPr>
          <w:rFonts w:ascii="仿宋" w:hAnsi="仿宋" w:eastAsia="仿宋"/>
          <w:color w:val="000000"/>
          <w:sz w:val="32"/>
          <w:szCs w:val="32"/>
        </w:rPr>
        <w:t>万元，具体内容包括：…（接待具体项目、金额）。</w:t>
      </w:r>
    </w:p>
    <w:p w14:paraId="21BE1C4C">
      <w:pPr>
        <w:spacing w:line="600" w:lineRule="exact"/>
        <w:ind w:firstLine="643"/>
        <w:rPr>
          <w:rFonts w:ascii="仿宋" w:hAnsi="仿宋" w:eastAsia="仿宋"/>
          <w:color w:val="000000"/>
          <w:sz w:val="32"/>
          <w:szCs w:val="32"/>
          <w:highlight w:val="none"/>
        </w:rPr>
      </w:pPr>
      <w:r>
        <w:rPr>
          <w:rFonts w:ascii="仿宋" w:hAnsi="仿宋" w:eastAsia="仿宋" w:cs="仿宋"/>
          <w:b/>
          <w:color w:val="000000"/>
          <w:sz w:val="32"/>
          <w:szCs w:val="32"/>
        </w:rPr>
        <w:t>外事接待支出</w:t>
      </w:r>
      <w:r>
        <w:rPr>
          <w:rFonts w:ascii="仿宋" w:hAnsi="仿宋" w:eastAsia="仿宋" w:cs="仿宋"/>
          <w:color w:val="000000"/>
          <w:sz w:val="32"/>
          <w:szCs w:val="32"/>
          <w:lang w:val="en-US" w:eastAsia="zh-CN"/>
        </w:rPr>
        <w:t>0</w:t>
      </w:r>
      <w:r>
        <w:rPr>
          <w:rFonts w:ascii="仿宋" w:hAnsi="仿宋" w:eastAsia="仿宋"/>
          <w:color w:val="000000"/>
          <w:sz w:val="32"/>
          <w:szCs w:val="32"/>
        </w:rPr>
        <w:t>万元，主要用于接待…（具体项目）</w:t>
      </w:r>
      <w:r>
        <w:rPr>
          <w:rFonts w:ascii="仿宋" w:hAnsi="仿宋" w:eastAsia="仿宋"/>
          <w:color w:val="000000"/>
          <w:sz w:val="32"/>
          <w:szCs w:val="32"/>
          <w:lang w:eastAsia="zh-CN"/>
        </w:rPr>
        <w:t>。</w:t>
      </w:r>
      <w:r>
        <w:rPr>
          <w:rFonts w:ascii="仿宋" w:hAnsi="仿宋" w:eastAsia="仿宋"/>
          <w:color w:val="000000"/>
          <w:sz w:val="32"/>
          <w:szCs w:val="32"/>
        </w:rPr>
        <w:t>外事接待</w:t>
      </w:r>
      <w:r>
        <w:rPr>
          <w:rFonts w:ascii="仿宋" w:hAnsi="仿宋" w:eastAsia="仿宋"/>
          <w:color w:val="000000"/>
          <w:sz w:val="32"/>
          <w:szCs w:val="32"/>
          <w:lang w:val="en-US" w:eastAsia="zh-CN"/>
        </w:rPr>
        <w:t>0</w:t>
      </w:r>
      <w:r>
        <w:rPr>
          <w:rFonts w:ascii="仿宋" w:hAnsi="仿宋" w:eastAsia="仿宋"/>
          <w:color w:val="000000"/>
          <w:sz w:val="32"/>
          <w:szCs w:val="32"/>
        </w:rPr>
        <w:t>批次，</w:t>
      </w:r>
      <w:r>
        <w:rPr>
          <w:rFonts w:ascii="仿宋" w:hAnsi="仿宋" w:eastAsia="仿宋"/>
          <w:color w:val="000000"/>
          <w:sz w:val="32"/>
          <w:szCs w:val="32"/>
          <w:lang w:val="en-US" w:eastAsia="zh-CN"/>
        </w:rPr>
        <w:t>0</w:t>
      </w:r>
      <w:r>
        <w:rPr>
          <w:rFonts w:ascii="仿宋" w:hAnsi="仿宋" w:eastAsia="仿宋"/>
          <w:color w:val="000000"/>
          <w:sz w:val="32"/>
          <w:szCs w:val="32"/>
        </w:rPr>
        <w:t>人</w:t>
      </w:r>
      <w:r>
        <w:rPr>
          <w:rFonts w:ascii="仿宋" w:hAnsi="仿宋" w:eastAsia="仿宋"/>
          <w:color w:val="000000"/>
          <w:sz w:val="32"/>
          <w:szCs w:val="32"/>
          <w:lang w:eastAsia="zh-CN"/>
        </w:rPr>
        <w:t>次（不包括陪同人员）</w:t>
      </w:r>
      <w:r>
        <w:rPr>
          <w:rFonts w:ascii="仿宋" w:hAnsi="仿宋" w:eastAsia="仿宋"/>
          <w:color w:val="000000"/>
          <w:sz w:val="32"/>
          <w:szCs w:val="32"/>
        </w:rPr>
        <w:t>，共计支出</w:t>
      </w:r>
      <w:r>
        <w:rPr>
          <w:rFonts w:ascii="仿宋" w:hAnsi="仿宋" w:eastAsia="仿宋"/>
          <w:color w:val="000000"/>
          <w:sz w:val="32"/>
          <w:szCs w:val="32"/>
          <w:lang w:val="en-US" w:eastAsia="zh-CN"/>
        </w:rPr>
        <w:t>0</w:t>
      </w:r>
      <w:r>
        <w:rPr>
          <w:rFonts w:ascii="仿宋" w:hAnsi="仿宋" w:eastAsia="仿宋"/>
          <w:color w:val="000000"/>
          <w:sz w:val="32"/>
          <w:szCs w:val="32"/>
        </w:rPr>
        <w:t>万元。</w:t>
      </w:r>
    </w:p>
    <w:p w14:paraId="42E20CA6">
      <w:pPr>
        <w:numPr>
          <w:ilvl w:val="0"/>
          <w:numId w:val="0"/>
        </w:numPr>
        <w:spacing w:line="600" w:lineRule="exact"/>
        <w:outlineLvl w:val="1"/>
        <w:rPr>
          <w:rFonts w:ascii="黑体" w:hAnsi="黑体" w:eastAsia="黑体"/>
          <w:color w:val="000000"/>
          <w:sz w:val="32"/>
          <w:szCs w:val="32"/>
          <w:highlight w:val="none"/>
          <w:lang w:val="en-US" w:eastAsia="zh-CN"/>
        </w:rPr>
      </w:pPr>
    </w:p>
    <w:p w14:paraId="06653359">
      <w:pPr>
        <w:numPr>
          <w:ilvl w:val="0"/>
          <w:numId w:val="0"/>
        </w:numPr>
        <w:spacing w:line="600" w:lineRule="exact"/>
        <w:ind w:firstLine="640"/>
        <w:outlineLvl w:val="1"/>
        <w:rPr>
          <w:rStyle w:val="19"/>
          <w:rFonts w:ascii="黑体" w:hAnsi="黑体" w:eastAsia="黑体" w:cs="黑体"/>
          <w:color w:val="000000"/>
          <w:highlight w:val="none"/>
        </w:rPr>
      </w:pPr>
      <w:r>
        <w:rPr>
          <w:rFonts w:ascii="黑体" w:hAnsi="黑体" w:eastAsia="黑体"/>
          <w:color w:val="000000"/>
          <w:sz w:val="32"/>
          <w:szCs w:val="32"/>
        </w:rPr>
        <w:t>八、</w:t>
      </w:r>
      <w:r>
        <w:rPr>
          <w:rStyle w:val="19"/>
          <w:rFonts w:ascii="黑体" w:hAnsi="黑体" w:eastAsia="黑体" w:cs="黑体"/>
          <w:b w:val="0"/>
          <w:color w:val="000000"/>
        </w:rPr>
        <w:t>政府性基金预算支出决算情况说明</w:t>
      </w:r>
    </w:p>
    <w:p w14:paraId="3A5C4A25">
      <w:pPr>
        <w:spacing w:line="600" w:lineRule="exact"/>
        <w:ind w:firstLine="640"/>
        <w:rPr>
          <w:rFonts w:ascii="仿宋" w:hAnsi="仿宋" w:eastAsia="仿宋"/>
          <w:color w:val="000000"/>
          <w:sz w:val="32"/>
          <w:szCs w:val="32"/>
          <w:highlight w:val="none"/>
        </w:rPr>
      </w:pPr>
      <w:r>
        <w:rPr>
          <w:rFonts w:ascii="仿宋" w:hAnsi="仿宋" w:eastAsia="仿宋"/>
          <w:color w:val="000000"/>
          <w:sz w:val="32"/>
          <w:szCs w:val="32"/>
          <w:lang w:eastAsia="zh-CN"/>
        </w:rPr>
        <w:t>2025年度政府性基金预算财政拨款支出0万元。</w:t>
      </w:r>
    </w:p>
    <w:p w14:paraId="49914C14">
      <w:pPr>
        <w:spacing w:line="600" w:lineRule="exact"/>
        <w:ind w:firstLine="640"/>
        <w:rPr>
          <w:rFonts w:ascii="仿宋" w:hAnsi="仿宋" w:eastAsia="仿宋"/>
          <w:color w:val="000000"/>
          <w:sz w:val="32"/>
          <w:szCs w:val="32"/>
          <w:highlight w:val="none"/>
        </w:rPr>
      </w:pPr>
    </w:p>
    <w:p w14:paraId="7C4D54E4">
      <w:pPr>
        <w:keepNext w:val="0"/>
        <w:keepLines w:val="0"/>
        <w:pageBreakBefore w:val="0"/>
        <w:widowControl w:val="0"/>
        <w:numPr>
          <w:ilvl w:val="0"/>
          <w:numId w:val="0"/>
        </w:numPr>
        <w:kinsoku/>
        <w:overflowPunct/>
        <w:autoSpaceDE/>
        <w:bidi w:val="0"/>
        <w:snapToGrid/>
        <w:spacing w:line="600" w:lineRule="exact"/>
        <w:ind w:left="0" w:firstLine="640"/>
        <w:textAlignment w:val="auto"/>
        <w:outlineLvl w:val="1"/>
        <w:rPr>
          <w:rStyle w:val="19"/>
          <w:rFonts w:ascii="黑体" w:hAnsi="黑体" w:eastAsia="黑体" w:cs="黑体"/>
          <w:b w:val="0"/>
          <w:color w:val="000000"/>
          <w:highlight w:val="none"/>
        </w:rPr>
      </w:pPr>
      <w:r>
        <w:rPr>
          <w:rStyle w:val="19"/>
          <w:rFonts w:ascii="黑体" w:hAnsi="黑体" w:eastAsia="黑体" w:cs="黑体"/>
          <w:b w:val="0"/>
          <w:color w:val="000000"/>
          <w:lang w:eastAsia="zh-CN"/>
        </w:rPr>
        <w:t>九、</w:t>
      </w:r>
      <w:r>
        <w:rPr>
          <w:rStyle w:val="19"/>
          <w:rFonts w:ascii="黑体" w:hAnsi="黑体" w:eastAsia="黑体" w:cs="黑体"/>
          <w:b w:val="0"/>
          <w:color w:val="000000"/>
        </w:rPr>
        <w:t>国有资本经营预算支出决算情况说明</w:t>
      </w:r>
    </w:p>
    <w:p w14:paraId="22A4E80A">
      <w:pPr>
        <w:spacing w:line="600" w:lineRule="exact"/>
        <w:ind w:firstLine="640"/>
        <w:rPr>
          <w:rFonts w:ascii="仿宋" w:hAnsi="仿宋" w:eastAsia="仿宋"/>
          <w:color w:val="000000"/>
          <w:sz w:val="32"/>
          <w:szCs w:val="32"/>
          <w:highlight w:val="none"/>
        </w:rPr>
      </w:pPr>
      <w:r>
        <w:rPr>
          <w:rFonts w:ascii="仿宋" w:hAnsi="仿宋" w:eastAsia="仿宋"/>
          <w:color w:val="000000"/>
          <w:sz w:val="32"/>
          <w:szCs w:val="32"/>
          <w:lang w:eastAsia="zh-CN"/>
        </w:rPr>
        <w:t>2025年度国有资本经营预算财政拨款支出0万元。</w:t>
      </w:r>
    </w:p>
    <w:p w14:paraId="5F7D804E">
      <w:pPr>
        <w:keepNext w:val="0"/>
        <w:keepLines w:val="0"/>
        <w:pageBreakBefore w:val="0"/>
        <w:widowControl w:val="0"/>
        <w:kinsoku/>
        <w:overflowPunct/>
        <w:autoSpaceDE/>
        <w:bidi w:val="0"/>
        <w:snapToGrid/>
        <w:spacing w:line="580" w:lineRule="exact"/>
        <w:ind w:firstLine="880"/>
        <w:jc w:val="center"/>
        <w:textAlignment w:val="auto"/>
        <w:rPr>
          <w:rFonts w:ascii="方正小标宋简体" w:hAnsi="方正小标宋简体" w:eastAsia="方正小标宋简体" w:cs="方正小标宋简体"/>
          <w:color w:val="000000"/>
          <w:sz w:val="44"/>
          <w:szCs w:val="44"/>
          <w:highlight w:val="none"/>
        </w:rPr>
      </w:pPr>
    </w:p>
    <w:p w14:paraId="5BCC8D8D">
      <w:pPr>
        <w:keepNext w:val="0"/>
        <w:keepLines w:val="0"/>
        <w:pageBreakBefore w:val="0"/>
        <w:widowControl w:val="0"/>
        <w:numPr>
          <w:ilvl w:val="0"/>
          <w:numId w:val="0"/>
        </w:numPr>
        <w:kinsoku/>
        <w:overflowPunct/>
        <w:autoSpaceDE/>
        <w:bidi w:val="0"/>
        <w:snapToGrid/>
        <w:spacing w:line="600" w:lineRule="exact"/>
        <w:ind w:left="0" w:firstLine="640"/>
        <w:textAlignment w:val="auto"/>
        <w:outlineLvl w:val="1"/>
        <w:rPr>
          <w:rStyle w:val="19"/>
          <w:rFonts w:ascii="黑体" w:hAnsi="黑体" w:eastAsia="黑体" w:cs="黑体"/>
          <w:b w:val="0"/>
          <w:color w:val="000000"/>
          <w:highlight w:val="none"/>
        </w:rPr>
      </w:pPr>
      <w:r>
        <w:rPr>
          <w:rStyle w:val="19"/>
          <w:rFonts w:ascii="黑体" w:hAnsi="黑体" w:eastAsia="黑体" w:cs="黑体"/>
          <w:b w:val="0"/>
          <w:color w:val="000000"/>
          <w:lang w:eastAsia="zh-CN"/>
        </w:rPr>
        <w:t>十、</w:t>
      </w:r>
      <w:r>
        <w:rPr>
          <w:rStyle w:val="19"/>
          <w:rFonts w:ascii="黑体" w:hAnsi="黑体" w:eastAsia="黑体" w:cs="黑体"/>
          <w:b w:val="0"/>
          <w:color w:val="000000"/>
        </w:rPr>
        <w:t>其他重要事项的情况说明</w:t>
      </w:r>
    </w:p>
    <w:p w14:paraId="68C415E8">
      <w:pPr>
        <w:numPr>
          <w:ilvl w:val="0"/>
          <w:numId w:val="0"/>
        </w:numPr>
        <w:spacing w:line="600" w:lineRule="exact"/>
        <w:ind w:firstLine="643"/>
        <w:outlineLvl w:val="2"/>
        <w:rPr>
          <w:rFonts w:ascii="仿宋" w:hAnsi="仿宋" w:eastAsia="仿宋" w:cs="仿宋"/>
          <w:color w:val="000000"/>
          <w:sz w:val="32"/>
          <w:szCs w:val="32"/>
          <w:highlight w:val="none"/>
        </w:rPr>
      </w:pPr>
      <w:r>
        <w:rPr>
          <w:rFonts w:ascii="仿宋" w:hAnsi="仿宋" w:eastAsia="仿宋" w:cs="仿宋"/>
          <w:b/>
          <w:color w:val="000000"/>
          <w:sz w:val="32"/>
          <w:szCs w:val="32"/>
        </w:rPr>
        <w:t>（一）机关运行经费支出情况</w:t>
      </w:r>
    </w:p>
    <w:p w14:paraId="4DCF0A8E">
      <w:pPr>
        <w:spacing w:line="600" w:lineRule="exact"/>
        <w:ind w:firstLine="640"/>
        <w:rPr>
          <w:rFonts w:ascii="仿宋" w:hAnsi="仿宋" w:eastAsia="仿宋"/>
          <w:color w:val="000000"/>
          <w:sz w:val="32"/>
          <w:szCs w:val="32"/>
          <w:highlight w:val="none"/>
          <w:lang w:val="en-US" w:eastAsia="zh-CN"/>
        </w:rPr>
      </w:pPr>
      <w:r>
        <w:rPr>
          <w:rFonts w:ascii="仿宋" w:hAnsi="仿宋" w:eastAsia="仿宋"/>
          <w:color w:val="000000"/>
          <w:sz w:val="32"/>
          <w:szCs w:val="32"/>
          <w:lang w:eastAsia="zh-CN"/>
        </w:rPr>
        <w:t>2025年度，红土镇农业农村服务中心机关运行经费支出21.82万元，比2024年度增加12.56万元，增长135.64%。主要原因是……。</w:t>
      </w:r>
    </w:p>
    <w:p w14:paraId="3707F6D2">
      <w:pPr>
        <w:spacing w:line="600" w:lineRule="exact"/>
        <w:ind w:firstLine="643"/>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（注：数据来源于财决附03表）</w:t>
      </w:r>
    </w:p>
    <w:p w14:paraId="3D24A272">
      <w:pPr>
        <w:numPr>
          <w:ilvl w:val="0"/>
          <w:numId w:val="0"/>
        </w:numPr>
        <w:autoSpaceDE w:val="0"/>
        <w:spacing w:line="600" w:lineRule="exact"/>
        <w:ind w:firstLine="643"/>
        <w:jc w:val="left"/>
        <w:outlineLvl w:val="2"/>
        <w:rPr>
          <w:rFonts w:ascii="仿宋" w:hAnsi="仿宋" w:eastAsia="仿宋" w:cs="仿宋"/>
          <w:b/>
          <w:color w:val="0000FF"/>
          <w:sz w:val="32"/>
          <w:szCs w:val="32"/>
          <w:highlight w:val="none"/>
        </w:rPr>
      </w:pPr>
      <w:r>
        <w:rPr>
          <w:rFonts w:ascii="仿宋" w:hAnsi="仿宋" w:eastAsia="仿宋" w:cs="仿宋"/>
          <w:b/>
          <w:color w:val="000000"/>
          <w:sz w:val="32"/>
          <w:szCs w:val="32"/>
        </w:rPr>
        <w:t>（二）政府采购支出情况</w:t>
      </w:r>
    </w:p>
    <w:p w14:paraId="044EF489">
      <w:pPr>
        <w:spacing w:line="600" w:lineRule="exact"/>
        <w:ind w:firstLine="640"/>
        <w:rPr>
          <w:rFonts w:ascii="仿宋" w:hAnsi="仿宋" w:eastAsia="仿宋"/>
          <w:color w:val="000000"/>
          <w:sz w:val="32"/>
          <w:szCs w:val="32"/>
          <w:highlight w:val="none"/>
        </w:rPr>
      </w:pPr>
      <w:r>
        <w:rPr>
          <w:rFonts w:ascii="仿宋" w:hAnsi="仿宋" w:eastAsia="仿宋"/>
          <w:color w:val="000000"/>
          <w:sz w:val="32"/>
          <w:szCs w:val="32"/>
          <w:lang w:eastAsia="zh-CN"/>
        </w:rPr>
        <w:t>2025年度，红土镇农业农村服务中心政府采购支出总额0万元，其中：政府采购货物支出0万元、政府采购工程支出0万元、政府采购服务支出0万元。主要用于…（具体工作）。授予中小企业合同金额0万元，占政府采购支出总额的0%，其中：授予小微企业合同金额0万元，占政府采购支出总额的0%。</w:t>
      </w:r>
    </w:p>
    <w:p w14:paraId="10B865A2">
      <w:pPr>
        <w:spacing w:line="600" w:lineRule="exact"/>
        <w:ind w:firstLine="643"/>
        <w:rPr>
          <w:rFonts w:ascii="仿宋" w:hAnsi="仿宋" w:eastAsia="仿宋" w:cs="仿宋"/>
          <w:b/>
          <w:color w:val="000000"/>
          <w:sz w:val="32"/>
          <w:szCs w:val="32"/>
          <w:highlight w:val="none"/>
        </w:rPr>
      </w:pPr>
      <w:r>
        <w:rPr>
          <w:rFonts w:ascii="仿宋" w:hAnsi="仿宋" w:eastAsia="仿宋" w:cs="仿宋"/>
          <w:b/>
          <w:color w:val="000000"/>
          <w:sz w:val="32"/>
          <w:szCs w:val="32"/>
        </w:rPr>
        <w:t>（注：数据来源于财决附03表）</w:t>
      </w:r>
    </w:p>
    <w:p w14:paraId="52F56EFE">
      <w:pPr>
        <w:numPr>
          <w:ilvl w:val="0"/>
          <w:numId w:val="0"/>
        </w:numPr>
        <w:autoSpaceDE w:val="0"/>
        <w:spacing w:line="600" w:lineRule="exact"/>
        <w:ind w:firstLine="643"/>
        <w:jc w:val="left"/>
        <w:outlineLvl w:val="2"/>
        <w:rPr>
          <w:rFonts w:ascii="仿宋" w:hAnsi="仿宋" w:eastAsia="仿宋" w:cs="仿宋"/>
          <w:b/>
          <w:color w:val="000000"/>
          <w:sz w:val="32"/>
          <w:szCs w:val="32"/>
          <w:highlight w:val="none"/>
        </w:rPr>
      </w:pPr>
      <w:r>
        <w:rPr>
          <w:rFonts w:ascii="仿宋" w:hAnsi="仿宋" w:eastAsia="仿宋" w:cs="仿宋"/>
          <w:b/>
          <w:color w:val="000000"/>
          <w:sz w:val="32"/>
          <w:szCs w:val="32"/>
        </w:rPr>
        <w:t>（三）国有资产占有使用情况</w:t>
      </w:r>
    </w:p>
    <w:p w14:paraId="463D7CCD">
      <w:pPr>
        <w:autoSpaceDE w:val="0"/>
        <w:spacing w:line="60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截至2025年12月31日，红土镇农业农村服务中心共有车辆0辆，其中：主要领导干部用车0辆、机要通信用车0辆、应急保障用车0辆、其他用车0辆，其他用车主要是用于……。单价50万元以上通用设备0台（套），单价100万元以上专用设备（不含车辆）0台（套）。</w:t>
      </w:r>
    </w:p>
    <w:p w14:paraId="5D4E681D">
      <w:pPr>
        <w:autoSpaceDE w:val="0"/>
        <w:spacing w:line="600" w:lineRule="exact"/>
        <w:ind w:firstLine="643"/>
        <w:jc w:val="left"/>
        <w:rPr>
          <w:rFonts w:ascii="仿宋" w:hAnsi="仿宋" w:eastAsia="仿宋" w:cs="仿宋"/>
          <w:b/>
          <w:color w:val="000000"/>
          <w:sz w:val="32"/>
          <w:szCs w:val="32"/>
          <w:highlight w:val="none"/>
        </w:rPr>
      </w:pPr>
      <w:r>
        <w:rPr>
          <w:rFonts w:ascii="仿宋" w:hAnsi="仿宋" w:eastAsia="仿宋" w:cs="仿宋"/>
          <w:b/>
          <w:color w:val="000000"/>
          <w:sz w:val="32"/>
          <w:szCs w:val="32"/>
        </w:rPr>
        <w:t>（注：数据来源</w:t>
      </w:r>
      <w:r>
        <w:rPr>
          <w:rFonts w:ascii="仿宋" w:hAnsi="仿宋" w:eastAsia="仿宋" w:cs="仿宋"/>
          <w:b/>
          <w:color w:val="000000"/>
          <w:sz w:val="32"/>
          <w:szCs w:val="32"/>
          <w:lang w:eastAsia="zh-CN"/>
        </w:rPr>
        <w:t>于</w:t>
      </w:r>
      <w:r>
        <w:rPr>
          <w:rFonts w:ascii="仿宋" w:hAnsi="仿宋" w:eastAsia="仿宋" w:cs="仿宋"/>
          <w:b/>
          <w:color w:val="000000"/>
          <w:sz w:val="32"/>
          <w:szCs w:val="32"/>
        </w:rPr>
        <w:t>财决附03表，按</w:t>
      </w:r>
      <w:r>
        <w:rPr>
          <w:rFonts w:ascii="仿宋" w:hAnsi="仿宋" w:eastAsia="仿宋" w:cs="仿宋"/>
          <w:b/>
          <w:color w:val="000000"/>
          <w:sz w:val="32"/>
          <w:szCs w:val="32"/>
          <w:lang w:eastAsia="zh-CN"/>
        </w:rPr>
        <w:t>单位</w:t>
      </w:r>
      <w:r>
        <w:rPr>
          <w:rFonts w:ascii="仿宋" w:hAnsi="仿宋" w:eastAsia="仿宋" w:cs="仿宋"/>
          <w:b/>
          <w:color w:val="000000"/>
          <w:sz w:val="32"/>
          <w:szCs w:val="32"/>
        </w:rPr>
        <w:t>决算报表填报数据罗列车辆情况。）</w:t>
      </w:r>
    </w:p>
    <w:p w14:paraId="3D1521AD">
      <w:pPr>
        <w:numPr>
          <w:ilvl w:val="0"/>
          <w:numId w:val="0"/>
        </w:numPr>
        <w:autoSpaceDE w:val="0"/>
        <w:spacing w:line="600" w:lineRule="exact"/>
        <w:ind w:firstLine="643"/>
        <w:jc w:val="left"/>
        <w:outlineLvl w:val="2"/>
        <w:rPr>
          <w:rFonts w:ascii="仿宋" w:hAnsi="仿宋" w:eastAsia="仿宋" w:cs="仿宋"/>
          <w:b/>
          <w:color w:val="000000"/>
          <w:sz w:val="32"/>
          <w:szCs w:val="32"/>
          <w:highlight w:val="none"/>
          <w:lang w:eastAsia="zh-CN"/>
        </w:rPr>
      </w:pPr>
      <w:r>
        <w:rPr>
          <w:rFonts w:ascii="仿宋" w:hAnsi="仿宋" w:eastAsia="仿宋" w:cs="仿宋"/>
          <w:b/>
          <w:color w:val="000000"/>
          <w:sz w:val="32"/>
          <w:szCs w:val="32"/>
        </w:rPr>
        <w:t>（四）预算绩效管理情况</w:t>
      </w:r>
    </w:p>
    <w:p w14:paraId="46EF1B25">
      <w:pPr>
        <w:spacing w:line="600" w:lineRule="exact"/>
        <w:ind w:firstLine="640"/>
        <w:rPr>
          <w:rFonts w:ascii="仿宋" w:hAnsi="仿宋" w:eastAsia="仿宋" w:cs="Times New Roman"/>
          <w:color w:val="000000"/>
          <w:sz w:val="32"/>
          <w:szCs w:val="32"/>
          <w:highlight w:val="none"/>
          <w:lang w:val="en-US" w:eastAsia="zh-CN"/>
        </w:rPr>
      </w:pPr>
      <w:r>
        <w:rPr>
          <w:rFonts w:ascii="仿宋" w:hAnsi="仿宋" w:eastAsia="仿宋" w:cs="Times New Roman"/>
          <w:color w:val="000000"/>
          <w:sz w:val="32"/>
          <w:szCs w:val="32"/>
          <w:lang w:eastAsia="zh-CN"/>
        </w:rPr>
        <w:t>根据预算绩效管理要求，本单位在2025年度预算编制阶段无项目。</w:t>
      </w:r>
    </w:p>
    <w:p w14:paraId="0DAA2C71">
      <w:pPr>
        <w:spacing w:line="600" w:lineRule="exact"/>
        <w:ind w:firstLine="640"/>
        <w:rPr>
          <w:rFonts w:ascii="仿宋" w:hAnsi="仿宋" w:eastAsia="仿宋" w:cs="Times New Roman"/>
          <w:color w:val="000000"/>
          <w:sz w:val="32"/>
          <w:szCs w:val="32"/>
          <w:highlight w:val="none"/>
          <w:lang w:val="en-US" w:eastAsia="zh-CN"/>
        </w:rPr>
      </w:pPr>
    </w:p>
    <w:p w14:paraId="44B2C05C">
      <w:pPr>
        <w:numPr>
          <w:ilvl w:val="0"/>
          <w:numId w:val="0"/>
        </w:numPr>
        <w:spacing w:line="600" w:lineRule="exact"/>
        <w:ind w:left="0" w:firstLine="0"/>
        <w:jc w:val="center"/>
        <w:outlineLvl w:val="0"/>
        <w:rPr>
          <w:rStyle w:val="20"/>
          <w:rFonts w:ascii="黑体" w:hAnsi="黑体" w:eastAsia="黑体" w:cs="黑体"/>
          <w:b w:val="0"/>
          <w:color w:val="000000"/>
          <w:highlight w:val="none"/>
        </w:rPr>
      </w:pPr>
      <w:r>
        <w:rPr>
          <w:rFonts w:ascii="黑体" w:hAnsi="黑体" w:eastAsia="黑体" w:cs="黑体"/>
          <w:color w:val="000000"/>
          <w:sz w:val="44"/>
          <w:szCs w:val="44"/>
          <w:lang w:eastAsia="zh-CN"/>
        </w:rPr>
        <w:t>第三部分</w:t>
      </w:r>
      <w:r>
        <w:rPr>
          <w:rFonts w:ascii="黑体" w:hAnsi="黑体" w:eastAsia="黑体" w:cs="黑体"/>
          <w:color w:val="000000"/>
          <w:sz w:val="44"/>
          <w:szCs w:val="44"/>
          <w:lang w:val="en-US" w:eastAsia="zh-CN"/>
        </w:rPr>
        <w:t xml:space="preserve">  </w:t>
      </w:r>
      <w:r>
        <w:rPr>
          <w:rFonts w:ascii="黑体" w:hAnsi="黑体" w:eastAsia="黑体" w:cs="黑体"/>
          <w:color w:val="000000"/>
          <w:sz w:val="44"/>
          <w:szCs w:val="44"/>
        </w:rPr>
        <w:t>名</w:t>
      </w:r>
      <w:r>
        <w:rPr>
          <w:rStyle w:val="20"/>
          <w:rFonts w:ascii="黑体" w:hAnsi="黑体" w:eastAsia="黑体" w:cs="黑体"/>
          <w:b w:val="0"/>
          <w:color w:val="000000"/>
        </w:rPr>
        <w:t>词解释</w:t>
      </w:r>
    </w:p>
    <w:p w14:paraId="7D8A1E64">
      <w:pPr>
        <w:spacing w:line="600" w:lineRule="exact"/>
        <w:jc w:val="left"/>
        <w:rPr>
          <w:rStyle w:val="20"/>
          <w:rFonts w:ascii="宋体" w:hAnsi="宋体" w:eastAsia="黑体" w:cs="黑体"/>
          <w:b/>
          <w:color w:val="000000"/>
          <w:sz w:val="44"/>
          <w:szCs w:val="44"/>
          <w:highlight w:val="none"/>
        </w:rPr>
      </w:pPr>
    </w:p>
    <w:p w14:paraId="5E24963E">
      <w:pPr>
        <w:pStyle w:val="24"/>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1.财政拨款收入：指单位从同级财政部门取得的财政预算资金。</w:t>
      </w:r>
    </w:p>
    <w:p w14:paraId="752F0A6C">
      <w:pPr>
        <w:pStyle w:val="24"/>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2.事业收入：指事业单位开展专业业务活动及辅助活动取得的收入。如…（二级预算单位事业收入情况）等。</w:t>
      </w:r>
    </w:p>
    <w:p w14:paraId="53F6C60E">
      <w:pPr>
        <w:pStyle w:val="24"/>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3.经营收入：指事业单位在专业业务活动及其辅助活动之外开展非独立核算经营活动取得的收入。如…（二级预算单位经营收入情况）等。</w:t>
      </w:r>
    </w:p>
    <w:p w14:paraId="3D21CE4A">
      <w:pPr>
        <w:pStyle w:val="24"/>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 xml:space="preserve">4.其他收入：指单位取得的除上述收入以外的各项收入。主要是…（收入类型）等。 </w:t>
      </w:r>
    </w:p>
    <w:p w14:paraId="7224D8BF">
      <w:pPr>
        <w:pStyle w:val="24"/>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5.</w:t>
      </w:r>
      <w:r>
        <w:rPr>
          <w:rFonts w:ascii="仿宋" w:hAnsi="仿宋" w:eastAsia="仿宋" w:cs="华文中宋"/>
          <w:sz w:val="32"/>
          <w:szCs w:val="32"/>
          <w:u w:val="none"/>
          <w:lang w:eastAsia="zh-CN"/>
        </w:rPr>
        <w:t>使用非财政拨款结余（含专用结余）</w:t>
      </w:r>
      <w:r>
        <w:rPr>
          <w:rFonts w:ascii="仿宋" w:hAnsi="仿宋" w:eastAsia="仿宋"/>
          <w:color w:val="000000"/>
          <w:sz w:val="32"/>
          <w:szCs w:val="32"/>
        </w:rPr>
        <w:t>：指事业单位</w:t>
      </w:r>
      <w:r>
        <w:rPr>
          <w:rFonts w:ascii="仿宋" w:hAnsi="仿宋" w:eastAsia="仿宋"/>
          <w:color w:val="000000"/>
          <w:sz w:val="32"/>
          <w:szCs w:val="32"/>
          <w:lang w:eastAsia="zh-CN"/>
        </w:rPr>
        <w:t>使用以前年度积累的非财政拨款结余弥补当年收支差额的金额。</w:t>
      </w:r>
      <w:r>
        <w:rPr>
          <w:rFonts w:ascii="仿宋" w:hAnsi="仿宋" w:eastAsia="仿宋"/>
          <w:color w:val="000000"/>
          <w:sz w:val="32"/>
          <w:szCs w:val="32"/>
        </w:rPr>
        <w:t xml:space="preserve"> </w:t>
      </w:r>
    </w:p>
    <w:p w14:paraId="70EDA5DB">
      <w:pPr>
        <w:pStyle w:val="24"/>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 xml:space="preserve">6.年初结转和结余：指以前年度尚未完成、结转到本年按有关规定继续使用的资金。 </w:t>
      </w:r>
    </w:p>
    <w:p w14:paraId="57CE58E5">
      <w:pPr>
        <w:pStyle w:val="24"/>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7.结余分配：指事业单位按照会计制度规定</w:t>
      </w:r>
      <w:r>
        <w:rPr>
          <w:rFonts w:ascii="仿宋" w:hAnsi="仿宋" w:eastAsia="仿宋"/>
          <w:color w:val="000000"/>
          <w:sz w:val="32"/>
          <w:szCs w:val="32"/>
          <w:lang w:eastAsia="zh-CN"/>
        </w:rPr>
        <w:t>缴纳的所得税、提取的专用结余以及转入非财政拨款结余的金额</w:t>
      </w:r>
      <w:r>
        <w:rPr>
          <w:rFonts w:ascii="仿宋" w:hAnsi="仿宋" w:eastAsia="仿宋"/>
          <w:color w:val="000000"/>
          <w:sz w:val="32"/>
          <w:szCs w:val="32"/>
        </w:rPr>
        <w:t>等。</w:t>
      </w:r>
    </w:p>
    <w:p w14:paraId="2D22318E">
      <w:pPr>
        <w:pStyle w:val="24"/>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8</w:t>
      </w:r>
      <w:r>
        <w:rPr>
          <w:rFonts w:ascii="仿宋" w:hAnsi="仿宋" w:eastAsia="仿宋"/>
          <w:color w:val="000000"/>
          <w:sz w:val="32"/>
          <w:szCs w:val="32"/>
          <w:lang w:val="en-US" w:eastAsia="zh-CN"/>
        </w:rPr>
        <w:t>.</w:t>
      </w:r>
      <w:r>
        <w:rPr>
          <w:rFonts w:ascii="仿宋" w:hAnsi="仿宋" w:eastAsia="仿宋"/>
          <w:color w:val="000000"/>
          <w:sz w:val="32"/>
          <w:szCs w:val="32"/>
        </w:rPr>
        <w:t>年末结转和结余：指单位按有关规定结转到下年或以后年度继续使用的资金。</w:t>
      </w:r>
    </w:p>
    <w:p w14:paraId="383F3198">
      <w:pPr>
        <w:ind w:firstLine="640"/>
        <w:rPr>
          <w:rFonts w:ascii="仿宋" w:hAnsi="仿宋" w:eastAsia="仿宋"/>
          <w:color w:val="000000"/>
          <w:sz w:val="32"/>
          <w:szCs w:val="32"/>
          <w:highlight w:val="none"/>
        </w:rPr>
      </w:pPr>
      <w:r>
        <w:rPr>
          <w:rFonts w:ascii="仿宋" w:hAnsi="仿宋" w:eastAsia="仿宋"/>
          <w:color w:val="000000"/>
          <w:sz w:val="32"/>
          <w:szCs w:val="32"/>
        </w:rPr>
        <w:t>9.一般公共服务（类）…（款）…（项）：指……。</w:t>
      </w:r>
    </w:p>
    <w:p w14:paraId="1BA7EA32">
      <w:pPr>
        <w:ind w:firstLine="640"/>
        <w:rPr>
          <w:rFonts w:ascii="仿宋" w:hAnsi="仿宋" w:eastAsia="仿宋"/>
          <w:color w:val="000000"/>
          <w:sz w:val="32"/>
          <w:szCs w:val="32"/>
          <w:highlight w:val="none"/>
        </w:rPr>
      </w:pPr>
      <w:r>
        <w:rPr>
          <w:rFonts w:ascii="仿宋" w:hAnsi="仿宋" w:eastAsia="仿宋"/>
          <w:color w:val="000000"/>
          <w:sz w:val="32"/>
          <w:szCs w:val="32"/>
        </w:rPr>
        <w:t>10.外交（类）…（款）…（项）：指……。</w:t>
      </w:r>
    </w:p>
    <w:p w14:paraId="523B69F9">
      <w:pPr>
        <w:ind w:firstLine="640"/>
        <w:rPr>
          <w:rFonts w:ascii="仿宋" w:hAnsi="仿宋" w:eastAsia="仿宋"/>
          <w:color w:val="000000"/>
          <w:sz w:val="32"/>
          <w:szCs w:val="32"/>
          <w:highlight w:val="none"/>
        </w:rPr>
      </w:pPr>
      <w:r>
        <w:rPr>
          <w:rFonts w:ascii="仿宋" w:hAnsi="仿宋" w:eastAsia="仿宋"/>
          <w:color w:val="000000"/>
          <w:sz w:val="32"/>
          <w:szCs w:val="32"/>
        </w:rPr>
        <w:t>11.公共安全（类）…（款）…（项）：指……。</w:t>
      </w:r>
    </w:p>
    <w:p w14:paraId="08889262">
      <w:pPr>
        <w:ind w:firstLine="640"/>
        <w:rPr>
          <w:rFonts w:ascii="仿宋" w:hAnsi="仿宋" w:eastAsia="仿宋"/>
          <w:color w:val="000000"/>
          <w:sz w:val="32"/>
          <w:szCs w:val="32"/>
          <w:highlight w:val="none"/>
        </w:rPr>
      </w:pPr>
      <w:r>
        <w:rPr>
          <w:rFonts w:ascii="仿宋" w:hAnsi="仿宋" w:eastAsia="仿宋"/>
          <w:color w:val="000000"/>
          <w:sz w:val="32"/>
          <w:szCs w:val="32"/>
        </w:rPr>
        <w:t>12.教育（类）…（款）…（项）：指……。</w:t>
      </w:r>
    </w:p>
    <w:p w14:paraId="6A2832F8">
      <w:pPr>
        <w:ind w:firstLine="640"/>
        <w:rPr>
          <w:rFonts w:ascii="仿宋" w:hAnsi="仿宋" w:eastAsia="仿宋"/>
          <w:color w:val="000000"/>
          <w:sz w:val="32"/>
          <w:szCs w:val="32"/>
          <w:highlight w:val="none"/>
        </w:rPr>
      </w:pPr>
      <w:r>
        <w:rPr>
          <w:rFonts w:ascii="仿宋" w:hAnsi="仿宋" w:eastAsia="仿宋"/>
          <w:color w:val="000000"/>
          <w:sz w:val="32"/>
          <w:szCs w:val="32"/>
        </w:rPr>
        <w:t>13.科学技术（类）…（款）…（项）：指……。</w:t>
      </w:r>
    </w:p>
    <w:p w14:paraId="09DE9A5C">
      <w:pPr>
        <w:ind w:firstLine="640"/>
        <w:rPr>
          <w:rFonts w:ascii="仿宋" w:hAnsi="仿宋" w:eastAsia="仿宋"/>
          <w:color w:val="000000"/>
          <w:sz w:val="32"/>
          <w:szCs w:val="32"/>
          <w:highlight w:val="none"/>
        </w:rPr>
      </w:pPr>
      <w:r>
        <w:rPr>
          <w:rFonts w:ascii="仿宋" w:hAnsi="仿宋" w:eastAsia="仿宋"/>
          <w:color w:val="000000"/>
          <w:sz w:val="32"/>
          <w:szCs w:val="32"/>
        </w:rPr>
        <w:t>14.文化</w:t>
      </w:r>
      <w:r>
        <w:rPr>
          <w:rFonts w:ascii="仿宋" w:hAnsi="仿宋" w:eastAsia="仿宋"/>
          <w:color w:val="000000"/>
          <w:sz w:val="32"/>
          <w:szCs w:val="32"/>
          <w:lang w:eastAsia="zh-CN"/>
        </w:rPr>
        <w:t>旅游</w:t>
      </w:r>
      <w:r>
        <w:rPr>
          <w:rFonts w:ascii="仿宋" w:hAnsi="仿宋" w:eastAsia="仿宋"/>
          <w:color w:val="000000"/>
          <w:sz w:val="32"/>
          <w:szCs w:val="32"/>
        </w:rPr>
        <w:t>体育与传媒（类）…（款）…（项）：指……。</w:t>
      </w:r>
    </w:p>
    <w:p w14:paraId="52D8187E">
      <w:pPr>
        <w:ind w:firstLine="640"/>
        <w:rPr>
          <w:rFonts w:ascii="仿宋" w:hAnsi="仿宋" w:eastAsia="仿宋"/>
          <w:color w:val="000000"/>
          <w:sz w:val="32"/>
          <w:szCs w:val="32"/>
          <w:highlight w:val="none"/>
        </w:rPr>
      </w:pPr>
      <w:r>
        <w:rPr>
          <w:rFonts w:ascii="仿宋" w:hAnsi="仿宋" w:eastAsia="仿宋"/>
          <w:color w:val="000000"/>
          <w:sz w:val="32"/>
          <w:szCs w:val="32"/>
        </w:rPr>
        <w:t>15.社会保障和就业（类）…（款）…（项）：指……。</w:t>
      </w:r>
    </w:p>
    <w:p w14:paraId="043FAAFC">
      <w:pPr>
        <w:ind w:firstLine="640"/>
        <w:rPr>
          <w:rFonts w:ascii="仿宋" w:hAnsi="仿宋" w:eastAsia="仿宋"/>
          <w:color w:val="000000"/>
          <w:sz w:val="32"/>
          <w:szCs w:val="32"/>
          <w:highlight w:val="none"/>
        </w:rPr>
      </w:pPr>
      <w:r>
        <w:rPr>
          <w:rFonts w:ascii="仿宋" w:hAnsi="仿宋" w:eastAsia="仿宋"/>
          <w:color w:val="000000"/>
          <w:sz w:val="32"/>
          <w:szCs w:val="32"/>
        </w:rPr>
        <w:t>16.</w:t>
      </w:r>
      <w:r>
        <w:rPr>
          <w:rFonts w:ascii="仿宋" w:hAnsi="仿宋" w:eastAsia="仿宋"/>
          <w:color w:val="000000"/>
          <w:sz w:val="32"/>
          <w:szCs w:val="32"/>
          <w:lang w:eastAsia="zh-CN"/>
        </w:rPr>
        <w:t>卫生健康</w:t>
      </w:r>
      <w:r>
        <w:rPr>
          <w:rFonts w:ascii="仿宋" w:hAnsi="仿宋" w:eastAsia="仿宋"/>
          <w:color w:val="000000"/>
          <w:sz w:val="32"/>
          <w:szCs w:val="32"/>
        </w:rPr>
        <w:t>（类）…（款）…（项）：指……。</w:t>
      </w:r>
    </w:p>
    <w:p w14:paraId="3D36EEC4">
      <w:pPr>
        <w:ind w:firstLine="640"/>
        <w:rPr>
          <w:rFonts w:ascii="仿宋" w:hAnsi="仿宋" w:eastAsia="仿宋"/>
          <w:color w:val="000000"/>
          <w:sz w:val="32"/>
          <w:szCs w:val="32"/>
          <w:highlight w:val="none"/>
        </w:rPr>
      </w:pPr>
      <w:r>
        <w:rPr>
          <w:rFonts w:ascii="仿宋" w:hAnsi="仿宋" w:eastAsia="仿宋"/>
          <w:color w:val="000000"/>
          <w:sz w:val="32"/>
          <w:szCs w:val="32"/>
        </w:rPr>
        <w:t>17.节能环保（类）…（款）…（项）：指……。</w:t>
      </w:r>
    </w:p>
    <w:p w14:paraId="2A52A992">
      <w:pPr>
        <w:ind w:firstLine="640"/>
        <w:rPr>
          <w:rFonts w:ascii="仿宋" w:hAnsi="仿宋" w:eastAsia="仿宋"/>
          <w:color w:val="000000"/>
          <w:sz w:val="32"/>
          <w:szCs w:val="32"/>
          <w:highlight w:val="none"/>
        </w:rPr>
      </w:pPr>
      <w:r>
        <w:rPr>
          <w:rFonts w:ascii="仿宋" w:hAnsi="仿宋" w:eastAsia="仿宋"/>
          <w:color w:val="000000"/>
          <w:sz w:val="32"/>
          <w:szCs w:val="32"/>
        </w:rPr>
        <w:t>18.城</w:t>
      </w:r>
      <w:r>
        <w:rPr>
          <w:rFonts w:ascii="仿宋" w:hAnsi="仿宋" w:eastAsia="仿宋"/>
          <w:color w:val="000000"/>
          <w:sz w:val="32"/>
          <w:szCs w:val="32"/>
          <w:lang w:eastAsia="zh-CN"/>
        </w:rPr>
        <w:t>镇</w:t>
      </w:r>
      <w:r>
        <w:rPr>
          <w:rFonts w:ascii="仿宋" w:hAnsi="仿宋" w:eastAsia="仿宋"/>
          <w:color w:val="000000"/>
          <w:sz w:val="32"/>
          <w:szCs w:val="32"/>
        </w:rPr>
        <w:t>社区（类）…（款）…（项）：指……。</w:t>
      </w:r>
    </w:p>
    <w:p w14:paraId="230ADDC4">
      <w:pPr>
        <w:ind w:firstLine="640"/>
        <w:rPr>
          <w:rFonts w:ascii="仿宋" w:hAnsi="仿宋" w:eastAsia="仿宋"/>
          <w:color w:val="000000"/>
          <w:sz w:val="32"/>
          <w:szCs w:val="32"/>
          <w:highlight w:val="none"/>
        </w:rPr>
      </w:pPr>
      <w:r>
        <w:rPr>
          <w:rFonts w:ascii="仿宋" w:hAnsi="仿宋" w:eastAsia="仿宋"/>
          <w:color w:val="000000"/>
          <w:sz w:val="32"/>
          <w:szCs w:val="32"/>
        </w:rPr>
        <w:t>19.农林水（类）…（款）…（项）：指……。</w:t>
      </w:r>
    </w:p>
    <w:p w14:paraId="32500C36">
      <w:pPr>
        <w:ind w:firstLine="640"/>
        <w:rPr>
          <w:rFonts w:ascii="仿宋" w:hAnsi="仿宋" w:eastAsia="仿宋"/>
          <w:color w:val="000000"/>
          <w:sz w:val="32"/>
          <w:szCs w:val="32"/>
          <w:highlight w:val="none"/>
        </w:rPr>
      </w:pPr>
      <w:r>
        <w:rPr>
          <w:rFonts w:ascii="仿宋" w:hAnsi="仿宋" w:eastAsia="仿宋"/>
          <w:color w:val="000000"/>
          <w:sz w:val="32"/>
          <w:szCs w:val="32"/>
        </w:rPr>
        <w:t>20.交通运输（类）…（款）…（项）：指……。</w:t>
      </w:r>
    </w:p>
    <w:p w14:paraId="0D7802DC">
      <w:pPr>
        <w:ind w:firstLine="640"/>
        <w:rPr>
          <w:rFonts w:ascii="仿宋" w:hAnsi="仿宋" w:eastAsia="仿宋"/>
          <w:color w:val="000000"/>
          <w:sz w:val="32"/>
          <w:szCs w:val="32"/>
          <w:highlight w:val="none"/>
        </w:rPr>
      </w:pPr>
      <w:r>
        <w:rPr>
          <w:rFonts w:ascii="仿宋" w:hAnsi="仿宋" w:eastAsia="仿宋"/>
          <w:color w:val="000000"/>
          <w:sz w:val="32"/>
          <w:szCs w:val="32"/>
        </w:rPr>
        <w:t>21.资源勘探</w:t>
      </w:r>
      <w:r>
        <w:rPr>
          <w:rFonts w:ascii="仿宋" w:hAnsi="仿宋" w:eastAsia="仿宋"/>
          <w:color w:val="000000"/>
          <w:sz w:val="32"/>
          <w:szCs w:val="32"/>
          <w:lang w:eastAsia="zh-CN"/>
        </w:rPr>
        <w:t>工业</w:t>
      </w:r>
      <w:r>
        <w:rPr>
          <w:rFonts w:ascii="仿宋" w:hAnsi="仿宋" w:eastAsia="仿宋"/>
          <w:color w:val="000000"/>
          <w:sz w:val="32"/>
          <w:szCs w:val="32"/>
        </w:rPr>
        <w:t>信息等（类）…（款）…（项）：指……。</w:t>
      </w:r>
    </w:p>
    <w:p w14:paraId="48B026C9">
      <w:pPr>
        <w:ind w:firstLine="640"/>
        <w:rPr>
          <w:rFonts w:ascii="仿宋" w:hAnsi="仿宋" w:eastAsia="仿宋"/>
          <w:color w:val="000000"/>
          <w:sz w:val="32"/>
          <w:szCs w:val="32"/>
          <w:highlight w:val="none"/>
        </w:rPr>
      </w:pPr>
      <w:r>
        <w:rPr>
          <w:rFonts w:ascii="仿宋" w:hAnsi="仿宋" w:eastAsia="仿宋"/>
          <w:color w:val="000000"/>
          <w:sz w:val="32"/>
          <w:szCs w:val="32"/>
        </w:rPr>
        <w:t>22.商业服务业（类）…（款）…（项）：指……。</w:t>
      </w:r>
    </w:p>
    <w:p w14:paraId="609D1C8A">
      <w:pPr>
        <w:ind w:firstLine="640"/>
        <w:rPr>
          <w:rFonts w:ascii="仿宋" w:hAnsi="仿宋" w:eastAsia="仿宋"/>
          <w:color w:val="000000"/>
          <w:sz w:val="32"/>
          <w:szCs w:val="32"/>
          <w:highlight w:val="none"/>
        </w:rPr>
      </w:pPr>
      <w:r>
        <w:rPr>
          <w:rFonts w:ascii="仿宋" w:hAnsi="仿宋" w:eastAsia="仿宋"/>
          <w:color w:val="000000"/>
          <w:sz w:val="32"/>
          <w:szCs w:val="32"/>
        </w:rPr>
        <w:t>23.金融（类）…（款）…（项）：指……。</w:t>
      </w:r>
    </w:p>
    <w:p w14:paraId="563BD9F7">
      <w:pPr>
        <w:ind w:firstLine="640"/>
        <w:rPr>
          <w:rFonts w:ascii="仿宋" w:hAnsi="仿宋" w:eastAsia="仿宋"/>
          <w:color w:val="000000"/>
          <w:sz w:val="32"/>
          <w:szCs w:val="32"/>
          <w:highlight w:val="none"/>
        </w:rPr>
      </w:pPr>
      <w:r>
        <w:rPr>
          <w:rFonts w:ascii="仿宋" w:hAnsi="仿宋" w:eastAsia="仿宋"/>
          <w:color w:val="000000"/>
          <w:sz w:val="32"/>
          <w:szCs w:val="32"/>
        </w:rPr>
        <w:t>24.</w:t>
      </w:r>
      <w:r>
        <w:rPr>
          <w:rFonts w:ascii="仿宋" w:hAnsi="仿宋" w:eastAsia="仿宋"/>
          <w:color w:val="000000"/>
          <w:sz w:val="32"/>
          <w:szCs w:val="32"/>
          <w:lang w:eastAsia="zh-CN"/>
        </w:rPr>
        <w:t>自然资源</w:t>
      </w:r>
      <w:r>
        <w:rPr>
          <w:rFonts w:ascii="仿宋" w:hAnsi="仿宋" w:eastAsia="仿宋"/>
          <w:color w:val="000000"/>
          <w:sz w:val="32"/>
          <w:szCs w:val="32"/>
        </w:rPr>
        <w:t>海洋气象等（类）…（款）…（项）：指……。</w:t>
      </w:r>
    </w:p>
    <w:p w14:paraId="70F2F23F">
      <w:pPr>
        <w:ind w:firstLine="640"/>
        <w:rPr>
          <w:rFonts w:ascii="仿宋" w:hAnsi="仿宋" w:eastAsia="仿宋"/>
          <w:color w:val="000000"/>
          <w:sz w:val="32"/>
          <w:szCs w:val="32"/>
          <w:highlight w:val="none"/>
        </w:rPr>
      </w:pPr>
      <w:r>
        <w:rPr>
          <w:rFonts w:ascii="仿宋" w:hAnsi="仿宋" w:eastAsia="仿宋"/>
          <w:color w:val="000000"/>
          <w:sz w:val="32"/>
          <w:szCs w:val="32"/>
        </w:rPr>
        <w:t>25.住房保障（类）…（款）…（项）：指……。</w:t>
      </w:r>
    </w:p>
    <w:p w14:paraId="46AB8E57">
      <w:pPr>
        <w:ind w:firstLine="640"/>
        <w:rPr>
          <w:rFonts w:ascii="仿宋" w:hAnsi="仿宋" w:eastAsia="仿宋"/>
          <w:color w:val="000000"/>
          <w:sz w:val="32"/>
          <w:szCs w:val="32"/>
          <w:highlight w:val="none"/>
        </w:rPr>
      </w:pPr>
      <w:r>
        <w:rPr>
          <w:rFonts w:ascii="仿宋" w:hAnsi="仿宋" w:eastAsia="仿宋"/>
          <w:color w:val="000000"/>
          <w:sz w:val="32"/>
          <w:szCs w:val="32"/>
        </w:rPr>
        <w:t>26.粮油物资储备（类）…（款）…（项）：指……。</w:t>
      </w:r>
    </w:p>
    <w:p w14:paraId="26802FE6">
      <w:pPr>
        <w:ind w:firstLine="640"/>
        <w:rPr>
          <w:rFonts w:ascii="仿宋" w:hAnsi="仿宋" w:eastAsia="仿宋"/>
          <w:color w:val="000000"/>
          <w:sz w:val="32"/>
          <w:szCs w:val="32"/>
          <w:highlight w:val="none"/>
        </w:rPr>
      </w:pPr>
      <w:r>
        <w:rPr>
          <w:rFonts w:ascii="仿宋" w:hAnsi="仿宋" w:eastAsia="仿宋" w:cs="仿宋"/>
          <w:color w:val="000000"/>
          <w:sz w:val="32"/>
          <w:szCs w:val="32"/>
        </w:rPr>
        <w:t>……</w:t>
      </w:r>
    </w:p>
    <w:p w14:paraId="5CA9440A">
      <w:pPr>
        <w:ind w:firstLine="640"/>
        <w:rPr>
          <w:rFonts w:ascii="仿宋" w:hAnsi="仿宋" w:eastAsia="仿宋"/>
          <w:color w:val="000000"/>
          <w:sz w:val="32"/>
          <w:szCs w:val="32"/>
          <w:highlight w:val="none"/>
        </w:rPr>
      </w:pPr>
      <w:r>
        <w:rPr>
          <w:rFonts w:ascii="仿宋" w:hAnsi="仿宋" w:eastAsia="仿宋" w:cs="仿宋"/>
          <w:color w:val="000000"/>
          <w:sz w:val="32"/>
          <w:szCs w:val="32"/>
        </w:rPr>
        <w:t>……</w:t>
      </w:r>
    </w:p>
    <w:p w14:paraId="14F9948E">
      <w:pPr>
        <w:ind w:firstLine="640"/>
        <w:rPr>
          <w:rFonts w:ascii="仿宋" w:hAnsi="仿宋" w:eastAsia="仿宋"/>
          <w:color w:val="000000"/>
          <w:sz w:val="32"/>
          <w:szCs w:val="32"/>
          <w:highlight w:val="none"/>
        </w:rPr>
      </w:pPr>
      <w:r>
        <w:rPr>
          <w:rFonts w:ascii="仿宋" w:hAnsi="仿宋" w:eastAsia="仿宋" w:cs="仿宋"/>
          <w:color w:val="000000"/>
          <w:sz w:val="32"/>
          <w:szCs w:val="32"/>
        </w:rPr>
        <w:t>……</w:t>
      </w:r>
    </w:p>
    <w:p w14:paraId="16520B65">
      <w:pPr>
        <w:spacing w:line="600" w:lineRule="exact"/>
        <w:ind w:firstLine="640"/>
        <w:rPr>
          <w:rFonts w:ascii="仿宋" w:hAnsi="仿宋" w:eastAsia="仿宋" w:cs="仿宋"/>
          <w:b/>
          <w:color w:val="000000"/>
          <w:sz w:val="32"/>
          <w:szCs w:val="32"/>
          <w:highlight w:val="none"/>
        </w:rPr>
      </w:pPr>
      <w:r>
        <w:rPr>
          <w:rFonts w:ascii="仿宋" w:hAnsi="仿宋" w:eastAsia="仿宋" w:cs="仿宋"/>
          <w:b/>
          <w:color w:val="000000"/>
          <w:sz w:val="32"/>
          <w:szCs w:val="32"/>
        </w:rPr>
        <w:t>（解释本</w:t>
      </w:r>
      <w:r>
        <w:rPr>
          <w:rFonts w:ascii="仿宋" w:hAnsi="仿宋" w:eastAsia="仿宋" w:cs="仿宋"/>
          <w:b/>
          <w:color w:val="000000"/>
          <w:sz w:val="32"/>
          <w:szCs w:val="32"/>
          <w:lang w:eastAsia="zh-CN"/>
        </w:rPr>
        <w:t>单位</w:t>
      </w:r>
      <w:r>
        <w:rPr>
          <w:rFonts w:ascii="仿宋" w:hAnsi="仿宋" w:eastAsia="仿宋" w:cs="仿宋"/>
          <w:b/>
          <w:color w:val="000000"/>
          <w:sz w:val="32"/>
          <w:szCs w:val="32"/>
        </w:rPr>
        <w:t>决算报表中</w:t>
      </w:r>
      <w:r>
        <w:rPr>
          <w:rFonts w:ascii="仿宋" w:hAnsi="仿宋" w:eastAsia="仿宋" w:cs="仿宋"/>
          <w:b/>
          <w:color w:val="000000"/>
          <w:sz w:val="32"/>
          <w:szCs w:val="32"/>
          <w:lang w:eastAsia="zh-CN"/>
        </w:rPr>
        <w:t>涉及的</w:t>
      </w:r>
      <w:r>
        <w:rPr>
          <w:rFonts w:ascii="仿宋" w:hAnsi="仿宋" w:eastAsia="仿宋" w:cs="仿宋"/>
          <w:b/>
          <w:color w:val="000000"/>
          <w:sz w:val="32"/>
          <w:szCs w:val="32"/>
        </w:rPr>
        <w:t>全部功能分类科目至项级，</w:t>
      </w:r>
      <w:r>
        <w:rPr>
          <w:rFonts w:ascii="仿宋" w:hAnsi="仿宋" w:eastAsia="仿宋" w:cs="仿宋"/>
          <w:b/>
          <w:color w:val="000000"/>
          <w:sz w:val="32"/>
          <w:szCs w:val="32"/>
          <w:lang w:eastAsia="zh-CN"/>
        </w:rPr>
        <w:t>不涉及的科目请自行删除。</w:t>
      </w:r>
      <w:r>
        <w:rPr>
          <w:rFonts w:ascii="仿宋" w:hAnsi="仿宋" w:eastAsia="仿宋" w:cs="仿宋"/>
          <w:b/>
          <w:color w:val="000000"/>
          <w:sz w:val="32"/>
          <w:szCs w:val="32"/>
        </w:rPr>
        <w:t>请参照《</w:t>
      </w:r>
      <w:r>
        <w:rPr>
          <w:rFonts w:ascii="仿宋" w:hAnsi="仿宋" w:eastAsia="仿宋" w:cs="仿宋"/>
          <w:b/>
          <w:color w:val="000000"/>
          <w:sz w:val="32"/>
          <w:szCs w:val="32"/>
          <w:lang w:eastAsia="zh-CN"/>
        </w:rPr>
        <w:t>2023</w:t>
      </w:r>
      <w:r>
        <w:rPr>
          <w:rFonts w:ascii="仿宋" w:hAnsi="仿宋" w:eastAsia="仿宋" w:cs="仿宋"/>
          <w:b/>
          <w:color w:val="000000"/>
          <w:sz w:val="32"/>
          <w:szCs w:val="32"/>
        </w:rPr>
        <w:t>年政府收支分类科目》增减内容。）</w:t>
      </w:r>
    </w:p>
    <w:p w14:paraId="27878F1A">
      <w:pPr>
        <w:ind w:firstLine="640"/>
        <w:rPr>
          <w:rFonts w:ascii="仿宋" w:hAnsi="仿宋" w:eastAsia="仿宋"/>
          <w:color w:val="000000"/>
          <w:sz w:val="32"/>
          <w:szCs w:val="32"/>
          <w:highlight w:val="none"/>
        </w:rPr>
      </w:pPr>
      <w:r>
        <w:rPr>
          <w:rFonts w:ascii="仿宋" w:hAnsi="仿宋" w:eastAsia="仿宋"/>
          <w:color w:val="000000"/>
          <w:sz w:val="32"/>
          <w:szCs w:val="32"/>
        </w:rPr>
        <w:t>27.基本支出：指为保障机构正常运转、完成日常工作任务而发生的人员支出和公用支出。</w:t>
      </w:r>
    </w:p>
    <w:p w14:paraId="7A11C4EF">
      <w:pPr>
        <w:ind w:firstLine="640"/>
        <w:rPr>
          <w:rFonts w:ascii="仿宋" w:hAnsi="仿宋" w:eastAsia="仿宋"/>
          <w:color w:val="000000"/>
          <w:sz w:val="32"/>
          <w:szCs w:val="32"/>
          <w:highlight w:val="none"/>
        </w:rPr>
      </w:pPr>
      <w:r>
        <w:rPr>
          <w:rFonts w:ascii="仿宋" w:hAnsi="仿宋" w:eastAsia="仿宋"/>
          <w:color w:val="000000"/>
          <w:sz w:val="32"/>
          <w:szCs w:val="32"/>
        </w:rPr>
        <w:t xml:space="preserve">28.项目支出：指在基本支出之外为完成特定行政任务和事业发展目标所发生的支出。 </w:t>
      </w:r>
    </w:p>
    <w:p w14:paraId="188254F7">
      <w:pPr>
        <w:ind w:firstLine="640"/>
        <w:rPr>
          <w:rFonts w:ascii="仿宋" w:hAnsi="仿宋" w:eastAsia="仿宋"/>
          <w:color w:val="000000"/>
          <w:sz w:val="32"/>
          <w:szCs w:val="32"/>
          <w:highlight w:val="none"/>
        </w:rPr>
      </w:pPr>
      <w:r>
        <w:rPr>
          <w:rFonts w:ascii="仿宋" w:hAnsi="仿宋" w:eastAsia="仿宋"/>
          <w:color w:val="000000"/>
          <w:sz w:val="32"/>
          <w:szCs w:val="32"/>
        </w:rPr>
        <w:t>29.经营支出：指事业单位在专业业务活动及其辅助活动之外开展非独立核算经营活动发生的支出。</w:t>
      </w:r>
    </w:p>
    <w:p w14:paraId="3DE21FA5">
      <w:pPr>
        <w:pStyle w:val="24"/>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30.“三公”经费：指</w:t>
      </w:r>
      <w:r>
        <w:rPr>
          <w:rFonts w:ascii="仿宋" w:hAnsi="仿宋" w:eastAsia="仿宋"/>
          <w:color w:val="000000"/>
          <w:sz w:val="32"/>
          <w:szCs w:val="32"/>
          <w:lang w:eastAsia="zh-CN"/>
        </w:rPr>
        <w:t>单位</w:t>
      </w:r>
      <w:r>
        <w:rPr>
          <w:rFonts w:ascii="仿宋" w:hAnsi="仿宋" w:eastAsia="仿宋"/>
          <w:color w:val="000000"/>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F4F7A6C">
      <w:pPr>
        <w:pStyle w:val="24"/>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FC7E99A">
      <w:pPr>
        <w:pStyle w:val="24"/>
        <w:bidi w:val="0"/>
        <w:spacing w:line="560" w:lineRule="exact"/>
        <w:ind w:firstLine="640"/>
        <w:jc w:val="left"/>
        <w:rPr>
          <w:rFonts w:ascii="仿宋" w:hAnsi="仿宋" w:eastAsia="仿宋"/>
          <w:color w:val="000000"/>
          <w:sz w:val="32"/>
          <w:szCs w:val="32"/>
          <w:highlight w:val="none"/>
        </w:rPr>
      </w:pPr>
      <w:r>
        <w:rPr>
          <w:rFonts w:ascii="仿宋" w:hAnsi="仿宋" w:eastAsia="仿宋"/>
          <w:color w:val="000000"/>
          <w:sz w:val="32"/>
          <w:szCs w:val="32"/>
        </w:rPr>
        <w:t>32.……</w:t>
      </w:r>
      <w:r>
        <w:rPr>
          <w:rFonts w:hint="eastAsia"/>
          <w:color w:val="000000"/>
          <w:sz w:val="32"/>
          <w:szCs w:val="32"/>
          <w:lang w:eastAsia="zh-CN"/>
        </w:rPr>
        <w:t>.</w:t>
      </w:r>
    </w:p>
    <w:p w14:paraId="1759F15F">
      <w:pPr>
        <w:pStyle w:val="24"/>
        <w:bidi w:val="0"/>
        <w:spacing w:line="560" w:lineRule="exact"/>
        <w:ind w:firstLine="640"/>
        <w:jc w:val="left"/>
        <w:rPr>
          <w:rFonts w:ascii="仿宋" w:hAnsi="仿宋" w:eastAsia="仿宋" w:cs="黑体"/>
          <w:color w:val="000000"/>
          <w:sz w:val="32"/>
          <w:szCs w:val="32"/>
          <w:highlight w:val="none"/>
        </w:rPr>
      </w:pPr>
    </w:p>
    <w:p w14:paraId="4C509596">
      <w:pPr>
        <w:ind w:firstLine="643"/>
        <w:rPr>
          <w:rFonts w:ascii="仿宋" w:hAnsi="仿宋" w:eastAsia="仿宋" w:cs="仿宋"/>
          <w:b/>
          <w:color w:val="000000"/>
          <w:sz w:val="32"/>
          <w:szCs w:val="32"/>
          <w:highlight w:val="none"/>
        </w:rPr>
      </w:pPr>
      <w:r>
        <w:rPr>
          <w:rFonts w:ascii="仿宋" w:hAnsi="仿宋" w:eastAsia="仿宋" w:cs="仿宋"/>
          <w:b/>
          <w:color w:val="000000"/>
          <w:sz w:val="32"/>
          <w:szCs w:val="32"/>
        </w:rPr>
        <w:t>（名词解释部分请根据各</w:t>
      </w:r>
      <w:r>
        <w:rPr>
          <w:rFonts w:ascii="仿宋" w:hAnsi="仿宋" w:eastAsia="仿宋" w:cs="仿宋"/>
          <w:b/>
          <w:color w:val="000000"/>
          <w:sz w:val="32"/>
          <w:szCs w:val="32"/>
          <w:lang w:eastAsia="zh-CN"/>
        </w:rPr>
        <w:t>单位</w:t>
      </w:r>
      <w:r>
        <w:rPr>
          <w:rFonts w:ascii="仿宋" w:hAnsi="仿宋" w:eastAsia="仿宋" w:cs="仿宋"/>
          <w:b/>
          <w:color w:val="000000"/>
          <w:sz w:val="32"/>
          <w:szCs w:val="32"/>
        </w:rPr>
        <w:t>实际列支情况罗列，并根据本</w:t>
      </w:r>
      <w:r>
        <w:rPr>
          <w:rFonts w:ascii="仿宋" w:hAnsi="仿宋" w:eastAsia="仿宋" w:cs="仿宋"/>
          <w:b/>
          <w:color w:val="000000"/>
          <w:sz w:val="32"/>
          <w:szCs w:val="32"/>
          <w:lang w:eastAsia="zh-CN"/>
        </w:rPr>
        <w:t>单位</w:t>
      </w:r>
      <w:r>
        <w:rPr>
          <w:rFonts w:ascii="仿宋" w:hAnsi="仿宋" w:eastAsia="仿宋" w:cs="仿宋"/>
          <w:b/>
          <w:color w:val="000000"/>
          <w:sz w:val="32"/>
          <w:szCs w:val="32"/>
        </w:rPr>
        <w:t>职责职能增减名词解释内容。）</w:t>
      </w:r>
      <w:r>
        <w:br w:type="page"/>
      </w:r>
    </w:p>
    <w:p w14:paraId="59F9B921">
      <w:pPr>
        <w:numPr>
          <w:ilvl w:val="0"/>
          <w:numId w:val="0"/>
        </w:numPr>
        <w:spacing w:line="600" w:lineRule="exact"/>
        <w:jc w:val="center"/>
        <w:outlineLvl w:val="0"/>
        <w:rPr>
          <w:rStyle w:val="20"/>
          <w:rFonts w:ascii="黑体" w:hAnsi="黑体" w:eastAsia="黑体" w:cs="黑体"/>
          <w:b w:val="0"/>
          <w:color w:val="000000"/>
          <w:highlight w:val="none"/>
        </w:rPr>
      </w:pPr>
      <w:r>
        <w:rPr>
          <w:rFonts w:ascii="黑体" w:hAnsi="黑体" w:eastAsia="黑体" w:cs="黑体"/>
          <w:color w:val="000000"/>
          <w:sz w:val="44"/>
          <w:szCs w:val="44"/>
        </w:rPr>
        <w:t>第</w:t>
      </w:r>
      <w:r>
        <w:rPr>
          <w:rStyle w:val="20"/>
          <w:rFonts w:ascii="黑体" w:hAnsi="黑体" w:eastAsia="黑体" w:cs="黑体"/>
          <w:b w:val="0"/>
          <w:color w:val="000000"/>
        </w:rPr>
        <w:t>四部分 附件</w:t>
      </w:r>
    </w:p>
    <w:p w14:paraId="5C2EF068">
      <w:pPr>
        <w:keepNext w:val="0"/>
        <w:keepLines w:val="0"/>
        <w:pageBreakBefore w:val="0"/>
        <w:numPr>
          <w:ilvl w:val="0"/>
          <w:numId w:val="0"/>
        </w:numPr>
        <w:kinsoku/>
        <w:overflowPunct/>
        <w:autoSpaceDE/>
        <w:bidi w:val="0"/>
        <w:spacing w:line="572" w:lineRule="exact"/>
        <w:jc w:val="left"/>
        <w:textAlignment w:val="auto"/>
        <w:outlineLvl w:val="0"/>
        <w:rPr>
          <w:rStyle w:val="20"/>
          <w:rFonts w:ascii="仿宋" w:hAnsi="仿宋" w:eastAsia="仿宋" w:cs="仿宋"/>
          <w:b w:val="0"/>
          <w:color w:val="000000"/>
          <w:sz w:val="32"/>
          <w:szCs w:val="32"/>
          <w:highlight w:val="none"/>
        </w:rPr>
      </w:pPr>
    </w:p>
    <w:p w14:paraId="531D3693">
      <w:pPr>
        <w:numPr>
          <w:ilvl w:val="0"/>
          <w:numId w:val="0"/>
        </w:numPr>
        <w:spacing w:line="600" w:lineRule="exact"/>
        <w:jc w:val="center"/>
        <w:outlineLvl w:val="0"/>
        <w:rPr>
          <w:rFonts w:ascii="黑体" w:hAnsi="黑体" w:eastAsia="黑体" w:cs="黑体"/>
          <w:color w:val="FF0000"/>
          <w:sz w:val="44"/>
          <w:szCs w:val="44"/>
          <w:highlight w:val="none"/>
        </w:rPr>
      </w:pPr>
      <w:r>
        <w:rPr>
          <w:rFonts w:cs="Times New Roman"/>
          <w:sz w:val="32"/>
          <w:szCs w:val="32"/>
          <w:lang w:val="en-US" w:eastAsia="zh-CN"/>
        </w:rPr>
        <w:t>部门预算项目支出绩效自评表（202</w:t>
      </w:r>
      <w:r>
        <w:rPr>
          <w:rFonts w:hint="eastAsia" w:cs="Times New Roman"/>
          <w:sz w:val="32"/>
          <w:szCs w:val="32"/>
          <w:lang w:val="en-US" w:eastAsia="zh-CN"/>
        </w:rPr>
        <w:t>5</w:t>
      </w:r>
      <w:r>
        <w:rPr>
          <w:rFonts w:cs="Times New Roman"/>
          <w:sz w:val="32"/>
          <w:szCs w:val="32"/>
          <w:lang w:val="en-US" w:eastAsia="zh-CN"/>
        </w:rPr>
        <w:t>年度）</w:t>
      </w:r>
    </w:p>
    <w:p w14:paraId="6F596CDE">
      <w:pPr>
        <w:pStyle w:val="8"/>
        <w:keepNext w:val="0"/>
        <w:keepLines w:val="0"/>
        <w:pageBreakBefore w:val="0"/>
        <w:numPr>
          <w:ilvl w:val="0"/>
          <w:numId w:val="0"/>
        </w:numPr>
        <w:kinsoku/>
        <w:overflowPunct/>
        <w:autoSpaceDE/>
        <w:bidi w:val="0"/>
        <w:spacing w:line="560" w:lineRule="exact"/>
        <w:ind w:left="0" w:firstLine="640"/>
        <w:textAlignment w:val="auto"/>
        <w:rPr>
          <w:rFonts w:ascii="黑体" w:hAnsi="黑体" w:eastAsia="黑体" w:cs="Times New Roman"/>
          <w:color w:val="FF0000"/>
          <w:sz w:val="32"/>
          <w:szCs w:val="32"/>
          <w:highlight w:val="none"/>
          <w:lang w:val="en-US" w:eastAsia="zh-CN"/>
        </w:rPr>
      </w:pPr>
    </w:p>
    <w:p w14:paraId="77FD66FD">
      <w:pPr>
        <w:pStyle w:val="8"/>
        <w:keepNext w:val="0"/>
        <w:keepLines w:val="0"/>
        <w:pageBreakBefore w:val="0"/>
        <w:numPr>
          <w:ilvl w:val="0"/>
          <w:numId w:val="0"/>
        </w:numPr>
        <w:kinsoku/>
        <w:overflowPunct/>
        <w:autoSpaceDE/>
        <w:bidi w:val="0"/>
        <w:spacing w:line="560" w:lineRule="exact"/>
        <w:ind w:left="0" w:firstLine="640"/>
        <w:textAlignment w:val="auto"/>
        <w:rPr>
          <w:rFonts w:ascii="仿宋" w:hAnsi="仿宋" w:eastAsia="仿宋" w:cs="仿宋"/>
          <w:color w:val="000000"/>
          <w:sz w:val="32"/>
          <w:szCs w:val="32"/>
          <w:highlight w:val="none"/>
          <w:lang w:val="zh-CN" w:eastAsia="zh-CN" w:bidi="ar-SA"/>
        </w:rPr>
      </w:pPr>
      <w:r>
        <w:rPr>
          <w:rFonts w:ascii="仿宋" w:hAnsi="仿宋" w:eastAsia="仿宋" w:cs="仿宋"/>
          <w:color w:val="000000"/>
          <w:sz w:val="32"/>
          <w:szCs w:val="32"/>
          <w:lang w:val="en-US" w:eastAsia="zh-CN" w:bidi="ar-SA"/>
        </w:rPr>
        <w:t>（备注：按照绩效自评工作安排，各单位可在预算管理一体化系统—综合报表查询—预算绩效报表模块中下载本单位“部门预算项目支出绩效自评表（202</w:t>
      </w:r>
      <w:r>
        <w:rPr>
          <w:rFonts w:hint="eastAsia" w:eastAsia="仿宋" w:cs="仿宋"/>
          <w:color w:val="000000"/>
          <w:sz w:val="32"/>
          <w:szCs w:val="32"/>
          <w:lang w:val="en-US" w:eastAsia="zh-CN" w:bidi="ar-SA"/>
        </w:rPr>
        <w:t>5</w:t>
      </w:r>
      <w:bookmarkStart w:id="0" w:name="_GoBack"/>
      <w:bookmarkEnd w:id="0"/>
      <w:r>
        <w:rPr>
          <w:rFonts w:ascii="仿宋" w:hAnsi="仿宋" w:eastAsia="仿宋" w:cs="仿宋"/>
          <w:color w:val="000000"/>
          <w:sz w:val="32"/>
          <w:szCs w:val="32"/>
          <w:lang w:val="en-US" w:eastAsia="zh-CN" w:bidi="ar-SA"/>
        </w:rPr>
        <w:t>年度）”，该表格应作为附件予以公开。）</w:t>
      </w:r>
    </w:p>
    <w:p w14:paraId="5D7A28F4">
      <w:pPr>
        <w:pStyle w:val="6"/>
        <w:rPr>
          <w:rFonts w:ascii="仿宋" w:hAnsi="仿宋" w:eastAsia="仿宋" w:cs="仿宋"/>
          <w:color w:val="000000"/>
          <w:kern w:val="0"/>
          <w:sz w:val="32"/>
          <w:szCs w:val="32"/>
          <w:highlight w:val="none"/>
          <w:lang w:val="en-US" w:eastAsia="zh-CN" w:bidi="ar-SA"/>
        </w:rPr>
      </w:pPr>
    </w:p>
    <w:p w14:paraId="517B57AF">
      <w:pPr>
        <w:pStyle w:val="6"/>
        <w:rPr>
          <w:rFonts w:ascii="仿宋" w:hAnsi="仿宋" w:eastAsia="仿宋" w:cs="仿宋"/>
          <w:color w:val="000000"/>
          <w:kern w:val="0"/>
          <w:sz w:val="32"/>
          <w:szCs w:val="32"/>
          <w:highlight w:val="none"/>
          <w:lang w:val="en-US" w:eastAsia="zh-CN" w:bidi="ar-SA"/>
        </w:rPr>
      </w:pPr>
    </w:p>
    <w:p w14:paraId="5DD1D92A">
      <w:pPr>
        <w:pStyle w:val="6"/>
        <w:rPr>
          <w:rFonts w:ascii="仿宋" w:hAnsi="仿宋" w:eastAsia="仿宋" w:cs="仿宋"/>
          <w:color w:val="000000"/>
          <w:kern w:val="0"/>
          <w:sz w:val="32"/>
          <w:szCs w:val="32"/>
          <w:highlight w:val="none"/>
          <w:lang w:val="en-US" w:eastAsia="zh-CN" w:bidi="ar-SA"/>
        </w:rPr>
      </w:pPr>
    </w:p>
    <w:p w14:paraId="10939DB2">
      <w:pPr>
        <w:pStyle w:val="6"/>
        <w:rPr>
          <w:rFonts w:ascii="仿宋" w:hAnsi="仿宋" w:eastAsia="仿宋" w:cs="仿宋"/>
          <w:color w:val="000000"/>
          <w:kern w:val="0"/>
          <w:sz w:val="32"/>
          <w:szCs w:val="32"/>
          <w:highlight w:val="none"/>
          <w:lang w:val="en-US" w:eastAsia="zh-CN" w:bidi="ar-SA"/>
        </w:rPr>
      </w:pPr>
    </w:p>
    <w:p w14:paraId="1094B33A">
      <w:pPr>
        <w:pStyle w:val="6"/>
        <w:rPr>
          <w:rFonts w:ascii="仿宋" w:hAnsi="仿宋" w:eastAsia="仿宋" w:cs="仿宋"/>
          <w:color w:val="000000"/>
          <w:kern w:val="0"/>
          <w:sz w:val="32"/>
          <w:szCs w:val="32"/>
          <w:highlight w:val="none"/>
          <w:lang w:val="en-US" w:eastAsia="zh-CN" w:bidi="ar-SA"/>
        </w:rPr>
      </w:pPr>
    </w:p>
    <w:p w14:paraId="3FEC1C48">
      <w:pPr>
        <w:pStyle w:val="6"/>
        <w:rPr>
          <w:rFonts w:ascii="仿宋" w:hAnsi="仿宋" w:eastAsia="仿宋" w:cs="仿宋"/>
          <w:color w:val="000000"/>
          <w:kern w:val="0"/>
          <w:sz w:val="32"/>
          <w:szCs w:val="32"/>
          <w:highlight w:val="none"/>
          <w:lang w:val="en-US" w:eastAsia="zh-CN" w:bidi="ar-SA"/>
        </w:rPr>
      </w:pPr>
    </w:p>
    <w:p w14:paraId="0AF41BB2">
      <w:pPr>
        <w:pStyle w:val="6"/>
        <w:rPr>
          <w:rFonts w:ascii="仿宋" w:hAnsi="仿宋" w:eastAsia="仿宋" w:cs="仿宋"/>
          <w:color w:val="000000"/>
          <w:kern w:val="0"/>
          <w:sz w:val="32"/>
          <w:szCs w:val="32"/>
          <w:highlight w:val="none"/>
          <w:lang w:val="en-US" w:eastAsia="zh-CN" w:bidi="ar-SA"/>
        </w:rPr>
      </w:pPr>
    </w:p>
    <w:p w14:paraId="3F9C54FA">
      <w:pPr>
        <w:pStyle w:val="6"/>
        <w:rPr>
          <w:rFonts w:ascii="仿宋" w:hAnsi="仿宋" w:eastAsia="仿宋" w:cs="仿宋"/>
          <w:color w:val="000000"/>
          <w:kern w:val="0"/>
          <w:sz w:val="32"/>
          <w:szCs w:val="32"/>
          <w:highlight w:val="none"/>
          <w:lang w:val="en-US" w:eastAsia="zh-CN" w:bidi="ar-SA"/>
        </w:rPr>
      </w:pPr>
    </w:p>
    <w:p w14:paraId="1BD710CF">
      <w:pPr>
        <w:pStyle w:val="6"/>
        <w:rPr>
          <w:rFonts w:ascii="仿宋" w:hAnsi="仿宋" w:eastAsia="仿宋" w:cs="仿宋"/>
          <w:color w:val="000000"/>
          <w:kern w:val="0"/>
          <w:sz w:val="32"/>
          <w:szCs w:val="32"/>
          <w:highlight w:val="none"/>
          <w:lang w:val="en-US" w:eastAsia="zh-CN" w:bidi="ar-SA"/>
        </w:rPr>
      </w:pPr>
    </w:p>
    <w:p w14:paraId="26DD09EF">
      <w:pPr>
        <w:pStyle w:val="6"/>
        <w:rPr>
          <w:rFonts w:ascii="仿宋" w:hAnsi="仿宋" w:eastAsia="仿宋" w:cs="仿宋"/>
          <w:color w:val="000000"/>
          <w:kern w:val="0"/>
          <w:sz w:val="32"/>
          <w:szCs w:val="32"/>
          <w:highlight w:val="none"/>
          <w:lang w:val="en-US" w:eastAsia="zh-CN" w:bidi="ar-SA"/>
        </w:rPr>
      </w:pPr>
    </w:p>
    <w:p w14:paraId="7899258D">
      <w:pPr>
        <w:pStyle w:val="6"/>
        <w:rPr>
          <w:rFonts w:ascii="仿宋" w:hAnsi="仿宋" w:eastAsia="仿宋" w:cs="仿宋"/>
          <w:color w:val="000000"/>
          <w:kern w:val="0"/>
          <w:sz w:val="32"/>
          <w:szCs w:val="32"/>
          <w:highlight w:val="none"/>
          <w:lang w:val="en-US" w:eastAsia="zh-CN" w:bidi="ar-SA"/>
        </w:rPr>
      </w:pPr>
    </w:p>
    <w:p w14:paraId="7590D2F1">
      <w:pPr>
        <w:pStyle w:val="6"/>
        <w:rPr>
          <w:rFonts w:ascii="仿宋" w:hAnsi="仿宋" w:eastAsia="仿宋" w:cs="仿宋"/>
          <w:color w:val="000000"/>
          <w:kern w:val="0"/>
          <w:sz w:val="32"/>
          <w:szCs w:val="32"/>
          <w:highlight w:val="none"/>
          <w:lang w:val="en-US" w:eastAsia="zh-CN" w:bidi="ar-SA"/>
        </w:rPr>
      </w:pPr>
      <w:r>
        <w:br w:type="page"/>
      </w:r>
    </w:p>
    <w:p w14:paraId="614E1772">
      <w:pPr>
        <w:rPr>
          <w:rFonts w:ascii="黑体" w:hAnsi="黑体" w:eastAsia="黑体" w:cs="黑体"/>
          <w:color w:val="000000"/>
          <w:kern w:val="0"/>
          <w:sz w:val="44"/>
          <w:szCs w:val="44"/>
          <w:highlight w:val="none"/>
          <w:lang w:val="en-US" w:eastAsia="zh-CN" w:bidi="ar-SA"/>
        </w:rPr>
      </w:pPr>
    </w:p>
    <w:p w14:paraId="70ADC492">
      <w:pPr>
        <w:numPr>
          <w:ilvl w:val="0"/>
          <w:numId w:val="0"/>
        </w:numPr>
        <w:spacing w:line="600" w:lineRule="exact"/>
        <w:jc w:val="center"/>
        <w:outlineLvl w:val="0"/>
        <w:rPr>
          <w:rFonts w:ascii="仿宋" w:hAnsi="仿宋" w:eastAsia="仿宋" w:cs="仿宋"/>
          <w:b w:val="0"/>
          <w:color w:val="000000"/>
          <w:highlight w:val="none"/>
        </w:rPr>
      </w:pPr>
      <w:r>
        <w:rPr>
          <w:rFonts w:ascii="黑体" w:hAnsi="黑体" w:eastAsia="黑体" w:cs="黑体"/>
          <w:color w:val="000000"/>
          <w:sz w:val="44"/>
          <w:szCs w:val="44"/>
        </w:rPr>
        <w:t>第</w:t>
      </w:r>
      <w:r>
        <w:rPr>
          <w:rStyle w:val="20"/>
          <w:rFonts w:ascii="黑体" w:hAnsi="黑体" w:eastAsia="黑体" w:cs="黑体"/>
          <w:b w:val="0"/>
          <w:color w:val="000000"/>
        </w:rPr>
        <w:t>五部分 附表</w:t>
      </w:r>
    </w:p>
    <w:p w14:paraId="2DDC944D">
      <w:pPr>
        <w:pStyle w:val="4"/>
        <w:rPr>
          <w:rFonts w:ascii="仿宋" w:hAnsi="仿宋" w:eastAsia="仿宋" w:cs="仿宋"/>
          <w:color w:val="000000"/>
          <w:highlight w:val="none"/>
        </w:rPr>
      </w:pPr>
      <w:r>
        <w:rPr>
          <w:rFonts w:ascii="仿宋" w:hAnsi="仿宋" w:eastAsia="仿宋" w:cs="仿宋"/>
          <w:b w:val="0"/>
          <w:color w:val="000000"/>
        </w:rPr>
        <w:t>一、收</w:t>
      </w:r>
      <w:r>
        <w:rPr>
          <w:rStyle w:val="19"/>
          <w:rFonts w:ascii="仿宋" w:hAnsi="仿宋" w:eastAsia="仿宋" w:cs="仿宋"/>
          <w:b w:val="0"/>
          <w:bCs w:val="0"/>
          <w:color w:val="000000"/>
        </w:rPr>
        <w:t>入支出决算总表</w:t>
      </w:r>
    </w:p>
    <w:p w14:paraId="34B197E1">
      <w:pPr>
        <w:pStyle w:val="4"/>
        <w:rPr>
          <w:rFonts w:ascii="仿宋" w:hAnsi="仿宋" w:eastAsia="仿宋" w:cs="仿宋"/>
          <w:color w:val="000000"/>
          <w:highlight w:val="none"/>
        </w:rPr>
      </w:pPr>
      <w:r>
        <w:rPr>
          <w:rFonts w:ascii="仿宋" w:hAnsi="仿宋" w:eastAsia="仿宋" w:cs="仿宋"/>
          <w:b w:val="0"/>
          <w:color w:val="000000"/>
        </w:rPr>
        <w:t>二、收</w:t>
      </w:r>
      <w:r>
        <w:rPr>
          <w:rStyle w:val="19"/>
          <w:rFonts w:ascii="仿宋" w:hAnsi="仿宋" w:eastAsia="仿宋" w:cs="仿宋"/>
          <w:b w:val="0"/>
          <w:bCs w:val="0"/>
          <w:color w:val="000000"/>
        </w:rPr>
        <w:t>入决算表</w:t>
      </w:r>
    </w:p>
    <w:p w14:paraId="0EAF47F1">
      <w:pPr>
        <w:pStyle w:val="4"/>
        <w:rPr>
          <w:rFonts w:ascii="仿宋" w:hAnsi="仿宋" w:eastAsia="仿宋" w:cs="仿宋"/>
          <w:color w:val="000000"/>
          <w:highlight w:val="none"/>
        </w:rPr>
      </w:pPr>
      <w:r>
        <w:rPr>
          <w:rStyle w:val="19"/>
          <w:rFonts w:ascii="仿宋" w:hAnsi="仿宋" w:eastAsia="仿宋" w:cs="仿宋"/>
          <w:b w:val="0"/>
          <w:bCs w:val="0"/>
          <w:color w:val="000000"/>
        </w:rPr>
        <w:t>三、</w:t>
      </w:r>
      <w:r>
        <w:rPr>
          <w:rFonts w:ascii="仿宋" w:hAnsi="仿宋" w:eastAsia="仿宋" w:cs="仿宋"/>
          <w:b w:val="0"/>
          <w:color w:val="000000"/>
        </w:rPr>
        <w:t>支</w:t>
      </w:r>
      <w:r>
        <w:rPr>
          <w:rStyle w:val="19"/>
          <w:rFonts w:ascii="仿宋" w:hAnsi="仿宋" w:eastAsia="仿宋" w:cs="仿宋"/>
          <w:b w:val="0"/>
          <w:bCs w:val="0"/>
          <w:color w:val="000000"/>
        </w:rPr>
        <w:t>出决算表</w:t>
      </w:r>
    </w:p>
    <w:p w14:paraId="389EF2FA">
      <w:pPr>
        <w:pStyle w:val="4"/>
        <w:rPr>
          <w:rFonts w:ascii="仿宋" w:hAnsi="仿宋" w:eastAsia="仿宋" w:cs="仿宋"/>
          <w:b w:val="0"/>
          <w:color w:val="000000"/>
          <w:highlight w:val="none"/>
        </w:rPr>
      </w:pPr>
      <w:r>
        <w:rPr>
          <w:rStyle w:val="19"/>
          <w:rFonts w:ascii="仿宋" w:hAnsi="仿宋" w:eastAsia="仿宋" w:cs="仿宋"/>
          <w:b w:val="0"/>
          <w:bCs w:val="0"/>
          <w:color w:val="000000"/>
        </w:rPr>
        <w:t>四、</w:t>
      </w:r>
      <w:r>
        <w:rPr>
          <w:rFonts w:ascii="仿宋" w:hAnsi="仿宋" w:eastAsia="仿宋" w:cs="仿宋"/>
          <w:b w:val="0"/>
          <w:color w:val="000000"/>
        </w:rPr>
        <w:t>财</w:t>
      </w:r>
      <w:r>
        <w:rPr>
          <w:rStyle w:val="19"/>
          <w:rFonts w:ascii="仿宋" w:hAnsi="仿宋" w:eastAsia="仿宋" w:cs="仿宋"/>
          <w:b w:val="0"/>
          <w:bCs w:val="0"/>
          <w:color w:val="000000"/>
        </w:rPr>
        <w:t>政拨款收入支出决算总表</w:t>
      </w:r>
    </w:p>
    <w:p w14:paraId="3E6B2FC7">
      <w:pPr>
        <w:pStyle w:val="4"/>
        <w:rPr>
          <w:rStyle w:val="19"/>
          <w:rFonts w:ascii="仿宋" w:hAnsi="仿宋" w:eastAsia="仿宋" w:cs="仿宋"/>
          <w:b w:val="0"/>
          <w:bCs w:val="0"/>
          <w:color w:val="000000"/>
          <w:highlight w:val="none"/>
        </w:rPr>
      </w:pPr>
      <w:r>
        <w:rPr>
          <w:rStyle w:val="19"/>
          <w:rFonts w:ascii="仿宋" w:hAnsi="仿宋" w:eastAsia="仿宋" w:cs="仿宋"/>
          <w:b w:val="0"/>
          <w:bCs w:val="0"/>
          <w:color w:val="000000"/>
        </w:rPr>
        <w:t>五、</w:t>
      </w:r>
      <w:r>
        <w:rPr>
          <w:rFonts w:ascii="仿宋" w:hAnsi="仿宋" w:eastAsia="仿宋" w:cs="仿宋"/>
          <w:b w:val="0"/>
          <w:color w:val="000000"/>
        </w:rPr>
        <w:t>财</w:t>
      </w:r>
      <w:r>
        <w:rPr>
          <w:rStyle w:val="19"/>
          <w:rFonts w:ascii="仿宋" w:hAnsi="仿宋" w:eastAsia="仿宋" w:cs="仿宋"/>
          <w:b w:val="0"/>
          <w:bCs w:val="0"/>
          <w:color w:val="000000"/>
        </w:rPr>
        <w:t>政拨款支出决算明细表</w:t>
      </w:r>
    </w:p>
    <w:p w14:paraId="32FB8442">
      <w:pPr>
        <w:pStyle w:val="4"/>
        <w:rPr>
          <w:rFonts w:ascii="仿宋" w:hAnsi="仿宋" w:eastAsia="仿宋" w:cs="仿宋"/>
          <w:color w:val="000000"/>
          <w:highlight w:val="none"/>
        </w:rPr>
      </w:pPr>
      <w:r>
        <w:rPr>
          <w:rStyle w:val="19"/>
          <w:rFonts w:ascii="仿宋" w:hAnsi="仿宋" w:eastAsia="仿宋" w:cs="仿宋"/>
          <w:b w:val="0"/>
          <w:bCs w:val="0"/>
          <w:color w:val="000000"/>
        </w:rPr>
        <w:t>六、</w:t>
      </w:r>
      <w:r>
        <w:rPr>
          <w:rFonts w:ascii="仿宋" w:hAnsi="仿宋" w:eastAsia="仿宋" w:cs="仿宋"/>
          <w:b w:val="0"/>
          <w:color w:val="000000"/>
        </w:rPr>
        <w:t>一</w:t>
      </w:r>
      <w:r>
        <w:rPr>
          <w:rStyle w:val="19"/>
          <w:rFonts w:ascii="仿宋" w:hAnsi="仿宋" w:eastAsia="仿宋" w:cs="仿宋"/>
          <w:b w:val="0"/>
          <w:bCs w:val="0"/>
          <w:color w:val="000000"/>
        </w:rPr>
        <w:t>般公共预算财政拨款支出决算表</w:t>
      </w:r>
    </w:p>
    <w:p w14:paraId="3DABF8BB">
      <w:pPr>
        <w:pStyle w:val="4"/>
        <w:rPr>
          <w:rFonts w:ascii="仿宋" w:hAnsi="仿宋" w:eastAsia="仿宋" w:cs="仿宋"/>
          <w:color w:val="000000"/>
          <w:highlight w:val="none"/>
        </w:rPr>
      </w:pPr>
      <w:r>
        <w:rPr>
          <w:rStyle w:val="19"/>
          <w:rFonts w:ascii="仿宋" w:hAnsi="仿宋" w:eastAsia="仿宋" w:cs="仿宋"/>
          <w:b w:val="0"/>
          <w:bCs w:val="0"/>
          <w:color w:val="000000"/>
        </w:rPr>
        <w:t>七、</w:t>
      </w:r>
      <w:r>
        <w:rPr>
          <w:rFonts w:ascii="仿宋" w:hAnsi="仿宋" w:eastAsia="仿宋" w:cs="仿宋"/>
          <w:b w:val="0"/>
          <w:color w:val="000000"/>
        </w:rPr>
        <w:t>一</w:t>
      </w:r>
      <w:r>
        <w:rPr>
          <w:rStyle w:val="19"/>
          <w:rFonts w:ascii="仿宋" w:hAnsi="仿宋" w:eastAsia="仿宋" w:cs="仿宋"/>
          <w:b w:val="0"/>
          <w:bCs w:val="0"/>
          <w:color w:val="000000"/>
        </w:rPr>
        <w:t>般公共预算财政拨款支出决算明细表</w:t>
      </w:r>
    </w:p>
    <w:p w14:paraId="2497CDA7">
      <w:pPr>
        <w:pStyle w:val="4"/>
        <w:rPr>
          <w:rFonts w:ascii="仿宋" w:hAnsi="仿宋" w:eastAsia="仿宋" w:cs="仿宋"/>
          <w:color w:val="000000"/>
          <w:highlight w:val="none"/>
        </w:rPr>
      </w:pPr>
      <w:r>
        <w:rPr>
          <w:rStyle w:val="19"/>
          <w:rFonts w:ascii="仿宋" w:hAnsi="仿宋" w:eastAsia="仿宋" w:cs="仿宋"/>
          <w:b w:val="0"/>
          <w:bCs w:val="0"/>
          <w:color w:val="000000"/>
        </w:rPr>
        <w:t>八、</w:t>
      </w:r>
      <w:r>
        <w:rPr>
          <w:rFonts w:ascii="仿宋" w:hAnsi="仿宋" w:eastAsia="仿宋" w:cs="仿宋"/>
          <w:b w:val="0"/>
          <w:color w:val="000000"/>
        </w:rPr>
        <w:t>一</w:t>
      </w:r>
      <w:r>
        <w:rPr>
          <w:rStyle w:val="19"/>
          <w:rFonts w:ascii="仿宋" w:hAnsi="仿宋" w:eastAsia="仿宋" w:cs="仿宋"/>
          <w:b w:val="0"/>
          <w:bCs w:val="0"/>
          <w:color w:val="000000"/>
        </w:rPr>
        <w:t>般公共预算财政拨款基本支出决算表</w:t>
      </w:r>
    </w:p>
    <w:p w14:paraId="5D689593">
      <w:pPr>
        <w:pStyle w:val="4"/>
        <w:rPr>
          <w:rFonts w:ascii="仿宋" w:hAnsi="仿宋" w:eastAsia="仿宋" w:cs="仿宋"/>
          <w:color w:val="000000"/>
          <w:highlight w:val="none"/>
        </w:rPr>
      </w:pPr>
      <w:r>
        <w:rPr>
          <w:rStyle w:val="19"/>
          <w:rFonts w:ascii="仿宋" w:hAnsi="仿宋" w:eastAsia="仿宋" w:cs="仿宋"/>
          <w:b w:val="0"/>
          <w:bCs w:val="0"/>
          <w:color w:val="000000"/>
        </w:rPr>
        <w:t>九、</w:t>
      </w:r>
      <w:r>
        <w:rPr>
          <w:rFonts w:ascii="仿宋" w:hAnsi="仿宋" w:eastAsia="仿宋" w:cs="仿宋"/>
          <w:b w:val="0"/>
          <w:color w:val="000000"/>
        </w:rPr>
        <w:t>一</w:t>
      </w:r>
      <w:r>
        <w:rPr>
          <w:rStyle w:val="19"/>
          <w:rFonts w:ascii="仿宋" w:hAnsi="仿宋" w:eastAsia="仿宋" w:cs="仿宋"/>
          <w:b w:val="0"/>
          <w:bCs w:val="0"/>
          <w:color w:val="000000"/>
        </w:rPr>
        <w:t>般公共预算财政拨款项目支出决算表</w:t>
      </w:r>
    </w:p>
    <w:p w14:paraId="4F219D64">
      <w:pPr>
        <w:pStyle w:val="4"/>
        <w:rPr>
          <w:rFonts w:ascii="仿宋" w:hAnsi="仿宋" w:eastAsia="仿宋" w:cs="仿宋"/>
          <w:color w:val="000000"/>
          <w:highlight w:val="none"/>
        </w:rPr>
      </w:pPr>
      <w:r>
        <w:rPr>
          <w:rStyle w:val="19"/>
          <w:rFonts w:ascii="仿宋" w:hAnsi="仿宋" w:eastAsia="仿宋" w:cs="仿宋"/>
          <w:b w:val="0"/>
          <w:bCs w:val="0"/>
          <w:color w:val="000000"/>
        </w:rPr>
        <w:t>十、</w:t>
      </w:r>
      <w:r>
        <w:rPr>
          <w:rFonts w:ascii="仿宋" w:hAnsi="仿宋" w:eastAsia="仿宋" w:cs="仿宋"/>
          <w:b w:val="0"/>
          <w:color w:val="000000"/>
        </w:rPr>
        <w:t>政</w:t>
      </w:r>
      <w:r>
        <w:rPr>
          <w:rStyle w:val="19"/>
          <w:rFonts w:ascii="仿宋" w:hAnsi="仿宋" w:eastAsia="仿宋" w:cs="仿宋"/>
          <w:b w:val="0"/>
          <w:bCs w:val="0"/>
          <w:color w:val="000000"/>
        </w:rPr>
        <w:t>府性基金预算财政拨款收入支出决算表</w:t>
      </w:r>
    </w:p>
    <w:p w14:paraId="743787F3">
      <w:pPr>
        <w:pStyle w:val="4"/>
        <w:rPr>
          <w:rFonts w:ascii="仿宋" w:hAnsi="仿宋" w:eastAsia="仿宋" w:cs="仿宋"/>
          <w:color w:val="000000"/>
          <w:highlight w:val="none"/>
        </w:rPr>
      </w:pPr>
      <w:r>
        <w:rPr>
          <w:rStyle w:val="19"/>
          <w:rFonts w:ascii="仿宋" w:hAnsi="仿宋" w:eastAsia="仿宋" w:cs="仿宋"/>
          <w:b w:val="0"/>
          <w:bCs w:val="0"/>
          <w:color w:val="000000"/>
        </w:rPr>
        <w:t>十一、</w:t>
      </w:r>
      <w:r>
        <w:rPr>
          <w:rFonts w:ascii="仿宋" w:hAnsi="仿宋" w:eastAsia="仿宋" w:cs="仿宋"/>
          <w:b w:val="0"/>
          <w:color w:val="000000"/>
        </w:rPr>
        <w:t>国</w:t>
      </w:r>
      <w:r>
        <w:rPr>
          <w:rStyle w:val="19"/>
          <w:rFonts w:ascii="仿宋" w:hAnsi="仿宋" w:eastAsia="仿宋" w:cs="仿宋"/>
          <w:b w:val="0"/>
          <w:bCs w:val="0"/>
          <w:color w:val="000000"/>
        </w:rPr>
        <w:t>有资本经营预算</w:t>
      </w:r>
      <w:r>
        <w:rPr>
          <w:rStyle w:val="19"/>
          <w:rFonts w:ascii="仿宋" w:hAnsi="仿宋" w:eastAsia="仿宋" w:cs="仿宋"/>
          <w:b w:val="0"/>
          <w:bCs w:val="0"/>
          <w:color w:val="000000"/>
          <w:lang w:eastAsia="zh-CN"/>
        </w:rPr>
        <w:t>财政拨款收入</w:t>
      </w:r>
      <w:r>
        <w:rPr>
          <w:rStyle w:val="19"/>
          <w:rFonts w:ascii="仿宋" w:hAnsi="仿宋" w:eastAsia="仿宋" w:cs="仿宋"/>
          <w:b w:val="0"/>
          <w:bCs w:val="0"/>
          <w:color w:val="000000"/>
        </w:rPr>
        <w:t>支出决算表</w:t>
      </w:r>
    </w:p>
    <w:p w14:paraId="61CD2E1F">
      <w:pPr>
        <w:pStyle w:val="4"/>
        <w:rPr>
          <w:rFonts w:ascii="仿宋" w:hAnsi="仿宋" w:eastAsia="仿宋" w:cs="仿宋"/>
          <w:color w:val="000000"/>
          <w:highlight w:val="none"/>
        </w:rPr>
      </w:pPr>
      <w:r>
        <w:rPr>
          <w:rStyle w:val="19"/>
          <w:rFonts w:ascii="仿宋" w:hAnsi="仿宋" w:eastAsia="仿宋" w:cs="仿宋"/>
          <w:b w:val="0"/>
          <w:bCs w:val="0"/>
          <w:color w:val="000000"/>
        </w:rPr>
        <w:t>十二、</w:t>
      </w:r>
      <w:r>
        <w:rPr>
          <w:rStyle w:val="19"/>
          <w:rFonts w:ascii="仿宋" w:hAnsi="仿宋" w:eastAsia="仿宋" w:cs="仿宋"/>
          <w:b w:val="0"/>
          <w:bCs w:val="0"/>
          <w:color w:val="000000"/>
          <w:lang w:eastAsia="zh-CN"/>
        </w:rPr>
        <w:t>国有资本经营预算财政拨款支出决算表</w:t>
      </w:r>
    </w:p>
    <w:p w14:paraId="340E0C29">
      <w:pPr>
        <w:pStyle w:val="4"/>
        <w:rPr>
          <w:rFonts w:eastAsia="仿宋"/>
          <w:color w:val="000000"/>
          <w:highlight w:val="none"/>
          <w:lang w:eastAsia="zh-CN"/>
        </w:rPr>
      </w:pPr>
      <w:r>
        <w:rPr>
          <w:rStyle w:val="19"/>
          <w:rFonts w:ascii="仿宋" w:hAnsi="仿宋" w:eastAsia="仿宋" w:cs="仿宋"/>
          <w:b w:val="0"/>
          <w:bCs w:val="0"/>
          <w:color w:val="000000"/>
        </w:rPr>
        <w:t>十三、</w:t>
      </w:r>
      <w:r>
        <w:rPr>
          <w:rStyle w:val="19"/>
          <w:rFonts w:ascii="仿宋" w:hAnsi="仿宋" w:eastAsia="仿宋" w:cs="仿宋"/>
          <w:b w:val="0"/>
          <w:bCs w:val="0"/>
          <w:color w:val="000000"/>
          <w:lang w:eastAsia="zh-CN"/>
        </w:rPr>
        <w:t>财政拨款“三公”经费支出决算表</w:t>
      </w:r>
    </w:p>
    <w:p w14:paraId="4C981765">
      <w:pPr>
        <w:rPr>
          <w:rFonts w:eastAsia="仿宋"/>
          <w:color w:val="000000"/>
          <w:highlight w:val="none"/>
          <w:lang w:eastAsia="zh-CN"/>
        </w:rPr>
      </w:pPr>
    </w:p>
    <w:sectPr>
      <w:pgSz w:w="11906" w:h="16838"/>
      <w:pgMar w:top="1440" w:right="1800" w:bottom="1440" w:left="1800" w:header="0" w:footer="0" w:gutter="0"/>
      <w:pgNumType w:fmt="decimal"/>
      <w:cols w:space="720"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F5DE24E-2467-4726-9DE1-8DD50AD6913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2B55FE61-6A1D-4B8D-815C-6C678D4090DC}"/>
  </w:font>
  <w:font w:name="Lohit Devanagari">
    <w:altName w:val="FFont-Family"/>
    <w:panose1 w:val="00000000000000000000"/>
    <w:charset w:val="00"/>
    <w:family w:val="auto"/>
    <w:pitch w:val="default"/>
    <w:sig w:usb0="00000000" w:usb1="00000000" w:usb2="00000000" w:usb3="00000000" w:csb0="00000000" w:csb1="00000000"/>
    <w:embedRegular r:id="rId3" w:fontKey="{4FA7BED7-33FD-4A86-B6F3-DAB15B7D051E}"/>
  </w:font>
  <w:font w:name="Liberation Serif">
    <w:altName w:val="Times New Roman"/>
    <w:panose1 w:val="00000000000000000000"/>
    <w:charset w:val="01"/>
    <w:family w:val="roman"/>
    <w:pitch w:val="default"/>
    <w:sig w:usb0="00000000" w:usb1="00000000" w:usb2="00000000" w:usb3="00000000" w:csb0="00000000" w:csb1="00000000"/>
    <w:embedRegular r:id="rId4" w:fontKey="{F0415964-0166-421B-A315-36A0890244B8}"/>
  </w:font>
  <w:font w:name="Noto Serif CJK SC">
    <w:altName w:val="宋体"/>
    <w:panose1 w:val="00000000000000000000"/>
    <w:charset w:val="86"/>
    <w:family w:val="auto"/>
    <w:pitch w:val="default"/>
    <w:sig w:usb0="00000000" w:usb1="00000000" w:usb2="00000000" w:usb3="00000000" w:csb0="00000000" w:csb1="00000000"/>
    <w:embedRegular r:id="rId5" w:fontKey="{472F59A9-1A77-4F92-BAD5-E2AF705A91F1}"/>
  </w:font>
  <w:font w:name="Cambria">
    <w:panose1 w:val="02040503050406030204"/>
    <w:charset w:val="00"/>
    <w:family w:val="roman"/>
    <w:pitch w:val="default"/>
    <w:sig w:usb0="E00006FF" w:usb1="420024FF" w:usb2="02000000" w:usb3="00000000" w:csb0="2000019F" w:csb1="00000000"/>
    <w:embedRegular r:id="rId6" w:fontKey="{AE261F59-EDA8-4338-A7EE-90A6CA4290C5}"/>
  </w:font>
  <w:font w:name="Liberation Sans;微软雅黑">
    <w:altName w:val="黑体"/>
    <w:panose1 w:val="00000000000000000000"/>
    <w:charset w:val="00"/>
    <w:family w:val="auto"/>
    <w:pitch w:val="default"/>
    <w:sig w:usb0="00000000" w:usb1="00000000" w:usb2="00000000" w:usb3="00000000" w:csb0="00000000" w:csb1="00000000"/>
  </w:font>
  <w:font w:name="Noto Sans CJK SC Regular;宋体">
    <w:altName w:val="宋体"/>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embedRegular r:id="rId7" w:fontKey="{26A4C6A0-E031-43D0-9869-18EAD74FCC68}"/>
  </w:font>
  <w:font w:name="方正小标宋简体">
    <w:panose1 w:val="02010600010101010101"/>
    <w:charset w:val="86"/>
    <w:family w:val="script"/>
    <w:pitch w:val="default"/>
    <w:sig w:usb0="00000001" w:usb1="080E0000" w:usb2="00000000" w:usb3="00000000" w:csb0="00040000" w:csb1="00000000"/>
    <w:embedRegular r:id="rId8" w:fontKey="{8E12CAE5-505C-4356-9A28-DBE91F59B238}"/>
  </w:font>
  <w:font w:name="方正仿宋">
    <w:altName w:val="仿宋"/>
    <w:panose1 w:val="00000000000000000000"/>
    <w:charset w:val="86"/>
    <w:family w:val="auto"/>
    <w:pitch w:val="default"/>
    <w:sig w:usb0="00000000" w:usb1="00000000" w:usb2="00000000" w:usb3="00000000" w:csb0="00000000" w:csb1="00000000"/>
    <w:embedRegular r:id="rId9" w:fontKey="{98432703-602C-4566-970B-D937387CD4C6}"/>
  </w:font>
  <w:font w:name="华文中宋">
    <w:altName w:val="宋体"/>
    <w:panose1 w:val="00000000000000000000"/>
    <w:charset w:val="00"/>
    <w:family w:val="auto"/>
    <w:pitch w:val="default"/>
    <w:sig w:usb0="00000000" w:usb1="00000000" w:usb2="00000000" w:usb3="00000000" w:csb0="00000000" w:csb1="00000000"/>
    <w:embedRegular r:id="rId10" w:fontKey="{718549D4-E7D3-43EF-B7D3-11297DED325F}"/>
  </w:font>
  <w:font w:name="FFont-Family">
    <w:panose1 w:val="02000509000000000000"/>
    <w:charset w:val="00"/>
    <w:family w:val="auto"/>
    <w:pitch w:val="default"/>
    <w:sig w:usb0="00000001"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singleLevel"/>
    <w:tmpl w:val="CF092B84"/>
    <w:lvl w:ilvl="0" w:tentative="0">
      <w:start w:val="1"/>
      <w:numFmt w:val="chineseCountingThousand"/>
      <w:suff w:val="nothing"/>
      <w:lvlText w:val="%1、"/>
      <w:lvlJc w:val="left"/>
      <w:pPr>
        <w:tabs>
          <w:tab w:val="left" w:pos="0"/>
        </w:tabs>
        <w:ind w:left="0" w:firstLine="0"/>
      </w:pPr>
    </w:lvl>
  </w:abstractNum>
  <w:abstractNum w:abstractNumId="1">
    <w:nsid w:val="0053208E"/>
    <w:multiLevelType w:val="multilevel"/>
    <w:tmpl w:val="0053208E"/>
    <w:lvl w:ilvl="0" w:tentative="0">
      <w:start w:val="1"/>
      <w:numFmt w:val="none"/>
      <w:pStyle w:val="3"/>
      <w:suff w:val="nothing"/>
      <w:lvlText w:val=""/>
      <w:lvlJc w:val="left"/>
      <w:pPr>
        <w:tabs>
          <w:tab w:val="left" w:pos="0"/>
        </w:tabs>
        <w:ind w:left="0" w:firstLine="0"/>
      </w:pPr>
    </w:lvl>
    <w:lvl w:ilvl="1" w:tentative="0">
      <w:start w:val="1"/>
      <w:numFmt w:val="none"/>
      <w:pStyle w:val="4"/>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documentProtection w:enforcement="0"/>
  <w:defaultTabStop w:val="420"/>
  <w:autoHyphenation/>
  <w:compat>
    <w:noLeading/>
    <w:doNotExpandShiftReturn/>
    <w:useFELayout/>
    <w:compatSetting w:name="compatibilityMode" w:uri="http://schemas.microsoft.com/office/word" w:val="14"/>
  </w:compat>
  <w:rsids>
    <w:rsidRoot w:val="00000000"/>
    <w:rsid w:val="08E6788B"/>
    <w:rsid w:val="26EA29E4"/>
    <w:rsid w:val="5C414D7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Noto Serif CJK SC" w:cs="Lohit Devanaga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Times New Roman"/>
      <w:color w:val="000000"/>
      <w:kern w:val="2"/>
      <w:sz w:val="21"/>
      <w:szCs w:val="24"/>
      <w:lang w:val="en-US" w:eastAsia="zh-CN" w:bidi="ar-SA"/>
    </w:rPr>
  </w:style>
  <w:style w:type="paragraph" w:styleId="3">
    <w:name w:val="heading 1"/>
    <w:basedOn w:val="1"/>
    <w:next w:val="1"/>
    <w:qFormat/>
    <w:uiPriority w:val="0"/>
    <w:pPr>
      <w:keepNext/>
      <w:keepLines/>
      <w:numPr>
        <w:ilvl w:val="0"/>
        <w:numId w:val="1"/>
      </w:numPr>
      <w:spacing w:before="340" w:after="330" w:line="576" w:lineRule="auto"/>
      <w:outlineLvl w:val="0"/>
    </w:pPr>
    <w:rPr>
      <w:b/>
      <w:bCs/>
      <w:kern w:val="2"/>
      <w:sz w:val="44"/>
      <w:szCs w:val="44"/>
    </w:rPr>
  </w:style>
  <w:style w:type="paragraph" w:styleId="4">
    <w:name w:val="heading 2"/>
    <w:basedOn w:val="1"/>
    <w:next w:val="1"/>
    <w:qFormat/>
    <w:uiPriority w:val="0"/>
    <w:pPr>
      <w:keepNext/>
      <w:keepLines/>
      <w:numPr>
        <w:ilvl w:val="1"/>
        <w:numId w:val="1"/>
      </w:numPr>
      <w:spacing w:before="260" w:after="260" w:line="415" w:lineRule="auto"/>
      <w:outlineLvl w:val="1"/>
    </w:pPr>
    <w:rPr>
      <w:rFonts w:ascii="Cambria" w:hAnsi="Cambria" w:eastAsia="宋体" w:cs="Times New Roman"/>
      <w:b/>
      <w:bCs/>
      <w:sz w:val="32"/>
      <w:szCs w:val="32"/>
    </w:rPr>
  </w:style>
  <w:style w:type="character" w:default="1" w:styleId="14">
    <w:name w:val="Default Paragraph Font"/>
    <w:semiHidden/>
    <w:uiPriority w:val="0"/>
  </w:style>
  <w:style w:type="table" w:default="1" w:styleId="13">
    <w:name w:val="Normal Table"/>
    <w:semiHidden/>
    <w:uiPriority w:val="0"/>
    <w:tblPr>
      <w:tblCellMar>
        <w:top w:w="0" w:type="dxa"/>
        <w:left w:w="108" w:type="dxa"/>
        <w:bottom w:w="0" w:type="dxa"/>
        <w:right w:w="108" w:type="dxa"/>
      </w:tblCellMar>
    </w:tblPr>
  </w:style>
  <w:style w:type="paragraph" w:customStyle="1" w:styleId="2">
    <w:name w:val="图表目录1"/>
    <w:basedOn w:val="1"/>
    <w:next w:val="1"/>
    <w:qFormat/>
    <w:uiPriority w:val="0"/>
    <w:pPr>
      <w:ind w:hanging="200"/>
    </w:pPr>
  </w:style>
  <w:style w:type="paragraph" w:styleId="5">
    <w:name w:val="caption"/>
    <w:basedOn w:val="1"/>
    <w:qFormat/>
    <w:uiPriority w:val="0"/>
    <w:pPr>
      <w:suppressLineNumbers/>
      <w:spacing w:before="120" w:after="120"/>
    </w:pPr>
    <w:rPr>
      <w:rFonts w:cs="Lohit Devanagari"/>
      <w:i/>
      <w:iCs/>
      <w:sz w:val="24"/>
      <w:szCs w:val="24"/>
    </w:rPr>
  </w:style>
  <w:style w:type="paragraph" w:styleId="6">
    <w:name w:val="Body Text"/>
    <w:basedOn w:val="1"/>
    <w:uiPriority w:val="0"/>
    <w:pPr>
      <w:spacing w:before="0" w:after="140" w:line="276" w:lineRule="auto"/>
    </w:pPr>
  </w:style>
  <w:style w:type="paragraph" w:styleId="7">
    <w:name w:val="Body Text Indent"/>
    <w:basedOn w:val="1"/>
    <w:next w:val="8"/>
    <w:uiPriority w:val="0"/>
    <w:pPr>
      <w:spacing w:before="0" w:after="120"/>
    </w:pPr>
    <w:rPr>
      <w:rFonts w:ascii="仿宋" w:hAnsi="仿宋"/>
      <w:szCs w:val="32"/>
    </w:rPr>
  </w:style>
  <w:style w:type="paragraph" w:customStyle="1" w:styleId="8">
    <w:name w:val="正文首行缩进 21"/>
    <w:basedOn w:val="7"/>
    <w:next w:val="1"/>
    <w:qFormat/>
    <w:uiPriority w:val="0"/>
    <w:pPr>
      <w:ind w:firstLine="420"/>
    </w:pPr>
  </w:style>
  <w:style w:type="paragraph" w:styleId="9">
    <w:name w:val="toc 1"/>
    <w:basedOn w:val="1"/>
    <w:next w:val="1"/>
    <w:uiPriority w:val="0"/>
    <w:pPr>
      <w:tabs>
        <w:tab w:val="right" w:leader="dot" w:pos="8296"/>
      </w:tabs>
      <w:spacing w:before="93" w:after="0"/>
      <w:jc w:val="center"/>
    </w:pPr>
    <w:rPr>
      <w:rFonts w:ascii="仿宋" w:hAnsi="仿宋" w:eastAsia="仿宋" w:cs="仿宋"/>
      <w:sz w:val="28"/>
      <w:szCs w:val="28"/>
    </w:rPr>
  </w:style>
  <w:style w:type="paragraph" w:styleId="10">
    <w:name w:val="List"/>
    <w:basedOn w:val="6"/>
    <w:uiPriority w:val="0"/>
  </w:style>
  <w:style w:type="paragraph" w:styleId="11">
    <w:name w:val="footnote text"/>
    <w:basedOn w:val="1"/>
    <w:next w:val="8"/>
    <w:qFormat/>
    <w:uiPriority w:val="0"/>
    <w:pPr>
      <w:snapToGrid w:val="0"/>
      <w:jc w:val="left"/>
    </w:pPr>
    <w:rPr>
      <w:sz w:val="18"/>
      <w:szCs w:val="18"/>
    </w:rPr>
  </w:style>
  <w:style w:type="paragraph" w:styleId="12">
    <w:name w:val="toc 2"/>
    <w:basedOn w:val="1"/>
    <w:next w:val="1"/>
    <w:qFormat/>
    <w:uiPriority w:val="0"/>
    <w:pPr>
      <w:tabs>
        <w:tab w:val="right" w:leader="dot" w:pos="8296"/>
      </w:tabs>
      <w:ind w:left="420" w:firstLine="0"/>
    </w:pPr>
  </w:style>
  <w:style w:type="character" w:customStyle="1" w:styleId="15">
    <w:name w:val="WW8Num1z0"/>
    <w:qFormat/>
    <w:uiPriority w:val="0"/>
  </w:style>
  <w:style w:type="character" w:customStyle="1" w:styleId="16">
    <w:name w:val="默认段落字体11"/>
    <w:qFormat/>
    <w:uiPriority w:val="0"/>
  </w:style>
  <w:style w:type="character" w:customStyle="1" w:styleId="17">
    <w:name w:val="Strong Emphasis"/>
    <w:basedOn w:val="16"/>
    <w:qFormat/>
    <w:uiPriority w:val="0"/>
    <w:rPr>
      <w:b/>
    </w:rPr>
  </w:style>
  <w:style w:type="character" w:customStyle="1" w:styleId="18">
    <w:name w:val="默认段落字体1"/>
    <w:qFormat/>
    <w:uiPriority w:val="0"/>
  </w:style>
  <w:style w:type="character" w:customStyle="1" w:styleId="19">
    <w:name w:val="标题 2 Char"/>
    <w:basedOn w:val="16"/>
    <w:qFormat/>
    <w:uiPriority w:val="0"/>
    <w:rPr>
      <w:rFonts w:ascii="Cambria" w:hAnsi="Cambria" w:eastAsia="宋体" w:cs="Times New Roman"/>
      <w:b/>
      <w:bCs/>
      <w:sz w:val="32"/>
      <w:szCs w:val="32"/>
    </w:rPr>
  </w:style>
  <w:style w:type="character" w:customStyle="1" w:styleId="20">
    <w:name w:val="标题 1 Char"/>
    <w:basedOn w:val="16"/>
    <w:qFormat/>
    <w:uiPriority w:val="0"/>
    <w:rPr>
      <w:b/>
      <w:bCs/>
      <w:kern w:val="2"/>
      <w:sz w:val="44"/>
      <w:szCs w:val="44"/>
    </w:rPr>
  </w:style>
  <w:style w:type="paragraph" w:customStyle="1" w:styleId="21">
    <w:name w:val="Heading"/>
    <w:basedOn w:val="1"/>
    <w:next w:val="6"/>
    <w:qFormat/>
    <w:uiPriority w:val="0"/>
    <w:pPr>
      <w:keepNext/>
      <w:widowControl w:val="0"/>
      <w:suppressAutoHyphens/>
      <w:spacing w:before="240" w:after="120"/>
    </w:pPr>
    <w:rPr>
      <w:rFonts w:ascii="Liberation Sans;微软雅黑" w:hAnsi="Liberation Sans;微软雅黑" w:eastAsia="Noto Sans CJK SC Regular;宋体" w:cs="Noto Sans CJK SC Regular;宋体"/>
      <w:sz w:val="28"/>
      <w:szCs w:val="28"/>
      <w:lang w:bidi="ar-SA"/>
    </w:rPr>
  </w:style>
  <w:style w:type="paragraph" w:customStyle="1" w:styleId="22">
    <w:name w:val="Index"/>
    <w:basedOn w:val="1"/>
    <w:qFormat/>
    <w:uiPriority w:val="0"/>
    <w:pPr>
      <w:widowControl w:val="0"/>
      <w:suppressLineNumbers/>
      <w:suppressAutoHyphens/>
    </w:pPr>
  </w:style>
  <w:style w:type="paragraph" w:customStyle="1" w:styleId="23">
    <w:name w:val="题注1"/>
    <w:basedOn w:val="1"/>
    <w:qFormat/>
    <w:uiPriority w:val="0"/>
    <w:pPr>
      <w:widowControl w:val="0"/>
      <w:suppressLineNumbers/>
      <w:suppressAutoHyphens/>
      <w:spacing w:before="120" w:after="120"/>
    </w:pPr>
    <w:rPr>
      <w:i/>
      <w:iCs/>
      <w:sz w:val="24"/>
      <w:szCs w:val="24"/>
    </w:rPr>
  </w:style>
  <w:style w:type="paragraph" w:customStyle="1" w:styleId="24">
    <w:name w:val="Default"/>
    <w:qFormat/>
    <w:uiPriority w:val="0"/>
    <w:pPr>
      <w:widowControl w:val="0"/>
      <w:suppressAutoHyphens/>
      <w:autoSpaceDE w:val="0"/>
      <w:bidi w:val="0"/>
    </w:pPr>
    <w:rPr>
      <w:rFonts w:ascii="仿宋" w:hAnsi="仿宋" w:eastAsia="仿宋" w:cs="仿宋"/>
      <w:color w:val="000000"/>
      <w:sz w:val="24"/>
      <w:szCs w:val="24"/>
      <w:lang w:val="en-US" w:eastAsia="zh-CN" w:bidi="ar-SA"/>
    </w:rPr>
  </w:style>
  <w:style w:type="paragraph" w:styleId="25">
    <w:name w:val="List Paragraph"/>
    <w:basedOn w:val="1"/>
    <w:qFormat/>
    <w:uiPriority w:val="0"/>
    <w:pPr>
      <w:ind w:firstLine="42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7.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57c075de-cead-4c48-a2fd-13dc26b06bab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4F9185AC</paraID>
      <start>0</start>
      <end>2</end>
      <status>modified</status>
      <modifiedWord>1.</modifiedWord>
      <trackRevisions>false</trackRevisions>
    </reviewItem>
    <reviewItem>
      <errorID>78628a8d-a655-4450-8ef9-ba6299f46558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4B66B5FF</paraID>
      <start>0</start>
      <end>2</end>
      <status>modified</status>
      <modifiedWord>2.</modifiedWord>
      <trackRevisions>false</trackRevisions>
    </reviewItem>
    <reviewItem>
      <errorID>c368f7d3-b543-407a-876e-265a4b4b4635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4991E07E</paraID>
      <start>0</start>
      <end>2</end>
      <status>modified</status>
      <modifiedWord>3.</modifiedWord>
      <trackRevisions>false</trackRevisions>
    </reviewItem>
    <reviewItem>
      <errorID>cb46246a-07df-43c7-80bd-8d4d079e7180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2E215DAD</paraID>
      <start>0</start>
      <end>2</end>
      <status>modified</status>
      <modifiedWord>4.</modifiedWord>
      <trackRevisions>false</trackRevisions>
    </reviewItem>
    <reviewItem>
      <errorID>55d35851-a69f-4d40-9ba9-4c7a7c3f0102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7026768B</paraID>
      <start>0</start>
      <end>2</end>
      <status>modified</status>
      <modifiedWord>5.</modifiedWord>
      <trackRevisions>false</trackRevisions>
    </reviewItem>
    <reviewItem>
      <errorID>37c5f956-848c-4b6c-9413-8584f3b37332</errorID>
      <errorWord>法制</errorWord>
      <group>L1_Word</group>
      <groupName>字词问题</groupName>
      <ability>L2_Typo</ability>
      <abilityName>字词错误</abilityName>
      <candidateList>
        <item>法治</item>
      </candidateList>
      <explain>存在发音相同字词的误用。</explain>
      <paraID>7026768B</paraID>
      <start>8</start>
      <end>10</end>
      <status>modified</status>
      <modifiedWord>法治</modifiedWord>
      <trackRevisions>false</trackRevisions>
    </reviewItem>
    <reviewItem>
      <errorID>50715abf-7bdc-4b41-946b-dd7ab565af45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5E77F53B</paraID>
      <start>0</start>
      <end>2</end>
      <status>modified</status>
      <modifiedWord>6.</modifiedWord>
      <trackRevisions>false</trackRevisions>
    </reviewItem>
    <reviewItem>
      <errorID>8932d41c-5a63-4594-a83b-2bdd3a599cba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5324D36C</paraID>
      <start>0</start>
      <end>2</end>
      <status>modified</status>
      <modifiedWord>7.</modifiedWord>
      <trackRevisions>false</trackRevisions>
    </reviewItem>
    <reviewItem>
      <errorID>3fe205de-8503-4407-8db7-ea49e0b2f014</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5324D36C</paraID>
      <start>4</start>
      <end>10</end>
      <status>modified</status>
      <modifiedWord>县委、县政府</modifiedWord>
      <trackRevisions>false</trackRevisions>
    </reviewItem>
    <reviewItem>
      <errorID>eca2da35-4077-4109-82b2-6cb4d21b9e38</errorID>
      <errorWord>。</errorWord>
      <group>L1_Format</group>
      <groupName>格式问题</groupName>
      <ability>L2_HalfPunc_CN</ability>
      <abilityName>全半角问题</abilityName>
      <candidateList>
        <item>.</item>
      </candidateList>
      <explain>文本全半角错误。</explain>
      <paraID>2FC7E99A</paraID>
      <start>5</start>
      <end>6</end>
      <status>modified</status>
      <modifiedWord>.</modifiedWord>
      <trackRevisions>false</trackRevisions>
    </reviewItem>
    <reviewItem>
      <errorID>c9fbc1ed-ad01-45d8-af8d-2b33d828dd25</errorID>
      <errorWord>（</errorWord>
      <group>L1_Punc</group>
      <groupName>标点问题</groupName>
      <ability>L2_Punc_CN</ability>
      <abilityName>标点符号问题</abilityName>
      <candidateList/>
      <explain>同一形式括号套用。</explain>
      <paraID>77FD66FD</paraID>
      <start>65</start>
      <end>66</end>
      <status>ignored</status>
      <modifiedWord/>
      <trackRevisions>false</trackRevisions>
    </reviewItem>
    <reviewItem>
      <errorID>e659f394-1de0-40c0-a6da-3cf3757e9906</errorID>
      <errorWord>）</errorWord>
      <group>L1_Punc</group>
      <groupName>标点问题</groupName>
      <ability>L2_Punc_CN</ability>
      <abilityName>标点符号问题</abilityName>
      <candidateList/>
      <explain>同一形式括号套用。</explain>
      <paraID>77FD66FD</paraID>
      <start>72</start>
      <end>73</end>
      <status>ignored</status>
      <modifiedWord/>
      <trackRevisions>false</trackRevisions>
    </reviewItem>
  </reviewItems>
  <config/>
</contractReview>
</file>

<file path=customXml/itemProps1.xml><?xml version="1.0" encoding="utf-8"?>
<ds:datastoreItem xmlns:ds="http://schemas.openxmlformats.org/officeDocument/2006/customXml" ds:itemID="{15711f30-a803-409d-bfb7-295ddc332d26}">
  <ds:schemaRefs/>
</ds:datastoreItem>
</file>

<file path=docProps/app.xml><?xml version="1.0" encoding="utf-8"?>
<Properties xmlns="http://schemas.openxmlformats.org/officeDocument/2006/extended-properties" xmlns:vt="http://schemas.openxmlformats.org/officeDocument/2006/docPropsVTypes">
  <Pages>20</Pages>
  <Words>6064</Words>
  <Characters>6533</Characters>
  <TotalTime>2880</TotalTime>
  <ScaleCrop>false</ScaleCrop>
  <LinksUpToDate>false</LinksUpToDate>
  <CharactersWithSpaces>6559</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2018-11-27T09:47:00Z</dcterms:created>
  <dc:creator>user</dc:creator>
  <cp:lastModifiedBy>奕夕^_^</cp:lastModifiedBy>
  <dcterms:modified xsi:type="dcterms:W3CDTF">2026-10-13T02:00:29Z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069FBE2DCCE94E5D92B049B9AFCEAF5B_13</vt:lpwstr>
  </property>
  <property fmtid="{D5CDD505-2E9C-101B-9397-08002B2CF9AE}" pid="3" name="KSOProductBuildVer">
    <vt:lpwstr>2052-12.1.0.28505</vt:lpwstr>
  </property>
  <property fmtid="{D5CDD505-2E9C-101B-9397-08002B2CF9AE}" pid="4" name="commondata">
    <vt:lpwstr>commondata</vt:lpwstr>
  </property>
  <property fmtid="{D5CDD505-2E9C-101B-9397-08002B2CF9AE}" pid="5" name="KSOTemplateDocerSaveRecord">
    <vt:lpwstr>eyJoZGlkIjoiNTU1MWNhN2ZmY2ZhZmY3ODhlYTg0MWU5OGMyY2QwZmUiLCJ1c2VySWQiOiI0MzQ2NTM0NzEifQ==</vt:lpwstr>
  </property>
</Properties>
</file>