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ABCB611">
      <w:pPr>
        <w:pStyle w:val="7"/>
        <w:jc w:val="center"/>
        <w:rPr>
          <w:rFonts w:hint="default" w:ascii="Times New Roman" w:hAnsi="Times New Roman" w:eastAsia="方正小标宋简体" w:cs="Times New Roman"/>
          <w:color w:val="000000"/>
          <w:kern w:val="2"/>
          <w:sz w:val="44"/>
          <w:szCs w:val="44"/>
          <w:highlight w:val="none"/>
          <w:lang w:val="en-US" w:eastAsia="zh-CN" w:bidi="ar-SA"/>
        </w:rPr>
      </w:pPr>
    </w:p>
    <w:p w14:paraId="11495B80">
      <w:pPr>
        <w:pStyle w:val="7"/>
        <w:jc w:val="center"/>
        <w:rPr>
          <w:rFonts w:hint="default" w:ascii="Times New Roman" w:hAnsi="Times New Roman" w:eastAsia="方正小标宋简体" w:cs="Times New Roman"/>
          <w:color w:val="000000"/>
          <w:kern w:val="2"/>
          <w:sz w:val="44"/>
          <w:szCs w:val="44"/>
          <w:highlight w:val="none"/>
          <w:lang w:val="en-US" w:eastAsia="zh-CN" w:bidi="ar-SA"/>
        </w:rPr>
      </w:pPr>
    </w:p>
    <w:p w14:paraId="7FB83378">
      <w:pPr>
        <w:pStyle w:val="7"/>
        <w:jc w:val="center"/>
        <w:rPr>
          <w:rFonts w:hint="default" w:ascii="Times New Roman" w:hAnsi="Times New Roman" w:eastAsia="方正小标宋简体" w:cs="Times New Roman"/>
          <w:color w:val="000000"/>
          <w:kern w:val="2"/>
          <w:sz w:val="44"/>
          <w:szCs w:val="44"/>
          <w:highlight w:val="none"/>
          <w:lang w:val="en-US" w:eastAsia="zh-CN" w:bidi="ar-SA"/>
        </w:rPr>
      </w:pPr>
      <w:r>
        <w:rPr>
          <w:rFonts w:hint="default" w:ascii="Times New Roman" w:hAnsi="Times New Roman" w:eastAsia="方正小标宋简体" w:cs="Times New Roman"/>
          <w:color w:val="000000"/>
          <w:kern w:val="2"/>
          <w:sz w:val="44"/>
          <w:szCs w:val="44"/>
          <w:lang w:val="en-US" w:eastAsia="zh-CN" w:bidi="ar-SA"/>
        </w:rPr>
        <w:t>2025年度四川省阿坝州松潘县小姓乡人民政府部门决算</w:t>
      </w:r>
    </w:p>
    <w:p w14:paraId="3E398BA0">
      <w:pPr>
        <w:pStyle w:val="7"/>
        <w:jc w:val="center"/>
        <w:rPr>
          <w:rFonts w:hint="default" w:ascii="Times New Roman" w:hAnsi="Times New Roman" w:eastAsia="方正小标宋简体" w:cs="Times New Roman"/>
          <w:color w:val="000000"/>
          <w:kern w:val="2"/>
          <w:sz w:val="44"/>
          <w:szCs w:val="44"/>
          <w:highlight w:val="none"/>
          <w:lang w:val="en-US" w:eastAsia="zh-CN" w:bidi="ar-SA"/>
        </w:rPr>
      </w:pPr>
      <w:r>
        <w:rPr>
          <w:rFonts w:hint="default" w:ascii="Times New Roman" w:hAnsi="Times New Roman" w:eastAsia="方正小标宋简体" w:cs="Times New Roman"/>
          <w:color w:val="000000"/>
          <w:kern w:val="2"/>
          <w:sz w:val="44"/>
          <w:szCs w:val="44"/>
          <w:lang w:val="en-US" w:eastAsia="zh-CN" w:bidi="ar-SA"/>
        </w:rPr>
        <w:t>（部门公开）</w:t>
      </w:r>
      <w:r>
        <w:rPr>
          <w:rFonts w:hint="default" w:ascii="Times New Roman" w:hAnsi="Times New Roman" w:cs="Times New Roman"/>
        </w:rPr>
        <w:br w:type="page"/>
      </w:r>
    </w:p>
    <w:p w14:paraId="294F62DE">
      <w:pPr>
        <w:widowControl/>
        <w:jc w:val="center"/>
        <w:rPr>
          <w:rFonts w:hint="default" w:ascii="Times New Roman" w:hAnsi="Times New Roman" w:eastAsia="黑体" w:cs="Times New Roman"/>
          <w:color w:val="000000"/>
          <w:sz w:val="48"/>
          <w:szCs w:val="48"/>
          <w:highlight w:val="none"/>
        </w:rPr>
      </w:pPr>
      <w:r>
        <w:rPr>
          <w:rFonts w:hint="default" w:ascii="Times New Roman" w:hAnsi="Times New Roman" w:eastAsia="黑体" w:cs="Times New Roman"/>
          <w:color w:val="000000"/>
          <w:sz w:val="48"/>
          <w:szCs w:val="48"/>
        </w:rPr>
        <w:t>目录</w:t>
      </w:r>
    </w:p>
    <w:p w14:paraId="55C6A67D">
      <w:pPr>
        <w:widowControl/>
        <w:jc w:val="center"/>
        <w:rPr>
          <w:rFonts w:hint="default" w:ascii="Times New Roman" w:hAnsi="Times New Roman" w:eastAsia="黑体" w:cs="Times New Roman"/>
          <w:color w:val="000000"/>
          <w:sz w:val="28"/>
          <w:szCs w:val="28"/>
          <w:highlight w:val="none"/>
        </w:rPr>
      </w:pPr>
    </w:p>
    <w:p w14:paraId="49B743D7">
      <w:pPr>
        <w:pStyle w:val="8"/>
        <w:rPr>
          <w:rFonts w:hint="default" w:ascii="Times New Roman" w:hAnsi="Times New Roman" w:eastAsia="黑体" w:cs="Times New Roman"/>
          <w:color w:val="000000"/>
          <w:highlight w:val="none"/>
        </w:rPr>
      </w:pPr>
      <w:r>
        <w:rPr>
          <w:rFonts w:hint="default" w:ascii="Times New Roman" w:hAnsi="Times New Roman" w:eastAsia="黑体" w:cs="Times New Roman"/>
          <w:color w:val="000000"/>
        </w:rPr>
        <w:t>公开时间：2026年10月1</w:t>
      </w:r>
      <w:r>
        <w:rPr>
          <w:rFonts w:hint="default" w:ascii="Times New Roman" w:hAnsi="Times New Roman" w:eastAsia="黑体" w:cs="Times New Roman"/>
          <w:color w:val="000000"/>
          <w:lang w:val="en-US" w:eastAsia="zh-CN"/>
        </w:rPr>
        <w:t>3</w:t>
      </w:r>
      <w:r>
        <w:rPr>
          <w:rFonts w:hint="default" w:ascii="Times New Roman" w:hAnsi="Times New Roman" w:eastAsia="黑体" w:cs="Times New Roman"/>
          <w:color w:val="000000"/>
        </w:rPr>
        <w:t>日</w:t>
      </w:r>
    </w:p>
    <w:p w14:paraId="34F9B55D">
      <w:pPr>
        <w:rPr>
          <w:rFonts w:hint="default" w:ascii="Times New Roman" w:hAnsi="Times New Roman" w:cs="Times New Roman"/>
          <w:color w:val="000000"/>
          <w:highlight w:val="none"/>
        </w:rPr>
      </w:pPr>
    </w:p>
    <w:p w14:paraId="7A88840A">
      <w:pPr>
        <w:pStyle w:val="12"/>
        <w:snapToGrid w:val="0"/>
        <w:spacing w:line="440" w:lineRule="exact"/>
        <w:ind w:left="0" w:firstLine="0"/>
        <w:jc w:val="left"/>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rPr>
        <w:t>第一部分 部门概况</w:t>
      </w:r>
    </w:p>
    <w:p w14:paraId="0E69B4FD">
      <w:pPr>
        <w:pStyle w:val="12"/>
        <w:snapToGrid w:val="0"/>
        <w:spacing w:line="440" w:lineRule="exact"/>
        <w:jc w:val="left"/>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一、</w:t>
      </w:r>
      <w:r>
        <w:rPr>
          <w:rFonts w:hint="default" w:ascii="Times New Roman" w:hAnsi="Times New Roman" w:eastAsia="楷体_GB2312" w:cs="Times New Roman"/>
          <w:color w:val="000000"/>
          <w:sz w:val="32"/>
          <w:szCs w:val="32"/>
          <w:lang w:eastAsia="zh-CN"/>
        </w:rPr>
        <w:t>部门职责</w:t>
      </w:r>
    </w:p>
    <w:p w14:paraId="7B64B466">
      <w:pPr>
        <w:pStyle w:val="12"/>
        <w:snapToGrid w:val="0"/>
        <w:spacing w:line="440" w:lineRule="exact"/>
        <w:jc w:val="left"/>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二、机构设置</w:t>
      </w:r>
    </w:p>
    <w:p w14:paraId="5766261D">
      <w:pPr>
        <w:pStyle w:val="12"/>
        <w:snapToGrid w:val="0"/>
        <w:spacing w:line="440" w:lineRule="exact"/>
        <w:ind w:left="0" w:firstLine="0"/>
        <w:jc w:val="left"/>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rPr>
        <w:t>第二部分 2025年度部门决算情况说明</w:t>
      </w:r>
    </w:p>
    <w:p w14:paraId="4F4C5A0C">
      <w:pPr>
        <w:pStyle w:val="12"/>
        <w:snapToGrid w:val="0"/>
        <w:spacing w:line="440" w:lineRule="exact"/>
        <w:jc w:val="lef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一、收入支出决算总体情况说明</w:t>
      </w:r>
    </w:p>
    <w:p w14:paraId="336E095F">
      <w:pPr>
        <w:pStyle w:val="12"/>
        <w:snapToGrid w:val="0"/>
        <w:spacing w:line="440" w:lineRule="exact"/>
        <w:jc w:val="lef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二、收入决算情况说明</w:t>
      </w:r>
    </w:p>
    <w:p w14:paraId="08365D63">
      <w:pPr>
        <w:pStyle w:val="12"/>
        <w:snapToGrid w:val="0"/>
        <w:spacing w:line="440" w:lineRule="exact"/>
        <w:jc w:val="lef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三、支出决算情况说明</w:t>
      </w:r>
    </w:p>
    <w:p w14:paraId="73927274">
      <w:pPr>
        <w:pStyle w:val="12"/>
        <w:snapToGrid w:val="0"/>
        <w:spacing w:line="440" w:lineRule="exact"/>
        <w:jc w:val="lef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四、财政拨款收入支出决算总体情况说明</w:t>
      </w:r>
    </w:p>
    <w:p w14:paraId="1D43785E">
      <w:pPr>
        <w:pStyle w:val="12"/>
        <w:snapToGrid w:val="0"/>
        <w:spacing w:line="440" w:lineRule="exact"/>
        <w:jc w:val="lef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五、一般公共预算财政拨款支出决算情况说明</w:t>
      </w:r>
    </w:p>
    <w:p w14:paraId="15976100">
      <w:pPr>
        <w:pStyle w:val="12"/>
        <w:snapToGrid w:val="0"/>
        <w:spacing w:line="440" w:lineRule="exact"/>
        <w:jc w:val="lef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六、一般公共预算财政拨款基本支出决算情况说明</w:t>
      </w:r>
    </w:p>
    <w:p w14:paraId="23DBA2FB">
      <w:pPr>
        <w:pStyle w:val="12"/>
        <w:snapToGrid w:val="0"/>
        <w:spacing w:line="440" w:lineRule="exact"/>
        <w:jc w:val="lef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七、财政拨款</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三公</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经费支出决算情况说明</w:t>
      </w:r>
    </w:p>
    <w:p w14:paraId="33CE39E7">
      <w:pPr>
        <w:pStyle w:val="12"/>
        <w:snapToGrid w:val="0"/>
        <w:spacing w:line="440" w:lineRule="exact"/>
        <w:jc w:val="lef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八、政府性基金预算支出决算情况说明</w:t>
      </w:r>
    </w:p>
    <w:p w14:paraId="195142C8">
      <w:pPr>
        <w:pStyle w:val="12"/>
        <w:snapToGrid w:val="0"/>
        <w:spacing w:line="440" w:lineRule="exact"/>
        <w:jc w:val="lef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九、</w:t>
      </w:r>
      <w:r>
        <w:rPr>
          <w:rFonts w:hint="default" w:ascii="Times New Roman" w:hAnsi="Times New Roman" w:eastAsia="楷体_GB2312" w:cs="Times New Roman"/>
          <w:color w:val="000000"/>
          <w:sz w:val="32"/>
          <w:szCs w:val="32"/>
          <w:lang w:eastAsia="zh-CN"/>
        </w:rPr>
        <w:t>国</w:t>
      </w:r>
      <w:r>
        <w:rPr>
          <w:rFonts w:hint="default" w:ascii="Times New Roman" w:hAnsi="Times New Roman" w:eastAsia="楷体_GB2312" w:cs="Times New Roman"/>
          <w:color w:val="000000"/>
          <w:sz w:val="32"/>
          <w:szCs w:val="32"/>
        </w:rPr>
        <w:t>有资本经营预算支出决算情况说明</w:t>
      </w:r>
    </w:p>
    <w:p w14:paraId="7E305E1E">
      <w:pPr>
        <w:pStyle w:val="12"/>
        <w:snapToGrid w:val="0"/>
        <w:spacing w:line="440" w:lineRule="exact"/>
        <w:jc w:val="lef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lang w:eastAsia="zh-CN"/>
        </w:rPr>
        <w:t>十</w:t>
      </w:r>
      <w:r>
        <w:rPr>
          <w:rFonts w:hint="default" w:ascii="Times New Roman" w:hAnsi="Times New Roman" w:eastAsia="楷体_GB2312" w:cs="Times New Roman"/>
          <w:color w:val="000000"/>
          <w:sz w:val="32"/>
          <w:szCs w:val="32"/>
        </w:rPr>
        <w:t>、其他重要事项的情况说明</w:t>
      </w:r>
    </w:p>
    <w:p w14:paraId="4849882B">
      <w:pPr>
        <w:pStyle w:val="12"/>
        <w:snapToGrid w:val="0"/>
        <w:spacing w:line="440" w:lineRule="exact"/>
        <w:ind w:left="0" w:firstLine="0"/>
        <w:jc w:val="left"/>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第三部分 名词解释</w:t>
      </w:r>
    </w:p>
    <w:p w14:paraId="489F6500">
      <w:pPr>
        <w:pStyle w:val="12"/>
        <w:snapToGrid w:val="0"/>
        <w:spacing w:line="440" w:lineRule="exact"/>
        <w:ind w:left="0" w:firstLine="0"/>
        <w:jc w:val="left"/>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第四部分 附件</w:t>
      </w:r>
    </w:p>
    <w:p w14:paraId="3DC3BC2E">
      <w:pPr>
        <w:pStyle w:val="12"/>
        <w:snapToGrid w:val="0"/>
        <w:spacing w:line="440" w:lineRule="exact"/>
        <w:ind w:left="0" w:firstLine="0"/>
        <w:jc w:val="left"/>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第五部分 附表</w:t>
      </w:r>
    </w:p>
    <w:p w14:paraId="355AC002">
      <w:pPr>
        <w:pStyle w:val="12"/>
        <w:snapToGrid w:val="0"/>
        <w:spacing w:line="440" w:lineRule="exact"/>
        <w:jc w:val="left"/>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一、收入支出决算总表</w:t>
      </w:r>
    </w:p>
    <w:p w14:paraId="70D6AF1F">
      <w:pPr>
        <w:pStyle w:val="12"/>
        <w:snapToGrid w:val="0"/>
        <w:spacing w:line="440" w:lineRule="exact"/>
        <w:jc w:val="left"/>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二、收入决算表</w:t>
      </w:r>
    </w:p>
    <w:p w14:paraId="77BBC8FA">
      <w:pPr>
        <w:pStyle w:val="12"/>
        <w:snapToGrid w:val="0"/>
        <w:spacing w:line="440" w:lineRule="exact"/>
        <w:jc w:val="left"/>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三、支出决算表</w:t>
      </w:r>
    </w:p>
    <w:p w14:paraId="3CEFBD21">
      <w:pPr>
        <w:pStyle w:val="12"/>
        <w:snapToGrid w:val="0"/>
        <w:spacing w:line="440" w:lineRule="exact"/>
        <w:jc w:val="left"/>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四、财政拨款收入支出决算总表</w:t>
      </w:r>
    </w:p>
    <w:p w14:paraId="11CB17C4">
      <w:pPr>
        <w:pStyle w:val="12"/>
        <w:snapToGrid w:val="0"/>
        <w:spacing w:line="440" w:lineRule="exact"/>
        <w:jc w:val="left"/>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五、财政拨款支出决算明细表</w:t>
      </w:r>
    </w:p>
    <w:p w14:paraId="518A09E0">
      <w:pPr>
        <w:pStyle w:val="12"/>
        <w:snapToGrid w:val="0"/>
        <w:spacing w:line="440" w:lineRule="exact"/>
        <w:jc w:val="left"/>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六、一般公共预算财政拨款支出决算表</w:t>
      </w:r>
    </w:p>
    <w:p w14:paraId="5F4E1253">
      <w:pPr>
        <w:pStyle w:val="12"/>
        <w:snapToGrid w:val="0"/>
        <w:spacing w:line="440" w:lineRule="exact"/>
        <w:jc w:val="left"/>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七、一般公共预算财政拨款支出决算明细表</w:t>
      </w:r>
    </w:p>
    <w:p w14:paraId="7DC8CFA0">
      <w:pPr>
        <w:pStyle w:val="12"/>
        <w:snapToGrid w:val="0"/>
        <w:spacing w:line="440" w:lineRule="exact"/>
        <w:jc w:val="left"/>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八、一般公共预算财政拨款基本支出决算</w:t>
      </w:r>
      <w:r>
        <w:rPr>
          <w:rFonts w:hint="default" w:ascii="Times New Roman" w:hAnsi="Times New Roman" w:eastAsia="楷体_GB2312" w:cs="Times New Roman"/>
          <w:color w:val="000000"/>
          <w:sz w:val="32"/>
          <w:szCs w:val="32"/>
          <w:lang w:eastAsia="zh-CN"/>
        </w:rPr>
        <w:t>明细</w:t>
      </w:r>
      <w:r>
        <w:rPr>
          <w:rFonts w:hint="default" w:ascii="Times New Roman" w:hAnsi="Times New Roman" w:eastAsia="楷体_GB2312" w:cs="Times New Roman"/>
          <w:color w:val="000000"/>
          <w:sz w:val="32"/>
          <w:szCs w:val="32"/>
        </w:rPr>
        <w:t>表</w:t>
      </w:r>
    </w:p>
    <w:p w14:paraId="398A7DC9">
      <w:pPr>
        <w:pStyle w:val="12"/>
        <w:snapToGrid w:val="0"/>
        <w:spacing w:line="440" w:lineRule="exact"/>
        <w:jc w:val="left"/>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九、一般公共预算财政拨款项目支出决算表</w:t>
      </w:r>
    </w:p>
    <w:p w14:paraId="3D4BCC04">
      <w:pPr>
        <w:pStyle w:val="12"/>
        <w:snapToGrid w:val="0"/>
        <w:spacing w:line="440" w:lineRule="exact"/>
        <w:jc w:val="left"/>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十、政府性基金预算财政拨款收入支出决算表</w:t>
      </w:r>
    </w:p>
    <w:p w14:paraId="1CEB8CB0">
      <w:pPr>
        <w:pStyle w:val="12"/>
        <w:snapToGrid w:val="0"/>
        <w:spacing w:line="440" w:lineRule="exact"/>
        <w:jc w:val="left"/>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十一、国有资本经营预算财政拨款收入支出决算表</w:t>
      </w:r>
    </w:p>
    <w:p w14:paraId="36507889">
      <w:pPr>
        <w:pStyle w:val="12"/>
        <w:snapToGrid w:val="0"/>
        <w:spacing w:line="440" w:lineRule="exact"/>
        <w:jc w:val="left"/>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十二、</w:t>
      </w:r>
      <w:r>
        <w:rPr>
          <w:rFonts w:hint="default" w:ascii="Times New Roman" w:hAnsi="Times New Roman" w:eastAsia="楷体_GB2312" w:cs="Times New Roman"/>
          <w:color w:val="000000"/>
          <w:sz w:val="32"/>
          <w:szCs w:val="32"/>
          <w:lang w:val="en-US" w:eastAsia="zh-CN"/>
        </w:rPr>
        <w:t>国有资本经营预算财政拨款支出决算表</w:t>
      </w:r>
    </w:p>
    <w:p w14:paraId="393C24BA">
      <w:pPr>
        <w:pStyle w:val="12"/>
        <w:snapToGrid w:val="0"/>
        <w:spacing w:line="440" w:lineRule="exact"/>
        <w:jc w:val="left"/>
        <w:rPr>
          <w:rFonts w:hint="default" w:ascii="Times New Roman" w:hAnsi="Times New Roman" w:eastAsia="楷体_GB2312" w:cs="Times New Roman"/>
          <w:color w:val="000000"/>
          <w:sz w:val="32"/>
          <w:szCs w:val="32"/>
          <w:highlight w:val="none"/>
          <w:lang w:val="en-US" w:eastAsia="zh-CN"/>
        </w:rPr>
      </w:pPr>
      <w:r>
        <w:rPr>
          <w:rFonts w:hint="default" w:ascii="Times New Roman" w:hAnsi="Times New Roman" w:eastAsia="楷体_GB2312" w:cs="Times New Roman"/>
          <w:color w:val="000000"/>
          <w:sz w:val="32"/>
          <w:szCs w:val="32"/>
        </w:rPr>
        <w:t>十三、财政拨款</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三公</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经费支出决算表</w:t>
      </w:r>
    </w:p>
    <w:p w14:paraId="0293BA69">
      <w:pPr>
        <w:widowControl/>
        <w:snapToGrid w:val="0"/>
        <w:spacing w:line="440" w:lineRule="exact"/>
        <w:ind w:firstLine="1760"/>
        <w:jc w:val="left"/>
        <w:rPr>
          <w:rFonts w:hint="default" w:ascii="Times New Roman" w:hAnsi="Times New Roman" w:eastAsia="楷体_GB2312" w:cs="Times New Roman"/>
          <w:b/>
          <w:bCs/>
          <w:color w:val="000000"/>
          <w:sz w:val="32"/>
          <w:szCs w:val="32"/>
          <w:lang w:eastAsia="zh-CN"/>
        </w:rPr>
      </w:pPr>
    </w:p>
    <w:p w14:paraId="5844CD01">
      <w:pPr>
        <w:widowControl/>
        <w:snapToGrid w:val="0"/>
        <w:spacing w:line="440" w:lineRule="exact"/>
        <w:ind w:firstLine="643" w:firstLineChars="200"/>
        <w:jc w:val="left"/>
        <w:rPr>
          <w:rFonts w:hint="default" w:ascii="Times New Roman" w:hAnsi="Times New Roman" w:eastAsia="方正仿宋" w:cs="Times New Roman"/>
          <w:color w:val="000000"/>
          <w:sz w:val="32"/>
          <w:szCs w:val="32"/>
          <w:highlight w:val="none"/>
        </w:rPr>
      </w:pPr>
      <w:r>
        <w:rPr>
          <w:rFonts w:hint="default" w:ascii="Times New Roman" w:hAnsi="Times New Roman" w:eastAsia="楷体_GB2312" w:cs="Times New Roman"/>
          <w:b/>
          <w:bCs/>
          <w:color w:val="000000"/>
          <w:sz w:val="32"/>
          <w:szCs w:val="32"/>
          <w:lang w:eastAsia="zh-CN"/>
        </w:rPr>
        <w:t>（</w:t>
      </w:r>
      <w:r>
        <w:rPr>
          <w:rFonts w:hint="default" w:ascii="Times New Roman" w:hAnsi="Times New Roman" w:eastAsia="楷体_GB2312" w:cs="Times New Roman"/>
          <w:b/>
          <w:bCs/>
          <w:color w:val="000000"/>
          <w:sz w:val="32"/>
          <w:szCs w:val="32"/>
        </w:rPr>
        <w:t>注：请部门根据实际注明页码</w:t>
      </w:r>
      <w:r>
        <w:rPr>
          <w:rFonts w:hint="default" w:ascii="Times New Roman" w:hAnsi="Times New Roman" w:eastAsia="楷体_GB2312" w:cs="Times New Roman"/>
          <w:b/>
          <w:bCs/>
          <w:color w:val="000000"/>
          <w:sz w:val="32"/>
          <w:szCs w:val="32"/>
          <w:lang w:eastAsia="zh-CN"/>
        </w:rPr>
        <w:t>）</w:t>
      </w:r>
      <w:r>
        <w:rPr>
          <w:rFonts w:hint="default" w:ascii="Times New Roman" w:hAnsi="Times New Roman" w:cs="Times New Roman"/>
        </w:rPr>
        <w:br w:type="page"/>
      </w:r>
    </w:p>
    <w:p w14:paraId="48CDDD4D">
      <w:pPr>
        <w:pStyle w:val="4"/>
        <w:jc w:val="center"/>
        <w:rPr>
          <w:rStyle w:val="21"/>
          <w:rFonts w:hint="default" w:ascii="Times New Roman" w:hAnsi="Times New Roman" w:eastAsia="黑体" w:cs="Times New Roman"/>
          <w:b/>
          <w:bCs w:val="0"/>
          <w:color w:val="000000"/>
          <w:sz w:val="32"/>
          <w:szCs w:val="32"/>
          <w:highlight w:val="none"/>
        </w:rPr>
      </w:pPr>
      <w:r>
        <w:rPr>
          <w:rFonts w:hint="default" w:ascii="Times New Roman" w:hAnsi="Times New Roman" w:eastAsia="黑体" w:cs="Times New Roman"/>
          <w:b w:val="0"/>
          <w:color w:val="000000"/>
        </w:rPr>
        <w:t xml:space="preserve">第一部分 </w:t>
      </w:r>
      <w:r>
        <w:rPr>
          <w:rStyle w:val="21"/>
          <w:rFonts w:hint="default" w:ascii="Times New Roman" w:hAnsi="Times New Roman" w:eastAsia="黑体" w:cs="Times New Roman"/>
          <w:b w:val="0"/>
          <w:bCs w:val="0"/>
          <w:color w:val="000000"/>
        </w:rPr>
        <w:t>部门概况</w:t>
      </w:r>
    </w:p>
    <w:p w14:paraId="79B098A1">
      <w:pPr>
        <w:pStyle w:val="5"/>
        <w:pageBreakBefore w:val="0"/>
        <w:numPr>
          <w:ilvl w:val="1"/>
          <w:numId w:val="0"/>
        </w:numPr>
        <w:kinsoku/>
        <w:wordWrap/>
        <w:overflowPunct/>
        <w:topLinePunct w:val="0"/>
        <w:autoSpaceDE/>
        <w:autoSpaceDN/>
        <w:bidi w:val="0"/>
        <w:adjustRightInd/>
        <w:spacing w:line="576" w:lineRule="exact"/>
        <w:ind w:leftChars="0" w:firstLine="640" w:firstLineChars="200"/>
        <w:textAlignment w:val="auto"/>
        <w:rPr>
          <w:rFonts w:hint="default" w:ascii="Times New Roman" w:hAnsi="Times New Roman" w:cs="Times New Roman"/>
          <w:lang w:eastAsia="zh-CN"/>
        </w:rPr>
      </w:pPr>
      <w:r>
        <w:rPr>
          <w:rFonts w:hint="default" w:ascii="Times New Roman" w:hAnsi="Times New Roman" w:eastAsia="黑体" w:cs="Times New Roman"/>
          <w:b w:val="0"/>
          <w:color w:val="000000"/>
          <w:lang w:val="en-US" w:eastAsia="zh-CN"/>
        </w:rPr>
        <w:t>一、</w:t>
      </w:r>
      <w:r>
        <w:rPr>
          <w:rFonts w:hint="default" w:ascii="Times New Roman" w:hAnsi="Times New Roman" w:eastAsia="黑体" w:cs="Times New Roman"/>
          <w:b w:val="0"/>
          <w:color w:val="000000"/>
          <w:lang w:eastAsia="zh-CN"/>
        </w:rPr>
        <w:t>部门职责</w:t>
      </w:r>
    </w:p>
    <w:p w14:paraId="63111611">
      <w:pPr>
        <w:keepNext w:val="0"/>
        <w:keepLines w:val="0"/>
        <w:pageBreakBefore w:val="0"/>
        <w:kinsoku/>
        <w:wordWrap/>
        <w:overflowPunct/>
        <w:topLinePunct w:val="0"/>
        <w:autoSpaceDE/>
        <w:autoSpaceDN/>
        <w:bidi w:val="0"/>
        <w:adjustRightInd/>
        <w:snapToGrid w:val="0"/>
        <w:spacing w:line="576" w:lineRule="exact"/>
        <w:ind w:firstLine="472"/>
        <w:textAlignment w:val="auto"/>
        <w:rPr>
          <w:rFonts w:hint="default" w:ascii="Times New Roman" w:hAnsi="Times New Roman" w:eastAsia="楷体" w:cs="Times New Roman"/>
          <w:b/>
          <w:bCs/>
          <w:color w:val="000000"/>
          <w:kern w:val="2"/>
          <w:sz w:val="32"/>
          <w:szCs w:val="32"/>
          <w:lang w:val="zh-CN" w:eastAsia="zh-CN" w:bidi="ar-SA"/>
        </w:rPr>
      </w:pPr>
      <w:r>
        <w:rPr>
          <w:rFonts w:hint="default" w:ascii="Times New Roman" w:hAnsi="Times New Roman" w:eastAsia="楷体" w:cs="Times New Roman"/>
          <w:b/>
          <w:bCs/>
          <w:color w:val="000000"/>
          <w:kern w:val="2"/>
          <w:sz w:val="32"/>
          <w:szCs w:val="32"/>
          <w:lang w:val="zh-CN" w:eastAsia="zh-CN" w:bidi="ar-SA"/>
        </w:rPr>
        <w:t>（一）主要职能</w:t>
      </w:r>
    </w:p>
    <w:p w14:paraId="510950DD">
      <w:pPr>
        <w:keepNext w:val="0"/>
        <w:keepLines w:val="0"/>
        <w:pageBreakBefore w:val="0"/>
        <w:widowControl w:val="0"/>
        <w:kinsoku/>
        <w:wordWrap/>
        <w:overflowPunct/>
        <w:topLinePunct w:val="0"/>
        <w:autoSpaceDE/>
        <w:autoSpaceDN/>
        <w:bidi w:val="0"/>
        <w:adjustRightInd/>
        <w:snapToGrid/>
        <w:spacing w:before="0" w:after="0" w:line="576"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1.贯彻落实党和政府各项路线方针政策、法规规章和上级机关的决定和命令，加强农村党组织建设和基层政权建设，巩固党在农村的执政基础；</w:t>
      </w:r>
    </w:p>
    <w:p w14:paraId="42C2F740">
      <w:pPr>
        <w:keepNext w:val="0"/>
        <w:keepLines w:val="0"/>
        <w:pageBreakBefore w:val="0"/>
        <w:widowControl w:val="0"/>
        <w:kinsoku/>
        <w:wordWrap/>
        <w:overflowPunct/>
        <w:topLinePunct w:val="0"/>
        <w:autoSpaceDE/>
        <w:autoSpaceDN/>
        <w:bidi w:val="0"/>
        <w:adjustRightInd/>
        <w:snapToGrid/>
        <w:spacing w:before="0" w:after="0" w:line="576"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2.负责拟订本行政区域经济社会发展和乡村建设等规划，组织农村基础设施和各项公益事业建设，加快经济社会发展，改善群众生活环境；</w:t>
      </w:r>
    </w:p>
    <w:p w14:paraId="02EFF441">
      <w:pPr>
        <w:keepNext w:val="0"/>
        <w:keepLines w:val="0"/>
        <w:pageBreakBefore w:val="0"/>
        <w:widowControl w:val="0"/>
        <w:kinsoku/>
        <w:wordWrap/>
        <w:overflowPunct/>
        <w:topLinePunct w:val="0"/>
        <w:autoSpaceDE/>
        <w:autoSpaceDN/>
        <w:bidi w:val="0"/>
        <w:adjustRightInd/>
        <w:snapToGrid/>
        <w:spacing w:before="0" w:after="0" w:line="576"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3.指导农村经济发展，推进农业结构调整，促进经济增长方式转变，组织引导农村富余劳动力转移与就业，促进农民增收；</w:t>
      </w:r>
    </w:p>
    <w:p w14:paraId="1EC52351">
      <w:pPr>
        <w:keepNext w:val="0"/>
        <w:keepLines w:val="0"/>
        <w:pageBreakBefore w:val="0"/>
        <w:widowControl w:val="0"/>
        <w:kinsoku/>
        <w:wordWrap/>
        <w:overflowPunct/>
        <w:topLinePunct w:val="0"/>
        <w:autoSpaceDE/>
        <w:autoSpaceDN/>
        <w:bidi w:val="0"/>
        <w:adjustRightInd/>
        <w:snapToGrid/>
        <w:spacing w:before="0" w:after="0" w:line="576"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4.负责抓好义务教育、人口和计划生育、民政事务、救灾救助、就业培训、社会保障、劳动关系协调和新型合作医疗实施等工作，加强农村精神文明建设，促进农村社会事业发展；</w:t>
      </w:r>
    </w:p>
    <w:p w14:paraId="5F00D56D">
      <w:pPr>
        <w:keepNext w:val="0"/>
        <w:keepLines w:val="0"/>
        <w:pageBreakBefore w:val="0"/>
        <w:widowControl w:val="0"/>
        <w:kinsoku/>
        <w:wordWrap/>
        <w:overflowPunct/>
        <w:topLinePunct w:val="0"/>
        <w:autoSpaceDE/>
        <w:autoSpaceDN/>
        <w:bidi w:val="0"/>
        <w:adjustRightInd/>
        <w:snapToGrid/>
        <w:spacing w:before="0" w:after="0" w:line="576"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5.推进基层民主</w:t>
      </w:r>
      <w:r>
        <w:rPr>
          <w:rFonts w:hint="eastAsia" w:ascii="Times New Roman" w:hAnsi="Times New Roman" w:eastAsia="仿宋_GB2312" w:cs="Times New Roman"/>
          <w:color w:val="000000"/>
          <w:sz w:val="32"/>
          <w:szCs w:val="32"/>
          <w:lang w:val="en-US" w:eastAsia="zh-CN"/>
        </w:rPr>
        <w:t>法治</w:t>
      </w:r>
      <w:r>
        <w:rPr>
          <w:rFonts w:hint="default" w:ascii="Times New Roman" w:hAnsi="Times New Roman" w:eastAsia="仿宋_GB2312" w:cs="Times New Roman"/>
          <w:color w:val="000000"/>
          <w:sz w:val="32"/>
          <w:szCs w:val="32"/>
          <w:lang w:val="en-US" w:eastAsia="zh-CN"/>
        </w:rPr>
        <w:t>建设，指导村（居）民委员会工作，维护群众合法权益；</w:t>
      </w:r>
    </w:p>
    <w:p w14:paraId="1D25258D">
      <w:pPr>
        <w:keepNext w:val="0"/>
        <w:keepLines w:val="0"/>
        <w:pageBreakBefore w:val="0"/>
        <w:widowControl w:val="0"/>
        <w:kinsoku/>
        <w:wordWrap/>
        <w:overflowPunct/>
        <w:topLinePunct w:val="0"/>
        <w:autoSpaceDE/>
        <w:autoSpaceDN/>
        <w:bidi w:val="0"/>
        <w:adjustRightInd/>
        <w:snapToGrid/>
        <w:spacing w:before="0" w:after="0" w:line="576"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6.加强社会治安综合治理，强化信访和矛盾纠纷调解工作，化解农村矛盾，维护农村社会和谐稳定，全面推进社会主义新农村建设。</w:t>
      </w:r>
    </w:p>
    <w:p w14:paraId="6505BCE6">
      <w:pPr>
        <w:keepNext w:val="0"/>
        <w:keepLines w:val="0"/>
        <w:pageBreakBefore w:val="0"/>
        <w:widowControl w:val="0"/>
        <w:kinsoku/>
        <w:wordWrap/>
        <w:overflowPunct/>
        <w:topLinePunct w:val="0"/>
        <w:autoSpaceDE/>
        <w:autoSpaceDN/>
        <w:bidi w:val="0"/>
        <w:adjustRightInd/>
        <w:snapToGrid/>
        <w:spacing w:before="0" w:after="0" w:line="576" w:lineRule="exact"/>
        <w:ind w:firstLine="640" w:firstLineChars="200"/>
        <w:jc w:val="both"/>
        <w:textAlignment w:val="auto"/>
        <w:rPr>
          <w:rFonts w:hint="default" w:ascii="Times New Roman" w:hAnsi="Times New Roman" w:eastAsia="仿宋_GB2312" w:cs="Times New Roman"/>
          <w:color w:val="000000"/>
          <w:sz w:val="32"/>
          <w:szCs w:val="32"/>
          <w:lang w:val="en-US"/>
        </w:rPr>
      </w:pPr>
      <w:r>
        <w:rPr>
          <w:rFonts w:hint="default" w:ascii="Times New Roman" w:hAnsi="Times New Roman" w:eastAsia="仿宋_GB2312" w:cs="Times New Roman"/>
          <w:color w:val="000000"/>
          <w:sz w:val="32"/>
          <w:szCs w:val="32"/>
          <w:lang w:val="en-US" w:eastAsia="zh-CN"/>
        </w:rPr>
        <w:t>7.承办</w:t>
      </w:r>
      <w:r>
        <w:rPr>
          <w:rFonts w:hint="eastAsia" w:ascii="Times New Roman" w:hAnsi="Times New Roman" w:eastAsia="仿宋_GB2312" w:cs="Times New Roman"/>
          <w:color w:val="000000"/>
          <w:sz w:val="32"/>
          <w:szCs w:val="32"/>
          <w:lang w:val="en-US" w:eastAsia="zh-CN"/>
        </w:rPr>
        <w:t>县委、县政府</w:t>
      </w:r>
      <w:r>
        <w:rPr>
          <w:rFonts w:hint="default" w:ascii="Times New Roman" w:hAnsi="Times New Roman" w:eastAsia="仿宋_GB2312" w:cs="Times New Roman"/>
          <w:color w:val="000000"/>
          <w:sz w:val="32"/>
          <w:szCs w:val="32"/>
          <w:lang w:val="en-US" w:eastAsia="zh-CN"/>
        </w:rPr>
        <w:t>交办的其他事项。</w:t>
      </w:r>
    </w:p>
    <w:p w14:paraId="3FA78669">
      <w:pPr>
        <w:keepNext w:val="0"/>
        <w:keepLines w:val="0"/>
        <w:pageBreakBefore w:val="0"/>
        <w:kinsoku/>
        <w:wordWrap/>
        <w:overflowPunct/>
        <w:topLinePunct w:val="0"/>
        <w:autoSpaceDE/>
        <w:autoSpaceDN/>
        <w:bidi w:val="0"/>
        <w:adjustRightInd/>
        <w:snapToGrid w:val="0"/>
        <w:spacing w:line="576" w:lineRule="exact"/>
        <w:ind w:firstLine="643" w:firstLineChars="200"/>
        <w:jc w:val="both"/>
        <w:textAlignment w:val="auto"/>
        <w:rPr>
          <w:rFonts w:hint="default" w:ascii="Times New Roman" w:hAnsi="Times New Roman" w:eastAsia="仿宋" w:cs="Times New Roman"/>
          <w:b/>
          <w:bCs/>
          <w:color w:val="000000"/>
          <w:spacing w:val="0"/>
          <w:kern w:val="0"/>
          <w:sz w:val="32"/>
          <w:szCs w:val="32"/>
          <w:lang w:val="en-US" w:eastAsia="zh-CN" w:bidi="ar-SA"/>
        </w:rPr>
      </w:pPr>
      <w:r>
        <w:rPr>
          <w:rFonts w:hint="default" w:ascii="Times New Roman" w:hAnsi="Times New Roman" w:eastAsia="楷体_GB2312" w:cs="Times New Roman"/>
          <w:b/>
          <w:bCs/>
          <w:color w:val="000000"/>
          <w:kern w:val="2"/>
          <w:sz w:val="32"/>
          <w:szCs w:val="32"/>
          <w:lang w:val="zh-CN" w:eastAsia="zh-CN" w:bidi="ar-SA"/>
        </w:rPr>
        <w:t>（二）2025重点工作完成情况</w:t>
      </w:r>
    </w:p>
    <w:p w14:paraId="1FB2E342">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1.夯实产业基础，稳中求进。</w:t>
      </w:r>
      <w:r>
        <w:rPr>
          <w:rFonts w:hint="default" w:ascii="Times New Roman" w:hAnsi="Times New Roman" w:eastAsia="仿宋_GB2312" w:cs="Times New Roman"/>
          <w:sz w:val="32"/>
          <w:szCs w:val="32"/>
          <w:lang w:val="en-US" w:eastAsia="zh-CN"/>
        </w:rPr>
        <w:t>上半年小姓乡政府乡村振兴衔接资金项目共2个，总投资747.73万，其中埃溪村民族村寨建设项目投资金额597.73万元，小姓乡饮水提升项目投资金额150万元，截至目前2个项目已基本完工；聚焦耕地保护和粮食安全，坚持把巩固撂荒地整治成果作为重点来抓，发放优质麦种引导群众种植食饲两用作物200亩；坚持优化产业结构，合理规划布局，全面推进春耕备耕工作，全乡2025年粮食作物播种面积3489亩，经济作物（蔬菜、油菜等）播种面积2841亩，养殖牦牛及杂牛4565头、羊2156只，加强农资保障与市场监管，组织农技指导30场次惠及农户120余人次；加强文化队伍建设，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毕曼</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歌节等传统节庆为载体，常态化开展文化活动，既生动展示非遗文化的独特魅力与传承脉络，着力推进乡村文旅产业融合发展。</w:t>
      </w:r>
    </w:p>
    <w:p w14:paraId="4AB10AB9">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val="en-US" w:eastAsia="zh-CN"/>
        </w:rPr>
        <w:t>增强</w:t>
      </w:r>
      <w:r>
        <w:rPr>
          <w:rFonts w:hint="default" w:ascii="Times New Roman" w:hAnsi="Times New Roman" w:eastAsia="仿宋_GB2312" w:cs="Times New Roman"/>
          <w:b/>
          <w:bCs/>
          <w:sz w:val="32"/>
          <w:szCs w:val="32"/>
          <w:lang w:val="en-US" w:eastAsia="zh-CN"/>
        </w:rPr>
        <w:t>安全意识，警钟长鸣。</w:t>
      </w:r>
      <w:r>
        <w:rPr>
          <w:rFonts w:hint="default" w:ascii="Times New Roman" w:hAnsi="Times New Roman" w:eastAsia="仿宋_GB2312" w:cs="Times New Roman"/>
          <w:sz w:val="32"/>
          <w:szCs w:val="32"/>
          <w:lang w:val="en-US" w:eastAsia="zh-CN"/>
        </w:rPr>
        <w:t>以网格化管理为抓手，聚焦安全生产、道路交通安全、森林草原防灭火、维护社会稳定等重点工作。一是落实安全生产责任制，聚焦地质灾害、防汛抗旱、道路交通、消防设施、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九小场所</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及农村自建房等6大重点领域，排查安全隐患24处，已整改24处，整改率达到100%；二是加强应急管理体系建设，完善应急预案，组建应急救援队伍，开展应急演练3次，提高了应对突发事件的能力。三是加强食品安全监管，开展食品安全专项整治行动6次，检查食品生产经营单位10家，保障了群众饮食安全。下达限期整改2次，回头看2次。四是召开森林工作专题会议6次、专题党委会6次，制止并教育违规用火行为2起，落实24小时值班制度。辖区内无重大安全事故；落实有限空间监督检查10次，纳入监管系统5家，落实专人定期监测；结合普法教育计划，组织各村以及辖区各企事业单位开展法治宣传教育活动10次，突出抓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六无</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平安村创建工作。</w:t>
      </w:r>
    </w:p>
    <w:p w14:paraId="1BFEAD0D">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3.优化生态环境，焕然一新。</w:t>
      </w:r>
      <w:r>
        <w:rPr>
          <w:rFonts w:hint="default" w:ascii="Times New Roman" w:hAnsi="Times New Roman" w:eastAsia="仿宋_GB2312" w:cs="Times New Roman"/>
          <w:sz w:val="32"/>
          <w:szCs w:val="32"/>
          <w:lang w:val="en-US" w:eastAsia="zh-CN"/>
        </w:rPr>
        <w:t>构建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政府主导+企业协同+群众参与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治理格局，联动辖区内5家企事业单位，划分网格11处，公益性岗位45名参与环境卫生治理，将环境卫生纳入村规民约，每月定期组织各村开展环境卫生大扫除，累计清运、转运各类垃圾200余吨；加强河道管理，集中巡查河道10次，常态化开展日常巡河，及时制止侵占水域岸线、非法捕捞等违法行为，全面清理水源地保护区的垃圾和污染源。</w:t>
      </w:r>
    </w:p>
    <w:p w14:paraId="4D7F96E2">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4.筑牢民生保障，面面俱到。</w:t>
      </w:r>
      <w:r>
        <w:rPr>
          <w:rFonts w:hint="default" w:ascii="Times New Roman" w:hAnsi="Times New Roman" w:eastAsia="仿宋_GB2312" w:cs="Times New Roman"/>
          <w:sz w:val="32"/>
          <w:szCs w:val="32"/>
          <w:lang w:val="en-US" w:eastAsia="zh-CN"/>
        </w:rPr>
        <w:t>坚持应享受尽享受，应覆盖尽覆盖原则，落实民生政策，提供民生保障；坚持经济社会发展优先规划教育卫生事业</w:t>
      </w:r>
      <w:r>
        <w:rPr>
          <w:rFonts w:hint="eastAsia" w:ascii="Times New Roman" w:hAnsi="Times New Roman" w:eastAsia="仿宋_GB2312" w:cs="Times New Roman"/>
          <w:sz w:val="32"/>
          <w:szCs w:val="32"/>
          <w:lang w:val="en-US" w:eastAsia="zh-CN"/>
        </w:rPr>
        <w:t>，把</w:t>
      </w:r>
      <w:r>
        <w:rPr>
          <w:rFonts w:hint="default" w:ascii="Times New Roman" w:hAnsi="Times New Roman" w:eastAsia="仿宋_GB2312" w:cs="Times New Roman"/>
          <w:sz w:val="32"/>
          <w:szCs w:val="32"/>
          <w:lang w:val="en-US" w:eastAsia="zh-CN"/>
        </w:rPr>
        <w:t>奖励扶助政策落到实处，做到应享尽享，目标任务均如期完成；养老保险参保人数894人，其中享受待遇306人，参保率达97%；完善村级文明实践站所配套设施，落实人员管理，确保文化室发挥作用，真正服务群众；2025年征兵小姓乡3名优秀青年应征入伍，征兵工作启动以来，截至目前全乡有20人报名；开展</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爱心爸妈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活动，通过走访、电话、微信等方式与帮扶对象保持联系互动；推进家庭医生签约服务，签约率</w:t>
      </w:r>
      <w:r>
        <w:rPr>
          <w:rFonts w:hint="eastAsia" w:ascii="Times New Roman" w:hAnsi="Times New Roman" w:eastAsia="仿宋_GB2312" w:cs="Times New Roman"/>
          <w:sz w:val="32"/>
          <w:szCs w:val="32"/>
          <w:lang w:val="en-US" w:eastAsia="zh-CN"/>
        </w:rPr>
        <w:t>达到</w:t>
      </w:r>
      <w:r>
        <w:rPr>
          <w:rFonts w:hint="default" w:ascii="Times New Roman" w:hAnsi="Times New Roman" w:eastAsia="仿宋_GB2312" w:cs="Times New Roman"/>
          <w:sz w:val="32"/>
          <w:szCs w:val="32"/>
          <w:lang w:val="en-US" w:eastAsia="zh-CN"/>
        </w:rPr>
        <w:t>一定比例，开展健康教育宣传活动8次；重大疾病防控宣传工作活动，发放宣传册90余份；全民体检1028人，无重大传染病疫情发生。</w:t>
      </w:r>
    </w:p>
    <w:p w14:paraId="391F879B">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（三）特色亮点工作</w:t>
      </w:r>
    </w:p>
    <w:p w14:paraId="0A9BC2B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1.党建引领微网实格，一网兜起</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大小事</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一是落实工作</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一盘棋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、走访</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一张网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、每日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一会商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一对策</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措施，抓实群众工作</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石榴籽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工程。成立工作专班，下设四个专项小组，建立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主要领导包片、班子成员联村、包村干部到户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体系，建立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一户一档</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数据库，召开调度会议15次、研判会议7次，经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网格采集—干部复核—村民评议—党委决策</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，精准识别重点帮扶对象8户24人，对接帮扶措施67条，帮扶资金19.56万元，选树培育四好家庭16户。二是深化</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党建+治理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体系模式，建立《小姓乡2025年3月重点时段矛盾纠纷排查化解及困难诉求收集台账》，召开</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微网实格</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工作会5次，入户走访1600余人次，收集社情民意40条，化解矛盾纠纷3件，办理便民服务事项230余件。全覆盖走访僧人7人，带领学习《宗教事务条例》5次，进行爱党爱国爱教宣传5次。三是以网格化管理为抓手，聚焦安全生产、道路交通安全、森林草原防灭火、维护社会稳定等重点工作，系统构建重点时段安全防控体系。建立《小姓乡重点时段安全隐患排查整治台账》，聚焦地质灾害、防汛抗旱、道路交通、消防设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九小场所</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及农村自建房等6大重点领域。</w:t>
      </w:r>
    </w:p>
    <w:p w14:paraId="292EBD7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2.旅游发展加力提速，两张名片打开</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生态游</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val="0"/>
          <w:bCs w:val="0"/>
          <w:sz w:val="32"/>
          <w:szCs w:val="32"/>
          <w:lang w:val="en-US" w:eastAsia="zh-CN"/>
        </w:rPr>
        <w:t>一是借高铁</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东风</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，立足川西红谷入口、羌族多声部腹地、热务森林公园核心区优势，积极落实</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123</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发展思路，对标片区国土空间规划，聚焦建设</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热务片区农旅融合服务核心</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目标，塑造羌族多声部和森工记忆</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两张名片</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，提升打造小姓羌族多声部传习所，夯实非遗传承活态载体，推动碑子寺片区和大尔边片区联动发展，深化业态、文态、生态</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三态融合</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，构建农、文、旅相互促进的产业格局，奋力建设</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古韵非遗福地，森工心旅小姓</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二是大力发展蔬菜种植、食用菌种植、标准化养殖、林下种植养殖等产业，积极引导群众以家庭农场联盟等形式，持续推动传统产业提档升级。三是新引进一家企业，提升云隐溪谷民宿运营水平，进一步规范百花娄景区的管理机制，强化运营水平，优化配套设施，提升景点品质；深入开展校地合作，成功争取四川音乐学院校外实习基地挂牌埃溪村，打破惯性思维和路径依赖，以面向群众和面向游客为导向；创新办好第七届</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毕曼歌节</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，坚定了文化自信，彰显了非遗魅力。</w:t>
      </w:r>
    </w:p>
    <w:p w14:paraId="7A50C13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（四）存在的困难和问题</w:t>
      </w:r>
    </w:p>
    <w:p w14:paraId="3574B6A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2025年工作虽有成效，但仍存在问题与不足，主要体现为：</w:t>
      </w:r>
    </w:p>
    <w:p w14:paraId="546E2FB4">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sz w:val="32"/>
          <w:szCs w:val="32"/>
          <w:lang w:val="en-US" w:eastAsia="zh-CN"/>
        </w:rPr>
        <w:t>干部工作作风与能力建设仍需持续深化加压。部分干部思想解放程度不够，存在一定程度的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守成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心态和</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等靠要</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思想，主动担当、攻坚克难的锐气有所弱化，面对发展中的硬骨头和复杂矛盾，有时存在畏难情绪和</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推、拖、绕</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现象，干事创业的主动性还需加强。</w:t>
      </w:r>
      <w:r>
        <w:rPr>
          <w:rFonts w:hint="default" w:ascii="Times New Roman" w:hAnsi="Times New Roman" w:eastAsia="仿宋_GB2312" w:cs="Times New Roman"/>
          <w:b/>
          <w:bCs/>
          <w:sz w:val="32"/>
          <w:szCs w:val="32"/>
          <w:lang w:val="en-US" w:eastAsia="zh-CN"/>
        </w:rPr>
        <w:t>二是</w:t>
      </w:r>
      <w:r>
        <w:rPr>
          <w:rFonts w:hint="default" w:ascii="Times New Roman" w:hAnsi="Times New Roman" w:eastAsia="仿宋_GB2312" w:cs="Times New Roman"/>
          <w:sz w:val="32"/>
          <w:szCs w:val="32"/>
          <w:lang w:val="en-US" w:eastAsia="zh-CN"/>
        </w:rPr>
        <w:t>农文旅融合发展活力不足。农业与文旅的结合还停留在表面，缺乏深度的互动和融合，游客的参与度和体验感不强，产业的游客联动效应</w:t>
      </w:r>
      <w:r>
        <w:rPr>
          <w:rFonts w:hint="eastAsia" w:ascii="Times New Roman" w:hAnsi="Times New Roman" w:eastAsia="仿宋_GB2312" w:cs="Times New Roman"/>
          <w:sz w:val="32"/>
          <w:szCs w:val="32"/>
          <w:lang w:val="en-US" w:eastAsia="zh-CN"/>
        </w:rPr>
        <w:t>不明</w:t>
      </w:r>
      <w:r>
        <w:rPr>
          <w:rFonts w:hint="default" w:ascii="Times New Roman" w:hAnsi="Times New Roman" w:eastAsia="仿宋_GB2312" w:cs="Times New Roman"/>
          <w:sz w:val="32"/>
          <w:szCs w:val="32"/>
          <w:lang w:val="en-US" w:eastAsia="zh-CN"/>
        </w:rPr>
        <w:t>显。</w:t>
      </w:r>
    </w:p>
    <w:p w14:paraId="058E56FB">
      <w:pPr>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（五）下半年工作计划</w:t>
      </w:r>
    </w:p>
    <w:p w14:paraId="0387DF0C">
      <w:pPr>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1.实施项目建设攻坚行动。</w:t>
      </w:r>
      <w:r>
        <w:rPr>
          <w:rFonts w:hint="default" w:ascii="Times New Roman" w:hAnsi="Times New Roman" w:eastAsia="仿宋_GB2312" w:cs="Times New Roman"/>
          <w:sz w:val="32"/>
          <w:szCs w:val="32"/>
          <w:lang w:val="en-US" w:eastAsia="zh-CN"/>
        </w:rPr>
        <w:t>着力推动</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十四五</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项目落实，确保基础设施项目补齐短板，各项民生实事项目建设全面落地，为后续争取大尔边村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民族团结进步新村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项目打好基础。同步储备</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十五五</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建设项目，计划总投资超10亿元，其中重点争取小尔边滑雪场建设、埃溪村省级传统村落保护活化、大尔边等4个村宜居补短建设、碑子寺村农旅融合业态示范建设碑子寺村高原特色冷水鱼重点招商引资、小姓乡羌文化保护研学基地建设、川西红谷入口生态恢复等项目，通过科学谋划，尽早储备，以项目牵引推动点状突破，助力分线作战。</w:t>
      </w:r>
    </w:p>
    <w:p w14:paraId="01576847">
      <w:pPr>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2.实施民生保障攻坚行动。</w:t>
      </w:r>
      <w:r>
        <w:rPr>
          <w:rFonts w:hint="default" w:ascii="Times New Roman" w:hAnsi="Times New Roman" w:eastAsia="仿宋_GB2312" w:cs="Times New Roman"/>
          <w:sz w:val="32"/>
          <w:szCs w:val="32"/>
          <w:lang w:val="en-US" w:eastAsia="zh-CN"/>
        </w:rPr>
        <w:t>全面推进乡村振兴工作，紧扣铸牢中华民族共同体意识的核心，深化实施群众工作</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石榴籽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工程六大专项行动；依托创新的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微网实格</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包户制度，宣传民生政策、推广</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互联网+政务服务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平台，建立特殊人群信息共享平台，压实监测帮扶责任，推进防返贫季度集中监测；始终秉持以人民为中心的发展理念，强化群众帮扶、规范医疗服务、丰富文化生活及完善基础设施等多方面举措，提升群众生活质量与幸福指数，为乡村振兴注入强劲动力。</w:t>
      </w:r>
    </w:p>
    <w:p w14:paraId="286B7F6A">
      <w:pPr>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3.实施农旅融合攻坚行动。</w:t>
      </w:r>
      <w:r>
        <w:rPr>
          <w:rFonts w:hint="default" w:ascii="Times New Roman" w:hAnsi="Times New Roman" w:eastAsia="仿宋_GB2312" w:cs="Times New Roman"/>
          <w:sz w:val="32"/>
          <w:szCs w:val="32"/>
          <w:lang w:val="en-US" w:eastAsia="zh-CN"/>
        </w:rPr>
        <w:t>充分利用森林、溪流等生态</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凉资源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，以独特的文化和农业基础为依托，着力推动文旅深度融合发展，加强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政府引导+民宿经营者</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模式推进百花娄景区旅游，同时挖掘羌族特色文化价值，促进文旅业态融合，形成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文化引流—体验留客—民宿承接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的良性循环。延伸</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旅游+</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溢出效应，把游客增量转化为消费增量，大力培育</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后备箱</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经济、民宿产业，助民增收。建立农产品购买一条龙服务，推广本地野生虫草、羊肚菌、松茸、高原莴笋等特色农产品，丰富山林采菌等多元业态，激活富民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热经济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p>
    <w:p w14:paraId="103B2BA1">
      <w:pPr>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4.实施美丽乡村攻坚行动。</w:t>
      </w:r>
      <w:r>
        <w:rPr>
          <w:rFonts w:hint="default" w:ascii="Times New Roman" w:hAnsi="Times New Roman" w:eastAsia="仿宋_GB2312" w:cs="Times New Roman"/>
          <w:sz w:val="32"/>
          <w:szCs w:val="32"/>
          <w:lang w:val="en-US" w:eastAsia="zh-CN"/>
        </w:rPr>
        <w:t>聚焦构建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产业兴旺、生态宜居、乡风文明、治理有效、生活富裕</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的幸福美丽新农村，引导督促各村结合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三域一居</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工作，在全乡范围内开展</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环境卫生大革命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，从根本上提升群众改善周边环境的自我处置能力，推进人居环境的改造，不断提升乡村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颜值</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通过发动群众，让群众树立人人都是环境卫生治理的参与者、监督者和受益者的意识。坚持和完善工作机制，每月第一周周末的环境整治日集中对垃圾死角、建渣、地膜等进行全面清理整治，营造干净舒适的人居环境，让空气更加清新。制定实施环境革命月评比制度和奖惩制度，强化定时不定时督查通报，落实奖惩，营造人人爱环境、户户讲卫生、村村互评比的良好氛围。配套完善环保设施，推进城乡生活污水、地膜和建筑垃圾处理基础设施建设。打造洁美路域环境、净美水域环境、优美地域环境、秀美景区环境</w:t>
      </w:r>
      <w:r>
        <w:rPr>
          <w:rFonts w:hint="eastAsia"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lang w:val="en-US" w:eastAsia="zh-CN"/>
        </w:rPr>
        <w:t>美寺庙环境。</w:t>
      </w:r>
    </w:p>
    <w:p w14:paraId="7F938E29">
      <w:pPr>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5.实施干部铸魂攻坚行动。</w:t>
      </w:r>
      <w:r>
        <w:rPr>
          <w:rFonts w:hint="default" w:ascii="Times New Roman" w:hAnsi="Times New Roman" w:eastAsia="仿宋_GB2312" w:cs="Times New Roman"/>
          <w:sz w:val="32"/>
          <w:szCs w:val="32"/>
          <w:lang w:val="en-US" w:eastAsia="zh-CN"/>
        </w:rPr>
        <w:t>紧紧围绕习近平总书记</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信念坚定、为民服务、勤政务实、勇于担当、清正廉洁</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的二十字好干部标准，着力打造一支具有政治过硬、作风优良的干部队伍，培养造就一支</w:t>
      </w:r>
      <w:r>
        <w:rPr>
          <w:rFonts w:hint="eastAsia" w:ascii="Times New Roman" w:hAnsi="Times New Roman" w:eastAsia="仿宋_GB2312" w:cs="Times New Roman"/>
          <w:sz w:val="32"/>
          <w:szCs w:val="32"/>
          <w:lang w:val="en-US" w:eastAsia="zh-CN"/>
        </w:rPr>
        <w:t>懂农业、爱农村、爱农民</w:t>
      </w:r>
      <w:r>
        <w:rPr>
          <w:rFonts w:hint="default" w:ascii="Times New Roman" w:hAnsi="Times New Roman" w:eastAsia="仿宋_GB2312" w:cs="Times New Roman"/>
          <w:sz w:val="32"/>
          <w:szCs w:val="32"/>
          <w:lang w:val="en-US" w:eastAsia="zh-CN"/>
        </w:rPr>
        <w:t>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三农</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工作干部队伍。自觉践行</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四个意识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，坚决做到</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两个维护</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，保持拒腐蚀、永不沾的政治本色。加强干部教育培训，提升干部政治担当，加强政治理论学习，提升思想文化建设，加强实践锻炼，提升治理能力建设，加强作风纪律建设，增强廉洁自律意识。</w:t>
      </w:r>
    </w:p>
    <w:p w14:paraId="08B68982">
      <w:pPr>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（六）保障措施</w:t>
      </w:r>
    </w:p>
    <w:p w14:paraId="4C468F23">
      <w:pPr>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1.加强组织领导。</w:t>
      </w:r>
      <w:r>
        <w:rPr>
          <w:rFonts w:hint="default" w:ascii="Times New Roman" w:hAnsi="Times New Roman" w:eastAsia="仿宋_GB2312" w:cs="Times New Roman"/>
          <w:sz w:val="32"/>
          <w:szCs w:val="32"/>
          <w:lang w:val="en-US" w:eastAsia="zh-CN"/>
        </w:rPr>
        <w:t>成立小姓乡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十五五</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规划实施工作领导小组，由乡党委、政府主要负责同志任组长，统筹推进规划实施。建立目标责任体系，将规划确定的主要指标和重点任务分解到各办（中心）、各村，明确责任主体和完成时限。</w:t>
      </w:r>
    </w:p>
    <w:p w14:paraId="4CE07A17">
      <w:pPr>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2.强化要素保障</w:t>
      </w:r>
      <w:r>
        <w:rPr>
          <w:rFonts w:hint="default" w:ascii="Times New Roman" w:hAnsi="Times New Roman" w:eastAsia="仿宋_GB2312" w:cs="Times New Roman"/>
          <w:sz w:val="32"/>
          <w:szCs w:val="32"/>
          <w:lang w:val="en-US" w:eastAsia="zh-CN"/>
        </w:rPr>
        <w:t>。积极向上争取项目和资金，用好用足各类涉农政策。围绕乡村振兴、产业升级、生态环保、民生改善等重点领域，精心谋划一系列具有前瞻性、可行性项目，积极强化与上级部门沟通联络，保持高频次的走访，及时向县委、县政府及相关部门汇报项目进展、乡镇规划等，及时了解最新资金方向，为资金争取铺设坚实道路。</w:t>
      </w:r>
    </w:p>
    <w:p w14:paraId="54B7514C">
      <w:pPr>
        <w:pageBreakBefore w:val="0"/>
        <w:kinsoku/>
        <w:wordWrap/>
        <w:overflowPunct/>
        <w:topLinePunct w:val="0"/>
        <w:autoSpaceDE/>
        <w:autoSpaceDN/>
        <w:bidi w:val="0"/>
        <w:adjustRightInd/>
        <w:spacing w:line="576" w:lineRule="exact"/>
        <w:ind w:firstLine="643"/>
        <w:textAlignment w:val="auto"/>
        <w:rPr>
          <w:rFonts w:hint="default" w:ascii="Times New Roman" w:hAnsi="Times New Roman" w:cs="Times New Roman"/>
          <w:lang w:eastAsia="zh-CN"/>
        </w:rPr>
      </w:pPr>
      <w:r>
        <w:rPr>
          <w:rFonts w:hint="default" w:ascii="Times New Roman" w:hAnsi="Times New Roman" w:eastAsia="仿宋_GB2312" w:cs="Times New Roman"/>
          <w:b/>
          <w:bCs/>
          <w:sz w:val="32"/>
          <w:szCs w:val="32"/>
          <w:lang w:val="en-US" w:eastAsia="zh-CN"/>
        </w:rPr>
        <w:t>3.优化政务服务。</w:t>
      </w:r>
      <w:r>
        <w:rPr>
          <w:rFonts w:hint="default" w:ascii="Times New Roman" w:hAnsi="Times New Roman" w:eastAsia="仿宋_GB2312" w:cs="Times New Roman"/>
          <w:sz w:val="32"/>
          <w:szCs w:val="32"/>
          <w:lang w:val="en-US" w:eastAsia="zh-CN"/>
        </w:rPr>
        <w:t>始终以群众需求为导向，聚焦政务服务提质增效，围绕12345热线问题解决、数据共享、政务公开、帮办代办等重点工作，扎实推进各项任务落实。</w:t>
      </w:r>
    </w:p>
    <w:p w14:paraId="5168491D">
      <w:pPr>
        <w:pStyle w:val="5"/>
        <w:pageBreakBefore w:val="0"/>
        <w:kinsoku/>
        <w:wordWrap/>
        <w:overflowPunct/>
        <w:topLinePunct w:val="0"/>
        <w:autoSpaceDE/>
        <w:autoSpaceDN/>
        <w:bidi w:val="0"/>
        <w:adjustRightInd/>
        <w:spacing w:line="576" w:lineRule="exact"/>
        <w:ind w:firstLine="640" w:firstLineChars="200"/>
        <w:jc w:val="both"/>
        <w:textAlignment w:val="auto"/>
        <w:rPr>
          <w:rStyle w:val="22"/>
          <w:rFonts w:hint="default" w:ascii="Times New Roman" w:hAnsi="Times New Roman" w:cs="Times New Roman"/>
          <w:b w:val="0"/>
          <w:bCs w:val="0"/>
          <w:color w:val="000000"/>
          <w:highlight w:val="none"/>
        </w:rPr>
      </w:pPr>
      <w:r>
        <w:rPr>
          <w:rFonts w:hint="default" w:ascii="Times New Roman" w:hAnsi="Times New Roman" w:eastAsia="黑体" w:cs="Times New Roman"/>
          <w:b w:val="0"/>
          <w:color w:val="000000"/>
        </w:rPr>
        <w:t>二、机</w:t>
      </w:r>
      <w:r>
        <w:rPr>
          <w:rStyle w:val="22"/>
          <w:rFonts w:hint="default" w:ascii="Times New Roman" w:hAnsi="Times New Roman" w:eastAsia="黑体" w:cs="Times New Roman"/>
          <w:b w:val="0"/>
          <w:bCs w:val="0"/>
          <w:color w:val="000000"/>
        </w:rPr>
        <w:t>构设置</w:t>
      </w:r>
    </w:p>
    <w:p w14:paraId="49A72AAC">
      <w:pPr>
        <w:keepNext w:val="0"/>
        <w:keepLines w:val="0"/>
        <w:pageBreakBefore w:val="0"/>
        <w:widowControl/>
        <w:kinsoku/>
        <w:wordWrap/>
        <w:overflowPunct/>
        <w:topLinePunct w:val="0"/>
        <w:autoSpaceDE/>
        <w:autoSpaceDN/>
        <w:bidi w:val="0"/>
        <w:adjustRightInd/>
        <w:snapToGrid w:val="0"/>
        <w:spacing w:before="0" w:after="0" w:line="576" w:lineRule="exact"/>
        <w:ind w:firstLine="643"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b/>
          <w:bCs/>
          <w:color w:val="000000"/>
          <w:kern w:val="2"/>
          <w:sz w:val="32"/>
          <w:szCs w:val="32"/>
          <w:lang w:val="zh-CN" w:eastAsia="zh-CN" w:bidi="ar-SA"/>
        </w:rPr>
        <w:t>（一）</w:t>
      </w:r>
      <w:r>
        <w:rPr>
          <w:rFonts w:hint="default" w:ascii="Times New Roman" w:hAnsi="Times New Roman" w:eastAsia="楷体_GB2312" w:cs="Times New Roman"/>
          <w:b/>
          <w:bCs/>
          <w:color w:val="000000"/>
          <w:kern w:val="2"/>
          <w:sz w:val="32"/>
          <w:szCs w:val="32"/>
          <w:lang w:val="en-US" w:eastAsia="zh-CN" w:bidi="ar-SA"/>
        </w:rPr>
        <w:t>办公室</w:t>
      </w:r>
      <w:r>
        <w:rPr>
          <w:rFonts w:hint="default" w:ascii="Times New Roman" w:hAnsi="Times New Roman" w:eastAsia="楷体_GB2312" w:cs="Times New Roman"/>
          <w:b/>
          <w:bCs/>
          <w:color w:val="000000"/>
          <w:kern w:val="2"/>
          <w:sz w:val="32"/>
          <w:szCs w:val="32"/>
          <w:lang w:val="zh-CN" w:eastAsia="zh-CN" w:bidi="ar-SA"/>
        </w:rPr>
        <w:t>。</w:t>
      </w:r>
      <w:r>
        <w:rPr>
          <w:rFonts w:hint="default" w:ascii="Times New Roman" w:hAnsi="Times New Roman" w:eastAsia="仿宋_GB2312" w:cs="Times New Roman"/>
          <w:color w:val="000000"/>
          <w:sz w:val="32"/>
          <w:szCs w:val="32"/>
          <w:lang w:val="en-US" w:eastAsia="zh-CN"/>
        </w:rPr>
        <w:t>贯彻执行党和国家的有关方针、政策、法律和法规；执行上级政府的决定和命令；拟订适合本实际的政府措施，并有效地组织实施。负责组织编制本乡建设的总体规划。编制本乡财政预决算计划，负责经费的划拨和核算工作。</w:t>
      </w:r>
    </w:p>
    <w:p w14:paraId="5F1B4270">
      <w:pPr>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color w:val="000000"/>
          <w:sz w:val="32"/>
          <w:szCs w:val="32"/>
          <w:lang w:val="en-US" w:eastAsia="zh-CN" w:bidi="ar-SA"/>
        </w:rPr>
      </w:pPr>
      <w:r>
        <w:rPr>
          <w:rFonts w:hint="default" w:ascii="Times New Roman" w:hAnsi="Times New Roman" w:eastAsia="楷体_GB2312" w:cs="Times New Roman"/>
          <w:b/>
          <w:bCs/>
          <w:color w:val="000000"/>
          <w:kern w:val="2"/>
          <w:sz w:val="32"/>
          <w:szCs w:val="32"/>
          <w:lang w:val="en-US" w:eastAsia="zh-CN" w:bidi="ar-SA"/>
        </w:rPr>
        <w:t>（二）财政所。</w:t>
      </w:r>
      <w:r>
        <w:rPr>
          <w:rFonts w:hint="default" w:ascii="Times New Roman" w:hAnsi="Times New Roman" w:eastAsia="仿宋_GB2312" w:cs="Times New Roman"/>
          <w:color w:val="000000"/>
          <w:sz w:val="32"/>
          <w:szCs w:val="32"/>
          <w:lang w:val="en-US" w:eastAsia="zh-CN" w:bidi="ar-SA"/>
        </w:rPr>
        <w:t>落实兑现各级惠农补助资金，对农民负担和农村政策实施监管；围绕乡政府财源建设搞好服务；农村财务管理指导、监督和审计，依法代理村级财务，财政项目资金管理和乡政府机关财务代理；乡公有资产管理利用及村级集体资产监督管理；财政预算编制、执行及管理。</w:t>
      </w:r>
    </w:p>
    <w:p w14:paraId="687F50B0">
      <w:pPr>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color w:val="000000"/>
          <w:sz w:val="32"/>
          <w:szCs w:val="32"/>
          <w:lang w:val="en-US" w:eastAsia="zh-CN" w:bidi="ar-SA"/>
        </w:rPr>
      </w:pPr>
      <w:r>
        <w:rPr>
          <w:rFonts w:hint="default" w:ascii="Times New Roman" w:hAnsi="Times New Roman" w:eastAsia="楷体_GB2312" w:cs="Times New Roman"/>
          <w:b/>
          <w:bCs/>
          <w:color w:val="000000"/>
          <w:kern w:val="2"/>
          <w:sz w:val="32"/>
          <w:szCs w:val="32"/>
          <w:lang w:val="en-US" w:eastAsia="zh-CN" w:bidi="ar-SA"/>
        </w:rPr>
        <w:t>（三）综合文化服务中心。</w:t>
      </w:r>
      <w:r>
        <w:rPr>
          <w:rFonts w:hint="default" w:ascii="Times New Roman" w:hAnsi="Times New Roman" w:eastAsia="仿宋_GB2312" w:cs="Times New Roman"/>
          <w:color w:val="000000"/>
          <w:sz w:val="32"/>
          <w:szCs w:val="32"/>
          <w:lang w:val="en-US" w:eastAsia="zh-CN" w:bidi="ar-SA"/>
        </w:rPr>
        <w:t>具体负责文化中心日常开放运行工作，做好接待群众、设备调试维护、图书登记整理、环境卫生、值班安全等日常事务；积极开展群众性文化活动，抓好活动组织工作；具体指导和督促各村委、居委的文化室、图书室、</w:t>
      </w:r>
      <w:r>
        <w:rPr>
          <w:rFonts w:hint="eastAsia" w:ascii="Times New Roman" w:hAnsi="Times New Roman" w:eastAsia="仿宋_GB2312" w:cs="Times New Roman"/>
          <w:color w:val="000000"/>
          <w:sz w:val="32"/>
          <w:szCs w:val="32"/>
          <w:lang w:val="en-US" w:eastAsia="zh-CN" w:bidi="ar-SA"/>
        </w:rPr>
        <w:t>“</w:t>
      </w:r>
      <w:r>
        <w:rPr>
          <w:rFonts w:hint="default" w:ascii="Times New Roman" w:hAnsi="Times New Roman" w:eastAsia="仿宋_GB2312" w:cs="Times New Roman"/>
          <w:color w:val="000000"/>
          <w:sz w:val="32"/>
          <w:szCs w:val="32"/>
          <w:lang w:val="en-US" w:eastAsia="zh-CN" w:bidi="ar-SA"/>
        </w:rPr>
        <w:t>农家书屋</w:t>
      </w:r>
      <w:r>
        <w:rPr>
          <w:rFonts w:hint="eastAsia" w:ascii="Times New Roman" w:hAnsi="Times New Roman" w:eastAsia="仿宋_GB2312" w:cs="Times New Roman"/>
          <w:color w:val="000000"/>
          <w:sz w:val="32"/>
          <w:szCs w:val="32"/>
          <w:lang w:val="en-US" w:eastAsia="zh-CN" w:bidi="ar-SA"/>
        </w:rPr>
        <w:t>”</w:t>
      </w:r>
      <w:r>
        <w:rPr>
          <w:rFonts w:hint="default" w:ascii="Times New Roman" w:hAnsi="Times New Roman" w:eastAsia="仿宋_GB2312" w:cs="Times New Roman"/>
          <w:color w:val="000000"/>
          <w:sz w:val="32"/>
          <w:szCs w:val="32"/>
          <w:lang w:val="en-US" w:eastAsia="zh-CN" w:bidi="ar-SA"/>
        </w:rPr>
        <w:t>、健身场所等村级文化建设和文体活动。</w:t>
      </w:r>
    </w:p>
    <w:p w14:paraId="196D56C5">
      <w:pPr>
        <w:pStyle w:val="3"/>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color w:val="000000"/>
          <w:sz w:val="32"/>
          <w:szCs w:val="32"/>
          <w:lang w:val="en-US" w:eastAsia="zh-CN" w:bidi="ar-SA"/>
        </w:rPr>
      </w:pPr>
      <w:r>
        <w:rPr>
          <w:rFonts w:hint="default" w:ascii="Times New Roman" w:hAnsi="Times New Roman" w:eastAsia="楷体_GB2312" w:cs="Times New Roman"/>
          <w:b/>
          <w:bCs/>
          <w:color w:val="000000"/>
          <w:kern w:val="2"/>
          <w:sz w:val="32"/>
          <w:szCs w:val="32"/>
          <w:lang w:val="en-US" w:eastAsia="zh-CN" w:bidi="ar-SA"/>
        </w:rPr>
        <w:t>（四）经济发展服务中心。</w:t>
      </w:r>
      <w:r>
        <w:rPr>
          <w:rFonts w:hint="default" w:ascii="Times New Roman" w:hAnsi="Times New Roman" w:eastAsia="仿宋_GB2312" w:cs="Times New Roman"/>
          <w:color w:val="000000"/>
          <w:sz w:val="32"/>
          <w:szCs w:val="32"/>
          <w:lang w:val="en-US" w:eastAsia="zh-CN" w:bidi="ar-SA"/>
        </w:rPr>
        <w:t>制定全乡经济发展规划和年度工作目标，负责乡属企业、个体、私营企业的规划管理、指导服务工作；做好项目筛选、储备、管理、申报等相关工作；负责做好编制年度财政资金预算，以及管理乡国有资产、集体资产等工作；协调与本乡经济发展相关的其他工作。</w:t>
      </w:r>
    </w:p>
    <w:p w14:paraId="2361BE0E">
      <w:pPr>
        <w:pStyle w:val="3"/>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b w:val="0"/>
          <w:bCs w:val="0"/>
          <w:color w:val="000000"/>
          <w:kern w:val="0"/>
          <w:sz w:val="32"/>
          <w:szCs w:val="32"/>
          <w:highlight w:val="none"/>
        </w:rPr>
      </w:pPr>
      <w:r>
        <w:rPr>
          <w:rFonts w:hint="default" w:ascii="Times New Roman" w:hAnsi="Times New Roman" w:eastAsia="楷体_GB2312" w:cs="Times New Roman"/>
          <w:b/>
          <w:bCs/>
          <w:color w:val="000000"/>
          <w:kern w:val="2"/>
          <w:sz w:val="32"/>
          <w:szCs w:val="32"/>
          <w:lang w:val="en-US" w:eastAsia="zh-CN" w:bidi="ar-SA"/>
        </w:rPr>
        <w:t>（五）社会事业服务中心。</w:t>
      </w:r>
      <w:r>
        <w:rPr>
          <w:rFonts w:hint="default" w:ascii="Times New Roman" w:hAnsi="Times New Roman" w:eastAsia="仿宋_GB2312" w:cs="Times New Roman"/>
          <w:color w:val="000000"/>
          <w:sz w:val="32"/>
          <w:szCs w:val="32"/>
          <w:lang w:val="en-US" w:eastAsia="zh-CN" w:bidi="ar-SA"/>
        </w:rPr>
        <w:t>审核上报就业、失业登记资料，开展登记失业人员日常管理工作。收集发布就业信息；提供就业指导、职业介绍、农村劳动力转移就业等服务；组织辖区相关人员参加职业培训、创业培训和职业技能鉴定。开展就业促进、就业服务工作。开发社区就业岗位，开发管理社区、村公益性岗位，开展创建充分就业社区、村居活动。审核上报就业困难人员认定材料，组织开展就业困难人员就业援助和动态管理工作，协助落实就业扶持政策；开展创业服务工作，指导开展信用社区创建工作；审核上报灵活就业人员就业情况，协助落实社会保险补贴政策；承担上级部门安排的其他就业服务工作。协助开展本辖区人才引进和培训工作。协助开展本辖区各类人才开发服务工作，了解、掌握培训需求，组织推荐农村领导人才和实用人才参加培训。</w:t>
      </w:r>
    </w:p>
    <w:p w14:paraId="27446698">
      <w:pPr>
        <w:keepNext w:val="0"/>
        <w:keepLines w:val="0"/>
        <w:pageBreakBefore w:val="0"/>
        <w:widowControl/>
        <w:kinsoku/>
        <w:wordWrap/>
        <w:overflowPunct/>
        <w:topLinePunct w:val="0"/>
        <w:autoSpaceDE/>
        <w:autoSpaceDN/>
        <w:bidi w:val="0"/>
        <w:adjustRightInd/>
        <w:snapToGrid/>
        <w:spacing w:line="576" w:lineRule="exact"/>
        <w:ind w:firstLine="643"/>
        <w:jc w:val="left"/>
        <w:textAlignment w:val="auto"/>
        <w:rPr>
          <w:rFonts w:hint="default" w:ascii="Times New Roman" w:hAnsi="Times New Roman" w:eastAsia="仿宋_GB2312" w:cs="Times New Roman"/>
          <w:b w:val="0"/>
          <w:bCs w:val="0"/>
          <w:color w:val="000000"/>
          <w:kern w:val="2"/>
          <w:sz w:val="32"/>
          <w:szCs w:val="32"/>
          <w:lang w:val="en-US" w:eastAsia="zh-CN" w:bidi="ar-SA"/>
        </w:rPr>
        <w:sectPr>
          <w:pgSz w:w="11906" w:h="16838"/>
          <w:pgMar w:top="1440" w:right="1800" w:bottom="1440" w:left="1800" w:header="0" w:footer="0" w:gutter="0"/>
          <w:pgNumType w:fmt="decimal"/>
          <w:cols w:space="720" w:num="1"/>
          <w:formProt w:val="0"/>
          <w:docGrid w:type="lines" w:linePitch="312" w:charSpace="0"/>
        </w:sectPr>
      </w:pPr>
      <w:r>
        <w:rPr>
          <w:rFonts w:hint="default" w:ascii="Times New Roman" w:hAnsi="Times New Roman" w:eastAsia="楷体_GB2312" w:cs="Times New Roman"/>
          <w:b/>
          <w:bCs/>
          <w:color w:val="000000"/>
          <w:kern w:val="2"/>
          <w:sz w:val="32"/>
          <w:szCs w:val="32"/>
          <w:lang w:val="en-US" w:eastAsia="zh-CN" w:bidi="ar-SA"/>
        </w:rPr>
        <w:t>（六）小姓乡人民政府机构编制</w:t>
      </w:r>
      <w:r>
        <w:rPr>
          <w:rFonts w:hint="default" w:ascii="Times New Roman" w:hAnsi="Times New Roman" w:eastAsia="楷体" w:cs="Times New Roman"/>
          <w:b/>
          <w:bCs/>
          <w:color w:val="000000"/>
          <w:kern w:val="2"/>
          <w:sz w:val="32"/>
          <w:szCs w:val="32"/>
          <w:lang w:val="en-US" w:eastAsia="zh-CN" w:bidi="ar-SA"/>
        </w:rPr>
        <w:t>。</w:t>
      </w:r>
      <w:r>
        <w:rPr>
          <w:rFonts w:hint="default" w:ascii="Times New Roman" w:hAnsi="Times New Roman" w:eastAsia="仿宋_GB2312" w:cs="Times New Roman"/>
          <w:b w:val="0"/>
          <w:bCs w:val="0"/>
          <w:color w:val="000000"/>
          <w:kern w:val="2"/>
          <w:sz w:val="32"/>
          <w:szCs w:val="32"/>
          <w:lang w:val="en-US" w:eastAsia="zh-CN" w:bidi="ar-SA"/>
        </w:rPr>
        <w:t>我乡属独立编制机构和独立核算的行政单位，截至2025年12月31日在职实有人员</w:t>
      </w:r>
      <w:r>
        <w:rPr>
          <w:rFonts w:hint="eastAsia" w:ascii="Times New Roman" w:hAnsi="Times New Roman" w:eastAsia="仿宋_GB2312" w:cs="Times New Roman"/>
          <w:b w:val="0"/>
          <w:bCs w:val="0"/>
          <w:color w:val="000000"/>
          <w:kern w:val="2"/>
          <w:sz w:val="32"/>
          <w:szCs w:val="32"/>
          <w:lang w:val="en-US" w:eastAsia="zh-CN" w:bidi="ar-SA"/>
        </w:rPr>
        <w:t>36</w:t>
      </w:r>
      <w:r>
        <w:rPr>
          <w:rFonts w:hint="default" w:ascii="Times New Roman" w:hAnsi="Times New Roman" w:eastAsia="仿宋_GB2312" w:cs="Times New Roman"/>
          <w:b w:val="0"/>
          <w:bCs w:val="0"/>
          <w:color w:val="000000"/>
          <w:kern w:val="2"/>
          <w:sz w:val="32"/>
          <w:szCs w:val="32"/>
          <w:lang w:val="en-US" w:eastAsia="zh-CN" w:bidi="ar-SA"/>
        </w:rPr>
        <w:t>人，其中：行政编制2</w:t>
      </w:r>
      <w:r>
        <w:rPr>
          <w:rFonts w:hint="eastAsia" w:ascii="Times New Roman" w:hAnsi="Times New Roman" w:eastAsia="仿宋_GB2312" w:cs="Times New Roman"/>
          <w:b w:val="0"/>
          <w:bCs w:val="0"/>
          <w:color w:val="000000"/>
          <w:kern w:val="2"/>
          <w:sz w:val="32"/>
          <w:szCs w:val="32"/>
          <w:lang w:val="en-US" w:eastAsia="zh-CN" w:bidi="ar-SA"/>
        </w:rPr>
        <w:t>3</w:t>
      </w:r>
      <w:r>
        <w:rPr>
          <w:rFonts w:hint="default" w:ascii="Times New Roman" w:hAnsi="Times New Roman" w:eastAsia="仿宋_GB2312" w:cs="Times New Roman"/>
          <w:b w:val="0"/>
          <w:bCs w:val="0"/>
          <w:color w:val="000000"/>
          <w:kern w:val="2"/>
          <w:sz w:val="32"/>
          <w:szCs w:val="32"/>
          <w:lang w:val="en-US" w:eastAsia="zh-CN" w:bidi="ar-SA"/>
        </w:rPr>
        <w:t>人（公务员</w:t>
      </w:r>
      <w:r>
        <w:rPr>
          <w:rFonts w:hint="eastAsia" w:ascii="Times New Roman" w:hAnsi="Times New Roman" w:eastAsia="仿宋_GB2312" w:cs="Times New Roman"/>
          <w:b w:val="0"/>
          <w:bCs w:val="0"/>
          <w:color w:val="000000"/>
          <w:kern w:val="2"/>
          <w:sz w:val="32"/>
          <w:szCs w:val="32"/>
          <w:lang w:val="en-US" w:eastAsia="zh-CN" w:bidi="ar-SA"/>
        </w:rPr>
        <w:t>21</w:t>
      </w:r>
      <w:r>
        <w:rPr>
          <w:rFonts w:hint="default" w:ascii="Times New Roman" w:hAnsi="Times New Roman" w:eastAsia="仿宋_GB2312" w:cs="Times New Roman"/>
          <w:b w:val="0"/>
          <w:bCs w:val="0"/>
          <w:color w:val="000000"/>
          <w:kern w:val="2"/>
          <w:sz w:val="32"/>
          <w:szCs w:val="32"/>
          <w:lang w:val="en-US" w:eastAsia="zh-CN" w:bidi="ar-SA"/>
        </w:rPr>
        <w:t>人、机关工勤编制2人）；事业编制13人；其他人员</w:t>
      </w:r>
      <w:r>
        <w:rPr>
          <w:rFonts w:hint="eastAsia" w:ascii="Times New Roman" w:hAnsi="Times New Roman" w:eastAsia="仿宋_GB2312" w:cs="Times New Roman"/>
          <w:b w:val="0"/>
          <w:bCs w:val="0"/>
          <w:color w:val="000000"/>
          <w:kern w:val="2"/>
          <w:sz w:val="32"/>
          <w:szCs w:val="32"/>
          <w:lang w:val="en-US" w:eastAsia="zh-CN" w:bidi="ar-SA"/>
        </w:rPr>
        <w:t>2</w:t>
      </w:r>
      <w:r>
        <w:rPr>
          <w:rFonts w:hint="default" w:ascii="Times New Roman" w:hAnsi="Times New Roman" w:eastAsia="仿宋_GB2312" w:cs="Times New Roman"/>
          <w:b w:val="0"/>
          <w:bCs w:val="0"/>
          <w:color w:val="000000"/>
          <w:kern w:val="2"/>
          <w:sz w:val="32"/>
          <w:szCs w:val="32"/>
          <w:lang w:val="en-US" w:eastAsia="zh-CN" w:bidi="ar-SA"/>
        </w:rPr>
        <w:t>人</w:t>
      </w:r>
      <w:r>
        <w:rPr>
          <w:rFonts w:hint="eastAsia" w:ascii="Times New Roman" w:hAnsi="Times New Roman" w:eastAsia="仿宋_GB2312" w:cs="Times New Roman"/>
          <w:b w:val="0"/>
          <w:bCs w:val="0"/>
          <w:color w:val="000000"/>
          <w:kern w:val="2"/>
          <w:sz w:val="32"/>
          <w:szCs w:val="32"/>
          <w:lang w:val="en-US" w:eastAsia="zh-CN" w:bidi="ar-SA"/>
        </w:rPr>
        <w:t>（遗嘱人员）</w:t>
      </w:r>
      <w:r>
        <w:rPr>
          <w:rFonts w:hint="default" w:ascii="Times New Roman" w:hAnsi="Times New Roman" w:eastAsia="仿宋_GB2312" w:cs="Times New Roman"/>
          <w:b w:val="0"/>
          <w:bCs w:val="0"/>
          <w:color w:val="000000"/>
          <w:kern w:val="2"/>
          <w:sz w:val="32"/>
          <w:szCs w:val="32"/>
          <w:lang w:val="en-US" w:eastAsia="zh-CN" w:bidi="ar-SA"/>
        </w:rPr>
        <w:t>；退休人员5人。</w:t>
      </w:r>
    </w:p>
    <w:p w14:paraId="4E23EB34">
      <w:pPr>
        <w:pStyle w:val="4"/>
        <w:numPr>
          <w:ilvl w:val="0"/>
          <w:numId w:val="0"/>
        </w:numPr>
        <w:ind w:leftChars="0" w:right="440" w:rightChars="0"/>
        <w:jc w:val="center"/>
        <w:rPr>
          <w:rStyle w:val="21"/>
          <w:rFonts w:hint="default" w:ascii="Times New Roman" w:hAnsi="Times New Roman" w:eastAsia="黑体" w:cs="Times New Roman"/>
          <w:b w:val="0"/>
          <w:bCs/>
          <w:color w:val="000000"/>
          <w:highlight w:val="none"/>
        </w:rPr>
      </w:pPr>
      <w:r>
        <w:rPr>
          <w:rFonts w:hint="default" w:ascii="Times New Roman" w:hAnsi="Times New Roman" w:eastAsia="黑体" w:cs="Times New Roman"/>
          <w:b w:val="0"/>
          <w:bCs/>
          <w:color w:val="000000"/>
        </w:rPr>
        <w:t>第二部分 2025年度部门决算情况说明</w:t>
      </w:r>
    </w:p>
    <w:p w14:paraId="0926A4D2">
      <w:pPr>
        <w:pStyle w:val="33"/>
        <w:keepNext w:val="0"/>
        <w:keepLines w:val="0"/>
        <w:pageBreakBefore w:val="0"/>
        <w:widowControl w:val="0"/>
        <w:numPr>
          <w:ilvl w:val="0"/>
          <w:numId w:val="0"/>
        </w:numPr>
        <w:kinsoku/>
        <w:wordWrap/>
        <w:overflowPunct/>
        <w:topLinePunct w:val="0"/>
        <w:autoSpaceDE/>
        <w:autoSpaceDN/>
        <w:bidi w:val="0"/>
        <w:adjustRightInd/>
        <w:snapToGrid/>
        <w:spacing w:line="576" w:lineRule="exact"/>
        <w:ind w:left="640" w:leftChars="0"/>
        <w:textAlignment w:val="auto"/>
        <w:outlineLvl w:val="1"/>
        <w:rPr>
          <w:rStyle w:val="22"/>
          <w:rFonts w:hint="default" w:ascii="Times New Roman" w:hAnsi="Times New Roman" w:eastAsia="黑体" w:cs="Times New Roman"/>
          <w:b w:val="0"/>
          <w:color w:val="000000"/>
          <w:highlight w:val="none"/>
        </w:rPr>
      </w:pPr>
      <w:r>
        <w:rPr>
          <w:rFonts w:hint="default" w:ascii="Times New Roman" w:hAnsi="Times New Roman" w:eastAsia="黑体" w:cs="Times New Roman"/>
          <w:color w:val="000000"/>
          <w:sz w:val="32"/>
          <w:szCs w:val="32"/>
          <w:lang w:val="en-US" w:eastAsia="zh-CN"/>
        </w:rPr>
        <w:t>一、</w:t>
      </w:r>
      <w:r>
        <w:rPr>
          <w:rFonts w:hint="default" w:ascii="Times New Roman" w:hAnsi="Times New Roman" w:eastAsia="黑体" w:cs="Times New Roman"/>
          <w:color w:val="000000"/>
          <w:sz w:val="32"/>
          <w:szCs w:val="32"/>
        </w:rPr>
        <w:t>收</w:t>
      </w:r>
      <w:r>
        <w:rPr>
          <w:rStyle w:val="22"/>
          <w:rFonts w:hint="default" w:ascii="Times New Roman" w:hAnsi="Times New Roman" w:eastAsia="黑体" w:cs="Times New Roman"/>
          <w:b w:val="0"/>
          <w:color w:val="000000"/>
        </w:rPr>
        <w:t>入支出决算总体情况说明</w:t>
      </w:r>
    </w:p>
    <w:p w14:paraId="5B52ABE7">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lang w:eastAsia="zh-CN"/>
        </w:rPr>
        <w:t>2025年度收入总计为1265.95万元、支出总计为1265.95万元。与2025年度相比，收入总计增加204.15万元，增长19.23%；支出总计增加205.15万元，增长19.34%。主要变动原因是基本支出和项目支出均有所增加，其中项目支出增加61.52万元、日常公用经费增加75.36万元。</w:t>
      </w:r>
    </w:p>
    <w:p w14:paraId="41BB3A2D">
      <w:pPr>
        <w:pStyle w:val="11"/>
        <w:jc w:val="both"/>
        <w:rPr>
          <w:rFonts w:hint="default" w:ascii="Times New Roman" w:hAnsi="Times New Roman" w:cs="Times New Roman"/>
          <w:lang w:eastAsia="zh-CN"/>
        </w:rPr>
      </w:pPr>
      <w:r>
        <w:rPr>
          <w:rFonts w:hint="default" w:ascii="Times New Roman" w:hAnsi="Times New Roman" w:cs="Times New Roman"/>
        </w:rPr>
        <w:drawing>
          <wp:inline distT="0" distB="0" distL="114300" distR="114300">
            <wp:extent cx="5069205" cy="2693670"/>
            <wp:effectExtent l="4445" t="4445" r="6350" b="6985"/>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7BB66B70">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_GB2312" w:cs="Times New Roman"/>
          <w:b/>
          <w:bCs/>
          <w:color w:val="000000"/>
          <w:sz w:val="32"/>
          <w:szCs w:val="32"/>
        </w:rPr>
        <w:t>（图1：收、支决算总计变动情况图）（柱状图）</w:t>
      </w:r>
    </w:p>
    <w:p w14:paraId="5105E6C5">
      <w:pPr>
        <w:pStyle w:val="33"/>
        <w:keepNext w:val="0"/>
        <w:keepLines w:val="0"/>
        <w:pageBreakBefore w:val="0"/>
        <w:widowControl w:val="0"/>
        <w:numPr>
          <w:ilvl w:val="0"/>
          <w:numId w:val="0"/>
        </w:numPr>
        <w:kinsoku/>
        <w:wordWrap/>
        <w:overflowPunct/>
        <w:topLinePunct w:val="0"/>
        <w:autoSpaceDE/>
        <w:autoSpaceDN/>
        <w:bidi w:val="0"/>
        <w:adjustRightInd/>
        <w:snapToGrid/>
        <w:spacing w:line="576" w:lineRule="exact"/>
        <w:ind w:left="640" w:leftChars="0"/>
        <w:textAlignment w:val="auto"/>
        <w:outlineLvl w:val="1"/>
        <w:rPr>
          <w:rStyle w:val="22"/>
          <w:rFonts w:hint="default" w:ascii="Times New Roman" w:hAnsi="Times New Roman" w:eastAsia="黑体" w:cs="Times New Roman"/>
          <w:b w:val="0"/>
          <w:color w:val="000000"/>
          <w:highlight w:val="none"/>
        </w:rPr>
      </w:pPr>
      <w:r>
        <w:rPr>
          <w:rFonts w:hint="default" w:ascii="Times New Roman" w:hAnsi="Times New Roman" w:eastAsia="黑体" w:cs="Times New Roman"/>
          <w:color w:val="000000"/>
          <w:sz w:val="32"/>
          <w:szCs w:val="32"/>
          <w:lang w:val="en-US" w:eastAsia="zh-CN"/>
        </w:rPr>
        <w:t>二、</w:t>
      </w:r>
      <w:r>
        <w:rPr>
          <w:rFonts w:hint="default" w:ascii="Times New Roman" w:hAnsi="Times New Roman" w:eastAsia="黑体" w:cs="Times New Roman"/>
          <w:color w:val="000000"/>
          <w:sz w:val="32"/>
          <w:szCs w:val="32"/>
        </w:rPr>
        <w:t>收</w:t>
      </w:r>
      <w:r>
        <w:rPr>
          <w:rStyle w:val="22"/>
          <w:rFonts w:hint="default" w:ascii="Times New Roman" w:hAnsi="Times New Roman" w:eastAsia="黑体" w:cs="Times New Roman"/>
          <w:b w:val="0"/>
          <w:color w:val="000000"/>
        </w:rPr>
        <w:t>入决算情况说明</w:t>
      </w:r>
    </w:p>
    <w:p w14:paraId="7C321F6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textAlignment w:val="auto"/>
        <w:outlineLvl w:val="1"/>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lang w:eastAsia="zh-CN"/>
        </w:rPr>
        <w:t>2025年度本年收入合计1258.57万元，其中：一般公共预算财政拨款收入1258.57万元，占100%；政府性基金预算财政拨款收入0万元，占0%；国有资本经营预算财政拨款收入0万元，占0%；上级补助收入0万元，占0%；事业收入0万元，占0%；经营收入0万元，占0%；附属单位上缴收入0万元，占0%；其他收入0万元，占0%。</w:t>
      </w:r>
    </w:p>
    <w:p w14:paraId="766F8CA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textAlignment w:val="auto"/>
        <w:outlineLvl w:val="1"/>
        <w:rPr>
          <w:rFonts w:hint="default" w:ascii="Times New Roman" w:hAnsi="Times New Roman" w:eastAsia="仿宋_GB2312" w:cs="Times New Roman"/>
          <w:b w:val="0"/>
          <w:bCs w:val="0"/>
          <w:color w:val="000000"/>
          <w:w w:val="90"/>
          <w:sz w:val="32"/>
          <w:szCs w:val="32"/>
          <w:highlight w:val="none"/>
        </w:rPr>
      </w:pPr>
      <w:r>
        <w:rPr>
          <w:rFonts w:hint="default" w:ascii="Times New Roman" w:hAnsi="Times New Roman" w:eastAsia="仿宋_GB2312" w:cs="Times New Roman"/>
          <w:b/>
          <w:bCs/>
          <w:color w:val="000000"/>
          <w:w w:val="90"/>
          <w:sz w:val="32"/>
          <w:szCs w:val="32"/>
        </w:rPr>
        <w:t>（注：数据来源于财决01表</w:t>
      </w:r>
      <w:r>
        <w:rPr>
          <w:rFonts w:hint="default" w:ascii="Times New Roman" w:hAnsi="Times New Roman" w:eastAsia="仿宋_GB2312" w:cs="Times New Roman"/>
          <w:b/>
          <w:bCs/>
          <w:color w:val="000000"/>
          <w:w w:val="90"/>
          <w:sz w:val="32"/>
          <w:szCs w:val="32"/>
          <w:lang w:eastAsia="zh-CN"/>
        </w:rPr>
        <w:t>，仅罗列本部门涉及的收入。</w:t>
      </w:r>
      <w:r>
        <w:rPr>
          <w:rFonts w:hint="default" w:ascii="Times New Roman" w:hAnsi="Times New Roman" w:eastAsia="仿宋_GB2312" w:cs="Times New Roman"/>
          <w:b/>
          <w:bCs/>
          <w:color w:val="000000"/>
          <w:w w:val="90"/>
          <w:sz w:val="32"/>
          <w:szCs w:val="32"/>
        </w:rPr>
        <w:t>）</w:t>
      </w:r>
    </w:p>
    <w:p w14:paraId="1C3F9EFD">
      <w:pPr>
        <w:pStyle w:val="11"/>
        <w:jc w:val="both"/>
        <w:rPr>
          <w:rFonts w:hint="default" w:ascii="Times New Roman" w:hAnsi="Times New Roman" w:cs="Times New Roman"/>
        </w:rPr>
      </w:pPr>
      <w:r>
        <w:rPr>
          <w:rFonts w:hint="default" w:ascii="Times New Roman" w:hAnsi="Times New Roman" w:cs="Times New Roman"/>
        </w:rPr>
        <w:drawing>
          <wp:inline distT="0" distB="0" distL="114300" distR="114300">
            <wp:extent cx="5086985" cy="2223135"/>
            <wp:effectExtent l="4445" t="4445" r="13970" b="7620"/>
            <wp:docPr id="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29AA68EE">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_GB2312" w:cs="Times New Roman"/>
          <w:b/>
          <w:bCs/>
          <w:color w:val="000000"/>
          <w:sz w:val="32"/>
          <w:szCs w:val="32"/>
        </w:rPr>
        <w:t>（图2：收入决算结构图）（饼状图）</w:t>
      </w:r>
    </w:p>
    <w:p w14:paraId="3267FBD9">
      <w:pPr>
        <w:pStyle w:val="33"/>
        <w:keepNext w:val="0"/>
        <w:keepLines w:val="0"/>
        <w:pageBreakBefore w:val="0"/>
        <w:widowControl w:val="0"/>
        <w:numPr>
          <w:ilvl w:val="0"/>
          <w:numId w:val="0"/>
        </w:numPr>
        <w:kinsoku/>
        <w:wordWrap/>
        <w:overflowPunct/>
        <w:topLinePunct w:val="0"/>
        <w:autoSpaceDE/>
        <w:autoSpaceDN/>
        <w:bidi w:val="0"/>
        <w:adjustRightInd/>
        <w:snapToGrid/>
        <w:spacing w:line="576" w:lineRule="exact"/>
        <w:ind w:left="640" w:leftChars="0"/>
        <w:textAlignment w:val="auto"/>
        <w:outlineLvl w:val="1"/>
        <w:rPr>
          <w:rStyle w:val="22"/>
          <w:rFonts w:hint="default" w:ascii="Times New Roman" w:hAnsi="Times New Roman" w:eastAsia="黑体" w:cs="Times New Roman"/>
          <w:b w:val="0"/>
          <w:color w:val="000000"/>
          <w:highlight w:val="none"/>
        </w:rPr>
      </w:pPr>
      <w:r>
        <w:rPr>
          <w:rFonts w:hint="default" w:ascii="Times New Roman" w:hAnsi="Times New Roman" w:eastAsia="黑体" w:cs="Times New Roman"/>
          <w:color w:val="000000"/>
          <w:sz w:val="32"/>
          <w:szCs w:val="32"/>
          <w:lang w:val="en-US" w:eastAsia="zh-CN"/>
        </w:rPr>
        <w:t>三、</w:t>
      </w:r>
      <w:r>
        <w:rPr>
          <w:rFonts w:hint="default" w:ascii="Times New Roman" w:hAnsi="Times New Roman" w:eastAsia="黑体" w:cs="Times New Roman"/>
          <w:color w:val="000000"/>
          <w:sz w:val="32"/>
          <w:szCs w:val="32"/>
        </w:rPr>
        <w:t>支</w:t>
      </w:r>
      <w:r>
        <w:rPr>
          <w:rStyle w:val="22"/>
          <w:rFonts w:hint="default" w:ascii="Times New Roman" w:hAnsi="Times New Roman" w:eastAsia="黑体" w:cs="Times New Roman"/>
          <w:b w:val="0"/>
          <w:color w:val="000000"/>
        </w:rPr>
        <w:t>出决算情况说明</w:t>
      </w:r>
    </w:p>
    <w:p w14:paraId="4F9AE34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textAlignment w:val="auto"/>
        <w:outlineLvl w:val="1"/>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lang w:eastAsia="zh-CN"/>
        </w:rPr>
        <w:t>2025年度本年支出合计1265.95万元，其中：基本支出943.35万元，占74.52%；项目支出322.6万元，占25.48%；上缴上级支出0万元，占0%；经营支出0万元，占0%；对附属单位补助支出0万元，占0%。</w:t>
      </w:r>
    </w:p>
    <w:p w14:paraId="175B00F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textAlignment w:val="auto"/>
        <w:outlineLvl w:val="1"/>
        <w:rPr>
          <w:rFonts w:hint="default" w:ascii="Times New Roman" w:hAnsi="Times New Roman" w:cs="Times New Roman"/>
          <w:w w:val="90"/>
        </w:rPr>
      </w:pPr>
      <w:r>
        <w:rPr>
          <w:rFonts w:hint="default" w:ascii="Times New Roman" w:hAnsi="Times New Roman" w:eastAsia="仿宋_GB2312" w:cs="Times New Roman"/>
          <w:b/>
          <w:color w:val="000000"/>
          <w:w w:val="90"/>
          <w:sz w:val="32"/>
          <w:szCs w:val="32"/>
        </w:rPr>
        <w:t>（注：数据来源于财决04表</w:t>
      </w:r>
      <w:r>
        <w:rPr>
          <w:rFonts w:hint="default" w:ascii="Times New Roman" w:hAnsi="Times New Roman" w:eastAsia="仿宋_GB2312" w:cs="Times New Roman"/>
          <w:b/>
          <w:color w:val="000000"/>
          <w:w w:val="90"/>
          <w:sz w:val="32"/>
          <w:szCs w:val="32"/>
          <w:lang w:eastAsia="zh-CN"/>
        </w:rPr>
        <w:t>，仅罗列本部门涉及的支出。</w:t>
      </w:r>
      <w:r>
        <w:rPr>
          <w:rFonts w:hint="default" w:ascii="Times New Roman" w:hAnsi="Times New Roman" w:eastAsia="仿宋_GB2312" w:cs="Times New Roman"/>
          <w:b/>
          <w:color w:val="000000"/>
          <w:w w:val="90"/>
          <w:sz w:val="32"/>
          <w:szCs w:val="32"/>
        </w:rPr>
        <w:t>）</w:t>
      </w:r>
    </w:p>
    <w:p w14:paraId="183CF313">
      <w:pPr>
        <w:pStyle w:val="11"/>
        <w:ind w:left="0" w:firstLine="0"/>
        <w:jc w:val="center"/>
        <w:rPr>
          <w:rFonts w:hint="default" w:ascii="Times New Roman" w:hAnsi="Times New Roman" w:eastAsia="仿宋" w:cs="Times New Roman"/>
          <w:color w:val="000000"/>
          <w:sz w:val="32"/>
          <w:szCs w:val="32"/>
          <w:highlight w:val="none"/>
          <w:shd w:val="clear" w:fill="E5E5E5"/>
        </w:rPr>
      </w:pPr>
      <w:r>
        <w:rPr>
          <w:rFonts w:hint="default" w:ascii="Times New Roman" w:hAnsi="Times New Roman" w:cs="Times New Roman"/>
        </w:rPr>
        <w:drawing>
          <wp:inline distT="0" distB="0" distL="114300" distR="114300">
            <wp:extent cx="4761865" cy="1911350"/>
            <wp:effectExtent l="4445" t="5080" r="8890" b="13970"/>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C9CA88E">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_GB2312" w:cs="Times New Roman"/>
          <w:b/>
          <w:bCs/>
          <w:color w:val="000000"/>
          <w:sz w:val="32"/>
          <w:szCs w:val="32"/>
        </w:rPr>
        <w:t>（图3：支出决算结构图）（饼状图）</w:t>
      </w:r>
    </w:p>
    <w:p w14:paraId="468FB9C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1"/>
        <w:textAlignment w:val="auto"/>
        <w:outlineLvl w:val="1"/>
        <w:rPr>
          <w:rStyle w:val="22"/>
          <w:rFonts w:hint="default" w:ascii="Times New Roman" w:hAnsi="Times New Roman" w:eastAsia="黑体" w:cs="Times New Roman"/>
          <w:b w:val="0"/>
          <w:color w:val="000000"/>
          <w:highlight w:val="none"/>
        </w:rPr>
      </w:pPr>
      <w:r>
        <w:rPr>
          <w:rFonts w:hint="default" w:ascii="Times New Roman" w:hAnsi="Times New Roman" w:eastAsia="黑体" w:cs="Times New Roman"/>
          <w:color w:val="000000"/>
          <w:sz w:val="32"/>
          <w:szCs w:val="32"/>
        </w:rPr>
        <w:t>四、财</w:t>
      </w:r>
      <w:r>
        <w:rPr>
          <w:rStyle w:val="22"/>
          <w:rFonts w:hint="default" w:ascii="Times New Roman" w:hAnsi="Times New Roman" w:eastAsia="黑体" w:cs="Times New Roman"/>
          <w:b w:val="0"/>
          <w:color w:val="000000"/>
        </w:rPr>
        <w:t>政拨款收入支出决算总体情况说明</w:t>
      </w:r>
    </w:p>
    <w:p w14:paraId="596A0F96">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lang w:eastAsia="zh-CN"/>
        </w:rPr>
        <w:t>2025年度财政拨款收入总计为1258.57万元、支出总计为1258.57万元。与2025年度相比，收入总计增加197.77万元，增长18.64%；支出总计增加197.77万元，增长18.64%。主要变动原因是基本支出和项目支出均有所增加。</w:t>
      </w:r>
    </w:p>
    <w:p w14:paraId="2EB8CA02">
      <w:pPr>
        <w:spacing w:line="600" w:lineRule="exact"/>
        <w:ind w:firstLine="640"/>
        <w:rPr>
          <w:rFonts w:hint="default" w:ascii="Times New Roman" w:hAnsi="Times New Roman" w:eastAsia="仿宋" w:cs="Times New Roman"/>
          <w:b/>
          <w:color w:val="000000"/>
          <w:sz w:val="32"/>
          <w:szCs w:val="32"/>
          <w:highlight w:val="none"/>
          <w:lang w:eastAsia="zh-CN"/>
        </w:rPr>
      </w:pPr>
      <w:r>
        <w:rPr>
          <w:rFonts w:hint="default" w:ascii="Times New Roman" w:hAnsi="Times New Roman" w:eastAsia="仿宋_GB2312" w:cs="Times New Roman"/>
          <w:b/>
          <w:color w:val="000000"/>
          <w:sz w:val="32"/>
          <w:szCs w:val="32"/>
        </w:rPr>
        <w:t>（注：数据来源于财决01-1表）</w:t>
      </w:r>
    </w:p>
    <w:p w14:paraId="2F214825">
      <w:pPr>
        <w:pStyle w:val="11"/>
        <w:jc w:val="center"/>
        <w:rPr>
          <w:rFonts w:hint="default" w:ascii="Times New Roman" w:hAnsi="Times New Roman" w:eastAsia="仿宋" w:cs="Times New Roman"/>
          <w:color w:val="000000"/>
          <w:sz w:val="32"/>
          <w:szCs w:val="32"/>
          <w:highlight w:val="none"/>
        </w:rPr>
      </w:pPr>
      <w:r>
        <w:rPr>
          <w:rFonts w:hint="default" w:ascii="Times New Roman" w:hAnsi="Times New Roman" w:cs="Times New Roman"/>
        </w:rPr>
        <w:drawing>
          <wp:inline distT="0" distB="0" distL="114300" distR="114300">
            <wp:extent cx="5050790" cy="2329815"/>
            <wp:effectExtent l="4445" t="4445" r="12065" b="15240"/>
            <wp:docPr id="10"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AC0E79A">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 w:cs="Times New Roman"/>
          <w:b/>
          <w:color w:val="000000"/>
          <w:sz w:val="32"/>
          <w:szCs w:val="32"/>
          <w:highlight w:val="none"/>
        </w:rPr>
      </w:pPr>
      <w:r>
        <w:rPr>
          <w:rFonts w:hint="default" w:ascii="Times New Roman" w:hAnsi="Times New Roman" w:eastAsia="仿宋_GB2312" w:cs="Times New Roman"/>
          <w:b/>
          <w:bCs/>
          <w:color w:val="000000"/>
          <w:sz w:val="32"/>
          <w:szCs w:val="32"/>
        </w:rPr>
        <w:t>（图4：财政拨款收、支决算总计变动情况）（柱状图）</w:t>
      </w:r>
    </w:p>
    <w:p w14:paraId="12178839">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textAlignment w:val="auto"/>
        <w:outlineLvl w:val="1"/>
        <w:rPr>
          <w:rStyle w:val="22"/>
          <w:rFonts w:hint="default" w:ascii="Times New Roman" w:hAnsi="Times New Roman" w:eastAsia="黑体" w:cs="Times New Roman"/>
          <w:b w:val="0"/>
          <w:color w:val="000000"/>
          <w:highlight w:val="none"/>
        </w:rPr>
      </w:pPr>
      <w:r>
        <w:rPr>
          <w:rFonts w:hint="default" w:ascii="Times New Roman" w:hAnsi="Times New Roman" w:eastAsia="黑体" w:cs="Times New Roman"/>
          <w:color w:val="000000"/>
          <w:sz w:val="32"/>
          <w:szCs w:val="32"/>
        </w:rPr>
        <w:t>五、</w:t>
      </w:r>
      <w:r>
        <w:rPr>
          <w:rFonts w:hint="default" w:ascii="Times New Roman" w:hAnsi="Times New Roman" w:eastAsia="黑体" w:cs="Times New Roman"/>
          <w:b/>
          <w:color w:val="000000"/>
          <w:sz w:val="32"/>
          <w:szCs w:val="32"/>
        </w:rPr>
        <w:t>一</w:t>
      </w:r>
      <w:r>
        <w:rPr>
          <w:rStyle w:val="22"/>
          <w:rFonts w:hint="default" w:ascii="Times New Roman" w:hAnsi="Times New Roman" w:eastAsia="黑体" w:cs="Times New Roman"/>
          <w:b w:val="0"/>
          <w:color w:val="000000"/>
        </w:rPr>
        <w:t>般公共预算财政拨款支出决算情况说明</w:t>
      </w:r>
    </w:p>
    <w:p w14:paraId="4D5D080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textAlignment w:val="auto"/>
        <w:outlineLvl w:val="2"/>
        <w:rPr>
          <w:rFonts w:hint="default" w:ascii="Times New Roman" w:hAnsi="Times New Roman" w:eastAsia="楷体_GB2312" w:cs="Times New Roman"/>
          <w:b w:val="0"/>
          <w:bCs/>
          <w:color w:val="000000"/>
          <w:sz w:val="32"/>
          <w:szCs w:val="32"/>
          <w:highlight w:val="none"/>
        </w:rPr>
      </w:pPr>
      <w:r>
        <w:rPr>
          <w:rFonts w:hint="default" w:ascii="Times New Roman" w:hAnsi="Times New Roman" w:eastAsia="楷体_GB2312" w:cs="Times New Roman"/>
          <w:b w:val="0"/>
          <w:bCs/>
          <w:color w:val="000000"/>
          <w:sz w:val="32"/>
          <w:szCs w:val="32"/>
        </w:rPr>
        <w:t>（一）一般公共预算财政拨款支出决算总体情况</w:t>
      </w:r>
    </w:p>
    <w:p w14:paraId="6BF092B9">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lang w:eastAsia="zh-CN"/>
        </w:rPr>
        <w:t>2025年度一般公共预算财政拨款支出1258.57万元，占本年支出合计的99.42%。与2025年度相比，一般公共预算财政拨款支出增加197.77万元，增长18.64%。主要变动原因是基本支出和项目支出均有所增加。</w:t>
      </w:r>
    </w:p>
    <w:p w14:paraId="54F0C227">
      <w:pPr>
        <w:pStyle w:val="11"/>
        <w:jc w:val="center"/>
        <w:rPr>
          <w:rFonts w:hint="default" w:ascii="Times New Roman" w:hAnsi="Times New Roman" w:eastAsia="仿宋" w:cs="Times New Roman"/>
          <w:color w:val="000000"/>
          <w:sz w:val="32"/>
          <w:szCs w:val="32"/>
          <w:highlight w:val="none"/>
        </w:rPr>
      </w:pP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184150</wp:posOffset>
            </wp:positionH>
            <wp:positionV relativeFrom="paragraph">
              <wp:posOffset>124460</wp:posOffset>
            </wp:positionV>
            <wp:extent cx="4792345" cy="1777365"/>
            <wp:effectExtent l="4445" t="5080" r="29210" b="8255"/>
            <wp:wrapTight wrapText="bothSides">
              <wp:wrapPolygon>
                <wp:start x="-20" y="-62"/>
                <wp:lineTo x="-20" y="21546"/>
                <wp:lineTo x="21560" y="21546"/>
                <wp:lineTo x="21560" y="-62"/>
                <wp:lineTo x="-20" y="-62"/>
              </wp:wrapPolygon>
            </wp:wrapTight>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7CBC7E10">
      <w:pPr>
        <w:pStyle w:val="11"/>
        <w:jc w:val="center"/>
        <w:rPr>
          <w:rFonts w:hint="default" w:ascii="Times New Roman" w:hAnsi="Times New Roman" w:eastAsia="仿宋" w:cs="Times New Roman"/>
          <w:color w:val="000000"/>
          <w:sz w:val="32"/>
          <w:szCs w:val="32"/>
          <w:highlight w:val="none"/>
        </w:rPr>
      </w:pPr>
    </w:p>
    <w:p w14:paraId="0F640D18">
      <w:pPr>
        <w:pStyle w:val="11"/>
        <w:ind w:left="0" w:leftChars="0" w:firstLine="0" w:firstLineChars="0"/>
        <w:jc w:val="both"/>
        <w:rPr>
          <w:rFonts w:hint="default" w:ascii="Times New Roman" w:hAnsi="Times New Roman" w:eastAsia="仿宋" w:cs="Times New Roman"/>
          <w:color w:val="000000"/>
          <w:sz w:val="32"/>
          <w:szCs w:val="32"/>
          <w:highlight w:val="none"/>
        </w:rPr>
      </w:pPr>
    </w:p>
    <w:p w14:paraId="3B57662A">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_GB2312" w:cs="Times New Roman"/>
          <w:b/>
          <w:bCs/>
          <w:color w:val="000000"/>
          <w:w w:val="90"/>
          <w:sz w:val="32"/>
          <w:szCs w:val="32"/>
        </w:rPr>
        <w:t>（图5：一般公共预算财政拨款支出决算变动情况）（柱状图）</w:t>
      </w:r>
    </w:p>
    <w:p w14:paraId="39557A2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textAlignment w:val="auto"/>
        <w:outlineLvl w:val="2"/>
        <w:rPr>
          <w:rFonts w:hint="default" w:ascii="Times New Roman" w:hAnsi="Times New Roman" w:eastAsia="仿宋" w:cs="Times New Roman"/>
          <w:b/>
          <w:color w:val="000000"/>
          <w:sz w:val="32"/>
          <w:szCs w:val="32"/>
          <w:highlight w:val="none"/>
        </w:rPr>
      </w:pPr>
      <w:r>
        <w:rPr>
          <w:rFonts w:hint="default" w:ascii="Times New Roman" w:hAnsi="Times New Roman" w:eastAsia="楷体_GB2312" w:cs="Times New Roman"/>
          <w:b w:val="0"/>
          <w:bCs/>
          <w:color w:val="000000"/>
          <w:sz w:val="32"/>
          <w:szCs w:val="32"/>
        </w:rPr>
        <w:t>（二）一般公共预算财政拨款支出决算结构情况</w:t>
      </w:r>
    </w:p>
    <w:p w14:paraId="201EC5D0">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_GB2312" w:cs="Times New Roman"/>
          <w:b w:val="0"/>
          <w:bCs w:val="0"/>
          <w:color w:val="000000"/>
          <w:sz w:val="32"/>
          <w:szCs w:val="32"/>
          <w:highlight w:val="none"/>
          <w:lang w:val="en-US" w:eastAsia="zh-CN"/>
        </w:rPr>
      </w:pPr>
      <w:r>
        <w:rPr>
          <w:rFonts w:hint="default" w:ascii="Times New Roman" w:hAnsi="Times New Roman" w:eastAsia="仿宋_GB2312" w:cs="Times New Roman"/>
          <w:b w:val="0"/>
          <w:bCs w:val="0"/>
          <w:color w:val="000000"/>
          <w:sz w:val="32"/>
          <w:szCs w:val="32"/>
          <w:lang w:eastAsia="zh-CN"/>
        </w:rPr>
        <w:t>2025年度一般公共预算财政拨款支出1258.57万元，主要用于以下方面：一般公共服务支出705.59万元，占56.06%；社会保障和就业支出126.87万元，占10.08%；卫生健康支出41.98万元，占3.34%；节能环保支出3.2万元，占0.25%；城乡社区支出7.65万元，占0.61%；农林水支出308.75万元，占24.53%；住房保障支出64.53万元，占5.13%。</w:t>
      </w:r>
    </w:p>
    <w:p w14:paraId="7F1A311C">
      <w:pPr>
        <w:spacing w:line="600" w:lineRule="exact"/>
        <w:ind w:firstLine="640"/>
        <w:rPr>
          <w:rFonts w:hint="default" w:ascii="Times New Roman" w:hAnsi="Times New Roman" w:eastAsia="仿宋" w:cs="Times New Roman"/>
          <w:b/>
          <w:color w:val="000000"/>
          <w:sz w:val="32"/>
          <w:szCs w:val="32"/>
          <w:highlight w:val="none"/>
        </w:rPr>
      </w:pPr>
      <w:r>
        <w:rPr>
          <w:rFonts w:hint="default" w:ascii="Times New Roman" w:hAnsi="Times New Roman" w:cs="Times New Roman"/>
          <w:w w:val="66"/>
        </w:rPr>
        <w:drawing>
          <wp:anchor distT="0" distB="0" distL="114300" distR="114300" simplePos="0" relativeHeight="251660288" behindDoc="1" locked="0" layoutInCell="1" allowOverlap="1">
            <wp:simplePos x="0" y="0"/>
            <wp:positionH relativeFrom="column">
              <wp:posOffset>226695</wp:posOffset>
            </wp:positionH>
            <wp:positionV relativeFrom="paragraph">
              <wp:posOffset>472440</wp:posOffset>
            </wp:positionV>
            <wp:extent cx="4802505" cy="2600325"/>
            <wp:effectExtent l="4445" t="4445" r="6350" b="11430"/>
            <wp:wrapTight wrapText="bothSides">
              <wp:wrapPolygon>
                <wp:start x="-20" y="-37"/>
                <wp:lineTo x="-20" y="21589"/>
                <wp:lineTo x="21571" y="21589"/>
                <wp:lineTo x="21571" y="-37"/>
                <wp:lineTo x="-20" y="-37"/>
              </wp:wrapPolygon>
            </wp:wrapTight>
            <wp:docPr id="1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default" w:ascii="Times New Roman" w:hAnsi="Times New Roman" w:eastAsia="仿宋_GB2312" w:cs="Times New Roman"/>
          <w:b/>
          <w:bCs/>
          <w:color w:val="000000"/>
          <w:w w:val="66"/>
          <w:sz w:val="32"/>
          <w:szCs w:val="32"/>
        </w:rPr>
        <w:t>（</w:t>
      </w:r>
      <w:r>
        <w:rPr>
          <w:rFonts w:hint="default" w:ascii="Times New Roman" w:hAnsi="Times New Roman" w:eastAsia="仿宋_GB2312" w:cs="Times New Roman"/>
          <w:b/>
          <w:bCs/>
          <w:color w:val="000000"/>
          <w:w w:val="66"/>
          <w:sz w:val="32"/>
          <w:szCs w:val="32"/>
          <w:lang w:eastAsia="zh-CN"/>
        </w:rPr>
        <w:t>注：数据来源于财决</w:t>
      </w:r>
      <w:r>
        <w:rPr>
          <w:rFonts w:hint="default" w:ascii="Times New Roman" w:hAnsi="Times New Roman" w:eastAsia="仿宋_GB2312" w:cs="Times New Roman"/>
          <w:b/>
          <w:bCs/>
          <w:color w:val="000000"/>
          <w:w w:val="66"/>
          <w:sz w:val="32"/>
          <w:szCs w:val="32"/>
          <w:lang w:val="en-US" w:eastAsia="zh-CN"/>
        </w:rPr>
        <w:t>01-1表，仅</w:t>
      </w:r>
      <w:r>
        <w:rPr>
          <w:rFonts w:hint="default" w:ascii="Times New Roman" w:hAnsi="Times New Roman" w:eastAsia="仿宋_GB2312" w:cs="Times New Roman"/>
          <w:b/>
          <w:bCs/>
          <w:color w:val="000000"/>
          <w:w w:val="66"/>
          <w:sz w:val="32"/>
          <w:szCs w:val="32"/>
        </w:rPr>
        <w:t>罗列</w:t>
      </w:r>
      <w:r>
        <w:rPr>
          <w:rFonts w:hint="default" w:ascii="Times New Roman" w:hAnsi="Times New Roman" w:eastAsia="仿宋_GB2312" w:cs="Times New Roman"/>
          <w:b/>
          <w:bCs/>
          <w:color w:val="000000"/>
          <w:w w:val="66"/>
          <w:sz w:val="32"/>
          <w:szCs w:val="32"/>
          <w:lang w:eastAsia="zh-CN"/>
        </w:rPr>
        <w:t>本部门涉及的全部</w:t>
      </w:r>
      <w:r>
        <w:rPr>
          <w:rFonts w:hint="default" w:ascii="Times New Roman" w:hAnsi="Times New Roman" w:eastAsia="仿宋_GB2312" w:cs="Times New Roman"/>
          <w:b/>
          <w:bCs/>
          <w:color w:val="000000"/>
          <w:w w:val="66"/>
          <w:sz w:val="32"/>
          <w:szCs w:val="32"/>
        </w:rPr>
        <w:t>功能分类科目，至类级。）</w:t>
      </w:r>
    </w:p>
    <w:p w14:paraId="1F0EE689">
      <w:pPr>
        <w:pStyle w:val="11"/>
        <w:jc w:val="center"/>
        <w:rPr>
          <w:rFonts w:hint="default" w:ascii="Times New Roman" w:hAnsi="Times New Roman" w:eastAsia="仿宋" w:cs="Times New Roman"/>
          <w:b/>
          <w:color w:val="000000"/>
          <w:sz w:val="32"/>
          <w:szCs w:val="32"/>
          <w:highlight w:val="none"/>
        </w:rPr>
      </w:pPr>
    </w:p>
    <w:p w14:paraId="723DA6F3">
      <w:pPr>
        <w:pStyle w:val="11"/>
        <w:ind w:left="0" w:firstLine="0"/>
        <w:rPr>
          <w:rFonts w:hint="default" w:ascii="Times New Roman" w:hAnsi="Times New Roman" w:eastAsia="仿宋" w:cs="Times New Roman"/>
          <w:b/>
          <w:color w:val="000000"/>
          <w:sz w:val="32"/>
          <w:szCs w:val="32"/>
          <w:highlight w:val="none"/>
        </w:rPr>
      </w:pPr>
    </w:p>
    <w:p w14:paraId="6E1A05AE">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_GB2312" w:cs="Times New Roman"/>
          <w:b/>
          <w:bCs/>
          <w:color w:val="000000"/>
          <w:w w:val="90"/>
          <w:sz w:val="32"/>
          <w:szCs w:val="32"/>
          <w:highlight w:val="none"/>
        </w:rPr>
      </w:pPr>
      <w:r>
        <w:rPr>
          <w:rFonts w:hint="default" w:ascii="Times New Roman" w:hAnsi="Times New Roman" w:eastAsia="仿宋_GB2312" w:cs="Times New Roman"/>
          <w:b/>
          <w:bCs/>
          <w:color w:val="000000"/>
          <w:w w:val="90"/>
          <w:sz w:val="32"/>
          <w:szCs w:val="32"/>
        </w:rPr>
        <w:t>（图6：一般公共预算财政拨款支出决算结构）（饼状图）</w:t>
      </w:r>
    </w:p>
    <w:p w14:paraId="733B3F4C">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textAlignment w:val="auto"/>
        <w:outlineLvl w:val="2"/>
        <w:rPr>
          <w:rFonts w:hint="default" w:ascii="Times New Roman" w:hAnsi="Times New Roman" w:eastAsia="仿宋_GB2312" w:cs="Times New Roman"/>
          <w:b/>
          <w:color w:val="000000"/>
          <w:sz w:val="32"/>
          <w:szCs w:val="32"/>
          <w:highlight w:val="none"/>
        </w:rPr>
      </w:pPr>
      <w:r>
        <w:rPr>
          <w:rFonts w:hint="default" w:ascii="Times New Roman" w:hAnsi="Times New Roman" w:eastAsia="楷体_GB2312" w:cs="Times New Roman"/>
          <w:b w:val="0"/>
          <w:bCs/>
          <w:color w:val="000000"/>
          <w:sz w:val="32"/>
          <w:szCs w:val="32"/>
        </w:rPr>
        <w:t>（三）一般公共预算财政拨款支出决算具体情况</w:t>
      </w:r>
    </w:p>
    <w:p w14:paraId="0396481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textAlignment w:val="auto"/>
        <w:outlineLvl w:val="2"/>
        <w:rPr>
          <w:rFonts w:hint="default" w:ascii="Times New Roman" w:hAnsi="Times New Roman" w:eastAsia="仿宋_GB2312" w:cs="Times New Roman"/>
          <w:b w:val="0"/>
          <w:bCs/>
          <w:color w:val="000000"/>
          <w:sz w:val="32"/>
          <w:szCs w:val="32"/>
          <w:highlight w:val="none"/>
        </w:rPr>
      </w:pPr>
      <w:r>
        <w:rPr>
          <w:rFonts w:hint="default" w:ascii="Times New Roman" w:hAnsi="Times New Roman" w:eastAsia="仿宋_GB2312" w:cs="Times New Roman"/>
          <w:b w:val="0"/>
          <w:bCs/>
          <w:color w:val="000000"/>
          <w:sz w:val="32"/>
          <w:szCs w:val="32"/>
          <w:lang w:eastAsia="zh-CN"/>
        </w:rPr>
        <w:t>2025年度一般公共预算支出决算数为1258.57万元，完成预算100%。其中：</w:t>
      </w:r>
    </w:p>
    <w:p w14:paraId="49218091">
      <w:pPr>
        <w:keepNext w:val="0"/>
        <w:keepLines w:val="0"/>
        <w:pageBreakBefore w:val="0"/>
        <w:widowControl w:val="0"/>
        <w:kinsoku/>
        <w:wordWrap/>
        <w:overflowPunct/>
        <w:topLinePunct w:val="0"/>
        <w:autoSpaceDE/>
        <w:autoSpaceDN/>
        <w:bidi w:val="0"/>
        <w:adjustRightInd/>
        <w:snapToGrid/>
        <w:spacing w:line="576" w:lineRule="exact"/>
        <w:ind w:firstLine="643"/>
        <w:textAlignment w:val="auto"/>
        <w:rPr>
          <w:rFonts w:hint="default" w:ascii="Times New Roman" w:hAnsi="Times New Roman" w:eastAsia="仿宋_GB2312" w:cs="Times New Roman"/>
          <w:b w:val="0"/>
          <w:bCs/>
          <w:color w:val="000000"/>
          <w:sz w:val="32"/>
          <w:szCs w:val="32"/>
          <w:highlight w:val="none"/>
        </w:rPr>
      </w:pPr>
      <w:r>
        <w:rPr>
          <w:rStyle w:val="23"/>
          <w:rFonts w:hint="default" w:ascii="Times New Roman" w:hAnsi="Times New Roman" w:eastAsia="仿宋_GB2312" w:cs="Times New Roman"/>
          <w:b w:val="0"/>
          <w:bCs/>
          <w:color w:val="000000"/>
          <w:sz w:val="32"/>
          <w:szCs w:val="32"/>
        </w:rPr>
        <w:t>1.</w:t>
      </w:r>
      <w:r>
        <w:rPr>
          <w:rStyle w:val="23"/>
          <w:rFonts w:hint="default" w:ascii="Times New Roman" w:hAnsi="Times New Roman" w:eastAsia="仿宋_GB2312" w:cs="Times New Roman"/>
          <w:b/>
          <w:bCs w:val="0"/>
          <w:color w:val="000000"/>
          <w:sz w:val="32"/>
          <w:szCs w:val="32"/>
        </w:rPr>
        <w:t>一般公共服务（201）人大事务（20101）代表工作（2010108）：</w:t>
      </w:r>
      <w:r>
        <w:rPr>
          <w:rStyle w:val="23"/>
          <w:rFonts w:hint="default" w:ascii="Times New Roman" w:hAnsi="Times New Roman" w:eastAsia="仿宋_GB2312" w:cs="Times New Roman"/>
          <w:b w:val="0"/>
          <w:bCs/>
          <w:color w:val="000000"/>
          <w:sz w:val="32"/>
          <w:szCs w:val="32"/>
        </w:rPr>
        <w:t>支出决算为3万元，完成预算100%，决算数等于预算数。</w:t>
      </w:r>
    </w:p>
    <w:p w14:paraId="3B4DCC7F">
      <w:pPr>
        <w:keepNext w:val="0"/>
        <w:keepLines w:val="0"/>
        <w:pageBreakBefore w:val="0"/>
        <w:widowControl w:val="0"/>
        <w:kinsoku/>
        <w:wordWrap/>
        <w:overflowPunct/>
        <w:topLinePunct w:val="0"/>
        <w:autoSpaceDE/>
        <w:autoSpaceDN/>
        <w:bidi w:val="0"/>
        <w:adjustRightInd/>
        <w:snapToGrid/>
        <w:spacing w:line="576" w:lineRule="exact"/>
        <w:ind w:firstLine="643"/>
        <w:textAlignment w:val="auto"/>
        <w:rPr>
          <w:rStyle w:val="23"/>
          <w:rFonts w:hint="default" w:ascii="Times New Roman" w:hAnsi="Times New Roman" w:eastAsia="仿宋_GB2312" w:cs="Times New Roman"/>
          <w:b w:val="0"/>
          <w:bCs/>
          <w:color w:val="000000"/>
          <w:sz w:val="32"/>
          <w:szCs w:val="32"/>
          <w:highlight w:val="none"/>
        </w:rPr>
      </w:pPr>
      <w:r>
        <w:rPr>
          <w:rStyle w:val="23"/>
          <w:rFonts w:hint="default" w:ascii="Times New Roman" w:hAnsi="Times New Roman" w:eastAsia="仿宋_GB2312" w:cs="Times New Roman"/>
          <w:b/>
          <w:bCs w:val="0"/>
          <w:color w:val="000000"/>
          <w:sz w:val="32"/>
          <w:szCs w:val="32"/>
          <w:lang w:val="en-US" w:eastAsia="zh-CN"/>
        </w:rPr>
        <w:t>2.一般公共服务（201）政府办公厅（室）及相关机构事务（20103）行政运行（2010301）：</w:t>
      </w:r>
      <w:r>
        <w:rPr>
          <w:rStyle w:val="23"/>
          <w:rFonts w:hint="default" w:ascii="Times New Roman" w:hAnsi="Times New Roman" w:eastAsia="仿宋_GB2312" w:cs="Times New Roman"/>
          <w:b w:val="0"/>
          <w:bCs/>
          <w:color w:val="000000"/>
          <w:sz w:val="32"/>
          <w:szCs w:val="32"/>
          <w:lang w:val="en-US" w:eastAsia="zh-CN"/>
        </w:rPr>
        <w:t>支出决算为505.31万元，完成预算100%，决算数等于预算数。</w:t>
      </w:r>
    </w:p>
    <w:p w14:paraId="5BB1E372">
      <w:pPr>
        <w:keepNext w:val="0"/>
        <w:keepLines w:val="0"/>
        <w:pageBreakBefore w:val="0"/>
        <w:widowControl w:val="0"/>
        <w:kinsoku/>
        <w:wordWrap/>
        <w:overflowPunct/>
        <w:topLinePunct w:val="0"/>
        <w:autoSpaceDE/>
        <w:autoSpaceDN/>
        <w:bidi w:val="0"/>
        <w:adjustRightInd/>
        <w:snapToGrid/>
        <w:spacing w:line="576" w:lineRule="exact"/>
        <w:ind w:firstLine="643"/>
        <w:textAlignment w:val="auto"/>
        <w:rPr>
          <w:rStyle w:val="23"/>
          <w:rFonts w:hint="default" w:ascii="Times New Roman" w:hAnsi="Times New Roman" w:eastAsia="仿宋_GB2312" w:cs="Times New Roman"/>
          <w:b w:val="0"/>
          <w:bCs/>
          <w:color w:val="000000"/>
          <w:sz w:val="32"/>
          <w:szCs w:val="32"/>
          <w:highlight w:val="none"/>
        </w:rPr>
      </w:pPr>
      <w:r>
        <w:rPr>
          <w:rStyle w:val="23"/>
          <w:rFonts w:hint="default" w:ascii="Times New Roman" w:hAnsi="Times New Roman" w:eastAsia="仿宋_GB2312" w:cs="Times New Roman"/>
          <w:b/>
          <w:bCs w:val="0"/>
          <w:color w:val="000000"/>
          <w:sz w:val="32"/>
          <w:szCs w:val="32"/>
          <w:lang w:val="en-US" w:eastAsia="zh-CN"/>
        </w:rPr>
        <w:t>3.一般公共服务（201）政府办公厅（室）及相关机构事务（20103）事业运行（2010350）：</w:t>
      </w:r>
      <w:r>
        <w:rPr>
          <w:rStyle w:val="23"/>
          <w:rFonts w:hint="default" w:ascii="Times New Roman" w:hAnsi="Times New Roman" w:eastAsia="仿宋_GB2312" w:cs="Times New Roman"/>
          <w:b w:val="0"/>
          <w:bCs/>
          <w:color w:val="000000"/>
          <w:sz w:val="32"/>
          <w:szCs w:val="32"/>
          <w:lang w:val="en-US" w:eastAsia="zh-CN"/>
        </w:rPr>
        <w:t>支出决算为204.67万元，完成预算100%，决算数等于预算数。</w:t>
      </w:r>
    </w:p>
    <w:p w14:paraId="59C48D57">
      <w:pPr>
        <w:keepNext w:val="0"/>
        <w:keepLines w:val="0"/>
        <w:pageBreakBefore w:val="0"/>
        <w:widowControl w:val="0"/>
        <w:kinsoku/>
        <w:wordWrap/>
        <w:overflowPunct/>
        <w:topLinePunct w:val="0"/>
        <w:autoSpaceDE/>
        <w:autoSpaceDN/>
        <w:bidi w:val="0"/>
        <w:adjustRightInd/>
        <w:snapToGrid/>
        <w:spacing w:line="576" w:lineRule="exact"/>
        <w:ind w:firstLine="643"/>
        <w:textAlignment w:val="auto"/>
        <w:rPr>
          <w:rStyle w:val="23"/>
          <w:rFonts w:hint="default" w:ascii="Times New Roman" w:hAnsi="Times New Roman" w:eastAsia="仿宋_GB2312" w:cs="Times New Roman"/>
          <w:b w:val="0"/>
          <w:bCs/>
          <w:color w:val="000000"/>
          <w:sz w:val="32"/>
          <w:szCs w:val="32"/>
          <w:highlight w:val="none"/>
          <w:lang w:eastAsia="zh-CN"/>
        </w:rPr>
      </w:pPr>
      <w:r>
        <w:rPr>
          <w:rStyle w:val="23"/>
          <w:rFonts w:hint="default" w:ascii="Times New Roman" w:hAnsi="Times New Roman" w:eastAsia="仿宋_GB2312" w:cs="Times New Roman"/>
          <w:b/>
          <w:bCs w:val="0"/>
          <w:color w:val="000000"/>
          <w:sz w:val="32"/>
          <w:szCs w:val="32"/>
          <w:lang w:val="en-US" w:eastAsia="zh-CN"/>
        </w:rPr>
        <w:t>4.社会保障和就业（208）行政事业单位养老支出（20805）机关事业单位基本养老保险缴费支出（2080505）：</w:t>
      </w:r>
      <w:r>
        <w:rPr>
          <w:rStyle w:val="23"/>
          <w:rFonts w:hint="default" w:ascii="Times New Roman" w:hAnsi="Times New Roman" w:eastAsia="仿宋_GB2312" w:cs="Times New Roman"/>
          <w:b w:val="0"/>
          <w:bCs/>
          <w:color w:val="000000"/>
          <w:sz w:val="32"/>
          <w:szCs w:val="32"/>
          <w:lang w:val="en-US" w:eastAsia="zh-CN"/>
        </w:rPr>
        <w:t>支出决算为73.45万元，完成预算100%，决算数等于预算数。</w:t>
      </w:r>
    </w:p>
    <w:p w14:paraId="09C244D0">
      <w:pPr>
        <w:keepNext w:val="0"/>
        <w:keepLines w:val="0"/>
        <w:pageBreakBefore w:val="0"/>
        <w:widowControl w:val="0"/>
        <w:kinsoku/>
        <w:wordWrap/>
        <w:overflowPunct/>
        <w:topLinePunct w:val="0"/>
        <w:autoSpaceDE/>
        <w:autoSpaceDN/>
        <w:bidi w:val="0"/>
        <w:adjustRightInd/>
        <w:snapToGrid/>
        <w:spacing w:line="576" w:lineRule="exact"/>
        <w:ind w:firstLine="643"/>
        <w:textAlignment w:val="auto"/>
        <w:rPr>
          <w:rStyle w:val="23"/>
          <w:rFonts w:hint="default" w:ascii="Times New Roman" w:hAnsi="Times New Roman" w:eastAsia="仿宋_GB2312" w:cs="Times New Roman"/>
          <w:b w:val="0"/>
          <w:bCs/>
          <w:color w:val="000000"/>
          <w:sz w:val="32"/>
          <w:szCs w:val="32"/>
          <w:highlight w:val="none"/>
          <w:lang w:eastAsia="zh-CN"/>
        </w:rPr>
      </w:pPr>
      <w:r>
        <w:rPr>
          <w:rStyle w:val="23"/>
          <w:rFonts w:hint="default" w:ascii="Times New Roman" w:hAnsi="Times New Roman" w:eastAsia="仿宋_GB2312" w:cs="Times New Roman"/>
          <w:b/>
          <w:bCs w:val="0"/>
          <w:color w:val="000000"/>
          <w:sz w:val="32"/>
          <w:szCs w:val="32"/>
          <w:lang w:val="en-US" w:eastAsia="zh-CN"/>
        </w:rPr>
        <w:t>5.社会保障和就业（208）行政事业单位养老支出（20805）机关事业单位职业年金缴费支出（2080506）：</w:t>
      </w:r>
      <w:r>
        <w:rPr>
          <w:rStyle w:val="23"/>
          <w:rFonts w:hint="default" w:ascii="Times New Roman" w:hAnsi="Times New Roman" w:eastAsia="仿宋_GB2312" w:cs="Times New Roman"/>
          <w:b w:val="0"/>
          <w:bCs/>
          <w:color w:val="000000"/>
          <w:sz w:val="32"/>
          <w:szCs w:val="32"/>
          <w:lang w:val="en-US" w:eastAsia="zh-CN"/>
        </w:rPr>
        <w:t>支出决算为53.42万元，完成预算100%，决算数等于预算数。</w:t>
      </w:r>
    </w:p>
    <w:p w14:paraId="60B1C763">
      <w:pPr>
        <w:keepNext w:val="0"/>
        <w:keepLines w:val="0"/>
        <w:pageBreakBefore w:val="0"/>
        <w:widowControl w:val="0"/>
        <w:kinsoku/>
        <w:wordWrap/>
        <w:overflowPunct/>
        <w:topLinePunct w:val="0"/>
        <w:autoSpaceDE/>
        <w:autoSpaceDN/>
        <w:bidi w:val="0"/>
        <w:adjustRightInd/>
        <w:snapToGrid/>
        <w:spacing w:line="576" w:lineRule="exact"/>
        <w:ind w:firstLine="643"/>
        <w:textAlignment w:val="auto"/>
        <w:rPr>
          <w:rStyle w:val="23"/>
          <w:rFonts w:hint="default" w:ascii="Times New Roman" w:hAnsi="Times New Roman" w:eastAsia="仿宋_GB2312" w:cs="Times New Roman"/>
          <w:b w:val="0"/>
          <w:bCs/>
          <w:color w:val="000000"/>
          <w:sz w:val="32"/>
          <w:szCs w:val="32"/>
          <w:highlight w:val="none"/>
          <w:lang w:eastAsia="zh-CN"/>
        </w:rPr>
      </w:pPr>
      <w:r>
        <w:rPr>
          <w:rStyle w:val="23"/>
          <w:rFonts w:hint="default" w:ascii="Times New Roman" w:hAnsi="Times New Roman" w:eastAsia="仿宋_GB2312" w:cs="Times New Roman"/>
          <w:b/>
          <w:bCs w:val="0"/>
          <w:color w:val="000000"/>
          <w:sz w:val="32"/>
          <w:szCs w:val="32"/>
          <w:lang w:val="en-US" w:eastAsia="zh-CN"/>
        </w:rPr>
        <w:t>6.卫生健康（210）行政事业单位医疗（21011）行政单位医疗（2101101）：</w:t>
      </w:r>
      <w:r>
        <w:rPr>
          <w:rStyle w:val="23"/>
          <w:rFonts w:hint="default" w:ascii="Times New Roman" w:hAnsi="Times New Roman" w:eastAsia="仿宋_GB2312" w:cs="Times New Roman"/>
          <w:b w:val="0"/>
          <w:bCs/>
          <w:color w:val="000000"/>
          <w:sz w:val="32"/>
          <w:szCs w:val="32"/>
          <w:lang w:val="en-US" w:eastAsia="zh-CN"/>
        </w:rPr>
        <w:t>支出决算为24.52万元，完成预算100%，决算数等于预算数。</w:t>
      </w:r>
    </w:p>
    <w:p w14:paraId="0200CDBB">
      <w:pPr>
        <w:pStyle w:val="11"/>
        <w:keepNext w:val="0"/>
        <w:keepLines w:val="0"/>
        <w:pageBreakBefore w:val="0"/>
        <w:widowControl w:val="0"/>
        <w:kinsoku/>
        <w:wordWrap/>
        <w:overflowPunct/>
        <w:topLinePunct w:val="0"/>
        <w:autoSpaceDE/>
        <w:autoSpaceDN/>
        <w:bidi w:val="0"/>
        <w:adjustRightInd/>
        <w:snapToGrid/>
        <w:spacing w:line="576" w:lineRule="exact"/>
        <w:ind w:left="0" w:firstLine="643"/>
        <w:textAlignment w:val="auto"/>
        <w:rPr>
          <w:rStyle w:val="23"/>
          <w:rFonts w:hint="default" w:ascii="Times New Roman" w:hAnsi="Times New Roman" w:eastAsia="仿宋_GB2312" w:cs="Times New Roman"/>
          <w:b w:val="0"/>
          <w:bCs/>
          <w:color w:val="000000"/>
          <w:kern w:val="2"/>
          <w:sz w:val="32"/>
          <w:szCs w:val="32"/>
          <w:highlight w:val="none"/>
          <w:lang w:val="en-US" w:eastAsia="zh-CN" w:bidi="ar-SA"/>
        </w:rPr>
      </w:pPr>
      <w:r>
        <w:rPr>
          <w:rStyle w:val="23"/>
          <w:rFonts w:hint="default" w:ascii="Times New Roman" w:hAnsi="Times New Roman" w:eastAsia="仿宋_GB2312" w:cs="Times New Roman"/>
          <w:bCs w:val="0"/>
          <w:color w:val="000000"/>
          <w:kern w:val="2"/>
          <w:sz w:val="32"/>
          <w:szCs w:val="32"/>
          <w:lang w:val="en-US" w:eastAsia="zh-CN" w:bidi="ar-SA"/>
        </w:rPr>
        <w:t>7.卫生健康（210）行政事业单位医疗（21011）事业单位医疗（2101102）：</w:t>
      </w:r>
      <w:r>
        <w:rPr>
          <w:rStyle w:val="23"/>
          <w:rFonts w:hint="default" w:ascii="Times New Roman" w:hAnsi="Times New Roman" w:eastAsia="仿宋_GB2312" w:cs="Times New Roman"/>
          <w:b w:val="0"/>
          <w:bCs/>
          <w:color w:val="000000"/>
          <w:kern w:val="2"/>
          <w:sz w:val="32"/>
          <w:szCs w:val="32"/>
          <w:lang w:val="en-US" w:eastAsia="zh-CN" w:bidi="ar-SA"/>
        </w:rPr>
        <w:t>支出决算为11.29万元，完成预算100%，决算数等于预算数。</w:t>
      </w:r>
    </w:p>
    <w:p w14:paraId="1E9AB05E">
      <w:pPr>
        <w:pStyle w:val="11"/>
        <w:keepNext w:val="0"/>
        <w:keepLines w:val="0"/>
        <w:pageBreakBefore w:val="0"/>
        <w:widowControl w:val="0"/>
        <w:kinsoku/>
        <w:wordWrap/>
        <w:overflowPunct/>
        <w:topLinePunct w:val="0"/>
        <w:autoSpaceDE/>
        <w:autoSpaceDN/>
        <w:bidi w:val="0"/>
        <w:adjustRightInd/>
        <w:snapToGrid/>
        <w:spacing w:line="576" w:lineRule="exact"/>
        <w:ind w:left="0" w:firstLine="643"/>
        <w:textAlignment w:val="auto"/>
        <w:rPr>
          <w:rStyle w:val="23"/>
          <w:rFonts w:hint="default" w:ascii="Times New Roman" w:hAnsi="Times New Roman" w:eastAsia="仿宋_GB2312" w:cs="Times New Roman"/>
          <w:b w:val="0"/>
          <w:bCs/>
          <w:color w:val="000000"/>
          <w:sz w:val="32"/>
          <w:szCs w:val="32"/>
          <w:highlight w:val="none"/>
          <w:lang w:eastAsia="zh-CN"/>
        </w:rPr>
      </w:pPr>
      <w:r>
        <w:rPr>
          <w:rStyle w:val="23"/>
          <w:rFonts w:hint="default" w:ascii="Times New Roman" w:hAnsi="Times New Roman" w:eastAsia="仿宋_GB2312" w:cs="Times New Roman"/>
          <w:bCs w:val="0"/>
          <w:color w:val="000000"/>
          <w:kern w:val="2"/>
          <w:sz w:val="32"/>
          <w:szCs w:val="32"/>
          <w:lang w:val="en-US" w:eastAsia="zh-CN" w:bidi="ar-SA"/>
        </w:rPr>
        <w:t>8.卫生健康（210）行政事业单位医疗（21011）公务员医疗补助（2101103）：</w:t>
      </w:r>
      <w:r>
        <w:rPr>
          <w:rFonts w:hint="default" w:ascii="Times New Roman" w:hAnsi="Times New Roman" w:eastAsia="仿宋_GB2312" w:cs="Times New Roman"/>
          <w:b w:val="0"/>
          <w:bCs/>
          <w:color w:val="000000"/>
          <w:sz w:val="32"/>
          <w:szCs w:val="32"/>
          <w:lang w:val="en-US" w:eastAsia="zh-CN"/>
        </w:rPr>
        <w:t>支出决算为4万元，完成预算100%，决算数等于预算数。</w:t>
      </w:r>
    </w:p>
    <w:p w14:paraId="19AA8267">
      <w:pPr>
        <w:pStyle w:val="11"/>
        <w:keepNext w:val="0"/>
        <w:keepLines w:val="0"/>
        <w:pageBreakBefore w:val="0"/>
        <w:widowControl w:val="0"/>
        <w:kinsoku/>
        <w:wordWrap/>
        <w:overflowPunct/>
        <w:topLinePunct w:val="0"/>
        <w:autoSpaceDE/>
        <w:autoSpaceDN/>
        <w:bidi w:val="0"/>
        <w:adjustRightInd/>
        <w:snapToGrid/>
        <w:spacing w:line="576" w:lineRule="exact"/>
        <w:ind w:left="0" w:firstLine="643"/>
        <w:textAlignment w:val="auto"/>
        <w:rPr>
          <w:rStyle w:val="23"/>
          <w:rFonts w:hint="default" w:ascii="Times New Roman" w:hAnsi="Times New Roman" w:eastAsia="仿宋_GB2312" w:cs="Times New Roman"/>
          <w:b w:val="0"/>
          <w:bCs/>
          <w:color w:val="000000"/>
          <w:kern w:val="2"/>
          <w:sz w:val="32"/>
          <w:szCs w:val="32"/>
          <w:highlight w:val="none"/>
          <w:lang w:val="en-US" w:eastAsia="zh-CN" w:bidi="ar-SA"/>
        </w:rPr>
      </w:pPr>
      <w:r>
        <w:rPr>
          <w:rStyle w:val="23"/>
          <w:rFonts w:hint="default" w:ascii="Times New Roman" w:hAnsi="Times New Roman" w:eastAsia="仿宋_GB2312" w:cs="Times New Roman"/>
          <w:bCs w:val="0"/>
          <w:color w:val="000000"/>
          <w:kern w:val="2"/>
          <w:sz w:val="32"/>
          <w:szCs w:val="32"/>
          <w:lang w:val="en-US" w:eastAsia="zh-CN" w:bidi="ar-SA"/>
        </w:rPr>
        <w:t>9.卫生健康（210）行政事业单位医疗（21011）其他行政事业单位医疗支出（2101199）：</w:t>
      </w:r>
      <w:r>
        <w:rPr>
          <w:rStyle w:val="23"/>
          <w:rFonts w:hint="default" w:ascii="Times New Roman" w:hAnsi="Times New Roman" w:eastAsia="仿宋_GB2312" w:cs="Times New Roman"/>
          <w:b w:val="0"/>
          <w:bCs/>
          <w:color w:val="000000"/>
          <w:sz w:val="32"/>
          <w:szCs w:val="32"/>
          <w:lang w:val="en-US" w:eastAsia="zh-CN"/>
        </w:rPr>
        <w:t>支出决算为2.17万元，完成预算100%，决算数等于预算数。</w:t>
      </w:r>
    </w:p>
    <w:p w14:paraId="66250591">
      <w:pPr>
        <w:pStyle w:val="11"/>
        <w:keepNext w:val="0"/>
        <w:keepLines w:val="0"/>
        <w:pageBreakBefore w:val="0"/>
        <w:widowControl w:val="0"/>
        <w:kinsoku/>
        <w:wordWrap/>
        <w:overflowPunct/>
        <w:topLinePunct w:val="0"/>
        <w:autoSpaceDE/>
        <w:autoSpaceDN/>
        <w:bidi w:val="0"/>
        <w:adjustRightInd/>
        <w:snapToGrid/>
        <w:spacing w:line="576" w:lineRule="exact"/>
        <w:ind w:left="0" w:firstLine="643"/>
        <w:textAlignment w:val="auto"/>
        <w:rPr>
          <w:rStyle w:val="23"/>
          <w:rFonts w:hint="default" w:ascii="Times New Roman" w:hAnsi="Times New Roman" w:eastAsia="仿宋_GB2312" w:cs="Times New Roman"/>
          <w:b w:val="0"/>
          <w:bCs/>
          <w:color w:val="000000"/>
          <w:kern w:val="2"/>
          <w:sz w:val="32"/>
          <w:szCs w:val="32"/>
          <w:highlight w:val="none"/>
          <w:lang w:val="en-US" w:eastAsia="zh-CN" w:bidi="ar-SA"/>
        </w:rPr>
      </w:pPr>
      <w:r>
        <w:rPr>
          <w:rStyle w:val="23"/>
          <w:rFonts w:hint="default" w:ascii="Times New Roman" w:hAnsi="Times New Roman" w:eastAsia="仿宋_GB2312" w:cs="Times New Roman"/>
          <w:bCs w:val="0"/>
          <w:color w:val="000000"/>
          <w:kern w:val="2"/>
          <w:sz w:val="32"/>
          <w:szCs w:val="32"/>
          <w:lang w:val="en-US" w:eastAsia="zh-CN" w:bidi="ar-SA"/>
        </w:rPr>
        <w:t>10.节能环保（211）其他节能环保（21199）其他节能环保（2119999）：</w:t>
      </w:r>
      <w:r>
        <w:rPr>
          <w:rStyle w:val="23"/>
          <w:rFonts w:hint="default" w:ascii="Times New Roman" w:hAnsi="Times New Roman" w:eastAsia="仿宋_GB2312" w:cs="Times New Roman"/>
          <w:b w:val="0"/>
          <w:bCs/>
          <w:color w:val="000000"/>
          <w:sz w:val="32"/>
          <w:szCs w:val="32"/>
          <w:lang w:val="en-US" w:eastAsia="zh-CN"/>
        </w:rPr>
        <w:t>支出决算为3.2万元，完成预算100%。</w:t>
      </w:r>
    </w:p>
    <w:p w14:paraId="71062297">
      <w:pPr>
        <w:pStyle w:val="11"/>
        <w:keepNext w:val="0"/>
        <w:keepLines w:val="0"/>
        <w:pageBreakBefore w:val="0"/>
        <w:widowControl w:val="0"/>
        <w:kinsoku/>
        <w:wordWrap/>
        <w:overflowPunct/>
        <w:topLinePunct w:val="0"/>
        <w:autoSpaceDE/>
        <w:autoSpaceDN/>
        <w:bidi w:val="0"/>
        <w:adjustRightInd/>
        <w:snapToGrid/>
        <w:spacing w:line="576" w:lineRule="exact"/>
        <w:ind w:left="0" w:firstLine="643"/>
        <w:textAlignment w:val="auto"/>
        <w:rPr>
          <w:rStyle w:val="23"/>
          <w:rFonts w:hint="default" w:ascii="Times New Roman" w:hAnsi="Times New Roman" w:eastAsia="仿宋_GB2312" w:cs="Times New Roman"/>
          <w:b w:val="0"/>
          <w:bCs/>
          <w:color w:val="000000"/>
          <w:kern w:val="2"/>
          <w:sz w:val="32"/>
          <w:szCs w:val="32"/>
          <w:highlight w:val="none"/>
          <w:lang w:val="en-US" w:eastAsia="zh-CN" w:bidi="ar-SA"/>
        </w:rPr>
      </w:pPr>
      <w:r>
        <w:rPr>
          <w:rStyle w:val="23"/>
          <w:rFonts w:hint="default" w:ascii="Times New Roman" w:hAnsi="Times New Roman" w:eastAsia="仿宋_GB2312" w:cs="Times New Roman"/>
          <w:bCs w:val="0"/>
          <w:color w:val="000000"/>
          <w:kern w:val="2"/>
          <w:sz w:val="32"/>
          <w:szCs w:val="32"/>
          <w:lang w:val="en-US" w:eastAsia="zh-CN" w:bidi="ar-SA"/>
        </w:rPr>
        <w:t>11.城乡社区（212）城乡社区环境卫生（21205）城乡社区环境卫生（2120501）：</w:t>
      </w:r>
      <w:r>
        <w:rPr>
          <w:rStyle w:val="23"/>
          <w:rFonts w:hint="default" w:ascii="Times New Roman" w:hAnsi="Times New Roman" w:eastAsia="仿宋_GB2312" w:cs="Times New Roman"/>
          <w:b w:val="0"/>
          <w:bCs/>
          <w:color w:val="000000"/>
          <w:sz w:val="32"/>
          <w:szCs w:val="32"/>
          <w:lang w:val="en-US" w:eastAsia="zh-CN"/>
        </w:rPr>
        <w:t>支出决算为7.65万元，完成预算100%。</w:t>
      </w:r>
    </w:p>
    <w:p w14:paraId="0657ABEB">
      <w:pPr>
        <w:keepNext w:val="0"/>
        <w:keepLines w:val="0"/>
        <w:pageBreakBefore w:val="0"/>
        <w:widowControl w:val="0"/>
        <w:kinsoku/>
        <w:wordWrap/>
        <w:overflowPunct/>
        <w:topLinePunct w:val="0"/>
        <w:autoSpaceDE/>
        <w:autoSpaceDN/>
        <w:bidi w:val="0"/>
        <w:adjustRightInd/>
        <w:snapToGrid/>
        <w:spacing w:line="576" w:lineRule="exact"/>
        <w:ind w:firstLine="643"/>
        <w:textAlignment w:val="auto"/>
        <w:rPr>
          <w:rFonts w:hint="default" w:ascii="Times New Roman" w:hAnsi="Times New Roman" w:eastAsia="仿宋_GB2312" w:cs="Times New Roman"/>
          <w:b/>
          <w:color w:val="000000"/>
          <w:sz w:val="32"/>
          <w:szCs w:val="32"/>
          <w:highlight w:val="none"/>
        </w:rPr>
      </w:pPr>
      <w:r>
        <w:rPr>
          <w:rStyle w:val="23"/>
          <w:rFonts w:hint="default" w:ascii="Times New Roman" w:hAnsi="Times New Roman" w:eastAsia="仿宋_GB2312" w:cs="Times New Roman"/>
          <w:bCs w:val="0"/>
          <w:color w:val="000000"/>
          <w:kern w:val="2"/>
          <w:sz w:val="32"/>
          <w:szCs w:val="32"/>
          <w:lang w:val="en-US" w:eastAsia="zh-CN" w:bidi="ar-SA"/>
        </w:rPr>
        <w:t>12.农林水（213）农业农村（21301）其他农业农村支出（2130199）：</w:t>
      </w:r>
      <w:r>
        <w:rPr>
          <w:rFonts w:hint="default" w:ascii="Times New Roman" w:hAnsi="Times New Roman" w:eastAsia="仿宋_GB2312" w:cs="Times New Roman"/>
          <w:sz w:val="32"/>
          <w:szCs w:val="32"/>
        </w:rPr>
        <w:t>支出决算为19.06万元，完成预算100%。</w:t>
      </w:r>
    </w:p>
    <w:p w14:paraId="666850D5">
      <w:pPr>
        <w:keepNext w:val="0"/>
        <w:keepLines w:val="0"/>
        <w:pageBreakBefore w:val="0"/>
        <w:widowControl w:val="0"/>
        <w:kinsoku/>
        <w:wordWrap/>
        <w:overflowPunct/>
        <w:topLinePunct w:val="0"/>
        <w:autoSpaceDE/>
        <w:autoSpaceDN/>
        <w:bidi w:val="0"/>
        <w:adjustRightInd/>
        <w:snapToGrid/>
        <w:spacing w:line="576" w:lineRule="exact"/>
        <w:ind w:firstLine="643"/>
        <w:textAlignment w:val="auto"/>
        <w:rPr>
          <w:rFonts w:hint="default" w:ascii="Times New Roman" w:hAnsi="Times New Roman" w:eastAsia="仿宋_GB2312" w:cs="Times New Roman"/>
          <w:b/>
          <w:color w:val="000000"/>
          <w:sz w:val="32"/>
          <w:szCs w:val="32"/>
          <w:highlight w:val="none"/>
        </w:rPr>
      </w:pPr>
      <w:r>
        <w:rPr>
          <w:rStyle w:val="23"/>
          <w:rFonts w:hint="default" w:ascii="Times New Roman" w:hAnsi="Times New Roman" w:eastAsia="仿宋_GB2312" w:cs="Times New Roman"/>
          <w:bCs w:val="0"/>
          <w:color w:val="000000"/>
          <w:kern w:val="2"/>
          <w:sz w:val="32"/>
          <w:szCs w:val="32"/>
          <w:lang w:val="en-US" w:eastAsia="zh-CN" w:bidi="ar-SA"/>
        </w:rPr>
        <w:t>13.农林水（213）</w:t>
      </w:r>
      <w:r>
        <w:rPr>
          <w:rStyle w:val="23"/>
          <w:rFonts w:hint="eastAsia" w:ascii="Times New Roman" w:hAnsi="Times New Roman" w:eastAsia="仿宋_GB2312" w:cs="Times New Roman"/>
          <w:bCs w:val="0"/>
          <w:color w:val="000000"/>
          <w:kern w:val="2"/>
          <w:sz w:val="32"/>
          <w:szCs w:val="32"/>
          <w:lang w:val="en-US" w:eastAsia="zh-CN" w:bidi="ar-SA"/>
        </w:rPr>
        <w:t>巩固拓展脱贫攻坚成果</w:t>
      </w:r>
      <w:r>
        <w:rPr>
          <w:rStyle w:val="23"/>
          <w:rFonts w:hint="default" w:ascii="Times New Roman" w:hAnsi="Times New Roman" w:eastAsia="仿宋_GB2312" w:cs="Times New Roman"/>
          <w:bCs w:val="0"/>
          <w:color w:val="000000"/>
          <w:kern w:val="2"/>
          <w:sz w:val="32"/>
          <w:szCs w:val="32"/>
          <w:lang w:val="en-US" w:eastAsia="zh-CN" w:bidi="ar-SA"/>
        </w:rPr>
        <w:t>衔接乡村振兴（21305）农村基础设施建设（2130504）：</w:t>
      </w:r>
      <w:r>
        <w:rPr>
          <w:rFonts w:hint="default" w:ascii="Times New Roman" w:hAnsi="Times New Roman" w:eastAsia="仿宋_GB2312" w:cs="Times New Roman"/>
          <w:sz w:val="32"/>
          <w:szCs w:val="32"/>
        </w:rPr>
        <w:t>支出决算为101.42万元，完成预算100%。</w:t>
      </w:r>
    </w:p>
    <w:p w14:paraId="4138AF86">
      <w:pPr>
        <w:keepNext w:val="0"/>
        <w:keepLines w:val="0"/>
        <w:pageBreakBefore w:val="0"/>
        <w:widowControl w:val="0"/>
        <w:kinsoku/>
        <w:wordWrap/>
        <w:overflowPunct/>
        <w:topLinePunct w:val="0"/>
        <w:autoSpaceDE/>
        <w:autoSpaceDN/>
        <w:bidi w:val="0"/>
        <w:adjustRightInd/>
        <w:snapToGrid/>
        <w:spacing w:line="576" w:lineRule="exact"/>
        <w:ind w:firstLine="643"/>
        <w:textAlignment w:val="auto"/>
        <w:rPr>
          <w:rFonts w:hint="default" w:ascii="Times New Roman" w:hAnsi="Times New Roman" w:eastAsia="仿宋_GB2312" w:cs="Times New Roman"/>
          <w:b/>
          <w:color w:val="000000"/>
          <w:sz w:val="32"/>
          <w:szCs w:val="32"/>
          <w:highlight w:val="none"/>
        </w:rPr>
      </w:pPr>
      <w:r>
        <w:rPr>
          <w:rStyle w:val="23"/>
          <w:rFonts w:hint="default" w:ascii="Times New Roman" w:hAnsi="Times New Roman" w:eastAsia="仿宋_GB2312" w:cs="Times New Roman"/>
          <w:bCs w:val="0"/>
          <w:color w:val="000000"/>
          <w:kern w:val="2"/>
          <w:sz w:val="32"/>
          <w:szCs w:val="32"/>
          <w:lang w:val="en-US" w:eastAsia="zh-CN" w:bidi="ar-SA"/>
        </w:rPr>
        <w:t>14.农林水（213）农村综合改革（21307）对村民委员会和村党支部的补助（2130705）：</w:t>
      </w:r>
      <w:r>
        <w:rPr>
          <w:rFonts w:hint="default" w:ascii="Times New Roman" w:hAnsi="Times New Roman" w:eastAsia="仿宋_GB2312" w:cs="Times New Roman"/>
          <w:sz w:val="32"/>
          <w:szCs w:val="32"/>
        </w:rPr>
        <w:t>支出决算为188.27万元，完成预算100%。</w:t>
      </w:r>
    </w:p>
    <w:p w14:paraId="5025D3FB">
      <w:pPr>
        <w:keepNext w:val="0"/>
        <w:keepLines w:val="0"/>
        <w:pageBreakBefore w:val="0"/>
        <w:widowControl w:val="0"/>
        <w:kinsoku/>
        <w:wordWrap/>
        <w:overflowPunct/>
        <w:topLinePunct w:val="0"/>
        <w:autoSpaceDE/>
        <w:autoSpaceDN/>
        <w:bidi w:val="0"/>
        <w:adjustRightInd/>
        <w:snapToGrid/>
        <w:spacing w:line="576" w:lineRule="exact"/>
        <w:ind w:firstLine="643"/>
        <w:textAlignment w:val="auto"/>
        <w:rPr>
          <w:rStyle w:val="23"/>
          <w:rFonts w:hint="default" w:ascii="Times New Roman" w:hAnsi="Times New Roman" w:eastAsia="宋体" w:cs="Times New Roman"/>
          <w:b w:val="0"/>
          <w:bCs/>
          <w:color w:val="000000"/>
          <w:kern w:val="2"/>
          <w:sz w:val="32"/>
          <w:szCs w:val="32"/>
          <w:highlight w:val="none"/>
          <w:lang w:val="en-US" w:eastAsia="zh-CN" w:bidi="ar-SA"/>
        </w:rPr>
      </w:pPr>
      <w:r>
        <w:rPr>
          <w:rStyle w:val="23"/>
          <w:rFonts w:hint="default" w:ascii="Times New Roman" w:hAnsi="Times New Roman" w:eastAsia="仿宋_GB2312" w:cs="Times New Roman"/>
          <w:bCs w:val="0"/>
          <w:color w:val="000000"/>
          <w:kern w:val="2"/>
          <w:sz w:val="32"/>
          <w:szCs w:val="32"/>
          <w:lang w:val="en-US" w:eastAsia="zh-CN" w:bidi="ar-SA"/>
        </w:rPr>
        <w:t>15.住房保障（221）住房改革支出（22102）住房公积金（2210201）：</w:t>
      </w:r>
      <w:r>
        <w:rPr>
          <w:rFonts w:hint="default" w:ascii="Times New Roman" w:hAnsi="Times New Roman" w:eastAsia="仿宋_GB2312" w:cs="Times New Roman"/>
          <w:sz w:val="32"/>
          <w:szCs w:val="32"/>
        </w:rPr>
        <w:t>支出决算为64.53万元，完成预算100%，决算数等于预算数。</w:t>
      </w:r>
    </w:p>
    <w:p w14:paraId="21201414">
      <w:pPr>
        <w:keepNext w:val="0"/>
        <w:keepLines w:val="0"/>
        <w:pageBreakBefore w:val="0"/>
        <w:widowControl w:val="0"/>
        <w:kinsoku/>
        <w:wordWrap/>
        <w:overflowPunct/>
        <w:topLinePunct w:val="0"/>
        <w:autoSpaceDE/>
        <w:autoSpaceDN/>
        <w:bidi w:val="0"/>
        <w:adjustRightInd/>
        <w:snapToGrid/>
        <w:spacing w:line="576" w:lineRule="exact"/>
        <w:ind w:firstLine="643"/>
        <w:textAlignment w:val="auto"/>
        <w:rPr>
          <w:rStyle w:val="23"/>
          <w:rFonts w:hint="default" w:ascii="Times New Roman" w:hAnsi="Times New Roman" w:eastAsia="仿宋_GB2312" w:cs="Times New Roman"/>
          <w:bCs w:val="0"/>
          <w:color w:val="000000"/>
          <w:kern w:val="2"/>
          <w:sz w:val="32"/>
          <w:szCs w:val="32"/>
          <w:lang w:val="en-US" w:eastAsia="zh-CN" w:bidi="ar-SA"/>
        </w:rPr>
      </w:pPr>
      <w:r>
        <w:rPr>
          <w:rStyle w:val="23"/>
          <w:rFonts w:hint="default" w:ascii="Times New Roman" w:hAnsi="Times New Roman" w:eastAsia="仿宋_GB2312" w:cs="Times New Roman"/>
          <w:bCs w:val="0"/>
          <w:color w:val="000000"/>
          <w:kern w:val="2"/>
          <w:sz w:val="32"/>
          <w:szCs w:val="32"/>
          <w:lang w:val="en-US" w:eastAsia="zh-CN" w:bidi="ar-SA"/>
        </w:rPr>
        <w:t>（注：数据来源于财决01-1表和财决08表，仅罗列本部门涉及的全部功能分类科目，至项级。上述</w:t>
      </w:r>
      <w:r>
        <w:rPr>
          <w:rStyle w:val="23"/>
          <w:rFonts w:hint="eastAsia" w:ascii="Times New Roman" w:hAnsi="Times New Roman" w:eastAsia="仿宋_GB2312" w:cs="Times New Roman"/>
          <w:bCs w:val="0"/>
          <w:color w:val="000000"/>
          <w:kern w:val="2"/>
          <w:sz w:val="32"/>
          <w:szCs w:val="32"/>
          <w:lang w:val="en-US" w:eastAsia="zh-CN" w:bidi="ar-SA"/>
        </w:rPr>
        <w:t>“</w:t>
      </w:r>
      <w:r>
        <w:rPr>
          <w:rStyle w:val="23"/>
          <w:rFonts w:hint="default" w:ascii="Times New Roman" w:hAnsi="Times New Roman" w:eastAsia="仿宋_GB2312" w:cs="Times New Roman"/>
          <w:bCs w:val="0"/>
          <w:color w:val="000000"/>
          <w:kern w:val="2"/>
          <w:sz w:val="32"/>
          <w:szCs w:val="32"/>
          <w:lang w:val="en-US" w:eastAsia="zh-CN" w:bidi="ar-SA"/>
        </w:rPr>
        <w:t>预算</w:t>
      </w:r>
      <w:r>
        <w:rPr>
          <w:rStyle w:val="23"/>
          <w:rFonts w:hint="eastAsia" w:ascii="Times New Roman" w:hAnsi="Times New Roman" w:eastAsia="仿宋_GB2312" w:cs="Times New Roman"/>
          <w:bCs w:val="0"/>
          <w:color w:val="000000"/>
          <w:kern w:val="2"/>
          <w:sz w:val="32"/>
          <w:szCs w:val="32"/>
          <w:lang w:val="en-US" w:eastAsia="zh-CN" w:bidi="ar-SA"/>
        </w:rPr>
        <w:t>”</w:t>
      </w:r>
      <w:r>
        <w:rPr>
          <w:rStyle w:val="23"/>
          <w:rFonts w:hint="default" w:ascii="Times New Roman" w:hAnsi="Times New Roman" w:eastAsia="仿宋_GB2312" w:cs="Times New Roman"/>
          <w:bCs w:val="0"/>
          <w:color w:val="000000"/>
          <w:kern w:val="2"/>
          <w:sz w:val="32"/>
          <w:szCs w:val="32"/>
          <w:lang w:val="en-US" w:eastAsia="zh-CN" w:bidi="ar-SA"/>
        </w:rPr>
        <w:t>口径为全年预算数。增减变动原因为决算数〈项级〉和全年预算数〈项级〉比较，与预算数持平可以不写原因。）</w:t>
      </w:r>
    </w:p>
    <w:p w14:paraId="7DB2432D">
      <w:pPr>
        <w:keepNext w:val="0"/>
        <w:keepLines w:val="0"/>
        <w:pageBreakBefore w:val="0"/>
        <w:widowControl w:val="0"/>
        <w:numPr>
          <w:ilvl w:val="0"/>
          <w:numId w:val="0"/>
        </w:numPr>
        <w:tabs>
          <w:tab w:val="right" w:pos="8306"/>
        </w:tabs>
        <w:kinsoku/>
        <w:wordWrap/>
        <w:overflowPunct/>
        <w:topLinePunct w:val="0"/>
        <w:autoSpaceDE/>
        <w:autoSpaceDN/>
        <w:bidi w:val="0"/>
        <w:adjustRightInd/>
        <w:snapToGrid/>
        <w:spacing w:line="576" w:lineRule="exact"/>
        <w:ind w:firstLine="640"/>
        <w:textAlignment w:val="auto"/>
        <w:outlineLvl w:val="1"/>
        <w:rPr>
          <w:rStyle w:val="22"/>
          <w:rFonts w:hint="default" w:ascii="Times New Roman" w:hAnsi="Times New Roman" w:cs="Times New Roman"/>
          <w:color w:val="000000"/>
          <w:highlight w:val="none"/>
        </w:rPr>
      </w:pPr>
      <w:r>
        <w:rPr>
          <w:rFonts w:hint="default" w:ascii="Times New Roman" w:hAnsi="Times New Roman" w:eastAsia="黑体" w:cs="Times New Roman"/>
          <w:color w:val="000000"/>
          <w:sz w:val="32"/>
          <w:szCs w:val="32"/>
        </w:rPr>
        <w:t>六</w:t>
      </w:r>
      <w:r>
        <w:rPr>
          <w:rFonts w:hint="default" w:ascii="Times New Roman" w:hAnsi="Times New Roman" w:eastAsia="黑体" w:cs="Times New Roman"/>
          <w:b/>
          <w:color w:val="000000"/>
          <w:sz w:val="32"/>
          <w:szCs w:val="32"/>
        </w:rPr>
        <w:t>、一</w:t>
      </w:r>
      <w:r>
        <w:rPr>
          <w:rStyle w:val="22"/>
          <w:rFonts w:hint="default" w:ascii="Times New Roman" w:hAnsi="Times New Roman" w:eastAsia="黑体" w:cs="Times New Roman"/>
          <w:b w:val="0"/>
          <w:color w:val="000000"/>
        </w:rPr>
        <w:t>般公共预算财政拨款基本支出决算情况说明</w:t>
      </w:r>
      <w:r>
        <w:rPr>
          <w:rStyle w:val="22"/>
          <w:rFonts w:hint="default" w:ascii="Times New Roman" w:hAnsi="Times New Roman" w:eastAsia="黑体" w:cs="Times New Roman"/>
          <w:b w:val="0"/>
          <w:color w:val="000000"/>
        </w:rPr>
        <w:tab/>
      </w:r>
    </w:p>
    <w:p w14:paraId="79331EB9">
      <w:pPr>
        <w:keepNext w:val="0"/>
        <w:keepLines w:val="0"/>
        <w:pageBreakBefore w:val="0"/>
        <w:widowControl w:val="0"/>
        <w:kinsoku/>
        <w:wordWrap/>
        <w:overflowPunct/>
        <w:topLinePunct w:val="0"/>
        <w:autoSpaceDE/>
        <w:autoSpaceDN/>
        <w:bidi w:val="0"/>
        <w:adjustRightInd/>
        <w:snapToGrid/>
        <w:spacing w:line="576" w:lineRule="exact"/>
        <w:ind w:firstLine="645"/>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lang w:eastAsia="zh-CN"/>
        </w:rPr>
        <w:t>2025年度一般公共预算财政拨款基本支出935.97万元，其中：</w:t>
      </w:r>
    </w:p>
    <w:p w14:paraId="6C5CE9E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人员经费845.28万元，主要包括：基本工资169.62万元、津贴补贴174.17万元、奖金200.51万元、绩效工资37.35万元、机关事业单位基本养老保险缴费73.45万元、职业年金缴费53.42万元、职工基本医疗保险缴费35.81万元、公务员医疗补助缴费4万元、其他社会保障缴费1.89万元、医疗费2.17万元、其他工资福利支出4.27万元、住房公积金64.53万元、抚恤金21.48万元、生活补助2.04万元、医疗费补助0.56万元、奖励金0.01万元。</w:t>
      </w:r>
    </w:p>
    <w:p w14:paraId="6723428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公用经费90.69万元，主要包括：办公费49.5万元、电费5.98万元、邮电费1.4万元、取暖费3.29万元、差旅费6.02万元、培训费0.6万元、工会经费7.47万元、福利费6.69万元、公务用车运行维护费9.73万元。</w:t>
      </w:r>
    </w:p>
    <w:p w14:paraId="55B25EF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 w:cs="Times New Roman"/>
          <w:b/>
          <w:color w:val="000000"/>
          <w:sz w:val="32"/>
          <w:szCs w:val="32"/>
          <w:highlight w:val="none"/>
        </w:rPr>
      </w:pPr>
      <w:r>
        <w:rPr>
          <w:rFonts w:hint="default" w:ascii="Times New Roman" w:hAnsi="Times New Roman" w:eastAsia="仿宋_GB2312" w:cs="Times New Roman"/>
          <w:b/>
          <w:color w:val="000000"/>
          <w:sz w:val="32"/>
          <w:szCs w:val="32"/>
        </w:rPr>
        <w:t>（注：数据来源于财决07表</w:t>
      </w:r>
      <w:r>
        <w:rPr>
          <w:rFonts w:hint="default" w:ascii="Times New Roman" w:hAnsi="Times New Roman" w:eastAsia="仿宋_GB2312" w:cs="Times New Roman"/>
          <w:b/>
          <w:color w:val="000000"/>
          <w:sz w:val="32"/>
          <w:szCs w:val="32"/>
          <w:lang w:eastAsia="zh-CN"/>
        </w:rPr>
        <w:t>和财决</w:t>
      </w:r>
      <w:r>
        <w:rPr>
          <w:rFonts w:hint="default" w:ascii="Times New Roman" w:hAnsi="Times New Roman" w:eastAsia="仿宋_GB2312" w:cs="Times New Roman"/>
          <w:b/>
          <w:color w:val="000000"/>
          <w:sz w:val="32"/>
          <w:szCs w:val="32"/>
          <w:lang w:val="en-US" w:eastAsia="zh-CN"/>
        </w:rPr>
        <w:t>08-1表</w:t>
      </w:r>
      <w:r>
        <w:rPr>
          <w:rFonts w:hint="default" w:ascii="Times New Roman" w:hAnsi="Times New Roman" w:eastAsia="仿宋_GB2312" w:cs="Times New Roman"/>
          <w:b/>
          <w:color w:val="000000"/>
          <w:sz w:val="32"/>
          <w:szCs w:val="32"/>
        </w:rPr>
        <w:t>，</w:t>
      </w:r>
      <w:r>
        <w:rPr>
          <w:rFonts w:hint="default" w:ascii="Times New Roman" w:hAnsi="Times New Roman" w:eastAsia="仿宋_GB2312" w:cs="Times New Roman"/>
          <w:b/>
          <w:color w:val="000000"/>
          <w:sz w:val="32"/>
          <w:szCs w:val="32"/>
          <w:lang w:eastAsia="zh-CN"/>
        </w:rPr>
        <w:t>仅罗列</w:t>
      </w:r>
      <w:r>
        <w:rPr>
          <w:rFonts w:hint="default" w:ascii="Times New Roman" w:hAnsi="Times New Roman" w:eastAsia="仿宋_GB2312" w:cs="Times New Roman"/>
          <w:b/>
          <w:color w:val="000000"/>
          <w:sz w:val="32"/>
          <w:szCs w:val="32"/>
        </w:rPr>
        <w:t>本部门实际支出</w:t>
      </w:r>
      <w:r>
        <w:rPr>
          <w:rFonts w:hint="default" w:ascii="Times New Roman" w:hAnsi="Times New Roman" w:eastAsia="仿宋_GB2312" w:cs="Times New Roman"/>
          <w:b/>
          <w:color w:val="000000"/>
          <w:sz w:val="32"/>
          <w:szCs w:val="32"/>
          <w:lang w:eastAsia="zh-CN"/>
        </w:rPr>
        <w:t>涉及的</w:t>
      </w:r>
      <w:r>
        <w:rPr>
          <w:rFonts w:hint="default" w:ascii="Times New Roman" w:hAnsi="Times New Roman" w:eastAsia="仿宋_GB2312" w:cs="Times New Roman"/>
          <w:b/>
          <w:color w:val="000000"/>
          <w:sz w:val="32"/>
          <w:szCs w:val="32"/>
        </w:rPr>
        <w:t>经济分类科目。）</w:t>
      </w:r>
    </w:p>
    <w:p w14:paraId="42BEA87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22"/>
          <w:rFonts w:hint="default" w:ascii="Times New Roman" w:hAnsi="Times New Roman" w:eastAsia="黑体" w:cs="Times New Roman"/>
          <w:b w:val="0"/>
          <w:color w:val="000000"/>
          <w:highlight w:val="none"/>
        </w:rPr>
      </w:pPr>
      <w:r>
        <w:rPr>
          <w:rFonts w:hint="default" w:ascii="Times New Roman" w:hAnsi="Times New Roman" w:eastAsia="黑体" w:cs="Times New Roman"/>
          <w:color w:val="000000"/>
          <w:sz w:val="32"/>
          <w:szCs w:val="32"/>
        </w:rPr>
        <w:t>七、</w:t>
      </w:r>
      <w:r>
        <w:rPr>
          <w:rStyle w:val="22"/>
          <w:rFonts w:hint="default" w:ascii="Times New Roman" w:hAnsi="Times New Roman" w:eastAsia="黑体" w:cs="Times New Roman"/>
          <w:b w:val="0"/>
          <w:color w:val="000000"/>
        </w:rPr>
        <w:t>财政拨款</w:t>
      </w:r>
      <w:r>
        <w:rPr>
          <w:rStyle w:val="22"/>
          <w:rFonts w:hint="eastAsia" w:ascii="Times New Roman" w:hAnsi="Times New Roman" w:eastAsia="黑体" w:cs="Times New Roman"/>
          <w:color w:val="000000"/>
          <w:lang w:eastAsia="zh-CN"/>
        </w:rPr>
        <w:t>“</w:t>
      </w:r>
      <w:r>
        <w:rPr>
          <w:rStyle w:val="22"/>
          <w:rFonts w:hint="default" w:ascii="Times New Roman" w:hAnsi="Times New Roman" w:eastAsia="黑体" w:cs="Times New Roman"/>
          <w:b w:val="0"/>
          <w:color w:val="000000"/>
        </w:rPr>
        <w:t>三公</w:t>
      </w:r>
      <w:r>
        <w:rPr>
          <w:rStyle w:val="22"/>
          <w:rFonts w:hint="eastAsia" w:ascii="Times New Roman" w:hAnsi="Times New Roman" w:eastAsia="黑体" w:cs="Times New Roman"/>
          <w:b w:val="0"/>
          <w:color w:val="000000"/>
          <w:lang w:eastAsia="zh-CN"/>
        </w:rPr>
        <w:t>”</w:t>
      </w:r>
      <w:r>
        <w:rPr>
          <w:rStyle w:val="22"/>
          <w:rFonts w:hint="default" w:ascii="Times New Roman" w:hAnsi="Times New Roman" w:eastAsia="黑体" w:cs="Times New Roman"/>
          <w:b w:val="0"/>
          <w:color w:val="000000"/>
        </w:rPr>
        <w:t>经费支出决算情况说明</w:t>
      </w:r>
    </w:p>
    <w:p w14:paraId="0E693FD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2"/>
        <w:rPr>
          <w:rFonts w:hint="default" w:ascii="Times New Roman" w:hAnsi="Times New Roman" w:eastAsia="仿宋" w:cs="Times New Roman"/>
          <w:b w:val="0"/>
          <w:bCs/>
          <w:color w:val="000000"/>
          <w:sz w:val="32"/>
          <w:szCs w:val="32"/>
          <w:highlight w:val="none"/>
        </w:rPr>
      </w:pPr>
      <w:r>
        <w:rPr>
          <w:rFonts w:hint="default" w:ascii="Times New Roman" w:hAnsi="Times New Roman" w:eastAsia="楷体_GB2312" w:cs="Times New Roman"/>
          <w:b w:val="0"/>
          <w:bCs/>
          <w:color w:val="000000"/>
          <w:sz w:val="32"/>
          <w:szCs w:val="32"/>
        </w:rPr>
        <w:t>（一）</w:t>
      </w:r>
      <w:r>
        <w:rPr>
          <w:rFonts w:hint="eastAsia" w:ascii="Times New Roman" w:hAnsi="Times New Roman" w:eastAsia="楷体_GB2312" w:cs="Times New Roman"/>
          <w:b w:val="0"/>
          <w:bCs/>
          <w:color w:val="000000"/>
          <w:sz w:val="32"/>
          <w:szCs w:val="32"/>
          <w:lang w:eastAsia="zh-CN"/>
        </w:rPr>
        <w:t>“</w:t>
      </w:r>
      <w:r>
        <w:rPr>
          <w:rFonts w:hint="default" w:ascii="Times New Roman" w:hAnsi="Times New Roman" w:eastAsia="楷体_GB2312" w:cs="Times New Roman"/>
          <w:b w:val="0"/>
          <w:bCs/>
          <w:color w:val="000000"/>
          <w:sz w:val="32"/>
          <w:szCs w:val="32"/>
        </w:rPr>
        <w:t>三公</w:t>
      </w:r>
      <w:r>
        <w:rPr>
          <w:rFonts w:hint="eastAsia" w:ascii="Times New Roman" w:hAnsi="Times New Roman" w:eastAsia="楷体_GB2312" w:cs="Times New Roman"/>
          <w:b w:val="0"/>
          <w:bCs/>
          <w:color w:val="000000"/>
          <w:sz w:val="32"/>
          <w:szCs w:val="32"/>
          <w:lang w:eastAsia="zh-CN"/>
        </w:rPr>
        <w:t>”</w:t>
      </w:r>
      <w:r>
        <w:rPr>
          <w:rFonts w:hint="default" w:ascii="Times New Roman" w:hAnsi="Times New Roman" w:eastAsia="楷体_GB2312" w:cs="Times New Roman"/>
          <w:b w:val="0"/>
          <w:bCs/>
          <w:color w:val="000000"/>
          <w:sz w:val="32"/>
          <w:szCs w:val="32"/>
        </w:rPr>
        <w:t>经费财政拨款支出决算总体情况说明</w:t>
      </w:r>
    </w:p>
    <w:p w14:paraId="0567773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b/>
          <w:color w:val="000000"/>
          <w:sz w:val="32"/>
          <w:szCs w:val="32"/>
          <w:highlight w:val="none"/>
        </w:rPr>
      </w:pPr>
      <w:r>
        <w:rPr>
          <w:rFonts w:hint="default" w:ascii="Times New Roman" w:hAnsi="Times New Roman" w:eastAsia="仿宋_GB2312" w:cs="Times New Roman"/>
          <w:color w:val="000000"/>
          <w:sz w:val="32"/>
          <w:szCs w:val="32"/>
          <w:lang w:eastAsia="zh-CN"/>
        </w:rPr>
        <w:t>2025年度</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eastAsia="zh-CN"/>
        </w:rPr>
        <w:t>三公</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eastAsia="zh-CN"/>
        </w:rPr>
        <w:t>经费财政拨款支出决算9.73万元，完成预算100%。公务用车购置及运行维护费支出决算比2025年度增加3.66万元，增长60.32%，主要原因是公务用车运行维护费支出增加。</w:t>
      </w:r>
    </w:p>
    <w:p w14:paraId="750F285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 w:cs="Times New Roman"/>
          <w:b/>
          <w:color w:val="000000"/>
          <w:sz w:val="32"/>
          <w:szCs w:val="32"/>
          <w:highlight w:val="none"/>
        </w:rPr>
      </w:pPr>
      <w:r>
        <w:rPr>
          <w:rFonts w:hint="default" w:ascii="Times New Roman" w:hAnsi="Times New Roman" w:eastAsia="仿宋_GB2312" w:cs="Times New Roman"/>
          <w:b/>
          <w:color w:val="000000"/>
          <w:sz w:val="32"/>
          <w:szCs w:val="32"/>
        </w:rPr>
        <w:t>（注：上述</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预算</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口径为</w:t>
      </w:r>
      <w:r>
        <w:rPr>
          <w:rFonts w:hint="default" w:ascii="Times New Roman" w:hAnsi="Times New Roman" w:eastAsia="仿宋_GB2312" w:cs="Times New Roman"/>
          <w:b/>
          <w:color w:val="000000"/>
          <w:sz w:val="32"/>
          <w:szCs w:val="32"/>
          <w:lang w:eastAsia="zh-CN"/>
        </w:rPr>
        <w:t>全年预算</w:t>
      </w:r>
      <w:r>
        <w:rPr>
          <w:rFonts w:hint="default" w:ascii="Times New Roman" w:hAnsi="Times New Roman" w:eastAsia="仿宋_GB2312" w:cs="Times New Roman"/>
          <w:b/>
          <w:color w:val="000000"/>
          <w:sz w:val="32"/>
          <w:szCs w:val="32"/>
        </w:rPr>
        <w:t>数，包括</w:t>
      </w:r>
      <w:r>
        <w:rPr>
          <w:rFonts w:hint="default" w:ascii="Times New Roman" w:hAnsi="Times New Roman" w:eastAsia="仿宋_GB2312" w:cs="Times New Roman"/>
          <w:b/>
          <w:color w:val="000000"/>
          <w:sz w:val="32"/>
          <w:szCs w:val="32"/>
          <w:lang w:eastAsia="zh-CN"/>
        </w:rPr>
        <w:t>一般公共预算和</w:t>
      </w:r>
      <w:r>
        <w:rPr>
          <w:rFonts w:hint="default" w:ascii="Times New Roman" w:hAnsi="Times New Roman" w:eastAsia="仿宋_GB2312" w:cs="Times New Roman"/>
          <w:b/>
          <w:color w:val="000000"/>
          <w:sz w:val="32"/>
          <w:szCs w:val="32"/>
        </w:rPr>
        <w:t>政府性基金</w:t>
      </w:r>
      <w:r>
        <w:rPr>
          <w:rFonts w:hint="default" w:ascii="Times New Roman" w:hAnsi="Times New Roman" w:eastAsia="仿宋_GB2312" w:cs="Times New Roman"/>
          <w:b/>
          <w:color w:val="000000"/>
          <w:sz w:val="32"/>
          <w:szCs w:val="32"/>
          <w:lang w:eastAsia="zh-CN"/>
        </w:rPr>
        <w:t>预算财政拨款</w:t>
      </w:r>
      <w:r>
        <w:rPr>
          <w:rFonts w:hint="default" w:ascii="Times New Roman" w:hAnsi="Times New Roman" w:eastAsia="仿宋_GB2312" w:cs="Times New Roman"/>
          <w:b/>
          <w:color w:val="000000"/>
          <w:sz w:val="32"/>
          <w:szCs w:val="32"/>
        </w:rPr>
        <w:t>支出决算情况。）</w:t>
      </w:r>
    </w:p>
    <w:p w14:paraId="6892F29F">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2"/>
        <w:rPr>
          <w:rFonts w:hint="default" w:ascii="Times New Roman" w:hAnsi="Times New Roman" w:eastAsia="楷体_GB2312" w:cs="Times New Roman"/>
          <w:b w:val="0"/>
          <w:bCs/>
          <w:color w:val="000000"/>
          <w:sz w:val="32"/>
          <w:szCs w:val="32"/>
          <w:highlight w:val="none"/>
        </w:rPr>
      </w:pPr>
      <w:r>
        <w:rPr>
          <w:rFonts w:hint="default" w:ascii="Times New Roman" w:hAnsi="Times New Roman" w:eastAsia="楷体_GB2312" w:cs="Times New Roman"/>
          <w:b w:val="0"/>
          <w:bCs/>
          <w:color w:val="000000"/>
          <w:sz w:val="32"/>
          <w:szCs w:val="32"/>
        </w:rPr>
        <w:t>（二）</w:t>
      </w:r>
      <w:r>
        <w:rPr>
          <w:rFonts w:hint="eastAsia" w:ascii="Times New Roman" w:hAnsi="Times New Roman" w:eastAsia="楷体_GB2312" w:cs="Times New Roman"/>
          <w:b w:val="0"/>
          <w:bCs/>
          <w:color w:val="000000"/>
          <w:sz w:val="32"/>
          <w:szCs w:val="32"/>
          <w:lang w:eastAsia="zh-CN"/>
        </w:rPr>
        <w:t>“</w:t>
      </w:r>
      <w:r>
        <w:rPr>
          <w:rFonts w:hint="default" w:ascii="Times New Roman" w:hAnsi="Times New Roman" w:eastAsia="楷体_GB2312" w:cs="Times New Roman"/>
          <w:b w:val="0"/>
          <w:bCs/>
          <w:color w:val="000000"/>
          <w:sz w:val="32"/>
          <w:szCs w:val="32"/>
        </w:rPr>
        <w:t>三公</w:t>
      </w:r>
      <w:r>
        <w:rPr>
          <w:rFonts w:hint="eastAsia" w:ascii="Times New Roman" w:hAnsi="Times New Roman" w:eastAsia="楷体_GB2312" w:cs="Times New Roman"/>
          <w:b w:val="0"/>
          <w:bCs/>
          <w:color w:val="000000"/>
          <w:sz w:val="32"/>
          <w:szCs w:val="32"/>
          <w:lang w:eastAsia="zh-CN"/>
        </w:rPr>
        <w:t>”</w:t>
      </w:r>
      <w:r>
        <w:rPr>
          <w:rFonts w:hint="default" w:ascii="Times New Roman" w:hAnsi="Times New Roman" w:eastAsia="楷体_GB2312" w:cs="Times New Roman"/>
          <w:b w:val="0"/>
          <w:bCs/>
          <w:color w:val="000000"/>
          <w:sz w:val="32"/>
          <w:szCs w:val="32"/>
        </w:rPr>
        <w:t>经费财政拨款支出决算具体情况说明</w:t>
      </w:r>
    </w:p>
    <w:p w14:paraId="65FB91B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lang w:eastAsia="zh-CN"/>
        </w:rPr>
        <w:t>2025年度</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eastAsia="zh-CN"/>
        </w:rPr>
        <w:t>三公</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eastAsia="zh-CN"/>
        </w:rPr>
        <w:t>经费财政拨款支出决算中，因公出国（境）费支出决算0万元，占0%；公务用车购置及运行维护费支出决算9.73万元，占100%；公务接待费支出决算0万元，占0%。具体情况如下：</w:t>
      </w:r>
    </w:p>
    <w:p w14:paraId="2233E186">
      <w:pPr>
        <w:pStyle w:val="11"/>
        <w:ind w:left="0" w:firstLine="0"/>
        <w:jc w:val="center"/>
        <w:rPr>
          <w:rFonts w:hint="default" w:ascii="Times New Roman" w:hAnsi="Times New Roman" w:eastAsia="仿宋" w:cs="Times New Roman"/>
          <w:color w:val="000000"/>
          <w:sz w:val="32"/>
          <w:szCs w:val="32"/>
          <w:highlight w:val="none"/>
        </w:rPr>
      </w:pPr>
      <w:r>
        <w:rPr>
          <w:rFonts w:hint="default" w:ascii="Times New Roman" w:hAnsi="Times New Roman" w:cs="Times New Roman"/>
        </w:rPr>
        <w:drawing>
          <wp:inline distT="0" distB="0" distL="114300" distR="114300">
            <wp:extent cx="4784725" cy="2153285"/>
            <wp:effectExtent l="5080" t="5080" r="10795" b="13335"/>
            <wp:docPr id="13"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54A6D34">
      <w:pPr>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rPr>
        <w:t>（图7：</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bCs/>
          <w:color w:val="000000"/>
          <w:sz w:val="32"/>
          <w:szCs w:val="32"/>
        </w:rPr>
        <w:t>三公</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bCs/>
          <w:color w:val="000000"/>
          <w:sz w:val="32"/>
          <w:szCs w:val="32"/>
        </w:rPr>
        <w:t>经费财政拨款支出结构）（饼状图）</w:t>
      </w:r>
    </w:p>
    <w:p w14:paraId="40C13524">
      <w:pPr>
        <w:keepNext w:val="0"/>
        <w:keepLines w:val="0"/>
        <w:pageBreakBefore w:val="0"/>
        <w:widowControl w:val="0"/>
        <w:numPr>
          <w:ilvl w:val="0"/>
          <w:numId w:val="0"/>
        </w:numPr>
        <w:tabs>
          <w:tab w:val="left" w:pos="312"/>
        </w:tabs>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color w:val="000000"/>
          <w:sz w:val="32"/>
          <w:szCs w:val="32"/>
          <w:lang w:val="en-US" w:eastAsia="zh-CN"/>
        </w:rPr>
        <w:t>1.</w:t>
      </w:r>
      <w:r>
        <w:rPr>
          <w:rFonts w:hint="default" w:ascii="Times New Roman" w:hAnsi="Times New Roman" w:eastAsia="仿宋_GB2312" w:cs="Times New Roman"/>
          <w:b/>
          <w:color w:val="000000"/>
          <w:sz w:val="32"/>
          <w:szCs w:val="32"/>
        </w:rPr>
        <w:t>因公出国（境）经费支出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r>
        <w:rPr>
          <w:rStyle w:val="23"/>
          <w:rFonts w:hint="default" w:ascii="Times New Roman" w:hAnsi="Times New Roman" w:eastAsia="仿宋_GB2312" w:cs="Times New Roman"/>
          <w:b w:val="0"/>
          <w:bCs/>
          <w:color w:val="000000"/>
          <w:sz w:val="32"/>
          <w:szCs w:val="32"/>
        </w:rPr>
        <w:t>完成预算</w:t>
      </w:r>
      <w:r>
        <w:rPr>
          <w:rStyle w:val="23"/>
          <w:rFonts w:hint="default" w:ascii="Times New Roman" w:hAnsi="Times New Roman" w:eastAsia="仿宋_GB2312" w:cs="Times New Roman"/>
          <w:b w:val="0"/>
          <w:bCs/>
          <w:color w:val="000000"/>
          <w:sz w:val="32"/>
          <w:szCs w:val="32"/>
          <w:lang w:val="en-US" w:eastAsia="zh-CN"/>
        </w:rPr>
        <w:t>0</w:t>
      </w:r>
      <w:r>
        <w:rPr>
          <w:rStyle w:val="23"/>
          <w:rFonts w:hint="default" w:ascii="Times New Roman" w:hAnsi="Times New Roman" w:eastAsia="仿宋_GB2312" w:cs="Times New Roman"/>
          <w:b w:val="0"/>
          <w:bCs/>
          <w:color w:val="000000"/>
          <w:sz w:val="32"/>
          <w:szCs w:val="32"/>
        </w:rPr>
        <w:t>%。</w:t>
      </w:r>
      <w:r>
        <w:rPr>
          <w:rFonts w:hint="default" w:ascii="Times New Roman" w:hAnsi="Times New Roman" w:eastAsia="仿宋_GB2312" w:cs="Times New Roman"/>
          <w:color w:val="000000"/>
          <w:sz w:val="32"/>
          <w:szCs w:val="32"/>
        </w:rPr>
        <w:t>年安排因公出国（境）团组</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次，出国（境）</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人。</w:t>
      </w:r>
    </w:p>
    <w:p w14:paraId="2975EBD5">
      <w:pPr>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b/>
          <w:color w:val="000000"/>
          <w:sz w:val="32"/>
          <w:szCs w:val="32"/>
          <w:highlight w:val="none"/>
        </w:rPr>
      </w:pPr>
      <w:r>
        <w:rPr>
          <w:rFonts w:hint="default" w:ascii="Times New Roman" w:hAnsi="Times New Roman" w:eastAsia="仿宋_GB2312" w:cs="Times New Roman"/>
          <w:b/>
          <w:color w:val="000000"/>
          <w:sz w:val="32"/>
          <w:szCs w:val="32"/>
          <w:lang w:val="en-US" w:eastAsia="zh-CN"/>
        </w:rPr>
        <w:t>2.</w:t>
      </w:r>
      <w:r>
        <w:rPr>
          <w:rFonts w:hint="default" w:ascii="Times New Roman" w:hAnsi="Times New Roman" w:eastAsia="仿宋_GB2312" w:cs="Times New Roman"/>
          <w:b/>
          <w:color w:val="000000"/>
          <w:sz w:val="32"/>
          <w:szCs w:val="32"/>
        </w:rPr>
        <w:t>公务用车购置及运行维护费支出9.73万元，完成预算100%。公务用车购置及运行维护费支出决算比</w:t>
      </w:r>
      <w:r>
        <w:rPr>
          <w:rFonts w:hint="default" w:ascii="Times New Roman" w:hAnsi="Times New Roman" w:eastAsia="仿宋_GB2312" w:cs="Times New Roman"/>
          <w:b/>
          <w:color w:val="000000"/>
          <w:sz w:val="32"/>
          <w:szCs w:val="32"/>
          <w:lang w:eastAsia="zh-CN"/>
        </w:rPr>
        <w:t>2025</w:t>
      </w:r>
      <w:r>
        <w:rPr>
          <w:rFonts w:hint="default" w:ascii="Times New Roman" w:hAnsi="Times New Roman" w:eastAsia="仿宋_GB2312" w:cs="Times New Roman"/>
          <w:b/>
          <w:color w:val="000000"/>
          <w:sz w:val="32"/>
          <w:szCs w:val="32"/>
        </w:rPr>
        <w:t>年度增加3.66万元，增长60.32%，主要原因是公务用车运行维护费支出增加。</w:t>
      </w:r>
    </w:p>
    <w:p w14:paraId="46B44A14">
      <w:pPr>
        <w:keepNext w:val="0"/>
        <w:keepLines w:val="0"/>
        <w:pageBreakBefore w:val="0"/>
        <w:widowControl w:val="0"/>
        <w:kinsoku/>
        <w:wordWrap/>
        <w:overflowPunct/>
        <w:topLinePunct w:val="0"/>
        <w:autoSpaceDN/>
        <w:bidi w:val="0"/>
        <w:adjustRightInd/>
        <w:snapToGrid/>
        <w:spacing w:line="576" w:lineRule="exact"/>
        <w:ind w:firstLine="640" w:firstLineChars="200"/>
        <w:textAlignment w:val="auto"/>
        <w:rPr>
          <w:rFonts w:hint="default" w:ascii="Times New Roman" w:hAnsi="Times New Roman" w:eastAsia="仿宋_GB2312" w:cs="Times New Roman"/>
          <w:b/>
          <w:color w:val="000000"/>
          <w:sz w:val="32"/>
          <w:szCs w:val="32"/>
          <w:highlight w:val="none"/>
        </w:rPr>
      </w:pPr>
      <w:r>
        <w:rPr>
          <w:rFonts w:hint="default" w:ascii="Times New Roman" w:hAnsi="Times New Roman" w:eastAsia="仿宋_GB2312" w:cs="Times New Roman"/>
          <w:color w:val="000000"/>
          <w:sz w:val="32"/>
          <w:szCs w:val="32"/>
        </w:rPr>
        <w:t>其中：公务用车购置支出0万元。全年按规定更新购置公务用车0辆，其中：轿车0辆、金额0万元，越野车0辆、金额0万元，载客汽车0辆、金额0万元，主要用于</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截至2025年12月31日，单位共有公务用车4辆，其中：轿车0辆、越野车0辆、载客汽车0辆。</w:t>
      </w:r>
    </w:p>
    <w:p w14:paraId="019F99EE">
      <w:pPr>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color w:val="000000"/>
          <w:sz w:val="32"/>
          <w:szCs w:val="32"/>
        </w:rPr>
        <w:t>公务用车运行维护费支出9.73万元。主要用于上县办公开会、下村开展工作等所需的公务用车燃料费、维修费、过路过桥费、保险费等支出。</w:t>
      </w:r>
    </w:p>
    <w:p w14:paraId="31D6C1AA">
      <w:pPr>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Style w:val="23"/>
          <w:rFonts w:hint="default" w:ascii="Times New Roman" w:hAnsi="Times New Roman" w:eastAsia="仿宋_GB2312" w:cs="Times New Roman"/>
          <w:b w:val="0"/>
          <w:bCs/>
          <w:color w:val="000000"/>
          <w:sz w:val="32"/>
          <w:szCs w:val="32"/>
          <w:highlight w:val="none"/>
        </w:rPr>
      </w:pPr>
      <w:r>
        <w:rPr>
          <w:rFonts w:hint="default" w:ascii="Times New Roman" w:hAnsi="Times New Roman" w:eastAsia="仿宋_GB2312" w:cs="Times New Roman"/>
          <w:b/>
          <w:color w:val="000000"/>
          <w:sz w:val="32"/>
          <w:szCs w:val="32"/>
          <w:lang w:val="en-US" w:eastAsia="zh-CN"/>
        </w:rPr>
        <w:t>3.</w:t>
      </w:r>
      <w:r>
        <w:rPr>
          <w:rFonts w:hint="default" w:ascii="Times New Roman" w:hAnsi="Times New Roman" w:eastAsia="仿宋_GB2312" w:cs="Times New Roman"/>
          <w:b/>
          <w:color w:val="000000"/>
          <w:sz w:val="32"/>
          <w:szCs w:val="32"/>
        </w:rPr>
        <w:t>公务接待费支出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r>
        <w:rPr>
          <w:rStyle w:val="23"/>
          <w:rFonts w:hint="default" w:ascii="Times New Roman" w:hAnsi="Times New Roman" w:eastAsia="仿宋_GB2312" w:cs="Times New Roman"/>
          <w:b w:val="0"/>
          <w:bCs/>
          <w:color w:val="000000"/>
          <w:sz w:val="32"/>
          <w:szCs w:val="32"/>
        </w:rPr>
        <w:t>完成预算</w:t>
      </w:r>
      <w:r>
        <w:rPr>
          <w:rStyle w:val="23"/>
          <w:rFonts w:hint="default" w:ascii="Times New Roman" w:hAnsi="Times New Roman" w:eastAsia="仿宋_GB2312" w:cs="Times New Roman"/>
          <w:b w:val="0"/>
          <w:bCs/>
          <w:color w:val="000000"/>
          <w:sz w:val="32"/>
          <w:szCs w:val="32"/>
          <w:lang w:val="en-US" w:eastAsia="zh-CN"/>
        </w:rPr>
        <w:t>0</w:t>
      </w:r>
      <w:r>
        <w:rPr>
          <w:rStyle w:val="23"/>
          <w:rFonts w:hint="default" w:ascii="Times New Roman" w:hAnsi="Times New Roman" w:eastAsia="仿宋_GB2312" w:cs="Times New Roman"/>
          <w:b w:val="0"/>
          <w:bCs/>
          <w:color w:val="000000"/>
          <w:sz w:val="32"/>
          <w:szCs w:val="32"/>
        </w:rPr>
        <w:t>%。</w:t>
      </w:r>
    </w:p>
    <w:p w14:paraId="1218EA49">
      <w:pPr>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color w:val="000000"/>
          <w:sz w:val="32"/>
          <w:szCs w:val="32"/>
        </w:rPr>
        <w:t>国内公务接待支出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万元，主要用于……</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执行公务、开展业务活动开支的交通费、住宿费、用餐费等</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。国内公务接待</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批次，</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人次（不包括陪同人员），共计支出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万元，具体内容包括：…（接待具体项目、金额）。</w:t>
      </w:r>
    </w:p>
    <w:p w14:paraId="3FA74106">
      <w:pPr>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黑体" w:cs="Times New Roman"/>
          <w:color w:val="000000"/>
          <w:sz w:val="32"/>
          <w:szCs w:val="32"/>
          <w:highlight w:val="none"/>
        </w:rPr>
      </w:pPr>
      <w:r>
        <w:rPr>
          <w:rFonts w:hint="default" w:ascii="Times New Roman" w:hAnsi="Times New Roman" w:eastAsia="仿宋_GB2312" w:cs="Times New Roman"/>
          <w:b/>
          <w:color w:val="000000"/>
          <w:sz w:val="32"/>
          <w:szCs w:val="32"/>
        </w:rPr>
        <w:t>外事接待支出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万元，主要用于接待…（具体项目）</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外事接待</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批次，</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人</w:t>
      </w:r>
      <w:r>
        <w:rPr>
          <w:rFonts w:hint="default" w:ascii="Times New Roman" w:hAnsi="Times New Roman" w:eastAsia="仿宋_GB2312" w:cs="Times New Roman"/>
          <w:color w:val="000000"/>
          <w:sz w:val="32"/>
          <w:szCs w:val="32"/>
          <w:lang w:eastAsia="zh-CN"/>
        </w:rPr>
        <w:t>次（不包括陪同人员）</w:t>
      </w:r>
      <w:r>
        <w:rPr>
          <w:rFonts w:hint="default" w:ascii="Times New Roman" w:hAnsi="Times New Roman" w:eastAsia="仿宋_GB2312" w:cs="Times New Roman"/>
          <w:color w:val="000000"/>
          <w:sz w:val="32"/>
          <w:szCs w:val="32"/>
        </w:rPr>
        <w:t>，共计支出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14:paraId="7F6D9856">
      <w:pPr>
        <w:keepNext w:val="0"/>
        <w:keepLines w:val="0"/>
        <w:pageBreakBefore w:val="0"/>
        <w:widowControl w:val="0"/>
        <w:numPr>
          <w:ilvl w:val="0"/>
          <w:numId w:val="0"/>
        </w:numPr>
        <w:kinsoku/>
        <w:wordWrap/>
        <w:overflowPunct/>
        <w:topLinePunct w:val="0"/>
        <w:autoSpaceDN/>
        <w:bidi w:val="0"/>
        <w:adjustRightInd/>
        <w:snapToGrid/>
        <w:spacing w:line="576" w:lineRule="exact"/>
        <w:ind w:firstLine="640" w:firstLineChars="200"/>
        <w:textAlignment w:val="auto"/>
        <w:outlineLvl w:val="1"/>
        <w:rPr>
          <w:rStyle w:val="22"/>
          <w:rFonts w:hint="default" w:ascii="Times New Roman" w:hAnsi="Times New Roman" w:eastAsia="黑体" w:cs="Times New Roman"/>
          <w:color w:val="000000"/>
          <w:highlight w:val="none"/>
        </w:rPr>
      </w:pPr>
      <w:r>
        <w:rPr>
          <w:rFonts w:hint="default" w:ascii="Times New Roman" w:hAnsi="Times New Roman" w:eastAsia="黑体" w:cs="Times New Roman"/>
          <w:color w:val="000000"/>
          <w:sz w:val="32"/>
          <w:szCs w:val="32"/>
        </w:rPr>
        <w:t>八、</w:t>
      </w:r>
      <w:r>
        <w:rPr>
          <w:rStyle w:val="22"/>
          <w:rFonts w:hint="default" w:ascii="Times New Roman" w:hAnsi="Times New Roman" w:eastAsia="黑体" w:cs="Times New Roman"/>
          <w:b w:val="0"/>
          <w:color w:val="000000"/>
        </w:rPr>
        <w:t>政府性基金预算支出决算情况说明</w:t>
      </w:r>
    </w:p>
    <w:p w14:paraId="66232659">
      <w:pPr>
        <w:keepNext w:val="0"/>
        <w:keepLines w:val="0"/>
        <w:pageBreakBefore w:val="0"/>
        <w:widowControl w:val="0"/>
        <w:kinsoku/>
        <w:wordWrap/>
        <w:overflowPunct/>
        <w:topLinePunct w:val="0"/>
        <w:autoSpaceDN/>
        <w:bidi w:val="0"/>
        <w:adjustRightInd/>
        <w:snapToGrid/>
        <w:spacing w:line="576" w:lineRule="exact"/>
        <w:ind w:firstLine="640" w:firstLineChars="20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_GB2312" w:cs="Times New Roman"/>
          <w:color w:val="000000"/>
          <w:sz w:val="32"/>
          <w:szCs w:val="32"/>
          <w:lang w:eastAsia="zh-CN"/>
        </w:rPr>
        <w:t>2025年度政府性基金预算财政拨款支出0万元。</w:t>
      </w:r>
    </w:p>
    <w:p w14:paraId="205A8E44">
      <w:pPr>
        <w:keepNext w:val="0"/>
        <w:keepLines w:val="0"/>
        <w:pageBreakBefore w:val="0"/>
        <w:widowControl w:val="0"/>
        <w:numPr>
          <w:ilvl w:val="0"/>
          <w:numId w:val="0"/>
        </w:numPr>
        <w:tabs>
          <w:tab w:val="left" w:pos="0"/>
        </w:tabs>
        <w:kinsoku/>
        <w:wordWrap/>
        <w:overflowPunct/>
        <w:topLinePunct w:val="0"/>
        <w:autoSpaceDN/>
        <w:bidi w:val="0"/>
        <w:adjustRightInd/>
        <w:snapToGrid/>
        <w:spacing w:line="576" w:lineRule="exact"/>
        <w:ind w:firstLine="640" w:firstLineChars="200"/>
        <w:textAlignment w:val="auto"/>
        <w:outlineLvl w:val="1"/>
        <w:rPr>
          <w:rStyle w:val="22"/>
          <w:rFonts w:hint="default" w:ascii="Times New Roman" w:hAnsi="Times New Roman" w:eastAsia="黑体" w:cs="Times New Roman"/>
          <w:b w:val="0"/>
          <w:color w:val="000000"/>
          <w:highlight w:val="none"/>
        </w:rPr>
      </w:pPr>
      <w:r>
        <w:rPr>
          <w:rStyle w:val="22"/>
          <w:rFonts w:hint="default" w:ascii="Times New Roman" w:hAnsi="Times New Roman" w:eastAsia="黑体" w:cs="Times New Roman"/>
          <w:b w:val="0"/>
          <w:color w:val="000000"/>
          <w:lang w:val="en-US" w:eastAsia="zh-CN"/>
        </w:rPr>
        <w:t>九、</w:t>
      </w:r>
      <w:r>
        <w:rPr>
          <w:rStyle w:val="22"/>
          <w:rFonts w:hint="default" w:ascii="Times New Roman" w:hAnsi="Times New Roman" w:eastAsia="黑体" w:cs="Times New Roman"/>
          <w:b w:val="0"/>
          <w:color w:val="000000"/>
        </w:rPr>
        <w:t>国有资本经营预算支出决算情况说明</w:t>
      </w:r>
    </w:p>
    <w:p w14:paraId="5FF3495E">
      <w:pPr>
        <w:keepNext w:val="0"/>
        <w:keepLines w:val="0"/>
        <w:pageBreakBefore w:val="0"/>
        <w:widowControl w:val="0"/>
        <w:kinsoku/>
        <w:wordWrap/>
        <w:overflowPunct/>
        <w:topLinePunct w:val="0"/>
        <w:autoSpaceDN/>
        <w:bidi w:val="0"/>
        <w:adjustRightInd/>
        <w:snapToGrid/>
        <w:spacing w:line="576" w:lineRule="exact"/>
        <w:ind w:firstLine="640" w:firstLineChars="200"/>
        <w:textAlignment w:val="auto"/>
        <w:rPr>
          <w:rFonts w:hint="default" w:ascii="Times New Roman" w:hAnsi="Times New Roman" w:eastAsia="方正小标宋简体" w:cs="Times New Roman"/>
          <w:color w:val="000000"/>
          <w:sz w:val="44"/>
          <w:szCs w:val="44"/>
          <w:highlight w:val="none"/>
        </w:rPr>
      </w:pPr>
      <w:r>
        <w:rPr>
          <w:rFonts w:hint="default" w:ascii="Times New Roman" w:hAnsi="Times New Roman" w:eastAsia="仿宋_GB2312" w:cs="Times New Roman"/>
          <w:color w:val="000000"/>
          <w:sz w:val="32"/>
          <w:szCs w:val="32"/>
          <w:lang w:eastAsia="zh-CN"/>
        </w:rPr>
        <w:t>2025年度国有资本经营预算财政拨款支出0万</w:t>
      </w:r>
      <w:r>
        <w:rPr>
          <w:rFonts w:hint="default" w:ascii="Times New Roman" w:hAnsi="Times New Roman" w:eastAsia="仿宋" w:cs="Times New Roman"/>
          <w:color w:val="000000"/>
          <w:sz w:val="32"/>
          <w:szCs w:val="32"/>
          <w:lang w:eastAsia="zh-CN"/>
        </w:rPr>
        <w:t>元。</w:t>
      </w:r>
    </w:p>
    <w:p w14:paraId="1BBDEAF2">
      <w:pPr>
        <w:keepNext w:val="0"/>
        <w:keepLines w:val="0"/>
        <w:pageBreakBefore w:val="0"/>
        <w:widowControl w:val="0"/>
        <w:numPr>
          <w:ilvl w:val="0"/>
          <w:numId w:val="0"/>
        </w:numPr>
        <w:tabs>
          <w:tab w:val="left" w:pos="0"/>
        </w:tabs>
        <w:kinsoku/>
        <w:wordWrap/>
        <w:overflowPunct/>
        <w:topLinePunct w:val="0"/>
        <w:autoSpaceDN/>
        <w:bidi w:val="0"/>
        <w:adjustRightInd/>
        <w:snapToGrid/>
        <w:spacing w:line="576" w:lineRule="exact"/>
        <w:ind w:firstLine="640" w:firstLineChars="200"/>
        <w:textAlignment w:val="auto"/>
        <w:outlineLvl w:val="1"/>
        <w:rPr>
          <w:rStyle w:val="22"/>
          <w:rFonts w:hint="default" w:ascii="Times New Roman" w:hAnsi="Times New Roman" w:eastAsia="黑体" w:cs="Times New Roman"/>
          <w:b w:val="0"/>
          <w:color w:val="000000"/>
          <w:highlight w:val="none"/>
        </w:rPr>
      </w:pPr>
      <w:r>
        <w:rPr>
          <w:rStyle w:val="22"/>
          <w:rFonts w:hint="default" w:ascii="Times New Roman" w:hAnsi="Times New Roman" w:eastAsia="黑体" w:cs="Times New Roman"/>
          <w:b w:val="0"/>
          <w:color w:val="000000"/>
          <w:lang w:val="en-US" w:eastAsia="zh-CN"/>
        </w:rPr>
        <w:t>十、</w:t>
      </w:r>
      <w:r>
        <w:rPr>
          <w:rStyle w:val="22"/>
          <w:rFonts w:hint="default" w:ascii="Times New Roman" w:hAnsi="Times New Roman" w:eastAsia="黑体" w:cs="Times New Roman"/>
          <w:b w:val="0"/>
          <w:color w:val="000000"/>
        </w:rPr>
        <w:t>其他重要事项的情况说明</w:t>
      </w:r>
    </w:p>
    <w:p w14:paraId="6E262D95">
      <w:pPr>
        <w:keepNext w:val="0"/>
        <w:keepLines w:val="0"/>
        <w:pageBreakBefore w:val="0"/>
        <w:widowControl w:val="0"/>
        <w:numPr>
          <w:ilvl w:val="0"/>
          <w:numId w:val="0"/>
        </w:numPr>
        <w:kinsoku/>
        <w:wordWrap/>
        <w:overflowPunct/>
        <w:topLinePunct w:val="0"/>
        <w:autoSpaceDN/>
        <w:bidi w:val="0"/>
        <w:adjustRightInd/>
        <w:snapToGrid/>
        <w:spacing w:line="576" w:lineRule="exact"/>
        <w:ind w:firstLine="640" w:firstLineChars="200"/>
        <w:textAlignment w:val="auto"/>
        <w:outlineLvl w:val="2"/>
        <w:rPr>
          <w:rFonts w:hint="default" w:ascii="Times New Roman" w:hAnsi="Times New Roman" w:eastAsia="仿宋" w:cs="Times New Roman"/>
          <w:color w:val="000000"/>
          <w:sz w:val="32"/>
          <w:szCs w:val="32"/>
          <w:highlight w:val="none"/>
        </w:rPr>
      </w:pPr>
      <w:r>
        <w:rPr>
          <w:rFonts w:hint="default" w:ascii="Times New Roman" w:hAnsi="Times New Roman" w:eastAsia="楷体_GB2312" w:cs="Times New Roman"/>
          <w:b w:val="0"/>
          <w:bCs/>
          <w:color w:val="000000"/>
          <w:sz w:val="32"/>
          <w:szCs w:val="32"/>
        </w:rPr>
        <w:t>（一）机关运行经费支出情况</w:t>
      </w:r>
    </w:p>
    <w:p w14:paraId="2C3DF7F2">
      <w:pPr>
        <w:keepNext w:val="0"/>
        <w:keepLines w:val="0"/>
        <w:pageBreakBefore w:val="0"/>
        <w:widowControl w:val="0"/>
        <w:kinsoku/>
        <w:wordWrap/>
        <w:overflowPunct/>
        <w:topLinePunct w:val="0"/>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lang w:eastAsia="zh-CN"/>
        </w:rPr>
        <w:t>2025年度，阿坝州松潘县小姓乡人民政府机关运行经费支出75.42万元，比2025年度增加55.56万元，增长279.79%。主要原因是人员增加、日常公用经费支出增加。</w:t>
      </w:r>
    </w:p>
    <w:p w14:paraId="0779F763">
      <w:pPr>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 w:cs="Times New Roman"/>
          <w:b/>
          <w:color w:val="000000"/>
          <w:sz w:val="32"/>
          <w:szCs w:val="32"/>
          <w:highlight w:val="none"/>
        </w:rPr>
      </w:pPr>
      <w:r>
        <w:rPr>
          <w:rFonts w:hint="default" w:ascii="Times New Roman" w:hAnsi="Times New Roman" w:eastAsia="仿宋_GB2312" w:cs="Times New Roman"/>
          <w:b/>
          <w:color w:val="000000"/>
          <w:sz w:val="32"/>
          <w:szCs w:val="32"/>
        </w:rPr>
        <w:t>（注：数据来源于财决附03表）</w:t>
      </w:r>
    </w:p>
    <w:p w14:paraId="0620C6EB">
      <w:pPr>
        <w:keepNext w:val="0"/>
        <w:keepLines w:val="0"/>
        <w:pageBreakBefore w:val="0"/>
        <w:widowControl w:val="0"/>
        <w:numPr>
          <w:ilvl w:val="0"/>
          <w:numId w:val="0"/>
        </w:numPr>
        <w:kinsoku/>
        <w:wordWrap/>
        <w:overflowPunct/>
        <w:topLinePunct w:val="0"/>
        <w:autoSpaceDE w:val="0"/>
        <w:autoSpaceDN/>
        <w:bidi w:val="0"/>
        <w:adjustRightInd/>
        <w:snapToGrid/>
        <w:spacing w:line="576" w:lineRule="exact"/>
        <w:ind w:firstLine="643" w:firstLineChars="200"/>
        <w:jc w:val="left"/>
        <w:textAlignment w:val="auto"/>
        <w:outlineLvl w:val="2"/>
        <w:rPr>
          <w:rFonts w:hint="default" w:ascii="Times New Roman" w:hAnsi="Times New Roman" w:eastAsia="楷体_GB2312" w:cs="Times New Roman"/>
          <w:b/>
          <w:color w:val="000000"/>
          <w:sz w:val="32"/>
          <w:szCs w:val="32"/>
          <w:highlight w:val="none"/>
        </w:rPr>
      </w:pPr>
      <w:r>
        <w:rPr>
          <w:rFonts w:hint="default" w:ascii="Times New Roman" w:hAnsi="Times New Roman" w:eastAsia="楷体_GB2312" w:cs="Times New Roman"/>
          <w:b/>
          <w:color w:val="000000"/>
          <w:sz w:val="32"/>
          <w:szCs w:val="32"/>
        </w:rPr>
        <w:t>（二）政府采购支出情况</w:t>
      </w:r>
    </w:p>
    <w:p w14:paraId="21D38DEE">
      <w:pPr>
        <w:keepNext w:val="0"/>
        <w:keepLines w:val="0"/>
        <w:pageBreakBefore w:val="0"/>
        <w:widowControl w:val="0"/>
        <w:kinsoku/>
        <w:wordWrap/>
        <w:overflowPunct/>
        <w:topLinePunct w:val="0"/>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lang w:eastAsia="zh-CN"/>
        </w:rPr>
        <w:t>2025年度，小姓乡人民政府采购支出总额1.74万元，其中：政府采购货物支出0万元、政府采购工程支出0万元、政府采购服务支出1.74万元。主要用于…（具体工作）。授予中小企业合同金额0万元，占政府采购支出总额的0%，其中：授予小微企业合同金额0万元，占政府采购支出总额的0%。</w:t>
      </w:r>
    </w:p>
    <w:p w14:paraId="3E200B04">
      <w:pPr>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 w:cs="Times New Roman"/>
          <w:b/>
          <w:color w:val="000000"/>
          <w:sz w:val="32"/>
          <w:szCs w:val="32"/>
          <w:highlight w:val="none"/>
        </w:rPr>
      </w:pPr>
      <w:r>
        <w:rPr>
          <w:rFonts w:hint="default" w:ascii="Times New Roman" w:hAnsi="Times New Roman" w:eastAsia="仿宋_GB2312" w:cs="Times New Roman"/>
          <w:b/>
          <w:color w:val="000000"/>
          <w:sz w:val="32"/>
          <w:szCs w:val="32"/>
        </w:rPr>
        <w:t>（注：数据来源于财决附03表）</w:t>
      </w:r>
    </w:p>
    <w:p w14:paraId="20945B20">
      <w:pPr>
        <w:keepNext w:val="0"/>
        <w:keepLines w:val="0"/>
        <w:pageBreakBefore w:val="0"/>
        <w:widowControl w:val="0"/>
        <w:numPr>
          <w:ilvl w:val="0"/>
          <w:numId w:val="0"/>
        </w:numPr>
        <w:kinsoku/>
        <w:wordWrap/>
        <w:overflowPunct/>
        <w:topLinePunct w:val="0"/>
        <w:autoSpaceDE w:val="0"/>
        <w:autoSpaceDN/>
        <w:bidi w:val="0"/>
        <w:adjustRightInd/>
        <w:snapToGrid/>
        <w:spacing w:line="576" w:lineRule="exact"/>
        <w:ind w:firstLine="640" w:firstLineChars="200"/>
        <w:jc w:val="left"/>
        <w:textAlignment w:val="auto"/>
        <w:outlineLvl w:val="2"/>
        <w:rPr>
          <w:rFonts w:hint="default" w:ascii="Times New Roman" w:hAnsi="Times New Roman" w:eastAsia="楷体_GB2312" w:cs="Times New Roman"/>
          <w:b w:val="0"/>
          <w:bCs/>
          <w:color w:val="000000"/>
          <w:sz w:val="32"/>
          <w:szCs w:val="32"/>
          <w:highlight w:val="none"/>
        </w:rPr>
      </w:pPr>
      <w:r>
        <w:rPr>
          <w:rFonts w:hint="default" w:ascii="Times New Roman" w:hAnsi="Times New Roman" w:eastAsia="楷体_GB2312" w:cs="Times New Roman"/>
          <w:b w:val="0"/>
          <w:bCs/>
          <w:color w:val="000000"/>
          <w:sz w:val="32"/>
          <w:szCs w:val="32"/>
        </w:rPr>
        <w:t>（三）国有资产占有使用情况</w:t>
      </w:r>
    </w:p>
    <w:p w14:paraId="1909A9E9">
      <w:pPr>
        <w:keepNext w:val="0"/>
        <w:keepLines w:val="0"/>
        <w:pageBreakBefore w:val="0"/>
        <w:widowControl w:val="0"/>
        <w:kinsoku/>
        <w:wordWrap/>
        <w:overflowPunct/>
        <w:topLinePunct w:val="0"/>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rPr>
        <w:t>截至2025年12月31日，阿坝州松潘县小姓乡人民政府共有车辆4辆，其中：主要领导干部用车0辆、机要通信用车0辆、应急保障用车3辆、其他用车1辆、单价100万元（含）以上设备（不含车辆）0台（套）。</w:t>
      </w:r>
    </w:p>
    <w:p w14:paraId="5102B859">
      <w:pPr>
        <w:keepNext w:val="0"/>
        <w:keepLines w:val="0"/>
        <w:pageBreakBefore w:val="0"/>
        <w:widowControl w:val="0"/>
        <w:kinsoku/>
        <w:wordWrap/>
        <w:overflowPunct/>
        <w:topLinePunct w:val="0"/>
        <w:autoSpaceDE w:val="0"/>
        <w:autoSpaceDN/>
        <w:bidi w:val="0"/>
        <w:adjustRightInd/>
        <w:snapToGrid/>
        <w:spacing w:line="576" w:lineRule="exact"/>
        <w:ind w:firstLine="643" w:firstLineChars="200"/>
        <w:jc w:val="left"/>
        <w:textAlignment w:val="auto"/>
        <w:rPr>
          <w:rFonts w:hint="default" w:ascii="Times New Roman" w:hAnsi="Times New Roman" w:eastAsia="仿宋_GB2312" w:cs="Times New Roman"/>
          <w:b/>
          <w:color w:val="000000"/>
          <w:sz w:val="32"/>
          <w:szCs w:val="32"/>
          <w:highlight w:val="none"/>
        </w:rPr>
      </w:pPr>
      <w:r>
        <w:rPr>
          <w:rFonts w:hint="default" w:ascii="Times New Roman" w:hAnsi="Times New Roman" w:eastAsia="仿宋_GB2312" w:cs="Times New Roman"/>
          <w:b/>
          <w:color w:val="000000"/>
          <w:sz w:val="32"/>
          <w:szCs w:val="32"/>
        </w:rPr>
        <w:t>（注：数据来源</w:t>
      </w:r>
      <w:r>
        <w:rPr>
          <w:rFonts w:hint="default" w:ascii="Times New Roman" w:hAnsi="Times New Roman" w:eastAsia="仿宋_GB2312" w:cs="Times New Roman"/>
          <w:b/>
          <w:color w:val="000000"/>
          <w:sz w:val="32"/>
          <w:szCs w:val="32"/>
          <w:lang w:eastAsia="zh-CN"/>
        </w:rPr>
        <w:t>于</w:t>
      </w:r>
      <w:r>
        <w:rPr>
          <w:rFonts w:hint="default" w:ascii="Times New Roman" w:hAnsi="Times New Roman" w:eastAsia="仿宋_GB2312" w:cs="Times New Roman"/>
          <w:b/>
          <w:color w:val="000000"/>
          <w:sz w:val="32"/>
          <w:szCs w:val="32"/>
        </w:rPr>
        <w:t>财决附03表，按部门决算报表填报数据罗列车辆情况。）</w:t>
      </w:r>
    </w:p>
    <w:p w14:paraId="5C98459E">
      <w:pPr>
        <w:keepNext w:val="0"/>
        <w:keepLines w:val="0"/>
        <w:pageBreakBefore w:val="0"/>
        <w:widowControl w:val="0"/>
        <w:numPr>
          <w:ilvl w:val="0"/>
          <w:numId w:val="0"/>
        </w:numPr>
        <w:kinsoku/>
        <w:wordWrap/>
        <w:overflowPunct/>
        <w:topLinePunct w:val="0"/>
        <w:autoSpaceDE w:val="0"/>
        <w:autoSpaceDN/>
        <w:bidi w:val="0"/>
        <w:adjustRightInd/>
        <w:snapToGrid/>
        <w:spacing w:line="576" w:lineRule="exact"/>
        <w:ind w:firstLine="640" w:firstLineChars="200"/>
        <w:jc w:val="left"/>
        <w:textAlignment w:val="auto"/>
        <w:outlineLvl w:val="2"/>
        <w:rPr>
          <w:rFonts w:hint="default" w:ascii="Times New Roman" w:hAnsi="Times New Roman" w:eastAsia="楷体_GB2312" w:cs="Times New Roman"/>
          <w:b w:val="0"/>
          <w:bCs/>
          <w:color w:val="000000"/>
          <w:sz w:val="32"/>
          <w:szCs w:val="32"/>
          <w:highlight w:val="none"/>
        </w:rPr>
      </w:pPr>
      <w:r>
        <w:rPr>
          <w:rFonts w:hint="default" w:ascii="Times New Roman" w:hAnsi="Times New Roman" w:eastAsia="楷体_GB2312" w:cs="Times New Roman"/>
          <w:b w:val="0"/>
          <w:bCs/>
          <w:color w:val="000000"/>
          <w:sz w:val="32"/>
          <w:szCs w:val="32"/>
        </w:rPr>
        <w:t>（四）预算绩效管理情况</w:t>
      </w:r>
    </w:p>
    <w:p w14:paraId="23FAE1B8">
      <w:pPr>
        <w:keepNext w:val="0"/>
        <w:keepLines w:val="0"/>
        <w:pageBreakBefore w:val="0"/>
        <w:widowControl w:val="0"/>
        <w:kinsoku/>
        <w:wordWrap/>
        <w:overflowPunct/>
        <w:topLinePunct w:val="0"/>
        <w:autoSpaceDN/>
        <w:bidi w:val="0"/>
        <w:adjustRightInd/>
        <w:snapToGrid/>
        <w:spacing w:line="576"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根据预算绩效管理要求，本部门在</w:t>
      </w:r>
      <w:r>
        <w:rPr>
          <w:rFonts w:hint="default" w:ascii="Times New Roman" w:hAnsi="Times New Roman" w:eastAsia="仿宋_GB2312" w:cs="Times New Roman"/>
          <w:color w:val="auto"/>
          <w:sz w:val="32"/>
          <w:szCs w:val="32"/>
          <w:highlight w:val="none"/>
          <w:lang w:val="en-US" w:eastAsia="zh-CN"/>
        </w:rPr>
        <w:t>2025年度</w:t>
      </w:r>
      <w:r>
        <w:rPr>
          <w:rFonts w:hint="default" w:ascii="Times New Roman" w:hAnsi="Times New Roman" w:eastAsia="仿宋_GB2312" w:cs="Times New Roman"/>
          <w:color w:val="auto"/>
          <w:sz w:val="32"/>
          <w:szCs w:val="32"/>
          <w:highlight w:val="none"/>
        </w:rPr>
        <w:t>预算编制阶段，组织对</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项目（</w:t>
      </w:r>
      <w:r>
        <w:rPr>
          <w:rFonts w:hint="default" w:ascii="Times New Roman" w:hAnsi="Times New Roman" w:eastAsia="仿宋_GB2312" w:cs="Times New Roman"/>
          <w:color w:val="auto"/>
          <w:sz w:val="32"/>
          <w:szCs w:val="32"/>
          <w:highlight w:val="none"/>
          <w:lang w:val="en-US" w:eastAsia="zh-CN"/>
        </w:rPr>
        <w:t>村干部补助</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等</w:t>
      </w:r>
      <w:r>
        <w:rPr>
          <w:rFonts w:hint="default" w:ascii="Times New Roman" w:hAnsi="Times New Roman" w:eastAsia="仿宋_GB2312" w:cs="Times New Roman"/>
          <w:color w:val="auto"/>
          <w:sz w:val="32"/>
          <w:szCs w:val="32"/>
          <w:highlight w:val="none"/>
          <w:lang w:val="en-US" w:eastAsia="zh-CN"/>
        </w:rPr>
        <w:t>4个项目</w:t>
      </w:r>
      <w:r>
        <w:rPr>
          <w:rFonts w:hint="default" w:ascii="Times New Roman" w:hAnsi="Times New Roman" w:eastAsia="仿宋_GB2312" w:cs="Times New Roman"/>
          <w:color w:val="auto"/>
          <w:sz w:val="32"/>
          <w:szCs w:val="32"/>
          <w:highlight w:val="none"/>
        </w:rPr>
        <w:t>开展了预算事前绩效评估，对</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个项目编制了绩效目标</w:t>
      </w:r>
      <w:r>
        <w:rPr>
          <w:rFonts w:hint="eastAsia" w:ascii="Times New Roman" w:hAnsi="Times New Roman" w:eastAsia="仿宋_GB2312" w:cs="Times New Roman"/>
          <w:color w:val="auto"/>
          <w:sz w:val="32"/>
          <w:szCs w:val="32"/>
          <w:highlight w:val="none"/>
          <w:lang w:eastAsia="zh-CN"/>
        </w:rPr>
        <w:t>，在</w:t>
      </w:r>
      <w:r>
        <w:rPr>
          <w:rFonts w:hint="default" w:ascii="Times New Roman" w:hAnsi="Times New Roman" w:eastAsia="仿宋_GB2312" w:cs="Times New Roman"/>
          <w:color w:val="auto"/>
          <w:sz w:val="32"/>
          <w:szCs w:val="32"/>
          <w:highlight w:val="none"/>
        </w:rPr>
        <w:t>预算执行过程中，选取</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个项目开展绩效监控</w:t>
      </w:r>
      <w:r>
        <w:rPr>
          <w:rFonts w:hint="default" w:ascii="Times New Roman" w:hAnsi="Times New Roman" w:eastAsia="仿宋_GB2312" w:cs="Times New Roman"/>
          <w:color w:val="auto"/>
          <w:sz w:val="32"/>
          <w:szCs w:val="32"/>
          <w:highlight w:val="none"/>
          <w:lang w:eastAsia="zh-CN"/>
        </w:rPr>
        <w:t>。</w:t>
      </w:r>
    </w:p>
    <w:p w14:paraId="23AE9608">
      <w:pPr>
        <w:keepNext w:val="0"/>
        <w:keepLines w:val="0"/>
        <w:pageBreakBefore w:val="0"/>
        <w:widowControl w:val="0"/>
        <w:numPr>
          <w:ilvl w:val="0"/>
          <w:numId w:val="0"/>
        </w:numPr>
        <w:tabs>
          <w:tab w:val="left" w:pos="0"/>
        </w:tabs>
        <w:kinsoku/>
        <w:wordWrap/>
        <w:overflowPunct/>
        <w:topLinePunct w:val="0"/>
        <w:autoSpaceDN/>
        <w:bidi w:val="0"/>
        <w:adjustRightInd/>
        <w:snapToGrid/>
        <w:spacing w:line="576" w:lineRule="exact"/>
        <w:ind w:firstLine="640" w:firstLineChars="200"/>
        <w:jc w:val="both"/>
        <w:textAlignment w:val="auto"/>
        <w:outlineLvl w:val="0"/>
        <w:rPr>
          <w:rFonts w:hint="default" w:ascii="Times New Roman" w:hAnsi="Times New Roman" w:eastAsia="仿宋_GB2312" w:cs="Times New Roman"/>
          <w:color w:val="auto"/>
          <w:sz w:val="32"/>
          <w:szCs w:val="32"/>
          <w:highlight w:val="none"/>
          <w:lang w:val="en-US" w:eastAsia="zh-CN"/>
        </w:rPr>
        <w:sectPr>
          <w:pgSz w:w="11906" w:h="16838"/>
          <w:pgMar w:top="1440" w:right="1800" w:bottom="1440" w:left="1800" w:header="0" w:footer="0" w:gutter="0"/>
          <w:pgNumType w:fmt="decimal"/>
          <w:cols w:space="720" w:num="1"/>
          <w:formProt w:val="0"/>
          <w:docGrid w:type="lines" w:linePitch="312" w:charSpace="0"/>
        </w:sectPr>
      </w:pPr>
      <w:r>
        <w:rPr>
          <w:rFonts w:hint="default" w:ascii="Times New Roman" w:hAnsi="Times New Roman" w:eastAsia="仿宋_GB2312" w:cs="Times New Roman"/>
          <w:color w:val="auto"/>
          <w:sz w:val="32"/>
          <w:szCs w:val="32"/>
          <w:highlight w:val="none"/>
          <w:lang w:eastAsia="zh-CN"/>
        </w:rPr>
        <w:t>组织</w:t>
      </w:r>
      <w:r>
        <w:rPr>
          <w:rFonts w:hint="default" w:ascii="Times New Roman" w:hAnsi="Times New Roman" w:eastAsia="仿宋_GB2312" w:cs="Times New Roman"/>
          <w:color w:val="auto"/>
          <w:sz w:val="32"/>
          <w:szCs w:val="32"/>
          <w:highlight w:val="none"/>
        </w:rPr>
        <w:t>对</w:t>
      </w:r>
      <w:r>
        <w:rPr>
          <w:rFonts w:hint="default" w:ascii="Times New Roman" w:hAnsi="Times New Roman" w:eastAsia="仿宋_GB2312" w:cs="Times New Roman"/>
          <w:color w:val="auto"/>
          <w:sz w:val="32"/>
          <w:szCs w:val="32"/>
          <w:highlight w:val="none"/>
          <w:lang w:val="en-US" w:eastAsia="zh-CN"/>
        </w:rPr>
        <w:t>2025年度一般公共预算、</w:t>
      </w:r>
      <w:r>
        <w:rPr>
          <w:rFonts w:hint="default" w:ascii="Times New Roman" w:hAnsi="Times New Roman" w:eastAsia="仿宋_GB2312" w:cs="Times New Roman"/>
          <w:color w:val="auto"/>
          <w:sz w:val="32"/>
          <w:szCs w:val="32"/>
          <w:highlight w:val="none"/>
          <w:lang w:eastAsia="zh-CN"/>
        </w:rPr>
        <w:t>政府性基金预算、国有资本经营预算、社会保险基金预算以及资本资产、债券资金等</w:t>
      </w:r>
      <w:r>
        <w:rPr>
          <w:rFonts w:hint="default" w:ascii="Times New Roman" w:hAnsi="Times New Roman" w:eastAsia="仿宋_GB2312" w:cs="Times New Roman"/>
          <w:color w:val="auto"/>
          <w:sz w:val="32"/>
          <w:szCs w:val="32"/>
          <w:highlight w:val="none"/>
          <w:lang w:val="en-US" w:eastAsia="zh-CN"/>
        </w:rPr>
        <w:t>全面开展绩效自评，形成松潘县小姓乡人民政府</w:t>
      </w:r>
      <w:r>
        <w:rPr>
          <w:rFonts w:hint="default" w:ascii="Times New Roman" w:hAnsi="Times New Roman" w:eastAsia="仿宋_GB2312" w:cs="Times New Roman"/>
          <w:color w:val="auto"/>
          <w:sz w:val="32"/>
          <w:szCs w:val="32"/>
          <w:highlight w:val="none"/>
          <w:lang w:eastAsia="zh-CN"/>
        </w:rPr>
        <w:t>部门整体（含部门预算项目）</w:t>
      </w:r>
      <w:r>
        <w:rPr>
          <w:rFonts w:hint="default" w:ascii="Times New Roman" w:hAnsi="Times New Roman" w:eastAsia="仿宋_GB2312" w:cs="Times New Roman"/>
          <w:color w:val="auto"/>
          <w:sz w:val="32"/>
          <w:szCs w:val="32"/>
          <w:highlight w:val="none"/>
          <w:lang w:val="en-US" w:eastAsia="zh-CN"/>
        </w:rPr>
        <w:t>绩效自评报告</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村干部补助绩效自评报告，其中，小村干部补助项目部门整体</w:t>
      </w:r>
      <w:r>
        <w:rPr>
          <w:rFonts w:hint="default" w:ascii="Times New Roman" w:hAnsi="Times New Roman" w:eastAsia="仿宋_GB2312" w:cs="Times New Roman"/>
          <w:color w:val="auto"/>
          <w:sz w:val="32"/>
          <w:szCs w:val="32"/>
          <w:highlight w:val="none"/>
          <w:lang w:eastAsia="zh-CN"/>
        </w:rPr>
        <w:t>（含部门预算项目）</w:t>
      </w:r>
      <w:r>
        <w:rPr>
          <w:rFonts w:hint="default" w:ascii="Times New Roman" w:hAnsi="Times New Roman" w:eastAsia="仿宋_GB2312" w:cs="Times New Roman"/>
          <w:color w:val="auto"/>
          <w:sz w:val="32"/>
          <w:szCs w:val="32"/>
          <w:highlight w:val="none"/>
          <w:lang w:val="en-US" w:eastAsia="zh-CN"/>
        </w:rPr>
        <w:t>绩效自评得分为95.1分，绩效自评综述：</w:t>
      </w:r>
      <w:r>
        <w:rPr>
          <w:rFonts w:hint="default" w:ascii="Times New Roman" w:hAnsi="Times New Roman" w:eastAsia="仿宋_GB2312" w:cs="Times New Roman"/>
          <w:color w:val="000000"/>
          <w:sz w:val="32"/>
          <w:szCs w:val="32"/>
        </w:rPr>
        <w:t>全面推行村干部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基本报酬+考核绩效</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报酬制度，村干部是基层干部中最主要的力量，为了确保村干部个人收入，维护村干部的合法权益，</w:t>
      </w:r>
      <w:r>
        <w:rPr>
          <w:rFonts w:hint="eastAsia" w:ascii="Times New Roman" w:hAnsi="Times New Roman" w:eastAsia="仿宋_GB2312" w:cs="Times New Roman"/>
          <w:color w:val="000000"/>
          <w:sz w:val="32"/>
          <w:szCs w:val="32"/>
          <w:lang w:eastAsia="zh-CN"/>
        </w:rPr>
        <w:t>强化</w:t>
      </w:r>
      <w:r>
        <w:rPr>
          <w:rFonts w:hint="default" w:ascii="Times New Roman" w:hAnsi="Times New Roman" w:eastAsia="仿宋_GB2312" w:cs="Times New Roman"/>
          <w:color w:val="000000"/>
          <w:sz w:val="32"/>
          <w:szCs w:val="32"/>
        </w:rPr>
        <w:t>农村的管理和发展，妥善解决好农村基层干部的工资待遇，充分调动广大基层村干部工作的积极性，发挥村干部在社会主义新农村建设中的引领作用</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kern w:val="0"/>
          <w:sz w:val="32"/>
          <w:szCs w:val="32"/>
          <w:lang w:val="en-US" w:eastAsia="zh-CN"/>
        </w:rPr>
        <w:t>2025年农村公共运行维护资金</w:t>
      </w:r>
      <w:r>
        <w:rPr>
          <w:rFonts w:hint="default" w:ascii="Times New Roman" w:hAnsi="Times New Roman" w:eastAsia="仿宋_GB2312" w:cs="Times New Roman"/>
          <w:color w:val="auto"/>
          <w:sz w:val="32"/>
          <w:szCs w:val="32"/>
          <w:highlight w:val="none"/>
          <w:lang w:eastAsia="zh-CN"/>
        </w:rPr>
        <w:t>专项预</w:t>
      </w:r>
      <w:r>
        <w:rPr>
          <w:rFonts w:hint="default" w:ascii="Times New Roman" w:hAnsi="Times New Roman" w:eastAsia="仿宋_GB2312" w:cs="Times New Roman"/>
          <w:color w:val="auto"/>
          <w:sz w:val="32"/>
          <w:szCs w:val="32"/>
          <w:highlight w:val="none"/>
          <w:lang w:val="en-US" w:eastAsia="zh-CN"/>
        </w:rPr>
        <w:t>算项目绩效自评得分为95.1分，绩效自评综述：解决了环境脏乱差、农田小水利设施和村庄道路维修、文化基础设施没有充分发挥作用等问题，加快公共服务基础设施建设，改善生产生活条件，保证基础设施持续有效发挥服务功能。绩效自评报告详见附件。</w:t>
      </w:r>
    </w:p>
    <w:p w14:paraId="3AB41490">
      <w:pPr>
        <w:numPr>
          <w:ilvl w:val="0"/>
          <w:numId w:val="0"/>
        </w:numPr>
        <w:tabs>
          <w:tab w:val="left" w:pos="0"/>
        </w:tabs>
        <w:spacing w:line="600" w:lineRule="exact"/>
        <w:jc w:val="center"/>
        <w:outlineLvl w:val="0"/>
        <w:rPr>
          <w:rStyle w:val="21"/>
          <w:rFonts w:hint="default" w:ascii="Times New Roman" w:hAnsi="Times New Roman" w:eastAsia="黑体" w:cs="Times New Roman"/>
          <w:b/>
          <w:color w:val="000000"/>
          <w:sz w:val="44"/>
          <w:szCs w:val="44"/>
          <w:highlight w:val="none"/>
        </w:rPr>
      </w:pPr>
      <w:r>
        <w:rPr>
          <w:rFonts w:hint="default" w:ascii="Times New Roman" w:hAnsi="Times New Roman" w:eastAsia="黑体" w:cs="Times New Roman"/>
          <w:color w:val="000000"/>
          <w:sz w:val="44"/>
          <w:szCs w:val="44"/>
          <w:lang w:val="en-US" w:eastAsia="zh-CN"/>
        </w:rPr>
        <w:t xml:space="preserve">第三部分  </w:t>
      </w:r>
      <w:r>
        <w:rPr>
          <w:rFonts w:hint="default" w:ascii="Times New Roman" w:hAnsi="Times New Roman" w:eastAsia="黑体" w:cs="Times New Roman"/>
          <w:color w:val="000000"/>
          <w:sz w:val="44"/>
          <w:szCs w:val="44"/>
        </w:rPr>
        <w:t>名</w:t>
      </w:r>
      <w:r>
        <w:rPr>
          <w:rStyle w:val="21"/>
          <w:rFonts w:hint="default" w:ascii="Times New Roman" w:hAnsi="Times New Roman" w:eastAsia="黑体" w:cs="Times New Roman"/>
          <w:b w:val="0"/>
          <w:color w:val="000000"/>
        </w:rPr>
        <w:t>词解释</w:t>
      </w:r>
    </w:p>
    <w:p w14:paraId="05155FAB">
      <w:pPr>
        <w:pStyle w:val="32"/>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rPr>
        <w:t>1.财政拨款收入：</w:t>
      </w:r>
      <w:r>
        <w:rPr>
          <w:rFonts w:hint="default" w:ascii="Times New Roman" w:hAnsi="Times New Roman" w:eastAsia="仿宋_GB2312" w:cs="Times New Roman"/>
          <w:color w:val="000000"/>
          <w:sz w:val="32"/>
          <w:szCs w:val="32"/>
        </w:rPr>
        <w:t>指单位从同级财政部门取得的财政预算资金。</w:t>
      </w:r>
    </w:p>
    <w:p w14:paraId="11F90C5E">
      <w:pPr>
        <w:pStyle w:val="32"/>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rPr>
        <w:t>2.事业收入：</w:t>
      </w:r>
      <w:r>
        <w:rPr>
          <w:rFonts w:hint="default" w:ascii="Times New Roman" w:hAnsi="Times New Roman" w:eastAsia="仿宋_GB2312" w:cs="Times New Roman"/>
          <w:color w:val="000000"/>
          <w:sz w:val="32"/>
          <w:szCs w:val="32"/>
        </w:rPr>
        <w:t>指事业单位开展专业业务活动及辅助活动取得的收入。</w:t>
      </w:r>
    </w:p>
    <w:p w14:paraId="4B974075">
      <w:pPr>
        <w:pStyle w:val="32"/>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rPr>
        <w:t>3.经营收入：</w:t>
      </w:r>
      <w:r>
        <w:rPr>
          <w:rFonts w:hint="default" w:ascii="Times New Roman" w:hAnsi="Times New Roman" w:eastAsia="仿宋_GB2312" w:cs="Times New Roman"/>
          <w:color w:val="000000"/>
          <w:sz w:val="32"/>
          <w:szCs w:val="32"/>
        </w:rPr>
        <w:t>指事业单位在专业业务活动及其辅助活动之外开展非独立核算经营活动取得的收入。</w:t>
      </w:r>
    </w:p>
    <w:p w14:paraId="759A7721">
      <w:pPr>
        <w:pStyle w:val="32"/>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rPr>
        <w:t>4.其他收入：</w:t>
      </w:r>
      <w:r>
        <w:rPr>
          <w:rFonts w:hint="default" w:ascii="Times New Roman" w:hAnsi="Times New Roman" w:eastAsia="仿宋_GB2312" w:cs="Times New Roman"/>
          <w:color w:val="000000"/>
          <w:sz w:val="32"/>
          <w:szCs w:val="32"/>
        </w:rPr>
        <w:t>指单位取得的除上述收入以外的各项收入</w:t>
      </w:r>
    </w:p>
    <w:p w14:paraId="5FC9027E">
      <w:pPr>
        <w:pStyle w:val="32"/>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rPr>
        <w:t>5.</w:t>
      </w:r>
      <w:r>
        <w:rPr>
          <w:rFonts w:hint="default" w:ascii="Times New Roman" w:hAnsi="Times New Roman" w:eastAsia="仿宋_GB2312" w:cs="Times New Roman"/>
          <w:b/>
          <w:bCs/>
          <w:color w:val="000000"/>
          <w:sz w:val="32"/>
          <w:szCs w:val="32"/>
          <w:lang w:eastAsia="zh-CN"/>
        </w:rPr>
        <w:t>使用非财政拨款结余（含专用结余）</w:t>
      </w:r>
      <w:r>
        <w:rPr>
          <w:rFonts w:hint="default" w:ascii="Times New Roman" w:hAnsi="Times New Roman" w:eastAsia="仿宋_GB2312" w:cs="Times New Roman"/>
          <w:b/>
          <w:bCs/>
          <w:color w:val="000000"/>
          <w:sz w:val="32"/>
          <w:szCs w:val="32"/>
        </w:rPr>
        <w:t>：</w:t>
      </w:r>
      <w:r>
        <w:rPr>
          <w:rFonts w:hint="default" w:ascii="Times New Roman" w:hAnsi="Times New Roman" w:eastAsia="仿宋_GB2312" w:cs="Times New Roman"/>
          <w:color w:val="000000"/>
          <w:sz w:val="32"/>
          <w:szCs w:val="32"/>
        </w:rPr>
        <w:t>指事业单位</w:t>
      </w:r>
      <w:r>
        <w:rPr>
          <w:rFonts w:hint="default" w:ascii="Times New Roman" w:hAnsi="Times New Roman" w:eastAsia="仿宋_GB2312" w:cs="Times New Roman"/>
          <w:color w:val="000000"/>
          <w:sz w:val="32"/>
          <w:szCs w:val="32"/>
          <w:lang w:eastAsia="zh-CN"/>
        </w:rPr>
        <w:t>使用以前年度积累的非财政拨款结余弥补当年收支差额的金额。</w:t>
      </w:r>
      <w:r>
        <w:rPr>
          <w:rFonts w:hint="default" w:ascii="Times New Roman" w:hAnsi="Times New Roman" w:eastAsia="仿宋_GB2312" w:cs="Times New Roman"/>
          <w:color w:val="000000"/>
          <w:sz w:val="32"/>
          <w:szCs w:val="32"/>
        </w:rPr>
        <w:t xml:space="preserve"> </w:t>
      </w:r>
    </w:p>
    <w:p w14:paraId="2E08F88D">
      <w:pPr>
        <w:pStyle w:val="32"/>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rPr>
        <w:t>6.年初结转和结余：</w:t>
      </w:r>
      <w:r>
        <w:rPr>
          <w:rFonts w:hint="default" w:ascii="Times New Roman" w:hAnsi="Times New Roman" w:eastAsia="仿宋_GB2312" w:cs="Times New Roman"/>
          <w:color w:val="000000"/>
          <w:sz w:val="32"/>
          <w:szCs w:val="32"/>
        </w:rPr>
        <w:t xml:space="preserve">指以前年度尚未完成、结转到本年按有关规定继续使用的资金。 </w:t>
      </w:r>
    </w:p>
    <w:p w14:paraId="03321D71">
      <w:pPr>
        <w:pStyle w:val="32"/>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rPr>
        <w:t>7.结余分配：</w:t>
      </w:r>
      <w:r>
        <w:rPr>
          <w:rFonts w:hint="default" w:ascii="Times New Roman" w:hAnsi="Times New Roman" w:eastAsia="仿宋_GB2312" w:cs="Times New Roman"/>
          <w:color w:val="000000"/>
          <w:sz w:val="32"/>
          <w:szCs w:val="32"/>
        </w:rPr>
        <w:t>指事业单位按照会计制度规定</w:t>
      </w:r>
      <w:r>
        <w:rPr>
          <w:rFonts w:hint="default" w:ascii="Times New Roman" w:hAnsi="Times New Roman" w:eastAsia="仿宋_GB2312" w:cs="Times New Roman"/>
          <w:color w:val="000000"/>
          <w:sz w:val="32"/>
          <w:szCs w:val="32"/>
          <w:lang w:eastAsia="zh-CN"/>
        </w:rPr>
        <w:t>缴纳的所得税、提取的专用结余以及转入非财政拨款结余的金额</w:t>
      </w:r>
      <w:r>
        <w:rPr>
          <w:rFonts w:hint="default" w:ascii="Times New Roman" w:hAnsi="Times New Roman" w:eastAsia="仿宋_GB2312" w:cs="Times New Roman"/>
          <w:color w:val="000000"/>
          <w:sz w:val="32"/>
          <w:szCs w:val="32"/>
        </w:rPr>
        <w:t>等。</w:t>
      </w:r>
    </w:p>
    <w:p w14:paraId="082EB9FA">
      <w:pPr>
        <w:pStyle w:val="32"/>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rPr>
        <w:t>8</w:t>
      </w:r>
      <w:r>
        <w:rPr>
          <w:rFonts w:hint="default" w:ascii="Times New Roman" w:hAnsi="Times New Roman" w:eastAsia="仿宋_GB2312" w:cs="Times New Roman"/>
          <w:b/>
          <w:bCs/>
          <w:color w:val="000000"/>
          <w:sz w:val="32"/>
          <w:szCs w:val="32"/>
          <w:lang w:val="en-US" w:eastAsia="zh-CN"/>
        </w:rPr>
        <w:t>.</w:t>
      </w:r>
      <w:r>
        <w:rPr>
          <w:rFonts w:hint="default" w:ascii="Times New Roman" w:hAnsi="Times New Roman" w:eastAsia="仿宋_GB2312" w:cs="Times New Roman"/>
          <w:b/>
          <w:bCs/>
          <w:color w:val="000000"/>
          <w:sz w:val="32"/>
          <w:szCs w:val="32"/>
        </w:rPr>
        <w:t>年末结转和结余：</w:t>
      </w:r>
      <w:r>
        <w:rPr>
          <w:rFonts w:hint="default" w:ascii="Times New Roman" w:hAnsi="Times New Roman" w:eastAsia="仿宋_GB2312" w:cs="Times New Roman"/>
          <w:color w:val="000000"/>
          <w:sz w:val="32"/>
          <w:szCs w:val="32"/>
        </w:rPr>
        <w:t>指单位按有关规定结转到下年或以后年度继续使用的资金。</w:t>
      </w:r>
    </w:p>
    <w:p w14:paraId="1259BCA8">
      <w:pPr>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kern w:val="0"/>
          <w:sz w:val="32"/>
          <w:szCs w:val="32"/>
          <w:lang w:val="en-US" w:eastAsia="zh-CN" w:bidi="ar-SA"/>
        </w:rPr>
        <w:t>9.</w:t>
      </w:r>
      <w:r>
        <w:rPr>
          <w:rFonts w:hint="default" w:ascii="Times New Roman" w:hAnsi="Times New Roman" w:eastAsia="仿宋_GB2312" w:cs="Times New Roman"/>
          <w:b/>
          <w:bCs/>
          <w:color w:val="000000"/>
          <w:w w:val="90"/>
          <w:kern w:val="0"/>
          <w:sz w:val="32"/>
          <w:szCs w:val="32"/>
          <w:lang w:val="en-US" w:eastAsia="zh-CN" w:bidi="ar-SA"/>
        </w:rPr>
        <w:t>社会保障和就业支出（208）行政事业单位养老支出（20805）机关事业单位基本养老保险缴费支出（2080505）：</w:t>
      </w:r>
      <w:r>
        <w:rPr>
          <w:rFonts w:hint="default" w:ascii="Times New Roman" w:hAnsi="Times New Roman" w:eastAsia="仿宋_GB2312" w:cs="Times New Roman"/>
          <w:color w:val="000000"/>
          <w:sz w:val="32"/>
          <w:szCs w:val="32"/>
        </w:rPr>
        <w:t>反映机关事业单位实施养老保险制度由单位缴纳的基本养老保险费支出。</w:t>
      </w:r>
    </w:p>
    <w:p w14:paraId="6F17FEF8">
      <w:pPr>
        <w:keepNext w:val="0"/>
        <w:keepLines w:val="0"/>
        <w:pageBreakBefore w:val="0"/>
        <w:widowControl w:val="0"/>
        <w:kinsoku/>
        <w:wordWrap/>
        <w:overflowPunct/>
        <w:topLinePunct w:val="0"/>
        <w:autoSpaceDN/>
        <w:bidi w:val="0"/>
        <w:adjustRightInd/>
        <w:snapToGrid/>
        <w:spacing w:line="576" w:lineRule="exact"/>
        <w:ind w:firstLine="579"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w w:val="90"/>
          <w:sz w:val="32"/>
          <w:szCs w:val="32"/>
        </w:rPr>
        <w:t>10.社会保障和就业支出（208）行政事业单位养老支出（20805）机关事业单位职业年金缴费支出（2080506）：</w:t>
      </w:r>
      <w:r>
        <w:rPr>
          <w:rFonts w:hint="default" w:ascii="Times New Roman" w:hAnsi="Times New Roman" w:eastAsia="仿宋_GB2312" w:cs="Times New Roman"/>
          <w:color w:val="000000"/>
          <w:sz w:val="32"/>
          <w:szCs w:val="32"/>
        </w:rPr>
        <w:t>反映机关事业单位实施养老保险制度由单位实际缴纳的职业年金支出。</w:t>
      </w:r>
    </w:p>
    <w:p w14:paraId="72DDAE0B">
      <w:pPr>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sz w:val="32"/>
          <w:szCs w:val="32"/>
        </w:rPr>
        <w:t>11.卫生健康支出（210）行政事业单位医疗（21011）行政单位医疗（2101101）：</w:t>
      </w:r>
      <w:r>
        <w:rPr>
          <w:rFonts w:hint="default" w:ascii="Times New Roman" w:hAnsi="Times New Roman" w:eastAsia="仿宋_GB2312" w:cs="Times New Roman"/>
          <w:color w:val="000000"/>
          <w:sz w:val="32"/>
          <w:szCs w:val="32"/>
        </w:rPr>
        <w:t>反映财政部门安排的行政单位（包括实行公务员管理的事业单位，下同）基本医疗保险缴费经费，未参加医疗保险的行政单位的公费医疗经费，按国家规定享受离休人员、红军老战士待遇人员的医疗经费。</w:t>
      </w:r>
    </w:p>
    <w:p w14:paraId="76785D2C">
      <w:pPr>
        <w:keepNext w:val="0"/>
        <w:keepLines w:val="0"/>
        <w:pageBreakBefore w:val="0"/>
        <w:widowControl w:val="0"/>
        <w:kinsoku/>
        <w:wordWrap/>
        <w:overflowPunct/>
        <w:topLinePunct w:val="0"/>
        <w:autoSpaceDN/>
        <w:bidi w:val="0"/>
        <w:adjustRightInd/>
        <w:snapToGrid/>
        <w:spacing w:line="576" w:lineRule="exact"/>
        <w:ind w:firstLine="579"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w w:val="90"/>
          <w:sz w:val="32"/>
          <w:szCs w:val="32"/>
        </w:rPr>
        <w:t>12.卫生健康支出（210）行政事业单位医疗（21011）公务员医疗补助（2101103）：</w:t>
      </w:r>
      <w:r>
        <w:rPr>
          <w:rFonts w:hint="default" w:ascii="Times New Roman" w:hAnsi="Times New Roman" w:eastAsia="仿宋_GB2312" w:cs="Times New Roman"/>
          <w:color w:val="000000"/>
          <w:sz w:val="32"/>
          <w:szCs w:val="32"/>
        </w:rPr>
        <w:t>反映财政部门安排的公务员医疗补助经费。</w:t>
      </w:r>
    </w:p>
    <w:p w14:paraId="1551FEEC">
      <w:pPr>
        <w:keepNext w:val="0"/>
        <w:keepLines w:val="0"/>
        <w:pageBreakBefore w:val="0"/>
        <w:widowControl w:val="0"/>
        <w:kinsoku/>
        <w:wordWrap/>
        <w:overflowPunct/>
        <w:topLinePunct w:val="0"/>
        <w:autoSpaceDN/>
        <w:bidi w:val="0"/>
        <w:adjustRightInd/>
        <w:snapToGrid/>
        <w:spacing w:line="576" w:lineRule="exact"/>
        <w:ind w:firstLine="579"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w w:val="90"/>
          <w:sz w:val="32"/>
          <w:szCs w:val="32"/>
        </w:rPr>
        <w:t>1</w:t>
      </w:r>
      <w:r>
        <w:rPr>
          <w:rFonts w:hint="default" w:ascii="Times New Roman" w:hAnsi="Times New Roman" w:eastAsia="仿宋_GB2312" w:cs="Times New Roman"/>
          <w:b/>
          <w:bCs/>
          <w:color w:val="000000"/>
          <w:w w:val="90"/>
          <w:sz w:val="32"/>
          <w:szCs w:val="32"/>
          <w:lang w:val="en-US" w:eastAsia="zh-CN"/>
        </w:rPr>
        <w:t>3</w:t>
      </w:r>
      <w:r>
        <w:rPr>
          <w:rFonts w:hint="default" w:ascii="Times New Roman" w:hAnsi="Times New Roman" w:eastAsia="仿宋_GB2312" w:cs="Times New Roman"/>
          <w:b/>
          <w:bCs/>
          <w:color w:val="000000"/>
          <w:w w:val="90"/>
          <w:sz w:val="32"/>
          <w:szCs w:val="32"/>
        </w:rPr>
        <w:t>.住房保障支出（221）住房改革支出（22102）住房公积金（2210201）：</w:t>
      </w:r>
      <w:r>
        <w:rPr>
          <w:rFonts w:hint="default" w:ascii="Times New Roman" w:hAnsi="Times New Roman" w:eastAsia="仿宋_GB2312" w:cs="Times New Roman"/>
          <w:color w:val="000000"/>
          <w:sz w:val="32"/>
          <w:szCs w:val="32"/>
        </w:rPr>
        <w:t>反映行政事业单位按人力资源和社会保障部、财政部规定的基本工资和津贴补贴以及规定比例为职工缴纳的住房公积金。</w:t>
      </w:r>
    </w:p>
    <w:p w14:paraId="3A93969D">
      <w:pPr>
        <w:keepNext w:val="0"/>
        <w:keepLines w:val="0"/>
        <w:pageBreakBefore w:val="0"/>
        <w:widowControl w:val="0"/>
        <w:kinsoku/>
        <w:wordWrap/>
        <w:overflowPunct/>
        <w:topLinePunct w:val="0"/>
        <w:autoSpaceDN/>
        <w:bidi w:val="0"/>
        <w:adjustRightInd/>
        <w:snapToGrid/>
        <w:spacing w:line="576" w:lineRule="exact"/>
        <w:ind w:firstLine="579"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w w:val="90"/>
          <w:sz w:val="32"/>
          <w:szCs w:val="32"/>
        </w:rPr>
        <w:t>14.卫生健康支出（210）行政事业单位医疗（21011）事业单位医疗（2101102）：</w:t>
      </w:r>
      <w:r>
        <w:rPr>
          <w:rFonts w:hint="default" w:ascii="Times New Roman" w:hAnsi="Times New Roman" w:eastAsia="仿宋_GB2312" w:cs="Times New Roman"/>
          <w:color w:val="000000"/>
          <w:sz w:val="32"/>
          <w:szCs w:val="32"/>
        </w:rPr>
        <w:t>反映财政部门安排的事业单位基本医疗保险缴费经费。</w:t>
      </w:r>
    </w:p>
    <w:p w14:paraId="28E25CEA">
      <w:pPr>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b/>
          <w:color w:val="000000"/>
          <w:sz w:val="32"/>
          <w:szCs w:val="32"/>
          <w:highlight w:val="none"/>
        </w:rPr>
      </w:pPr>
      <w:r>
        <w:rPr>
          <w:rFonts w:hint="default" w:ascii="Times New Roman" w:hAnsi="Times New Roman" w:eastAsia="仿宋_GB2312" w:cs="Times New Roman"/>
          <w:b/>
          <w:color w:val="000000"/>
          <w:sz w:val="32"/>
          <w:szCs w:val="32"/>
        </w:rPr>
        <w:t>（解释本部门决算报表中涉及的全部功能分类科目至项级，不涉及的科目请自行删除。请参照《2025年政府收支分类科目》增减内容。）</w:t>
      </w:r>
    </w:p>
    <w:p w14:paraId="0BA155A1">
      <w:pPr>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lang w:val="en-US" w:eastAsia="zh-CN"/>
        </w:rPr>
        <w:t>15</w:t>
      </w:r>
      <w:r>
        <w:rPr>
          <w:rFonts w:hint="default" w:ascii="Times New Roman" w:hAnsi="Times New Roman" w:eastAsia="仿宋_GB2312" w:cs="Times New Roman"/>
          <w:b/>
          <w:bCs/>
          <w:color w:val="000000"/>
          <w:sz w:val="32"/>
          <w:szCs w:val="32"/>
        </w:rPr>
        <w:t>.基本支出：</w:t>
      </w:r>
      <w:r>
        <w:rPr>
          <w:rFonts w:hint="default" w:ascii="Times New Roman" w:hAnsi="Times New Roman" w:eastAsia="仿宋_GB2312" w:cs="Times New Roman"/>
          <w:color w:val="000000"/>
          <w:sz w:val="32"/>
          <w:szCs w:val="32"/>
        </w:rPr>
        <w:t>指为保障机构正常运转、完成日常工作任务而发生的人员支出和公用支出。</w:t>
      </w:r>
    </w:p>
    <w:p w14:paraId="126A534C">
      <w:pPr>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lang w:val="en-US" w:eastAsia="zh-CN"/>
        </w:rPr>
        <w:t>16</w:t>
      </w:r>
      <w:r>
        <w:rPr>
          <w:rFonts w:hint="default" w:ascii="Times New Roman" w:hAnsi="Times New Roman" w:eastAsia="仿宋_GB2312" w:cs="Times New Roman"/>
          <w:b/>
          <w:bCs/>
          <w:color w:val="000000"/>
          <w:sz w:val="32"/>
          <w:szCs w:val="32"/>
        </w:rPr>
        <w:t>.项目支出：</w:t>
      </w:r>
      <w:r>
        <w:rPr>
          <w:rFonts w:hint="default" w:ascii="Times New Roman" w:hAnsi="Times New Roman" w:eastAsia="仿宋_GB2312" w:cs="Times New Roman"/>
          <w:color w:val="000000"/>
          <w:sz w:val="32"/>
          <w:szCs w:val="32"/>
        </w:rPr>
        <w:t xml:space="preserve">指在基本支出之外为完成特定行政任务和事业发展目标所发生的支出。 </w:t>
      </w:r>
    </w:p>
    <w:p w14:paraId="14F2D6FB">
      <w:pPr>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lang w:val="en-US" w:eastAsia="zh-CN"/>
        </w:rPr>
        <w:t>17</w:t>
      </w:r>
      <w:r>
        <w:rPr>
          <w:rFonts w:hint="default" w:ascii="Times New Roman" w:hAnsi="Times New Roman" w:eastAsia="仿宋_GB2312" w:cs="Times New Roman"/>
          <w:b/>
          <w:bCs/>
          <w:color w:val="000000"/>
          <w:sz w:val="32"/>
          <w:szCs w:val="32"/>
        </w:rPr>
        <w:t>.经营支出：</w:t>
      </w:r>
      <w:r>
        <w:rPr>
          <w:rFonts w:hint="default" w:ascii="Times New Roman" w:hAnsi="Times New Roman" w:eastAsia="仿宋_GB2312" w:cs="Times New Roman"/>
          <w:color w:val="000000"/>
          <w:sz w:val="32"/>
          <w:szCs w:val="32"/>
        </w:rPr>
        <w:t>指事业单位在专业业务活动及其辅助活动之外开展非独立核算经营活动发生的支出。</w:t>
      </w:r>
    </w:p>
    <w:p w14:paraId="2E4F37DF">
      <w:pPr>
        <w:pStyle w:val="32"/>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lang w:val="en-US" w:eastAsia="zh-CN"/>
        </w:rPr>
        <w:t>18</w:t>
      </w:r>
      <w:r>
        <w:rPr>
          <w:rFonts w:hint="default" w:ascii="Times New Roman" w:hAnsi="Times New Roman" w:eastAsia="仿宋_GB2312" w:cs="Times New Roman"/>
          <w:b/>
          <w:bCs/>
          <w:color w:val="000000"/>
          <w:sz w:val="32"/>
          <w:szCs w:val="32"/>
        </w:rPr>
        <w:t>.</w:t>
      </w:r>
      <w:r>
        <w:rPr>
          <w:rFonts w:hint="eastAsia" w:ascii="Times New Roman" w:hAnsi="Times New Roman" w:eastAsia="仿宋_GB2312" w:cs="Times New Roman"/>
          <w:b/>
          <w:bCs/>
          <w:color w:val="000000"/>
          <w:sz w:val="32"/>
          <w:szCs w:val="32"/>
          <w:lang w:eastAsia="zh-CN"/>
        </w:rPr>
        <w:t>“</w:t>
      </w:r>
      <w:r>
        <w:rPr>
          <w:rFonts w:hint="default" w:ascii="Times New Roman" w:hAnsi="Times New Roman" w:eastAsia="仿宋_GB2312" w:cs="Times New Roman"/>
          <w:b/>
          <w:bCs/>
          <w:color w:val="000000"/>
          <w:sz w:val="32"/>
          <w:szCs w:val="32"/>
        </w:rPr>
        <w:t>三公</w:t>
      </w:r>
      <w:r>
        <w:rPr>
          <w:rFonts w:hint="eastAsia" w:ascii="Times New Roman" w:hAnsi="Times New Roman" w:eastAsia="仿宋_GB2312" w:cs="Times New Roman"/>
          <w:b/>
          <w:bCs/>
          <w:color w:val="000000"/>
          <w:sz w:val="32"/>
          <w:szCs w:val="32"/>
          <w:lang w:eastAsia="zh-CN"/>
        </w:rPr>
        <w:t>”</w:t>
      </w:r>
      <w:r>
        <w:rPr>
          <w:rFonts w:hint="default" w:ascii="Times New Roman" w:hAnsi="Times New Roman" w:eastAsia="仿宋_GB2312" w:cs="Times New Roman"/>
          <w:b/>
          <w:bCs/>
          <w:color w:val="000000"/>
          <w:sz w:val="32"/>
          <w:szCs w:val="32"/>
        </w:rPr>
        <w:t>经费：</w:t>
      </w:r>
      <w:r>
        <w:rPr>
          <w:rFonts w:hint="default" w:ascii="Times New Roman" w:hAnsi="Times New Roman" w:eastAsia="仿宋_GB2312" w:cs="Times New Roman"/>
          <w:color w:val="00000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71BFB78">
      <w:pPr>
        <w:pStyle w:val="32"/>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lang w:val="en-US" w:eastAsia="zh-CN"/>
        </w:rPr>
        <w:t>19</w:t>
      </w:r>
      <w:r>
        <w:rPr>
          <w:rFonts w:hint="default" w:ascii="Times New Roman" w:hAnsi="Times New Roman" w:eastAsia="仿宋_GB2312" w:cs="Times New Roman"/>
          <w:b/>
          <w:bCs/>
          <w:color w:val="000000"/>
          <w:sz w:val="32"/>
          <w:szCs w:val="32"/>
        </w:rPr>
        <w:t>.机关运行经费：</w:t>
      </w:r>
      <w:r>
        <w:rPr>
          <w:rFonts w:hint="default" w:ascii="Times New Roman" w:hAnsi="Times New Roman" w:eastAsia="仿宋_GB2312" w:cs="Times New Roman"/>
          <w:color w:val="000000"/>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B2ACE0F">
      <w:pPr>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_GB2312" w:cs="Times New Roman"/>
          <w:b/>
          <w:bCs/>
          <w:color w:val="000000"/>
          <w:sz w:val="32"/>
          <w:szCs w:val="32"/>
          <w:lang w:val="en-US" w:eastAsia="zh-CN"/>
        </w:rPr>
        <w:t>20</w:t>
      </w:r>
      <w:r>
        <w:rPr>
          <w:rFonts w:hint="default" w:ascii="Times New Roman" w:hAnsi="Times New Roman" w:eastAsia="仿宋_GB2312" w:cs="Times New Roman"/>
          <w:b/>
          <w:bCs/>
          <w:color w:val="000000"/>
          <w:sz w:val="32"/>
          <w:szCs w:val="32"/>
        </w:rPr>
        <w:t>.</w:t>
      </w:r>
      <w:r>
        <w:rPr>
          <w:rFonts w:hint="default" w:ascii="Times New Roman" w:hAnsi="Times New Roman" w:eastAsia="仿宋_GB2312" w:cs="Times New Roman"/>
          <w:b/>
          <w:bCs/>
          <w:color w:val="000000"/>
          <w:sz w:val="32"/>
          <w:szCs w:val="32"/>
          <w:lang w:val="en-US" w:eastAsia="zh-CN"/>
        </w:rPr>
        <w:t>事业</w:t>
      </w:r>
      <w:r>
        <w:rPr>
          <w:rFonts w:hint="default" w:ascii="Times New Roman" w:hAnsi="Times New Roman" w:eastAsia="仿宋_GB2312" w:cs="Times New Roman"/>
          <w:b/>
          <w:bCs/>
          <w:color w:val="000000"/>
          <w:sz w:val="32"/>
          <w:szCs w:val="32"/>
        </w:rPr>
        <w:t>运行经费：</w:t>
      </w:r>
      <w:r>
        <w:rPr>
          <w:rFonts w:hint="default" w:ascii="Times New Roman" w:hAnsi="Times New Roman" w:eastAsia="仿宋_GB2312" w:cs="Times New Roman"/>
          <w:color w:val="000000"/>
          <w:sz w:val="32"/>
          <w:szCs w:val="32"/>
        </w:rPr>
        <w:t>为保障</w:t>
      </w:r>
      <w:r>
        <w:rPr>
          <w:rFonts w:hint="default" w:ascii="Times New Roman" w:hAnsi="Times New Roman" w:eastAsia="仿宋_GB2312" w:cs="Times New Roman"/>
          <w:color w:val="000000"/>
          <w:sz w:val="32"/>
          <w:szCs w:val="32"/>
          <w:lang w:val="en-US" w:eastAsia="zh-CN"/>
        </w:rPr>
        <w:t>事业</w:t>
      </w:r>
      <w:r>
        <w:rPr>
          <w:rFonts w:hint="default" w:ascii="Times New Roman" w:hAnsi="Times New Roman" w:eastAsia="仿宋_GB2312" w:cs="Times New Roman"/>
          <w:color w:val="000000"/>
          <w:sz w:val="32"/>
          <w:szCs w:val="32"/>
        </w:rPr>
        <w:t>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ECD9594">
      <w:pPr>
        <w:keepNext w:val="0"/>
        <w:keepLines w:val="0"/>
        <w:pageBreakBefore w:val="0"/>
        <w:widowControl w:val="0"/>
        <w:kinsoku/>
        <w:wordWrap/>
        <w:overflowPunct/>
        <w:topLinePunct w:val="0"/>
        <w:autoSpaceDN/>
        <w:bidi w:val="0"/>
        <w:adjustRightInd/>
        <w:snapToGrid/>
        <w:spacing w:line="576" w:lineRule="exact"/>
        <w:ind w:firstLine="643" w:firstLineChars="200"/>
        <w:textAlignment w:val="auto"/>
        <w:rPr>
          <w:rFonts w:hint="default" w:ascii="Times New Roman" w:hAnsi="Times New Roman" w:eastAsia="仿宋" w:cs="Times New Roman"/>
          <w:b/>
          <w:color w:val="000000"/>
          <w:sz w:val="32"/>
          <w:szCs w:val="32"/>
          <w:highlight w:val="none"/>
        </w:rPr>
      </w:pPr>
      <w:r>
        <w:rPr>
          <w:rFonts w:hint="default" w:ascii="Times New Roman" w:hAnsi="Times New Roman" w:eastAsia="仿宋_GB2312" w:cs="Times New Roman"/>
          <w:b/>
          <w:color w:val="000000"/>
          <w:sz w:val="32"/>
          <w:szCs w:val="32"/>
        </w:rPr>
        <w:t>（名词解释部分请根据各部门实际列支情况罗列，并根据本部门职责职能增减名词解释内容。）</w:t>
      </w:r>
      <w:r>
        <w:rPr>
          <w:rFonts w:hint="default" w:ascii="Times New Roman" w:hAnsi="Times New Roman" w:cs="Times New Roman"/>
        </w:rPr>
        <w:br w:type="page"/>
      </w:r>
    </w:p>
    <w:p w14:paraId="202E0365">
      <w:pPr>
        <w:keepNext w:val="0"/>
        <w:keepLines w:val="0"/>
        <w:pageBreakBefore w:val="0"/>
        <w:numPr>
          <w:ilvl w:val="0"/>
          <w:numId w:val="0"/>
        </w:numPr>
        <w:kinsoku/>
        <w:wordWrap/>
        <w:overflowPunct/>
        <w:topLinePunct w:val="0"/>
        <w:autoSpaceDE/>
        <w:autoSpaceDN/>
        <w:bidi w:val="0"/>
        <w:adjustRightInd/>
        <w:snapToGrid/>
        <w:spacing w:line="700" w:lineRule="exact"/>
        <w:jc w:val="center"/>
        <w:textAlignment w:val="auto"/>
        <w:outlineLvl w:val="0"/>
        <w:rPr>
          <w:rStyle w:val="21"/>
          <w:rFonts w:hint="default" w:ascii="Times New Roman" w:hAnsi="Times New Roman" w:eastAsia="黑体" w:cs="Times New Roman"/>
          <w:b w:val="0"/>
          <w:color w:val="FF0000"/>
          <w:sz w:val="32"/>
          <w:szCs w:val="32"/>
          <w:highlight w:val="none"/>
          <w:lang w:eastAsia="zh-CN"/>
        </w:rPr>
      </w:pPr>
      <w:r>
        <w:rPr>
          <w:rFonts w:hint="default" w:ascii="Times New Roman" w:hAnsi="Times New Roman" w:eastAsia="黑体" w:cs="Times New Roman"/>
          <w:color w:val="000000"/>
          <w:sz w:val="44"/>
          <w:szCs w:val="44"/>
        </w:rPr>
        <w:t>第</w:t>
      </w:r>
      <w:r>
        <w:rPr>
          <w:rStyle w:val="21"/>
          <w:rFonts w:hint="default" w:ascii="Times New Roman" w:hAnsi="Times New Roman" w:eastAsia="黑体" w:cs="Times New Roman"/>
          <w:b w:val="0"/>
          <w:color w:val="000000"/>
        </w:rPr>
        <w:t>四部分 附件</w:t>
      </w:r>
    </w:p>
    <w:p w14:paraId="0A4014C5">
      <w:pPr>
        <w:keepNext w:val="0"/>
        <w:keepLines w:val="0"/>
        <w:pageBreakBefore w:val="0"/>
        <w:widowControl/>
        <w:kinsoku/>
        <w:wordWrap/>
        <w:overflowPunct/>
        <w:topLinePunct w:val="0"/>
        <w:autoSpaceDE/>
        <w:autoSpaceDN/>
        <w:bidi w:val="0"/>
        <w:adjustRightInd/>
        <w:snapToGrid/>
        <w:spacing w:before="0" w:after="0" w:line="700" w:lineRule="exact"/>
        <w:contextualSpacing/>
        <w:jc w:val="center"/>
        <w:textAlignment w:val="auto"/>
        <w:rPr>
          <w:rFonts w:hint="default" w:ascii="Times New Roman" w:hAnsi="Times New Roman" w:eastAsia="黑体" w:cs="Times New Roman"/>
          <w:b w:val="0"/>
          <w:bCs/>
          <w:sz w:val="32"/>
          <w:szCs w:val="32"/>
          <w:highlight w:val="none"/>
          <w:shd w:val="clear" w:fill="FFFFFF"/>
        </w:rPr>
      </w:pPr>
      <w:r>
        <w:rPr>
          <w:rFonts w:hint="default" w:ascii="Times New Roman" w:hAnsi="Times New Roman" w:eastAsia="黑体" w:cs="Times New Roman"/>
          <w:b w:val="0"/>
          <w:bCs/>
          <w:sz w:val="32"/>
          <w:szCs w:val="32"/>
          <w:shd w:val="clear" w:fill="FFFFFF"/>
        </w:rPr>
        <w:t>部门</w:t>
      </w:r>
      <w:r>
        <w:rPr>
          <w:rFonts w:hint="default" w:ascii="Times New Roman" w:hAnsi="Times New Roman" w:eastAsia="黑体" w:cs="Times New Roman"/>
          <w:b w:val="0"/>
          <w:bCs/>
          <w:sz w:val="32"/>
          <w:szCs w:val="32"/>
          <w:shd w:val="clear" w:fill="FFFFFF"/>
          <w:lang w:eastAsia="zh-CN"/>
        </w:rPr>
        <w:t>预算</w:t>
      </w:r>
      <w:r>
        <w:rPr>
          <w:rFonts w:hint="default" w:ascii="Times New Roman" w:hAnsi="Times New Roman" w:eastAsia="黑体" w:cs="Times New Roman"/>
          <w:b w:val="0"/>
          <w:bCs/>
          <w:sz w:val="32"/>
          <w:szCs w:val="32"/>
          <w:shd w:val="clear" w:fill="FFFFFF"/>
        </w:rPr>
        <w:t>绩效</w:t>
      </w:r>
      <w:r>
        <w:rPr>
          <w:rFonts w:hint="default" w:ascii="Times New Roman" w:hAnsi="Times New Roman" w:eastAsia="黑体" w:cs="Times New Roman"/>
          <w:b w:val="0"/>
          <w:bCs/>
          <w:sz w:val="32"/>
          <w:szCs w:val="32"/>
          <w:shd w:val="clear" w:fill="FFFFFF"/>
          <w:lang w:eastAsia="zh-CN"/>
        </w:rPr>
        <w:t>评价</w:t>
      </w:r>
      <w:r>
        <w:rPr>
          <w:rFonts w:hint="default" w:ascii="Times New Roman" w:hAnsi="Times New Roman" w:eastAsia="黑体" w:cs="Times New Roman"/>
          <w:b w:val="0"/>
          <w:bCs/>
          <w:sz w:val="32"/>
          <w:szCs w:val="32"/>
          <w:shd w:val="clear" w:fill="FFFFFF"/>
        </w:rPr>
        <w:t>报告范本</w:t>
      </w:r>
    </w:p>
    <w:p w14:paraId="474700C7">
      <w:pPr>
        <w:keepNext w:val="0"/>
        <w:keepLines w:val="0"/>
        <w:pageBreakBefore w:val="0"/>
        <w:widowControl/>
        <w:kinsoku/>
        <w:wordWrap/>
        <w:overflowPunct/>
        <w:topLinePunct w:val="0"/>
        <w:autoSpaceDE/>
        <w:autoSpaceDN/>
        <w:bidi w:val="0"/>
        <w:adjustRightInd/>
        <w:snapToGrid/>
        <w:spacing w:before="0" w:after="0" w:line="700" w:lineRule="exact"/>
        <w:contextualSpacing/>
        <w:jc w:val="center"/>
        <w:textAlignment w:val="auto"/>
        <w:rPr>
          <w:rFonts w:hint="default" w:ascii="Times New Roman" w:hAnsi="Times New Roman" w:eastAsia="黑体" w:cs="Times New Roman"/>
          <w:color w:val="000000"/>
          <w:kern w:val="0"/>
          <w:sz w:val="24"/>
          <w:szCs w:val="32"/>
          <w:highlight w:val="none"/>
          <w:shd w:val="clear" w:fill="FFFFFF"/>
        </w:rPr>
      </w:pPr>
      <w:r>
        <w:rPr>
          <w:rFonts w:hint="default" w:ascii="Times New Roman" w:hAnsi="Times New Roman" w:eastAsia="黑体" w:cs="Times New Roman"/>
          <w:sz w:val="28"/>
          <w:szCs w:val="28"/>
          <w:shd w:val="clear" w:fill="FFFFFF"/>
        </w:rPr>
        <w:t>（报告范围包括机关和下属单位）</w:t>
      </w:r>
    </w:p>
    <w:p w14:paraId="233688B5">
      <w:pPr>
        <w:keepNext w:val="0"/>
        <w:keepLines w:val="0"/>
        <w:pageBreakBefore w:val="0"/>
        <w:widowControl/>
        <w:numPr>
          <w:ilvl w:val="0"/>
          <w:numId w:val="0"/>
        </w:numPr>
        <w:kinsoku/>
        <w:wordWrap/>
        <w:overflowPunct/>
        <w:topLinePunct w:val="0"/>
        <w:autoSpaceDE/>
        <w:autoSpaceDN/>
        <w:bidi w:val="0"/>
        <w:adjustRightInd/>
        <w:snapToGrid w:val="0"/>
        <w:spacing w:before="0" w:after="0" w:line="576" w:lineRule="exact"/>
        <w:ind w:firstLine="640" w:firstLineChars="200"/>
        <w:contextualSpacing/>
        <w:jc w:val="both"/>
        <w:textAlignment w:val="auto"/>
        <w:rPr>
          <w:rFonts w:hint="default" w:ascii="Times New Roman" w:hAnsi="Times New Roman" w:eastAsia="黑体" w:cs="Times New Roman"/>
          <w:color w:val="000000"/>
          <w:kern w:val="0"/>
          <w:sz w:val="32"/>
          <w:szCs w:val="32"/>
          <w:highlight w:val="none"/>
          <w:shd w:val="clear" w:fill="FFFFFF"/>
          <w:lang w:val="zh-CN"/>
        </w:rPr>
      </w:pPr>
      <w:r>
        <w:rPr>
          <w:rFonts w:hint="default" w:ascii="Times New Roman" w:hAnsi="Times New Roman" w:eastAsia="黑体" w:cs="Times New Roman"/>
          <w:color w:val="000000"/>
          <w:kern w:val="0"/>
          <w:sz w:val="32"/>
          <w:szCs w:val="32"/>
          <w:shd w:val="clear" w:fill="FFFFFF"/>
          <w:lang w:val="zh-CN"/>
        </w:rPr>
        <w:t>一、部门（单位）基本情况</w:t>
      </w:r>
    </w:p>
    <w:p w14:paraId="05D5C4EC">
      <w:pPr>
        <w:pStyle w:val="29"/>
        <w:keepNext w:val="0"/>
        <w:keepLines w:val="0"/>
        <w:pageBreakBefore w:val="0"/>
        <w:widowControl/>
        <w:shd w:val="clear" w:fill="FFFFFF"/>
        <w:kinsoku/>
        <w:wordWrap/>
        <w:overflowPunct/>
        <w:topLinePunct w:val="0"/>
        <w:autoSpaceDE/>
        <w:autoSpaceDN/>
        <w:bidi w:val="0"/>
        <w:adjustRightInd/>
        <w:spacing w:line="576" w:lineRule="exact"/>
        <w:ind w:right="0" w:firstLine="643" w:firstLineChars="200"/>
        <w:jc w:val="both"/>
        <w:textAlignment w:val="auto"/>
        <w:rPr>
          <w:rFonts w:hint="default" w:ascii="Times New Roman" w:hAnsi="Times New Roman" w:eastAsia="仿宋_GB2312" w:cs="Times New Roman"/>
          <w:kern w:val="2"/>
          <w:sz w:val="32"/>
          <w:szCs w:val="32"/>
          <w:lang w:val="en-US" w:eastAsia="zh-CN" w:bidi="ar-SA"/>
        </w:rPr>
      </w:pPr>
      <w:bookmarkStart w:id="0" w:name="_Hlk110546638"/>
      <w:bookmarkEnd w:id="0"/>
      <w:r>
        <w:rPr>
          <w:rFonts w:hint="default" w:ascii="Times New Roman" w:hAnsi="Times New Roman" w:eastAsia="楷体_GB2312" w:cs="Times New Roman"/>
          <w:b/>
          <w:bCs/>
          <w:sz w:val="32"/>
          <w:szCs w:val="32"/>
          <w:lang w:val="en-US" w:eastAsia="zh-CN"/>
        </w:rPr>
        <w:t>（一）机构组成。</w:t>
      </w:r>
      <w:r>
        <w:rPr>
          <w:rFonts w:hint="default" w:ascii="Times New Roman" w:hAnsi="Times New Roman" w:eastAsia="仿宋_GB2312" w:cs="Times New Roman"/>
          <w:kern w:val="2"/>
          <w:sz w:val="32"/>
          <w:szCs w:val="32"/>
          <w:lang w:val="zh-CN" w:eastAsia="zh-CN" w:bidi="ar-SA"/>
        </w:rPr>
        <w:t>根据上述职责，松潘县小姓乡设</w:t>
      </w:r>
      <w:r>
        <w:rPr>
          <w:rFonts w:hint="default" w:ascii="Times New Roman" w:hAnsi="Times New Roman" w:eastAsia="仿宋_GB2312" w:cs="Times New Roman"/>
          <w:kern w:val="2"/>
          <w:sz w:val="32"/>
          <w:szCs w:val="32"/>
          <w:lang w:val="en-US" w:eastAsia="zh-CN" w:bidi="ar-SA"/>
        </w:rPr>
        <w:t>5</w:t>
      </w:r>
      <w:r>
        <w:rPr>
          <w:rFonts w:hint="default" w:ascii="Times New Roman" w:hAnsi="Times New Roman" w:eastAsia="仿宋_GB2312" w:cs="Times New Roman"/>
          <w:kern w:val="2"/>
          <w:sz w:val="32"/>
          <w:szCs w:val="32"/>
          <w:lang w:val="zh-CN" w:eastAsia="zh-CN" w:bidi="ar-SA"/>
        </w:rPr>
        <w:t>个内设机构：</w:t>
      </w:r>
    </w:p>
    <w:p w14:paraId="41C2ABC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b/>
          <w:bCs/>
          <w:kern w:val="2"/>
          <w:sz w:val="32"/>
          <w:szCs w:val="32"/>
          <w:lang w:val="en-US" w:eastAsia="zh-CN" w:bidi="ar-SA"/>
        </w:rPr>
        <w:t>1.综合办公室。</w:t>
      </w:r>
      <w:r>
        <w:rPr>
          <w:rFonts w:hint="default" w:ascii="Times New Roman" w:hAnsi="Times New Roman" w:eastAsia="仿宋_GB2312" w:cs="Times New Roman"/>
          <w:kern w:val="2"/>
          <w:sz w:val="32"/>
          <w:szCs w:val="32"/>
          <w:lang w:val="zh-CN" w:eastAsia="zh-CN" w:bidi="ar-SA"/>
        </w:rPr>
        <w:t>主要工作职责：主要承担党委、人大、政府交办的各项日常工作、纪检监察工作及乡内各部门、各方面的综合协调工作，督促检查有关工作的落实。负责年度工作计划、工作总结、发展规划、报告、请示、领导讲话稿的起草、修改、校核工作；负责乡党委、政府各类会议的组织、会务、记录、撰写会议纪要和议事纪要工作；负责信息的收集、整理、印送、上报和信息调研工作；负责印章的管</w:t>
      </w:r>
      <w:r>
        <w:rPr>
          <w:rFonts w:hint="eastAsia" w:ascii="Times New Roman" w:hAnsi="Times New Roman" w:eastAsia="仿宋_GB2312" w:cs="Times New Roman"/>
          <w:kern w:val="2"/>
          <w:sz w:val="32"/>
          <w:szCs w:val="32"/>
          <w:lang w:val="zh-CN" w:eastAsia="zh-CN" w:bidi="ar-SA"/>
        </w:rPr>
        <w:t>理和</w:t>
      </w:r>
      <w:r>
        <w:rPr>
          <w:rFonts w:hint="default" w:ascii="Times New Roman" w:hAnsi="Times New Roman" w:eastAsia="仿宋_GB2312" w:cs="Times New Roman"/>
          <w:kern w:val="2"/>
          <w:sz w:val="32"/>
          <w:szCs w:val="32"/>
          <w:lang w:val="zh-CN" w:eastAsia="zh-CN" w:bidi="ar-SA"/>
        </w:rPr>
        <w:t>使用；负责各项目标管理的督促、自查及上报；负责人大议案、建议、批评意见的督办、反馈、汇总答复工作；承担乡党委、人大、政府交办的各项日常工作、纪检监察工作及各方面的综合协调工作，督促检查有关工作的落实；负责机关工作人员的政治思想、作风建设工作；指导全乡各村组开展党务、共青团、妇女工作，完成领导交办的其他工作。</w:t>
      </w:r>
    </w:p>
    <w:p w14:paraId="2ACE9C6E">
      <w:pPr>
        <w:keepNext w:val="0"/>
        <w:keepLines w:val="0"/>
        <w:pageBreakBefore w:val="0"/>
        <w:numPr>
          <w:ilvl w:val="0"/>
          <w:numId w:val="0"/>
        </w:numPr>
        <w:tabs>
          <w:tab w:val="left" w:pos="0"/>
        </w:tabs>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2.维稳办主要工作职责</w:t>
      </w:r>
      <w:r>
        <w:rPr>
          <w:rFonts w:hint="default" w:ascii="Times New Roman" w:hAnsi="Times New Roman" w:eastAsia="仿宋_GB2312" w:cs="Times New Roman"/>
          <w:kern w:val="2"/>
          <w:sz w:val="32"/>
          <w:szCs w:val="32"/>
          <w:lang w:val="en-US" w:eastAsia="zh-CN" w:bidi="ar-SA"/>
        </w:rPr>
        <w:t xml:space="preserve">。主要承担群众来信来访、民间纠纷调解、化解社会矛盾、维护社会稳定工作，搞好社会治安综合治理工作。受理群众来信来访，协调处理上级督办的信访案件和辖区内的信访积案，摸排、分析信访问题，提供动态信息和工作建议；承担维护稳定的各项日常工作，开展维护社会稳定工作的调研，了解掌握全乡社会稳定工作情况，贯彻落实乡党委、政府对维护稳定工作的部署，掌握并向上反映辖区内稳定动态情况；加强禁毒工作。 </w:t>
      </w:r>
    </w:p>
    <w:p w14:paraId="049B74F6">
      <w:pPr>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3.乡财政所。</w:t>
      </w:r>
      <w:r>
        <w:rPr>
          <w:rFonts w:hint="default" w:ascii="Times New Roman" w:hAnsi="Times New Roman" w:eastAsia="仿宋_GB2312" w:cs="Times New Roman"/>
          <w:kern w:val="2"/>
          <w:sz w:val="32"/>
          <w:szCs w:val="32"/>
          <w:lang w:val="en-US" w:eastAsia="zh-CN" w:bidi="ar-SA"/>
        </w:rPr>
        <w:t>主要工作职责：承担全乡农业、林业、水利、畜牧和第三产业发展规划，国有资产管理工作，协调与经济发展相关的其他工作。负责草拟全乡农业产业结构调整规划，并督促落实；负责提交全乡公益性基础设施建设规划；加强农村土地承包管理，农民负担监督管理，农村集体资产财务管理。</w:t>
      </w:r>
    </w:p>
    <w:p w14:paraId="2A4B787B">
      <w:pPr>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4.城乡管理工作办公室。</w:t>
      </w:r>
      <w:r>
        <w:rPr>
          <w:rFonts w:hint="default" w:ascii="Times New Roman" w:hAnsi="Times New Roman" w:eastAsia="仿宋_GB2312" w:cs="Times New Roman"/>
          <w:kern w:val="2"/>
          <w:sz w:val="32"/>
          <w:szCs w:val="32"/>
          <w:lang w:val="en-US" w:eastAsia="zh-CN" w:bidi="ar-SA"/>
        </w:rPr>
        <w:t>主要工作职责：协助县级有关部门，负责乡区卫生、治安、城乡拆迁、规划建设、环境保护等工作。负责乡辖区环境卫生工作，培养群众爱清洁，讲文明的良好习惯，加大保洁员的工作力度，加强对辖区环境卫生的检查，创造优美舒适的人居环境；协助做好拆迁安置工作；协助做好城乡规划和建设工作；通过宣传，增强老百姓的环保意识，大力提倡节能减排，保护环境，做好环保工作。</w:t>
      </w:r>
    </w:p>
    <w:p w14:paraId="62CF9CE1">
      <w:pPr>
        <w:keepNext w:val="0"/>
        <w:keepLines w:val="0"/>
        <w:pageBreakBefore w:val="0"/>
        <w:widowControl/>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5.设置乡团委书记、乡妇联主席、乡工会主席职位。一是</w:t>
      </w:r>
      <w:r>
        <w:rPr>
          <w:rFonts w:hint="default" w:ascii="Times New Roman" w:hAnsi="Times New Roman" w:eastAsia="仿宋_GB2312" w:cs="Times New Roman"/>
          <w:kern w:val="2"/>
          <w:sz w:val="32"/>
          <w:szCs w:val="32"/>
          <w:lang w:val="en-US" w:eastAsia="zh-CN" w:bidi="ar-SA"/>
        </w:rPr>
        <w:t>乡团委工作职责：做好团员的发展与管理工作，关心青少年的进步与维权；用科学的理论武装青少年，全面推进青少年思想道德建设和思想政治教育。对团员进行教育和管理，对团员进行党的基本知识教育，推荐优秀团员作为党员发展对象，发现培养青年中的优秀人才，推荐他们进入更重要的生产和工作岗位；完成领导交办的其他工作。</w:t>
      </w:r>
      <w:r>
        <w:rPr>
          <w:rFonts w:hint="default" w:ascii="Times New Roman" w:hAnsi="Times New Roman" w:eastAsia="仿宋_GB2312" w:cs="Times New Roman"/>
          <w:b/>
          <w:bCs/>
          <w:kern w:val="2"/>
          <w:sz w:val="32"/>
          <w:szCs w:val="32"/>
          <w:lang w:val="en-US" w:eastAsia="zh-CN" w:bidi="ar-SA"/>
        </w:rPr>
        <w:t>二是</w:t>
      </w:r>
      <w:r>
        <w:rPr>
          <w:rFonts w:hint="default" w:ascii="Times New Roman" w:hAnsi="Times New Roman" w:eastAsia="仿宋_GB2312" w:cs="Times New Roman"/>
          <w:kern w:val="2"/>
          <w:sz w:val="32"/>
          <w:szCs w:val="32"/>
          <w:lang w:val="en-US" w:eastAsia="zh-CN" w:bidi="ar-SA"/>
        </w:rPr>
        <w:t>乡妇联工作职责：做好基层妇代会队伍建设，保护妇女儿童老人的合法权益；团结、动员妇女投身改革开放和社会主义现代化建设，促进经济发展和社会全面进步；教育、引导广大妇女增强自尊、自信、自立、自强的精神，全面提高素质，促进妇女人才成长，完成领导交办的其他工作。</w:t>
      </w:r>
      <w:r>
        <w:rPr>
          <w:rFonts w:hint="default" w:ascii="Times New Roman" w:hAnsi="Times New Roman" w:eastAsia="仿宋_GB2312" w:cs="Times New Roman"/>
          <w:b/>
          <w:bCs/>
          <w:kern w:val="2"/>
          <w:sz w:val="32"/>
          <w:szCs w:val="32"/>
          <w:lang w:val="en-US" w:eastAsia="zh-CN" w:bidi="ar-SA"/>
        </w:rPr>
        <w:t>三是</w:t>
      </w:r>
      <w:r>
        <w:rPr>
          <w:rFonts w:hint="default" w:ascii="Times New Roman" w:hAnsi="Times New Roman" w:eastAsia="仿宋_GB2312" w:cs="Times New Roman"/>
          <w:kern w:val="2"/>
          <w:sz w:val="32"/>
          <w:szCs w:val="32"/>
          <w:lang w:val="en-US" w:eastAsia="zh-CN" w:bidi="ar-SA"/>
        </w:rPr>
        <w:t>乡工会工作职责：根据党的路线、方针、政策，党在各个时期的中心任务和党的工作方针，以及上级工会和党委、政府的中心任务，部署确定本乡工会阶段性的主要任务和重点工作。加强维权机制建设，进一步构建和谐劳动关系。完善各项维权机制的运作，坚持和推进以职代会为基本形式的企事业单位民主管理制度，协调劳动关系，促进劳动关系的和谐稳定，完成领导交办的其他工作。</w:t>
      </w:r>
    </w:p>
    <w:p w14:paraId="79FA6F6B">
      <w:pPr>
        <w:pStyle w:val="11"/>
        <w:keepNext w:val="0"/>
        <w:keepLines w:val="0"/>
        <w:pageBreakBefore w:val="0"/>
        <w:widowControl w:val="0"/>
        <w:kinsoku/>
        <w:wordWrap/>
        <w:overflowPunct/>
        <w:topLinePunct w:val="0"/>
        <w:autoSpaceDE/>
        <w:autoSpaceDN/>
        <w:bidi w:val="0"/>
        <w:adjustRightInd/>
        <w:spacing w:before="0" w:after="0" w:line="576" w:lineRule="exact"/>
        <w:ind w:left="0" w:leftChars="0" w:firstLine="643" w:firstLineChars="200"/>
        <w:jc w:val="both"/>
        <w:textAlignment w:val="auto"/>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t>二、部门资金收支情况</w:t>
      </w:r>
    </w:p>
    <w:p w14:paraId="2BEFC357">
      <w:pPr>
        <w:pStyle w:val="11"/>
        <w:keepNext w:val="0"/>
        <w:keepLines w:val="0"/>
        <w:pageBreakBefore w:val="0"/>
        <w:widowControl w:val="0"/>
        <w:kinsoku/>
        <w:wordWrap/>
        <w:overflowPunct/>
        <w:topLinePunct w:val="0"/>
        <w:autoSpaceDE/>
        <w:autoSpaceDN/>
        <w:bidi w:val="0"/>
        <w:adjustRightInd/>
        <w:spacing w:before="0" w:after="0" w:line="576" w:lineRule="exact"/>
        <w:ind w:left="0" w:leftChars="0" w:firstLine="640"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楷体_GB2312" w:cs="Times New Roman"/>
          <w:b w:val="0"/>
          <w:bCs w:val="0"/>
          <w:sz w:val="32"/>
          <w:szCs w:val="32"/>
          <w:lang w:val="en-US" w:eastAsia="zh-CN"/>
        </w:rPr>
        <w:t>（一）收入情况</w:t>
      </w:r>
      <w:r>
        <w:rPr>
          <w:rFonts w:hint="default" w:ascii="Times New Roman" w:hAnsi="Times New Roman" w:eastAsia="楷体_GB2312" w:cs="Times New Roman"/>
          <w:b/>
          <w:bCs/>
          <w:sz w:val="32"/>
          <w:szCs w:val="32"/>
          <w:lang w:val="en-US" w:eastAsia="zh-CN"/>
        </w:rPr>
        <w:t>。</w:t>
      </w:r>
    </w:p>
    <w:p w14:paraId="2ECD38E0">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1.松潘县小姓乡2025年年初预算收入情况。</w:t>
      </w:r>
    </w:p>
    <w:p w14:paraId="082B665E">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2.2025年年初预算总收入926.32万元。</w:t>
      </w:r>
    </w:p>
    <w:p w14:paraId="523CB4F5">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楷体_GB2312" w:cs="Times New Roman"/>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（二）决算报表支出情况。</w:t>
      </w:r>
    </w:p>
    <w:p w14:paraId="470588F1">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2025年决算报表总支出1265.95万元，其中2010301－行政运行505.31万元，2010350－事业运行204.67万元。</w:t>
      </w:r>
    </w:p>
    <w:p w14:paraId="1AC96411">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zh-CN" w:eastAsia="zh-CN" w:bidi="ar-SA"/>
        </w:rPr>
        <w:t>（三）</w:t>
      </w:r>
      <w:r>
        <w:rPr>
          <w:rFonts w:hint="default" w:ascii="Times New Roman" w:hAnsi="Times New Roman" w:eastAsia="仿宋_GB2312" w:cs="Times New Roman"/>
          <w:b w:val="0"/>
          <w:bCs w:val="0"/>
          <w:kern w:val="2"/>
          <w:sz w:val="32"/>
          <w:szCs w:val="32"/>
          <w:lang w:val="en-US" w:eastAsia="zh-CN" w:bidi="ar-SA"/>
        </w:rPr>
        <w:t>结余分配和结转结余情况。</w:t>
      </w:r>
    </w:p>
    <w:p w14:paraId="0E678E96">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松潘县小姓乡2025年决算报表结转结余情况：2025年年初结转和结余7.38万元（非财政拨款），年末结转和结余0万元。</w:t>
      </w:r>
    </w:p>
    <w:p w14:paraId="0DBDEF83">
      <w:pPr>
        <w:pStyle w:val="11"/>
        <w:keepNext w:val="0"/>
        <w:keepLines w:val="0"/>
        <w:pageBreakBefore w:val="0"/>
        <w:widowControl w:val="0"/>
        <w:kinsoku/>
        <w:wordWrap/>
        <w:overflowPunct/>
        <w:topLinePunct w:val="0"/>
        <w:autoSpaceDE/>
        <w:autoSpaceDN/>
        <w:bidi w:val="0"/>
        <w:adjustRightInd/>
        <w:spacing w:before="0" w:after="0" w:line="576" w:lineRule="exact"/>
        <w:ind w:left="0" w:leftChars="0" w:firstLine="640"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黑体" w:cs="Times New Roman"/>
          <w:b w:val="0"/>
          <w:bCs w:val="0"/>
          <w:sz w:val="32"/>
          <w:szCs w:val="32"/>
          <w:lang w:val="en-US" w:eastAsia="zh-CN"/>
        </w:rPr>
        <w:t>三、部门预算绩效分析</w:t>
      </w:r>
    </w:p>
    <w:p w14:paraId="3F3B90E4">
      <w:pPr>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楷体_GB2312" w:cs="Times New Roman"/>
          <w:kern w:val="2"/>
          <w:sz w:val="32"/>
          <w:szCs w:val="32"/>
          <w:lang w:val="zh-CN" w:eastAsia="zh-CN" w:bidi="ar-SA"/>
        </w:rPr>
      </w:pPr>
      <w:r>
        <w:rPr>
          <w:rFonts w:hint="default" w:ascii="Times New Roman" w:hAnsi="Times New Roman" w:eastAsia="楷体_GB2312" w:cs="Times New Roman"/>
          <w:b/>
          <w:bCs/>
          <w:kern w:val="2"/>
          <w:sz w:val="32"/>
          <w:szCs w:val="32"/>
          <w:lang w:val="zh-CN" w:eastAsia="zh-CN" w:bidi="ar-SA"/>
        </w:rPr>
        <w:t>（一）部门预算总体绩效分析</w:t>
      </w:r>
      <w:r>
        <w:rPr>
          <w:rFonts w:hint="default" w:ascii="Times New Roman" w:hAnsi="Times New Roman" w:eastAsia="楷体_GB2312" w:cs="Times New Roman"/>
          <w:kern w:val="2"/>
          <w:sz w:val="32"/>
          <w:szCs w:val="32"/>
          <w:lang w:val="zh-CN" w:eastAsia="zh-CN" w:bidi="ar-SA"/>
        </w:rPr>
        <w:t>。</w:t>
      </w:r>
    </w:p>
    <w:p w14:paraId="14202E43">
      <w:pPr>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1.</w:t>
      </w:r>
      <w:r>
        <w:rPr>
          <w:rFonts w:hint="default" w:ascii="Times New Roman" w:hAnsi="Times New Roman" w:eastAsia="仿宋_GB2312" w:cs="Times New Roman"/>
          <w:b/>
          <w:bCs/>
          <w:kern w:val="2"/>
          <w:sz w:val="32"/>
          <w:szCs w:val="32"/>
          <w:lang w:val="zh-CN" w:eastAsia="zh-CN" w:bidi="ar-SA"/>
        </w:rPr>
        <w:t>履职效能。</w:t>
      </w:r>
      <w:r>
        <w:rPr>
          <w:rFonts w:hint="default" w:ascii="Times New Roman" w:hAnsi="Times New Roman" w:eastAsia="仿宋_GB2312" w:cs="Times New Roman"/>
          <w:kern w:val="2"/>
          <w:sz w:val="32"/>
          <w:szCs w:val="32"/>
          <w:lang w:val="zh-CN" w:eastAsia="zh-CN" w:bidi="ar-SA"/>
        </w:rPr>
        <w:t>社保政策落实履职效果明显，2025年全乡居民参加养老保险及医疗保险情况能够达到上级部门下达的指标；政策宣讲履职效果良好，2025年我乡充分发挥人大代表密切联系群众的优势和特点，引导全乡人大代表在日常工作开展过程中带头宣讲政策，建言献策；在信访处理完成情况中，履职效果明显，我乡在畅通民意表达渠道，疏通干部和群众沟通渠道，提高乡政府履职能力。</w:t>
      </w:r>
    </w:p>
    <w:p w14:paraId="36C1BF8B">
      <w:pPr>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b/>
          <w:bCs/>
          <w:kern w:val="2"/>
          <w:sz w:val="32"/>
          <w:szCs w:val="32"/>
          <w:lang w:val="en-US" w:eastAsia="zh-CN" w:bidi="ar-SA"/>
        </w:rPr>
        <w:t>2.</w:t>
      </w:r>
      <w:r>
        <w:rPr>
          <w:rFonts w:hint="default" w:ascii="Times New Roman" w:hAnsi="Times New Roman" w:eastAsia="仿宋_GB2312" w:cs="Times New Roman"/>
          <w:b/>
          <w:bCs/>
          <w:kern w:val="2"/>
          <w:sz w:val="32"/>
          <w:szCs w:val="32"/>
          <w:lang w:val="zh-CN" w:eastAsia="zh-CN" w:bidi="ar-SA"/>
        </w:rPr>
        <w:t>预算管理。</w:t>
      </w:r>
      <w:r>
        <w:rPr>
          <w:rFonts w:hint="default" w:ascii="Times New Roman" w:hAnsi="Times New Roman" w:eastAsia="仿宋_GB2312" w:cs="Times New Roman"/>
          <w:kern w:val="2"/>
          <w:sz w:val="32"/>
          <w:szCs w:val="32"/>
          <w:lang w:val="zh-CN" w:eastAsia="zh-CN" w:bidi="ar-SA"/>
        </w:rPr>
        <w:t>我单位预算编制基于充分的数据分析、历史经验和未来预测，采用科学合理的编制方法，确保预算的准确性和可行性；</w:t>
      </w:r>
      <w:r>
        <w:rPr>
          <w:rFonts w:hint="default" w:ascii="Times New Roman" w:hAnsi="Times New Roman" w:eastAsia="仿宋_GB2312" w:cs="Times New Roman"/>
          <w:kern w:val="2"/>
          <w:sz w:val="32"/>
          <w:szCs w:val="32"/>
          <w:lang w:val="en-US" w:eastAsia="zh-CN" w:bidi="ar-SA"/>
        </w:rPr>
        <w:t>覆盖</w:t>
      </w:r>
      <w:r>
        <w:rPr>
          <w:rFonts w:hint="default" w:ascii="Times New Roman" w:hAnsi="Times New Roman" w:eastAsia="仿宋_GB2312" w:cs="Times New Roman"/>
          <w:kern w:val="2"/>
          <w:sz w:val="32"/>
          <w:szCs w:val="32"/>
          <w:lang w:val="zh-CN" w:eastAsia="zh-CN" w:bidi="ar-SA"/>
        </w:rPr>
        <w:t>所有必要的支出和收入项目，避免遗漏或重复，确保预算的完整性；符合国家法律法规、政策要求以及单位内部的财务管理制度，确保预算的合法性和规范性；预算编制过程应公开透明，接受内外部监督，确保预算的公正性和可信度。本单位实现了资金的集中管理和统一调度，提高了资金的使用效率。资金集中管理有助于减少资金闲置和浪费；支出执行进度方面，进度完成情况良好，资金能及时支付。在预算执行过程中，我乡应严格按照预算安排各项支出，确保预算执行的严肃性和规范性。同时，应加强对预算执行情况的监督和检查，及时发现和纠正问题。</w:t>
      </w:r>
    </w:p>
    <w:p w14:paraId="34624564">
      <w:pPr>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 w:cs="Times New Roman"/>
          <w:kern w:val="2"/>
          <w:sz w:val="32"/>
          <w:szCs w:val="32"/>
          <w:lang w:val="zh-CN" w:eastAsia="zh-CN" w:bidi="ar-SA"/>
        </w:rPr>
      </w:pPr>
      <w:r>
        <w:rPr>
          <w:rFonts w:hint="default" w:ascii="Times New Roman" w:hAnsi="Times New Roman" w:eastAsia="仿宋_GB2312" w:cs="Times New Roman"/>
          <w:b/>
          <w:bCs/>
          <w:kern w:val="2"/>
          <w:sz w:val="32"/>
          <w:szCs w:val="32"/>
          <w:lang w:val="en-US" w:eastAsia="zh-CN" w:bidi="ar-SA"/>
        </w:rPr>
        <w:t>3.</w:t>
      </w:r>
      <w:r>
        <w:rPr>
          <w:rFonts w:hint="default" w:ascii="Times New Roman" w:hAnsi="Times New Roman" w:eastAsia="仿宋_GB2312" w:cs="Times New Roman"/>
          <w:b/>
          <w:bCs/>
          <w:kern w:val="2"/>
          <w:sz w:val="32"/>
          <w:szCs w:val="32"/>
          <w:lang w:val="zh-CN" w:eastAsia="zh-CN" w:bidi="ar-SA"/>
        </w:rPr>
        <w:t>财务管理。</w:t>
      </w:r>
      <w:r>
        <w:rPr>
          <w:rFonts w:hint="default" w:ascii="Times New Roman" w:hAnsi="Times New Roman" w:eastAsia="仿宋_GB2312" w:cs="Times New Roman"/>
          <w:kern w:val="2"/>
          <w:sz w:val="32"/>
          <w:szCs w:val="32"/>
          <w:lang w:val="zh-CN" w:eastAsia="zh-CN" w:bidi="ar-SA"/>
        </w:rPr>
        <w:t>我乡财务管理制度建设完善，建立健全财务管理制度，包括预算管理、收支管理、资产管理、内部控制等方面的规定。这些制度应明确各项财务活动的流程、标准和责任，确保财务管理的规范性和有效性。在财务岗位设置方面，我乡设置了会计出纳岗位，专人专岗。在资金使用方面，我单位加强对各项支出的管理，确保支出的合规性和效益性。应建立健全支出管理制度，明确各项支出的范围、标准和审批程序，防止支出浪费和违规支出现象的发生。</w:t>
      </w:r>
    </w:p>
    <w:p w14:paraId="41C7D0FF">
      <w:pPr>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 w:cs="Times New Roman"/>
          <w:kern w:val="2"/>
          <w:sz w:val="32"/>
          <w:szCs w:val="32"/>
          <w:lang w:val="zh-CN" w:eastAsia="zh-CN" w:bidi="ar-SA"/>
        </w:rPr>
      </w:pPr>
      <w:r>
        <w:rPr>
          <w:rFonts w:hint="default" w:ascii="Times New Roman" w:hAnsi="Times New Roman" w:eastAsia="仿宋_GB2312" w:cs="Times New Roman"/>
          <w:b/>
          <w:bCs/>
          <w:kern w:val="2"/>
          <w:sz w:val="32"/>
          <w:szCs w:val="32"/>
          <w:lang w:val="en-US" w:eastAsia="zh-CN" w:bidi="ar-SA"/>
        </w:rPr>
        <w:t>4.</w:t>
      </w:r>
      <w:r>
        <w:rPr>
          <w:rFonts w:hint="default" w:ascii="Times New Roman" w:hAnsi="Times New Roman" w:eastAsia="仿宋_GB2312" w:cs="Times New Roman"/>
          <w:b/>
          <w:bCs/>
          <w:kern w:val="2"/>
          <w:sz w:val="32"/>
          <w:szCs w:val="32"/>
          <w:lang w:val="zh-CN" w:eastAsia="zh-CN" w:bidi="ar-SA"/>
        </w:rPr>
        <w:t>资产管理。</w:t>
      </w:r>
      <w:r>
        <w:rPr>
          <w:rFonts w:hint="default" w:ascii="Times New Roman" w:hAnsi="Times New Roman" w:eastAsia="仿宋_GB2312" w:cs="Times New Roman"/>
          <w:kern w:val="2"/>
          <w:sz w:val="32"/>
          <w:szCs w:val="32"/>
          <w:lang w:val="zh-CN" w:eastAsia="zh-CN" w:bidi="ar-SA"/>
        </w:rPr>
        <w:t>在资产管理规范性方面，我单位加强对固定资产和流动资产的管理，确保资产的完整性和安全性。应建立健全资产管理制度，明确资产的采购、验收、使用、处置等环节的流程和责任，防止资产流失和浪费现象的发生。</w:t>
      </w:r>
      <w:r>
        <w:rPr>
          <w:rFonts w:hint="default" w:ascii="Times New Roman" w:hAnsi="Times New Roman" w:eastAsia="仿宋" w:cs="Times New Roman"/>
          <w:kern w:val="2"/>
          <w:sz w:val="32"/>
          <w:szCs w:val="32"/>
          <w:lang w:val="en-US" w:eastAsia="zh-CN" w:bidi="ar-SA"/>
        </w:rPr>
        <w:t>资产</w:t>
      </w:r>
      <w:r>
        <w:rPr>
          <w:rFonts w:hint="default" w:ascii="Times New Roman" w:hAnsi="Times New Roman" w:eastAsia="仿宋" w:cs="Times New Roman"/>
          <w:kern w:val="2"/>
          <w:sz w:val="32"/>
          <w:szCs w:val="32"/>
          <w:lang w:val="zh-CN" w:eastAsia="zh-CN" w:bidi="ar-SA"/>
        </w:rPr>
        <w:t>清查与盘点方面，我单位定期对资产进行清查和盘点，确保资产账实相符。对于盘盈或盘亏的资产，应及时查明原因并按照规定进行处理。</w:t>
      </w:r>
    </w:p>
    <w:p w14:paraId="109BFF38">
      <w:pPr>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 w:cs="Times New Roman"/>
          <w:kern w:val="2"/>
          <w:sz w:val="32"/>
          <w:szCs w:val="32"/>
          <w:lang w:val="zh-CN" w:eastAsia="zh-CN" w:bidi="ar-SA"/>
        </w:rPr>
      </w:pPr>
      <w:r>
        <w:rPr>
          <w:rFonts w:hint="default" w:ascii="Times New Roman" w:hAnsi="Times New Roman" w:eastAsia="仿宋_GB2312" w:cs="Times New Roman"/>
          <w:b/>
          <w:bCs/>
          <w:kern w:val="2"/>
          <w:sz w:val="32"/>
          <w:szCs w:val="32"/>
          <w:lang w:val="en-US" w:eastAsia="zh-CN" w:bidi="ar-SA"/>
        </w:rPr>
        <w:t>5.</w:t>
      </w:r>
      <w:r>
        <w:rPr>
          <w:rFonts w:hint="default" w:ascii="Times New Roman" w:hAnsi="Times New Roman" w:eastAsia="仿宋_GB2312" w:cs="Times New Roman"/>
          <w:b/>
          <w:bCs/>
          <w:kern w:val="2"/>
          <w:sz w:val="32"/>
          <w:szCs w:val="32"/>
          <w:lang w:val="zh-CN" w:eastAsia="zh-CN" w:bidi="ar-SA"/>
        </w:rPr>
        <w:t>采购管理。</w:t>
      </w:r>
      <w:r>
        <w:rPr>
          <w:rFonts w:hint="default" w:ascii="Times New Roman" w:hAnsi="Times New Roman" w:eastAsia="仿宋_GB2312" w:cs="Times New Roman"/>
          <w:kern w:val="2"/>
          <w:sz w:val="32"/>
          <w:szCs w:val="32"/>
          <w:lang w:val="zh-CN" w:eastAsia="zh-CN" w:bidi="ar-SA"/>
        </w:rPr>
        <w:t>我单位采购项目全力支持中小企业发展，优先向中小企业发放；采购管理系统的自动化和信息化程度高。采用先进的采购管理系统能够减少人工操作，提高数据处理速度和准确性，从而提升采购效率。采购活动符合国家法律法规、单位内部规章制度以及采购政策的要求。加强内部控制和风险管理，降低采购风险，保障采购活动的顺利进行。建立全面的采购管理绩效指标体系，包括采购效率、采购成本、采购质量、合规性等多个方面的指标。通过定期收集和分析数据，全面评估采购管理的绩效水平。针对存在的问题和不足，制定具体的改进措施并跟踪实施效果，不断提升采购管理的绩效水平。</w:t>
      </w:r>
    </w:p>
    <w:p w14:paraId="7FD48F10">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kern w:val="2"/>
          <w:sz w:val="32"/>
          <w:szCs w:val="32"/>
          <w:lang w:val="zh-CN" w:eastAsia="zh-CN" w:bidi="ar-SA"/>
        </w:rPr>
        <w:t>（二）部门预算项目绩效分析。</w:t>
      </w:r>
      <w:r>
        <w:rPr>
          <w:rFonts w:hint="default" w:ascii="Times New Roman" w:hAnsi="Times New Roman" w:eastAsia="仿宋_GB2312" w:cs="Times New Roman"/>
          <w:kern w:val="2"/>
          <w:sz w:val="32"/>
          <w:szCs w:val="32"/>
          <w:lang w:val="zh-CN" w:eastAsia="zh-CN" w:bidi="ar-SA"/>
        </w:rPr>
        <w:t>填报以下数据，并根据部门预算绩效评价指标体系</w:t>
      </w:r>
      <w:r>
        <w:rPr>
          <w:rFonts w:hint="eastAsia" w:ascii="Times New Roman" w:hAnsi="Times New Roman" w:eastAsia="仿宋_GB2312" w:cs="Times New Roman"/>
          <w:kern w:val="2"/>
          <w:sz w:val="32"/>
          <w:szCs w:val="32"/>
          <w:lang w:val="zh-CN" w:eastAsia="zh-CN" w:bidi="ar-SA"/>
        </w:rPr>
        <w:t>“</w:t>
      </w:r>
      <w:r>
        <w:rPr>
          <w:rFonts w:hint="default" w:ascii="Times New Roman" w:hAnsi="Times New Roman" w:eastAsia="仿宋_GB2312" w:cs="Times New Roman"/>
          <w:kern w:val="2"/>
          <w:sz w:val="32"/>
          <w:szCs w:val="32"/>
          <w:lang w:val="zh-CN" w:eastAsia="zh-CN" w:bidi="ar-SA"/>
        </w:rPr>
        <w:t>项目绩效</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zh-CN" w:eastAsia="zh-CN" w:bidi="ar-SA"/>
        </w:rPr>
        <w:t>涉及二、三级指标进行逐项绩效分析并评分，依次包括项目</w:t>
      </w:r>
      <w:r>
        <w:rPr>
          <w:rFonts w:hint="default" w:ascii="Times New Roman" w:hAnsi="Times New Roman" w:eastAsia="仿宋_GB2312" w:cs="Times New Roman"/>
          <w:kern w:val="2"/>
          <w:sz w:val="32"/>
          <w:szCs w:val="32"/>
          <w:lang w:val="en-US" w:eastAsia="zh-CN" w:bidi="ar-SA"/>
        </w:rPr>
        <w:t>决策、项目执行、目标实现等情况。</w:t>
      </w:r>
    </w:p>
    <w:p w14:paraId="3376423A">
      <w:pPr>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b/>
          <w:bCs/>
          <w:kern w:val="2"/>
          <w:sz w:val="32"/>
          <w:szCs w:val="32"/>
          <w:lang w:val="en-US" w:eastAsia="zh-CN" w:bidi="ar-SA"/>
        </w:rPr>
        <w:t>1.</w:t>
      </w:r>
      <w:r>
        <w:rPr>
          <w:rFonts w:hint="default" w:ascii="Times New Roman" w:hAnsi="Times New Roman" w:eastAsia="仿宋_GB2312" w:cs="Times New Roman"/>
          <w:b/>
          <w:bCs/>
          <w:kern w:val="2"/>
          <w:sz w:val="32"/>
          <w:szCs w:val="32"/>
          <w:lang w:val="en-US" w:eastAsia="zh-CN" w:bidi="ar-SA"/>
        </w:rPr>
        <w:t>常年项目绩效分析。</w:t>
      </w:r>
      <w:r>
        <w:rPr>
          <w:rFonts w:hint="default" w:ascii="Times New Roman" w:hAnsi="Times New Roman" w:eastAsia="仿宋_GB2312" w:cs="Times New Roman"/>
          <w:kern w:val="2"/>
          <w:sz w:val="32"/>
          <w:szCs w:val="32"/>
          <w:lang w:val="zh-CN" w:eastAsia="zh-CN" w:bidi="ar-SA"/>
        </w:rPr>
        <w:t>该类项目总数</w:t>
      </w:r>
      <w:r>
        <w:rPr>
          <w:rFonts w:hint="default" w:ascii="Times New Roman" w:hAnsi="Times New Roman" w:eastAsia="仿宋_GB2312" w:cs="Times New Roman"/>
          <w:kern w:val="2"/>
          <w:sz w:val="32"/>
          <w:szCs w:val="32"/>
          <w:lang w:val="en-US" w:eastAsia="zh-CN" w:bidi="ar-SA"/>
        </w:rPr>
        <w:t xml:space="preserve"> 2</w:t>
      </w:r>
      <w:r>
        <w:rPr>
          <w:rFonts w:hint="default" w:ascii="Times New Roman" w:hAnsi="Times New Roman" w:eastAsia="仿宋_GB2312" w:cs="Times New Roman"/>
          <w:kern w:val="2"/>
          <w:sz w:val="32"/>
          <w:szCs w:val="32"/>
          <w:lang w:val="zh-CN" w:eastAsia="zh-CN" w:bidi="ar-SA"/>
        </w:rPr>
        <w:t>个，其中农村公共服务运行经费项目，预算总</w:t>
      </w:r>
      <w:r>
        <w:rPr>
          <w:rFonts w:hint="default" w:ascii="Times New Roman" w:hAnsi="Times New Roman" w:eastAsia="仿宋_GB2312" w:cs="Times New Roman"/>
          <w:kern w:val="2"/>
          <w:sz w:val="32"/>
          <w:szCs w:val="32"/>
          <w:highlight w:val="none"/>
          <w:lang w:val="zh-CN" w:eastAsia="zh-CN" w:bidi="ar-SA"/>
        </w:rPr>
        <w:t>数</w:t>
      </w:r>
      <w:r>
        <w:rPr>
          <w:rFonts w:hint="default" w:ascii="Times New Roman" w:hAnsi="Times New Roman" w:eastAsia="仿宋_GB2312" w:cs="Times New Roman"/>
          <w:kern w:val="2"/>
          <w:sz w:val="32"/>
          <w:szCs w:val="32"/>
          <w:highlight w:val="none"/>
          <w:lang w:val="en-US" w:eastAsia="zh-CN" w:bidi="ar-SA"/>
        </w:rPr>
        <w:t>74.85万元</w:t>
      </w:r>
      <w:r>
        <w:rPr>
          <w:rFonts w:hint="default" w:ascii="Times New Roman" w:hAnsi="Times New Roman" w:eastAsia="仿宋_GB2312" w:cs="Times New Roman"/>
          <w:kern w:val="2"/>
          <w:sz w:val="32"/>
          <w:szCs w:val="32"/>
          <w:lang w:val="en-US" w:eastAsia="zh-CN" w:bidi="ar-SA"/>
        </w:rPr>
        <w:t>，预算执行数74.85万元，执行率100%；村干部工资</w:t>
      </w:r>
      <w:r>
        <w:rPr>
          <w:rFonts w:hint="default" w:ascii="Times New Roman" w:hAnsi="Times New Roman" w:eastAsia="仿宋_GB2312" w:cs="Times New Roman"/>
          <w:kern w:val="2"/>
          <w:sz w:val="32"/>
          <w:szCs w:val="32"/>
          <w:lang w:val="zh-CN" w:eastAsia="zh-CN" w:bidi="ar-SA"/>
        </w:rPr>
        <w:t>预算总数</w:t>
      </w:r>
      <w:r>
        <w:rPr>
          <w:rFonts w:hint="default" w:ascii="Times New Roman" w:hAnsi="Times New Roman" w:eastAsia="仿宋_GB2312" w:cs="Times New Roman"/>
          <w:kern w:val="2"/>
          <w:sz w:val="32"/>
          <w:szCs w:val="32"/>
          <w:lang w:val="en-US" w:eastAsia="zh-CN" w:bidi="ar-SA"/>
        </w:rPr>
        <w:t>113.41万元，预算执行数113.41万元，执行率100%。</w:t>
      </w:r>
      <w:r>
        <w:rPr>
          <w:rFonts w:hint="default" w:ascii="Times New Roman" w:hAnsi="Times New Roman" w:eastAsia="仿宋_GB2312" w:cs="Times New Roman"/>
          <w:kern w:val="2"/>
          <w:sz w:val="32"/>
          <w:szCs w:val="32"/>
          <w:lang w:val="zh-CN" w:eastAsia="zh-CN" w:bidi="ar-SA"/>
        </w:rPr>
        <w:t>涉及预算总金额</w:t>
      </w:r>
      <w:r>
        <w:rPr>
          <w:rFonts w:hint="default" w:ascii="Times New Roman" w:hAnsi="Times New Roman" w:eastAsia="仿宋_GB2312" w:cs="Times New Roman"/>
          <w:kern w:val="2"/>
          <w:sz w:val="32"/>
          <w:szCs w:val="32"/>
          <w:lang w:val="en-US" w:eastAsia="zh-CN" w:bidi="ar-SA"/>
        </w:rPr>
        <w:t>188.26</w:t>
      </w:r>
      <w:r>
        <w:rPr>
          <w:rFonts w:hint="default" w:ascii="Times New Roman" w:hAnsi="Times New Roman" w:eastAsia="仿宋_GB2312" w:cs="Times New Roman"/>
          <w:kern w:val="2"/>
          <w:sz w:val="32"/>
          <w:szCs w:val="32"/>
          <w:lang w:val="zh-CN" w:eastAsia="zh-CN" w:bidi="ar-SA"/>
        </w:rPr>
        <w:t>万元，1—1</w:t>
      </w:r>
      <w:r>
        <w:rPr>
          <w:rFonts w:hint="default" w:ascii="Times New Roman" w:hAnsi="Times New Roman"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lang w:val="zh-CN" w:eastAsia="zh-CN" w:bidi="ar-SA"/>
        </w:rPr>
        <w:t>月预算执行总体进度</w:t>
      </w:r>
      <w:r>
        <w:rPr>
          <w:rFonts w:hint="default" w:ascii="Times New Roman" w:hAnsi="Times New Roman" w:eastAsia="仿宋_GB2312" w:cs="Times New Roman"/>
          <w:kern w:val="2"/>
          <w:sz w:val="32"/>
          <w:szCs w:val="32"/>
          <w:lang w:val="en-US" w:eastAsia="zh-CN" w:bidi="ar-SA"/>
        </w:rPr>
        <w:t>100</w:t>
      </w:r>
      <w:r>
        <w:rPr>
          <w:rFonts w:hint="default" w:ascii="Times New Roman" w:hAnsi="Times New Roman" w:eastAsia="仿宋_GB2312" w:cs="Times New Roman"/>
          <w:kern w:val="2"/>
          <w:sz w:val="32"/>
          <w:szCs w:val="32"/>
          <w:lang w:val="zh-CN" w:eastAsia="zh-CN" w:bidi="ar-SA"/>
        </w:rPr>
        <w:t>%，其中：预算结余率大于</w:t>
      </w:r>
      <w:r>
        <w:rPr>
          <w:rFonts w:hint="default" w:ascii="Times New Roman" w:hAnsi="Times New Roman" w:eastAsia="仿宋_GB2312" w:cs="Times New Roman"/>
          <w:kern w:val="2"/>
          <w:sz w:val="32"/>
          <w:szCs w:val="32"/>
          <w:lang w:val="en-US" w:eastAsia="zh-CN" w:bidi="ar-SA"/>
        </w:rPr>
        <w:t>10%</w:t>
      </w:r>
      <w:r>
        <w:rPr>
          <w:rFonts w:hint="default" w:ascii="Times New Roman" w:hAnsi="Times New Roman" w:eastAsia="仿宋_GB2312" w:cs="Times New Roman"/>
          <w:kern w:val="2"/>
          <w:sz w:val="32"/>
          <w:szCs w:val="32"/>
          <w:lang w:val="zh-CN" w:eastAsia="zh-CN" w:bidi="ar-SA"/>
        </w:rPr>
        <w:t>的项目共计</w:t>
      </w:r>
      <w:r>
        <w:rPr>
          <w:rFonts w:hint="default" w:ascii="Times New Roman" w:hAnsi="Times New Roman" w:eastAsia="仿宋_GB2312" w:cs="Times New Roman"/>
          <w:kern w:val="2"/>
          <w:sz w:val="32"/>
          <w:szCs w:val="32"/>
          <w:lang w:val="en-US" w:eastAsia="zh-CN" w:bidi="ar-SA"/>
        </w:rPr>
        <w:t>0</w:t>
      </w:r>
      <w:r>
        <w:rPr>
          <w:rFonts w:hint="default" w:ascii="Times New Roman" w:hAnsi="Times New Roman" w:eastAsia="仿宋_GB2312" w:cs="Times New Roman"/>
          <w:kern w:val="2"/>
          <w:sz w:val="32"/>
          <w:szCs w:val="32"/>
          <w:lang w:val="zh-CN" w:eastAsia="zh-CN" w:bidi="ar-SA"/>
        </w:rPr>
        <w:t>个。</w:t>
      </w:r>
    </w:p>
    <w:p w14:paraId="155B9626">
      <w:pPr>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b/>
          <w:bCs/>
          <w:kern w:val="2"/>
          <w:sz w:val="32"/>
          <w:szCs w:val="32"/>
          <w:lang w:val="en-US" w:eastAsia="zh-CN" w:bidi="ar-SA"/>
        </w:rPr>
        <w:t>2.</w:t>
      </w:r>
      <w:r>
        <w:rPr>
          <w:rFonts w:hint="default" w:ascii="Times New Roman" w:hAnsi="Times New Roman" w:eastAsia="仿宋_GB2312" w:cs="Times New Roman"/>
          <w:b/>
          <w:bCs/>
          <w:kern w:val="2"/>
          <w:sz w:val="32"/>
          <w:szCs w:val="32"/>
          <w:lang w:val="en-US" w:eastAsia="zh-CN" w:bidi="ar-SA"/>
        </w:rPr>
        <w:t>阶段（一次性）项目绩效分析。</w:t>
      </w:r>
      <w:r>
        <w:rPr>
          <w:rFonts w:hint="default" w:ascii="Times New Roman" w:hAnsi="Times New Roman" w:eastAsia="仿宋_GB2312" w:cs="Times New Roman"/>
          <w:kern w:val="2"/>
          <w:sz w:val="32"/>
          <w:szCs w:val="32"/>
          <w:lang w:val="zh-CN" w:eastAsia="zh-CN" w:bidi="ar-SA"/>
        </w:rPr>
        <w:t>该类项目总数</w:t>
      </w:r>
      <w:r>
        <w:rPr>
          <w:rFonts w:hint="eastAsia" w:ascii="Times New Roman" w:hAnsi="Times New Roman"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lang w:val="zh-CN" w:eastAsia="zh-CN" w:bidi="ar-SA"/>
        </w:rPr>
        <w:t>个，其中</w:t>
      </w:r>
      <w:r>
        <w:rPr>
          <w:rFonts w:hint="default" w:ascii="Times New Roman" w:hAnsi="Times New Roman" w:eastAsia="仿宋_GB2312" w:cs="Times New Roman"/>
          <w:kern w:val="2"/>
          <w:sz w:val="32"/>
          <w:szCs w:val="32"/>
          <w:lang w:val="en-US" w:eastAsia="zh-CN" w:bidi="ar-SA"/>
        </w:rPr>
        <w:t>松潘县小姓乡农村生活污水治理</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千村示范工程</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项目，预算执行数3.2万元，执行率100%；松潘县小姓乡政府办公居住条件提升改善建设项目，预算执行数88.83万元，执行率100%，</w:t>
      </w:r>
      <w:r>
        <w:rPr>
          <w:rFonts w:hint="default" w:ascii="Times New Roman" w:hAnsi="Times New Roman" w:eastAsia="仿宋_GB2312" w:cs="Times New Roman"/>
          <w:kern w:val="2"/>
          <w:sz w:val="32"/>
          <w:szCs w:val="32"/>
          <w:lang w:val="zh-CN" w:eastAsia="zh-CN" w:bidi="ar-SA"/>
        </w:rPr>
        <w:t>1—1</w:t>
      </w:r>
      <w:r>
        <w:rPr>
          <w:rFonts w:hint="default" w:ascii="Times New Roman" w:hAnsi="Times New Roman"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lang w:val="zh-CN" w:eastAsia="zh-CN" w:bidi="ar-SA"/>
        </w:rPr>
        <w:t>月预算执行总体进度</w:t>
      </w:r>
      <w:r>
        <w:rPr>
          <w:rFonts w:hint="default" w:ascii="Times New Roman" w:hAnsi="Times New Roman" w:eastAsia="仿宋_GB2312" w:cs="Times New Roman"/>
          <w:kern w:val="2"/>
          <w:sz w:val="32"/>
          <w:szCs w:val="32"/>
          <w:lang w:val="en-US" w:eastAsia="zh-CN" w:bidi="ar-SA"/>
        </w:rPr>
        <w:t>100</w:t>
      </w:r>
      <w:r>
        <w:rPr>
          <w:rFonts w:hint="default" w:ascii="Times New Roman" w:hAnsi="Times New Roman" w:eastAsia="仿宋_GB2312" w:cs="Times New Roman"/>
          <w:kern w:val="2"/>
          <w:sz w:val="32"/>
          <w:szCs w:val="32"/>
          <w:lang w:val="zh-CN" w:eastAsia="zh-CN" w:bidi="ar-SA"/>
        </w:rPr>
        <w:t>%，其中：预算结余率大于</w:t>
      </w:r>
      <w:r>
        <w:rPr>
          <w:rFonts w:hint="default" w:ascii="Times New Roman" w:hAnsi="Times New Roman" w:eastAsia="仿宋_GB2312" w:cs="Times New Roman"/>
          <w:kern w:val="2"/>
          <w:sz w:val="32"/>
          <w:szCs w:val="32"/>
          <w:lang w:val="en-US" w:eastAsia="zh-CN" w:bidi="ar-SA"/>
        </w:rPr>
        <w:t>10%</w:t>
      </w:r>
      <w:r>
        <w:rPr>
          <w:rFonts w:hint="default" w:ascii="Times New Roman" w:hAnsi="Times New Roman" w:eastAsia="仿宋_GB2312" w:cs="Times New Roman"/>
          <w:kern w:val="2"/>
          <w:sz w:val="32"/>
          <w:szCs w:val="32"/>
          <w:lang w:val="zh-CN" w:eastAsia="zh-CN" w:bidi="ar-SA"/>
        </w:rPr>
        <w:t>的项目共计</w:t>
      </w:r>
      <w:r>
        <w:rPr>
          <w:rFonts w:hint="default" w:ascii="Times New Roman" w:hAnsi="Times New Roman" w:eastAsia="仿宋_GB2312" w:cs="Times New Roman"/>
          <w:kern w:val="2"/>
          <w:sz w:val="32"/>
          <w:szCs w:val="32"/>
          <w:lang w:val="en-US" w:eastAsia="zh-CN" w:bidi="ar-SA"/>
        </w:rPr>
        <w:t>0</w:t>
      </w:r>
      <w:r>
        <w:rPr>
          <w:rFonts w:hint="default" w:ascii="Times New Roman" w:hAnsi="Times New Roman" w:eastAsia="仿宋_GB2312" w:cs="Times New Roman"/>
          <w:kern w:val="2"/>
          <w:sz w:val="32"/>
          <w:szCs w:val="32"/>
          <w:lang w:val="zh-CN" w:eastAsia="zh-CN" w:bidi="ar-SA"/>
        </w:rPr>
        <w:t>个。</w:t>
      </w:r>
    </w:p>
    <w:p w14:paraId="4C765639">
      <w:pPr>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b/>
          <w:bCs/>
          <w:kern w:val="2"/>
          <w:sz w:val="32"/>
          <w:szCs w:val="32"/>
          <w:lang w:val="en-US" w:eastAsia="zh-CN" w:bidi="ar-SA"/>
        </w:rPr>
        <w:t>1.</w:t>
      </w:r>
      <w:r>
        <w:rPr>
          <w:rFonts w:hint="default" w:ascii="Times New Roman" w:hAnsi="Times New Roman" w:eastAsia="仿宋_GB2312" w:cs="Times New Roman"/>
          <w:b/>
          <w:bCs/>
          <w:kern w:val="2"/>
          <w:sz w:val="32"/>
          <w:szCs w:val="32"/>
          <w:lang w:val="zh-CN" w:eastAsia="zh-CN" w:bidi="ar-SA"/>
        </w:rPr>
        <w:t>项目决策</w:t>
      </w:r>
      <w:r>
        <w:rPr>
          <w:rFonts w:hint="default" w:ascii="Times New Roman" w:hAnsi="Times New Roman" w:eastAsia="仿宋_GB2312" w:cs="Times New Roman"/>
          <w:kern w:val="2"/>
          <w:sz w:val="32"/>
          <w:szCs w:val="32"/>
          <w:lang w:val="zh-CN" w:eastAsia="zh-CN" w:bidi="ar-SA"/>
        </w:rPr>
        <w:t>。通过比较项目的成本和效益，评估项目的可行性和经济效益。这种方法可以帮助管理者判断项目的投资价值和可行性，选择对单位有最大价值的项目。项目决策的依据主要包括市场需求、技术可行性、资源条件、政策法规以及企业战略等方面。这些依据为项目决策提供了全面的信息和支持，确保决策的科学性和合理性。</w:t>
      </w:r>
    </w:p>
    <w:p w14:paraId="2DF2C0DD">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（1）建立绩效评价体系：根据项目特点和目标，建立科学合理的绩效评价体系，明确评估指标、标准和方法。通过绩效评价体系对项目入库后的表现进行定期评估和监控。</w:t>
      </w:r>
    </w:p>
    <w:p w14:paraId="377D72C5">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lang w:val="en-US" w:eastAsia="zh-CN" w:bidi="ar-SA"/>
        </w:rPr>
        <w:t>）加强项目管理和监督：加强对入库项目的日常管理和监督，确保项目按照既定计划和要求推进。及时发现和解决项目实施过程中的问题和风险，确保项目顺利进行。</w:t>
      </w:r>
    </w:p>
    <w:p w14:paraId="0DAB1C1A">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3</w:t>
      </w:r>
      <w:r>
        <w:rPr>
          <w:rFonts w:hint="default" w:ascii="Times New Roman" w:hAnsi="Times New Roman" w:eastAsia="仿宋_GB2312" w:cs="Times New Roman"/>
          <w:kern w:val="2"/>
          <w:sz w:val="32"/>
          <w:szCs w:val="32"/>
          <w:lang w:val="en-US" w:eastAsia="zh-CN" w:bidi="ar-SA"/>
        </w:rPr>
        <w:t>）推动持续改进和创新：鼓励项目团队不断学习和创新，引入新的管理理念和技术手段，提高项目实施的效率和效果。同时，总结经验教训，不断优化项目管理流程和方法。</w:t>
      </w:r>
    </w:p>
    <w:p w14:paraId="441A6F39">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4</w:t>
      </w:r>
      <w:r>
        <w:rPr>
          <w:rFonts w:hint="default" w:ascii="Times New Roman" w:hAnsi="Times New Roman" w:eastAsia="仿宋_GB2312" w:cs="Times New Roman"/>
          <w:kern w:val="2"/>
          <w:sz w:val="32"/>
          <w:szCs w:val="32"/>
          <w:lang w:val="en-US" w:eastAsia="zh-CN" w:bidi="ar-SA"/>
        </w:rPr>
        <w:t>）强化绩效激励和约束：将项目入库绩效与项目团队成员的奖惩机制相结合，通过绩效激励和约束机制激发团队成员的积极性和创造力。同时，对绩效表现不佳的项目进行整改或淘汰，确保入库项目的整体质量和效益。</w:t>
      </w:r>
    </w:p>
    <w:p w14:paraId="6F0D6F81">
      <w:pPr>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b/>
          <w:bCs/>
          <w:kern w:val="2"/>
          <w:sz w:val="32"/>
          <w:szCs w:val="32"/>
          <w:lang w:val="en-US" w:eastAsia="zh-CN" w:bidi="ar-SA"/>
        </w:rPr>
        <w:t>2.项目执行</w:t>
      </w:r>
      <w:r>
        <w:rPr>
          <w:rFonts w:hint="default" w:ascii="Times New Roman" w:hAnsi="Times New Roman" w:eastAsia="仿宋_GB2312" w:cs="Times New Roman"/>
          <w:b/>
          <w:bCs/>
          <w:kern w:val="2"/>
          <w:sz w:val="32"/>
          <w:szCs w:val="32"/>
          <w:lang w:val="zh-CN" w:eastAsia="zh-CN" w:bidi="ar-SA"/>
        </w:rPr>
        <w:t>。</w:t>
      </w:r>
      <w:r>
        <w:rPr>
          <w:rFonts w:hint="default" w:ascii="Times New Roman" w:hAnsi="Times New Roman" w:eastAsia="仿宋_GB2312" w:cs="Times New Roman"/>
          <w:kern w:val="2"/>
          <w:sz w:val="32"/>
          <w:szCs w:val="32"/>
          <w:lang w:val="zh-CN" w:eastAsia="zh-CN" w:bidi="ar-SA"/>
        </w:rPr>
        <w:t>明确项目目标和计划：在项目启动阶段，就需要明确项目的目标、范围、计划和质量标准等关键要素，并将其清晰地传达给所有参与方。</w:t>
      </w:r>
    </w:p>
    <w:p w14:paraId="7AB56A31">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en-US" w:eastAsia="zh-CN" w:bidi="ar-SA"/>
        </w:rPr>
        <w:t>（1）</w:t>
      </w:r>
      <w:r>
        <w:rPr>
          <w:rFonts w:hint="default" w:ascii="Times New Roman" w:hAnsi="Times New Roman" w:eastAsia="仿宋_GB2312" w:cs="Times New Roman"/>
          <w:kern w:val="2"/>
          <w:sz w:val="32"/>
          <w:szCs w:val="32"/>
          <w:lang w:val="zh-CN" w:eastAsia="zh-CN" w:bidi="ar-SA"/>
        </w:rPr>
        <w:t>建立有效的沟通机制：建立定期的项目会议、报告制度和沟通渠道，确保项目信息的及时传递和共享，促进各方之间的有效沟通和协作。</w:t>
      </w:r>
    </w:p>
    <w:p w14:paraId="2791D56A">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lang w:val="zh-CN" w:eastAsia="zh-CN" w:bidi="ar-SA"/>
        </w:rPr>
        <w:t>强化项目管理和监督：加强对项目执行过程的监督和管理，确保各项任务和活动都按照既定计划和标准进行。同时，及时发现和解决执行过程中出现的问题和障碍。</w:t>
      </w:r>
      <w:r>
        <w:rPr>
          <w:rFonts w:hint="default" w:ascii="Times New Roman" w:hAnsi="Times New Roman" w:eastAsia="仿宋_GB2312" w:cs="Times New Roman"/>
          <w:kern w:val="2"/>
          <w:sz w:val="32"/>
          <w:szCs w:val="32"/>
          <w:lang w:val="en-US" w:eastAsia="zh-CN" w:bidi="ar-SA"/>
        </w:rPr>
        <w:t>面对项目执行过程中的不确定性，需要保持灵活性，及时调整项目计划和策略，以应对各种挑战和变化。当项目成本超出预算时，需要进行预算调整。这可能包括重新评估项目范围、寻找替代方案、优化资源利用、紧缩时间表等措施。将项目调整视为一个持续改进的过程，不断总结经验教训，优化项目管理流程和方法，提高项目执行效率和成功率。</w:t>
      </w:r>
    </w:p>
    <w:p w14:paraId="1C4A72C8">
      <w:pPr>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3.</w:t>
      </w:r>
      <w:r>
        <w:rPr>
          <w:rFonts w:hint="default" w:ascii="Times New Roman" w:hAnsi="Times New Roman" w:eastAsia="仿宋_GB2312" w:cs="Times New Roman"/>
          <w:b/>
          <w:bCs/>
          <w:kern w:val="2"/>
          <w:sz w:val="32"/>
          <w:szCs w:val="32"/>
          <w:lang w:val="zh-CN" w:eastAsia="zh-CN" w:bidi="ar-SA"/>
        </w:rPr>
        <w:t>目标实现。</w:t>
      </w:r>
      <w:r>
        <w:rPr>
          <w:rFonts w:hint="default" w:ascii="Times New Roman" w:hAnsi="Times New Roman" w:eastAsia="仿宋_GB2312" w:cs="Times New Roman"/>
          <w:kern w:val="2"/>
          <w:sz w:val="32"/>
          <w:szCs w:val="32"/>
          <w:lang w:val="zh-CN" w:eastAsia="zh-CN" w:bidi="ar-SA"/>
        </w:rPr>
        <w:t>项目目标的完成是指项目在实施过程中，按照既定的计划、标准和时间表，成功实现了项目所设定的各项目标和指标。及时识别偏离：通过定期的项目审查、进度报告和风险评估，及时发现项目目标的偏离情况。</w:t>
      </w:r>
      <w:r>
        <w:rPr>
          <w:rFonts w:hint="eastAsia" w:ascii="Times New Roman" w:hAnsi="Times New Roman" w:eastAsia="仿宋_GB2312" w:cs="Times New Roman"/>
          <w:kern w:val="2"/>
          <w:sz w:val="32"/>
          <w:szCs w:val="32"/>
          <w:lang w:val="en-US" w:eastAsia="zh-CN" w:bidi="ar-SA"/>
        </w:rPr>
        <w:t xml:space="preserve"> </w:t>
      </w:r>
    </w:p>
    <w:p w14:paraId="12907D33">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en-US" w:eastAsia="zh-CN" w:bidi="ar-SA"/>
        </w:rPr>
        <w:t>（1）</w:t>
      </w:r>
      <w:r>
        <w:rPr>
          <w:rFonts w:hint="default" w:ascii="Times New Roman" w:hAnsi="Times New Roman" w:eastAsia="仿宋_GB2312" w:cs="Times New Roman"/>
          <w:kern w:val="2"/>
          <w:sz w:val="32"/>
          <w:szCs w:val="32"/>
          <w:lang w:val="zh-CN" w:eastAsia="zh-CN" w:bidi="ar-SA"/>
        </w:rPr>
        <w:t>分析偏离原因：对偏离原因进行深入分析，找出问题的根源和影响因素。</w:t>
      </w:r>
    </w:p>
    <w:p w14:paraId="5EDE2951">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lang w:val="zh-CN" w:eastAsia="zh-CN" w:bidi="ar-SA"/>
        </w:rPr>
        <w:t>制定纠偏措施：根据偏离原因和实际情况，制</w:t>
      </w:r>
      <w:r>
        <w:rPr>
          <w:rFonts w:hint="eastAsia" w:ascii="Times New Roman" w:hAnsi="Times New Roman" w:eastAsia="仿宋_GB2312" w:cs="Times New Roman"/>
          <w:kern w:val="2"/>
          <w:sz w:val="32"/>
          <w:szCs w:val="32"/>
          <w:lang w:val="zh-CN" w:eastAsia="zh-CN" w:bidi="ar-SA"/>
        </w:rPr>
        <w:t>定有</w:t>
      </w:r>
      <w:r>
        <w:rPr>
          <w:rFonts w:hint="default" w:ascii="Times New Roman" w:hAnsi="Times New Roman" w:eastAsia="仿宋_GB2312" w:cs="Times New Roman"/>
          <w:kern w:val="2"/>
          <w:sz w:val="32"/>
          <w:szCs w:val="32"/>
          <w:lang w:val="zh-CN" w:eastAsia="zh-CN" w:bidi="ar-SA"/>
        </w:rPr>
        <w:t>针对性</w:t>
      </w:r>
      <w:r>
        <w:rPr>
          <w:rFonts w:hint="eastAsia" w:ascii="Times New Roman" w:hAnsi="Times New Roman" w:eastAsia="仿宋_GB2312" w:cs="Times New Roman"/>
          <w:kern w:val="2"/>
          <w:sz w:val="32"/>
          <w:szCs w:val="32"/>
          <w:lang w:val="zh-CN" w:eastAsia="zh-CN" w:bidi="ar-SA"/>
        </w:rPr>
        <w:t>的</w:t>
      </w:r>
      <w:r>
        <w:rPr>
          <w:rFonts w:hint="default" w:ascii="Times New Roman" w:hAnsi="Times New Roman" w:eastAsia="仿宋_GB2312" w:cs="Times New Roman"/>
          <w:kern w:val="2"/>
          <w:sz w:val="32"/>
          <w:szCs w:val="32"/>
          <w:lang w:val="zh-CN" w:eastAsia="zh-CN" w:bidi="ar-SA"/>
        </w:rPr>
        <w:t>纠偏措施，如调整项目计划、增加资源投入、改进工作方法等。</w:t>
      </w:r>
    </w:p>
    <w:p w14:paraId="0741DAC9">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 w:cs="Times New Roman"/>
          <w:kern w:val="2"/>
          <w:sz w:val="32"/>
          <w:szCs w:val="32"/>
          <w:lang w:val="zh-CN" w:eastAsia="zh-CN" w:bidi="ar-SA"/>
        </w:rPr>
      </w:pPr>
      <w:r>
        <w:rPr>
          <w:rFonts w:hint="default" w:ascii="Times New Roman" w:hAnsi="Times New Roman" w:eastAsia="仿宋_GB2312" w:cs="Times New Roman"/>
          <w:kern w:val="2"/>
          <w:sz w:val="32"/>
          <w:szCs w:val="32"/>
          <w:lang w:val="en-US" w:eastAsia="zh-CN" w:bidi="ar-SA"/>
        </w:rPr>
        <w:t>（3）</w:t>
      </w:r>
      <w:r>
        <w:rPr>
          <w:rFonts w:hint="default" w:ascii="Times New Roman" w:hAnsi="Times New Roman" w:eastAsia="仿宋_GB2312" w:cs="Times New Roman"/>
          <w:kern w:val="2"/>
          <w:sz w:val="32"/>
          <w:szCs w:val="32"/>
          <w:lang w:val="zh-CN" w:eastAsia="zh-CN" w:bidi="ar-SA"/>
        </w:rPr>
        <w:t>加强沟通与协作：加强项目团队内部以及项目相关方之间的沟通与协作，确保信息畅通，共同应对项目挑战。持续监控与调整：在项目执行过程中，持续监控项目进展和偏离情况，并根据实际情况及时调整项目计划和策略。</w:t>
      </w:r>
    </w:p>
    <w:p w14:paraId="34D2EFA5">
      <w:pPr>
        <w:pStyle w:val="11"/>
        <w:keepNext w:val="0"/>
        <w:keepLines w:val="0"/>
        <w:pageBreakBefore w:val="0"/>
        <w:widowControl w:val="0"/>
        <w:kinsoku/>
        <w:wordWrap/>
        <w:overflowPunct/>
        <w:topLinePunct w:val="0"/>
        <w:autoSpaceDE/>
        <w:autoSpaceDN/>
        <w:bidi w:val="0"/>
        <w:adjustRightInd/>
        <w:spacing w:before="0" w:after="0" w:line="576" w:lineRule="exact"/>
        <w:ind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四、评价结论及建议</w:t>
      </w:r>
    </w:p>
    <w:p w14:paraId="05E1B16A">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 w:cs="Times New Roman"/>
          <w:b/>
          <w:bCs/>
          <w:kern w:val="2"/>
          <w:sz w:val="32"/>
          <w:szCs w:val="32"/>
          <w:lang w:val="zh-CN" w:eastAsia="zh-CN" w:bidi="ar-SA"/>
        </w:rPr>
      </w:pPr>
      <w:r>
        <w:rPr>
          <w:rFonts w:hint="default" w:ascii="Times New Roman" w:hAnsi="Times New Roman" w:eastAsia="楷体_GB2312" w:cs="Times New Roman"/>
          <w:b w:val="0"/>
          <w:bCs w:val="0"/>
          <w:kern w:val="2"/>
          <w:sz w:val="32"/>
          <w:szCs w:val="32"/>
          <w:lang w:val="zh-CN" w:eastAsia="zh-CN" w:bidi="ar-SA"/>
        </w:rPr>
        <w:t>（一）评价结论。</w:t>
      </w:r>
    </w:p>
    <w:p w14:paraId="487054E5">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截至2025年，我乡认真落实县委、县政府决策部署，按照保进度、重质量、求实效的要求，全面推进各项重点工作，较好地完成了各项目标任务。整体支出绩效评价指标体系自评得分96分，部门整体支出绩效为</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优秀</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w:t>
      </w:r>
    </w:p>
    <w:p w14:paraId="04E677ED">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我乡2025年部门支出与年初预算基本一致，达到预期绩效目标。但预算编制还需进一步细化，针对我乡预算存在的问题。</w:t>
      </w:r>
    </w:p>
    <w:p w14:paraId="2876BC95">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楷体_GB2312" w:cs="Times New Roman"/>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（二）存在问题。</w:t>
      </w:r>
    </w:p>
    <w:p w14:paraId="4DEBAC9D">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1.预算编制有待</w:t>
      </w:r>
      <w:r>
        <w:rPr>
          <w:rFonts w:hint="eastAsia" w:ascii="Times New Roman" w:hAnsi="Times New Roman" w:eastAsia="仿宋_GB2312" w:cs="Times New Roman"/>
          <w:kern w:val="2"/>
          <w:sz w:val="32"/>
          <w:szCs w:val="32"/>
          <w:lang w:val="en-US" w:eastAsia="zh-CN" w:bidi="ar-SA"/>
        </w:rPr>
        <w:t>更加</w:t>
      </w:r>
      <w:r>
        <w:rPr>
          <w:rFonts w:hint="default" w:ascii="Times New Roman" w:hAnsi="Times New Roman" w:eastAsia="仿宋_GB2312" w:cs="Times New Roman"/>
          <w:kern w:val="2"/>
          <w:sz w:val="32"/>
          <w:szCs w:val="32"/>
          <w:lang w:val="en-US" w:eastAsia="zh-CN" w:bidi="ar-SA"/>
        </w:rPr>
        <w:t>严格执行，预算编制与实际支出项目有的存在差异。</w:t>
      </w:r>
    </w:p>
    <w:p w14:paraId="1642336C">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2.制度执行力度有待加强。</w:t>
      </w:r>
    </w:p>
    <w:p w14:paraId="7BC2C448">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楷体_GB2312" w:cs="Times New Roman"/>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（三）改进建议。</w:t>
      </w:r>
    </w:p>
    <w:p w14:paraId="5C7D2CB6">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1.按照预算规定的项目和用途严格财务审核，经费支出严格按预算规定项目的财务支出内容进行财务核算，在预算金额内严格控制费用的支出。</w:t>
      </w:r>
    </w:p>
    <w:p w14:paraId="1853261C">
      <w:pPr>
        <w:keepNext w:val="0"/>
        <w:keepLines w:val="0"/>
        <w:pageBreakBefore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2.预算财务分析常态化，定期做好预算支出财务分析，做好部门整体支出预算评价工作，完善各项制度，提升执行力。</w:t>
      </w:r>
    </w:p>
    <w:p w14:paraId="7BD2E980">
      <w:pPr>
        <w:pStyle w:val="11"/>
        <w:keepNext w:val="0"/>
        <w:keepLines w:val="0"/>
        <w:pageBreakBefore w:val="0"/>
        <w:numPr>
          <w:ilvl w:val="0"/>
          <w:numId w:val="0"/>
        </w:numPr>
        <w:kinsoku/>
        <w:overflowPunct/>
        <w:autoSpaceDE/>
        <w:bidi w:val="0"/>
        <w:spacing w:line="560" w:lineRule="exact"/>
        <w:ind w:left="0" w:firstLine="640"/>
        <w:textAlignment w:val="auto"/>
        <w:rPr>
          <w:rFonts w:hint="default" w:ascii="Times New Roman" w:hAnsi="Times New Roman" w:cs="Times New Roman"/>
          <w:color w:val="000000"/>
          <w:sz w:val="32"/>
          <w:szCs w:val="32"/>
          <w:lang w:val="zh-CN" w:eastAsia="zh-CN"/>
        </w:rPr>
      </w:pPr>
    </w:p>
    <w:p w14:paraId="276C028C">
      <w:pPr>
        <w:pStyle w:val="11"/>
        <w:keepNext w:val="0"/>
        <w:keepLines w:val="0"/>
        <w:pageBreakBefore w:val="0"/>
        <w:numPr>
          <w:ilvl w:val="0"/>
          <w:numId w:val="0"/>
        </w:numPr>
        <w:kinsoku/>
        <w:overflowPunct/>
        <w:autoSpaceDE/>
        <w:bidi w:val="0"/>
        <w:spacing w:line="560" w:lineRule="exact"/>
        <w:ind w:left="0" w:firstLine="640"/>
        <w:textAlignment w:val="auto"/>
        <w:rPr>
          <w:rFonts w:hint="default" w:ascii="Times New Roman" w:hAnsi="Times New Roman" w:cs="Times New Roman"/>
          <w:color w:val="000000"/>
          <w:sz w:val="32"/>
          <w:szCs w:val="32"/>
          <w:lang w:val="zh-CN" w:eastAsia="zh-CN"/>
        </w:rPr>
      </w:pPr>
    </w:p>
    <w:p w14:paraId="7931B0BB">
      <w:pPr>
        <w:pStyle w:val="11"/>
        <w:keepNext w:val="0"/>
        <w:keepLines w:val="0"/>
        <w:pageBreakBefore w:val="0"/>
        <w:numPr>
          <w:ilvl w:val="0"/>
          <w:numId w:val="0"/>
        </w:numPr>
        <w:kinsoku/>
        <w:overflowPunct/>
        <w:autoSpaceDE/>
        <w:bidi w:val="0"/>
        <w:spacing w:line="560" w:lineRule="exact"/>
        <w:ind w:left="0" w:firstLine="640"/>
        <w:textAlignment w:val="auto"/>
        <w:rPr>
          <w:rFonts w:hint="default" w:ascii="Times New Roman" w:hAnsi="Times New Roman" w:cs="Times New Roman"/>
          <w:color w:val="000000"/>
          <w:sz w:val="32"/>
          <w:szCs w:val="32"/>
          <w:lang w:val="zh-CN" w:eastAsia="zh-CN"/>
        </w:rPr>
      </w:pPr>
    </w:p>
    <w:p w14:paraId="26BA1110">
      <w:pPr>
        <w:pStyle w:val="11"/>
        <w:keepNext w:val="0"/>
        <w:keepLines w:val="0"/>
        <w:pageBreakBefore w:val="0"/>
        <w:numPr>
          <w:ilvl w:val="0"/>
          <w:numId w:val="0"/>
        </w:numPr>
        <w:kinsoku/>
        <w:overflowPunct/>
        <w:autoSpaceDE/>
        <w:bidi w:val="0"/>
        <w:spacing w:line="560" w:lineRule="exact"/>
        <w:ind w:left="0" w:firstLine="640"/>
        <w:textAlignment w:val="auto"/>
        <w:rPr>
          <w:rFonts w:hint="default" w:ascii="Times New Roman" w:hAnsi="Times New Roman" w:cs="Times New Roman"/>
          <w:color w:val="000000"/>
          <w:sz w:val="32"/>
          <w:szCs w:val="32"/>
          <w:lang w:val="zh-CN" w:eastAsia="zh-CN"/>
        </w:rPr>
      </w:pPr>
    </w:p>
    <w:p w14:paraId="7AA791B1">
      <w:pPr>
        <w:pStyle w:val="11"/>
        <w:keepNext w:val="0"/>
        <w:keepLines w:val="0"/>
        <w:pageBreakBefore w:val="0"/>
        <w:numPr>
          <w:ilvl w:val="0"/>
          <w:numId w:val="0"/>
        </w:numPr>
        <w:kinsoku/>
        <w:overflowPunct/>
        <w:autoSpaceDE/>
        <w:bidi w:val="0"/>
        <w:spacing w:line="560" w:lineRule="exact"/>
        <w:ind w:left="0" w:firstLine="640"/>
        <w:textAlignment w:val="auto"/>
        <w:rPr>
          <w:rFonts w:hint="default" w:ascii="Times New Roman" w:hAnsi="Times New Roman" w:cs="Times New Roman"/>
          <w:color w:val="000000"/>
          <w:sz w:val="32"/>
          <w:szCs w:val="32"/>
          <w:lang w:val="zh-CN" w:eastAsia="zh-CN"/>
        </w:rPr>
      </w:pPr>
    </w:p>
    <w:p w14:paraId="3B0CD32C">
      <w:pPr>
        <w:pStyle w:val="11"/>
        <w:keepNext w:val="0"/>
        <w:keepLines w:val="0"/>
        <w:pageBreakBefore w:val="0"/>
        <w:numPr>
          <w:ilvl w:val="0"/>
          <w:numId w:val="0"/>
        </w:numPr>
        <w:kinsoku/>
        <w:overflowPunct/>
        <w:autoSpaceDE/>
        <w:bidi w:val="0"/>
        <w:spacing w:line="560" w:lineRule="exact"/>
        <w:textAlignment w:val="auto"/>
        <w:rPr>
          <w:rFonts w:hint="default" w:ascii="Times New Roman" w:hAnsi="Times New Roman" w:cs="Times New Roman"/>
          <w:color w:val="000000"/>
          <w:sz w:val="32"/>
          <w:szCs w:val="32"/>
          <w:lang w:val="zh-CN" w:eastAsia="zh-CN"/>
        </w:rPr>
        <w:sectPr>
          <w:pgSz w:w="11906" w:h="16838"/>
          <w:pgMar w:top="1440" w:right="1800" w:bottom="1440" w:left="1800" w:header="0" w:footer="0" w:gutter="0"/>
          <w:pgNumType w:fmt="decimal"/>
          <w:cols w:space="720" w:num="1"/>
          <w:formProt w:val="0"/>
          <w:docGrid w:type="lines" w:linePitch="312" w:charSpace="0"/>
        </w:sectPr>
      </w:pPr>
    </w:p>
    <w:p w14:paraId="039B6E6D">
      <w:pPr>
        <w:pStyle w:val="11"/>
        <w:keepNext w:val="0"/>
        <w:keepLines w:val="0"/>
        <w:pageBreakBefore w:val="0"/>
        <w:numPr>
          <w:ilvl w:val="0"/>
          <w:numId w:val="0"/>
        </w:numPr>
        <w:kinsoku/>
        <w:overflowPunct/>
        <w:autoSpaceDE/>
        <w:bidi w:val="0"/>
        <w:spacing w:line="560" w:lineRule="exact"/>
        <w:jc w:val="center"/>
        <w:textAlignment w:val="auto"/>
        <w:rPr>
          <w:rFonts w:hint="default" w:ascii="Times New Roman" w:hAnsi="Times New Roman" w:eastAsia="黑体" w:cs="Times New Roman"/>
          <w:color w:val="000000"/>
          <w:sz w:val="32"/>
          <w:szCs w:val="32"/>
          <w:highlight w:val="none"/>
          <w:lang w:val="zh-CN" w:eastAsia="zh-CN"/>
        </w:rPr>
      </w:pPr>
      <w:r>
        <w:rPr>
          <w:rFonts w:hint="default" w:ascii="Times New Roman" w:hAnsi="Times New Roman" w:eastAsia="黑体" w:cs="Times New Roman"/>
          <w:color w:val="000000"/>
          <w:sz w:val="32"/>
          <w:szCs w:val="32"/>
          <w:lang w:val="zh-CN" w:eastAsia="zh-CN"/>
        </w:rPr>
        <w:t>附表：部门预算项目支出绩效自评表（2025年度）</w:t>
      </w:r>
    </w:p>
    <w:p w14:paraId="25AC33D9">
      <w:pPr>
        <w:pStyle w:val="11"/>
        <w:keepNext w:val="0"/>
        <w:keepLines w:val="0"/>
        <w:pageBreakBefore w:val="0"/>
        <w:numPr>
          <w:ilvl w:val="0"/>
          <w:numId w:val="0"/>
        </w:numPr>
        <w:kinsoku/>
        <w:overflowPunct/>
        <w:autoSpaceDE/>
        <w:bidi w:val="0"/>
        <w:spacing w:line="560" w:lineRule="exact"/>
        <w:textAlignment w:val="auto"/>
        <w:rPr>
          <w:rFonts w:hint="default" w:ascii="Times New Roman" w:hAnsi="Times New Roman" w:eastAsia="仿宋_GB2312" w:cs="Times New Roman"/>
          <w:b/>
          <w:bCs/>
          <w:kern w:val="0"/>
          <w:position w:val="0"/>
          <w:sz w:val="32"/>
          <w:szCs w:val="32"/>
          <w:vertAlign w:val="baseline"/>
          <w:lang w:val="en-US" w:eastAsia="zh-CN" w:bidi="ar-SA"/>
        </w:rPr>
      </w:pPr>
      <w:r>
        <w:rPr>
          <w:rFonts w:hint="default" w:ascii="Times New Roman" w:hAnsi="Times New Roman" w:eastAsia="仿宋_GB2312" w:cs="Times New Roman"/>
          <w:b/>
          <w:bCs/>
          <w:kern w:val="0"/>
          <w:position w:val="0"/>
          <w:sz w:val="32"/>
          <w:szCs w:val="32"/>
          <w:vertAlign w:val="baseline"/>
          <w:lang w:val="en-US" w:eastAsia="zh-CN" w:bidi="ar-SA"/>
        </w:rPr>
        <w:t>（备注：按照绩效自评工作安排，各部门已在预算管理一体化系统绩效自评模块上传</w:t>
      </w:r>
      <w:r>
        <w:rPr>
          <w:rFonts w:hint="eastAsia" w:ascii="Times New Roman" w:hAnsi="Times New Roman" w:eastAsia="仿宋_GB2312" w:cs="Times New Roman"/>
          <w:b/>
          <w:bCs/>
          <w:kern w:val="0"/>
          <w:position w:val="0"/>
          <w:sz w:val="32"/>
          <w:szCs w:val="32"/>
          <w:vertAlign w:val="baseline"/>
          <w:lang w:val="en-US" w:eastAsia="zh-CN" w:bidi="ar-SA"/>
        </w:rPr>
        <w:t>“</w:t>
      </w:r>
      <w:r>
        <w:rPr>
          <w:rFonts w:hint="default" w:ascii="Times New Roman" w:hAnsi="Times New Roman" w:eastAsia="仿宋_GB2312" w:cs="Times New Roman"/>
          <w:b/>
          <w:bCs/>
          <w:kern w:val="0"/>
          <w:position w:val="0"/>
          <w:sz w:val="32"/>
          <w:szCs w:val="32"/>
          <w:vertAlign w:val="baseline"/>
          <w:lang w:val="en-US" w:eastAsia="zh-CN" w:bidi="ar-SA"/>
        </w:rPr>
        <w:t>部门预算项目支出绩效自评表（2025年度）</w:t>
      </w:r>
      <w:r>
        <w:rPr>
          <w:rFonts w:hint="eastAsia" w:ascii="Times New Roman" w:hAnsi="Times New Roman" w:eastAsia="仿宋_GB2312" w:cs="Times New Roman"/>
          <w:b/>
          <w:bCs/>
          <w:kern w:val="0"/>
          <w:position w:val="0"/>
          <w:sz w:val="32"/>
          <w:szCs w:val="32"/>
          <w:vertAlign w:val="baseline"/>
          <w:lang w:val="en-US" w:eastAsia="zh-CN" w:bidi="ar-SA"/>
        </w:rPr>
        <w:t>”</w:t>
      </w:r>
      <w:r>
        <w:rPr>
          <w:rFonts w:hint="default" w:ascii="Times New Roman" w:hAnsi="Times New Roman" w:eastAsia="仿宋_GB2312" w:cs="Times New Roman"/>
          <w:b/>
          <w:bCs/>
          <w:kern w:val="0"/>
          <w:position w:val="0"/>
          <w:sz w:val="32"/>
          <w:szCs w:val="32"/>
          <w:vertAlign w:val="baseline"/>
          <w:lang w:val="en-US" w:eastAsia="zh-CN" w:bidi="ar-SA"/>
        </w:rPr>
        <w:t>，该表格应作为附表予以公开。）</w:t>
      </w:r>
    </w:p>
    <w:p w14:paraId="378EF289">
      <w:pPr>
        <w:pStyle w:val="11"/>
        <w:keepNext w:val="0"/>
        <w:keepLines w:val="0"/>
        <w:pageBreakBefore w:val="0"/>
        <w:numPr>
          <w:ilvl w:val="0"/>
          <w:numId w:val="0"/>
        </w:numPr>
        <w:kinsoku/>
        <w:overflowPunct/>
        <w:autoSpaceDE/>
        <w:bidi w:val="0"/>
        <w:spacing w:line="560" w:lineRule="exact"/>
        <w:textAlignment w:val="auto"/>
        <w:rPr>
          <w:rStyle w:val="21"/>
          <w:rFonts w:hint="default" w:ascii="Times New Roman" w:hAnsi="Times New Roman" w:eastAsia="仿宋" w:cs="Times New Roman"/>
          <w:b w:val="0"/>
          <w:color w:val="000000"/>
          <w:sz w:val="32"/>
          <w:szCs w:val="32"/>
          <w:highlight w:val="none"/>
        </w:rPr>
      </w:pPr>
      <w:r>
        <w:rPr>
          <w:rFonts w:hint="default" w:ascii="Times New Roman" w:hAnsi="Times New Roman" w:eastAsia="仿宋_GB2312" w:cs="Times New Roman"/>
          <w:b/>
          <w:bCs/>
          <w:kern w:val="0"/>
          <w:position w:val="0"/>
          <w:sz w:val="32"/>
          <w:szCs w:val="32"/>
          <w:vertAlign w:val="baseline"/>
          <w:lang w:val="en-US" w:eastAsia="zh-CN" w:bidi="ar-SA"/>
        </w:rPr>
        <w:t>附表1</w:t>
      </w:r>
    </w:p>
    <w:tbl>
      <w:tblPr>
        <w:tblStyle w:val="13"/>
        <w:tblW w:w="8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8"/>
        <w:gridCol w:w="1169"/>
        <w:gridCol w:w="1103"/>
        <w:gridCol w:w="1602"/>
        <w:gridCol w:w="433"/>
        <w:gridCol w:w="964"/>
        <w:gridCol w:w="433"/>
        <w:gridCol w:w="916"/>
        <w:gridCol w:w="486"/>
        <w:gridCol w:w="406"/>
        <w:gridCol w:w="662"/>
      </w:tblGrid>
      <w:tr w14:paraId="53B37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jc w:val="center"/>
        </w:trPr>
        <w:tc>
          <w:tcPr>
            <w:tcW w:w="877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6F69F12">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32249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7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23C77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0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D4934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51322421Y000000233582</w:t>
            </w:r>
            <w:r>
              <w:rPr>
                <w:rFonts w:hint="eastAsia"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村级经费</w:t>
            </w:r>
          </w:p>
        </w:tc>
      </w:tr>
      <w:tr w14:paraId="332C9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7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4CA7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45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05A03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松潘县小姓乡人民政府</w:t>
            </w:r>
          </w:p>
        </w:tc>
        <w:tc>
          <w:tcPr>
            <w:tcW w:w="916" w:type="dxa"/>
            <w:tcBorders>
              <w:top w:val="nil"/>
              <w:left w:val="nil"/>
              <w:bottom w:val="nil"/>
              <w:right w:val="nil"/>
            </w:tcBorders>
            <w:shd w:val="clear" w:color="auto" w:fill="auto"/>
            <w:vAlign w:val="center"/>
          </w:tcPr>
          <w:p w14:paraId="7AC2A2CD">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3375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松潘县小姓乡人民政府</w:t>
            </w:r>
          </w:p>
        </w:tc>
      </w:tr>
      <w:tr w14:paraId="3D656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8628D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C7C5D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5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C534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4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DFA421">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00AEC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1A3BE">
            <w:pPr>
              <w:rPr>
                <w:rFonts w:hint="default" w:ascii="Times New Roman" w:hAnsi="Times New Roman" w:eastAsia="宋体" w:cs="Times New Roman"/>
                <w:i w:val="0"/>
                <w:iCs w:val="0"/>
                <w:color w:val="000000"/>
                <w:sz w:val="18"/>
                <w:szCs w:val="18"/>
                <w:u w:val="none"/>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21031">
            <w:pPr>
              <w:rPr>
                <w:rFonts w:hint="default" w:ascii="Times New Roman" w:hAnsi="Times New Roman" w:eastAsia="宋体" w:cs="Times New Roman"/>
                <w:i w:val="0"/>
                <w:iCs w:val="0"/>
                <w:color w:val="000000"/>
                <w:sz w:val="18"/>
                <w:szCs w:val="18"/>
                <w:u w:val="none"/>
              </w:rPr>
            </w:pPr>
          </w:p>
        </w:tc>
        <w:tc>
          <w:tcPr>
            <w:tcW w:w="45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EC34C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依据村实际情况选取实施，符合村上发展需求，解决了环境脏乱差、农田小水利设施和村庄道路维修、文化基础设施没有充分发挥作用等问题，加快公共服务基础设施建设，改善生产生活条件，保证基础设施持续有效发挥服务功能</w:t>
            </w:r>
          </w:p>
        </w:tc>
        <w:tc>
          <w:tcPr>
            <w:tcW w:w="24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4EE348">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解决了环境脏乱差、农田水利设施和村庄道路维修、文化基础设施没有充分发挥作用等问题，加快公共服务基础设施建设，改善生产生活条件，保证基础设施持续有效发挥服务功能。</w:t>
            </w:r>
          </w:p>
        </w:tc>
      </w:tr>
      <w:tr w14:paraId="4DB14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0C97C">
            <w:pPr>
              <w:rPr>
                <w:rFonts w:hint="default" w:ascii="Times New Roman" w:hAnsi="Times New Roman" w:eastAsia="宋体" w:cs="Times New Roman"/>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0EB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0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E609CB">
            <w:pP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实现</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三个建立</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建立促进村民生、方便村民生活的村级公共服务运行维护体系；建立保障有力、满足村级公共服务运行维护需要，以公共财政投入为主，村集体投入和社会资本多元参与的资金保障机制；建立村民民主参与、民主议事、民主决策、民主监督村级公共运行维护管理机制。</w:t>
            </w:r>
          </w:p>
        </w:tc>
      </w:tr>
      <w:tr w14:paraId="139B6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E2E4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510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399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33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8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E398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5F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73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052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594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11E6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4CD88">
            <w:pPr>
              <w:jc w:val="center"/>
              <w:rPr>
                <w:rFonts w:hint="default" w:ascii="Times New Roman" w:hAnsi="Times New Roman" w:eastAsia="宋体" w:cs="Times New Roman"/>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036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BE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12.50</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9C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74.85</w:t>
            </w:r>
          </w:p>
        </w:tc>
        <w:tc>
          <w:tcPr>
            <w:tcW w:w="18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9357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74.85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3B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EB1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07CC8">
            <w:pPr>
              <w:jc w:val="center"/>
              <w:rPr>
                <w:rFonts w:hint="default" w:ascii="Times New Roman" w:hAnsi="Times New Roman" w:eastAsia="宋体" w:cs="Times New Roman"/>
                <w:i w:val="0"/>
                <w:iCs w:val="0"/>
                <w:color w:val="000000"/>
                <w:sz w:val="18"/>
                <w:szCs w:val="18"/>
                <w:u w:val="none"/>
              </w:rPr>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E489D3">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1.预算执行率=预算执行数/调整后预算数，预算执行率未达到90%的需说明原因（100字以内）</w:t>
            </w:r>
            <w:r>
              <w:rPr>
                <w:rFonts w:hint="eastAsia" w:ascii="Times New Roman" w:hAnsi="Times New Roman" w:eastAsia="黑体" w:cs="Times New Roman"/>
                <w:i w:val="0"/>
                <w:iCs w:val="0"/>
                <w:color w:val="000000"/>
                <w:kern w:val="0"/>
                <w:sz w:val="18"/>
                <w:szCs w:val="18"/>
                <w:u w:val="none"/>
                <w:lang w:val="en-US" w:eastAsia="zh-CN" w:bidi="ar"/>
              </w:rPr>
              <w:t>；</w:t>
            </w:r>
            <w:r>
              <w:rPr>
                <w:rFonts w:hint="default" w:ascii="Times New Roman" w:hAnsi="Times New Roman" w:eastAsia="黑体" w:cs="Times New Roman"/>
                <w:i w:val="0"/>
                <w:iCs w:val="0"/>
                <w:color w:val="000000"/>
                <w:kern w:val="0"/>
                <w:sz w:val="18"/>
                <w:szCs w:val="18"/>
                <w:u w:val="none"/>
                <w:lang w:val="en-US" w:eastAsia="zh-CN" w:bidi="ar"/>
              </w:rPr>
              <w:t>2.年中发生预算调整的（追加或调减）</w:t>
            </w:r>
            <w:r>
              <w:rPr>
                <w:rFonts w:hint="eastAsia" w:ascii="Times New Roman" w:hAnsi="Times New Roman" w:eastAsia="黑体" w:cs="Times New Roman"/>
                <w:i w:val="0"/>
                <w:iCs w:val="0"/>
                <w:color w:val="000000"/>
                <w:kern w:val="0"/>
                <w:sz w:val="18"/>
                <w:szCs w:val="18"/>
                <w:u w:val="none"/>
                <w:lang w:val="en-US" w:eastAsia="zh-CN" w:bidi="ar"/>
              </w:rPr>
              <w:t>，</w:t>
            </w:r>
            <w:r>
              <w:rPr>
                <w:rFonts w:hint="default" w:ascii="Times New Roman" w:hAnsi="Times New Roman" w:eastAsia="黑体" w:cs="Times New Roman"/>
                <w:i w:val="0"/>
                <w:iCs w:val="0"/>
                <w:color w:val="000000"/>
                <w:kern w:val="0"/>
                <w:sz w:val="18"/>
                <w:szCs w:val="18"/>
                <w:u w:val="none"/>
                <w:lang w:val="en-US" w:eastAsia="zh-CN" w:bidi="ar"/>
              </w:rPr>
              <w:t>应单独说明理由；3.其他资金包括：社会投入资金、银行贷款</w:t>
            </w:r>
            <w:r>
              <w:rPr>
                <w:rFonts w:hint="eastAsia" w:ascii="Times New Roman" w:hAnsi="Times New Roman" w:eastAsia="黑体" w:cs="Times New Roman"/>
                <w:i w:val="0"/>
                <w:iCs w:val="0"/>
                <w:color w:val="000000"/>
                <w:kern w:val="0"/>
                <w:sz w:val="18"/>
                <w:szCs w:val="18"/>
                <w:u w:val="none"/>
                <w:lang w:val="en-US" w:eastAsia="zh-CN" w:bidi="ar"/>
              </w:rPr>
              <w:t>。</w:t>
            </w:r>
          </w:p>
        </w:tc>
      </w:tr>
      <w:tr w14:paraId="2945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8647F">
            <w:pPr>
              <w:jc w:val="center"/>
              <w:rPr>
                <w:rFonts w:hint="default" w:ascii="Times New Roman" w:hAnsi="Times New Roman" w:eastAsia="宋体" w:cs="Times New Roman"/>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7F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025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12.50</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08C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74.85</w:t>
            </w:r>
          </w:p>
        </w:tc>
        <w:tc>
          <w:tcPr>
            <w:tcW w:w="18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A795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74.85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5C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B57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425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CA822">
            <w:pPr>
              <w:rPr>
                <w:rFonts w:hint="default" w:ascii="Times New Roman" w:hAnsi="Times New Roman" w:eastAsia="黑体" w:cs="Times New Roman"/>
                <w:i/>
                <w:iCs/>
                <w:color w:val="000000"/>
                <w:sz w:val="18"/>
                <w:szCs w:val="18"/>
                <w:u w:val="none"/>
              </w:rPr>
            </w:pPr>
          </w:p>
        </w:tc>
      </w:tr>
      <w:tr w14:paraId="215D5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1EC32">
            <w:pPr>
              <w:jc w:val="center"/>
              <w:rPr>
                <w:rFonts w:hint="default" w:ascii="Times New Roman" w:hAnsi="Times New Roman" w:eastAsia="宋体" w:cs="Times New Roman"/>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11A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AC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75A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8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4CE4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3B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BBF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A0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718B1">
            <w:pPr>
              <w:rPr>
                <w:rFonts w:hint="default" w:ascii="Times New Roman" w:hAnsi="Times New Roman" w:eastAsia="黑体" w:cs="Times New Roman"/>
                <w:i/>
                <w:iCs/>
                <w:color w:val="000000"/>
                <w:sz w:val="18"/>
                <w:szCs w:val="18"/>
                <w:u w:val="none"/>
              </w:rPr>
            </w:pPr>
          </w:p>
        </w:tc>
      </w:tr>
      <w:tr w14:paraId="1DA19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1BB59">
            <w:pPr>
              <w:jc w:val="center"/>
              <w:rPr>
                <w:rFonts w:hint="default" w:ascii="Times New Roman" w:hAnsi="Times New Roman" w:eastAsia="宋体" w:cs="Times New Roman"/>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4CE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666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89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8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F2E3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B9C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3C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A6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66898">
            <w:pPr>
              <w:rPr>
                <w:rFonts w:hint="default" w:ascii="Times New Roman" w:hAnsi="Times New Roman" w:eastAsia="黑体" w:cs="Times New Roman"/>
                <w:i/>
                <w:iCs/>
                <w:color w:val="000000"/>
                <w:sz w:val="18"/>
                <w:szCs w:val="18"/>
                <w:u w:val="none"/>
              </w:rPr>
            </w:pPr>
          </w:p>
        </w:tc>
      </w:tr>
      <w:tr w14:paraId="4C14A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C5064">
            <w:pPr>
              <w:jc w:val="center"/>
              <w:rPr>
                <w:rFonts w:hint="default" w:ascii="Times New Roman" w:hAnsi="Times New Roman" w:eastAsia="宋体" w:cs="Times New Roman"/>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83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B1B5">
            <w:pPr>
              <w:jc w:val="center"/>
              <w:rPr>
                <w:rFonts w:hint="default" w:ascii="Times New Roman" w:hAnsi="Times New Roman" w:eastAsia="微软雅黑" w:cs="Times New Roman"/>
                <w:i/>
                <w:iCs/>
                <w:color w:val="000000"/>
                <w:sz w:val="16"/>
                <w:szCs w:val="16"/>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3453">
            <w:pPr>
              <w:jc w:val="center"/>
              <w:rPr>
                <w:rFonts w:hint="default" w:ascii="Times New Roman" w:hAnsi="Times New Roman" w:eastAsia="微软雅黑" w:cs="Times New Roman"/>
                <w:i/>
                <w:iCs/>
                <w:color w:val="000000"/>
                <w:sz w:val="16"/>
                <w:szCs w:val="16"/>
                <w:u w:val="none"/>
              </w:rPr>
            </w:pPr>
          </w:p>
        </w:tc>
        <w:tc>
          <w:tcPr>
            <w:tcW w:w="18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EE117">
            <w:pPr>
              <w:jc w:val="center"/>
              <w:rPr>
                <w:rFonts w:hint="default" w:ascii="Times New Roman" w:hAnsi="Times New Roman" w:eastAsia="微软雅黑" w:cs="Times New Roman"/>
                <w:i/>
                <w:iCs/>
                <w:color w:val="000000"/>
                <w:sz w:val="16"/>
                <w:szCs w:val="16"/>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D1CD">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670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F1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878C0">
            <w:pPr>
              <w:rPr>
                <w:rFonts w:hint="default" w:ascii="Times New Roman" w:hAnsi="Times New Roman" w:eastAsia="黑体" w:cs="Times New Roman"/>
                <w:i/>
                <w:iCs/>
                <w:color w:val="000000"/>
                <w:sz w:val="18"/>
                <w:szCs w:val="18"/>
                <w:u w:val="none"/>
              </w:rPr>
            </w:pPr>
          </w:p>
        </w:tc>
      </w:tr>
      <w:tr w14:paraId="3DEDA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9991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8A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F7E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8AA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7D5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048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BE3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59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5EB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75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BE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E0C7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64F5E">
            <w:pPr>
              <w:jc w:val="center"/>
              <w:rPr>
                <w:rFonts w:hint="default" w:ascii="Times New Roman" w:hAnsi="Times New Roman" w:eastAsia="宋体" w:cs="Times New Roman"/>
                <w:i w:val="0"/>
                <w:iCs w:val="0"/>
                <w:color w:val="000000"/>
                <w:sz w:val="18"/>
                <w:szCs w:val="18"/>
                <w:u w:val="none"/>
              </w:rPr>
            </w:pP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1A2F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83B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506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21A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CAB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187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0790">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244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F50CA">
            <w:pPr>
              <w:jc w:val="center"/>
              <w:rPr>
                <w:rFonts w:hint="default" w:ascii="Times New Roman" w:hAnsi="Times New Roman" w:eastAsia="宋体" w:cs="Times New Roman"/>
                <w:i w:val="0"/>
                <w:iCs w:val="0"/>
                <w:color w:val="000000"/>
                <w:sz w:val="18"/>
                <w:szCs w:val="18"/>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67DA">
            <w:pPr>
              <w:jc w:val="center"/>
              <w:rPr>
                <w:rFonts w:hint="default" w:ascii="Times New Roman" w:hAnsi="Times New Roman" w:eastAsia="微软雅黑" w:cs="Times New Roman"/>
                <w:i/>
                <w:iCs/>
                <w:color w:val="000000"/>
                <w:sz w:val="16"/>
                <w:szCs w:val="16"/>
                <w:u w:val="none"/>
              </w:rPr>
            </w:pPr>
          </w:p>
        </w:tc>
      </w:tr>
      <w:tr w14:paraId="6D60E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BDCFE">
            <w:pPr>
              <w:jc w:val="center"/>
              <w:rPr>
                <w:rFonts w:hint="default" w:ascii="Times New Roman" w:hAnsi="Times New Roman" w:eastAsia="宋体" w:cs="Times New Roman"/>
                <w:i w:val="0"/>
                <w:iCs w:val="0"/>
                <w:color w:val="000000"/>
                <w:sz w:val="18"/>
                <w:szCs w:val="18"/>
                <w:u w:val="none"/>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8DD71">
            <w:pPr>
              <w:jc w:val="center"/>
              <w:rPr>
                <w:rFonts w:hint="default" w:ascii="Times New Roman" w:hAnsi="Times New Roman" w:eastAsia="宋体" w:cs="Times New Roman"/>
                <w:i w:val="0"/>
                <w:iCs w:val="0"/>
                <w:color w:val="000000"/>
                <w:sz w:val="18"/>
                <w:szCs w:val="18"/>
                <w:u w:val="none"/>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6C7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768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w:t>
            </w:r>
            <w:r>
              <w:rPr>
                <w:rFonts w:hint="eastAsia"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预算数</w:t>
            </w:r>
            <w:bookmarkStart w:id="1" w:name="_GoBack"/>
            <w:r>
              <w:rPr>
                <w:rFonts w:hint="default" w:ascii="Times New Roman" w:hAnsi="Times New Roman" w:eastAsia="宋体" w:cs="Times New Roman"/>
                <w:i w:val="0"/>
                <w:iCs w:val="0"/>
                <w:color w:val="000000"/>
                <w:kern w:val="0"/>
                <w:sz w:val="18"/>
                <w:szCs w:val="18"/>
                <w:u w:val="none"/>
                <w:lang w:val="en-US" w:eastAsia="zh-CN" w:bidi="ar"/>
              </w:rPr>
              <w:t>）</w:t>
            </w:r>
            <w:bookmarkEnd w:id="1"/>
            <w:r>
              <w:rPr>
                <w:rFonts w:hint="default" w:ascii="Times New Roman" w:hAnsi="Times New Roman" w:eastAsia="宋体" w:cs="Times New Roman"/>
                <w:i w:val="0"/>
                <w:iCs w:val="0"/>
                <w:color w:val="000000"/>
                <w:kern w:val="0"/>
                <w:sz w:val="18"/>
                <w:szCs w:val="18"/>
                <w:u w:val="none"/>
                <w:lang w:val="en-US" w:eastAsia="zh-CN" w:bidi="ar"/>
              </w:rPr>
              <w:t>/预算数∣）</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57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2BC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C5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5A88">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AA7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52205">
            <w:pPr>
              <w:jc w:val="center"/>
              <w:rPr>
                <w:rFonts w:hint="default" w:ascii="Times New Roman" w:hAnsi="Times New Roman" w:eastAsia="宋体" w:cs="Times New Roman"/>
                <w:i w:val="0"/>
                <w:iCs w:val="0"/>
                <w:color w:val="000000"/>
                <w:sz w:val="18"/>
                <w:szCs w:val="18"/>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FE871">
            <w:pPr>
              <w:jc w:val="center"/>
              <w:rPr>
                <w:rFonts w:hint="default" w:ascii="Times New Roman" w:hAnsi="Times New Roman" w:eastAsia="微软雅黑" w:cs="Times New Roman"/>
                <w:i/>
                <w:iCs/>
                <w:color w:val="000000"/>
                <w:sz w:val="16"/>
                <w:szCs w:val="16"/>
                <w:u w:val="none"/>
              </w:rPr>
            </w:pPr>
          </w:p>
        </w:tc>
      </w:tr>
      <w:tr w14:paraId="35F7C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B200C">
            <w:pPr>
              <w:jc w:val="center"/>
              <w:rPr>
                <w:rFonts w:hint="default" w:ascii="Times New Roman" w:hAnsi="Times New Roman" w:eastAsia="宋体" w:cs="Times New Roman"/>
                <w:i w:val="0"/>
                <w:iCs w:val="0"/>
                <w:color w:val="000000"/>
                <w:sz w:val="18"/>
                <w:szCs w:val="18"/>
                <w:u w:val="none"/>
              </w:rPr>
            </w:pP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93B0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2E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38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cs="Times New Roman"/>
                <w:i w:val="0"/>
                <w:iCs w:val="0"/>
                <w:color w:val="000000"/>
                <w:kern w:val="0"/>
                <w:sz w:val="18"/>
                <w:szCs w:val="18"/>
                <w:u w:val="none"/>
                <w:lang w:val="en-US" w:eastAsia="zh-CN" w:bidi="ar"/>
              </w:rPr>
              <w:t>“三公”经费</w:t>
            </w:r>
            <w:r>
              <w:rPr>
                <w:rFonts w:hint="default" w:ascii="Times New Roman" w:hAnsi="Times New Roman" w:eastAsia="宋体" w:cs="Times New Roman"/>
                <w:i w:val="0"/>
                <w:iCs w:val="0"/>
                <w:color w:val="000000"/>
                <w:kern w:val="0"/>
                <w:sz w:val="18"/>
                <w:szCs w:val="18"/>
                <w:u w:val="none"/>
                <w:lang w:val="en-US" w:eastAsia="zh-CN" w:bidi="ar"/>
              </w:rPr>
              <w:t>控制率[计算方法为：（</w:t>
            </w:r>
            <w:r>
              <w:rPr>
                <w:rFonts w:hint="eastAsia" w:ascii="Times New Roman" w:hAnsi="Times New Roman" w:cs="Times New Roman"/>
                <w:i w:val="0"/>
                <w:iCs w:val="0"/>
                <w:color w:val="000000"/>
                <w:kern w:val="0"/>
                <w:sz w:val="18"/>
                <w:szCs w:val="18"/>
                <w:u w:val="none"/>
                <w:lang w:val="en-US" w:eastAsia="zh-CN" w:bidi="ar"/>
              </w:rPr>
              <w:t>“三公”经费</w:t>
            </w:r>
            <w:r>
              <w:rPr>
                <w:rFonts w:hint="default" w:ascii="Times New Roman" w:hAnsi="Times New Roman" w:eastAsia="宋体" w:cs="Times New Roman"/>
                <w:i w:val="0"/>
                <w:iCs w:val="0"/>
                <w:color w:val="000000"/>
                <w:kern w:val="0"/>
                <w:sz w:val="18"/>
                <w:szCs w:val="18"/>
                <w:u w:val="none"/>
                <w:lang w:val="en-US" w:eastAsia="zh-CN" w:bidi="ar"/>
              </w:rPr>
              <w:t>实际支出数/预算安排数]×100%）</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201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D0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01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FC114">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8A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84917">
            <w:pPr>
              <w:jc w:val="center"/>
              <w:rPr>
                <w:rFonts w:hint="default" w:ascii="Times New Roman" w:hAnsi="Times New Roman" w:eastAsia="宋体" w:cs="Times New Roman"/>
                <w:i w:val="0"/>
                <w:iCs w:val="0"/>
                <w:color w:val="000000"/>
                <w:sz w:val="18"/>
                <w:szCs w:val="18"/>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5F3B">
            <w:pPr>
              <w:jc w:val="center"/>
              <w:rPr>
                <w:rFonts w:hint="default" w:ascii="Times New Roman" w:hAnsi="Times New Roman" w:eastAsia="微软雅黑" w:cs="Times New Roman"/>
                <w:i/>
                <w:iCs/>
                <w:color w:val="000000"/>
                <w:sz w:val="16"/>
                <w:szCs w:val="16"/>
                <w:u w:val="none"/>
              </w:rPr>
            </w:pPr>
          </w:p>
        </w:tc>
      </w:tr>
      <w:tr w14:paraId="37C9D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9A1EA">
            <w:pPr>
              <w:jc w:val="center"/>
              <w:rPr>
                <w:rFonts w:hint="default" w:ascii="Times New Roman" w:hAnsi="Times New Roman" w:eastAsia="宋体" w:cs="Times New Roman"/>
                <w:i w:val="0"/>
                <w:iCs w:val="0"/>
                <w:color w:val="000000"/>
                <w:sz w:val="18"/>
                <w:szCs w:val="18"/>
                <w:u w:val="none"/>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621D4">
            <w:pPr>
              <w:jc w:val="center"/>
              <w:rPr>
                <w:rFonts w:hint="default" w:ascii="Times New Roman" w:hAnsi="Times New Roman" w:eastAsia="宋体" w:cs="Times New Roman"/>
                <w:i w:val="0"/>
                <w:iCs w:val="0"/>
                <w:color w:val="000000"/>
                <w:sz w:val="18"/>
                <w:szCs w:val="18"/>
                <w:u w:val="none"/>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7E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9A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45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803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6AF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5A31">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B7C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63F41">
            <w:pPr>
              <w:jc w:val="center"/>
              <w:rPr>
                <w:rFonts w:hint="default" w:ascii="Times New Roman" w:hAnsi="Times New Roman" w:eastAsia="宋体" w:cs="Times New Roman"/>
                <w:i w:val="0"/>
                <w:iCs w:val="0"/>
                <w:color w:val="000000"/>
                <w:sz w:val="18"/>
                <w:szCs w:val="18"/>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2193">
            <w:pPr>
              <w:jc w:val="center"/>
              <w:rPr>
                <w:rFonts w:hint="default" w:ascii="Times New Roman" w:hAnsi="Times New Roman" w:eastAsia="微软雅黑" w:cs="Times New Roman"/>
                <w:i/>
                <w:iCs/>
                <w:color w:val="000000"/>
                <w:sz w:val="16"/>
                <w:szCs w:val="16"/>
                <w:u w:val="none"/>
              </w:rPr>
            </w:pPr>
          </w:p>
        </w:tc>
      </w:tr>
      <w:tr w14:paraId="01C21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72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9685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D9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5762">
            <w:pPr>
              <w:rPr>
                <w:rFonts w:hint="default" w:ascii="Times New Roman" w:hAnsi="Times New Roman" w:eastAsia="宋体" w:cs="Times New Roman"/>
                <w:i w:val="0"/>
                <w:iCs w:val="0"/>
                <w:color w:val="000000"/>
                <w:sz w:val="18"/>
                <w:szCs w:val="18"/>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9F30">
            <w:pPr>
              <w:rPr>
                <w:rFonts w:hint="default" w:ascii="Times New Roman" w:hAnsi="Times New Roman" w:eastAsia="宋体" w:cs="Times New Roman"/>
                <w:i w:val="0"/>
                <w:iCs w:val="0"/>
                <w:color w:val="000000"/>
                <w:sz w:val="18"/>
                <w:szCs w:val="18"/>
                <w:u w:val="none"/>
              </w:rPr>
            </w:pPr>
          </w:p>
        </w:tc>
      </w:tr>
      <w:tr w14:paraId="055E6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6B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17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8CBB3A">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资金开支范围为小姓乡5个村农村公共运行维护经费，支付依据合规合法，资金支付与预算相符。项目资金按时拨付，保障了村民的基本生活，农村公共服务设施运行维护项目的长效实施改善了群众的生产生活条件，提高了群众生活质量，完善农村基础设施功能，群众知晓率和覆盖率较高，满意度高。项目取得了较好的社会效益。</w:t>
            </w:r>
          </w:p>
        </w:tc>
      </w:tr>
      <w:tr w14:paraId="03688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8B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17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D0DB39">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lang w:val="en-US" w:eastAsia="zh-CN"/>
              </w:rPr>
            </w:pPr>
            <w:r>
              <w:rPr>
                <w:rFonts w:hint="default" w:ascii="Times New Roman" w:hAnsi="Times New Roman" w:eastAsia="微软雅黑" w:cs="Times New Roman"/>
                <w:i w:val="0"/>
                <w:iCs w:val="0"/>
                <w:color w:val="000000"/>
                <w:sz w:val="16"/>
                <w:szCs w:val="16"/>
                <w:u w:val="none"/>
                <w:lang w:val="en-US" w:eastAsia="zh-CN"/>
              </w:rPr>
              <w:t>无</w:t>
            </w:r>
          </w:p>
        </w:tc>
      </w:tr>
      <w:tr w14:paraId="65A63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01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17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739BC3">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无</w:t>
            </w:r>
          </w:p>
        </w:tc>
      </w:tr>
      <w:tr w14:paraId="1E808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49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7A0CA2">
            <w:pPr>
              <w:keepNext w:val="0"/>
              <w:keepLines w:val="0"/>
              <w:widowControl/>
              <w:suppressLineNumbers w:val="0"/>
              <w:jc w:val="left"/>
              <w:textAlignment w:val="center"/>
              <w:rPr>
                <w:rFonts w:hint="default" w:ascii="Times New Roman" w:hAnsi="Times New Roman" w:eastAsia="黑体" w:cs="Times New Roman"/>
                <w:i w:val="0"/>
                <w:iCs w:val="0"/>
                <w:color w:val="000000"/>
                <w:kern w:val="2"/>
                <w:sz w:val="18"/>
                <w:szCs w:val="18"/>
                <w:u w:val="none"/>
                <w:lang w:val="en-US" w:eastAsia="zh-CN" w:bidi="ar-SA"/>
              </w:rPr>
            </w:pPr>
            <w:r>
              <w:rPr>
                <w:rFonts w:hint="default" w:ascii="Times New Roman" w:hAnsi="Times New Roman" w:eastAsia="黑体" w:cs="Times New Roman"/>
                <w:i w:val="0"/>
                <w:iCs w:val="0"/>
                <w:color w:val="000000"/>
                <w:kern w:val="0"/>
                <w:sz w:val="18"/>
                <w:szCs w:val="18"/>
                <w:u w:val="none"/>
                <w:lang w:val="en-US" w:eastAsia="zh-CN" w:bidi="ar"/>
              </w:rPr>
              <w:t>项目负责人：刘洪红</w:t>
            </w:r>
          </w:p>
        </w:tc>
        <w:tc>
          <w:tcPr>
            <w:tcW w:w="38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D044F3">
            <w:pPr>
              <w:keepNext w:val="0"/>
              <w:keepLines w:val="0"/>
              <w:widowControl/>
              <w:suppressLineNumbers w:val="0"/>
              <w:jc w:val="left"/>
              <w:textAlignment w:val="center"/>
              <w:rPr>
                <w:rFonts w:hint="default" w:ascii="Times New Roman" w:hAnsi="Times New Roman" w:eastAsia="黑体" w:cs="Times New Roman"/>
                <w:i w:val="0"/>
                <w:iCs w:val="0"/>
                <w:color w:val="000000"/>
                <w:kern w:val="2"/>
                <w:sz w:val="18"/>
                <w:szCs w:val="18"/>
                <w:u w:val="none"/>
                <w:lang w:val="en-US" w:eastAsia="zh-CN" w:bidi="ar-SA"/>
              </w:rPr>
            </w:pPr>
            <w:r>
              <w:rPr>
                <w:rFonts w:hint="default" w:ascii="Times New Roman" w:hAnsi="Times New Roman" w:eastAsia="黑体" w:cs="Times New Roman"/>
                <w:i w:val="0"/>
                <w:iCs w:val="0"/>
                <w:color w:val="000000"/>
                <w:kern w:val="0"/>
                <w:sz w:val="18"/>
                <w:szCs w:val="18"/>
                <w:u w:val="none"/>
                <w:lang w:val="en-US" w:eastAsia="zh-CN" w:bidi="ar"/>
              </w:rPr>
              <w:t>财务负责人：杨松</w:t>
            </w:r>
          </w:p>
        </w:tc>
      </w:tr>
      <w:tr w14:paraId="18904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598" w:type="dxa"/>
            <w:tcBorders>
              <w:top w:val="nil"/>
              <w:left w:val="nil"/>
              <w:bottom w:val="nil"/>
              <w:right w:val="nil"/>
            </w:tcBorders>
            <w:shd w:val="clear" w:color="auto" w:fill="auto"/>
            <w:vAlign w:val="center"/>
          </w:tcPr>
          <w:p w14:paraId="1F0B7548">
            <w:pPr>
              <w:rPr>
                <w:rFonts w:hint="default" w:ascii="Times New Roman" w:hAnsi="Times New Roman" w:eastAsia="宋体" w:cs="Times New Roman"/>
                <w:i w:val="0"/>
                <w:iCs w:val="0"/>
                <w:color w:val="000000"/>
                <w:sz w:val="18"/>
                <w:szCs w:val="18"/>
                <w:u w:val="none"/>
              </w:rPr>
            </w:pPr>
          </w:p>
        </w:tc>
        <w:tc>
          <w:tcPr>
            <w:tcW w:w="1169" w:type="dxa"/>
            <w:tcBorders>
              <w:top w:val="nil"/>
              <w:left w:val="nil"/>
              <w:bottom w:val="nil"/>
              <w:right w:val="nil"/>
            </w:tcBorders>
            <w:shd w:val="clear" w:color="auto" w:fill="auto"/>
            <w:vAlign w:val="center"/>
          </w:tcPr>
          <w:p w14:paraId="1D62173D">
            <w:pPr>
              <w:rPr>
                <w:rFonts w:hint="default" w:ascii="Times New Roman" w:hAnsi="Times New Roman" w:eastAsia="宋体" w:cs="Times New Roman"/>
                <w:i w:val="0"/>
                <w:iCs w:val="0"/>
                <w:color w:val="000000"/>
                <w:sz w:val="18"/>
                <w:szCs w:val="18"/>
                <w:u w:val="none"/>
              </w:rPr>
            </w:pPr>
          </w:p>
        </w:tc>
        <w:tc>
          <w:tcPr>
            <w:tcW w:w="1103" w:type="dxa"/>
            <w:tcBorders>
              <w:top w:val="nil"/>
              <w:left w:val="nil"/>
              <w:bottom w:val="nil"/>
              <w:right w:val="nil"/>
            </w:tcBorders>
            <w:shd w:val="clear" w:color="auto" w:fill="auto"/>
            <w:vAlign w:val="center"/>
          </w:tcPr>
          <w:p w14:paraId="71A32B7A">
            <w:pPr>
              <w:rPr>
                <w:rFonts w:hint="default" w:ascii="Times New Roman" w:hAnsi="Times New Roman" w:eastAsia="宋体" w:cs="Times New Roman"/>
                <w:i w:val="0"/>
                <w:iCs w:val="0"/>
                <w:color w:val="000000"/>
                <w:sz w:val="18"/>
                <w:szCs w:val="18"/>
                <w:u w:val="none"/>
              </w:rPr>
            </w:pPr>
          </w:p>
        </w:tc>
        <w:tc>
          <w:tcPr>
            <w:tcW w:w="1602" w:type="dxa"/>
            <w:tcBorders>
              <w:top w:val="nil"/>
              <w:left w:val="nil"/>
              <w:bottom w:val="nil"/>
              <w:right w:val="nil"/>
            </w:tcBorders>
            <w:shd w:val="clear" w:color="auto" w:fill="auto"/>
            <w:vAlign w:val="center"/>
          </w:tcPr>
          <w:p w14:paraId="676C0771">
            <w:pPr>
              <w:rPr>
                <w:rFonts w:hint="default" w:ascii="Times New Roman" w:hAnsi="Times New Roman" w:eastAsia="宋体" w:cs="Times New Roman"/>
                <w:i w:val="0"/>
                <w:iCs w:val="0"/>
                <w:color w:val="000000"/>
                <w:sz w:val="18"/>
                <w:szCs w:val="18"/>
                <w:u w:val="none"/>
              </w:rPr>
            </w:pPr>
          </w:p>
        </w:tc>
        <w:tc>
          <w:tcPr>
            <w:tcW w:w="433" w:type="dxa"/>
            <w:tcBorders>
              <w:top w:val="nil"/>
              <w:left w:val="nil"/>
              <w:bottom w:val="nil"/>
              <w:right w:val="nil"/>
            </w:tcBorders>
            <w:shd w:val="clear" w:color="auto" w:fill="auto"/>
            <w:vAlign w:val="center"/>
          </w:tcPr>
          <w:p w14:paraId="3D0E9619">
            <w:pPr>
              <w:rPr>
                <w:rFonts w:hint="default" w:ascii="Times New Roman" w:hAnsi="Times New Roman" w:eastAsia="宋体" w:cs="Times New Roman"/>
                <w:i w:val="0"/>
                <w:iCs w:val="0"/>
                <w:color w:val="000000"/>
                <w:sz w:val="18"/>
                <w:szCs w:val="18"/>
                <w:u w:val="none"/>
              </w:rPr>
            </w:pPr>
          </w:p>
        </w:tc>
        <w:tc>
          <w:tcPr>
            <w:tcW w:w="964" w:type="dxa"/>
            <w:tcBorders>
              <w:top w:val="nil"/>
              <w:left w:val="nil"/>
              <w:bottom w:val="nil"/>
              <w:right w:val="nil"/>
            </w:tcBorders>
            <w:shd w:val="clear" w:color="auto" w:fill="auto"/>
            <w:vAlign w:val="center"/>
          </w:tcPr>
          <w:p w14:paraId="492D9B69">
            <w:pPr>
              <w:rPr>
                <w:rFonts w:hint="default" w:ascii="Times New Roman" w:hAnsi="Times New Roman" w:eastAsia="宋体" w:cs="Times New Roman"/>
                <w:i w:val="0"/>
                <w:iCs w:val="0"/>
                <w:color w:val="000000"/>
                <w:sz w:val="18"/>
                <w:szCs w:val="18"/>
                <w:u w:val="none"/>
              </w:rPr>
            </w:pPr>
          </w:p>
        </w:tc>
        <w:tc>
          <w:tcPr>
            <w:tcW w:w="433" w:type="dxa"/>
            <w:tcBorders>
              <w:top w:val="nil"/>
              <w:left w:val="nil"/>
              <w:bottom w:val="nil"/>
              <w:right w:val="nil"/>
            </w:tcBorders>
            <w:shd w:val="clear" w:color="auto" w:fill="auto"/>
            <w:vAlign w:val="center"/>
          </w:tcPr>
          <w:p w14:paraId="15F707AC">
            <w:pPr>
              <w:rPr>
                <w:rFonts w:hint="default" w:ascii="Times New Roman" w:hAnsi="Times New Roman" w:eastAsia="宋体" w:cs="Times New Roman"/>
                <w:i w:val="0"/>
                <w:iCs w:val="0"/>
                <w:color w:val="000000"/>
                <w:sz w:val="18"/>
                <w:szCs w:val="18"/>
                <w:u w:val="none"/>
              </w:rPr>
            </w:pPr>
          </w:p>
        </w:tc>
        <w:tc>
          <w:tcPr>
            <w:tcW w:w="916" w:type="dxa"/>
            <w:tcBorders>
              <w:top w:val="nil"/>
              <w:left w:val="nil"/>
              <w:bottom w:val="nil"/>
              <w:right w:val="nil"/>
            </w:tcBorders>
            <w:shd w:val="clear" w:color="auto" w:fill="auto"/>
            <w:vAlign w:val="center"/>
          </w:tcPr>
          <w:p w14:paraId="0421B990">
            <w:pPr>
              <w:rPr>
                <w:rFonts w:hint="default" w:ascii="Times New Roman" w:hAnsi="Times New Roman" w:eastAsia="宋体" w:cs="Times New Roman"/>
                <w:i w:val="0"/>
                <w:iCs w:val="0"/>
                <w:color w:val="000000"/>
                <w:sz w:val="18"/>
                <w:szCs w:val="18"/>
                <w:u w:val="none"/>
              </w:rPr>
            </w:pPr>
          </w:p>
        </w:tc>
        <w:tc>
          <w:tcPr>
            <w:tcW w:w="486" w:type="dxa"/>
            <w:tcBorders>
              <w:top w:val="nil"/>
              <w:left w:val="nil"/>
              <w:bottom w:val="nil"/>
              <w:right w:val="nil"/>
            </w:tcBorders>
            <w:shd w:val="clear" w:color="auto" w:fill="auto"/>
            <w:vAlign w:val="center"/>
          </w:tcPr>
          <w:p w14:paraId="026D5A20">
            <w:pPr>
              <w:rPr>
                <w:rFonts w:hint="default" w:ascii="Times New Roman" w:hAnsi="Times New Roman" w:eastAsia="宋体" w:cs="Times New Roman"/>
                <w:i w:val="0"/>
                <w:iCs w:val="0"/>
                <w:color w:val="000000"/>
                <w:sz w:val="18"/>
                <w:szCs w:val="18"/>
                <w:u w:val="none"/>
              </w:rPr>
            </w:pPr>
          </w:p>
        </w:tc>
        <w:tc>
          <w:tcPr>
            <w:tcW w:w="406" w:type="dxa"/>
            <w:tcBorders>
              <w:top w:val="nil"/>
              <w:left w:val="nil"/>
              <w:bottom w:val="nil"/>
              <w:right w:val="nil"/>
            </w:tcBorders>
            <w:shd w:val="clear" w:color="auto" w:fill="auto"/>
            <w:vAlign w:val="center"/>
          </w:tcPr>
          <w:p w14:paraId="53BCEE27">
            <w:pPr>
              <w:rPr>
                <w:rFonts w:hint="default" w:ascii="Times New Roman" w:hAnsi="Times New Roman" w:eastAsia="宋体" w:cs="Times New Roman"/>
                <w:i w:val="0"/>
                <w:iCs w:val="0"/>
                <w:color w:val="000000"/>
                <w:sz w:val="18"/>
                <w:szCs w:val="18"/>
                <w:u w:val="none"/>
              </w:rPr>
            </w:pPr>
          </w:p>
        </w:tc>
        <w:tc>
          <w:tcPr>
            <w:tcW w:w="662" w:type="dxa"/>
            <w:tcBorders>
              <w:top w:val="nil"/>
              <w:left w:val="nil"/>
              <w:bottom w:val="nil"/>
              <w:right w:val="nil"/>
            </w:tcBorders>
            <w:shd w:val="clear" w:color="auto" w:fill="auto"/>
            <w:vAlign w:val="center"/>
          </w:tcPr>
          <w:p w14:paraId="6CF38E75">
            <w:pPr>
              <w:rPr>
                <w:rFonts w:hint="default" w:ascii="Times New Roman" w:hAnsi="Times New Roman" w:eastAsia="宋体" w:cs="Times New Roman"/>
                <w:i w:val="0"/>
                <w:iCs w:val="0"/>
                <w:color w:val="000000"/>
                <w:sz w:val="18"/>
                <w:szCs w:val="18"/>
                <w:u w:val="none"/>
              </w:rPr>
            </w:pPr>
          </w:p>
        </w:tc>
      </w:tr>
      <w:tr w14:paraId="063B7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598" w:type="dxa"/>
            <w:tcBorders>
              <w:top w:val="nil"/>
              <w:left w:val="nil"/>
              <w:bottom w:val="nil"/>
              <w:right w:val="nil"/>
            </w:tcBorders>
            <w:shd w:val="clear" w:color="auto" w:fill="auto"/>
            <w:vAlign w:val="center"/>
          </w:tcPr>
          <w:p w14:paraId="2237C25B">
            <w:pPr>
              <w:rPr>
                <w:rFonts w:hint="default" w:ascii="Times New Roman" w:hAnsi="Times New Roman" w:eastAsia="宋体" w:cs="Times New Roman"/>
                <w:i w:val="0"/>
                <w:iCs w:val="0"/>
                <w:color w:val="000000"/>
                <w:sz w:val="18"/>
                <w:szCs w:val="18"/>
                <w:u w:val="none"/>
              </w:rPr>
            </w:pPr>
          </w:p>
          <w:p w14:paraId="543E3B70">
            <w:pPr>
              <w:pStyle w:val="2"/>
              <w:rPr>
                <w:rFonts w:hint="default" w:ascii="Times New Roman" w:hAnsi="Times New Roman" w:eastAsia="宋体" w:cs="Times New Roman"/>
                <w:i w:val="0"/>
                <w:iCs w:val="0"/>
                <w:color w:val="000000"/>
                <w:sz w:val="18"/>
                <w:szCs w:val="18"/>
                <w:u w:val="none"/>
              </w:rPr>
            </w:pPr>
          </w:p>
          <w:p w14:paraId="011DAD95">
            <w:pPr>
              <w:rPr>
                <w:rFonts w:hint="default" w:ascii="Times New Roman" w:hAnsi="Times New Roman" w:cs="Times New Roman"/>
              </w:rPr>
            </w:pPr>
          </w:p>
        </w:tc>
        <w:tc>
          <w:tcPr>
            <w:tcW w:w="1169" w:type="dxa"/>
            <w:tcBorders>
              <w:top w:val="nil"/>
              <w:left w:val="nil"/>
              <w:bottom w:val="nil"/>
              <w:right w:val="nil"/>
            </w:tcBorders>
            <w:shd w:val="clear" w:color="auto" w:fill="auto"/>
            <w:vAlign w:val="center"/>
          </w:tcPr>
          <w:p w14:paraId="3EDEDE1C">
            <w:pPr>
              <w:rPr>
                <w:rFonts w:hint="default" w:ascii="Times New Roman" w:hAnsi="Times New Roman" w:eastAsia="宋体" w:cs="Times New Roman"/>
                <w:i w:val="0"/>
                <w:iCs w:val="0"/>
                <w:color w:val="000000"/>
                <w:sz w:val="18"/>
                <w:szCs w:val="18"/>
                <w:u w:val="none"/>
              </w:rPr>
            </w:pPr>
          </w:p>
        </w:tc>
        <w:tc>
          <w:tcPr>
            <w:tcW w:w="1103" w:type="dxa"/>
            <w:tcBorders>
              <w:top w:val="nil"/>
              <w:left w:val="nil"/>
              <w:bottom w:val="nil"/>
              <w:right w:val="nil"/>
            </w:tcBorders>
            <w:shd w:val="clear" w:color="auto" w:fill="auto"/>
            <w:vAlign w:val="center"/>
          </w:tcPr>
          <w:p w14:paraId="2AA7AD3B">
            <w:pPr>
              <w:rPr>
                <w:rFonts w:hint="default" w:ascii="Times New Roman" w:hAnsi="Times New Roman" w:eastAsia="宋体" w:cs="Times New Roman"/>
                <w:i w:val="0"/>
                <w:iCs w:val="0"/>
                <w:color w:val="000000"/>
                <w:sz w:val="18"/>
                <w:szCs w:val="18"/>
                <w:u w:val="none"/>
              </w:rPr>
            </w:pPr>
          </w:p>
        </w:tc>
        <w:tc>
          <w:tcPr>
            <w:tcW w:w="1602" w:type="dxa"/>
            <w:tcBorders>
              <w:top w:val="nil"/>
              <w:left w:val="nil"/>
              <w:bottom w:val="nil"/>
              <w:right w:val="nil"/>
            </w:tcBorders>
            <w:shd w:val="clear" w:color="auto" w:fill="auto"/>
            <w:vAlign w:val="center"/>
          </w:tcPr>
          <w:p w14:paraId="4FBBFFF4">
            <w:pPr>
              <w:rPr>
                <w:rFonts w:hint="default" w:ascii="Times New Roman" w:hAnsi="Times New Roman" w:eastAsia="宋体" w:cs="Times New Roman"/>
                <w:i w:val="0"/>
                <w:iCs w:val="0"/>
                <w:color w:val="000000"/>
                <w:sz w:val="18"/>
                <w:szCs w:val="18"/>
                <w:u w:val="none"/>
              </w:rPr>
            </w:pPr>
          </w:p>
        </w:tc>
        <w:tc>
          <w:tcPr>
            <w:tcW w:w="433" w:type="dxa"/>
            <w:tcBorders>
              <w:top w:val="nil"/>
              <w:left w:val="nil"/>
              <w:bottom w:val="nil"/>
              <w:right w:val="nil"/>
            </w:tcBorders>
            <w:shd w:val="clear" w:color="auto" w:fill="auto"/>
            <w:vAlign w:val="center"/>
          </w:tcPr>
          <w:p w14:paraId="7237A8FA">
            <w:pPr>
              <w:rPr>
                <w:rFonts w:hint="default" w:ascii="Times New Roman" w:hAnsi="Times New Roman" w:eastAsia="宋体" w:cs="Times New Roman"/>
                <w:i w:val="0"/>
                <w:iCs w:val="0"/>
                <w:color w:val="000000"/>
                <w:sz w:val="18"/>
                <w:szCs w:val="18"/>
                <w:u w:val="none"/>
              </w:rPr>
            </w:pPr>
          </w:p>
        </w:tc>
        <w:tc>
          <w:tcPr>
            <w:tcW w:w="964" w:type="dxa"/>
            <w:tcBorders>
              <w:top w:val="nil"/>
              <w:left w:val="nil"/>
              <w:bottom w:val="nil"/>
              <w:right w:val="nil"/>
            </w:tcBorders>
            <w:shd w:val="clear" w:color="auto" w:fill="auto"/>
            <w:vAlign w:val="center"/>
          </w:tcPr>
          <w:p w14:paraId="6A0B433D">
            <w:pPr>
              <w:rPr>
                <w:rFonts w:hint="default" w:ascii="Times New Roman" w:hAnsi="Times New Roman" w:eastAsia="宋体" w:cs="Times New Roman"/>
                <w:i w:val="0"/>
                <w:iCs w:val="0"/>
                <w:color w:val="000000"/>
                <w:sz w:val="18"/>
                <w:szCs w:val="18"/>
                <w:u w:val="none"/>
              </w:rPr>
            </w:pPr>
          </w:p>
        </w:tc>
        <w:tc>
          <w:tcPr>
            <w:tcW w:w="433" w:type="dxa"/>
            <w:tcBorders>
              <w:top w:val="nil"/>
              <w:left w:val="nil"/>
              <w:bottom w:val="nil"/>
              <w:right w:val="nil"/>
            </w:tcBorders>
            <w:shd w:val="clear" w:color="auto" w:fill="auto"/>
            <w:vAlign w:val="center"/>
          </w:tcPr>
          <w:p w14:paraId="2ADD2A82">
            <w:pPr>
              <w:rPr>
                <w:rFonts w:hint="default" w:ascii="Times New Roman" w:hAnsi="Times New Roman" w:eastAsia="宋体" w:cs="Times New Roman"/>
                <w:i w:val="0"/>
                <w:iCs w:val="0"/>
                <w:color w:val="000000"/>
                <w:sz w:val="18"/>
                <w:szCs w:val="18"/>
                <w:u w:val="none"/>
              </w:rPr>
            </w:pPr>
          </w:p>
        </w:tc>
        <w:tc>
          <w:tcPr>
            <w:tcW w:w="916" w:type="dxa"/>
            <w:tcBorders>
              <w:top w:val="nil"/>
              <w:left w:val="nil"/>
              <w:bottom w:val="nil"/>
              <w:right w:val="nil"/>
            </w:tcBorders>
            <w:shd w:val="clear" w:color="auto" w:fill="auto"/>
            <w:vAlign w:val="center"/>
          </w:tcPr>
          <w:p w14:paraId="0AD81B80">
            <w:pPr>
              <w:rPr>
                <w:rFonts w:hint="default" w:ascii="Times New Roman" w:hAnsi="Times New Roman" w:eastAsia="宋体" w:cs="Times New Roman"/>
                <w:i w:val="0"/>
                <w:iCs w:val="0"/>
                <w:color w:val="000000"/>
                <w:sz w:val="18"/>
                <w:szCs w:val="18"/>
                <w:u w:val="none"/>
              </w:rPr>
            </w:pPr>
          </w:p>
        </w:tc>
        <w:tc>
          <w:tcPr>
            <w:tcW w:w="486" w:type="dxa"/>
            <w:tcBorders>
              <w:top w:val="nil"/>
              <w:left w:val="nil"/>
              <w:bottom w:val="nil"/>
              <w:right w:val="nil"/>
            </w:tcBorders>
            <w:shd w:val="clear" w:color="auto" w:fill="auto"/>
            <w:vAlign w:val="center"/>
          </w:tcPr>
          <w:p w14:paraId="33C3D16E">
            <w:pPr>
              <w:rPr>
                <w:rFonts w:hint="default" w:ascii="Times New Roman" w:hAnsi="Times New Roman" w:eastAsia="宋体" w:cs="Times New Roman"/>
                <w:i w:val="0"/>
                <w:iCs w:val="0"/>
                <w:color w:val="000000"/>
                <w:sz w:val="18"/>
                <w:szCs w:val="18"/>
                <w:u w:val="none"/>
              </w:rPr>
            </w:pPr>
          </w:p>
        </w:tc>
        <w:tc>
          <w:tcPr>
            <w:tcW w:w="406" w:type="dxa"/>
            <w:tcBorders>
              <w:top w:val="nil"/>
              <w:left w:val="nil"/>
              <w:bottom w:val="nil"/>
              <w:right w:val="nil"/>
            </w:tcBorders>
            <w:shd w:val="clear" w:color="auto" w:fill="auto"/>
            <w:vAlign w:val="center"/>
          </w:tcPr>
          <w:p w14:paraId="13C88926">
            <w:pPr>
              <w:rPr>
                <w:rFonts w:hint="default" w:ascii="Times New Roman" w:hAnsi="Times New Roman" w:eastAsia="宋体" w:cs="Times New Roman"/>
                <w:i w:val="0"/>
                <w:iCs w:val="0"/>
                <w:color w:val="000000"/>
                <w:sz w:val="18"/>
                <w:szCs w:val="18"/>
                <w:u w:val="none"/>
              </w:rPr>
            </w:pPr>
          </w:p>
        </w:tc>
        <w:tc>
          <w:tcPr>
            <w:tcW w:w="662" w:type="dxa"/>
            <w:tcBorders>
              <w:top w:val="nil"/>
              <w:left w:val="nil"/>
              <w:bottom w:val="nil"/>
              <w:right w:val="nil"/>
            </w:tcBorders>
            <w:shd w:val="clear" w:color="auto" w:fill="auto"/>
            <w:vAlign w:val="center"/>
          </w:tcPr>
          <w:p w14:paraId="5E538D7D">
            <w:pPr>
              <w:rPr>
                <w:rFonts w:hint="default" w:ascii="Times New Roman" w:hAnsi="Times New Roman" w:eastAsia="宋体" w:cs="Times New Roman"/>
                <w:i w:val="0"/>
                <w:iCs w:val="0"/>
                <w:color w:val="000000"/>
                <w:sz w:val="18"/>
                <w:szCs w:val="18"/>
                <w:u w:val="none"/>
              </w:rPr>
            </w:pPr>
          </w:p>
        </w:tc>
      </w:tr>
    </w:tbl>
    <w:tbl>
      <w:tblPr>
        <w:tblStyle w:val="13"/>
        <w:tblpPr w:leftFromText="180" w:rightFromText="180" w:vertAnchor="text" w:horzAnchor="page" w:tblpX="1233" w:tblpY="621"/>
        <w:tblOverlap w:val="never"/>
        <w:tblW w:w="907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0"/>
        <w:gridCol w:w="496"/>
        <w:gridCol w:w="80"/>
        <w:gridCol w:w="597"/>
        <w:gridCol w:w="504"/>
        <w:gridCol w:w="293"/>
        <w:gridCol w:w="655"/>
        <w:gridCol w:w="187"/>
        <w:gridCol w:w="396"/>
        <w:gridCol w:w="564"/>
        <w:gridCol w:w="73"/>
        <w:gridCol w:w="323"/>
        <w:gridCol w:w="147"/>
        <w:gridCol w:w="724"/>
        <w:gridCol w:w="486"/>
        <w:gridCol w:w="219"/>
        <w:gridCol w:w="245"/>
        <w:gridCol w:w="186"/>
        <w:gridCol w:w="861"/>
        <w:gridCol w:w="488"/>
        <w:gridCol w:w="397"/>
        <w:gridCol w:w="1058"/>
      </w:tblGrid>
      <w:tr w14:paraId="63788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9079"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3995CF1A">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9291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2" w:hRule="atLeast"/>
        </w:trPr>
        <w:tc>
          <w:tcPr>
            <w:tcW w:w="12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47098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80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D2A94F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51322423T000007776286</w:t>
            </w:r>
            <w:r>
              <w:rPr>
                <w:rFonts w:hint="eastAsia"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村干部补助</w:t>
            </w:r>
          </w:p>
        </w:tc>
      </w:tr>
      <w:tr w14:paraId="4CDEE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2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2C5C0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01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FEA80C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松潘县小姓乡人民政府</w:t>
            </w:r>
          </w:p>
        </w:tc>
        <w:tc>
          <w:tcPr>
            <w:tcW w:w="846" w:type="dxa"/>
            <w:gridSpan w:val="2"/>
            <w:tcBorders>
              <w:top w:val="nil"/>
              <w:left w:val="nil"/>
              <w:bottom w:val="nil"/>
              <w:right w:val="nil"/>
            </w:tcBorders>
            <w:shd w:val="clear" w:color="auto" w:fill="auto"/>
            <w:vAlign w:val="center"/>
          </w:tcPr>
          <w:p w14:paraId="2DC1610A">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9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56419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松潘县小姓乡人民政府</w:t>
            </w:r>
          </w:p>
        </w:tc>
      </w:tr>
      <w:tr w14:paraId="28E6B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 w:hRule="atLeast"/>
        </w:trPr>
        <w:tc>
          <w:tcPr>
            <w:tcW w:w="59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8FF26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BF048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01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DEA3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478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50E5B2">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09D6F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5" w:hRule="atLeast"/>
        </w:trPr>
        <w:tc>
          <w:tcPr>
            <w:tcW w:w="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F0B55">
            <w:pPr>
              <w:rPr>
                <w:rFonts w:hint="default" w:ascii="Times New Roman" w:hAnsi="Times New Roman" w:eastAsia="宋体" w:cs="Times New Roman"/>
                <w:i w:val="0"/>
                <w:iCs w:val="0"/>
                <w:color w:val="000000"/>
                <w:sz w:val="18"/>
                <w:szCs w:val="18"/>
                <w:u w:val="none"/>
              </w:rPr>
            </w:pPr>
          </w:p>
        </w:tc>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CF923">
            <w:pPr>
              <w:rPr>
                <w:rFonts w:hint="default" w:ascii="Times New Roman" w:hAnsi="Times New Roman" w:eastAsia="宋体" w:cs="Times New Roman"/>
                <w:i w:val="0"/>
                <w:iCs w:val="0"/>
                <w:color w:val="000000"/>
                <w:sz w:val="18"/>
                <w:szCs w:val="18"/>
                <w:u w:val="none"/>
              </w:rPr>
            </w:pPr>
          </w:p>
        </w:tc>
        <w:tc>
          <w:tcPr>
            <w:tcW w:w="301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E3E47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全面推行村干部</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基本报酬+考核绩效</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报酬制度，村干部是基层干部中最主要的力量，为了确保村干部个人收入，维护村干部的合法权益，</w:t>
            </w:r>
            <w:r>
              <w:rPr>
                <w:rFonts w:hint="eastAsia" w:ascii="Times New Roman" w:hAnsi="Times New Roman" w:cs="Times New Roman"/>
                <w:i w:val="0"/>
                <w:iCs w:val="0"/>
                <w:color w:val="000000"/>
                <w:kern w:val="0"/>
                <w:sz w:val="18"/>
                <w:szCs w:val="18"/>
                <w:u w:val="none"/>
                <w:lang w:val="en-US" w:eastAsia="zh-CN" w:bidi="ar"/>
              </w:rPr>
              <w:t>强化</w:t>
            </w:r>
            <w:r>
              <w:rPr>
                <w:rFonts w:hint="default" w:ascii="Times New Roman" w:hAnsi="Times New Roman" w:eastAsia="宋体" w:cs="Times New Roman"/>
                <w:i w:val="0"/>
                <w:iCs w:val="0"/>
                <w:color w:val="000000"/>
                <w:kern w:val="0"/>
                <w:sz w:val="18"/>
                <w:szCs w:val="18"/>
                <w:u w:val="none"/>
                <w:lang w:val="en-US" w:eastAsia="zh-CN" w:bidi="ar"/>
              </w:rPr>
              <w:t>农村的管理和发展，妥善解决好农村基层干部的工资待遇，充分调动广大基层村干部工作的积极性，发挥村干部在社会主义新农村建设中的引领作用。　</w:t>
            </w:r>
          </w:p>
        </w:tc>
        <w:tc>
          <w:tcPr>
            <w:tcW w:w="478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CA9901">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r>
      <w:tr w14:paraId="26706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6" w:hRule="atLeast"/>
        </w:trPr>
        <w:tc>
          <w:tcPr>
            <w:tcW w:w="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BA4F6">
            <w:pPr>
              <w:rPr>
                <w:rFonts w:hint="default" w:ascii="Times New Roman" w:hAnsi="Times New Roman" w:eastAsia="宋体" w:cs="Times New Roman"/>
                <w:i w:val="0"/>
                <w:iCs w:val="0"/>
                <w:color w:val="000000"/>
                <w:sz w:val="18"/>
                <w:szCs w:val="18"/>
                <w:u w:val="none"/>
              </w:rPr>
            </w:pPr>
          </w:p>
        </w:tc>
        <w:tc>
          <w:tcPr>
            <w:tcW w:w="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CB5D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80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71299FD">
            <w:pPr>
              <w:rPr>
                <w:rFonts w:hint="default" w:ascii="Times New Roman" w:hAnsi="Times New Roman" w:eastAsia="宋体" w:cs="Times New Roman"/>
                <w:i w:val="0"/>
                <w:iCs w:val="0"/>
                <w:color w:val="000000"/>
                <w:sz w:val="18"/>
                <w:szCs w:val="18"/>
                <w:u w:val="none"/>
              </w:rPr>
            </w:pPr>
          </w:p>
        </w:tc>
      </w:tr>
      <w:tr w14:paraId="0F151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59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85D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BF19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8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7264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DD9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3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CA85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2152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C90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D70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9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2264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16735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E22E2">
            <w:pPr>
              <w:jc w:val="center"/>
              <w:rPr>
                <w:rFonts w:hint="default" w:ascii="Times New Roman" w:hAnsi="Times New Roman" w:eastAsia="宋体" w:cs="Times New Roman"/>
                <w:i w:val="0"/>
                <w:iCs w:val="0"/>
                <w:color w:val="000000"/>
                <w:sz w:val="18"/>
                <w:szCs w:val="18"/>
                <w:u w:val="none"/>
              </w:rPr>
            </w:pPr>
          </w:p>
        </w:tc>
        <w:tc>
          <w:tcPr>
            <w:tcW w:w="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DB93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8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512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114.24</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28B8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113.41</w:t>
            </w:r>
          </w:p>
        </w:tc>
        <w:tc>
          <w:tcPr>
            <w:tcW w:w="13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3A34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113.41</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C85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69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F15FA5">
            <w:pPr>
              <w:jc w:val="center"/>
              <w:rPr>
                <w:rFonts w:hint="default" w:ascii="Times New Roman" w:hAnsi="Times New Roman" w:eastAsia="宋体" w:cs="Times New Roman"/>
                <w:i w:val="0"/>
                <w:iCs w:val="0"/>
                <w:color w:val="000000"/>
                <w:sz w:val="18"/>
                <w:szCs w:val="18"/>
                <w:u w:val="none"/>
              </w:rPr>
            </w:pPr>
          </w:p>
        </w:tc>
        <w:tc>
          <w:tcPr>
            <w:tcW w:w="2992"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FE5D6">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1.预算执行率=预算执行数/调整后预算数，预算执行率未达到90%的需说明原因（100字以内）</w:t>
            </w:r>
            <w:r>
              <w:rPr>
                <w:rFonts w:hint="eastAsia" w:ascii="Times New Roman" w:hAnsi="Times New Roman" w:eastAsia="黑体" w:cs="Times New Roman"/>
                <w:i w:val="0"/>
                <w:iCs w:val="0"/>
                <w:color w:val="000000"/>
                <w:kern w:val="0"/>
                <w:sz w:val="18"/>
                <w:szCs w:val="18"/>
                <w:u w:val="none"/>
                <w:lang w:val="en-US" w:eastAsia="zh-CN" w:bidi="ar"/>
              </w:rPr>
              <w:t>；</w:t>
            </w:r>
            <w:r>
              <w:rPr>
                <w:rFonts w:hint="default" w:ascii="Times New Roman" w:hAnsi="Times New Roman" w:eastAsia="黑体" w:cs="Times New Roman"/>
                <w:i w:val="0"/>
                <w:iCs w:val="0"/>
                <w:color w:val="000000"/>
                <w:kern w:val="0"/>
                <w:sz w:val="18"/>
                <w:szCs w:val="18"/>
                <w:u w:val="none"/>
                <w:lang w:val="en-US" w:eastAsia="zh-CN" w:bidi="ar"/>
              </w:rPr>
              <w:t>2.年中发生预算调整的（追加或调减）</w:t>
            </w:r>
            <w:r>
              <w:rPr>
                <w:rFonts w:hint="eastAsia" w:ascii="Times New Roman" w:hAnsi="Times New Roman" w:eastAsia="黑体" w:cs="Times New Roman"/>
                <w:i w:val="0"/>
                <w:iCs w:val="0"/>
                <w:color w:val="000000"/>
                <w:kern w:val="0"/>
                <w:sz w:val="18"/>
                <w:szCs w:val="18"/>
                <w:u w:val="none"/>
                <w:lang w:val="en-US" w:eastAsia="zh-CN" w:bidi="ar"/>
              </w:rPr>
              <w:t>，</w:t>
            </w:r>
            <w:r>
              <w:rPr>
                <w:rFonts w:hint="default" w:ascii="Times New Roman" w:hAnsi="Times New Roman" w:eastAsia="黑体" w:cs="Times New Roman"/>
                <w:i w:val="0"/>
                <w:iCs w:val="0"/>
                <w:color w:val="000000"/>
                <w:kern w:val="0"/>
                <w:sz w:val="18"/>
                <w:szCs w:val="18"/>
                <w:u w:val="none"/>
                <w:lang w:val="en-US" w:eastAsia="zh-CN" w:bidi="ar"/>
              </w:rPr>
              <w:t>应单独说明理由；3.其他资金包括：社会投入资金、银行贷款</w:t>
            </w:r>
            <w:r>
              <w:rPr>
                <w:rFonts w:hint="eastAsia" w:ascii="Times New Roman" w:hAnsi="Times New Roman" w:eastAsia="黑体" w:cs="Times New Roman"/>
                <w:i w:val="0"/>
                <w:iCs w:val="0"/>
                <w:color w:val="000000"/>
                <w:kern w:val="0"/>
                <w:sz w:val="18"/>
                <w:szCs w:val="18"/>
                <w:u w:val="none"/>
                <w:lang w:val="en-US" w:eastAsia="zh-CN" w:bidi="ar"/>
              </w:rPr>
              <w:t>。</w:t>
            </w:r>
          </w:p>
        </w:tc>
      </w:tr>
      <w:tr w14:paraId="2144D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C4FF">
            <w:pPr>
              <w:jc w:val="center"/>
              <w:rPr>
                <w:rFonts w:hint="default" w:ascii="Times New Roman" w:hAnsi="Times New Roman" w:eastAsia="宋体" w:cs="Times New Roman"/>
                <w:i w:val="0"/>
                <w:iCs w:val="0"/>
                <w:color w:val="000000"/>
                <w:sz w:val="18"/>
                <w:szCs w:val="18"/>
                <w:u w:val="none"/>
              </w:rPr>
            </w:pPr>
          </w:p>
        </w:tc>
        <w:tc>
          <w:tcPr>
            <w:tcW w:w="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B57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8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DCE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114.24</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BC0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113.41</w:t>
            </w:r>
          </w:p>
        </w:tc>
        <w:tc>
          <w:tcPr>
            <w:tcW w:w="13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9654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113.41</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0A59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362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F3F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69F1E">
            <w:pPr>
              <w:rPr>
                <w:rFonts w:hint="default" w:ascii="Times New Roman" w:hAnsi="Times New Roman" w:eastAsia="黑体" w:cs="Times New Roman"/>
                <w:i/>
                <w:iCs/>
                <w:color w:val="000000"/>
                <w:sz w:val="18"/>
                <w:szCs w:val="18"/>
                <w:u w:val="none"/>
              </w:rPr>
            </w:pPr>
          </w:p>
        </w:tc>
      </w:tr>
      <w:tr w14:paraId="3AEE3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5DEB1">
            <w:pPr>
              <w:jc w:val="center"/>
              <w:rPr>
                <w:rFonts w:hint="default" w:ascii="Times New Roman" w:hAnsi="Times New Roman" w:eastAsia="宋体" w:cs="Times New Roman"/>
                <w:i w:val="0"/>
                <w:iCs w:val="0"/>
                <w:color w:val="000000"/>
                <w:sz w:val="18"/>
                <w:szCs w:val="18"/>
                <w:u w:val="none"/>
              </w:rPr>
            </w:pPr>
          </w:p>
        </w:tc>
        <w:tc>
          <w:tcPr>
            <w:tcW w:w="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EF40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8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E87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4C5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F525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2F0A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38C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0D0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9CEFB">
            <w:pPr>
              <w:rPr>
                <w:rFonts w:hint="default" w:ascii="Times New Roman" w:hAnsi="Times New Roman" w:eastAsia="黑体" w:cs="Times New Roman"/>
                <w:i/>
                <w:iCs/>
                <w:color w:val="000000"/>
                <w:sz w:val="18"/>
                <w:szCs w:val="18"/>
                <w:u w:val="none"/>
              </w:rPr>
            </w:pPr>
          </w:p>
        </w:tc>
      </w:tr>
      <w:tr w14:paraId="7D30F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5152D">
            <w:pPr>
              <w:jc w:val="center"/>
              <w:rPr>
                <w:rFonts w:hint="default" w:ascii="Times New Roman" w:hAnsi="Times New Roman" w:eastAsia="宋体" w:cs="Times New Roman"/>
                <w:i w:val="0"/>
                <w:iCs w:val="0"/>
                <w:color w:val="000000"/>
                <w:sz w:val="18"/>
                <w:szCs w:val="18"/>
                <w:u w:val="none"/>
              </w:rPr>
            </w:pPr>
          </w:p>
        </w:tc>
        <w:tc>
          <w:tcPr>
            <w:tcW w:w="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651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8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5E9A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3DB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8022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5C50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2F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F87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ADC32">
            <w:pPr>
              <w:rPr>
                <w:rFonts w:hint="default" w:ascii="Times New Roman" w:hAnsi="Times New Roman" w:eastAsia="黑体" w:cs="Times New Roman"/>
                <w:i/>
                <w:iCs/>
                <w:color w:val="000000"/>
                <w:sz w:val="18"/>
                <w:szCs w:val="18"/>
                <w:u w:val="none"/>
              </w:rPr>
            </w:pPr>
          </w:p>
        </w:tc>
      </w:tr>
      <w:tr w14:paraId="102AD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trPr>
        <w:tc>
          <w:tcPr>
            <w:tcW w:w="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DD131">
            <w:pPr>
              <w:jc w:val="center"/>
              <w:rPr>
                <w:rFonts w:hint="default" w:ascii="Times New Roman" w:hAnsi="Times New Roman" w:eastAsia="宋体" w:cs="Times New Roman"/>
                <w:i w:val="0"/>
                <w:iCs w:val="0"/>
                <w:color w:val="000000"/>
                <w:sz w:val="18"/>
                <w:szCs w:val="18"/>
                <w:u w:val="none"/>
              </w:rPr>
            </w:pPr>
          </w:p>
        </w:tc>
        <w:tc>
          <w:tcPr>
            <w:tcW w:w="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0EB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8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F5DD42">
            <w:pPr>
              <w:jc w:val="center"/>
              <w:rPr>
                <w:rFonts w:hint="default" w:ascii="Times New Roman" w:hAnsi="Times New Roman" w:eastAsia="微软雅黑" w:cs="Times New Roman"/>
                <w:i/>
                <w:iCs/>
                <w:color w:val="000000"/>
                <w:sz w:val="16"/>
                <w:szCs w:val="16"/>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B1A36">
            <w:pPr>
              <w:jc w:val="center"/>
              <w:rPr>
                <w:rFonts w:hint="default" w:ascii="Times New Roman" w:hAnsi="Times New Roman" w:eastAsia="微软雅黑" w:cs="Times New Roman"/>
                <w:i/>
                <w:iCs/>
                <w:color w:val="000000"/>
                <w:sz w:val="16"/>
                <w:szCs w:val="16"/>
                <w:u w:val="none"/>
              </w:rPr>
            </w:pPr>
          </w:p>
        </w:tc>
        <w:tc>
          <w:tcPr>
            <w:tcW w:w="13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C421BF">
            <w:pPr>
              <w:jc w:val="center"/>
              <w:rPr>
                <w:rFonts w:hint="default" w:ascii="Times New Roman" w:hAnsi="Times New Roman" w:eastAsia="微软雅黑" w:cs="Times New Roman"/>
                <w:i/>
                <w:iCs/>
                <w:color w:val="000000"/>
                <w:sz w:val="16"/>
                <w:szCs w:val="16"/>
                <w:u w:val="none"/>
              </w:rPr>
            </w:pP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51CA01">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51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5A2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4364D">
            <w:pPr>
              <w:rPr>
                <w:rFonts w:hint="default" w:ascii="Times New Roman" w:hAnsi="Times New Roman" w:eastAsia="黑体" w:cs="Times New Roman"/>
                <w:i/>
                <w:iCs/>
                <w:color w:val="000000"/>
                <w:sz w:val="18"/>
                <w:szCs w:val="18"/>
                <w:u w:val="none"/>
              </w:rPr>
            </w:pPr>
          </w:p>
        </w:tc>
      </w:tr>
      <w:tr w14:paraId="2DEAB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6" w:hRule="atLeast"/>
        </w:trPr>
        <w:tc>
          <w:tcPr>
            <w:tcW w:w="59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2B7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B70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8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3917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04F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45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7C2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3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25AE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CA4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9F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61B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9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2A34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5CDD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2F153">
            <w:pPr>
              <w:jc w:val="center"/>
              <w:rPr>
                <w:rFonts w:hint="default" w:ascii="Times New Roman" w:hAnsi="Times New Roman" w:eastAsia="宋体" w:cs="Times New Roman"/>
                <w:i w:val="0"/>
                <w:iCs w:val="0"/>
                <w:color w:val="000000"/>
                <w:sz w:val="18"/>
                <w:szCs w:val="18"/>
                <w:u w:val="none"/>
              </w:rPr>
            </w:pPr>
          </w:p>
        </w:tc>
        <w:tc>
          <w:tcPr>
            <w:tcW w:w="6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4D7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8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DF7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584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保障生活补助的村干部人数</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3F1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1A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w:t>
            </w:r>
          </w:p>
        </w:tc>
        <w:tc>
          <w:tcPr>
            <w:tcW w:w="3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F05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人</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60C7F4">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0EE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w:t>
            </w:r>
          </w:p>
        </w:tc>
        <w:tc>
          <w:tcPr>
            <w:tcW w:w="4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98F8F">
            <w:pPr>
              <w:jc w:val="center"/>
              <w:rPr>
                <w:rFonts w:hint="default" w:ascii="Times New Roman" w:hAnsi="Times New Roman" w:eastAsia="宋体" w:cs="Times New Roman"/>
                <w:i w:val="0"/>
                <w:iCs w:val="0"/>
                <w:color w:val="000000"/>
                <w:sz w:val="18"/>
                <w:szCs w:val="18"/>
                <w:u w:val="none"/>
              </w:rPr>
            </w:pPr>
          </w:p>
        </w:tc>
        <w:tc>
          <w:tcPr>
            <w:tcW w:w="29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1ECDD6">
            <w:pPr>
              <w:jc w:val="center"/>
              <w:rPr>
                <w:rFonts w:hint="default" w:ascii="Times New Roman" w:hAnsi="Times New Roman" w:eastAsia="微软雅黑" w:cs="Times New Roman"/>
                <w:i/>
                <w:iCs/>
                <w:color w:val="000000"/>
                <w:sz w:val="16"/>
                <w:szCs w:val="16"/>
                <w:u w:val="none"/>
              </w:rPr>
            </w:pPr>
          </w:p>
        </w:tc>
      </w:tr>
      <w:tr w14:paraId="1C2F3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026D7">
            <w:pPr>
              <w:jc w:val="center"/>
              <w:rPr>
                <w:rFonts w:hint="default" w:ascii="Times New Roman" w:hAnsi="Times New Roman" w:eastAsia="宋体" w:cs="Times New Roman"/>
                <w:i w:val="0"/>
                <w:iCs w:val="0"/>
                <w:color w:val="000000"/>
                <w:sz w:val="18"/>
                <w:szCs w:val="18"/>
                <w:u w:val="none"/>
              </w:rPr>
            </w:pPr>
          </w:p>
        </w:tc>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2CC8F">
            <w:pPr>
              <w:jc w:val="center"/>
              <w:rPr>
                <w:rFonts w:hint="default" w:ascii="Times New Roman" w:hAnsi="Times New Roman" w:eastAsia="宋体" w:cs="Times New Roman"/>
                <w:i w:val="0"/>
                <w:iCs w:val="0"/>
                <w:color w:val="000000"/>
                <w:sz w:val="18"/>
                <w:szCs w:val="18"/>
                <w:u w:val="none"/>
              </w:rPr>
            </w:pPr>
          </w:p>
        </w:tc>
        <w:tc>
          <w:tcPr>
            <w:tcW w:w="8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A3DE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6991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村干部工作效果</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0C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59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良好</w:t>
            </w:r>
          </w:p>
        </w:tc>
        <w:tc>
          <w:tcPr>
            <w:tcW w:w="3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109EB">
            <w:pPr>
              <w:jc w:val="center"/>
              <w:rPr>
                <w:rFonts w:hint="default" w:ascii="Times New Roman" w:hAnsi="Times New Roman" w:eastAsia="宋体" w:cs="Times New Roman"/>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73E137">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86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w:t>
            </w:r>
          </w:p>
        </w:tc>
        <w:tc>
          <w:tcPr>
            <w:tcW w:w="4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9725B8">
            <w:pPr>
              <w:jc w:val="center"/>
              <w:rPr>
                <w:rFonts w:hint="default" w:ascii="Times New Roman" w:hAnsi="Times New Roman" w:eastAsia="宋体" w:cs="Times New Roman"/>
                <w:i w:val="0"/>
                <w:iCs w:val="0"/>
                <w:color w:val="000000"/>
                <w:sz w:val="18"/>
                <w:szCs w:val="18"/>
                <w:u w:val="none"/>
              </w:rPr>
            </w:pPr>
          </w:p>
        </w:tc>
        <w:tc>
          <w:tcPr>
            <w:tcW w:w="29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61E904">
            <w:pPr>
              <w:jc w:val="center"/>
              <w:rPr>
                <w:rFonts w:hint="default" w:ascii="Times New Roman" w:hAnsi="Times New Roman" w:eastAsia="微软雅黑" w:cs="Times New Roman"/>
                <w:i/>
                <w:iCs/>
                <w:color w:val="000000"/>
                <w:sz w:val="16"/>
                <w:szCs w:val="16"/>
                <w:u w:val="none"/>
              </w:rPr>
            </w:pPr>
          </w:p>
        </w:tc>
      </w:tr>
      <w:tr w14:paraId="57F82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65608">
            <w:pPr>
              <w:jc w:val="center"/>
              <w:rPr>
                <w:rFonts w:hint="default" w:ascii="Times New Roman" w:hAnsi="Times New Roman" w:eastAsia="宋体" w:cs="Times New Roman"/>
                <w:i w:val="0"/>
                <w:iCs w:val="0"/>
                <w:color w:val="000000"/>
                <w:sz w:val="18"/>
                <w:szCs w:val="18"/>
                <w:u w:val="none"/>
              </w:rPr>
            </w:pPr>
          </w:p>
        </w:tc>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99E34">
            <w:pPr>
              <w:jc w:val="center"/>
              <w:rPr>
                <w:rFonts w:hint="default" w:ascii="Times New Roman" w:hAnsi="Times New Roman" w:eastAsia="宋体" w:cs="Times New Roman"/>
                <w:i w:val="0"/>
                <w:iCs w:val="0"/>
                <w:color w:val="000000"/>
                <w:sz w:val="18"/>
                <w:szCs w:val="18"/>
                <w:u w:val="none"/>
              </w:rPr>
            </w:pPr>
          </w:p>
        </w:tc>
        <w:tc>
          <w:tcPr>
            <w:tcW w:w="8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2830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5CA6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发放及时率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112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23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3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F03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9C42E">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4F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w:t>
            </w:r>
          </w:p>
        </w:tc>
        <w:tc>
          <w:tcPr>
            <w:tcW w:w="4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EE08E">
            <w:pPr>
              <w:jc w:val="center"/>
              <w:rPr>
                <w:rFonts w:hint="default" w:ascii="Times New Roman" w:hAnsi="Times New Roman" w:eastAsia="宋体" w:cs="Times New Roman"/>
                <w:i w:val="0"/>
                <w:iCs w:val="0"/>
                <w:color w:val="000000"/>
                <w:sz w:val="18"/>
                <w:szCs w:val="18"/>
                <w:u w:val="none"/>
              </w:rPr>
            </w:pPr>
          </w:p>
        </w:tc>
        <w:tc>
          <w:tcPr>
            <w:tcW w:w="29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CC2A73">
            <w:pPr>
              <w:jc w:val="center"/>
              <w:rPr>
                <w:rFonts w:hint="default" w:ascii="Times New Roman" w:hAnsi="Times New Roman" w:eastAsia="微软雅黑" w:cs="Times New Roman"/>
                <w:i/>
                <w:iCs/>
                <w:color w:val="000000"/>
                <w:sz w:val="16"/>
                <w:szCs w:val="16"/>
                <w:u w:val="none"/>
              </w:rPr>
            </w:pPr>
          </w:p>
        </w:tc>
      </w:tr>
      <w:tr w14:paraId="0DF38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73274">
            <w:pPr>
              <w:jc w:val="center"/>
              <w:rPr>
                <w:rFonts w:hint="default" w:ascii="Times New Roman" w:hAnsi="Times New Roman" w:eastAsia="宋体" w:cs="Times New Roman"/>
                <w:i w:val="0"/>
                <w:iCs w:val="0"/>
                <w:color w:val="000000"/>
                <w:sz w:val="18"/>
                <w:szCs w:val="18"/>
                <w:u w:val="none"/>
              </w:rPr>
            </w:pPr>
          </w:p>
        </w:tc>
        <w:tc>
          <w:tcPr>
            <w:tcW w:w="6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9FED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8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0241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DF2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对乡村发展建设的带动作用</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4AE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0D3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良好</w:t>
            </w:r>
          </w:p>
        </w:tc>
        <w:tc>
          <w:tcPr>
            <w:tcW w:w="3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CE5009">
            <w:pPr>
              <w:jc w:val="center"/>
              <w:rPr>
                <w:rFonts w:hint="default" w:ascii="Times New Roman" w:hAnsi="Times New Roman" w:eastAsia="宋体" w:cs="Times New Roman"/>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6681E">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C52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4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3475D">
            <w:pPr>
              <w:jc w:val="center"/>
              <w:rPr>
                <w:rFonts w:hint="default" w:ascii="Times New Roman" w:hAnsi="Times New Roman" w:eastAsia="宋体" w:cs="Times New Roman"/>
                <w:i w:val="0"/>
                <w:iCs w:val="0"/>
                <w:color w:val="000000"/>
                <w:sz w:val="18"/>
                <w:szCs w:val="18"/>
                <w:u w:val="none"/>
              </w:rPr>
            </w:pPr>
          </w:p>
        </w:tc>
        <w:tc>
          <w:tcPr>
            <w:tcW w:w="29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75FE7D">
            <w:pPr>
              <w:jc w:val="center"/>
              <w:rPr>
                <w:rFonts w:hint="default" w:ascii="Times New Roman" w:hAnsi="Times New Roman" w:eastAsia="微软雅黑" w:cs="Times New Roman"/>
                <w:i/>
                <w:iCs/>
                <w:color w:val="000000"/>
                <w:sz w:val="16"/>
                <w:szCs w:val="16"/>
                <w:u w:val="none"/>
              </w:rPr>
            </w:pPr>
          </w:p>
        </w:tc>
      </w:tr>
      <w:tr w14:paraId="75749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783D3">
            <w:pPr>
              <w:jc w:val="center"/>
              <w:rPr>
                <w:rFonts w:hint="default" w:ascii="Times New Roman" w:hAnsi="Times New Roman" w:eastAsia="宋体" w:cs="Times New Roman"/>
                <w:i w:val="0"/>
                <w:iCs w:val="0"/>
                <w:color w:val="000000"/>
                <w:sz w:val="18"/>
                <w:szCs w:val="18"/>
                <w:u w:val="none"/>
              </w:rPr>
            </w:pPr>
          </w:p>
        </w:tc>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2F163">
            <w:pPr>
              <w:jc w:val="center"/>
              <w:rPr>
                <w:rFonts w:hint="default" w:ascii="Times New Roman" w:hAnsi="Times New Roman" w:eastAsia="宋体" w:cs="Times New Roman"/>
                <w:i w:val="0"/>
                <w:iCs w:val="0"/>
                <w:color w:val="000000"/>
                <w:sz w:val="18"/>
                <w:szCs w:val="18"/>
                <w:u w:val="none"/>
              </w:rPr>
            </w:pPr>
          </w:p>
        </w:tc>
        <w:tc>
          <w:tcPr>
            <w:tcW w:w="8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678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58AD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可持续影响力</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36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F27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高</w:t>
            </w:r>
          </w:p>
        </w:tc>
        <w:tc>
          <w:tcPr>
            <w:tcW w:w="3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3BD06">
            <w:pPr>
              <w:jc w:val="center"/>
              <w:rPr>
                <w:rFonts w:hint="default" w:ascii="Times New Roman" w:hAnsi="Times New Roman" w:eastAsia="宋体" w:cs="Times New Roman"/>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F994D">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801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4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C3DDA">
            <w:pPr>
              <w:jc w:val="center"/>
              <w:rPr>
                <w:rFonts w:hint="default" w:ascii="Times New Roman" w:hAnsi="Times New Roman" w:eastAsia="宋体" w:cs="Times New Roman"/>
                <w:i w:val="0"/>
                <w:iCs w:val="0"/>
                <w:color w:val="000000"/>
                <w:sz w:val="18"/>
                <w:szCs w:val="18"/>
                <w:u w:val="none"/>
              </w:rPr>
            </w:pPr>
          </w:p>
        </w:tc>
        <w:tc>
          <w:tcPr>
            <w:tcW w:w="29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30E494">
            <w:pPr>
              <w:jc w:val="center"/>
              <w:rPr>
                <w:rFonts w:hint="default" w:ascii="Times New Roman" w:hAnsi="Times New Roman" w:eastAsia="微软雅黑" w:cs="Times New Roman"/>
                <w:i/>
                <w:iCs/>
                <w:color w:val="000000"/>
                <w:sz w:val="16"/>
                <w:szCs w:val="16"/>
                <w:u w:val="none"/>
              </w:rPr>
            </w:pPr>
          </w:p>
        </w:tc>
      </w:tr>
      <w:tr w14:paraId="5C706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95EBA">
            <w:pPr>
              <w:jc w:val="center"/>
              <w:rPr>
                <w:rFonts w:hint="default" w:ascii="Times New Roman" w:hAnsi="Times New Roman" w:eastAsia="宋体" w:cs="Times New Roman"/>
                <w:i w:val="0"/>
                <w:iCs w:val="0"/>
                <w:color w:val="000000"/>
                <w:sz w:val="18"/>
                <w:szCs w:val="18"/>
                <w:u w:val="none"/>
              </w:rPr>
            </w:pPr>
          </w:p>
        </w:tc>
        <w:tc>
          <w:tcPr>
            <w:tcW w:w="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E900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8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2F6E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FA37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村干部及群众满意度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F7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2F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3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6E3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3A0FF">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419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8B10AA">
            <w:pPr>
              <w:jc w:val="center"/>
              <w:rPr>
                <w:rFonts w:hint="default" w:ascii="Times New Roman" w:hAnsi="Times New Roman" w:eastAsia="宋体" w:cs="Times New Roman"/>
                <w:i w:val="0"/>
                <w:iCs w:val="0"/>
                <w:color w:val="000000"/>
                <w:sz w:val="18"/>
                <w:szCs w:val="18"/>
                <w:u w:val="none"/>
              </w:rPr>
            </w:pPr>
          </w:p>
        </w:tc>
        <w:tc>
          <w:tcPr>
            <w:tcW w:w="29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FD13A6">
            <w:pPr>
              <w:jc w:val="center"/>
              <w:rPr>
                <w:rFonts w:hint="default" w:ascii="Times New Roman" w:hAnsi="Times New Roman" w:eastAsia="微软雅黑" w:cs="Times New Roman"/>
                <w:i/>
                <w:iCs/>
                <w:color w:val="000000"/>
                <w:sz w:val="16"/>
                <w:szCs w:val="16"/>
                <w:u w:val="none"/>
              </w:rPr>
            </w:pPr>
          </w:p>
        </w:tc>
      </w:tr>
      <w:tr w14:paraId="3C326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74943">
            <w:pPr>
              <w:jc w:val="center"/>
              <w:rPr>
                <w:rFonts w:hint="default" w:ascii="Times New Roman" w:hAnsi="Times New Roman" w:eastAsia="宋体" w:cs="Times New Roman"/>
                <w:i w:val="0"/>
                <w:iCs w:val="0"/>
                <w:color w:val="000000"/>
                <w:sz w:val="18"/>
                <w:szCs w:val="18"/>
                <w:u w:val="none"/>
              </w:rPr>
            </w:pPr>
          </w:p>
        </w:tc>
        <w:tc>
          <w:tcPr>
            <w:tcW w:w="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BB8A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8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CFA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2B30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成本控制率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1F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3D6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3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6A4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B7C06">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2C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35047">
            <w:pPr>
              <w:jc w:val="center"/>
              <w:rPr>
                <w:rFonts w:hint="default" w:ascii="Times New Roman" w:hAnsi="Times New Roman" w:eastAsia="宋体" w:cs="Times New Roman"/>
                <w:i w:val="0"/>
                <w:iCs w:val="0"/>
                <w:color w:val="000000"/>
                <w:sz w:val="18"/>
                <w:szCs w:val="18"/>
                <w:u w:val="none"/>
              </w:rPr>
            </w:pPr>
          </w:p>
        </w:tc>
        <w:tc>
          <w:tcPr>
            <w:tcW w:w="29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552536">
            <w:pPr>
              <w:jc w:val="center"/>
              <w:rPr>
                <w:rFonts w:hint="default" w:ascii="Times New Roman" w:hAnsi="Times New Roman" w:eastAsia="微软雅黑" w:cs="Times New Roman"/>
                <w:i/>
                <w:iCs/>
                <w:color w:val="000000"/>
                <w:sz w:val="16"/>
                <w:szCs w:val="16"/>
                <w:u w:val="none"/>
              </w:rPr>
            </w:pPr>
          </w:p>
        </w:tc>
      </w:tr>
      <w:tr w14:paraId="12D62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 w:hRule="atLeast"/>
        </w:trPr>
        <w:tc>
          <w:tcPr>
            <w:tcW w:w="5137"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8C07E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0A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C7D334">
            <w:pPr>
              <w:rPr>
                <w:rFonts w:hint="default" w:ascii="Times New Roman" w:hAnsi="Times New Roman" w:eastAsia="宋体" w:cs="Times New Roman"/>
                <w:i w:val="0"/>
                <w:iCs w:val="0"/>
                <w:color w:val="000000"/>
                <w:sz w:val="18"/>
                <w:szCs w:val="18"/>
                <w:u w:val="none"/>
              </w:rPr>
            </w:pPr>
          </w:p>
        </w:tc>
        <w:tc>
          <w:tcPr>
            <w:tcW w:w="29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405D3C">
            <w:pPr>
              <w:rPr>
                <w:rFonts w:hint="default" w:ascii="Times New Roman" w:hAnsi="Times New Roman" w:eastAsia="宋体" w:cs="Times New Roman"/>
                <w:i w:val="0"/>
                <w:iCs w:val="0"/>
                <w:color w:val="000000"/>
                <w:sz w:val="18"/>
                <w:szCs w:val="18"/>
                <w:u w:val="none"/>
              </w:rPr>
            </w:pPr>
          </w:p>
        </w:tc>
      </w:tr>
      <w:tr w14:paraId="1EBE5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133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483"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3972482">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结合自评情况，说明项目自评总分，说明项目实施取得的成效或成果。（200字以内）</w:t>
            </w:r>
          </w:p>
        </w:tc>
      </w:tr>
      <w:tr w14:paraId="5CD04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836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483"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5D8E985E">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结合自评情况，分析存在的问题及原因。（200字以内）</w:t>
            </w:r>
          </w:p>
        </w:tc>
      </w:tr>
      <w:tr w14:paraId="2E1E9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5A4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483"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0A0F9F0F">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针对项目自评中发现的问题，提出下一步改进完善的意见及有关政策性建议。（200字以内）</w:t>
            </w:r>
          </w:p>
        </w:tc>
      </w:tr>
      <w:tr w14:paraId="31E4D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 w:hRule="atLeast"/>
        </w:trPr>
        <w:tc>
          <w:tcPr>
            <w:tcW w:w="332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8271EA">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575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1249077">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14:paraId="5DF75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2" w:hRule="atLeast"/>
        </w:trPr>
        <w:tc>
          <w:tcPr>
            <w:tcW w:w="596" w:type="dxa"/>
            <w:gridSpan w:val="2"/>
            <w:tcBorders>
              <w:top w:val="nil"/>
              <w:left w:val="nil"/>
              <w:bottom w:val="nil"/>
              <w:right w:val="nil"/>
            </w:tcBorders>
            <w:shd w:val="clear" w:color="auto" w:fill="auto"/>
            <w:vAlign w:val="center"/>
          </w:tcPr>
          <w:p w14:paraId="509C566F">
            <w:pPr>
              <w:rPr>
                <w:rFonts w:hint="default" w:ascii="Times New Roman" w:hAnsi="Times New Roman" w:eastAsia="宋体" w:cs="Times New Roman"/>
                <w:i w:val="0"/>
                <w:iCs w:val="0"/>
                <w:color w:val="000000"/>
                <w:sz w:val="18"/>
                <w:szCs w:val="18"/>
                <w:u w:val="none"/>
              </w:rPr>
            </w:pPr>
          </w:p>
        </w:tc>
        <w:tc>
          <w:tcPr>
            <w:tcW w:w="683" w:type="dxa"/>
            <w:gridSpan w:val="2"/>
            <w:tcBorders>
              <w:top w:val="nil"/>
              <w:left w:val="nil"/>
              <w:bottom w:val="nil"/>
              <w:right w:val="nil"/>
            </w:tcBorders>
            <w:shd w:val="clear" w:color="auto" w:fill="auto"/>
            <w:vAlign w:val="center"/>
          </w:tcPr>
          <w:p w14:paraId="5147D8FF">
            <w:pPr>
              <w:rPr>
                <w:rFonts w:hint="default" w:ascii="Times New Roman" w:hAnsi="Times New Roman" w:eastAsia="宋体" w:cs="Times New Roman"/>
                <w:i w:val="0"/>
                <w:iCs w:val="0"/>
                <w:color w:val="000000"/>
                <w:sz w:val="18"/>
                <w:szCs w:val="18"/>
                <w:u w:val="none"/>
              </w:rPr>
            </w:pPr>
          </w:p>
        </w:tc>
        <w:tc>
          <w:tcPr>
            <w:tcW w:w="802" w:type="dxa"/>
            <w:gridSpan w:val="2"/>
            <w:tcBorders>
              <w:top w:val="nil"/>
              <w:left w:val="nil"/>
              <w:bottom w:val="nil"/>
              <w:right w:val="nil"/>
            </w:tcBorders>
            <w:shd w:val="clear" w:color="auto" w:fill="auto"/>
            <w:vAlign w:val="center"/>
          </w:tcPr>
          <w:p w14:paraId="616B127A">
            <w:pPr>
              <w:rPr>
                <w:rFonts w:hint="default" w:ascii="Times New Roman" w:hAnsi="Times New Roman" w:eastAsia="宋体" w:cs="Times New Roman"/>
                <w:i w:val="0"/>
                <w:iCs w:val="0"/>
                <w:color w:val="000000"/>
                <w:sz w:val="18"/>
                <w:szCs w:val="18"/>
                <w:u w:val="none"/>
              </w:rPr>
            </w:pPr>
          </w:p>
        </w:tc>
        <w:tc>
          <w:tcPr>
            <w:tcW w:w="850" w:type="dxa"/>
            <w:gridSpan w:val="2"/>
            <w:tcBorders>
              <w:top w:val="nil"/>
              <w:left w:val="nil"/>
              <w:bottom w:val="nil"/>
              <w:right w:val="nil"/>
            </w:tcBorders>
            <w:shd w:val="clear" w:color="auto" w:fill="auto"/>
            <w:vAlign w:val="center"/>
          </w:tcPr>
          <w:p w14:paraId="42240CFC">
            <w:pPr>
              <w:rPr>
                <w:rFonts w:hint="default" w:ascii="Times New Roman" w:hAnsi="Times New Roman" w:eastAsia="宋体" w:cs="Times New Roman"/>
                <w:i w:val="0"/>
                <w:iCs w:val="0"/>
                <w:color w:val="000000"/>
                <w:sz w:val="18"/>
                <w:szCs w:val="18"/>
                <w:u w:val="none"/>
              </w:rPr>
            </w:pPr>
          </w:p>
        </w:tc>
        <w:tc>
          <w:tcPr>
            <w:tcW w:w="396" w:type="dxa"/>
            <w:tcBorders>
              <w:top w:val="nil"/>
              <w:left w:val="nil"/>
              <w:bottom w:val="nil"/>
              <w:right w:val="nil"/>
            </w:tcBorders>
            <w:shd w:val="clear" w:color="auto" w:fill="auto"/>
            <w:vAlign w:val="center"/>
          </w:tcPr>
          <w:p w14:paraId="1ABBF6FA">
            <w:pPr>
              <w:rPr>
                <w:rFonts w:hint="default" w:ascii="Times New Roman" w:hAnsi="Times New Roman" w:eastAsia="宋体" w:cs="Times New Roman"/>
                <w:i w:val="0"/>
                <w:iCs w:val="0"/>
                <w:color w:val="000000"/>
                <w:sz w:val="18"/>
                <w:szCs w:val="18"/>
                <w:u w:val="none"/>
              </w:rPr>
            </w:pPr>
          </w:p>
        </w:tc>
        <w:tc>
          <w:tcPr>
            <w:tcW w:w="568" w:type="dxa"/>
            <w:tcBorders>
              <w:top w:val="nil"/>
              <w:left w:val="nil"/>
              <w:bottom w:val="nil"/>
              <w:right w:val="nil"/>
            </w:tcBorders>
            <w:shd w:val="clear" w:color="auto" w:fill="auto"/>
            <w:vAlign w:val="center"/>
          </w:tcPr>
          <w:p w14:paraId="5363294C">
            <w:pPr>
              <w:rPr>
                <w:rFonts w:hint="default" w:ascii="Times New Roman" w:hAnsi="Times New Roman" w:eastAsia="宋体" w:cs="Times New Roman"/>
                <w:i w:val="0"/>
                <w:iCs w:val="0"/>
                <w:color w:val="000000"/>
                <w:sz w:val="18"/>
                <w:szCs w:val="18"/>
                <w:u w:val="none"/>
              </w:rPr>
            </w:pPr>
          </w:p>
        </w:tc>
        <w:tc>
          <w:tcPr>
            <w:tcW w:w="396" w:type="dxa"/>
            <w:gridSpan w:val="2"/>
            <w:tcBorders>
              <w:top w:val="nil"/>
              <w:left w:val="nil"/>
              <w:bottom w:val="nil"/>
              <w:right w:val="nil"/>
            </w:tcBorders>
            <w:shd w:val="clear" w:color="auto" w:fill="auto"/>
            <w:vAlign w:val="center"/>
          </w:tcPr>
          <w:p w14:paraId="18AF44A2">
            <w:pPr>
              <w:rPr>
                <w:rFonts w:hint="default" w:ascii="Times New Roman" w:hAnsi="Times New Roman" w:eastAsia="宋体" w:cs="Times New Roman"/>
                <w:i w:val="0"/>
                <w:iCs w:val="0"/>
                <w:color w:val="000000"/>
                <w:sz w:val="18"/>
                <w:szCs w:val="18"/>
                <w:u w:val="none"/>
              </w:rPr>
            </w:pPr>
          </w:p>
        </w:tc>
        <w:tc>
          <w:tcPr>
            <w:tcW w:w="846" w:type="dxa"/>
            <w:gridSpan w:val="2"/>
            <w:tcBorders>
              <w:top w:val="nil"/>
              <w:left w:val="nil"/>
              <w:bottom w:val="nil"/>
              <w:right w:val="nil"/>
            </w:tcBorders>
            <w:shd w:val="clear" w:color="auto" w:fill="auto"/>
            <w:vAlign w:val="center"/>
          </w:tcPr>
          <w:p w14:paraId="28097658">
            <w:pPr>
              <w:rPr>
                <w:rFonts w:hint="default" w:ascii="Times New Roman" w:hAnsi="Times New Roman" w:eastAsia="宋体" w:cs="Times New Roman"/>
                <w:i w:val="0"/>
                <w:iCs w:val="0"/>
                <w:color w:val="000000"/>
                <w:sz w:val="18"/>
                <w:szCs w:val="18"/>
                <w:u w:val="none"/>
              </w:rPr>
            </w:pPr>
          </w:p>
        </w:tc>
        <w:tc>
          <w:tcPr>
            <w:tcW w:w="486" w:type="dxa"/>
            <w:tcBorders>
              <w:top w:val="nil"/>
              <w:left w:val="nil"/>
              <w:bottom w:val="nil"/>
              <w:right w:val="nil"/>
            </w:tcBorders>
            <w:shd w:val="clear" w:color="auto" w:fill="auto"/>
            <w:vAlign w:val="center"/>
          </w:tcPr>
          <w:p w14:paraId="24089B84">
            <w:pPr>
              <w:rPr>
                <w:rFonts w:hint="default" w:ascii="Times New Roman" w:hAnsi="Times New Roman" w:eastAsia="宋体" w:cs="Times New Roman"/>
                <w:i w:val="0"/>
                <w:iCs w:val="0"/>
                <w:color w:val="000000"/>
                <w:sz w:val="18"/>
                <w:szCs w:val="18"/>
                <w:u w:val="none"/>
              </w:rPr>
            </w:pPr>
          </w:p>
        </w:tc>
        <w:tc>
          <w:tcPr>
            <w:tcW w:w="464" w:type="dxa"/>
            <w:gridSpan w:val="2"/>
            <w:tcBorders>
              <w:top w:val="nil"/>
              <w:left w:val="nil"/>
              <w:bottom w:val="nil"/>
              <w:right w:val="nil"/>
            </w:tcBorders>
            <w:shd w:val="clear" w:color="auto" w:fill="auto"/>
            <w:vAlign w:val="center"/>
          </w:tcPr>
          <w:p w14:paraId="66A06AC8">
            <w:pPr>
              <w:rPr>
                <w:rFonts w:hint="default" w:ascii="Times New Roman" w:hAnsi="Times New Roman" w:eastAsia="宋体" w:cs="Times New Roman"/>
                <w:i w:val="0"/>
                <w:iCs w:val="0"/>
                <w:color w:val="000000"/>
                <w:sz w:val="18"/>
                <w:szCs w:val="18"/>
                <w:u w:val="none"/>
              </w:rPr>
            </w:pPr>
          </w:p>
        </w:tc>
        <w:tc>
          <w:tcPr>
            <w:tcW w:w="2992" w:type="dxa"/>
            <w:gridSpan w:val="5"/>
            <w:tcBorders>
              <w:top w:val="nil"/>
              <w:left w:val="nil"/>
              <w:bottom w:val="nil"/>
              <w:right w:val="nil"/>
            </w:tcBorders>
            <w:shd w:val="clear" w:color="auto" w:fill="auto"/>
            <w:vAlign w:val="center"/>
          </w:tcPr>
          <w:p w14:paraId="4ADBDA11">
            <w:pPr>
              <w:rPr>
                <w:rFonts w:hint="default" w:ascii="Times New Roman" w:hAnsi="Times New Roman" w:eastAsia="宋体" w:cs="Times New Roman"/>
                <w:i w:val="0"/>
                <w:iCs w:val="0"/>
                <w:color w:val="000000"/>
                <w:sz w:val="18"/>
                <w:szCs w:val="18"/>
                <w:u w:val="none"/>
              </w:rPr>
            </w:pPr>
          </w:p>
        </w:tc>
      </w:tr>
      <w:tr w14:paraId="77DB7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 w:hRule="atLeast"/>
        </w:trPr>
        <w:tc>
          <w:tcPr>
            <w:tcW w:w="596" w:type="dxa"/>
            <w:gridSpan w:val="2"/>
            <w:tcBorders>
              <w:top w:val="nil"/>
              <w:left w:val="nil"/>
              <w:bottom w:val="nil"/>
              <w:right w:val="nil"/>
            </w:tcBorders>
            <w:shd w:val="clear" w:color="auto" w:fill="auto"/>
            <w:vAlign w:val="center"/>
          </w:tcPr>
          <w:p w14:paraId="5A9AEEA3">
            <w:pPr>
              <w:rPr>
                <w:rFonts w:hint="default" w:ascii="Times New Roman" w:hAnsi="Times New Roman" w:eastAsia="宋体" w:cs="Times New Roman"/>
                <w:i w:val="0"/>
                <w:iCs w:val="0"/>
                <w:color w:val="000000"/>
                <w:sz w:val="18"/>
                <w:szCs w:val="18"/>
                <w:u w:val="none"/>
              </w:rPr>
            </w:pPr>
          </w:p>
          <w:p w14:paraId="0B3897B4">
            <w:pPr>
              <w:pStyle w:val="2"/>
              <w:rPr>
                <w:rFonts w:hint="default" w:ascii="Times New Roman" w:hAnsi="Times New Roman" w:eastAsia="宋体" w:cs="Times New Roman"/>
                <w:i w:val="0"/>
                <w:iCs w:val="0"/>
                <w:color w:val="000000"/>
                <w:sz w:val="18"/>
                <w:szCs w:val="18"/>
                <w:u w:val="none"/>
              </w:rPr>
            </w:pPr>
          </w:p>
          <w:p w14:paraId="63B298DA">
            <w:pPr>
              <w:rPr>
                <w:rFonts w:hint="default" w:ascii="Times New Roman" w:hAnsi="Times New Roman" w:cs="Times New Roman"/>
              </w:rPr>
            </w:pPr>
          </w:p>
        </w:tc>
        <w:tc>
          <w:tcPr>
            <w:tcW w:w="683" w:type="dxa"/>
            <w:gridSpan w:val="2"/>
            <w:tcBorders>
              <w:top w:val="nil"/>
              <w:left w:val="nil"/>
              <w:bottom w:val="nil"/>
              <w:right w:val="nil"/>
            </w:tcBorders>
            <w:shd w:val="clear" w:color="auto" w:fill="auto"/>
            <w:vAlign w:val="center"/>
          </w:tcPr>
          <w:p w14:paraId="7009375C">
            <w:pPr>
              <w:rPr>
                <w:rFonts w:hint="default" w:ascii="Times New Roman" w:hAnsi="Times New Roman" w:eastAsia="宋体" w:cs="Times New Roman"/>
                <w:i w:val="0"/>
                <w:iCs w:val="0"/>
                <w:color w:val="000000"/>
                <w:sz w:val="18"/>
                <w:szCs w:val="18"/>
                <w:u w:val="none"/>
              </w:rPr>
            </w:pPr>
          </w:p>
        </w:tc>
        <w:tc>
          <w:tcPr>
            <w:tcW w:w="802" w:type="dxa"/>
            <w:gridSpan w:val="2"/>
            <w:tcBorders>
              <w:top w:val="nil"/>
              <w:left w:val="nil"/>
              <w:bottom w:val="nil"/>
              <w:right w:val="nil"/>
            </w:tcBorders>
            <w:shd w:val="clear" w:color="auto" w:fill="auto"/>
            <w:vAlign w:val="center"/>
          </w:tcPr>
          <w:p w14:paraId="0540CCCD">
            <w:pPr>
              <w:rPr>
                <w:rFonts w:hint="default" w:ascii="Times New Roman" w:hAnsi="Times New Roman" w:eastAsia="宋体" w:cs="Times New Roman"/>
                <w:i w:val="0"/>
                <w:iCs w:val="0"/>
                <w:color w:val="000000"/>
                <w:sz w:val="18"/>
                <w:szCs w:val="18"/>
                <w:u w:val="none"/>
              </w:rPr>
            </w:pPr>
          </w:p>
        </w:tc>
        <w:tc>
          <w:tcPr>
            <w:tcW w:w="850" w:type="dxa"/>
            <w:gridSpan w:val="2"/>
            <w:tcBorders>
              <w:top w:val="nil"/>
              <w:left w:val="nil"/>
              <w:bottom w:val="nil"/>
              <w:right w:val="nil"/>
            </w:tcBorders>
            <w:shd w:val="clear" w:color="auto" w:fill="auto"/>
            <w:vAlign w:val="center"/>
          </w:tcPr>
          <w:p w14:paraId="0E1966B8">
            <w:pPr>
              <w:rPr>
                <w:rFonts w:hint="default" w:ascii="Times New Roman" w:hAnsi="Times New Roman" w:eastAsia="宋体" w:cs="Times New Roman"/>
                <w:i w:val="0"/>
                <w:iCs w:val="0"/>
                <w:color w:val="000000"/>
                <w:sz w:val="18"/>
                <w:szCs w:val="18"/>
                <w:u w:val="none"/>
              </w:rPr>
            </w:pPr>
          </w:p>
        </w:tc>
        <w:tc>
          <w:tcPr>
            <w:tcW w:w="396" w:type="dxa"/>
            <w:tcBorders>
              <w:top w:val="nil"/>
              <w:left w:val="nil"/>
              <w:bottom w:val="nil"/>
              <w:right w:val="nil"/>
            </w:tcBorders>
            <w:shd w:val="clear" w:color="auto" w:fill="auto"/>
            <w:vAlign w:val="center"/>
          </w:tcPr>
          <w:p w14:paraId="3F798EA7">
            <w:pPr>
              <w:rPr>
                <w:rFonts w:hint="default" w:ascii="Times New Roman" w:hAnsi="Times New Roman" w:eastAsia="宋体" w:cs="Times New Roman"/>
                <w:i w:val="0"/>
                <w:iCs w:val="0"/>
                <w:color w:val="000000"/>
                <w:sz w:val="18"/>
                <w:szCs w:val="18"/>
                <w:u w:val="none"/>
              </w:rPr>
            </w:pPr>
          </w:p>
        </w:tc>
        <w:tc>
          <w:tcPr>
            <w:tcW w:w="568" w:type="dxa"/>
            <w:tcBorders>
              <w:top w:val="nil"/>
              <w:left w:val="nil"/>
              <w:bottom w:val="nil"/>
              <w:right w:val="nil"/>
            </w:tcBorders>
            <w:shd w:val="clear" w:color="auto" w:fill="auto"/>
            <w:vAlign w:val="center"/>
          </w:tcPr>
          <w:p w14:paraId="4E1DF157">
            <w:pPr>
              <w:rPr>
                <w:rFonts w:hint="default" w:ascii="Times New Roman" w:hAnsi="Times New Roman" w:eastAsia="宋体" w:cs="Times New Roman"/>
                <w:i w:val="0"/>
                <w:iCs w:val="0"/>
                <w:color w:val="000000"/>
                <w:sz w:val="18"/>
                <w:szCs w:val="18"/>
                <w:u w:val="none"/>
              </w:rPr>
            </w:pPr>
          </w:p>
        </w:tc>
        <w:tc>
          <w:tcPr>
            <w:tcW w:w="396" w:type="dxa"/>
            <w:gridSpan w:val="2"/>
            <w:tcBorders>
              <w:top w:val="nil"/>
              <w:left w:val="nil"/>
              <w:bottom w:val="nil"/>
              <w:right w:val="nil"/>
            </w:tcBorders>
            <w:shd w:val="clear" w:color="auto" w:fill="auto"/>
            <w:vAlign w:val="center"/>
          </w:tcPr>
          <w:p w14:paraId="5685C7C9">
            <w:pPr>
              <w:rPr>
                <w:rFonts w:hint="default" w:ascii="Times New Roman" w:hAnsi="Times New Roman" w:eastAsia="宋体" w:cs="Times New Roman"/>
                <w:i w:val="0"/>
                <w:iCs w:val="0"/>
                <w:color w:val="000000"/>
                <w:sz w:val="18"/>
                <w:szCs w:val="18"/>
                <w:u w:val="none"/>
              </w:rPr>
            </w:pPr>
          </w:p>
        </w:tc>
        <w:tc>
          <w:tcPr>
            <w:tcW w:w="846" w:type="dxa"/>
            <w:gridSpan w:val="2"/>
            <w:tcBorders>
              <w:top w:val="nil"/>
              <w:left w:val="nil"/>
              <w:bottom w:val="nil"/>
              <w:right w:val="nil"/>
            </w:tcBorders>
            <w:shd w:val="clear" w:color="auto" w:fill="auto"/>
            <w:vAlign w:val="center"/>
          </w:tcPr>
          <w:p w14:paraId="1AD91D0F">
            <w:pPr>
              <w:rPr>
                <w:rFonts w:hint="default" w:ascii="Times New Roman" w:hAnsi="Times New Roman" w:eastAsia="宋体" w:cs="Times New Roman"/>
                <w:i w:val="0"/>
                <w:iCs w:val="0"/>
                <w:color w:val="000000"/>
                <w:sz w:val="18"/>
                <w:szCs w:val="18"/>
                <w:u w:val="none"/>
              </w:rPr>
            </w:pPr>
          </w:p>
        </w:tc>
        <w:tc>
          <w:tcPr>
            <w:tcW w:w="486" w:type="dxa"/>
            <w:tcBorders>
              <w:top w:val="nil"/>
              <w:left w:val="nil"/>
              <w:bottom w:val="nil"/>
              <w:right w:val="nil"/>
            </w:tcBorders>
            <w:shd w:val="clear" w:color="auto" w:fill="auto"/>
            <w:vAlign w:val="center"/>
          </w:tcPr>
          <w:p w14:paraId="1CA5CDFF">
            <w:pPr>
              <w:rPr>
                <w:rFonts w:hint="default" w:ascii="Times New Roman" w:hAnsi="Times New Roman" w:eastAsia="宋体" w:cs="Times New Roman"/>
                <w:i w:val="0"/>
                <w:iCs w:val="0"/>
                <w:color w:val="000000"/>
                <w:sz w:val="18"/>
                <w:szCs w:val="18"/>
                <w:u w:val="none"/>
              </w:rPr>
            </w:pPr>
          </w:p>
        </w:tc>
        <w:tc>
          <w:tcPr>
            <w:tcW w:w="464" w:type="dxa"/>
            <w:gridSpan w:val="2"/>
            <w:tcBorders>
              <w:top w:val="nil"/>
              <w:left w:val="nil"/>
              <w:bottom w:val="nil"/>
              <w:right w:val="nil"/>
            </w:tcBorders>
            <w:shd w:val="clear" w:color="auto" w:fill="auto"/>
            <w:vAlign w:val="center"/>
          </w:tcPr>
          <w:p w14:paraId="0195C86A">
            <w:pPr>
              <w:rPr>
                <w:rFonts w:hint="default" w:ascii="Times New Roman" w:hAnsi="Times New Roman" w:eastAsia="宋体" w:cs="Times New Roman"/>
                <w:i w:val="0"/>
                <w:iCs w:val="0"/>
                <w:color w:val="000000"/>
                <w:sz w:val="18"/>
                <w:szCs w:val="18"/>
                <w:u w:val="none"/>
              </w:rPr>
            </w:pPr>
          </w:p>
        </w:tc>
        <w:tc>
          <w:tcPr>
            <w:tcW w:w="2992" w:type="dxa"/>
            <w:gridSpan w:val="5"/>
            <w:tcBorders>
              <w:top w:val="nil"/>
              <w:left w:val="nil"/>
              <w:bottom w:val="nil"/>
              <w:right w:val="nil"/>
            </w:tcBorders>
            <w:shd w:val="clear" w:color="auto" w:fill="auto"/>
            <w:vAlign w:val="center"/>
          </w:tcPr>
          <w:p w14:paraId="11DE678C">
            <w:pPr>
              <w:rPr>
                <w:rFonts w:hint="default" w:ascii="Times New Roman" w:hAnsi="Times New Roman" w:eastAsia="宋体" w:cs="Times New Roman"/>
                <w:i w:val="0"/>
                <w:iCs w:val="0"/>
                <w:color w:val="000000"/>
                <w:sz w:val="18"/>
                <w:szCs w:val="18"/>
                <w:u w:val="none"/>
              </w:rPr>
            </w:pPr>
          </w:p>
        </w:tc>
      </w:tr>
      <w:tr w14:paraId="7CDF4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0" w:type="dxa"/>
          <w:trHeight w:val="714" w:hRule="atLeast"/>
        </w:trPr>
        <w:tc>
          <w:tcPr>
            <w:tcW w:w="8979"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03E0DA96">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05EA6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0" w:type="dxa"/>
          <w:trHeight w:val="232" w:hRule="atLeast"/>
        </w:trPr>
        <w:tc>
          <w:tcPr>
            <w:tcW w:w="16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88B57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296"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0588011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51322425T000012186457-2025年松潘县小姓乡农村生活污水治理</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千村示范工程</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项目</w:t>
            </w:r>
          </w:p>
        </w:tc>
      </w:tr>
      <w:tr w14:paraId="295E9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555" w:hRule="atLeast"/>
        </w:trPr>
        <w:tc>
          <w:tcPr>
            <w:tcW w:w="16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3C20E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449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A738C8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松潘县小姓乡人民政府</w:t>
            </w:r>
          </w:p>
        </w:tc>
        <w:tc>
          <w:tcPr>
            <w:tcW w:w="846" w:type="dxa"/>
            <w:tcBorders>
              <w:top w:val="nil"/>
              <w:left w:val="nil"/>
              <w:bottom w:val="nil"/>
              <w:right w:val="nil"/>
            </w:tcBorders>
            <w:shd w:val="clear" w:color="auto" w:fill="auto"/>
            <w:vAlign w:val="center"/>
          </w:tcPr>
          <w:p w14:paraId="4D1424B7">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9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B80E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松潘县小姓乡人民政府</w:t>
            </w:r>
          </w:p>
        </w:tc>
      </w:tr>
      <w:tr w14:paraId="1C59D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232" w:hRule="atLeast"/>
        </w:trPr>
        <w:tc>
          <w:tcPr>
            <w:tcW w:w="5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67E9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1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09D4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49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F006E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E548FE">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4382A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561"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0BBEC">
            <w:pPr>
              <w:rPr>
                <w:rFonts w:hint="default" w:ascii="Times New Roman" w:hAnsi="Times New Roman" w:eastAsia="宋体" w:cs="Times New Roman"/>
                <w:i w:val="0"/>
                <w:iCs w:val="0"/>
                <w:color w:val="000000"/>
                <w:sz w:val="18"/>
                <w:szCs w:val="18"/>
                <w:u w:val="none"/>
              </w:rPr>
            </w:pPr>
          </w:p>
        </w:tc>
        <w:tc>
          <w:tcPr>
            <w:tcW w:w="1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0593F">
            <w:pPr>
              <w:rPr>
                <w:rFonts w:hint="default" w:ascii="Times New Roman" w:hAnsi="Times New Roman" w:eastAsia="宋体" w:cs="Times New Roman"/>
                <w:i w:val="0"/>
                <w:iCs w:val="0"/>
                <w:color w:val="000000"/>
                <w:sz w:val="18"/>
                <w:szCs w:val="18"/>
                <w:u w:val="none"/>
              </w:rPr>
            </w:pPr>
          </w:p>
        </w:tc>
        <w:tc>
          <w:tcPr>
            <w:tcW w:w="449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B84D19C">
            <w:pPr>
              <w:rPr>
                <w:rFonts w:hint="default" w:ascii="Times New Roman" w:hAnsi="Times New Roman" w:eastAsia="宋体" w:cs="Times New Roman"/>
                <w:i w:val="0"/>
                <w:iCs w:val="0"/>
                <w:color w:val="000000"/>
                <w:sz w:val="18"/>
                <w:szCs w:val="18"/>
                <w:u w:val="none"/>
              </w:rPr>
            </w:pPr>
          </w:p>
        </w:tc>
        <w:tc>
          <w:tcPr>
            <w:tcW w:w="28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F2F68B">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7550B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549"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80DAC">
            <w:pPr>
              <w:rPr>
                <w:rFonts w:hint="default" w:ascii="Times New Roman" w:hAnsi="Times New Roman" w:eastAsia="宋体" w:cs="Times New Roman"/>
                <w:i w:val="0"/>
                <w:iCs w:val="0"/>
                <w:color w:val="000000"/>
                <w:sz w:val="18"/>
                <w:szCs w:val="18"/>
                <w:u w:val="none"/>
              </w:rPr>
            </w:pP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03931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296"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7BBAEACC">
            <w:pPr>
              <w:rPr>
                <w:rFonts w:hint="default" w:ascii="Times New Roman" w:hAnsi="Times New Roman" w:eastAsia="宋体" w:cs="Times New Roman"/>
                <w:i w:val="0"/>
                <w:iCs w:val="0"/>
                <w:color w:val="000000"/>
                <w:sz w:val="18"/>
                <w:szCs w:val="18"/>
                <w:u w:val="none"/>
              </w:rPr>
            </w:pPr>
          </w:p>
        </w:tc>
      </w:tr>
      <w:tr w14:paraId="718BC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0" w:type="dxa"/>
          <w:trHeight w:val="372" w:hRule="atLeast"/>
        </w:trPr>
        <w:tc>
          <w:tcPr>
            <w:tcW w:w="5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9932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AED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9EF9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2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9198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73172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C9E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A1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22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1B1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3EB4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0" w:type="dxa"/>
          <w:trHeight w:val="278"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5D00A">
            <w:pPr>
              <w:jc w:val="center"/>
              <w:rPr>
                <w:rFonts w:hint="default" w:ascii="Times New Roman" w:hAnsi="Times New Roman" w:eastAsia="宋体" w:cs="Times New Roman"/>
                <w:i w:val="0"/>
                <w:iCs w:val="0"/>
                <w:color w:val="000000"/>
                <w:sz w:val="18"/>
                <w:szCs w:val="18"/>
                <w:u w:val="none"/>
              </w:rPr>
            </w:pP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EA9B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E1B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2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A2BB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3.20</w:t>
            </w:r>
          </w:p>
        </w:tc>
        <w:tc>
          <w:tcPr>
            <w:tcW w:w="23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F00DC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64A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40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F1B22">
            <w:pPr>
              <w:jc w:val="center"/>
              <w:rPr>
                <w:rFonts w:hint="default" w:ascii="Times New Roman" w:hAnsi="Times New Roman" w:eastAsia="宋体" w:cs="Times New Roman"/>
                <w:i w:val="0"/>
                <w:iCs w:val="0"/>
                <w:color w:val="000000"/>
                <w:sz w:val="18"/>
                <w:szCs w:val="18"/>
                <w:u w:val="none"/>
              </w:rPr>
            </w:pPr>
          </w:p>
        </w:tc>
        <w:tc>
          <w:tcPr>
            <w:tcW w:w="10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8A149">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1.预算执行率=预算执行数/调整后预算数，预算执行率未达到90%的需说明原因（100字以内）</w:t>
            </w:r>
            <w:r>
              <w:rPr>
                <w:rFonts w:hint="eastAsia" w:ascii="Times New Roman" w:hAnsi="Times New Roman" w:eastAsia="黑体" w:cs="Times New Roman"/>
                <w:i w:val="0"/>
                <w:iCs w:val="0"/>
                <w:color w:val="000000"/>
                <w:kern w:val="0"/>
                <w:sz w:val="18"/>
                <w:szCs w:val="18"/>
                <w:u w:val="none"/>
                <w:lang w:val="en-US" w:eastAsia="zh-CN" w:bidi="ar"/>
              </w:rPr>
              <w:t>；</w:t>
            </w:r>
            <w:r>
              <w:rPr>
                <w:rFonts w:hint="default" w:ascii="Times New Roman" w:hAnsi="Times New Roman" w:eastAsia="黑体" w:cs="Times New Roman"/>
                <w:i w:val="0"/>
                <w:iCs w:val="0"/>
                <w:color w:val="000000"/>
                <w:kern w:val="0"/>
                <w:sz w:val="18"/>
                <w:szCs w:val="18"/>
                <w:u w:val="none"/>
                <w:lang w:val="en-US" w:eastAsia="zh-CN" w:bidi="ar"/>
              </w:rPr>
              <w:t>2.年中发生预算调整的（追加或调减）</w:t>
            </w:r>
            <w:r>
              <w:rPr>
                <w:rFonts w:hint="eastAsia" w:ascii="Times New Roman" w:hAnsi="Times New Roman" w:eastAsia="黑体" w:cs="Times New Roman"/>
                <w:i w:val="0"/>
                <w:iCs w:val="0"/>
                <w:color w:val="000000"/>
                <w:kern w:val="0"/>
                <w:sz w:val="18"/>
                <w:szCs w:val="18"/>
                <w:u w:val="none"/>
                <w:lang w:val="en-US" w:eastAsia="zh-CN" w:bidi="ar"/>
              </w:rPr>
              <w:t>，</w:t>
            </w:r>
            <w:r>
              <w:rPr>
                <w:rFonts w:hint="default" w:ascii="Times New Roman" w:hAnsi="Times New Roman" w:eastAsia="黑体" w:cs="Times New Roman"/>
                <w:i w:val="0"/>
                <w:iCs w:val="0"/>
                <w:color w:val="000000"/>
                <w:kern w:val="0"/>
                <w:sz w:val="18"/>
                <w:szCs w:val="18"/>
                <w:u w:val="none"/>
                <w:lang w:val="en-US" w:eastAsia="zh-CN" w:bidi="ar"/>
              </w:rPr>
              <w:t>应单独说明理由；3.其他资金包括：社会投入资金、银行贷款</w:t>
            </w:r>
            <w:r>
              <w:rPr>
                <w:rFonts w:hint="eastAsia" w:ascii="Times New Roman" w:hAnsi="Times New Roman" w:eastAsia="黑体" w:cs="Times New Roman"/>
                <w:i w:val="0"/>
                <w:iCs w:val="0"/>
                <w:color w:val="000000"/>
                <w:kern w:val="0"/>
                <w:sz w:val="18"/>
                <w:szCs w:val="18"/>
                <w:u w:val="none"/>
                <w:lang w:val="en-US" w:eastAsia="zh-CN" w:bidi="ar"/>
              </w:rPr>
              <w:t>。</w:t>
            </w:r>
          </w:p>
        </w:tc>
      </w:tr>
      <w:tr w14:paraId="1C7EC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0" w:type="dxa"/>
          <w:trHeight w:val="372"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AB404">
            <w:pPr>
              <w:jc w:val="center"/>
              <w:rPr>
                <w:rFonts w:hint="default" w:ascii="Times New Roman" w:hAnsi="Times New Roman" w:eastAsia="宋体" w:cs="Times New Roman"/>
                <w:i w:val="0"/>
                <w:iCs w:val="0"/>
                <w:color w:val="000000"/>
                <w:sz w:val="18"/>
                <w:szCs w:val="18"/>
                <w:u w:val="none"/>
              </w:rPr>
            </w:pP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9152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F288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2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661A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3.20</w:t>
            </w:r>
          </w:p>
        </w:tc>
        <w:tc>
          <w:tcPr>
            <w:tcW w:w="23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8EB7D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14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36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95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AB9F1">
            <w:pPr>
              <w:rPr>
                <w:rFonts w:hint="default" w:ascii="Times New Roman" w:hAnsi="Times New Roman" w:eastAsia="黑体" w:cs="Times New Roman"/>
                <w:i w:val="0"/>
                <w:iCs w:val="0"/>
                <w:color w:val="000000"/>
                <w:sz w:val="18"/>
                <w:szCs w:val="18"/>
                <w:u w:val="none"/>
              </w:rPr>
            </w:pPr>
          </w:p>
        </w:tc>
      </w:tr>
      <w:tr w14:paraId="7010E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372"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57C39">
            <w:pPr>
              <w:jc w:val="center"/>
              <w:rPr>
                <w:rFonts w:hint="default" w:ascii="Times New Roman" w:hAnsi="Times New Roman" w:eastAsia="宋体" w:cs="Times New Roman"/>
                <w:i w:val="0"/>
                <w:iCs w:val="0"/>
                <w:color w:val="000000"/>
                <w:sz w:val="18"/>
                <w:szCs w:val="18"/>
                <w:u w:val="none"/>
              </w:rPr>
            </w:pP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C140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38B3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2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F866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A5225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64E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61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7D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FC83D">
            <w:pPr>
              <w:rPr>
                <w:rFonts w:hint="default" w:ascii="Times New Roman" w:hAnsi="Times New Roman" w:eastAsia="黑体" w:cs="Times New Roman"/>
                <w:i w:val="0"/>
                <w:iCs w:val="0"/>
                <w:color w:val="000000"/>
                <w:sz w:val="18"/>
                <w:szCs w:val="18"/>
                <w:u w:val="none"/>
              </w:rPr>
            </w:pPr>
          </w:p>
        </w:tc>
      </w:tr>
      <w:tr w14:paraId="256F3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290"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ABBAC">
            <w:pPr>
              <w:jc w:val="center"/>
              <w:rPr>
                <w:rFonts w:hint="default" w:ascii="Times New Roman" w:hAnsi="Times New Roman" w:eastAsia="宋体" w:cs="Times New Roman"/>
                <w:i w:val="0"/>
                <w:iCs w:val="0"/>
                <w:color w:val="000000"/>
                <w:sz w:val="18"/>
                <w:szCs w:val="18"/>
                <w:u w:val="none"/>
              </w:rPr>
            </w:pP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C07F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3F14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2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A73F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E1162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95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CFF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1A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20B4A">
            <w:pPr>
              <w:rPr>
                <w:rFonts w:hint="default" w:ascii="Times New Roman" w:hAnsi="Times New Roman" w:eastAsia="黑体" w:cs="Times New Roman"/>
                <w:i w:val="0"/>
                <w:iCs w:val="0"/>
                <w:color w:val="000000"/>
                <w:sz w:val="18"/>
                <w:szCs w:val="18"/>
                <w:u w:val="none"/>
              </w:rPr>
            </w:pPr>
          </w:p>
        </w:tc>
      </w:tr>
      <w:tr w14:paraId="00949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1532"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D4AC8">
            <w:pPr>
              <w:jc w:val="center"/>
              <w:rPr>
                <w:rFonts w:hint="default" w:ascii="Times New Roman" w:hAnsi="Times New Roman" w:eastAsia="宋体" w:cs="Times New Roman"/>
                <w:i w:val="0"/>
                <w:iCs w:val="0"/>
                <w:color w:val="000000"/>
                <w:sz w:val="18"/>
                <w:szCs w:val="18"/>
                <w:u w:val="none"/>
              </w:rPr>
            </w:pP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A062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E8D60">
            <w:pPr>
              <w:jc w:val="center"/>
              <w:rPr>
                <w:rFonts w:hint="default" w:ascii="Times New Roman" w:hAnsi="Times New Roman" w:eastAsia="微软雅黑" w:cs="Times New Roman"/>
                <w:i w:val="0"/>
                <w:iCs w:val="0"/>
                <w:color w:val="000000"/>
                <w:sz w:val="16"/>
                <w:szCs w:val="16"/>
                <w:u w:val="none"/>
              </w:rPr>
            </w:pPr>
          </w:p>
        </w:tc>
        <w:tc>
          <w:tcPr>
            <w:tcW w:w="12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79C2D8">
            <w:pPr>
              <w:jc w:val="center"/>
              <w:rPr>
                <w:rFonts w:hint="default" w:ascii="Times New Roman" w:hAnsi="Times New Roman" w:eastAsia="微软雅黑" w:cs="Times New Roman"/>
                <w:i w:val="0"/>
                <w:iCs w:val="0"/>
                <w:color w:val="000000"/>
                <w:sz w:val="16"/>
                <w:szCs w:val="16"/>
                <w:u w:val="none"/>
              </w:rPr>
            </w:pPr>
          </w:p>
        </w:tc>
        <w:tc>
          <w:tcPr>
            <w:tcW w:w="23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C4C55E0">
            <w:pPr>
              <w:jc w:val="center"/>
              <w:rPr>
                <w:rFonts w:hint="default" w:ascii="Times New Roman" w:hAnsi="Times New Roman" w:eastAsia="微软雅黑" w:cs="Times New Roman"/>
                <w:i w:val="0"/>
                <w:iCs w:val="0"/>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50EF">
            <w:pPr>
              <w:jc w:val="center"/>
              <w:rPr>
                <w:rFonts w:hint="default" w:ascii="Times New Roman" w:hAnsi="Times New Roman" w:eastAsia="微软雅黑" w:cs="Times New Roman"/>
                <w:i w:val="0"/>
                <w:iCs w:val="0"/>
                <w:color w:val="000000"/>
                <w:sz w:val="16"/>
                <w:szCs w:val="16"/>
                <w:u w:val="none"/>
              </w:rPr>
            </w:pP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A3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C00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F86B2">
            <w:pPr>
              <w:rPr>
                <w:rFonts w:hint="default" w:ascii="Times New Roman" w:hAnsi="Times New Roman" w:eastAsia="黑体" w:cs="Times New Roman"/>
                <w:i w:val="0"/>
                <w:iCs w:val="0"/>
                <w:color w:val="000000"/>
                <w:sz w:val="18"/>
                <w:szCs w:val="18"/>
                <w:u w:val="none"/>
              </w:rPr>
            </w:pPr>
          </w:p>
        </w:tc>
      </w:tr>
      <w:tr w14:paraId="65F74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736" w:hRule="atLeast"/>
        </w:trPr>
        <w:tc>
          <w:tcPr>
            <w:tcW w:w="5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BEE2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5410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A9B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2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6946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4389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4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C153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3DB1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C1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217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864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C62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9E9C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273"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9E949">
            <w:pPr>
              <w:jc w:val="center"/>
              <w:rPr>
                <w:rFonts w:hint="default" w:ascii="Times New Roman" w:hAnsi="Times New Roman" w:eastAsia="宋体" w:cs="Times New Roman"/>
                <w:i w:val="0"/>
                <w:iCs w:val="0"/>
                <w:color w:val="000000"/>
                <w:sz w:val="18"/>
                <w:szCs w:val="18"/>
                <w:u w:val="none"/>
              </w:rPr>
            </w:pP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177B72">
            <w:pPr>
              <w:jc w:val="center"/>
              <w:rPr>
                <w:rFonts w:hint="default" w:ascii="Times New Roman" w:hAnsi="Times New Roman" w:eastAsia="宋体" w:cs="Times New Roman"/>
                <w:i w:val="0"/>
                <w:iCs w:val="0"/>
                <w:color w:val="000000"/>
                <w:sz w:val="18"/>
                <w:szCs w:val="18"/>
                <w:u w:val="none"/>
              </w:rPr>
            </w:pP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9A61D">
            <w:pPr>
              <w:jc w:val="center"/>
              <w:rPr>
                <w:rFonts w:hint="default" w:ascii="Times New Roman" w:hAnsi="Times New Roman" w:eastAsia="宋体" w:cs="Times New Roman"/>
                <w:i w:val="0"/>
                <w:iCs w:val="0"/>
                <w:color w:val="000000"/>
                <w:sz w:val="18"/>
                <w:szCs w:val="18"/>
                <w:u w:val="none"/>
              </w:rPr>
            </w:pPr>
          </w:p>
        </w:tc>
        <w:tc>
          <w:tcPr>
            <w:tcW w:w="12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EF8DD1">
            <w:pPr>
              <w:jc w:val="center"/>
              <w:rPr>
                <w:rFonts w:hint="default" w:ascii="Times New Roman" w:hAnsi="Times New Roman" w:eastAsia="宋体" w:cs="Times New Roman"/>
                <w:i w:val="0"/>
                <w:iCs w:val="0"/>
                <w:color w:val="000000"/>
                <w:sz w:val="18"/>
                <w:szCs w:val="18"/>
                <w:u w:val="none"/>
              </w:rPr>
            </w:pPr>
          </w:p>
        </w:tc>
        <w:tc>
          <w:tcPr>
            <w:tcW w:w="4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30A36">
            <w:pPr>
              <w:jc w:val="center"/>
              <w:rPr>
                <w:rFonts w:hint="default" w:ascii="Times New Roman" w:hAnsi="Times New Roman" w:eastAsia="宋体" w:cs="Times New Roman"/>
                <w:i w:val="0"/>
                <w:iCs w:val="0"/>
                <w:color w:val="000000"/>
                <w:sz w:val="18"/>
                <w:szCs w:val="18"/>
                <w:u w:val="none"/>
              </w:rPr>
            </w:pPr>
          </w:p>
        </w:tc>
        <w:tc>
          <w:tcPr>
            <w:tcW w:w="14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2F6693">
            <w:pPr>
              <w:jc w:val="center"/>
              <w:rPr>
                <w:rFonts w:hint="default" w:ascii="Times New Roman" w:hAnsi="Times New Roman" w:eastAsia="宋体" w:cs="Times New Roman"/>
                <w:i w:val="0"/>
                <w:iCs w:val="0"/>
                <w:color w:val="000000"/>
                <w:sz w:val="18"/>
                <w:szCs w:val="18"/>
                <w:u w:val="none"/>
              </w:rPr>
            </w:pPr>
          </w:p>
        </w:tc>
        <w:tc>
          <w:tcPr>
            <w:tcW w:w="4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8E8D5">
            <w:pPr>
              <w:jc w:val="center"/>
              <w:rPr>
                <w:rFonts w:hint="default" w:ascii="Times New Roman" w:hAnsi="Times New Roman" w:eastAsia="宋体" w:cs="Times New Roman"/>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D682A">
            <w:pPr>
              <w:jc w:val="center"/>
              <w:rPr>
                <w:rFonts w:hint="default" w:ascii="Times New Roman" w:hAnsi="Times New Roman" w:eastAsia="微软雅黑" w:cs="Times New Roman"/>
                <w:i w:val="0"/>
                <w:iCs w:val="0"/>
                <w:color w:val="000000"/>
                <w:sz w:val="16"/>
                <w:szCs w:val="16"/>
                <w:u w:val="none"/>
              </w:rPr>
            </w:pP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91016">
            <w:pPr>
              <w:jc w:val="center"/>
              <w:rPr>
                <w:rFonts w:hint="default" w:ascii="Times New Roman" w:hAnsi="Times New Roman" w:eastAsia="宋体" w:cs="Times New Roman"/>
                <w:i w:val="0"/>
                <w:iCs w:val="0"/>
                <w:color w:val="000000"/>
                <w:sz w:val="18"/>
                <w:szCs w:val="18"/>
                <w:u w:val="none"/>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31FD">
            <w:pPr>
              <w:jc w:val="center"/>
              <w:rPr>
                <w:rFonts w:hint="default" w:ascii="Times New Roman" w:hAnsi="Times New Roman" w:eastAsia="宋体" w:cs="Times New Roman"/>
                <w:i w:val="0"/>
                <w:iCs w:val="0"/>
                <w:color w:val="000000"/>
                <w:sz w:val="18"/>
                <w:szCs w:val="18"/>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EF89">
            <w:pPr>
              <w:jc w:val="center"/>
              <w:rPr>
                <w:rFonts w:hint="default" w:ascii="Times New Roman" w:hAnsi="Times New Roman" w:eastAsia="微软雅黑" w:cs="Times New Roman"/>
                <w:i w:val="0"/>
                <w:iCs w:val="0"/>
                <w:color w:val="000000"/>
                <w:sz w:val="16"/>
                <w:szCs w:val="16"/>
                <w:u w:val="none"/>
              </w:rPr>
            </w:pPr>
          </w:p>
        </w:tc>
      </w:tr>
      <w:tr w14:paraId="4A37B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232" w:hRule="atLeast"/>
        </w:trPr>
        <w:tc>
          <w:tcPr>
            <w:tcW w:w="7021"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9A684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909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5EC6F">
            <w:pPr>
              <w:rPr>
                <w:rFonts w:hint="default" w:ascii="Times New Roman" w:hAnsi="Times New Roman" w:eastAsia="宋体" w:cs="Times New Roman"/>
                <w:i w:val="0"/>
                <w:iCs w:val="0"/>
                <w:color w:val="000000"/>
                <w:sz w:val="18"/>
                <w:szCs w:val="18"/>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14A9">
            <w:pPr>
              <w:rPr>
                <w:rFonts w:hint="default" w:ascii="Times New Roman" w:hAnsi="Times New Roman" w:eastAsia="宋体" w:cs="Times New Roman"/>
                <w:i w:val="0"/>
                <w:iCs w:val="0"/>
                <w:color w:val="000000"/>
                <w:sz w:val="18"/>
                <w:szCs w:val="18"/>
                <w:u w:val="none"/>
              </w:rPr>
            </w:pPr>
          </w:p>
        </w:tc>
      </w:tr>
      <w:tr w14:paraId="5B5FA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479" w:hRule="atLeast"/>
        </w:trPr>
        <w:tc>
          <w:tcPr>
            <w:tcW w:w="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F808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403"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77FC8ABA">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结合自评情况，说明项目自评总分，说明项目实施取得的成效或成果。（200字以内）</w:t>
            </w:r>
          </w:p>
        </w:tc>
      </w:tr>
      <w:tr w14:paraId="72FD6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455" w:hRule="atLeast"/>
        </w:trPr>
        <w:tc>
          <w:tcPr>
            <w:tcW w:w="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6A58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403"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664E1B9E">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结合自评情况，分析存在的问题及原因。（200字以内）</w:t>
            </w:r>
          </w:p>
        </w:tc>
      </w:tr>
      <w:tr w14:paraId="76526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502" w:hRule="atLeast"/>
        </w:trPr>
        <w:tc>
          <w:tcPr>
            <w:tcW w:w="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05F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403"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1A6E59CB">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针对项目自评中发现的问题，提出下一步改进完善的意见及有关政策性建议。（200字以内）</w:t>
            </w:r>
          </w:p>
        </w:tc>
      </w:tr>
      <w:tr w14:paraId="46D2D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232" w:hRule="atLeast"/>
        </w:trPr>
        <w:tc>
          <w:tcPr>
            <w:tcW w:w="431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8DF5AF7">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6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21B653">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14:paraId="0A749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714" w:hRule="atLeast"/>
        </w:trPr>
        <w:tc>
          <w:tcPr>
            <w:tcW w:w="8979"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0A0E30C9">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6CAAB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232" w:hRule="atLeast"/>
        </w:trPr>
        <w:tc>
          <w:tcPr>
            <w:tcW w:w="16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8FA71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296"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463B337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51322425T000012278554</w:t>
            </w:r>
            <w:r>
              <w:rPr>
                <w:rFonts w:hint="eastAsia"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松潘县小姓乡政府办公居住条件提升改善建设项目</w:t>
            </w:r>
          </w:p>
        </w:tc>
      </w:tr>
      <w:tr w14:paraId="0EE82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555" w:hRule="atLeast"/>
        </w:trPr>
        <w:tc>
          <w:tcPr>
            <w:tcW w:w="16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E24E5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449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91DD46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松潘县小姓乡人民政府</w:t>
            </w:r>
          </w:p>
        </w:tc>
        <w:tc>
          <w:tcPr>
            <w:tcW w:w="846" w:type="dxa"/>
            <w:tcBorders>
              <w:top w:val="nil"/>
              <w:left w:val="nil"/>
              <w:bottom w:val="nil"/>
              <w:right w:val="nil"/>
            </w:tcBorders>
            <w:shd w:val="clear" w:color="auto" w:fill="auto"/>
            <w:vAlign w:val="center"/>
          </w:tcPr>
          <w:p w14:paraId="0B9CFC96">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9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270B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松潘县小姓乡人民政府</w:t>
            </w:r>
          </w:p>
        </w:tc>
      </w:tr>
      <w:tr w14:paraId="30E83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232" w:hRule="atLeast"/>
        </w:trPr>
        <w:tc>
          <w:tcPr>
            <w:tcW w:w="5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BE522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1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27A3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49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1D99D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5D7425">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3B0F8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0" w:type="dxa"/>
          <w:trHeight w:val="561"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C471E">
            <w:pPr>
              <w:rPr>
                <w:rFonts w:hint="default" w:ascii="Times New Roman" w:hAnsi="Times New Roman" w:eastAsia="宋体" w:cs="Times New Roman"/>
                <w:i w:val="0"/>
                <w:iCs w:val="0"/>
                <w:color w:val="000000"/>
                <w:sz w:val="18"/>
                <w:szCs w:val="18"/>
                <w:u w:val="none"/>
              </w:rPr>
            </w:pPr>
          </w:p>
        </w:tc>
        <w:tc>
          <w:tcPr>
            <w:tcW w:w="1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56E11">
            <w:pPr>
              <w:rPr>
                <w:rFonts w:hint="default" w:ascii="Times New Roman" w:hAnsi="Times New Roman" w:eastAsia="宋体" w:cs="Times New Roman"/>
                <w:i w:val="0"/>
                <w:iCs w:val="0"/>
                <w:color w:val="000000"/>
                <w:sz w:val="18"/>
                <w:szCs w:val="18"/>
                <w:u w:val="none"/>
              </w:rPr>
            </w:pPr>
          </w:p>
        </w:tc>
        <w:tc>
          <w:tcPr>
            <w:tcW w:w="449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AB8F3E0">
            <w:pPr>
              <w:rPr>
                <w:rFonts w:hint="default" w:ascii="Times New Roman" w:hAnsi="Times New Roman" w:eastAsia="宋体" w:cs="Times New Roman"/>
                <w:i w:val="0"/>
                <w:iCs w:val="0"/>
                <w:color w:val="000000"/>
                <w:sz w:val="18"/>
                <w:szCs w:val="18"/>
                <w:u w:val="none"/>
              </w:rPr>
            </w:pPr>
          </w:p>
        </w:tc>
        <w:tc>
          <w:tcPr>
            <w:tcW w:w="28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8B73B4">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6BC3D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0" w:type="dxa"/>
          <w:trHeight w:val="549"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CE578">
            <w:pPr>
              <w:rPr>
                <w:rFonts w:hint="default" w:ascii="Times New Roman" w:hAnsi="Times New Roman" w:eastAsia="宋体" w:cs="Times New Roman"/>
                <w:i w:val="0"/>
                <w:iCs w:val="0"/>
                <w:color w:val="000000"/>
                <w:sz w:val="18"/>
                <w:szCs w:val="18"/>
                <w:u w:val="none"/>
              </w:rPr>
            </w:pP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AB4BC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296"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2AC293B1">
            <w:pPr>
              <w:rPr>
                <w:rFonts w:hint="default" w:ascii="Times New Roman" w:hAnsi="Times New Roman" w:eastAsia="宋体" w:cs="Times New Roman"/>
                <w:i w:val="0"/>
                <w:iCs w:val="0"/>
                <w:color w:val="000000"/>
                <w:sz w:val="18"/>
                <w:szCs w:val="18"/>
                <w:u w:val="none"/>
              </w:rPr>
            </w:pPr>
          </w:p>
        </w:tc>
      </w:tr>
      <w:tr w14:paraId="1FB96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372" w:hRule="atLeast"/>
        </w:trPr>
        <w:tc>
          <w:tcPr>
            <w:tcW w:w="5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612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6D11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CC1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2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E73C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98F51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EA9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C76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78E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826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4C1B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0" w:type="dxa"/>
          <w:trHeight w:val="278"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AECAD">
            <w:pPr>
              <w:jc w:val="center"/>
              <w:rPr>
                <w:rFonts w:hint="default" w:ascii="Times New Roman" w:hAnsi="Times New Roman" w:eastAsia="宋体" w:cs="Times New Roman"/>
                <w:i w:val="0"/>
                <w:iCs w:val="0"/>
                <w:color w:val="000000"/>
                <w:sz w:val="18"/>
                <w:szCs w:val="18"/>
                <w:u w:val="none"/>
              </w:rPr>
            </w:pP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D05D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7AF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2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6C23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88.83</w:t>
            </w:r>
          </w:p>
        </w:tc>
        <w:tc>
          <w:tcPr>
            <w:tcW w:w="23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C7A0D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88.83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332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144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AFB5">
            <w:pPr>
              <w:jc w:val="center"/>
              <w:rPr>
                <w:rFonts w:hint="default" w:ascii="Times New Roman" w:hAnsi="Times New Roman" w:eastAsia="宋体" w:cs="Times New Roman"/>
                <w:i w:val="0"/>
                <w:iCs w:val="0"/>
                <w:color w:val="000000"/>
                <w:sz w:val="18"/>
                <w:szCs w:val="18"/>
                <w:u w:val="none"/>
              </w:rPr>
            </w:pPr>
          </w:p>
        </w:tc>
        <w:tc>
          <w:tcPr>
            <w:tcW w:w="10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2E5F9">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1.预算执行率=预算执行数/调整后预算数，预算执行率未达到90%的需说明原因（100字以内）</w:t>
            </w:r>
            <w:r>
              <w:rPr>
                <w:rFonts w:hint="eastAsia" w:ascii="Times New Roman" w:hAnsi="Times New Roman" w:eastAsia="黑体" w:cs="Times New Roman"/>
                <w:i w:val="0"/>
                <w:iCs w:val="0"/>
                <w:color w:val="000000"/>
                <w:kern w:val="0"/>
                <w:sz w:val="18"/>
                <w:szCs w:val="18"/>
                <w:u w:val="none"/>
                <w:lang w:val="en-US" w:eastAsia="zh-CN" w:bidi="ar"/>
              </w:rPr>
              <w:t>；</w:t>
            </w:r>
            <w:r>
              <w:rPr>
                <w:rFonts w:hint="default" w:ascii="Times New Roman" w:hAnsi="Times New Roman" w:eastAsia="黑体" w:cs="Times New Roman"/>
                <w:i w:val="0"/>
                <w:iCs w:val="0"/>
                <w:color w:val="000000"/>
                <w:kern w:val="0"/>
                <w:sz w:val="18"/>
                <w:szCs w:val="18"/>
                <w:u w:val="none"/>
                <w:lang w:val="en-US" w:eastAsia="zh-CN" w:bidi="ar"/>
              </w:rPr>
              <w:t>2.年中发生预算调整的（追加或调减）</w:t>
            </w:r>
            <w:r>
              <w:rPr>
                <w:rFonts w:hint="eastAsia" w:ascii="Times New Roman" w:hAnsi="Times New Roman" w:eastAsia="黑体" w:cs="Times New Roman"/>
                <w:i w:val="0"/>
                <w:iCs w:val="0"/>
                <w:color w:val="000000"/>
                <w:kern w:val="0"/>
                <w:sz w:val="18"/>
                <w:szCs w:val="18"/>
                <w:u w:val="none"/>
                <w:lang w:val="en-US" w:eastAsia="zh-CN" w:bidi="ar"/>
              </w:rPr>
              <w:t>，</w:t>
            </w:r>
            <w:r>
              <w:rPr>
                <w:rFonts w:hint="default" w:ascii="Times New Roman" w:hAnsi="Times New Roman" w:eastAsia="黑体" w:cs="Times New Roman"/>
                <w:i w:val="0"/>
                <w:iCs w:val="0"/>
                <w:color w:val="000000"/>
                <w:kern w:val="0"/>
                <w:sz w:val="18"/>
                <w:szCs w:val="18"/>
                <w:u w:val="none"/>
                <w:lang w:val="en-US" w:eastAsia="zh-CN" w:bidi="ar"/>
              </w:rPr>
              <w:t>应单独说明理由；3.其他资金包括：社会投入资金、银行贷款</w:t>
            </w:r>
            <w:r>
              <w:rPr>
                <w:rFonts w:hint="eastAsia" w:ascii="Times New Roman" w:hAnsi="Times New Roman" w:eastAsia="黑体" w:cs="Times New Roman"/>
                <w:i w:val="0"/>
                <w:iCs w:val="0"/>
                <w:color w:val="000000"/>
                <w:kern w:val="0"/>
                <w:sz w:val="18"/>
                <w:szCs w:val="18"/>
                <w:u w:val="none"/>
                <w:lang w:val="en-US" w:eastAsia="zh-CN" w:bidi="ar"/>
              </w:rPr>
              <w:t>。</w:t>
            </w:r>
          </w:p>
        </w:tc>
      </w:tr>
      <w:tr w14:paraId="1BCCD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0" w:type="dxa"/>
          <w:trHeight w:val="372"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37C61">
            <w:pPr>
              <w:jc w:val="center"/>
              <w:rPr>
                <w:rFonts w:hint="default" w:ascii="Times New Roman" w:hAnsi="Times New Roman" w:eastAsia="宋体" w:cs="Times New Roman"/>
                <w:i w:val="0"/>
                <w:iCs w:val="0"/>
                <w:color w:val="000000"/>
                <w:sz w:val="18"/>
                <w:szCs w:val="18"/>
                <w:u w:val="none"/>
              </w:rPr>
            </w:pP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5EC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EDD1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2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F802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88.83</w:t>
            </w:r>
          </w:p>
        </w:tc>
        <w:tc>
          <w:tcPr>
            <w:tcW w:w="23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8F90E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88.83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D3D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BD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47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D36C8">
            <w:pPr>
              <w:rPr>
                <w:rFonts w:hint="default" w:ascii="Times New Roman" w:hAnsi="Times New Roman" w:eastAsia="黑体" w:cs="Times New Roman"/>
                <w:i w:val="0"/>
                <w:iCs w:val="0"/>
                <w:color w:val="000000"/>
                <w:sz w:val="18"/>
                <w:szCs w:val="18"/>
                <w:u w:val="none"/>
              </w:rPr>
            </w:pPr>
          </w:p>
        </w:tc>
      </w:tr>
      <w:tr w14:paraId="66C26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372"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994BD">
            <w:pPr>
              <w:jc w:val="center"/>
              <w:rPr>
                <w:rFonts w:hint="default" w:ascii="Times New Roman" w:hAnsi="Times New Roman" w:eastAsia="宋体" w:cs="Times New Roman"/>
                <w:i w:val="0"/>
                <w:iCs w:val="0"/>
                <w:color w:val="000000"/>
                <w:sz w:val="18"/>
                <w:szCs w:val="18"/>
                <w:u w:val="none"/>
              </w:rPr>
            </w:pP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C3E1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8B3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2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C5CC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A1155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13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707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BEC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5BD92">
            <w:pPr>
              <w:rPr>
                <w:rFonts w:hint="default" w:ascii="Times New Roman" w:hAnsi="Times New Roman" w:eastAsia="黑体" w:cs="Times New Roman"/>
                <w:i w:val="0"/>
                <w:iCs w:val="0"/>
                <w:color w:val="000000"/>
                <w:sz w:val="18"/>
                <w:szCs w:val="18"/>
                <w:u w:val="none"/>
              </w:rPr>
            </w:pPr>
          </w:p>
        </w:tc>
      </w:tr>
      <w:tr w14:paraId="5A3A0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290"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02366">
            <w:pPr>
              <w:jc w:val="center"/>
              <w:rPr>
                <w:rFonts w:hint="default" w:ascii="Times New Roman" w:hAnsi="Times New Roman" w:eastAsia="宋体" w:cs="Times New Roman"/>
                <w:i w:val="0"/>
                <w:iCs w:val="0"/>
                <w:color w:val="000000"/>
                <w:sz w:val="18"/>
                <w:szCs w:val="18"/>
                <w:u w:val="none"/>
              </w:rPr>
            </w:pP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F1D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8C0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2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89DE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090FC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4E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0D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5BE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2EEB1">
            <w:pPr>
              <w:rPr>
                <w:rFonts w:hint="default" w:ascii="Times New Roman" w:hAnsi="Times New Roman" w:eastAsia="黑体" w:cs="Times New Roman"/>
                <w:i w:val="0"/>
                <w:iCs w:val="0"/>
                <w:color w:val="000000"/>
                <w:sz w:val="18"/>
                <w:szCs w:val="18"/>
                <w:u w:val="none"/>
              </w:rPr>
            </w:pPr>
          </w:p>
        </w:tc>
      </w:tr>
      <w:tr w14:paraId="5B8D7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1247"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825CD">
            <w:pPr>
              <w:jc w:val="center"/>
              <w:rPr>
                <w:rFonts w:hint="default" w:ascii="Times New Roman" w:hAnsi="Times New Roman" w:eastAsia="宋体" w:cs="Times New Roman"/>
                <w:i w:val="0"/>
                <w:iCs w:val="0"/>
                <w:color w:val="000000"/>
                <w:sz w:val="18"/>
                <w:szCs w:val="18"/>
                <w:u w:val="none"/>
              </w:rPr>
            </w:pP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686B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337CC">
            <w:pPr>
              <w:jc w:val="center"/>
              <w:rPr>
                <w:rFonts w:hint="default" w:ascii="Times New Roman" w:hAnsi="Times New Roman" w:eastAsia="微软雅黑" w:cs="Times New Roman"/>
                <w:i w:val="0"/>
                <w:iCs w:val="0"/>
                <w:color w:val="000000"/>
                <w:sz w:val="16"/>
                <w:szCs w:val="16"/>
                <w:u w:val="none"/>
              </w:rPr>
            </w:pPr>
          </w:p>
        </w:tc>
        <w:tc>
          <w:tcPr>
            <w:tcW w:w="12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097C23">
            <w:pPr>
              <w:jc w:val="center"/>
              <w:rPr>
                <w:rFonts w:hint="default" w:ascii="Times New Roman" w:hAnsi="Times New Roman" w:eastAsia="微软雅黑" w:cs="Times New Roman"/>
                <w:i w:val="0"/>
                <w:iCs w:val="0"/>
                <w:color w:val="000000"/>
                <w:sz w:val="16"/>
                <w:szCs w:val="16"/>
                <w:u w:val="none"/>
              </w:rPr>
            </w:pPr>
          </w:p>
        </w:tc>
        <w:tc>
          <w:tcPr>
            <w:tcW w:w="23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9DB8C80">
            <w:pPr>
              <w:jc w:val="center"/>
              <w:rPr>
                <w:rFonts w:hint="default" w:ascii="Times New Roman" w:hAnsi="Times New Roman" w:eastAsia="微软雅黑" w:cs="Times New Roman"/>
                <w:i w:val="0"/>
                <w:iCs w:val="0"/>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D5CDA">
            <w:pPr>
              <w:jc w:val="center"/>
              <w:rPr>
                <w:rFonts w:hint="default" w:ascii="Times New Roman" w:hAnsi="Times New Roman" w:eastAsia="微软雅黑" w:cs="Times New Roman"/>
                <w:i w:val="0"/>
                <w:iCs w:val="0"/>
                <w:color w:val="000000"/>
                <w:sz w:val="16"/>
                <w:szCs w:val="16"/>
                <w:u w:val="none"/>
              </w:rPr>
            </w:pP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B9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EA3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90455">
            <w:pPr>
              <w:rPr>
                <w:rFonts w:hint="default" w:ascii="Times New Roman" w:hAnsi="Times New Roman" w:eastAsia="黑体" w:cs="Times New Roman"/>
                <w:i w:val="0"/>
                <w:iCs w:val="0"/>
                <w:color w:val="000000"/>
                <w:sz w:val="18"/>
                <w:szCs w:val="18"/>
                <w:u w:val="none"/>
              </w:rPr>
            </w:pPr>
          </w:p>
        </w:tc>
      </w:tr>
      <w:tr w14:paraId="270BA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0" w:type="dxa"/>
          <w:trHeight w:val="736" w:hRule="atLeast"/>
        </w:trPr>
        <w:tc>
          <w:tcPr>
            <w:tcW w:w="5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8747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298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ECC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2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8EAA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F1F2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4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5B45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7E8E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9AD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02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E8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20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3BAF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273"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113E7">
            <w:pPr>
              <w:jc w:val="center"/>
              <w:rPr>
                <w:rFonts w:hint="default" w:ascii="Times New Roman" w:hAnsi="Times New Roman" w:eastAsia="宋体" w:cs="Times New Roman"/>
                <w:i w:val="0"/>
                <w:iCs w:val="0"/>
                <w:color w:val="000000"/>
                <w:sz w:val="18"/>
                <w:szCs w:val="18"/>
                <w:u w:val="none"/>
              </w:rPr>
            </w:pP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FA36E">
            <w:pPr>
              <w:jc w:val="center"/>
              <w:rPr>
                <w:rFonts w:hint="default" w:ascii="Times New Roman" w:hAnsi="Times New Roman" w:eastAsia="宋体" w:cs="Times New Roman"/>
                <w:i w:val="0"/>
                <w:iCs w:val="0"/>
                <w:color w:val="000000"/>
                <w:sz w:val="18"/>
                <w:szCs w:val="18"/>
                <w:u w:val="none"/>
              </w:rPr>
            </w:pP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AF1E2B">
            <w:pPr>
              <w:jc w:val="center"/>
              <w:rPr>
                <w:rFonts w:hint="default" w:ascii="Times New Roman" w:hAnsi="Times New Roman" w:eastAsia="宋体" w:cs="Times New Roman"/>
                <w:i w:val="0"/>
                <w:iCs w:val="0"/>
                <w:color w:val="000000"/>
                <w:sz w:val="18"/>
                <w:szCs w:val="18"/>
                <w:u w:val="none"/>
              </w:rPr>
            </w:pPr>
          </w:p>
        </w:tc>
        <w:tc>
          <w:tcPr>
            <w:tcW w:w="12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07C679">
            <w:pPr>
              <w:jc w:val="center"/>
              <w:rPr>
                <w:rFonts w:hint="default" w:ascii="Times New Roman" w:hAnsi="Times New Roman" w:eastAsia="宋体" w:cs="Times New Roman"/>
                <w:i w:val="0"/>
                <w:iCs w:val="0"/>
                <w:color w:val="000000"/>
                <w:sz w:val="18"/>
                <w:szCs w:val="18"/>
                <w:u w:val="none"/>
              </w:rPr>
            </w:pPr>
          </w:p>
        </w:tc>
        <w:tc>
          <w:tcPr>
            <w:tcW w:w="4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4258A2">
            <w:pPr>
              <w:jc w:val="center"/>
              <w:rPr>
                <w:rFonts w:hint="default" w:ascii="Times New Roman" w:hAnsi="Times New Roman" w:eastAsia="宋体" w:cs="Times New Roman"/>
                <w:i w:val="0"/>
                <w:iCs w:val="0"/>
                <w:color w:val="000000"/>
                <w:sz w:val="18"/>
                <w:szCs w:val="18"/>
                <w:u w:val="none"/>
              </w:rPr>
            </w:pPr>
          </w:p>
        </w:tc>
        <w:tc>
          <w:tcPr>
            <w:tcW w:w="14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8D8C0A">
            <w:pPr>
              <w:jc w:val="center"/>
              <w:rPr>
                <w:rFonts w:hint="default" w:ascii="Times New Roman" w:hAnsi="Times New Roman" w:eastAsia="宋体" w:cs="Times New Roman"/>
                <w:i w:val="0"/>
                <w:iCs w:val="0"/>
                <w:color w:val="000000"/>
                <w:sz w:val="18"/>
                <w:szCs w:val="18"/>
                <w:u w:val="none"/>
              </w:rPr>
            </w:pPr>
          </w:p>
        </w:tc>
        <w:tc>
          <w:tcPr>
            <w:tcW w:w="4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D346CD">
            <w:pPr>
              <w:jc w:val="center"/>
              <w:rPr>
                <w:rFonts w:hint="default" w:ascii="Times New Roman" w:hAnsi="Times New Roman" w:eastAsia="宋体" w:cs="Times New Roman"/>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0685">
            <w:pPr>
              <w:jc w:val="center"/>
              <w:rPr>
                <w:rFonts w:hint="default" w:ascii="Times New Roman" w:hAnsi="Times New Roman" w:eastAsia="微软雅黑" w:cs="Times New Roman"/>
                <w:i w:val="0"/>
                <w:iCs w:val="0"/>
                <w:color w:val="000000"/>
                <w:sz w:val="16"/>
                <w:szCs w:val="16"/>
                <w:u w:val="none"/>
              </w:rPr>
            </w:pP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0D9B0">
            <w:pPr>
              <w:jc w:val="center"/>
              <w:rPr>
                <w:rFonts w:hint="default" w:ascii="Times New Roman" w:hAnsi="Times New Roman" w:eastAsia="宋体" w:cs="Times New Roman"/>
                <w:i w:val="0"/>
                <w:iCs w:val="0"/>
                <w:color w:val="000000"/>
                <w:sz w:val="18"/>
                <w:szCs w:val="18"/>
                <w:u w:val="none"/>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0E0CE">
            <w:pPr>
              <w:jc w:val="center"/>
              <w:rPr>
                <w:rFonts w:hint="default" w:ascii="Times New Roman" w:hAnsi="Times New Roman" w:eastAsia="宋体" w:cs="Times New Roman"/>
                <w:i w:val="0"/>
                <w:iCs w:val="0"/>
                <w:color w:val="000000"/>
                <w:sz w:val="18"/>
                <w:szCs w:val="18"/>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8CE55">
            <w:pPr>
              <w:jc w:val="center"/>
              <w:rPr>
                <w:rFonts w:hint="default" w:ascii="Times New Roman" w:hAnsi="Times New Roman" w:eastAsia="微软雅黑" w:cs="Times New Roman"/>
                <w:i w:val="0"/>
                <w:iCs w:val="0"/>
                <w:color w:val="000000"/>
                <w:sz w:val="16"/>
                <w:szCs w:val="16"/>
                <w:u w:val="none"/>
              </w:rPr>
            </w:pPr>
          </w:p>
        </w:tc>
      </w:tr>
      <w:tr w14:paraId="5BDDD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232" w:hRule="atLeast"/>
        </w:trPr>
        <w:tc>
          <w:tcPr>
            <w:tcW w:w="7021"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1DB85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56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125A4">
            <w:pPr>
              <w:rPr>
                <w:rFonts w:hint="default" w:ascii="Times New Roman" w:hAnsi="Times New Roman" w:eastAsia="宋体" w:cs="Times New Roman"/>
                <w:i w:val="0"/>
                <w:iCs w:val="0"/>
                <w:color w:val="000000"/>
                <w:sz w:val="18"/>
                <w:szCs w:val="18"/>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1872">
            <w:pPr>
              <w:rPr>
                <w:rFonts w:hint="default" w:ascii="Times New Roman" w:hAnsi="Times New Roman" w:eastAsia="宋体" w:cs="Times New Roman"/>
                <w:i w:val="0"/>
                <w:iCs w:val="0"/>
                <w:color w:val="000000"/>
                <w:sz w:val="18"/>
                <w:szCs w:val="18"/>
                <w:u w:val="none"/>
              </w:rPr>
            </w:pPr>
          </w:p>
        </w:tc>
      </w:tr>
      <w:tr w14:paraId="187DB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479" w:hRule="atLeast"/>
        </w:trPr>
        <w:tc>
          <w:tcPr>
            <w:tcW w:w="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60F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403"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5D970255">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结合自评情况，说明项目自评总分，说明项目实施取得的成效或成果。（200字以内）</w:t>
            </w:r>
          </w:p>
        </w:tc>
      </w:tr>
      <w:tr w14:paraId="3BB8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455" w:hRule="atLeast"/>
        </w:trPr>
        <w:tc>
          <w:tcPr>
            <w:tcW w:w="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031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403"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440B8417">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结合自评情况，分析存在的问题及原因。（200字以内）</w:t>
            </w:r>
          </w:p>
        </w:tc>
      </w:tr>
      <w:tr w14:paraId="5873F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0" w:type="dxa"/>
          <w:trHeight w:val="502" w:hRule="atLeast"/>
        </w:trPr>
        <w:tc>
          <w:tcPr>
            <w:tcW w:w="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E43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403"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07D3AE9E">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针对项目自评中发现的问题，提出下一步改进完善的意见及有关政策性建议。（200字以内）</w:t>
            </w:r>
          </w:p>
        </w:tc>
      </w:tr>
      <w:tr w14:paraId="24A82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0" w:type="dxa"/>
          <w:trHeight w:val="395" w:hRule="atLeast"/>
        </w:trPr>
        <w:tc>
          <w:tcPr>
            <w:tcW w:w="431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7371003">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6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ABDAD3">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bl>
    <w:p w14:paraId="1F2ECB7A">
      <w:pPr>
        <w:rPr>
          <w:rFonts w:hint="default" w:ascii="Times New Roman" w:hAnsi="Times New Roman" w:eastAsia="黑体" w:cs="Times New Roman"/>
          <w:color w:val="000000"/>
          <w:kern w:val="0"/>
          <w:sz w:val="32"/>
          <w:szCs w:val="32"/>
          <w:highlight w:val="none"/>
          <w:shd w:val="clear" w:fill="FFFFFF"/>
          <w:lang w:val="zh-CN"/>
        </w:rPr>
      </w:pPr>
    </w:p>
    <w:p w14:paraId="2B2AF8C3">
      <w:pPr>
        <w:pStyle w:val="7"/>
        <w:rPr>
          <w:rFonts w:hint="default" w:ascii="Times New Roman" w:hAnsi="Times New Roman" w:eastAsia="黑体" w:cs="Times New Roman"/>
          <w:color w:val="000000"/>
          <w:sz w:val="32"/>
          <w:szCs w:val="32"/>
          <w:highlight w:val="none"/>
          <w:lang w:val="en-US" w:eastAsia="zh-CN"/>
        </w:rPr>
        <w:sectPr>
          <w:pgSz w:w="11906" w:h="16838"/>
          <w:pgMar w:top="1440" w:right="1800" w:bottom="1440" w:left="1800" w:header="0" w:footer="0" w:gutter="0"/>
          <w:pgNumType w:fmt="decimal"/>
          <w:cols w:space="720" w:num="1"/>
          <w:formProt w:val="0"/>
          <w:docGrid w:type="lines" w:linePitch="312" w:charSpace="0"/>
        </w:sectPr>
      </w:pPr>
    </w:p>
    <w:p w14:paraId="57579A22">
      <w:pPr>
        <w:pStyle w:val="31"/>
        <w:keepNext w:val="0"/>
        <w:keepLines w:val="0"/>
        <w:pageBreakBefore w:val="0"/>
        <w:widowControl w:val="0"/>
        <w:kinsoku/>
        <w:overflowPunct/>
        <w:autoSpaceDE/>
        <w:bidi w:val="0"/>
        <w:spacing w:line="578" w:lineRule="exact"/>
        <w:ind w:left="0" w:firstLine="0"/>
        <w:jc w:val="left"/>
        <w:textAlignment w:val="auto"/>
        <w:rPr>
          <w:rFonts w:hint="default" w:ascii="Times New Roman" w:hAnsi="Times New Roman" w:eastAsia="仿宋_GB2312" w:cs="Times New Roman"/>
          <w:b/>
          <w:bCs/>
          <w:color w:val="000000"/>
          <w:kern w:val="2"/>
          <w:sz w:val="32"/>
          <w:szCs w:val="32"/>
          <w:lang w:val="en-US" w:eastAsia="zh-CN"/>
        </w:rPr>
      </w:pPr>
      <w:r>
        <w:rPr>
          <w:rFonts w:hint="default" w:ascii="Times New Roman" w:hAnsi="Times New Roman" w:eastAsia="仿宋_GB2312" w:cs="Times New Roman"/>
          <w:b/>
          <w:bCs/>
          <w:color w:val="000000"/>
          <w:kern w:val="2"/>
          <w:sz w:val="32"/>
          <w:szCs w:val="32"/>
          <w:lang w:val="en-US" w:eastAsia="zh-CN"/>
        </w:rPr>
        <w:t>附件2：</w:t>
      </w:r>
    </w:p>
    <w:p w14:paraId="5D94AC8D">
      <w:pPr>
        <w:pStyle w:val="31"/>
        <w:keepNext w:val="0"/>
        <w:keepLines w:val="0"/>
        <w:pageBreakBefore w:val="0"/>
        <w:widowControl w:val="0"/>
        <w:kinsoku/>
        <w:wordWrap/>
        <w:overflowPunct/>
        <w:topLinePunct w:val="0"/>
        <w:autoSpaceDE/>
        <w:autoSpaceDN/>
        <w:bidi w:val="0"/>
        <w:adjustRightInd/>
        <w:snapToGrid/>
        <w:spacing w:line="700" w:lineRule="exact"/>
        <w:ind w:left="0" w:firstLine="0"/>
        <w:jc w:val="center"/>
        <w:textAlignment w:val="auto"/>
        <w:rPr>
          <w:rFonts w:hint="default" w:ascii="Times New Roman" w:hAnsi="Times New Roman" w:eastAsia="方正小标宋简体" w:cs="Times New Roman"/>
          <w:color w:val="000000"/>
          <w:kern w:val="2"/>
          <w:sz w:val="32"/>
          <w:szCs w:val="32"/>
          <w:highlight w:val="none"/>
          <w:lang w:val="en-US" w:eastAsia="zh-CN"/>
        </w:rPr>
      </w:pPr>
      <w:r>
        <w:rPr>
          <w:rFonts w:hint="default" w:ascii="Times New Roman" w:hAnsi="Times New Roman" w:eastAsia="方正小标宋简体" w:cs="Times New Roman"/>
          <w:color w:val="000000"/>
          <w:kern w:val="2"/>
          <w:sz w:val="44"/>
          <w:szCs w:val="44"/>
          <w:lang w:val="en-US" w:eastAsia="zh-CN"/>
        </w:rPr>
        <w:t>专项预算项目绩效评价报告范本</w:t>
      </w:r>
    </w:p>
    <w:p w14:paraId="684587B4">
      <w:pPr>
        <w:keepNext w:val="0"/>
        <w:keepLines w:val="0"/>
        <w:pageBreakBefore w:val="0"/>
        <w:widowControl w:val="0"/>
        <w:kinsoku/>
        <w:wordWrap/>
        <w:overflowPunct/>
        <w:topLinePunct w:val="0"/>
        <w:autoSpaceDE/>
        <w:autoSpaceDN/>
        <w:bidi w:val="0"/>
        <w:adjustRightInd/>
        <w:snapToGrid/>
        <w:spacing w:line="700" w:lineRule="exact"/>
        <w:ind w:left="0" w:firstLine="0"/>
        <w:jc w:val="center"/>
        <w:textAlignment w:val="auto"/>
        <w:rPr>
          <w:rFonts w:hint="default" w:ascii="Times New Roman" w:hAnsi="Times New Roman" w:eastAsia="宋体" w:cs="Times New Roman"/>
          <w:color w:val="000000"/>
          <w:kern w:val="2"/>
          <w:sz w:val="32"/>
          <w:szCs w:val="32"/>
          <w:highlight w:val="none"/>
          <w:lang w:val="zh-CN" w:eastAsia="zh-CN" w:bidi="ar-SA"/>
        </w:rPr>
      </w:pPr>
      <w:r>
        <w:rPr>
          <w:rFonts w:hint="default" w:ascii="Times New Roman" w:hAnsi="Times New Roman" w:eastAsia="方正小标宋简体" w:cs="Times New Roman"/>
          <w:color w:val="000000"/>
          <w:kern w:val="2"/>
          <w:sz w:val="32"/>
          <w:szCs w:val="32"/>
          <w:lang w:val="en-US" w:eastAsia="zh-CN" w:bidi="ar-SA"/>
        </w:rPr>
        <w:t>（2025年农村公共运行维护资金）</w:t>
      </w:r>
    </w:p>
    <w:p w14:paraId="67E0351F">
      <w:pPr>
        <w:keepNext w:val="0"/>
        <w:keepLines w:val="0"/>
        <w:pageBreakBefore w:val="0"/>
        <w:widowControl w:val="0"/>
        <w:suppressAutoHyphens/>
        <w:kinsoku/>
        <w:wordWrap/>
        <w:overflowPunct/>
        <w:topLinePunct w:val="0"/>
        <w:autoSpaceDE/>
        <w:autoSpaceDN/>
        <w:bidi w:val="0"/>
        <w:adjustRightInd/>
        <w:snapToGrid w:val="0"/>
        <w:spacing w:line="576" w:lineRule="exact"/>
        <w:ind w:firstLine="64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rPr>
        <w:t>一、</w:t>
      </w:r>
      <w:r>
        <w:rPr>
          <w:rFonts w:hint="default" w:ascii="Times New Roman" w:hAnsi="Times New Roman" w:eastAsia="黑体" w:cs="Times New Roman"/>
          <w:sz w:val="32"/>
          <w:szCs w:val="32"/>
          <w:lang w:val="zh-CN"/>
        </w:rPr>
        <w:t>项目概况</w:t>
      </w:r>
    </w:p>
    <w:p w14:paraId="6D076864">
      <w:pPr>
        <w:keepNext w:val="0"/>
        <w:keepLines w:val="0"/>
        <w:pageBreakBefore w:val="0"/>
        <w:widowControl/>
        <w:numPr>
          <w:ilvl w:val="0"/>
          <w:numId w:val="0"/>
        </w:numPr>
        <w:suppressAutoHyphens/>
        <w:kinsoku/>
        <w:wordWrap/>
        <w:overflowPunct/>
        <w:topLinePunct w:val="0"/>
        <w:autoSpaceDE/>
        <w:autoSpaceDN/>
        <w:bidi w:val="0"/>
        <w:adjustRightInd/>
        <w:snapToGrid w:val="0"/>
        <w:spacing w:before="0" w:after="0" w:line="576" w:lineRule="exact"/>
        <w:ind w:left="0" w:firstLine="643"/>
        <w:contextualSpacing/>
        <w:jc w:val="left"/>
        <w:textAlignment w:val="auto"/>
        <w:rPr>
          <w:rFonts w:hint="default" w:ascii="Times New Roman" w:hAnsi="Times New Roman" w:eastAsia="仿宋_GB2312" w:cs="Times New Roman"/>
          <w:color w:val="000000"/>
          <w:kern w:val="0"/>
          <w:sz w:val="32"/>
          <w:szCs w:val="32"/>
          <w:highlight w:val="none"/>
          <w:u w:val="none"/>
          <w:shd w:val="clear" w:fill="FFFFFF"/>
          <w:lang w:val="zh-CN"/>
        </w:rPr>
      </w:pPr>
      <w:r>
        <w:rPr>
          <w:rFonts w:hint="default" w:ascii="Times New Roman" w:hAnsi="Times New Roman" w:eastAsia="楷体_GB2312" w:cs="Times New Roman"/>
          <w:b/>
          <w:color w:val="000000"/>
          <w:sz w:val="32"/>
          <w:szCs w:val="32"/>
          <w:u w:val="none"/>
          <w:lang w:val="zh-CN"/>
        </w:rPr>
        <w:t>（一）设立背景及基本情况。</w:t>
      </w:r>
      <w:r>
        <w:rPr>
          <w:rFonts w:hint="default" w:ascii="Times New Roman" w:hAnsi="Times New Roman" w:eastAsia="仿宋_GB2312" w:cs="Times New Roman"/>
          <w:color w:val="000000"/>
          <w:kern w:val="0"/>
          <w:sz w:val="32"/>
          <w:szCs w:val="32"/>
          <w:u w:val="none"/>
          <w:shd w:val="clear" w:fill="FFFFFF"/>
          <w:lang w:val="en-US" w:eastAsia="zh-CN"/>
        </w:rPr>
        <w:t>村级公共服务运行是省、州、县为民办实落实资金的重大举措之一，是为了进一步支持农村公共文化事业发展</w:t>
      </w:r>
      <w:r>
        <w:rPr>
          <w:rFonts w:hint="eastAsia" w:ascii="Times New Roman" w:hAnsi="Times New Roman" w:eastAsia="仿宋_GB2312" w:cs="Times New Roman"/>
          <w:color w:val="000000"/>
          <w:kern w:val="0"/>
          <w:sz w:val="32"/>
          <w:szCs w:val="32"/>
          <w:u w:val="none"/>
          <w:shd w:val="clear" w:fill="FFFFFF"/>
          <w:lang w:val="en-US" w:eastAsia="zh-CN"/>
        </w:rPr>
        <w:t>，是</w:t>
      </w:r>
      <w:r>
        <w:rPr>
          <w:rFonts w:hint="default" w:ascii="Times New Roman" w:hAnsi="Times New Roman" w:eastAsia="仿宋_GB2312" w:cs="Times New Roman"/>
          <w:color w:val="000000"/>
          <w:kern w:val="0"/>
          <w:sz w:val="32"/>
          <w:szCs w:val="32"/>
          <w:u w:val="none"/>
          <w:shd w:val="clear" w:fill="FFFFFF"/>
          <w:lang w:val="en-US" w:eastAsia="zh-CN"/>
        </w:rPr>
        <w:t>全国基层综合性文化服务中心建设的创新模式。</w:t>
      </w:r>
    </w:p>
    <w:p w14:paraId="6E3E3257">
      <w:pPr>
        <w:keepNext w:val="0"/>
        <w:keepLines w:val="0"/>
        <w:pageBreakBefore w:val="0"/>
        <w:suppressAutoHyphens/>
        <w:kinsoku/>
        <w:wordWrap/>
        <w:overflowPunct/>
        <w:topLinePunct w:val="0"/>
        <w:autoSpaceDE/>
        <w:autoSpaceDN/>
        <w:bidi w:val="0"/>
        <w:adjustRightInd/>
        <w:snapToGrid w:val="0"/>
        <w:spacing w:line="576" w:lineRule="exact"/>
        <w:ind w:left="0" w:firstLine="643"/>
        <w:textAlignment w:val="auto"/>
        <w:rPr>
          <w:rFonts w:hint="default" w:ascii="Times New Roman" w:hAnsi="Times New Roman" w:eastAsia="仿宋_GB2312" w:cs="Times New Roman"/>
          <w:b/>
          <w:color w:val="000000"/>
          <w:sz w:val="32"/>
          <w:szCs w:val="32"/>
          <w:highlight w:val="none"/>
          <w:u w:val="none"/>
          <w:lang w:val="zh-CN"/>
        </w:rPr>
      </w:pPr>
      <w:r>
        <w:rPr>
          <w:rFonts w:hint="default" w:ascii="Times New Roman" w:hAnsi="Times New Roman" w:eastAsia="楷体_GB2312" w:cs="Times New Roman"/>
          <w:b/>
          <w:color w:val="000000"/>
          <w:sz w:val="32"/>
          <w:szCs w:val="32"/>
          <w:u w:val="none"/>
          <w:lang w:val="zh-CN"/>
        </w:rPr>
        <w:t>（二）</w:t>
      </w:r>
      <w:r>
        <w:rPr>
          <w:rFonts w:hint="default" w:ascii="Times New Roman" w:hAnsi="Times New Roman" w:eastAsia="楷体_GB2312" w:cs="Times New Roman"/>
          <w:b/>
          <w:color w:val="000000"/>
          <w:sz w:val="32"/>
          <w:szCs w:val="32"/>
          <w:u w:val="none"/>
          <w:lang w:val="en-US" w:eastAsia="zh-CN"/>
        </w:rPr>
        <w:t>实施目的及支持方向。</w:t>
      </w:r>
      <w:r>
        <w:rPr>
          <w:rFonts w:hint="default" w:ascii="Times New Roman" w:hAnsi="Times New Roman" w:eastAsia="仿宋_GB2312" w:cs="Times New Roman"/>
          <w:color w:val="000000"/>
          <w:kern w:val="0"/>
          <w:sz w:val="32"/>
          <w:szCs w:val="32"/>
          <w:u w:val="none"/>
          <w:shd w:val="clear" w:fill="FFFFFF"/>
          <w:lang w:val="en-US" w:eastAsia="zh-CN"/>
        </w:rPr>
        <w:t>一直以来，小姓乡每年在上级领导单位的支持下，全力支持村级公务服务运行运作。</w:t>
      </w:r>
    </w:p>
    <w:p w14:paraId="32866D65">
      <w:pPr>
        <w:keepNext w:val="0"/>
        <w:keepLines w:val="0"/>
        <w:pageBreakBefore w:val="0"/>
        <w:widowControl/>
        <w:numPr>
          <w:ilvl w:val="0"/>
          <w:numId w:val="0"/>
        </w:numPr>
        <w:suppressAutoHyphens/>
        <w:kinsoku/>
        <w:wordWrap/>
        <w:overflowPunct/>
        <w:topLinePunct w:val="0"/>
        <w:autoSpaceDE/>
        <w:autoSpaceDN/>
        <w:bidi w:val="0"/>
        <w:adjustRightInd/>
        <w:snapToGrid w:val="0"/>
        <w:spacing w:before="0" w:after="0" w:line="576" w:lineRule="exact"/>
        <w:ind w:left="0" w:firstLine="643"/>
        <w:contextualSpacing/>
        <w:jc w:val="left"/>
        <w:textAlignment w:val="auto"/>
        <w:rPr>
          <w:rFonts w:hint="default" w:ascii="Times New Roman" w:hAnsi="Times New Roman" w:eastAsia="仿宋_GB2312" w:cs="Times New Roman"/>
          <w:color w:val="000000"/>
          <w:kern w:val="0"/>
          <w:sz w:val="32"/>
          <w:szCs w:val="32"/>
          <w:u w:val="none"/>
          <w:shd w:val="clear" w:fill="FFFFFF"/>
          <w:lang w:val="zh-CN" w:eastAsia="zh-CN"/>
        </w:rPr>
      </w:pPr>
      <w:r>
        <w:rPr>
          <w:rFonts w:hint="default" w:ascii="Times New Roman" w:hAnsi="Times New Roman" w:eastAsia="楷体_GB2312" w:cs="Times New Roman"/>
          <w:b/>
          <w:color w:val="000000"/>
          <w:sz w:val="32"/>
          <w:szCs w:val="32"/>
          <w:u w:val="none"/>
          <w:lang w:val="zh-CN" w:eastAsia="zh-CN"/>
        </w:rPr>
        <w:t>（三）</w:t>
      </w:r>
      <w:r>
        <w:rPr>
          <w:rFonts w:hint="default" w:ascii="Times New Roman" w:hAnsi="Times New Roman" w:eastAsia="楷体_GB2312" w:cs="Times New Roman"/>
          <w:b/>
          <w:color w:val="000000"/>
          <w:sz w:val="32"/>
          <w:szCs w:val="32"/>
          <w:u w:val="none"/>
          <w:lang w:val="en-US" w:eastAsia="zh-CN"/>
        </w:rPr>
        <w:t>预算安排及分配管理</w:t>
      </w:r>
      <w:r>
        <w:rPr>
          <w:rFonts w:hint="default" w:ascii="Times New Roman" w:hAnsi="Times New Roman" w:eastAsia="楷体_GB2312" w:cs="Times New Roman"/>
          <w:b/>
          <w:color w:val="000000"/>
          <w:sz w:val="32"/>
          <w:szCs w:val="32"/>
          <w:u w:val="none"/>
          <w:lang w:val="zh-CN" w:eastAsia="zh-CN"/>
        </w:rPr>
        <w:t>。</w:t>
      </w:r>
      <w:r>
        <w:rPr>
          <w:rFonts w:hint="default" w:ascii="Times New Roman" w:hAnsi="Times New Roman" w:eastAsia="仿宋_GB2312" w:cs="Times New Roman"/>
          <w:color w:val="000000"/>
          <w:kern w:val="0"/>
          <w:sz w:val="32"/>
          <w:szCs w:val="32"/>
          <w:u w:val="none"/>
          <w:shd w:val="clear" w:fill="FFFFFF"/>
          <w:lang w:val="zh-CN" w:eastAsia="zh-CN"/>
        </w:rPr>
        <w:t>截至目前，全乡行政村经过2020年建制调整划分为</w:t>
      </w:r>
      <w:r>
        <w:rPr>
          <w:rFonts w:hint="default" w:ascii="Times New Roman" w:hAnsi="Times New Roman" w:eastAsia="仿宋_GB2312" w:cs="Times New Roman"/>
          <w:color w:val="000000"/>
          <w:kern w:val="0"/>
          <w:sz w:val="32"/>
          <w:szCs w:val="32"/>
          <w:u w:val="none"/>
          <w:shd w:val="clear" w:fill="FFFFFF"/>
          <w:lang w:val="en-US" w:eastAsia="zh-CN"/>
        </w:rPr>
        <w:t>5</w:t>
      </w:r>
      <w:r>
        <w:rPr>
          <w:rFonts w:hint="default" w:ascii="Times New Roman" w:hAnsi="Times New Roman" w:eastAsia="仿宋_GB2312" w:cs="Times New Roman"/>
          <w:color w:val="000000"/>
          <w:kern w:val="0"/>
          <w:sz w:val="32"/>
          <w:szCs w:val="32"/>
          <w:u w:val="none"/>
          <w:shd w:val="clear" w:fill="FFFFFF"/>
          <w:lang w:val="zh-CN" w:eastAsia="zh-CN"/>
        </w:rPr>
        <w:t>个行政村，涉及公共服务运行经费</w:t>
      </w:r>
      <w:r>
        <w:rPr>
          <w:rFonts w:hint="default" w:ascii="Times New Roman" w:hAnsi="Times New Roman" w:eastAsia="仿宋_GB2312" w:cs="Times New Roman"/>
          <w:color w:val="000000"/>
          <w:kern w:val="0"/>
          <w:sz w:val="32"/>
          <w:szCs w:val="32"/>
          <w:u w:val="none"/>
          <w:shd w:val="clear" w:fill="FFFFFF"/>
          <w:lang w:val="en-US" w:eastAsia="zh-CN"/>
        </w:rPr>
        <w:t>74.85</w:t>
      </w:r>
      <w:r>
        <w:rPr>
          <w:rFonts w:hint="default" w:ascii="Times New Roman" w:hAnsi="Times New Roman" w:eastAsia="仿宋_GB2312" w:cs="Times New Roman"/>
          <w:color w:val="000000"/>
          <w:kern w:val="0"/>
          <w:sz w:val="32"/>
          <w:szCs w:val="32"/>
          <w:u w:val="none"/>
          <w:shd w:val="clear" w:fill="FFFFFF"/>
          <w:lang w:val="zh-CN" w:eastAsia="zh-CN"/>
        </w:rPr>
        <w:t>万元</w:t>
      </w:r>
      <w:r>
        <w:rPr>
          <w:rFonts w:hint="eastAsia" w:ascii="Times New Roman" w:hAnsi="Times New Roman" w:eastAsia="仿宋_GB2312" w:cs="Times New Roman"/>
          <w:color w:val="000000"/>
          <w:kern w:val="0"/>
          <w:sz w:val="32"/>
          <w:szCs w:val="32"/>
          <w:u w:val="none"/>
          <w:shd w:val="clear" w:fill="FFFFFF"/>
          <w:lang w:val="zh-CN" w:eastAsia="zh-CN"/>
        </w:rPr>
        <w:t>。</w:t>
      </w:r>
    </w:p>
    <w:p w14:paraId="6E89CA79">
      <w:pPr>
        <w:keepNext w:val="0"/>
        <w:keepLines w:val="0"/>
        <w:pageBreakBefore w:val="0"/>
        <w:suppressAutoHyphens/>
        <w:kinsoku/>
        <w:wordWrap/>
        <w:overflowPunct/>
        <w:topLinePunct w:val="0"/>
        <w:autoSpaceDE/>
        <w:autoSpaceDN/>
        <w:bidi w:val="0"/>
        <w:adjustRightInd/>
        <w:snapToGrid w:val="0"/>
        <w:spacing w:line="576" w:lineRule="exact"/>
        <w:ind w:left="0" w:firstLine="643"/>
        <w:textAlignment w:val="auto"/>
        <w:rPr>
          <w:rFonts w:hint="default" w:ascii="Times New Roman" w:hAnsi="Times New Roman" w:eastAsia="仿宋" w:cs="Times New Roman"/>
          <w:color w:val="000000"/>
          <w:kern w:val="0"/>
          <w:sz w:val="32"/>
          <w:szCs w:val="32"/>
          <w:highlight w:val="none"/>
          <w:u w:val="none"/>
          <w:shd w:val="clear" w:fill="FFFFFF"/>
          <w:lang w:val="zh-CN" w:eastAsia="zh-CN"/>
        </w:rPr>
      </w:pPr>
      <w:r>
        <w:rPr>
          <w:rFonts w:hint="default" w:ascii="Times New Roman" w:hAnsi="Times New Roman" w:eastAsia="楷体_GB2312" w:cs="Times New Roman"/>
          <w:b/>
          <w:color w:val="000000"/>
          <w:sz w:val="32"/>
          <w:szCs w:val="32"/>
          <w:u w:val="none"/>
          <w:lang w:val="zh-CN" w:eastAsia="zh-CN"/>
        </w:rPr>
        <w:t>（四）项目绩效目标设置。</w:t>
      </w:r>
      <w:r>
        <w:rPr>
          <w:rFonts w:hint="default" w:ascii="Times New Roman" w:hAnsi="Times New Roman" w:eastAsia="仿宋_GB2312" w:cs="Times New Roman"/>
          <w:b w:val="0"/>
          <w:bCs/>
          <w:color w:val="000000"/>
          <w:sz w:val="32"/>
          <w:szCs w:val="32"/>
          <w:u w:val="none"/>
          <w:lang w:val="zh-CN" w:eastAsia="zh-CN"/>
        </w:rPr>
        <w:t>资金开支范围为平安村、埃溪村、大尔边村、碑子寺村（与新丰村为合并村）、姑纳村，2025年农村公共运行维护经费，支付依据合规合法，资金支付与预算相符。</w:t>
      </w:r>
    </w:p>
    <w:p w14:paraId="7E3FE08E">
      <w:pPr>
        <w:keepNext w:val="0"/>
        <w:keepLines w:val="0"/>
        <w:pageBreakBefore w:val="0"/>
        <w:widowControl w:val="0"/>
        <w:suppressAutoHyphens/>
        <w:kinsoku/>
        <w:wordWrap/>
        <w:overflowPunct/>
        <w:topLinePunct w:val="0"/>
        <w:autoSpaceDE/>
        <w:autoSpaceDN/>
        <w:bidi w:val="0"/>
        <w:adjustRightInd/>
        <w:snapToGrid w:val="0"/>
        <w:spacing w:line="576" w:lineRule="exact"/>
        <w:ind w:firstLine="640"/>
        <w:textAlignment w:val="auto"/>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rPr>
        <w:t>二、</w:t>
      </w:r>
      <w:r>
        <w:rPr>
          <w:rFonts w:hint="default" w:ascii="Times New Roman" w:hAnsi="Times New Roman" w:eastAsia="黑体" w:cs="Times New Roman"/>
          <w:sz w:val="32"/>
          <w:szCs w:val="32"/>
          <w:lang w:eastAsia="zh-CN"/>
        </w:rPr>
        <w:t>评价实施</w:t>
      </w:r>
    </w:p>
    <w:p w14:paraId="3F84561E">
      <w:pPr>
        <w:keepNext w:val="0"/>
        <w:keepLines w:val="0"/>
        <w:pageBreakBefore w:val="0"/>
        <w:widowControl w:val="0"/>
        <w:suppressAutoHyphens/>
        <w:kinsoku/>
        <w:wordWrap/>
        <w:overflowPunct/>
        <w:topLinePunct w:val="0"/>
        <w:autoSpaceDE/>
        <w:autoSpaceDN/>
        <w:bidi w:val="0"/>
        <w:adjustRightInd/>
        <w:spacing w:line="576"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color w:val="000000"/>
          <w:sz w:val="32"/>
          <w:szCs w:val="32"/>
          <w:u w:val="none"/>
          <w:lang w:val="zh-CN"/>
        </w:rPr>
        <w:t>（一）评价目的。</w:t>
      </w:r>
      <w:r>
        <w:rPr>
          <w:rFonts w:hint="default" w:ascii="Times New Roman" w:hAnsi="Times New Roman" w:eastAsia="仿宋_GB2312" w:cs="Times New Roman"/>
          <w:sz w:val="32"/>
          <w:szCs w:val="32"/>
        </w:rPr>
        <w:t>保障村民的基本生活，农村公共服务设施运行维护项目的长效实施改善了群众的生产生活条件，提高了群众生活质量，完善农村基础设施功能，群众知晓率和覆盖率较高，满意度高。项目取得了较好的社会效益。</w:t>
      </w:r>
    </w:p>
    <w:p w14:paraId="6F536B49">
      <w:pPr>
        <w:keepNext w:val="0"/>
        <w:keepLines w:val="0"/>
        <w:pageBreakBefore w:val="0"/>
        <w:widowControl w:val="0"/>
        <w:suppressAutoHyphens/>
        <w:kinsoku/>
        <w:wordWrap/>
        <w:overflowPunct/>
        <w:topLinePunct w:val="0"/>
        <w:autoSpaceDE/>
        <w:autoSpaceDN/>
        <w:bidi w:val="0"/>
        <w:adjustRightInd/>
        <w:snapToGrid w:val="0"/>
        <w:spacing w:line="576" w:lineRule="exact"/>
        <w:ind w:left="0" w:firstLine="643"/>
        <w:textAlignment w:val="auto"/>
        <w:rPr>
          <w:rFonts w:hint="default" w:ascii="Times New Roman" w:hAnsi="Times New Roman" w:eastAsia="仿宋" w:cs="Times New Roman"/>
          <w:sz w:val="32"/>
          <w:szCs w:val="32"/>
          <w:lang w:eastAsia="zh-CN"/>
        </w:rPr>
      </w:pPr>
      <w:r>
        <w:rPr>
          <w:rFonts w:hint="default" w:ascii="Times New Roman" w:hAnsi="Times New Roman" w:eastAsia="楷体" w:cs="Times New Roman"/>
          <w:b/>
          <w:color w:val="000000"/>
          <w:sz w:val="32"/>
          <w:szCs w:val="32"/>
          <w:u w:val="none"/>
          <w:lang w:val="zh-CN"/>
        </w:rPr>
        <w:t>（二）预设问题及评价重点。</w:t>
      </w:r>
      <w:r>
        <w:rPr>
          <w:rFonts w:hint="default" w:ascii="Times New Roman" w:hAnsi="Times New Roman" w:eastAsia="仿宋_GB2312" w:cs="Times New Roman"/>
          <w:sz w:val="32"/>
          <w:szCs w:val="32"/>
        </w:rPr>
        <w:t>按照绩效评价指标体系，对资金支出使用全过程及其实施效果进行综合评价和判断</w:t>
      </w:r>
      <w:r>
        <w:rPr>
          <w:rFonts w:hint="default" w:ascii="Times New Roman" w:hAnsi="Times New Roman" w:eastAsia="仿宋_GB2312" w:cs="Times New Roman"/>
          <w:sz w:val="32"/>
          <w:szCs w:val="32"/>
          <w:lang w:eastAsia="zh-CN"/>
        </w:rPr>
        <w:t>。</w:t>
      </w:r>
    </w:p>
    <w:p w14:paraId="55FFBA2F">
      <w:pPr>
        <w:keepNext w:val="0"/>
        <w:keepLines w:val="0"/>
        <w:pageBreakBefore w:val="0"/>
        <w:widowControl w:val="0"/>
        <w:suppressAutoHyphens/>
        <w:kinsoku/>
        <w:wordWrap/>
        <w:overflowPunct/>
        <w:topLinePunct w:val="0"/>
        <w:autoSpaceDE/>
        <w:autoSpaceDN/>
        <w:bidi w:val="0"/>
        <w:adjustRightInd/>
        <w:snapToGrid w:val="0"/>
        <w:spacing w:line="576" w:lineRule="exact"/>
        <w:ind w:left="0" w:firstLine="643"/>
        <w:textAlignment w:val="auto"/>
        <w:rPr>
          <w:rFonts w:hint="default" w:ascii="Times New Roman" w:hAnsi="Times New Roman" w:eastAsia="仿宋" w:cs="Times New Roman"/>
          <w:sz w:val="32"/>
          <w:szCs w:val="32"/>
          <w:lang w:val="en-US" w:eastAsia="zh-CN"/>
        </w:rPr>
      </w:pPr>
      <w:r>
        <w:rPr>
          <w:rFonts w:hint="default" w:ascii="Times New Roman" w:hAnsi="Times New Roman" w:eastAsia="楷体" w:cs="Times New Roman"/>
          <w:b/>
          <w:color w:val="000000"/>
          <w:sz w:val="32"/>
          <w:szCs w:val="32"/>
          <w:u w:val="none"/>
          <w:lang w:val="zh-CN"/>
        </w:rPr>
        <w:t>（三）评价选点。</w:t>
      </w:r>
      <w:r>
        <w:rPr>
          <w:rFonts w:hint="default" w:ascii="Times New Roman" w:hAnsi="Times New Roman" w:eastAsia="仿宋_GB2312" w:cs="Times New Roman"/>
          <w:sz w:val="32"/>
          <w:szCs w:val="32"/>
          <w:lang w:val="zh-CN" w:eastAsia="zh-CN"/>
        </w:rPr>
        <w:t>抽取</w:t>
      </w:r>
      <w:r>
        <w:rPr>
          <w:rFonts w:hint="default" w:ascii="Times New Roman" w:hAnsi="Times New Roman" w:eastAsia="仿宋_GB2312" w:cs="Times New Roman"/>
          <w:sz w:val="32"/>
          <w:szCs w:val="32"/>
          <w:lang w:val="en-US" w:eastAsia="zh-CN"/>
        </w:rPr>
        <w:t>2个村运行费使用情况。</w:t>
      </w:r>
    </w:p>
    <w:p w14:paraId="2E825384">
      <w:pPr>
        <w:keepNext w:val="0"/>
        <w:keepLines w:val="0"/>
        <w:pageBreakBefore w:val="0"/>
        <w:widowControl w:val="0"/>
        <w:suppressAutoHyphens/>
        <w:kinsoku/>
        <w:wordWrap/>
        <w:overflowPunct/>
        <w:topLinePunct w:val="0"/>
        <w:autoSpaceDE/>
        <w:autoSpaceDN/>
        <w:bidi w:val="0"/>
        <w:adjustRightInd/>
        <w:spacing w:line="576" w:lineRule="exact"/>
        <w:ind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 w:cs="Times New Roman"/>
          <w:b/>
          <w:color w:val="000000"/>
          <w:sz w:val="32"/>
          <w:szCs w:val="32"/>
          <w:u w:val="none"/>
          <w:lang w:val="zh-CN"/>
        </w:rPr>
        <w:t>（四）评价方法。</w:t>
      </w:r>
      <w:r>
        <w:rPr>
          <w:rFonts w:hint="default" w:ascii="Times New Roman" w:hAnsi="Times New Roman" w:eastAsia="仿宋_GB2312" w:cs="Times New Roman"/>
          <w:sz w:val="32"/>
          <w:szCs w:val="32"/>
        </w:rPr>
        <w:t>座谈调研法</w:t>
      </w:r>
      <w:r>
        <w:rPr>
          <w:rFonts w:hint="default" w:ascii="Times New Roman" w:hAnsi="Times New Roman" w:eastAsia="仿宋_GB2312" w:cs="Times New Roman"/>
          <w:sz w:val="32"/>
          <w:szCs w:val="32"/>
          <w:lang w:eastAsia="zh-CN"/>
        </w:rPr>
        <w:t>。</w:t>
      </w:r>
    </w:p>
    <w:p w14:paraId="16EEB00A">
      <w:pPr>
        <w:keepNext w:val="0"/>
        <w:keepLines w:val="0"/>
        <w:pageBreakBefore w:val="0"/>
        <w:widowControl w:val="0"/>
        <w:suppressAutoHyphens/>
        <w:kinsoku/>
        <w:wordWrap/>
        <w:overflowPunct/>
        <w:topLinePunct w:val="0"/>
        <w:autoSpaceDE/>
        <w:autoSpaceDN/>
        <w:bidi w:val="0"/>
        <w:adjustRightInd/>
        <w:spacing w:line="576" w:lineRule="exact"/>
        <w:ind w:firstLine="640"/>
        <w:textAlignment w:val="auto"/>
        <w:rPr>
          <w:rFonts w:hint="default" w:ascii="Times New Roman" w:hAnsi="Times New Roman" w:eastAsia="楷体" w:cs="Times New Roman"/>
          <w:bCs/>
          <w:sz w:val="32"/>
          <w:szCs w:val="32"/>
          <w:lang w:eastAsia="zh-CN"/>
        </w:rPr>
      </w:pPr>
      <w:r>
        <w:rPr>
          <w:rFonts w:hint="default" w:ascii="Times New Roman" w:hAnsi="Times New Roman" w:eastAsia="楷体" w:cs="Times New Roman"/>
          <w:b/>
          <w:color w:val="000000"/>
          <w:sz w:val="32"/>
          <w:szCs w:val="32"/>
          <w:u w:val="none"/>
          <w:lang w:val="zh-CN"/>
        </w:rPr>
        <w:t>（五）评价组织。</w:t>
      </w:r>
      <w:r>
        <w:rPr>
          <w:rFonts w:hint="eastAsia" w:ascii="Times New Roman" w:hAnsi="Times New Roman" w:eastAsia="楷体" w:cs="Times New Roman"/>
          <w:b/>
          <w:color w:val="000000"/>
          <w:sz w:val="32"/>
          <w:szCs w:val="32"/>
          <w:u w:val="none"/>
          <w:lang w:val="zh-CN"/>
        </w:rPr>
        <w:t>村“两委”</w:t>
      </w:r>
      <w:r>
        <w:rPr>
          <w:rFonts w:hint="default" w:ascii="Times New Roman" w:hAnsi="Times New Roman" w:eastAsia="仿宋" w:cs="Times New Roman"/>
          <w:sz w:val="32"/>
          <w:szCs w:val="32"/>
          <w:lang w:eastAsia="zh-CN"/>
        </w:rPr>
        <w:t>。</w:t>
      </w:r>
    </w:p>
    <w:p w14:paraId="727C0143">
      <w:pPr>
        <w:keepNext w:val="0"/>
        <w:keepLines w:val="0"/>
        <w:pageBreakBefore w:val="0"/>
        <w:suppressAutoHyphens/>
        <w:kinsoku/>
        <w:wordWrap/>
        <w:overflowPunct/>
        <w:topLinePunct w:val="0"/>
        <w:autoSpaceDE/>
        <w:autoSpaceDN/>
        <w:bidi w:val="0"/>
        <w:adjustRightInd/>
        <w:snapToGrid w:val="0"/>
        <w:spacing w:line="576" w:lineRule="exact"/>
        <w:ind w:firstLine="640"/>
        <w:textAlignment w:val="auto"/>
        <w:rPr>
          <w:rFonts w:hint="default" w:ascii="Times New Roman" w:hAnsi="Times New Roman" w:eastAsia="仿宋" w:cs="Times New Roman"/>
          <w:color w:val="000000"/>
          <w:sz w:val="32"/>
          <w:szCs w:val="32"/>
          <w:highlight w:val="none"/>
          <w:u w:val="none"/>
          <w:lang w:val="zh-CN"/>
        </w:rPr>
      </w:pPr>
      <w:r>
        <w:rPr>
          <w:rFonts w:hint="default" w:ascii="Times New Roman" w:hAnsi="Times New Roman" w:eastAsia="黑体" w:cs="Times New Roman"/>
          <w:color w:val="000000"/>
          <w:sz w:val="32"/>
          <w:szCs w:val="32"/>
          <w:u w:val="none"/>
        </w:rPr>
        <w:t>三、</w:t>
      </w:r>
      <w:r>
        <w:rPr>
          <w:rFonts w:hint="default" w:ascii="Times New Roman" w:hAnsi="Times New Roman" w:eastAsia="黑体" w:cs="Times New Roman"/>
          <w:color w:val="000000"/>
          <w:sz w:val="32"/>
          <w:szCs w:val="32"/>
          <w:u w:val="none"/>
          <w:lang w:eastAsia="zh-CN"/>
        </w:rPr>
        <w:t>绩效分析</w:t>
      </w:r>
      <w:r>
        <w:rPr>
          <w:rFonts w:hint="default" w:ascii="Times New Roman" w:hAnsi="Times New Roman" w:eastAsia="仿宋" w:cs="Times New Roman"/>
          <w:color w:val="000000"/>
          <w:sz w:val="32"/>
          <w:szCs w:val="32"/>
          <w:u w:val="none"/>
          <w:lang w:val="zh-CN"/>
        </w:rPr>
        <w:tab/>
      </w:r>
    </w:p>
    <w:p w14:paraId="75AA9239">
      <w:pPr>
        <w:keepNext w:val="0"/>
        <w:keepLines w:val="0"/>
        <w:pageBreakBefore w:val="0"/>
        <w:widowControl w:val="0"/>
        <w:suppressAutoHyphens/>
        <w:kinsoku/>
        <w:wordWrap/>
        <w:overflowPunct/>
        <w:topLinePunct w:val="0"/>
        <w:autoSpaceDE/>
        <w:autoSpaceDN/>
        <w:bidi w:val="0"/>
        <w:adjustRightInd/>
        <w:snapToGrid/>
        <w:spacing w:line="576" w:lineRule="exact"/>
        <w:ind w:firstLine="640"/>
        <w:textAlignment w:val="auto"/>
        <w:rPr>
          <w:rFonts w:hint="default" w:ascii="Times New Roman" w:hAnsi="Times New Roman" w:eastAsia="楷体_GB2312" w:cs="Times New Roman"/>
          <w:b/>
          <w:color w:val="000000"/>
          <w:sz w:val="32"/>
          <w:szCs w:val="32"/>
          <w:highlight w:val="none"/>
          <w:u w:val="none"/>
          <w:lang w:val="en-US" w:eastAsia="zh-CN"/>
        </w:rPr>
      </w:pPr>
      <w:r>
        <w:rPr>
          <w:rFonts w:hint="default" w:ascii="Times New Roman" w:hAnsi="Times New Roman" w:eastAsia="楷体_GB2312" w:cs="Times New Roman"/>
          <w:b/>
          <w:color w:val="000000"/>
          <w:sz w:val="32"/>
          <w:szCs w:val="32"/>
          <w:u w:val="none"/>
          <w:lang w:val="zh-CN"/>
        </w:rPr>
        <w:t>（一）</w:t>
      </w:r>
      <w:r>
        <w:rPr>
          <w:rFonts w:hint="default" w:ascii="Times New Roman" w:hAnsi="Times New Roman" w:eastAsia="楷体_GB2312" w:cs="Times New Roman"/>
          <w:b/>
          <w:color w:val="000000"/>
          <w:sz w:val="32"/>
          <w:szCs w:val="32"/>
          <w:u w:val="none"/>
          <w:lang w:val="en-US" w:eastAsia="zh-CN"/>
        </w:rPr>
        <w:t>通用指标</w:t>
      </w:r>
      <w:r>
        <w:rPr>
          <w:rFonts w:hint="default" w:ascii="Times New Roman" w:hAnsi="Times New Roman" w:eastAsia="楷体_GB2312" w:cs="Times New Roman"/>
          <w:b/>
          <w:bCs/>
          <w:color w:val="000000"/>
          <w:kern w:val="0"/>
          <w:sz w:val="32"/>
          <w:szCs w:val="32"/>
          <w:shd w:val="clear" w:fill="FFFFFF"/>
          <w:lang w:val="zh-CN"/>
        </w:rPr>
        <w:t>绩效分析。</w:t>
      </w:r>
    </w:p>
    <w:p w14:paraId="2B443AC3">
      <w:pPr>
        <w:keepNext w:val="0"/>
        <w:keepLines w:val="0"/>
        <w:pageBreakBefore w:val="0"/>
        <w:widowControl w:val="0"/>
        <w:suppressAutoHyphens/>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sz w:val="32"/>
          <w:szCs w:val="32"/>
          <w:lang w:val="en-US" w:eastAsia="zh-CN"/>
        </w:rPr>
        <w:t>1.</w:t>
      </w:r>
      <w:r>
        <w:rPr>
          <w:rFonts w:hint="default" w:ascii="Times New Roman" w:hAnsi="Times New Roman" w:eastAsia="仿宋_GB2312" w:cs="Times New Roman"/>
          <w:b/>
          <w:bCs/>
          <w:color w:val="000000"/>
          <w:sz w:val="32"/>
          <w:szCs w:val="32"/>
          <w:lang w:eastAsia="zh-CN"/>
        </w:rPr>
        <w:t>项目决策。</w:t>
      </w:r>
      <w:r>
        <w:rPr>
          <w:rFonts w:hint="default" w:ascii="Times New Roman" w:hAnsi="Times New Roman" w:eastAsia="仿宋_GB2312" w:cs="Times New Roman"/>
          <w:color w:val="000000"/>
          <w:sz w:val="32"/>
          <w:szCs w:val="32"/>
          <w:lang w:eastAsia="zh-CN"/>
        </w:rPr>
        <w:t>资金开支范围为小姓乡</w:t>
      </w: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lang w:eastAsia="zh-CN"/>
        </w:rPr>
        <w:t>个村农村公共运行维护经费，支付依据合规合法，资金支付与预算相符。项目资金按时拨付，保障了村民的基本生活，农村公共服务设施运行维护项目的长效实施改善了群众的生产生活条件，提高了群众生活质量，完善农村基础设施功能，群众知晓率和覆盖率较高，满意度高。项目取得了较好的社会效益。</w:t>
      </w:r>
    </w:p>
    <w:p w14:paraId="12CE4340">
      <w:pPr>
        <w:keepNext w:val="0"/>
        <w:keepLines w:val="0"/>
        <w:pageBreakBefore w:val="0"/>
        <w:widowControl w:val="0"/>
        <w:suppressAutoHyphens/>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sz w:val="32"/>
          <w:szCs w:val="32"/>
          <w:lang w:val="en-US" w:eastAsia="zh-CN"/>
        </w:rPr>
        <w:t>2.</w:t>
      </w:r>
      <w:r>
        <w:rPr>
          <w:rFonts w:hint="default" w:ascii="Times New Roman" w:hAnsi="Times New Roman" w:eastAsia="仿宋_GB2312" w:cs="Times New Roman"/>
          <w:b/>
          <w:bCs/>
          <w:color w:val="000000"/>
          <w:sz w:val="32"/>
          <w:szCs w:val="32"/>
          <w:lang w:eastAsia="zh-CN"/>
        </w:rPr>
        <w:t>项目管理。</w:t>
      </w:r>
      <w:r>
        <w:rPr>
          <w:rFonts w:hint="default" w:ascii="Times New Roman" w:hAnsi="Times New Roman" w:eastAsia="仿宋_GB2312" w:cs="Times New Roman"/>
          <w:color w:val="000000"/>
          <w:sz w:val="32"/>
          <w:szCs w:val="32"/>
          <w:lang w:eastAsia="zh-CN"/>
        </w:rPr>
        <w:t>村级办公经费年初预算</w:t>
      </w:r>
      <w:r>
        <w:rPr>
          <w:rFonts w:hint="default" w:ascii="Times New Roman" w:hAnsi="Times New Roman" w:eastAsia="仿宋_GB2312" w:cs="Times New Roman"/>
          <w:color w:val="000000"/>
          <w:sz w:val="32"/>
          <w:szCs w:val="32"/>
          <w:lang w:val="en-US" w:eastAsia="zh-CN"/>
        </w:rPr>
        <w:t>12</w:t>
      </w:r>
      <w:r>
        <w:rPr>
          <w:rFonts w:hint="default" w:ascii="Times New Roman" w:hAnsi="Times New Roman" w:eastAsia="仿宋_GB2312" w:cs="Times New Roman"/>
          <w:color w:val="000000"/>
          <w:sz w:val="32"/>
          <w:szCs w:val="32"/>
          <w:lang w:eastAsia="zh-CN"/>
        </w:rPr>
        <w:t>万元，2025年支出</w:t>
      </w: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lang w:eastAsia="zh-CN"/>
        </w:rPr>
        <w:t>万元，完成预算</w:t>
      </w:r>
      <w:r>
        <w:rPr>
          <w:rFonts w:hint="default" w:ascii="Times New Roman" w:hAnsi="Times New Roman" w:eastAsia="仿宋_GB2312" w:cs="Times New Roman"/>
          <w:color w:val="000000"/>
          <w:sz w:val="32"/>
          <w:szCs w:val="32"/>
          <w:lang w:val="en-US" w:eastAsia="zh-CN"/>
        </w:rPr>
        <w:t>100</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党建</w:t>
      </w:r>
      <w:r>
        <w:rPr>
          <w:rFonts w:hint="default" w:ascii="Times New Roman" w:hAnsi="Times New Roman" w:eastAsia="仿宋_GB2312" w:cs="Times New Roman"/>
          <w:color w:val="000000"/>
          <w:sz w:val="32"/>
          <w:szCs w:val="32"/>
          <w:lang w:eastAsia="zh-CN"/>
        </w:rPr>
        <w:t>经费年初预算</w:t>
      </w:r>
      <w:r>
        <w:rPr>
          <w:rFonts w:hint="default" w:ascii="Times New Roman" w:hAnsi="Times New Roman" w:eastAsia="仿宋_GB2312" w:cs="Times New Roman"/>
          <w:color w:val="000000"/>
          <w:sz w:val="32"/>
          <w:szCs w:val="32"/>
          <w:lang w:val="en-US" w:eastAsia="zh-CN"/>
        </w:rPr>
        <w:t>12</w:t>
      </w:r>
      <w:r>
        <w:rPr>
          <w:rFonts w:hint="default" w:ascii="Times New Roman" w:hAnsi="Times New Roman" w:eastAsia="仿宋_GB2312" w:cs="Times New Roman"/>
          <w:color w:val="000000"/>
          <w:sz w:val="32"/>
          <w:szCs w:val="32"/>
          <w:lang w:eastAsia="zh-CN"/>
        </w:rPr>
        <w:t>万元，2025年支出</w:t>
      </w:r>
      <w:r>
        <w:rPr>
          <w:rFonts w:hint="default" w:ascii="Times New Roman" w:hAnsi="Times New Roman" w:eastAsia="仿宋_GB2312" w:cs="Times New Roman"/>
          <w:color w:val="000000"/>
          <w:sz w:val="32"/>
          <w:szCs w:val="32"/>
          <w:lang w:val="en-US" w:eastAsia="zh-CN"/>
        </w:rPr>
        <w:t>12</w:t>
      </w:r>
      <w:r>
        <w:rPr>
          <w:rFonts w:hint="default" w:ascii="Times New Roman" w:hAnsi="Times New Roman" w:eastAsia="仿宋_GB2312" w:cs="Times New Roman"/>
          <w:color w:val="000000"/>
          <w:sz w:val="32"/>
          <w:szCs w:val="32"/>
          <w:lang w:eastAsia="zh-CN"/>
        </w:rPr>
        <w:t>万元，完成预算</w:t>
      </w:r>
      <w:r>
        <w:rPr>
          <w:rFonts w:hint="default" w:ascii="Times New Roman" w:hAnsi="Times New Roman" w:eastAsia="仿宋_GB2312" w:cs="Times New Roman"/>
          <w:color w:val="000000"/>
          <w:sz w:val="32"/>
          <w:szCs w:val="32"/>
          <w:lang w:val="en-US" w:eastAsia="zh-CN"/>
        </w:rPr>
        <w:t>100</w:t>
      </w:r>
      <w:r>
        <w:rPr>
          <w:rFonts w:hint="default" w:ascii="Times New Roman" w:hAnsi="Times New Roman" w:eastAsia="仿宋_GB2312" w:cs="Times New Roman"/>
          <w:color w:val="000000"/>
          <w:sz w:val="32"/>
          <w:szCs w:val="32"/>
          <w:lang w:eastAsia="zh-CN"/>
        </w:rPr>
        <w:t>%，村级维修（护）费年初预算</w:t>
      </w:r>
      <w:r>
        <w:rPr>
          <w:rFonts w:hint="default" w:ascii="Times New Roman" w:hAnsi="Times New Roman" w:eastAsia="仿宋_GB2312" w:cs="Times New Roman"/>
          <w:color w:val="000000"/>
          <w:sz w:val="32"/>
          <w:szCs w:val="32"/>
          <w:lang w:val="en-US" w:eastAsia="zh-CN"/>
        </w:rPr>
        <w:t>36</w:t>
      </w:r>
      <w:r>
        <w:rPr>
          <w:rFonts w:hint="eastAsia" w:ascii="Times New Roman" w:hAnsi="Times New Roman" w:eastAsia="仿宋_GB2312" w:cs="Times New Roman"/>
          <w:color w:val="000000"/>
          <w:sz w:val="32"/>
          <w:szCs w:val="32"/>
          <w:lang w:val="en-US" w:eastAsia="zh-CN"/>
        </w:rPr>
        <w:t>万元</w:t>
      </w:r>
      <w:r>
        <w:rPr>
          <w:rFonts w:hint="default" w:ascii="Times New Roman" w:hAnsi="Times New Roman" w:eastAsia="仿宋_GB2312" w:cs="Times New Roman"/>
          <w:color w:val="000000"/>
          <w:sz w:val="32"/>
          <w:szCs w:val="32"/>
          <w:lang w:eastAsia="zh-CN"/>
        </w:rPr>
        <w:t>，2025年支出</w:t>
      </w:r>
      <w:r>
        <w:rPr>
          <w:rFonts w:hint="default" w:ascii="Times New Roman" w:hAnsi="Times New Roman" w:eastAsia="仿宋_GB2312" w:cs="Times New Roman"/>
          <w:color w:val="000000"/>
          <w:sz w:val="32"/>
          <w:szCs w:val="32"/>
          <w:lang w:val="en-US" w:eastAsia="zh-CN"/>
        </w:rPr>
        <w:t>42</w:t>
      </w:r>
      <w:r>
        <w:rPr>
          <w:rFonts w:hint="eastAsia" w:ascii="Times New Roman" w:hAnsi="Times New Roman" w:eastAsia="仿宋_GB2312" w:cs="Times New Roman"/>
          <w:color w:val="000000"/>
          <w:sz w:val="32"/>
          <w:szCs w:val="32"/>
          <w:lang w:val="en-US" w:eastAsia="zh-CN"/>
        </w:rPr>
        <w:t>万元</w:t>
      </w:r>
      <w:r>
        <w:rPr>
          <w:rFonts w:hint="default" w:ascii="Times New Roman" w:hAnsi="Times New Roman" w:eastAsia="仿宋_GB2312" w:cs="Times New Roman"/>
          <w:color w:val="000000"/>
          <w:sz w:val="32"/>
          <w:szCs w:val="32"/>
          <w:lang w:eastAsia="zh-CN"/>
        </w:rPr>
        <w:t>，完成预算100%。</w:t>
      </w:r>
    </w:p>
    <w:p w14:paraId="124F01D9">
      <w:pPr>
        <w:keepNext w:val="0"/>
        <w:keepLines w:val="0"/>
        <w:pageBreakBefore w:val="0"/>
        <w:widowControl w:val="0"/>
        <w:suppressAutoHyphens/>
        <w:kinsoku/>
        <w:wordWrap/>
        <w:overflowPunct/>
        <w:topLinePunct w:val="0"/>
        <w:autoSpaceDE/>
        <w:autoSpaceDN/>
        <w:bidi w:val="0"/>
        <w:adjustRightInd/>
        <w:snapToGrid w:val="0"/>
        <w:spacing w:line="576" w:lineRule="exact"/>
        <w:ind w:left="0" w:firstLine="64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3.项目实施。</w:t>
      </w:r>
    </w:p>
    <w:p w14:paraId="15C58C4D">
      <w:pPr>
        <w:keepNext w:val="0"/>
        <w:keepLines w:val="0"/>
        <w:pageBreakBefore w:val="0"/>
        <w:widowControl w:val="0"/>
        <w:suppressAutoHyphens/>
        <w:kinsoku/>
        <w:wordWrap/>
        <w:overflowPunct/>
        <w:topLinePunct w:val="0"/>
        <w:autoSpaceDE/>
        <w:autoSpaceDN/>
        <w:bidi w:val="0"/>
        <w:adjustRightInd/>
        <w:snapToGrid w:val="0"/>
        <w:spacing w:line="576" w:lineRule="exact"/>
        <w:ind w:left="0" w:firstLine="64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（1）碑子寺村2025年村级运行</w:t>
      </w:r>
    </w:p>
    <w:p w14:paraId="001EDA21">
      <w:pPr>
        <w:keepNext w:val="0"/>
        <w:keepLines w:val="0"/>
        <w:pageBreakBefore w:val="0"/>
        <w:widowControl w:val="0"/>
        <w:suppressAutoHyphens/>
        <w:kinsoku/>
        <w:wordWrap/>
        <w:overflowPunct/>
        <w:topLinePunct w:val="0"/>
        <w:autoSpaceDE/>
        <w:autoSpaceDN/>
        <w:bidi w:val="0"/>
        <w:adjustRightInd/>
        <w:snapToGrid w:val="0"/>
        <w:spacing w:line="576" w:lineRule="exact"/>
        <w:ind w:left="0"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2025年：办公经费用于广告打印费、村财记账软件服务费等1万元。基础设施维护主要用于基础设施维修（维护）、保洁员工资12万元，党建经费用于制作展板、党建宣传等2万元，合计15万元。</w:t>
      </w:r>
    </w:p>
    <w:p w14:paraId="369635A3">
      <w:pPr>
        <w:keepNext w:val="0"/>
        <w:keepLines w:val="0"/>
        <w:pageBreakBefore w:val="0"/>
        <w:widowControl w:val="0"/>
        <w:suppressAutoHyphens/>
        <w:kinsoku/>
        <w:wordWrap/>
        <w:overflowPunct/>
        <w:topLinePunct w:val="0"/>
        <w:autoSpaceDE/>
        <w:autoSpaceDN/>
        <w:bidi w:val="0"/>
        <w:adjustRightInd/>
        <w:snapToGrid w:val="0"/>
        <w:spacing w:line="576" w:lineRule="exact"/>
        <w:ind w:left="0" w:firstLine="64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（2）埃溪村2025年村级运行</w:t>
      </w:r>
    </w:p>
    <w:p w14:paraId="03BC5F96">
      <w:pPr>
        <w:keepNext w:val="0"/>
        <w:keepLines w:val="0"/>
        <w:pageBreakBefore w:val="0"/>
        <w:widowControl w:val="0"/>
        <w:suppressAutoHyphens/>
        <w:kinsoku/>
        <w:wordWrap/>
        <w:overflowPunct/>
        <w:topLinePunct w:val="0"/>
        <w:autoSpaceDE/>
        <w:autoSpaceDN/>
        <w:bidi w:val="0"/>
        <w:adjustRightInd/>
        <w:snapToGrid w:val="0"/>
        <w:spacing w:line="576" w:lineRule="exact"/>
        <w:ind w:left="0"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2025年：办公经费用于广告打印费、村财记账软件服务费等1万元。基础设施维护主要用于基础设施维修（维护）、保洁员工资12万元，党建经费用于制作展板、党建宣传等2万元，合计15万元。</w:t>
      </w:r>
    </w:p>
    <w:p w14:paraId="1A20918F">
      <w:pPr>
        <w:keepNext w:val="0"/>
        <w:keepLines w:val="0"/>
        <w:pageBreakBefore w:val="0"/>
        <w:widowControl w:val="0"/>
        <w:suppressAutoHyphens/>
        <w:kinsoku/>
        <w:wordWrap/>
        <w:overflowPunct/>
        <w:topLinePunct w:val="0"/>
        <w:autoSpaceDE/>
        <w:autoSpaceDN/>
        <w:bidi w:val="0"/>
        <w:adjustRightInd/>
        <w:snapToGrid w:val="0"/>
        <w:spacing w:line="576" w:lineRule="exact"/>
        <w:ind w:left="0" w:firstLine="64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（3）大尔边村2025年村级运行</w:t>
      </w:r>
    </w:p>
    <w:p w14:paraId="2CFAD3A2">
      <w:pPr>
        <w:keepNext w:val="0"/>
        <w:keepLines w:val="0"/>
        <w:pageBreakBefore w:val="0"/>
        <w:widowControl w:val="0"/>
        <w:suppressAutoHyphens/>
        <w:kinsoku/>
        <w:wordWrap/>
        <w:overflowPunct/>
        <w:topLinePunct w:val="0"/>
        <w:autoSpaceDE/>
        <w:autoSpaceDN/>
        <w:bidi w:val="0"/>
        <w:adjustRightInd/>
        <w:snapToGrid w:val="0"/>
        <w:spacing w:line="576" w:lineRule="exact"/>
        <w:ind w:left="0"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2025年：办公经费用于广告打印费、村财记账软件服务费等1万元。基础设施维护主要用于基础设施维修（维护）、保洁员工资12万元，党建经费用于制作展板、党建宣传等2万元，合计15万元。</w:t>
      </w:r>
    </w:p>
    <w:p w14:paraId="12068EB2">
      <w:pPr>
        <w:keepNext w:val="0"/>
        <w:keepLines w:val="0"/>
        <w:pageBreakBefore w:val="0"/>
        <w:widowControl w:val="0"/>
        <w:suppressAutoHyphens/>
        <w:kinsoku/>
        <w:wordWrap/>
        <w:overflowPunct/>
        <w:topLinePunct w:val="0"/>
        <w:autoSpaceDE/>
        <w:autoSpaceDN/>
        <w:bidi w:val="0"/>
        <w:adjustRightInd/>
        <w:snapToGrid w:val="0"/>
        <w:spacing w:line="576" w:lineRule="exact"/>
        <w:ind w:left="0" w:firstLine="64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（4）姑纳村2025年村级运行</w:t>
      </w:r>
    </w:p>
    <w:p w14:paraId="532F7C8A">
      <w:pPr>
        <w:keepNext w:val="0"/>
        <w:keepLines w:val="0"/>
        <w:pageBreakBefore w:val="0"/>
        <w:widowControl w:val="0"/>
        <w:suppressAutoHyphens/>
        <w:kinsoku/>
        <w:wordWrap/>
        <w:overflowPunct/>
        <w:topLinePunct w:val="0"/>
        <w:autoSpaceDE/>
        <w:autoSpaceDN/>
        <w:bidi w:val="0"/>
        <w:adjustRightInd/>
        <w:snapToGrid w:val="0"/>
        <w:spacing w:line="576" w:lineRule="exact"/>
        <w:ind w:left="0"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2025年：办公经费用于广告打印费、村财记账软件服务费等2万元。基础设施维护主要用于基础设施维修（维护）、保洁员工资10万元，党建经费用于制作展板、党建宣传等3万元，合计15万元。</w:t>
      </w:r>
    </w:p>
    <w:p w14:paraId="36DE8BB6">
      <w:pPr>
        <w:keepNext w:val="0"/>
        <w:keepLines w:val="0"/>
        <w:pageBreakBefore w:val="0"/>
        <w:widowControl w:val="0"/>
        <w:suppressAutoHyphens/>
        <w:kinsoku/>
        <w:wordWrap/>
        <w:overflowPunct/>
        <w:topLinePunct w:val="0"/>
        <w:autoSpaceDE/>
        <w:autoSpaceDN/>
        <w:bidi w:val="0"/>
        <w:adjustRightInd/>
        <w:snapToGrid w:val="0"/>
        <w:spacing w:line="576" w:lineRule="exact"/>
        <w:ind w:left="0" w:firstLine="64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（5）平安村2025年村级运行</w:t>
      </w:r>
    </w:p>
    <w:p w14:paraId="2B93E68A">
      <w:pPr>
        <w:keepNext w:val="0"/>
        <w:keepLines w:val="0"/>
        <w:pageBreakBefore w:val="0"/>
        <w:widowControl w:val="0"/>
        <w:suppressAutoHyphens/>
        <w:kinsoku/>
        <w:wordWrap/>
        <w:overflowPunct/>
        <w:topLinePunct w:val="0"/>
        <w:autoSpaceDE/>
        <w:autoSpaceDN/>
        <w:bidi w:val="0"/>
        <w:adjustRightInd/>
        <w:snapToGrid w:val="0"/>
        <w:spacing w:line="576" w:lineRule="exact"/>
        <w:ind w:left="0"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2025年：办公经费用于广告打印费、村财记账软件服务费等1万元。基础设施维护主要用于基础设施维修（维护）、保洁员工资12万元，党建经费用于制作展板、党建宣传等2万元，合计15万元。</w:t>
      </w:r>
    </w:p>
    <w:p w14:paraId="4D869F9C">
      <w:pPr>
        <w:keepNext w:val="0"/>
        <w:keepLines w:val="0"/>
        <w:pageBreakBefore w:val="0"/>
        <w:widowControl w:val="0"/>
        <w:suppressAutoHyphens/>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sz w:val="32"/>
          <w:szCs w:val="32"/>
          <w:lang w:val="en-US" w:eastAsia="zh-CN"/>
        </w:rPr>
        <w:t>4.项目结果。</w:t>
      </w:r>
      <w:r>
        <w:rPr>
          <w:rFonts w:hint="default" w:ascii="Times New Roman" w:hAnsi="Times New Roman" w:eastAsia="仿宋_GB2312" w:cs="Times New Roman"/>
          <w:color w:val="000000"/>
          <w:sz w:val="32"/>
          <w:szCs w:val="32"/>
          <w:lang w:val="en-US" w:eastAsia="zh-CN"/>
        </w:rPr>
        <w:t>计划申报和实际拨付情况相符，切实有效。必要性和可行性分析：依据村实际情况选取实施，符合村上发展需求，解决了环境脏乱差、农田小水利设施和村庄道路维修、文化基础设施没有充分发挥作用等问题，加快公共服务基础设施建设，改善生产生活条件，保证基础设施持续有效发挥服务功能，项目符合党中央、国务院和省委、省政府和市委、市政府以及县委、县政府的决策部署；符合当前经济社会发展需要。</w:t>
      </w:r>
    </w:p>
    <w:p w14:paraId="1311832B">
      <w:pPr>
        <w:keepNext w:val="0"/>
        <w:keepLines w:val="0"/>
        <w:pageBreakBefore w:val="0"/>
        <w:widowControl w:val="0"/>
        <w:suppressAutoHyphens/>
        <w:kinsoku/>
        <w:wordWrap/>
        <w:overflowPunct/>
        <w:topLinePunct w:val="0"/>
        <w:autoSpaceDE/>
        <w:autoSpaceDN/>
        <w:bidi w:val="0"/>
        <w:adjustRightInd/>
        <w:snapToGrid/>
        <w:spacing w:line="576" w:lineRule="exact"/>
        <w:ind w:firstLine="643"/>
        <w:textAlignment w:val="auto"/>
        <w:rPr>
          <w:rFonts w:hint="default" w:ascii="Times New Roman" w:hAnsi="Times New Roman" w:eastAsia="楷体_GB2312" w:cs="Times New Roman"/>
          <w:color w:val="000000"/>
          <w:sz w:val="32"/>
          <w:szCs w:val="32"/>
          <w:lang w:val="zh-CN" w:eastAsia="zh-CN"/>
        </w:rPr>
      </w:pPr>
      <w:r>
        <w:rPr>
          <w:rFonts w:hint="default" w:ascii="Times New Roman" w:hAnsi="Times New Roman" w:eastAsia="楷体_GB2312" w:cs="Times New Roman"/>
          <w:b/>
          <w:color w:val="000000"/>
          <w:sz w:val="32"/>
          <w:szCs w:val="32"/>
          <w:u w:val="none"/>
          <w:lang w:val="zh-CN"/>
        </w:rPr>
        <w:t>（二）</w:t>
      </w:r>
      <w:r>
        <w:rPr>
          <w:rFonts w:hint="default" w:ascii="Times New Roman" w:hAnsi="Times New Roman" w:eastAsia="楷体_GB2312" w:cs="Times New Roman"/>
          <w:b/>
          <w:color w:val="000000"/>
          <w:sz w:val="32"/>
          <w:szCs w:val="32"/>
          <w:u w:val="none"/>
          <w:lang w:val="en-US" w:eastAsia="zh-CN"/>
        </w:rPr>
        <w:t>专用指标</w:t>
      </w:r>
      <w:r>
        <w:rPr>
          <w:rFonts w:hint="default" w:ascii="Times New Roman" w:hAnsi="Times New Roman" w:eastAsia="楷体_GB2312" w:cs="Times New Roman"/>
          <w:b/>
          <w:bCs/>
          <w:color w:val="000000"/>
          <w:kern w:val="0"/>
          <w:sz w:val="32"/>
          <w:szCs w:val="32"/>
          <w:shd w:val="clear" w:fill="FFFFFF"/>
          <w:lang w:val="zh-CN"/>
        </w:rPr>
        <w:t>绩效分析。</w:t>
      </w:r>
    </w:p>
    <w:p w14:paraId="638B91D3">
      <w:pPr>
        <w:keepNext w:val="0"/>
        <w:keepLines w:val="0"/>
        <w:pageBreakBefore w:val="0"/>
        <w:widowControl w:val="0"/>
        <w:suppressAutoHyphens/>
        <w:kinsoku/>
        <w:wordWrap/>
        <w:overflowPunct/>
        <w:topLinePunct w:val="0"/>
        <w:autoSpaceDE/>
        <w:autoSpaceDN/>
        <w:bidi w:val="0"/>
        <w:adjustRightInd/>
        <w:snapToGrid/>
        <w:spacing w:line="576" w:lineRule="exact"/>
        <w:ind w:left="0" w:firstLine="64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b/>
          <w:bCs/>
          <w:color w:val="000000"/>
          <w:sz w:val="32"/>
          <w:szCs w:val="32"/>
          <w:lang w:val="en-US" w:eastAsia="zh-CN"/>
        </w:rPr>
        <w:t>1.产业发展。</w:t>
      </w:r>
      <w:r>
        <w:rPr>
          <w:rFonts w:hint="default" w:ascii="Times New Roman" w:hAnsi="Times New Roman" w:eastAsia="仿宋_GB2312" w:cs="Times New Roman"/>
          <w:color w:val="000000"/>
          <w:sz w:val="32"/>
          <w:szCs w:val="32"/>
          <w:lang w:eastAsia="zh-CN"/>
        </w:rPr>
        <w:t>不涉及。</w:t>
      </w:r>
    </w:p>
    <w:p w14:paraId="38FAB833">
      <w:pPr>
        <w:keepNext w:val="0"/>
        <w:keepLines w:val="0"/>
        <w:pageBreakBefore w:val="0"/>
        <w:widowControl w:val="0"/>
        <w:suppressAutoHyphens/>
        <w:kinsoku/>
        <w:wordWrap/>
        <w:overflowPunct/>
        <w:topLinePunct w:val="0"/>
        <w:autoSpaceDE/>
        <w:autoSpaceDN/>
        <w:bidi w:val="0"/>
        <w:adjustRightInd/>
        <w:snapToGrid/>
        <w:spacing w:line="576" w:lineRule="exact"/>
        <w:ind w:left="0" w:firstLine="64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sz w:val="32"/>
          <w:szCs w:val="32"/>
          <w:lang w:val="en-US" w:eastAsia="zh-CN"/>
        </w:rPr>
        <w:t>2.</w:t>
      </w:r>
      <w:r>
        <w:rPr>
          <w:rFonts w:hint="default" w:ascii="Times New Roman" w:hAnsi="Times New Roman" w:eastAsia="仿宋_GB2312" w:cs="Times New Roman"/>
          <w:b/>
          <w:bCs/>
          <w:color w:val="000000"/>
          <w:sz w:val="32"/>
          <w:szCs w:val="32"/>
          <w:lang w:val="zh-CN" w:eastAsia="zh-CN"/>
        </w:rPr>
        <w:t>民生保障。</w:t>
      </w:r>
      <w:r>
        <w:rPr>
          <w:rFonts w:hint="default" w:ascii="Times New Roman" w:hAnsi="Times New Roman" w:eastAsia="仿宋_GB2312" w:cs="Times New Roman"/>
          <w:color w:val="000000"/>
          <w:sz w:val="32"/>
          <w:szCs w:val="32"/>
          <w:lang w:eastAsia="zh-CN"/>
        </w:rPr>
        <w:t>计划申报和实际拨付情况相符，切实有效。必要性和可行性分析：依据村实际情况选取实施，符合村上发展需求，解决了环境脏乱差、农田小水利设施和村庄道路维修、文化基础设施没有充分发挥作用等问题，加快公共服务基础设施建设，改善生产生活条件，保证基础设施持续有效发挥服务功能</w:t>
      </w:r>
    </w:p>
    <w:p w14:paraId="08592372">
      <w:pPr>
        <w:keepNext w:val="0"/>
        <w:keepLines w:val="0"/>
        <w:pageBreakBefore w:val="0"/>
        <w:widowControl w:val="0"/>
        <w:suppressAutoHyphens/>
        <w:kinsoku/>
        <w:wordWrap/>
        <w:overflowPunct/>
        <w:topLinePunct w:val="0"/>
        <w:autoSpaceDE/>
        <w:autoSpaceDN/>
        <w:bidi w:val="0"/>
        <w:adjustRightInd/>
        <w:snapToGrid/>
        <w:spacing w:line="576" w:lineRule="exact"/>
        <w:ind w:left="0" w:firstLine="64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sz w:val="32"/>
          <w:szCs w:val="32"/>
          <w:lang w:val="en-US" w:eastAsia="zh-CN"/>
        </w:rPr>
        <w:t>3.基础设施。</w:t>
      </w:r>
      <w:r>
        <w:rPr>
          <w:rFonts w:hint="default" w:ascii="Times New Roman" w:hAnsi="Times New Roman" w:eastAsia="仿宋_GB2312" w:cs="Times New Roman"/>
          <w:color w:val="000000"/>
          <w:sz w:val="32"/>
          <w:szCs w:val="32"/>
          <w:lang w:eastAsia="zh-CN"/>
        </w:rPr>
        <w:t>项目资金按时拨付，保障了村民的基本生活，农村公共服务设施运行维护项目的长效实施改善了群众的生产生活条件，提高了群众生活质量，完善农村基础设施功能，群众知晓率和覆盖率较高，满意度高。项目取得了较好的社会效益。</w:t>
      </w:r>
    </w:p>
    <w:p w14:paraId="3D697D26">
      <w:pPr>
        <w:keepNext w:val="0"/>
        <w:keepLines w:val="0"/>
        <w:pageBreakBefore w:val="0"/>
        <w:widowControl w:val="0"/>
        <w:suppressAutoHyphens/>
        <w:kinsoku/>
        <w:wordWrap/>
        <w:overflowPunct/>
        <w:topLinePunct w:val="0"/>
        <w:autoSpaceDE/>
        <w:autoSpaceDN/>
        <w:bidi w:val="0"/>
        <w:adjustRightInd/>
        <w:snapToGrid/>
        <w:spacing w:line="576" w:lineRule="exact"/>
        <w:ind w:left="0" w:firstLine="640"/>
        <w:textAlignment w:val="auto"/>
        <w:rPr>
          <w:rFonts w:hint="default" w:ascii="Times New Roman" w:hAnsi="Times New Roman" w:eastAsia="仿宋_GB2312" w:cs="Times New Roman"/>
          <w:color w:val="000000"/>
          <w:sz w:val="32"/>
          <w:szCs w:val="32"/>
          <w:lang w:val="zh-CN" w:eastAsia="zh-CN"/>
        </w:rPr>
      </w:pPr>
      <w:r>
        <w:rPr>
          <w:rFonts w:hint="default" w:ascii="Times New Roman" w:hAnsi="Times New Roman" w:eastAsia="仿宋_GB2312" w:cs="Times New Roman"/>
          <w:b/>
          <w:bCs/>
          <w:color w:val="000000"/>
          <w:sz w:val="32"/>
          <w:szCs w:val="32"/>
          <w:lang w:val="en-US" w:eastAsia="zh-CN"/>
        </w:rPr>
        <w:t>4.</w:t>
      </w:r>
      <w:r>
        <w:rPr>
          <w:rFonts w:hint="default" w:ascii="Times New Roman" w:hAnsi="Times New Roman" w:eastAsia="仿宋_GB2312" w:cs="Times New Roman"/>
          <w:b/>
          <w:bCs/>
          <w:color w:val="000000"/>
          <w:sz w:val="32"/>
          <w:szCs w:val="32"/>
          <w:lang w:val="zh-CN" w:eastAsia="zh-CN"/>
        </w:rPr>
        <w:t>行政运转。</w:t>
      </w:r>
      <w:r>
        <w:rPr>
          <w:rFonts w:hint="default" w:ascii="Times New Roman" w:hAnsi="Times New Roman" w:eastAsia="仿宋_GB2312" w:cs="Times New Roman"/>
          <w:color w:val="000000"/>
          <w:sz w:val="32"/>
          <w:szCs w:val="32"/>
          <w:lang w:val="zh-CN" w:eastAsia="zh-CN"/>
        </w:rPr>
        <w:t>资金开支范围为</w:t>
      </w:r>
      <w:r>
        <w:rPr>
          <w:rFonts w:hint="default" w:ascii="Times New Roman" w:hAnsi="Times New Roman" w:eastAsia="仿宋_GB2312" w:cs="Times New Roman"/>
          <w:color w:val="000000"/>
          <w:sz w:val="32"/>
          <w:szCs w:val="32"/>
          <w:lang w:val="en-US" w:eastAsia="zh-CN"/>
        </w:rPr>
        <w:t>平安村、碑子寺村、埃溪村、姑纳村、大尔边村</w:t>
      </w:r>
      <w:r>
        <w:rPr>
          <w:rFonts w:hint="default" w:ascii="Times New Roman" w:hAnsi="Times New Roman" w:eastAsia="仿宋_GB2312" w:cs="Times New Roman"/>
          <w:color w:val="000000"/>
          <w:sz w:val="32"/>
          <w:szCs w:val="32"/>
          <w:lang w:val="zh-CN" w:eastAsia="zh-CN"/>
        </w:rPr>
        <w:t>，2025年农村公共运行维护经费，支付依据合规合法，资金支付与预算相符。</w:t>
      </w:r>
    </w:p>
    <w:p w14:paraId="130686C6">
      <w:pPr>
        <w:keepNext w:val="0"/>
        <w:keepLines w:val="0"/>
        <w:pageBreakBefore w:val="0"/>
        <w:widowControl w:val="0"/>
        <w:suppressAutoHyphens/>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 w:cs="Times New Roman"/>
          <w:color w:val="000000"/>
          <w:sz w:val="32"/>
          <w:szCs w:val="32"/>
          <w:lang w:val="en-US" w:eastAsia="zh-CN"/>
        </w:rPr>
      </w:pPr>
      <w:r>
        <w:rPr>
          <w:rFonts w:hint="default" w:ascii="Times New Roman" w:hAnsi="Times New Roman" w:eastAsia="楷体_GB2312" w:cs="Times New Roman"/>
          <w:b/>
          <w:color w:val="000000"/>
          <w:sz w:val="32"/>
          <w:szCs w:val="32"/>
          <w:u w:val="none"/>
          <w:lang w:val="zh-CN"/>
        </w:rPr>
        <w:t>（三）</w:t>
      </w:r>
      <w:r>
        <w:rPr>
          <w:rFonts w:hint="default" w:ascii="Times New Roman" w:hAnsi="Times New Roman" w:eastAsia="楷体_GB2312" w:cs="Times New Roman"/>
          <w:b/>
          <w:color w:val="000000"/>
          <w:sz w:val="32"/>
          <w:szCs w:val="32"/>
          <w:u w:val="none"/>
          <w:lang w:val="en-US" w:eastAsia="zh-CN"/>
        </w:rPr>
        <w:t>个性指标</w:t>
      </w:r>
      <w:r>
        <w:rPr>
          <w:rFonts w:hint="default" w:ascii="Times New Roman" w:hAnsi="Times New Roman" w:eastAsia="楷体_GB2312" w:cs="Times New Roman"/>
          <w:b/>
          <w:bCs/>
          <w:color w:val="000000"/>
          <w:kern w:val="0"/>
          <w:sz w:val="32"/>
          <w:szCs w:val="32"/>
          <w:shd w:val="clear" w:fill="FFFFFF"/>
          <w:lang w:val="zh-CN"/>
        </w:rPr>
        <w:t>绩效分析。</w:t>
      </w:r>
      <w:r>
        <w:rPr>
          <w:rFonts w:hint="default" w:ascii="Times New Roman" w:hAnsi="Times New Roman" w:eastAsia="仿宋_GB2312" w:cs="Times New Roman"/>
          <w:color w:val="000000"/>
          <w:sz w:val="32"/>
          <w:szCs w:val="32"/>
          <w:lang w:val="zh-CN" w:eastAsia="zh-CN"/>
        </w:rPr>
        <w:t>根据项目个性自行设定部分指标，反映该项指标执行完成情况。</w:t>
      </w:r>
    </w:p>
    <w:p w14:paraId="41D9FA66">
      <w:pPr>
        <w:keepNext w:val="0"/>
        <w:keepLines w:val="0"/>
        <w:pageBreakBefore w:val="0"/>
        <w:widowControl/>
        <w:numPr>
          <w:ilvl w:val="0"/>
          <w:numId w:val="0"/>
        </w:numPr>
        <w:tabs>
          <w:tab w:val="left" w:pos="2160"/>
        </w:tabs>
        <w:kinsoku/>
        <w:wordWrap/>
        <w:overflowPunct/>
        <w:topLinePunct w:val="0"/>
        <w:autoSpaceDE/>
        <w:autoSpaceDN/>
        <w:bidi w:val="0"/>
        <w:adjustRightInd/>
        <w:spacing w:line="576" w:lineRule="exact"/>
        <w:ind w:left="0" w:firstLine="640"/>
        <w:jc w:val="left"/>
        <w:textAlignment w:val="auto"/>
        <w:rPr>
          <w:rFonts w:hint="default" w:ascii="Times New Roman" w:hAnsi="Times New Roman" w:eastAsia="黑体" w:cs="Times New Roman"/>
          <w:color w:val="000000"/>
          <w:kern w:val="0"/>
          <w:position w:val="3"/>
          <w:sz w:val="32"/>
          <w:szCs w:val="32"/>
          <w:highlight w:val="none"/>
          <w:u w:val="none"/>
          <w:lang w:val="en-US" w:eastAsia="en-US" w:bidi="ar-SA"/>
        </w:rPr>
      </w:pPr>
      <w:r>
        <w:rPr>
          <w:rFonts w:hint="default" w:ascii="Times New Roman" w:hAnsi="Times New Roman" w:eastAsia="黑体" w:cs="Times New Roman"/>
          <w:color w:val="000000"/>
          <w:kern w:val="0"/>
          <w:position w:val="3"/>
          <w:sz w:val="32"/>
          <w:szCs w:val="32"/>
          <w:u w:val="none"/>
          <w:lang w:val="en-US" w:eastAsia="zh-CN" w:bidi="ar-SA"/>
        </w:rPr>
        <w:t>四</w:t>
      </w:r>
      <w:r>
        <w:rPr>
          <w:rFonts w:hint="default" w:ascii="Times New Roman" w:hAnsi="Times New Roman" w:eastAsia="黑体" w:cs="Times New Roman"/>
          <w:color w:val="000000"/>
          <w:kern w:val="0"/>
          <w:position w:val="3"/>
          <w:sz w:val="32"/>
          <w:szCs w:val="32"/>
          <w:u w:val="none"/>
          <w:lang w:val="en-US" w:eastAsia="en-US" w:bidi="ar-SA"/>
        </w:rPr>
        <w:t>、评价结论</w:t>
      </w:r>
    </w:p>
    <w:p w14:paraId="00F04977">
      <w:pPr>
        <w:keepNext w:val="0"/>
        <w:keepLines w:val="0"/>
        <w:pageBreakBefore w:val="0"/>
        <w:widowControl/>
        <w:numPr>
          <w:ilvl w:val="0"/>
          <w:numId w:val="0"/>
        </w:numPr>
        <w:tabs>
          <w:tab w:val="left" w:pos="2160"/>
        </w:tabs>
        <w:kinsoku/>
        <w:wordWrap/>
        <w:overflowPunct/>
        <w:topLinePunct w:val="0"/>
        <w:autoSpaceDE/>
        <w:autoSpaceDN/>
        <w:bidi w:val="0"/>
        <w:adjustRightInd/>
        <w:spacing w:line="576" w:lineRule="exact"/>
        <w:ind w:left="0" w:firstLine="640"/>
        <w:jc w:val="left"/>
        <w:textAlignment w:val="auto"/>
        <w:rPr>
          <w:rFonts w:hint="default" w:ascii="Times New Roman" w:hAnsi="Times New Roman" w:eastAsia="仿宋_GB2312" w:cs="Times New Roman"/>
          <w:b w:val="0"/>
          <w:bCs w:val="0"/>
          <w:kern w:val="2"/>
          <w:position w:val="0"/>
          <w:sz w:val="32"/>
          <w:szCs w:val="32"/>
          <w:highlight w:val="none"/>
          <w:vertAlign w:val="baseline"/>
          <w:lang w:val="en-US" w:eastAsia="zh-CN" w:bidi="ar-SA"/>
        </w:rPr>
      </w:pPr>
      <w:r>
        <w:rPr>
          <w:rFonts w:hint="default" w:ascii="Times New Roman" w:hAnsi="Times New Roman" w:eastAsia="仿宋_GB2312" w:cs="Times New Roman"/>
          <w:b w:val="0"/>
          <w:bCs w:val="0"/>
          <w:kern w:val="0"/>
          <w:position w:val="0"/>
          <w:sz w:val="32"/>
          <w:szCs w:val="32"/>
          <w:vertAlign w:val="baseline"/>
          <w:lang w:val="en-US" w:eastAsia="zh-CN" w:bidi="ar-SA"/>
        </w:rPr>
        <w:t>资金开支范围为小姓5个村农村公共运行维护经费，支付依据合规合法，资金支付与预算相符。项目资金按时拨付，保障了村民的基本生活，农村公共服务设施运行维护项目的长效实施改善了群众的生产生活条件，提高了群众生活质量，完善农村基础设施功能，群众知晓率和覆盖率较高，满意度高。项目取得了较好的社会效益。</w:t>
      </w:r>
    </w:p>
    <w:p w14:paraId="1723F591">
      <w:pPr>
        <w:keepNext w:val="0"/>
        <w:keepLines w:val="0"/>
        <w:pageBreakBefore w:val="0"/>
        <w:widowControl/>
        <w:numPr>
          <w:ilvl w:val="0"/>
          <w:numId w:val="0"/>
        </w:numPr>
        <w:tabs>
          <w:tab w:val="left" w:pos="2160"/>
        </w:tabs>
        <w:kinsoku/>
        <w:wordWrap/>
        <w:overflowPunct/>
        <w:topLinePunct w:val="0"/>
        <w:autoSpaceDE/>
        <w:autoSpaceDN/>
        <w:bidi w:val="0"/>
        <w:adjustRightInd/>
        <w:spacing w:line="576" w:lineRule="exact"/>
        <w:ind w:left="0" w:firstLine="640"/>
        <w:jc w:val="left"/>
        <w:textAlignment w:val="auto"/>
        <w:rPr>
          <w:rFonts w:hint="default" w:ascii="Times New Roman" w:hAnsi="Times New Roman" w:eastAsia="黑体" w:cs="Times New Roman"/>
          <w:color w:val="000000"/>
          <w:kern w:val="0"/>
          <w:position w:val="3"/>
          <w:sz w:val="32"/>
          <w:szCs w:val="32"/>
          <w:highlight w:val="none"/>
          <w:u w:val="none"/>
          <w:lang w:val="en-US" w:eastAsia="zh-CN" w:bidi="ar-SA"/>
        </w:rPr>
      </w:pPr>
      <w:r>
        <w:rPr>
          <w:rFonts w:hint="default" w:ascii="Times New Roman" w:hAnsi="Times New Roman" w:eastAsia="黑体" w:cs="Times New Roman"/>
          <w:color w:val="000000"/>
          <w:kern w:val="0"/>
          <w:position w:val="3"/>
          <w:sz w:val="32"/>
          <w:szCs w:val="32"/>
          <w:u w:val="none"/>
          <w:lang w:val="en-US" w:eastAsia="zh-CN" w:bidi="ar-SA"/>
        </w:rPr>
        <w:t>五、存在主要问题</w:t>
      </w:r>
    </w:p>
    <w:p w14:paraId="045604B0">
      <w:pPr>
        <w:keepNext w:val="0"/>
        <w:keepLines w:val="0"/>
        <w:pageBreakBefore w:val="0"/>
        <w:widowControl/>
        <w:numPr>
          <w:ilvl w:val="0"/>
          <w:numId w:val="0"/>
        </w:numPr>
        <w:tabs>
          <w:tab w:val="left" w:pos="2160"/>
        </w:tabs>
        <w:kinsoku/>
        <w:wordWrap/>
        <w:overflowPunct/>
        <w:topLinePunct w:val="0"/>
        <w:autoSpaceDE/>
        <w:autoSpaceDN/>
        <w:bidi w:val="0"/>
        <w:adjustRightInd/>
        <w:spacing w:line="576" w:lineRule="exact"/>
        <w:ind w:left="0" w:firstLine="640"/>
        <w:jc w:val="left"/>
        <w:textAlignment w:val="auto"/>
        <w:rPr>
          <w:rFonts w:hint="default" w:ascii="Times New Roman" w:hAnsi="Times New Roman" w:eastAsia="仿宋_GB2312" w:cs="Times New Roman"/>
          <w:b w:val="0"/>
          <w:bCs w:val="0"/>
          <w:kern w:val="2"/>
          <w:position w:val="0"/>
          <w:sz w:val="32"/>
          <w:szCs w:val="32"/>
          <w:highlight w:val="none"/>
          <w:vertAlign w:val="baseline"/>
          <w:lang w:val="en-US" w:eastAsia="zh-CN" w:bidi="ar-SA"/>
        </w:rPr>
      </w:pPr>
      <w:r>
        <w:rPr>
          <w:rFonts w:hint="default" w:ascii="Times New Roman" w:hAnsi="Times New Roman" w:eastAsia="仿宋_GB2312" w:cs="Times New Roman"/>
          <w:b w:val="0"/>
          <w:bCs w:val="0"/>
          <w:kern w:val="0"/>
          <w:position w:val="0"/>
          <w:sz w:val="32"/>
          <w:szCs w:val="32"/>
          <w:vertAlign w:val="baseline"/>
          <w:lang w:val="en-US" w:eastAsia="zh-CN" w:bidi="ar-SA"/>
        </w:rPr>
        <w:t>无。</w:t>
      </w:r>
    </w:p>
    <w:p w14:paraId="73416392">
      <w:pPr>
        <w:keepNext w:val="0"/>
        <w:keepLines w:val="0"/>
        <w:pageBreakBefore w:val="0"/>
        <w:widowControl/>
        <w:numPr>
          <w:ilvl w:val="0"/>
          <w:numId w:val="0"/>
        </w:numPr>
        <w:tabs>
          <w:tab w:val="left" w:pos="2160"/>
        </w:tabs>
        <w:kinsoku/>
        <w:wordWrap/>
        <w:overflowPunct/>
        <w:topLinePunct w:val="0"/>
        <w:autoSpaceDE/>
        <w:autoSpaceDN/>
        <w:bidi w:val="0"/>
        <w:adjustRightInd/>
        <w:spacing w:line="576" w:lineRule="exact"/>
        <w:ind w:left="0" w:firstLine="640"/>
        <w:jc w:val="left"/>
        <w:textAlignment w:val="auto"/>
        <w:rPr>
          <w:rFonts w:hint="default" w:ascii="Times New Roman" w:hAnsi="Times New Roman" w:eastAsia="黑体" w:cs="Times New Roman"/>
          <w:color w:val="000000"/>
          <w:kern w:val="0"/>
          <w:position w:val="3"/>
          <w:sz w:val="32"/>
          <w:szCs w:val="32"/>
          <w:highlight w:val="none"/>
          <w:u w:val="none"/>
          <w:lang w:val="zh-CN" w:eastAsia="zh-CN" w:bidi="ar-SA"/>
        </w:rPr>
      </w:pPr>
      <w:r>
        <w:rPr>
          <w:rFonts w:hint="default" w:ascii="Times New Roman" w:hAnsi="Times New Roman" w:eastAsia="黑体" w:cs="Times New Roman"/>
          <w:color w:val="000000"/>
          <w:kern w:val="0"/>
          <w:position w:val="3"/>
          <w:sz w:val="32"/>
          <w:szCs w:val="32"/>
          <w:u w:val="none"/>
          <w:lang w:val="zh-CN" w:eastAsia="zh-CN" w:bidi="ar-SA"/>
        </w:rPr>
        <w:t>六、改进建议</w:t>
      </w:r>
    </w:p>
    <w:p w14:paraId="423B18CD">
      <w:pPr>
        <w:pStyle w:val="7"/>
        <w:keepNext w:val="0"/>
        <w:keepLines w:val="0"/>
        <w:pageBreakBefore w:val="0"/>
        <w:numPr>
          <w:ilvl w:val="0"/>
          <w:numId w:val="0"/>
        </w:numPr>
        <w:tabs>
          <w:tab w:val="left" w:pos="2160"/>
        </w:tabs>
        <w:kinsoku/>
        <w:wordWrap/>
        <w:overflowPunct/>
        <w:topLinePunct w:val="0"/>
        <w:autoSpaceDE/>
        <w:autoSpaceDN/>
        <w:bidi w:val="0"/>
        <w:adjustRightInd/>
        <w:spacing w:line="576" w:lineRule="exact"/>
        <w:ind w:left="0" w:firstLine="640"/>
        <w:textAlignment w:val="auto"/>
        <w:rPr>
          <w:rFonts w:hint="default" w:ascii="Times New Roman" w:hAnsi="Times New Roman" w:eastAsia="仿宋" w:cs="Times New Roman"/>
          <w:b/>
          <w:bCs w:val="0"/>
          <w:color w:val="FF0000"/>
          <w:sz w:val="32"/>
          <w:szCs w:val="32"/>
          <w:highlight w:val="none"/>
        </w:rPr>
      </w:pPr>
      <w:r>
        <w:rPr>
          <w:rFonts w:hint="default" w:ascii="Times New Roman" w:hAnsi="Times New Roman" w:eastAsia="仿宋" w:cs="Times New Roman"/>
          <w:color w:val="000000"/>
          <w:kern w:val="0"/>
          <w:sz w:val="32"/>
          <w:szCs w:val="32"/>
          <w:u w:val="none"/>
          <w:shd w:val="clear" w:fill="FFFFFF"/>
          <w:lang w:val="zh-CN" w:eastAsia="zh-CN"/>
        </w:rPr>
        <w:t xml:space="preserve"> </w:t>
      </w:r>
      <w:r>
        <w:rPr>
          <w:rFonts w:hint="default" w:ascii="Times New Roman" w:hAnsi="Times New Roman" w:eastAsia="仿宋" w:cs="Times New Roman"/>
          <w:b w:val="0"/>
          <w:bCs w:val="0"/>
          <w:kern w:val="0"/>
          <w:position w:val="0"/>
          <w:sz w:val="32"/>
          <w:szCs w:val="32"/>
          <w:vertAlign w:val="baseline"/>
          <w:lang w:val="en-US" w:eastAsia="zh-CN" w:bidi="ar-SA"/>
        </w:rPr>
        <w:t xml:space="preserve">  </w:t>
      </w:r>
      <w:r>
        <w:rPr>
          <w:rFonts w:hint="default" w:ascii="Times New Roman" w:hAnsi="Times New Roman" w:eastAsia="仿宋_GB2312" w:cs="Times New Roman"/>
          <w:b w:val="0"/>
          <w:bCs w:val="0"/>
          <w:kern w:val="0"/>
          <w:position w:val="0"/>
          <w:sz w:val="32"/>
          <w:szCs w:val="32"/>
          <w:vertAlign w:val="baseline"/>
          <w:lang w:val="en-US" w:eastAsia="zh-CN" w:bidi="ar-SA"/>
        </w:rPr>
        <w:t>无。</w:t>
      </w:r>
      <w:r>
        <w:rPr>
          <w:rFonts w:hint="default" w:ascii="Times New Roman" w:hAnsi="Times New Roman" w:eastAsia="仿宋_GB2312" w:cs="Times New Roman"/>
          <w:color w:val="FF0000"/>
          <w:sz w:val="32"/>
          <w:szCs w:val="32"/>
          <w:lang w:val="en-US" w:eastAsia="zh-CN"/>
        </w:rPr>
        <w:t>（以上绩效自评报告，除涉密敏感内容外，原则上都应予以公开。）</w:t>
      </w:r>
    </w:p>
    <w:p w14:paraId="1C552A6C">
      <w:pPr>
        <w:autoSpaceDE w:val="0"/>
        <w:spacing w:line="600" w:lineRule="exact"/>
        <w:ind w:firstLine="643"/>
        <w:jc w:val="both"/>
        <w:rPr>
          <w:rFonts w:hint="default" w:ascii="Times New Roman" w:hAnsi="Times New Roman" w:eastAsia="仿宋" w:cs="Times New Roman"/>
          <w:b/>
          <w:bCs w:val="0"/>
          <w:color w:val="000000"/>
          <w:sz w:val="32"/>
          <w:szCs w:val="32"/>
          <w:highlight w:val="none"/>
        </w:rPr>
      </w:pPr>
    </w:p>
    <w:p w14:paraId="78E11878">
      <w:pPr>
        <w:spacing w:line="580" w:lineRule="exact"/>
        <w:rPr>
          <w:rStyle w:val="21"/>
          <w:rFonts w:hint="default" w:ascii="Times New Roman" w:hAnsi="Times New Roman" w:eastAsia="黑体" w:cs="Times New Roman"/>
          <w:b w:val="0"/>
          <w:color w:val="000000"/>
          <w:sz w:val="44"/>
          <w:szCs w:val="44"/>
          <w:highlight w:val="none"/>
        </w:rPr>
      </w:pPr>
      <w:r>
        <w:rPr>
          <w:rFonts w:hint="default" w:ascii="Times New Roman" w:hAnsi="Times New Roman" w:cs="Times New Roman"/>
        </w:rPr>
        <w:br w:type="page"/>
      </w:r>
    </w:p>
    <w:p w14:paraId="3C0FD05F">
      <w:pPr>
        <w:widowControl/>
        <w:jc w:val="center"/>
        <w:rPr>
          <w:rFonts w:hint="default" w:ascii="Times New Roman" w:hAnsi="Times New Roman" w:eastAsia="仿宋" w:cs="Times New Roman"/>
          <w:b w:val="0"/>
          <w:color w:val="000000"/>
          <w:sz w:val="44"/>
          <w:szCs w:val="44"/>
          <w:highlight w:val="none"/>
        </w:rPr>
      </w:pPr>
      <w:r>
        <w:rPr>
          <w:rFonts w:hint="default" w:ascii="Times New Roman" w:hAnsi="Times New Roman" w:eastAsia="黑体" w:cs="Times New Roman"/>
          <w:color w:val="000000"/>
          <w:sz w:val="44"/>
          <w:szCs w:val="44"/>
        </w:rPr>
        <w:t>第</w:t>
      </w:r>
      <w:r>
        <w:rPr>
          <w:rStyle w:val="21"/>
          <w:rFonts w:hint="default" w:ascii="Times New Roman" w:hAnsi="Times New Roman" w:eastAsia="黑体" w:cs="Times New Roman"/>
          <w:b w:val="0"/>
          <w:color w:val="000000"/>
          <w:sz w:val="44"/>
          <w:szCs w:val="44"/>
        </w:rPr>
        <w:t>五部分 附表</w:t>
      </w:r>
    </w:p>
    <w:p w14:paraId="332A2035">
      <w:pPr>
        <w:pStyle w:val="5"/>
        <w:keepNext/>
        <w:keepLines/>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000000"/>
          <w:highlight w:val="none"/>
        </w:rPr>
      </w:pPr>
      <w:r>
        <w:rPr>
          <w:rFonts w:hint="default" w:ascii="Times New Roman" w:hAnsi="Times New Roman" w:eastAsia="黑体" w:cs="Times New Roman"/>
          <w:b w:val="0"/>
          <w:color w:val="000000"/>
        </w:rPr>
        <w:t>一、收</w:t>
      </w:r>
      <w:r>
        <w:rPr>
          <w:rStyle w:val="22"/>
          <w:rFonts w:hint="default" w:ascii="Times New Roman" w:hAnsi="Times New Roman" w:eastAsia="黑体" w:cs="Times New Roman"/>
          <w:b w:val="0"/>
          <w:bCs w:val="0"/>
          <w:color w:val="000000"/>
        </w:rPr>
        <w:t>入支出决算总表</w:t>
      </w:r>
    </w:p>
    <w:p w14:paraId="3171F0DB">
      <w:pPr>
        <w:pStyle w:val="5"/>
        <w:keepNext/>
        <w:keepLines/>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000000"/>
          <w:highlight w:val="none"/>
        </w:rPr>
      </w:pPr>
      <w:r>
        <w:rPr>
          <w:rFonts w:hint="default" w:ascii="Times New Roman" w:hAnsi="Times New Roman" w:eastAsia="黑体" w:cs="Times New Roman"/>
          <w:b w:val="0"/>
          <w:color w:val="000000"/>
        </w:rPr>
        <w:t>二、收</w:t>
      </w:r>
      <w:r>
        <w:rPr>
          <w:rStyle w:val="22"/>
          <w:rFonts w:hint="default" w:ascii="Times New Roman" w:hAnsi="Times New Roman" w:eastAsia="黑体" w:cs="Times New Roman"/>
          <w:b w:val="0"/>
          <w:bCs w:val="0"/>
          <w:color w:val="000000"/>
        </w:rPr>
        <w:t>入决算表</w:t>
      </w:r>
    </w:p>
    <w:p w14:paraId="74A21652">
      <w:pPr>
        <w:pStyle w:val="5"/>
        <w:keepNext/>
        <w:keepLines/>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000000"/>
          <w:highlight w:val="none"/>
        </w:rPr>
      </w:pPr>
      <w:r>
        <w:rPr>
          <w:rStyle w:val="22"/>
          <w:rFonts w:hint="default" w:ascii="Times New Roman" w:hAnsi="Times New Roman" w:eastAsia="黑体" w:cs="Times New Roman"/>
          <w:b w:val="0"/>
          <w:bCs w:val="0"/>
          <w:color w:val="000000"/>
        </w:rPr>
        <w:t>三、</w:t>
      </w:r>
      <w:r>
        <w:rPr>
          <w:rFonts w:hint="default" w:ascii="Times New Roman" w:hAnsi="Times New Roman" w:eastAsia="黑体" w:cs="Times New Roman"/>
          <w:b w:val="0"/>
          <w:color w:val="000000"/>
        </w:rPr>
        <w:t>支</w:t>
      </w:r>
      <w:r>
        <w:rPr>
          <w:rStyle w:val="22"/>
          <w:rFonts w:hint="default" w:ascii="Times New Roman" w:hAnsi="Times New Roman" w:eastAsia="黑体" w:cs="Times New Roman"/>
          <w:b w:val="0"/>
          <w:bCs w:val="0"/>
          <w:color w:val="000000"/>
        </w:rPr>
        <w:t>出决算表</w:t>
      </w:r>
    </w:p>
    <w:p w14:paraId="14B3BC22">
      <w:pPr>
        <w:pStyle w:val="5"/>
        <w:keepNext/>
        <w:keepLines/>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val="0"/>
          <w:color w:val="000000"/>
          <w:highlight w:val="none"/>
        </w:rPr>
      </w:pPr>
      <w:r>
        <w:rPr>
          <w:rStyle w:val="22"/>
          <w:rFonts w:hint="default" w:ascii="Times New Roman" w:hAnsi="Times New Roman" w:eastAsia="黑体" w:cs="Times New Roman"/>
          <w:b w:val="0"/>
          <w:bCs w:val="0"/>
          <w:color w:val="000000"/>
        </w:rPr>
        <w:t>四、</w:t>
      </w:r>
      <w:r>
        <w:rPr>
          <w:rFonts w:hint="default" w:ascii="Times New Roman" w:hAnsi="Times New Roman" w:eastAsia="黑体" w:cs="Times New Roman"/>
          <w:b w:val="0"/>
          <w:color w:val="000000"/>
        </w:rPr>
        <w:t>财</w:t>
      </w:r>
      <w:r>
        <w:rPr>
          <w:rStyle w:val="22"/>
          <w:rFonts w:hint="default" w:ascii="Times New Roman" w:hAnsi="Times New Roman" w:eastAsia="黑体" w:cs="Times New Roman"/>
          <w:b w:val="0"/>
          <w:bCs w:val="0"/>
          <w:color w:val="000000"/>
        </w:rPr>
        <w:t>政拨款收入支出决算总表</w:t>
      </w:r>
    </w:p>
    <w:p w14:paraId="36C3A8DB">
      <w:pPr>
        <w:pStyle w:val="5"/>
        <w:keepNext/>
        <w:keepLines/>
        <w:pageBreakBefore w:val="0"/>
        <w:widowControl w:val="0"/>
        <w:kinsoku/>
        <w:wordWrap/>
        <w:overflowPunct/>
        <w:topLinePunct w:val="0"/>
        <w:autoSpaceDE/>
        <w:autoSpaceDN/>
        <w:bidi w:val="0"/>
        <w:adjustRightInd/>
        <w:snapToGrid/>
        <w:spacing w:line="560" w:lineRule="exact"/>
        <w:textAlignment w:val="auto"/>
        <w:rPr>
          <w:rStyle w:val="22"/>
          <w:rFonts w:hint="default" w:ascii="Times New Roman" w:hAnsi="Times New Roman" w:eastAsia="黑体" w:cs="Times New Roman"/>
          <w:b w:val="0"/>
          <w:bCs w:val="0"/>
          <w:color w:val="000000"/>
          <w:highlight w:val="none"/>
        </w:rPr>
      </w:pPr>
      <w:r>
        <w:rPr>
          <w:rStyle w:val="22"/>
          <w:rFonts w:hint="default" w:ascii="Times New Roman" w:hAnsi="Times New Roman" w:eastAsia="黑体" w:cs="Times New Roman"/>
          <w:b w:val="0"/>
          <w:bCs w:val="0"/>
          <w:color w:val="000000"/>
        </w:rPr>
        <w:t>五、</w:t>
      </w:r>
      <w:r>
        <w:rPr>
          <w:rFonts w:hint="default" w:ascii="Times New Roman" w:hAnsi="Times New Roman" w:eastAsia="黑体" w:cs="Times New Roman"/>
          <w:b w:val="0"/>
          <w:color w:val="000000"/>
        </w:rPr>
        <w:t>财</w:t>
      </w:r>
      <w:r>
        <w:rPr>
          <w:rStyle w:val="22"/>
          <w:rFonts w:hint="default" w:ascii="Times New Roman" w:hAnsi="Times New Roman" w:eastAsia="黑体" w:cs="Times New Roman"/>
          <w:b w:val="0"/>
          <w:bCs w:val="0"/>
          <w:color w:val="000000"/>
        </w:rPr>
        <w:t>政拨款支出决算明细表</w:t>
      </w:r>
    </w:p>
    <w:p w14:paraId="596362D4">
      <w:pPr>
        <w:pStyle w:val="5"/>
        <w:keepNext/>
        <w:keepLines/>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000000"/>
          <w:highlight w:val="none"/>
        </w:rPr>
      </w:pPr>
      <w:r>
        <w:rPr>
          <w:rStyle w:val="22"/>
          <w:rFonts w:hint="default" w:ascii="Times New Roman" w:hAnsi="Times New Roman" w:eastAsia="黑体" w:cs="Times New Roman"/>
          <w:b w:val="0"/>
          <w:bCs w:val="0"/>
          <w:color w:val="000000"/>
        </w:rPr>
        <w:t>六、</w:t>
      </w:r>
      <w:r>
        <w:rPr>
          <w:rFonts w:hint="default" w:ascii="Times New Roman" w:hAnsi="Times New Roman" w:eastAsia="黑体" w:cs="Times New Roman"/>
          <w:b w:val="0"/>
          <w:color w:val="000000"/>
        </w:rPr>
        <w:t>一</w:t>
      </w:r>
      <w:r>
        <w:rPr>
          <w:rStyle w:val="22"/>
          <w:rFonts w:hint="default" w:ascii="Times New Roman" w:hAnsi="Times New Roman" w:eastAsia="黑体" w:cs="Times New Roman"/>
          <w:b w:val="0"/>
          <w:bCs w:val="0"/>
          <w:color w:val="000000"/>
        </w:rPr>
        <w:t>般公共预算财政拨款支出决算表</w:t>
      </w:r>
    </w:p>
    <w:p w14:paraId="70EF428C">
      <w:pPr>
        <w:pStyle w:val="5"/>
        <w:keepNext/>
        <w:keepLines/>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000000"/>
          <w:highlight w:val="none"/>
        </w:rPr>
      </w:pPr>
      <w:r>
        <w:rPr>
          <w:rStyle w:val="22"/>
          <w:rFonts w:hint="default" w:ascii="Times New Roman" w:hAnsi="Times New Roman" w:eastAsia="黑体" w:cs="Times New Roman"/>
          <w:b w:val="0"/>
          <w:bCs w:val="0"/>
          <w:color w:val="000000"/>
        </w:rPr>
        <w:t>七、</w:t>
      </w:r>
      <w:r>
        <w:rPr>
          <w:rFonts w:hint="default" w:ascii="Times New Roman" w:hAnsi="Times New Roman" w:eastAsia="黑体" w:cs="Times New Roman"/>
          <w:b w:val="0"/>
          <w:color w:val="000000"/>
        </w:rPr>
        <w:t>一</w:t>
      </w:r>
      <w:r>
        <w:rPr>
          <w:rStyle w:val="22"/>
          <w:rFonts w:hint="default" w:ascii="Times New Roman" w:hAnsi="Times New Roman" w:eastAsia="黑体" w:cs="Times New Roman"/>
          <w:b w:val="0"/>
          <w:bCs w:val="0"/>
          <w:color w:val="000000"/>
        </w:rPr>
        <w:t>般公共预算财政拨款支出决算明细表</w:t>
      </w:r>
    </w:p>
    <w:p w14:paraId="494E4867">
      <w:pPr>
        <w:pStyle w:val="5"/>
        <w:keepNext/>
        <w:keepLines/>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000000"/>
          <w:highlight w:val="none"/>
        </w:rPr>
      </w:pPr>
      <w:r>
        <w:rPr>
          <w:rStyle w:val="22"/>
          <w:rFonts w:hint="default" w:ascii="Times New Roman" w:hAnsi="Times New Roman" w:eastAsia="黑体" w:cs="Times New Roman"/>
          <w:b w:val="0"/>
          <w:bCs w:val="0"/>
          <w:color w:val="000000"/>
        </w:rPr>
        <w:t>八、</w:t>
      </w:r>
      <w:r>
        <w:rPr>
          <w:rFonts w:hint="default" w:ascii="Times New Roman" w:hAnsi="Times New Roman" w:eastAsia="黑体" w:cs="Times New Roman"/>
          <w:b w:val="0"/>
          <w:color w:val="000000"/>
        </w:rPr>
        <w:t>一</w:t>
      </w:r>
      <w:r>
        <w:rPr>
          <w:rStyle w:val="22"/>
          <w:rFonts w:hint="default" w:ascii="Times New Roman" w:hAnsi="Times New Roman" w:eastAsia="黑体" w:cs="Times New Roman"/>
          <w:b w:val="0"/>
          <w:bCs w:val="0"/>
          <w:color w:val="000000"/>
        </w:rPr>
        <w:t>般公共预算财政拨款基本支出决算表</w:t>
      </w:r>
    </w:p>
    <w:p w14:paraId="37D0F69C">
      <w:pPr>
        <w:pStyle w:val="5"/>
        <w:keepNext/>
        <w:keepLines/>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000000"/>
          <w:highlight w:val="none"/>
        </w:rPr>
      </w:pPr>
      <w:r>
        <w:rPr>
          <w:rStyle w:val="22"/>
          <w:rFonts w:hint="default" w:ascii="Times New Roman" w:hAnsi="Times New Roman" w:eastAsia="黑体" w:cs="Times New Roman"/>
          <w:b w:val="0"/>
          <w:bCs w:val="0"/>
          <w:color w:val="000000"/>
        </w:rPr>
        <w:t>九、</w:t>
      </w:r>
      <w:r>
        <w:rPr>
          <w:rFonts w:hint="default" w:ascii="Times New Roman" w:hAnsi="Times New Roman" w:eastAsia="黑体" w:cs="Times New Roman"/>
          <w:b w:val="0"/>
          <w:color w:val="000000"/>
        </w:rPr>
        <w:t>一</w:t>
      </w:r>
      <w:r>
        <w:rPr>
          <w:rStyle w:val="22"/>
          <w:rFonts w:hint="default" w:ascii="Times New Roman" w:hAnsi="Times New Roman" w:eastAsia="黑体" w:cs="Times New Roman"/>
          <w:b w:val="0"/>
          <w:bCs w:val="0"/>
          <w:color w:val="000000"/>
        </w:rPr>
        <w:t>般公共预算财政拨款项目支出决算表</w:t>
      </w:r>
    </w:p>
    <w:p w14:paraId="23100A8F">
      <w:pPr>
        <w:pStyle w:val="5"/>
        <w:keepNext/>
        <w:keepLines/>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000000"/>
          <w:highlight w:val="none"/>
        </w:rPr>
      </w:pPr>
      <w:r>
        <w:rPr>
          <w:rStyle w:val="22"/>
          <w:rFonts w:hint="default" w:ascii="Times New Roman" w:hAnsi="Times New Roman" w:eastAsia="黑体" w:cs="Times New Roman"/>
          <w:b w:val="0"/>
          <w:bCs w:val="0"/>
          <w:color w:val="000000"/>
        </w:rPr>
        <w:t>十、</w:t>
      </w:r>
      <w:r>
        <w:rPr>
          <w:rFonts w:hint="default" w:ascii="Times New Roman" w:hAnsi="Times New Roman" w:eastAsia="黑体" w:cs="Times New Roman"/>
          <w:b w:val="0"/>
          <w:color w:val="000000"/>
        </w:rPr>
        <w:t>政</w:t>
      </w:r>
      <w:r>
        <w:rPr>
          <w:rStyle w:val="22"/>
          <w:rFonts w:hint="default" w:ascii="Times New Roman" w:hAnsi="Times New Roman" w:eastAsia="黑体" w:cs="Times New Roman"/>
          <w:b w:val="0"/>
          <w:bCs w:val="0"/>
          <w:color w:val="000000"/>
        </w:rPr>
        <w:t>府性基金预算财政拨款收入支出决算表</w:t>
      </w:r>
    </w:p>
    <w:p w14:paraId="646C3D60">
      <w:pPr>
        <w:pStyle w:val="5"/>
        <w:keepNext/>
        <w:keepLines/>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000000"/>
          <w:highlight w:val="none"/>
        </w:rPr>
      </w:pPr>
      <w:r>
        <w:rPr>
          <w:rStyle w:val="22"/>
          <w:rFonts w:hint="default" w:ascii="Times New Roman" w:hAnsi="Times New Roman" w:eastAsia="黑体" w:cs="Times New Roman"/>
          <w:b w:val="0"/>
          <w:bCs w:val="0"/>
          <w:color w:val="000000"/>
        </w:rPr>
        <w:t>十一、</w:t>
      </w:r>
      <w:r>
        <w:rPr>
          <w:rFonts w:hint="default" w:ascii="Times New Roman" w:hAnsi="Times New Roman" w:eastAsia="黑体" w:cs="Times New Roman"/>
          <w:b w:val="0"/>
          <w:color w:val="000000"/>
        </w:rPr>
        <w:t>国</w:t>
      </w:r>
      <w:r>
        <w:rPr>
          <w:rStyle w:val="22"/>
          <w:rFonts w:hint="default" w:ascii="Times New Roman" w:hAnsi="Times New Roman" w:eastAsia="黑体" w:cs="Times New Roman"/>
          <w:b w:val="0"/>
          <w:bCs w:val="0"/>
          <w:color w:val="000000"/>
        </w:rPr>
        <w:t>有资本经营预算</w:t>
      </w:r>
      <w:r>
        <w:rPr>
          <w:rStyle w:val="22"/>
          <w:rFonts w:hint="default" w:ascii="Times New Roman" w:hAnsi="Times New Roman" w:eastAsia="黑体" w:cs="Times New Roman"/>
          <w:b w:val="0"/>
          <w:bCs w:val="0"/>
          <w:color w:val="000000"/>
          <w:lang w:eastAsia="zh-CN"/>
        </w:rPr>
        <w:t>财政拨款收入</w:t>
      </w:r>
      <w:r>
        <w:rPr>
          <w:rStyle w:val="22"/>
          <w:rFonts w:hint="default" w:ascii="Times New Roman" w:hAnsi="Times New Roman" w:eastAsia="黑体" w:cs="Times New Roman"/>
          <w:b w:val="0"/>
          <w:bCs w:val="0"/>
          <w:color w:val="000000"/>
        </w:rPr>
        <w:t>支出决算表</w:t>
      </w:r>
    </w:p>
    <w:p w14:paraId="390A768A">
      <w:pPr>
        <w:pStyle w:val="5"/>
        <w:keepNext/>
        <w:keepLines/>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000000"/>
          <w:highlight w:val="none"/>
        </w:rPr>
      </w:pPr>
      <w:r>
        <w:rPr>
          <w:rStyle w:val="22"/>
          <w:rFonts w:hint="default" w:ascii="Times New Roman" w:hAnsi="Times New Roman" w:eastAsia="黑体" w:cs="Times New Roman"/>
          <w:b w:val="0"/>
          <w:bCs w:val="0"/>
          <w:color w:val="000000"/>
        </w:rPr>
        <w:t>十二、</w:t>
      </w:r>
      <w:r>
        <w:rPr>
          <w:rStyle w:val="22"/>
          <w:rFonts w:hint="default" w:ascii="Times New Roman" w:hAnsi="Times New Roman" w:eastAsia="黑体" w:cs="Times New Roman"/>
          <w:b w:val="0"/>
          <w:bCs w:val="0"/>
          <w:color w:val="000000"/>
          <w:lang w:eastAsia="zh-CN"/>
        </w:rPr>
        <w:t>国有资本经营预算财政拨款支出决算表</w:t>
      </w:r>
    </w:p>
    <w:p w14:paraId="03398636">
      <w:pPr>
        <w:pStyle w:val="5"/>
        <w:keepNext/>
        <w:keepLines/>
        <w:pageBreakBefore w:val="0"/>
        <w:widowControl w:val="0"/>
        <w:kinsoku/>
        <w:wordWrap/>
        <w:overflowPunct/>
        <w:topLinePunct w:val="0"/>
        <w:autoSpaceDE/>
        <w:autoSpaceDN/>
        <w:bidi w:val="0"/>
        <w:adjustRightInd/>
        <w:snapToGrid/>
        <w:spacing w:line="560" w:lineRule="exact"/>
        <w:textAlignment w:val="auto"/>
        <w:rPr>
          <w:rStyle w:val="22"/>
          <w:rFonts w:hint="default" w:ascii="Times New Roman" w:hAnsi="Times New Roman" w:eastAsia="黑体" w:cs="Times New Roman"/>
          <w:b w:val="0"/>
          <w:bCs w:val="0"/>
          <w:color w:val="000000"/>
          <w:highlight w:val="none"/>
          <w:lang w:eastAsia="zh-CN"/>
        </w:rPr>
      </w:pPr>
      <w:r>
        <w:rPr>
          <w:rStyle w:val="22"/>
          <w:rFonts w:hint="default" w:ascii="Times New Roman" w:hAnsi="Times New Roman" w:eastAsia="黑体" w:cs="Times New Roman"/>
          <w:b w:val="0"/>
          <w:bCs w:val="0"/>
          <w:color w:val="000000"/>
        </w:rPr>
        <w:t>十三、</w:t>
      </w:r>
      <w:r>
        <w:rPr>
          <w:rStyle w:val="22"/>
          <w:rFonts w:hint="default" w:ascii="Times New Roman" w:hAnsi="Times New Roman" w:eastAsia="黑体" w:cs="Times New Roman"/>
          <w:b w:val="0"/>
          <w:bCs w:val="0"/>
          <w:color w:val="000000"/>
          <w:lang w:eastAsia="zh-CN"/>
        </w:rPr>
        <w:t>财政拨款</w:t>
      </w:r>
      <w:r>
        <w:rPr>
          <w:rStyle w:val="22"/>
          <w:rFonts w:hint="eastAsia" w:ascii="Times New Roman" w:hAnsi="Times New Roman" w:eastAsia="黑体" w:cs="Times New Roman"/>
          <w:b w:val="0"/>
          <w:bCs w:val="0"/>
          <w:color w:val="000000"/>
          <w:lang w:eastAsia="zh-CN"/>
        </w:rPr>
        <w:t>“</w:t>
      </w:r>
      <w:r>
        <w:rPr>
          <w:rStyle w:val="22"/>
          <w:rFonts w:hint="default" w:ascii="Times New Roman" w:hAnsi="Times New Roman" w:eastAsia="黑体" w:cs="Times New Roman"/>
          <w:b w:val="0"/>
          <w:bCs w:val="0"/>
          <w:color w:val="000000"/>
          <w:lang w:eastAsia="zh-CN"/>
        </w:rPr>
        <w:t>三公</w:t>
      </w:r>
      <w:r>
        <w:rPr>
          <w:rStyle w:val="22"/>
          <w:rFonts w:hint="eastAsia" w:ascii="Times New Roman" w:hAnsi="Times New Roman" w:eastAsia="黑体" w:cs="Times New Roman"/>
          <w:b w:val="0"/>
          <w:bCs w:val="0"/>
          <w:color w:val="000000"/>
          <w:lang w:eastAsia="zh-CN"/>
        </w:rPr>
        <w:t>”</w:t>
      </w:r>
      <w:r>
        <w:rPr>
          <w:rStyle w:val="22"/>
          <w:rFonts w:hint="default" w:ascii="Times New Roman" w:hAnsi="Times New Roman" w:eastAsia="黑体" w:cs="Times New Roman"/>
          <w:b w:val="0"/>
          <w:bCs w:val="0"/>
          <w:color w:val="000000"/>
          <w:lang w:eastAsia="zh-CN"/>
        </w:rPr>
        <w:t>经费支出决算表</w:t>
      </w:r>
    </w:p>
    <w:p w14:paraId="75BBD318">
      <w:pPr>
        <w:rPr>
          <w:rStyle w:val="22"/>
          <w:rFonts w:hint="default" w:ascii="Times New Roman" w:hAnsi="Times New Roman" w:eastAsia="仿宋" w:cs="Times New Roman"/>
          <w:b w:val="0"/>
          <w:bCs w:val="0"/>
          <w:color w:val="000000"/>
          <w:highlight w:val="none"/>
          <w:lang w:eastAsia="zh-CN"/>
        </w:rPr>
      </w:pPr>
    </w:p>
    <w:sectPr>
      <w:pgSz w:w="11906" w:h="16838"/>
      <w:pgMar w:top="1440" w:right="1800" w:bottom="1440" w:left="1800" w:header="0" w:footer="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7CA0BE-F2E3-4830-9392-BAA5112DA65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Liberation Serif">
    <w:altName w:val="Times New Roman"/>
    <w:panose1 w:val="00000000000000000000"/>
    <w:charset w:val="01"/>
    <w:family w:val="roman"/>
    <w:pitch w:val="default"/>
    <w:sig w:usb0="00000000" w:usb1="00000000" w:usb2="00000000" w:usb3="00000000" w:csb0="00000000" w:csb1="00000000"/>
  </w:font>
  <w:font w:name="Noto Serif CJK SC">
    <w:altName w:val="宋体"/>
    <w:panose1 w:val="00000000000000000000"/>
    <w:charset w:val="86"/>
    <w:family w:val="auto"/>
    <w:pitch w:val="default"/>
    <w:sig w:usb0="00000000" w:usb1="00000000" w:usb2="00000000" w:usb3="00000000" w:csb0="00000000" w:csb1="00000000"/>
    <w:embedRegular r:id="rId2" w:fontKey="{E0242A1E-CAA7-4DF5-AC7D-CF0B740D52ED}"/>
  </w:font>
  <w:font w:name="Calibri;Segoe UI">
    <w:altName w:val="FFont-Family"/>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CEABC035-6AD8-4071-8016-93931F6793A8}"/>
  </w:font>
  <w:font w:name="Liberation Sans;微软雅黑">
    <w:altName w:val="黑体"/>
    <w:panose1 w:val="00000000000000000000"/>
    <w:charset w:val="00"/>
    <w:family w:val="auto"/>
    <w:pitch w:val="default"/>
    <w:sig w:usb0="00000000" w:usb1="00000000" w:usb2="00000000" w:usb3="00000000" w:csb0="00000000" w:csb1="00000000"/>
  </w:font>
  <w:font w:name="Noto Sans CJK SC Regular;宋体">
    <w:altName w:val="宋体"/>
    <w:panose1 w:val="00000000000000000000"/>
    <w:charset w:val="00"/>
    <w:family w:val="auto"/>
    <w:pitch w:val="default"/>
    <w:sig w:usb0="00000000" w:usb1="00000000" w:usb2="00000000" w:usb3="00000000" w:csb0="00000000" w:csb1="00000000"/>
  </w:font>
  <w:font w:name="??;Times New Roman">
    <w:altName w:val="FFont-Family"/>
    <w:panose1 w:val="00000000000000000000"/>
    <w:charset w:val="00"/>
    <w:family w:val="auto"/>
    <w:pitch w:val="default"/>
    <w:sig w:usb0="00000000" w:usb1="00000000" w:usb2="00000000" w:usb3="00000000" w:csb0="00000000" w:csb1="00000000"/>
  </w:font>
  <w:font w:name="方正小标宋简体">
    <w:panose1 w:val="02010600010101010101"/>
    <w:charset w:val="86"/>
    <w:family w:val="script"/>
    <w:pitch w:val="default"/>
    <w:sig w:usb0="00000001" w:usb1="080E0000" w:usb2="00000000" w:usb3="00000000" w:csb0="00040000" w:csb1="00000000"/>
    <w:embedRegular r:id="rId4" w:fontKey="{871F0E3C-8253-49B5-9103-09F7AC293D65}"/>
  </w:font>
  <w:font w:name="楷体_GB2312">
    <w:panose1 w:val="02010609030101010101"/>
    <w:charset w:val="86"/>
    <w:family w:val="auto"/>
    <w:pitch w:val="default"/>
    <w:sig w:usb0="00000001" w:usb1="080E0000" w:usb2="00000000" w:usb3="00000000" w:csb0="00040000" w:csb1="00000000"/>
    <w:embedRegular r:id="rId5" w:fontKey="{23E0A5CB-FAD6-4F38-AB22-9B8633D48CE0}"/>
  </w:font>
  <w:font w:name="方正仿宋">
    <w:altName w:val="仿宋"/>
    <w:panose1 w:val="00000000000000000000"/>
    <w:charset w:val="86"/>
    <w:family w:val="auto"/>
    <w:pitch w:val="default"/>
    <w:sig w:usb0="00000000" w:usb1="00000000" w:usb2="00000000" w:usb3="00000000" w:csb0="00000000" w:csb1="00000000"/>
    <w:embedRegular r:id="rId6" w:fontKey="{C7A413B7-F2EF-4680-80FD-A5F8AA4AC71C}"/>
  </w:font>
  <w:font w:name="楷体">
    <w:panose1 w:val="02010609060101010101"/>
    <w:charset w:val="86"/>
    <w:family w:val="auto"/>
    <w:pitch w:val="default"/>
    <w:sig w:usb0="800002BF" w:usb1="38CF7CFA" w:usb2="00000016" w:usb3="00000000" w:csb0="00040001" w:csb1="00000000"/>
    <w:embedRegular r:id="rId7" w:fontKey="{9B247888-C69D-4449-BD90-BDF0F0C20E1C}"/>
  </w:font>
  <w:font w:name="仿宋_GB2312">
    <w:panose1 w:val="02010609030101010101"/>
    <w:charset w:val="86"/>
    <w:family w:val="auto"/>
    <w:pitch w:val="default"/>
    <w:sig w:usb0="00000001" w:usb1="080E0000" w:usb2="00000000" w:usb3="00000000" w:csb0="00040000" w:csb1="00000000"/>
    <w:embedRegular r:id="rId8" w:fontKey="{F9169EB4-3804-4F2E-BDC7-562FC4075965}"/>
  </w:font>
  <w:font w:name="微软雅黑">
    <w:panose1 w:val="020B0503020204020204"/>
    <w:charset w:val="86"/>
    <w:family w:val="swiss"/>
    <w:pitch w:val="default"/>
    <w:sig w:usb0="80000287" w:usb1="2ACF3C50" w:usb2="00000016" w:usb3="00000000" w:csb0="0004001F" w:csb1="00000000"/>
    <w:embedRegular r:id="rId9" w:fontKey="{D12190A2-D8C8-4973-96B9-1773F20036B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4"/>
      <w:suff w:val="nothing"/>
      <w:lvlText w:val=""/>
      <w:lvlJc w:val="left"/>
      <w:pPr>
        <w:tabs>
          <w:tab w:val="left" w:pos="0"/>
        </w:tabs>
        <w:ind w:left="0" w:firstLine="0"/>
      </w:pPr>
    </w:lvl>
    <w:lvl w:ilvl="1" w:tentative="0">
      <w:start w:val="1"/>
      <w:numFmt w:val="none"/>
      <w:pStyle w:val="5"/>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documentProtection w:enforcement="0"/>
  <w:defaultTabStop w:val="420"/>
  <w:autoHyphenation/>
  <w:compat>
    <w:noLeading/>
    <w:doNotExpandShiftReturn/>
    <w:useFELayout/>
    <w:compatSetting w:name="compatibilityMode" w:uri="http://schemas.microsoft.com/office/word" w:val="14"/>
  </w:compat>
  <w:rsids>
    <w:rsidRoot w:val="00000000"/>
    <w:rsid w:val="0EF766E9"/>
    <w:rsid w:val="14F81A1E"/>
    <w:rsid w:val="152B0169"/>
    <w:rsid w:val="18756321"/>
    <w:rsid w:val="19F44B01"/>
    <w:rsid w:val="1FB06471"/>
    <w:rsid w:val="231219C6"/>
    <w:rsid w:val="24885273"/>
    <w:rsid w:val="2C921944"/>
    <w:rsid w:val="34E826F0"/>
    <w:rsid w:val="39433925"/>
    <w:rsid w:val="396C38E2"/>
    <w:rsid w:val="3E810EE1"/>
    <w:rsid w:val="3FE8118E"/>
    <w:rsid w:val="41CF31F1"/>
    <w:rsid w:val="4267647A"/>
    <w:rsid w:val="52326C6A"/>
    <w:rsid w:val="543842E0"/>
    <w:rsid w:val="5D172CE4"/>
    <w:rsid w:val="5DAB19B8"/>
    <w:rsid w:val="63BF7C32"/>
    <w:rsid w:val="68030A35"/>
    <w:rsid w:val="68233E92"/>
    <w:rsid w:val="68921DB9"/>
    <w:rsid w:val="693B4AF2"/>
    <w:rsid w:val="6E33344E"/>
    <w:rsid w:val="717F3EC1"/>
    <w:rsid w:val="74051691"/>
    <w:rsid w:val="79040E4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Segoe UI" w:hAnsi="Calibri;Segoe UI" w:eastAsia="宋体" w:cs="Times New Roman"/>
      <w:color w:val="000000"/>
      <w:kern w:val="2"/>
      <w:sz w:val="21"/>
      <w:szCs w:val="24"/>
      <w:lang w:val="en-US" w:eastAsia="zh-CN" w:bidi="ar-SA"/>
    </w:rPr>
  </w:style>
  <w:style w:type="paragraph" w:styleId="4">
    <w:name w:val="heading 1"/>
    <w:basedOn w:val="1"/>
    <w:next w:val="1"/>
    <w:qFormat/>
    <w:uiPriority w:val="0"/>
    <w:pPr>
      <w:keepNext/>
      <w:keepLines/>
      <w:numPr>
        <w:ilvl w:val="0"/>
        <w:numId w:val="1"/>
      </w:numPr>
      <w:spacing w:before="340" w:after="330" w:line="576" w:lineRule="auto"/>
      <w:outlineLvl w:val="0"/>
    </w:pPr>
    <w:rPr>
      <w:b/>
      <w:bCs/>
      <w:kern w:val="2"/>
      <w:sz w:val="44"/>
      <w:szCs w:val="44"/>
    </w:rPr>
  </w:style>
  <w:style w:type="paragraph" w:styleId="5">
    <w:name w:val="heading 2"/>
    <w:basedOn w:val="1"/>
    <w:next w:val="1"/>
    <w:qFormat/>
    <w:uiPriority w:val="0"/>
    <w:pPr>
      <w:keepNext/>
      <w:keepLines/>
      <w:numPr>
        <w:ilvl w:val="1"/>
        <w:numId w:val="1"/>
      </w:numPr>
      <w:spacing w:before="260" w:after="260" w:line="415" w:lineRule="auto"/>
      <w:outlineLvl w:val="1"/>
    </w:pPr>
    <w:rPr>
      <w:rFonts w:ascii="Cambria" w:hAnsi="Cambria" w:eastAsia="宋体" w:cs="Times New Roman"/>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before="0" w:after="120"/>
    </w:pPr>
    <w:rPr>
      <w:rFonts w:ascii="仿宋" w:hAnsi="仿宋"/>
      <w:szCs w:val="32"/>
    </w:rPr>
  </w:style>
  <w:style w:type="paragraph" w:styleId="6">
    <w:name w:val="caption"/>
    <w:basedOn w:val="1"/>
    <w:qFormat/>
    <w:uiPriority w:val="0"/>
    <w:pPr>
      <w:suppressLineNumbers/>
      <w:spacing w:before="120" w:after="120"/>
    </w:pPr>
    <w:rPr>
      <w:rFonts w:cs="Lohit Devanagari"/>
      <w:i/>
      <w:iCs/>
      <w:sz w:val="24"/>
      <w:szCs w:val="24"/>
    </w:rPr>
  </w:style>
  <w:style w:type="paragraph" w:styleId="7">
    <w:name w:val="Body Text"/>
    <w:basedOn w:val="1"/>
    <w:qFormat/>
    <w:uiPriority w:val="0"/>
    <w:pPr>
      <w:spacing w:before="0" w:after="140" w:line="276" w:lineRule="auto"/>
    </w:pPr>
  </w:style>
  <w:style w:type="paragraph" w:styleId="8">
    <w:name w:val="toc 1"/>
    <w:basedOn w:val="1"/>
    <w:next w:val="1"/>
    <w:qFormat/>
    <w:uiPriority w:val="0"/>
    <w:pPr>
      <w:tabs>
        <w:tab w:val="right" w:leader="dot" w:pos="8296"/>
      </w:tabs>
      <w:spacing w:before="93" w:after="0"/>
      <w:jc w:val="center"/>
    </w:pPr>
    <w:rPr>
      <w:rFonts w:ascii="仿宋" w:hAnsi="仿宋" w:eastAsia="仿宋" w:cs="仿宋"/>
      <w:sz w:val="28"/>
      <w:szCs w:val="28"/>
    </w:rPr>
  </w:style>
  <w:style w:type="paragraph" w:styleId="9">
    <w:name w:val="List"/>
    <w:basedOn w:val="7"/>
    <w:qFormat/>
    <w:uiPriority w:val="0"/>
  </w:style>
  <w:style w:type="paragraph" w:styleId="10">
    <w:name w:val="footnote text"/>
    <w:basedOn w:val="1"/>
    <w:next w:val="11"/>
    <w:qFormat/>
    <w:uiPriority w:val="0"/>
    <w:pPr>
      <w:snapToGrid w:val="0"/>
      <w:jc w:val="left"/>
    </w:pPr>
    <w:rPr>
      <w:sz w:val="18"/>
      <w:szCs w:val="18"/>
    </w:rPr>
  </w:style>
  <w:style w:type="paragraph" w:customStyle="1" w:styleId="11">
    <w:name w:val="正文首行缩进 21"/>
    <w:basedOn w:val="3"/>
    <w:next w:val="1"/>
    <w:qFormat/>
    <w:uiPriority w:val="0"/>
    <w:pPr>
      <w:ind w:firstLine="420"/>
    </w:pPr>
  </w:style>
  <w:style w:type="paragraph" w:styleId="12">
    <w:name w:val="toc 2"/>
    <w:basedOn w:val="1"/>
    <w:next w:val="1"/>
    <w:qFormat/>
    <w:uiPriority w:val="0"/>
    <w:pPr>
      <w:tabs>
        <w:tab w:val="right" w:leader="dot" w:pos="8296"/>
      </w:tabs>
      <w:ind w:left="420" w:firstLine="0"/>
    </w:pPr>
  </w:style>
  <w:style w:type="character" w:styleId="15">
    <w:name w:val="Hyperlink"/>
    <w:basedOn w:val="16"/>
    <w:qFormat/>
    <w:uiPriority w:val="0"/>
    <w:rPr>
      <w:color w:val="0000FF"/>
      <w:u w:val="single"/>
    </w:rPr>
  </w:style>
  <w:style w:type="character" w:customStyle="1" w:styleId="16">
    <w:name w:val="默认段落字体11"/>
    <w:qFormat/>
    <w:uiPriority w:val="0"/>
  </w:style>
  <w:style w:type="character" w:customStyle="1" w:styleId="17">
    <w:name w:val="WW8Num1z0"/>
    <w:qFormat/>
    <w:uiPriority w:val="0"/>
  </w:style>
  <w:style w:type="character" w:customStyle="1" w:styleId="18">
    <w:name w:val="WW8Num2z0"/>
    <w:qFormat/>
    <w:uiPriority w:val="0"/>
  </w:style>
  <w:style w:type="character" w:customStyle="1" w:styleId="19">
    <w:name w:val="WW8Num3z0"/>
    <w:qFormat/>
    <w:uiPriority w:val="0"/>
  </w:style>
  <w:style w:type="character" w:customStyle="1" w:styleId="20">
    <w:name w:val="WW8Num4z0"/>
    <w:qFormat/>
    <w:uiPriority w:val="0"/>
  </w:style>
  <w:style w:type="character" w:customStyle="1" w:styleId="21">
    <w:name w:val="标题 1 Char"/>
    <w:basedOn w:val="16"/>
    <w:qFormat/>
    <w:uiPriority w:val="0"/>
    <w:rPr>
      <w:b/>
      <w:bCs/>
      <w:kern w:val="2"/>
      <w:sz w:val="44"/>
      <w:szCs w:val="44"/>
    </w:rPr>
  </w:style>
  <w:style w:type="character" w:customStyle="1" w:styleId="22">
    <w:name w:val="标题 2 Char"/>
    <w:basedOn w:val="16"/>
    <w:qFormat/>
    <w:uiPriority w:val="0"/>
    <w:rPr>
      <w:rFonts w:ascii="Cambria" w:hAnsi="Cambria" w:eastAsia="宋体" w:cs="Times New Roman"/>
      <w:b/>
      <w:bCs/>
      <w:sz w:val="32"/>
      <w:szCs w:val="32"/>
    </w:rPr>
  </w:style>
  <w:style w:type="character" w:customStyle="1" w:styleId="23">
    <w:name w:val="Strong Emphasis"/>
    <w:basedOn w:val="16"/>
    <w:qFormat/>
    <w:uiPriority w:val="0"/>
    <w:rPr>
      <w:b/>
    </w:rPr>
  </w:style>
  <w:style w:type="character" w:customStyle="1" w:styleId="24">
    <w:name w:val="默认段落字体1"/>
    <w:qFormat/>
    <w:uiPriority w:val="0"/>
  </w:style>
  <w:style w:type="paragraph" w:customStyle="1" w:styleId="25">
    <w:name w:val="Heading"/>
    <w:basedOn w:val="1"/>
    <w:next w:val="7"/>
    <w:qFormat/>
    <w:uiPriority w:val="0"/>
    <w:pPr>
      <w:keepNext/>
      <w:widowControl w:val="0"/>
      <w:suppressAutoHyphens/>
      <w:spacing w:before="240" w:after="120"/>
    </w:pPr>
    <w:rPr>
      <w:rFonts w:ascii="Liberation Sans;微软雅黑" w:hAnsi="Liberation Sans;微软雅黑" w:eastAsia="Noto Sans CJK SC Regular;宋体" w:cs="Noto Sans CJK SC Regular;宋体"/>
      <w:sz w:val="28"/>
      <w:szCs w:val="28"/>
      <w:lang w:bidi="ar-SA"/>
    </w:rPr>
  </w:style>
  <w:style w:type="paragraph" w:customStyle="1" w:styleId="26">
    <w:name w:val="Index"/>
    <w:basedOn w:val="1"/>
    <w:qFormat/>
    <w:uiPriority w:val="0"/>
    <w:pPr>
      <w:widowControl w:val="0"/>
      <w:suppressLineNumbers/>
      <w:suppressAutoHyphens/>
    </w:pPr>
  </w:style>
  <w:style w:type="paragraph" w:customStyle="1" w:styleId="27">
    <w:name w:val="题注1"/>
    <w:basedOn w:val="1"/>
    <w:qFormat/>
    <w:uiPriority w:val="0"/>
    <w:pPr>
      <w:widowControl w:val="0"/>
      <w:suppressLineNumbers/>
      <w:suppressAutoHyphens/>
      <w:spacing w:before="120" w:after="120"/>
    </w:pPr>
    <w:rPr>
      <w:i/>
      <w:iCs/>
      <w:sz w:val="24"/>
      <w:szCs w:val="24"/>
    </w:rPr>
  </w:style>
  <w:style w:type="paragraph" w:customStyle="1" w:styleId="28">
    <w:name w:val="图表目录1"/>
    <w:basedOn w:val="1"/>
    <w:next w:val="1"/>
    <w:qFormat/>
    <w:uiPriority w:val="0"/>
    <w:pPr>
      <w:ind w:left="200" w:hanging="200"/>
    </w:pPr>
  </w:style>
  <w:style w:type="paragraph" w:customStyle="1" w:styleId="29">
    <w:name w:val="普通(网站)1"/>
    <w:basedOn w:val="1"/>
    <w:qFormat/>
    <w:uiPriority w:val="0"/>
    <w:pPr>
      <w:spacing w:before="100" w:after="100"/>
      <w:ind w:left="0" w:right="0" w:firstLine="0"/>
      <w:jc w:val="left"/>
    </w:pPr>
    <w:rPr>
      <w:kern w:val="0"/>
      <w:sz w:val="24"/>
      <w:lang w:val="en-US" w:eastAsia="zh-CN" w:bidi="ar"/>
    </w:rPr>
  </w:style>
  <w:style w:type="paragraph" w:customStyle="1" w:styleId="30">
    <w:name w:val="标题 5（有编号）（绿盟科技）"/>
    <w:next w:val="1"/>
    <w:qFormat/>
    <w:uiPriority w:val="0"/>
    <w:pPr>
      <w:keepNext/>
      <w:keepLines/>
      <w:widowControl w:val="0"/>
      <w:suppressAutoHyphens/>
      <w:bidi w:val="0"/>
      <w:spacing w:before="280" w:after="156" w:line="376" w:lineRule="auto"/>
      <w:jc w:val="left"/>
      <w:outlineLvl w:val="4"/>
    </w:pPr>
    <w:rPr>
      <w:rFonts w:ascii="Arial" w:hAnsi="Arial" w:eastAsia="黑体" w:cs="Times New Roman"/>
      <w:b/>
      <w:color w:val="auto"/>
      <w:kern w:val="2"/>
      <w:sz w:val="24"/>
      <w:szCs w:val="28"/>
      <w:lang w:val="en-US" w:eastAsia="zh-CN" w:bidi="ar-SA"/>
    </w:rPr>
  </w:style>
  <w:style w:type="paragraph" w:customStyle="1" w:styleId="31">
    <w:name w:val="四号正文"/>
    <w:basedOn w:val="1"/>
    <w:qFormat/>
    <w:uiPriority w:val="0"/>
    <w:pPr>
      <w:spacing w:line="360" w:lineRule="auto"/>
    </w:pPr>
    <w:rPr>
      <w:rFonts w:ascii="??;Times New Roman" w:hAnsi="??;Times New Roman" w:eastAsia="宋体" w:cs="??;Times New Roman"/>
      <w:color w:val="000000"/>
      <w:kern w:val="0"/>
      <w:sz w:val="28"/>
      <w:szCs w:val="21"/>
      <w:lang w:val="zh-CN" w:eastAsia="zh-CN"/>
    </w:rPr>
  </w:style>
  <w:style w:type="paragraph" w:customStyle="1" w:styleId="32">
    <w:name w:val="Default"/>
    <w:qFormat/>
    <w:uiPriority w:val="0"/>
    <w:pPr>
      <w:widowControl w:val="0"/>
      <w:suppressAutoHyphens/>
      <w:autoSpaceDE w:val="0"/>
      <w:bidi w:val="0"/>
    </w:pPr>
    <w:rPr>
      <w:rFonts w:ascii="仿宋" w:hAnsi="仿宋" w:eastAsia="仿宋" w:cs="仿宋"/>
      <w:color w:val="000000"/>
      <w:sz w:val="24"/>
      <w:szCs w:val="24"/>
      <w:lang w:val="en-US" w:eastAsia="zh-CN" w:bidi="ar-SA"/>
    </w:rPr>
  </w:style>
  <w:style w:type="paragraph" w:styleId="33">
    <w:name w:val="List Paragraph"/>
    <w:basedOn w:val="1"/>
    <w:qFormat/>
    <w:uiPriority w:val="0"/>
    <w:pPr>
      <w:ind w:firstLine="420"/>
    </w:pPr>
  </w:style>
  <w:style w:type="paragraph" w:customStyle="1" w:styleId="34">
    <w:name w:val="普通(网站) Char"/>
    <w:basedOn w:val="1"/>
    <w:qFormat/>
    <w:uiPriority w:val="0"/>
    <w:pPr>
      <w:spacing w:before="100" w:after="100"/>
      <w:ind w:left="0" w:right="0" w:firstLine="0"/>
      <w:jc w:val="left"/>
    </w:pPr>
    <w:rPr>
      <w:rFonts w:ascii="宋体" w:hAnsi="宋体" w:eastAsia="宋体" w:cs="宋体"/>
      <w:kern w:val="0"/>
      <w:sz w:val="24"/>
      <w:szCs w:val="24"/>
      <w:lang w:val="en-US" w:eastAsia="zh-CN" w:bidi="ar"/>
    </w:rPr>
  </w:style>
  <w:style w:type="paragraph" w:customStyle="1" w:styleId="35">
    <w:name w:val="Table Contents"/>
    <w:basedOn w:val="1"/>
    <w:qFormat/>
    <w:uiPriority w:val="0"/>
    <w:pPr>
      <w:widowControl w:val="0"/>
      <w:suppressLineNumbers/>
    </w:pPr>
  </w:style>
  <w:style w:type="paragraph" w:customStyle="1" w:styleId="36">
    <w:name w:val="Table Heading"/>
    <w:basedOn w:val="35"/>
    <w:qFormat/>
    <w:uiPriority w:val="0"/>
    <w:pPr>
      <w:suppressLineNumbers/>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chart" Target="charts/chart6.xml"/><Relationship Id="rId8" Type="http://schemas.openxmlformats.org/officeDocument/2006/relationships/chart" Target="charts/chart5.xml"/><Relationship Id="rId7" Type="http://schemas.openxmlformats.org/officeDocument/2006/relationships/chart" Target="charts/chart4.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chart" Target="charts/chart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E:\&#26448;&#26009;\&#30011;&#22270;&#24037;&#20855;.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E:\&#26448;&#26009;\&#30011;&#22270;&#24037;&#20855;.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E:\&#26448;&#26009;\&#30011;&#22270;&#24037;&#20855;.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E:\&#26448;&#26009;\&#30011;&#22270;&#24037;&#20855;.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E:\&#26448;&#26009;\&#30011;&#22270;&#24037;&#20855;.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E:\&#26448;&#26009;\&#30011;&#22270;&#24037;&#20855;.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E:\&#26448;&#26009;\&#30011;&#22270;&#24037;&#2085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收、支决算总计变动情况</a:t>
            </a:r>
          </a:p>
        </c:rich>
      </c:tx>
      <c:layout>
        <c:manualLayout>
          <c:xMode val="edge"/>
          <c:yMode val="edge"/>
          <c:x val="0.299064914177514"/>
          <c:y val="0.0379464285714285"/>
        </c:manualLayout>
      </c:layout>
      <c:overlay val="0"/>
      <c:spPr>
        <a:noFill/>
        <a:ln>
          <a:noFill/>
        </a:ln>
        <a:effectLst/>
      </c:spPr>
    </c:title>
    <c:autoTitleDeleted val="0"/>
    <c:plotArea>
      <c:layout>
        <c:manualLayout>
          <c:layoutTarget val="inner"/>
          <c:xMode val="edge"/>
          <c:yMode val="edge"/>
          <c:x val="0.215482502651113"/>
          <c:y val="0.170089285714286"/>
          <c:w val="0.75270413573701"/>
          <c:h val="0.592232142857143"/>
        </c:manualLayout>
      </c:layout>
      <c:barChart>
        <c:barDir val="col"/>
        <c:grouping val="clustered"/>
        <c:varyColors val="0"/>
        <c:ser>
          <c:idx val="0"/>
          <c:order val="0"/>
          <c:tx>
            <c:strRef>
              <c:f>[画图工具.xlsx]Sheet1!$A$2</c:f>
              <c:strCache>
                <c:ptCount val="1"/>
                <c:pt idx="0">
                  <c:v>2024年</c:v>
                </c:pt>
              </c:strCache>
            </c:strRef>
          </c:tx>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Sheet1!$B$1:$C$1</c:f>
              <c:strCache>
                <c:ptCount val="2"/>
                <c:pt idx="0">
                  <c:v>收决算总计</c:v>
                </c:pt>
                <c:pt idx="1">
                  <c:v>支出决算总计</c:v>
                </c:pt>
              </c:strCache>
            </c:strRef>
          </c:cat>
          <c:val>
            <c:numRef>
              <c:f>Sheet1!$B$2:$C$2</c:f>
              <c:numCache>
                <c:formatCode>General</c:formatCode>
                <c:ptCount val="2"/>
                <c:pt idx="0">
                  <c:v>1061.8</c:v>
                </c:pt>
                <c:pt idx="1">
                  <c:v>1060.8</c:v>
                </c:pt>
              </c:numCache>
            </c:numRef>
          </c:val>
        </c:ser>
        <c:ser>
          <c:idx val="1"/>
          <c:order val="1"/>
          <c:tx>
            <c:strRef>
              <c:f>[画图工具.xlsx]Sheet1!$A$3</c:f>
              <c:strCache>
                <c:ptCount val="1"/>
                <c:pt idx="0">
                  <c:v>2025年</c:v>
                </c:pt>
              </c:strCache>
            </c:strRef>
          </c:tx>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Sheet1!$B$1:$C$1</c:f>
              <c:strCache>
                <c:ptCount val="2"/>
                <c:pt idx="0">
                  <c:v>收决算总计</c:v>
                </c:pt>
                <c:pt idx="1">
                  <c:v>支出决算总计</c:v>
                </c:pt>
              </c:strCache>
            </c:strRef>
          </c:cat>
          <c:val>
            <c:numRef>
              <c:f>Sheet1!$B$3:$C$3</c:f>
              <c:numCache>
                <c:formatCode>General</c:formatCode>
                <c:ptCount val="2"/>
                <c:pt idx="0">
                  <c:v>1265.95</c:v>
                </c:pt>
                <c:pt idx="1">
                  <c:v>1265.95</c:v>
                </c:pt>
              </c:numCache>
            </c:numRef>
          </c:val>
        </c:ser>
        <c:dLbls>
          <c:showLegendKey val="0"/>
          <c:showVal val="1"/>
          <c:showCatName val="0"/>
          <c:showSerName val="0"/>
          <c:showPercent val="0"/>
          <c:showBubbleSize val="0"/>
        </c:dLbls>
        <c:gapWidth val="500"/>
        <c:overlap val="-50"/>
        <c:axId val="98475064"/>
        <c:axId val="225232231"/>
      </c:barChart>
      <c:catAx>
        <c:axId val="98475064"/>
        <c:scaling>
          <c:orientation val="minMax"/>
        </c:scaling>
        <c:delete val="0"/>
        <c:axPos val="b"/>
        <c:majorTickMark val="none"/>
        <c:minorTickMark val="none"/>
        <c:tickLblPos val="nextTo"/>
        <c:spPr>
          <a:noFill/>
          <a:ln w="9525" cap="flat" cmpd="sng" algn="ctr">
            <a:solidFill>
              <a:schemeClr val="dk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225232231"/>
        <c:crosses val="autoZero"/>
        <c:auto val="1"/>
        <c:lblAlgn val="ctr"/>
        <c:lblOffset val="100"/>
        <c:noMultiLvlLbl val="0"/>
      </c:catAx>
      <c:valAx>
        <c:axId val="225232231"/>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dk1">
                        <a:lumMod val="65000"/>
                        <a:lumOff val="35000"/>
                      </a:schemeClr>
                    </a:solidFill>
                    <a:latin typeface="+mn-lt"/>
                    <a:ea typeface="+mn-ea"/>
                    <a:cs typeface="+mn-cs"/>
                  </a:defRPr>
                </a:pPr>
                <a:r>
                  <a:t>收、支金额/万元</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98475064"/>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93dfa843-c610-4f44-9989-17a1c874673a}"/>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rPr altLang="en-US"/>
              <a:t>年</a:t>
            </a:r>
            <a:r>
              <a:t>收入决算结构图</a:t>
            </a:r>
          </a:p>
        </c:rich>
      </c:tx>
      <c:layout/>
      <c:overlay val="0"/>
      <c:spPr>
        <a:noFill/>
        <a:ln>
          <a:noFill/>
        </a:ln>
        <a:effectLst/>
      </c:spPr>
    </c:title>
    <c:autoTitleDeleted val="0"/>
    <c:plotArea>
      <c:layout>
        <c:manualLayout>
          <c:layoutTarget val="inner"/>
          <c:xMode val="edge"/>
          <c:yMode val="edge"/>
          <c:x val="0.0975694444444444"/>
          <c:y val="0.173611111111111"/>
          <c:w val="0.463194444444444"/>
          <c:h val="0.771990740740741"/>
        </c:manualLayout>
      </c:layout>
      <c:pieChart>
        <c:varyColors val="1"/>
        <c:ser>
          <c:idx val="0"/>
          <c:order val="0"/>
          <c:tx>
            <c:strRef>
              <c:f>[画图工具.xlsx]Sheet1!$B$48</c:f>
              <c:strCache>
                <c:ptCount val="1"/>
                <c:pt idx="0">
                  <c:v>2025年收入决算额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Sheet1!$A$49:$A$56</c:f>
              <c:strCache>
                <c:ptCount val="8"/>
                <c:pt idx="0">
                  <c:v>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Sheet1!$B$49:$B$56</c:f>
              <c:numCache>
                <c:formatCode>General</c:formatCode>
                <c:ptCount val="8"/>
                <c:pt idx="0">
                  <c:v>1258.57</c:v>
                </c:pt>
                <c:pt idx="1">
                  <c:v>0</c:v>
                </c:pt>
                <c:pt idx="2">
                  <c:v>0</c:v>
                </c:pt>
                <c:pt idx="3">
                  <c:v>0</c:v>
                </c:pt>
                <c:pt idx="4">
                  <c:v>0</c:v>
                </c:pt>
                <c:pt idx="5">
                  <c:v>0</c:v>
                </c:pt>
                <c:pt idx="6">
                  <c:v>0</c:v>
                </c:pt>
                <c:pt idx="7">
                  <c:v>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5701253-35a6-4c63-93e6-f6a688d5857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[画图工具.xlsx]Sheet1!$B$176</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Sheet1!$A$177:$A$181</c:f>
              <c:strCache>
                <c:ptCount val="5"/>
                <c:pt idx="0">
                  <c:v>基本支出</c:v>
                </c:pt>
                <c:pt idx="1">
                  <c:v>项目支出</c:v>
                </c:pt>
                <c:pt idx="2">
                  <c:v>上缴上级</c:v>
                </c:pt>
                <c:pt idx="3">
                  <c:v>经营支出</c:v>
                </c:pt>
                <c:pt idx="4">
                  <c:v>对附属单位补助支出</c:v>
                </c:pt>
              </c:strCache>
            </c:strRef>
          </c:cat>
          <c:val>
            <c:numRef>
              <c:f>Sheet1!$B$177:$B$181</c:f>
              <c:numCache>
                <c:formatCode>General</c:formatCode>
                <c:ptCount val="5"/>
                <c:pt idx="0">
                  <c:v>943.5</c:v>
                </c:pt>
                <c:pt idx="1">
                  <c:v>322.6</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dcb3da-6fa4-405d-b9b2-418a938c9f6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manualLayout>
          <c:xMode val="edge"/>
          <c:yMode val="edge"/>
          <c:x val="0.174897742766248"/>
          <c:y val="0.0245535714285714"/>
        </c:manualLayout>
      </c:layout>
      <c:overlay val="0"/>
      <c:spPr>
        <a:noFill/>
        <a:ln>
          <a:noFill/>
        </a:ln>
        <a:effectLst/>
      </c:spPr>
    </c:title>
    <c:autoTitleDeleted val="0"/>
    <c:plotArea>
      <c:layout>
        <c:manualLayout>
          <c:layoutTarget val="inner"/>
          <c:xMode val="edge"/>
          <c:yMode val="edge"/>
          <c:x val="0.215482502651113"/>
          <c:y val="0.170089285714286"/>
          <c:w val="0.75270413573701"/>
          <c:h val="0.592232142857143"/>
        </c:manualLayout>
      </c:layout>
      <c:barChart>
        <c:barDir val="col"/>
        <c:grouping val="clustered"/>
        <c:varyColors val="0"/>
        <c:ser>
          <c:idx val="0"/>
          <c:order val="0"/>
          <c:tx>
            <c:strRef>
              <c:f>[画图工具.xlsx]Sheet1!$A$2</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财政拨款收决算总计</c:v>
                </c:pt>
                <c:pt idx="1">
                  <c:v>财政拨款支出决算总计</c:v>
                </c:pt>
              </c:strCache>
            </c:strRef>
          </c:cat>
          <c:val>
            <c:numRef>
              <c:f>Sheet1!$B$2:$C$2</c:f>
              <c:numCache>
                <c:formatCode>General</c:formatCode>
                <c:ptCount val="2"/>
                <c:pt idx="0">
                  <c:v>1061.8</c:v>
                </c:pt>
                <c:pt idx="1">
                  <c:v>1060.8</c:v>
                </c:pt>
              </c:numCache>
            </c:numRef>
          </c:val>
        </c:ser>
        <c:ser>
          <c:idx val="1"/>
          <c:order val="1"/>
          <c:tx>
            <c:strRef>
              <c:f>[画图工具.xlsx]Sheet1!$A$3</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财政拨款收决算总计</c:v>
                </c:pt>
                <c:pt idx="1">
                  <c:v>财政拨款支出决算总计</c:v>
                </c:pt>
              </c:strCache>
            </c:strRef>
          </c:cat>
          <c:val>
            <c:numRef>
              <c:f>Sheet1!$B$3:$C$3</c:f>
              <c:numCache>
                <c:formatCode>General</c:formatCode>
                <c:ptCount val="2"/>
                <c:pt idx="0">
                  <c:v>1258.57</c:v>
                </c:pt>
                <c:pt idx="1">
                  <c:v>1258.57</c:v>
                </c:pt>
              </c:numCache>
            </c:numRef>
          </c:val>
        </c:ser>
        <c:dLbls>
          <c:showLegendKey val="0"/>
          <c:showVal val="1"/>
          <c:showCatName val="0"/>
          <c:showSerName val="0"/>
          <c:showPercent val="0"/>
          <c:showBubbleSize val="0"/>
        </c:dLbls>
        <c:gapWidth val="216"/>
        <c:overlap val="-32"/>
        <c:axId val="98475064"/>
        <c:axId val="225232231"/>
      </c:barChart>
      <c:catAx>
        <c:axId val="9847506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5232231"/>
        <c:crosses val="autoZero"/>
        <c:auto val="1"/>
        <c:lblAlgn val="ctr"/>
        <c:lblOffset val="100"/>
        <c:noMultiLvlLbl val="0"/>
      </c:catAx>
      <c:valAx>
        <c:axId val="225232231"/>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收、支金额/万元</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4750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93dfa843-c610-4f44-9989-17a1c874673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manualLayout>
          <c:xMode val="edge"/>
          <c:yMode val="edge"/>
          <c:x val="0.105194805194805"/>
          <c:y val="0.0246085011185682"/>
        </c:manualLayout>
      </c:layout>
      <c:overlay val="0"/>
      <c:spPr>
        <a:noFill/>
        <a:ln>
          <a:noFill/>
        </a:ln>
        <a:effectLst/>
      </c:spPr>
    </c:title>
    <c:autoTitleDeleted val="0"/>
    <c:plotArea>
      <c:layout>
        <c:manualLayout>
          <c:layoutTarget val="inner"/>
          <c:xMode val="edge"/>
          <c:yMode val="edge"/>
          <c:x val="0.287765606440544"/>
          <c:y val="0.260126999013316"/>
          <c:w val="0.668693659281895"/>
          <c:h val="0.483803131991051"/>
        </c:manualLayout>
      </c:layout>
      <c:barChart>
        <c:barDir val="col"/>
        <c:grouping val="clustered"/>
        <c:varyColors val="0"/>
        <c:ser>
          <c:idx val="0"/>
          <c:order val="0"/>
          <c:tx>
            <c:strRef>
              <c:f>[画图工具.xlsx]Sheet1!$C$1</c:f>
              <c:strCache>
                <c:ptCount val="1"/>
                <c:pt idx="0">
                  <c:v>财政拨款支出决算总计</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Sheet1!$C$2:$C$3</c:f>
              <c:numCache>
                <c:formatCode>General</c:formatCode>
                <c:ptCount val="2"/>
                <c:pt idx="0">
                  <c:v>1060.8</c:v>
                </c:pt>
                <c:pt idx="1">
                  <c:v>1258.57</c:v>
                </c:pt>
              </c:numCache>
            </c:numRef>
          </c:val>
        </c:ser>
        <c:dLbls>
          <c:showLegendKey val="0"/>
          <c:showVal val="1"/>
          <c:showCatName val="0"/>
          <c:showSerName val="0"/>
          <c:showPercent val="0"/>
          <c:showBubbleSize val="0"/>
        </c:dLbls>
        <c:gapWidth val="260"/>
        <c:overlap val="-32"/>
        <c:axId val="155467810"/>
        <c:axId val="799416097"/>
      </c:barChart>
      <c:catAx>
        <c:axId val="15546781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9416097"/>
        <c:crosses val="autoZero"/>
        <c:auto val="1"/>
        <c:lblAlgn val="ctr"/>
        <c:lblOffset val="100"/>
        <c:noMultiLvlLbl val="0"/>
      </c:catAx>
      <c:valAx>
        <c:axId val="799416097"/>
        <c:scaling>
          <c:orientation val="minMax"/>
        </c:scaling>
        <c:delete val="1"/>
        <c:axPos val="l"/>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金额/万元</a:t>
                </a:r>
              </a:p>
            </c:rich>
          </c:tx>
          <c:layout/>
          <c:overlay val="0"/>
          <c:spPr>
            <a:noFill/>
            <a:ln>
              <a:noFill/>
            </a:ln>
            <a:effectLst/>
          </c:spPr>
        </c:title>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546781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7f12600-f1b9-438d-b5b4-230c0e61146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139813374805599"/>
          <c:y val="0.133333333333333"/>
          <c:w val="0.584447900466563"/>
          <c:h val="0.792827004219409"/>
        </c:manualLayout>
      </c:layout>
      <c:pieChart>
        <c:varyColors val="1"/>
        <c:ser>
          <c:idx val="0"/>
          <c:order val="0"/>
          <c:tx>
            <c:strRef>
              <c:f>[画图工具.xlsx]Sheet1!$B$88</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Sheet1!$A$89:$A$95</c:f>
              <c:strCache>
                <c:ptCount val="7"/>
                <c:pt idx="0">
                  <c:v>一般公共服务（类）</c:v>
                </c:pt>
                <c:pt idx="1">
                  <c:v>社会保障和就业（类）</c:v>
                </c:pt>
                <c:pt idx="2">
                  <c:v>卫生健康支出</c:v>
                </c:pt>
                <c:pt idx="3">
                  <c:v>住房保障支出</c:v>
                </c:pt>
                <c:pt idx="4">
                  <c:v>农林水</c:v>
                </c:pt>
                <c:pt idx="5">
                  <c:v>节能环保支出</c:v>
                </c:pt>
                <c:pt idx="6">
                  <c:v>城乡社区支出</c:v>
                </c:pt>
              </c:strCache>
            </c:strRef>
          </c:cat>
          <c:val>
            <c:numRef>
              <c:f>Sheet1!$B$89:$B$95</c:f>
              <c:numCache>
                <c:formatCode>General</c:formatCode>
                <c:ptCount val="7"/>
                <c:pt idx="0">
                  <c:v>705.59</c:v>
                </c:pt>
                <c:pt idx="1">
                  <c:v>126.87</c:v>
                </c:pt>
                <c:pt idx="2">
                  <c:v>41.98</c:v>
                </c:pt>
                <c:pt idx="3">
                  <c:v>64.53</c:v>
                </c:pt>
                <c:pt idx="4">
                  <c:v>308.7</c:v>
                </c:pt>
                <c:pt idx="5" c:formatCode="0.00_ ">
                  <c:v>3.2</c:v>
                </c:pt>
                <c:pt idx="6">
                  <c:v>7.65</c:v>
                </c:pt>
              </c:numCache>
            </c:numRef>
          </c:val>
        </c:ser>
        <c:ser>
          <c:idx val="1"/>
          <c:order val="1"/>
          <c:tx>
            <c:strRef>
              <c:f>[画图工具.xlsx]Sheet1!$C$88</c:f>
              <c:strCache>
                <c:ptCount val="1"/>
                <c:pt idx="0">
                  <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Sheet1!$A$89:$A$95</c:f>
              <c:strCache>
                <c:ptCount val="7"/>
                <c:pt idx="0">
                  <c:v>一般公共服务（类）</c:v>
                </c:pt>
                <c:pt idx="1">
                  <c:v>社会保障和就业（类）</c:v>
                </c:pt>
                <c:pt idx="2">
                  <c:v>卫生健康支出</c:v>
                </c:pt>
                <c:pt idx="3">
                  <c:v>住房保障支出</c:v>
                </c:pt>
                <c:pt idx="4">
                  <c:v>农林水</c:v>
                </c:pt>
                <c:pt idx="5">
                  <c:v>节能环保支出</c:v>
                </c:pt>
                <c:pt idx="6">
                  <c:v>城乡社区支出</c:v>
                </c:pt>
              </c:strCache>
            </c:strRef>
          </c:cat>
          <c:val>
            <c:numRef>
              <c:f>Sheet1!$C$89:$C$95</c:f>
              <c:numCache>
                <c:formatCode>General</c:formatCode>
                <c:ptCount val="7"/>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61877394636015"/>
          <c:y val="0.3632286995515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5e96c37-5429-42ec-947b-39cc595291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“三公”经费财政拨款支出结构图</a:t>
            </a:r>
          </a:p>
        </c:rich>
      </c:tx>
      <c:layout/>
      <c:overlay val="0"/>
      <c:spPr>
        <a:noFill/>
        <a:ln>
          <a:noFill/>
        </a:ln>
        <a:effectLst/>
      </c:spPr>
    </c:title>
    <c:autoTitleDeleted val="0"/>
    <c:plotArea>
      <c:layout/>
      <c:pieChart>
        <c:varyColors val="1"/>
        <c:ser>
          <c:idx val="0"/>
          <c:order val="0"/>
          <c:tx>
            <c:strRef>
              <c:f>[画图工具.xlsx]Sheet1!$B$117</c:f>
              <c:strCache>
                <c:ptCount val="1"/>
                <c:pt idx="0">
                  <c:v>“三公”经费财政拨款支出结构</c:v>
                </c:pt>
              </c:strCache>
            </c:strRef>
          </c:tx>
          <c:spPr>
            <a:solidFill>
              <a:schemeClr val="accent1"/>
            </a:solidFill>
          </c:spPr>
          <c:explosion val="0"/>
          <c:dPt>
            <c:idx val="0"/>
            <c:bubble3D val="0"/>
            <c:spPr>
              <a:solidFill>
                <a:schemeClr val="accent1"/>
              </a:solidFill>
              <a:ln w="19050">
                <a:solidFill>
                  <a:schemeClr val="lt1"/>
                </a:solidFill>
              </a:ln>
              <a:effectLst/>
            </c:spPr>
          </c:dPt>
          <c:dPt>
            <c:idx val="1"/>
            <c:bubble3D val="0"/>
            <c:spPr>
              <a:solidFill>
                <a:schemeClr val="accent1"/>
              </a:solidFill>
              <a:ln w="19050">
                <a:solidFill>
                  <a:schemeClr val="lt1"/>
                </a:solidFill>
              </a:ln>
              <a:effectLst/>
            </c:spPr>
          </c:dPt>
          <c:dPt>
            <c:idx val="2"/>
            <c:bubble3D val="0"/>
            <c:spPr>
              <a:solidFill>
                <a:schemeClr val="accent1"/>
              </a:solidFill>
              <a:ln w="19050">
                <a:solidFill>
                  <a:schemeClr val="lt1"/>
                </a:solidFill>
              </a:ln>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[画图工具.xlsx]Sheet1!$A$118:$A$120</c:f>
              <c:strCache>
                <c:ptCount val="3"/>
                <c:pt idx="0">
                  <c:v>因公出国（境）费</c:v>
                </c:pt>
                <c:pt idx="1">
                  <c:v>公务用车购置及运行维护费</c:v>
                </c:pt>
                <c:pt idx="2">
                  <c:v>公务接待费</c:v>
                </c:pt>
              </c:strCache>
            </c:strRef>
          </c:cat>
          <c:val>
            <c:numRef>
              <c:f>[画图工具.xlsx]Sheet1!$B$118:$B$120</c:f>
              <c:numCache>
                <c:formatCode>General</c:formatCode>
                <c:ptCount val="3"/>
                <c:pt idx="0">
                  <c:v>0</c:v>
                </c:pt>
                <c:pt idx="1">
                  <c:v>9.73</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409a6ff-40c7-429b-9359-dadbec2d27a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7">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98378daa-e60a-479d-9f5c-19beb4943196</errorID>
      <errorWord>法制</errorWord>
      <group>L1_Word</group>
      <groupName>字词问题</groupName>
      <ability>L2_Typo</ability>
      <abilityName>字词错误</abilityName>
      <candidateList>
        <item>法治</item>
      </candidateList>
      <explain>存在发音相同字词的误用。</explain>
      <paraID>5F00D56D</paraID>
      <start>8</start>
      <end>10</end>
      <status>modified</status>
      <modifiedWord>法治</modifiedWord>
      <trackRevisions>false</trackRevisions>
    </reviewItem>
    <reviewItem>
      <errorID>6407e860-2c2a-4168-a5bb-debf9a7a4b4b</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6505BCE6</paraID>
      <start>4</start>
      <end>10</end>
      <status>modified</status>
      <modifiedWord>县委、县政府</modifiedWord>
      <trackRevisions>false</trackRevisions>
    </reviewItem>
    <reviewItem>
      <errorID>1ef4fdf7-3ec4-4004-8949-e3b776a971bf</errorID>
      <errorWord>提高</errorWord>
      <group>L1_Grammar</group>
      <groupName>语法问题</groupName>
      <ability>L2_Grammar</ability>
      <abilityName>语法错误</abilityName>
      <candidateList>
        <item>增强</item>
      </candidateList>
      <explain>“提高～意识”搭配不当，建议修改为“增强～意识”。</explain>
      <paraID>4AB10AB9</paraID>
      <start>2</start>
      <end>4</end>
      <status>modified</status>
      <modifiedWord>增强</modifiedWord>
      <trackRevisions>false</trackRevisions>
    </reviewItem>
    <reviewItem>
      <errorID>a5749141-8cbc-4dfe-8571-e525ae42286a</errorID>
      <errorWord>，</errorWord>
      <group>L1_Word</group>
      <groupName>字词问题</groupName>
      <ability>L2_Typo</ability>
      <abilityName>字词错误</abilityName>
      <candidateList>
        <item>，把</item>
      </candidateList>
      <explain/>
      <paraID>4D7F96E2</paraID>
      <start>64</start>
      <end>66</end>
      <status>modified</status>
      <modifiedWord>，把</modifiedWord>
      <trackRevisions>false</trackRevisions>
    </reviewItem>
    <reviewItem>
      <errorID>ac9759cd-a787-41f5-9ac6-06f8f83b4625</errorID>
      <errorWord>达</errorWord>
      <group>L1_Word</group>
      <groupName>字词问题</groupName>
      <ability>L2_Typo</ability>
      <abilityName>字词错误</abilityName>
      <candidateList>
        <item>达到</item>
      </candidateList>
      <explain/>
      <paraID>4D7F96E2</paraID>
      <start>258</start>
      <end>260</end>
      <status>modified</status>
      <modifiedWord>达到</modifiedWord>
      <trackRevisions>false</trackRevisions>
    </reviewItem>
    <reviewItem>
      <errorID>042eda88-a50f-45f5-ace5-3be6320f4d9f</errorID>
      <errorWord>小姓</errorWord>
      <group>L1_Word</group>
      <groupName>字词问题</groupName>
      <ability>L2_Typo</ability>
      <abilityName>字词错误</abilityName>
      <candidateList>
        <item>小镇</item>
      </candidateList>
      <explain/>
      <paraID>292EBD75</paraID>
      <start>221</start>
      <end>223</end>
      <status>ignored</status>
      <modifiedWord/>
      <trackRevisions>false</trackRevisions>
    </reviewItem>
    <reviewItem>
      <errorID>779b9686-d626-43c7-a740-4e0f4b615835</errorID>
      <errorWord>不</errorWord>
      <group>L1_Word</group>
      <groupName>字词问题</groupName>
      <ability>L2_Typo</ability>
      <abilityName>字词错误</abilityName>
      <candidateList>
        <item>不明</item>
      </candidateList>
      <explain/>
      <paraID>546E2FB4</paraID>
      <start>183</start>
      <end>185</end>
      <status>modified</status>
      <modifiedWord>不明</modifiedWord>
      <trackRevisions>false</trackRevisions>
    </reviewItem>
    <reviewItem>
      <errorID>fa94dd98-eb88-4a5f-9f3f-7a9e4de073c4</errorID>
      <errorWord>、和</errorWord>
      <group>L1_Punc</group>
      <groupName>标点问题</groupName>
      <ability>L2_Punc_CN</ability>
      <abilityName>标点符号问题</abilityName>
      <candidateList>
        <item>和</item>
      </candidateList>
      <explain>“及”“和”“等”连词前不宜使用顿号，建议删除（或使用逗号）。</explain>
      <paraID>103B2BA1</paraID>
      <start>358</start>
      <end>359</end>
      <status>modified</status>
      <modifiedWord>和</modifiedWord>
      <trackRevisions>false</trackRevisions>
    </reviewItem>
    <reviewItem>
      <errorID>9d99a5c3-e052-4576-b697-1b4b57f68899</errorID>
      <errorWord>懂农业、爱农民、爱农村</errorWord>
      <group>L1_Political</group>
      <groupName>政治性问题</groupName>
      <ability>L2_Unpolitical</ability>
      <abilityName>政治敏感错误</abilityName>
      <candidateList>
        <item>懂农业、爱农村、爱农民</item>
      </candidateList>
      <explain/>
      <paraID>7F938E29</paraID>
      <start>88</start>
      <end>99</end>
      <status>modified</status>
      <modifiedWord>懂农业、爱农村、爱农民</modifiedWord>
      <trackRevisions>false</trackRevisions>
    </reviewItem>
    <reviewItem>
      <errorID>d6c91bed-549d-40ec-9148-886a10b92448</errorID>
      <errorWord>巩固脱贫攻坚成果</errorWord>
      <group>L1_Word</group>
      <groupName>字词问题</groupName>
      <ability>L2_Typo</ability>
      <abilityName>字词错误</abilityName>
      <candidateList>
        <item>巩固拓展脱贫攻坚成果</item>
      </candidateList>
      <explain/>
      <paraID>666850D5</paraID>
      <start>11</start>
      <end>21</end>
      <status>modified</status>
      <modifiedWord>巩固拓展脱贫攻坚成果</modifiedWord>
      <trackRevisions>false</trackRevisions>
    </reviewItem>
    <reviewItem>
      <errorID>e03b99f3-a418-422d-93ab-f245387963bc</errorID>
      <errorWord>…。</errorWord>
      <group>L1_Punc</group>
      <groupName>标点问题</groupName>
      <ability>L2_Punc_CN</ability>
      <abilityName>标点符号问题</abilityName>
      <candidateList>
        <item>…</item>
      </candidateList>
      <explain/>
      <paraID>46B44A14</paraID>
      <start>74</start>
      <end>75</end>
      <status>modified</status>
      <modifiedWord>…</modifiedWord>
      <trackRevisions>false</trackRevisions>
    </reviewItem>
    <reviewItem>
      <errorID>85e3be15-fd8b-4048-a4da-e6efd767d205</errorID>
      <errorWord>，</errorWord>
      <group>L1_Word</group>
      <groupName>字词问题</groupName>
      <ability>L2_Typo</ability>
      <abilityName>字词错误</abilityName>
      <candidateList>
        <item>，在</item>
      </candidateList>
      <explain/>
      <paraID>23FAE1B8</paraID>
      <start>70</start>
      <end>72</end>
      <status>modified</status>
      <modifiedWord>，在</modifiedWord>
      <trackRevisions>false</trackRevisions>
    </reviewItem>
    <reviewItem>
      <errorID>5af0f7e4-61fa-44a0-b320-12407d13ee78</errorID>
      <errorWord>增强</errorWord>
      <group>L1_Grammar</group>
      <groupName>语法问题</groupName>
      <ability>L2_Grammar</ability>
      <abilityName>语法错误</abilityName>
      <candidateList>
        <item>强化</item>
      </candidateList>
      <explain>“增强～管理”搭配不当，建议修改为“强化～管理”。</explain>
      <paraID>23AE9608</paraID>
      <start>212</start>
      <end>214</end>
      <status>modified</status>
      <modifiedWord>强化</modifiedWord>
      <trackRevisions>false</trackRevisions>
    </reviewItem>
    <reviewItem>
      <errorID>daf9cca7-6678-444d-b61d-1612cbd43c4f</errorID>
      <errorWord>理</errorWord>
      <group>L1_Word</group>
      <groupName>字词问题</groupName>
      <ability>L2_Typo</ability>
      <abilityName>字词错误</abilityName>
      <candidateList>
        <item>理和</item>
      </candidateList>
      <explain/>
      <paraID>41C2ABC6</paraID>
      <start>181</start>
      <end>183</end>
      <status>modified</status>
      <modifiedWord>理和</modifiedWord>
      <trackRevisions>false</trackRevisions>
    </reviewItem>
    <reviewItem>
      <errorID>a4cc9dbf-c755-4d4d-9881-20722ca52479</errorID>
      <errorWord>定</errorWord>
      <group>L1_Word</group>
      <groupName>字词问题</groupName>
      <ability>L2_Typo</ability>
      <abilityName>字词错误</abilityName>
      <candidateList>
        <item>定有</item>
      </candidateList>
      <explain/>
      <paraID>5EDE2951</paraID>
      <start>23</start>
      <end>25</end>
      <status>modified</status>
      <modifiedWord>定有</modifiedWord>
      <trackRevisions>false</trackRevisions>
    </reviewItem>
    <reviewItem>
      <errorID>026a2214-9d3b-4c91-9968-de304ec5eab4</errorID>
      <errorWord>地</errorWord>
      <group>L1_Word</group>
      <groupName>字词问题</groupName>
      <ability>L2_DDD</ability>
      <abilityName>的地得用法</abilityName>
      <candidateList>
        <item>的</item>
      </candidateList>
      <explain/>
      <paraID>5EDE2951</paraID>
      <start>28</start>
      <end>29</end>
      <status>modified</status>
      <modifiedWord>的</modifiedWord>
      <trackRevisions>false</trackRevisions>
    </reviewItem>
    <reviewItem>
      <errorID>40a4a5f0-a82d-48b5-baa0-ac0689488455</errorID>
      <errorWord>更</errorWord>
      <group>L1_Word</group>
      <groupName>字词问题</groupName>
      <ability>L2_Typo</ability>
      <abilityName>字词错误</abilityName>
      <candidateList>
        <item>更加</item>
      </candidateList>
      <explain/>
      <paraID>4DEBAC9D</paraID>
      <start>8</start>
      <end>10</end>
      <status>modified</status>
      <modifiedWord>更加</modifiedWord>
      <trackRevisions>false</trackRevisions>
    </reviewItem>
    <reviewItem>
      <errorID>c1eb03fd-7542-414e-aae1-b5592384f048</errorID>
      <errorWord>（</errorWord>
      <group>L1_Punc</group>
      <groupName>标点问题</groupName>
      <ability>L2_Punc_CN</ability>
      <abilityName>标点符号问题</abilityName>
      <candidateList/>
      <explain>同一形式括号套用。</explain>
      <paraID>25AC33D9</paraID>
      <start>51</start>
      <end>52</end>
      <status>ignored</status>
      <modifiedWord/>
      <trackRevisions>false</trackRevisions>
    </reviewItem>
    <reviewItem>
      <errorID>3ab47117-15c7-4bbc-972f-17449d5fc033</errorID>
      <errorWord>）</errorWord>
      <group>L1_Punc</group>
      <groupName>标点问题</groupName>
      <ability>L2_Punc_CN</ability>
      <abilityName>标点符号问题</abilityName>
      <candidateList/>
      <explain>同一形式括号套用。</explain>
      <paraID>25AC33D9</paraID>
      <start>58</start>
      <end>59</end>
      <status>ignored</status>
      <modifiedWord/>
      <trackRevisions>false</trackRevisions>
    </reviewItem>
    <reviewItem>
      <errorID>06e4c4b0-3d05-48cc-b617-e36c0195fdc3</errorID>
      <errorWord>-</errorWord>
      <group>L1_Format</group>
      <groupName>格式问题</groupName>
      <ability>L2_HalfPunc_CN</ability>
      <abilityName>全半角问题</abilityName>
      <candidateList>
        <item>－</item>
      </candidateList>
      <explain>文本全半角错误。</explain>
      <paraID>11D49346</paraID>
      <start>21</start>
      <end>22</end>
      <status>modified</status>
      <modifiedWord>－</modifiedWord>
      <trackRevisions>false</trackRevisions>
    </reviewItem>
    <reviewItem>
      <errorID>33e0fd7c-c2ac-4538-9fcf-2f6d5982b3b9</errorID>
      <errorWord>;</errorWord>
      <group>L1_Format</group>
      <groupName>格式问题</groupName>
      <ability>L2_HalfPunc_CN</ability>
      <abilityName>全半角问题</abilityName>
      <candidateList>
        <item>；</item>
      </candidateList>
      <explain>文本全半角错误。</explain>
      <paraID>5EE489D3</paraID>
      <start>46</start>
      <end>47</end>
      <status>modified</status>
      <modifiedWord>；</modifiedWord>
      <trackRevisions>false</trackRevisions>
    </reviewItem>
    <reviewItem>
      <errorID>b9dff491-8eb7-442e-945f-33dca06aac40</errorID>
      <errorWord>,</errorWord>
      <group>L1_Format</group>
      <groupName>格式问题</groupName>
      <ability>L2_HalfPunc_CN</ability>
      <abilityName>全半角问题</abilityName>
      <candidateList>
        <item>，</item>
      </candidateList>
      <explain>文本全半角错误。</explain>
      <paraID>5EE489D3</paraID>
      <start>65</start>
      <end>66</end>
      <status>modified</status>
      <modifiedWord>，</modifiedWord>
      <trackRevisions>false</trackRevisions>
    </reviewItem>
    <reviewItem>
      <errorID>8eb2fcc4-1455-4efe-aa5d-f3c9e6d5e9de</errorID>
      <errorWord>.</errorWord>
      <group>L1_Format</group>
      <groupName>格式问题</groupName>
      <ability>L2_HalfPunc_CN</ability>
      <abilityName>全半角问题</abilityName>
      <candidateList>
        <item>。</item>
      </candidateList>
      <explain>文本全半角错误。</explain>
      <paraID>5EE489D3</paraID>
      <start>94</start>
      <end>95</end>
      <status>modified</status>
      <modifiedWord>。</modifiedWord>
      <trackRevisions>false</trackRevisions>
    </reviewItem>
    <reviewItem>
      <errorID>ae9e0891-8003-42c1-967b-d3480597b1ff</errorID>
      <errorWord>（</errorWord>
      <group>L1_Punc</group>
      <groupName>标点问题</groupName>
      <ability>L2_Punc_CN</ability>
      <abilityName>标点符号问题</abilityName>
      <candidateList/>
      <explain>同一形式括号套用。</explain>
      <paraID>49F76886</paraID>
      <start>15</start>
      <end>16</end>
      <status>ignored</status>
      <modifiedWord/>
      <trackRevisions>false</trackRevisions>
    </reviewItem>
    <reviewItem>
      <errorID>c8f0b138-b80c-4987-847d-54643485334b</errorID>
      <errorWord>-</errorWord>
      <group>L1_Format</group>
      <groupName>格式问题</groupName>
      <ability>L2_HalfPunc_CN</ability>
      <abilityName>全半角问题</abilityName>
      <candidateList>
        <item>－</item>
      </candidateList>
      <explain>文本全半角错误。</explain>
      <paraID>49F76886</paraID>
      <start>19</start>
      <end>20</end>
      <status>modified</status>
      <modifiedWord>－</modifiedWord>
      <trackRevisions>false</trackRevisions>
    </reviewItem>
    <reviewItem>
      <errorID>c7c92278-ce5b-4c7a-81de-f2ee770ae228</errorID>
      <errorWord>）</errorWord>
      <group>L1_Punc</group>
      <groupName>标点问题</groupName>
      <ability>L2_Punc_CN</ability>
      <abilityName>标点符号问题</abilityName>
      <candidateList/>
      <explain>同一形式括号套用。</explain>
      <paraID>49F76886</paraID>
      <start>23</start>
      <end>24</end>
      <status>ignored</status>
      <modifiedWord/>
      <trackRevisions>false</trackRevisions>
    </reviewItem>
    <reviewItem>
      <errorID>46ba2ed9-1a39-4e2c-a7a0-1f0786781de4</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5E603814</paraID>
      <start>0</start>
      <end>6</end>
      <status>modified</status>
      <modifiedWord>“三公”经费</modifiedWord>
      <trackRevisions>false</trackRevisions>
    </reviewItem>
    <reviewItem>
      <errorID>4bc73136-b5a0-4d9d-8c20-38f0e60411d0</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5E603814</paraID>
      <start>17</start>
      <end>23</end>
      <status>modified</status>
      <modifiedWord>“三公”经费</modifiedWord>
      <trackRevisions>false</trackRevisions>
    </reviewItem>
    <reviewItem>
      <errorID>a4dc7a5e-1634-4981-838b-b03f0110a897</errorID>
      <errorWord>-</errorWord>
      <group>L1_Format</group>
      <groupName>格式问题</groupName>
      <ability>L2_HalfPunc_CN</ability>
      <abilityName>全半角问题</abilityName>
      <candidateList>
        <item>－</item>
      </candidateList>
      <explain>文本全半角错误。</explain>
      <paraID>7D2A94FB</paraID>
      <start>21</start>
      <end>22</end>
      <status>modified</status>
      <modifiedWord>－</modifiedWord>
      <trackRevisions>false</trackRevisions>
    </reviewItem>
    <reviewItem>
      <errorID>f3c07f3c-b4ac-45da-aac7-b092908fa13b</errorID>
      <errorWord>增强</errorWord>
      <group>L1_Grammar</group>
      <groupName>语法问题</groupName>
      <ability>L2_Grammar</ability>
      <abilityName>语法错误</abilityName>
      <candidateList>
        <item>强化</item>
      </candidateList>
      <explain>“增强～管理”搭配不当，建议修改为“强化～管理”。</explain>
      <paraID>4EE3E475</paraID>
      <start>62</start>
      <end>64</end>
      <status>modified</status>
      <modifiedWord>强化</modifiedWord>
      <trackRevisions>false</trackRevisions>
    </reviewItem>
    <reviewItem>
      <errorID>7c7d1f03-3dd4-475b-b6c1-d2fd4e92bf50</errorID>
      <errorWord>;</errorWord>
      <group>L1_Format</group>
      <groupName>格式问题</groupName>
      <ability>L2_HalfPunc_CN</ability>
      <abilityName>全半角问题</abilityName>
      <candidateList>
        <item>；</item>
      </candidateList>
      <explain>文本全半角错误。</explain>
      <paraID>3BAFE5D6</paraID>
      <start>46</start>
      <end>47</end>
      <status>modified</status>
      <modifiedWord>；</modifiedWord>
      <trackRevisions>false</trackRevisions>
    </reviewItem>
    <reviewItem>
      <errorID>9f8f2eb5-04bd-41e5-84b4-a037386fa285</errorID>
      <errorWord>,</errorWord>
      <group>L1_Format</group>
      <groupName>格式问题</groupName>
      <ability>L2_HalfPunc_CN</ability>
      <abilityName>全半角问题</abilityName>
      <candidateList>
        <item>，</item>
      </candidateList>
      <explain>文本全半角错误。</explain>
      <paraID>3BAFE5D6</paraID>
      <start>65</start>
      <end>66</end>
      <status>modified</status>
      <modifiedWord>，</modifiedWord>
      <trackRevisions>false</trackRevisions>
    </reviewItem>
    <reviewItem>
      <errorID>81c6b898-f852-4dc3-bb88-f7b082c545ad</errorID>
      <errorWord>.</errorWord>
      <group>L1_Format</group>
      <groupName>格式问题</groupName>
      <ability>L2_HalfPunc_CN</ability>
      <abilityName>全半角问题</abilityName>
      <candidateList>
        <item>。</item>
      </candidateList>
      <explain>文本全半角错误。</explain>
      <paraID>3BAFE5D6</paraID>
      <start>94</start>
      <end>95</end>
      <status>modified</status>
      <modifiedWord>。</modifiedWord>
      <trackRevisions>false</trackRevisions>
    </reviewItem>
    <reviewItem>
      <errorID>bb7de9d4-94bf-4e58-8c8b-189388721fd0</errorID>
      <errorWord>;</errorWord>
      <group>L1_Format</group>
      <groupName>格式问题</groupName>
      <ability>L2_HalfPunc_CN</ability>
      <abilityName>全半角问题</abilityName>
      <candidateList>
        <item>；</item>
      </candidateList>
      <explain>文本全半角错误。</explain>
      <paraID>5608A149</paraID>
      <start>46</start>
      <end>47</end>
      <status>modified</status>
      <modifiedWord>；</modifiedWord>
      <trackRevisions>false</trackRevisions>
    </reviewItem>
    <reviewItem>
      <errorID>43e95fd1-0776-47b7-a5e8-9f4f30bab161</errorID>
      <errorWord>,</errorWord>
      <group>L1_Format</group>
      <groupName>格式问题</groupName>
      <ability>L2_HalfPunc_CN</ability>
      <abilityName>全半角问题</abilityName>
      <candidateList>
        <item>，</item>
      </candidateList>
      <explain>文本全半角错误。</explain>
      <paraID>5608A149</paraID>
      <start>65</start>
      <end>66</end>
      <status>modified</status>
      <modifiedWord>，</modifiedWord>
      <trackRevisions>false</trackRevisions>
    </reviewItem>
    <reviewItem>
      <errorID>434dee87-4424-45aa-985b-e3318264e795</errorID>
      <errorWord>.</errorWord>
      <group>L1_Format</group>
      <groupName>格式问题</groupName>
      <ability>L2_HalfPunc_CN</ability>
      <abilityName>全半角问题</abilityName>
      <candidateList>
        <item>。</item>
      </candidateList>
      <explain>文本全半角错误。</explain>
      <paraID>5608A149</paraID>
      <start>94</start>
      <end>95</end>
      <status>modified</status>
      <modifiedWord>。</modifiedWord>
      <trackRevisions>false</trackRevisions>
    </reviewItem>
    <reviewItem>
      <errorID>e2036891-97fa-4003-a29b-d86ae49d17b7</errorID>
      <errorWord>-</errorWord>
      <group>L1_Format</group>
      <groupName>格式问题</groupName>
      <ability>L2_HalfPunc_CN</ability>
      <abilityName>全半角问题</abilityName>
      <candidateList>
        <item>－</item>
      </candidateList>
      <explain>文本全半角错误。</explain>
      <paraID>463B3371</paraID>
      <start>21</start>
      <end>22</end>
      <status>modified</status>
      <modifiedWord>－</modifiedWord>
      <trackRevisions>false</trackRevisions>
    </reviewItem>
    <reviewItem>
      <errorID>88d6b60e-fa0b-4d6f-a3d9-2bdf12fb20a1</errorID>
      <errorWord>;</errorWord>
      <group>L1_Format</group>
      <groupName>格式问题</groupName>
      <ability>L2_HalfPunc_CN</ability>
      <abilityName>全半角问题</abilityName>
      <candidateList>
        <item>；</item>
      </candidateList>
      <explain>文本全半角错误。</explain>
      <paraID>39C2E5F9</paraID>
      <start>46</start>
      <end>47</end>
      <status>modified</status>
      <modifiedWord>；</modifiedWord>
      <trackRevisions>false</trackRevisions>
    </reviewItem>
    <reviewItem>
      <errorID>bf5772e1-0be5-445f-9ba1-acd65cc5380a</errorID>
      <errorWord>,</errorWord>
      <group>L1_Format</group>
      <groupName>格式问题</groupName>
      <ability>L2_HalfPunc_CN</ability>
      <abilityName>全半角问题</abilityName>
      <candidateList>
        <item>，</item>
      </candidateList>
      <explain>文本全半角错误。</explain>
      <paraID>39C2E5F9</paraID>
      <start>65</start>
      <end>66</end>
      <status>modified</status>
      <modifiedWord>，</modifiedWord>
      <trackRevisions>false</trackRevisions>
    </reviewItem>
    <reviewItem>
      <errorID>d1664d1d-3a9b-4a9b-acda-9ac127924136</errorID>
      <errorWord>.</errorWord>
      <group>L1_Format</group>
      <groupName>格式问题</groupName>
      <ability>L2_HalfPunc_CN</ability>
      <abilityName>全半角问题</abilityName>
      <candidateList>
        <item>。</item>
      </candidateList>
      <explain>文本全半角错误。</explain>
      <paraID>39C2E5F9</paraID>
      <start>94</start>
      <end>95</end>
      <status>modified</status>
      <modifiedWord>。</modifiedWord>
      <trackRevisions>false</trackRevisions>
    </reviewItem>
    <reviewItem>
      <errorID>94f037d0-4cb3-4f35-b44d-f0de534fff52</errorID>
      <errorWord>，</errorWord>
      <group>L1_Word</group>
      <groupName>字词问题</groupName>
      <ability>L2_Typo</ability>
      <abilityName>字词错误</abilityName>
      <candidateList>
        <item>，是</item>
      </candidateList>
      <explain/>
      <paraID>6D076864</paraID>
      <start>61</start>
      <end>63</end>
      <status>modified</status>
      <modifiedWord>，是</modifiedWord>
      <trackRevisions>false</trackRevisions>
    </reviewItem>
    <reviewItem>
      <errorID>597fe4e0-bc67-4fda-9df2-39bfd452dd95</errorID>
      <errorWord>.</errorWord>
      <group>L1_Format</group>
      <groupName>格式问题</groupName>
      <ability>L2_HalfPunc_CN</ability>
      <abilityName>全半角问题</abilityName>
      <candidateList>
        <item>。</item>
      </candidateList>
      <explain>文本全半角错误。</explain>
      <paraID>32866D65</paraID>
      <start>60</start>
      <end>61</end>
      <status>modified</status>
      <modifiedWord>。</modifiedWord>
      <trackRevisions>false</trackRevisions>
    </reviewItem>
    <reviewItem>
      <errorID>287aff18-46d3-4048-a031-f0eb70113d3d</errorID>
      <errorWord>村两委</errorWord>
      <group>L1_Political</group>
      <groupName>政治性问题</groupName>
      <ability>L2_Keyword</ability>
      <abilityName>固定表述</abilityName>
      <candidateList>
        <item>村“两委”</item>
      </candidateList>
      <explain>注意检查当前固定表述标点是否使用规范。</explain>
      <paraID>16EEB00A</paraID>
      <start>8</start>
      <end>13</end>
      <status>modified</status>
      <modifiedWord>村“两委”</modifiedWord>
      <trackRevisions>false</trackRevisions>
    </reviewItem>
    <reviewItem>
      <errorID>4988c03d-a7f2-470d-b61b-5c7d6119a67a</errorID>
      <errorWord>万</errorWord>
      <group>L1_Word</group>
      <groupName>字词问题</groupName>
      <ability>L2_Typo</ability>
      <abilityName>字词错误</abilityName>
      <candidateList>
        <item>万元</item>
      </candidateList>
      <explain/>
      <paraID>12CE4340</paraID>
      <start>90</start>
      <end>92</end>
      <status>modified</status>
      <modifiedWord>万元</modifiedWord>
      <trackRevisions>false</trackRevisions>
    </reviewItem>
    <reviewItem>
      <errorID>83582806-cefa-4e4a-84dc-7876e812aec0</errorID>
      <errorWord>万</errorWord>
      <group>L1_Word</group>
      <groupName>字词问题</groupName>
      <ability>L2_Typo</ability>
      <abilityName>字词错误</abilityName>
      <candidateList>
        <item>万元</item>
      </candidateList>
      <explain/>
      <paraID>12CE4340</paraID>
      <start>102</start>
      <end>104</end>
      <status>modified</status>
      <modifiedWord>万元</modifiedWord>
      <trackRevisions>false</trackRevisions>
    </reviewItem>
  </reviewItems>
  <config/>
</contractReview>
</file>

<file path=customXml/itemProps1.xml><?xml version="1.0" encoding="utf-8"?>
<ds:datastoreItem xmlns:ds="http://schemas.openxmlformats.org/officeDocument/2006/customXml" ds:itemID="{5fae62d3-6901-4ae6-802f-f9b0cb7676ec}">
  <ds:schemaRefs/>
</ds:datastoreItem>
</file>

<file path=docProps/app.xml><?xml version="1.0" encoding="utf-8"?>
<Properties xmlns="http://schemas.openxmlformats.org/officeDocument/2006/extended-properties" xmlns:vt="http://schemas.openxmlformats.org/officeDocument/2006/docPropsVTypes">
  <Pages>48</Pages>
  <Words>15628</Words>
  <Characters>16796</Characters>
  <TotalTime>4</TotalTime>
  <ScaleCrop>false</ScaleCrop>
  <LinksUpToDate>false</LinksUpToDate>
  <CharactersWithSpaces>16813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2018-11-27T09:47:00Z</dcterms:created>
  <dc:creator>user</dc:creator>
  <cp:lastModifiedBy>奕夕^_^</cp:lastModifiedBy>
  <dcterms:modified xsi:type="dcterms:W3CDTF">2026-10-13T02:03:53Z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364A42F2F41545D59B6B3301FA724D4C_13</vt:lpwstr>
  </property>
  <property fmtid="{D5CDD505-2E9C-101B-9397-08002B2CF9AE}" pid="3" name="KSOProductBuildVer">
    <vt:lpwstr>2052-12.1.0.28505</vt:lpwstr>
  </property>
  <property fmtid="{D5CDD505-2E9C-101B-9397-08002B2CF9AE}" pid="4" name="KSOTemplateDocerSaveRecord">
    <vt:lpwstr>eyJoZGlkIjoiNTU1MWNhN2ZmY2ZhZmY3ODhlYTg0MWU5OGMyY2QwZmUiLCJ1c2VySWQiOiI0MzQ2NTM0NzEifQ==</vt:lpwstr>
  </property>
  <property fmtid="{D5CDD505-2E9C-101B-9397-08002B2CF9AE}" pid="5" name="commondata">
    <vt:lpwstr>commondata</vt:lpwstr>
  </property>
</Properties>
</file>