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9663AC7">
      <w:pPr>
        <w:pStyle w:val="7"/>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color w:val="000000"/>
          <w:kern w:val="2"/>
          <w:sz w:val="44"/>
          <w:szCs w:val="44"/>
          <w:highlight w:val="none"/>
          <w:lang w:val="en-US" w:eastAsia="zh-CN" w:bidi="ar-SA"/>
        </w:rPr>
      </w:pPr>
    </w:p>
    <w:p w14:paraId="5770E320">
      <w:pPr>
        <w:pStyle w:val="7"/>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color w:val="000000"/>
          <w:kern w:val="2"/>
          <w:sz w:val="44"/>
          <w:szCs w:val="44"/>
          <w:highlight w:val="none"/>
          <w:lang w:val="en-US" w:eastAsia="zh-CN" w:bidi="ar-SA"/>
        </w:rPr>
      </w:pPr>
      <w:r>
        <w:rPr>
          <w:rFonts w:hint="default" w:ascii="Times New Roman" w:hAnsi="Times New Roman" w:eastAsia="方正小标宋简体" w:cs="Times New Roman"/>
          <w:color w:val="000000"/>
          <w:kern w:val="2"/>
          <w:sz w:val="44"/>
          <w:szCs w:val="44"/>
          <w:lang w:val="en-US" w:eastAsia="zh-CN" w:bidi="ar-SA"/>
        </w:rPr>
        <w:t>2025年度四川省阿坝州松潘县</w:t>
      </w:r>
    </w:p>
    <w:p w14:paraId="55A15D69">
      <w:pPr>
        <w:pStyle w:val="7"/>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color w:val="000000"/>
          <w:kern w:val="2"/>
          <w:sz w:val="44"/>
          <w:szCs w:val="44"/>
          <w:highlight w:val="none"/>
          <w:lang w:val="en-US" w:eastAsia="zh-CN" w:bidi="ar-SA"/>
        </w:rPr>
      </w:pPr>
      <w:r>
        <w:rPr>
          <w:rFonts w:hint="default" w:ascii="Times New Roman" w:hAnsi="Times New Roman" w:eastAsia="方正小标宋简体" w:cs="Times New Roman"/>
          <w:color w:val="000000"/>
          <w:kern w:val="2"/>
          <w:sz w:val="44"/>
          <w:szCs w:val="44"/>
          <w:lang w:val="en-US" w:eastAsia="zh-CN" w:bidi="ar-SA"/>
        </w:rPr>
        <w:t>小姓乡人民政府单位决算</w:t>
      </w:r>
    </w:p>
    <w:p w14:paraId="142EE414">
      <w:pPr>
        <w:pStyle w:val="7"/>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color w:val="000000"/>
          <w:kern w:val="2"/>
          <w:sz w:val="44"/>
          <w:szCs w:val="44"/>
          <w:highlight w:val="none"/>
          <w:lang w:val="en-US" w:eastAsia="zh-CN" w:bidi="ar-SA"/>
        </w:rPr>
      </w:pPr>
      <w:r>
        <w:rPr>
          <w:rFonts w:hint="default" w:ascii="Times New Roman" w:hAnsi="Times New Roman" w:eastAsia="方正小标宋简体" w:cs="Times New Roman"/>
          <w:color w:val="000000"/>
          <w:kern w:val="2"/>
          <w:sz w:val="44"/>
          <w:szCs w:val="44"/>
          <w:lang w:val="en-US" w:eastAsia="zh-CN" w:bidi="ar-SA"/>
        </w:rPr>
        <w:t>（单位公开）</w:t>
      </w:r>
      <w:r>
        <w:rPr>
          <w:rFonts w:hint="default" w:ascii="Times New Roman" w:hAnsi="Times New Roman" w:cs="Times New Roman"/>
        </w:rPr>
        <w:br w:type="page"/>
      </w:r>
    </w:p>
    <w:p w14:paraId="62856925">
      <w:pPr>
        <w:widowControl/>
        <w:jc w:val="center"/>
        <w:rPr>
          <w:rFonts w:hint="default" w:ascii="Times New Roman" w:hAnsi="Times New Roman" w:eastAsia="黑体" w:cs="Times New Roman"/>
          <w:color w:val="000000"/>
          <w:sz w:val="44"/>
          <w:szCs w:val="44"/>
          <w:highlight w:val="none"/>
        </w:rPr>
      </w:pPr>
      <w:r>
        <w:rPr>
          <w:rFonts w:hint="default" w:ascii="Times New Roman" w:hAnsi="Times New Roman" w:eastAsia="黑体" w:cs="Times New Roman"/>
          <w:color w:val="000000"/>
          <w:sz w:val="44"/>
          <w:szCs w:val="44"/>
        </w:rPr>
        <w:t>目录</w:t>
      </w:r>
    </w:p>
    <w:p w14:paraId="6B4979EC">
      <w:pPr>
        <w:widowControl/>
        <w:jc w:val="center"/>
        <w:rPr>
          <w:rFonts w:hint="default" w:ascii="Times New Roman" w:hAnsi="Times New Roman" w:eastAsia="黑体" w:cs="Times New Roman"/>
          <w:color w:val="000000"/>
          <w:sz w:val="28"/>
          <w:szCs w:val="28"/>
          <w:highlight w:val="none"/>
        </w:rPr>
      </w:pPr>
    </w:p>
    <w:p w14:paraId="08D7BCEB">
      <w:pPr>
        <w:pStyle w:val="10"/>
        <w:rPr>
          <w:rFonts w:hint="default" w:ascii="Times New Roman" w:hAnsi="Times New Roman" w:eastAsia="黑体" w:cs="Times New Roman"/>
          <w:color w:val="000000"/>
          <w:highlight w:val="none"/>
        </w:rPr>
      </w:pPr>
      <w:r>
        <w:rPr>
          <w:rFonts w:hint="default" w:ascii="Times New Roman" w:hAnsi="Times New Roman" w:eastAsia="黑体" w:cs="Times New Roman"/>
          <w:color w:val="000000"/>
        </w:rPr>
        <w:t>公开时间：2026年10月1</w:t>
      </w:r>
      <w:r>
        <w:rPr>
          <w:rFonts w:hint="default" w:ascii="Times New Roman" w:hAnsi="Times New Roman" w:eastAsia="黑体" w:cs="Times New Roman"/>
          <w:color w:val="000000"/>
          <w:lang w:val="en-US" w:eastAsia="zh-CN"/>
        </w:rPr>
        <w:t>3</w:t>
      </w:r>
      <w:r>
        <w:rPr>
          <w:rFonts w:hint="default" w:ascii="Times New Roman" w:hAnsi="Times New Roman" w:eastAsia="黑体" w:cs="Times New Roman"/>
          <w:color w:val="000000"/>
        </w:rPr>
        <w:t>日</w:t>
      </w:r>
    </w:p>
    <w:p w14:paraId="0D3F0594">
      <w:pPr>
        <w:rPr>
          <w:rFonts w:hint="default" w:ascii="Times New Roman" w:hAnsi="Times New Roman" w:cs="Times New Roman"/>
          <w:color w:val="000000"/>
          <w:highlight w:val="none"/>
        </w:rPr>
      </w:pPr>
    </w:p>
    <w:p w14:paraId="2919D416">
      <w:pPr>
        <w:pStyle w:val="10"/>
        <w:snapToGrid w:val="0"/>
        <w:spacing w:before="0" w:after="0" w:line="440" w:lineRule="exact"/>
        <w:jc w:val="left"/>
        <w:rPr>
          <w:rFonts w:hint="default" w:ascii="Times New Roman" w:hAnsi="Times New Roman" w:eastAsia="方正仿宋" w:cs="Times New Roman"/>
          <w:color w:val="000000"/>
          <w:sz w:val="32"/>
          <w:szCs w:val="32"/>
          <w:highlight w:val="none"/>
        </w:rPr>
      </w:pPr>
      <w:r>
        <w:rPr>
          <w:rFonts w:hint="default" w:ascii="Times New Roman" w:hAnsi="Times New Roman" w:eastAsia="黑体" w:cs="Times New Roman"/>
          <w:color w:val="000000"/>
          <w:sz w:val="32"/>
          <w:szCs w:val="32"/>
        </w:rPr>
        <w:t xml:space="preserve">第一部分 </w:t>
      </w:r>
      <w:r>
        <w:rPr>
          <w:rFonts w:hint="default" w:ascii="Times New Roman" w:hAnsi="Times New Roman" w:eastAsia="黑体" w:cs="Times New Roman"/>
          <w:color w:val="000000"/>
          <w:sz w:val="32"/>
          <w:szCs w:val="32"/>
          <w:lang w:eastAsia="zh-CN"/>
        </w:rPr>
        <w:t>单位</w:t>
      </w:r>
      <w:r>
        <w:rPr>
          <w:rFonts w:hint="default" w:ascii="Times New Roman" w:hAnsi="Times New Roman" w:eastAsia="黑体" w:cs="Times New Roman"/>
          <w:color w:val="000000"/>
          <w:sz w:val="32"/>
          <w:szCs w:val="32"/>
        </w:rPr>
        <w:t>概况</w:t>
      </w:r>
    </w:p>
    <w:p w14:paraId="4152771F">
      <w:pPr>
        <w:pStyle w:val="14"/>
        <w:snapToGrid w:val="0"/>
        <w:spacing w:line="440" w:lineRule="exact"/>
        <w:jc w:val="left"/>
        <w:rPr>
          <w:rFonts w:hint="default" w:ascii="Times New Roman" w:hAnsi="Times New Roman" w:eastAsia="楷体_GB2312" w:cs="Times New Roman"/>
          <w:color w:val="000000"/>
          <w:sz w:val="32"/>
          <w:szCs w:val="32"/>
          <w:highlight w:val="none"/>
          <w:lang w:eastAsia="zh-CN"/>
        </w:rPr>
      </w:pPr>
      <w:r>
        <w:rPr>
          <w:rFonts w:hint="default" w:ascii="Times New Roman" w:hAnsi="Times New Roman" w:eastAsia="楷体_GB2312" w:cs="Times New Roman"/>
          <w:color w:val="000000"/>
          <w:sz w:val="32"/>
          <w:szCs w:val="32"/>
        </w:rPr>
        <w:t>一、</w:t>
      </w:r>
      <w:r>
        <w:rPr>
          <w:rFonts w:hint="default" w:ascii="Times New Roman" w:hAnsi="Times New Roman" w:eastAsia="楷体_GB2312" w:cs="Times New Roman"/>
          <w:color w:val="000000"/>
          <w:sz w:val="32"/>
          <w:szCs w:val="32"/>
          <w:lang w:eastAsia="zh-CN"/>
        </w:rPr>
        <w:t>主要职责</w:t>
      </w:r>
    </w:p>
    <w:p w14:paraId="73A61B2D">
      <w:pPr>
        <w:pStyle w:val="14"/>
        <w:snapToGrid w:val="0"/>
        <w:spacing w:line="440" w:lineRule="exact"/>
        <w:jc w:val="left"/>
        <w:rPr>
          <w:rFonts w:hint="default" w:ascii="Times New Roman" w:hAnsi="Times New Roman" w:eastAsia="楷体_GB2312" w:cs="Times New Roman"/>
          <w:color w:val="000000"/>
          <w:sz w:val="32"/>
          <w:szCs w:val="32"/>
          <w:lang w:eastAsia="zh-CN"/>
        </w:rPr>
      </w:pPr>
      <w:r>
        <w:rPr>
          <w:rFonts w:hint="default" w:ascii="Times New Roman" w:hAnsi="Times New Roman" w:eastAsia="楷体_GB2312" w:cs="Times New Roman"/>
          <w:color w:val="000000"/>
          <w:sz w:val="32"/>
          <w:szCs w:val="32"/>
          <w:lang w:eastAsia="zh-CN"/>
        </w:rPr>
        <w:t>二</w:t>
      </w:r>
      <w:r>
        <w:rPr>
          <w:rFonts w:hint="default" w:ascii="Times New Roman" w:hAnsi="Times New Roman" w:eastAsia="楷体_GB2312" w:cs="Times New Roman"/>
          <w:color w:val="000000"/>
          <w:sz w:val="32"/>
          <w:szCs w:val="32"/>
        </w:rPr>
        <w:t>、</w:t>
      </w:r>
      <w:r>
        <w:rPr>
          <w:rFonts w:hint="default" w:ascii="Times New Roman" w:hAnsi="Times New Roman" w:eastAsia="楷体_GB2312" w:cs="Times New Roman"/>
          <w:color w:val="000000"/>
          <w:sz w:val="32"/>
          <w:szCs w:val="32"/>
          <w:lang w:eastAsia="zh-CN"/>
        </w:rPr>
        <w:t>机构设置</w:t>
      </w:r>
    </w:p>
    <w:p w14:paraId="4D2DF512">
      <w:pPr>
        <w:pStyle w:val="10"/>
        <w:keepNext w:val="0"/>
        <w:keepLines w:val="0"/>
        <w:pageBreakBefore w:val="0"/>
        <w:kinsoku/>
        <w:wordWrap/>
        <w:overflowPunct/>
        <w:topLinePunct w:val="0"/>
        <w:autoSpaceDE/>
        <w:autoSpaceDN/>
        <w:bidi w:val="0"/>
        <w:adjustRightInd/>
        <w:snapToGrid w:val="0"/>
        <w:spacing w:before="0" w:after="0" w:line="480" w:lineRule="exact"/>
        <w:jc w:val="left"/>
        <w:textAlignment w:val="auto"/>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rPr>
        <w:t>第二部分 2025年度单位决算情况说明</w:t>
      </w:r>
    </w:p>
    <w:p w14:paraId="054153A7">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一、收入支出决算总体情况说明</w:t>
      </w:r>
    </w:p>
    <w:p w14:paraId="3200EA40">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二、收入决算情况说明</w:t>
      </w:r>
    </w:p>
    <w:p w14:paraId="07F67AA1">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三、支出决算情况说明</w:t>
      </w:r>
    </w:p>
    <w:p w14:paraId="7E63E6E6">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四、财政拨款收入支出决算总体情况说明</w:t>
      </w:r>
    </w:p>
    <w:p w14:paraId="3C8DD967">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五、一般公共预算财政拨款支出决算情况说明</w:t>
      </w:r>
    </w:p>
    <w:p w14:paraId="7758EAE6">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六、一般公共预算财政拨款基本支出决算情况说明</w:t>
      </w:r>
    </w:p>
    <w:p w14:paraId="549F5ADB">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七、财政拨款</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三公</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经费支出决算情况说明</w:t>
      </w:r>
    </w:p>
    <w:p w14:paraId="403B9AC6">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八、政府性基金预算支出决算情况说明</w:t>
      </w:r>
    </w:p>
    <w:p w14:paraId="2D820948">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九、国有资本经营预算支出决算情况说明</w:t>
      </w:r>
    </w:p>
    <w:p w14:paraId="416852E8">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lang w:eastAsia="zh-CN"/>
        </w:rPr>
      </w:pPr>
      <w:r>
        <w:rPr>
          <w:rFonts w:hint="default" w:ascii="Times New Roman" w:hAnsi="Times New Roman" w:eastAsia="楷体_GB2312" w:cs="Times New Roman"/>
          <w:color w:val="000000"/>
          <w:sz w:val="32"/>
          <w:szCs w:val="32"/>
        </w:rPr>
        <w:t>十、其他重要事项的情况说明</w:t>
      </w:r>
    </w:p>
    <w:p w14:paraId="27F5BC1B">
      <w:pPr>
        <w:pStyle w:val="10"/>
        <w:keepNext w:val="0"/>
        <w:keepLines w:val="0"/>
        <w:pageBreakBefore w:val="0"/>
        <w:kinsoku/>
        <w:wordWrap/>
        <w:overflowPunct/>
        <w:topLinePunct w:val="0"/>
        <w:autoSpaceDE/>
        <w:autoSpaceDN/>
        <w:bidi w:val="0"/>
        <w:adjustRightInd/>
        <w:snapToGrid w:val="0"/>
        <w:spacing w:before="0" w:after="0" w:line="480" w:lineRule="exact"/>
        <w:jc w:val="left"/>
        <w:textAlignment w:val="auto"/>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rPr>
        <w:t>第三部分 名词解释</w:t>
      </w:r>
    </w:p>
    <w:p w14:paraId="61AA366A">
      <w:pPr>
        <w:pStyle w:val="10"/>
        <w:keepNext w:val="0"/>
        <w:keepLines w:val="0"/>
        <w:pageBreakBefore w:val="0"/>
        <w:kinsoku/>
        <w:wordWrap/>
        <w:overflowPunct/>
        <w:topLinePunct w:val="0"/>
        <w:autoSpaceDE/>
        <w:autoSpaceDN/>
        <w:bidi w:val="0"/>
        <w:adjustRightInd/>
        <w:snapToGrid w:val="0"/>
        <w:spacing w:before="0" w:after="0" w:line="480" w:lineRule="exact"/>
        <w:jc w:val="left"/>
        <w:textAlignment w:val="auto"/>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rPr>
        <w:t>第四部分 附件</w:t>
      </w:r>
    </w:p>
    <w:p w14:paraId="022B276A">
      <w:pPr>
        <w:pStyle w:val="10"/>
        <w:keepNext w:val="0"/>
        <w:keepLines w:val="0"/>
        <w:pageBreakBefore w:val="0"/>
        <w:kinsoku/>
        <w:wordWrap/>
        <w:overflowPunct/>
        <w:topLinePunct w:val="0"/>
        <w:autoSpaceDE/>
        <w:autoSpaceDN/>
        <w:bidi w:val="0"/>
        <w:adjustRightInd/>
        <w:snapToGrid w:val="0"/>
        <w:spacing w:before="0" w:after="0" w:line="480" w:lineRule="exact"/>
        <w:jc w:val="left"/>
        <w:textAlignment w:val="auto"/>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rPr>
        <w:t>第五部分 附表</w:t>
      </w:r>
    </w:p>
    <w:p w14:paraId="736C9C17">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一、收入支出决算总表</w:t>
      </w:r>
    </w:p>
    <w:p w14:paraId="5C26AB8A">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二、收入决算表</w:t>
      </w:r>
    </w:p>
    <w:p w14:paraId="762712B1">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三、支出决算表</w:t>
      </w:r>
    </w:p>
    <w:p w14:paraId="02581DBE">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四、财政拨款收入支出决算总表</w:t>
      </w:r>
    </w:p>
    <w:p w14:paraId="6751A70B">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五、财政拨款支出决算明细表</w:t>
      </w:r>
    </w:p>
    <w:p w14:paraId="5196AF7E">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六、一般公共预算财政拨款支出决算表</w:t>
      </w:r>
    </w:p>
    <w:p w14:paraId="41301942">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七、一般公共预算财政拨款支出决算明细表</w:t>
      </w:r>
    </w:p>
    <w:p w14:paraId="45DE2418">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八、一般公共预算财政拨款基本支出决算</w:t>
      </w:r>
      <w:r>
        <w:rPr>
          <w:rFonts w:hint="default" w:ascii="Times New Roman" w:hAnsi="Times New Roman" w:eastAsia="楷体_GB2312" w:cs="Times New Roman"/>
          <w:color w:val="000000"/>
          <w:sz w:val="32"/>
          <w:szCs w:val="32"/>
          <w:lang w:eastAsia="zh-CN"/>
        </w:rPr>
        <w:t>明细</w:t>
      </w:r>
      <w:r>
        <w:rPr>
          <w:rFonts w:hint="default" w:ascii="Times New Roman" w:hAnsi="Times New Roman" w:eastAsia="楷体_GB2312" w:cs="Times New Roman"/>
          <w:color w:val="000000"/>
          <w:sz w:val="32"/>
          <w:szCs w:val="32"/>
        </w:rPr>
        <w:t>表</w:t>
      </w:r>
    </w:p>
    <w:p w14:paraId="19320889">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九、一般公共预算财政拨款项目支出决算表</w:t>
      </w:r>
    </w:p>
    <w:p w14:paraId="1FA7807F">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十、政府性基金预算财政拨款收入支出决算表</w:t>
      </w:r>
    </w:p>
    <w:p w14:paraId="2669D446">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十一、国有资本经营预算财政拨款收入支出决算表</w:t>
      </w:r>
    </w:p>
    <w:p w14:paraId="7ED29862">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十二、</w:t>
      </w:r>
      <w:r>
        <w:rPr>
          <w:rFonts w:hint="default" w:ascii="Times New Roman" w:hAnsi="Times New Roman" w:eastAsia="楷体_GB2312" w:cs="Times New Roman"/>
          <w:color w:val="000000"/>
          <w:sz w:val="32"/>
          <w:szCs w:val="32"/>
          <w:lang w:val="en-US" w:eastAsia="zh-CN"/>
        </w:rPr>
        <w:t>国有资本经营预算财政拨款支出决算表</w:t>
      </w:r>
    </w:p>
    <w:p w14:paraId="6F4790D4">
      <w:pPr>
        <w:pStyle w:val="14"/>
        <w:keepNext w:val="0"/>
        <w:keepLines w:val="0"/>
        <w:pageBreakBefore w:val="0"/>
        <w:kinsoku/>
        <w:wordWrap/>
        <w:overflowPunct/>
        <w:topLinePunct w:val="0"/>
        <w:autoSpaceDE/>
        <w:autoSpaceDN/>
        <w:bidi w:val="0"/>
        <w:adjustRightInd/>
        <w:snapToGrid w:val="0"/>
        <w:spacing w:line="480" w:lineRule="exact"/>
        <w:jc w:val="left"/>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rPr>
        <w:t>十三、财政拨款</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三公</w:t>
      </w:r>
      <w:r>
        <w:rPr>
          <w:rFonts w:hint="eastAsia"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经费支出决算表</w:t>
      </w:r>
    </w:p>
    <w:p w14:paraId="45D8298D">
      <w:pPr>
        <w:keepNext w:val="0"/>
        <w:keepLines w:val="0"/>
        <w:pageBreakBefore w:val="0"/>
        <w:widowControl/>
        <w:kinsoku/>
        <w:wordWrap/>
        <w:overflowPunct/>
        <w:topLinePunct w:val="0"/>
        <w:autoSpaceDE/>
        <w:autoSpaceDN/>
        <w:bidi w:val="0"/>
        <w:adjustRightInd/>
        <w:snapToGrid w:val="0"/>
        <w:spacing w:line="480" w:lineRule="exact"/>
        <w:ind w:firstLine="1760"/>
        <w:jc w:val="left"/>
        <w:textAlignment w:val="auto"/>
        <w:rPr>
          <w:rFonts w:hint="default" w:ascii="Times New Roman" w:hAnsi="Times New Roman" w:eastAsia="楷体_GB2312" w:cs="Times New Roman"/>
          <w:color w:val="000000"/>
          <w:sz w:val="32"/>
          <w:szCs w:val="32"/>
          <w:lang w:eastAsia="zh-CN"/>
        </w:rPr>
      </w:pPr>
    </w:p>
    <w:p w14:paraId="5FB82922">
      <w:pPr>
        <w:keepNext w:val="0"/>
        <w:keepLines w:val="0"/>
        <w:pageBreakBefore w:val="0"/>
        <w:widowControl/>
        <w:kinsoku/>
        <w:wordWrap/>
        <w:overflowPunct/>
        <w:topLinePunct w:val="0"/>
        <w:autoSpaceDE/>
        <w:autoSpaceDN/>
        <w:bidi w:val="0"/>
        <w:adjustRightInd/>
        <w:snapToGrid w:val="0"/>
        <w:spacing w:line="480" w:lineRule="exact"/>
        <w:ind w:firstLine="643" w:firstLineChars="200"/>
        <w:jc w:val="left"/>
        <w:textAlignment w:val="auto"/>
        <w:rPr>
          <w:rFonts w:hint="default" w:ascii="Times New Roman" w:hAnsi="Times New Roman" w:eastAsia="楷体_GB2312" w:cs="Times New Roman"/>
          <w:color w:val="000000"/>
          <w:sz w:val="32"/>
          <w:szCs w:val="32"/>
          <w:lang w:eastAsia="zh-CN"/>
        </w:rPr>
      </w:pPr>
      <w:r>
        <w:rPr>
          <w:rFonts w:hint="default" w:ascii="Times New Roman" w:hAnsi="Times New Roman" w:eastAsia="楷体_GB2312" w:cs="Times New Roman"/>
          <w:b/>
          <w:bCs/>
          <w:color w:val="000000"/>
          <w:sz w:val="32"/>
          <w:szCs w:val="32"/>
          <w:lang w:eastAsia="zh-CN"/>
        </w:rPr>
        <w:t>（</w:t>
      </w:r>
      <w:r>
        <w:rPr>
          <w:rFonts w:hint="default" w:ascii="Times New Roman" w:hAnsi="Times New Roman" w:eastAsia="楷体_GB2312" w:cs="Times New Roman"/>
          <w:b/>
          <w:bCs/>
          <w:color w:val="000000"/>
          <w:sz w:val="32"/>
          <w:szCs w:val="32"/>
        </w:rPr>
        <w:t>注：请</w:t>
      </w:r>
      <w:r>
        <w:rPr>
          <w:rFonts w:hint="default" w:ascii="Times New Roman" w:hAnsi="Times New Roman" w:eastAsia="楷体_GB2312" w:cs="Times New Roman"/>
          <w:b/>
          <w:bCs/>
          <w:color w:val="000000"/>
          <w:sz w:val="32"/>
          <w:szCs w:val="32"/>
          <w:lang w:eastAsia="zh-CN"/>
        </w:rPr>
        <w:t>单位</w:t>
      </w:r>
      <w:r>
        <w:rPr>
          <w:rFonts w:hint="default" w:ascii="Times New Roman" w:hAnsi="Times New Roman" w:eastAsia="楷体_GB2312" w:cs="Times New Roman"/>
          <w:b/>
          <w:bCs/>
          <w:color w:val="000000"/>
          <w:sz w:val="32"/>
          <w:szCs w:val="32"/>
        </w:rPr>
        <w:t>根据实际注明页码</w:t>
      </w:r>
      <w:r>
        <w:rPr>
          <w:rFonts w:hint="default" w:ascii="Times New Roman" w:hAnsi="Times New Roman" w:eastAsia="楷体_GB2312" w:cs="Times New Roman"/>
          <w:b/>
          <w:bCs/>
          <w:color w:val="000000"/>
          <w:sz w:val="32"/>
          <w:szCs w:val="32"/>
          <w:lang w:eastAsia="zh-CN"/>
        </w:rPr>
        <w:t>）</w:t>
      </w:r>
    </w:p>
    <w:p w14:paraId="1575ABA5">
      <w:pPr>
        <w:pStyle w:val="13"/>
        <w:rPr>
          <w:rFonts w:hint="default" w:ascii="Times New Roman" w:hAnsi="Times New Roman" w:eastAsia="黑体" w:cs="Times New Roman"/>
          <w:color w:val="000000"/>
          <w:sz w:val="32"/>
          <w:szCs w:val="32"/>
          <w:lang w:eastAsia="zh-CN"/>
        </w:rPr>
        <w:sectPr>
          <w:pgSz w:w="11906" w:h="16838"/>
          <w:pgMar w:top="1440" w:right="1800" w:bottom="1440" w:left="1800" w:header="0" w:footer="0" w:gutter="0"/>
          <w:pgNumType w:fmt="decimal"/>
          <w:cols w:space="720" w:num="1"/>
          <w:formProt w:val="0"/>
          <w:docGrid w:type="lines" w:linePitch="312" w:charSpace="0"/>
        </w:sectPr>
      </w:pPr>
    </w:p>
    <w:p w14:paraId="3B4B5E8D">
      <w:pPr>
        <w:pStyle w:val="4"/>
        <w:numPr>
          <w:ilvl w:val="0"/>
          <w:numId w:val="0"/>
        </w:numPr>
        <w:ind w:leftChars="0"/>
        <w:jc w:val="center"/>
        <w:rPr>
          <w:rStyle w:val="19"/>
          <w:rFonts w:hint="default" w:ascii="Times New Roman" w:hAnsi="Times New Roman" w:eastAsia="黑体" w:cs="Times New Roman"/>
          <w:b/>
          <w:bCs w:val="0"/>
          <w:color w:val="000000"/>
          <w:sz w:val="32"/>
          <w:szCs w:val="32"/>
          <w:highlight w:val="none"/>
        </w:rPr>
      </w:pPr>
      <w:r>
        <w:rPr>
          <w:rFonts w:hint="default" w:ascii="Times New Roman" w:hAnsi="Times New Roman" w:eastAsia="黑体" w:cs="Times New Roman"/>
          <w:b w:val="0"/>
          <w:color w:val="000000"/>
        </w:rPr>
        <w:t xml:space="preserve">第一部分 </w:t>
      </w:r>
      <w:r>
        <w:rPr>
          <w:rFonts w:hint="default" w:ascii="Times New Roman" w:hAnsi="Times New Roman" w:eastAsia="黑体" w:cs="Times New Roman"/>
          <w:b w:val="0"/>
          <w:color w:val="000000"/>
          <w:lang w:eastAsia="zh-CN"/>
        </w:rPr>
        <w:t>单位</w:t>
      </w:r>
      <w:r>
        <w:rPr>
          <w:rStyle w:val="19"/>
          <w:rFonts w:hint="default" w:ascii="Times New Roman" w:hAnsi="Times New Roman" w:eastAsia="黑体" w:cs="Times New Roman"/>
          <w:b w:val="0"/>
          <w:bCs w:val="0"/>
          <w:color w:val="000000"/>
        </w:rPr>
        <w:t>概况</w:t>
      </w:r>
    </w:p>
    <w:p w14:paraId="3C52F465">
      <w:pPr>
        <w:pStyle w:val="5"/>
        <w:pageBreakBefore w:val="0"/>
        <w:numPr>
          <w:ilvl w:val="1"/>
          <w:numId w:val="0"/>
        </w:numPr>
        <w:kinsoku/>
        <w:wordWrap/>
        <w:overflowPunct/>
        <w:topLinePunct w:val="0"/>
        <w:autoSpaceDN/>
        <w:bidi w:val="0"/>
        <w:adjustRightInd/>
        <w:spacing w:line="576" w:lineRule="exact"/>
        <w:ind w:leftChars="0" w:firstLine="640" w:firstLineChars="200"/>
        <w:jc w:val="both"/>
        <w:textAlignment w:val="auto"/>
        <w:rPr>
          <w:rFonts w:hint="default" w:ascii="Times New Roman" w:hAnsi="Times New Roman" w:eastAsia="楷体" w:cs="Times New Roman"/>
          <w:b/>
          <w:bCs/>
          <w:color w:val="000000"/>
          <w:kern w:val="2"/>
          <w:sz w:val="32"/>
          <w:szCs w:val="32"/>
          <w:lang w:val="zh-CN" w:eastAsia="zh-CN" w:bidi="ar-SA"/>
        </w:rPr>
      </w:pPr>
      <w:r>
        <w:rPr>
          <w:rStyle w:val="20"/>
          <w:rFonts w:hint="default" w:ascii="Times New Roman" w:hAnsi="Times New Roman" w:eastAsia="黑体" w:cs="Times New Roman"/>
          <w:b w:val="0"/>
          <w:bCs w:val="0"/>
          <w:color w:val="000000"/>
          <w:lang w:val="en-US" w:eastAsia="zh-CN"/>
        </w:rPr>
        <w:t>一、</w:t>
      </w:r>
      <w:r>
        <w:rPr>
          <w:rStyle w:val="20"/>
          <w:rFonts w:hint="default" w:ascii="Times New Roman" w:hAnsi="Times New Roman" w:eastAsia="黑体" w:cs="Times New Roman"/>
          <w:b w:val="0"/>
          <w:bCs w:val="0"/>
          <w:color w:val="000000"/>
          <w:lang w:eastAsia="zh-CN"/>
        </w:rPr>
        <w:t>主要职责</w:t>
      </w:r>
    </w:p>
    <w:p w14:paraId="4D0760D9">
      <w:pPr>
        <w:pStyle w:val="5"/>
        <w:pageBreakBefore w:val="0"/>
        <w:numPr>
          <w:ilvl w:val="1"/>
          <w:numId w:val="0"/>
        </w:numPr>
        <w:kinsoku/>
        <w:wordWrap/>
        <w:overflowPunct/>
        <w:topLinePunct w:val="0"/>
        <w:autoSpaceDN/>
        <w:bidi w:val="0"/>
        <w:adjustRightInd/>
        <w:spacing w:line="576" w:lineRule="exact"/>
        <w:ind w:leftChars="0" w:firstLine="643" w:firstLineChars="200"/>
        <w:jc w:val="both"/>
        <w:textAlignment w:val="auto"/>
        <w:rPr>
          <w:rFonts w:hint="default" w:ascii="Times New Roman" w:hAnsi="Times New Roman" w:eastAsia="楷体_GB2312" w:cs="Times New Roman"/>
          <w:b/>
          <w:bCs/>
          <w:color w:val="000000"/>
          <w:kern w:val="2"/>
          <w:sz w:val="32"/>
          <w:szCs w:val="32"/>
          <w:lang w:val="zh-CN" w:eastAsia="zh-CN" w:bidi="ar-SA"/>
        </w:rPr>
      </w:pPr>
      <w:r>
        <w:rPr>
          <w:rFonts w:hint="default" w:ascii="Times New Roman" w:hAnsi="Times New Roman" w:eastAsia="楷体_GB2312" w:cs="Times New Roman"/>
          <w:b/>
          <w:bCs/>
          <w:color w:val="000000"/>
          <w:kern w:val="2"/>
          <w:sz w:val="32"/>
          <w:szCs w:val="32"/>
          <w:lang w:val="zh-CN" w:eastAsia="zh-CN" w:bidi="ar-SA"/>
        </w:rPr>
        <w:t>（一）主要职能</w:t>
      </w:r>
    </w:p>
    <w:p w14:paraId="000A2F00">
      <w:pPr>
        <w:keepNext w:val="0"/>
        <w:keepLines w:val="0"/>
        <w:pageBreakBefore w:val="0"/>
        <w:kinsoku/>
        <w:wordWrap/>
        <w:overflowPunct/>
        <w:topLinePunct w:val="0"/>
        <w:autoSpaceDE/>
        <w:autoSpaceDN/>
        <w:bidi w:val="0"/>
        <w:adjustRightInd/>
        <w:spacing w:before="0" w:after="0" w:line="576"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1.贯彻落实党和政府各项路线方针政策、法规规章和上级机关的决定和命令，加强农村党组织建设和基层政权建设，巩固党在农村的执政基础；</w:t>
      </w:r>
    </w:p>
    <w:p w14:paraId="5F8D9A63">
      <w:pPr>
        <w:keepNext w:val="0"/>
        <w:keepLines w:val="0"/>
        <w:pageBreakBefore w:val="0"/>
        <w:kinsoku/>
        <w:wordWrap/>
        <w:overflowPunct/>
        <w:topLinePunct w:val="0"/>
        <w:autoSpaceDE/>
        <w:autoSpaceDN/>
        <w:bidi w:val="0"/>
        <w:adjustRightInd/>
        <w:spacing w:before="0" w:after="0" w:line="576"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2.负责拟订本行政区域经济社会发展和乡村建设等规划，组织农村基础设施和各项公益事业建设，加快经济社会发展，改善群众生活环境；</w:t>
      </w:r>
    </w:p>
    <w:p w14:paraId="70120950">
      <w:pPr>
        <w:keepNext w:val="0"/>
        <w:keepLines w:val="0"/>
        <w:pageBreakBefore w:val="0"/>
        <w:kinsoku/>
        <w:wordWrap/>
        <w:overflowPunct/>
        <w:topLinePunct w:val="0"/>
        <w:autoSpaceDE/>
        <w:autoSpaceDN/>
        <w:bidi w:val="0"/>
        <w:adjustRightInd/>
        <w:spacing w:before="0" w:after="0" w:line="576"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3.指导农村经济发展，推进农业结构调整，促进经济增长方式转变，组织引导农村富余劳动力转移与就业，促进农民增收；</w:t>
      </w:r>
    </w:p>
    <w:p w14:paraId="6D17F706">
      <w:pPr>
        <w:keepNext w:val="0"/>
        <w:keepLines w:val="0"/>
        <w:pageBreakBefore w:val="0"/>
        <w:kinsoku/>
        <w:wordWrap/>
        <w:overflowPunct/>
        <w:topLinePunct w:val="0"/>
        <w:autoSpaceDE/>
        <w:autoSpaceDN/>
        <w:bidi w:val="0"/>
        <w:adjustRightInd/>
        <w:spacing w:before="0" w:after="0" w:line="576"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4.负责抓好义务教育、人口和计划生育、民政事务、救灾救助、就业培训、社会保障、劳动关系协调和新型合作医疗实施等工作，加强农村精神文明建设，促进农村社会事业发展；</w:t>
      </w:r>
    </w:p>
    <w:p w14:paraId="3E725056">
      <w:pPr>
        <w:keepNext w:val="0"/>
        <w:keepLines w:val="0"/>
        <w:pageBreakBefore w:val="0"/>
        <w:kinsoku/>
        <w:wordWrap/>
        <w:overflowPunct/>
        <w:topLinePunct w:val="0"/>
        <w:autoSpaceDE/>
        <w:autoSpaceDN/>
        <w:bidi w:val="0"/>
        <w:adjustRightInd/>
        <w:spacing w:before="0" w:after="0" w:line="576"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5.推进基层民主</w:t>
      </w:r>
      <w:r>
        <w:rPr>
          <w:rFonts w:hint="eastAsia" w:ascii="Times New Roman" w:hAnsi="Times New Roman" w:eastAsia="仿宋_GB2312" w:cs="Times New Roman"/>
          <w:color w:val="000000"/>
          <w:sz w:val="32"/>
          <w:szCs w:val="32"/>
          <w:lang w:val="en-US" w:eastAsia="zh-CN"/>
        </w:rPr>
        <w:t>法治</w:t>
      </w:r>
      <w:r>
        <w:rPr>
          <w:rFonts w:hint="default" w:ascii="Times New Roman" w:hAnsi="Times New Roman" w:eastAsia="仿宋_GB2312" w:cs="Times New Roman"/>
          <w:color w:val="000000"/>
          <w:sz w:val="32"/>
          <w:szCs w:val="32"/>
          <w:lang w:val="en-US" w:eastAsia="zh-CN"/>
        </w:rPr>
        <w:t>建设，指导村（居）民委员会工作，维护群众合法权益；</w:t>
      </w:r>
    </w:p>
    <w:p w14:paraId="07AE1227">
      <w:pPr>
        <w:keepNext w:val="0"/>
        <w:keepLines w:val="0"/>
        <w:pageBreakBefore w:val="0"/>
        <w:kinsoku/>
        <w:wordWrap/>
        <w:overflowPunct/>
        <w:topLinePunct w:val="0"/>
        <w:autoSpaceDE/>
        <w:autoSpaceDN/>
        <w:bidi w:val="0"/>
        <w:adjustRightInd/>
        <w:spacing w:before="0" w:after="0" w:line="576"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6.加强社会治安综合治理，强化信访和矛盾纠纷调解工作，化解农村矛盾，维护农村社会和谐稳定，全面推进社会主义新农村建设。</w:t>
      </w:r>
    </w:p>
    <w:p w14:paraId="67F3D4A5">
      <w:pPr>
        <w:keepNext w:val="0"/>
        <w:keepLines w:val="0"/>
        <w:pageBreakBefore w:val="0"/>
        <w:kinsoku/>
        <w:wordWrap/>
        <w:overflowPunct/>
        <w:topLinePunct w:val="0"/>
        <w:autoSpaceDE/>
        <w:autoSpaceDN/>
        <w:bidi w:val="0"/>
        <w:adjustRightInd/>
        <w:spacing w:before="0" w:after="0" w:line="576" w:lineRule="exact"/>
        <w:ind w:firstLine="640" w:firstLineChars="200"/>
        <w:jc w:val="both"/>
        <w:textAlignment w:val="auto"/>
        <w:rPr>
          <w:rFonts w:hint="default" w:ascii="Times New Roman" w:hAnsi="Times New Roman" w:eastAsia="仿宋" w:cs="Times New Roman"/>
          <w:color w:val="000000"/>
          <w:sz w:val="32"/>
          <w:szCs w:val="32"/>
          <w:lang w:val="en-US"/>
        </w:rPr>
      </w:pPr>
      <w:r>
        <w:rPr>
          <w:rFonts w:hint="default" w:ascii="Times New Roman" w:hAnsi="Times New Roman" w:eastAsia="仿宋" w:cs="Times New Roman"/>
          <w:color w:val="000000"/>
          <w:sz w:val="32"/>
          <w:szCs w:val="32"/>
          <w:lang w:val="en-US" w:eastAsia="zh-CN"/>
        </w:rPr>
        <w:t>7.承办</w:t>
      </w:r>
      <w:r>
        <w:rPr>
          <w:rFonts w:hint="eastAsia" w:ascii="Times New Roman" w:hAnsi="Times New Roman" w:eastAsia="仿宋" w:cs="Times New Roman"/>
          <w:color w:val="000000"/>
          <w:sz w:val="32"/>
          <w:szCs w:val="32"/>
          <w:lang w:val="en-US" w:eastAsia="zh-CN"/>
        </w:rPr>
        <w:t>县委、县政府</w:t>
      </w:r>
      <w:r>
        <w:rPr>
          <w:rFonts w:hint="default" w:ascii="Times New Roman" w:hAnsi="Times New Roman" w:eastAsia="仿宋" w:cs="Times New Roman"/>
          <w:color w:val="000000"/>
          <w:sz w:val="32"/>
          <w:szCs w:val="32"/>
          <w:lang w:val="en-US" w:eastAsia="zh-CN"/>
        </w:rPr>
        <w:t>交办的其他事项。</w:t>
      </w:r>
    </w:p>
    <w:p w14:paraId="3FA78669">
      <w:pPr>
        <w:keepNext w:val="0"/>
        <w:keepLines w:val="0"/>
        <w:pageBreakBefore w:val="0"/>
        <w:kinsoku/>
        <w:wordWrap/>
        <w:overflowPunct/>
        <w:topLinePunct w:val="0"/>
        <w:autoSpaceDN/>
        <w:bidi w:val="0"/>
        <w:adjustRightInd/>
        <w:snapToGrid w:val="0"/>
        <w:spacing w:line="576" w:lineRule="exact"/>
        <w:ind w:firstLine="643" w:firstLineChars="200"/>
        <w:jc w:val="both"/>
        <w:textAlignment w:val="auto"/>
        <w:rPr>
          <w:rFonts w:hint="default" w:ascii="Times New Roman" w:hAnsi="Times New Roman" w:eastAsia="仿宋" w:cs="Times New Roman"/>
          <w:b/>
          <w:bCs/>
          <w:color w:val="000000"/>
          <w:spacing w:val="0"/>
          <w:kern w:val="0"/>
          <w:sz w:val="32"/>
          <w:szCs w:val="32"/>
          <w:lang w:val="en-US" w:eastAsia="zh-CN" w:bidi="ar-SA"/>
        </w:rPr>
      </w:pPr>
      <w:r>
        <w:rPr>
          <w:rFonts w:hint="default" w:ascii="Times New Roman" w:hAnsi="Times New Roman" w:eastAsia="楷体_GB2312" w:cs="Times New Roman"/>
          <w:b/>
          <w:bCs/>
          <w:color w:val="000000"/>
          <w:kern w:val="2"/>
          <w:sz w:val="32"/>
          <w:szCs w:val="32"/>
          <w:lang w:val="zh-CN" w:eastAsia="zh-CN" w:bidi="ar-SA"/>
        </w:rPr>
        <w:t>（二）2025重点工作完成情况</w:t>
      </w:r>
    </w:p>
    <w:p w14:paraId="1FB2E342">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1.夯实产业基础，稳中求进。</w:t>
      </w:r>
      <w:r>
        <w:rPr>
          <w:rFonts w:hint="default" w:ascii="Times New Roman" w:hAnsi="Times New Roman" w:eastAsia="仿宋_GB2312" w:cs="Times New Roman"/>
          <w:sz w:val="32"/>
          <w:szCs w:val="32"/>
          <w:lang w:val="en-US" w:eastAsia="zh-CN"/>
        </w:rPr>
        <w:t>上半年小姓乡政府乡村振兴衔接资金项目共2个，总投资747.73万，其中埃溪村民族村寨建设项目投资金额597.73万元，小姓乡饮水提升项目投资金额150万元，截至目前2个项目已基本完工；聚焦耕地保护和粮食安全，坚持把巩固撂荒地整治成果作为重点来抓，发放优质麦种引导群众种植食饲两用作物200亩；坚持优化产业结构，合理规划布局，全面推进春耕备耕工作，全乡2025年粮食作物播种面积3489亩，经济作物（蔬菜、油菜等）播种面积2841亩，养殖牦牛及杂牛4565头、羊2156只，加强农资保障与市场监管，组织农技指导30场次惠及农户120余人次；加强文化队伍建设，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毕曼</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歌节等传统节庆为载体，常态化开展文化活动，既生动展示非遗文化的独特魅力与传承脉络，着力推进乡村文旅产业融合发展。</w:t>
      </w:r>
    </w:p>
    <w:p w14:paraId="4AB10AB9">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val="en-US" w:eastAsia="zh-CN"/>
        </w:rPr>
        <w:t>增强</w:t>
      </w:r>
      <w:r>
        <w:rPr>
          <w:rFonts w:hint="default" w:ascii="Times New Roman" w:hAnsi="Times New Roman" w:eastAsia="仿宋_GB2312" w:cs="Times New Roman"/>
          <w:b/>
          <w:bCs/>
          <w:sz w:val="32"/>
          <w:szCs w:val="32"/>
          <w:lang w:val="en-US" w:eastAsia="zh-CN"/>
        </w:rPr>
        <w:t>安全意识，警钟长鸣。</w:t>
      </w:r>
      <w:r>
        <w:rPr>
          <w:rFonts w:hint="default" w:ascii="Times New Roman" w:hAnsi="Times New Roman" w:eastAsia="仿宋_GB2312" w:cs="Times New Roman"/>
          <w:sz w:val="32"/>
          <w:szCs w:val="32"/>
          <w:lang w:val="en-US" w:eastAsia="zh-CN"/>
        </w:rPr>
        <w:t>以网格化管理为抓手，聚焦安全生产、道路交通安全、森林草原防灭火、维护社会稳定等重点工作。一是落实安全生产责任制，聚焦地质灾害、防汛抗旱、道路交通、消防设施、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九小场所</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及农村自建房等6大重点领域，排查安全隐患24处，已整改24处，整改率达到100%；二是加强应急管理体系建设，完善应急预案，组建应急救援队伍，开展应急演练3次，提高了应对突发事件的能力。三是加强食品安全监管，开展食品安全专项整治行动6次，检查食品生产经营单位10家，保障了群众饮食安全。下达限期整改2次，回头看2次。四是召开森林工作专题会议6次、专题党委会6次，制止并教育违规用火行为2起，落实24小时值班制度。辖区内无重大安全事故；落实有限空间监督检查10次，纳入监管系统5家，落实专人定期监测；结合普法教育计划，组织各村以及辖区各企事业单位开展法治宣传教育活动10次，突出抓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六无</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平安村创建工作。</w:t>
      </w:r>
    </w:p>
    <w:p w14:paraId="1BFEAD0D">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3.优化生态环境，焕然一新。</w:t>
      </w:r>
      <w:r>
        <w:rPr>
          <w:rFonts w:hint="default" w:ascii="Times New Roman" w:hAnsi="Times New Roman" w:eastAsia="仿宋_GB2312" w:cs="Times New Roman"/>
          <w:sz w:val="32"/>
          <w:szCs w:val="32"/>
          <w:lang w:val="en-US" w:eastAsia="zh-CN"/>
        </w:rPr>
        <w:t>构建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政府主导+企业协同+群众参与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治理格局，联动辖区内5家企事业单位，划分网格11处，公益性岗位45名参与环境卫生治理，将环境卫生纳入村规民约，每月定期组织各村开展环境卫生大扫除，累计清运、转运各类垃圾200余吨；加强河道管理，集中巡查河道10次，常态化开展日常巡河，及时制止侵占水域岸线、非法捕捞等违法行为，全面清理水源地保护区的垃圾和污染源。</w:t>
      </w:r>
    </w:p>
    <w:p w14:paraId="4D7F96E2">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4.筑牢民生保障，面面俱到。</w:t>
      </w:r>
      <w:r>
        <w:rPr>
          <w:rFonts w:hint="default" w:ascii="Times New Roman" w:hAnsi="Times New Roman" w:eastAsia="仿宋_GB2312" w:cs="Times New Roman"/>
          <w:sz w:val="32"/>
          <w:szCs w:val="32"/>
          <w:lang w:val="en-US" w:eastAsia="zh-CN"/>
        </w:rPr>
        <w:t>坚持应享受尽享受，应覆盖尽覆盖原则，落实民生政策，提供民生保障；坚持经济社会发展优先规划教育卫生事业</w:t>
      </w:r>
      <w:r>
        <w:rPr>
          <w:rFonts w:hint="eastAsia" w:ascii="Times New Roman" w:hAnsi="Times New Roman" w:eastAsia="仿宋_GB2312" w:cs="Times New Roman"/>
          <w:sz w:val="32"/>
          <w:szCs w:val="32"/>
          <w:lang w:val="en-US" w:eastAsia="zh-CN"/>
        </w:rPr>
        <w:t>，把</w:t>
      </w:r>
      <w:r>
        <w:rPr>
          <w:rFonts w:hint="default" w:ascii="Times New Roman" w:hAnsi="Times New Roman" w:eastAsia="仿宋_GB2312" w:cs="Times New Roman"/>
          <w:sz w:val="32"/>
          <w:szCs w:val="32"/>
          <w:lang w:val="en-US" w:eastAsia="zh-CN"/>
        </w:rPr>
        <w:t>奖励扶助政策落到实处，做到应享尽享，目标任务均如期完成；养老保险参保人数894人，其中享受待遇306人，参保率达97%；完善村级文明实践站所配套设施，落实人员管理，确保文化室发挥作用，真正服务群众；2025年征兵小姓乡3名优秀青年应征入伍，征兵工作启动以来，截至目前全乡有20人报名；开展</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爱心爸妈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活动，通过走访、电话、微信等方式与帮扶对象保持联系互动；推进家庭医生签约服务，签约率</w:t>
      </w:r>
      <w:r>
        <w:rPr>
          <w:rFonts w:hint="eastAsia" w:ascii="Times New Roman" w:hAnsi="Times New Roman" w:eastAsia="仿宋_GB2312" w:cs="Times New Roman"/>
          <w:sz w:val="32"/>
          <w:szCs w:val="32"/>
          <w:lang w:val="en-US" w:eastAsia="zh-CN"/>
        </w:rPr>
        <w:t>达到</w:t>
      </w:r>
      <w:r>
        <w:rPr>
          <w:rFonts w:hint="default" w:ascii="Times New Roman" w:hAnsi="Times New Roman" w:eastAsia="仿宋_GB2312" w:cs="Times New Roman"/>
          <w:sz w:val="32"/>
          <w:szCs w:val="32"/>
          <w:lang w:val="en-US" w:eastAsia="zh-CN"/>
        </w:rPr>
        <w:t>一定比例，开展健康教育宣传活动8次；重大疾病防控宣传工作活动，发放宣传册90余份；全民体检1028人，无重大传染病疫情发生。</w:t>
      </w:r>
    </w:p>
    <w:p w14:paraId="391F879B">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（三）特色亮点工作</w:t>
      </w:r>
    </w:p>
    <w:p w14:paraId="0A9BC2B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1.党建引领微网实格，一网兜起</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大小事</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一是落实工作</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一盘棋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、走访</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一张网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、每日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一会商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一对策</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措施，抓实群众工作</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石榴籽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工程。成立工作专班，下设四个专项小组，建立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主要领导包片、班子成员联村、包村干部到户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体系，建立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一户一档</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数据库，召开调度会议15次、研判会议7次，经</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网格采集—干部复核—村民评议—党委决策</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，精准识别重点帮扶对象8户24人，对接帮扶措施67条，帮扶资金19.56万元，选树培育四好家庭16户。二是深化</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党建+治理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体系模式，建立《小姓乡2025年3月重点时段矛盾纠纷排查化解及困难诉求收集台账》，召开</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微网实格</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工作会5次，入户走访1600余人次，收集社情民意40条，化解矛盾纠纷3件，办理便民服务事项230余件。全覆盖走访僧人7人，带领学习《宗教事务条例》5次，进行爱党爱国爱教宣传5次。三是以网格化管理为抓手，聚焦安全生产、道路交通安全、森林草原防灭火、维护社会稳定等重点工作，系统构建重点时段安全防控体系。建立《小姓乡重点时段安全隐患排查整治台账》，聚焦地质灾害、防汛抗旱、道路交通、消防设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九小场所</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及农村自建房等6大重点领域。</w:t>
      </w:r>
    </w:p>
    <w:p w14:paraId="292EBD7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2.旅游发展加力提速，两张名片打开</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生态游</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val="0"/>
          <w:bCs w:val="0"/>
          <w:sz w:val="32"/>
          <w:szCs w:val="32"/>
          <w:lang w:val="en-US" w:eastAsia="zh-CN"/>
        </w:rPr>
        <w:t>一是借高铁</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东风</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，立足川西红谷入口、羌族多声部腹地、热务森林公园核心区优势，积极落实</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123</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发展思路，对标片区国土空间规划，聚焦建设</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热务片区农旅融合服务核心</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目标，塑造羌族多声部和森工记忆</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两张名片</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，提升打造小姓羌族多声部传习所，夯实非遗传承活态载体，推动碑子寺片区和大尔边片区联动发展，深化业态、文态、生态</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三态融合</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，构建农、文、旅相互促进的产业格局，奋力建设</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古韵非遗福地，森工心旅</w:t>
      </w:r>
      <w:r>
        <w:rPr>
          <w:rFonts w:hint="eastAsia" w:ascii="Times New Roman" w:hAnsi="Times New Roman" w:eastAsia="仿宋_GB2312" w:cs="Times New Roman"/>
          <w:b w:val="0"/>
          <w:bCs w:val="0"/>
          <w:sz w:val="32"/>
          <w:szCs w:val="32"/>
          <w:lang w:val="en-US" w:eastAsia="zh-CN"/>
        </w:rPr>
        <w:t>小镇”</w:t>
      </w:r>
      <w:r>
        <w:rPr>
          <w:rFonts w:hint="default" w:ascii="Times New Roman" w:hAnsi="Times New Roman" w:eastAsia="仿宋_GB2312" w:cs="Times New Roman"/>
          <w:b w:val="0"/>
          <w:bCs w:val="0"/>
          <w:sz w:val="32"/>
          <w:szCs w:val="32"/>
          <w:lang w:val="en-US" w:eastAsia="zh-CN"/>
        </w:rPr>
        <w:t>。二是大力发展蔬菜种植、食用菌种植、标准化养殖、林下种植养殖等产业，积极引导群众以家庭农场联盟等形式，持续推动传统产业提档升级。三是新引进一家企业，提升云隐溪谷民宿运营水平，进一步规范百花娄景区的管理机制，强化运营水平，优化配套设施，提升景点品质；深入开展校地合作，成功争取四川音乐学院校外实习基地挂牌埃溪村，打破惯性思维和路径依赖，以面向群众和面向游客为导向；创新办好第七届</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毕曼歌节</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，坚定了文化自信，彰显了非遗魅力。</w:t>
      </w:r>
    </w:p>
    <w:p w14:paraId="7A50C13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（四）存在的困难和问题</w:t>
      </w:r>
    </w:p>
    <w:p w14:paraId="3574B6A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2025年工作虽有成效，但仍存在问题与不足，主要体现为：</w:t>
      </w:r>
    </w:p>
    <w:p w14:paraId="546E2FB4">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sz w:val="32"/>
          <w:szCs w:val="32"/>
          <w:lang w:val="en-US" w:eastAsia="zh-CN"/>
        </w:rPr>
        <w:t>干部工作作风与能力建设仍需持续深化加压。部分干部思想解放程度不够，存在一定程度的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守成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心态和</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等靠要</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思想，主动担当、攻坚克难的锐气有所弱化，面对发展中的硬骨头和复杂矛盾，有时存在畏难情绪和</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推、拖、绕</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现象，干事创业的主动性还需加强。</w:t>
      </w:r>
      <w:r>
        <w:rPr>
          <w:rFonts w:hint="default" w:ascii="Times New Roman" w:hAnsi="Times New Roman" w:eastAsia="仿宋_GB2312" w:cs="Times New Roman"/>
          <w:b/>
          <w:bCs/>
          <w:sz w:val="32"/>
          <w:szCs w:val="32"/>
          <w:lang w:val="en-US" w:eastAsia="zh-CN"/>
        </w:rPr>
        <w:t>二是</w:t>
      </w:r>
      <w:r>
        <w:rPr>
          <w:rFonts w:hint="default" w:ascii="Times New Roman" w:hAnsi="Times New Roman" w:eastAsia="仿宋_GB2312" w:cs="Times New Roman"/>
          <w:sz w:val="32"/>
          <w:szCs w:val="32"/>
          <w:lang w:val="en-US" w:eastAsia="zh-CN"/>
        </w:rPr>
        <w:t>农文旅融合发展活力不足。农业与文旅的结合还停留在表面，缺乏深度的互动和融合，游客的参与度和体验感不强，产业的游客联动效应</w:t>
      </w:r>
      <w:r>
        <w:rPr>
          <w:rFonts w:hint="eastAsia" w:ascii="Times New Roman" w:hAnsi="Times New Roman" w:eastAsia="仿宋_GB2312" w:cs="Times New Roman"/>
          <w:sz w:val="32"/>
          <w:szCs w:val="32"/>
          <w:lang w:val="en-US" w:eastAsia="zh-CN"/>
        </w:rPr>
        <w:t>不明</w:t>
      </w:r>
      <w:r>
        <w:rPr>
          <w:rFonts w:hint="default" w:ascii="Times New Roman" w:hAnsi="Times New Roman" w:eastAsia="仿宋_GB2312" w:cs="Times New Roman"/>
          <w:sz w:val="32"/>
          <w:szCs w:val="32"/>
          <w:lang w:val="en-US" w:eastAsia="zh-CN"/>
        </w:rPr>
        <w:t>显。</w:t>
      </w:r>
    </w:p>
    <w:p w14:paraId="058E56FB">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（五）下半年工作计划</w:t>
      </w:r>
    </w:p>
    <w:p w14:paraId="0387DF0C">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1.实施项目建设攻坚行动。</w:t>
      </w:r>
      <w:r>
        <w:rPr>
          <w:rFonts w:hint="default" w:ascii="Times New Roman" w:hAnsi="Times New Roman" w:eastAsia="仿宋_GB2312" w:cs="Times New Roman"/>
          <w:sz w:val="32"/>
          <w:szCs w:val="32"/>
          <w:lang w:val="en-US" w:eastAsia="zh-CN"/>
        </w:rPr>
        <w:t>着力推动</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十四五</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项目落实，确保基础设施项目补齐短板，各项民生实事项目建设全面落地，为后续争取大尔边村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民族团结进步新村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项目打好基础。同步储备</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十五五</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建设项目，计划总投资超10亿元，其中重点争取小尔边滑雪场建设、埃溪村省级传统村落保护活化、大尔边等4个村宜居补短建设、碑子寺村农旅融合业态示范建设碑子寺村高原特色冷水鱼重点招商引资、小姓乡羌文化保护研学基地建设、川西红谷入口生态恢复等项目，通过科学谋划，尽早储备，以项目牵引推动点状突破，助力分线作战。</w:t>
      </w:r>
    </w:p>
    <w:p w14:paraId="01576847">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2.实施民生保障攻坚行动。</w:t>
      </w:r>
      <w:r>
        <w:rPr>
          <w:rFonts w:hint="default" w:ascii="Times New Roman" w:hAnsi="Times New Roman" w:eastAsia="仿宋_GB2312" w:cs="Times New Roman"/>
          <w:sz w:val="32"/>
          <w:szCs w:val="32"/>
          <w:lang w:val="en-US" w:eastAsia="zh-CN"/>
        </w:rPr>
        <w:t>全面推进乡村振兴工作，紧扣铸牢中华民族共同体意识的核心，深化实施群众工作</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石榴籽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工程六大专项行动；依托创新的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微网实格</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包户制度，宣传民生政策、推广</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互联网+政务服务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平台，建立特殊人群信息共享平台，压实监测帮扶责任，推进防返贫季度集中监测；始终秉持以人民为中心的发展理念，强化群众帮扶、规范医疗服务、丰富文化生活及完善基础设施等多方面举措，提升群众生活质量与幸福指数，为乡村振兴注入强劲动力。</w:t>
      </w:r>
    </w:p>
    <w:p w14:paraId="286B7F6A">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3.实施农旅融合攻坚行动。</w:t>
      </w:r>
      <w:r>
        <w:rPr>
          <w:rFonts w:hint="default" w:ascii="Times New Roman" w:hAnsi="Times New Roman" w:eastAsia="仿宋_GB2312" w:cs="Times New Roman"/>
          <w:sz w:val="32"/>
          <w:szCs w:val="32"/>
          <w:lang w:val="en-US" w:eastAsia="zh-CN"/>
        </w:rPr>
        <w:t>充分利用森林、溪流等生态</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凉资源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，以独特的文化和农业基础为依托，着力推动文旅深度融合发展，加强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政府引导+民宿经营者</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模式推进百花娄景区旅游，同时挖掘羌族特色文化价值，促进文旅业态融合，形成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文化引流—体验留客—民宿承接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的良性循环。延伸</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旅游+</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溢出效应，把游客增量转化为消费增量，大力培育</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后备箱</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经济、民宿产业，助民增收。建立农产品购买一条龙服务，推广本地野生虫草、羊肚菌、松茸、高原莴笋等特色农产品，丰富山林采菌等多元业态，激活富民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热经济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p>
    <w:p w14:paraId="103B2BA1">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4.实施美丽乡村攻坚行动。</w:t>
      </w:r>
      <w:r>
        <w:rPr>
          <w:rFonts w:hint="default" w:ascii="Times New Roman" w:hAnsi="Times New Roman" w:eastAsia="仿宋_GB2312" w:cs="Times New Roman"/>
          <w:sz w:val="32"/>
          <w:szCs w:val="32"/>
          <w:lang w:val="en-US" w:eastAsia="zh-CN"/>
        </w:rPr>
        <w:t>聚焦构建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产业兴旺、生态宜居、乡风文明、治理有效、生活富裕</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的幸福美丽新农村，引导督促各村结合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三域一居</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工作，在全乡范围内开展</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环境卫生大革命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，从根本上提升群众改善周边环境的自我处置能力，推进人居环境的改造，不断提升乡村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颜值</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通过发动群众，让群众树立人人都是环境卫生治理的参与者、监督者和受益者的意识。坚持和完善工作机制，每月第一周周末的环境整治日集中对垃圾死角、建渣、地膜等进行全面清理整治，营造干净舒适的人居环境，让空气更加清新。制定实施环境革命月评比制度和奖惩制度，强化定时不定时督查通报，落实奖惩，营造人人爱环境、户户讲卫生、村村互评比的良好氛围。配套完善环保设施，推进城乡生活污水、地膜和建筑垃圾处理基础设施建设。打造洁美路域环境、净美水域环境、优美地域环境、秀美景区环境</w:t>
      </w:r>
      <w:r>
        <w:rPr>
          <w:rFonts w:hint="eastAsia"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lang w:val="en-US" w:eastAsia="zh-CN"/>
        </w:rPr>
        <w:t>美寺庙环境。</w:t>
      </w:r>
    </w:p>
    <w:p w14:paraId="7F938E29">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5.实施干部铸魂攻坚行动。</w:t>
      </w:r>
      <w:r>
        <w:rPr>
          <w:rFonts w:hint="default" w:ascii="Times New Roman" w:hAnsi="Times New Roman" w:eastAsia="仿宋_GB2312" w:cs="Times New Roman"/>
          <w:sz w:val="32"/>
          <w:szCs w:val="32"/>
          <w:lang w:val="en-US" w:eastAsia="zh-CN"/>
        </w:rPr>
        <w:t>紧紧围绕习近平总书记</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信念坚定、为民服务、勤政务实、勇于担当、清正廉洁</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的二十字好干部标准，着力打造一支具有政治过硬、作风优良的干部队伍，培养造就一支</w:t>
      </w:r>
      <w:r>
        <w:rPr>
          <w:rFonts w:hint="eastAsia" w:ascii="Times New Roman" w:hAnsi="Times New Roman" w:eastAsia="仿宋_GB2312" w:cs="Times New Roman"/>
          <w:sz w:val="32"/>
          <w:szCs w:val="32"/>
          <w:lang w:val="en-US" w:eastAsia="zh-CN"/>
        </w:rPr>
        <w:t>懂农业、爱农村、爱农民</w:t>
      </w:r>
      <w:r>
        <w:rPr>
          <w:rFonts w:hint="default" w:ascii="Times New Roman" w:hAnsi="Times New Roman" w:eastAsia="仿宋_GB2312" w:cs="Times New Roman"/>
          <w:sz w:val="32"/>
          <w:szCs w:val="32"/>
          <w:lang w:val="en-US" w:eastAsia="zh-CN"/>
        </w:rPr>
        <w:t>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三农</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工作干部队伍。自觉践行</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四个意识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，坚决做到</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两个维护</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，保持拒腐蚀、永不沾的政治本色。加强干部教育培训，提升干部政治担当，加强政治理论学习，提升思想文化建设，加强实践锻炼，提升治理能力建设，加强作风纪律建设，增强廉洁自律意识。</w:t>
      </w:r>
    </w:p>
    <w:p w14:paraId="08B68982">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（六）保障措施</w:t>
      </w:r>
    </w:p>
    <w:p w14:paraId="4C468F23">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1.加强组织领导。</w:t>
      </w:r>
      <w:r>
        <w:rPr>
          <w:rFonts w:hint="default" w:ascii="Times New Roman" w:hAnsi="Times New Roman" w:eastAsia="仿宋_GB2312" w:cs="Times New Roman"/>
          <w:sz w:val="32"/>
          <w:szCs w:val="32"/>
          <w:lang w:val="en-US" w:eastAsia="zh-CN"/>
        </w:rPr>
        <w:t>成立小姓乡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十五五</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规划实施工作领导小组，由乡党委、政府主要负责同志任组长，统筹推进规划实施。建立目标责任体系，将规划确定的主要指标和重点任务分解到各办（中心）、各村，明确责任主体和完成时限。</w:t>
      </w:r>
    </w:p>
    <w:p w14:paraId="4CE07A17">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2.强化要素保障</w:t>
      </w:r>
      <w:r>
        <w:rPr>
          <w:rFonts w:hint="default" w:ascii="Times New Roman" w:hAnsi="Times New Roman" w:eastAsia="仿宋_GB2312" w:cs="Times New Roman"/>
          <w:sz w:val="32"/>
          <w:szCs w:val="32"/>
          <w:lang w:val="en-US" w:eastAsia="zh-CN"/>
        </w:rPr>
        <w:t>。积极向上争取项目和资金，用好用足各类涉农政策。围绕乡村振兴、产业升级、生态环保、民生改善等重点领域，精心谋划一系列具有前瞻性、可行性项目，积极强化与上级部门沟通联络，保持高频次的走访，及时向县委、县政府及相关部门汇报项目进展、乡镇规划等，及时了解最新资金方向，为资金争取铺设坚实道路。</w:t>
      </w:r>
    </w:p>
    <w:p w14:paraId="02F881B8">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3.优化政务服务。</w:t>
      </w:r>
      <w:r>
        <w:rPr>
          <w:rFonts w:hint="default" w:ascii="Times New Roman" w:hAnsi="Times New Roman" w:eastAsia="仿宋_GB2312" w:cs="Times New Roman"/>
          <w:sz w:val="32"/>
          <w:szCs w:val="32"/>
          <w:lang w:val="en-US" w:eastAsia="zh-CN"/>
        </w:rPr>
        <w:t>始终以群众需求为导向，聚焦政务服务提质增效，围绕12345热线问题解决、数据共享、政务公开、帮办代办等重点工作，扎实推进各项任务落实。</w:t>
      </w:r>
    </w:p>
    <w:p w14:paraId="5168491D">
      <w:pPr>
        <w:pStyle w:val="5"/>
        <w:pageBreakBefore w:val="0"/>
        <w:kinsoku/>
        <w:wordWrap/>
        <w:overflowPunct/>
        <w:topLinePunct w:val="0"/>
        <w:autoSpaceDN/>
        <w:bidi w:val="0"/>
        <w:adjustRightInd/>
        <w:spacing w:line="576" w:lineRule="exact"/>
        <w:ind w:firstLine="640" w:firstLineChars="200"/>
        <w:jc w:val="both"/>
        <w:textAlignment w:val="auto"/>
        <w:rPr>
          <w:rStyle w:val="20"/>
          <w:rFonts w:hint="default" w:ascii="Times New Roman" w:hAnsi="Times New Roman" w:cs="Times New Roman"/>
          <w:b w:val="0"/>
          <w:bCs w:val="0"/>
          <w:color w:val="000000"/>
          <w:highlight w:val="none"/>
        </w:rPr>
      </w:pPr>
      <w:r>
        <w:rPr>
          <w:rFonts w:hint="default" w:ascii="Times New Roman" w:hAnsi="Times New Roman" w:eastAsia="黑体" w:cs="Times New Roman"/>
          <w:b w:val="0"/>
          <w:color w:val="000000"/>
        </w:rPr>
        <w:t>二、机</w:t>
      </w:r>
      <w:r>
        <w:rPr>
          <w:rStyle w:val="20"/>
          <w:rFonts w:hint="default" w:ascii="Times New Roman" w:hAnsi="Times New Roman" w:eastAsia="黑体" w:cs="Times New Roman"/>
          <w:b w:val="0"/>
          <w:bCs w:val="0"/>
          <w:color w:val="000000"/>
        </w:rPr>
        <w:t>构设置</w:t>
      </w:r>
    </w:p>
    <w:p w14:paraId="49A72AAC">
      <w:pPr>
        <w:keepNext w:val="0"/>
        <w:keepLines w:val="0"/>
        <w:pageBreakBefore w:val="0"/>
        <w:widowControl/>
        <w:kinsoku/>
        <w:wordWrap/>
        <w:overflowPunct/>
        <w:topLinePunct w:val="0"/>
        <w:autoSpaceDE/>
        <w:autoSpaceDN/>
        <w:bidi w:val="0"/>
        <w:adjustRightInd/>
        <w:snapToGrid w:val="0"/>
        <w:spacing w:before="0" w:after="0" w:line="576" w:lineRule="exact"/>
        <w:ind w:firstLine="643"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b/>
          <w:bCs/>
          <w:color w:val="000000"/>
          <w:kern w:val="2"/>
          <w:sz w:val="32"/>
          <w:szCs w:val="32"/>
          <w:lang w:val="zh-CN" w:eastAsia="zh-CN" w:bidi="ar-SA"/>
        </w:rPr>
        <w:t>（一）</w:t>
      </w:r>
      <w:r>
        <w:rPr>
          <w:rFonts w:hint="default" w:ascii="Times New Roman" w:hAnsi="Times New Roman" w:eastAsia="楷体_GB2312" w:cs="Times New Roman"/>
          <w:b/>
          <w:bCs/>
          <w:color w:val="000000"/>
          <w:kern w:val="2"/>
          <w:sz w:val="32"/>
          <w:szCs w:val="32"/>
          <w:lang w:val="en-US" w:eastAsia="zh-CN" w:bidi="ar-SA"/>
        </w:rPr>
        <w:t>办公室</w:t>
      </w:r>
      <w:r>
        <w:rPr>
          <w:rFonts w:hint="default" w:ascii="Times New Roman" w:hAnsi="Times New Roman" w:eastAsia="楷体_GB2312" w:cs="Times New Roman"/>
          <w:b/>
          <w:bCs/>
          <w:color w:val="000000"/>
          <w:kern w:val="2"/>
          <w:sz w:val="32"/>
          <w:szCs w:val="32"/>
          <w:lang w:val="zh-CN" w:eastAsia="zh-CN" w:bidi="ar-SA"/>
        </w:rPr>
        <w:t>。</w:t>
      </w:r>
      <w:r>
        <w:rPr>
          <w:rFonts w:hint="default" w:ascii="Times New Roman" w:hAnsi="Times New Roman" w:eastAsia="仿宋_GB2312" w:cs="Times New Roman"/>
          <w:color w:val="000000"/>
          <w:sz w:val="32"/>
          <w:szCs w:val="32"/>
          <w:lang w:val="en-US" w:eastAsia="zh-CN"/>
        </w:rPr>
        <w:t>贯彻执行党和国家的有关方针、政策、法律和法规；执行上级政府的决定和命令；拟订适合本实际的政府措施，并有效地组织实施。负责组织编制本乡建设的总体规划。编制本乡财政预决算计划，负责经费的划拨和核算工作。</w:t>
      </w:r>
    </w:p>
    <w:p w14:paraId="5F1B4270">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color w:val="000000"/>
          <w:sz w:val="32"/>
          <w:szCs w:val="32"/>
          <w:lang w:val="en-US" w:eastAsia="zh-CN" w:bidi="ar-SA"/>
        </w:rPr>
      </w:pPr>
      <w:r>
        <w:rPr>
          <w:rFonts w:hint="default" w:ascii="Times New Roman" w:hAnsi="Times New Roman" w:eastAsia="楷体_GB2312" w:cs="Times New Roman"/>
          <w:b/>
          <w:bCs/>
          <w:color w:val="000000"/>
          <w:kern w:val="2"/>
          <w:sz w:val="32"/>
          <w:szCs w:val="32"/>
          <w:lang w:val="en-US" w:eastAsia="zh-CN" w:bidi="ar-SA"/>
        </w:rPr>
        <w:t>（二）财政所。</w:t>
      </w:r>
      <w:r>
        <w:rPr>
          <w:rFonts w:hint="default" w:ascii="Times New Roman" w:hAnsi="Times New Roman" w:eastAsia="仿宋_GB2312" w:cs="Times New Roman"/>
          <w:color w:val="000000"/>
          <w:sz w:val="32"/>
          <w:szCs w:val="32"/>
          <w:lang w:val="en-US" w:eastAsia="zh-CN" w:bidi="ar-SA"/>
        </w:rPr>
        <w:t>落实兑现各级惠农补助资金，对农民负担和农村政策实施监管；围绕乡政府财源建设搞好服务；农村财务管理指导、监督和审计，依法代理村级财务，财政项目资金管理和乡政府机关财务代理；乡公有资产管理利用及村级集体资产监督管理；财政预算编制、执行及管理。</w:t>
      </w:r>
    </w:p>
    <w:p w14:paraId="687F50B0">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color w:val="000000"/>
          <w:sz w:val="32"/>
          <w:szCs w:val="32"/>
          <w:lang w:val="en-US" w:eastAsia="zh-CN" w:bidi="ar-SA"/>
        </w:rPr>
      </w:pPr>
      <w:r>
        <w:rPr>
          <w:rFonts w:hint="default" w:ascii="Times New Roman" w:hAnsi="Times New Roman" w:eastAsia="楷体_GB2312" w:cs="Times New Roman"/>
          <w:b/>
          <w:bCs/>
          <w:color w:val="000000"/>
          <w:kern w:val="2"/>
          <w:sz w:val="32"/>
          <w:szCs w:val="32"/>
          <w:lang w:val="en-US" w:eastAsia="zh-CN" w:bidi="ar-SA"/>
        </w:rPr>
        <w:t>（三）综合文化服务中心。</w:t>
      </w:r>
      <w:r>
        <w:rPr>
          <w:rFonts w:hint="default" w:ascii="Times New Roman" w:hAnsi="Times New Roman" w:eastAsia="仿宋_GB2312" w:cs="Times New Roman"/>
          <w:color w:val="000000"/>
          <w:sz w:val="32"/>
          <w:szCs w:val="32"/>
          <w:lang w:val="en-US" w:eastAsia="zh-CN" w:bidi="ar-SA"/>
        </w:rPr>
        <w:t>具体负责文化中心日常开放运行工作，做好接待群众、设备调试维护、图书登记整理、环境卫生、值班安全等日常事务；积极开展群众性文化活动，抓好活动组织工作；具体指导和督促各村委、居委的文化室、图书室、</w:t>
      </w:r>
      <w:r>
        <w:rPr>
          <w:rFonts w:hint="eastAsia" w:ascii="Times New Roman" w:hAnsi="Times New Roman" w:eastAsia="仿宋_GB2312" w:cs="Times New Roman"/>
          <w:color w:val="000000"/>
          <w:sz w:val="32"/>
          <w:szCs w:val="32"/>
          <w:lang w:val="en-US" w:eastAsia="zh-CN" w:bidi="ar-SA"/>
        </w:rPr>
        <w:t>“</w:t>
      </w:r>
      <w:r>
        <w:rPr>
          <w:rFonts w:hint="default" w:ascii="Times New Roman" w:hAnsi="Times New Roman" w:eastAsia="仿宋_GB2312" w:cs="Times New Roman"/>
          <w:color w:val="000000"/>
          <w:sz w:val="32"/>
          <w:szCs w:val="32"/>
          <w:lang w:val="en-US" w:eastAsia="zh-CN" w:bidi="ar-SA"/>
        </w:rPr>
        <w:t>农家书屋</w:t>
      </w:r>
      <w:r>
        <w:rPr>
          <w:rFonts w:hint="eastAsia" w:ascii="Times New Roman" w:hAnsi="Times New Roman" w:eastAsia="仿宋_GB2312" w:cs="Times New Roman"/>
          <w:color w:val="000000"/>
          <w:sz w:val="32"/>
          <w:szCs w:val="32"/>
          <w:lang w:val="en-US" w:eastAsia="zh-CN" w:bidi="ar-SA"/>
        </w:rPr>
        <w:t>”</w:t>
      </w:r>
      <w:r>
        <w:rPr>
          <w:rFonts w:hint="default" w:ascii="Times New Roman" w:hAnsi="Times New Roman" w:eastAsia="仿宋_GB2312" w:cs="Times New Roman"/>
          <w:color w:val="000000"/>
          <w:sz w:val="32"/>
          <w:szCs w:val="32"/>
          <w:lang w:val="en-US" w:eastAsia="zh-CN" w:bidi="ar-SA"/>
        </w:rPr>
        <w:t>、健身场所等村级文化建设和文体活动。</w:t>
      </w:r>
    </w:p>
    <w:p w14:paraId="196D56C5">
      <w:pPr>
        <w:pStyle w:val="3"/>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color w:val="000000"/>
          <w:sz w:val="32"/>
          <w:szCs w:val="32"/>
          <w:lang w:val="en-US" w:eastAsia="zh-CN" w:bidi="ar-SA"/>
        </w:rPr>
      </w:pPr>
      <w:r>
        <w:rPr>
          <w:rFonts w:hint="default" w:ascii="Times New Roman" w:hAnsi="Times New Roman" w:eastAsia="楷体_GB2312" w:cs="Times New Roman"/>
          <w:b/>
          <w:bCs/>
          <w:color w:val="000000"/>
          <w:kern w:val="2"/>
          <w:sz w:val="32"/>
          <w:szCs w:val="32"/>
          <w:lang w:val="en-US" w:eastAsia="zh-CN" w:bidi="ar-SA"/>
        </w:rPr>
        <w:t>（四）经济发展服务中心。</w:t>
      </w:r>
      <w:r>
        <w:rPr>
          <w:rFonts w:hint="default" w:ascii="Times New Roman" w:hAnsi="Times New Roman" w:eastAsia="仿宋_GB2312" w:cs="Times New Roman"/>
          <w:color w:val="000000"/>
          <w:sz w:val="32"/>
          <w:szCs w:val="32"/>
          <w:lang w:val="en-US" w:eastAsia="zh-CN" w:bidi="ar-SA"/>
        </w:rPr>
        <w:t>制定全乡经济发展规划和年度工作目标，负责乡属企业、个体、私营企业的规划管理、指导服务工作；做好项目筛选、储备、管理、申报等相关工作；负责做好编制年度财政资金预算，以及管理乡国有资产、集体资产等工作；协调与本乡经济发展相关的其他工作。</w:t>
      </w:r>
    </w:p>
    <w:p w14:paraId="0BEF9FFF">
      <w:pPr>
        <w:pStyle w:val="3"/>
        <w:keepNext w:val="0"/>
        <w:keepLines w:val="0"/>
        <w:pageBreakBefore w:val="0"/>
        <w:kinsoku/>
        <w:wordWrap/>
        <w:overflowPunct/>
        <w:topLinePunct w:val="0"/>
        <w:autoSpaceDE/>
        <w:autoSpaceDN/>
        <w:bidi w:val="0"/>
        <w:adjustRightInd/>
        <w:spacing w:line="576" w:lineRule="exact"/>
        <w:ind w:firstLine="643" w:firstLineChars="200"/>
        <w:jc w:val="both"/>
        <w:textAlignment w:val="auto"/>
        <w:rPr>
          <w:rFonts w:hint="default" w:ascii="Times New Roman" w:hAnsi="Times New Roman" w:eastAsia="仿宋_GB2312" w:cs="Times New Roman"/>
          <w:color w:val="000000"/>
          <w:sz w:val="32"/>
          <w:szCs w:val="32"/>
          <w:lang w:val="en-US" w:eastAsia="zh-CN" w:bidi="ar-SA"/>
        </w:rPr>
      </w:pPr>
      <w:r>
        <w:rPr>
          <w:rFonts w:hint="default" w:ascii="Times New Roman" w:hAnsi="Times New Roman" w:eastAsia="楷体_GB2312" w:cs="Times New Roman"/>
          <w:b/>
          <w:bCs/>
          <w:color w:val="000000"/>
          <w:kern w:val="2"/>
          <w:sz w:val="32"/>
          <w:szCs w:val="32"/>
          <w:lang w:val="en-US" w:eastAsia="zh-CN" w:bidi="ar-SA"/>
        </w:rPr>
        <w:t>（五）社会事业服务中心。</w:t>
      </w:r>
      <w:r>
        <w:rPr>
          <w:rFonts w:hint="default" w:ascii="Times New Roman" w:hAnsi="Times New Roman" w:eastAsia="仿宋_GB2312" w:cs="Times New Roman"/>
          <w:color w:val="000000"/>
          <w:sz w:val="32"/>
          <w:szCs w:val="32"/>
          <w:lang w:val="en-US" w:eastAsia="zh-CN" w:bidi="ar-SA"/>
        </w:rPr>
        <w:t>审核上报就业、失业登记资料，开展登记失业人员日常管理工作。收集发布就业信息；提供就业指导、职业介绍、农村劳动力转移就业等服务；组织辖区相关人员参加职业培训、创业培训和职业技能鉴定。开展就业促进、就业服务工作。开发社区就业岗位，开发管理社区、村公益性岗位，开展创建充分就业社区、村居活动。审核上报就业困难人员认定材料，组织开展就业困难人员就业援助和动态管理工作，协助落实就业扶持政策；开展创业服务工作，指导开展信用社区创建工作；审核上报灵活就业人员就业情况，协助落实社会保险补贴政策；承担上级部门安排的其他就业服务工作。协助开展本辖区人才引进和培训工作。协助开展本辖区各类人才开发服务工作，了解、掌握培训需求，组织推荐农村领导人才和实用人才参加培训。</w:t>
      </w:r>
    </w:p>
    <w:p w14:paraId="2361BE0E">
      <w:pPr>
        <w:pageBreakBefore w:val="0"/>
        <w:widowControl/>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b w:val="0"/>
          <w:bCs w:val="0"/>
          <w:color w:val="000000"/>
          <w:kern w:val="0"/>
          <w:sz w:val="32"/>
          <w:szCs w:val="32"/>
          <w:highlight w:val="none"/>
        </w:rPr>
      </w:pPr>
      <w:r>
        <w:rPr>
          <w:rFonts w:hint="default" w:ascii="Times New Roman" w:hAnsi="Times New Roman" w:eastAsia="楷体_GB2312" w:cs="Times New Roman"/>
          <w:b/>
          <w:bCs/>
          <w:color w:val="000000"/>
          <w:kern w:val="2"/>
          <w:sz w:val="32"/>
          <w:szCs w:val="32"/>
          <w:lang w:val="en-US" w:eastAsia="zh-CN" w:bidi="ar-SA"/>
        </w:rPr>
        <w:t>（六）小姓乡人民政府机构编制。</w:t>
      </w:r>
      <w:r>
        <w:rPr>
          <w:rFonts w:hint="default" w:ascii="Times New Roman" w:hAnsi="Times New Roman" w:eastAsia="仿宋_GB2312" w:cs="Times New Roman"/>
          <w:b w:val="0"/>
          <w:bCs w:val="0"/>
          <w:color w:val="000000"/>
          <w:kern w:val="2"/>
          <w:sz w:val="32"/>
          <w:szCs w:val="32"/>
          <w:lang w:val="en-US" w:eastAsia="zh-CN" w:bidi="ar-SA"/>
        </w:rPr>
        <w:t>我乡属独立编制机构和独立核算的行政单位，截至2025年12月31日在编人员36人，其中：（公务员21人、机关和事业工人2人）、其他人员2人（遗属人员）；退休人员5人。</w:t>
      </w:r>
    </w:p>
    <w:p w14:paraId="6106EC14">
      <w:pPr>
        <w:pStyle w:val="4"/>
        <w:pageBreakBefore w:val="0"/>
        <w:numPr>
          <w:ilvl w:val="0"/>
          <w:numId w:val="0"/>
        </w:numPr>
        <w:kinsoku/>
        <w:wordWrap/>
        <w:overflowPunct/>
        <w:topLinePunct w:val="0"/>
        <w:autoSpaceDN/>
        <w:bidi w:val="0"/>
        <w:adjustRightInd/>
        <w:spacing w:line="576" w:lineRule="exact"/>
        <w:ind w:right="440" w:rightChars="0"/>
        <w:jc w:val="center"/>
        <w:textAlignment w:val="auto"/>
        <w:rPr>
          <w:rStyle w:val="19"/>
          <w:rFonts w:hint="default" w:ascii="Times New Roman" w:hAnsi="Times New Roman" w:eastAsia="黑体" w:cs="Times New Roman"/>
          <w:b w:val="0"/>
          <w:bCs/>
          <w:color w:val="000000"/>
          <w:highlight w:val="none"/>
        </w:rPr>
      </w:pPr>
      <w:r>
        <w:rPr>
          <w:rFonts w:hint="default" w:ascii="Times New Roman" w:hAnsi="Times New Roman" w:eastAsia="黑体" w:cs="Times New Roman"/>
          <w:b w:val="0"/>
          <w:bCs/>
          <w:color w:val="000000"/>
        </w:rPr>
        <w:t>第二部分2025年度单位决算情况说明</w:t>
      </w:r>
    </w:p>
    <w:p w14:paraId="7A2DA35B">
      <w:pPr>
        <w:pStyle w:val="28"/>
        <w:pageBreakBefore w:val="0"/>
        <w:numPr>
          <w:ilvl w:val="0"/>
          <w:numId w:val="0"/>
        </w:numPr>
        <w:kinsoku/>
        <w:wordWrap/>
        <w:overflowPunct/>
        <w:topLinePunct w:val="0"/>
        <w:autoSpaceDN/>
        <w:bidi w:val="0"/>
        <w:adjustRightInd/>
        <w:spacing w:line="576" w:lineRule="exact"/>
        <w:ind w:firstLine="640" w:firstLineChars="200"/>
        <w:jc w:val="both"/>
        <w:textAlignment w:val="auto"/>
        <w:outlineLvl w:val="1"/>
        <w:rPr>
          <w:rStyle w:val="20"/>
          <w:rFonts w:hint="default" w:ascii="Times New Roman" w:hAnsi="Times New Roman" w:eastAsia="黑体" w:cs="Times New Roman"/>
          <w:b w:val="0"/>
          <w:color w:val="000000"/>
          <w:highlight w:val="none"/>
        </w:rPr>
      </w:pPr>
      <w:r>
        <w:rPr>
          <w:rFonts w:hint="default" w:ascii="Times New Roman" w:hAnsi="Times New Roman" w:eastAsia="黑体" w:cs="Times New Roman"/>
          <w:color w:val="000000"/>
          <w:sz w:val="32"/>
          <w:szCs w:val="32"/>
          <w:lang w:eastAsia="zh-CN"/>
        </w:rPr>
        <w:t>一、</w:t>
      </w:r>
      <w:r>
        <w:rPr>
          <w:rFonts w:hint="default" w:ascii="Times New Roman" w:hAnsi="Times New Roman" w:eastAsia="黑体" w:cs="Times New Roman"/>
          <w:color w:val="000000"/>
          <w:sz w:val="32"/>
          <w:szCs w:val="32"/>
        </w:rPr>
        <w:t>收</w:t>
      </w:r>
      <w:r>
        <w:rPr>
          <w:rStyle w:val="20"/>
          <w:rFonts w:hint="default" w:ascii="Times New Roman" w:hAnsi="Times New Roman" w:eastAsia="黑体" w:cs="Times New Roman"/>
          <w:b w:val="0"/>
          <w:color w:val="000000"/>
        </w:rPr>
        <w:t>入支出决算总体情况说明</w:t>
      </w:r>
    </w:p>
    <w:p w14:paraId="3DAB1C2B">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lang w:eastAsia="zh-CN"/>
        </w:rPr>
        <w:t>2025年度收入为983.29万元、支出为990.67万元。与2024年度相比，收入增加188.50万元，增长23.72%、支出增加196.88万元，增长24.80%。主要变动原因是2025年增加了福利费，保险及工资基数增加等。</w:t>
      </w:r>
    </w:p>
    <w:p w14:paraId="1FAB227D">
      <w:pPr>
        <w:pStyle w:val="13"/>
        <w:pageBreakBefore w:val="0"/>
        <w:kinsoku/>
        <w:wordWrap/>
        <w:overflowPunct/>
        <w:topLinePunct w:val="0"/>
        <w:autoSpaceDN/>
        <w:bidi w:val="0"/>
        <w:adjustRightInd/>
        <w:spacing w:line="576" w:lineRule="exact"/>
        <w:ind w:firstLine="420" w:firstLineChars="200"/>
        <w:jc w:val="both"/>
        <w:textAlignment w:val="auto"/>
        <w:rPr>
          <w:rFonts w:hint="default" w:ascii="Times New Roman" w:hAnsi="Times New Roman" w:eastAsia="仿宋_GB2312" w:cs="Times New Roman"/>
          <w:color w:val="000000"/>
          <w:sz w:val="32"/>
          <w:szCs w:val="32"/>
          <w:highlight w:val="none"/>
          <w:lang w:eastAsia="zh-CN"/>
        </w:rPr>
      </w:pP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315595</wp:posOffset>
            </wp:positionH>
            <wp:positionV relativeFrom="paragraph">
              <wp:posOffset>91440</wp:posOffset>
            </wp:positionV>
            <wp:extent cx="4193540" cy="2844800"/>
            <wp:effectExtent l="4445" t="4445" r="5715" b="8255"/>
            <wp:wrapTight wrapText="bothSides">
              <wp:wrapPolygon>
                <wp:start x="-23" y="-34"/>
                <wp:lineTo x="-23" y="21566"/>
                <wp:lineTo x="21564" y="21566"/>
                <wp:lineTo x="21564" y="-34"/>
                <wp:lineTo x="-23" y="-34"/>
              </wp:wrapPolygon>
            </wp:wrapTight>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p>
    <w:p w14:paraId="16874D0B">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_GB2312" w:cs="Times New Roman"/>
          <w:b/>
          <w:bCs/>
          <w:color w:val="000000"/>
          <w:sz w:val="32"/>
          <w:szCs w:val="32"/>
        </w:rPr>
        <w:t>（图1：收、支决算总计变动情况图）（柱状图）</w:t>
      </w:r>
    </w:p>
    <w:p w14:paraId="1730C0BC">
      <w:pPr>
        <w:pStyle w:val="28"/>
        <w:pageBreakBefore w:val="0"/>
        <w:numPr>
          <w:ilvl w:val="0"/>
          <w:numId w:val="0"/>
        </w:numPr>
        <w:kinsoku/>
        <w:wordWrap/>
        <w:overflowPunct/>
        <w:topLinePunct w:val="0"/>
        <w:autoSpaceDN/>
        <w:bidi w:val="0"/>
        <w:adjustRightInd/>
        <w:spacing w:line="576" w:lineRule="exact"/>
        <w:ind w:firstLine="640" w:firstLineChars="200"/>
        <w:jc w:val="both"/>
        <w:textAlignment w:val="auto"/>
        <w:outlineLvl w:val="1"/>
        <w:rPr>
          <w:rStyle w:val="20"/>
          <w:rFonts w:hint="default" w:ascii="Times New Roman" w:hAnsi="Times New Roman" w:eastAsia="黑体" w:cs="Times New Roman"/>
          <w:b w:val="0"/>
          <w:color w:val="000000"/>
          <w:highlight w:val="none"/>
        </w:rPr>
      </w:pPr>
      <w:r>
        <w:rPr>
          <w:rFonts w:hint="default" w:ascii="Times New Roman" w:hAnsi="Times New Roman" w:eastAsia="黑体" w:cs="Times New Roman"/>
          <w:color w:val="000000"/>
          <w:sz w:val="32"/>
          <w:szCs w:val="32"/>
          <w:lang w:eastAsia="zh-CN"/>
        </w:rPr>
        <w:t>二、</w:t>
      </w:r>
      <w:r>
        <w:rPr>
          <w:rFonts w:hint="default" w:ascii="Times New Roman" w:hAnsi="Times New Roman" w:eastAsia="黑体" w:cs="Times New Roman"/>
          <w:color w:val="000000"/>
          <w:sz w:val="32"/>
          <w:szCs w:val="32"/>
        </w:rPr>
        <w:t>收</w:t>
      </w:r>
      <w:r>
        <w:rPr>
          <w:rStyle w:val="20"/>
          <w:rFonts w:hint="default" w:ascii="Times New Roman" w:hAnsi="Times New Roman" w:eastAsia="黑体" w:cs="Times New Roman"/>
          <w:b w:val="0"/>
          <w:color w:val="000000"/>
        </w:rPr>
        <w:t>入决算情况说明</w:t>
      </w:r>
    </w:p>
    <w:p w14:paraId="058239E1">
      <w:pPr>
        <w:pageBreakBefore w:val="0"/>
        <w:numPr>
          <w:ilvl w:val="0"/>
          <w:numId w:val="0"/>
        </w:numPr>
        <w:kinsoku/>
        <w:wordWrap/>
        <w:overflowPunct/>
        <w:topLinePunct w:val="0"/>
        <w:autoSpaceDN/>
        <w:bidi w:val="0"/>
        <w:adjustRightInd/>
        <w:spacing w:line="576" w:lineRule="exact"/>
        <w:ind w:firstLine="640" w:firstLineChars="200"/>
        <w:jc w:val="both"/>
        <w:textAlignment w:val="auto"/>
        <w:outlineLvl w:val="1"/>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lang w:eastAsia="zh-CN"/>
        </w:rPr>
        <w:t>2025年度本年收入合计983.29万元，其中：一般公共预算财政拨款收入983.29万元，占100%；政府性基金预算财政拨款收入0万元，占0%；国有资本经营预算财政拨款收入0万元，占0%；上级补助收入0万元，占0%；事业收入0万元，占0%；经营收入0万元，占0%；附属单位上缴收入0万元，占0%；其他收入0万元，占0%。</w:t>
      </w:r>
    </w:p>
    <w:p w14:paraId="7E996704">
      <w:pPr>
        <w:pageBreakBefore w:val="0"/>
        <w:numPr>
          <w:ilvl w:val="0"/>
          <w:numId w:val="0"/>
        </w:numPr>
        <w:kinsoku/>
        <w:wordWrap/>
        <w:overflowPunct/>
        <w:topLinePunct w:val="0"/>
        <w:autoSpaceDN/>
        <w:bidi w:val="0"/>
        <w:adjustRightInd/>
        <w:spacing w:line="576" w:lineRule="exact"/>
        <w:ind w:firstLine="579" w:firstLineChars="200"/>
        <w:jc w:val="both"/>
        <w:textAlignment w:val="auto"/>
        <w:outlineLvl w:val="1"/>
        <w:rPr>
          <w:rFonts w:hint="default" w:ascii="Times New Roman" w:hAnsi="Times New Roman" w:eastAsia="仿宋_GB2312" w:cs="Times New Roman"/>
          <w:color w:val="000000"/>
          <w:w w:val="90"/>
          <w:sz w:val="32"/>
          <w:szCs w:val="32"/>
          <w:highlight w:val="none"/>
        </w:rPr>
      </w:pPr>
      <w:r>
        <w:rPr>
          <w:rFonts w:hint="default" w:ascii="Times New Roman" w:hAnsi="Times New Roman" w:eastAsia="仿宋_GB2312" w:cs="Times New Roman"/>
          <w:b/>
          <w:color w:val="000000"/>
          <w:w w:val="90"/>
          <w:sz w:val="32"/>
          <w:szCs w:val="32"/>
        </w:rPr>
        <w:t>（注：数据来源于财决01表</w:t>
      </w:r>
      <w:r>
        <w:rPr>
          <w:rFonts w:hint="default" w:ascii="Times New Roman" w:hAnsi="Times New Roman" w:eastAsia="仿宋_GB2312" w:cs="Times New Roman"/>
          <w:b/>
          <w:color w:val="000000"/>
          <w:w w:val="90"/>
          <w:sz w:val="32"/>
          <w:szCs w:val="32"/>
          <w:lang w:eastAsia="zh-CN"/>
        </w:rPr>
        <w:t>，仅罗列本单位涉及的收入。</w:t>
      </w:r>
      <w:r>
        <w:rPr>
          <w:rFonts w:hint="default" w:ascii="Times New Roman" w:hAnsi="Times New Roman" w:eastAsia="仿宋_GB2312" w:cs="Times New Roman"/>
          <w:b/>
          <w:color w:val="000000"/>
          <w:w w:val="90"/>
          <w:sz w:val="32"/>
          <w:szCs w:val="32"/>
        </w:rPr>
        <w:t>）</w:t>
      </w:r>
    </w:p>
    <w:p w14:paraId="739EF469">
      <w:pPr>
        <w:pStyle w:val="13"/>
        <w:pageBreakBefore w:val="0"/>
        <w:kinsoku/>
        <w:wordWrap/>
        <w:overflowPunct/>
        <w:topLinePunct w:val="0"/>
        <w:autoSpaceDN/>
        <w:bidi w:val="0"/>
        <w:adjustRightInd/>
        <w:spacing w:line="576" w:lineRule="exact"/>
        <w:ind w:firstLine="420" w:firstLineChars="200"/>
        <w:jc w:val="both"/>
        <w:textAlignment w:val="auto"/>
        <w:rPr>
          <w:rFonts w:hint="default" w:ascii="Times New Roman" w:hAnsi="Times New Roman" w:eastAsia="仿宋" w:cs="Times New Roman"/>
          <w:color w:val="000000"/>
          <w:sz w:val="32"/>
          <w:szCs w:val="32"/>
          <w:highlight w:val="none"/>
        </w:rPr>
      </w:pPr>
      <w:r>
        <w:rPr>
          <w:rFonts w:hint="default" w:ascii="Times New Roman" w:hAnsi="Times New Roman" w:cs="Times New Roman"/>
        </w:rPr>
        <w:drawing>
          <wp:anchor distT="0" distB="0" distL="114300" distR="114300" simplePos="0" relativeHeight="251660288" behindDoc="1" locked="0" layoutInCell="1" allowOverlap="1">
            <wp:simplePos x="0" y="0"/>
            <wp:positionH relativeFrom="column">
              <wp:posOffset>392430</wp:posOffset>
            </wp:positionH>
            <wp:positionV relativeFrom="paragraph">
              <wp:posOffset>38735</wp:posOffset>
            </wp:positionV>
            <wp:extent cx="4171950" cy="2673350"/>
            <wp:effectExtent l="4445" t="4445" r="14605" b="14605"/>
            <wp:wrapTight wrapText="bothSides">
              <wp:wrapPolygon>
                <wp:start x="-23" y="-36"/>
                <wp:lineTo x="-23" y="21513"/>
                <wp:lineTo x="21544" y="21513"/>
                <wp:lineTo x="21544" y="-36"/>
                <wp:lineTo x="-23" y="-36"/>
              </wp:wrapPolygon>
            </wp:wrapTight>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4A014E45">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_GB2312" w:cs="Times New Roman"/>
          <w:b/>
          <w:bCs/>
          <w:color w:val="000000"/>
          <w:sz w:val="32"/>
          <w:szCs w:val="32"/>
        </w:rPr>
        <w:t>（图2：收入决算结构图）（饼状图）</w:t>
      </w:r>
    </w:p>
    <w:p w14:paraId="6DD36176">
      <w:pPr>
        <w:pStyle w:val="28"/>
        <w:pageBreakBefore w:val="0"/>
        <w:numPr>
          <w:ilvl w:val="0"/>
          <w:numId w:val="0"/>
        </w:numPr>
        <w:kinsoku/>
        <w:wordWrap/>
        <w:overflowPunct/>
        <w:topLinePunct w:val="0"/>
        <w:autoSpaceDN/>
        <w:bidi w:val="0"/>
        <w:adjustRightInd/>
        <w:spacing w:line="576" w:lineRule="exact"/>
        <w:ind w:firstLine="640" w:firstLineChars="200"/>
        <w:jc w:val="both"/>
        <w:textAlignment w:val="auto"/>
        <w:outlineLvl w:val="1"/>
        <w:rPr>
          <w:rStyle w:val="20"/>
          <w:rFonts w:hint="default" w:ascii="Times New Roman" w:hAnsi="Times New Roman" w:eastAsia="黑体" w:cs="Times New Roman"/>
          <w:b w:val="0"/>
          <w:color w:val="000000"/>
          <w:highlight w:val="none"/>
        </w:rPr>
      </w:pPr>
      <w:r>
        <w:rPr>
          <w:rFonts w:hint="default" w:ascii="Times New Roman" w:hAnsi="Times New Roman" w:eastAsia="黑体" w:cs="Times New Roman"/>
          <w:color w:val="000000"/>
          <w:sz w:val="32"/>
          <w:szCs w:val="32"/>
          <w:lang w:eastAsia="zh-CN"/>
        </w:rPr>
        <w:t>三、</w:t>
      </w:r>
      <w:r>
        <w:rPr>
          <w:rFonts w:hint="default" w:ascii="Times New Roman" w:hAnsi="Times New Roman" w:eastAsia="黑体" w:cs="Times New Roman"/>
          <w:color w:val="000000"/>
          <w:sz w:val="32"/>
          <w:szCs w:val="32"/>
        </w:rPr>
        <w:t>支</w:t>
      </w:r>
      <w:r>
        <w:rPr>
          <w:rStyle w:val="20"/>
          <w:rFonts w:hint="default" w:ascii="Times New Roman" w:hAnsi="Times New Roman" w:eastAsia="黑体" w:cs="Times New Roman"/>
          <w:b w:val="0"/>
          <w:color w:val="000000"/>
        </w:rPr>
        <w:t>出决算情况说明</w:t>
      </w:r>
    </w:p>
    <w:p w14:paraId="0EB67E84">
      <w:pPr>
        <w:pageBreakBefore w:val="0"/>
        <w:numPr>
          <w:ilvl w:val="0"/>
          <w:numId w:val="0"/>
        </w:numPr>
        <w:kinsoku/>
        <w:wordWrap/>
        <w:overflowPunct/>
        <w:topLinePunct w:val="0"/>
        <w:autoSpaceDN/>
        <w:bidi w:val="0"/>
        <w:adjustRightInd/>
        <w:spacing w:line="576" w:lineRule="exact"/>
        <w:ind w:firstLine="640" w:firstLineChars="200"/>
        <w:jc w:val="both"/>
        <w:textAlignment w:val="auto"/>
        <w:outlineLvl w:val="1"/>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lang w:eastAsia="zh-CN"/>
        </w:rPr>
        <w:t>2025年度本年支出合计990.67万元，其中：基本支出668.08万元，占67%；项目支出322.60万元，占33%；上缴上级支出0万元，占0%；经营支出0万元，占0%；对附属单位补助支出0万元，占0%。</w:t>
      </w:r>
    </w:p>
    <w:p w14:paraId="2DFADCBB">
      <w:pPr>
        <w:pageBreakBefore w:val="0"/>
        <w:numPr>
          <w:ilvl w:val="0"/>
          <w:numId w:val="0"/>
        </w:numPr>
        <w:kinsoku/>
        <w:wordWrap/>
        <w:overflowPunct/>
        <w:topLinePunct w:val="0"/>
        <w:autoSpaceDN/>
        <w:bidi w:val="0"/>
        <w:adjustRightInd/>
        <w:spacing w:line="576" w:lineRule="exact"/>
        <w:ind w:firstLine="579" w:firstLineChars="200"/>
        <w:jc w:val="both"/>
        <w:textAlignment w:val="auto"/>
        <w:outlineLvl w:val="1"/>
        <w:rPr>
          <w:rFonts w:hint="default" w:ascii="Times New Roman" w:hAnsi="Times New Roman" w:eastAsia="仿宋" w:cs="Times New Roman"/>
          <w:b/>
          <w:color w:val="000000"/>
          <w:w w:val="90"/>
          <w:sz w:val="32"/>
          <w:szCs w:val="32"/>
          <w:highlight w:val="none"/>
        </w:rPr>
      </w:pPr>
      <w:r>
        <w:rPr>
          <w:rFonts w:hint="default" w:ascii="Times New Roman" w:hAnsi="Times New Roman" w:eastAsia="仿宋_GB2312" w:cs="Times New Roman"/>
          <w:b/>
          <w:color w:val="000000"/>
          <w:w w:val="90"/>
          <w:sz w:val="32"/>
          <w:szCs w:val="32"/>
        </w:rPr>
        <w:t>（注：数据来源于财决04表</w:t>
      </w:r>
      <w:r>
        <w:rPr>
          <w:rFonts w:hint="default" w:ascii="Times New Roman" w:hAnsi="Times New Roman" w:eastAsia="仿宋_GB2312" w:cs="Times New Roman"/>
          <w:b/>
          <w:color w:val="000000"/>
          <w:w w:val="90"/>
          <w:sz w:val="32"/>
          <w:szCs w:val="32"/>
          <w:lang w:eastAsia="zh-CN"/>
        </w:rPr>
        <w:t>，仅罗列本单位涉及的支出。</w:t>
      </w:r>
      <w:r>
        <w:rPr>
          <w:rFonts w:hint="default" w:ascii="Times New Roman" w:hAnsi="Times New Roman" w:eastAsia="仿宋_GB2312" w:cs="Times New Roman"/>
          <w:b/>
          <w:color w:val="000000"/>
          <w:w w:val="90"/>
          <w:sz w:val="32"/>
          <w:szCs w:val="32"/>
        </w:rPr>
        <w:t>）</w:t>
      </w:r>
    </w:p>
    <w:p w14:paraId="3E7DEE1E">
      <w:pPr>
        <w:pStyle w:val="13"/>
        <w:pageBreakBefore w:val="0"/>
        <w:kinsoku/>
        <w:wordWrap/>
        <w:overflowPunct/>
        <w:topLinePunct w:val="0"/>
        <w:autoSpaceDN/>
        <w:bidi w:val="0"/>
        <w:adjustRightInd/>
        <w:spacing w:line="576" w:lineRule="exact"/>
        <w:ind w:left="0" w:leftChars="0" w:firstLine="420" w:firstLineChars="200"/>
        <w:jc w:val="both"/>
        <w:textAlignment w:val="auto"/>
        <w:rPr>
          <w:rFonts w:hint="default" w:ascii="Times New Roman" w:hAnsi="Times New Roman" w:eastAsia="仿宋" w:cs="Times New Roman"/>
          <w:color w:val="000000"/>
          <w:sz w:val="32"/>
          <w:szCs w:val="32"/>
          <w:highlight w:val="none"/>
          <w:shd w:val="clear" w:fill="E5E5E5"/>
        </w:rPr>
      </w:pPr>
      <w:r>
        <w:rPr>
          <w:rFonts w:hint="default" w:ascii="Times New Roman" w:hAnsi="Times New Roman" w:cs="Times New Roman"/>
        </w:rPr>
        <w:drawing>
          <wp:anchor distT="0" distB="0" distL="114300" distR="114300" simplePos="0" relativeHeight="251661312" behindDoc="1" locked="0" layoutInCell="1" allowOverlap="1">
            <wp:simplePos x="0" y="0"/>
            <wp:positionH relativeFrom="column">
              <wp:posOffset>309245</wp:posOffset>
            </wp:positionH>
            <wp:positionV relativeFrom="paragraph">
              <wp:posOffset>32385</wp:posOffset>
            </wp:positionV>
            <wp:extent cx="4229100" cy="2844800"/>
            <wp:effectExtent l="4445" t="4445" r="8255" b="8255"/>
            <wp:wrapTight wrapText="bothSides">
              <wp:wrapPolygon>
                <wp:start x="-23" y="-34"/>
                <wp:lineTo x="-23" y="21566"/>
                <wp:lineTo x="21577" y="21566"/>
                <wp:lineTo x="21577" y="-34"/>
                <wp:lineTo x="-23" y="-34"/>
              </wp:wrapPolygon>
            </wp:wrapTight>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57501897">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 w:cs="Times New Roman"/>
          <w:color w:val="000000"/>
          <w:sz w:val="32"/>
          <w:szCs w:val="32"/>
          <w:highlight w:val="none"/>
        </w:rPr>
      </w:pPr>
      <w:r>
        <w:rPr>
          <w:rFonts w:hint="default" w:ascii="Times New Roman" w:hAnsi="Times New Roman" w:eastAsia="仿宋_GB2312" w:cs="Times New Roman"/>
          <w:b/>
          <w:bCs/>
          <w:color w:val="000000"/>
          <w:sz w:val="32"/>
          <w:szCs w:val="32"/>
        </w:rPr>
        <w:t>（图3：支出决算结构图）（饼状图）</w:t>
      </w:r>
    </w:p>
    <w:p w14:paraId="5C0935A6">
      <w:pPr>
        <w:pageBreakBefore w:val="0"/>
        <w:numPr>
          <w:ilvl w:val="0"/>
          <w:numId w:val="0"/>
        </w:numPr>
        <w:kinsoku/>
        <w:wordWrap/>
        <w:overflowPunct/>
        <w:topLinePunct w:val="0"/>
        <w:autoSpaceDN/>
        <w:bidi w:val="0"/>
        <w:adjustRightInd/>
        <w:spacing w:line="576" w:lineRule="exact"/>
        <w:ind w:firstLine="640" w:firstLineChars="200"/>
        <w:jc w:val="both"/>
        <w:textAlignment w:val="auto"/>
        <w:outlineLvl w:val="1"/>
        <w:rPr>
          <w:rStyle w:val="20"/>
          <w:rFonts w:hint="default" w:ascii="Times New Roman" w:hAnsi="Times New Roman" w:eastAsia="黑体" w:cs="Times New Roman"/>
          <w:b w:val="0"/>
          <w:color w:val="000000"/>
          <w:highlight w:val="none"/>
        </w:rPr>
      </w:pPr>
      <w:r>
        <w:rPr>
          <w:rFonts w:hint="default" w:ascii="Times New Roman" w:hAnsi="Times New Roman" w:eastAsia="黑体" w:cs="Times New Roman"/>
          <w:color w:val="000000"/>
          <w:sz w:val="32"/>
          <w:szCs w:val="32"/>
        </w:rPr>
        <w:t>四、财</w:t>
      </w:r>
      <w:r>
        <w:rPr>
          <w:rStyle w:val="20"/>
          <w:rFonts w:hint="default" w:ascii="Times New Roman" w:hAnsi="Times New Roman" w:eastAsia="黑体" w:cs="Times New Roman"/>
          <w:b w:val="0"/>
          <w:color w:val="000000"/>
        </w:rPr>
        <w:t>政拨款收入支出决算总体情况说明</w:t>
      </w:r>
    </w:p>
    <w:p w14:paraId="64C82C07">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lang w:eastAsia="zh-CN"/>
        </w:rPr>
        <w:t>2025年度财政拨款收入为983.29万元、财政拨款支出为983.29万元。与2024年度相比，财政拨款收入增加189.50万元，增长23.87%、财政拨款支出增加189.50万元，增长23.87%。主要变动原因是2025年增加了福利费，保险及工资基数增加等。</w:t>
      </w:r>
    </w:p>
    <w:p w14:paraId="2BAA1E0E">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b/>
          <w:color w:val="000000"/>
          <w:sz w:val="32"/>
          <w:szCs w:val="32"/>
          <w:highlight w:val="none"/>
        </w:rPr>
      </w:pPr>
      <w:r>
        <w:rPr>
          <w:rFonts w:hint="default" w:ascii="Times New Roman" w:hAnsi="Times New Roman" w:eastAsia="仿宋_GB2312" w:cs="Times New Roman"/>
          <w:b/>
          <w:color w:val="000000"/>
          <w:sz w:val="32"/>
          <w:szCs w:val="32"/>
        </w:rPr>
        <w:t>（注：数据来源于财决01-1表）</w:t>
      </w:r>
    </w:p>
    <w:p w14:paraId="62B977AD">
      <w:pPr>
        <w:pageBreakBefore w:val="0"/>
        <w:kinsoku/>
        <w:wordWrap/>
        <w:overflowPunct/>
        <w:topLinePunct w:val="0"/>
        <w:autoSpaceDN/>
        <w:bidi w:val="0"/>
        <w:adjustRightInd/>
        <w:spacing w:line="576" w:lineRule="exact"/>
        <w:ind w:firstLine="420" w:firstLineChars="200"/>
        <w:jc w:val="both"/>
        <w:textAlignment w:val="auto"/>
        <w:rPr>
          <w:rFonts w:hint="default" w:ascii="Times New Roman" w:hAnsi="Times New Roman" w:eastAsia="仿宋" w:cs="Times New Roman"/>
          <w:b/>
          <w:color w:val="000000"/>
          <w:sz w:val="32"/>
          <w:szCs w:val="32"/>
          <w:highlight w:val="none"/>
        </w:rPr>
      </w:pPr>
      <w:r>
        <w:rPr>
          <w:rFonts w:hint="default" w:ascii="Times New Roman" w:hAnsi="Times New Roman" w:cs="Times New Roman"/>
        </w:rPr>
        <w:drawing>
          <wp:anchor distT="0" distB="0" distL="114300" distR="114300" simplePos="0" relativeHeight="251662336" behindDoc="1" locked="0" layoutInCell="1" allowOverlap="1">
            <wp:simplePos x="0" y="0"/>
            <wp:positionH relativeFrom="column">
              <wp:posOffset>467995</wp:posOffset>
            </wp:positionH>
            <wp:positionV relativeFrom="paragraph">
              <wp:posOffset>58420</wp:posOffset>
            </wp:positionV>
            <wp:extent cx="4193540" cy="2844800"/>
            <wp:effectExtent l="4445" t="4445" r="5715" b="8255"/>
            <wp:wrapTight wrapText="bothSides">
              <wp:wrapPolygon>
                <wp:start x="-23" y="-34"/>
                <wp:lineTo x="-23" y="21566"/>
                <wp:lineTo x="21564" y="21566"/>
                <wp:lineTo x="21564" y="-34"/>
                <wp:lineTo x="-23" y="-34"/>
              </wp:wrapPolygon>
            </wp:wrapTight>
            <wp:docPr id="3"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4D450459">
      <w:pPr>
        <w:pStyle w:val="13"/>
        <w:pageBreakBefore w:val="0"/>
        <w:kinsoku/>
        <w:wordWrap/>
        <w:overflowPunct/>
        <w:topLinePunct w:val="0"/>
        <w:autoSpaceDN/>
        <w:bidi w:val="0"/>
        <w:adjustRightInd/>
        <w:spacing w:line="576" w:lineRule="exact"/>
        <w:ind w:left="0" w:firstLine="640" w:firstLineChars="200"/>
        <w:jc w:val="both"/>
        <w:textAlignment w:val="auto"/>
        <w:rPr>
          <w:rFonts w:hint="default" w:ascii="Times New Roman" w:hAnsi="Times New Roman" w:eastAsia="仿宋" w:cs="Times New Roman"/>
          <w:color w:val="000000"/>
          <w:sz w:val="32"/>
          <w:szCs w:val="32"/>
          <w:highlight w:val="none"/>
        </w:rPr>
      </w:pPr>
    </w:p>
    <w:p w14:paraId="6DB778DD">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b/>
          <w:bCs/>
          <w:color w:val="000000"/>
          <w:sz w:val="32"/>
          <w:szCs w:val="32"/>
          <w:highlight w:val="none"/>
        </w:rPr>
      </w:pPr>
      <w:r>
        <w:rPr>
          <w:rFonts w:hint="default" w:ascii="Times New Roman" w:hAnsi="Times New Roman" w:eastAsia="仿宋_GB2312" w:cs="Times New Roman"/>
          <w:b/>
          <w:bCs/>
          <w:color w:val="000000"/>
          <w:sz w:val="32"/>
          <w:szCs w:val="32"/>
        </w:rPr>
        <w:t>（图4：财政拨款收、支决算总计变动情况）（柱状图）</w:t>
      </w:r>
    </w:p>
    <w:p w14:paraId="009C4293">
      <w:pPr>
        <w:pageBreakBefore w:val="0"/>
        <w:numPr>
          <w:ilvl w:val="0"/>
          <w:numId w:val="0"/>
        </w:numPr>
        <w:kinsoku/>
        <w:wordWrap/>
        <w:overflowPunct/>
        <w:topLinePunct w:val="0"/>
        <w:autoSpaceDN/>
        <w:bidi w:val="0"/>
        <w:adjustRightInd/>
        <w:spacing w:line="576" w:lineRule="exact"/>
        <w:ind w:firstLine="640" w:firstLineChars="200"/>
        <w:jc w:val="both"/>
        <w:textAlignment w:val="auto"/>
        <w:outlineLvl w:val="1"/>
        <w:rPr>
          <w:rStyle w:val="20"/>
          <w:rFonts w:hint="default" w:ascii="Times New Roman" w:hAnsi="Times New Roman" w:eastAsia="黑体" w:cs="Times New Roman"/>
          <w:b w:val="0"/>
          <w:color w:val="000000"/>
          <w:highlight w:val="none"/>
        </w:rPr>
      </w:pPr>
      <w:r>
        <w:rPr>
          <w:rFonts w:hint="default" w:ascii="Times New Roman" w:hAnsi="Times New Roman" w:eastAsia="黑体" w:cs="Times New Roman"/>
          <w:color w:val="000000"/>
          <w:sz w:val="32"/>
          <w:szCs w:val="32"/>
        </w:rPr>
        <w:t>五、</w:t>
      </w:r>
      <w:r>
        <w:rPr>
          <w:rFonts w:hint="default" w:ascii="Times New Roman" w:hAnsi="Times New Roman" w:eastAsia="黑体" w:cs="Times New Roman"/>
          <w:b/>
          <w:color w:val="000000"/>
          <w:sz w:val="32"/>
          <w:szCs w:val="32"/>
        </w:rPr>
        <w:t>一</w:t>
      </w:r>
      <w:r>
        <w:rPr>
          <w:rStyle w:val="20"/>
          <w:rFonts w:hint="default" w:ascii="Times New Roman" w:hAnsi="Times New Roman" w:eastAsia="黑体" w:cs="Times New Roman"/>
          <w:b w:val="0"/>
          <w:color w:val="000000"/>
        </w:rPr>
        <w:t>般公共预算财政拨款支出决算情况说明</w:t>
      </w:r>
    </w:p>
    <w:p w14:paraId="62AF551B">
      <w:pPr>
        <w:pageBreakBefore w:val="0"/>
        <w:numPr>
          <w:ilvl w:val="0"/>
          <w:numId w:val="0"/>
        </w:numPr>
        <w:kinsoku/>
        <w:wordWrap/>
        <w:overflowPunct/>
        <w:topLinePunct w:val="0"/>
        <w:autoSpaceDN/>
        <w:bidi w:val="0"/>
        <w:adjustRightInd/>
        <w:spacing w:line="576" w:lineRule="exact"/>
        <w:ind w:firstLine="643" w:firstLineChars="200"/>
        <w:jc w:val="both"/>
        <w:textAlignment w:val="auto"/>
        <w:outlineLvl w:val="2"/>
        <w:rPr>
          <w:rFonts w:hint="default" w:ascii="Times New Roman" w:hAnsi="Times New Roman" w:eastAsia="楷体_GB2312" w:cs="Times New Roman"/>
          <w:b/>
          <w:color w:val="000000"/>
          <w:sz w:val="32"/>
          <w:szCs w:val="32"/>
          <w:highlight w:val="none"/>
        </w:rPr>
      </w:pPr>
      <w:r>
        <w:rPr>
          <w:rFonts w:hint="default" w:ascii="Times New Roman" w:hAnsi="Times New Roman" w:eastAsia="楷体_GB2312" w:cs="Times New Roman"/>
          <w:b/>
          <w:color w:val="000000"/>
          <w:sz w:val="32"/>
          <w:szCs w:val="32"/>
        </w:rPr>
        <w:t>（一）一般公共预算财政拨款支出决算总体情况</w:t>
      </w:r>
    </w:p>
    <w:p w14:paraId="3D3B1356">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lang w:eastAsia="zh-CN"/>
        </w:rPr>
        <w:t>2025年度一般公共预算财政拨款支出983.29万元，占本年支出合计的99.26%。与2024年度相比，一般公共预算财政拨款支出增加189.50万元，增长23.87%。主要变动原因是2025年增加了福利费，保险及工资基数增加等。</w:t>
      </w:r>
    </w:p>
    <w:p w14:paraId="388B4B52">
      <w:pPr>
        <w:pStyle w:val="13"/>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 w:cs="Times New Roman"/>
          <w:color w:val="000000"/>
          <w:sz w:val="32"/>
          <w:szCs w:val="32"/>
          <w:highlight w:val="none"/>
        </w:rPr>
      </w:pPr>
    </w:p>
    <w:p w14:paraId="48C704B0">
      <w:pPr>
        <w:pageBreakBefore w:val="0"/>
        <w:kinsoku/>
        <w:wordWrap/>
        <w:overflowPunct/>
        <w:topLinePunct w:val="0"/>
        <w:autoSpaceDN/>
        <w:bidi w:val="0"/>
        <w:adjustRightInd/>
        <w:spacing w:line="576" w:lineRule="exact"/>
        <w:ind w:firstLine="420" w:firstLineChars="200"/>
        <w:jc w:val="both"/>
        <w:textAlignment w:val="auto"/>
        <w:rPr>
          <w:rFonts w:hint="default" w:ascii="Times New Roman" w:hAnsi="Times New Roman" w:eastAsia="仿宋_GB2312" w:cs="Times New Roman"/>
          <w:b/>
          <w:bCs/>
          <w:color w:val="000000"/>
          <w:w w:val="90"/>
          <w:sz w:val="32"/>
          <w:szCs w:val="32"/>
        </w:rPr>
      </w:pPr>
      <w:r>
        <w:rPr>
          <w:rFonts w:hint="default" w:ascii="Times New Roman" w:hAnsi="Times New Roman" w:cs="Times New Roman"/>
        </w:rPr>
        <w:drawing>
          <wp:anchor distT="0" distB="0" distL="114300" distR="114300" simplePos="0" relativeHeight="251663360" behindDoc="1" locked="0" layoutInCell="1" allowOverlap="1">
            <wp:simplePos x="0" y="0"/>
            <wp:positionH relativeFrom="column">
              <wp:posOffset>334645</wp:posOffset>
            </wp:positionH>
            <wp:positionV relativeFrom="paragraph">
              <wp:posOffset>222885</wp:posOffset>
            </wp:positionV>
            <wp:extent cx="4157980" cy="2838450"/>
            <wp:effectExtent l="4445" t="4445" r="15875" b="14605"/>
            <wp:wrapTight wrapText="bothSides">
              <wp:wrapPolygon>
                <wp:start x="-23" y="-34"/>
                <wp:lineTo x="-23" y="21518"/>
                <wp:lineTo x="21551" y="21518"/>
                <wp:lineTo x="21551" y="-34"/>
                <wp:lineTo x="-23" y="-34"/>
              </wp:wrapPolygon>
            </wp:wrapTight>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077AB8EF">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_GB2312" w:cs="Times New Roman"/>
          <w:b/>
          <w:bCs/>
          <w:color w:val="000000"/>
          <w:w w:val="90"/>
          <w:sz w:val="32"/>
          <w:szCs w:val="32"/>
        </w:rPr>
      </w:pPr>
    </w:p>
    <w:p w14:paraId="3BD205DE">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_GB2312" w:cs="Times New Roman"/>
          <w:b/>
          <w:bCs/>
          <w:color w:val="000000"/>
          <w:w w:val="90"/>
          <w:sz w:val="32"/>
          <w:szCs w:val="32"/>
        </w:rPr>
      </w:pPr>
    </w:p>
    <w:p w14:paraId="43977874">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_GB2312" w:cs="Times New Roman"/>
          <w:b/>
          <w:bCs/>
          <w:color w:val="000000"/>
          <w:w w:val="90"/>
          <w:sz w:val="32"/>
          <w:szCs w:val="32"/>
        </w:rPr>
      </w:pPr>
    </w:p>
    <w:p w14:paraId="445DF1B9">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_GB2312" w:cs="Times New Roman"/>
          <w:b/>
          <w:bCs/>
          <w:color w:val="000000"/>
          <w:w w:val="90"/>
          <w:sz w:val="32"/>
          <w:szCs w:val="32"/>
        </w:rPr>
      </w:pPr>
    </w:p>
    <w:p w14:paraId="11B39C62">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_GB2312" w:cs="Times New Roman"/>
          <w:b/>
          <w:bCs/>
          <w:color w:val="000000"/>
          <w:w w:val="90"/>
          <w:sz w:val="32"/>
          <w:szCs w:val="32"/>
        </w:rPr>
      </w:pPr>
    </w:p>
    <w:p w14:paraId="3936CD4E">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_GB2312" w:cs="Times New Roman"/>
          <w:b/>
          <w:bCs/>
          <w:color w:val="000000"/>
          <w:w w:val="90"/>
          <w:sz w:val="32"/>
          <w:szCs w:val="32"/>
        </w:rPr>
      </w:pPr>
    </w:p>
    <w:p w14:paraId="3E59A716">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_GB2312" w:cs="Times New Roman"/>
          <w:b/>
          <w:bCs/>
          <w:color w:val="000000"/>
          <w:w w:val="90"/>
          <w:sz w:val="32"/>
          <w:szCs w:val="32"/>
        </w:rPr>
      </w:pPr>
    </w:p>
    <w:p w14:paraId="4C10FD26">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_GB2312" w:cs="Times New Roman"/>
          <w:b/>
          <w:bCs/>
          <w:color w:val="000000"/>
          <w:w w:val="90"/>
          <w:sz w:val="32"/>
          <w:szCs w:val="32"/>
        </w:rPr>
      </w:pPr>
    </w:p>
    <w:p w14:paraId="24BF6B96">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_GB2312" w:cs="Times New Roman"/>
          <w:color w:val="000000"/>
          <w:w w:val="90"/>
          <w:sz w:val="32"/>
          <w:szCs w:val="32"/>
          <w:highlight w:val="none"/>
        </w:rPr>
      </w:pPr>
      <w:r>
        <w:rPr>
          <w:rFonts w:hint="default" w:ascii="Times New Roman" w:hAnsi="Times New Roman" w:eastAsia="仿宋_GB2312" w:cs="Times New Roman"/>
          <w:b/>
          <w:bCs/>
          <w:color w:val="000000"/>
          <w:w w:val="90"/>
          <w:sz w:val="32"/>
          <w:szCs w:val="32"/>
        </w:rPr>
        <w:t>（图5：一般公共预算财政拨款支出决算变动情况）（柱状图）</w:t>
      </w:r>
    </w:p>
    <w:p w14:paraId="2A1F47CB">
      <w:pPr>
        <w:pageBreakBefore w:val="0"/>
        <w:numPr>
          <w:ilvl w:val="0"/>
          <w:numId w:val="0"/>
        </w:numPr>
        <w:kinsoku/>
        <w:wordWrap/>
        <w:overflowPunct/>
        <w:topLinePunct w:val="0"/>
        <w:autoSpaceDN/>
        <w:bidi w:val="0"/>
        <w:adjustRightInd/>
        <w:spacing w:line="576" w:lineRule="exact"/>
        <w:ind w:firstLine="643" w:firstLineChars="200"/>
        <w:jc w:val="both"/>
        <w:textAlignment w:val="auto"/>
        <w:outlineLvl w:val="2"/>
        <w:rPr>
          <w:rFonts w:hint="default" w:ascii="Times New Roman" w:hAnsi="Times New Roman" w:eastAsia="仿宋" w:cs="Times New Roman"/>
          <w:b/>
          <w:color w:val="000000"/>
          <w:sz w:val="32"/>
          <w:szCs w:val="32"/>
          <w:highlight w:val="none"/>
        </w:rPr>
      </w:pPr>
      <w:r>
        <w:rPr>
          <w:rFonts w:hint="default" w:ascii="Times New Roman" w:hAnsi="Times New Roman" w:eastAsia="楷体_GB2312" w:cs="Times New Roman"/>
          <w:b/>
          <w:color w:val="000000"/>
          <w:sz w:val="32"/>
          <w:szCs w:val="32"/>
        </w:rPr>
        <w:t>（二）一般公共预算财政拨款支出决算结构情况</w:t>
      </w:r>
    </w:p>
    <w:p w14:paraId="49CB7636">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lang w:eastAsia="zh-CN"/>
        </w:rPr>
        <w:t>2025年度一般公共预算财政拨款支出983.29万元，主要用于以下方面：一般公共服务支出500.93万元，占50.94%；教育支出0万元，占0%；科学技术支出0万元，占0%；文化旅游体育与传媒支出0万元，占0%；社会保障和就业支出90.31万元，占9.18%；卫生健康支出28.52万元，占2.90%；住房保障支出43.94万元，占4.47%；农林水支出308.75万元，占31.40%。节能环保支出3.20万元，占0.33%；城乡社区支出7.65万元，占0.78%。</w:t>
      </w:r>
    </w:p>
    <w:p w14:paraId="50F1BC8A">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b/>
          <w:color w:val="000000"/>
          <w:sz w:val="32"/>
          <w:szCs w:val="32"/>
          <w:highlight w:val="none"/>
        </w:rPr>
      </w:pPr>
      <w:r>
        <w:rPr>
          <w:rFonts w:hint="default" w:ascii="Times New Roman" w:hAnsi="Times New Roman" w:eastAsia="仿宋_GB2312" w:cs="Times New Roman"/>
          <w:b/>
          <w:color w:val="000000"/>
          <w:sz w:val="32"/>
          <w:szCs w:val="32"/>
        </w:rPr>
        <w:t>（</w:t>
      </w:r>
      <w:r>
        <w:rPr>
          <w:rFonts w:hint="default" w:ascii="Times New Roman" w:hAnsi="Times New Roman" w:eastAsia="仿宋_GB2312" w:cs="Times New Roman"/>
          <w:b/>
          <w:color w:val="000000"/>
          <w:sz w:val="32"/>
          <w:szCs w:val="32"/>
          <w:lang w:eastAsia="zh-CN"/>
        </w:rPr>
        <w:t>注：数据来源于财决</w:t>
      </w:r>
      <w:r>
        <w:rPr>
          <w:rFonts w:hint="default" w:ascii="Times New Roman" w:hAnsi="Times New Roman" w:eastAsia="仿宋_GB2312" w:cs="Times New Roman"/>
          <w:b/>
          <w:color w:val="000000"/>
          <w:sz w:val="32"/>
          <w:szCs w:val="32"/>
          <w:lang w:val="en-US" w:eastAsia="zh-CN"/>
        </w:rPr>
        <w:t>01-1表，仅</w:t>
      </w:r>
      <w:r>
        <w:rPr>
          <w:rFonts w:hint="default" w:ascii="Times New Roman" w:hAnsi="Times New Roman" w:eastAsia="仿宋_GB2312" w:cs="Times New Roman"/>
          <w:b/>
          <w:color w:val="000000"/>
          <w:sz w:val="32"/>
          <w:szCs w:val="32"/>
        </w:rPr>
        <w:t>罗列</w:t>
      </w:r>
      <w:r>
        <w:rPr>
          <w:rFonts w:hint="default" w:ascii="Times New Roman" w:hAnsi="Times New Roman" w:eastAsia="仿宋_GB2312" w:cs="Times New Roman"/>
          <w:b/>
          <w:color w:val="000000"/>
          <w:sz w:val="32"/>
          <w:szCs w:val="32"/>
          <w:lang w:eastAsia="zh-CN"/>
        </w:rPr>
        <w:t>本单位涉及的</w:t>
      </w:r>
      <w:r>
        <w:rPr>
          <w:rFonts w:hint="default" w:ascii="Times New Roman" w:hAnsi="Times New Roman" w:eastAsia="仿宋_GB2312" w:cs="Times New Roman"/>
          <w:b/>
          <w:color w:val="000000"/>
          <w:sz w:val="32"/>
          <w:szCs w:val="32"/>
        </w:rPr>
        <w:t>全部功能分类科目，至类级。）</w:t>
      </w:r>
    </w:p>
    <w:p w14:paraId="5DCBF98F">
      <w:pPr>
        <w:pStyle w:val="13"/>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 w:cs="Times New Roman"/>
          <w:color w:val="000000"/>
          <w:sz w:val="32"/>
          <w:szCs w:val="32"/>
          <w:highlight w:val="none"/>
        </w:rPr>
      </w:pPr>
    </w:p>
    <w:p w14:paraId="178B456B">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_GB2312" w:cs="Times New Roman"/>
          <w:b/>
          <w:bCs/>
          <w:color w:val="000000"/>
          <w:w w:val="90"/>
          <w:sz w:val="32"/>
          <w:szCs w:val="32"/>
        </w:rPr>
      </w:pPr>
    </w:p>
    <w:p w14:paraId="24B87428">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_GB2312" w:cs="Times New Roman"/>
          <w:b/>
          <w:bCs/>
          <w:color w:val="000000"/>
          <w:w w:val="90"/>
          <w:sz w:val="32"/>
          <w:szCs w:val="32"/>
        </w:rPr>
      </w:pPr>
    </w:p>
    <w:p w14:paraId="4484786D">
      <w:pPr>
        <w:pageBreakBefore w:val="0"/>
        <w:kinsoku/>
        <w:wordWrap/>
        <w:overflowPunct/>
        <w:topLinePunct w:val="0"/>
        <w:autoSpaceDN/>
        <w:bidi w:val="0"/>
        <w:adjustRightInd/>
        <w:spacing w:line="576" w:lineRule="exact"/>
        <w:ind w:firstLine="420" w:firstLineChars="200"/>
        <w:jc w:val="both"/>
        <w:textAlignment w:val="auto"/>
        <w:rPr>
          <w:rFonts w:hint="default" w:ascii="Times New Roman" w:hAnsi="Times New Roman" w:eastAsia="仿宋_GB2312" w:cs="Times New Roman"/>
          <w:b/>
          <w:bCs/>
          <w:color w:val="000000"/>
          <w:w w:val="90"/>
          <w:sz w:val="32"/>
          <w:szCs w:val="32"/>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448945</wp:posOffset>
            </wp:positionH>
            <wp:positionV relativeFrom="paragraph">
              <wp:posOffset>175895</wp:posOffset>
            </wp:positionV>
            <wp:extent cx="4085590" cy="2892425"/>
            <wp:effectExtent l="4445" t="4445" r="12065" b="11430"/>
            <wp:wrapTight wrapText="bothSides">
              <wp:wrapPolygon>
                <wp:start x="-24" y="-33"/>
                <wp:lineTo x="-24" y="21591"/>
                <wp:lineTo x="21529" y="21591"/>
                <wp:lineTo x="21529" y="-33"/>
                <wp:lineTo x="-24" y="-33"/>
              </wp:wrapPolygon>
            </wp:wrapTight>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3659672D">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_GB2312" w:cs="Times New Roman"/>
          <w:b/>
          <w:bCs/>
          <w:color w:val="000000"/>
          <w:w w:val="90"/>
          <w:sz w:val="32"/>
          <w:szCs w:val="32"/>
        </w:rPr>
      </w:pPr>
    </w:p>
    <w:p w14:paraId="6E742013">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_GB2312" w:cs="Times New Roman"/>
          <w:b/>
          <w:bCs/>
          <w:color w:val="000000"/>
          <w:w w:val="90"/>
          <w:sz w:val="32"/>
          <w:szCs w:val="32"/>
        </w:rPr>
      </w:pPr>
    </w:p>
    <w:p w14:paraId="4141A554">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_GB2312" w:cs="Times New Roman"/>
          <w:b/>
          <w:bCs/>
          <w:color w:val="000000"/>
          <w:w w:val="90"/>
          <w:sz w:val="32"/>
          <w:szCs w:val="32"/>
        </w:rPr>
      </w:pPr>
    </w:p>
    <w:p w14:paraId="3D74ADDD">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_GB2312" w:cs="Times New Roman"/>
          <w:b/>
          <w:bCs/>
          <w:color w:val="000000"/>
          <w:w w:val="90"/>
          <w:sz w:val="32"/>
          <w:szCs w:val="32"/>
        </w:rPr>
      </w:pPr>
    </w:p>
    <w:p w14:paraId="0C6B61E5">
      <w:pPr>
        <w:pStyle w:val="13"/>
        <w:rPr>
          <w:rFonts w:hint="default" w:ascii="Times New Roman" w:hAnsi="Times New Roman" w:eastAsia="仿宋_GB2312" w:cs="Times New Roman"/>
          <w:b/>
          <w:bCs/>
          <w:color w:val="000000"/>
          <w:w w:val="90"/>
          <w:sz w:val="32"/>
          <w:szCs w:val="32"/>
        </w:rPr>
      </w:pPr>
    </w:p>
    <w:p w14:paraId="71B03402">
      <w:pPr>
        <w:rPr>
          <w:rFonts w:hint="default" w:ascii="Times New Roman" w:hAnsi="Times New Roman" w:cs="Times New Roman"/>
        </w:rPr>
      </w:pPr>
    </w:p>
    <w:p w14:paraId="3655E12B">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_GB2312" w:cs="Times New Roman"/>
          <w:b/>
          <w:bCs/>
          <w:color w:val="000000"/>
          <w:w w:val="90"/>
          <w:sz w:val="32"/>
          <w:szCs w:val="32"/>
        </w:rPr>
      </w:pPr>
    </w:p>
    <w:p w14:paraId="2209C72C">
      <w:pPr>
        <w:pageBreakBefore w:val="0"/>
        <w:kinsoku/>
        <w:wordWrap/>
        <w:overflowPunct/>
        <w:topLinePunct w:val="0"/>
        <w:autoSpaceDN/>
        <w:bidi w:val="0"/>
        <w:adjustRightInd/>
        <w:spacing w:line="576" w:lineRule="exact"/>
        <w:jc w:val="both"/>
        <w:textAlignment w:val="auto"/>
        <w:rPr>
          <w:rFonts w:hint="default" w:ascii="Times New Roman" w:hAnsi="Times New Roman" w:eastAsia="仿宋_GB2312" w:cs="Times New Roman"/>
          <w:b/>
          <w:bCs/>
          <w:color w:val="000000"/>
          <w:w w:val="90"/>
          <w:sz w:val="32"/>
          <w:szCs w:val="32"/>
        </w:rPr>
      </w:pPr>
    </w:p>
    <w:p w14:paraId="25A33C95">
      <w:pPr>
        <w:pageBreakBefore w:val="0"/>
        <w:kinsoku/>
        <w:wordWrap/>
        <w:overflowPunct/>
        <w:topLinePunct w:val="0"/>
        <w:autoSpaceDN/>
        <w:bidi w:val="0"/>
        <w:adjustRightInd/>
        <w:spacing w:line="576" w:lineRule="exact"/>
        <w:ind w:firstLine="579" w:firstLineChars="200"/>
        <w:jc w:val="both"/>
        <w:textAlignment w:val="auto"/>
        <w:rPr>
          <w:rFonts w:hint="default" w:ascii="Times New Roman" w:hAnsi="Times New Roman" w:eastAsia="仿宋" w:cs="Times New Roman"/>
          <w:b/>
          <w:bCs/>
          <w:color w:val="000000"/>
          <w:w w:val="90"/>
          <w:sz w:val="32"/>
          <w:szCs w:val="32"/>
          <w:highlight w:val="none"/>
        </w:rPr>
      </w:pPr>
      <w:r>
        <w:rPr>
          <w:rFonts w:hint="default" w:ascii="Times New Roman" w:hAnsi="Times New Roman" w:eastAsia="仿宋_GB2312" w:cs="Times New Roman"/>
          <w:b/>
          <w:bCs/>
          <w:color w:val="000000"/>
          <w:w w:val="90"/>
          <w:sz w:val="32"/>
          <w:szCs w:val="32"/>
        </w:rPr>
        <w:t>（图6：一般公共预算财政拨款支出决算结构）（饼状图）</w:t>
      </w:r>
    </w:p>
    <w:p w14:paraId="21C15741">
      <w:pPr>
        <w:pageBreakBefore w:val="0"/>
        <w:numPr>
          <w:ilvl w:val="0"/>
          <w:numId w:val="0"/>
        </w:numPr>
        <w:kinsoku/>
        <w:wordWrap/>
        <w:overflowPunct/>
        <w:topLinePunct w:val="0"/>
        <w:autoSpaceDN/>
        <w:bidi w:val="0"/>
        <w:adjustRightInd/>
        <w:spacing w:line="576" w:lineRule="exact"/>
        <w:ind w:firstLine="643" w:firstLineChars="200"/>
        <w:jc w:val="both"/>
        <w:textAlignment w:val="auto"/>
        <w:outlineLvl w:val="2"/>
        <w:rPr>
          <w:rFonts w:hint="default" w:ascii="Times New Roman" w:hAnsi="Times New Roman" w:eastAsia="仿宋" w:cs="Times New Roman"/>
          <w:b/>
          <w:color w:val="000000"/>
          <w:sz w:val="32"/>
          <w:szCs w:val="32"/>
          <w:highlight w:val="none"/>
        </w:rPr>
      </w:pPr>
      <w:r>
        <w:rPr>
          <w:rFonts w:hint="default" w:ascii="Times New Roman" w:hAnsi="Times New Roman" w:eastAsia="楷体_GB2312" w:cs="Times New Roman"/>
          <w:b/>
          <w:color w:val="000000"/>
          <w:sz w:val="32"/>
          <w:szCs w:val="32"/>
        </w:rPr>
        <w:t>（三）一般公共预算财政拨款支出决算具体情况</w:t>
      </w:r>
    </w:p>
    <w:p w14:paraId="6D0F250B">
      <w:pPr>
        <w:pageBreakBefore w:val="0"/>
        <w:numPr>
          <w:ilvl w:val="0"/>
          <w:numId w:val="0"/>
        </w:numPr>
        <w:kinsoku/>
        <w:wordWrap/>
        <w:overflowPunct/>
        <w:topLinePunct w:val="0"/>
        <w:autoSpaceDN/>
        <w:bidi w:val="0"/>
        <w:adjustRightInd/>
        <w:spacing w:line="576" w:lineRule="exact"/>
        <w:ind w:firstLine="640" w:firstLineChars="200"/>
        <w:jc w:val="both"/>
        <w:textAlignment w:val="auto"/>
        <w:outlineLvl w:val="2"/>
        <w:rPr>
          <w:rFonts w:hint="default" w:ascii="Times New Roman" w:hAnsi="Times New Roman" w:eastAsia="仿宋_GB2312" w:cs="Times New Roman"/>
          <w:b w:val="0"/>
          <w:bCs/>
          <w:color w:val="000000"/>
          <w:sz w:val="32"/>
          <w:szCs w:val="32"/>
          <w:highlight w:val="none"/>
        </w:rPr>
      </w:pPr>
      <w:r>
        <w:rPr>
          <w:rFonts w:hint="default" w:ascii="Times New Roman" w:hAnsi="Times New Roman" w:eastAsia="仿宋_GB2312" w:cs="Times New Roman"/>
          <w:b w:val="0"/>
          <w:bCs/>
          <w:color w:val="000000"/>
          <w:sz w:val="32"/>
          <w:szCs w:val="32"/>
          <w:lang w:eastAsia="zh-CN"/>
        </w:rPr>
        <w:t>2025年度一般公共预算支出决算数为983.29万元，完成预算100%。其中：</w:t>
      </w:r>
    </w:p>
    <w:p w14:paraId="7F0C4E40">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b w:val="0"/>
          <w:bCs/>
          <w:color w:val="000000"/>
          <w:sz w:val="32"/>
          <w:szCs w:val="32"/>
          <w:highlight w:val="none"/>
          <w:lang w:eastAsia="zh-CN"/>
        </w:rPr>
      </w:pPr>
      <w:r>
        <w:rPr>
          <w:rStyle w:val="21"/>
          <w:rFonts w:hint="default" w:ascii="Times New Roman" w:hAnsi="Times New Roman" w:eastAsia="仿宋_GB2312" w:cs="Times New Roman"/>
          <w:b/>
          <w:bCs w:val="0"/>
          <w:color w:val="000000"/>
          <w:sz w:val="32"/>
          <w:szCs w:val="32"/>
        </w:rPr>
        <w:t>1.一般公共服务（201）政府办公厅（室）及相关机构事务（20103）行政运行（2010301）：</w:t>
      </w:r>
      <w:r>
        <w:rPr>
          <w:rStyle w:val="21"/>
          <w:rFonts w:hint="default" w:ascii="Times New Roman" w:hAnsi="Times New Roman" w:eastAsia="仿宋_GB2312" w:cs="Times New Roman"/>
          <w:b w:val="0"/>
          <w:bCs/>
          <w:color w:val="000000"/>
          <w:sz w:val="32"/>
          <w:szCs w:val="32"/>
        </w:rPr>
        <w:t>支出决算为497.93万元，完成预算100%，决算数等于预算数。</w:t>
      </w:r>
    </w:p>
    <w:p w14:paraId="48CC65F0">
      <w:pPr>
        <w:keepNext w:val="0"/>
        <w:keepLines w:val="0"/>
        <w:pageBreakBefore w:val="0"/>
        <w:kinsoku/>
        <w:wordWrap/>
        <w:overflowPunct/>
        <w:topLinePunct w:val="0"/>
        <w:autoSpaceDE/>
        <w:autoSpaceDN/>
        <w:bidi w:val="0"/>
        <w:adjustRightInd/>
        <w:snapToGrid/>
        <w:spacing w:line="576" w:lineRule="exact"/>
        <w:ind w:firstLine="643" w:firstLineChars="200"/>
        <w:jc w:val="both"/>
        <w:textAlignment w:val="auto"/>
        <w:rPr>
          <w:rStyle w:val="21"/>
          <w:rFonts w:hint="default" w:ascii="Times New Roman" w:hAnsi="Times New Roman" w:eastAsia="仿宋_GB2312" w:cs="Times New Roman"/>
          <w:b w:val="0"/>
          <w:bCs/>
          <w:color w:val="000000"/>
          <w:sz w:val="32"/>
          <w:szCs w:val="32"/>
          <w:highlight w:val="none"/>
        </w:rPr>
      </w:pPr>
      <w:r>
        <w:rPr>
          <w:rStyle w:val="21"/>
          <w:rFonts w:hint="default" w:ascii="Times New Roman" w:hAnsi="Times New Roman" w:eastAsia="仿宋_GB2312" w:cs="Times New Roman"/>
          <w:b/>
          <w:bCs w:val="0"/>
          <w:color w:val="000000"/>
          <w:sz w:val="32"/>
          <w:szCs w:val="32"/>
          <w:lang w:val="en-US" w:eastAsia="zh-CN"/>
        </w:rPr>
        <w:t>2.一般公共服务（201）人大事务（20101）代表工作（2010108）：</w:t>
      </w:r>
      <w:r>
        <w:rPr>
          <w:rStyle w:val="21"/>
          <w:rFonts w:hint="default" w:ascii="Times New Roman" w:hAnsi="Times New Roman" w:eastAsia="仿宋_GB2312" w:cs="Times New Roman"/>
          <w:b w:val="0"/>
          <w:bCs/>
          <w:color w:val="000000"/>
          <w:sz w:val="32"/>
          <w:szCs w:val="32"/>
          <w:lang w:val="en-US" w:eastAsia="zh-CN"/>
        </w:rPr>
        <w:t>支出决算为3万元，完成预算100%，决算数等于预算数。</w:t>
      </w:r>
    </w:p>
    <w:p w14:paraId="1DE6F9AE">
      <w:pPr>
        <w:keepNext w:val="0"/>
        <w:keepLines w:val="0"/>
        <w:pageBreakBefore w:val="0"/>
        <w:kinsoku/>
        <w:wordWrap/>
        <w:overflowPunct/>
        <w:topLinePunct w:val="0"/>
        <w:autoSpaceDE/>
        <w:autoSpaceDN/>
        <w:bidi w:val="0"/>
        <w:adjustRightInd/>
        <w:snapToGrid/>
        <w:spacing w:line="576" w:lineRule="exact"/>
        <w:ind w:firstLine="643" w:firstLineChars="200"/>
        <w:jc w:val="both"/>
        <w:textAlignment w:val="auto"/>
        <w:rPr>
          <w:rStyle w:val="21"/>
          <w:rFonts w:hint="default" w:ascii="Times New Roman" w:hAnsi="Times New Roman" w:eastAsia="仿宋_GB2312" w:cs="Times New Roman"/>
          <w:b w:val="0"/>
          <w:bCs/>
          <w:color w:val="000000"/>
          <w:sz w:val="32"/>
          <w:szCs w:val="32"/>
          <w:highlight w:val="none"/>
        </w:rPr>
      </w:pPr>
      <w:r>
        <w:rPr>
          <w:rStyle w:val="21"/>
          <w:rFonts w:hint="default" w:ascii="Times New Roman" w:hAnsi="Times New Roman" w:eastAsia="仿宋_GB2312" w:cs="Times New Roman"/>
          <w:b/>
          <w:bCs w:val="0"/>
          <w:color w:val="000000"/>
          <w:sz w:val="32"/>
          <w:szCs w:val="32"/>
          <w:lang w:val="en-US" w:eastAsia="zh-CN"/>
        </w:rPr>
        <w:t>3.社会保障和就业（208）行政事业单位养老支出（20805）机关事业单位基本养老保险缴费支出（2080505）</w:t>
      </w:r>
      <w:r>
        <w:rPr>
          <w:rStyle w:val="21"/>
          <w:rFonts w:hint="default" w:ascii="Times New Roman" w:hAnsi="Times New Roman" w:eastAsia="仿宋_GB2312" w:cs="Times New Roman"/>
          <w:b w:val="0"/>
          <w:bCs/>
          <w:color w:val="000000"/>
          <w:sz w:val="32"/>
          <w:szCs w:val="32"/>
          <w:lang w:val="en-US" w:eastAsia="zh-CN"/>
        </w:rPr>
        <w:t>：支出决算为50.49万元，完成预算100%，决算数等于预算数。</w:t>
      </w:r>
    </w:p>
    <w:p w14:paraId="7242109B">
      <w:pPr>
        <w:keepNext w:val="0"/>
        <w:keepLines w:val="0"/>
        <w:pageBreakBefore w:val="0"/>
        <w:kinsoku/>
        <w:wordWrap/>
        <w:overflowPunct/>
        <w:topLinePunct w:val="0"/>
        <w:autoSpaceDE/>
        <w:autoSpaceDN/>
        <w:bidi w:val="0"/>
        <w:adjustRightInd/>
        <w:snapToGrid/>
        <w:spacing w:line="576" w:lineRule="exact"/>
        <w:ind w:firstLine="643" w:firstLineChars="200"/>
        <w:jc w:val="both"/>
        <w:textAlignment w:val="auto"/>
        <w:rPr>
          <w:rStyle w:val="21"/>
          <w:rFonts w:hint="default" w:ascii="Times New Roman" w:hAnsi="Times New Roman" w:eastAsia="仿宋_GB2312" w:cs="Times New Roman"/>
          <w:b w:val="0"/>
          <w:bCs/>
          <w:color w:val="000000"/>
          <w:sz w:val="32"/>
          <w:szCs w:val="32"/>
          <w:highlight w:val="none"/>
          <w:lang w:val="en-US" w:eastAsia="zh-CN"/>
        </w:rPr>
      </w:pPr>
      <w:r>
        <w:rPr>
          <w:rStyle w:val="21"/>
          <w:rFonts w:hint="default" w:ascii="Times New Roman" w:hAnsi="Times New Roman" w:eastAsia="仿宋_GB2312" w:cs="Times New Roman"/>
          <w:b/>
          <w:bCs w:val="0"/>
          <w:color w:val="000000"/>
          <w:sz w:val="32"/>
          <w:szCs w:val="32"/>
          <w:lang w:val="en-US" w:eastAsia="zh-CN"/>
        </w:rPr>
        <w:t>4.社会保障和就业（208）行政事业单位养老支出（20805）机关事业单位职业年金缴费支出（2080506）</w:t>
      </w:r>
      <w:r>
        <w:rPr>
          <w:rStyle w:val="21"/>
          <w:rFonts w:hint="default" w:ascii="Times New Roman" w:hAnsi="Times New Roman" w:eastAsia="仿宋_GB2312" w:cs="Times New Roman"/>
          <w:b w:val="0"/>
          <w:bCs/>
          <w:color w:val="000000"/>
          <w:sz w:val="32"/>
          <w:szCs w:val="32"/>
          <w:lang w:val="en-US" w:eastAsia="zh-CN"/>
        </w:rPr>
        <w:t>：支出决算为39.82万元，完成预算100%，决算数等于预算数。</w:t>
      </w:r>
    </w:p>
    <w:p w14:paraId="3182F2C9">
      <w:pPr>
        <w:keepNext w:val="0"/>
        <w:keepLines w:val="0"/>
        <w:pageBreakBefore w:val="0"/>
        <w:kinsoku/>
        <w:wordWrap/>
        <w:overflowPunct/>
        <w:topLinePunct w:val="0"/>
        <w:autoSpaceDE/>
        <w:autoSpaceDN/>
        <w:bidi w:val="0"/>
        <w:adjustRightInd/>
        <w:snapToGrid/>
        <w:spacing w:line="576" w:lineRule="exact"/>
        <w:ind w:firstLine="643" w:firstLineChars="200"/>
        <w:jc w:val="both"/>
        <w:textAlignment w:val="auto"/>
        <w:rPr>
          <w:rStyle w:val="21"/>
          <w:rFonts w:hint="default" w:ascii="Times New Roman" w:hAnsi="Times New Roman" w:eastAsia="仿宋_GB2312" w:cs="Times New Roman"/>
          <w:b w:val="0"/>
          <w:bCs/>
          <w:color w:val="000000"/>
          <w:sz w:val="32"/>
          <w:szCs w:val="32"/>
          <w:highlight w:val="none"/>
          <w:lang w:val="en-US" w:eastAsia="zh-CN"/>
        </w:rPr>
      </w:pPr>
      <w:r>
        <w:rPr>
          <w:rStyle w:val="21"/>
          <w:rFonts w:hint="default" w:ascii="Times New Roman" w:hAnsi="Times New Roman" w:eastAsia="仿宋_GB2312" w:cs="Times New Roman"/>
          <w:b/>
          <w:bCs w:val="0"/>
          <w:color w:val="000000"/>
          <w:sz w:val="32"/>
          <w:szCs w:val="32"/>
          <w:lang w:val="en-US" w:eastAsia="zh-CN"/>
        </w:rPr>
        <w:t>5.卫生健康（210）行政事业单位医疗（21011）行政单位医疗（2101101）：</w:t>
      </w:r>
      <w:r>
        <w:rPr>
          <w:rStyle w:val="21"/>
          <w:rFonts w:hint="default" w:ascii="Times New Roman" w:hAnsi="Times New Roman" w:eastAsia="仿宋_GB2312" w:cs="Times New Roman"/>
          <w:b w:val="0"/>
          <w:bCs/>
          <w:color w:val="000000"/>
          <w:sz w:val="32"/>
          <w:szCs w:val="32"/>
          <w:lang w:val="en-US" w:eastAsia="zh-CN"/>
        </w:rPr>
        <w:t>支出决算为24.52万元，完成预算100%，决算数等于预算数。</w:t>
      </w:r>
    </w:p>
    <w:p w14:paraId="1B236C07">
      <w:pPr>
        <w:keepNext w:val="0"/>
        <w:keepLines w:val="0"/>
        <w:pageBreakBefore w:val="0"/>
        <w:kinsoku/>
        <w:wordWrap/>
        <w:overflowPunct/>
        <w:topLinePunct w:val="0"/>
        <w:autoSpaceDE/>
        <w:autoSpaceDN/>
        <w:bidi w:val="0"/>
        <w:adjustRightInd/>
        <w:snapToGrid/>
        <w:spacing w:line="576" w:lineRule="exact"/>
        <w:ind w:firstLine="643" w:firstLineChars="200"/>
        <w:jc w:val="both"/>
        <w:textAlignment w:val="auto"/>
        <w:rPr>
          <w:rStyle w:val="21"/>
          <w:rFonts w:hint="default" w:ascii="Times New Roman" w:hAnsi="Times New Roman" w:eastAsia="仿宋_GB2312" w:cs="Times New Roman"/>
          <w:b w:val="0"/>
          <w:bCs/>
          <w:color w:val="000000"/>
          <w:sz w:val="32"/>
          <w:szCs w:val="32"/>
          <w:highlight w:val="none"/>
        </w:rPr>
      </w:pPr>
      <w:r>
        <w:rPr>
          <w:rStyle w:val="21"/>
          <w:rFonts w:hint="default" w:ascii="Times New Roman" w:hAnsi="Times New Roman" w:eastAsia="仿宋_GB2312" w:cs="Times New Roman"/>
          <w:b/>
          <w:bCs w:val="0"/>
          <w:color w:val="000000"/>
          <w:sz w:val="32"/>
          <w:szCs w:val="32"/>
          <w:lang w:val="en-US" w:eastAsia="zh-CN"/>
        </w:rPr>
        <w:t>6.卫生健康（210）行政事业单位医疗（21011）公务员医疗补助（2101103）：</w:t>
      </w:r>
      <w:r>
        <w:rPr>
          <w:rStyle w:val="21"/>
          <w:rFonts w:hint="default" w:ascii="Times New Roman" w:hAnsi="Times New Roman" w:eastAsia="仿宋_GB2312" w:cs="Times New Roman"/>
          <w:b w:val="0"/>
          <w:bCs/>
          <w:color w:val="000000"/>
          <w:sz w:val="32"/>
          <w:szCs w:val="32"/>
          <w:lang w:val="en-US" w:eastAsia="zh-CN"/>
        </w:rPr>
        <w:t>支出决算为4万元，完成预算100%，决算数等于预算数。</w:t>
      </w:r>
    </w:p>
    <w:p w14:paraId="0D5FE6D0">
      <w:pPr>
        <w:pStyle w:val="13"/>
        <w:pageBreakBefore w:val="0"/>
        <w:kinsoku/>
        <w:wordWrap/>
        <w:overflowPunct/>
        <w:topLinePunct w:val="0"/>
        <w:autoSpaceDN/>
        <w:bidi w:val="0"/>
        <w:adjustRightInd/>
        <w:spacing w:line="576" w:lineRule="exact"/>
        <w:ind w:left="0" w:leftChars="0" w:firstLine="643" w:firstLineChars="200"/>
        <w:jc w:val="both"/>
        <w:textAlignment w:val="auto"/>
        <w:rPr>
          <w:rStyle w:val="21"/>
          <w:rFonts w:hint="default" w:ascii="Times New Roman" w:hAnsi="Times New Roman" w:eastAsia="仿宋_GB2312" w:cs="Times New Roman"/>
          <w:b w:val="0"/>
          <w:bCs/>
          <w:color w:val="000000"/>
          <w:sz w:val="32"/>
          <w:szCs w:val="32"/>
          <w:highlight w:val="none"/>
        </w:rPr>
      </w:pPr>
      <w:r>
        <w:rPr>
          <w:rStyle w:val="21"/>
          <w:rFonts w:hint="default" w:ascii="Times New Roman" w:hAnsi="Times New Roman" w:eastAsia="仿宋_GB2312" w:cs="Times New Roman"/>
          <w:b/>
          <w:bCs w:val="0"/>
          <w:color w:val="000000"/>
          <w:sz w:val="32"/>
          <w:szCs w:val="32"/>
          <w:lang w:val="en-US" w:eastAsia="zh-CN"/>
        </w:rPr>
        <w:t>7.节能环保（211）其他节能环保支出（21199）其他节能环保支出（2119999）：</w:t>
      </w:r>
      <w:r>
        <w:rPr>
          <w:rStyle w:val="21"/>
          <w:rFonts w:hint="default" w:ascii="Times New Roman" w:hAnsi="Times New Roman" w:eastAsia="仿宋_GB2312" w:cs="Times New Roman"/>
          <w:b w:val="0"/>
          <w:bCs/>
          <w:color w:val="000000"/>
          <w:sz w:val="32"/>
          <w:szCs w:val="32"/>
          <w:lang w:val="en-US" w:eastAsia="zh-CN"/>
        </w:rPr>
        <w:t>支出决算为3.20万元，完成预算100%，决算数等于预算数。</w:t>
      </w:r>
    </w:p>
    <w:p w14:paraId="6A95B61B">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b w:val="0"/>
          <w:bCs/>
          <w:sz w:val="32"/>
          <w:szCs w:val="32"/>
        </w:rPr>
      </w:pPr>
      <w:r>
        <w:rPr>
          <w:rStyle w:val="21"/>
          <w:rFonts w:hint="default" w:ascii="Times New Roman" w:hAnsi="Times New Roman" w:eastAsia="仿宋_GB2312" w:cs="Times New Roman"/>
          <w:b/>
          <w:bCs w:val="0"/>
          <w:color w:val="000000"/>
          <w:sz w:val="32"/>
          <w:szCs w:val="32"/>
          <w:lang w:val="en-US" w:eastAsia="zh-CN"/>
        </w:rPr>
        <w:t>8.城乡社区（212）城乡社区环境卫生（21205）城乡社区环境卫生（2120501）：</w:t>
      </w:r>
      <w:r>
        <w:rPr>
          <w:rStyle w:val="21"/>
          <w:rFonts w:hint="default" w:ascii="Times New Roman" w:hAnsi="Times New Roman" w:eastAsia="仿宋_GB2312" w:cs="Times New Roman"/>
          <w:b w:val="0"/>
          <w:bCs/>
          <w:color w:val="000000"/>
          <w:sz w:val="32"/>
          <w:szCs w:val="32"/>
          <w:lang w:val="en-US" w:eastAsia="zh-CN"/>
        </w:rPr>
        <w:t>支出决算为7.65万元，完成预算100%，决算数等于预算数。</w:t>
      </w:r>
    </w:p>
    <w:p w14:paraId="2BD3FE22">
      <w:pPr>
        <w:keepNext w:val="0"/>
        <w:keepLines w:val="0"/>
        <w:pageBreakBefore w:val="0"/>
        <w:kinsoku/>
        <w:wordWrap/>
        <w:overflowPunct/>
        <w:topLinePunct w:val="0"/>
        <w:autoSpaceDE/>
        <w:autoSpaceDN/>
        <w:bidi w:val="0"/>
        <w:adjustRightInd/>
        <w:snapToGrid/>
        <w:spacing w:line="576" w:lineRule="exact"/>
        <w:ind w:firstLine="643" w:firstLineChars="200"/>
        <w:jc w:val="both"/>
        <w:textAlignment w:val="auto"/>
        <w:rPr>
          <w:rStyle w:val="21"/>
          <w:rFonts w:hint="default" w:ascii="Times New Roman" w:hAnsi="Times New Roman" w:eastAsia="仿宋_GB2312" w:cs="Times New Roman"/>
          <w:b w:val="0"/>
          <w:bCs/>
          <w:color w:val="000000"/>
          <w:sz w:val="32"/>
          <w:szCs w:val="32"/>
          <w:highlight w:val="none"/>
          <w:lang w:eastAsia="zh-CN"/>
        </w:rPr>
      </w:pPr>
      <w:r>
        <w:rPr>
          <w:rStyle w:val="21"/>
          <w:rFonts w:hint="default" w:ascii="Times New Roman" w:hAnsi="Times New Roman" w:eastAsia="仿宋_GB2312" w:cs="Times New Roman"/>
          <w:b/>
          <w:bCs w:val="0"/>
          <w:color w:val="000000"/>
          <w:sz w:val="32"/>
          <w:szCs w:val="32"/>
          <w:lang w:val="en-US" w:eastAsia="zh-CN"/>
        </w:rPr>
        <w:t>9.农林水（213）农业农村（21301）其他农业农村支出（2130199）：</w:t>
      </w:r>
      <w:r>
        <w:rPr>
          <w:rStyle w:val="21"/>
          <w:rFonts w:hint="default" w:ascii="Times New Roman" w:hAnsi="Times New Roman" w:eastAsia="仿宋_GB2312" w:cs="Times New Roman"/>
          <w:b w:val="0"/>
          <w:bCs/>
          <w:color w:val="000000"/>
          <w:sz w:val="32"/>
          <w:szCs w:val="32"/>
          <w:lang w:val="en-US" w:eastAsia="zh-CN"/>
        </w:rPr>
        <w:t>支出决算为19.06万元，完成预算100%，决算数等于预算数。</w:t>
      </w:r>
    </w:p>
    <w:p w14:paraId="267368D6">
      <w:pPr>
        <w:keepNext w:val="0"/>
        <w:keepLines w:val="0"/>
        <w:pageBreakBefore w:val="0"/>
        <w:kinsoku/>
        <w:wordWrap/>
        <w:overflowPunct/>
        <w:topLinePunct w:val="0"/>
        <w:autoSpaceDE/>
        <w:autoSpaceDN/>
        <w:bidi w:val="0"/>
        <w:adjustRightInd/>
        <w:snapToGrid/>
        <w:spacing w:line="576" w:lineRule="exact"/>
        <w:ind w:firstLine="643" w:firstLineChars="200"/>
        <w:jc w:val="both"/>
        <w:textAlignment w:val="auto"/>
        <w:rPr>
          <w:rStyle w:val="21"/>
          <w:rFonts w:hint="default" w:ascii="Times New Roman" w:hAnsi="Times New Roman" w:eastAsia="仿宋_GB2312" w:cs="Times New Roman"/>
          <w:b w:val="0"/>
          <w:bCs/>
          <w:color w:val="000000"/>
          <w:sz w:val="32"/>
          <w:szCs w:val="32"/>
          <w:highlight w:val="none"/>
          <w:lang w:eastAsia="zh-CN"/>
        </w:rPr>
      </w:pPr>
      <w:r>
        <w:rPr>
          <w:rStyle w:val="21"/>
          <w:rFonts w:hint="default" w:ascii="Times New Roman" w:hAnsi="Times New Roman" w:eastAsia="仿宋_GB2312" w:cs="Times New Roman"/>
          <w:b/>
          <w:bCs w:val="0"/>
          <w:color w:val="000000"/>
          <w:sz w:val="32"/>
          <w:szCs w:val="32"/>
          <w:lang w:val="en-US" w:eastAsia="zh-CN"/>
        </w:rPr>
        <w:t>10.农林水（213）</w:t>
      </w:r>
      <w:r>
        <w:rPr>
          <w:rStyle w:val="21"/>
          <w:rFonts w:hint="eastAsia" w:ascii="Times New Roman" w:hAnsi="Times New Roman" w:eastAsia="仿宋_GB2312" w:cs="Times New Roman"/>
          <w:b/>
          <w:bCs w:val="0"/>
          <w:color w:val="000000"/>
          <w:sz w:val="32"/>
          <w:szCs w:val="32"/>
          <w:lang w:val="en-US" w:eastAsia="zh-CN"/>
        </w:rPr>
        <w:t>巩固拓展脱贫攻坚成果</w:t>
      </w:r>
      <w:r>
        <w:rPr>
          <w:rStyle w:val="21"/>
          <w:rFonts w:hint="default" w:ascii="Times New Roman" w:hAnsi="Times New Roman" w:eastAsia="仿宋_GB2312" w:cs="Times New Roman"/>
          <w:b/>
          <w:bCs w:val="0"/>
          <w:color w:val="000000"/>
          <w:sz w:val="32"/>
          <w:szCs w:val="32"/>
          <w:lang w:val="en-US" w:eastAsia="zh-CN"/>
        </w:rPr>
        <w:t>衔接乡村振兴（21305）农村基础设施建设（2130504）：</w:t>
      </w:r>
      <w:r>
        <w:rPr>
          <w:rStyle w:val="21"/>
          <w:rFonts w:hint="default" w:ascii="Times New Roman" w:hAnsi="Times New Roman" w:eastAsia="仿宋_GB2312" w:cs="Times New Roman"/>
          <w:b w:val="0"/>
          <w:bCs/>
          <w:color w:val="000000"/>
          <w:sz w:val="32"/>
          <w:szCs w:val="32"/>
          <w:lang w:val="en-US" w:eastAsia="zh-CN"/>
        </w:rPr>
        <w:t>支出决算为101.42万元，完成预算100%，决算数等于预算数。</w:t>
      </w:r>
    </w:p>
    <w:p w14:paraId="7EDAFD75">
      <w:pPr>
        <w:keepNext w:val="0"/>
        <w:keepLines w:val="0"/>
        <w:pageBreakBefore w:val="0"/>
        <w:kinsoku/>
        <w:wordWrap/>
        <w:overflowPunct/>
        <w:topLinePunct w:val="0"/>
        <w:autoSpaceDE/>
        <w:autoSpaceDN/>
        <w:bidi w:val="0"/>
        <w:adjustRightInd/>
        <w:snapToGrid/>
        <w:spacing w:line="576" w:lineRule="exact"/>
        <w:ind w:firstLine="643" w:firstLineChars="200"/>
        <w:jc w:val="both"/>
        <w:textAlignment w:val="auto"/>
        <w:rPr>
          <w:rStyle w:val="21"/>
          <w:rFonts w:hint="default" w:ascii="Times New Roman" w:hAnsi="Times New Roman" w:eastAsia="仿宋_GB2312" w:cs="Times New Roman"/>
          <w:b w:val="0"/>
          <w:bCs/>
          <w:color w:val="000000"/>
          <w:sz w:val="32"/>
          <w:szCs w:val="32"/>
          <w:highlight w:val="none"/>
          <w:lang w:eastAsia="zh-CN"/>
        </w:rPr>
      </w:pPr>
      <w:r>
        <w:rPr>
          <w:rStyle w:val="21"/>
          <w:rFonts w:hint="default" w:ascii="Times New Roman" w:hAnsi="Times New Roman" w:eastAsia="仿宋_GB2312" w:cs="Times New Roman"/>
          <w:b/>
          <w:bCs w:val="0"/>
          <w:color w:val="000000"/>
          <w:sz w:val="32"/>
          <w:szCs w:val="32"/>
          <w:lang w:val="en-US" w:eastAsia="zh-CN"/>
        </w:rPr>
        <w:t>11.农林水（213）农村综合改革（21307）对村民委员会和村党支部的补助（2130705）：</w:t>
      </w:r>
      <w:r>
        <w:rPr>
          <w:rStyle w:val="21"/>
          <w:rFonts w:hint="default" w:ascii="Times New Roman" w:hAnsi="Times New Roman" w:eastAsia="仿宋_GB2312" w:cs="Times New Roman"/>
          <w:b w:val="0"/>
          <w:bCs/>
          <w:color w:val="000000"/>
          <w:sz w:val="32"/>
          <w:szCs w:val="32"/>
          <w:lang w:val="en-US" w:eastAsia="zh-CN"/>
        </w:rPr>
        <w:t>支出决算为188.27万元，完成预算100%，决算数等于预算数。</w:t>
      </w:r>
    </w:p>
    <w:p w14:paraId="38EA2C1F">
      <w:pPr>
        <w:keepNext w:val="0"/>
        <w:keepLines w:val="0"/>
        <w:pageBreakBefore w:val="0"/>
        <w:kinsoku/>
        <w:wordWrap/>
        <w:overflowPunct/>
        <w:topLinePunct w:val="0"/>
        <w:autoSpaceDE/>
        <w:autoSpaceDN/>
        <w:bidi w:val="0"/>
        <w:adjustRightInd/>
        <w:snapToGrid/>
        <w:spacing w:line="576" w:lineRule="exact"/>
        <w:ind w:firstLine="643" w:firstLineChars="200"/>
        <w:jc w:val="both"/>
        <w:textAlignment w:val="auto"/>
        <w:rPr>
          <w:rStyle w:val="21"/>
          <w:rFonts w:hint="default" w:ascii="Times New Roman" w:hAnsi="Times New Roman" w:eastAsia="仿宋_GB2312" w:cs="Times New Roman"/>
          <w:b w:val="0"/>
          <w:bCs/>
          <w:color w:val="000000"/>
          <w:sz w:val="32"/>
          <w:szCs w:val="32"/>
          <w:highlight w:val="none"/>
          <w:lang w:val="en-US" w:eastAsia="zh-CN"/>
        </w:rPr>
      </w:pPr>
      <w:r>
        <w:rPr>
          <w:rStyle w:val="21"/>
          <w:rFonts w:hint="default" w:ascii="Times New Roman" w:hAnsi="Times New Roman" w:eastAsia="仿宋_GB2312" w:cs="Times New Roman"/>
          <w:b/>
          <w:bCs w:val="0"/>
          <w:color w:val="000000"/>
          <w:sz w:val="32"/>
          <w:szCs w:val="32"/>
          <w:lang w:val="en-US" w:eastAsia="zh-CN"/>
        </w:rPr>
        <w:t>12.住房保障（221）住房改革（22102）住房公积金（2210201）：</w:t>
      </w:r>
      <w:r>
        <w:rPr>
          <w:rStyle w:val="21"/>
          <w:rFonts w:hint="default" w:ascii="Times New Roman" w:hAnsi="Times New Roman" w:eastAsia="仿宋_GB2312" w:cs="Times New Roman"/>
          <w:b w:val="0"/>
          <w:bCs/>
          <w:color w:val="000000"/>
          <w:sz w:val="32"/>
          <w:szCs w:val="32"/>
          <w:lang w:val="en-US" w:eastAsia="zh-CN"/>
        </w:rPr>
        <w:t>支出决算为43.94万元，完成预算100%，决算数等于预算数。</w:t>
      </w:r>
    </w:p>
    <w:p w14:paraId="30AD4420">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 w:cs="Times New Roman"/>
          <w:b/>
          <w:color w:val="000000"/>
          <w:sz w:val="32"/>
          <w:szCs w:val="32"/>
          <w:highlight w:val="none"/>
        </w:rPr>
      </w:pPr>
      <w:r>
        <w:rPr>
          <w:rFonts w:hint="default" w:ascii="Times New Roman" w:hAnsi="Times New Roman" w:eastAsia="仿宋_GB2312" w:cs="Times New Roman"/>
          <w:b/>
          <w:bCs w:val="0"/>
          <w:color w:val="000000"/>
          <w:sz w:val="32"/>
          <w:szCs w:val="32"/>
        </w:rPr>
        <w:t>（注：数据来源于财决01-1表</w:t>
      </w:r>
      <w:r>
        <w:rPr>
          <w:rFonts w:hint="default" w:ascii="Times New Roman" w:hAnsi="Times New Roman" w:eastAsia="仿宋_GB2312" w:cs="Times New Roman"/>
          <w:b/>
          <w:bCs w:val="0"/>
          <w:color w:val="000000"/>
          <w:sz w:val="32"/>
          <w:szCs w:val="32"/>
          <w:lang w:eastAsia="zh-CN"/>
        </w:rPr>
        <w:t>和财决</w:t>
      </w:r>
      <w:r>
        <w:rPr>
          <w:rFonts w:hint="default" w:ascii="Times New Roman" w:hAnsi="Times New Roman" w:eastAsia="仿宋_GB2312" w:cs="Times New Roman"/>
          <w:b/>
          <w:bCs w:val="0"/>
          <w:color w:val="000000"/>
          <w:sz w:val="32"/>
          <w:szCs w:val="32"/>
          <w:lang w:val="en-US" w:eastAsia="zh-CN"/>
        </w:rPr>
        <w:t>08表</w:t>
      </w:r>
      <w:r>
        <w:rPr>
          <w:rFonts w:hint="default" w:ascii="Times New Roman" w:hAnsi="Times New Roman" w:eastAsia="仿宋_GB2312" w:cs="Times New Roman"/>
          <w:b/>
          <w:bCs w:val="0"/>
          <w:color w:val="000000"/>
          <w:sz w:val="32"/>
          <w:szCs w:val="32"/>
        </w:rPr>
        <w:t>，</w:t>
      </w:r>
      <w:r>
        <w:rPr>
          <w:rFonts w:hint="default" w:ascii="Times New Roman" w:hAnsi="Times New Roman" w:eastAsia="仿宋_GB2312" w:cs="Times New Roman"/>
          <w:b/>
          <w:bCs w:val="0"/>
          <w:color w:val="000000"/>
          <w:sz w:val="32"/>
          <w:szCs w:val="32"/>
          <w:lang w:eastAsia="zh-CN"/>
        </w:rPr>
        <w:t>仅</w:t>
      </w:r>
      <w:r>
        <w:rPr>
          <w:rFonts w:hint="default" w:ascii="Times New Roman" w:hAnsi="Times New Roman" w:eastAsia="仿宋_GB2312" w:cs="Times New Roman"/>
          <w:b/>
          <w:bCs w:val="0"/>
          <w:color w:val="000000"/>
          <w:sz w:val="32"/>
          <w:szCs w:val="32"/>
        </w:rPr>
        <w:t>罗列</w:t>
      </w:r>
      <w:r>
        <w:rPr>
          <w:rFonts w:hint="default" w:ascii="Times New Roman" w:hAnsi="Times New Roman" w:eastAsia="仿宋_GB2312" w:cs="Times New Roman"/>
          <w:b/>
          <w:bCs w:val="0"/>
          <w:color w:val="000000"/>
          <w:sz w:val="32"/>
          <w:szCs w:val="32"/>
          <w:lang w:eastAsia="zh-CN"/>
        </w:rPr>
        <w:t>本单位涉及的</w:t>
      </w:r>
      <w:r>
        <w:rPr>
          <w:rFonts w:hint="default" w:ascii="Times New Roman" w:hAnsi="Times New Roman" w:eastAsia="仿宋_GB2312" w:cs="Times New Roman"/>
          <w:b/>
          <w:bCs w:val="0"/>
          <w:color w:val="000000"/>
          <w:sz w:val="32"/>
          <w:szCs w:val="32"/>
        </w:rPr>
        <w:t>全部功能分类科目</w:t>
      </w:r>
      <w:r>
        <w:rPr>
          <w:rFonts w:hint="default" w:ascii="Times New Roman" w:hAnsi="Times New Roman" w:eastAsia="仿宋_GB2312" w:cs="Times New Roman"/>
          <w:b/>
          <w:bCs w:val="0"/>
          <w:color w:val="000000"/>
          <w:sz w:val="32"/>
          <w:szCs w:val="32"/>
          <w:lang w:eastAsia="zh-CN"/>
        </w:rPr>
        <w:t>，</w:t>
      </w:r>
      <w:r>
        <w:rPr>
          <w:rFonts w:hint="default" w:ascii="Times New Roman" w:hAnsi="Times New Roman" w:eastAsia="仿宋_GB2312" w:cs="Times New Roman"/>
          <w:b/>
          <w:bCs w:val="0"/>
          <w:color w:val="000000"/>
          <w:sz w:val="32"/>
          <w:szCs w:val="32"/>
        </w:rPr>
        <w:t>至项级。上述</w:t>
      </w:r>
      <w:r>
        <w:rPr>
          <w:rFonts w:hint="eastAsia" w:ascii="Times New Roman" w:hAnsi="Times New Roman" w:eastAsia="仿宋_GB2312" w:cs="Times New Roman"/>
          <w:b/>
          <w:bCs w:val="0"/>
          <w:color w:val="000000"/>
          <w:sz w:val="32"/>
          <w:szCs w:val="32"/>
          <w:lang w:eastAsia="zh-CN"/>
        </w:rPr>
        <w:t>“</w:t>
      </w:r>
      <w:r>
        <w:rPr>
          <w:rFonts w:hint="default" w:ascii="Times New Roman" w:hAnsi="Times New Roman" w:eastAsia="仿宋_GB2312" w:cs="Times New Roman"/>
          <w:b/>
          <w:bCs w:val="0"/>
          <w:color w:val="000000"/>
          <w:sz w:val="32"/>
          <w:szCs w:val="32"/>
        </w:rPr>
        <w:t>预算</w:t>
      </w:r>
      <w:r>
        <w:rPr>
          <w:rFonts w:hint="eastAsia" w:ascii="Times New Roman" w:hAnsi="Times New Roman" w:eastAsia="仿宋_GB2312" w:cs="Times New Roman"/>
          <w:b/>
          <w:bCs w:val="0"/>
          <w:color w:val="000000"/>
          <w:sz w:val="32"/>
          <w:szCs w:val="32"/>
          <w:lang w:eastAsia="zh-CN"/>
        </w:rPr>
        <w:t>”</w:t>
      </w:r>
      <w:r>
        <w:rPr>
          <w:rFonts w:hint="default" w:ascii="Times New Roman" w:hAnsi="Times New Roman" w:eastAsia="仿宋_GB2312" w:cs="Times New Roman"/>
          <w:b/>
          <w:bCs w:val="0"/>
          <w:color w:val="000000"/>
          <w:sz w:val="32"/>
          <w:szCs w:val="32"/>
        </w:rPr>
        <w:t>口径为</w:t>
      </w:r>
      <w:r>
        <w:rPr>
          <w:rFonts w:hint="default" w:ascii="Times New Roman" w:hAnsi="Times New Roman" w:eastAsia="仿宋_GB2312" w:cs="Times New Roman"/>
          <w:b/>
          <w:bCs w:val="0"/>
          <w:color w:val="000000"/>
          <w:sz w:val="32"/>
          <w:szCs w:val="32"/>
          <w:lang w:eastAsia="zh-CN"/>
        </w:rPr>
        <w:t>全年预算</w:t>
      </w:r>
      <w:r>
        <w:rPr>
          <w:rFonts w:hint="default" w:ascii="Times New Roman" w:hAnsi="Times New Roman" w:eastAsia="仿宋_GB2312" w:cs="Times New Roman"/>
          <w:b/>
          <w:bCs w:val="0"/>
          <w:color w:val="000000"/>
          <w:sz w:val="32"/>
          <w:szCs w:val="32"/>
        </w:rPr>
        <w:t>数。增减变动原因为决算数</w:t>
      </w:r>
      <w:r>
        <w:rPr>
          <w:rFonts w:hint="default" w:ascii="Times New Roman" w:hAnsi="Times New Roman" w:eastAsia="仿宋_GB2312" w:cs="Times New Roman"/>
          <w:b/>
          <w:bCs w:val="0"/>
          <w:color w:val="000000"/>
          <w:sz w:val="32"/>
          <w:szCs w:val="32"/>
          <w:lang w:eastAsia="zh-CN"/>
        </w:rPr>
        <w:t>〈</w:t>
      </w:r>
      <w:r>
        <w:rPr>
          <w:rFonts w:hint="default" w:ascii="Times New Roman" w:hAnsi="Times New Roman" w:eastAsia="仿宋_GB2312" w:cs="Times New Roman"/>
          <w:b/>
          <w:bCs w:val="0"/>
          <w:color w:val="000000"/>
          <w:sz w:val="32"/>
          <w:szCs w:val="32"/>
        </w:rPr>
        <w:t>项级</w:t>
      </w:r>
      <w:r>
        <w:rPr>
          <w:rFonts w:hint="default" w:ascii="Times New Roman" w:hAnsi="Times New Roman" w:eastAsia="仿宋_GB2312" w:cs="Times New Roman"/>
          <w:b/>
          <w:bCs w:val="0"/>
          <w:color w:val="000000"/>
          <w:sz w:val="32"/>
          <w:szCs w:val="32"/>
          <w:lang w:eastAsia="zh-CN"/>
        </w:rPr>
        <w:t>〉</w:t>
      </w:r>
      <w:r>
        <w:rPr>
          <w:rFonts w:hint="default" w:ascii="Times New Roman" w:hAnsi="Times New Roman" w:eastAsia="仿宋_GB2312" w:cs="Times New Roman"/>
          <w:b/>
          <w:bCs w:val="0"/>
          <w:color w:val="000000"/>
          <w:sz w:val="32"/>
          <w:szCs w:val="32"/>
        </w:rPr>
        <w:t>和</w:t>
      </w:r>
      <w:r>
        <w:rPr>
          <w:rFonts w:hint="default" w:ascii="Times New Roman" w:hAnsi="Times New Roman" w:eastAsia="仿宋_GB2312" w:cs="Times New Roman"/>
          <w:b/>
          <w:bCs w:val="0"/>
          <w:color w:val="000000"/>
          <w:sz w:val="32"/>
          <w:szCs w:val="32"/>
          <w:lang w:eastAsia="zh-CN"/>
        </w:rPr>
        <w:t>全年预算</w:t>
      </w:r>
      <w:r>
        <w:rPr>
          <w:rFonts w:hint="default" w:ascii="Times New Roman" w:hAnsi="Times New Roman" w:eastAsia="仿宋_GB2312" w:cs="Times New Roman"/>
          <w:b/>
          <w:bCs w:val="0"/>
          <w:color w:val="000000"/>
          <w:sz w:val="32"/>
          <w:szCs w:val="32"/>
        </w:rPr>
        <w:t>数</w:t>
      </w:r>
      <w:r>
        <w:rPr>
          <w:rFonts w:hint="default" w:ascii="Times New Roman" w:hAnsi="Times New Roman" w:eastAsia="仿宋_GB2312" w:cs="Times New Roman"/>
          <w:b/>
          <w:bCs w:val="0"/>
          <w:color w:val="000000"/>
          <w:sz w:val="32"/>
          <w:szCs w:val="32"/>
          <w:lang w:eastAsia="zh-CN"/>
        </w:rPr>
        <w:t>〈</w:t>
      </w:r>
      <w:r>
        <w:rPr>
          <w:rFonts w:hint="default" w:ascii="Times New Roman" w:hAnsi="Times New Roman" w:eastAsia="仿宋_GB2312" w:cs="Times New Roman"/>
          <w:b/>
          <w:bCs w:val="0"/>
          <w:color w:val="000000"/>
          <w:sz w:val="32"/>
          <w:szCs w:val="32"/>
        </w:rPr>
        <w:t>项级</w:t>
      </w:r>
      <w:r>
        <w:rPr>
          <w:rFonts w:hint="default" w:ascii="Times New Roman" w:hAnsi="Times New Roman" w:eastAsia="仿宋_GB2312" w:cs="Times New Roman"/>
          <w:b/>
          <w:bCs w:val="0"/>
          <w:color w:val="000000"/>
          <w:sz w:val="32"/>
          <w:szCs w:val="32"/>
          <w:lang w:eastAsia="zh-CN"/>
        </w:rPr>
        <w:t>〉</w:t>
      </w:r>
      <w:r>
        <w:rPr>
          <w:rFonts w:hint="default" w:ascii="Times New Roman" w:hAnsi="Times New Roman" w:eastAsia="仿宋_GB2312" w:cs="Times New Roman"/>
          <w:b/>
          <w:bCs w:val="0"/>
          <w:color w:val="000000"/>
          <w:sz w:val="32"/>
          <w:szCs w:val="32"/>
        </w:rPr>
        <w:t>比较，与预算数持平可以不写原因。）</w:t>
      </w:r>
    </w:p>
    <w:p w14:paraId="762836B4">
      <w:pPr>
        <w:pageBreakBefore w:val="0"/>
        <w:numPr>
          <w:ilvl w:val="0"/>
          <w:numId w:val="0"/>
        </w:numPr>
        <w:tabs>
          <w:tab w:val="right" w:pos="8306"/>
        </w:tabs>
        <w:kinsoku/>
        <w:wordWrap/>
        <w:overflowPunct/>
        <w:topLinePunct w:val="0"/>
        <w:autoSpaceDN/>
        <w:bidi w:val="0"/>
        <w:adjustRightInd/>
        <w:spacing w:line="576" w:lineRule="exact"/>
        <w:ind w:firstLine="640" w:firstLineChars="200"/>
        <w:jc w:val="both"/>
        <w:textAlignment w:val="auto"/>
        <w:outlineLvl w:val="1"/>
        <w:rPr>
          <w:rStyle w:val="20"/>
          <w:rFonts w:hint="default" w:ascii="Times New Roman" w:hAnsi="Times New Roman" w:cs="Times New Roman"/>
          <w:color w:val="000000"/>
          <w:highlight w:val="none"/>
        </w:rPr>
      </w:pPr>
      <w:r>
        <w:rPr>
          <w:rFonts w:hint="default" w:ascii="Times New Roman" w:hAnsi="Times New Roman" w:eastAsia="黑体" w:cs="Times New Roman"/>
          <w:color w:val="000000"/>
          <w:sz w:val="32"/>
          <w:szCs w:val="32"/>
        </w:rPr>
        <w:t>六</w:t>
      </w:r>
      <w:r>
        <w:rPr>
          <w:rFonts w:hint="default" w:ascii="Times New Roman" w:hAnsi="Times New Roman" w:eastAsia="黑体" w:cs="Times New Roman"/>
          <w:b/>
          <w:color w:val="000000"/>
          <w:sz w:val="32"/>
          <w:szCs w:val="32"/>
        </w:rPr>
        <w:t>、一</w:t>
      </w:r>
      <w:r>
        <w:rPr>
          <w:rStyle w:val="20"/>
          <w:rFonts w:hint="default" w:ascii="Times New Roman" w:hAnsi="Times New Roman" w:eastAsia="黑体" w:cs="Times New Roman"/>
          <w:b w:val="0"/>
          <w:color w:val="000000"/>
        </w:rPr>
        <w:t>般公共预算财政拨款基本支出决算情况说明</w:t>
      </w:r>
      <w:r>
        <w:rPr>
          <w:rStyle w:val="20"/>
          <w:rFonts w:hint="default" w:ascii="Times New Roman" w:hAnsi="Times New Roman" w:eastAsia="黑体" w:cs="Times New Roman"/>
          <w:b w:val="0"/>
          <w:color w:val="000000"/>
        </w:rPr>
        <w:tab/>
      </w:r>
    </w:p>
    <w:p w14:paraId="2B5D11AC">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lang w:eastAsia="zh-CN"/>
        </w:rPr>
        <w:t>2025年度一般公共预算财政拨款基本支出660.70万元，其中：</w:t>
      </w:r>
    </w:p>
    <w:p w14:paraId="6112921C">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lang w:val="en-US" w:eastAsia="zh-CN"/>
        </w:rPr>
        <w:t>1.</w:t>
      </w:r>
      <w:r>
        <w:rPr>
          <w:rFonts w:hint="default" w:ascii="Times New Roman" w:hAnsi="Times New Roman" w:eastAsia="仿宋_GB2312" w:cs="Times New Roman"/>
          <w:b/>
          <w:bCs/>
          <w:color w:val="000000"/>
          <w:sz w:val="32"/>
          <w:szCs w:val="32"/>
        </w:rPr>
        <w:t>人员经费585.28万元，主要包括：</w:t>
      </w:r>
      <w:r>
        <w:rPr>
          <w:rFonts w:hint="default" w:ascii="Times New Roman" w:hAnsi="Times New Roman" w:eastAsia="仿宋_GB2312" w:cs="Times New Roman"/>
          <w:color w:val="000000"/>
          <w:sz w:val="32"/>
          <w:szCs w:val="32"/>
        </w:rPr>
        <w:t>基本工资119.86万元、津贴补贴138.49万元、奖金135.18万元、机关事业单位基本养老保险缴费50.49万元、职业年金缴费39.82万元、职工基本医疗保险缴费24.52万元、公务员医疗补助缴费4万元、其他社会保障缴费0.62万元、住房公积金43.94万元、其他工资福利支出4.27万元，以及生活补助21.48万元、救济费2.04万元、医疗费补助0.56万元等对个人和家庭的补助。</w:t>
      </w:r>
      <w:r>
        <w:rPr>
          <w:rFonts w:hint="default" w:ascii="Times New Roman" w:hAnsi="Times New Roman" w:eastAsia="仿宋_GB2312" w:cs="Times New Roman"/>
          <w:color w:val="000000"/>
          <w:sz w:val="32"/>
          <w:szCs w:val="32"/>
        </w:rPr>
        <w:br w:type="textWrapping"/>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b/>
          <w:bCs/>
          <w:color w:val="000000"/>
          <w:sz w:val="32"/>
          <w:szCs w:val="32"/>
          <w:lang w:val="en-US" w:eastAsia="zh-CN"/>
        </w:rPr>
        <w:t>2.</w:t>
      </w:r>
      <w:r>
        <w:rPr>
          <w:rFonts w:hint="default" w:ascii="Times New Roman" w:hAnsi="Times New Roman" w:eastAsia="仿宋_GB2312" w:cs="Times New Roman"/>
          <w:b/>
          <w:bCs/>
          <w:color w:val="000000"/>
          <w:sz w:val="32"/>
          <w:szCs w:val="32"/>
        </w:rPr>
        <w:t>公用经费75.42万元，主要包括：</w:t>
      </w:r>
      <w:r>
        <w:rPr>
          <w:rFonts w:hint="default" w:ascii="Times New Roman" w:hAnsi="Times New Roman" w:eastAsia="仿宋_GB2312" w:cs="Times New Roman"/>
          <w:color w:val="000000"/>
          <w:sz w:val="32"/>
          <w:szCs w:val="32"/>
        </w:rPr>
        <w:t>办公费40.70万元、电费5.78万元、邮电费1万元、取暖费3.14万元、差旅费4万元、培训费0.6万元、劳务费5.1万元、工会经费5.36万元、公务用车运行维护费9.73万元。</w:t>
      </w:r>
    </w:p>
    <w:p w14:paraId="5FE4424C">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b/>
          <w:color w:val="000000"/>
          <w:sz w:val="32"/>
          <w:szCs w:val="32"/>
          <w:highlight w:val="none"/>
        </w:rPr>
      </w:pPr>
      <w:r>
        <w:rPr>
          <w:rFonts w:hint="default" w:ascii="Times New Roman" w:hAnsi="Times New Roman" w:eastAsia="仿宋_GB2312" w:cs="Times New Roman"/>
          <w:b/>
          <w:color w:val="000000"/>
          <w:sz w:val="32"/>
          <w:szCs w:val="32"/>
        </w:rPr>
        <w:t>（注：数据来源于财决07表</w:t>
      </w:r>
      <w:r>
        <w:rPr>
          <w:rFonts w:hint="default" w:ascii="Times New Roman" w:hAnsi="Times New Roman" w:eastAsia="仿宋_GB2312" w:cs="Times New Roman"/>
          <w:b/>
          <w:color w:val="000000"/>
          <w:sz w:val="32"/>
          <w:szCs w:val="32"/>
          <w:lang w:eastAsia="zh-CN"/>
        </w:rPr>
        <w:t>和财决</w:t>
      </w:r>
      <w:r>
        <w:rPr>
          <w:rFonts w:hint="default" w:ascii="Times New Roman" w:hAnsi="Times New Roman" w:eastAsia="仿宋_GB2312" w:cs="Times New Roman"/>
          <w:b/>
          <w:color w:val="000000"/>
          <w:sz w:val="32"/>
          <w:szCs w:val="32"/>
          <w:lang w:val="en-US" w:eastAsia="zh-CN"/>
        </w:rPr>
        <w:t>08-1表</w:t>
      </w:r>
      <w:r>
        <w:rPr>
          <w:rFonts w:hint="default" w:ascii="Times New Roman" w:hAnsi="Times New Roman" w:eastAsia="仿宋_GB2312" w:cs="Times New Roman"/>
          <w:b/>
          <w:color w:val="000000"/>
          <w:sz w:val="32"/>
          <w:szCs w:val="32"/>
        </w:rPr>
        <w:t>，</w:t>
      </w:r>
      <w:r>
        <w:rPr>
          <w:rFonts w:hint="default" w:ascii="Times New Roman" w:hAnsi="Times New Roman" w:eastAsia="仿宋_GB2312" w:cs="Times New Roman"/>
          <w:b/>
          <w:color w:val="000000"/>
          <w:sz w:val="32"/>
          <w:szCs w:val="32"/>
          <w:lang w:eastAsia="zh-CN"/>
        </w:rPr>
        <w:t>仅罗列</w:t>
      </w:r>
      <w:r>
        <w:rPr>
          <w:rFonts w:hint="default" w:ascii="Times New Roman" w:hAnsi="Times New Roman" w:eastAsia="仿宋_GB2312" w:cs="Times New Roman"/>
          <w:b/>
          <w:color w:val="000000"/>
          <w:sz w:val="32"/>
          <w:szCs w:val="32"/>
        </w:rPr>
        <w:t>本</w:t>
      </w:r>
      <w:r>
        <w:rPr>
          <w:rFonts w:hint="default" w:ascii="Times New Roman" w:hAnsi="Times New Roman" w:eastAsia="仿宋_GB2312" w:cs="Times New Roman"/>
          <w:b/>
          <w:color w:val="000000"/>
          <w:sz w:val="32"/>
          <w:szCs w:val="32"/>
          <w:lang w:eastAsia="zh-CN"/>
        </w:rPr>
        <w:t>单位</w:t>
      </w:r>
      <w:r>
        <w:rPr>
          <w:rFonts w:hint="default" w:ascii="Times New Roman" w:hAnsi="Times New Roman" w:eastAsia="仿宋_GB2312" w:cs="Times New Roman"/>
          <w:b/>
          <w:color w:val="000000"/>
          <w:sz w:val="32"/>
          <w:szCs w:val="32"/>
        </w:rPr>
        <w:t>实际支出</w:t>
      </w:r>
      <w:r>
        <w:rPr>
          <w:rFonts w:hint="default" w:ascii="Times New Roman" w:hAnsi="Times New Roman" w:eastAsia="仿宋_GB2312" w:cs="Times New Roman"/>
          <w:b/>
          <w:color w:val="000000"/>
          <w:sz w:val="32"/>
          <w:szCs w:val="32"/>
          <w:lang w:eastAsia="zh-CN"/>
        </w:rPr>
        <w:t>涉及的</w:t>
      </w:r>
      <w:r>
        <w:rPr>
          <w:rFonts w:hint="default" w:ascii="Times New Roman" w:hAnsi="Times New Roman" w:eastAsia="仿宋_GB2312" w:cs="Times New Roman"/>
          <w:b/>
          <w:color w:val="000000"/>
          <w:sz w:val="32"/>
          <w:szCs w:val="32"/>
        </w:rPr>
        <w:t>经济分类科目。）</w:t>
      </w:r>
    </w:p>
    <w:p w14:paraId="5BDBBB99">
      <w:pPr>
        <w:pageBreakBefore w:val="0"/>
        <w:numPr>
          <w:ilvl w:val="0"/>
          <w:numId w:val="0"/>
        </w:numPr>
        <w:kinsoku/>
        <w:wordWrap/>
        <w:overflowPunct/>
        <w:topLinePunct w:val="0"/>
        <w:autoSpaceDN/>
        <w:bidi w:val="0"/>
        <w:adjustRightInd/>
        <w:spacing w:line="576" w:lineRule="exact"/>
        <w:ind w:firstLine="640" w:firstLineChars="200"/>
        <w:jc w:val="both"/>
        <w:textAlignment w:val="auto"/>
        <w:outlineLvl w:val="1"/>
        <w:rPr>
          <w:rStyle w:val="20"/>
          <w:rFonts w:hint="default" w:ascii="Times New Roman" w:hAnsi="Times New Roman" w:eastAsia="黑体" w:cs="Times New Roman"/>
          <w:b w:val="0"/>
          <w:color w:val="000000"/>
          <w:highlight w:val="none"/>
        </w:rPr>
      </w:pPr>
      <w:r>
        <w:rPr>
          <w:rFonts w:hint="default" w:ascii="Times New Roman" w:hAnsi="Times New Roman" w:eastAsia="黑体" w:cs="Times New Roman"/>
          <w:color w:val="000000"/>
          <w:sz w:val="32"/>
          <w:szCs w:val="32"/>
        </w:rPr>
        <w:t>七、</w:t>
      </w:r>
      <w:r>
        <w:rPr>
          <w:rStyle w:val="20"/>
          <w:rFonts w:hint="default" w:ascii="Times New Roman" w:hAnsi="Times New Roman" w:eastAsia="黑体" w:cs="Times New Roman"/>
          <w:b w:val="0"/>
          <w:color w:val="000000"/>
        </w:rPr>
        <w:t>财政拨款</w:t>
      </w:r>
      <w:r>
        <w:rPr>
          <w:rStyle w:val="20"/>
          <w:rFonts w:hint="eastAsia" w:ascii="Times New Roman" w:hAnsi="Times New Roman" w:eastAsia="黑体" w:cs="Times New Roman"/>
          <w:color w:val="000000"/>
          <w:lang w:eastAsia="zh-CN"/>
        </w:rPr>
        <w:t>“</w:t>
      </w:r>
      <w:r>
        <w:rPr>
          <w:rStyle w:val="20"/>
          <w:rFonts w:hint="default" w:ascii="Times New Roman" w:hAnsi="Times New Roman" w:eastAsia="黑体" w:cs="Times New Roman"/>
          <w:b w:val="0"/>
          <w:color w:val="000000"/>
        </w:rPr>
        <w:t>三公</w:t>
      </w:r>
      <w:r>
        <w:rPr>
          <w:rStyle w:val="20"/>
          <w:rFonts w:hint="eastAsia" w:ascii="Times New Roman" w:hAnsi="Times New Roman" w:eastAsia="黑体" w:cs="Times New Roman"/>
          <w:b w:val="0"/>
          <w:color w:val="000000"/>
          <w:lang w:eastAsia="zh-CN"/>
        </w:rPr>
        <w:t>”</w:t>
      </w:r>
      <w:r>
        <w:rPr>
          <w:rStyle w:val="20"/>
          <w:rFonts w:hint="default" w:ascii="Times New Roman" w:hAnsi="Times New Roman" w:eastAsia="黑体" w:cs="Times New Roman"/>
          <w:b w:val="0"/>
          <w:color w:val="000000"/>
        </w:rPr>
        <w:t>经费支出决算情况说明</w:t>
      </w:r>
    </w:p>
    <w:p w14:paraId="3FEB8789">
      <w:pPr>
        <w:pageBreakBefore w:val="0"/>
        <w:numPr>
          <w:ilvl w:val="0"/>
          <w:numId w:val="0"/>
        </w:numPr>
        <w:kinsoku/>
        <w:wordWrap/>
        <w:overflowPunct/>
        <w:topLinePunct w:val="0"/>
        <w:autoSpaceDN/>
        <w:bidi w:val="0"/>
        <w:adjustRightInd/>
        <w:spacing w:line="576" w:lineRule="exact"/>
        <w:ind w:firstLine="643" w:firstLineChars="200"/>
        <w:jc w:val="both"/>
        <w:textAlignment w:val="auto"/>
        <w:outlineLvl w:val="2"/>
        <w:rPr>
          <w:rFonts w:hint="default" w:ascii="Times New Roman" w:hAnsi="Times New Roman" w:eastAsia="仿宋" w:cs="Times New Roman"/>
          <w:b/>
          <w:color w:val="000000"/>
          <w:sz w:val="32"/>
          <w:szCs w:val="32"/>
          <w:highlight w:val="none"/>
        </w:rPr>
      </w:pPr>
      <w:r>
        <w:rPr>
          <w:rFonts w:hint="default" w:ascii="Times New Roman" w:hAnsi="Times New Roman" w:eastAsia="楷体_GB2312" w:cs="Times New Roman"/>
          <w:b/>
          <w:color w:val="000000"/>
          <w:sz w:val="32"/>
          <w:szCs w:val="32"/>
        </w:rPr>
        <w:t>（一）</w:t>
      </w:r>
      <w:r>
        <w:rPr>
          <w:rFonts w:hint="eastAsia" w:ascii="Times New Roman" w:hAnsi="Times New Roman" w:eastAsia="楷体_GB2312" w:cs="Times New Roman"/>
          <w:b/>
          <w:color w:val="000000"/>
          <w:sz w:val="32"/>
          <w:szCs w:val="32"/>
          <w:lang w:eastAsia="zh-CN"/>
        </w:rPr>
        <w:t>“</w:t>
      </w:r>
      <w:r>
        <w:rPr>
          <w:rFonts w:hint="default" w:ascii="Times New Roman" w:hAnsi="Times New Roman" w:eastAsia="楷体_GB2312" w:cs="Times New Roman"/>
          <w:b/>
          <w:color w:val="000000"/>
          <w:sz w:val="32"/>
          <w:szCs w:val="32"/>
        </w:rPr>
        <w:t>三公</w:t>
      </w:r>
      <w:r>
        <w:rPr>
          <w:rFonts w:hint="eastAsia" w:ascii="Times New Roman" w:hAnsi="Times New Roman" w:eastAsia="楷体_GB2312" w:cs="Times New Roman"/>
          <w:b/>
          <w:color w:val="000000"/>
          <w:sz w:val="32"/>
          <w:szCs w:val="32"/>
          <w:lang w:eastAsia="zh-CN"/>
        </w:rPr>
        <w:t>”</w:t>
      </w:r>
      <w:r>
        <w:rPr>
          <w:rFonts w:hint="default" w:ascii="Times New Roman" w:hAnsi="Times New Roman" w:eastAsia="楷体_GB2312" w:cs="Times New Roman"/>
          <w:b/>
          <w:color w:val="000000"/>
          <w:sz w:val="32"/>
          <w:szCs w:val="32"/>
        </w:rPr>
        <w:t>经费财政拨款支出决算总体情况说明</w:t>
      </w:r>
    </w:p>
    <w:p w14:paraId="1E398F39">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 w:cs="Times New Roman"/>
          <w:b/>
          <w:color w:val="000000"/>
          <w:sz w:val="32"/>
          <w:szCs w:val="32"/>
          <w:highlight w:val="none"/>
        </w:rPr>
      </w:pPr>
      <w:r>
        <w:rPr>
          <w:rFonts w:hint="default" w:ascii="Times New Roman" w:hAnsi="Times New Roman" w:eastAsia="仿宋_GB2312" w:cs="Times New Roman"/>
          <w:color w:val="000000"/>
          <w:sz w:val="32"/>
          <w:szCs w:val="32"/>
          <w:lang w:eastAsia="zh-CN"/>
        </w:rPr>
        <w:t>2025年度</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eastAsia="zh-CN"/>
        </w:rPr>
        <w:t>三公</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eastAsia="zh-CN"/>
        </w:rPr>
        <w:t>经费财政拨款支出决算为9.73万元，完成预算100%，较上年度增加3.66万元，增长60.32%。</w:t>
      </w:r>
      <w:r>
        <w:rPr>
          <w:rFonts w:hint="eastAsia" w:ascii="Times New Roman" w:hAnsi="Times New Roman" w:eastAsia="仿宋_GB2312" w:cs="Times New Roman"/>
          <w:color w:val="000000"/>
          <w:sz w:val="32"/>
          <w:szCs w:val="32"/>
          <w:lang w:eastAsia="zh-CN"/>
        </w:rPr>
        <w:t>主要原因是</w:t>
      </w:r>
      <w:r>
        <w:rPr>
          <w:rFonts w:hint="default" w:ascii="Times New Roman" w:hAnsi="Times New Roman" w:eastAsia="仿宋_GB2312" w:cs="Times New Roman"/>
          <w:color w:val="000000"/>
          <w:sz w:val="32"/>
          <w:szCs w:val="32"/>
          <w:lang w:eastAsia="zh-CN"/>
        </w:rPr>
        <w:t>采购只能在本级采购，将中心的公务车运行经费调至本级（注：上述</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eastAsia="zh-CN"/>
        </w:rPr>
        <w:t>预算</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eastAsia="zh-CN"/>
        </w:rPr>
        <w:t>口径为全年预算数，包括一般公共预算和政府性基金预算财政拨款支出决算情况。</w:t>
      </w:r>
      <w:r>
        <w:rPr>
          <w:rFonts w:hint="default" w:ascii="Times New Roman" w:hAnsi="Times New Roman" w:eastAsia="仿宋" w:cs="Times New Roman"/>
          <w:color w:val="000000"/>
          <w:sz w:val="32"/>
          <w:szCs w:val="32"/>
          <w:lang w:eastAsia="zh-CN"/>
        </w:rPr>
        <w:t>）</w:t>
      </w:r>
    </w:p>
    <w:p w14:paraId="5FE7A00F">
      <w:pPr>
        <w:pageBreakBefore w:val="0"/>
        <w:numPr>
          <w:ilvl w:val="0"/>
          <w:numId w:val="0"/>
        </w:numPr>
        <w:kinsoku/>
        <w:wordWrap/>
        <w:overflowPunct/>
        <w:topLinePunct w:val="0"/>
        <w:autoSpaceDN/>
        <w:bidi w:val="0"/>
        <w:adjustRightInd/>
        <w:spacing w:line="576" w:lineRule="exact"/>
        <w:ind w:firstLine="643" w:firstLineChars="200"/>
        <w:jc w:val="both"/>
        <w:textAlignment w:val="auto"/>
        <w:outlineLvl w:val="2"/>
        <w:rPr>
          <w:rFonts w:hint="default" w:ascii="Times New Roman" w:hAnsi="Times New Roman" w:eastAsia="仿宋" w:cs="Times New Roman"/>
          <w:b/>
          <w:color w:val="000000"/>
          <w:sz w:val="32"/>
          <w:szCs w:val="32"/>
          <w:highlight w:val="none"/>
        </w:rPr>
      </w:pPr>
      <w:r>
        <w:rPr>
          <w:rFonts w:hint="default" w:ascii="Times New Roman" w:hAnsi="Times New Roman" w:eastAsia="楷体_GB2312" w:cs="Times New Roman"/>
          <w:b/>
          <w:color w:val="000000"/>
          <w:sz w:val="32"/>
          <w:szCs w:val="32"/>
        </w:rPr>
        <w:t>（二）</w:t>
      </w:r>
      <w:r>
        <w:rPr>
          <w:rFonts w:hint="eastAsia" w:ascii="Times New Roman" w:hAnsi="Times New Roman" w:eastAsia="楷体_GB2312" w:cs="Times New Roman"/>
          <w:b/>
          <w:color w:val="000000"/>
          <w:sz w:val="32"/>
          <w:szCs w:val="32"/>
          <w:lang w:eastAsia="zh-CN"/>
        </w:rPr>
        <w:t>“</w:t>
      </w:r>
      <w:r>
        <w:rPr>
          <w:rFonts w:hint="default" w:ascii="Times New Roman" w:hAnsi="Times New Roman" w:eastAsia="楷体_GB2312" w:cs="Times New Roman"/>
          <w:b/>
          <w:color w:val="000000"/>
          <w:sz w:val="32"/>
          <w:szCs w:val="32"/>
        </w:rPr>
        <w:t>三公</w:t>
      </w:r>
      <w:r>
        <w:rPr>
          <w:rFonts w:hint="eastAsia" w:ascii="Times New Roman" w:hAnsi="Times New Roman" w:eastAsia="楷体_GB2312" w:cs="Times New Roman"/>
          <w:b/>
          <w:color w:val="000000"/>
          <w:sz w:val="32"/>
          <w:szCs w:val="32"/>
          <w:lang w:eastAsia="zh-CN"/>
        </w:rPr>
        <w:t>”</w:t>
      </w:r>
      <w:r>
        <w:rPr>
          <w:rFonts w:hint="default" w:ascii="Times New Roman" w:hAnsi="Times New Roman" w:eastAsia="楷体_GB2312" w:cs="Times New Roman"/>
          <w:b/>
          <w:color w:val="000000"/>
          <w:sz w:val="32"/>
          <w:szCs w:val="32"/>
        </w:rPr>
        <w:t>经费财政拨款支出决算具体情况说明</w:t>
      </w:r>
    </w:p>
    <w:p w14:paraId="787D9031">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lang w:eastAsia="zh-CN"/>
        </w:rPr>
        <w:t>2025年度</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eastAsia="zh-CN"/>
        </w:rPr>
        <w:t>三公</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eastAsia="zh-CN"/>
        </w:rPr>
        <w:t>经费财政拨款支出决算中，因公出国（境）费支出决算0万元，占0%；公务用车购置及运行维护费支出决算9.73万元，占100%；公务接待费支出决算0万元，占0%。具体情况如下：</w:t>
      </w:r>
    </w:p>
    <w:p w14:paraId="4E7FF37F">
      <w:pPr>
        <w:pStyle w:val="13"/>
        <w:pageBreakBefore w:val="0"/>
        <w:kinsoku/>
        <w:wordWrap/>
        <w:overflowPunct/>
        <w:topLinePunct w:val="0"/>
        <w:autoSpaceDN/>
        <w:bidi w:val="0"/>
        <w:adjustRightInd/>
        <w:spacing w:line="576" w:lineRule="exact"/>
        <w:ind w:firstLine="420" w:firstLineChars="200"/>
        <w:jc w:val="both"/>
        <w:textAlignment w:val="auto"/>
        <w:rPr>
          <w:rFonts w:hint="default" w:ascii="Times New Roman" w:hAnsi="Times New Roman" w:eastAsia="仿宋" w:cs="Times New Roman"/>
          <w:color w:val="000000"/>
          <w:sz w:val="32"/>
          <w:szCs w:val="32"/>
          <w:highlight w:val="none"/>
        </w:rPr>
      </w:pP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461645</wp:posOffset>
            </wp:positionH>
            <wp:positionV relativeFrom="paragraph">
              <wp:posOffset>195580</wp:posOffset>
            </wp:positionV>
            <wp:extent cx="4808855" cy="2654300"/>
            <wp:effectExtent l="4445" t="5080" r="12700" b="7620"/>
            <wp:wrapTight wrapText="bothSides">
              <wp:wrapPolygon>
                <wp:start x="-20" y="-41"/>
                <wp:lineTo x="-20" y="21559"/>
                <wp:lineTo x="21543" y="21559"/>
                <wp:lineTo x="21543" y="-41"/>
                <wp:lineTo x="-20" y="-41"/>
              </wp:wrapPolygon>
            </wp:wrapTight>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5B52B219">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b/>
          <w:bCs/>
          <w:color w:val="000000"/>
          <w:sz w:val="32"/>
          <w:szCs w:val="32"/>
          <w:highlight w:val="none"/>
        </w:rPr>
      </w:pPr>
      <w:r>
        <w:rPr>
          <w:rFonts w:hint="default" w:ascii="Times New Roman" w:hAnsi="Times New Roman" w:eastAsia="仿宋_GB2312" w:cs="Times New Roman"/>
          <w:b/>
          <w:bCs/>
          <w:color w:val="000000"/>
          <w:sz w:val="32"/>
          <w:szCs w:val="32"/>
        </w:rPr>
        <w:t>（图7：</w:t>
      </w:r>
      <w:r>
        <w:rPr>
          <w:rFonts w:hint="eastAsia" w:ascii="Times New Roman" w:hAnsi="Times New Roman" w:eastAsia="仿宋_GB2312" w:cs="Times New Roman"/>
          <w:b/>
          <w:bCs/>
          <w:color w:val="000000"/>
          <w:sz w:val="32"/>
          <w:szCs w:val="32"/>
          <w:lang w:eastAsia="zh-CN"/>
        </w:rPr>
        <w:t>“</w:t>
      </w:r>
      <w:r>
        <w:rPr>
          <w:rFonts w:hint="default" w:ascii="Times New Roman" w:hAnsi="Times New Roman" w:eastAsia="仿宋_GB2312" w:cs="Times New Roman"/>
          <w:b/>
          <w:bCs/>
          <w:color w:val="000000"/>
          <w:sz w:val="32"/>
          <w:szCs w:val="32"/>
        </w:rPr>
        <w:t>三公</w:t>
      </w:r>
      <w:r>
        <w:rPr>
          <w:rFonts w:hint="eastAsia" w:ascii="Times New Roman" w:hAnsi="Times New Roman" w:eastAsia="仿宋_GB2312" w:cs="Times New Roman"/>
          <w:b/>
          <w:bCs/>
          <w:color w:val="000000"/>
          <w:sz w:val="32"/>
          <w:szCs w:val="32"/>
          <w:lang w:eastAsia="zh-CN"/>
        </w:rPr>
        <w:t>”</w:t>
      </w:r>
      <w:r>
        <w:rPr>
          <w:rFonts w:hint="default" w:ascii="Times New Roman" w:hAnsi="Times New Roman" w:eastAsia="仿宋_GB2312" w:cs="Times New Roman"/>
          <w:b/>
          <w:bCs/>
          <w:color w:val="000000"/>
          <w:sz w:val="32"/>
          <w:szCs w:val="32"/>
        </w:rPr>
        <w:t>经费财政拨款支出结构）（饼状图）</w:t>
      </w:r>
    </w:p>
    <w:p w14:paraId="321CEE9A">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_GB2312" w:cs="Times New Roman"/>
          <w:b w:val="0"/>
          <w:bCs/>
          <w:color w:val="000000"/>
          <w:sz w:val="32"/>
          <w:szCs w:val="32"/>
          <w:highlight w:val="none"/>
          <w:lang w:val="en-US" w:eastAsia="zh-CN"/>
        </w:rPr>
      </w:pPr>
      <w:r>
        <w:rPr>
          <w:rFonts w:hint="default" w:ascii="Times New Roman" w:hAnsi="Times New Roman" w:eastAsia="仿宋_GB2312" w:cs="Times New Roman"/>
          <w:b w:val="0"/>
          <w:bCs/>
          <w:color w:val="000000"/>
          <w:sz w:val="32"/>
          <w:szCs w:val="32"/>
        </w:rPr>
        <w:t>1.因公出国（境）经费支出</w:t>
      </w:r>
      <w:r>
        <w:rPr>
          <w:rFonts w:hint="default" w:ascii="Times New Roman" w:hAnsi="Times New Roman" w:eastAsia="仿宋_GB2312" w:cs="Times New Roman"/>
          <w:b w:val="0"/>
          <w:bCs/>
          <w:color w:val="000000"/>
          <w:sz w:val="32"/>
          <w:szCs w:val="32"/>
          <w:lang w:val="en-US" w:eastAsia="zh-CN"/>
        </w:rPr>
        <w:t>0</w:t>
      </w:r>
      <w:r>
        <w:rPr>
          <w:rFonts w:hint="default" w:ascii="Times New Roman" w:hAnsi="Times New Roman" w:eastAsia="仿宋_GB2312" w:cs="Times New Roman"/>
          <w:b w:val="0"/>
          <w:bCs/>
          <w:color w:val="000000"/>
          <w:sz w:val="32"/>
          <w:szCs w:val="32"/>
        </w:rPr>
        <w:t>万元，</w:t>
      </w:r>
      <w:r>
        <w:rPr>
          <w:rStyle w:val="21"/>
          <w:rFonts w:hint="default" w:ascii="Times New Roman" w:hAnsi="Times New Roman" w:eastAsia="仿宋_GB2312" w:cs="Times New Roman"/>
          <w:b w:val="0"/>
          <w:bCs/>
          <w:color w:val="000000"/>
          <w:sz w:val="32"/>
          <w:szCs w:val="32"/>
        </w:rPr>
        <w:t>完成预算</w:t>
      </w:r>
      <w:r>
        <w:rPr>
          <w:rStyle w:val="21"/>
          <w:rFonts w:hint="default" w:ascii="Times New Roman" w:hAnsi="Times New Roman" w:eastAsia="仿宋_GB2312" w:cs="Times New Roman"/>
          <w:b w:val="0"/>
          <w:bCs/>
          <w:color w:val="000000"/>
          <w:sz w:val="32"/>
          <w:szCs w:val="32"/>
          <w:lang w:val="en-US" w:eastAsia="zh-CN"/>
        </w:rPr>
        <w:t>0</w:t>
      </w:r>
      <w:r>
        <w:rPr>
          <w:rStyle w:val="21"/>
          <w:rFonts w:hint="default" w:ascii="Times New Roman" w:hAnsi="Times New Roman" w:eastAsia="仿宋_GB2312" w:cs="Times New Roman"/>
          <w:b w:val="0"/>
          <w:bCs/>
          <w:color w:val="000000"/>
          <w:sz w:val="32"/>
          <w:szCs w:val="32"/>
        </w:rPr>
        <w:t>%。</w:t>
      </w:r>
      <w:r>
        <w:rPr>
          <w:rFonts w:hint="default" w:ascii="Times New Roman" w:hAnsi="Times New Roman" w:eastAsia="仿宋_GB2312" w:cs="Times New Roman"/>
          <w:b w:val="0"/>
          <w:bCs/>
          <w:color w:val="000000"/>
          <w:sz w:val="32"/>
          <w:szCs w:val="32"/>
        </w:rPr>
        <w:t>全年安排因公出国（境）团组</w:t>
      </w:r>
      <w:r>
        <w:rPr>
          <w:rFonts w:hint="default" w:ascii="Times New Roman" w:hAnsi="Times New Roman" w:eastAsia="仿宋_GB2312" w:cs="Times New Roman"/>
          <w:b w:val="0"/>
          <w:bCs/>
          <w:color w:val="000000"/>
          <w:sz w:val="32"/>
          <w:szCs w:val="32"/>
          <w:lang w:val="en-US" w:eastAsia="zh-CN"/>
        </w:rPr>
        <w:t>0</w:t>
      </w:r>
      <w:r>
        <w:rPr>
          <w:rFonts w:hint="default" w:ascii="Times New Roman" w:hAnsi="Times New Roman" w:eastAsia="仿宋_GB2312" w:cs="Times New Roman"/>
          <w:b w:val="0"/>
          <w:bCs/>
          <w:color w:val="000000"/>
          <w:sz w:val="32"/>
          <w:szCs w:val="32"/>
        </w:rPr>
        <w:t>次，出国（境）</w:t>
      </w:r>
      <w:r>
        <w:rPr>
          <w:rFonts w:hint="default" w:ascii="Times New Roman" w:hAnsi="Times New Roman" w:eastAsia="仿宋_GB2312" w:cs="Times New Roman"/>
          <w:b w:val="0"/>
          <w:bCs/>
          <w:color w:val="000000"/>
          <w:sz w:val="32"/>
          <w:szCs w:val="32"/>
          <w:lang w:val="en-US" w:eastAsia="zh-CN"/>
        </w:rPr>
        <w:t>0</w:t>
      </w:r>
      <w:r>
        <w:rPr>
          <w:rFonts w:hint="default" w:ascii="Times New Roman" w:hAnsi="Times New Roman" w:eastAsia="仿宋_GB2312" w:cs="Times New Roman"/>
          <w:b w:val="0"/>
          <w:bCs/>
          <w:color w:val="000000"/>
          <w:sz w:val="32"/>
          <w:szCs w:val="32"/>
        </w:rPr>
        <w:t>人。</w:t>
      </w:r>
    </w:p>
    <w:p w14:paraId="1FB968F7">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_GB2312" w:cs="Times New Roman"/>
          <w:b w:val="0"/>
          <w:bCs/>
          <w:color w:val="000000"/>
          <w:sz w:val="32"/>
          <w:szCs w:val="32"/>
          <w:highlight w:val="none"/>
        </w:rPr>
      </w:pPr>
      <w:r>
        <w:rPr>
          <w:rFonts w:hint="default" w:ascii="Times New Roman" w:hAnsi="Times New Roman" w:eastAsia="仿宋_GB2312" w:cs="Times New Roman"/>
          <w:b w:val="0"/>
          <w:bCs/>
          <w:color w:val="000000"/>
          <w:sz w:val="32"/>
          <w:szCs w:val="32"/>
        </w:rPr>
        <w:t>2.公务用车购置及运行维护费支出9.73万元，完成预算100%。公务用车购置及运行维护费支出决算比2024年度增加3.66万元，增长60.32%。</w:t>
      </w:r>
      <w:r>
        <w:rPr>
          <w:rFonts w:hint="eastAsia" w:ascii="Times New Roman" w:hAnsi="Times New Roman" w:eastAsia="仿宋_GB2312" w:cs="Times New Roman"/>
          <w:b w:val="0"/>
          <w:bCs/>
          <w:color w:val="000000"/>
          <w:sz w:val="32"/>
          <w:szCs w:val="32"/>
          <w:lang w:eastAsia="zh-CN"/>
        </w:rPr>
        <w:t>主要原因是</w:t>
      </w:r>
      <w:r>
        <w:rPr>
          <w:rFonts w:hint="default" w:ascii="Times New Roman" w:hAnsi="Times New Roman" w:eastAsia="仿宋_GB2312" w:cs="Times New Roman"/>
          <w:b w:val="0"/>
          <w:bCs/>
          <w:color w:val="000000"/>
          <w:sz w:val="32"/>
          <w:szCs w:val="32"/>
        </w:rPr>
        <w:t>采购只能在本级采购，将中心的公务车运行经费调至本级。</w:t>
      </w:r>
    </w:p>
    <w:p w14:paraId="1C9CE5D5">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_GB2312" w:cs="Times New Roman"/>
          <w:b w:val="0"/>
          <w:bCs/>
          <w:color w:val="000000"/>
          <w:sz w:val="32"/>
          <w:szCs w:val="32"/>
          <w:highlight w:val="none"/>
        </w:rPr>
      </w:pPr>
      <w:r>
        <w:rPr>
          <w:rFonts w:hint="default" w:ascii="Times New Roman" w:hAnsi="Times New Roman" w:eastAsia="仿宋_GB2312" w:cs="Times New Roman"/>
          <w:b w:val="0"/>
          <w:bCs/>
          <w:color w:val="000000"/>
          <w:sz w:val="32"/>
          <w:szCs w:val="32"/>
        </w:rPr>
        <w:t>其中：公务用车购置支出0万元。全年按规定更新购置公务用车0辆，其中：轿车0辆、金额0万元，越野车0辆、金额0万元，载客汽车0辆、金额0万元，主要用于</w:t>
      </w:r>
      <w:r>
        <w:rPr>
          <w:rFonts w:hint="eastAsia" w:ascii="Times New Roman" w:hAnsi="Times New Roman" w:eastAsia="仿宋_GB2312" w:cs="Times New Roman"/>
          <w:b w:val="0"/>
          <w:bCs/>
          <w:color w:val="000000"/>
          <w:sz w:val="32"/>
          <w:szCs w:val="32"/>
          <w:lang w:eastAsia="zh-CN"/>
        </w:rPr>
        <w:t>…</w:t>
      </w:r>
      <w:r>
        <w:rPr>
          <w:rFonts w:hint="default" w:ascii="Times New Roman" w:hAnsi="Times New Roman" w:eastAsia="仿宋_GB2312" w:cs="Times New Roman"/>
          <w:b w:val="0"/>
          <w:bCs/>
          <w:color w:val="000000"/>
          <w:sz w:val="32"/>
          <w:szCs w:val="32"/>
        </w:rPr>
        <w:t>截至2025年12月31日，单位共有公务用车4辆，其中：应急保障用车3辆、其他用车1辆。</w:t>
      </w:r>
    </w:p>
    <w:p w14:paraId="006FDC03">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_GB2312" w:cs="Times New Roman"/>
          <w:b w:val="0"/>
          <w:bCs/>
          <w:color w:val="000000"/>
          <w:sz w:val="32"/>
          <w:szCs w:val="32"/>
          <w:highlight w:val="none"/>
        </w:rPr>
      </w:pPr>
      <w:r>
        <w:rPr>
          <w:rFonts w:hint="default" w:ascii="Times New Roman" w:hAnsi="Times New Roman" w:eastAsia="仿宋_GB2312" w:cs="Times New Roman"/>
          <w:b w:val="0"/>
          <w:bCs/>
          <w:color w:val="000000"/>
          <w:sz w:val="32"/>
          <w:szCs w:val="32"/>
        </w:rPr>
        <w:t>公务用车运行维护费支出9.73万元。主要用于上县办公开会、下村开展工作等所需的公务用车燃料费、维修费、过路过桥费、保险费等支出。</w:t>
      </w:r>
    </w:p>
    <w:p w14:paraId="054BAB7D">
      <w:pPr>
        <w:pageBreakBefore w:val="0"/>
        <w:numPr>
          <w:ilvl w:val="0"/>
          <w:numId w:val="0"/>
        </w:numPr>
        <w:tabs>
          <w:tab w:val="left" w:pos="312"/>
        </w:tabs>
        <w:kinsoku/>
        <w:wordWrap/>
        <w:overflowPunct/>
        <w:topLinePunct w:val="0"/>
        <w:autoSpaceDN/>
        <w:bidi w:val="0"/>
        <w:adjustRightInd/>
        <w:spacing w:line="576" w:lineRule="exact"/>
        <w:ind w:firstLine="640" w:firstLineChars="200"/>
        <w:jc w:val="both"/>
        <w:textAlignment w:val="auto"/>
        <w:rPr>
          <w:rStyle w:val="21"/>
          <w:rFonts w:hint="default" w:ascii="Times New Roman" w:hAnsi="Times New Roman" w:eastAsia="仿宋_GB2312" w:cs="Times New Roman"/>
          <w:b w:val="0"/>
          <w:bCs/>
          <w:color w:val="000000"/>
          <w:sz w:val="32"/>
          <w:szCs w:val="32"/>
          <w:highlight w:val="none"/>
        </w:rPr>
      </w:pPr>
      <w:r>
        <w:rPr>
          <w:rFonts w:hint="default" w:ascii="Times New Roman" w:hAnsi="Times New Roman" w:eastAsia="仿宋_GB2312" w:cs="Times New Roman"/>
          <w:b w:val="0"/>
          <w:bCs/>
          <w:color w:val="000000"/>
          <w:sz w:val="32"/>
          <w:szCs w:val="32"/>
          <w:lang w:val="en-US" w:eastAsia="zh-CN"/>
        </w:rPr>
        <w:t>3.</w:t>
      </w:r>
      <w:r>
        <w:rPr>
          <w:rFonts w:hint="default" w:ascii="Times New Roman" w:hAnsi="Times New Roman" w:eastAsia="仿宋_GB2312" w:cs="Times New Roman"/>
          <w:b w:val="0"/>
          <w:bCs/>
          <w:color w:val="000000"/>
          <w:sz w:val="32"/>
          <w:szCs w:val="32"/>
        </w:rPr>
        <w:t>公务接待费支出</w:t>
      </w:r>
      <w:r>
        <w:rPr>
          <w:rFonts w:hint="default" w:ascii="Times New Roman" w:hAnsi="Times New Roman" w:eastAsia="仿宋_GB2312" w:cs="Times New Roman"/>
          <w:b w:val="0"/>
          <w:bCs/>
          <w:color w:val="000000"/>
          <w:sz w:val="32"/>
          <w:szCs w:val="32"/>
          <w:lang w:val="en-US" w:eastAsia="zh-CN"/>
        </w:rPr>
        <w:t>0</w:t>
      </w:r>
      <w:r>
        <w:rPr>
          <w:rFonts w:hint="default" w:ascii="Times New Roman" w:hAnsi="Times New Roman" w:eastAsia="仿宋_GB2312" w:cs="Times New Roman"/>
          <w:b w:val="0"/>
          <w:bCs/>
          <w:color w:val="000000"/>
          <w:sz w:val="32"/>
          <w:szCs w:val="32"/>
        </w:rPr>
        <w:t>万元，</w:t>
      </w:r>
      <w:r>
        <w:rPr>
          <w:rStyle w:val="21"/>
          <w:rFonts w:hint="default" w:ascii="Times New Roman" w:hAnsi="Times New Roman" w:eastAsia="仿宋_GB2312" w:cs="Times New Roman"/>
          <w:b w:val="0"/>
          <w:bCs/>
          <w:color w:val="000000"/>
          <w:sz w:val="32"/>
          <w:szCs w:val="32"/>
        </w:rPr>
        <w:t>完成预算</w:t>
      </w:r>
      <w:r>
        <w:rPr>
          <w:rStyle w:val="21"/>
          <w:rFonts w:hint="default" w:ascii="Times New Roman" w:hAnsi="Times New Roman" w:eastAsia="仿宋_GB2312" w:cs="Times New Roman"/>
          <w:b w:val="0"/>
          <w:bCs/>
          <w:color w:val="000000"/>
          <w:sz w:val="32"/>
          <w:szCs w:val="32"/>
          <w:lang w:val="en-US" w:eastAsia="zh-CN"/>
        </w:rPr>
        <w:t>0</w:t>
      </w:r>
      <w:r>
        <w:rPr>
          <w:rStyle w:val="21"/>
          <w:rFonts w:hint="default" w:ascii="Times New Roman" w:hAnsi="Times New Roman" w:eastAsia="仿宋_GB2312" w:cs="Times New Roman"/>
          <w:b w:val="0"/>
          <w:bCs/>
          <w:color w:val="000000"/>
          <w:sz w:val="32"/>
          <w:szCs w:val="32"/>
        </w:rPr>
        <w:t>%。</w:t>
      </w:r>
    </w:p>
    <w:p w14:paraId="736DB291">
      <w:pPr>
        <w:pageBreakBefore w:val="0"/>
        <w:numPr>
          <w:ilvl w:val="0"/>
          <w:numId w:val="0"/>
        </w:numPr>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_GB2312" w:cs="Times New Roman"/>
          <w:b w:val="0"/>
          <w:bCs/>
          <w:color w:val="000000"/>
          <w:sz w:val="32"/>
          <w:szCs w:val="32"/>
          <w:highlight w:val="none"/>
        </w:rPr>
      </w:pPr>
      <w:r>
        <w:rPr>
          <w:rFonts w:hint="default" w:ascii="Times New Roman" w:hAnsi="Times New Roman" w:eastAsia="仿宋_GB2312" w:cs="Times New Roman"/>
          <w:b w:val="0"/>
          <w:bCs/>
          <w:color w:val="000000"/>
          <w:sz w:val="32"/>
          <w:szCs w:val="32"/>
        </w:rPr>
        <w:t>国内公务接待支出</w:t>
      </w:r>
      <w:r>
        <w:rPr>
          <w:rFonts w:hint="default" w:ascii="Times New Roman" w:hAnsi="Times New Roman" w:eastAsia="仿宋_GB2312" w:cs="Times New Roman"/>
          <w:b w:val="0"/>
          <w:bCs/>
          <w:color w:val="000000"/>
          <w:sz w:val="32"/>
          <w:szCs w:val="32"/>
          <w:lang w:val="en-US" w:eastAsia="zh-CN"/>
        </w:rPr>
        <w:t>0</w:t>
      </w:r>
      <w:r>
        <w:rPr>
          <w:rFonts w:hint="default" w:ascii="Times New Roman" w:hAnsi="Times New Roman" w:eastAsia="仿宋_GB2312" w:cs="Times New Roman"/>
          <w:b w:val="0"/>
          <w:bCs/>
          <w:color w:val="000000"/>
          <w:sz w:val="32"/>
          <w:szCs w:val="32"/>
        </w:rPr>
        <w:t>万元，主要用于……</w:t>
      </w:r>
      <w:r>
        <w:rPr>
          <w:rFonts w:hint="default" w:ascii="Times New Roman" w:hAnsi="Times New Roman" w:eastAsia="仿宋_GB2312" w:cs="Times New Roman"/>
          <w:b w:val="0"/>
          <w:bCs/>
          <w:color w:val="000000"/>
          <w:sz w:val="32"/>
          <w:szCs w:val="32"/>
          <w:lang w:eastAsia="zh-CN"/>
        </w:rPr>
        <w:t>（</w:t>
      </w:r>
      <w:r>
        <w:rPr>
          <w:rFonts w:hint="default" w:ascii="Times New Roman" w:hAnsi="Times New Roman" w:eastAsia="仿宋_GB2312" w:cs="Times New Roman"/>
          <w:b w:val="0"/>
          <w:bCs/>
          <w:color w:val="000000"/>
          <w:sz w:val="32"/>
          <w:szCs w:val="32"/>
        </w:rPr>
        <w:t>执行公务、开展业务活动开支的交通费、住宿费、用餐费等</w:t>
      </w:r>
      <w:r>
        <w:rPr>
          <w:rFonts w:hint="default" w:ascii="Times New Roman" w:hAnsi="Times New Roman" w:eastAsia="仿宋_GB2312" w:cs="Times New Roman"/>
          <w:b w:val="0"/>
          <w:bCs/>
          <w:color w:val="000000"/>
          <w:sz w:val="32"/>
          <w:szCs w:val="32"/>
          <w:lang w:eastAsia="zh-CN"/>
        </w:rPr>
        <w:t>）</w:t>
      </w:r>
      <w:r>
        <w:rPr>
          <w:rFonts w:hint="default" w:ascii="Times New Roman" w:hAnsi="Times New Roman" w:eastAsia="仿宋_GB2312" w:cs="Times New Roman"/>
          <w:b w:val="0"/>
          <w:bCs/>
          <w:color w:val="000000"/>
          <w:sz w:val="32"/>
          <w:szCs w:val="32"/>
        </w:rPr>
        <w:t>。国内公务接待</w:t>
      </w:r>
      <w:r>
        <w:rPr>
          <w:rFonts w:hint="default" w:ascii="Times New Roman" w:hAnsi="Times New Roman" w:eastAsia="仿宋_GB2312" w:cs="Times New Roman"/>
          <w:b w:val="0"/>
          <w:bCs/>
          <w:color w:val="000000"/>
          <w:sz w:val="32"/>
          <w:szCs w:val="32"/>
          <w:lang w:val="en-US" w:eastAsia="zh-CN"/>
        </w:rPr>
        <w:t>0</w:t>
      </w:r>
      <w:r>
        <w:rPr>
          <w:rFonts w:hint="default" w:ascii="Times New Roman" w:hAnsi="Times New Roman" w:eastAsia="仿宋_GB2312" w:cs="Times New Roman"/>
          <w:b w:val="0"/>
          <w:bCs/>
          <w:color w:val="000000"/>
          <w:sz w:val="32"/>
          <w:szCs w:val="32"/>
        </w:rPr>
        <w:t>批次，</w:t>
      </w:r>
      <w:r>
        <w:rPr>
          <w:rFonts w:hint="default" w:ascii="Times New Roman" w:hAnsi="Times New Roman" w:eastAsia="仿宋_GB2312" w:cs="Times New Roman"/>
          <w:b w:val="0"/>
          <w:bCs/>
          <w:color w:val="000000"/>
          <w:sz w:val="32"/>
          <w:szCs w:val="32"/>
          <w:lang w:val="en-US" w:eastAsia="zh-CN"/>
        </w:rPr>
        <w:t>0</w:t>
      </w:r>
      <w:r>
        <w:rPr>
          <w:rFonts w:hint="default" w:ascii="Times New Roman" w:hAnsi="Times New Roman" w:eastAsia="仿宋_GB2312" w:cs="Times New Roman"/>
          <w:b w:val="0"/>
          <w:bCs/>
          <w:color w:val="000000"/>
          <w:sz w:val="32"/>
          <w:szCs w:val="32"/>
        </w:rPr>
        <w:t>人次（不包括陪同人员），共计支出</w:t>
      </w:r>
      <w:r>
        <w:rPr>
          <w:rFonts w:hint="default" w:ascii="Times New Roman" w:hAnsi="Times New Roman" w:eastAsia="仿宋_GB2312" w:cs="Times New Roman"/>
          <w:b w:val="0"/>
          <w:bCs/>
          <w:color w:val="000000"/>
          <w:sz w:val="32"/>
          <w:szCs w:val="32"/>
          <w:lang w:val="en-US" w:eastAsia="zh-CN"/>
        </w:rPr>
        <w:t>0</w:t>
      </w:r>
      <w:r>
        <w:rPr>
          <w:rFonts w:hint="default" w:ascii="Times New Roman" w:hAnsi="Times New Roman" w:eastAsia="仿宋_GB2312" w:cs="Times New Roman"/>
          <w:b w:val="0"/>
          <w:bCs/>
          <w:color w:val="000000"/>
          <w:sz w:val="32"/>
          <w:szCs w:val="32"/>
        </w:rPr>
        <w:t>万元，具体内容包括：…（接待具体项目、金额）。</w:t>
      </w:r>
    </w:p>
    <w:p w14:paraId="7463AF51">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黑体" w:cs="Times New Roman"/>
          <w:color w:val="000000"/>
          <w:sz w:val="32"/>
          <w:szCs w:val="32"/>
          <w:highlight w:val="none"/>
        </w:rPr>
      </w:pPr>
      <w:r>
        <w:rPr>
          <w:rFonts w:hint="default" w:ascii="Times New Roman" w:hAnsi="Times New Roman" w:eastAsia="仿宋_GB2312" w:cs="Times New Roman"/>
          <w:b w:val="0"/>
          <w:bCs/>
          <w:color w:val="000000"/>
          <w:sz w:val="32"/>
          <w:szCs w:val="32"/>
          <w:lang w:val="en-US" w:eastAsia="zh-CN"/>
        </w:rPr>
        <w:t>4.</w:t>
      </w:r>
      <w:r>
        <w:rPr>
          <w:rFonts w:hint="default" w:ascii="Times New Roman" w:hAnsi="Times New Roman" w:eastAsia="仿宋_GB2312" w:cs="Times New Roman"/>
          <w:b w:val="0"/>
          <w:bCs/>
          <w:color w:val="000000"/>
          <w:sz w:val="32"/>
          <w:szCs w:val="32"/>
        </w:rPr>
        <w:t>外事接待支出</w:t>
      </w:r>
      <w:r>
        <w:rPr>
          <w:rFonts w:hint="default" w:ascii="Times New Roman" w:hAnsi="Times New Roman" w:eastAsia="仿宋_GB2312" w:cs="Times New Roman"/>
          <w:b w:val="0"/>
          <w:bCs/>
          <w:color w:val="000000"/>
          <w:sz w:val="32"/>
          <w:szCs w:val="32"/>
          <w:lang w:val="en-US" w:eastAsia="zh-CN"/>
        </w:rPr>
        <w:t>0</w:t>
      </w:r>
      <w:r>
        <w:rPr>
          <w:rFonts w:hint="default" w:ascii="Times New Roman" w:hAnsi="Times New Roman" w:eastAsia="仿宋_GB2312" w:cs="Times New Roman"/>
          <w:b w:val="0"/>
          <w:bCs/>
          <w:color w:val="000000"/>
          <w:sz w:val="32"/>
          <w:szCs w:val="32"/>
        </w:rPr>
        <w:t>万元，主要用于接待…（具体项目）</w:t>
      </w:r>
      <w:r>
        <w:rPr>
          <w:rFonts w:hint="default" w:ascii="Times New Roman" w:hAnsi="Times New Roman" w:eastAsia="仿宋_GB2312" w:cs="Times New Roman"/>
          <w:b w:val="0"/>
          <w:bCs/>
          <w:color w:val="000000"/>
          <w:sz w:val="32"/>
          <w:szCs w:val="32"/>
          <w:lang w:eastAsia="zh-CN"/>
        </w:rPr>
        <w:t>。</w:t>
      </w:r>
      <w:r>
        <w:rPr>
          <w:rFonts w:hint="default" w:ascii="Times New Roman" w:hAnsi="Times New Roman" w:eastAsia="仿宋_GB2312" w:cs="Times New Roman"/>
          <w:b w:val="0"/>
          <w:bCs/>
          <w:color w:val="000000"/>
          <w:sz w:val="32"/>
          <w:szCs w:val="32"/>
        </w:rPr>
        <w:t>外事接待</w:t>
      </w:r>
      <w:r>
        <w:rPr>
          <w:rFonts w:hint="default" w:ascii="Times New Roman" w:hAnsi="Times New Roman" w:eastAsia="仿宋_GB2312" w:cs="Times New Roman"/>
          <w:b w:val="0"/>
          <w:bCs/>
          <w:color w:val="000000"/>
          <w:sz w:val="32"/>
          <w:szCs w:val="32"/>
          <w:lang w:val="en-US" w:eastAsia="zh-CN"/>
        </w:rPr>
        <w:t>0</w:t>
      </w:r>
      <w:r>
        <w:rPr>
          <w:rFonts w:hint="default" w:ascii="Times New Roman" w:hAnsi="Times New Roman" w:eastAsia="仿宋_GB2312" w:cs="Times New Roman"/>
          <w:b w:val="0"/>
          <w:bCs/>
          <w:color w:val="000000"/>
          <w:sz w:val="32"/>
          <w:szCs w:val="32"/>
        </w:rPr>
        <w:t>批次，</w:t>
      </w:r>
      <w:r>
        <w:rPr>
          <w:rFonts w:hint="default" w:ascii="Times New Roman" w:hAnsi="Times New Roman" w:eastAsia="仿宋_GB2312" w:cs="Times New Roman"/>
          <w:b w:val="0"/>
          <w:bCs/>
          <w:color w:val="000000"/>
          <w:sz w:val="32"/>
          <w:szCs w:val="32"/>
          <w:lang w:val="en-US" w:eastAsia="zh-CN"/>
        </w:rPr>
        <w:t>0</w:t>
      </w:r>
      <w:r>
        <w:rPr>
          <w:rFonts w:hint="default" w:ascii="Times New Roman" w:hAnsi="Times New Roman" w:eastAsia="仿宋_GB2312" w:cs="Times New Roman"/>
          <w:b w:val="0"/>
          <w:bCs/>
          <w:color w:val="000000"/>
          <w:sz w:val="32"/>
          <w:szCs w:val="32"/>
        </w:rPr>
        <w:t>人</w:t>
      </w:r>
      <w:r>
        <w:rPr>
          <w:rFonts w:hint="default" w:ascii="Times New Roman" w:hAnsi="Times New Roman" w:eastAsia="仿宋_GB2312" w:cs="Times New Roman"/>
          <w:b w:val="0"/>
          <w:bCs/>
          <w:color w:val="000000"/>
          <w:sz w:val="32"/>
          <w:szCs w:val="32"/>
          <w:lang w:eastAsia="zh-CN"/>
        </w:rPr>
        <w:t>次（不包括陪同人员）</w:t>
      </w:r>
      <w:r>
        <w:rPr>
          <w:rFonts w:hint="default" w:ascii="Times New Roman" w:hAnsi="Times New Roman" w:eastAsia="仿宋_GB2312" w:cs="Times New Roman"/>
          <w:b w:val="0"/>
          <w:bCs/>
          <w:color w:val="000000"/>
          <w:sz w:val="32"/>
          <w:szCs w:val="32"/>
        </w:rPr>
        <w:t>，共计支出</w:t>
      </w:r>
      <w:r>
        <w:rPr>
          <w:rFonts w:hint="default" w:ascii="Times New Roman" w:hAnsi="Times New Roman" w:eastAsia="仿宋_GB2312" w:cs="Times New Roman"/>
          <w:b w:val="0"/>
          <w:bCs/>
          <w:color w:val="000000"/>
          <w:sz w:val="32"/>
          <w:szCs w:val="32"/>
          <w:lang w:val="en-US" w:eastAsia="zh-CN"/>
        </w:rPr>
        <w:t>0</w:t>
      </w:r>
      <w:r>
        <w:rPr>
          <w:rFonts w:hint="default" w:ascii="Times New Roman" w:hAnsi="Times New Roman" w:eastAsia="仿宋_GB2312" w:cs="Times New Roman"/>
          <w:b w:val="0"/>
          <w:bCs/>
          <w:color w:val="000000"/>
          <w:sz w:val="32"/>
          <w:szCs w:val="32"/>
        </w:rPr>
        <w:t>万元。</w:t>
      </w:r>
    </w:p>
    <w:p w14:paraId="5D1ED9B4">
      <w:pPr>
        <w:pageBreakBefore w:val="0"/>
        <w:numPr>
          <w:ilvl w:val="0"/>
          <w:numId w:val="0"/>
        </w:numPr>
        <w:kinsoku/>
        <w:wordWrap/>
        <w:overflowPunct/>
        <w:topLinePunct w:val="0"/>
        <w:autoSpaceDN/>
        <w:bidi w:val="0"/>
        <w:adjustRightInd/>
        <w:spacing w:line="576" w:lineRule="exact"/>
        <w:ind w:firstLine="640" w:firstLineChars="200"/>
        <w:jc w:val="both"/>
        <w:textAlignment w:val="auto"/>
        <w:outlineLvl w:val="1"/>
        <w:rPr>
          <w:rStyle w:val="20"/>
          <w:rFonts w:hint="default" w:ascii="Times New Roman" w:hAnsi="Times New Roman" w:eastAsia="黑体" w:cs="Times New Roman"/>
          <w:color w:val="000000"/>
          <w:highlight w:val="none"/>
        </w:rPr>
      </w:pPr>
      <w:r>
        <w:rPr>
          <w:rFonts w:hint="default" w:ascii="Times New Roman" w:hAnsi="Times New Roman" w:eastAsia="黑体" w:cs="Times New Roman"/>
          <w:color w:val="000000"/>
          <w:sz w:val="32"/>
          <w:szCs w:val="32"/>
        </w:rPr>
        <w:t>八、</w:t>
      </w:r>
      <w:r>
        <w:rPr>
          <w:rStyle w:val="20"/>
          <w:rFonts w:hint="default" w:ascii="Times New Roman" w:hAnsi="Times New Roman" w:eastAsia="黑体" w:cs="Times New Roman"/>
          <w:b w:val="0"/>
          <w:color w:val="000000"/>
        </w:rPr>
        <w:t>政府性基金预算支出决算情况说明</w:t>
      </w:r>
    </w:p>
    <w:p w14:paraId="4A2AE133">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lang w:eastAsia="zh-CN"/>
        </w:rPr>
        <w:t>2025年度政府性基金预算财政拨款支出0万元。</w:t>
      </w:r>
    </w:p>
    <w:p w14:paraId="6ABBC3B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outlineLvl w:val="1"/>
        <w:rPr>
          <w:rStyle w:val="20"/>
          <w:rFonts w:hint="default" w:ascii="Times New Roman" w:hAnsi="Times New Roman" w:eastAsia="黑体" w:cs="Times New Roman"/>
          <w:b w:val="0"/>
          <w:color w:val="000000"/>
          <w:highlight w:val="none"/>
        </w:rPr>
      </w:pPr>
      <w:r>
        <w:rPr>
          <w:rStyle w:val="20"/>
          <w:rFonts w:hint="default" w:ascii="Times New Roman" w:hAnsi="Times New Roman" w:eastAsia="黑体" w:cs="Times New Roman"/>
          <w:b w:val="0"/>
          <w:color w:val="000000"/>
          <w:lang w:eastAsia="zh-CN"/>
        </w:rPr>
        <w:t>九、</w:t>
      </w:r>
      <w:r>
        <w:rPr>
          <w:rStyle w:val="20"/>
          <w:rFonts w:hint="default" w:ascii="Times New Roman" w:hAnsi="Times New Roman" w:eastAsia="黑体" w:cs="Times New Roman"/>
          <w:b w:val="0"/>
          <w:color w:val="000000"/>
        </w:rPr>
        <w:t>国有资本经营预算支出决算情况说明</w:t>
      </w:r>
    </w:p>
    <w:p w14:paraId="73EB80E2">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2025年度国有资本经营预算财政拨款支出0万元。</w:t>
      </w:r>
    </w:p>
    <w:p w14:paraId="702DDF7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outlineLvl w:val="1"/>
        <w:rPr>
          <w:rStyle w:val="20"/>
          <w:rFonts w:hint="default" w:ascii="Times New Roman" w:hAnsi="Times New Roman" w:eastAsia="黑体" w:cs="Times New Roman"/>
          <w:b w:val="0"/>
          <w:color w:val="000000"/>
          <w:highlight w:val="none"/>
        </w:rPr>
      </w:pPr>
      <w:r>
        <w:rPr>
          <w:rStyle w:val="20"/>
          <w:rFonts w:hint="default" w:ascii="Times New Roman" w:hAnsi="Times New Roman" w:eastAsia="黑体" w:cs="Times New Roman"/>
          <w:b w:val="0"/>
          <w:color w:val="000000"/>
          <w:lang w:eastAsia="zh-CN"/>
        </w:rPr>
        <w:t>十、</w:t>
      </w:r>
      <w:r>
        <w:rPr>
          <w:rStyle w:val="20"/>
          <w:rFonts w:hint="default" w:ascii="Times New Roman" w:hAnsi="Times New Roman" w:eastAsia="黑体" w:cs="Times New Roman"/>
          <w:b w:val="0"/>
          <w:color w:val="000000"/>
        </w:rPr>
        <w:t>其他重要事项的情况说明</w:t>
      </w:r>
    </w:p>
    <w:p w14:paraId="21EFC946">
      <w:pPr>
        <w:pageBreakBefore w:val="0"/>
        <w:numPr>
          <w:ilvl w:val="0"/>
          <w:numId w:val="0"/>
        </w:numPr>
        <w:kinsoku/>
        <w:wordWrap/>
        <w:overflowPunct/>
        <w:topLinePunct w:val="0"/>
        <w:autoSpaceDN/>
        <w:bidi w:val="0"/>
        <w:adjustRightInd/>
        <w:spacing w:line="576" w:lineRule="exact"/>
        <w:ind w:firstLine="643" w:firstLineChars="200"/>
        <w:jc w:val="both"/>
        <w:textAlignment w:val="auto"/>
        <w:outlineLvl w:val="2"/>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b/>
          <w:color w:val="000000"/>
          <w:sz w:val="32"/>
          <w:szCs w:val="32"/>
        </w:rPr>
        <w:t>（一）机关运行经费支出情况</w:t>
      </w:r>
    </w:p>
    <w:p w14:paraId="7B188563">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eastAsia="zh-CN"/>
        </w:rPr>
        <w:t>2025年度，小姓乡人民政府机关运行经费支出75.42万元，比2024年度增加55.56万元，增长279.79%。主要原因是2025年增加了福利费、追加了日常公用经费等。</w:t>
      </w:r>
    </w:p>
    <w:p w14:paraId="621DE566">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b/>
          <w:bCs/>
          <w:color w:val="000000"/>
          <w:sz w:val="32"/>
          <w:szCs w:val="32"/>
          <w:lang w:eastAsia="zh-CN"/>
        </w:rPr>
      </w:pPr>
      <w:r>
        <w:rPr>
          <w:rFonts w:hint="default" w:ascii="Times New Roman" w:hAnsi="Times New Roman" w:eastAsia="仿宋_GB2312" w:cs="Times New Roman"/>
          <w:b/>
          <w:bCs/>
          <w:color w:val="000000"/>
          <w:sz w:val="32"/>
          <w:szCs w:val="32"/>
          <w:lang w:eastAsia="zh-CN"/>
        </w:rPr>
        <w:t>（注：数据来源于财决附03表）</w:t>
      </w:r>
    </w:p>
    <w:p w14:paraId="69955176">
      <w:pPr>
        <w:pageBreakBefore w:val="0"/>
        <w:numPr>
          <w:ilvl w:val="0"/>
          <w:numId w:val="0"/>
        </w:numPr>
        <w:kinsoku/>
        <w:wordWrap/>
        <w:overflowPunct/>
        <w:topLinePunct w:val="0"/>
        <w:autoSpaceDE w:val="0"/>
        <w:autoSpaceDN/>
        <w:bidi w:val="0"/>
        <w:adjustRightInd/>
        <w:spacing w:line="576" w:lineRule="exact"/>
        <w:ind w:firstLine="643" w:firstLineChars="200"/>
        <w:jc w:val="both"/>
        <w:textAlignment w:val="auto"/>
        <w:outlineLvl w:val="2"/>
        <w:rPr>
          <w:rFonts w:hint="default" w:ascii="Times New Roman" w:hAnsi="Times New Roman" w:eastAsia="楷体_GB2312" w:cs="Times New Roman"/>
          <w:b/>
          <w:color w:val="000000"/>
          <w:sz w:val="32"/>
          <w:szCs w:val="32"/>
          <w:highlight w:val="none"/>
        </w:rPr>
      </w:pPr>
      <w:r>
        <w:rPr>
          <w:rFonts w:hint="default" w:ascii="Times New Roman" w:hAnsi="Times New Roman" w:eastAsia="楷体_GB2312" w:cs="Times New Roman"/>
          <w:b/>
          <w:color w:val="000000"/>
          <w:sz w:val="32"/>
          <w:szCs w:val="32"/>
        </w:rPr>
        <w:t>（二）政府采购支出情况</w:t>
      </w:r>
    </w:p>
    <w:p w14:paraId="5202B527">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lang w:eastAsia="zh-CN"/>
        </w:rPr>
        <w:t>2025年度，小姓乡人民政府采购支出总额1.74万元，其中：政府采购货物支出0万元、政府采购工程支出0万元、政府采购服务支出1.74万元。主要用于…（具体工作）。授予中小企业合同金额0万元，占政府采购支出总额的0%，其中：授予小微企业合同金额0万元，占政府采购支出总额的0%。</w:t>
      </w:r>
    </w:p>
    <w:p w14:paraId="231FB831">
      <w:pPr>
        <w:pageBreakBefore w:val="0"/>
        <w:kinsoku/>
        <w:wordWrap/>
        <w:overflowPunct/>
        <w:topLinePunct w:val="0"/>
        <w:autoSpaceDN/>
        <w:bidi w:val="0"/>
        <w:adjustRightInd/>
        <w:spacing w:line="576" w:lineRule="exact"/>
        <w:ind w:firstLine="643" w:firstLineChars="200"/>
        <w:jc w:val="both"/>
        <w:textAlignment w:val="auto"/>
        <w:rPr>
          <w:rFonts w:hint="default" w:ascii="Times New Roman" w:hAnsi="Times New Roman" w:eastAsia="仿宋_GB2312" w:cs="Times New Roman"/>
          <w:b/>
          <w:color w:val="000000"/>
          <w:sz w:val="32"/>
          <w:szCs w:val="32"/>
          <w:highlight w:val="none"/>
        </w:rPr>
      </w:pPr>
      <w:r>
        <w:rPr>
          <w:rFonts w:hint="default" w:ascii="Times New Roman" w:hAnsi="Times New Roman" w:eastAsia="仿宋_GB2312" w:cs="Times New Roman"/>
          <w:b/>
          <w:color w:val="000000"/>
          <w:sz w:val="32"/>
          <w:szCs w:val="32"/>
        </w:rPr>
        <w:t>（注：数据来源于财决附03表）</w:t>
      </w:r>
    </w:p>
    <w:p w14:paraId="08BD6628">
      <w:pPr>
        <w:pageBreakBefore w:val="0"/>
        <w:numPr>
          <w:ilvl w:val="0"/>
          <w:numId w:val="0"/>
        </w:numPr>
        <w:kinsoku/>
        <w:wordWrap/>
        <w:overflowPunct/>
        <w:topLinePunct w:val="0"/>
        <w:autoSpaceDE w:val="0"/>
        <w:autoSpaceDN/>
        <w:bidi w:val="0"/>
        <w:adjustRightInd/>
        <w:spacing w:line="576" w:lineRule="exact"/>
        <w:ind w:firstLine="643" w:firstLineChars="200"/>
        <w:jc w:val="both"/>
        <w:textAlignment w:val="auto"/>
        <w:outlineLvl w:val="2"/>
        <w:rPr>
          <w:rFonts w:hint="default" w:ascii="Times New Roman" w:hAnsi="Times New Roman" w:eastAsia="仿宋" w:cs="Times New Roman"/>
          <w:b/>
          <w:color w:val="000000"/>
          <w:sz w:val="32"/>
          <w:szCs w:val="32"/>
          <w:highlight w:val="none"/>
        </w:rPr>
      </w:pPr>
      <w:r>
        <w:rPr>
          <w:rFonts w:hint="default" w:ascii="Times New Roman" w:hAnsi="Times New Roman" w:eastAsia="楷体_GB2312" w:cs="Times New Roman"/>
          <w:b/>
          <w:color w:val="000000"/>
          <w:sz w:val="32"/>
          <w:szCs w:val="32"/>
        </w:rPr>
        <w:t>（三）国有资产占有使用情况</w:t>
      </w:r>
    </w:p>
    <w:p w14:paraId="7D22C37C">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截至2025年12月31日，阿坝州松潘县小姓乡人民政府共有车辆4辆，其中：主要领导干部用车0辆、机要通信用车0辆、应急保障用车3辆、其他用车1辆、单价100万元（含）以上设备（不含车辆）0台（套）。</w:t>
      </w:r>
    </w:p>
    <w:p w14:paraId="77D61543">
      <w:pPr>
        <w:pageBreakBefore w:val="0"/>
        <w:kinsoku/>
        <w:wordWrap/>
        <w:overflowPunct/>
        <w:topLinePunct w:val="0"/>
        <w:autoSpaceDE w:val="0"/>
        <w:autoSpaceDN/>
        <w:bidi w:val="0"/>
        <w:adjustRightInd/>
        <w:spacing w:line="576" w:lineRule="exact"/>
        <w:ind w:firstLine="643" w:firstLineChars="200"/>
        <w:jc w:val="both"/>
        <w:textAlignment w:val="auto"/>
        <w:rPr>
          <w:rFonts w:hint="default" w:ascii="Times New Roman" w:hAnsi="Times New Roman" w:eastAsia="仿宋_GB2312" w:cs="Times New Roman"/>
          <w:b/>
          <w:color w:val="000000"/>
          <w:sz w:val="32"/>
          <w:szCs w:val="32"/>
          <w:highlight w:val="none"/>
        </w:rPr>
      </w:pPr>
      <w:r>
        <w:rPr>
          <w:rFonts w:hint="default" w:ascii="Times New Roman" w:hAnsi="Times New Roman" w:eastAsia="仿宋_GB2312" w:cs="Times New Roman"/>
          <w:b/>
          <w:color w:val="000000"/>
          <w:sz w:val="32"/>
          <w:szCs w:val="32"/>
        </w:rPr>
        <w:t>（注：数据来源</w:t>
      </w:r>
      <w:r>
        <w:rPr>
          <w:rFonts w:hint="default" w:ascii="Times New Roman" w:hAnsi="Times New Roman" w:eastAsia="仿宋_GB2312" w:cs="Times New Roman"/>
          <w:b/>
          <w:color w:val="000000"/>
          <w:sz w:val="32"/>
          <w:szCs w:val="32"/>
          <w:lang w:eastAsia="zh-CN"/>
        </w:rPr>
        <w:t>于</w:t>
      </w:r>
      <w:r>
        <w:rPr>
          <w:rFonts w:hint="default" w:ascii="Times New Roman" w:hAnsi="Times New Roman" w:eastAsia="仿宋_GB2312" w:cs="Times New Roman"/>
          <w:b/>
          <w:color w:val="000000"/>
          <w:sz w:val="32"/>
          <w:szCs w:val="32"/>
        </w:rPr>
        <w:t>财决附03表，按</w:t>
      </w:r>
      <w:r>
        <w:rPr>
          <w:rFonts w:hint="default" w:ascii="Times New Roman" w:hAnsi="Times New Roman" w:eastAsia="仿宋_GB2312" w:cs="Times New Roman"/>
          <w:b/>
          <w:color w:val="000000"/>
          <w:sz w:val="32"/>
          <w:szCs w:val="32"/>
          <w:lang w:eastAsia="zh-CN"/>
        </w:rPr>
        <w:t>单位</w:t>
      </w:r>
      <w:r>
        <w:rPr>
          <w:rFonts w:hint="default" w:ascii="Times New Roman" w:hAnsi="Times New Roman" w:eastAsia="仿宋_GB2312" w:cs="Times New Roman"/>
          <w:b/>
          <w:color w:val="000000"/>
          <w:sz w:val="32"/>
          <w:szCs w:val="32"/>
        </w:rPr>
        <w:t>决算报表填报数据罗列车辆情况。）</w:t>
      </w:r>
    </w:p>
    <w:p w14:paraId="40FBCBA8">
      <w:pPr>
        <w:pageBreakBefore w:val="0"/>
        <w:numPr>
          <w:ilvl w:val="0"/>
          <w:numId w:val="0"/>
        </w:numPr>
        <w:kinsoku/>
        <w:wordWrap/>
        <w:overflowPunct/>
        <w:topLinePunct w:val="0"/>
        <w:autoSpaceDE w:val="0"/>
        <w:autoSpaceDN/>
        <w:bidi w:val="0"/>
        <w:adjustRightInd/>
        <w:spacing w:line="576" w:lineRule="exact"/>
        <w:ind w:firstLine="643" w:firstLineChars="200"/>
        <w:jc w:val="both"/>
        <w:textAlignment w:val="auto"/>
        <w:outlineLvl w:val="2"/>
        <w:rPr>
          <w:rFonts w:hint="default" w:ascii="Times New Roman" w:hAnsi="Times New Roman" w:eastAsia="楷体_GB2312" w:cs="Times New Roman"/>
          <w:b/>
          <w:color w:val="000000"/>
          <w:sz w:val="32"/>
          <w:szCs w:val="32"/>
          <w:highlight w:val="none"/>
          <w:lang w:eastAsia="zh-CN"/>
        </w:rPr>
      </w:pPr>
      <w:r>
        <w:rPr>
          <w:rFonts w:hint="default" w:ascii="Times New Roman" w:hAnsi="Times New Roman" w:eastAsia="楷体_GB2312" w:cs="Times New Roman"/>
          <w:b/>
          <w:color w:val="000000"/>
          <w:sz w:val="32"/>
          <w:szCs w:val="32"/>
        </w:rPr>
        <w:t>（四）预算绩效管理情况</w:t>
      </w:r>
    </w:p>
    <w:p w14:paraId="02D500BD">
      <w:pPr>
        <w:pageBreakBefore w:val="0"/>
        <w:kinsoku/>
        <w:wordWrap/>
        <w:overflowPunct/>
        <w:topLinePunct w:val="0"/>
        <w:autoSpaceDN/>
        <w:bidi w:val="0"/>
        <w:adjustRightInd/>
        <w:spacing w:line="576" w:lineRule="exact"/>
        <w:ind w:firstLine="640" w:firstLineChars="200"/>
        <w:jc w:val="both"/>
        <w:textAlignment w:val="auto"/>
        <w:rPr>
          <w:rFonts w:hint="default" w:ascii="Times New Roman" w:hAnsi="Times New Roman" w:eastAsia="仿宋" w:cs="Times New Roman"/>
          <w:color w:val="000000"/>
          <w:sz w:val="32"/>
          <w:szCs w:val="32"/>
          <w:highlight w:val="none"/>
          <w:lang w:val="en-US" w:eastAsia="zh-CN"/>
        </w:rPr>
        <w:sectPr>
          <w:footerReference r:id="rId3" w:type="default"/>
          <w:pgSz w:w="11906" w:h="16838"/>
          <w:pgMar w:top="1440" w:right="1800" w:bottom="1440" w:left="1800" w:header="0" w:footer="0" w:gutter="0"/>
          <w:pgNumType w:fmt="decimal"/>
          <w:cols w:space="720" w:num="1"/>
          <w:formProt w:val="0"/>
          <w:docGrid w:type="lines" w:linePitch="312" w:charSpace="0"/>
        </w:sectPr>
      </w:pPr>
      <w:r>
        <w:rPr>
          <w:rFonts w:hint="default" w:ascii="Times New Roman" w:hAnsi="Times New Roman" w:eastAsia="仿宋_GB2312" w:cs="Times New Roman"/>
          <w:color w:val="000000"/>
          <w:sz w:val="32"/>
          <w:szCs w:val="32"/>
          <w:lang w:eastAsia="zh-CN"/>
        </w:rPr>
        <w:t>根据预算绩效管理要求，本单位在2025年度预算编制阶段，组织对相关项目开展了预算事前绩效评估，编制了绩效目标</w:t>
      </w:r>
      <w:r>
        <w:rPr>
          <w:rFonts w:hint="eastAsia" w:ascii="Times New Roman" w:hAnsi="Times New Roman" w:eastAsia="仿宋_GB2312" w:cs="Times New Roman"/>
          <w:color w:val="000000"/>
          <w:sz w:val="32"/>
          <w:szCs w:val="32"/>
          <w:lang w:eastAsia="zh-CN"/>
        </w:rPr>
        <w:t>，在</w:t>
      </w:r>
      <w:r>
        <w:rPr>
          <w:rFonts w:hint="default" w:ascii="Times New Roman" w:hAnsi="Times New Roman" w:eastAsia="仿宋_GB2312" w:cs="Times New Roman"/>
          <w:color w:val="000000"/>
          <w:sz w:val="32"/>
          <w:szCs w:val="32"/>
          <w:lang w:eastAsia="zh-CN"/>
        </w:rPr>
        <w:t>预算执行过程中选取项目开展绩效监控，组织项目开展绩效自评，绩效自评表详见第四部分附件。</w:t>
      </w:r>
    </w:p>
    <w:p w14:paraId="12654605">
      <w:pPr>
        <w:numPr>
          <w:ilvl w:val="0"/>
          <w:numId w:val="0"/>
        </w:numPr>
        <w:spacing w:line="600" w:lineRule="exact"/>
        <w:ind w:left="0" w:firstLine="0"/>
        <w:jc w:val="center"/>
        <w:outlineLvl w:val="0"/>
        <w:rPr>
          <w:rStyle w:val="19"/>
          <w:rFonts w:hint="default" w:ascii="Times New Roman" w:hAnsi="Times New Roman" w:eastAsia="黑体" w:cs="Times New Roman"/>
          <w:b w:val="0"/>
          <w:color w:val="000000"/>
          <w:highlight w:val="none"/>
        </w:rPr>
      </w:pPr>
      <w:r>
        <w:rPr>
          <w:rFonts w:hint="default" w:ascii="Times New Roman" w:hAnsi="Times New Roman" w:eastAsia="黑体" w:cs="Times New Roman"/>
          <w:color w:val="000000"/>
          <w:sz w:val="44"/>
          <w:szCs w:val="44"/>
          <w:lang w:eastAsia="zh-CN"/>
        </w:rPr>
        <w:t>第三部分</w:t>
      </w:r>
      <w:r>
        <w:rPr>
          <w:rFonts w:hint="default" w:ascii="Times New Roman" w:hAnsi="Times New Roman" w:eastAsia="黑体" w:cs="Times New Roman"/>
          <w:color w:val="000000"/>
          <w:sz w:val="44"/>
          <w:szCs w:val="44"/>
          <w:lang w:val="en-US" w:eastAsia="zh-CN"/>
        </w:rPr>
        <w:t xml:space="preserve">  </w:t>
      </w:r>
      <w:r>
        <w:rPr>
          <w:rFonts w:hint="default" w:ascii="Times New Roman" w:hAnsi="Times New Roman" w:eastAsia="黑体" w:cs="Times New Roman"/>
          <w:color w:val="000000"/>
          <w:sz w:val="44"/>
          <w:szCs w:val="44"/>
        </w:rPr>
        <w:t>名</w:t>
      </w:r>
      <w:r>
        <w:rPr>
          <w:rStyle w:val="19"/>
          <w:rFonts w:hint="default" w:ascii="Times New Roman" w:hAnsi="Times New Roman" w:eastAsia="黑体" w:cs="Times New Roman"/>
          <w:b w:val="0"/>
          <w:color w:val="000000"/>
        </w:rPr>
        <w:t>词解释</w:t>
      </w:r>
    </w:p>
    <w:p w14:paraId="1F814B58">
      <w:pPr>
        <w:spacing w:line="600" w:lineRule="exact"/>
        <w:jc w:val="left"/>
        <w:rPr>
          <w:rStyle w:val="19"/>
          <w:rFonts w:hint="default" w:ascii="Times New Roman" w:hAnsi="Times New Roman" w:eastAsia="黑体" w:cs="Times New Roman"/>
          <w:b/>
          <w:color w:val="000000"/>
          <w:sz w:val="44"/>
          <w:szCs w:val="44"/>
          <w:highlight w:val="none"/>
        </w:rPr>
      </w:pPr>
    </w:p>
    <w:p w14:paraId="7A060DE3">
      <w:pPr>
        <w:pStyle w:val="27"/>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rPr>
        <w:t>1.财政拨款收入：</w:t>
      </w:r>
      <w:r>
        <w:rPr>
          <w:rFonts w:hint="default" w:ascii="Times New Roman" w:hAnsi="Times New Roman" w:eastAsia="仿宋_GB2312" w:cs="Times New Roman"/>
          <w:color w:val="000000"/>
          <w:sz w:val="32"/>
          <w:szCs w:val="32"/>
        </w:rPr>
        <w:t>指单位从同级财政部门取得的财政预算资金。</w:t>
      </w:r>
    </w:p>
    <w:p w14:paraId="7460CD68">
      <w:pPr>
        <w:pStyle w:val="27"/>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rPr>
        <w:t>2.事业收入：</w:t>
      </w:r>
      <w:r>
        <w:rPr>
          <w:rFonts w:hint="default" w:ascii="Times New Roman" w:hAnsi="Times New Roman" w:eastAsia="仿宋_GB2312" w:cs="Times New Roman"/>
          <w:color w:val="000000"/>
          <w:sz w:val="32"/>
          <w:szCs w:val="32"/>
        </w:rPr>
        <w:t>指事业单位开展专业业务活动及辅助活动取得的收入。</w:t>
      </w:r>
    </w:p>
    <w:p w14:paraId="4707C9A8">
      <w:pPr>
        <w:pStyle w:val="27"/>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rPr>
        <w:t>3.经营收入：</w:t>
      </w:r>
      <w:r>
        <w:rPr>
          <w:rFonts w:hint="default" w:ascii="Times New Roman" w:hAnsi="Times New Roman" w:eastAsia="仿宋_GB2312" w:cs="Times New Roman"/>
          <w:color w:val="000000"/>
          <w:sz w:val="32"/>
          <w:szCs w:val="32"/>
        </w:rPr>
        <w:t>指事业单位在专业业务活动及其辅助活动之外开展非独立核算经营活动取得的收入。</w:t>
      </w:r>
    </w:p>
    <w:p w14:paraId="355A23EA">
      <w:pPr>
        <w:pStyle w:val="27"/>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rPr>
        <w:t>4.其他收入：</w:t>
      </w:r>
      <w:r>
        <w:rPr>
          <w:rFonts w:hint="default" w:ascii="Times New Roman" w:hAnsi="Times New Roman" w:eastAsia="仿宋_GB2312" w:cs="Times New Roman"/>
          <w:color w:val="000000"/>
          <w:sz w:val="32"/>
          <w:szCs w:val="32"/>
        </w:rPr>
        <w:t xml:space="preserve">指单位取得的除上述收入以外的各项收入。 </w:t>
      </w:r>
    </w:p>
    <w:p w14:paraId="78FAFDB9">
      <w:pPr>
        <w:pStyle w:val="27"/>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rPr>
        <w:t>5.</w:t>
      </w:r>
      <w:r>
        <w:rPr>
          <w:rFonts w:hint="default" w:ascii="Times New Roman" w:hAnsi="Times New Roman" w:eastAsia="仿宋_GB2312" w:cs="Times New Roman"/>
          <w:b/>
          <w:bCs/>
          <w:color w:val="000000"/>
          <w:sz w:val="32"/>
          <w:szCs w:val="32"/>
          <w:lang w:eastAsia="zh-CN"/>
        </w:rPr>
        <w:t>使用非财政拨款结余（含专用结余）</w:t>
      </w:r>
      <w:r>
        <w:rPr>
          <w:rFonts w:hint="default" w:ascii="Times New Roman" w:hAnsi="Times New Roman" w:eastAsia="仿宋_GB2312" w:cs="Times New Roman"/>
          <w:b/>
          <w:bCs/>
          <w:color w:val="000000"/>
          <w:sz w:val="32"/>
          <w:szCs w:val="32"/>
        </w:rPr>
        <w:t>：</w:t>
      </w:r>
      <w:r>
        <w:rPr>
          <w:rFonts w:hint="default" w:ascii="Times New Roman" w:hAnsi="Times New Roman" w:eastAsia="仿宋_GB2312" w:cs="Times New Roman"/>
          <w:color w:val="000000"/>
          <w:sz w:val="32"/>
          <w:szCs w:val="32"/>
        </w:rPr>
        <w:t>指事业单位</w:t>
      </w:r>
      <w:r>
        <w:rPr>
          <w:rFonts w:hint="default" w:ascii="Times New Roman" w:hAnsi="Times New Roman" w:eastAsia="仿宋_GB2312" w:cs="Times New Roman"/>
          <w:color w:val="000000"/>
          <w:sz w:val="32"/>
          <w:szCs w:val="32"/>
          <w:lang w:eastAsia="zh-CN"/>
        </w:rPr>
        <w:t>使用以前年度积累的非财政拨款结余弥补当年收支差额的金额。</w:t>
      </w:r>
      <w:r>
        <w:rPr>
          <w:rFonts w:hint="default" w:ascii="Times New Roman" w:hAnsi="Times New Roman" w:eastAsia="仿宋_GB2312" w:cs="Times New Roman"/>
          <w:color w:val="000000"/>
          <w:sz w:val="32"/>
          <w:szCs w:val="32"/>
        </w:rPr>
        <w:t xml:space="preserve"> </w:t>
      </w:r>
    </w:p>
    <w:p w14:paraId="210314D0">
      <w:pPr>
        <w:pStyle w:val="27"/>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rPr>
        <w:t>6.年初结转和结余：</w:t>
      </w:r>
      <w:r>
        <w:rPr>
          <w:rFonts w:hint="default" w:ascii="Times New Roman" w:hAnsi="Times New Roman" w:eastAsia="仿宋_GB2312" w:cs="Times New Roman"/>
          <w:color w:val="000000"/>
          <w:sz w:val="32"/>
          <w:szCs w:val="32"/>
        </w:rPr>
        <w:t xml:space="preserve">指以前年度尚未完成、结转到本年按有关规定继续使用的资金。 </w:t>
      </w:r>
    </w:p>
    <w:p w14:paraId="220FBDDD">
      <w:pPr>
        <w:pStyle w:val="27"/>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rPr>
        <w:t>7.结余分配：</w:t>
      </w:r>
      <w:r>
        <w:rPr>
          <w:rFonts w:hint="default" w:ascii="Times New Roman" w:hAnsi="Times New Roman" w:eastAsia="仿宋_GB2312" w:cs="Times New Roman"/>
          <w:color w:val="000000"/>
          <w:sz w:val="32"/>
          <w:szCs w:val="32"/>
        </w:rPr>
        <w:t>指事业单位按照会计制度规定</w:t>
      </w:r>
      <w:r>
        <w:rPr>
          <w:rFonts w:hint="default" w:ascii="Times New Roman" w:hAnsi="Times New Roman" w:eastAsia="仿宋_GB2312" w:cs="Times New Roman"/>
          <w:color w:val="000000"/>
          <w:sz w:val="32"/>
          <w:szCs w:val="32"/>
          <w:lang w:eastAsia="zh-CN"/>
        </w:rPr>
        <w:t>缴纳的所得税、提取的专用结余以及转入非财政拨款结余的金额</w:t>
      </w:r>
      <w:r>
        <w:rPr>
          <w:rFonts w:hint="default" w:ascii="Times New Roman" w:hAnsi="Times New Roman" w:eastAsia="仿宋_GB2312" w:cs="Times New Roman"/>
          <w:color w:val="000000"/>
          <w:sz w:val="32"/>
          <w:szCs w:val="32"/>
        </w:rPr>
        <w:t>等。</w:t>
      </w:r>
    </w:p>
    <w:p w14:paraId="37A977E1">
      <w:pPr>
        <w:pStyle w:val="27"/>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rPr>
        <w:t>8</w:t>
      </w:r>
      <w:r>
        <w:rPr>
          <w:rFonts w:hint="default" w:ascii="Times New Roman" w:hAnsi="Times New Roman" w:eastAsia="仿宋_GB2312" w:cs="Times New Roman"/>
          <w:b/>
          <w:bCs/>
          <w:color w:val="000000"/>
          <w:sz w:val="32"/>
          <w:szCs w:val="32"/>
          <w:lang w:val="en-US" w:eastAsia="zh-CN"/>
        </w:rPr>
        <w:t>.</w:t>
      </w:r>
      <w:r>
        <w:rPr>
          <w:rFonts w:hint="default" w:ascii="Times New Roman" w:hAnsi="Times New Roman" w:eastAsia="仿宋_GB2312" w:cs="Times New Roman"/>
          <w:b/>
          <w:bCs/>
          <w:color w:val="000000"/>
          <w:sz w:val="32"/>
          <w:szCs w:val="32"/>
        </w:rPr>
        <w:t>年末结转和结余：</w:t>
      </w:r>
      <w:r>
        <w:rPr>
          <w:rFonts w:hint="default" w:ascii="Times New Roman" w:hAnsi="Times New Roman" w:eastAsia="仿宋_GB2312" w:cs="Times New Roman"/>
          <w:color w:val="000000"/>
          <w:sz w:val="32"/>
          <w:szCs w:val="32"/>
        </w:rPr>
        <w:t>指单位按有关规定结转到下年或以后年度继续使用的资金。</w:t>
      </w:r>
    </w:p>
    <w:p w14:paraId="7BB3B7BC">
      <w:pPr>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kern w:val="0"/>
          <w:sz w:val="32"/>
          <w:szCs w:val="32"/>
          <w:lang w:val="en-US" w:eastAsia="zh-CN" w:bidi="ar-SA"/>
        </w:rPr>
        <w:t>9</w:t>
      </w:r>
      <w:r>
        <w:rPr>
          <w:rFonts w:hint="default" w:ascii="Times New Roman" w:hAnsi="Times New Roman" w:eastAsia="仿宋_GB2312" w:cs="Times New Roman"/>
          <w:b/>
          <w:bCs/>
          <w:color w:val="000000"/>
          <w:w w:val="90"/>
          <w:kern w:val="0"/>
          <w:sz w:val="32"/>
          <w:szCs w:val="32"/>
          <w:lang w:val="en-US" w:eastAsia="zh-CN" w:bidi="ar-SA"/>
        </w:rPr>
        <w:t>.社会保障和就业支出（208）行政事业单位养老支出（20805）机关事业单位基本养老保险缴费支出（2080505）：</w:t>
      </w:r>
      <w:r>
        <w:rPr>
          <w:rFonts w:hint="default" w:ascii="Times New Roman" w:hAnsi="Times New Roman" w:eastAsia="仿宋_GB2312" w:cs="Times New Roman"/>
          <w:color w:val="000000"/>
          <w:sz w:val="32"/>
          <w:szCs w:val="32"/>
        </w:rPr>
        <w:t>反映机关事业单位实施养老保险制度由单位缴纳的基本养老保险费支出。</w:t>
      </w:r>
    </w:p>
    <w:p w14:paraId="745B4219">
      <w:pPr>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sz w:val="32"/>
          <w:szCs w:val="32"/>
        </w:rPr>
        <w:t>10.</w:t>
      </w:r>
      <w:r>
        <w:rPr>
          <w:rFonts w:hint="default" w:ascii="Times New Roman" w:hAnsi="Times New Roman" w:eastAsia="仿宋_GB2312" w:cs="Times New Roman"/>
          <w:b/>
          <w:bCs/>
          <w:color w:val="000000"/>
          <w:w w:val="90"/>
          <w:sz w:val="32"/>
          <w:szCs w:val="32"/>
        </w:rPr>
        <w:t>社会保障和就业支出（208）行政事业单位养老支出（20805）机关事业单位职业年金缴费支出（2080506）</w:t>
      </w:r>
      <w:r>
        <w:rPr>
          <w:rFonts w:hint="default" w:ascii="Times New Roman" w:hAnsi="Times New Roman" w:eastAsia="仿宋_GB2312" w:cs="Times New Roman"/>
          <w:b/>
          <w:bCs/>
          <w:color w:val="000000"/>
          <w:sz w:val="32"/>
          <w:szCs w:val="32"/>
        </w:rPr>
        <w:t>：</w:t>
      </w:r>
      <w:r>
        <w:rPr>
          <w:rFonts w:hint="default" w:ascii="Times New Roman" w:hAnsi="Times New Roman" w:eastAsia="仿宋_GB2312" w:cs="Times New Roman"/>
          <w:color w:val="000000"/>
          <w:sz w:val="32"/>
          <w:szCs w:val="32"/>
        </w:rPr>
        <w:t>反映机关事业单位实施养老保险制度由单位实际缴纳的职业年金支出。</w:t>
      </w:r>
    </w:p>
    <w:p w14:paraId="07FC3425">
      <w:pPr>
        <w:keepNext w:val="0"/>
        <w:keepLines w:val="0"/>
        <w:pageBreakBefore w:val="0"/>
        <w:widowControl w:val="0"/>
        <w:kinsoku/>
        <w:wordWrap/>
        <w:overflowPunct/>
        <w:topLinePunct w:val="0"/>
        <w:autoSpaceDN/>
        <w:bidi w:val="0"/>
        <w:adjustRightInd/>
        <w:snapToGrid/>
        <w:spacing w:line="576" w:lineRule="exact"/>
        <w:ind w:firstLine="579"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w w:val="90"/>
          <w:sz w:val="32"/>
          <w:szCs w:val="32"/>
        </w:rPr>
        <w:t>11.卫生健康支出（210）事业单位医疗（21011）行政单位医疗（210110</w:t>
      </w:r>
      <w:r>
        <w:rPr>
          <w:rFonts w:hint="default" w:ascii="Times New Roman" w:hAnsi="Times New Roman" w:eastAsia="仿宋_GB2312" w:cs="Times New Roman"/>
          <w:b/>
          <w:bCs/>
          <w:color w:val="000000"/>
          <w:w w:val="90"/>
          <w:sz w:val="32"/>
          <w:szCs w:val="32"/>
          <w:lang w:val="en-US" w:eastAsia="zh-CN"/>
        </w:rPr>
        <w:t>2</w:t>
      </w:r>
      <w:r>
        <w:rPr>
          <w:rFonts w:hint="default" w:ascii="Times New Roman" w:hAnsi="Times New Roman" w:eastAsia="仿宋_GB2312" w:cs="Times New Roman"/>
          <w:b/>
          <w:bCs/>
          <w:color w:val="000000"/>
          <w:w w:val="90"/>
          <w:sz w:val="32"/>
          <w:szCs w:val="32"/>
        </w:rPr>
        <w:t>）：</w:t>
      </w:r>
      <w:r>
        <w:rPr>
          <w:rFonts w:hint="default" w:ascii="Times New Roman" w:hAnsi="Times New Roman" w:eastAsia="仿宋_GB2312" w:cs="Times New Roman"/>
          <w:color w:val="000000"/>
          <w:sz w:val="32"/>
          <w:szCs w:val="32"/>
        </w:rPr>
        <w:t>反映财政部门安排的行政单位（包括实行公务员管理的事业单位，下同）基本医疗保险缴费经费，未参加医疗保险的行政单位的公费医疗经费，按国家规定享受离休人员、红军老战士待遇人员的医疗经费。</w:t>
      </w:r>
    </w:p>
    <w:p w14:paraId="6A91C9C8">
      <w:pPr>
        <w:keepNext w:val="0"/>
        <w:keepLines w:val="0"/>
        <w:pageBreakBefore w:val="0"/>
        <w:widowControl w:val="0"/>
        <w:kinsoku/>
        <w:wordWrap/>
        <w:overflowPunct/>
        <w:topLinePunct w:val="0"/>
        <w:autoSpaceDN/>
        <w:bidi w:val="0"/>
        <w:adjustRightInd/>
        <w:snapToGrid/>
        <w:spacing w:line="576" w:lineRule="exact"/>
        <w:ind w:firstLine="579"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w w:val="90"/>
          <w:sz w:val="32"/>
          <w:szCs w:val="32"/>
        </w:rPr>
        <w:t>12.卫生健康支出（210）行政事业单位医疗（21011）公务员医疗补助（2101103）：</w:t>
      </w:r>
      <w:r>
        <w:rPr>
          <w:rFonts w:hint="default" w:ascii="Times New Roman" w:hAnsi="Times New Roman" w:eastAsia="仿宋_GB2312" w:cs="Times New Roman"/>
          <w:color w:val="000000"/>
          <w:sz w:val="32"/>
          <w:szCs w:val="32"/>
        </w:rPr>
        <w:t>反映财政部门安排的公务员医疗补助经费。</w:t>
      </w:r>
    </w:p>
    <w:p w14:paraId="55242315">
      <w:pPr>
        <w:keepNext w:val="0"/>
        <w:keepLines w:val="0"/>
        <w:pageBreakBefore w:val="0"/>
        <w:widowControl w:val="0"/>
        <w:kinsoku/>
        <w:wordWrap/>
        <w:overflowPunct/>
        <w:topLinePunct w:val="0"/>
        <w:autoSpaceDN/>
        <w:bidi w:val="0"/>
        <w:adjustRightInd/>
        <w:snapToGrid/>
        <w:spacing w:line="576" w:lineRule="exact"/>
        <w:ind w:firstLine="579"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w w:val="90"/>
          <w:sz w:val="32"/>
          <w:szCs w:val="32"/>
        </w:rPr>
        <w:t>1</w:t>
      </w:r>
      <w:r>
        <w:rPr>
          <w:rFonts w:hint="default" w:ascii="Times New Roman" w:hAnsi="Times New Roman" w:eastAsia="仿宋_GB2312" w:cs="Times New Roman"/>
          <w:b/>
          <w:bCs/>
          <w:color w:val="000000"/>
          <w:w w:val="90"/>
          <w:sz w:val="32"/>
          <w:szCs w:val="32"/>
          <w:lang w:val="en-US" w:eastAsia="zh-CN"/>
        </w:rPr>
        <w:t>3</w:t>
      </w:r>
      <w:r>
        <w:rPr>
          <w:rFonts w:hint="default" w:ascii="Times New Roman" w:hAnsi="Times New Roman" w:eastAsia="仿宋_GB2312" w:cs="Times New Roman"/>
          <w:b/>
          <w:bCs/>
          <w:color w:val="000000"/>
          <w:w w:val="90"/>
          <w:sz w:val="32"/>
          <w:szCs w:val="32"/>
        </w:rPr>
        <w:t>.住房保障支出（221）住房改革支出（22102）住房公积金（2210201）：</w:t>
      </w:r>
      <w:r>
        <w:rPr>
          <w:rFonts w:hint="default" w:ascii="Times New Roman" w:hAnsi="Times New Roman" w:eastAsia="仿宋_GB2312" w:cs="Times New Roman"/>
          <w:color w:val="000000"/>
          <w:sz w:val="32"/>
          <w:szCs w:val="32"/>
        </w:rPr>
        <w:t>反映行政事业单位按人力资源和社会保障部、财政部规定的基本工资和津贴补贴以及规定比例为职工缴纳的住房公积金。</w:t>
      </w:r>
    </w:p>
    <w:p w14:paraId="72B3172F">
      <w:pPr>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000000"/>
          <w:sz w:val="32"/>
          <w:szCs w:val="32"/>
        </w:rPr>
        <w:t>1</w:t>
      </w:r>
      <w:r>
        <w:rPr>
          <w:rFonts w:hint="default" w:ascii="Times New Roman" w:hAnsi="Times New Roman" w:eastAsia="仿宋_GB2312" w:cs="Times New Roman"/>
          <w:b/>
          <w:bCs/>
          <w:color w:val="000000"/>
          <w:sz w:val="32"/>
          <w:szCs w:val="32"/>
          <w:lang w:val="en-US" w:eastAsia="zh-CN"/>
        </w:rPr>
        <w:t>4</w:t>
      </w:r>
      <w:r>
        <w:rPr>
          <w:rFonts w:hint="default" w:ascii="Times New Roman" w:hAnsi="Times New Roman" w:eastAsia="仿宋_GB2312" w:cs="Times New Roman"/>
          <w:b/>
          <w:bCs/>
          <w:color w:val="000000"/>
          <w:sz w:val="32"/>
          <w:szCs w:val="32"/>
        </w:rPr>
        <w:t>.灾害防治及应急管理支出（224）应急管理事务（22401）行政运行（22401</w:t>
      </w:r>
      <w:r>
        <w:rPr>
          <w:rFonts w:hint="default" w:ascii="Times New Roman" w:hAnsi="Times New Roman" w:eastAsia="仿宋_GB2312" w:cs="Times New Roman"/>
          <w:b/>
          <w:bCs/>
          <w:color w:val="000000"/>
          <w:sz w:val="32"/>
          <w:szCs w:val="32"/>
          <w:lang w:val="en-US" w:eastAsia="zh-CN"/>
        </w:rPr>
        <w:t>50</w:t>
      </w:r>
      <w:r>
        <w:rPr>
          <w:rFonts w:hint="default" w:ascii="Times New Roman" w:hAnsi="Times New Roman" w:eastAsia="仿宋_GB2312" w:cs="Times New Roman"/>
          <w:b/>
          <w:bCs/>
          <w:color w:val="000000"/>
          <w:sz w:val="32"/>
          <w:szCs w:val="32"/>
        </w:rPr>
        <w:t>）：</w:t>
      </w:r>
      <w:r>
        <w:rPr>
          <w:rFonts w:hint="default" w:ascii="Times New Roman" w:hAnsi="Times New Roman" w:eastAsia="仿宋_GB2312" w:cs="Times New Roman"/>
          <w:color w:val="000000"/>
          <w:sz w:val="32"/>
          <w:szCs w:val="32"/>
        </w:rPr>
        <w:t>反映</w:t>
      </w:r>
      <w:r>
        <w:rPr>
          <w:rFonts w:hint="default" w:ascii="Times New Roman" w:hAnsi="Times New Roman" w:eastAsia="仿宋_GB2312" w:cs="Times New Roman"/>
          <w:color w:val="000000"/>
          <w:sz w:val="32"/>
          <w:szCs w:val="32"/>
          <w:lang w:val="en-US" w:eastAsia="zh-CN"/>
        </w:rPr>
        <w:t>事业</w:t>
      </w:r>
      <w:r>
        <w:rPr>
          <w:rFonts w:hint="default" w:ascii="Times New Roman" w:hAnsi="Times New Roman" w:eastAsia="仿宋_GB2312" w:cs="Times New Roman"/>
          <w:color w:val="000000"/>
          <w:sz w:val="32"/>
          <w:szCs w:val="32"/>
        </w:rPr>
        <w:t>单位的基本支出。</w:t>
      </w:r>
    </w:p>
    <w:p w14:paraId="503B893B">
      <w:pPr>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b/>
          <w:color w:val="000000"/>
          <w:sz w:val="32"/>
          <w:szCs w:val="32"/>
          <w:highlight w:val="none"/>
        </w:rPr>
      </w:pPr>
      <w:r>
        <w:rPr>
          <w:rFonts w:hint="default" w:ascii="Times New Roman" w:hAnsi="Times New Roman" w:eastAsia="仿宋_GB2312" w:cs="Times New Roman"/>
          <w:b/>
          <w:color w:val="000000"/>
          <w:sz w:val="32"/>
          <w:szCs w:val="32"/>
        </w:rPr>
        <w:t>（解释本单位决算报表中涉及的全部功能分类科目至项级，不涉及的科目请自行删除。请参照《2025年政府收支分类科目》增减内容。）</w:t>
      </w:r>
    </w:p>
    <w:p w14:paraId="1F7AB880">
      <w:pPr>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lang w:val="en-US" w:eastAsia="zh-CN"/>
        </w:rPr>
        <w:t>15</w:t>
      </w:r>
      <w:r>
        <w:rPr>
          <w:rFonts w:hint="default" w:ascii="Times New Roman" w:hAnsi="Times New Roman" w:eastAsia="仿宋_GB2312" w:cs="Times New Roman"/>
          <w:b/>
          <w:bCs/>
          <w:color w:val="000000"/>
          <w:sz w:val="32"/>
          <w:szCs w:val="32"/>
        </w:rPr>
        <w:t>.基本支出：</w:t>
      </w:r>
      <w:r>
        <w:rPr>
          <w:rFonts w:hint="default" w:ascii="Times New Roman" w:hAnsi="Times New Roman" w:eastAsia="仿宋_GB2312" w:cs="Times New Roman"/>
          <w:color w:val="000000"/>
          <w:sz w:val="32"/>
          <w:szCs w:val="32"/>
        </w:rPr>
        <w:t>指为保障机构正常运转、完成日常工作任务而发生的人员支出和公用支出。</w:t>
      </w:r>
    </w:p>
    <w:p w14:paraId="532CB20C">
      <w:pPr>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lang w:val="en-US" w:eastAsia="zh-CN"/>
        </w:rPr>
        <w:t>16.项目支出：</w:t>
      </w:r>
      <w:r>
        <w:rPr>
          <w:rFonts w:hint="default" w:ascii="Times New Roman" w:hAnsi="Times New Roman" w:eastAsia="仿宋_GB2312" w:cs="Times New Roman"/>
          <w:color w:val="000000"/>
          <w:sz w:val="32"/>
          <w:szCs w:val="32"/>
        </w:rPr>
        <w:t xml:space="preserve">指在基本支出之外为完成特定行政任务和事业发展目标所发生的支出。 </w:t>
      </w:r>
    </w:p>
    <w:p w14:paraId="79A11052">
      <w:pPr>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lang w:val="en-US" w:eastAsia="zh-CN"/>
        </w:rPr>
        <w:t>17</w:t>
      </w:r>
      <w:r>
        <w:rPr>
          <w:rFonts w:hint="default" w:ascii="Times New Roman" w:hAnsi="Times New Roman" w:eastAsia="仿宋_GB2312" w:cs="Times New Roman"/>
          <w:b/>
          <w:bCs/>
          <w:color w:val="000000"/>
          <w:sz w:val="32"/>
          <w:szCs w:val="32"/>
        </w:rPr>
        <w:t>.经营支出：</w:t>
      </w:r>
      <w:r>
        <w:rPr>
          <w:rFonts w:hint="default" w:ascii="Times New Roman" w:hAnsi="Times New Roman" w:eastAsia="仿宋_GB2312" w:cs="Times New Roman"/>
          <w:color w:val="000000"/>
          <w:sz w:val="32"/>
          <w:szCs w:val="32"/>
        </w:rPr>
        <w:t>指事业单位在专业业务活动及其辅助活动之外开展非独立核算经营活动发生的支出。</w:t>
      </w:r>
    </w:p>
    <w:p w14:paraId="1C733690">
      <w:pPr>
        <w:pStyle w:val="27"/>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lang w:val="en-US" w:eastAsia="zh-CN"/>
        </w:rPr>
        <w:t>18.</w:t>
      </w:r>
      <w:r>
        <w:rPr>
          <w:rFonts w:hint="eastAsia" w:ascii="Times New Roman" w:hAnsi="Times New Roman" w:eastAsia="仿宋_GB2312" w:cs="Times New Roman"/>
          <w:b/>
          <w:bCs/>
          <w:color w:val="000000"/>
          <w:sz w:val="32"/>
          <w:szCs w:val="32"/>
          <w:lang w:eastAsia="zh-CN"/>
        </w:rPr>
        <w:t>“</w:t>
      </w:r>
      <w:r>
        <w:rPr>
          <w:rFonts w:hint="default" w:ascii="Times New Roman" w:hAnsi="Times New Roman" w:eastAsia="仿宋_GB2312" w:cs="Times New Roman"/>
          <w:b/>
          <w:bCs/>
          <w:color w:val="000000"/>
          <w:sz w:val="32"/>
          <w:szCs w:val="32"/>
        </w:rPr>
        <w:t>三公</w:t>
      </w:r>
      <w:r>
        <w:rPr>
          <w:rFonts w:hint="eastAsia" w:ascii="Times New Roman" w:hAnsi="Times New Roman" w:eastAsia="仿宋_GB2312" w:cs="Times New Roman"/>
          <w:b/>
          <w:bCs/>
          <w:color w:val="000000"/>
          <w:sz w:val="32"/>
          <w:szCs w:val="32"/>
          <w:lang w:eastAsia="zh-CN"/>
        </w:rPr>
        <w:t>”</w:t>
      </w:r>
      <w:r>
        <w:rPr>
          <w:rFonts w:hint="default" w:ascii="Times New Roman" w:hAnsi="Times New Roman" w:eastAsia="仿宋_GB2312" w:cs="Times New Roman"/>
          <w:b/>
          <w:bCs/>
          <w:color w:val="000000"/>
          <w:sz w:val="32"/>
          <w:szCs w:val="32"/>
        </w:rPr>
        <w:t>经费：</w:t>
      </w:r>
      <w:r>
        <w:rPr>
          <w:rFonts w:hint="default" w:ascii="Times New Roman" w:hAnsi="Times New Roman" w:eastAsia="仿宋_GB2312" w:cs="Times New Roman"/>
          <w:color w:val="000000"/>
          <w:sz w:val="32"/>
          <w:szCs w:val="32"/>
        </w:rPr>
        <w:t>指</w:t>
      </w:r>
      <w:r>
        <w:rPr>
          <w:rFonts w:hint="default" w:ascii="Times New Roman" w:hAnsi="Times New Roman" w:eastAsia="仿宋_GB2312" w:cs="Times New Roman"/>
          <w:color w:val="000000"/>
          <w:sz w:val="32"/>
          <w:szCs w:val="32"/>
          <w:lang w:eastAsia="zh-CN"/>
        </w:rPr>
        <w:t>单位</w:t>
      </w:r>
      <w:r>
        <w:rPr>
          <w:rFonts w:hint="default" w:ascii="Times New Roman" w:hAnsi="Times New Roman" w:eastAsia="仿宋_GB2312" w:cs="Times New Roman"/>
          <w:color w:val="00000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C143869">
      <w:pPr>
        <w:pStyle w:val="27"/>
        <w:keepNext w:val="0"/>
        <w:keepLines w:val="0"/>
        <w:pageBreakBefore w:val="0"/>
        <w:widowControl w:val="0"/>
        <w:kinsoku/>
        <w:wordWrap/>
        <w:overflowPunct/>
        <w:topLinePunct w:val="0"/>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lang w:val="en-US" w:eastAsia="zh-CN"/>
        </w:rPr>
        <w:t>19</w:t>
      </w:r>
      <w:r>
        <w:rPr>
          <w:rFonts w:hint="default" w:ascii="Times New Roman" w:hAnsi="Times New Roman" w:eastAsia="仿宋_GB2312" w:cs="Times New Roman"/>
          <w:b/>
          <w:bCs/>
          <w:color w:val="000000"/>
          <w:sz w:val="32"/>
          <w:szCs w:val="32"/>
        </w:rPr>
        <w:t>.机关运行经费：</w:t>
      </w:r>
      <w:r>
        <w:rPr>
          <w:rFonts w:hint="default" w:ascii="Times New Roman" w:hAnsi="Times New Roman" w:eastAsia="仿宋_GB2312" w:cs="Times New Roman"/>
          <w:color w:val="000000"/>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59F755F">
      <w:pPr>
        <w:ind w:firstLine="643"/>
        <w:rPr>
          <w:rFonts w:hint="default" w:ascii="Times New Roman" w:hAnsi="Times New Roman" w:eastAsia="仿宋_GB2312" w:cs="Times New Roman"/>
          <w:b/>
          <w:color w:val="000000"/>
          <w:sz w:val="32"/>
          <w:szCs w:val="32"/>
        </w:rPr>
        <w:sectPr>
          <w:pgSz w:w="11906" w:h="16838"/>
          <w:pgMar w:top="2098" w:right="1134" w:bottom="1984" w:left="1587" w:header="0" w:footer="0" w:gutter="0"/>
          <w:pgNumType w:fmt="decimal"/>
          <w:cols w:space="720" w:num="1"/>
          <w:formProt w:val="0"/>
          <w:docGrid w:type="lines" w:linePitch="312" w:charSpace="0"/>
        </w:sectPr>
      </w:pPr>
      <w:r>
        <w:rPr>
          <w:rFonts w:hint="default" w:ascii="Times New Roman" w:hAnsi="Times New Roman" w:eastAsia="仿宋_GB2312" w:cs="Times New Roman"/>
          <w:b/>
          <w:color w:val="000000"/>
          <w:sz w:val="32"/>
          <w:szCs w:val="32"/>
        </w:rPr>
        <w:t>名词解释部分请根据各</w:t>
      </w:r>
      <w:r>
        <w:rPr>
          <w:rFonts w:hint="default" w:ascii="Times New Roman" w:hAnsi="Times New Roman" w:eastAsia="仿宋_GB2312" w:cs="Times New Roman"/>
          <w:b/>
          <w:color w:val="000000"/>
          <w:sz w:val="32"/>
          <w:szCs w:val="32"/>
          <w:lang w:eastAsia="zh-CN"/>
        </w:rPr>
        <w:t>单位</w:t>
      </w:r>
      <w:r>
        <w:rPr>
          <w:rFonts w:hint="default" w:ascii="Times New Roman" w:hAnsi="Times New Roman" w:eastAsia="仿宋_GB2312" w:cs="Times New Roman"/>
          <w:b/>
          <w:color w:val="000000"/>
          <w:sz w:val="32"/>
          <w:szCs w:val="32"/>
        </w:rPr>
        <w:t>实际列支情况罗列，并根据本</w:t>
      </w:r>
      <w:r>
        <w:rPr>
          <w:rFonts w:hint="default" w:ascii="Times New Roman" w:hAnsi="Times New Roman" w:eastAsia="仿宋_GB2312" w:cs="Times New Roman"/>
          <w:b/>
          <w:color w:val="000000"/>
          <w:sz w:val="32"/>
          <w:szCs w:val="32"/>
          <w:lang w:eastAsia="zh-CN"/>
        </w:rPr>
        <w:t>单位</w:t>
      </w:r>
      <w:r>
        <w:rPr>
          <w:rFonts w:hint="default" w:ascii="Times New Roman" w:hAnsi="Times New Roman" w:eastAsia="仿宋_GB2312" w:cs="Times New Roman"/>
          <w:b/>
          <w:color w:val="000000"/>
          <w:sz w:val="32"/>
          <w:szCs w:val="32"/>
        </w:rPr>
        <w:t>职责职能增减名词解释内容。</w:t>
      </w:r>
    </w:p>
    <w:p w14:paraId="1515B204">
      <w:pPr>
        <w:jc w:val="center"/>
        <w:rPr>
          <w:rStyle w:val="19"/>
          <w:rFonts w:hint="default" w:ascii="Times New Roman" w:hAnsi="Times New Roman" w:eastAsia="黑体" w:cs="Times New Roman"/>
          <w:b w:val="0"/>
          <w:color w:val="000000"/>
          <w:highlight w:val="none"/>
        </w:rPr>
      </w:pPr>
      <w:r>
        <w:rPr>
          <w:rFonts w:hint="default" w:ascii="Times New Roman" w:hAnsi="Times New Roman" w:eastAsia="黑体" w:cs="Times New Roman"/>
          <w:color w:val="000000"/>
          <w:sz w:val="44"/>
          <w:szCs w:val="44"/>
        </w:rPr>
        <w:t>第</w:t>
      </w:r>
      <w:r>
        <w:rPr>
          <w:rStyle w:val="19"/>
          <w:rFonts w:hint="default" w:ascii="Times New Roman" w:hAnsi="Times New Roman" w:eastAsia="黑体" w:cs="Times New Roman"/>
          <w:b w:val="0"/>
          <w:color w:val="000000"/>
        </w:rPr>
        <w:t>四部分 附件</w:t>
      </w:r>
    </w:p>
    <w:p w14:paraId="00CE3201">
      <w:pPr>
        <w:numPr>
          <w:ilvl w:val="0"/>
          <w:numId w:val="0"/>
        </w:numPr>
        <w:spacing w:line="600" w:lineRule="exact"/>
        <w:jc w:val="center"/>
        <w:outlineLvl w:val="0"/>
        <w:rPr>
          <w:rFonts w:hint="default" w:ascii="Times New Roman" w:hAnsi="Times New Roman" w:eastAsia="楷体_GB2312" w:cs="Times New Roman"/>
          <w:color w:val="FF0000"/>
          <w:sz w:val="32"/>
          <w:szCs w:val="32"/>
          <w:highlight w:val="none"/>
        </w:rPr>
      </w:pPr>
      <w:r>
        <w:rPr>
          <w:rFonts w:hint="default" w:ascii="Times New Roman" w:hAnsi="Times New Roman" w:eastAsia="楷体_GB2312" w:cs="Times New Roman"/>
          <w:sz w:val="32"/>
          <w:szCs w:val="32"/>
          <w:lang w:val="en-US" w:eastAsia="zh-CN"/>
        </w:rPr>
        <w:t>部门预算项目支出绩效自评表（2025年度）</w:t>
      </w:r>
    </w:p>
    <w:p w14:paraId="6D4D4CDF">
      <w:pPr>
        <w:pStyle w:val="13"/>
        <w:keepNext w:val="0"/>
        <w:keepLines w:val="0"/>
        <w:pageBreakBefore w:val="0"/>
        <w:numPr>
          <w:ilvl w:val="0"/>
          <w:numId w:val="0"/>
        </w:numPr>
        <w:kinsoku/>
        <w:overflowPunct/>
        <w:autoSpaceDE/>
        <w:bidi w:val="0"/>
        <w:spacing w:line="560" w:lineRule="exact"/>
        <w:ind w:left="0" w:firstLine="640"/>
        <w:textAlignment w:val="auto"/>
        <w:rPr>
          <w:rFonts w:hint="default" w:ascii="Times New Roman" w:hAnsi="Times New Roman" w:eastAsia="黑体" w:cs="Times New Roman"/>
          <w:color w:val="FF0000"/>
          <w:sz w:val="32"/>
          <w:szCs w:val="32"/>
          <w:highlight w:val="none"/>
          <w:lang w:val="en-US" w:eastAsia="zh-CN"/>
        </w:rPr>
      </w:pPr>
    </w:p>
    <w:p w14:paraId="378EF289">
      <w:pPr>
        <w:pStyle w:val="13"/>
        <w:keepNext w:val="0"/>
        <w:keepLines w:val="0"/>
        <w:pageBreakBefore w:val="0"/>
        <w:numPr>
          <w:ilvl w:val="0"/>
          <w:numId w:val="0"/>
        </w:numPr>
        <w:kinsoku/>
        <w:overflowPunct/>
        <w:autoSpaceDE/>
        <w:bidi w:val="0"/>
        <w:spacing w:line="560" w:lineRule="exact"/>
        <w:ind w:left="0" w:firstLine="640"/>
        <w:textAlignment w:val="auto"/>
        <w:rPr>
          <w:rStyle w:val="19"/>
          <w:rFonts w:hint="default" w:ascii="Times New Roman" w:hAnsi="Times New Roman" w:eastAsia="仿宋" w:cs="Times New Roman"/>
          <w:b w:val="0"/>
          <w:color w:val="000000"/>
          <w:sz w:val="32"/>
          <w:szCs w:val="32"/>
          <w:highlight w:val="none"/>
        </w:rPr>
      </w:pPr>
      <w:r>
        <w:rPr>
          <w:rFonts w:hint="default" w:ascii="Times New Roman" w:hAnsi="Times New Roman" w:eastAsia="仿宋_GB2312" w:cs="Times New Roman"/>
          <w:color w:val="000000"/>
          <w:sz w:val="32"/>
          <w:szCs w:val="32"/>
          <w:lang w:val="zh-CN" w:eastAsia="zh-CN" w:bidi="ar-SA"/>
        </w:rPr>
        <w:t>（备注：按照绩效自评工作安排，各单位可在预算管理一体化系统—综合报表查询—预算绩效报表模块中下载本单位</w:t>
      </w:r>
      <w:r>
        <w:rPr>
          <w:rFonts w:hint="eastAsia" w:ascii="Times New Roman" w:hAnsi="Times New Roman" w:eastAsia="仿宋_GB2312" w:cs="Times New Roman"/>
          <w:color w:val="000000"/>
          <w:sz w:val="32"/>
          <w:szCs w:val="32"/>
          <w:lang w:val="zh-CN" w:eastAsia="zh-CN" w:bidi="ar-SA"/>
        </w:rPr>
        <w:t>“</w:t>
      </w:r>
      <w:r>
        <w:rPr>
          <w:rFonts w:hint="default" w:ascii="Times New Roman" w:hAnsi="Times New Roman" w:eastAsia="仿宋_GB2312" w:cs="Times New Roman"/>
          <w:color w:val="000000"/>
          <w:sz w:val="32"/>
          <w:szCs w:val="32"/>
          <w:lang w:val="zh-CN" w:eastAsia="zh-CN" w:bidi="ar-SA"/>
        </w:rPr>
        <w:t>部门预算项目支出绩效自评表（2025年度）</w:t>
      </w:r>
      <w:r>
        <w:rPr>
          <w:rFonts w:hint="eastAsia" w:ascii="Times New Roman" w:hAnsi="Times New Roman" w:eastAsia="仿宋_GB2312" w:cs="Times New Roman"/>
          <w:color w:val="000000"/>
          <w:sz w:val="32"/>
          <w:szCs w:val="32"/>
          <w:lang w:val="zh-CN" w:eastAsia="zh-CN" w:bidi="ar-SA"/>
        </w:rPr>
        <w:t>”</w:t>
      </w:r>
      <w:r>
        <w:rPr>
          <w:rFonts w:hint="default" w:ascii="Times New Roman" w:hAnsi="Times New Roman" w:eastAsia="仿宋_GB2312" w:cs="Times New Roman"/>
          <w:color w:val="000000"/>
          <w:sz w:val="32"/>
          <w:szCs w:val="32"/>
          <w:lang w:val="zh-CN" w:eastAsia="zh-CN" w:bidi="ar-SA"/>
        </w:rPr>
        <w:t>，该表格应作为附件予以公开。）</w:t>
      </w:r>
    </w:p>
    <w:tbl>
      <w:tblPr>
        <w:tblStyle w:val="15"/>
        <w:tblW w:w="96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98"/>
        <w:gridCol w:w="1172"/>
        <w:gridCol w:w="1106"/>
        <w:gridCol w:w="1604"/>
        <w:gridCol w:w="434"/>
        <w:gridCol w:w="966"/>
        <w:gridCol w:w="434"/>
        <w:gridCol w:w="916"/>
        <w:gridCol w:w="486"/>
        <w:gridCol w:w="406"/>
        <w:gridCol w:w="1516"/>
      </w:tblGrid>
      <w:tr w14:paraId="53B37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jc w:val="center"/>
        </w:trPr>
        <w:tc>
          <w:tcPr>
            <w:tcW w:w="1020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6F69F1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2249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1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23C7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31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D493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51322421Y000000233582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村级经费</w:t>
            </w:r>
          </w:p>
        </w:tc>
      </w:tr>
      <w:tr w14:paraId="332C9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4CA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8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05A0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松潘县小姓乡人民政府</w:t>
            </w:r>
          </w:p>
        </w:tc>
        <w:tc>
          <w:tcPr>
            <w:tcW w:w="930" w:type="dxa"/>
            <w:tcBorders>
              <w:top w:val="nil"/>
              <w:left w:val="nil"/>
              <w:bottom w:val="nil"/>
              <w:right w:val="nil"/>
            </w:tcBorders>
            <w:shd w:val="clear" w:color="auto" w:fill="auto"/>
            <w:vAlign w:val="center"/>
          </w:tcPr>
          <w:p w14:paraId="7AC2A2CD">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5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337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松潘县小姓乡人民政府</w:t>
            </w:r>
          </w:p>
        </w:tc>
      </w:tr>
      <w:tr w14:paraId="3D656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8628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C7C5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8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C53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4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DFA42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0AEC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1A3BE">
            <w:pPr>
              <w:rPr>
                <w:rFonts w:hint="eastAsia" w:ascii="宋体" w:hAnsi="宋体" w:eastAsia="宋体" w:cs="宋体"/>
                <w:i w:val="0"/>
                <w:iCs w:val="0"/>
                <w:color w:val="000000"/>
                <w:sz w:val="18"/>
                <w:szCs w:val="18"/>
                <w:u w:val="none"/>
              </w:rPr>
            </w:pPr>
          </w:p>
        </w:tc>
        <w:tc>
          <w:tcPr>
            <w:tcW w:w="12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21031">
            <w:pPr>
              <w:rPr>
                <w:rFonts w:hint="eastAsia" w:ascii="宋体" w:hAnsi="宋体" w:eastAsia="宋体" w:cs="宋体"/>
                <w:i w:val="0"/>
                <w:iCs w:val="0"/>
                <w:color w:val="000000"/>
                <w:sz w:val="18"/>
                <w:szCs w:val="18"/>
                <w:u w:val="none"/>
              </w:rPr>
            </w:pPr>
          </w:p>
        </w:tc>
        <w:tc>
          <w:tcPr>
            <w:tcW w:w="48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EC34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依据村实际情况选取实施，符合村上发展需求，解决了环境脏乱差、农田小水利设施和村庄道路维修、文化基础设施没有充分发挥作用等问题，加快公共服务</w:t>
            </w:r>
            <w:r>
              <w:rPr>
                <w:rFonts w:hint="eastAsia" w:ascii="宋体" w:hAnsi="宋体" w:eastAsia="宋体" w:cs="宋体"/>
                <w:i w:val="0"/>
                <w:iCs w:val="0"/>
                <w:color w:val="000000"/>
                <w:kern w:val="0"/>
                <w:sz w:val="18"/>
                <w:szCs w:val="18"/>
                <w:u w:val="none"/>
                <w:lang w:val="en-US" w:eastAsia="zh-CN" w:bidi="ar"/>
              </w:rPr>
              <w:t>基础设施建设</w:t>
            </w:r>
            <w:r>
              <w:rPr>
                <w:rFonts w:ascii="宋体" w:hAnsi="宋体" w:eastAsia="宋体" w:cs="宋体"/>
                <w:i w:val="0"/>
                <w:iCs w:val="0"/>
                <w:color w:val="000000"/>
                <w:kern w:val="0"/>
                <w:sz w:val="18"/>
                <w:szCs w:val="18"/>
                <w:u w:val="none"/>
                <w:lang w:val="en-US" w:eastAsia="zh-CN" w:bidi="ar"/>
              </w:rPr>
              <w:t>，改善生产生活条件，保证基础设施持续有效发挥服务功能</w:t>
            </w:r>
          </w:p>
        </w:tc>
        <w:tc>
          <w:tcPr>
            <w:tcW w:w="34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4EE34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解决了环境脏乱差、农田水利设施和村庄道路维修、文化基础设施没有充分发挥作用等问题，加快公共服务基础设施建设，改善生产生活条件，保证基础设施持续有效发挥服务功能。</w:t>
            </w:r>
          </w:p>
        </w:tc>
      </w:tr>
      <w:tr w14:paraId="4DB14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jc w:val="center"/>
        </w:trPr>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0C97C">
            <w:pP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0E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31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E609CB">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实现</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三个建立</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建立促进村民生、方便村民生活的村级公共服务运行维护体系；建立保障有力、满足村级公共服务运行维护需要，以公共财政投入为主，村集体投入和社会资本多元参与的资金保障机制；建立村民民主参与、民主议事、民主决策、民主监督村级公共运行维护管理机制。</w:t>
            </w:r>
          </w:p>
        </w:tc>
      </w:tr>
      <w:tr w14:paraId="139B6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6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E2E4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5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39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3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E39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5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7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05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594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11E6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4CD88">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03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B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12.50</w:t>
            </w:r>
          </w:p>
        </w:tc>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9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74.85</w:t>
            </w:r>
          </w:p>
        </w:tc>
        <w:tc>
          <w:tcPr>
            <w:tcW w:w="1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935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74.85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3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EB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07CC8">
            <w:pPr>
              <w:jc w:val="center"/>
              <w:rPr>
                <w:rFonts w:hint="eastAsia" w:ascii="宋体" w:hAnsi="宋体" w:eastAsia="宋体" w:cs="宋体"/>
                <w:i w:val="0"/>
                <w:iCs w:val="0"/>
                <w:color w:val="000000"/>
                <w:sz w:val="18"/>
                <w:szCs w:val="18"/>
                <w:u w:val="none"/>
              </w:rPr>
            </w:pPr>
          </w:p>
        </w:tc>
        <w:tc>
          <w:tcPr>
            <w:tcW w:w="1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E489D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945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jc w:val="center"/>
        </w:trPr>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8647F">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7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02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12.50</w:t>
            </w:r>
          </w:p>
        </w:tc>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08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74.85</w:t>
            </w:r>
          </w:p>
        </w:tc>
        <w:tc>
          <w:tcPr>
            <w:tcW w:w="1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A79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74.85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5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B5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42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CA822">
            <w:pPr>
              <w:rPr>
                <w:rFonts w:hint="eastAsia" w:ascii="黑体" w:hAnsi="黑体" w:eastAsia="黑体" w:cs="黑体"/>
                <w:i/>
                <w:iCs/>
                <w:color w:val="000000"/>
                <w:sz w:val="18"/>
                <w:szCs w:val="18"/>
                <w:u w:val="none"/>
              </w:rPr>
            </w:pPr>
          </w:p>
        </w:tc>
      </w:tr>
      <w:tr w14:paraId="215D5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1EC32">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11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A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75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4CE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3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BB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A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718B1">
            <w:pPr>
              <w:rPr>
                <w:rFonts w:hint="eastAsia" w:ascii="黑体" w:hAnsi="黑体" w:eastAsia="黑体" w:cs="黑体"/>
                <w:i/>
                <w:iCs/>
                <w:color w:val="000000"/>
                <w:sz w:val="18"/>
                <w:szCs w:val="18"/>
                <w:u w:val="none"/>
              </w:rPr>
            </w:pPr>
          </w:p>
        </w:tc>
      </w:tr>
      <w:tr w14:paraId="1DA19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1BB59">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4C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66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8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F2E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B9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3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A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66898">
            <w:pPr>
              <w:rPr>
                <w:rFonts w:hint="eastAsia" w:ascii="黑体" w:hAnsi="黑体" w:eastAsia="黑体" w:cs="黑体"/>
                <w:i/>
                <w:iCs/>
                <w:color w:val="000000"/>
                <w:sz w:val="18"/>
                <w:szCs w:val="18"/>
                <w:u w:val="none"/>
              </w:rPr>
            </w:pPr>
          </w:p>
        </w:tc>
      </w:tr>
      <w:tr w14:paraId="4C14A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C5064">
            <w:pPr>
              <w:jc w:val="center"/>
              <w:rPr>
                <w:rFonts w:hint="eastAsia" w:ascii="宋体" w:hAnsi="宋体" w:eastAsia="宋体" w:cs="宋体"/>
                <w:i w:val="0"/>
                <w:iCs w:val="0"/>
                <w:color w:val="000000"/>
                <w:sz w:val="18"/>
                <w:szCs w:val="18"/>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8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B1B5">
            <w:pPr>
              <w:jc w:val="center"/>
              <w:rPr>
                <w:rFonts w:hint="eastAsia" w:ascii="微软雅黑" w:hAnsi="微软雅黑" w:eastAsia="微软雅黑" w:cs="微软雅黑"/>
                <w:i/>
                <w:iCs/>
                <w:color w:val="000000"/>
                <w:sz w:val="16"/>
                <w:szCs w:val="16"/>
                <w:u w:val="none"/>
              </w:rPr>
            </w:pPr>
          </w:p>
        </w:tc>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3453">
            <w:pPr>
              <w:jc w:val="center"/>
              <w:rPr>
                <w:rFonts w:hint="eastAsia" w:ascii="微软雅黑" w:hAnsi="微软雅黑" w:eastAsia="微软雅黑" w:cs="微软雅黑"/>
                <w:i/>
                <w:iCs/>
                <w:color w:val="000000"/>
                <w:sz w:val="16"/>
                <w:szCs w:val="16"/>
                <w:u w:val="none"/>
              </w:rPr>
            </w:pPr>
          </w:p>
        </w:tc>
        <w:tc>
          <w:tcPr>
            <w:tcW w:w="19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EE117">
            <w:pPr>
              <w:jc w:val="center"/>
              <w:rPr>
                <w:rFonts w:hint="eastAsia" w:ascii="微软雅黑" w:hAnsi="微软雅黑" w:eastAsia="微软雅黑" w:cs="微软雅黑"/>
                <w:i/>
                <w:iCs/>
                <w:color w:val="000000"/>
                <w:sz w:val="16"/>
                <w:szCs w:val="16"/>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D1CD">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67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F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878C0">
            <w:pPr>
              <w:rPr>
                <w:rFonts w:hint="eastAsia" w:ascii="黑体" w:hAnsi="黑体" w:eastAsia="黑体" w:cs="黑体"/>
                <w:i/>
                <w:iCs/>
                <w:color w:val="000000"/>
                <w:sz w:val="18"/>
                <w:szCs w:val="18"/>
                <w:u w:val="none"/>
              </w:rPr>
            </w:pPr>
          </w:p>
        </w:tc>
      </w:tr>
      <w:tr w14:paraId="3DEDA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6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999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8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F7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8A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7D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04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BE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5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5E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7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B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E0C7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64F5E">
            <w:pPr>
              <w:jc w:val="center"/>
              <w:rPr>
                <w:rFonts w:hint="eastAsia" w:ascii="宋体" w:hAnsi="宋体" w:eastAsia="宋体" w:cs="宋体"/>
                <w:i w:val="0"/>
                <w:iCs w:val="0"/>
                <w:color w:val="000000"/>
                <w:sz w:val="18"/>
                <w:szCs w:val="18"/>
                <w:u w:val="none"/>
              </w:rPr>
            </w:pPr>
          </w:p>
        </w:tc>
        <w:tc>
          <w:tcPr>
            <w:tcW w:w="12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1A2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83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50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21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CA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18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0790">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24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F50CA">
            <w:pPr>
              <w:jc w:val="center"/>
              <w:rPr>
                <w:rFonts w:hint="eastAsia" w:ascii="宋体" w:hAnsi="宋体" w:eastAsia="宋体" w:cs="宋体"/>
                <w:i w:val="0"/>
                <w:iCs w:val="0"/>
                <w:color w:val="000000"/>
                <w:sz w:val="18"/>
                <w:szCs w:val="18"/>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67DA">
            <w:pPr>
              <w:jc w:val="center"/>
              <w:rPr>
                <w:rFonts w:hint="eastAsia" w:ascii="微软雅黑" w:hAnsi="微软雅黑" w:eastAsia="微软雅黑" w:cs="微软雅黑"/>
                <w:i/>
                <w:iCs/>
                <w:color w:val="000000"/>
                <w:sz w:val="16"/>
                <w:szCs w:val="16"/>
                <w:u w:val="none"/>
              </w:rPr>
            </w:pPr>
          </w:p>
        </w:tc>
      </w:tr>
      <w:tr w14:paraId="6D60E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jc w:val="center"/>
        </w:trPr>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BDCFE">
            <w:pPr>
              <w:jc w:val="center"/>
              <w:rPr>
                <w:rFonts w:hint="eastAsia" w:ascii="宋体" w:hAnsi="宋体" w:eastAsia="宋体" w:cs="宋体"/>
                <w:i w:val="0"/>
                <w:iCs w:val="0"/>
                <w:color w:val="000000"/>
                <w:sz w:val="18"/>
                <w:szCs w:val="18"/>
                <w:u w:val="none"/>
              </w:rPr>
            </w:pPr>
          </w:p>
        </w:tc>
        <w:tc>
          <w:tcPr>
            <w:tcW w:w="12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8DD71">
            <w:pPr>
              <w:jc w:val="center"/>
              <w:rPr>
                <w:rFonts w:hint="eastAsia" w:ascii="宋体" w:hAnsi="宋体" w:eastAsia="宋体" w:cs="宋体"/>
                <w:i w:val="0"/>
                <w:iCs w:val="0"/>
                <w:color w:val="000000"/>
                <w:sz w:val="18"/>
                <w:szCs w:val="18"/>
                <w:u w:val="none"/>
              </w:rPr>
            </w:pP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6C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76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w:t>
            </w:r>
            <w:bookmarkStart w:id="0" w:name="_GoBack"/>
            <w:r>
              <w:rPr>
                <w:rFonts w:ascii="宋体" w:hAnsi="宋体" w:eastAsia="宋体" w:cs="宋体"/>
                <w:i w:val="0"/>
                <w:iCs w:val="0"/>
                <w:color w:val="000000"/>
                <w:kern w:val="0"/>
                <w:sz w:val="18"/>
                <w:szCs w:val="18"/>
                <w:u w:val="none"/>
                <w:lang w:val="en-US" w:eastAsia="zh-CN" w:bidi="ar"/>
              </w:rPr>
              <w:t>）</w:t>
            </w:r>
            <w:bookmarkEnd w:id="0"/>
            <w:r>
              <w:rPr>
                <w:rFonts w:ascii="宋体" w:hAnsi="宋体" w:eastAsia="宋体" w:cs="宋体"/>
                <w:i w:val="0"/>
                <w:iCs w:val="0"/>
                <w:color w:val="000000"/>
                <w:kern w:val="0"/>
                <w:sz w:val="18"/>
                <w:szCs w:val="18"/>
                <w:u w:val="none"/>
                <w:lang w:val="en-US" w:eastAsia="zh-CN" w:bidi="ar"/>
              </w:rPr>
              <w:t>/预算数∣）</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5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2B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C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5A88">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AA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52205">
            <w:pPr>
              <w:jc w:val="center"/>
              <w:rPr>
                <w:rFonts w:hint="eastAsia" w:ascii="宋体" w:hAnsi="宋体" w:eastAsia="宋体" w:cs="宋体"/>
                <w:i w:val="0"/>
                <w:iCs w:val="0"/>
                <w:color w:val="000000"/>
                <w:sz w:val="18"/>
                <w:szCs w:val="18"/>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FE871">
            <w:pPr>
              <w:jc w:val="center"/>
              <w:rPr>
                <w:rFonts w:hint="eastAsia" w:ascii="微软雅黑" w:hAnsi="微软雅黑" w:eastAsia="微软雅黑" w:cs="微软雅黑"/>
                <w:i/>
                <w:iCs/>
                <w:color w:val="000000"/>
                <w:sz w:val="16"/>
                <w:szCs w:val="16"/>
                <w:u w:val="none"/>
              </w:rPr>
            </w:pPr>
          </w:p>
        </w:tc>
      </w:tr>
      <w:tr w14:paraId="35F7C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B200C">
            <w:pPr>
              <w:jc w:val="center"/>
              <w:rPr>
                <w:rFonts w:hint="eastAsia" w:ascii="宋体" w:hAnsi="宋体" w:eastAsia="宋体" w:cs="宋体"/>
                <w:i w:val="0"/>
                <w:iCs w:val="0"/>
                <w:color w:val="000000"/>
                <w:sz w:val="18"/>
                <w:szCs w:val="18"/>
                <w:u w:val="none"/>
              </w:rPr>
            </w:pPr>
          </w:p>
        </w:tc>
        <w:tc>
          <w:tcPr>
            <w:tcW w:w="12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93B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2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3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20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D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0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FC114">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8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84917">
            <w:pPr>
              <w:jc w:val="center"/>
              <w:rPr>
                <w:rFonts w:hint="eastAsia" w:ascii="宋体" w:hAnsi="宋体" w:eastAsia="宋体" w:cs="宋体"/>
                <w:i w:val="0"/>
                <w:iCs w:val="0"/>
                <w:color w:val="000000"/>
                <w:sz w:val="18"/>
                <w:szCs w:val="18"/>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5F3B">
            <w:pPr>
              <w:jc w:val="center"/>
              <w:rPr>
                <w:rFonts w:hint="eastAsia" w:ascii="微软雅黑" w:hAnsi="微软雅黑" w:eastAsia="微软雅黑" w:cs="微软雅黑"/>
                <w:i/>
                <w:iCs/>
                <w:color w:val="000000"/>
                <w:sz w:val="16"/>
                <w:szCs w:val="16"/>
                <w:u w:val="none"/>
              </w:rPr>
            </w:pPr>
          </w:p>
        </w:tc>
      </w:tr>
      <w:tr w14:paraId="37C9D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9A1EA">
            <w:pPr>
              <w:jc w:val="center"/>
              <w:rPr>
                <w:rFonts w:hint="eastAsia" w:ascii="宋体" w:hAnsi="宋体" w:eastAsia="宋体" w:cs="宋体"/>
                <w:i w:val="0"/>
                <w:iCs w:val="0"/>
                <w:color w:val="000000"/>
                <w:sz w:val="18"/>
                <w:szCs w:val="18"/>
                <w:u w:val="none"/>
              </w:rPr>
            </w:pPr>
          </w:p>
        </w:tc>
        <w:tc>
          <w:tcPr>
            <w:tcW w:w="12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621D4">
            <w:pPr>
              <w:jc w:val="center"/>
              <w:rPr>
                <w:rFonts w:hint="eastAsia" w:ascii="宋体" w:hAnsi="宋体" w:eastAsia="宋体" w:cs="宋体"/>
                <w:i w:val="0"/>
                <w:iCs w:val="0"/>
                <w:color w:val="000000"/>
                <w:sz w:val="18"/>
                <w:szCs w:val="18"/>
                <w:u w:val="none"/>
              </w:rPr>
            </w:pP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7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9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4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80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6A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5A31">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B7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63F41">
            <w:pPr>
              <w:jc w:val="center"/>
              <w:rPr>
                <w:rFonts w:hint="eastAsia" w:ascii="宋体" w:hAnsi="宋体" w:eastAsia="宋体" w:cs="宋体"/>
                <w:i w:val="0"/>
                <w:iCs w:val="0"/>
                <w:color w:val="000000"/>
                <w:sz w:val="18"/>
                <w:szCs w:val="18"/>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2193">
            <w:pPr>
              <w:jc w:val="center"/>
              <w:rPr>
                <w:rFonts w:hint="eastAsia" w:ascii="微软雅黑" w:hAnsi="微软雅黑" w:eastAsia="微软雅黑" w:cs="微软雅黑"/>
                <w:i/>
                <w:iCs/>
                <w:color w:val="000000"/>
                <w:sz w:val="16"/>
                <w:szCs w:val="16"/>
                <w:u w:val="none"/>
              </w:rPr>
            </w:pPr>
          </w:p>
        </w:tc>
      </w:tr>
      <w:tr w14:paraId="01C21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764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968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D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5762">
            <w:pPr>
              <w:rPr>
                <w:rFonts w:hint="eastAsia" w:ascii="宋体" w:hAnsi="宋体" w:eastAsia="宋体" w:cs="宋体"/>
                <w:i w:val="0"/>
                <w:iCs w:val="0"/>
                <w:color w:val="000000"/>
                <w:sz w:val="18"/>
                <w:szCs w:val="18"/>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9F30">
            <w:pPr>
              <w:rPr>
                <w:rFonts w:hint="eastAsia" w:ascii="宋体" w:hAnsi="宋体" w:eastAsia="宋体" w:cs="宋体"/>
                <w:i w:val="0"/>
                <w:iCs w:val="0"/>
                <w:color w:val="000000"/>
                <w:sz w:val="18"/>
                <w:szCs w:val="18"/>
                <w:u w:val="none"/>
              </w:rPr>
            </w:pPr>
          </w:p>
        </w:tc>
      </w:tr>
      <w:tr w14:paraId="055E6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6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60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8CBB3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资金开支范围为小姓乡5个村农村公共运行维护经费，支付依据合规合法，资金支付与预算相符。项目资金按时拨付，保障了村民的基本生活，农村公共服务设施运行维护项目的长效实施改善了群众的生产生活条件，提高了群众生活质量，完善农村基础设施功能，群众知晓率和覆盖率较高，满意度高。项目取得了较好的社会效益。</w:t>
            </w:r>
          </w:p>
        </w:tc>
      </w:tr>
      <w:tr w14:paraId="03688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8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60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D0DB3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lang w:val="en-US" w:eastAsia="zh-CN"/>
              </w:rPr>
            </w:pPr>
            <w:r>
              <w:rPr>
                <w:rFonts w:hint="eastAsia" w:ascii="微软雅黑" w:hAnsi="微软雅黑" w:eastAsia="微软雅黑" w:cs="微软雅黑"/>
                <w:i w:val="0"/>
                <w:iCs w:val="0"/>
                <w:color w:val="000000"/>
                <w:sz w:val="16"/>
                <w:szCs w:val="16"/>
                <w:u w:val="none"/>
                <w:lang w:val="en-US" w:eastAsia="zh-CN"/>
              </w:rPr>
              <w:t>无</w:t>
            </w:r>
          </w:p>
        </w:tc>
      </w:tr>
      <w:tr w14:paraId="65A63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0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60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739BC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无</w:t>
            </w:r>
          </w:p>
        </w:tc>
      </w:tr>
      <w:tr w14:paraId="1E808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52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7A0CA2">
            <w:pPr>
              <w:keepNext w:val="0"/>
              <w:keepLines w:val="0"/>
              <w:widowControl/>
              <w:suppressLineNumbers w:val="0"/>
              <w:jc w:val="left"/>
              <w:textAlignment w:val="center"/>
              <w:rPr>
                <w:rFonts w:hint="eastAsia" w:ascii="黑体" w:hAnsi="黑体" w:eastAsia="黑体" w:cs="黑体"/>
                <w:i w:val="0"/>
                <w:iCs w:val="0"/>
                <w:color w:val="000000"/>
                <w:kern w:val="2"/>
                <w:sz w:val="18"/>
                <w:szCs w:val="18"/>
                <w:u w:val="none"/>
                <w:lang w:val="en-US" w:eastAsia="zh-CN" w:bidi="ar-SA"/>
              </w:rPr>
            </w:pPr>
            <w:r>
              <w:rPr>
                <w:rFonts w:hint="eastAsia" w:ascii="黑体" w:hAnsi="黑体" w:eastAsia="黑体" w:cs="黑体"/>
                <w:i w:val="0"/>
                <w:iCs w:val="0"/>
                <w:color w:val="000000"/>
                <w:kern w:val="0"/>
                <w:sz w:val="18"/>
                <w:szCs w:val="18"/>
                <w:u w:val="none"/>
                <w:lang w:val="en-US" w:eastAsia="zh-CN" w:bidi="ar"/>
              </w:rPr>
              <w:t>项目负责人：刘洪红</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D044F3">
            <w:pPr>
              <w:keepNext w:val="0"/>
              <w:keepLines w:val="0"/>
              <w:widowControl/>
              <w:suppressLineNumbers w:val="0"/>
              <w:jc w:val="left"/>
              <w:textAlignment w:val="center"/>
              <w:rPr>
                <w:rFonts w:hint="eastAsia" w:ascii="黑体" w:hAnsi="黑体" w:eastAsia="黑体" w:cs="黑体"/>
                <w:i w:val="0"/>
                <w:iCs w:val="0"/>
                <w:color w:val="000000"/>
                <w:kern w:val="2"/>
                <w:sz w:val="18"/>
                <w:szCs w:val="18"/>
                <w:u w:val="none"/>
                <w:lang w:val="en-US" w:eastAsia="zh-CN" w:bidi="ar-SA"/>
              </w:rPr>
            </w:pPr>
            <w:r>
              <w:rPr>
                <w:rFonts w:hint="eastAsia" w:ascii="黑体" w:hAnsi="黑体" w:eastAsia="黑体" w:cs="黑体"/>
                <w:i w:val="0"/>
                <w:iCs w:val="0"/>
                <w:color w:val="000000"/>
                <w:kern w:val="0"/>
                <w:sz w:val="18"/>
                <w:szCs w:val="18"/>
                <w:u w:val="none"/>
                <w:lang w:val="en-US" w:eastAsia="zh-CN" w:bidi="ar"/>
              </w:rPr>
              <w:t>财务负责人：杨松</w:t>
            </w:r>
          </w:p>
        </w:tc>
      </w:tr>
      <w:tr w14:paraId="18904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603" w:type="dxa"/>
            <w:tcBorders>
              <w:top w:val="nil"/>
              <w:left w:val="nil"/>
              <w:bottom w:val="nil"/>
              <w:right w:val="nil"/>
            </w:tcBorders>
            <w:shd w:val="clear" w:color="auto" w:fill="auto"/>
            <w:vAlign w:val="center"/>
          </w:tcPr>
          <w:p w14:paraId="1F0B7548">
            <w:pPr>
              <w:rPr>
                <w:rFonts w:hint="eastAsia" w:ascii="宋体" w:hAnsi="宋体" w:eastAsia="宋体" w:cs="宋体"/>
                <w:i w:val="0"/>
                <w:iCs w:val="0"/>
                <w:color w:val="000000"/>
                <w:sz w:val="18"/>
                <w:szCs w:val="18"/>
                <w:u w:val="none"/>
              </w:rPr>
            </w:pPr>
          </w:p>
        </w:tc>
        <w:tc>
          <w:tcPr>
            <w:tcW w:w="1291" w:type="dxa"/>
            <w:tcBorders>
              <w:top w:val="nil"/>
              <w:left w:val="nil"/>
              <w:bottom w:val="nil"/>
              <w:right w:val="nil"/>
            </w:tcBorders>
            <w:shd w:val="clear" w:color="auto" w:fill="auto"/>
            <w:vAlign w:val="center"/>
          </w:tcPr>
          <w:p w14:paraId="1D62173D">
            <w:pPr>
              <w:rPr>
                <w:rFonts w:hint="eastAsia" w:ascii="宋体" w:hAnsi="宋体" w:eastAsia="宋体" w:cs="宋体"/>
                <w:i w:val="0"/>
                <w:iCs w:val="0"/>
                <w:color w:val="000000"/>
                <w:sz w:val="18"/>
                <w:szCs w:val="18"/>
                <w:u w:val="none"/>
              </w:rPr>
            </w:pPr>
          </w:p>
        </w:tc>
        <w:tc>
          <w:tcPr>
            <w:tcW w:w="1193" w:type="dxa"/>
            <w:tcBorders>
              <w:top w:val="nil"/>
              <w:left w:val="nil"/>
              <w:bottom w:val="nil"/>
              <w:right w:val="nil"/>
            </w:tcBorders>
            <w:shd w:val="clear" w:color="auto" w:fill="auto"/>
            <w:vAlign w:val="center"/>
          </w:tcPr>
          <w:p w14:paraId="71A32B7A">
            <w:pPr>
              <w:rPr>
                <w:rFonts w:hint="eastAsia" w:ascii="宋体" w:hAnsi="宋体" w:eastAsia="宋体" w:cs="宋体"/>
                <w:i w:val="0"/>
                <w:iCs w:val="0"/>
                <w:color w:val="000000"/>
                <w:sz w:val="18"/>
                <w:szCs w:val="18"/>
                <w:u w:val="none"/>
              </w:rPr>
            </w:pPr>
          </w:p>
        </w:tc>
        <w:tc>
          <w:tcPr>
            <w:tcW w:w="1683" w:type="dxa"/>
            <w:tcBorders>
              <w:top w:val="nil"/>
              <w:left w:val="nil"/>
              <w:bottom w:val="nil"/>
              <w:right w:val="nil"/>
            </w:tcBorders>
            <w:shd w:val="clear" w:color="auto" w:fill="auto"/>
            <w:vAlign w:val="center"/>
          </w:tcPr>
          <w:p w14:paraId="676C0771">
            <w:pPr>
              <w:rPr>
                <w:rFonts w:hint="eastAsia" w:ascii="宋体" w:hAnsi="宋体" w:eastAsia="宋体" w:cs="宋体"/>
                <w:i w:val="0"/>
                <w:iCs w:val="0"/>
                <w:color w:val="000000"/>
                <w:sz w:val="18"/>
                <w:szCs w:val="18"/>
                <w:u w:val="none"/>
              </w:rPr>
            </w:pPr>
          </w:p>
        </w:tc>
        <w:tc>
          <w:tcPr>
            <w:tcW w:w="441" w:type="dxa"/>
            <w:tcBorders>
              <w:top w:val="nil"/>
              <w:left w:val="nil"/>
              <w:bottom w:val="nil"/>
              <w:right w:val="nil"/>
            </w:tcBorders>
            <w:shd w:val="clear" w:color="auto" w:fill="auto"/>
            <w:vAlign w:val="center"/>
          </w:tcPr>
          <w:p w14:paraId="3D0E9619">
            <w:pPr>
              <w:rPr>
                <w:rFonts w:hint="eastAsia" w:ascii="宋体" w:hAnsi="宋体" w:eastAsia="宋体" w:cs="宋体"/>
                <w:i w:val="0"/>
                <w:iCs w:val="0"/>
                <w:color w:val="000000"/>
                <w:sz w:val="18"/>
                <w:szCs w:val="18"/>
                <w:u w:val="none"/>
              </w:rPr>
            </w:pPr>
          </w:p>
        </w:tc>
        <w:tc>
          <w:tcPr>
            <w:tcW w:w="1062" w:type="dxa"/>
            <w:tcBorders>
              <w:top w:val="nil"/>
              <w:left w:val="nil"/>
              <w:bottom w:val="nil"/>
              <w:right w:val="nil"/>
            </w:tcBorders>
            <w:shd w:val="clear" w:color="auto" w:fill="auto"/>
            <w:vAlign w:val="center"/>
          </w:tcPr>
          <w:p w14:paraId="492D9B69">
            <w:pPr>
              <w:rPr>
                <w:rFonts w:hint="eastAsia" w:ascii="宋体" w:hAnsi="宋体" w:eastAsia="宋体" w:cs="宋体"/>
                <w:i w:val="0"/>
                <w:iCs w:val="0"/>
                <w:color w:val="000000"/>
                <w:sz w:val="18"/>
                <w:szCs w:val="18"/>
                <w:u w:val="none"/>
              </w:rPr>
            </w:pPr>
          </w:p>
        </w:tc>
        <w:tc>
          <w:tcPr>
            <w:tcW w:w="441" w:type="dxa"/>
            <w:tcBorders>
              <w:top w:val="nil"/>
              <w:left w:val="nil"/>
              <w:bottom w:val="nil"/>
              <w:right w:val="nil"/>
            </w:tcBorders>
            <w:shd w:val="clear" w:color="auto" w:fill="auto"/>
            <w:vAlign w:val="center"/>
          </w:tcPr>
          <w:p w14:paraId="15F707AC">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14:paraId="0421B990">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026D5A20">
            <w:pPr>
              <w:rPr>
                <w:rFonts w:hint="eastAsia" w:ascii="宋体" w:hAnsi="宋体" w:eastAsia="宋体" w:cs="宋体"/>
                <w:i w:val="0"/>
                <w:iCs w:val="0"/>
                <w:color w:val="000000"/>
                <w:sz w:val="18"/>
                <w:szCs w:val="18"/>
                <w:u w:val="none"/>
              </w:rPr>
            </w:pPr>
          </w:p>
        </w:tc>
        <w:tc>
          <w:tcPr>
            <w:tcW w:w="408" w:type="dxa"/>
            <w:tcBorders>
              <w:top w:val="nil"/>
              <w:left w:val="nil"/>
              <w:bottom w:val="nil"/>
              <w:right w:val="nil"/>
            </w:tcBorders>
            <w:shd w:val="clear" w:color="auto" w:fill="auto"/>
            <w:vAlign w:val="center"/>
          </w:tcPr>
          <w:p w14:paraId="53BCEE27">
            <w:pPr>
              <w:rPr>
                <w:rFonts w:hint="eastAsia" w:ascii="宋体" w:hAnsi="宋体" w:eastAsia="宋体" w:cs="宋体"/>
                <w:i w:val="0"/>
                <w:iCs w:val="0"/>
                <w:color w:val="000000"/>
                <w:sz w:val="18"/>
                <w:szCs w:val="18"/>
                <w:u w:val="none"/>
              </w:rPr>
            </w:pPr>
          </w:p>
        </w:tc>
        <w:tc>
          <w:tcPr>
            <w:tcW w:w="1667" w:type="dxa"/>
            <w:tcBorders>
              <w:top w:val="nil"/>
              <w:left w:val="nil"/>
              <w:bottom w:val="nil"/>
              <w:right w:val="nil"/>
            </w:tcBorders>
            <w:shd w:val="clear" w:color="auto" w:fill="auto"/>
            <w:vAlign w:val="center"/>
          </w:tcPr>
          <w:p w14:paraId="6CF38E75">
            <w:pPr>
              <w:rPr>
                <w:rFonts w:hint="eastAsia" w:ascii="宋体" w:hAnsi="宋体" w:eastAsia="宋体" w:cs="宋体"/>
                <w:i w:val="0"/>
                <w:iCs w:val="0"/>
                <w:color w:val="000000"/>
                <w:sz w:val="18"/>
                <w:szCs w:val="18"/>
                <w:u w:val="none"/>
              </w:rPr>
            </w:pPr>
          </w:p>
        </w:tc>
      </w:tr>
    </w:tbl>
    <w:tbl>
      <w:tblPr>
        <w:tblStyle w:val="15"/>
        <w:tblpPr w:leftFromText="180" w:rightFromText="180" w:vertAnchor="text" w:horzAnchor="page" w:tblpX="1233" w:tblpY="621"/>
        <w:tblOverlap w:val="never"/>
        <w:tblW w:w="97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1"/>
        <w:gridCol w:w="87"/>
        <w:gridCol w:w="772"/>
        <w:gridCol w:w="568"/>
        <w:gridCol w:w="375"/>
        <w:gridCol w:w="767"/>
        <w:gridCol w:w="272"/>
        <w:gridCol w:w="413"/>
        <w:gridCol w:w="712"/>
        <w:gridCol w:w="76"/>
        <w:gridCol w:w="337"/>
        <w:gridCol w:w="111"/>
        <w:gridCol w:w="768"/>
        <w:gridCol w:w="486"/>
        <w:gridCol w:w="228"/>
        <w:gridCol w:w="182"/>
        <w:gridCol w:w="244"/>
        <w:gridCol w:w="904"/>
        <w:gridCol w:w="489"/>
        <w:gridCol w:w="404"/>
        <w:gridCol w:w="908"/>
      </w:tblGrid>
      <w:tr w14:paraId="63788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0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3995CF1A">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9291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4709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4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D2A94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51322423T000007776286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村干部补助</w:t>
            </w:r>
          </w:p>
        </w:tc>
      </w:tr>
      <w:tr w14:paraId="4CDEE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4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2C5C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5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FEA80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松潘县小姓乡人民政府</w:t>
            </w:r>
          </w:p>
        </w:tc>
        <w:tc>
          <w:tcPr>
            <w:tcW w:w="879" w:type="dxa"/>
            <w:gridSpan w:val="2"/>
            <w:tcBorders>
              <w:top w:val="nil"/>
              <w:left w:val="nil"/>
              <w:bottom w:val="nil"/>
              <w:right w:val="nil"/>
            </w:tcBorders>
            <w:shd w:val="clear" w:color="auto" w:fill="auto"/>
            <w:vAlign w:val="center"/>
          </w:tcPr>
          <w:p w14:paraId="2DC1610A">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8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5641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松潘县小姓乡人民政府</w:t>
            </w:r>
          </w:p>
        </w:tc>
      </w:tr>
      <w:tr w14:paraId="28E6B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8FF2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5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BF04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5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DEA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72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50E5B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9D6F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F0B55">
            <w:pPr>
              <w:rPr>
                <w:rFonts w:hint="eastAsia" w:ascii="宋体" w:hAnsi="宋体" w:eastAsia="宋体" w:cs="宋体"/>
                <w:i w:val="0"/>
                <w:iCs w:val="0"/>
                <w:color w:val="000000"/>
                <w:sz w:val="18"/>
                <w:szCs w:val="18"/>
                <w:u w:val="none"/>
              </w:rPr>
            </w:pPr>
          </w:p>
        </w:tc>
        <w:tc>
          <w:tcPr>
            <w:tcW w:w="8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CF923">
            <w:pPr>
              <w:rPr>
                <w:rFonts w:hint="eastAsia" w:ascii="宋体" w:hAnsi="宋体" w:eastAsia="宋体" w:cs="宋体"/>
                <w:i w:val="0"/>
                <w:iCs w:val="0"/>
                <w:color w:val="000000"/>
                <w:sz w:val="18"/>
                <w:szCs w:val="18"/>
                <w:u w:val="none"/>
              </w:rPr>
            </w:pPr>
          </w:p>
        </w:tc>
        <w:tc>
          <w:tcPr>
            <w:tcW w:w="352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E3E4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全面推行村干部</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基本报酬+考核绩效</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报酬制度，村干部是基层干部中最主要的力量，为了确保村干部个人收入，维护村干部的合法权益，</w:t>
            </w:r>
            <w:r>
              <w:rPr>
                <w:rFonts w:hint="eastAsia" w:ascii="宋体" w:hAnsi="宋体" w:cs="宋体"/>
                <w:i w:val="0"/>
                <w:iCs w:val="0"/>
                <w:color w:val="000000"/>
                <w:kern w:val="0"/>
                <w:sz w:val="18"/>
                <w:szCs w:val="18"/>
                <w:u w:val="none"/>
                <w:lang w:val="en-US" w:eastAsia="zh-CN" w:bidi="ar"/>
              </w:rPr>
              <w:t>强化</w:t>
            </w:r>
            <w:r>
              <w:rPr>
                <w:rFonts w:ascii="宋体" w:hAnsi="宋体" w:eastAsia="宋体" w:cs="宋体"/>
                <w:i w:val="0"/>
                <w:iCs w:val="0"/>
                <w:color w:val="000000"/>
                <w:kern w:val="0"/>
                <w:sz w:val="18"/>
                <w:szCs w:val="18"/>
                <w:u w:val="none"/>
                <w:lang w:val="en-US" w:eastAsia="zh-CN" w:bidi="ar"/>
              </w:rPr>
              <w:t>农村的管理和发展，妥善解决好农村基层干部的工资待遇，充分调动广大基层村干部工作的积极性，发挥村干部在社会主义新农村建设中的引领作用。　</w:t>
            </w:r>
          </w:p>
        </w:tc>
        <w:tc>
          <w:tcPr>
            <w:tcW w:w="472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CA990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p>
        </w:tc>
      </w:tr>
      <w:tr w14:paraId="26706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BA4F6">
            <w:pPr>
              <w:rPr>
                <w:rFonts w:hint="eastAsia" w:ascii="宋体" w:hAnsi="宋体" w:eastAsia="宋体" w:cs="宋体"/>
                <w:i w:val="0"/>
                <w:iCs w:val="0"/>
                <w:color w:val="000000"/>
                <w:sz w:val="18"/>
                <w:szCs w:val="18"/>
                <w:u w:val="none"/>
              </w:rPr>
            </w:pP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CB5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4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71299FD">
            <w:pPr>
              <w:rPr>
                <w:rFonts w:hint="eastAsia" w:ascii="宋体" w:hAnsi="宋体" w:eastAsia="宋体" w:cs="宋体"/>
                <w:i w:val="0"/>
                <w:iCs w:val="0"/>
                <w:color w:val="000000"/>
                <w:sz w:val="18"/>
                <w:szCs w:val="18"/>
                <w:u w:val="none"/>
              </w:rPr>
            </w:pPr>
          </w:p>
        </w:tc>
      </w:tr>
      <w:tr w14:paraId="0F151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85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BF1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726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DD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CA8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215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C9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D7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9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226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6735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E22E2">
            <w:pPr>
              <w:jc w:val="center"/>
              <w:rPr>
                <w:rFonts w:hint="eastAsia" w:ascii="宋体" w:hAnsi="宋体" w:eastAsia="宋体" w:cs="宋体"/>
                <w:i w:val="0"/>
                <w:iCs w:val="0"/>
                <w:color w:val="000000"/>
                <w:sz w:val="18"/>
                <w:szCs w:val="18"/>
                <w:u w:val="none"/>
              </w:rPr>
            </w:pP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DB9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51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114.24</w:t>
            </w:r>
          </w:p>
        </w:tc>
        <w:tc>
          <w:tcPr>
            <w:tcW w:w="1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28B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113.41</w:t>
            </w:r>
          </w:p>
        </w:tc>
        <w:tc>
          <w:tcPr>
            <w:tcW w:w="15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3A3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113.41</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C8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6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F15FA5">
            <w:pPr>
              <w:jc w:val="center"/>
              <w:rPr>
                <w:rFonts w:hint="eastAsia" w:ascii="宋体" w:hAnsi="宋体" w:eastAsia="宋体" w:cs="宋体"/>
                <w:i w:val="0"/>
                <w:iCs w:val="0"/>
                <w:color w:val="000000"/>
                <w:sz w:val="18"/>
                <w:szCs w:val="18"/>
                <w:u w:val="none"/>
              </w:rPr>
            </w:pPr>
          </w:p>
        </w:tc>
        <w:tc>
          <w:tcPr>
            <w:tcW w:w="2949"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FE5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144D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C4FF">
            <w:pPr>
              <w:jc w:val="center"/>
              <w:rPr>
                <w:rFonts w:hint="eastAsia" w:ascii="宋体" w:hAnsi="宋体" w:eastAsia="宋体" w:cs="宋体"/>
                <w:i w:val="0"/>
                <w:iCs w:val="0"/>
                <w:color w:val="000000"/>
                <w:sz w:val="18"/>
                <w:szCs w:val="18"/>
                <w:u w:val="none"/>
              </w:rPr>
            </w:pP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B5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DC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114.24</w:t>
            </w:r>
          </w:p>
        </w:tc>
        <w:tc>
          <w:tcPr>
            <w:tcW w:w="1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BC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113.41</w:t>
            </w:r>
          </w:p>
        </w:tc>
        <w:tc>
          <w:tcPr>
            <w:tcW w:w="15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965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113.41</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0A5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36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F3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4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69F1E">
            <w:pPr>
              <w:rPr>
                <w:rFonts w:hint="eastAsia" w:ascii="黑体" w:hAnsi="黑体" w:eastAsia="黑体" w:cs="黑体"/>
                <w:i/>
                <w:iCs/>
                <w:color w:val="000000"/>
                <w:sz w:val="18"/>
                <w:szCs w:val="18"/>
                <w:u w:val="none"/>
              </w:rPr>
            </w:pPr>
          </w:p>
        </w:tc>
      </w:tr>
      <w:tr w14:paraId="3AEE3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5DEB1">
            <w:pPr>
              <w:jc w:val="center"/>
              <w:rPr>
                <w:rFonts w:hint="eastAsia" w:ascii="宋体" w:hAnsi="宋体" w:eastAsia="宋体" w:cs="宋体"/>
                <w:i w:val="0"/>
                <w:iCs w:val="0"/>
                <w:color w:val="000000"/>
                <w:sz w:val="18"/>
                <w:szCs w:val="18"/>
                <w:u w:val="none"/>
              </w:rPr>
            </w:pP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EF4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E8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4C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F52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2F0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38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0D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4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9CEFB">
            <w:pPr>
              <w:rPr>
                <w:rFonts w:hint="eastAsia" w:ascii="黑体" w:hAnsi="黑体" w:eastAsia="黑体" w:cs="黑体"/>
                <w:i/>
                <w:iCs/>
                <w:color w:val="000000"/>
                <w:sz w:val="18"/>
                <w:szCs w:val="18"/>
                <w:u w:val="none"/>
              </w:rPr>
            </w:pPr>
          </w:p>
        </w:tc>
      </w:tr>
      <w:tr w14:paraId="7D30F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5152D">
            <w:pPr>
              <w:jc w:val="center"/>
              <w:rPr>
                <w:rFonts w:hint="eastAsia" w:ascii="宋体" w:hAnsi="宋体" w:eastAsia="宋体" w:cs="宋体"/>
                <w:i w:val="0"/>
                <w:iCs w:val="0"/>
                <w:color w:val="000000"/>
                <w:sz w:val="18"/>
                <w:szCs w:val="18"/>
                <w:u w:val="none"/>
              </w:rPr>
            </w:pP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65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5E9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3D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802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5C5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2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F8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4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ADC32">
            <w:pPr>
              <w:rPr>
                <w:rFonts w:hint="eastAsia" w:ascii="黑体" w:hAnsi="黑体" w:eastAsia="黑体" w:cs="黑体"/>
                <w:i/>
                <w:iCs/>
                <w:color w:val="000000"/>
                <w:sz w:val="18"/>
                <w:szCs w:val="18"/>
                <w:u w:val="none"/>
              </w:rPr>
            </w:pPr>
          </w:p>
        </w:tc>
      </w:tr>
      <w:tr w14:paraId="102AD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DD131">
            <w:pPr>
              <w:jc w:val="center"/>
              <w:rPr>
                <w:rFonts w:hint="eastAsia" w:ascii="宋体" w:hAnsi="宋体" w:eastAsia="宋体" w:cs="宋体"/>
                <w:i w:val="0"/>
                <w:iCs w:val="0"/>
                <w:color w:val="000000"/>
                <w:sz w:val="18"/>
                <w:szCs w:val="18"/>
                <w:u w:val="none"/>
              </w:rPr>
            </w:pP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0E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F5DD42">
            <w:pPr>
              <w:jc w:val="center"/>
              <w:rPr>
                <w:rFonts w:hint="eastAsia" w:ascii="微软雅黑" w:hAnsi="微软雅黑" w:eastAsia="微软雅黑" w:cs="微软雅黑"/>
                <w:i/>
                <w:iCs/>
                <w:color w:val="000000"/>
                <w:sz w:val="16"/>
                <w:szCs w:val="16"/>
                <w:u w:val="none"/>
              </w:rPr>
            </w:pPr>
          </w:p>
        </w:tc>
        <w:tc>
          <w:tcPr>
            <w:tcW w:w="1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B1A36">
            <w:pPr>
              <w:jc w:val="center"/>
              <w:rPr>
                <w:rFonts w:hint="eastAsia" w:ascii="微软雅黑" w:hAnsi="微软雅黑" w:eastAsia="微软雅黑" w:cs="微软雅黑"/>
                <w:i/>
                <w:iCs/>
                <w:color w:val="000000"/>
                <w:sz w:val="16"/>
                <w:szCs w:val="16"/>
                <w:u w:val="none"/>
              </w:rPr>
            </w:pPr>
          </w:p>
        </w:tc>
        <w:tc>
          <w:tcPr>
            <w:tcW w:w="15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C421BF">
            <w:pPr>
              <w:jc w:val="center"/>
              <w:rPr>
                <w:rFonts w:hint="eastAsia" w:ascii="微软雅黑" w:hAnsi="微软雅黑" w:eastAsia="微软雅黑" w:cs="微软雅黑"/>
                <w:i/>
                <w:iCs/>
                <w:color w:val="000000"/>
                <w:sz w:val="16"/>
                <w:szCs w:val="16"/>
                <w:u w:val="none"/>
              </w:rPr>
            </w:pP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51CA01">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5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5A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4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4364D">
            <w:pPr>
              <w:rPr>
                <w:rFonts w:hint="eastAsia" w:ascii="黑体" w:hAnsi="黑体" w:eastAsia="黑体" w:cs="黑体"/>
                <w:i/>
                <w:iCs/>
                <w:color w:val="000000"/>
                <w:sz w:val="18"/>
                <w:szCs w:val="18"/>
                <w:u w:val="none"/>
              </w:rPr>
            </w:pPr>
          </w:p>
        </w:tc>
      </w:tr>
      <w:tr w14:paraId="2DEAB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2B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B7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391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04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4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7C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25A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CA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9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61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9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2A3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5CDD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2F153">
            <w:pPr>
              <w:jc w:val="center"/>
              <w:rPr>
                <w:rFonts w:hint="eastAsia" w:ascii="宋体" w:hAnsi="宋体" w:eastAsia="宋体" w:cs="宋体"/>
                <w:i w:val="0"/>
                <w:iCs w:val="0"/>
                <w:color w:val="000000"/>
                <w:sz w:val="18"/>
                <w:szCs w:val="18"/>
                <w:u w:val="none"/>
              </w:rPr>
            </w:pPr>
          </w:p>
        </w:tc>
        <w:tc>
          <w:tcPr>
            <w:tcW w:w="85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4D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DF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58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保障生活补助的村干部人数</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3F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1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w:t>
            </w:r>
          </w:p>
        </w:tc>
        <w:tc>
          <w:tcPr>
            <w:tcW w:w="4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F0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60C7F4">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0E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w:t>
            </w:r>
          </w:p>
        </w:tc>
        <w:tc>
          <w:tcPr>
            <w:tcW w:w="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98F8F">
            <w:pPr>
              <w:jc w:val="center"/>
              <w:rPr>
                <w:rFonts w:hint="eastAsia" w:ascii="宋体" w:hAnsi="宋体" w:eastAsia="宋体" w:cs="宋体"/>
                <w:i w:val="0"/>
                <w:iCs w:val="0"/>
                <w:color w:val="000000"/>
                <w:sz w:val="18"/>
                <w:szCs w:val="18"/>
                <w:u w:val="none"/>
              </w:rPr>
            </w:pPr>
          </w:p>
        </w:tc>
        <w:tc>
          <w:tcPr>
            <w:tcW w:w="29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1ECDD6">
            <w:pPr>
              <w:jc w:val="center"/>
              <w:rPr>
                <w:rFonts w:hint="eastAsia" w:ascii="微软雅黑" w:hAnsi="微软雅黑" w:eastAsia="微软雅黑" w:cs="微软雅黑"/>
                <w:i/>
                <w:iCs/>
                <w:color w:val="000000"/>
                <w:sz w:val="16"/>
                <w:szCs w:val="16"/>
                <w:u w:val="none"/>
              </w:rPr>
            </w:pPr>
          </w:p>
        </w:tc>
      </w:tr>
      <w:tr w14:paraId="1C2F3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026D7">
            <w:pPr>
              <w:jc w:val="center"/>
              <w:rPr>
                <w:rFonts w:hint="eastAsia" w:ascii="宋体" w:hAnsi="宋体" w:eastAsia="宋体" w:cs="宋体"/>
                <w:i w:val="0"/>
                <w:iCs w:val="0"/>
                <w:color w:val="000000"/>
                <w:sz w:val="18"/>
                <w:szCs w:val="18"/>
                <w:u w:val="none"/>
              </w:rPr>
            </w:pPr>
          </w:p>
        </w:tc>
        <w:tc>
          <w:tcPr>
            <w:tcW w:w="8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2CC8F">
            <w:pPr>
              <w:jc w:val="center"/>
              <w:rPr>
                <w:rFonts w:hint="eastAsia" w:ascii="宋体" w:hAnsi="宋体" w:eastAsia="宋体" w:cs="宋体"/>
                <w:i w:val="0"/>
                <w:iCs w:val="0"/>
                <w:color w:val="000000"/>
                <w:sz w:val="18"/>
                <w:szCs w:val="18"/>
                <w:u w:val="none"/>
              </w:rPr>
            </w:pPr>
          </w:p>
        </w:tc>
        <w:tc>
          <w:tcPr>
            <w:tcW w:w="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A3D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699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村干部工作效果</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0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5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4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109EB">
            <w:pPr>
              <w:jc w:val="center"/>
              <w:rPr>
                <w:rFonts w:hint="eastAsia" w:ascii="宋体" w:hAnsi="宋体" w:eastAsia="宋体" w:cs="宋体"/>
                <w:i w:val="0"/>
                <w:iCs w:val="0"/>
                <w:color w:val="000000"/>
                <w:sz w:val="18"/>
                <w:szCs w:val="18"/>
                <w:u w:val="none"/>
              </w:rPr>
            </w:pP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73E137">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8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w:t>
            </w:r>
          </w:p>
        </w:tc>
        <w:tc>
          <w:tcPr>
            <w:tcW w:w="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9725B8">
            <w:pPr>
              <w:jc w:val="center"/>
              <w:rPr>
                <w:rFonts w:hint="eastAsia" w:ascii="宋体" w:hAnsi="宋体" w:eastAsia="宋体" w:cs="宋体"/>
                <w:i w:val="0"/>
                <w:iCs w:val="0"/>
                <w:color w:val="000000"/>
                <w:sz w:val="18"/>
                <w:szCs w:val="18"/>
                <w:u w:val="none"/>
              </w:rPr>
            </w:pPr>
          </w:p>
        </w:tc>
        <w:tc>
          <w:tcPr>
            <w:tcW w:w="29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61E904">
            <w:pPr>
              <w:jc w:val="center"/>
              <w:rPr>
                <w:rFonts w:hint="eastAsia" w:ascii="微软雅黑" w:hAnsi="微软雅黑" w:eastAsia="微软雅黑" w:cs="微软雅黑"/>
                <w:i/>
                <w:iCs/>
                <w:color w:val="000000"/>
                <w:sz w:val="16"/>
                <w:szCs w:val="16"/>
                <w:u w:val="none"/>
              </w:rPr>
            </w:pPr>
          </w:p>
        </w:tc>
      </w:tr>
      <w:tr w14:paraId="57F82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65608">
            <w:pPr>
              <w:jc w:val="center"/>
              <w:rPr>
                <w:rFonts w:hint="eastAsia" w:ascii="宋体" w:hAnsi="宋体" w:eastAsia="宋体" w:cs="宋体"/>
                <w:i w:val="0"/>
                <w:iCs w:val="0"/>
                <w:color w:val="000000"/>
                <w:sz w:val="18"/>
                <w:szCs w:val="18"/>
                <w:u w:val="none"/>
              </w:rPr>
            </w:pPr>
          </w:p>
        </w:tc>
        <w:tc>
          <w:tcPr>
            <w:tcW w:w="8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99E34">
            <w:pPr>
              <w:jc w:val="center"/>
              <w:rPr>
                <w:rFonts w:hint="eastAsia" w:ascii="宋体" w:hAnsi="宋体" w:eastAsia="宋体" w:cs="宋体"/>
                <w:i w:val="0"/>
                <w:iCs w:val="0"/>
                <w:color w:val="000000"/>
                <w:sz w:val="18"/>
                <w:szCs w:val="18"/>
                <w:u w:val="none"/>
              </w:rPr>
            </w:pPr>
          </w:p>
        </w:tc>
        <w:tc>
          <w:tcPr>
            <w:tcW w:w="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283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5CA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发放及时率</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11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2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F0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9C42E">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4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w:t>
            </w:r>
          </w:p>
        </w:tc>
        <w:tc>
          <w:tcPr>
            <w:tcW w:w="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EE08E">
            <w:pPr>
              <w:jc w:val="center"/>
              <w:rPr>
                <w:rFonts w:hint="eastAsia" w:ascii="宋体" w:hAnsi="宋体" w:eastAsia="宋体" w:cs="宋体"/>
                <w:i w:val="0"/>
                <w:iCs w:val="0"/>
                <w:color w:val="000000"/>
                <w:sz w:val="18"/>
                <w:szCs w:val="18"/>
                <w:u w:val="none"/>
              </w:rPr>
            </w:pPr>
          </w:p>
        </w:tc>
        <w:tc>
          <w:tcPr>
            <w:tcW w:w="29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CC2A73">
            <w:pPr>
              <w:jc w:val="center"/>
              <w:rPr>
                <w:rFonts w:hint="eastAsia" w:ascii="微软雅黑" w:hAnsi="微软雅黑" w:eastAsia="微软雅黑" w:cs="微软雅黑"/>
                <w:i/>
                <w:iCs/>
                <w:color w:val="000000"/>
                <w:sz w:val="16"/>
                <w:szCs w:val="16"/>
                <w:u w:val="none"/>
              </w:rPr>
            </w:pPr>
          </w:p>
        </w:tc>
      </w:tr>
      <w:tr w14:paraId="0DF38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73274">
            <w:pPr>
              <w:jc w:val="center"/>
              <w:rPr>
                <w:rFonts w:hint="eastAsia" w:ascii="宋体" w:hAnsi="宋体" w:eastAsia="宋体" w:cs="宋体"/>
                <w:i w:val="0"/>
                <w:iCs w:val="0"/>
                <w:color w:val="000000"/>
                <w:sz w:val="18"/>
                <w:szCs w:val="18"/>
                <w:u w:val="none"/>
              </w:rPr>
            </w:pPr>
          </w:p>
        </w:tc>
        <w:tc>
          <w:tcPr>
            <w:tcW w:w="85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9FE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024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DF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对乡村发展建设的带动作用</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4A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0D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4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CE5009">
            <w:pPr>
              <w:jc w:val="center"/>
              <w:rPr>
                <w:rFonts w:hint="eastAsia" w:ascii="宋体" w:hAnsi="宋体" w:eastAsia="宋体" w:cs="宋体"/>
                <w:i w:val="0"/>
                <w:iCs w:val="0"/>
                <w:color w:val="000000"/>
                <w:sz w:val="18"/>
                <w:szCs w:val="18"/>
                <w:u w:val="none"/>
              </w:rPr>
            </w:pP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6681E">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C5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3475D">
            <w:pPr>
              <w:jc w:val="center"/>
              <w:rPr>
                <w:rFonts w:hint="eastAsia" w:ascii="宋体" w:hAnsi="宋体" w:eastAsia="宋体" w:cs="宋体"/>
                <w:i w:val="0"/>
                <w:iCs w:val="0"/>
                <w:color w:val="000000"/>
                <w:sz w:val="18"/>
                <w:szCs w:val="18"/>
                <w:u w:val="none"/>
              </w:rPr>
            </w:pPr>
          </w:p>
        </w:tc>
        <w:tc>
          <w:tcPr>
            <w:tcW w:w="29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75FE7D">
            <w:pPr>
              <w:jc w:val="center"/>
              <w:rPr>
                <w:rFonts w:hint="eastAsia" w:ascii="微软雅黑" w:hAnsi="微软雅黑" w:eastAsia="微软雅黑" w:cs="微软雅黑"/>
                <w:i/>
                <w:iCs/>
                <w:color w:val="000000"/>
                <w:sz w:val="16"/>
                <w:szCs w:val="16"/>
                <w:u w:val="none"/>
              </w:rPr>
            </w:pPr>
          </w:p>
        </w:tc>
      </w:tr>
      <w:tr w14:paraId="75749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783D3">
            <w:pPr>
              <w:jc w:val="center"/>
              <w:rPr>
                <w:rFonts w:hint="eastAsia" w:ascii="宋体" w:hAnsi="宋体" w:eastAsia="宋体" w:cs="宋体"/>
                <w:i w:val="0"/>
                <w:iCs w:val="0"/>
                <w:color w:val="000000"/>
                <w:sz w:val="18"/>
                <w:szCs w:val="18"/>
                <w:u w:val="none"/>
              </w:rPr>
            </w:pPr>
          </w:p>
        </w:tc>
        <w:tc>
          <w:tcPr>
            <w:tcW w:w="8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2F163">
            <w:pPr>
              <w:jc w:val="center"/>
              <w:rPr>
                <w:rFonts w:hint="eastAsia" w:ascii="宋体" w:hAnsi="宋体" w:eastAsia="宋体" w:cs="宋体"/>
                <w:i w:val="0"/>
                <w:iCs w:val="0"/>
                <w:color w:val="000000"/>
                <w:sz w:val="18"/>
                <w:szCs w:val="18"/>
                <w:u w:val="none"/>
              </w:rPr>
            </w:pPr>
          </w:p>
        </w:tc>
        <w:tc>
          <w:tcPr>
            <w:tcW w:w="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67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58A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可持续影响力</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3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F2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4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3BD06">
            <w:pPr>
              <w:jc w:val="center"/>
              <w:rPr>
                <w:rFonts w:hint="eastAsia" w:ascii="宋体" w:hAnsi="宋体" w:eastAsia="宋体" w:cs="宋体"/>
                <w:i w:val="0"/>
                <w:iCs w:val="0"/>
                <w:color w:val="000000"/>
                <w:sz w:val="18"/>
                <w:szCs w:val="18"/>
                <w:u w:val="none"/>
              </w:rPr>
            </w:pP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F994D">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80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C3DDA">
            <w:pPr>
              <w:jc w:val="center"/>
              <w:rPr>
                <w:rFonts w:hint="eastAsia" w:ascii="宋体" w:hAnsi="宋体" w:eastAsia="宋体" w:cs="宋体"/>
                <w:i w:val="0"/>
                <w:iCs w:val="0"/>
                <w:color w:val="000000"/>
                <w:sz w:val="18"/>
                <w:szCs w:val="18"/>
                <w:u w:val="none"/>
              </w:rPr>
            </w:pPr>
          </w:p>
        </w:tc>
        <w:tc>
          <w:tcPr>
            <w:tcW w:w="29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30E494">
            <w:pPr>
              <w:jc w:val="center"/>
              <w:rPr>
                <w:rFonts w:hint="eastAsia" w:ascii="微软雅黑" w:hAnsi="微软雅黑" w:eastAsia="微软雅黑" w:cs="微软雅黑"/>
                <w:i/>
                <w:iCs/>
                <w:color w:val="000000"/>
                <w:sz w:val="16"/>
                <w:szCs w:val="16"/>
                <w:u w:val="none"/>
              </w:rPr>
            </w:pPr>
          </w:p>
        </w:tc>
      </w:tr>
      <w:tr w14:paraId="5C706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95EBA">
            <w:pPr>
              <w:jc w:val="center"/>
              <w:rPr>
                <w:rFonts w:hint="eastAsia" w:ascii="宋体" w:hAnsi="宋体" w:eastAsia="宋体" w:cs="宋体"/>
                <w:i w:val="0"/>
                <w:iCs w:val="0"/>
                <w:color w:val="000000"/>
                <w:sz w:val="18"/>
                <w:szCs w:val="18"/>
                <w:u w:val="none"/>
              </w:rPr>
            </w:pP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E90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2F6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FA3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村干部及群众满意度</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F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2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6E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3A0FF">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41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8B10AA">
            <w:pPr>
              <w:jc w:val="center"/>
              <w:rPr>
                <w:rFonts w:hint="eastAsia" w:ascii="宋体" w:hAnsi="宋体" w:eastAsia="宋体" w:cs="宋体"/>
                <w:i w:val="0"/>
                <w:iCs w:val="0"/>
                <w:color w:val="000000"/>
                <w:sz w:val="18"/>
                <w:szCs w:val="18"/>
                <w:u w:val="none"/>
              </w:rPr>
            </w:pPr>
          </w:p>
        </w:tc>
        <w:tc>
          <w:tcPr>
            <w:tcW w:w="29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FD13A6">
            <w:pPr>
              <w:jc w:val="center"/>
              <w:rPr>
                <w:rFonts w:hint="eastAsia" w:ascii="微软雅黑" w:hAnsi="微软雅黑" w:eastAsia="微软雅黑" w:cs="微软雅黑"/>
                <w:i/>
                <w:iCs/>
                <w:color w:val="000000"/>
                <w:sz w:val="16"/>
                <w:szCs w:val="16"/>
                <w:u w:val="none"/>
              </w:rPr>
            </w:pPr>
          </w:p>
        </w:tc>
      </w:tr>
      <w:tr w14:paraId="3C326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74943">
            <w:pPr>
              <w:jc w:val="center"/>
              <w:rPr>
                <w:rFonts w:hint="eastAsia" w:ascii="宋体" w:hAnsi="宋体" w:eastAsia="宋体" w:cs="宋体"/>
                <w:i w:val="0"/>
                <w:iCs w:val="0"/>
                <w:color w:val="000000"/>
                <w:sz w:val="18"/>
                <w:szCs w:val="18"/>
                <w:u w:val="none"/>
              </w:rPr>
            </w:pPr>
          </w:p>
        </w:tc>
        <w:tc>
          <w:tcPr>
            <w:tcW w:w="8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BB8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CF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2B3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1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3D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6A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B7C06">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2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35047">
            <w:pPr>
              <w:jc w:val="center"/>
              <w:rPr>
                <w:rFonts w:hint="eastAsia" w:ascii="宋体" w:hAnsi="宋体" w:eastAsia="宋体" w:cs="宋体"/>
                <w:i w:val="0"/>
                <w:iCs w:val="0"/>
                <w:color w:val="000000"/>
                <w:sz w:val="18"/>
                <w:szCs w:val="18"/>
                <w:u w:val="none"/>
              </w:rPr>
            </w:pPr>
          </w:p>
        </w:tc>
        <w:tc>
          <w:tcPr>
            <w:tcW w:w="29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552536">
            <w:pPr>
              <w:jc w:val="center"/>
              <w:rPr>
                <w:rFonts w:hint="eastAsia" w:ascii="微软雅黑" w:hAnsi="微软雅黑" w:eastAsia="微软雅黑" w:cs="微软雅黑"/>
                <w:i/>
                <w:iCs/>
                <w:color w:val="000000"/>
                <w:sz w:val="16"/>
                <w:szCs w:val="16"/>
                <w:u w:val="none"/>
              </w:rPr>
            </w:pPr>
          </w:p>
        </w:tc>
      </w:tr>
      <w:tr w14:paraId="12D62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59"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8C07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0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C7D334">
            <w:pPr>
              <w:rPr>
                <w:rFonts w:hint="eastAsia" w:ascii="宋体" w:hAnsi="宋体" w:eastAsia="宋体" w:cs="宋体"/>
                <w:i w:val="0"/>
                <w:iCs w:val="0"/>
                <w:color w:val="000000"/>
                <w:sz w:val="18"/>
                <w:szCs w:val="18"/>
                <w:u w:val="none"/>
              </w:rPr>
            </w:pPr>
          </w:p>
        </w:tc>
        <w:tc>
          <w:tcPr>
            <w:tcW w:w="29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405D3C">
            <w:pPr>
              <w:rPr>
                <w:rFonts w:hint="eastAsia" w:ascii="宋体" w:hAnsi="宋体" w:eastAsia="宋体" w:cs="宋体"/>
                <w:i w:val="0"/>
                <w:iCs w:val="0"/>
                <w:color w:val="000000"/>
                <w:sz w:val="18"/>
                <w:szCs w:val="18"/>
                <w:u w:val="none"/>
              </w:rPr>
            </w:pPr>
          </w:p>
        </w:tc>
      </w:tr>
      <w:tr w14:paraId="1EBE5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13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03"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397248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结合自评情况，说明项目自评总分，说明项目实施取得的成效或成果。（200字以内）</w:t>
            </w:r>
          </w:p>
        </w:tc>
      </w:tr>
      <w:tr w14:paraId="5CD04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83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03"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5D8E985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结合自评情况，分析存在的问题及原因。（200字以内）</w:t>
            </w:r>
          </w:p>
        </w:tc>
      </w:tr>
      <w:tr w14:paraId="2E1E9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5A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03"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0A0F9F0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针对项目自评中发现的问题，提出下一步改进完善的意见及有关政策性建议。（200字以内）</w:t>
            </w:r>
          </w:p>
        </w:tc>
      </w:tr>
      <w:tr w14:paraId="31E4D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5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78271E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849"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124907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DF75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01" w:type="dxa"/>
            <w:tcBorders>
              <w:top w:val="nil"/>
              <w:left w:val="nil"/>
              <w:bottom w:val="nil"/>
              <w:right w:val="nil"/>
            </w:tcBorders>
            <w:shd w:val="clear" w:color="auto" w:fill="auto"/>
            <w:vAlign w:val="center"/>
          </w:tcPr>
          <w:p w14:paraId="509C566F">
            <w:pPr>
              <w:rPr>
                <w:rFonts w:hint="eastAsia" w:ascii="宋体" w:hAnsi="宋体" w:eastAsia="宋体" w:cs="宋体"/>
                <w:i w:val="0"/>
                <w:iCs w:val="0"/>
                <w:color w:val="000000"/>
                <w:sz w:val="18"/>
                <w:szCs w:val="18"/>
                <w:u w:val="none"/>
              </w:rPr>
            </w:pPr>
          </w:p>
        </w:tc>
        <w:tc>
          <w:tcPr>
            <w:tcW w:w="859" w:type="dxa"/>
            <w:gridSpan w:val="2"/>
            <w:tcBorders>
              <w:top w:val="nil"/>
              <w:left w:val="nil"/>
              <w:bottom w:val="nil"/>
              <w:right w:val="nil"/>
            </w:tcBorders>
            <w:shd w:val="clear" w:color="auto" w:fill="auto"/>
            <w:vAlign w:val="center"/>
          </w:tcPr>
          <w:p w14:paraId="5147D8FF">
            <w:pPr>
              <w:rPr>
                <w:rFonts w:hint="eastAsia" w:ascii="宋体" w:hAnsi="宋体" w:eastAsia="宋体" w:cs="宋体"/>
                <w:i w:val="0"/>
                <w:iCs w:val="0"/>
                <w:color w:val="000000"/>
                <w:sz w:val="18"/>
                <w:szCs w:val="18"/>
                <w:u w:val="none"/>
              </w:rPr>
            </w:pPr>
          </w:p>
        </w:tc>
        <w:tc>
          <w:tcPr>
            <w:tcW w:w="943" w:type="dxa"/>
            <w:gridSpan w:val="2"/>
            <w:tcBorders>
              <w:top w:val="nil"/>
              <w:left w:val="nil"/>
              <w:bottom w:val="nil"/>
              <w:right w:val="nil"/>
            </w:tcBorders>
            <w:shd w:val="clear" w:color="auto" w:fill="auto"/>
            <w:vAlign w:val="center"/>
          </w:tcPr>
          <w:p w14:paraId="616B127A">
            <w:pPr>
              <w:rPr>
                <w:rFonts w:hint="eastAsia" w:ascii="宋体" w:hAnsi="宋体" w:eastAsia="宋体" w:cs="宋体"/>
                <w:i w:val="0"/>
                <w:iCs w:val="0"/>
                <w:color w:val="000000"/>
                <w:sz w:val="18"/>
                <w:szCs w:val="18"/>
                <w:u w:val="none"/>
              </w:rPr>
            </w:pPr>
          </w:p>
        </w:tc>
        <w:tc>
          <w:tcPr>
            <w:tcW w:w="1039" w:type="dxa"/>
            <w:gridSpan w:val="2"/>
            <w:tcBorders>
              <w:top w:val="nil"/>
              <w:left w:val="nil"/>
              <w:bottom w:val="nil"/>
              <w:right w:val="nil"/>
            </w:tcBorders>
            <w:shd w:val="clear" w:color="auto" w:fill="auto"/>
            <w:vAlign w:val="center"/>
          </w:tcPr>
          <w:p w14:paraId="42240CFC">
            <w:pPr>
              <w:rPr>
                <w:rFonts w:hint="eastAsia" w:ascii="宋体" w:hAnsi="宋体" w:eastAsia="宋体" w:cs="宋体"/>
                <w:i w:val="0"/>
                <w:iCs w:val="0"/>
                <w:color w:val="000000"/>
                <w:sz w:val="18"/>
                <w:szCs w:val="18"/>
                <w:u w:val="none"/>
              </w:rPr>
            </w:pPr>
          </w:p>
        </w:tc>
        <w:tc>
          <w:tcPr>
            <w:tcW w:w="413" w:type="dxa"/>
            <w:tcBorders>
              <w:top w:val="nil"/>
              <w:left w:val="nil"/>
              <w:bottom w:val="nil"/>
              <w:right w:val="nil"/>
            </w:tcBorders>
            <w:shd w:val="clear" w:color="auto" w:fill="auto"/>
            <w:vAlign w:val="center"/>
          </w:tcPr>
          <w:p w14:paraId="1ABBF6FA">
            <w:pPr>
              <w:rPr>
                <w:rFonts w:hint="eastAsia" w:ascii="宋体" w:hAnsi="宋体" w:eastAsia="宋体" w:cs="宋体"/>
                <w:i w:val="0"/>
                <w:iCs w:val="0"/>
                <w:color w:val="000000"/>
                <w:sz w:val="18"/>
                <w:szCs w:val="18"/>
                <w:u w:val="none"/>
              </w:rPr>
            </w:pPr>
          </w:p>
        </w:tc>
        <w:tc>
          <w:tcPr>
            <w:tcW w:w="712" w:type="dxa"/>
            <w:tcBorders>
              <w:top w:val="nil"/>
              <w:left w:val="nil"/>
              <w:bottom w:val="nil"/>
              <w:right w:val="nil"/>
            </w:tcBorders>
            <w:shd w:val="clear" w:color="auto" w:fill="auto"/>
            <w:vAlign w:val="center"/>
          </w:tcPr>
          <w:p w14:paraId="5363294C">
            <w:pPr>
              <w:rPr>
                <w:rFonts w:hint="eastAsia" w:ascii="宋体" w:hAnsi="宋体" w:eastAsia="宋体" w:cs="宋体"/>
                <w:i w:val="0"/>
                <w:iCs w:val="0"/>
                <w:color w:val="000000"/>
                <w:sz w:val="18"/>
                <w:szCs w:val="18"/>
                <w:u w:val="none"/>
              </w:rPr>
            </w:pPr>
          </w:p>
        </w:tc>
        <w:tc>
          <w:tcPr>
            <w:tcW w:w="413" w:type="dxa"/>
            <w:gridSpan w:val="2"/>
            <w:tcBorders>
              <w:top w:val="nil"/>
              <w:left w:val="nil"/>
              <w:bottom w:val="nil"/>
              <w:right w:val="nil"/>
            </w:tcBorders>
            <w:shd w:val="clear" w:color="auto" w:fill="auto"/>
            <w:vAlign w:val="center"/>
          </w:tcPr>
          <w:p w14:paraId="18AF44A2">
            <w:pPr>
              <w:rPr>
                <w:rFonts w:hint="eastAsia" w:ascii="宋体" w:hAnsi="宋体" w:eastAsia="宋体" w:cs="宋体"/>
                <w:i w:val="0"/>
                <w:iCs w:val="0"/>
                <w:color w:val="000000"/>
                <w:sz w:val="18"/>
                <w:szCs w:val="18"/>
                <w:u w:val="none"/>
              </w:rPr>
            </w:pPr>
          </w:p>
        </w:tc>
        <w:tc>
          <w:tcPr>
            <w:tcW w:w="879" w:type="dxa"/>
            <w:gridSpan w:val="2"/>
            <w:tcBorders>
              <w:top w:val="nil"/>
              <w:left w:val="nil"/>
              <w:bottom w:val="nil"/>
              <w:right w:val="nil"/>
            </w:tcBorders>
            <w:shd w:val="clear" w:color="auto" w:fill="auto"/>
            <w:vAlign w:val="center"/>
          </w:tcPr>
          <w:p w14:paraId="28097658">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24089B84">
            <w:pPr>
              <w:rPr>
                <w:rFonts w:hint="eastAsia" w:ascii="宋体" w:hAnsi="宋体" w:eastAsia="宋体" w:cs="宋体"/>
                <w:i w:val="0"/>
                <w:iCs w:val="0"/>
                <w:color w:val="000000"/>
                <w:sz w:val="18"/>
                <w:szCs w:val="18"/>
                <w:u w:val="none"/>
              </w:rPr>
            </w:pPr>
          </w:p>
        </w:tc>
        <w:tc>
          <w:tcPr>
            <w:tcW w:w="410" w:type="dxa"/>
            <w:gridSpan w:val="2"/>
            <w:tcBorders>
              <w:top w:val="nil"/>
              <w:left w:val="nil"/>
              <w:bottom w:val="nil"/>
              <w:right w:val="nil"/>
            </w:tcBorders>
            <w:shd w:val="clear" w:color="auto" w:fill="auto"/>
            <w:vAlign w:val="center"/>
          </w:tcPr>
          <w:p w14:paraId="66A06AC8">
            <w:pPr>
              <w:rPr>
                <w:rFonts w:hint="eastAsia" w:ascii="宋体" w:hAnsi="宋体" w:eastAsia="宋体" w:cs="宋体"/>
                <w:i w:val="0"/>
                <w:iCs w:val="0"/>
                <w:color w:val="000000"/>
                <w:sz w:val="18"/>
                <w:szCs w:val="18"/>
                <w:u w:val="none"/>
              </w:rPr>
            </w:pPr>
          </w:p>
        </w:tc>
        <w:tc>
          <w:tcPr>
            <w:tcW w:w="2949" w:type="dxa"/>
            <w:gridSpan w:val="5"/>
            <w:tcBorders>
              <w:top w:val="nil"/>
              <w:left w:val="nil"/>
              <w:bottom w:val="nil"/>
              <w:right w:val="nil"/>
            </w:tcBorders>
            <w:shd w:val="clear" w:color="auto" w:fill="auto"/>
            <w:vAlign w:val="center"/>
          </w:tcPr>
          <w:p w14:paraId="4ADBDA11">
            <w:pPr>
              <w:rPr>
                <w:rFonts w:hint="eastAsia" w:ascii="宋体" w:hAnsi="宋体" w:eastAsia="宋体" w:cs="宋体"/>
                <w:i w:val="0"/>
                <w:iCs w:val="0"/>
                <w:color w:val="000000"/>
                <w:sz w:val="18"/>
                <w:szCs w:val="18"/>
                <w:u w:val="none"/>
              </w:rPr>
            </w:pPr>
          </w:p>
        </w:tc>
      </w:tr>
      <w:tr w14:paraId="7CDF4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4" w:hRule="atLeast"/>
        </w:trPr>
        <w:tc>
          <w:tcPr>
            <w:tcW w:w="970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03E0DA96">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5EA6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0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88B5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676"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058801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51322425T000012186457-2024年松潘县小姓乡农村生活污水治理</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千村示范工程</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项目</w:t>
            </w:r>
          </w:p>
        </w:tc>
      </w:tr>
      <w:tr w14:paraId="295E9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0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3C20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971"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A738C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松潘县小姓乡人民政府</w:t>
            </w:r>
          </w:p>
        </w:tc>
        <w:tc>
          <w:tcPr>
            <w:tcW w:w="904" w:type="dxa"/>
            <w:tcBorders>
              <w:top w:val="nil"/>
              <w:left w:val="nil"/>
              <w:bottom w:val="nil"/>
              <w:right w:val="nil"/>
            </w:tcBorders>
            <w:shd w:val="clear" w:color="auto" w:fill="auto"/>
            <w:vAlign w:val="center"/>
          </w:tcPr>
          <w:p w14:paraId="4D1424B7">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B80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松潘县小姓乡人民政府</w:t>
            </w:r>
          </w:p>
        </w:tc>
      </w:tr>
      <w:tr w14:paraId="1C59D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67E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09D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971"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F006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E548F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382A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0BBEC">
            <w:pPr>
              <w:rPr>
                <w:rFonts w:hint="eastAsia" w:ascii="宋体" w:hAnsi="宋体" w:eastAsia="宋体" w:cs="宋体"/>
                <w:i w:val="0"/>
                <w:iCs w:val="0"/>
                <w:color w:val="000000"/>
                <w:sz w:val="18"/>
                <w:szCs w:val="18"/>
                <w:u w:val="none"/>
              </w:rPr>
            </w:pPr>
          </w:p>
        </w:tc>
        <w:tc>
          <w:tcPr>
            <w:tcW w:w="13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0593F">
            <w:pPr>
              <w:rPr>
                <w:rFonts w:hint="eastAsia" w:ascii="宋体" w:hAnsi="宋体" w:eastAsia="宋体" w:cs="宋体"/>
                <w:i w:val="0"/>
                <w:iCs w:val="0"/>
                <w:color w:val="000000"/>
                <w:sz w:val="18"/>
                <w:szCs w:val="18"/>
                <w:u w:val="none"/>
              </w:rPr>
            </w:pPr>
          </w:p>
        </w:tc>
        <w:tc>
          <w:tcPr>
            <w:tcW w:w="4971"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B84D19C">
            <w:pPr>
              <w:rPr>
                <w:rFonts w:hint="eastAsia" w:ascii="宋体" w:hAnsi="宋体" w:eastAsia="宋体" w:cs="宋体"/>
                <w:i w:val="0"/>
                <w:iCs w:val="0"/>
                <w:color w:val="000000"/>
                <w:sz w:val="18"/>
                <w:szCs w:val="18"/>
                <w:u w:val="none"/>
              </w:rPr>
            </w:pPr>
          </w:p>
        </w:tc>
        <w:tc>
          <w:tcPr>
            <w:tcW w:w="27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F2F68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550B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80DAC">
            <w:pPr>
              <w:rPr>
                <w:rFonts w:hint="eastAsia" w:ascii="宋体" w:hAnsi="宋体" w:eastAsia="宋体" w:cs="宋体"/>
                <w:i w:val="0"/>
                <w:iCs w:val="0"/>
                <w:color w:val="000000"/>
                <w:sz w:val="18"/>
                <w:szCs w:val="18"/>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0393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676"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7BBAEACC">
            <w:pPr>
              <w:rPr>
                <w:rFonts w:hint="eastAsia" w:ascii="宋体" w:hAnsi="宋体" w:eastAsia="宋体" w:cs="宋体"/>
                <w:i w:val="0"/>
                <w:iCs w:val="0"/>
                <w:color w:val="000000"/>
                <w:sz w:val="18"/>
                <w:szCs w:val="18"/>
                <w:u w:val="none"/>
              </w:rPr>
            </w:pPr>
          </w:p>
        </w:tc>
      </w:tr>
      <w:tr w14:paraId="718BC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993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AE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9EF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919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3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7317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C9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A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2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1B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3EB4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5D00A">
            <w:pPr>
              <w:jc w:val="center"/>
              <w:rPr>
                <w:rFonts w:hint="eastAsia" w:ascii="宋体" w:hAnsi="宋体" w:eastAsia="宋体" w:cs="宋体"/>
                <w:i w:val="0"/>
                <w:iCs w:val="0"/>
                <w:color w:val="000000"/>
                <w:sz w:val="18"/>
                <w:szCs w:val="18"/>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EA9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E1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A2B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3.20</w:t>
            </w:r>
          </w:p>
        </w:tc>
        <w:tc>
          <w:tcPr>
            <w:tcW w:w="23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F00D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3.20</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64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4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F1B22">
            <w:pPr>
              <w:jc w:val="center"/>
              <w:rPr>
                <w:rFonts w:hint="eastAsia" w:ascii="宋体" w:hAnsi="宋体" w:eastAsia="宋体" w:cs="宋体"/>
                <w:i w:val="0"/>
                <w:iCs w:val="0"/>
                <w:color w:val="000000"/>
                <w:sz w:val="18"/>
                <w:szCs w:val="18"/>
                <w:u w:val="none"/>
              </w:rPr>
            </w:pPr>
          </w:p>
        </w:tc>
        <w:tc>
          <w:tcPr>
            <w:tcW w:w="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8A14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C7EC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AB404">
            <w:pPr>
              <w:jc w:val="center"/>
              <w:rPr>
                <w:rFonts w:hint="eastAsia" w:ascii="宋体" w:hAnsi="宋体" w:eastAsia="宋体" w:cs="宋体"/>
                <w:i w:val="0"/>
                <w:iCs w:val="0"/>
                <w:color w:val="000000"/>
                <w:sz w:val="18"/>
                <w:szCs w:val="18"/>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915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F28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661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3.20</w:t>
            </w:r>
          </w:p>
        </w:tc>
        <w:tc>
          <w:tcPr>
            <w:tcW w:w="23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8EB7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3.20</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1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3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9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AB9F1">
            <w:pPr>
              <w:rPr>
                <w:rFonts w:hint="eastAsia" w:ascii="黑体" w:hAnsi="黑体" w:eastAsia="黑体" w:cs="黑体"/>
                <w:i w:val="0"/>
                <w:iCs w:val="0"/>
                <w:color w:val="000000"/>
                <w:sz w:val="18"/>
                <w:szCs w:val="18"/>
                <w:u w:val="none"/>
              </w:rPr>
            </w:pPr>
          </w:p>
        </w:tc>
      </w:tr>
      <w:tr w14:paraId="7010E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57C39">
            <w:pPr>
              <w:jc w:val="center"/>
              <w:rPr>
                <w:rFonts w:hint="eastAsia" w:ascii="宋体" w:hAnsi="宋体" w:eastAsia="宋体" w:cs="宋体"/>
                <w:i w:val="0"/>
                <w:iCs w:val="0"/>
                <w:color w:val="000000"/>
                <w:sz w:val="18"/>
                <w:szCs w:val="18"/>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C14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38B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F86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A522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64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6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7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FC83D">
            <w:pPr>
              <w:rPr>
                <w:rFonts w:hint="eastAsia" w:ascii="黑体" w:hAnsi="黑体" w:eastAsia="黑体" w:cs="黑体"/>
                <w:i w:val="0"/>
                <w:iCs w:val="0"/>
                <w:color w:val="000000"/>
                <w:sz w:val="18"/>
                <w:szCs w:val="18"/>
                <w:u w:val="none"/>
              </w:rPr>
            </w:pPr>
          </w:p>
        </w:tc>
      </w:tr>
      <w:tr w14:paraId="256F3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ABBAC">
            <w:pPr>
              <w:jc w:val="center"/>
              <w:rPr>
                <w:rFonts w:hint="eastAsia" w:ascii="宋体" w:hAnsi="宋体" w:eastAsia="宋体" w:cs="宋体"/>
                <w:i w:val="0"/>
                <w:iCs w:val="0"/>
                <w:color w:val="000000"/>
                <w:sz w:val="18"/>
                <w:szCs w:val="18"/>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C07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3F1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A73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E116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9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CF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1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20B4A">
            <w:pPr>
              <w:rPr>
                <w:rFonts w:hint="eastAsia" w:ascii="黑体" w:hAnsi="黑体" w:eastAsia="黑体" w:cs="黑体"/>
                <w:i w:val="0"/>
                <w:iCs w:val="0"/>
                <w:color w:val="000000"/>
                <w:sz w:val="18"/>
                <w:szCs w:val="18"/>
                <w:u w:val="none"/>
              </w:rPr>
            </w:pPr>
          </w:p>
        </w:tc>
      </w:tr>
      <w:tr w14:paraId="00949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D4AC8">
            <w:pPr>
              <w:jc w:val="center"/>
              <w:rPr>
                <w:rFonts w:hint="eastAsia" w:ascii="宋体" w:hAnsi="宋体" w:eastAsia="宋体" w:cs="宋体"/>
                <w:i w:val="0"/>
                <w:iCs w:val="0"/>
                <w:color w:val="000000"/>
                <w:sz w:val="18"/>
                <w:szCs w:val="18"/>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A06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E8D60">
            <w:pPr>
              <w:jc w:val="center"/>
              <w:rPr>
                <w:rFonts w:hint="eastAsia" w:ascii="微软雅黑" w:hAnsi="微软雅黑" w:eastAsia="微软雅黑" w:cs="微软雅黑"/>
                <w:i w:val="0"/>
                <w:iCs w:val="0"/>
                <w:color w:val="000000"/>
                <w:sz w:val="16"/>
                <w:szCs w:val="16"/>
                <w:u w:val="none"/>
              </w:rPr>
            </w:pPr>
          </w:p>
        </w:tc>
        <w:tc>
          <w:tcPr>
            <w:tcW w:w="14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79C2D8">
            <w:pPr>
              <w:jc w:val="center"/>
              <w:rPr>
                <w:rFonts w:hint="eastAsia" w:ascii="微软雅黑" w:hAnsi="微软雅黑" w:eastAsia="微软雅黑" w:cs="微软雅黑"/>
                <w:i w:val="0"/>
                <w:iCs w:val="0"/>
                <w:color w:val="000000"/>
                <w:sz w:val="16"/>
                <w:szCs w:val="16"/>
                <w:u w:val="none"/>
              </w:rPr>
            </w:pPr>
          </w:p>
        </w:tc>
        <w:tc>
          <w:tcPr>
            <w:tcW w:w="23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C4C55E0">
            <w:pPr>
              <w:jc w:val="center"/>
              <w:rPr>
                <w:rFonts w:hint="eastAsia" w:ascii="微软雅黑" w:hAnsi="微软雅黑" w:eastAsia="微软雅黑" w:cs="微软雅黑"/>
                <w:i w:val="0"/>
                <w:iCs w:val="0"/>
                <w:color w:val="000000"/>
                <w:sz w:val="16"/>
                <w:szCs w:val="16"/>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50EF">
            <w:pPr>
              <w:jc w:val="center"/>
              <w:rPr>
                <w:rFonts w:hint="eastAsia" w:ascii="微软雅黑" w:hAnsi="微软雅黑" w:eastAsia="微软雅黑" w:cs="微软雅黑"/>
                <w:i w:val="0"/>
                <w:iCs w:val="0"/>
                <w:color w:val="000000"/>
                <w:sz w:val="16"/>
                <w:szCs w:val="16"/>
                <w:u w:val="none"/>
              </w:rPr>
            </w:pP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A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C0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F86B2">
            <w:pPr>
              <w:rPr>
                <w:rFonts w:hint="eastAsia" w:ascii="黑体" w:hAnsi="黑体" w:eastAsia="黑体" w:cs="黑体"/>
                <w:i w:val="0"/>
                <w:iCs w:val="0"/>
                <w:color w:val="000000"/>
                <w:sz w:val="18"/>
                <w:szCs w:val="18"/>
                <w:u w:val="none"/>
              </w:rPr>
            </w:pPr>
          </w:p>
        </w:tc>
      </w:tr>
      <w:tr w14:paraId="65F74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BEE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541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A9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694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438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4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C15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3DB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C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21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86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C6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9E9C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9E949">
            <w:pPr>
              <w:jc w:val="center"/>
              <w:rPr>
                <w:rFonts w:hint="eastAsia" w:ascii="宋体" w:hAnsi="宋体" w:eastAsia="宋体" w:cs="宋体"/>
                <w:i w:val="0"/>
                <w:iCs w:val="0"/>
                <w:color w:val="000000"/>
                <w:sz w:val="18"/>
                <w:szCs w:val="18"/>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177B72">
            <w:pPr>
              <w:jc w:val="center"/>
              <w:rPr>
                <w:rFonts w:hint="eastAsia" w:ascii="宋体" w:hAnsi="宋体" w:eastAsia="宋体" w:cs="宋体"/>
                <w:i w:val="0"/>
                <w:iCs w:val="0"/>
                <w:color w:val="000000"/>
                <w:sz w:val="18"/>
                <w:szCs w:val="18"/>
                <w:u w:val="none"/>
              </w:rPr>
            </w:pPr>
          </w:p>
        </w:tc>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9A61D">
            <w:pPr>
              <w:jc w:val="center"/>
              <w:rPr>
                <w:rFonts w:hint="eastAsia" w:ascii="宋体" w:hAnsi="宋体" w:eastAsia="宋体" w:cs="宋体"/>
                <w:i w:val="0"/>
                <w:iCs w:val="0"/>
                <w:color w:val="000000"/>
                <w:sz w:val="18"/>
                <w:szCs w:val="18"/>
                <w:u w:val="none"/>
              </w:rPr>
            </w:pPr>
          </w:p>
        </w:tc>
        <w:tc>
          <w:tcPr>
            <w:tcW w:w="14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EF8DD1">
            <w:pPr>
              <w:jc w:val="center"/>
              <w:rPr>
                <w:rFonts w:hint="eastAsia" w:ascii="宋体" w:hAnsi="宋体" w:eastAsia="宋体" w:cs="宋体"/>
                <w:i w:val="0"/>
                <w:iCs w:val="0"/>
                <w:color w:val="000000"/>
                <w:sz w:val="18"/>
                <w:szCs w:val="18"/>
                <w:u w:val="none"/>
              </w:rPr>
            </w:pPr>
          </w:p>
        </w:tc>
        <w:tc>
          <w:tcPr>
            <w:tcW w:w="4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30A36">
            <w:pPr>
              <w:jc w:val="center"/>
              <w:rPr>
                <w:rFonts w:hint="eastAsia" w:ascii="宋体" w:hAnsi="宋体" w:eastAsia="宋体" w:cs="宋体"/>
                <w:i w:val="0"/>
                <w:iCs w:val="0"/>
                <w:color w:val="000000"/>
                <w:sz w:val="18"/>
                <w:szCs w:val="18"/>
                <w:u w:val="none"/>
              </w:rPr>
            </w:pPr>
          </w:p>
        </w:tc>
        <w:tc>
          <w:tcPr>
            <w:tcW w:w="14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2F6693">
            <w:pPr>
              <w:jc w:val="center"/>
              <w:rPr>
                <w:rFonts w:hint="eastAsia" w:ascii="宋体" w:hAnsi="宋体" w:eastAsia="宋体" w:cs="宋体"/>
                <w:i w:val="0"/>
                <w:iCs w:val="0"/>
                <w:color w:val="000000"/>
                <w:sz w:val="18"/>
                <w:szCs w:val="18"/>
                <w:u w:val="none"/>
              </w:rPr>
            </w:pPr>
          </w:p>
        </w:tc>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8E8D5">
            <w:pPr>
              <w:jc w:val="center"/>
              <w:rPr>
                <w:rFonts w:hint="eastAsia" w:ascii="宋体" w:hAnsi="宋体" w:eastAsia="宋体" w:cs="宋体"/>
                <w:i w:val="0"/>
                <w:iCs w:val="0"/>
                <w:color w:val="000000"/>
                <w:sz w:val="18"/>
                <w:szCs w:val="18"/>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D682A">
            <w:pPr>
              <w:jc w:val="center"/>
              <w:rPr>
                <w:rFonts w:hint="eastAsia" w:ascii="微软雅黑" w:hAnsi="微软雅黑" w:eastAsia="微软雅黑" w:cs="微软雅黑"/>
                <w:i w:val="0"/>
                <w:iCs w:val="0"/>
                <w:color w:val="000000"/>
                <w:sz w:val="16"/>
                <w:szCs w:val="16"/>
                <w:u w:val="none"/>
              </w:rPr>
            </w:pP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91016">
            <w:pPr>
              <w:jc w:val="center"/>
              <w:rPr>
                <w:rFonts w:hint="eastAsia" w:ascii="宋体" w:hAnsi="宋体" w:eastAsia="宋体" w:cs="宋体"/>
                <w:i w:val="0"/>
                <w:iCs w:val="0"/>
                <w:color w:val="000000"/>
                <w:sz w:val="18"/>
                <w:szCs w:val="18"/>
                <w:u w:val="none"/>
              </w:rPr>
            </w:pP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31FD">
            <w:pPr>
              <w:jc w:val="center"/>
              <w:rPr>
                <w:rFonts w:hint="eastAsia" w:ascii="宋体" w:hAnsi="宋体" w:eastAsia="宋体" w:cs="宋体"/>
                <w:i w:val="0"/>
                <w:iCs w:val="0"/>
                <w:color w:val="000000"/>
                <w:sz w:val="18"/>
                <w:szCs w:val="18"/>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EF89">
            <w:pPr>
              <w:jc w:val="center"/>
              <w:rPr>
                <w:rFonts w:hint="eastAsia" w:ascii="微软雅黑" w:hAnsi="微软雅黑" w:eastAsia="微软雅黑" w:cs="微软雅黑"/>
                <w:i w:val="0"/>
                <w:iCs w:val="0"/>
                <w:color w:val="000000"/>
                <w:sz w:val="16"/>
                <w:szCs w:val="16"/>
                <w:u w:val="none"/>
              </w:rPr>
            </w:pPr>
          </w:p>
        </w:tc>
      </w:tr>
      <w:tr w14:paraId="4A37B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903"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9A68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90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5EC6F">
            <w:pPr>
              <w:rPr>
                <w:rFonts w:hint="eastAsia" w:ascii="宋体" w:hAnsi="宋体" w:eastAsia="宋体" w:cs="宋体"/>
                <w:i w:val="0"/>
                <w:iCs w:val="0"/>
                <w:color w:val="000000"/>
                <w:sz w:val="18"/>
                <w:szCs w:val="18"/>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14A9">
            <w:pPr>
              <w:rPr>
                <w:rFonts w:hint="eastAsia" w:ascii="宋体" w:hAnsi="宋体" w:eastAsia="宋体" w:cs="宋体"/>
                <w:i w:val="0"/>
                <w:iCs w:val="0"/>
                <w:color w:val="000000"/>
                <w:sz w:val="18"/>
                <w:szCs w:val="18"/>
                <w:u w:val="none"/>
              </w:rPr>
            </w:pPr>
          </w:p>
        </w:tc>
      </w:tr>
      <w:tr w14:paraId="5B5FA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F80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016"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77FC8AB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结合自评情况，说明项目自评总分，说明项目实施取得的成效或成果。（200字以内）</w:t>
            </w:r>
          </w:p>
        </w:tc>
      </w:tr>
      <w:tr w14:paraId="72FD6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6A5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016"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664E1B9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结合自评情况，分析存在的问题及原因。（200字以内）</w:t>
            </w:r>
          </w:p>
        </w:tc>
      </w:tr>
      <w:tr w14:paraId="76526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05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016"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1A6E59C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针对项目自评中发现的问题，提出下一步改进完善的意见及有关政策性建议。（200字以内）</w:t>
            </w:r>
          </w:p>
        </w:tc>
      </w:tr>
      <w:tr w14:paraId="46D2D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91"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8DF5AF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61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21B65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A749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70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0A0E30C9">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CAAB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0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8FA7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676"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463B33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51322425T000012278554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松潘县小姓乡政府办公居住条件提升改善建设项目</w:t>
            </w:r>
          </w:p>
        </w:tc>
      </w:tr>
      <w:tr w14:paraId="0EE82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02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E24E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971"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91DD4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松潘县小姓乡人民政府</w:t>
            </w:r>
          </w:p>
        </w:tc>
        <w:tc>
          <w:tcPr>
            <w:tcW w:w="904" w:type="dxa"/>
            <w:tcBorders>
              <w:top w:val="nil"/>
              <w:left w:val="nil"/>
              <w:bottom w:val="nil"/>
              <w:right w:val="nil"/>
            </w:tcBorders>
            <w:shd w:val="clear" w:color="auto" w:fill="auto"/>
            <w:vAlign w:val="center"/>
          </w:tcPr>
          <w:p w14:paraId="0B9CFC96">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270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松潘县小姓乡人民政府</w:t>
            </w:r>
          </w:p>
        </w:tc>
      </w:tr>
      <w:tr w14:paraId="30E83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BE52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27A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971"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1D99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5D742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B0F8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C471E">
            <w:pPr>
              <w:rPr>
                <w:rFonts w:hint="eastAsia" w:ascii="宋体" w:hAnsi="宋体" w:eastAsia="宋体" w:cs="宋体"/>
                <w:i w:val="0"/>
                <w:iCs w:val="0"/>
                <w:color w:val="000000"/>
                <w:sz w:val="18"/>
                <w:szCs w:val="18"/>
                <w:u w:val="none"/>
              </w:rPr>
            </w:pPr>
          </w:p>
        </w:tc>
        <w:tc>
          <w:tcPr>
            <w:tcW w:w="13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56E11">
            <w:pPr>
              <w:rPr>
                <w:rFonts w:hint="eastAsia" w:ascii="宋体" w:hAnsi="宋体" w:eastAsia="宋体" w:cs="宋体"/>
                <w:i w:val="0"/>
                <w:iCs w:val="0"/>
                <w:color w:val="000000"/>
                <w:sz w:val="18"/>
                <w:szCs w:val="18"/>
                <w:u w:val="none"/>
              </w:rPr>
            </w:pPr>
          </w:p>
        </w:tc>
        <w:tc>
          <w:tcPr>
            <w:tcW w:w="4971"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AB8F3E0">
            <w:pPr>
              <w:rPr>
                <w:rFonts w:hint="eastAsia" w:ascii="宋体" w:hAnsi="宋体" w:eastAsia="宋体" w:cs="宋体"/>
                <w:i w:val="0"/>
                <w:iCs w:val="0"/>
                <w:color w:val="000000"/>
                <w:sz w:val="18"/>
                <w:szCs w:val="18"/>
                <w:u w:val="none"/>
              </w:rPr>
            </w:pPr>
          </w:p>
        </w:tc>
        <w:tc>
          <w:tcPr>
            <w:tcW w:w="27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8B73B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BC3D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CE578">
            <w:pPr>
              <w:rPr>
                <w:rFonts w:hint="eastAsia" w:ascii="宋体" w:hAnsi="宋体" w:eastAsia="宋体" w:cs="宋体"/>
                <w:i w:val="0"/>
                <w:iCs w:val="0"/>
                <w:color w:val="000000"/>
                <w:sz w:val="18"/>
                <w:szCs w:val="18"/>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AB4B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676"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2AC293B1">
            <w:pPr>
              <w:rPr>
                <w:rFonts w:hint="eastAsia" w:ascii="宋体" w:hAnsi="宋体" w:eastAsia="宋体" w:cs="宋体"/>
                <w:i w:val="0"/>
                <w:iCs w:val="0"/>
                <w:color w:val="000000"/>
                <w:sz w:val="18"/>
                <w:szCs w:val="18"/>
                <w:u w:val="none"/>
              </w:rPr>
            </w:pPr>
          </w:p>
        </w:tc>
      </w:tr>
      <w:tr w14:paraId="1FB96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61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6D1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CC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E73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3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98F5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EA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C7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78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82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4C1B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AECAD">
            <w:pPr>
              <w:jc w:val="center"/>
              <w:rPr>
                <w:rFonts w:hint="eastAsia" w:ascii="宋体" w:hAnsi="宋体" w:eastAsia="宋体" w:cs="宋体"/>
                <w:i w:val="0"/>
                <w:iCs w:val="0"/>
                <w:color w:val="000000"/>
                <w:sz w:val="18"/>
                <w:szCs w:val="18"/>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D05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7A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6C2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88.83</w:t>
            </w:r>
          </w:p>
        </w:tc>
        <w:tc>
          <w:tcPr>
            <w:tcW w:w="23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C7A0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88.83</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33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14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AFB5">
            <w:pPr>
              <w:jc w:val="center"/>
              <w:rPr>
                <w:rFonts w:hint="eastAsia" w:ascii="宋体" w:hAnsi="宋体" w:eastAsia="宋体" w:cs="宋体"/>
                <w:i w:val="0"/>
                <w:iCs w:val="0"/>
                <w:color w:val="000000"/>
                <w:sz w:val="18"/>
                <w:szCs w:val="18"/>
                <w:u w:val="none"/>
              </w:rPr>
            </w:pPr>
          </w:p>
        </w:tc>
        <w:tc>
          <w:tcPr>
            <w:tcW w:w="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2E5F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BCCD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37C61">
            <w:pPr>
              <w:jc w:val="center"/>
              <w:rPr>
                <w:rFonts w:hint="eastAsia" w:ascii="宋体" w:hAnsi="宋体" w:eastAsia="宋体" w:cs="宋体"/>
                <w:i w:val="0"/>
                <w:iCs w:val="0"/>
                <w:color w:val="000000"/>
                <w:sz w:val="18"/>
                <w:szCs w:val="18"/>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5E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EDD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F80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88.83</w:t>
            </w:r>
          </w:p>
        </w:tc>
        <w:tc>
          <w:tcPr>
            <w:tcW w:w="23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8F90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88.83</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D3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B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4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D36C8">
            <w:pPr>
              <w:rPr>
                <w:rFonts w:hint="eastAsia" w:ascii="黑体" w:hAnsi="黑体" w:eastAsia="黑体" w:cs="黑体"/>
                <w:i w:val="0"/>
                <w:iCs w:val="0"/>
                <w:color w:val="000000"/>
                <w:sz w:val="18"/>
                <w:szCs w:val="18"/>
                <w:u w:val="none"/>
              </w:rPr>
            </w:pPr>
          </w:p>
        </w:tc>
      </w:tr>
      <w:tr w14:paraId="66C26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994BD">
            <w:pPr>
              <w:jc w:val="center"/>
              <w:rPr>
                <w:rFonts w:hint="eastAsia" w:ascii="宋体" w:hAnsi="宋体" w:eastAsia="宋体" w:cs="宋体"/>
                <w:i w:val="0"/>
                <w:iCs w:val="0"/>
                <w:color w:val="000000"/>
                <w:sz w:val="18"/>
                <w:szCs w:val="18"/>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C3E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8B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C5C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A115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1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70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BE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5BD92">
            <w:pPr>
              <w:rPr>
                <w:rFonts w:hint="eastAsia" w:ascii="黑体" w:hAnsi="黑体" w:eastAsia="黑体" w:cs="黑体"/>
                <w:i w:val="0"/>
                <w:iCs w:val="0"/>
                <w:color w:val="000000"/>
                <w:sz w:val="18"/>
                <w:szCs w:val="18"/>
                <w:u w:val="none"/>
              </w:rPr>
            </w:pPr>
          </w:p>
        </w:tc>
      </w:tr>
      <w:tr w14:paraId="5A3A0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02366">
            <w:pPr>
              <w:jc w:val="center"/>
              <w:rPr>
                <w:rFonts w:hint="eastAsia" w:ascii="宋体" w:hAnsi="宋体" w:eastAsia="宋体" w:cs="宋体"/>
                <w:i w:val="0"/>
                <w:iCs w:val="0"/>
                <w:color w:val="000000"/>
                <w:sz w:val="18"/>
                <w:szCs w:val="18"/>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F1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8C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89D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3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090F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4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0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5B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2EEB1">
            <w:pPr>
              <w:rPr>
                <w:rFonts w:hint="eastAsia" w:ascii="黑体" w:hAnsi="黑体" w:eastAsia="黑体" w:cs="黑体"/>
                <w:i w:val="0"/>
                <w:iCs w:val="0"/>
                <w:color w:val="000000"/>
                <w:sz w:val="18"/>
                <w:szCs w:val="18"/>
                <w:u w:val="none"/>
              </w:rPr>
            </w:pPr>
          </w:p>
        </w:tc>
      </w:tr>
      <w:tr w14:paraId="5B8D7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825CD">
            <w:pPr>
              <w:jc w:val="center"/>
              <w:rPr>
                <w:rFonts w:hint="eastAsia" w:ascii="宋体" w:hAnsi="宋体" w:eastAsia="宋体" w:cs="宋体"/>
                <w:i w:val="0"/>
                <w:iCs w:val="0"/>
                <w:color w:val="000000"/>
                <w:sz w:val="18"/>
                <w:szCs w:val="18"/>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686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337CC">
            <w:pPr>
              <w:jc w:val="center"/>
              <w:rPr>
                <w:rFonts w:hint="eastAsia" w:ascii="微软雅黑" w:hAnsi="微软雅黑" w:eastAsia="微软雅黑" w:cs="微软雅黑"/>
                <w:i w:val="0"/>
                <w:iCs w:val="0"/>
                <w:color w:val="000000"/>
                <w:sz w:val="16"/>
                <w:szCs w:val="16"/>
                <w:u w:val="none"/>
              </w:rPr>
            </w:pPr>
          </w:p>
        </w:tc>
        <w:tc>
          <w:tcPr>
            <w:tcW w:w="14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097C23">
            <w:pPr>
              <w:jc w:val="center"/>
              <w:rPr>
                <w:rFonts w:hint="eastAsia" w:ascii="微软雅黑" w:hAnsi="微软雅黑" w:eastAsia="微软雅黑" w:cs="微软雅黑"/>
                <w:i w:val="0"/>
                <w:iCs w:val="0"/>
                <w:color w:val="000000"/>
                <w:sz w:val="16"/>
                <w:szCs w:val="16"/>
                <w:u w:val="none"/>
              </w:rPr>
            </w:pPr>
          </w:p>
        </w:tc>
        <w:tc>
          <w:tcPr>
            <w:tcW w:w="23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9DB8C80">
            <w:pPr>
              <w:jc w:val="center"/>
              <w:rPr>
                <w:rFonts w:hint="eastAsia" w:ascii="微软雅黑" w:hAnsi="微软雅黑" w:eastAsia="微软雅黑" w:cs="微软雅黑"/>
                <w:i w:val="0"/>
                <w:iCs w:val="0"/>
                <w:color w:val="000000"/>
                <w:sz w:val="16"/>
                <w:szCs w:val="16"/>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D5CDA">
            <w:pPr>
              <w:jc w:val="center"/>
              <w:rPr>
                <w:rFonts w:hint="eastAsia" w:ascii="微软雅黑" w:hAnsi="微软雅黑" w:eastAsia="微软雅黑" w:cs="微软雅黑"/>
                <w:i w:val="0"/>
                <w:iCs w:val="0"/>
                <w:color w:val="000000"/>
                <w:sz w:val="16"/>
                <w:szCs w:val="16"/>
                <w:u w:val="none"/>
              </w:rPr>
            </w:pP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B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EA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90455">
            <w:pPr>
              <w:rPr>
                <w:rFonts w:hint="eastAsia" w:ascii="黑体" w:hAnsi="黑体" w:eastAsia="黑体" w:cs="黑体"/>
                <w:i w:val="0"/>
                <w:iCs w:val="0"/>
                <w:color w:val="000000"/>
                <w:sz w:val="18"/>
                <w:szCs w:val="18"/>
                <w:u w:val="none"/>
              </w:rPr>
            </w:pPr>
          </w:p>
        </w:tc>
      </w:tr>
      <w:tr w14:paraId="270BA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874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29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EC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8EA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F1F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4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5B4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7E8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9A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0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E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2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3BAF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113E7">
            <w:pPr>
              <w:jc w:val="center"/>
              <w:rPr>
                <w:rFonts w:hint="eastAsia" w:ascii="宋体" w:hAnsi="宋体" w:eastAsia="宋体" w:cs="宋体"/>
                <w:i w:val="0"/>
                <w:iCs w:val="0"/>
                <w:color w:val="000000"/>
                <w:sz w:val="18"/>
                <w:szCs w:val="18"/>
                <w:u w:val="none"/>
              </w:rPr>
            </w:pPr>
          </w:p>
        </w:tc>
        <w:tc>
          <w:tcPr>
            <w:tcW w:w="1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FA36E">
            <w:pPr>
              <w:jc w:val="center"/>
              <w:rPr>
                <w:rFonts w:hint="eastAsia" w:ascii="宋体" w:hAnsi="宋体" w:eastAsia="宋体" w:cs="宋体"/>
                <w:i w:val="0"/>
                <w:iCs w:val="0"/>
                <w:color w:val="000000"/>
                <w:sz w:val="18"/>
                <w:szCs w:val="18"/>
                <w:u w:val="none"/>
              </w:rPr>
            </w:pPr>
          </w:p>
        </w:tc>
        <w:tc>
          <w:tcPr>
            <w:tcW w:w="11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AF1E2B">
            <w:pPr>
              <w:jc w:val="center"/>
              <w:rPr>
                <w:rFonts w:hint="eastAsia" w:ascii="宋体" w:hAnsi="宋体" w:eastAsia="宋体" w:cs="宋体"/>
                <w:i w:val="0"/>
                <w:iCs w:val="0"/>
                <w:color w:val="000000"/>
                <w:sz w:val="18"/>
                <w:szCs w:val="18"/>
                <w:u w:val="none"/>
              </w:rPr>
            </w:pPr>
          </w:p>
        </w:tc>
        <w:tc>
          <w:tcPr>
            <w:tcW w:w="147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07C679">
            <w:pPr>
              <w:jc w:val="center"/>
              <w:rPr>
                <w:rFonts w:hint="eastAsia" w:ascii="宋体" w:hAnsi="宋体" w:eastAsia="宋体" w:cs="宋体"/>
                <w:i w:val="0"/>
                <w:iCs w:val="0"/>
                <w:color w:val="000000"/>
                <w:sz w:val="18"/>
                <w:szCs w:val="18"/>
                <w:u w:val="none"/>
              </w:rPr>
            </w:pPr>
          </w:p>
        </w:tc>
        <w:tc>
          <w:tcPr>
            <w:tcW w:w="4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4258A2">
            <w:pPr>
              <w:jc w:val="center"/>
              <w:rPr>
                <w:rFonts w:hint="eastAsia" w:ascii="宋体" w:hAnsi="宋体" w:eastAsia="宋体" w:cs="宋体"/>
                <w:i w:val="0"/>
                <w:iCs w:val="0"/>
                <w:color w:val="000000"/>
                <w:sz w:val="18"/>
                <w:szCs w:val="18"/>
                <w:u w:val="none"/>
              </w:rPr>
            </w:pPr>
          </w:p>
        </w:tc>
        <w:tc>
          <w:tcPr>
            <w:tcW w:w="14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8D8C0A">
            <w:pPr>
              <w:jc w:val="center"/>
              <w:rPr>
                <w:rFonts w:hint="eastAsia" w:ascii="宋体" w:hAnsi="宋体" w:eastAsia="宋体" w:cs="宋体"/>
                <w:i w:val="0"/>
                <w:iCs w:val="0"/>
                <w:color w:val="000000"/>
                <w:sz w:val="18"/>
                <w:szCs w:val="18"/>
                <w:u w:val="none"/>
              </w:rPr>
            </w:pPr>
          </w:p>
        </w:tc>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D346CD">
            <w:pPr>
              <w:jc w:val="center"/>
              <w:rPr>
                <w:rFonts w:hint="eastAsia" w:ascii="宋体" w:hAnsi="宋体" w:eastAsia="宋体" w:cs="宋体"/>
                <w:i w:val="0"/>
                <w:iCs w:val="0"/>
                <w:color w:val="000000"/>
                <w:sz w:val="18"/>
                <w:szCs w:val="18"/>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0685">
            <w:pPr>
              <w:jc w:val="center"/>
              <w:rPr>
                <w:rFonts w:hint="eastAsia" w:ascii="微软雅黑" w:hAnsi="微软雅黑" w:eastAsia="微软雅黑" w:cs="微软雅黑"/>
                <w:i w:val="0"/>
                <w:iCs w:val="0"/>
                <w:color w:val="000000"/>
                <w:sz w:val="16"/>
                <w:szCs w:val="16"/>
                <w:u w:val="none"/>
              </w:rPr>
            </w:pP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0D9B0">
            <w:pPr>
              <w:jc w:val="center"/>
              <w:rPr>
                <w:rFonts w:hint="eastAsia" w:ascii="宋体" w:hAnsi="宋体" w:eastAsia="宋体" w:cs="宋体"/>
                <w:i w:val="0"/>
                <w:iCs w:val="0"/>
                <w:color w:val="000000"/>
                <w:sz w:val="18"/>
                <w:szCs w:val="18"/>
                <w:u w:val="none"/>
              </w:rPr>
            </w:pP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0E0CE">
            <w:pPr>
              <w:jc w:val="center"/>
              <w:rPr>
                <w:rFonts w:hint="eastAsia" w:ascii="宋体" w:hAnsi="宋体" w:eastAsia="宋体" w:cs="宋体"/>
                <w:i w:val="0"/>
                <w:iCs w:val="0"/>
                <w:color w:val="000000"/>
                <w:sz w:val="18"/>
                <w:szCs w:val="18"/>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8CE55">
            <w:pPr>
              <w:jc w:val="center"/>
              <w:rPr>
                <w:rFonts w:hint="eastAsia" w:ascii="微软雅黑" w:hAnsi="微软雅黑" w:eastAsia="微软雅黑" w:cs="微软雅黑"/>
                <w:i w:val="0"/>
                <w:iCs w:val="0"/>
                <w:color w:val="000000"/>
                <w:sz w:val="16"/>
                <w:szCs w:val="16"/>
                <w:u w:val="none"/>
              </w:rPr>
            </w:pPr>
          </w:p>
        </w:tc>
      </w:tr>
      <w:tr w14:paraId="5BDDD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903"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1DB8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5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125A4">
            <w:pPr>
              <w:rPr>
                <w:rFonts w:hint="eastAsia" w:ascii="宋体" w:hAnsi="宋体" w:eastAsia="宋体" w:cs="宋体"/>
                <w:i w:val="0"/>
                <w:iCs w:val="0"/>
                <w:color w:val="000000"/>
                <w:sz w:val="18"/>
                <w:szCs w:val="18"/>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1872">
            <w:pPr>
              <w:rPr>
                <w:rFonts w:hint="eastAsia" w:ascii="宋体" w:hAnsi="宋体" w:eastAsia="宋体" w:cs="宋体"/>
                <w:i w:val="0"/>
                <w:iCs w:val="0"/>
                <w:color w:val="000000"/>
                <w:sz w:val="18"/>
                <w:szCs w:val="18"/>
                <w:u w:val="none"/>
              </w:rPr>
            </w:pPr>
          </w:p>
        </w:tc>
      </w:tr>
      <w:tr w14:paraId="187DB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60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016"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5D97025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结合自评情况，说明项目自评总分，说明项目实施取得的成效或成果。（200字以内）</w:t>
            </w:r>
          </w:p>
        </w:tc>
      </w:tr>
      <w:tr w14:paraId="3BB8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03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016"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440B841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结合自评情况，分析存在的问题及原因。（200字以内）</w:t>
            </w:r>
          </w:p>
        </w:tc>
      </w:tr>
      <w:tr w14:paraId="5873F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E4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016"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07D3AE9E">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针对项目自评中发现的问题，提出下一步改进完善的意见及有关政策性建议。（200字以内）</w:t>
            </w:r>
          </w:p>
        </w:tc>
      </w:tr>
      <w:tr w14:paraId="24A82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5091"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737100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61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ABDAD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4EAF7FA9">
      <w:pPr>
        <w:rPr>
          <w:rFonts w:ascii="黑体" w:hAnsi="黑体" w:eastAsia="黑体" w:cs="黑体"/>
          <w:color w:val="000000"/>
          <w:sz w:val="44"/>
          <w:szCs w:val="44"/>
          <w:highlight w:val="none"/>
        </w:rPr>
      </w:pPr>
    </w:p>
    <w:p w14:paraId="57F5FC81">
      <w:pPr>
        <w:pStyle w:val="2"/>
        <w:sectPr>
          <w:pgSz w:w="11906" w:h="16838"/>
          <w:pgMar w:top="2098" w:right="1474" w:bottom="1984" w:left="1587" w:header="0" w:footer="0" w:gutter="0"/>
          <w:pgNumType w:fmt="decimal"/>
          <w:cols w:space="720" w:num="1"/>
          <w:formProt w:val="0"/>
          <w:docGrid w:type="lines" w:linePitch="312" w:charSpace="0"/>
        </w:sectPr>
      </w:pPr>
    </w:p>
    <w:p w14:paraId="6DD578E6">
      <w:pPr>
        <w:numPr>
          <w:ilvl w:val="0"/>
          <w:numId w:val="0"/>
        </w:numPr>
        <w:spacing w:line="600" w:lineRule="exact"/>
        <w:jc w:val="center"/>
        <w:outlineLvl w:val="0"/>
        <w:rPr>
          <w:rFonts w:ascii="仿宋" w:hAnsi="仿宋" w:eastAsia="仿宋" w:cs="仿宋"/>
          <w:b w:val="0"/>
          <w:color w:val="000000"/>
          <w:highlight w:val="none"/>
        </w:rPr>
      </w:pPr>
      <w:r>
        <w:rPr>
          <w:rFonts w:ascii="黑体" w:hAnsi="黑体" w:eastAsia="黑体" w:cs="黑体"/>
          <w:color w:val="000000"/>
          <w:sz w:val="44"/>
          <w:szCs w:val="44"/>
        </w:rPr>
        <w:t>第</w:t>
      </w:r>
      <w:r>
        <w:rPr>
          <w:rStyle w:val="19"/>
          <w:rFonts w:ascii="黑体" w:hAnsi="黑体" w:eastAsia="黑体" w:cs="黑体"/>
          <w:b w:val="0"/>
          <w:color w:val="000000"/>
        </w:rPr>
        <w:t>五部分 附表</w:t>
      </w:r>
    </w:p>
    <w:p w14:paraId="19AB6A41">
      <w:pPr>
        <w:pStyle w:val="5"/>
        <w:keepNext/>
        <w:keepLines/>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000000"/>
          <w:highlight w:val="none"/>
        </w:rPr>
      </w:pPr>
      <w:r>
        <w:rPr>
          <w:rFonts w:hint="eastAsia" w:ascii="黑体" w:hAnsi="黑体" w:eastAsia="黑体" w:cs="黑体"/>
          <w:b w:val="0"/>
          <w:color w:val="000000"/>
        </w:rPr>
        <w:t>一、收</w:t>
      </w:r>
      <w:r>
        <w:rPr>
          <w:rStyle w:val="20"/>
          <w:rFonts w:hint="eastAsia" w:ascii="黑体" w:hAnsi="黑体" w:eastAsia="黑体" w:cs="黑体"/>
          <w:b w:val="0"/>
          <w:bCs w:val="0"/>
          <w:color w:val="000000"/>
        </w:rPr>
        <w:t>入支出决算总表</w:t>
      </w:r>
    </w:p>
    <w:p w14:paraId="64344714">
      <w:pPr>
        <w:pStyle w:val="5"/>
        <w:keepNext/>
        <w:keepLines/>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000000"/>
          <w:highlight w:val="none"/>
        </w:rPr>
      </w:pPr>
      <w:r>
        <w:rPr>
          <w:rFonts w:hint="eastAsia" w:ascii="黑体" w:hAnsi="黑体" w:eastAsia="黑体" w:cs="黑体"/>
          <w:b w:val="0"/>
          <w:color w:val="000000"/>
        </w:rPr>
        <w:t>二、收</w:t>
      </w:r>
      <w:r>
        <w:rPr>
          <w:rStyle w:val="20"/>
          <w:rFonts w:hint="eastAsia" w:ascii="黑体" w:hAnsi="黑体" w:eastAsia="黑体" w:cs="黑体"/>
          <w:b w:val="0"/>
          <w:bCs w:val="0"/>
          <w:color w:val="000000"/>
        </w:rPr>
        <w:t>入决算表</w:t>
      </w:r>
    </w:p>
    <w:p w14:paraId="70AB6AB3">
      <w:pPr>
        <w:pStyle w:val="5"/>
        <w:keepNext/>
        <w:keepLines/>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000000"/>
          <w:highlight w:val="none"/>
        </w:rPr>
      </w:pPr>
      <w:r>
        <w:rPr>
          <w:rStyle w:val="20"/>
          <w:rFonts w:hint="eastAsia" w:ascii="黑体" w:hAnsi="黑体" w:eastAsia="黑体" w:cs="黑体"/>
          <w:b w:val="0"/>
          <w:bCs w:val="0"/>
          <w:color w:val="000000"/>
        </w:rPr>
        <w:t>三、</w:t>
      </w:r>
      <w:r>
        <w:rPr>
          <w:rFonts w:hint="eastAsia" w:ascii="黑体" w:hAnsi="黑体" w:eastAsia="黑体" w:cs="黑体"/>
          <w:b w:val="0"/>
          <w:color w:val="000000"/>
        </w:rPr>
        <w:t>支</w:t>
      </w:r>
      <w:r>
        <w:rPr>
          <w:rStyle w:val="20"/>
          <w:rFonts w:hint="eastAsia" w:ascii="黑体" w:hAnsi="黑体" w:eastAsia="黑体" w:cs="黑体"/>
          <w:b w:val="0"/>
          <w:bCs w:val="0"/>
          <w:color w:val="000000"/>
        </w:rPr>
        <w:t>出决算表</w:t>
      </w:r>
    </w:p>
    <w:p w14:paraId="597B3DE8">
      <w:pPr>
        <w:pStyle w:val="5"/>
        <w:keepNext/>
        <w:keepLines/>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b w:val="0"/>
          <w:color w:val="000000"/>
          <w:highlight w:val="none"/>
        </w:rPr>
      </w:pPr>
      <w:r>
        <w:rPr>
          <w:rStyle w:val="20"/>
          <w:rFonts w:hint="eastAsia" w:ascii="黑体" w:hAnsi="黑体" w:eastAsia="黑体" w:cs="黑体"/>
          <w:b w:val="0"/>
          <w:bCs w:val="0"/>
          <w:color w:val="000000"/>
        </w:rPr>
        <w:t>四、</w:t>
      </w:r>
      <w:r>
        <w:rPr>
          <w:rFonts w:hint="eastAsia" w:ascii="黑体" w:hAnsi="黑体" w:eastAsia="黑体" w:cs="黑体"/>
          <w:b w:val="0"/>
          <w:color w:val="000000"/>
        </w:rPr>
        <w:t>财</w:t>
      </w:r>
      <w:r>
        <w:rPr>
          <w:rStyle w:val="20"/>
          <w:rFonts w:hint="eastAsia" w:ascii="黑体" w:hAnsi="黑体" w:eastAsia="黑体" w:cs="黑体"/>
          <w:b w:val="0"/>
          <w:bCs w:val="0"/>
          <w:color w:val="000000"/>
        </w:rPr>
        <w:t>政拨款收入支出决算总表</w:t>
      </w:r>
    </w:p>
    <w:p w14:paraId="215B82F6">
      <w:pPr>
        <w:pStyle w:val="5"/>
        <w:keepNext/>
        <w:keepLines/>
        <w:pageBreakBefore w:val="0"/>
        <w:widowControl w:val="0"/>
        <w:kinsoku/>
        <w:wordWrap/>
        <w:overflowPunct/>
        <w:topLinePunct w:val="0"/>
        <w:autoSpaceDE/>
        <w:autoSpaceDN/>
        <w:bidi w:val="0"/>
        <w:adjustRightInd/>
        <w:snapToGrid/>
        <w:spacing w:line="580" w:lineRule="exact"/>
        <w:textAlignment w:val="auto"/>
        <w:rPr>
          <w:rStyle w:val="20"/>
          <w:rFonts w:hint="eastAsia" w:ascii="黑体" w:hAnsi="黑体" w:eastAsia="黑体" w:cs="黑体"/>
          <w:b w:val="0"/>
          <w:bCs w:val="0"/>
          <w:color w:val="000000"/>
          <w:highlight w:val="none"/>
        </w:rPr>
      </w:pPr>
      <w:r>
        <w:rPr>
          <w:rStyle w:val="20"/>
          <w:rFonts w:hint="eastAsia" w:ascii="黑体" w:hAnsi="黑体" w:eastAsia="黑体" w:cs="黑体"/>
          <w:b w:val="0"/>
          <w:bCs w:val="0"/>
          <w:color w:val="000000"/>
        </w:rPr>
        <w:t>五、</w:t>
      </w:r>
      <w:r>
        <w:rPr>
          <w:rFonts w:hint="eastAsia" w:ascii="黑体" w:hAnsi="黑体" w:eastAsia="黑体" w:cs="黑体"/>
          <w:b w:val="0"/>
          <w:color w:val="000000"/>
        </w:rPr>
        <w:t>财</w:t>
      </w:r>
      <w:r>
        <w:rPr>
          <w:rStyle w:val="20"/>
          <w:rFonts w:hint="eastAsia" w:ascii="黑体" w:hAnsi="黑体" w:eastAsia="黑体" w:cs="黑体"/>
          <w:b w:val="0"/>
          <w:bCs w:val="0"/>
          <w:color w:val="000000"/>
        </w:rPr>
        <w:t>政拨款支出决算明细表</w:t>
      </w:r>
    </w:p>
    <w:p w14:paraId="13820345">
      <w:pPr>
        <w:pStyle w:val="5"/>
        <w:keepNext/>
        <w:keepLines/>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000000"/>
          <w:highlight w:val="none"/>
        </w:rPr>
      </w:pPr>
      <w:r>
        <w:rPr>
          <w:rStyle w:val="20"/>
          <w:rFonts w:hint="eastAsia" w:ascii="黑体" w:hAnsi="黑体" w:eastAsia="黑体" w:cs="黑体"/>
          <w:b w:val="0"/>
          <w:bCs w:val="0"/>
          <w:color w:val="000000"/>
        </w:rPr>
        <w:t>六、</w:t>
      </w:r>
      <w:r>
        <w:rPr>
          <w:rFonts w:hint="eastAsia" w:ascii="黑体" w:hAnsi="黑体" w:eastAsia="黑体" w:cs="黑体"/>
          <w:b w:val="0"/>
          <w:color w:val="000000"/>
        </w:rPr>
        <w:t>一</w:t>
      </w:r>
      <w:r>
        <w:rPr>
          <w:rStyle w:val="20"/>
          <w:rFonts w:hint="eastAsia" w:ascii="黑体" w:hAnsi="黑体" w:eastAsia="黑体" w:cs="黑体"/>
          <w:b w:val="0"/>
          <w:bCs w:val="0"/>
          <w:color w:val="000000"/>
        </w:rPr>
        <w:t>般公共预算财政拨款支出决算表</w:t>
      </w:r>
    </w:p>
    <w:p w14:paraId="5600BBEC">
      <w:pPr>
        <w:pStyle w:val="5"/>
        <w:keepNext/>
        <w:keepLines/>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000000"/>
          <w:highlight w:val="none"/>
        </w:rPr>
      </w:pPr>
      <w:r>
        <w:rPr>
          <w:rStyle w:val="20"/>
          <w:rFonts w:hint="eastAsia" w:ascii="黑体" w:hAnsi="黑体" w:eastAsia="黑体" w:cs="黑体"/>
          <w:b w:val="0"/>
          <w:bCs w:val="0"/>
          <w:color w:val="000000"/>
        </w:rPr>
        <w:t>七、</w:t>
      </w:r>
      <w:r>
        <w:rPr>
          <w:rFonts w:hint="eastAsia" w:ascii="黑体" w:hAnsi="黑体" w:eastAsia="黑体" w:cs="黑体"/>
          <w:b w:val="0"/>
          <w:color w:val="000000"/>
        </w:rPr>
        <w:t>一</w:t>
      </w:r>
      <w:r>
        <w:rPr>
          <w:rStyle w:val="20"/>
          <w:rFonts w:hint="eastAsia" w:ascii="黑体" w:hAnsi="黑体" w:eastAsia="黑体" w:cs="黑体"/>
          <w:b w:val="0"/>
          <w:bCs w:val="0"/>
          <w:color w:val="000000"/>
        </w:rPr>
        <w:t>般公共预算财政拨款支出决算明细表</w:t>
      </w:r>
    </w:p>
    <w:p w14:paraId="7A1F54F8">
      <w:pPr>
        <w:pStyle w:val="5"/>
        <w:keepNext/>
        <w:keepLines/>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000000"/>
          <w:highlight w:val="none"/>
        </w:rPr>
      </w:pPr>
      <w:r>
        <w:rPr>
          <w:rStyle w:val="20"/>
          <w:rFonts w:hint="eastAsia" w:ascii="黑体" w:hAnsi="黑体" w:eastAsia="黑体" w:cs="黑体"/>
          <w:b w:val="0"/>
          <w:bCs w:val="0"/>
          <w:color w:val="000000"/>
        </w:rPr>
        <w:t>八、</w:t>
      </w:r>
      <w:r>
        <w:rPr>
          <w:rFonts w:hint="eastAsia" w:ascii="黑体" w:hAnsi="黑体" w:eastAsia="黑体" w:cs="黑体"/>
          <w:b w:val="0"/>
          <w:color w:val="000000"/>
        </w:rPr>
        <w:t>一</w:t>
      </w:r>
      <w:r>
        <w:rPr>
          <w:rStyle w:val="20"/>
          <w:rFonts w:hint="eastAsia" w:ascii="黑体" w:hAnsi="黑体" w:eastAsia="黑体" w:cs="黑体"/>
          <w:b w:val="0"/>
          <w:bCs w:val="0"/>
          <w:color w:val="000000"/>
        </w:rPr>
        <w:t>般公共预算财政拨款基本支出决算表</w:t>
      </w:r>
    </w:p>
    <w:p w14:paraId="1927238B">
      <w:pPr>
        <w:pStyle w:val="5"/>
        <w:keepNext/>
        <w:keepLines/>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000000"/>
          <w:highlight w:val="none"/>
        </w:rPr>
      </w:pPr>
      <w:r>
        <w:rPr>
          <w:rStyle w:val="20"/>
          <w:rFonts w:hint="eastAsia" w:ascii="黑体" w:hAnsi="黑体" w:eastAsia="黑体" w:cs="黑体"/>
          <w:b w:val="0"/>
          <w:bCs w:val="0"/>
          <w:color w:val="000000"/>
        </w:rPr>
        <w:t>九、</w:t>
      </w:r>
      <w:r>
        <w:rPr>
          <w:rFonts w:hint="eastAsia" w:ascii="黑体" w:hAnsi="黑体" w:eastAsia="黑体" w:cs="黑体"/>
          <w:b w:val="0"/>
          <w:color w:val="000000"/>
        </w:rPr>
        <w:t>一</w:t>
      </w:r>
      <w:r>
        <w:rPr>
          <w:rStyle w:val="20"/>
          <w:rFonts w:hint="eastAsia" w:ascii="黑体" w:hAnsi="黑体" w:eastAsia="黑体" w:cs="黑体"/>
          <w:b w:val="0"/>
          <w:bCs w:val="0"/>
          <w:color w:val="000000"/>
        </w:rPr>
        <w:t>般公共预算财政拨款项目支出决算表</w:t>
      </w:r>
    </w:p>
    <w:p w14:paraId="09BBE48B">
      <w:pPr>
        <w:pStyle w:val="5"/>
        <w:keepNext/>
        <w:keepLines/>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000000"/>
          <w:highlight w:val="none"/>
        </w:rPr>
      </w:pPr>
      <w:r>
        <w:rPr>
          <w:rStyle w:val="20"/>
          <w:rFonts w:hint="eastAsia" w:ascii="黑体" w:hAnsi="黑体" w:eastAsia="黑体" w:cs="黑体"/>
          <w:b w:val="0"/>
          <w:bCs w:val="0"/>
          <w:color w:val="000000"/>
        </w:rPr>
        <w:t>十、</w:t>
      </w:r>
      <w:r>
        <w:rPr>
          <w:rFonts w:hint="eastAsia" w:ascii="黑体" w:hAnsi="黑体" w:eastAsia="黑体" w:cs="黑体"/>
          <w:b w:val="0"/>
          <w:color w:val="000000"/>
        </w:rPr>
        <w:t>政</w:t>
      </w:r>
      <w:r>
        <w:rPr>
          <w:rStyle w:val="20"/>
          <w:rFonts w:hint="eastAsia" w:ascii="黑体" w:hAnsi="黑体" w:eastAsia="黑体" w:cs="黑体"/>
          <w:b w:val="0"/>
          <w:bCs w:val="0"/>
          <w:color w:val="000000"/>
        </w:rPr>
        <w:t>府性基金预算财政拨款收入支出决算表</w:t>
      </w:r>
    </w:p>
    <w:p w14:paraId="6A5F32BA">
      <w:pPr>
        <w:pStyle w:val="5"/>
        <w:keepNext/>
        <w:keepLines/>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000000"/>
          <w:highlight w:val="none"/>
        </w:rPr>
      </w:pPr>
      <w:r>
        <w:rPr>
          <w:rStyle w:val="20"/>
          <w:rFonts w:hint="eastAsia" w:ascii="黑体" w:hAnsi="黑体" w:eastAsia="黑体" w:cs="黑体"/>
          <w:b w:val="0"/>
          <w:bCs w:val="0"/>
          <w:color w:val="000000"/>
        </w:rPr>
        <w:t>十一、</w:t>
      </w:r>
      <w:r>
        <w:rPr>
          <w:rFonts w:hint="eastAsia" w:ascii="黑体" w:hAnsi="黑体" w:eastAsia="黑体" w:cs="黑体"/>
          <w:b w:val="0"/>
          <w:color w:val="000000"/>
        </w:rPr>
        <w:t>国</w:t>
      </w:r>
      <w:r>
        <w:rPr>
          <w:rStyle w:val="20"/>
          <w:rFonts w:hint="eastAsia" w:ascii="黑体" w:hAnsi="黑体" w:eastAsia="黑体" w:cs="黑体"/>
          <w:b w:val="0"/>
          <w:bCs w:val="0"/>
          <w:color w:val="000000"/>
        </w:rPr>
        <w:t>有资本经营预算</w:t>
      </w:r>
      <w:r>
        <w:rPr>
          <w:rStyle w:val="20"/>
          <w:rFonts w:hint="eastAsia" w:ascii="黑体" w:hAnsi="黑体" w:eastAsia="黑体" w:cs="黑体"/>
          <w:b w:val="0"/>
          <w:bCs w:val="0"/>
          <w:color w:val="000000"/>
          <w:lang w:eastAsia="zh-CN"/>
        </w:rPr>
        <w:t>财政拨款收入</w:t>
      </w:r>
      <w:r>
        <w:rPr>
          <w:rStyle w:val="20"/>
          <w:rFonts w:hint="eastAsia" w:ascii="黑体" w:hAnsi="黑体" w:eastAsia="黑体" w:cs="黑体"/>
          <w:b w:val="0"/>
          <w:bCs w:val="0"/>
          <w:color w:val="000000"/>
        </w:rPr>
        <w:t>支出决算表</w:t>
      </w:r>
    </w:p>
    <w:p w14:paraId="419A028C">
      <w:pPr>
        <w:pStyle w:val="5"/>
        <w:keepNext/>
        <w:keepLines/>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000000"/>
          <w:highlight w:val="none"/>
        </w:rPr>
      </w:pPr>
      <w:r>
        <w:rPr>
          <w:rStyle w:val="20"/>
          <w:rFonts w:hint="eastAsia" w:ascii="黑体" w:hAnsi="黑体" w:eastAsia="黑体" w:cs="黑体"/>
          <w:b w:val="0"/>
          <w:bCs w:val="0"/>
          <w:color w:val="000000"/>
        </w:rPr>
        <w:t>十二、</w:t>
      </w:r>
      <w:r>
        <w:rPr>
          <w:rStyle w:val="20"/>
          <w:rFonts w:hint="eastAsia" w:ascii="黑体" w:hAnsi="黑体" w:eastAsia="黑体" w:cs="黑体"/>
          <w:b w:val="0"/>
          <w:bCs w:val="0"/>
          <w:color w:val="000000"/>
          <w:lang w:eastAsia="zh-CN"/>
        </w:rPr>
        <w:t>国有资本经营预算财政拨款支出决算表</w:t>
      </w:r>
    </w:p>
    <w:p w14:paraId="13FEA9EB">
      <w:pPr>
        <w:pStyle w:val="5"/>
        <w:keepNext/>
        <w:keepLines/>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color w:val="000000"/>
          <w:highlight w:val="none"/>
          <w:lang w:eastAsia="zh-CN"/>
        </w:rPr>
      </w:pPr>
      <w:r>
        <w:rPr>
          <w:rStyle w:val="20"/>
          <w:rFonts w:hint="eastAsia" w:ascii="黑体" w:hAnsi="黑体" w:eastAsia="黑体" w:cs="黑体"/>
          <w:b w:val="0"/>
          <w:bCs w:val="0"/>
          <w:color w:val="000000"/>
        </w:rPr>
        <w:t>十三、</w:t>
      </w:r>
      <w:r>
        <w:rPr>
          <w:rStyle w:val="20"/>
          <w:rFonts w:hint="eastAsia" w:ascii="黑体" w:hAnsi="黑体" w:eastAsia="黑体" w:cs="黑体"/>
          <w:b w:val="0"/>
          <w:bCs w:val="0"/>
          <w:color w:val="000000"/>
          <w:lang w:eastAsia="zh-CN"/>
        </w:rPr>
        <w:t>财政拨款“三公”经费支出决算表</w:t>
      </w:r>
    </w:p>
    <w:p w14:paraId="5F37C3FD">
      <w:pPr>
        <w:rPr>
          <w:rFonts w:eastAsia="仿宋"/>
          <w:color w:val="000000"/>
          <w:highlight w:val="none"/>
          <w:lang w:eastAsia="zh-CN"/>
        </w:rPr>
      </w:pPr>
    </w:p>
    <w:sectPr>
      <w:pgSz w:w="11906" w:h="16838"/>
      <w:pgMar w:top="1440" w:right="1800" w:bottom="1440" w:left="1800" w:header="0" w:footer="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165FE9B-5C56-4E5B-BFFA-1EFCE4A4D8F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Segoe UI">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2" w:fontKey="{F9F8F104-338C-4840-97A3-519B035883EE}"/>
  </w:font>
  <w:font w:name="Lohit Devanagari">
    <w:altName w:val="FFont-Family"/>
    <w:panose1 w:val="00000000000000000000"/>
    <w:charset w:val="00"/>
    <w:family w:val="auto"/>
    <w:pitch w:val="default"/>
    <w:sig w:usb0="00000000" w:usb1="00000000" w:usb2="00000000" w:usb3="00000000" w:csb0="00000000" w:csb1="00000000"/>
  </w:font>
  <w:font w:name="Liberation Sans;微软雅黑">
    <w:altName w:val="黑体"/>
    <w:panose1 w:val="00000000000000000000"/>
    <w:charset w:val="00"/>
    <w:family w:val="auto"/>
    <w:pitch w:val="default"/>
    <w:sig w:usb0="00000000" w:usb1="00000000" w:usb2="00000000" w:usb3="00000000" w:csb0="00000000" w:csb1="00000000"/>
  </w:font>
  <w:font w:name="Noto Sans CJK SC Regular;宋体">
    <w:altName w:val="宋体"/>
    <w:panose1 w:val="00000000000000000000"/>
    <w:charset w:val="00"/>
    <w:family w:val="auto"/>
    <w:pitch w:val="default"/>
    <w:sig w:usb0="00000000" w:usb1="00000000" w:usb2="00000000" w:usb3="00000000" w:csb0="00000000" w:csb1="00000000"/>
  </w:font>
  <w:font w:name="方正小标宋简体">
    <w:panose1 w:val="02010600010101010101"/>
    <w:charset w:val="86"/>
    <w:family w:val="script"/>
    <w:pitch w:val="default"/>
    <w:sig w:usb0="00000001" w:usb1="080E0000" w:usb2="00000000" w:usb3="00000000" w:csb0="00040000" w:csb1="00000000"/>
    <w:embedRegular r:id="rId3" w:fontKey="{EBA24CED-FE47-4FFE-AF9A-D83CFFB8BBE0}"/>
  </w:font>
  <w:font w:name="方正仿宋">
    <w:altName w:val="仿宋"/>
    <w:panose1 w:val="00000000000000000000"/>
    <w:charset w:val="86"/>
    <w:family w:val="auto"/>
    <w:pitch w:val="default"/>
    <w:sig w:usb0="00000000" w:usb1="00000000" w:usb2="00000000" w:usb3="00000000" w:csb0="00000000" w:csb1="00000000"/>
    <w:embedRegular r:id="rId4" w:fontKey="{32A680B4-038C-46D6-8CC0-1940A7CE11BC}"/>
  </w:font>
  <w:font w:name="楷体_GB2312">
    <w:panose1 w:val="02010609030101010101"/>
    <w:charset w:val="86"/>
    <w:family w:val="auto"/>
    <w:pitch w:val="default"/>
    <w:sig w:usb0="00000001" w:usb1="080E0000" w:usb2="00000000" w:usb3="00000000" w:csb0="00040000" w:csb1="00000000"/>
    <w:embedRegular r:id="rId5" w:fontKey="{A770B6AF-496A-460C-9EB3-480727295B26}"/>
  </w:font>
  <w:font w:name="楷体">
    <w:panose1 w:val="02010609060101010101"/>
    <w:charset w:val="86"/>
    <w:family w:val="auto"/>
    <w:pitch w:val="default"/>
    <w:sig w:usb0="800002BF" w:usb1="38CF7CFA" w:usb2="00000016" w:usb3="00000000" w:csb0="00040001" w:csb1="00000000"/>
    <w:embedRegular r:id="rId6" w:fontKey="{49639EAC-E929-4272-9ECB-3057A38F5FEC}"/>
  </w:font>
  <w:font w:name="仿宋_GB2312">
    <w:panose1 w:val="02010609030101010101"/>
    <w:charset w:val="86"/>
    <w:family w:val="auto"/>
    <w:pitch w:val="default"/>
    <w:sig w:usb0="00000001" w:usb1="080E0000" w:usb2="00000000" w:usb3="00000000" w:csb0="00040000" w:csb1="00000000"/>
    <w:embedRegular r:id="rId7" w:fontKey="{05B9BFC9-AF92-4C0A-B715-E448BAEE2A01}"/>
  </w:font>
  <w:font w:name="微软雅黑">
    <w:panose1 w:val="020B0503020204020204"/>
    <w:charset w:val="86"/>
    <w:family w:val="swiss"/>
    <w:pitch w:val="default"/>
    <w:sig w:usb0="80000287" w:usb1="2ACF3C50" w:usb2="00000016" w:usb3="00000000" w:csb0="0004001F" w:csb1="00000000"/>
    <w:embedRegular r:id="rId8" w:fontKey="{DF2714EB-42D2-44E7-BEEB-599327F41DB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8CFC6">
    <w:pPr>
      <w:pStyle w:val="8"/>
    </w:pPr>
    <w:r>
      <w:rPr>
        <w:sz w:val="18"/>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-228600</wp:posOffset>
              </wp:positionV>
              <wp:extent cx="266065" cy="366395"/>
              <wp:effectExtent l="0" t="0" r="0" b="0"/>
              <wp:wrapNone/>
              <wp:docPr id="4" name="文本框 4"/>
              <wp:cNvGraphicFramePr/>
              <a:graphic xmlns:a="http://schemas.openxmlformats.org/drawingml/2006/main">
                <a:graphicData uri="http://schemas.microsoft.com/office/word/2010/wordprocessingShape">
                  <wps:wsp>
                    <wps:cNvSpPr txBox="1"/>
                    <wps:spPr>
                      <a:xfrm>
                        <a:off x="0" y="0"/>
                        <a:ext cx="266065" cy="3663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88FAFA">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18pt;height:28.85pt;width:20.95pt;mso-position-horizontal-relative:margin;z-index:251659264;mso-width-relative:page;mso-height-relative:page;" filled="f" stroked="f" coordsize="21600,21600" o:gfxdata="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m0Dmc1QAAAAYBAAAPAAAAAAAAAAEAIAAAACIAAABkcnMvZG93bnJl&#10;di54bWxQSwECFAAUAAAACACHTuJAWDRBojkCAABhBAAADgAAAAAAAAABACAAAAAkAQAAZHJzL2Uy&#10;b0RvYy54bWxQSwUGAAAAAAYABgBZAQAAzwUAAAAA&#10;">
              <v:fill on="f" focussize="0,0"/>
              <v:stroke on="f" weight="0.5pt"/>
              <v:imagedata o:title=""/>
              <o:lock v:ext="edit" aspectratio="f"/>
              <v:textbox inset="0mm,0mm,0mm,0mm">
                <w:txbxContent>
                  <w:p w14:paraId="2788FAFA">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4"/>
      <w:suff w:val="nothing"/>
      <w:lvlText w:val=""/>
      <w:lvlJc w:val="left"/>
      <w:pPr>
        <w:tabs>
          <w:tab w:val="left" w:pos="0"/>
        </w:tabs>
        <w:ind w:left="0" w:firstLine="0"/>
      </w:pPr>
    </w:lvl>
    <w:lvl w:ilvl="1" w:tentative="0">
      <w:start w:val="1"/>
      <w:numFmt w:val="none"/>
      <w:pStyle w:val="5"/>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efaultTabStop w:val="420"/>
  <w:autoHyphenation/>
  <w:displayHorizontalDrawingGridEvery w:val="1"/>
  <w:displayVerticalDrawingGridEvery w:val="1"/>
  <w:noPunctuationKerning w:val="1"/>
  <w:compat>
    <w:noLeading/>
    <w:doNotExpandShiftReturn/>
    <w:doNotWrapTextWithPunct/>
    <w:doNotUseEastAsianBreakRules/>
    <w:useFELayout/>
    <w:compatSetting w:name="compatibilityMode" w:uri="http://schemas.microsoft.com/office/word" w:val="14"/>
  </w:compat>
  <w:rsids>
    <w:rsidRoot w:val="00000000"/>
    <w:rsid w:val="03B51189"/>
    <w:rsid w:val="107B4D5D"/>
    <w:rsid w:val="136E747D"/>
    <w:rsid w:val="18544CC5"/>
    <w:rsid w:val="192B390B"/>
    <w:rsid w:val="19A4792A"/>
    <w:rsid w:val="24714A62"/>
    <w:rsid w:val="2F0B154A"/>
    <w:rsid w:val="39812B34"/>
    <w:rsid w:val="3A713431"/>
    <w:rsid w:val="3FF60C3D"/>
    <w:rsid w:val="40385F17"/>
    <w:rsid w:val="57FE1FC5"/>
    <w:rsid w:val="5A501DF0"/>
    <w:rsid w:val="5D9F7E88"/>
    <w:rsid w:val="623A3691"/>
    <w:rsid w:val="645B552C"/>
    <w:rsid w:val="69BF6DC2"/>
    <w:rsid w:val="6CBB64C6"/>
    <w:rsid w:val="6CF154B4"/>
    <w:rsid w:val="6FFB58A1"/>
    <w:rsid w:val="739465A1"/>
    <w:rsid w:val="77B97AF7"/>
    <w:rsid w:val="783A6C9C"/>
    <w:rsid w:val="7B9E336B"/>
    <w:rsid w:val="7C5257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Segoe UI" w:hAnsi="Calibri;Segoe UI" w:eastAsia="宋体" w:cs="Times New Roman"/>
      <w:color w:val="000000"/>
      <w:kern w:val="2"/>
      <w:sz w:val="21"/>
      <w:szCs w:val="24"/>
      <w:lang w:val="en-US" w:eastAsia="zh-CN" w:bidi="ar-SA"/>
    </w:rPr>
  </w:style>
  <w:style w:type="paragraph" w:styleId="4">
    <w:name w:val="heading 1"/>
    <w:basedOn w:val="1"/>
    <w:next w:val="1"/>
    <w:qFormat/>
    <w:uiPriority w:val="0"/>
    <w:pPr>
      <w:keepNext/>
      <w:keepLines/>
      <w:numPr>
        <w:ilvl w:val="0"/>
        <w:numId w:val="1"/>
      </w:numPr>
      <w:spacing w:before="340" w:after="330" w:line="576" w:lineRule="auto"/>
      <w:outlineLvl w:val="0"/>
    </w:pPr>
    <w:rPr>
      <w:b/>
      <w:bCs/>
      <w:kern w:val="2"/>
      <w:sz w:val="44"/>
      <w:szCs w:val="44"/>
    </w:rPr>
  </w:style>
  <w:style w:type="paragraph" w:styleId="5">
    <w:name w:val="heading 2"/>
    <w:basedOn w:val="1"/>
    <w:next w:val="1"/>
    <w:qFormat/>
    <w:uiPriority w:val="0"/>
    <w:pPr>
      <w:keepNext/>
      <w:keepLines/>
      <w:numPr>
        <w:ilvl w:val="1"/>
        <w:numId w:val="1"/>
      </w:numPr>
      <w:spacing w:before="260" w:after="260" w:line="415" w:lineRule="auto"/>
      <w:outlineLvl w:val="1"/>
    </w:pPr>
    <w:rPr>
      <w:rFonts w:ascii="Cambria" w:hAnsi="Cambria" w:eastAsia="宋体" w:cs="Times New Roman"/>
      <w:b/>
      <w:bCs/>
      <w:sz w:val="32"/>
      <w:szCs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before="0" w:after="120"/>
    </w:pPr>
    <w:rPr>
      <w:rFonts w:ascii="仿宋" w:hAnsi="仿宋"/>
      <w:szCs w:val="32"/>
    </w:rPr>
  </w:style>
  <w:style w:type="paragraph" w:styleId="6">
    <w:name w:val="caption"/>
    <w:basedOn w:val="1"/>
    <w:qFormat/>
    <w:uiPriority w:val="0"/>
    <w:pPr>
      <w:suppressLineNumbers/>
      <w:spacing w:before="120" w:after="120"/>
    </w:pPr>
    <w:rPr>
      <w:rFonts w:cs="Lohit Devanagari"/>
      <w:i/>
      <w:iCs/>
      <w:sz w:val="24"/>
      <w:szCs w:val="24"/>
    </w:rPr>
  </w:style>
  <w:style w:type="paragraph" w:styleId="7">
    <w:name w:val="Body Text"/>
    <w:basedOn w:val="1"/>
    <w:qFormat/>
    <w:uiPriority w:val="0"/>
    <w:pPr>
      <w:spacing w:before="0" w:after="140" w:line="276" w:lineRule="auto"/>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pPr>
      <w:tabs>
        <w:tab w:val="right" w:leader="dot" w:pos="8296"/>
      </w:tabs>
      <w:spacing w:before="93" w:after="0"/>
      <w:jc w:val="center"/>
    </w:pPr>
    <w:rPr>
      <w:rFonts w:ascii="仿宋" w:hAnsi="仿宋" w:eastAsia="仿宋" w:cs="仿宋"/>
      <w:sz w:val="28"/>
      <w:szCs w:val="28"/>
    </w:rPr>
  </w:style>
  <w:style w:type="paragraph" w:styleId="11">
    <w:name w:val="List"/>
    <w:basedOn w:val="7"/>
    <w:qFormat/>
    <w:uiPriority w:val="0"/>
  </w:style>
  <w:style w:type="paragraph" w:styleId="12">
    <w:name w:val="footnote text"/>
    <w:basedOn w:val="1"/>
    <w:next w:val="13"/>
    <w:qFormat/>
    <w:uiPriority w:val="0"/>
    <w:pPr>
      <w:snapToGrid w:val="0"/>
      <w:jc w:val="left"/>
    </w:pPr>
    <w:rPr>
      <w:sz w:val="18"/>
      <w:szCs w:val="18"/>
    </w:rPr>
  </w:style>
  <w:style w:type="paragraph" w:customStyle="1" w:styleId="13">
    <w:name w:val="正文首行缩进 21"/>
    <w:basedOn w:val="3"/>
    <w:next w:val="1"/>
    <w:qFormat/>
    <w:uiPriority w:val="0"/>
    <w:pPr>
      <w:ind w:firstLine="420"/>
    </w:pPr>
  </w:style>
  <w:style w:type="paragraph" w:styleId="14">
    <w:name w:val="toc 2"/>
    <w:basedOn w:val="1"/>
    <w:next w:val="1"/>
    <w:qFormat/>
    <w:uiPriority w:val="0"/>
    <w:pPr>
      <w:tabs>
        <w:tab w:val="right" w:leader="dot" w:pos="8296"/>
      </w:tabs>
      <w:ind w:left="420" w:firstLine="0"/>
    </w:pPr>
  </w:style>
  <w:style w:type="character" w:customStyle="1" w:styleId="17">
    <w:name w:val="WW8Num2z0"/>
    <w:qFormat/>
    <w:uiPriority w:val="0"/>
  </w:style>
  <w:style w:type="character" w:customStyle="1" w:styleId="18">
    <w:name w:val="默认段落字体11"/>
    <w:qFormat/>
    <w:uiPriority w:val="0"/>
  </w:style>
  <w:style w:type="character" w:customStyle="1" w:styleId="19">
    <w:name w:val="标题 1 Char"/>
    <w:basedOn w:val="18"/>
    <w:qFormat/>
    <w:uiPriority w:val="0"/>
    <w:rPr>
      <w:b/>
      <w:bCs/>
      <w:kern w:val="2"/>
      <w:sz w:val="44"/>
      <w:szCs w:val="44"/>
    </w:rPr>
  </w:style>
  <w:style w:type="character" w:customStyle="1" w:styleId="20">
    <w:name w:val="标题 2 Char"/>
    <w:basedOn w:val="18"/>
    <w:qFormat/>
    <w:uiPriority w:val="0"/>
    <w:rPr>
      <w:rFonts w:ascii="Cambria" w:hAnsi="Cambria" w:eastAsia="宋体" w:cs="Times New Roman"/>
      <w:b/>
      <w:bCs/>
      <w:sz w:val="32"/>
      <w:szCs w:val="32"/>
    </w:rPr>
  </w:style>
  <w:style w:type="character" w:customStyle="1" w:styleId="21">
    <w:name w:val="Strong Emphasis"/>
    <w:basedOn w:val="18"/>
    <w:qFormat/>
    <w:uiPriority w:val="0"/>
    <w:rPr>
      <w:b/>
    </w:rPr>
  </w:style>
  <w:style w:type="character" w:customStyle="1" w:styleId="22">
    <w:name w:val="默认段落字体1"/>
    <w:qFormat/>
    <w:uiPriority w:val="0"/>
  </w:style>
  <w:style w:type="paragraph" w:customStyle="1" w:styleId="23">
    <w:name w:val="Heading"/>
    <w:basedOn w:val="1"/>
    <w:next w:val="7"/>
    <w:qFormat/>
    <w:uiPriority w:val="0"/>
    <w:pPr>
      <w:keepNext/>
      <w:widowControl w:val="0"/>
      <w:suppressAutoHyphens/>
      <w:spacing w:before="240" w:after="120"/>
    </w:pPr>
    <w:rPr>
      <w:rFonts w:ascii="Liberation Sans;微软雅黑" w:hAnsi="Liberation Sans;微软雅黑" w:eastAsia="Noto Sans CJK SC Regular;宋体" w:cs="Noto Sans CJK SC Regular;宋体"/>
      <w:sz w:val="28"/>
      <w:szCs w:val="28"/>
      <w:lang w:bidi="ar-SA"/>
    </w:rPr>
  </w:style>
  <w:style w:type="paragraph" w:customStyle="1" w:styleId="24">
    <w:name w:val="Index"/>
    <w:basedOn w:val="1"/>
    <w:qFormat/>
    <w:uiPriority w:val="0"/>
    <w:pPr>
      <w:widowControl w:val="0"/>
      <w:suppressLineNumbers/>
      <w:suppressAutoHyphens/>
    </w:pPr>
  </w:style>
  <w:style w:type="paragraph" w:customStyle="1" w:styleId="25">
    <w:name w:val="题注1"/>
    <w:basedOn w:val="1"/>
    <w:qFormat/>
    <w:uiPriority w:val="0"/>
    <w:pPr>
      <w:widowControl w:val="0"/>
      <w:suppressLineNumbers/>
      <w:suppressAutoHyphens/>
      <w:spacing w:before="120" w:after="120"/>
    </w:pPr>
    <w:rPr>
      <w:i/>
      <w:iCs/>
      <w:sz w:val="24"/>
      <w:szCs w:val="24"/>
    </w:rPr>
  </w:style>
  <w:style w:type="paragraph" w:customStyle="1" w:styleId="26">
    <w:name w:val="标题 5（有编号）（绿盟科技）"/>
    <w:next w:val="1"/>
    <w:qFormat/>
    <w:uiPriority w:val="0"/>
    <w:pPr>
      <w:keepNext/>
      <w:keepLines/>
      <w:widowControl w:val="0"/>
      <w:suppressAutoHyphens/>
      <w:bidi w:val="0"/>
      <w:spacing w:before="280" w:after="156" w:line="376" w:lineRule="auto"/>
      <w:jc w:val="left"/>
      <w:outlineLvl w:val="4"/>
    </w:pPr>
    <w:rPr>
      <w:rFonts w:ascii="Arial" w:hAnsi="Arial" w:eastAsia="黑体" w:cs="Times New Roman"/>
      <w:b/>
      <w:color w:val="auto"/>
      <w:kern w:val="2"/>
      <w:sz w:val="24"/>
      <w:szCs w:val="28"/>
      <w:lang w:val="en-US" w:eastAsia="zh-CN" w:bidi="ar-SA"/>
    </w:rPr>
  </w:style>
  <w:style w:type="paragraph" w:customStyle="1" w:styleId="27">
    <w:name w:val="Default"/>
    <w:qFormat/>
    <w:uiPriority w:val="0"/>
    <w:pPr>
      <w:widowControl w:val="0"/>
      <w:suppressAutoHyphens/>
      <w:autoSpaceDE w:val="0"/>
      <w:bidi w:val="0"/>
    </w:pPr>
    <w:rPr>
      <w:rFonts w:ascii="仿宋" w:hAnsi="仿宋" w:eastAsia="仿宋" w:cs="仿宋"/>
      <w:color w:val="000000"/>
      <w:sz w:val="24"/>
      <w:szCs w:val="24"/>
      <w:lang w:val="en-US" w:eastAsia="zh-CN" w:bidi="ar-SA"/>
    </w:rPr>
  </w:style>
  <w:style w:type="paragraph" w:styleId="28">
    <w:name w:val="List Paragraph"/>
    <w:basedOn w:val="1"/>
    <w:qFormat/>
    <w:uiPriority w:val="0"/>
    <w:pPr>
      <w:ind w:firstLine="420"/>
    </w:pPr>
  </w:style>
  <w:style w:type="paragraph" w:customStyle="1" w:styleId="29">
    <w:name w:val="Table Contents"/>
    <w:basedOn w:val="1"/>
    <w:qFormat/>
    <w:uiPriority w:val="0"/>
    <w:pPr>
      <w:widowControl w:val="0"/>
      <w:suppressLineNumbers/>
    </w:pPr>
  </w:style>
  <w:style w:type="paragraph" w:customStyle="1" w:styleId="30">
    <w:name w:val="Table Heading"/>
    <w:basedOn w:val="29"/>
    <w:qFormat/>
    <w:uiPriority w:val="0"/>
    <w:pPr>
      <w:suppressLineNumbers/>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chart" Target="charts/chart7.xml"/><Relationship Id="rId10" Type="http://schemas.openxmlformats.org/officeDocument/2006/relationships/chart" Target="charts/chart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E:\&#26448;&#26009;\&#30011;&#22270;&#24037;&#20855;.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E:\&#26448;&#26009;\&#30011;&#22270;&#24037;&#20855;.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E:\&#26448;&#26009;\&#30011;&#22270;&#24037;&#20855;.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E:\&#26448;&#26009;\&#30011;&#22270;&#24037;&#20855;.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E:\&#26448;&#26009;\&#30011;&#22270;&#24037;&#20855;.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E:\&#26448;&#26009;\&#30011;&#22270;&#24037;&#20855;.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E:\&#26448;&#26009;\&#30011;&#22270;&#24037;&#2085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收、支决算总计变动情况</a:t>
            </a:r>
          </a:p>
        </c:rich>
      </c:tx>
      <c:layout>
        <c:manualLayout>
          <c:xMode val="edge"/>
          <c:yMode val="edge"/>
          <c:x val="0.174897742766248"/>
          <c:y val="0.0245535714285714"/>
        </c:manualLayout>
      </c:layout>
      <c:overlay val="0"/>
      <c:spPr>
        <a:noFill/>
        <a:ln>
          <a:noFill/>
        </a:ln>
        <a:effectLst/>
      </c:spPr>
    </c:title>
    <c:autoTitleDeleted val="0"/>
    <c:plotArea>
      <c:layout>
        <c:manualLayout>
          <c:layoutTarget val="inner"/>
          <c:xMode val="edge"/>
          <c:yMode val="edge"/>
          <c:x val="0.215482502651113"/>
          <c:y val="0.170089285714286"/>
          <c:w val="0.75270413573701"/>
          <c:h val="0.592232142857143"/>
        </c:manualLayout>
      </c:layout>
      <c:barChart>
        <c:barDir val="col"/>
        <c:grouping val="clustered"/>
        <c:varyColors val="0"/>
        <c:ser>
          <c:idx val="0"/>
          <c:order val="0"/>
          <c:tx>
            <c:strRef>
              <c:f>[画图工具.xlsx]Sheet1!$A$2</c:f>
              <c:strCache>
                <c:ptCount val="1"/>
                <c:pt idx="0">
                  <c:v>2024年</c:v>
                </c:pt>
              </c:strCache>
            </c:strRef>
          </c:tx>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[画图工具.xlsx]Sheet1!$B$1:$C$1</c:f>
              <c:strCache>
                <c:ptCount val="2"/>
                <c:pt idx="0">
                  <c:v>收决算总计</c:v>
                </c:pt>
                <c:pt idx="1">
                  <c:v>支出决算总计</c:v>
                </c:pt>
              </c:strCache>
            </c:strRef>
          </c:cat>
          <c:val>
            <c:numRef>
              <c:f>[画图工具.xlsx]Sheet1!$B$2:$C$2</c:f>
              <c:numCache>
                <c:formatCode>General</c:formatCode>
                <c:ptCount val="2"/>
                <c:pt idx="0">
                  <c:v>794.79</c:v>
                </c:pt>
                <c:pt idx="1">
                  <c:v>793.79</c:v>
                </c:pt>
              </c:numCache>
            </c:numRef>
          </c:val>
        </c:ser>
        <c:ser>
          <c:idx val="1"/>
          <c:order val="1"/>
          <c:tx>
            <c:strRef>
              <c:f>[画图工具.xlsx]Sheet1!$A$3</c:f>
              <c:strCache>
                <c:ptCount val="1"/>
                <c:pt idx="0">
                  <c:v>2025年</c:v>
                </c:pt>
              </c:strCache>
            </c:strRef>
          </c:tx>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[画图工具.xlsx]Sheet1!$B$1:$C$1</c:f>
              <c:strCache>
                <c:ptCount val="2"/>
                <c:pt idx="0">
                  <c:v>收决算总计</c:v>
                </c:pt>
                <c:pt idx="1">
                  <c:v>支出决算总计</c:v>
                </c:pt>
              </c:strCache>
            </c:strRef>
          </c:cat>
          <c:val>
            <c:numRef>
              <c:f>[画图工具.xlsx]Sheet1!$B$3:$C$3</c:f>
              <c:numCache>
                <c:formatCode>General</c:formatCode>
                <c:ptCount val="2"/>
                <c:pt idx="0">
                  <c:v>983.29</c:v>
                </c:pt>
                <c:pt idx="1">
                  <c:v>990.67</c:v>
                </c:pt>
              </c:numCache>
            </c:numRef>
          </c:val>
        </c:ser>
        <c:dLbls>
          <c:showLegendKey val="0"/>
          <c:showVal val="1"/>
          <c:showCatName val="0"/>
          <c:showSerName val="0"/>
          <c:showPercent val="0"/>
          <c:showBubbleSize val="0"/>
        </c:dLbls>
        <c:gapWidth val="500"/>
        <c:overlap val="-50"/>
        <c:axId val="98475064"/>
        <c:axId val="225232231"/>
      </c:barChart>
      <c:catAx>
        <c:axId val="98475064"/>
        <c:scaling>
          <c:orientation val="minMax"/>
        </c:scaling>
        <c:delete val="0"/>
        <c:axPos val="b"/>
        <c:majorTickMark val="none"/>
        <c:minorTickMark val="none"/>
        <c:tickLblPos val="nextTo"/>
        <c:spPr>
          <a:noFill/>
          <a:ln w="9525" cap="flat" cmpd="sng" algn="ctr">
            <a:solidFill>
              <a:schemeClr val="dk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225232231"/>
        <c:crosses val="autoZero"/>
        <c:auto val="1"/>
        <c:lblAlgn val="ctr"/>
        <c:lblOffset val="100"/>
        <c:noMultiLvlLbl val="0"/>
      </c:catAx>
      <c:valAx>
        <c:axId val="225232231"/>
        <c:scaling>
          <c:orientation val="minMax"/>
        </c:scaling>
        <c:delete val="1"/>
        <c:axPos val="l"/>
        <c:title>
          <c:tx>
            <c:rich>
              <a:bodyPr rot="-5400000" spcFirstLastPara="0" vertOverflow="ellipsis" vert="horz" wrap="square" anchor="ctr" anchorCtr="1"/>
              <a:lstStyle/>
              <a:p>
                <a:pPr defTabSz="914400">
                  <a:defRPr lang="zh-CN" sz="1000" b="0" i="0" u="none" strike="noStrike" kern="1200" baseline="0">
                    <a:solidFill>
                      <a:schemeClr val="dk1">
                        <a:lumMod val="65000"/>
                        <a:lumOff val="35000"/>
                      </a:schemeClr>
                    </a:solidFill>
                    <a:latin typeface="+mn-lt"/>
                    <a:ea typeface="+mn-ea"/>
                    <a:cs typeface="+mn-cs"/>
                  </a:defRPr>
                </a:pPr>
                <a:r>
                  <a:t>收、支金额/万元</a:t>
                </a:r>
              </a:p>
            </c:rich>
          </c:tx>
          <c:layout/>
          <c:overlay val="0"/>
          <c:spPr>
            <a:noFill/>
            <a:ln>
              <a:noFill/>
            </a:ln>
            <a:effectLst/>
          </c:spPr>
        </c:title>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98475064"/>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dTable>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3dfa843-c610-4f44-9989-17a1c874673a}"/>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2025年收入决算结构图</a:t>
            </a:r>
          </a:p>
        </c:rich>
      </c:tx>
      <c:layout/>
      <c:overlay val="0"/>
      <c:spPr>
        <a:noFill/>
        <a:ln>
          <a:noFill/>
        </a:ln>
        <a:effectLst/>
      </c:spPr>
    </c:title>
    <c:autoTitleDeleted val="0"/>
    <c:plotArea>
      <c:layout>
        <c:manualLayout>
          <c:layoutTarget val="inner"/>
          <c:xMode val="edge"/>
          <c:yMode val="edge"/>
          <c:x val="0.0975694444444444"/>
          <c:y val="0.173611111111111"/>
          <c:w val="0.463194444444444"/>
          <c:h val="0.771990740740741"/>
        </c:manualLayout>
      </c:layout>
      <c:pieChart>
        <c:varyColors val="1"/>
        <c:ser>
          <c:idx val="0"/>
          <c:order val="0"/>
          <c:tx>
            <c:strRef>
              <c:f>[画图工具.xlsx]Sheet1!$B$48</c:f>
              <c:strCache>
                <c:ptCount val="1"/>
                <c:pt idx="0">
                  <c:v>2025年收入决算额</c:v>
                </c:pt>
              </c:strCache>
            </c:strRef>
          </c:tx>
          <c:spPr/>
          <c:explosion val="0"/>
          <c:dPt>
            <c:idx val="0"/>
            <c:bubble3D val="0"/>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dPt>
          <c:dPt>
            <c:idx val="1"/>
            <c:bubble3D val="0"/>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dPt>
          <c:dPt>
            <c:idx val="2"/>
            <c:bubble3D val="0"/>
            <c:spPr>
              <a:gradFill>
                <a:gsLst>
                  <a:gs pos="100000">
                    <a:schemeClr val="accent3"/>
                  </a:gs>
                  <a:gs pos="0">
                    <a:schemeClr val="accent3">
                      <a:hueOff val="-1670000"/>
                    </a:schemeClr>
                  </a:gs>
                </a:gsLst>
                <a:lin ang="5400000" scaled="0"/>
              </a:gradFill>
              <a:ln>
                <a:gradFill>
                  <a:gsLst>
                    <a:gs pos="100000">
                      <a:schemeClr val="accent3">
                        <a:lumMod val="75000"/>
                      </a:schemeClr>
                    </a:gs>
                    <a:gs pos="0">
                      <a:schemeClr val="accent3">
                        <a:lumMod val="75000"/>
                        <a:hueOff val="-1670000"/>
                      </a:schemeClr>
                    </a:gs>
                  </a:gsLst>
                  <a:lin ang="4620000" scaled="0"/>
                </a:gradFill>
              </a:ln>
              <a:effectLst/>
            </c:spPr>
          </c:dPt>
          <c:dPt>
            <c:idx val="3"/>
            <c:bubble3D val="0"/>
            <c:spPr>
              <a:gradFill>
                <a:gsLst>
                  <a:gs pos="100000">
                    <a:schemeClr val="accent4"/>
                  </a:gs>
                  <a:gs pos="0">
                    <a:schemeClr val="accent4">
                      <a:hueOff val="-1670000"/>
                    </a:schemeClr>
                  </a:gs>
                </a:gsLst>
                <a:lin ang="5400000" scaled="0"/>
              </a:gradFill>
              <a:ln>
                <a:gradFill>
                  <a:gsLst>
                    <a:gs pos="100000">
                      <a:schemeClr val="accent4">
                        <a:lumMod val="75000"/>
                      </a:schemeClr>
                    </a:gs>
                    <a:gs pos="0">
                      <a:schemeClr val="accent4">
                        <a:lumMod val="75000"/>
                        <a:hueOff val="-1670000"/>
                      </a:schemeClr>
                    </a:gs>
                  </a:gsLst>
                  <a:lin ang="4620000" scaled="0"/>
                </a:gradFill>
              </a:ln>
              <a:effectLst/>
            </c:spPr>
          </c:dPt>
          <c:dPt>
            <c:idx val="4"/>
            <c:bubble3D val="0"/>
            <c:spPr>
              <a:gradFill>
                <a:gsLst>
                  <a:gs pos="100000">
                    <a:schemeClr val="accent5"/>
                  </a:gs>
                  <a:gs pos="0">
                    <a:schemeClr val="accent5">
                      <a:hueOff val="-1670000"/>
                    </a:schemeClr>
                  </a:gs>
                </a:gsLst>
                <a:lin ang="5400000" scaled="0"/>
              </a:gradFill>
              <a:ln>
                <a:gradFill>
                  <a:gsLst>
                    <a:gs pos="100000">
                      <a:schemeClr val="accent5">
                        <a:lumMod val="75000"/>
                      </a:schemeClr>
                    </a:gs>
                    <a:gs pos="0">
                      <a:schemeClr val="accent5">
                        <a:lumMod val="75000"/>
                        <a:hueOff val="-1670000"/>
                      </a:schemeClr>
                    </a:gs>
                  </a:gsLst>
                  <a:lin ang="4620000" scaled="0"/>
                </a:gradFill>
              </a:ln>
              <a:effectLst/>
            </c:spPr>
          </c:dPt>
          <c:dPt>
            <c:idx val="5"/>
            <c:bubble3D val="0"/>
            <c:spPr>
              <a:gradFill>
                <a:gsLst>
                  <a:gs pos="100000">
                    <a:schemeClr val="accent6"/>
                  </a:gs>
                  <a:gs pos="0">
                    <a:schemeClr val="accent6">
                      <a:hueOff val="-1670000"/>
                    </a:schemeClr>
                  </a:gs>
                </a:gsLst>
                <a:lin ang="5400000" scaled="0"/>
              </a:gradFill>
              <a:ln>
                <a:gradFill>
                  <a:gsLst>
                    <a:gs pos="100000">
                      <a:schemeClr val="accent6">
                        <a:lumMod val="75000"/>
                      </a:schemeClr>
                    </a:gs>
                    <a:gs pos="0">
                      <a:schemeClr val="accent6">
                        <a:lumMod val="75000"/>
                        <a:hueOff val="-1670000"/>
                      </a:schemeClr>
                    </a:gs>
                  </a:gsLst>
                  <a:lin ang="4620000" scaled="0"/>
                </a:gradFill>
              </a:ln>
              <a:effectLst/>
            </c:spPr>
          </c:dPt>
          <c:dPt>
            <c:idx val="6"/>
            <c:bubble3D val="0"/>
            <c:spPr>
              <a:gradFill>
                <a:gsLst>
                  <a:gs pos="100000">
                    <a:schemeClr val="accent1">
                      <a:lumMod val="60000"/>
                    </a:schemeClr>
                  </a:gs>
                  <a:gs pos="0">
                    <a:schemeClr val="accent1">
                      <a:lumMod val="60000"/>
                      <a:hueOff val="-1670000"/>
                    </a:schemeClr>
                  </a:gs>
                </a:gsLst>
                <a:lin ang="5400000" scaled="0"/>
              </a:gradFill>
              <a:ln>
                <a:gradFill>
                  <a:gsLst>
                    <a:gs pos="100000">
                      <a:schemeClr val="accent1">
                        <a:lumMod val="60000"/>
                        <a:lumMod val="75000"/>
                      </a:schemeClr>
                    </a:gs>
                    <a:gs pos="0">
                      <a:schemeClr val="accent1">
                        <a:lumMod val="60000"/>
                        <a:lumMod val="75000"/>
                        <a:hueOff val="-1670000"/>
                      </a:schemeClr>
                    </a:gs>
                  </a:gsLst>
                  <a:lin ang="4620000" scaled="0"/>
                </a:gradFill>
              </a:ln>
              <a:effectLst/>
            </c:spPr>
          </c:dPt>
          <c:dPt>
            <c:idx val="7"/>
            <c:bubble3D val="0"/>
            <c:spPr>
              <a:gradFill>
                <a:gsLst>
                  <a:gs pos="100000">
                    <a:schemeClr val="accent2">
                      <a:lumMod val="60000"/>
                    </a:schemeClr>
                  </a:gs>
                  <a:gs pos="0">
                    <a:schemeClr val="accent2">
                      <a:lumMod val="60000"/>
                      <a:hueOff val="-1670000"/>
                    </a:schemeClr>
                  </a:gs>
                </a:gsLst>
                <a:lin ang="5400000" scaled="0"/>
              </a:gradFill>
              <a:ln>
                <a:gradFill>
                  <a:gsLst>
                    <a:gs pos="100000">
                      <a:schemeClr val="accent2">
                        <a:lumMod val="60000"/>
                        <a:lumMod val="75000"/>
                      </a:schemeClr>
                    </a:gs>
                    <a:gs pos="0">
                      <a:schemeClr val="accent2">
                        <a:lumMod val="60000"/>
                        <a:lumMod val="75000"/>
                        <a:hueOff val="-1670000"/>
                      </a:schemeClr>
                    </a:gs>
                  </a:gsLst>
                  <a:lin ang="4620000" scaled="0"/>
                </a:gra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[画图工具.xlsx]Sheet1!$A$49:$A$56</c:f>
              <c:strCache>
                <c:ptCount val="8"/>
                <c:pt idx="0">
                  <c:v>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[画图工具.xlsx]Sheet1!$B$49:$B$56</c:f>
              <c:numCache>
                <c:formatCode>General</c:formatCode>
                <c:ptCount val="8"/>
                <c:pt idx="0">
                  <c:v>983.29</c:v>
                </c:pt>
                <c:pt idx="1">
                  <c:v>0</c:v>
                </c:pt>
                <c:pt idx="2">
                  <c:v>0</c:v>
                </c:pt>
                <c:pt idx="3">
                  <c:v>0</c:v>
                </c:pt>
                <c:pt idx="4">
                  <c:v>0</c:v>
                </c:pt>
                <c:pt idx="5">
                  <c:v>0</c:v>
                </c:pt>
                <c:pt idx="6">
                  <c:v>0</c:v>
                </c:pt>
                <c:pt idx="7">
                  <c:v>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5701253-35a6-4c63-93e6-f6a688d58573}"/>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88888888888889"/>
          <c:y val="0.00669642857142857"/>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[画图工具.xlsx]Sheet1!$B$176</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[画图工具.xlsx]Sheet1!$A$177:$A$181</c:f>
              <c:strCache>
                <c:ptCount val="5"/>
                <c:pt idx="0">
                  <c:v>基本支出</c:v>
                </c:pt>
                <c:pt idx="1">
                  <c:v>项目支出</c:v>
                </c:pt>
                <c:pt idx="2">
                  <c:v>上缴上级</c:v>
                </c:pt>
                <c:pt idx="3">
                  <c:v>经营支出</c:v>
                </c:pt>
                <c:pt idx="4">
                  <c:v>对附属单位补助支出</c:v>
                </c:pt>
              </c:strCache>
            </c:strRef>
          </c:cat>
          <c:val>
            <c:numRef>
              <c:f>[画图工具.xlsx]Sheet1!$B$177:$B$181</c:f>
              <c:numCache>
                <c:formatCode>General</c:formatCode>
                <c:ptCount val="5"/>
                <c:pt idx="0">
                  <c:v>668.08</c:v>
                </c:pt>
                <c:pt idx="1">
                  <c:v>322.6</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dcb3da-6fa4-405d-b9b2-418a938c9f6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manualLayout>
          <c:xMode val="edge"/>
          <c:yMode val="edge"/>
          <c:x val="0.174897742766248"/>
          <c:y val="0.0245535714285714"/>
        </c:manualLayout>
      </c:layout>
      <c:overlay val="0"/>
      <c:spPr>
        <a:noFill/>
        <a:ln>
          <a:noFill/>
        </a:ln>
        <a:effectLst/>
      </c:spPr>
    </c:title>
    <c:autoTitleDeleted val="0"/>
    <c:plotArea>
      <c:layout>
        <c:manualLayout>
          <c:layoutTarget val="inner"/>
          <c:xMode val="edge"/>
          <c:yMode val="edge"/>
          <c:x val="0.215482502651113"/>
          <c:y val="0.170089285714286"/>
          <c:w val="0.75270413573701"/>
          <c:h val="0.592232142857143"/>
        </c:manualLayout>
      </c:layout>
      <c:barChart>
        <c:barDir val="col"/>
        <c:grouping val="clustered"/>
        <c:varyColors val="0"/>
        <c:ser>
          <c:idx val="0"/>
          <c:order val="0"/>
          <c:tx>
            <c:strRef>
              <c:f>[画图工具.xlsx]Sheet1!$A$2</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收决算总计</c:v>
                </c:pt>
                <c:pt idx="1">
                  <c:v>支出决算总计</c:v>
                </c:pt>
              </c:strCache>
            </c:strRef>
          </c:cat>
          <c:val>
            <c:numRef>
              <c:f>Sheet1!$B$2:$C$2</c:f>
              <c:numCache>
                <c:formatCode>General</c:formatCode>
                <c:ptCount val="2"/>
                <c:pt idx="0">
                  <c:v>794.79</c:v>
                </c:pt>
                <c:pt idx="1">
                  <c:v>793.79</c:v>
                </c:pt>
              </c:numCache>
            </c:numRef>
          </c:val>
        </c:ser>
        <c:ser>
          <c:idx val="1"/>
          <c:order val="1"/>
          <c:tx>
            <c:strRef>
              <c:f>[画图工具.xlsx]Sheet1!$A$3</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收决算总计</c:v>
                </c:pt>
                <c:pt idx="1">
                  <c:v>支出决算总计</c:v>
                </c:pt>
              </c:strCache>
            </c:strRef>
          </c:cat>
          <c:val>
            <c:numRef>
              <c:f>Sheet1!$B$3:$C$3</c:f>
              <c:numCache>
                <c:formatCode>General</c:formatCode>
                <c:ptCount val="2"/>
                <c:pt idx="0">
                  <c:v>983.29</c:v>
                </c:pt>
                <c:pt idx="1">
                  <c:v>983.29</c:v>
                </c:pt>
              </c:numCache>
            </c:numRef>
          </c:val>
        </c:ser>
        <c:dLbls>
          <c:showLegendKey val="0"/>
          <c:showVal val="1"/>
          <c:showCatName val="0"/>
          <c:showSerName val="0"/>
          <c:showPercent val="0"/>
          <c:showBubbleSize val="0"/>
        </c:dLbls>
        <c:gapWidth val="216"/>
        <c:overlap val="-32"/>
        <c:axId val="98475064"/>
        <c:axId val="225232231"/>
      </c:barChart>
      <c:catAx>
        <c:axId val="9847506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5232231"/>
        <c:crosses val="autoZero"/>
        <c:auto val="1"/>
        <c:lblAlgn val="ctr"/>
        <c:lblOffset val="100"/>
        <c:noMultiLvlLbl val="0"/>
      </c:catAx>
      <c:valAx>
        <c:axId val="225232231"/>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收、支金额/万元</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4750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93dfa843-c610-4f44-9989-17a1c874673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manualLayout>
          <c:xMode val="edge"/>
          <c:yMode val="edge"/>
          <c:x val="0.105194805194805"/>
          <c:y val="0.0246085011185682"/>
        </c:manualLayout>
      </c:layout>
      <c:overlay val="0"/>
      <c:spPr>
        <a:noFill/>
        <a:ln>
          <a:noFill/>
        </a:ln>
        <a:effectLst/>
      </c:spPr>
    </c:title>
    <c:autoTitleDeleted val="0"/>
    <c:plotArea>
      <c:layout>
        <c:manualLayout>
          <c:layoutTarget val="inner"/>
          <c:xMode val="edge"/>
          <c:yMode val="edge"/>
          <c:x val="0.299220779220779"/>
          <c:y val="0.269574944071588"/>
          <c:w val="0.668693659281895"/>
          <c:h val="0.483803131991051"/>
        </c:manualLayout>
      </c:layout>
      <c:barChart>
        <c:barDir val="col"/>
        <c:grouping val="clustered"/>
        <c:varyColors val="0"/>
        <c:ser>
          <c:idx val="0"/>
          <c:order val="0"/>
          <c:tx>
            <c:strRef>
              <c:f>[画图工具.xlsx]Sheet1!$C$1</c:f>
              <c:strCache>
                <c:ptCount val="1"/>
                <c:pt idx="0">
                  <c:v>支出决算总计</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[画图工具.xlsx]Sheet1!$A$2:$A$3</c:f>
              <c:strCache>
                <c:ptCount val="2"/>
                <c:pt idx="0">
                  <c:v>2024年</c:v>
                </c:pt>
                <c:pt idx="1">
                  <c:v>2025年</c:v>
                </c:pt>
              </c:strCache>
            </c:strRef>
          </c:cat>
          <c:val>
            <c:numRef>
              <c:f>[画图工具.xlsx]Sheet1!$C$2:$C$3</c:f>
              <c:numCache>
                <c:formatCode>General</c:formatCode>
                <c:ptCount val="2"/>
                <c:pt idx="0">
                  <c:v>793.79</c:v>
                </c:pt>
                <c:pt idx="1">
                  <c:v>983.29</c:v>
                </c:pt>
              </c:numCache>
            </c:numRef>
          </c:val>
        </c:ser>
        <c:dLbls>
          <c:showLegendKey val="0"/>
          <c:showVal val="1"/>
          <c:showCatName val="0"/>
          <c:showSerName val="0"/>
          <c:showPercent val="0"/>
          <c:showBubbleSize val="0"/>
        </c:dLbls>
        <c:gapWidth val="260"/>
        <c:overlap val="-32"/>
        <c:axId val="155467810"/>
        <c:axId val="799416097"/>
      </c:barChart>
      <c:catAx>
        <c:axId val="155467810"/>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年度</a:t>
                </a:r>
              </a:p>
            </c:rich>
          </c:tx>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9416097"/>
        <c:crosses val="autoZero"/>
        <c:auto val="1"/>
        <c:lblAlgn val="ctr"/>
        <c:lblOffset val="100"/>
        <c:noMultiLvlLbl val="0"/>
      </c:catAx>
      <c:valAx>
        <c:axId val="799416097"/>
        <c:scaling>
          <c:orientation val="minMax"/>
        </c:scaling>
        <c:delete val="1"/>
        <c:axPos val="l"/>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金额/万元</a:t>
                </a:r>
              </a:p>
            </c:rich>
          </c:tx>
          <c:layout/>
          <c:overlay val="0"/>
          <c:spPr>
            <a:noFill/>
            <a:ln>
              <a:noFill/>
            </a:ln>
            <a:effectLst/>
          </c:spPr>
        </c:title>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546781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7f12600-f1b9-438d-b5b4-230c0e61146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139813374805599"/>
          <c:y val="0.133333333333333"/>
          <c:w val="0.584447900466563"/>
          <c:h val="0.792827004219409"/>
        </c:manualLayout>
      </c:layout>
      <c:pieChart>
        <c:varyColors val="1"/>
        <c:ser>
          <c:idx val="0"/>
          <c:order val="0"/>
          <c:tx>
            <c:strRef>
              <c:f>[画图工具.xlsx]Sheet1!$B$88</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[画图工具.xlsx]Sheet1!$A$89:$A$95</c:f>
              <c:strCache>
                <c:ptCount val="7"/>
                <c:pt idx="0">
                  <c:v>一般公共服务（类）</c:v>
                </c:pt>
                <c:pt idx="1">
                  <c:v>社会保障和就业（类）</c:v>
                </c:pt>
                <c:pt idx="2">
                  <c:v>卫生健康支出</c:v>
                </c:pt>
                <c:pt idx="3">
                  <c:v>住房保障支出</c:v>
                </c:pt>
                <c:pt idx="4">
                  <c:v>农林水</c:v>
                </c:pt>
                <c:pt idx="5">
                  <c:v>节能环保支出</c:v>
                </c:pt>
                <c:pt idx="6">
                  <c:v>城乡社区支出</c:v>
                </c:pt>
              </c:strCache>
            </c:strRef>
          </c:cat>
          <c:val>
            <c:numRef>
              <c:f>[画图工具.xlsx]Sheet1!$B$89:$B$95</c:f>
              <c:numCache>
                <c:formatCode>General</c:formatCode>
                <c:ptCount val="7"/>
                <c:pt idx="0">
                  <c:v>500.93</c:v>
                </c:pt>
                <c:pt idx="1">
                  <c:v>90.31</c:v>
                </c:pt>
                <c:pt idx="2">
                  <c:v>28.52</c:v>
                </c:pt>
                <c:pt idx="3">
                  <c:v>43.94</c:v>
                </c:pt>
                <c:pt idx="4">
                  <c:v>308.75</c:v>
                </c:pt>
                <c:pt idx="5" c:formatCode="0.00_ ">
                  <c:v>3.2</c:v>
                </c:pt>
                <c:pt idx="6">
                  <c:v>7.65</c:v>
                </c:pt>
              </c:numCache>
            </c:numRef>
          </c:val>
        </c:ser>
        <c:ser>
          <c:idx val="1"/>
          <c:order val="1"/>
          <c:tx>
            <c:strRef>
              <c:f>[画图工具.xlsx]Sheet1!$C$88</c:f>
              <c:strCache>
                <c:ptCount val="1"/>
                <c:pt idx="0">
                  <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[画图工具.xlsx]Sheet1!$A$89:$A$95</c:f>
              <c:strCache>
                <c:ptCount val="7"/>
                <c:pt idx="0">
                  <c:v>一般公共服务（类）</c:v>
                </c:pt>
                <c:pt idx="1">
                  <c:v>社会保障和就业（类）</c:v>
                </c:pt>
                <c:pt idx="2">
                  <c:v>卫生健康支出</c:v>
                </c:pt>
                <c:pt idx="3">
                  <c:v>住房保障支出</c:v>
                </c:pt>
                <c:pt idx="4">
                  <c:v>农林水</c:v>
                </c:pt>
                <c:pt idx="5">
                  <c:v>节能环保支出</c:v>
                </c:pt>
                <c:pt idx="6">
                  <c:v>城乡社区支出</c:v>
                </c:pt>
              </c:strCache>
            </c:strRef>
          </c:cat>
          <c:val>
            <c:numRef>
              <c:f>[画图工具.xlsx]Sheet1!$C$89:$C$95</c:f>
              <c:numCache>
                <c:formatCode>General</c:formatCode>
                <c:ptCount val="7"/>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69878769039478"/>
          <c:y val="0.37201025827824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5e96c37-5429-42ec-947b-39cc595291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“三公”经费财政拨款支出结构图</a:t>
            </a:r>
          </a:p>
        </c:rich>
      </c:tx>
      <c:layout/>
      <c:overlay val="0"/>
      <c:spPr>
        <a:noFill/>
        <a:ln>
          <a:noFill/>
        </a:ln>
        <a:effectLst/>
      </c:spPr>
    </c:title>
    <c:autoTitleDeleted val="0"/>
    <c:plotArea>
      <c:layout/>
      <c:pieChart>
        <c:varyColors val="1"/>
        <c:ser>
          <c:idx val="0"/>
          <c:order val="0"/>
          <c:tx>
            <c:strRef>
              <c:f>[画图工具.xlsx]Sheet1!$B$117</c:f>
              <c:strCache>
                <c:ptCount val="1"/>
                <c:pt idx="0">
                  <c:v>“三公”经费财政拨款支出结构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[画图工具.xlsx]Sheet1!$A$118:$A$120</c:f>
              <c:strCache>
                <c:ptCount val="3"/>
                <c:pt idx="0">
                  <c:v>因公出国（境）费</c:v>
                </c:pt>
                <c:pt idx="1">
                  <c:v>公务用车购置及运行维护费</c:v>
                </c:pt>
                <c:pt idx="2">
                  <c:v>公务接待费</c:v>
                </c:pt>
              </c:strCache>
            </c:strRef>
          </c:cat>
          <c:val>
            <c:numRef>
              <c:f>[画图工具.xlsx]Sheet1!$B$118:$B$120</c:f>
              <c:numCache>
                <c:formatCode>General</c:formatCode>
                <c:ptCount val="3"/>
                <c:pt idx="0">
                  <c:v>0</c:v>
                </c:pt>
                <c:pt idx="1">
                  <c:v>9.73</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409a6ff-40c7-429b-9359-dadbec2d27a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9752676a-0247-424e-b187-daa06f5d7d28</errorID>
      <errorWord>法制</errorWord>
      <group>L1_Word</group>
      <groupName>字词问题</groupName>
      <ability>L2_Typo</ability>
      <abilityName>字词错误</abilityName>
      <candidateList>
        <item>法治</item>
      </candidateList>
      <explain>存在发音相同字词的误用。</explain>
      <paraID>3E725056</paraID>
      <start>8</start>
      <end>10</end>
      <status>modified</status>
      <modifiedWord>法治</modifiedWord>
      <trackRevisions>false</trackRevisions>
    </reviewItem>
    <reviewItem>
      <errorID>a9d0a80c-3721-4571-840f-62a0aa4f9b0c</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67F3D4A5</paraID>
      <start>4</start>
      <end>10</end>
      <status>modified</status>
      <modifiedWord>县委、县政府</modifiedWord>
      <trackRevisions>false</trackRevisions>
    </reviewItem>
    <reviewItem>
      <errorID>1935070e-91e4-4201-8fda-cda87cd9c3db</errorID>
      <errorWord>提高</errorWord>
      <group>L1_Grammar</group>
      <groupName>语法问题</groupName>
      <ability>L2_Grammar</ability>
      <abilityName>语法错误</abilityName>
      <candidateList>
        <item>增强</item>
      </candidateList>
      <explain>“提高～意识”搭配不当，建议修改为“增强～意识”。</explain>
      <paraID>4AB10AB9</paraID>
      <start>2</start>
      <end>4</end>
      <status>modified</status>
      <modifiedWord>增强</modifiedWord>
      <trackRevisions>false</trackRevisions>
    </reviewItem>
    <reviewItem>
      <errorID>63b8ac9e-8fba-4272-b0ab-3c726a947c73</errorID>
      <errorWord>，</errorWord>
      <group>L1_Word</group>
      <groupName>字词问题</groupName>
      <ability>L2_Typo</ability>
      <abilityName>字词错误</abilityName>
      <candidateList>
        <item>，把</item>
      </candidateList>
      <explain/>
      <paraID>4D7F96E2</paraID>
      <start>64</start>
      <end>66</end>
      <status>modified</status>
      <modifiedWord>，把</modifiedWord>
      <trackRevisions>false</trackRevisions>
    </reviewItem>
    <reviewItem>
      <errorID>082a1f79-44ad-4827-b7eb-2d1e6532359f</errorID>
      <errorWord>达</errorWord>
      <group>L1_Word</group>
      <groupName>字词问题</groupName>
      <ability>L2_Typo</ability>
      <abilityName>字词错误</abilityName>
      <candidateList>
        <item>达到</item>
      </candidateList>
      <explain/>
      <paraID>4D7F96E2</paraID>
      <start>258</start>
      <end>260</end>
      <status>modified</status>
      <modifiedWord>达到</modifiedWord>
      <trackRevisions>false</trackRevisions>
    </reviewItem>
    <reviewItem>
      <errorID>b4fc210b-293a-44dd-a134-160bacbd1c00</errorID>
      <errorWord>小姓</errorWord>
      <group>L1_Word</group>
      <groupName>字词问题</groupName>
      <ability>L2_Typo</ability>
      <abilityName>字词错误</abilityName>
      <candidateList>
        <item>小镇</item>
      </candidateList>
      <explain/>
      <paraID>292EBD75</paraID>
      <start>221</start>
      <end>223</end>
      <status>modified</status>
      <modifiedWord>小镇</modifiedWord>
      <trackRevisions>false</trackRevisions>
    </reviewItem>
    <reviewItem>
      <errorID>8ac198f5-b1ea-4800-94b3-12d1c6706c50</errorID>
      <errorWord>不</errorWord>
      <group>L1_Word</group>
      <groupName>字词问题</groupName>
      <ability>L2_Typo</ability>
      <abilityName>字词错误</abilityName>
      <candidateList>
        <item>不明</item>
      </candidateList>
      <explain/>
      <paraID>546E2FB4</paraID>
      <start>183</start>
      <end>185</end>
      <status>modified</status>
      <modifiedWord>不明</modifiedWord>
      <trackRevisions>false</trackRevisions>
    </reviewItem>
    <reviewItem>
      <errorID>19d980dc-3af1-4120-aa91-99b0a2964e43</errorID>
      <errorWord>、和</errorWord>
      <group>L1_Punc</group>
      <groupName>标点问题</groupName>
      <ability>L2_Punc_CN</ability>
      <abilityName>标点符号问题</abilityName>
      <candidateList>
        <item>和</item>
      </candidateList>
      <explain>“及”“和”“等”连词前不宜使用顿号，建议删除（或使用逗号）。</explain>
      <paraID>103B2BA1</paraID>
      <start>358</start>
      <end>359</end>
      <status>modified</status>
      <modifiedWord>和</modifiedWord>
      <trackRevisions>false</trackRevisions>
    </reviewItem>
    <reviewItem>
      <errorID>e2226961-0fc3-4bbe-8676-b4590b75d852</errorID>
      <errorWord>懂农业、爱农民、爱农村</errorWord>
      <group>L1_Political</group>
      <groupName>政治性问题</groupName>
      <ability>L2_Unpolitical</ability>
      <abilityName>政治敏感错误</abilityName>
      <candidateList>
        <item>懂农业、爱农村、爱农民</item>
      </candidateList>
      <explain/>
      <paraID>7F938E29</paraID>
      <start>88</start>
      <end>99</end>
      <status>modified</status>
      <modifiedWord>懂农业、爱农村、爱农民</modifiedWord>
      <trackRevisions>false</trackRevisions>
    </reviewItem>
    <reviewItem>
      <errorID>80f33de6-4fb0-4e8f-948c-b4aea9a4cc2c</errorID>
      <errorWord>巩固脱贫攻坚成果</errorWord>
      <group>L1_Word</group>
      <groupName>字词问题</groupName>
      <ability>L2_Typo</ability>
      <abilityName>字词错误</abilityName>
      <candidateList>
        <item>巩固拓展脱贫攻坚成果</item>
      </candidateList>
      <explain/>
      <paraID>267368D6</paraID>
      <start>11</start>
      <end>21</end>
      <status>modified</status>
      <modifiedWord>巩固拓展脱贫攻坚成果</modifiedWord>
      <trackRevisions>false</trackRevisions>
    </reviewItem>
    <reviewItem>
      <errorID>9cb6820c-b7a2-444d-95e6-f883a4162b3e</errorID>
      <errorWord>主要原因是由于</errorWord>
      <group>L1_Word</group>
      <groupName>字词问题</groupName>
      <ability>L2_Typo</ability>
      <abilityName>字词错误</abilityName>
      <candidateList>
        <item>主要原因是</item>
      </candidateList>
      <explain/>
      <paraID>1E398F39</paraID>
      <start>59</start>
      <end>64</end>
      <status>modified</status>
      <modifiedWord>主要原因是</modifiedWord>
      <trackRevisions>false</trackRevisions>
    </reviewItem>
    <reviewItem>
      <errorID>fb404438-dbae-4fba-bf99-73cb833283fb</errorID>
      <errorWord>主要原因是由于</errorWord>
      <group>L1_Word</group>
      <groupName>字词问题</groupName>
      <ability>L2_Typo</ability>
      <abilityName>字词错误</abilityName>
      <candidateList>
        <item>主要原因是</item>
      </candidateList>
      <explain/>
      <paraID>1FB968F7</paraID>
      <start>73</start>
      <end>78</end>
      <status>modified</status>
      <modifiedWord>主要原因是</modifiedWord>
      <trackRevisions>false</trackRevisions>
    </reviewItem>
    <reviewItem>
      <errorID>e748a832-bee1-4b0e-86af-fda8e2ef144e</errorID>
      <errorWord>…。</errorWord>
      <group>L1_Punc</group>
      <groupName>标点问题</groupName>
      <ability>L2_Punc_CN</ability>
      <abilityName>标点符号问题</abilityName>
      <candidateList>
        <item>…</item>
      </candidateList>
      <explain/>
      <paraID>1C9CE5D5</paraID>
      <start>74</start>
      <end>75</end>
      <status>modified</status>
      <modifiedWord>…</modifiedWord>
      <trackRevisions>false</trackRevisions>
    </reviewItem>
    <reviewItem>
      <errorID>da71fcef-924b-4a47-93b1-fc6f48fff137</errorID>
      <errorWord>，</errorWord>
      <group>L1_Word</group>
      <groupName>字词问题</groupName>
      <ability>L2_Typo</ability>
      <abilityName>字词错误</abilityName>
      <candidateList>
        <item>，在</item>
      </candidateList>
      <explain/>
      <paraID> 2D500BD</paraID>
      <start>54</start>
      <end>56</end>
      <status>modified</status>
      <modifiedWord>，在</modifiedWord>
      <trackRevisions>false</trackRevisions>
    </reviewItem>
    <reviewItem>
      <errorID>70d3d3fb-eaba-48b8-9cfb-5c3c1231e915</errorID>
      <errorWord>-</errorWord>
      <group>L1_Format</group>
      <groupName>格式问题</groupName>
      <ability>L2_HalfPunc_CN</ability>
      <abilityName>全半角问题</abilityName>
      <candidateList>
        <item>－</item>
      </candidateList>
      <explain>文本全半角错误。</explain>
      <paraID>11D49346</paraID>
      <start>21</start>
      <end>22</end>
      <status>modified</status>
      <modifiedWord>－</modifiedWord>
      <trackRevisions>false</trackRevisions>
    </reviewItem>
    <reviewItem>
      <errorID>4935cbed-ad8c-4ea6-89b8-101ab8fc686e</errorID>
      <errorWord>;</errorWord>
      <group>L1_Format</group>
      <groupName>格式问题</groupName>
      <ability>L2_HalfPunc_CN</ability>
      <abilityName>全半角问题</abilityName>
      <candidateList>
        <item>；</item>
      </candidateList>
      <explain>文本全半角错误。</explain>
      <paraID>5EE489D3</paraID>
      <start>46</start>
      <end>47</end>
      <status>modified</status>
      <modifiedWord>；</modifiedWord>
      <trackRevisions>false</trackRevisions>
    </reviewItem>
    <reviewItem>
      <errorID>33c62742-4992-4887-9293-28040fdde01a</errorID>
      <errorWord>,</errorWord>
      <group>L1_Format</group>
      <groupName>格式问题</groupName>
      <ability>L2_HalfPunc_CN</ability>
      <abilityName>全半角问题</abilityName>
      <candidateList>
        <item>，</item>
      </candidateList>
      <explain>文本全半角错误。</explain>
      <paraID>5EE489D3</paraID>
      <start>65</start>
      <end>66</end>
      <status>modified</status>
      <modifiedWord>，</modifiedWord>
      <trackRevisions>false</trackRevisions>
    </reviewItem>
    <reviewItem>
      <errorID>431df737-7e8f-4e2a-b220-627809ee249f</errorID>
      <errorWord>.</errorWord>
      <group>L1_Format</group>
      <groupName>格式问题</groupName>
      <ability>L2_HalfPunc_CN</ability>
      <abilityName>全半角问题</abilityName>
      <candidateList>
        <item>。</item>
      </candidateList>
      <explain>文本全半角错误。</explain>
      <paraID>5EE489D3</paraID>
      <start>94</start>
      <end>95</end>
      <status>modified</status>
      <modifiedWord>。</modifiedWord>
      <trackRevisions>false</trackRevisions>
    </reviewItem>
    <reviewItem>
      <errorID>408f4e14-e0f2-416a-a109-c694aa515b59</errorID>
      <errorWord>（</errorWord>
      <group>L1_Punc</group>
      <groupName>标点问题</groupName>
      <ability>L2_Punc_CN</ability>
      <abilityName>标点符号问题</abilityName>
      <candidateList/>
      <explain>同一形式括号套用。</explain>
      <paraID>49F76886</paraID>
      <start>15</start>
      <end>16</end>
      <status>ignored</status>
      <modifiedWord/>
      <trackRevisions>false</trackRevisions>
    </reviewItem>
    <reviewItem>
      <errorID>a6c445fc-4787-434f-8308-e868a8e4ecb3</errorID>
      <errorWord>-</errorWord>
      <group>L1_Format</group>
      <groupName>格式问题</groupName>
      <ability>L2_HalfPunc_CN</ability>
      <abilityName>全半角问题</abilityName>
      <candidateList>
        <item>－</item>
      </candidateList>
      <explain>文本全半角错误。</explain>
      <paraID>49F76886</paraID>
      <start>19</start>
      <end>20</end>
      <status>modified</status>
      <modifiedWord>－</modifiedWord>
      <trackRevisions>false</trackRevisions>
    </reviewItem>
    <reviewItem>
      <errorID>55ebf4c1-094f-4e4e-a54e-efcd5d4acb59</errorID>
      <errorWord>）</errorWord>
      <group>L1_Punc</group>
      <groupName>标点问题</groupName>
      <ability>L2_Punc_CN</ability>
      <abilityName>标点符号问题</abilityName>
      <candidateList/>
      <explain>同一形式括号套用。</explain>
      <paraID>49F76886</paraID>
      <start>23</start>
      <end>24</end>
      <status>ignored</status>
      <modifiedWord/>
      <trackRevisions>false</trackRevisions>
    </reviewItem>
    <reviewItem>
      <errorID>31c3fa58-5422-4f89-a0ad-a51cb6921c74</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5E603814</paraID>
      <start>0</start>
      <end>6</end>
      <status>modified</status>
      <modifiedWord>“三公”经费</modifiedWord>
      <trackRevisions>false</trackRevisions>
    </reviewItem>
    <reviewItem>
      <errorID>b18d7adc-f968-47f6-a5ae-0da43812ab3f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5E603814</paraID>
      <start>17</start>
      <end>23</end>
      <status>modified</status>
      <modifiedWord>“三公”经费</modifiedWord>
      <trackRevisions>false</trackRevisions>
    </reviewItem>
    <reviewItem>
      <errorID>19f1c729-707d-454e-b625-47e4ee5fa2d2</errorID>
      <errorWord>-</errorWord>
      <group>L1_Format</group>
      <groupName>格式问题</groupName>
      <ability>L2_HalfPunc_CN</ability>
      <abilityName>全半角问题</abilityName>
      <candidateList>
        <item>－</item>
      </candidateList>
      <explain>文本全半角错误。</explain>
      <paraID>7D2A94FB</paraID>
      <start>21</start>
      <end>22</end>
      <status>modified</status>
      <modifiedWord>－</modifiedWord>
      <trackRevisions>false</trackRevisions>
    </reviewItem>
    <reviewItem>
      <errorID>bc0bf4ef-c085-4135-b3ad-5f95647848e8</errorID>
      <errorWord>增强</errorWord>
      <group>L1_Grammar</group>
      <groupName>语法问题</groupName>
      <ability>L2_Grammar</ability>
      <abilityName>语法错误</abilityName>
      <candidateList>
        <item>强化</item>
      </candidateList>
      <explain>“增强～管理”搭配不当，建议修改为“强化～管理”。</explain>
      <paraID>4EE3E475</paraID>
      <start>62</start>
      <end>64</end>
      <status>modified</status>
      <modifiedWord>强化</modifiedWord>
      <trackRevisions>false</trackRevisions>
    </reviewItem>
    <reviewItem>
      <errorID>bb1bd3e1-e5e2-4bab-ac5e-c03a7f579d80</errorID>
      <errorWord>;</errorWord>
      <group>L1_Format</group>
      <groupName>格式问题</groupName>
      <ability>L2_HalfPunc_CN</ability>
      <abilityName>全半角问题</abilityName>
      <candidateList>
        <item>；</item>
      </candidateList>
      <explain>文本全半角错误。</explain>
      <paraID>3BAFE5D6</paraID>
      <start>46</start>
      <end>47</end>
      <status>modified</status>
      <modifiedWord>；</modifiedWord>
      <trackRevisions>false</trackRevisions>
    </reviewItem>
    <reviewItem>
      <errorID>d3a37146-1186-454a-8e58-35b2681cefc2</errorID>
      <errorWord>,</errorWord>
      <group>L1_Format</group>
      <groupName>格式问题</groupName>
      <ability>L2_HalfPunc_CN</ability>
      <abilityName>全半角问题</abilityName>
      <candidateList>
        <item>，</item>
      </candidateList>
      <explain>文本全半角错误。</explain>
      <paraID>3BAFE5D6</paraID>
      <start>65</start>
      <end>66</end>
      <status>modified</status>
      <modifiedWord>，</modifiedWord>
      <trackRevisions>false</trackRevisions>
    </reviewItem>
    <reviewItem>
      <errorID>c94c65b7-4342-4998-b2c1-d6b66147c51e</errorID>
      <errorWord>.</errorWord>
      <group>L1_Format</group>
      <groupName>格式问题</groupName>
      <ability>L2_HalfPunc_CN</ability>
      <abilityName>全半角问题</abilityName>
      <candidateList>
        <item>。</item>
      </candidateList>
      <explain>文本全半角错误。</explain>
      <paraID>3BAFE5D6</paraID>
      <start>94</start>
      <end>95</end>
      <status>modified</status>
      <modifiedWord>。</modifiedWord>
      <trackRevisions>false</trackRevisions>
    </reviewItem>
    <reviewItem>
      <errorID>0a7b53f7-a8a3-4a3f-a561-89247c47593d</errorID>
      <errorWord>;</errorWord>
      <group>L1_Format</group>
      <groupName>格式问题</groupName>
      <ability>L2_HalfPunc_CN</ability>
      <abilityName>全半角问题</abilityName>
      <candidateList>
        <item>；</item>
      </candidateList>
      <explain>文本全半角错误。</explain>
      <paraID>5608A149</paraID>
      <start>46</start>
      <end>47</end>
      <status>modified</status>
      <modifiedWord>；</modifiedWord>
      <trackRevisions>false</trackRevisions>
    </reviewItem>
    <reviewItem>
      <errorID>3d50ec44-50a0-4720-a1f7-2ef8b59f7739</errorID>
      <errorWord>,</errorWord>
      <group>L1_Format</group>
      <groupName>格式问题</groupName>
      <ability>L2_HalfPunc_CN</ability>
      <abilityName>全半角问题</abilityName>
      <candidateList>
        <item>，</item>
      </candidateList>
      <explain>文本全半角错误。</explain>
      <paraID>5608A149</paraID>
      <start>65</start>
      <end>66</end>
      <status>modified</status>
      <modifiedWord>，</modifiedWord>
      <trackRevisions>false</trackRevisions>
    </reviewItem>
    <reviewItem>
      <errorID>646ccead-75fe-40f8-952b-dd0815bc5ff4</errorID>
      <errorWord>.</errorWord>
      <group>L1_Format</group>
      <groupName>格式问题</groupName>
      <ability>L2_HalfPunc_CN</ability>
      <abilityName>全半角问题</abilityName>
      <candidateList>
        <item>。</item>
      </candidateList>
      <explain>文本全半角错误。</explain>
      <paraID>5608A149</paraID>
      <start>94</start>
      <end>95</end>
      <status>modified</status>
      <modifiedWord>。</modifiedWord>
      <trackRevisions>false</trackRevisions>
    </reviewItem>
    <reviewItem>
      <errorID>a8dc52fb-227a-4699-b33f-7211a4075568</errorID>
      <errorWord>-</errorWord>
      <group>L1_Format</group>
      <groupName>格式问题</groupName>
      <ability>L2_HalfPunc_CN</ability>
      <abilityName>全半角问题</abilityName>
      <candidateList>
        <item>－</item>
      </candidateList>
      <explain>文本全半角错误。</explain>
      <paraID>463B3371</paraID>
      <start>21</start>
      <end>22</end>
      <status>modified</status>
      <modifiedWord>－</modifiedWord>
      <trackRevisions>false</trackRevisions>
    </reviewItem>
    <reviewItem>
      <errorID>42a8f26c-0e7e-4955-b530-cc2a9694183b</errorID>
      <errorWord>;</errorWord>
      <group>L1_Format</group>
      <groupName>格式问题</groupName>
      <ability>L2_HalfPunc_CN</ability>
      <abilityName>全半角问题</abilityName>
      <candidateList>
        <item>；</item>
      </candidateList>
      <explain>文本全半角错误。</explain>
      <paraID>39C2E5F9</paraID>
      <start>46</start>
      <end>47</end>
      <status>modified</status>
      <modifiedWord>；</modifiedWord>
      <trackRevisions>false</trackRevisions>
    </reviewItem>
    <reviewItem>
      <errorID>85efbffb-ab4e-451e-b43d-a2a618ef1a8b</errorID>
      <errorWord>,</errorWord>
      <group>L1_Format</group>
      <groupName>格式问题</groupName>
      <ability>L2_HalfPunc_CN</ability>
      <abilityName>全半角问题</abilityName>
      <candidateList>
        <item>，</item>
      </candidateList>
      <explain>文本全半角错误。</explain>
      <paraID>39C2E5F9</paraID>
      <start>65</start>
      <end>66</end>
      <status>modified</status>
      <modifiedWord>，</modifiedWord>
      <trackRevisions>false</trackRevisions>
    </reviewItem>
    <reviewItem>
      <errorID>2944bfd9-a1fa-4cb3-92de-2e7b58756a4f</errorID>
      <errorWord>.</errorWord>
      <group>L1_Format</group>
      <groupName>格式问题</groupName>
      <ability>L2_HalfPunc_CN</ability>
      <abilityName>全半角问题</abilityName>
      <candidateList>
        <item>。</item>
      </candidateList>
      <explain>文本全半角错误。</explain>
      <paraID>39C2E5F9</paraID>
      <start>94</start>
      <end>95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d46dc6-b456-4e01-94c3-4f723475b200}">
  <ds:schemaRefs/>
</ds:datastoreItem>
</file>

<file path=docProps/app.xml><?xml version="1.0" encoding="utf-8"?>
<Properties xmlns="http://schemas.openxmlformats.org/officeDocument/2006/extended-properties" xmlns:vt="http://schemas.openxmlformats.org/officeDocument/2006/docPropsVTypes">
  <Pages>34</Pages>
  <Words>10675</Words>
  <Characters>11627</Characters>
  <TotalTime>31</TotalTime>
  <ScaleCrop>false</ScaleCrop>
  <LinksUpToDate>false</LinksUpToDate>
  <CharactersWithSpaces>11645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2018-11-27T09:47:00Z</dcterms:created>
  <dc:creator>user</dc:creator>
  <cp:lastModifiedBy>奕夕^_^</cp:lastModifiedBy>
  <dcterms:modified xsi:type="dcterms:W3CDTF">2026-10-13T02:04:24Z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BE9D73B282D24DE8816BDC76ECDC21D6_13</vt:lpwstr>
  </property>
  <property fmtid="{D5CDD505-2E9C-101B-9397-08002B2CF9AE}" pid="3" name="KSOProductBuildVer">
    <vt:lpwstr>2052-12.1.0.28505</vt:lpwstr>
  </property>
  <property fmtid="{D5CDD505-2E9C-101B-9397-08002B2CF9AE}" pid="4" name="KSOTemplateDocerSaveRecord">
    <vt:lpwstr>eyJoZGlkIjoiNTU1MWNhN2ZmY2ZhZmY3ODhlYTg0MWU5OGMyY2QwZmUiLCJ1c2VySWQiOiI0MzQ2NTM0NzEifQ==</vt:lpwstr>
  </property>
  <property fmtid="{D5CDD505-2E9C-101B-9397-08002B2CF9AE}" pid="5" name="commondata">
    <vt:lpwstr>commondata</vt:lpwstr>
  </property>
</Properties>
</file>