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1C5EB">
      <w:pPr>
        <w:pStyle w:val="5"/>
        <w:pageBreakBefore w:val="0"/>
        <w:kinsoku/>
        <w:wordWrap/>
        <w:overflowPunct/>
        <w:topLinePunct w:val="0"/>
        <w:autoSpaceDN/>
        <w:bidi w:val="0"/>
        <w:spacing w:line="576" w:lineRule="exact"/>
        <w:textAlignment w:val="auto"/>
        <w:rPr>
          <w:rFonts w:hint="eastAsia" w:ascii="黑体" w:hAnsi="黑体" w:eastAsia="黑体" w:cs="黑体"/>
          <w:color w:val="auto"/>
          <w:kern w:val="2"/>
          <w:sz w:val="32"/>
          <w:szCs w:val="32"/>
          <w:highlight w:val="none"/>
          <w:lang w:val="en-US" w:eastAsia="zh-CN" w:bidi="ar-SA"/>
        </w:rPr>
      </w:pPr>
      <w:bookmarkStart w:id="0" w:name="_Toc15377193"/>
      <w:bookmarkStart w:id="1" w:name="_Toc15306267"/>
      <w:bookmarkStart w:id="2" w:name="_Toc15396597"/>
      <w:bookmarkStart w:id="3" w:name="_Toc15378441"/>
      <w:bookmarkStart w:id="4" w:name="_Toc15377425"/>
      <w:bookmarkStart w:id="5" w:name="_Toc15396475"/>
      <w:r>
        <w:rPr>
          <w:rFonts w:hint="eastAsia" w:ascii="黑体" w:hAnsi="黑体" w:eastAsia="黑体" w:cs="黑体"/>
          <w:color w:val="auto"/>
          <w:kern w:val="2"/>
          <w:sz w:val="32"/>
          <w:szCs w:val="32"/>
          <w:highlight w:val="none"/>
          <w:lang w:val="en-US" w:eastAsia="zh-CN" w:bidi="ar-SA"/>
        </w:rPr>
        <w:t>附件4</w:t>
      </w:r>
    </w:p>
    <w:p w14:paraId="18452DA3">
      <w:pPr>
        <w:pStyle w:val="5"/>
        <w:pageBreakBefore w:val="0"/>
        <w:kinsoku/>
        <w:wordWrap/>
        <w:overflowPunct/>
        <w:topLinePunct w:val="0"/>
        <w:autoSpaceDN/>
        <w:bidi w:val="0"/>
        <w:spacing w:line="576" w:lineRule="exact"/>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1789818B">
      <w:pPr>
        <w:pStyle w:val="5"/>
        <w:pageBreakBefore w:val="0"/>
        <w:kinsoku/>
        <w:wordWrap/>
        <w:overflowPunct/>
        <w:topLinePunct w:val="0"/>
        <w:autoSpaceDN/>
        <w:bidi w:val="0"/>
        <w:spacing w:line="576" w:lineRule="exact"/>
        <w:textAlignment w:val="auto"/>
        <w:rPr>
          <w:rFonts w:hint="eastAsia" w:ascii="Times New Roman" w:hAnsi="Times New Roman" w:eastAsia="方正小标宋简体" w:cs="Times New Roman"/>
          <w:color w:val="auto"/>
          <w:kern w:val="2"/>
          <w:sz w:val="72"/>
          <w:szCs w:val="72"/>
          <w:highlight w:val="none"/>
          <w:lang w:val="en-US" w:eastAsia="zh-CN" w:bidi="ar-SA"/>
        </w:rPr>
      </w:pPr>
    </w:p>
    <w:p w14:paraId="2C38C937">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rPr>
          <w:sz w:val="42"/>
          <w:szCs w:val="42"/>
          <w:shd w:val="clear" w:color="auto" w:fill="FFFFFF"/>
        </w:rPr>
      </w:pPr>
    </w:p>
    <w:p w14:paraId="3A358EC4">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shd w:val="clear" w:color="auto" w:fill="FFFFFF"/>
        </w:rPr>
        <w:t>20</w:t>
      </w:r>
      <w:r>
        <w:rPr>
          <w:rFonts w:hint="eastAsia" w:ascii="方正小标宋简体" w:hAnsi="方正小标宋简体" w:eastAsia="方正小标宋简体" w:cs="方正小标宋简体"/>
          <w:sz w:val="44"/>
          <w:szCs w:val="44"/>
          <w:shd w:val="clear" w:color="auto" w:fill="FFFFFF"/>
          <w:lang w:val="en-US" w:eastAsia="zh-CN"/>
        </w:rPr>
        <w:t>25</w:t>
      </w:r>
      <w:r>
        <w:rPr>
          <w:rFonts w:hint="eastAsia" w:ascii="方正小标宋简体" w:hAnsi="方正小标宋简体" w:eastAsia="方正小标宋简体" w:cs="方正小标宋简体"/>
          <w:sz w:val="44"/>
          <w:szCs w:val="44"/>
          <w:shd w:val="clear" w:color="auto" w:fill="FFFFFF"/>
        </w:rPr>
        <w:t>年度</w:t>
      </w:r>
    </w:p>
    <w:p w14:paraId="52FE3BC8">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outlineLvl w:val="0"/>
        <w:rPr>
          <w:rFonts w:hint="eastAsia" w:ascii="方正小标宋简体" w:hAnsi="方正小标宋简体" w:eastAsia="方正小标宋简体" w:cs="方正小标宋简体"/>
          <w:sz w:val="44"/>
          <w:szCs w:val="44"/>
          <w:shd w:val="clear" w:color="auto" w:fill="FFFFFF"/>
        </w:rPr>
      </w:pPr>
      <w:bookmarkStart w:id="6" w:name="_Toc3627"/>
      <w:r>
        <w:rPr>
          <w:rFonts w:hint="eastAsia" w:ascii="方正小标宋简体" w:hAnsi="方正小标宋简体" w:eastAsia="方正小标宋简体" w:cs="方正小标宋简体"/>
          <w:sz w:val="44"/>
          <w:szCs w:val="44"/>
          <w:shd w:val="clear" w:color="auto" w:fill="FFFFFF"/>
        </w:rPr>
        <w:t>阿坝州松潘县十里乡农业农村服务中心</w:t>
      </w:r>
      <w:bookmarkEnd w:id="6"/>
    </w:p>
    <w:p w14:paraId="419799CC">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shd w:val="clear" w:color="auto" w:fill="FFFFFF"/>
          <w:lang w:eastAsia="zh-CN"/>
        </w:rPr>
        <w:t>（</w:t>
      </w:r>
      <w:r>
        <w:rPr>
          <w:rFonts w:hint="eastAsia" w:ascii="方正小标宋简体" w:hAnsi="方正小标宋简体" w:eastAsia="方正小标宋简体" w:cs="方正小标宋简体"/>
          <w:sz w:val="44"/>
          <w:szCs w:val="44"/>
          <w:shd w:val="clear" w:color="auto" w:fill="FFFFFF"/>
        </w:rPr>
        <w:t>单位</w:t>
      </w:r>
      <w:r>
        <w:rPr>
          <w:rFonts w:hint="eastAsia" w:ascii="方正小标宋简体" w:hAnsi="方正小标宋简体" w:eastAsia="方正小标宋简体" w:cs="方正小标宋简体"/>
          <w:sz w:val="44"/>
          <w:szCs w:val="44"/>
          <w:shd w:val="clear" w:color="auto" w:fill="FFFFFF"/>
          <w:lang w:val="en-US" w:eastAsia="zh-CN"/>
        </w:rPr>
        <w:t>决算</w:t>
      </w:r>
      <w:r>
        <w:rPr>
          <w:rFonts w:hint="eastAsia" w:ascii="方正小标宋简体" w:hAnsi="方正小标宋简体" w:eastAsia="方正小标宋简体" w:cs="方正小标宋简体"/>
          <w:sz w:val="44"/>
          <w:szCs w:val="44"/>
          <w:shd w:val="clear" w:color="auto" w:fill="FFFFFF"/>
        </w:rPr>
        <w:t>公开</w:t>
      </w:r>
      <w:r>
        <w:rPr>
          <w:rFonts w:hint="eastAsia" w:ascii="方正小标宋简体" w:hAnsi="方正小标宋简体" w:eastAsia="方正小标宋简体" w:cs="方正小标宋简体"/>
          <w:sz w:val="44"/>
          <w:szCs w:val="44"/>
          <w:shd w:val="clear" w:color="auto" w:fill="FFFFFF"/>
          <w:lang w:eastAsia="zh-CN"/>
        </w:rPr>
        <w:t>）</w:t>
      </w:r>
    </w:p>
    <w:p w14:paraId="608E2F8C">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pPr>
      <w:r>
        <w:rPr>
          <w:shd w:val="clear" w:color="auto" w:fill="FFFFFF"/>
        </w:rPr>
        <w:t> </w:t>
      </w:r>
    </w:p>
    <w:p w14:paraId="6FC6B619">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pPr>
      <w:r>
        <w:rPr>
          <w:shd w:val="clear" w:color="auto" w:fill="FFFFFF"/>
        </w:rPr>
        <w:t> </w:t>
      </w:r>
    </w:p>
    <w:p w14:paraId="60B792E1">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pPr>
      <w:r>
        <w:rPr>
          <w:shd w:val="clear" w:color="auto" w:fill="FFFFFF"/>
        </w:rPr>
        <w:t> </w:t>
      </w:r>
    </w:p>
    <w:p w14:paraId="2128B75C">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pPr>
      <w:r>
        <w:rPr>
          <w:shd w:val="clear" w:color="auto" w:fill="FFFFFF"/>
        </w:rPr>
        <w:t> </w:t>
      </w:r>
    </w:p>
    <w:p w14:paraId="6353E570">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pPr>
      <w:r>
        <w:rPr>
          <w:shd w:val="clear" w:color="auto" w:fill="FFFFFF"/>
        </w:rPr>
        <w:t> </w:t>
      </w:r>
    </w:p>
    <w:p w14:paraId="70BEF683">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pPr>
      <w:r>
        <w:rPr>
          <w:shd w:val="clear" w:color="auto" w:fill="FFFFFF"/>
        </w:rPr>
        <w:t> </w:t>
      </w:r>
    </w:p>
    <w:p w14:paraId="7940D778">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pPr>
      <w:r>
        <w:rPr>
          <w:shd w:val="clear" w:color="auto" w:fill="FFFFFF"/>
        </w:rPr>
        <w:t> </w:t>
      </w:r>
    </w:p>
    <w:p w14:paraId="504CF47B">
      <w:pPr>
        <w:pStyle w:val="15"/>
        <w:keepNext w:val="0"/>
        <w:keepLines w:val="0"/>
        <w:pageBreakBefore w:val="0"/>
        <w:widowControl/>
        <w:suppressLineNumbers w:val="0"/>
        <w:kinsoku/>
        <w:wordWrap/>
        <w:overflowPunct/>
        <w:topLinePunct w:val="0"/>
        <w:autoSpaceDN/>
        <w:bidi w:val="0"/>
        <w:spacing w:before="0" w:beforeAutospacing="0" w:line="576" w:lineRule="exact"/>
        <w:ind w:left="0"/>
        <w:jc w:val="center"/>
        <w:textAlignment w:val="auto"/>
      </w:pPr>
      <w:r>
        <w:rPr>
          <w:shd w:val="clear" w:color="auto" w:fill="FFFFFF"/>
        </w:rPr>
        <w:t>已经保密审查、内容审定，同意对外公开</w:t>
      </w:r>
    </w:p>
    <w:p w14:paraId="37FF457E">
      <w:pPr>
        <w:pageBreakBefore w:val="0"/>
        <w:kinsoku/>
        <w:wordWrap/>
        <w:overflowPunct/>
        <w:topLinePunct w:val="0"/>
        <w:autoSpaceDN/>
        <w:bidi w:val="0"/>
        <w:spacing w:line="576" w:lineRule="exact"/>
        <w:textAlignment w:val="auto"/>
        <w:rPr>
          <w:rFonts w:ascii="Times New Roman" w:hAnsi="Times New Roman"/>
        </w:rPr>
      </w:pPr>
    </w:p>
    <w:p w14:paraId="23347E41">
      <w:pPr>
        <w:pStyle w:val="5"/>
        <w:pageBreakBefore w:val="0"/>
        <w:kinsoku/>
        <w:wordWrap/>
        <w:overflowPunct/>
        <w:topLinePunct w:val="0"/>
        <w:autoSpaceDN/>
        <w:bidi w:val="0"/>
        <w:spacing w:line="576" w:lineRule="exact"/>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62FADC5E">
      <w:pPr>
        <w:pageBreakBefore w:val="0"/>
        <w:widowControl/>
        <w:kinsoku/>
        <w:wordWrap/>
        <w:overflowPunct/>
        <w:topLinePunct w:val="0"/>
        <w:autoSpaceDN/>
        <w:bidi w:val="0"/>
        <w:spacing w:line="576" w:lineRule="exact"/>
        <w:jc w:val="both"/>
        <w:textAlignment w:val="auto"/>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ACB7B4D">
      <w:pPr>
        <w:pageBreakBefore w:val="0"/>
        <w:widowControl/>
        <w:kinsoku/>
        <w:wordWrap/>
        <w:overflowPunct/>
        <w:topLinePunct w:val="0"/>
        <w:autoSpaceDN/>
        <w:bidi w:val="0"/>
        <w:spacing w:line="576" w:lineRule="exact"/>
        <w:jc w:val="center"/>
        <w:textAlignment w:val="auto"/>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61266CF8">
      <w:pPr>
        <w:pageBreakBefore w:val="0"/>
        <w:widowControl/>
        <w:kinsoku/>
        <w:wordWrap/>
        <w:overflowPunct/>
        <w:topLinePunct w:val="0"/>
        <w:autoSpaceDN/>
        <w:bidi w:val="0"/>
        <w:spacing w:line="576" w:lineRule="exact"/>
        <w:jc w:val="center"/>
        <w:textAlignment w:val="auto"/>
        <w:rPr>
          <w:rFonts w:ascii="Times New Roman" w:hAnsi="Times New Roman" w:eastAsia="黑体" w:cstheme="minorBidi"/>
          <w:color w:val="auto"/>
          <w:sz w:val="28"/>
          <w:szCs w:val="28"/>
          <w:highlight w:val="none"/>
        </w:rPr>
      </w:pPr>
    </w:p>
    <w:p w14:paraId="30AB5167">
      <w:pPr>
        <w:pStyle w:val="12"/>
        <w:pageBreakBefore w:val="0"/>
        <w:kinsoku/>
        <w:wordWrap/>
        <w:overflowPunct/>
        <w:topLinePunct w:val="0"/>
        <w:autoSpaceDN/>
        <w:bidi w:val="0"/>
        <w:spacing w:line="576" w:lineRule="exac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14</w:t>
      </w:r>
      <w:bookmarkStart w:id="63" w:name="_GoBack"/>
      <w:bookmarkEnd w:id="63"/>
      <w:r>
        <w:rPr>
          <w:rFonts w:hint="eastAsia" w:ascii="Times New Roman" w:hAnsi="Times New Roman" w:eastAsia="仿宋_GB2312" w:cs="仿宋_GB2312"/>
          <w:color w:val="auto"/>
          <w:sz w:val="32"/>
          <w:szCs w:val="32"/>
          <w:highlight w:val="none"/>
        </w:rPr>
        <w:t>日</w:t>
      </w:r>
    </w:p>
    <w:p w14:paraId="2843D634">
      <w:pPr>
        <w:pageBreakBefore w:val="0"/>
        <w:kinsoku/>
        <w:wordWrap/>
        <w:overflowPunct/>
        <w:topLinePunct w:val="0"/>
        <w:autoSpaceDN/>
        <w:bidi w:val="0"/>
        <w:spacing w:line="576" w:lineRule="exact"/>
        <w:textAlignment w:val="auto"/>
        <w:rPr>
          <w:rFonts w:ascii="Times New Roman" w:hAnsi="Times New Roman"/>
          <w:color w:val="auto"/>
          <w:highlight w:val="none"/>
        </w:rPr>
      </w:pPr>
    </w:p>
    <w:p w14:paraId="5B5CD7DA">
      <w:pPr>
        <w:pStyle w:val="12"/>
        <w:keepNext w:val="0"/>
        <w:keepLines w:val="0"/>
        <w:pageBreakBefore w:val="0"/>
        <w:widowControl w:val="0"/>
        <w:kinsoku/>
        <w:wordWrap/>
        <w:overflowPunct/>
        <w:topLinePunct w:val="0"/>
        <w:autoSpaceDE/>
        <w:autoSpaceDN/>
        <w:bidi w:val="0"/>
        <w:adjustRightInd w:val="0"/>
        <w:snapToGrid w:val="0"/>
        <w:spacing w:before="0" w:line="576" w:lineRule="exact"/>
        <w:ind w:firstLine="0" w:firstLine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98D596F">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1658C4C3">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41E679E0">
      <w:pPr>
        <w:pStyle w:val="12"/>
        <w:keepNext w:val="0"/>
        <w:keepLines w:val="0"/>
        <w:pageBreakBefore w:val="0"/>
        <w:widowControl w:val="0"/>
        <w:kinsoku/>
        <w:wordWrap/>
        <w:overflowPunct/>
        <w:topLinePunct w:val="0"/>
        <w:autoSpaceDE/>
        <w:autoSpaceDN/>
        <w:bidi w:val="0"/>
        <w:adjustRightInd w:val="0"/>
        <w:snapToGrid w:val="0"/>
        <w:spacing w:before="0" w:line="576" w:lineRule="exact"/>
        <w:ind w:firstLine="0" w:firstLine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6B0215E5">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63F860B">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9FCAFEC">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4052D2F5">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0EACAE37">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14B521F9">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1FC7EC4E">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52AA3BFD">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35179E5">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690099A8">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D24B0CB">
      <w:pPr>
        <w:pStyle w:val="12"/>
        <w:keepNext w:val="0"/>
        <w:keepLines w:val="0"/>
        <w:pageBreakBefore w:val="0"/>
        <w:widowControl w:val="0"/>
        <w:kinsoku/>
        <w:wordWrap/>
        <w:overflowPunct/>
        <w:topLinePunct w:val="0"/>
        <w:autoSpaceDE/>
        <w:autoSpaceDN/>
        <w:bidi w:val="0"/>
        <w:adjustRightInd w:val="0"/>
        <w:snapToGrid w:val="0"/>
        <w:spacing w:before="0" w:line="576" w:lineRule="exact"/>
        <w:ind w:firstLine="0" w:firstLine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27CF3007">
      <w:pPr>
        <w:pStyle w:val="12"/>
        <w:keepNext w:val="0"/>
        <w:keepLines w:val="0"/>
        <w:pageBreakBefore w:val="0"/>
        <w:widowControl w:val="0"/>
        <w:kinsoku/>
        <w:wordWrap/>
        <w:overflowPunct/>
        <w:topLinePunct w:val="0"/>
        <w:autoSpaceDE/>
        <w:autoSpaceDN/>
        <w:bidi w:val="0"/>
        <w:adjustRightInd w:val="0"/>
        <w:snapToGrid w:val="0"/>
        <w:spacing w:before="0" w:line="576" w:lineRule="exact"/>
        <w:ind w:firstLine="0" w:firstLine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4DBF40D2">
      <w:pPr>
        <w:pStyle w:val="12"/>
        <w:keepNext w:val="0"/>
        <w:keepLines w:val="0"/>
        <w:pageBreakBefore w:val="0"/>
        <w:widowControl w:val="0"/>
        <w:kinsoku/>
        <w:wordWrap/>
        <w:overflowPunct/>
        <w:topLinePunct w:val="0"/>
        <w:autoSpaceDE/>
        <w:autoSpaceDN/>
        <w:bidi w:val="0"/>
        <w:adjustRightInd w:val="0"/>
        <w:snapToGrid w:val="0"/>
        <w:spacing w:before="0" w:line="576" w:lineRule="exact"/>
        <w:ind w:firstLine="0" w:firstLineChars="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B19F7F0">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E8FCF1D">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78FF602E">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D9F5F9C">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1F1D09F9">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2F2B37D5">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C4DA1E6">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B15EECA">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6F10E99E">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AE7DBAA">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0413A297">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5779A2D">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33CA4650">
      <w:pPr>
        <w:pStyle w:val="14"/>
        <w:keepNext w:val="0"/>
        <w:keepLines w:val="0"/>
        <w:pageBreakBefore w:val="0"/>
        <w:widowControl w:val="0"/>
        <w:kinsoku/>
        <w:wordWrap/>
        <w:overflowPunct/>
        <w:topLinePunct w:val="0"/>
        <w:autoSpaceDE/>
        <w:autoSpaceDN/>
        <w:bidi w:val="0"/>
        <w:adjustRightInd w:val="0"/>
        <w:snapToGrid w:val="0"/>
        <w:spacing w:line="576" w:lineRule="exact"/>
        <w:ind w:left="0" w:leftChars="0" w:firstLine="0" w:firstLineChars="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5796FFE2">
      <w:pPr>
        <w:keepNext w:val="0"/>
        <w:keepLines w:val="0"/>
        <w:pageBreakBefore w:val="0"/>
        <w:widowControl/>
        <w:kinsoku/>
        <w:wordWrap/>
        <w:overflowPunct/>
        <w:topLinePunct w:val="0"/>
        <w:autoSpaceDE/>
        <w:autoSpaceDN/>
        <w:bidi w:val="0"/>
        <w:spacing w:line="576" w:lineRule="exact"/>
        <w:jc w:val="left"/>
        <w:textAlignment w:val="auto"/>
        <w:rPr>
          <w:rFonts w:hint="eastAsia" w:ascii="Times New Roman" w:hAnsi="Times New Roman" w:eastAsia="仿宋_GB2312" w:cs="仿宋_GB2312"/>
          <w:bCs/>
          <w:color w:val="auto"/>
          <w:kern w:val="44"/>
          <w:sz w:val="32"/>
          <w:szCs w:val="32"/>
          <w:highlight w:val="none"/>
        </w:rPr>
      </w:pPr>
      <w:bookmarkStart w:id="7" w:name="_Toc15396599"/>
      <w:bookmarkStart w:id="8" w:name="_Toc15377196"/>
      <w:r>
        <w:rPr>
          <w:rFonts w:hint="eastAsia" w:ascii="Times New Roman" w:hAnsi="Times New Roman" w:eastAsia="仿宋_GB2312" w:cs="仿宋_GB2312"/>
          <w:b/>
          <w:color w:val="auto"/>
          <w:sz w:val="32"/>
          <w:szCs w:val="32"/>
          <w:highlight w:val="none"/>
        </w:rPr>
        <w:br w:type="page"/>
      </w:r>
    </w:p>
    <w:p w14:paraId="3DC791FA">
      <w:pPr>
        <w:pStyle w:val="2"/>
        <w:pageBreakBefore w:val="0"/>
        <w:kinsoku/>
        <w:wordWrap/>
        <w:overflowPunct/>
        <w:topLinePunct w:val="0"/>
        <w:autoSpaceDN/>
        <w:bidi w:val="0"/>
        <w:spacing w:line="576" w:lineRule="exact"/>
        <w:ind w:firstLine="880" w:firstLineChars="200"/>
        <w:jc w:val="center"/>
        <w:textAlignment w:val="auto"/>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7"/>
      <w:bookmarkEnd w:id="8"/>
    </w:p>
    <w:p w14:paraId="793AEA59">
      <w:pPr>
        <w:pStyle w:val="3"/>
        <w:pageBreakBefore w:val="0"/>
        <w:numPr>
          <w:ilvl w:val="0"/>
          <w:numId w:val="1"/>
        </w:numPr>
        <w:kinsoku/>
        <w:wordWrap/>
        <w:overflowPunct/>
        <w:topLinePunct w:val="0"/>
        <w:autoSpaceDN/>
        <w:bidi w:val="0"/>
        <w:spacing w:line="576" w:lineRule="exact"/>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31CF9F0">
      <w:pPr>
        <w:keepNext w:val="0"/>
        <w:keepLines w:val="0"/>
        <w:pageBreakBefore w:val="0"/>
        <w:widowControl/>
        <w:suppressLineNumbers w:val="0"/>
        <w:kinsoku/>
        <w:wordWrap/>
        <w:overflowPunct/>
        <w:topLinePunct w:val="0"/>
        <w:autoSpaceDE w:val="0"/>
        <w:autoSpaceDN/>
        <w:bidi w:val="0"/>
        <w:adjustRightInd/>
        <w:snapToGrid/>
        <w:spacing w:beforeAutospacing="0" w:line="576" w:lineRule="exact"/>
        <w:ind w:firstLine="643" w:firstLineChars="200"/>
        <w:jc w:val="left"/>
        <w:textAlignment w:val="auto"/>
        <w:rPr>
          <w:rFonts w:hint="eastAsia" w:ascii="楷体_GB2312" w:hAnsi="楷体_GB2312" w:eastAsia="楷体_GB2312" w:cs="楷体_GB2312"/>
          <w:b/>
          <w:bCs/>
          <w:kern w:val="0"/>
          <w:sz w:val="32"/>
          <w:szCs w:val="32"/>
          <w:shd w:val="clear" w:color="auto" w:fill="FFFFFF"/>
        </w:rPr>
      </w:pPr>
      <w:r>
        <w:rPr>
          <w:rFonts w:hint="eastAsia" w:ascii="楷体_GB2312" w:hAnsi="楷体_GB2312" w:eastAsia="楷体_GB2312" w:cs="楷体_GB2312"/>
          <w:b/>
          <w:bCs/>
          <w:kern w:val="0"/>
          <w:sz w:val="32"/>
          <w:szCs w:val="32"/>
          <w:shd w:val="clear" w:color="auto" w:fill="FFFFFF"/>
        </w:rPr>
        <w:t>（一）主要职能</w:t>
      </w:r>
    </w:p>
    <w:p w14:paraId="2EABD29B">
      <w:pPr>
        <w:keepNext w:val="0"/>
        <w:keepLines w:val="0"/>
        <w:pageBreakBefore w:val="0"/>
        <w:widowControl/>
        <w:suppressLineNumbers w:val="0"/>
        <w:kinsoku/>
        <w:wordWrap/>
        <w:overflowPunct/>
        <w:topLinePunct w:val="0"/>
        <w:autoSpaceDE w:val="0"/>
        <w:autoSpaceDN/>
        <w:bidi w:val="0"/>
        <w:adjustRightInd/>
        <w:snapToGrid/>
        <w:spacing w:beforeAutospacing="0" w:line="576"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一）便民服务中心，负责宣传并贯彻落实政务服务、农民工服务等法律法规和方针政策；负责便民服务体系标准化、规范化建设，优化办事流程，拟订服务管理制度并组织实施，落实“最多跑一次”改革向基层延伸各项工作；负责便民服务窗口 工作人员的管理，协助派驻到乡部门的行政审批及公共服务事项 进驻窗口事宜；指导村（社区）便民服务点业务工作</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牵头负责</w:t>
      </w:r>
      <w:r>
        <w:rPr>
          <w:rFonts w:hint="eastAsia" w:ascii="仿宋_GB2312" w:hAnsi="仿宋_GB2312" w:eastAsia="仿宋_GB2312" w:cs="仿宋_GB2312"/>
          <w:kern w:val="0"/>
          <w:sz w:val="32"/>
          <w:szCs w:val="32"/>
        </w:rPr>
        <w:t>外出务工人员联络、农民工输出、培训、维权、回引及返乡创业 服务等工作；负责国防动员和兵役服务工作；承担</w:t>
      </w:r>
      <w:r>
        <w:rPr>
          <w:rFonts w:hint="eastAsia" w:ascii="仿宋_GB2312" w:hAnsi="仿宋_GB2312" w:eastAsia="仿宋_GB2312" w:cs="仿宋_GB2312"/>
          <w:kern w:val="0"/>
          <w:sz w:val="32"/>
          <w:szCs w:val="32"/>
          <w:lang w:eastAsia="zh-CN"/>
        </w:rPr>
        <w:t>退役军人就业创业</w:t>
      </w:r>
      <w:r>
        <w:rPr>
          <w:rFonts w:hint="eastAsia" w:ascii="仿宋_GB2312" w:hAnsi="仿宋_GB2312" w:eastAsia="仿宋_GB2312" w:cs="仿宋_GB2312"/>
          <w:kern w:val="0"/>
          <w:sz w:val="32"/>
          <w:szCs w:val="32"/>
        </w:rPr>
        <w:t>扶持、拥军优属、优抚帮扶、走访慰问、信访接待、权益保障等退役军人服务工作；配合武装部做好征兵、民兵、预备役、国防教育、国民经济动员、人民防空、国防交通、国防设施保护 等相关工作；承担乡党委、政府交办的其他工作任务。</w:t>
      </w:r>
    </w:p>
    <w:p w14:paraId="78B9ECF3">
      <w:pPr>
        <w:keepNext w:val="0"/>
        <w:keepLines w:val="0"/>
        <w:pageBreakBefore w:val="0"/>
        <w:widowControl/>
        <w:suppressLineNumbers w:val="0"/>
        <w:kinsoku/>
        <w:wordWrap/>
        <w:overflowPunct/>
        <w:topLinePunct w:val="0"/>
        <w:autoSpaceDE w:val="0"/>
        <w:autoSpaceDN/>
        <w:bidi w:val="0"/>
        <w:adjustRightInd/>
        <w:snapToGrid/>
        <w:spacing w:beforeAutospacing="0" w:line="576"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二）农业综合服务中心，负责宣传并贯彻落实涉农法律法规和方针政策；统筹、指导、监管辖区内农业农村、林业、水利等工作；负责农业、林业、水利、渔业、畜牧业、农业机械等技术、品种、机具等的示范、推广，负责农业公共信息和培训教育等服务工作；负责农田水利建设、农产品及相关生产资料和投入品质量安全监测等服务性、技术性工作；负责林业、农业苗情、灾害、病虫害和动物疫病的监测、预报防治和处置；承担组织指导农业产业发展、林业生产、农业机械管理、水产发展、农林水资源保护、水土保持预防及水土流失治理等服务工作；负责新农村建设、乡村振兴、农村体制改革、农村土地承包和综合治理等工作；指导辖区内生态农业</w:t>
      </w:r>
      <w:r>
        <w:rPr>
          <w:rFonts w:hint="eastAsia" w:ascii="仿宋_GB2312" w:hAnsi="仿宋_GB2312" w:eastAsia="仿宋_GB2312" w:cs="仿宋_GB2312"/>
          <w:kern w:val="0"/>
          <w:sz w:val="32"/>
          <w:szCs w:val="32"/>
          <w:lang w:eastAsia="zh-CN"/>
        </w:rPr>
        <w:t>、农</w:t>
      </w:r>
      <w:r>
        <w:rPr>
          <w:rFonts w:hint="eastAsia" w:ascii="仿宋_GB2312" w:hAnsi="仿宋_GB2312" w:eastAsia="仿宋_GB2312" w:cs="仿宋_GB2312"/>
          <w:kern w:val="0"/>
          <w:sz w:val="32"/>
          <w:szCs w:val="32"/>
        </w:rPr>
        <w:t>牧业建设；负责辖区内高标准农田管护工作；承担乡党委、政府交办的其他工作任务。</w:t>
      </w:r>
    </w:p>
    <w:p w14:paraId="731FC55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lang w:eastAsia="zh-CN"/>
        </w:rPr>
      </w:pPr>
      <w:r>
        <w:rPr>
          <w:rFonts w:hint="eastAsia" w:ascii="仿宋_GB2312" w:hAnsi="仿宋_GB2312" w:eastAsia="仿宋_GB2312" w:cs="仿宋_GB2312"/>
          <w:kern w:val="0"/>
          <w:sz w:val="32"/>
          <w:szCs w:val="32"/>
        </w:rPr>
        <w:t>（三）社会事业服务中心。负责宣传并贯彻党和国家有关民政、社会保障</w:t>
      </w:r>
      <w:r>
        <w:rPr>
          <w:rFonts w:hint="eastAsia" w:ascii="仿宋_GB2312" w:hAnsi="仿宋_GB2312" w:eastAsia="仿宋_GB2312" w:cs="仿宋_GB2312"/>
          <w:kern w:val="0"/>
          <w:sz w:val="32"/>
          <w:szCs w:val="32"/>
          <w:lang w:eastAsia="zh-CN"/>
        </w:rPr>
        <w:t>等方面</w:t>
      </w:r>
      <w:r>
        <w:rPr>
          <w:rFonts w:hint="eastAsia" w:ascii="仿宋_GB2312" w:hAnsi="仿宋_GB2312" w:eastAsia="仿宋_GB2312" w:cs="仿宋_GB2312"/>
          <w:kern w:val="0"/>
          <w:sz w:val="32"/>
          <w:szCs w:val="32"/>
        </w:rPr>
        <w:t>的法律法规和方针政策；负责科学、教育、体育、卫生健康、民政等社会事业服务工作；承担就业、社保、医保、劳动保障、救助、救济、低保、儿童、老龄、残疾人等社会事业服务工作；承担乡党委、政府交办的其他工作</w:t>
      </w:r>
      <w:r>
        <w:rPr>
          <w:rFonts w:hint="eastAsia" w:ascii="仿宋_GB2312" w:hAnsi="仿宋_GB2312" w:eastAsia="仿宋_GB2312" w:cs="仿宋_GB2312"/>
          <w:kern w:val="0"/>
          <w:sz w:val="32"/>
          <w:szCs w:val="32"/>
          <w:lang w:eastAsia="zh-CN"/>
        </w:rPr>
        <w:t>任务。</w:t>
      </w:r>
    </w:p>
    <w:p w14:paraId="13D0F3DB">
      <w:pPr>
        <w:pStyle w:val="3"/>
        <w:pageBreakBefore w:val="0"/>
        <w:kinsoku/>
        <w:wordWrap/>
        <w:overflowPunct/>
        <w:topLinePunct w:val="0"/>
        <w:autoSpaceDN/>
        <w:bidi w:val="0"/>
        <w:adjustRightInd/>
        <w:snapToGrid/>
        <w:spacing w:line="576" w:lineRule="exact"/>
        <w:ind w:firstLine="640" w:firstLineChars="200"/>
        <w:textAlignment w:val="auto"/>
        <w:rPr>
          <w:rStyle w:val="30"/>
          <w:rFonts w:ascii="Times New Roman" w:hAnsi="Times New Roman"/>
          <w:b w:val="0"/>
          <w:bCs w:val="0"/>
          <w:color w:val="auto"/>
          <w:highlight w:val="none"/>
        </w:rPr>
      </w:pPr>
      <w:bookmarkStart w:id="9" w:name="_Toc15377200"/>
      <w:bookmarkStart w:id="10"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9"/>
      <w:bookmarkEnd w:id="10"/>
    </w:p>
    <w:p w14:paraId="0C9F083D">
      <w:pPr>
        <w:keepNext w:val="0"/>
        <w:keepLines w:val="0"/>
        <w:pageBreakBefore w:val="0"/>
        <w:widowControl/>
        <w:suppressLineNumbers w:val="0"/>
        <w:kinsoku/>
        <w:wordWrap/>
        <w:overflowPunct/>
        <w:topLinePunct w:val="0"/>
        <w:autoSpaceDE w:val="0"/>
        <w:autoSpaceDN/>
        <w:bidi w:val="0"/>
        <w:adjustRightInd/>
        <w:snapToGrid/>
        <w:spacing w:beforeAutospacing="0" w:line="576" w:lineRule="exact"/>
        <w:ind w:firstLine="640" w:firstLineChars="200"/>
        <w:jc w:val="left"/>
        <w:textAlignment w:val="auto"/>
        <w:rPr>
          <w:rFonts w:hint="eastAsia" w:ascii="仿宋_GB2312" w:hAnsi="仿宋_GB2312" w:eastAsia="仿宋_GB2312" w:cs="仿宋_GB2312"/>
          <w:color w:val="000000"/>
          <w:kern w:val="0"/>
          <w:sz w:val="32"/>
          <w:szCs w:val="32"/>
        </w:rPr>
      </w:pPr>
      <w:bookmarkStart w:id="11" w:name="_Toc15377204"/>
      <w:bookmarkStart w:id="12" w:name="_Toc15396602"/>
      <w:r>
        <w:rPr>
          <w:rFonts w:hint="eastAsia" w:ascii="仿宋_GB2312" w:hAnsi="仿宋_GB2312" w:eastAsia="仿宋_GB2312" w:cs="仿宋_GB2312"/>
          <w:sz w:val="32"/>
          <w:szCs w:val="32"/>
          <w:shd w:val="clear" w:color="auto" w:fill="FFFFFF"/>
        </w:rPr>
        <w:t> </w:t>
      </w:r>
      <w:r>
        <w:rPr>
          <w:rFonts w:ascii="FangSong_GB2312" w:hAnsi="FangSong_GB2312" w:eastAsia="FangSong_GB2312" w:cs="FangSong_GB2312"/>
          <w:spacing w:val="5"/>
          <w:sz w:val="31"/>
          <w:szCs w:val="31"/>
        </w:rPr>
        <w:t>十里回族乡所属事业单位</w:t>
      </w:r>
      <w:r>
        <w:rPr>
          <w:rFonts w:ascii="FangSong_GB2312" w:hAnsi="FangSong_GB2312" w:eastAsia="FangSong_GB2312" w:cs="FangSong_GB2312"/>
          <w:spacing w:val="-59"/>
          <w:sz w:val="31"/>
          <w:szCs w:val="31"/>
        </w:rPr>
        <w:t xml:space="preserve"> </w:t>
      </w:r>
      <w:r>
        <w:rPr>
          <w:rFonts w:ascii="Times New Roman" w:hAnsi="Times New Roman" w:eastAsia="Times New Roman" w:cs="Times New Roman"/>
          <w:spacing w:val="5"/>
          <w:sz w:val="31"/>
          <w:szCs w:val="31"/>
        </w:rPr>
        <w:t xml:space="preserve">3 </w:t>
      </w:r>
      <w:r>
        <w:rPr>
          <w:rFonts w:ascii="FangSong_GB2312" w:hAnsi="FangSong_GB2312" w:eastAsia="FangSong_GB2312" w:cs="FangSong_GB2312"/>
          <w:spacing w:val="5"/>
          <w:sz w:val="31"/>
          <w:szCs w:val="31"/>
        </w:rPr>
        <w:t>个：</w:t>
      </w:r>
    </w:p>
    <w:p w14:paraId="26AD785E">
      <w:pPr>
        <w:keepNext w:val="0"/>
        <w:keepLines w:val="0"/>
        <w:pageBreakBefore w:val="0"/>
        <w:widowControl/>
        <w:suppressLineNumbers w:val="0"/>
        <w:kinsoku/>
        <w:wordWrap/>
        <w:overflowPunct/>
        <w:topLinePunct w:val="0"/>
        <w:autoSpaceDE w:val="0"/>
        <w:autoSpaceDN/>
        <w:bidi w:val="0"/>
        <w:adjustRightInd/>
        <w:snapToGrid/>
        <w:spacing w:beforeAutospacing="0" w:line="576" w:lineRule="exact"/>
        <w:ind w:firstLine="640" w:firstLineChars="200"/>
        <w:jc w:val="left"/>
        <w:textAlignment w:val="auto"/>
        <w:rPr>
          <w:rFonts w:hint="eastAsia" w:ascii="仿宋_GB2312" w:hAnsi="仿宋_GB2312" w:eastAsia="仿宋_GB2312" w:cs="仿宋_GB2312"/>
          <w:kern w:val="0"/>
          <w:sz w:val="32"/>
          <w:szCs w:val="32"/>
        </w:rPr>
      </w:pPr>
      <w:bookmarkStart w:id="13" w:name="OLE_LINK2"/>
      <w:r>
        <w:rPr>
          <w:rFonts w:hint="eastAsia" w:ascii="仿宋_GB2312" w:hAnsi="仿宋_GB2312" w:eastAsia="仿宋_GB2312" w:cs="仿宋_GB2312"/>
          <w:kern w:val="0"/>
          <w:sz w:val="32"/>
          <w:szCs w:val="32"/>
        </w:rPr>
        <w:t>（一）便民服务中心，挂退役军人服务站牌子，为十里回族  乡所属的公益一类副科级事业单位。便民服务中心事业编制 4 名，其中：主任 1 名（副科级）。</w:t>
      </w:r>
    </w:p>
    <w:p w14:paraId="1CC283CE">
      <w:pPr>
        <w:keepNext w:val="0"/>
        <w:keepLines w:val="0"/>
        <w:pageBreakBefore w:val="0"/>
        <w:widowControl/>
        <w:numPr>
          <w:ilvl w:val="0"/>
          <w:numId w:val="2"/>
        </w:numPr>
        <w:suppressLineNumbers w:val="0"/>
        <w:kinsoku/>
        <w:wordWrap/>
        <w:overflowPunct/>
        <w:topLinePunct w:val="0"/>
        <w:autoSpaceDE w:val="0"/>
        <w:autoSpaceDN/>
        <w:bidi w:val="0"/>
        <w:adjustRightInd/>
        <w:snapToGrid/>
        <w:spacing w:beforeAutospacing="0" w:line="576"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农业综合服务中心，为十里回族乡所属的公益一类副  科级事业单位。农业综合服务中心事业编制 8 名，其中：主任 1 名（副科级）。</w:t>
      </w:r>
    </w:p>
    <w:p w14:paraId="54D59CE4">
      <w:pPr>
        <w:keepNext w:val="0"/>
        <w:keepLines w:val="0"/>
        <w:pageBreakBefore w:val="0"/>
        <w:widowControl/>
        <w:suppressLineNumbers w:val="0"/>
        <w:kinsoku/>
        <w:wordWrap/>
        <w:overflowPunct/>
        <w:topLinePunct w:val="0"/>
        <w:autoSpaceDE w:val="0"/>
        <w:autoSpaceDN/>
        <w:bidi w:val="0"/>
        <w:adjustRightInd/>
        <w:snapToGrid/>
        <w:spacing w:beforeAutospacing="0" w:line="576" w:lineRule="exact"/>
        <w:ind w:firstLine="640" w:firstLineChars="200"/>
        <w:jc w:val="left"/>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（三）社会事业服务中心，为十里回族乡所属的公益一类股级事业单位。</w:t>
      </w:r>
      <w:bookmarkEnd w:id="13"/>
      <w:r>
        <w:rPr>
          <w:rFonts w:hint="eastAsia" w:ascii="仿宋_GB2312" w:hAnsi="仿宋_GB2312" w:eastAsia="仿宋_GB2312" w:cs="仿宋_GB2312"/>
          <w:kern w:val="0"/>
          <w:sz w:val="32"/>
          <w:szCs w:val="32"/>
        </w:rPr>
        <w:t>社会事业服务中心事业编制 3 名，其中：主任 1 名（股级）。</w:t>
      </w:r>
    </w:p>
    <w:p w14:paraId="27110AB8">
      <w:pPr>
        <w:pStyle w:val="2"/>
        <w:pageBreakBefore w:val="0"/>
        <w:kinsoku/>
        <w:wordWrap/>
        <w:overflowPunct/>
        <w:topLinePunct w:val="0"/>
        <w:autoSpaceDN/>
        <w:bidi w:val="0"/>
        <w:spacing w:line="576" w:lineRule="exact"/>
        <w:jc w:val="center"/>
        <w:textAlignment w:val="auto"/>
        <w:rPr>
          <w:rFonts w:ascii="Times New Roman" w:hAnsi="Times New Roman"/>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1"/>
      <w:bookmarkEnd w:id="12"/>
    </w:p>
    <w:p w14:paraId="36468F8C">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b w:val="0"/>
          <w:color w:val="auto"/>
          <w:highlight w:val="none"/>
        </w:rPr>
      </w:pPr>
      <w:bookmarkStart w:id="14" w:name="_Toc15377205"/>
      <w:bookmarkStart w:id="15" w:name="_Toc15396603"/>
      <w:r>
        <w:rPr>
          <w:rFonts w:hint="eastAsia" w:ascii="Times New Roman" w:hAnsi="Times New Roman" w:eastAsia="黑体"/>
          <w:b w:val="0"/>
          <w:color w:val="auto"/>
          <w:highlight w:val="none"/>
          <w:lang w:eastAsia="zh-CN"/>
        </w:rPr>
        <w:t>一、</w:t>
      </w:r>
      <w:r>
        <w:rPr>
          <w:rFonts w:hint="eastAsia" w:ascii="Times New Roman" w:hAnsi="Times New Roman" w:eastAsia="黑体"/>
          <w:b w:val="0"/>
          <w:color w:val="auto"/>
          <w:highlight w:val="none"/>
        </w:rPr>
        <w:t>收入支出决算总体情况说明</w:t>
      </w:r>
      <w:bookmarkEnd w:id="14"/>
      <w:bookmarkEnd w:id="15"/>
    </w:p>
    <w:p w14:paraId="15C681D5">
      <w:pPr>
        <w:pStyle w:val="3"/>
        <w:keepNext w:val="0"/>
        <w:keepLines w:val="0"/>
        <w:pageBreakBefore w:val="0"/>
        <w:widowControl w:val="0"/>
        <w:kinsoku w:val="0"/>
        <w:wordWrap/>
        <w:overflowPunct/>
        <w:topLinePunct w:val="0"/>
        <w:autoSpaceDE/>
        <w:autoSpaceDN/>
        <w:bidi w:val="0"/>
        <w:adjustRightInd/>
        <w:snapToGrid/>
        <w:spacing w:line="576" w:lineRule="exact"/>
        <w:ind w:firstLine="643" w:firstLineChars="200"/>
        <w:textAlignment w:val="auto"/>
        <w:rPr>
          <w:rFonts w:hint="eastAsia" w:ascii="仿宋_GB2312" w:hAnsi="仿宋_GB2312" w:eastAsia="仿宋_GB2312" w:cs="仿宋_GB2312"/>
          <w:b w:val="0"/>
          <w:bCs/>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lang w:eastAsia="zh-CN"/>
        </w:rPr>
        <w:pict>
          <v:shape id="Object 15" o:spid="_x0000_s1026" o:spt="75" type="#_x0000_t75" style="position:absolute;left:0pt;margin-left:126.5pt;margin-top:266.4pt;height:219pt;width:352.55pt;mso-position-horizontal-relative:page;mso-position-vertical-relative:page;mso-wrap-distance-bottom:0pt;mso-wrap-distance-left:9pt;mso-wrap-distance-right:9pt;mso-wrap-distance-top:0pt;z-index:251659264;mso-width-relative:page;mso-height-relative:page;" o:ole="t" filled="f" o:preferrelative="t" stroked="f" coordsize="21600,21600">
            <v:path/>
            <v:fill on="f" focussize="0,0"/>
            <v:stroke on="f"/>
            <v:imagedata r:id="rId10" o:title=""/>
            <o:lock v:ext="edit" aspectratio="t"/>
            <w10:wrap type="square"/>
          </v:shape>
          <o:OLEObject Type="Embed" ProgID="Excel.Chart.8" ShapeID="Object 15" DrawAspect="Content" ObjectID="_1468075725" r:id="rId9">
            <o:LockedField>false</o:LockedField>
          </o:OLEObject>
        </w:pict>
      </w:r>
      <w:r>
        <w:rPr>
          <w:rFonts w:hint="eastAsia" w:ascii="仿宋_GB2312" w:hAnsi="仿宋_GB2312" w:eastAsia="仿宋_GB2312" w:cs="仿宋_GB2312"/>
          <w:b w:val="0"/>
          <w:bCs/>
          <w:color w:val="auto"/>
          <w:highlight w:val="none"/>
          <w:lang w:eastAsia="zh-CN"/>
        </w:rPr>
        <w:t>2025年度收入</w:t>
      </w:r>
      <w:r>
        <w:rPr>
          <w:rFonts w:hint="eastAsia" w:ascii="仿宋_GB2312" w:hAnsi="仿宋_GB2312" w:eastAsia="仿宋_GB2312" w:cs="仿宋_GB2312"/>
          <w:b w:val="0"/>
          <w:bCs/>
          <w:color w:val="auto"/>
          <w:highlight w:val="none"/>
        </w:rPr>
        <w:t>、</w:t>
      </w:r>
      <w:r>
        <w:rPr>
          <w:rFonts w:hint="eastAsia" w:ascii="仿宋_GB2312" w:hAnsi="仿宋_GB2312" w:eastAsia="仿宋_GB2312" w:cs="仿宋_GB2312"/>
          <w:b w:val="0"/>
          <w:bCs/>
          <w:color w:val="auto"/>
          <w:highlight w:val="none"/>
          <w:lang w:eastAsia="zh-CN"/>
        </w:rPr>
        <w:t>支出</w:t>
      </w:r>
      <w:r>
        <w:rPr>
          <w:rFonts w:hint="eastAsia" w:ascii="仿宋_GB2312" w:hAnsi="仿宋_GB2312" w:eastAsia="仿宋_GB2312" w:cs="仿宋_GB2312"/>
          <w:b w:val="0"/>
          <w:bCs/>
          <w:color w:val="auto"/>
          <w:highlight w:val="none"/>
        </w:rPr>
        <w:t>总计</w:t>
      </w:r>
      <w:r>
        <w:rPr>
          <w:rFonts w:hint="eastAsia" w:ascii="仿宋_GB2312" w:hAnsi="仿宋_GB2312" w:eastAsia="仿宋_GB2312" w:cs="仿宋_GB2312"/>
          <w:b w:val="0"/>
          <w:bCs/>
          <w:color w:val="auto"/>
          <w:highlight w:val="none"/>
          <w:lang w:eastAsia="zh-CN"/>
        </w:rPr>
        <w:t>均为</w:t>
      </w:r>
      <w:r>
        <w:rPr>
          <w:rFonts w:hint="eastAsia" w:ascii="仿宋_GB2312" w:hAnsi="仿宋_GB2312" w:eastAsia="仿宋_GB2312" w:cs="仿宋_GB2312"/>
          <w:b w:val="0"/>
          <w:bCs/>
          <w:color w:val="auto"/>
          <w:highlight w:val="none"/>
        </w:rPr>
        <w:t>361.11万元。与</w:t>
      </w:r>
      <w:r>
        <w:rPr>
          <w:rFonts w:hint="eastAsia" w:ascii="仿宋_GB2312" w:hAnsi="仿宋_GB2312" w:eastAsia="仿宋_GB2312" w:cs="仿宋_GB2312"/>
          <w:b w:val="0"/>
          <w:bCs/>
          <w:color w:val="auto"/>
          <w:highlight w:val="none"/>
          <w:lang w:eastAsia="zh-CN"/>
        </w:rPr>
        <w:t>上</w:t>
      </w:r>
      <w:r>
        <w:rPr>
          <w:rFonts w:hint="eastAsia" w:ascii="仿宋_GB2312" w:hAnsi="仿宋_GB2312" w:eastAsia="仿宋_GB2312" w:cs="仿宋_GB2312"/>
          <w:b w:val="0"/>
          <w:bCs/>
          <w:color w:val="auto"/>
          <w:highlight w:val="none"/>
        </w:rPr>
        <w:t>年</w:t>
      </w:r>
      <w:r>
        <w:rPr>
          <w:rFonts w:hint="eastAsia" w:ascii="仿宋_GB2312" w:hAnsi="仿宋_GB2312" w:eastAsia="仿宋_GB2312" w:cs="仿宋_GB2312"/>
          <w:b w:val="0"/>
          <w:bCs/>
          <w:color w:val="auto"/>
          <w:highlight w:val="none"/>
          <w:lang w:eastAsia="zh-CN"/>
        </w:rPr>
        <w:t>度</w:t>
      </w:r>
      <w:r>
        <w:rPr>
          <w:rFonts w:hint="eastAsia" w:ascii="仿宋_GB2312" w:hAnsi="仿宋_GB2312" w:eastAsia="仿宋_GB2312" w:cs="仿宋_GB2312"/>
          <w:b w:val="0"/>
          <w:bCs/>
          <w:color w:val="auto"/>
          <w:sz w:val="32"/>
          <w:szCs w:val="32"/>
          <w:highlight w:val="none"/>
        </w:rPr>
        <w:t>相比，</w:t>
      </w:r>
      <w:r>
        <w:rPr>
          <w:rFonts w:hint="eastAsia" w:ascii="仿宋_GB2312" w:hAnsi="仿宋_GB2312" w:eastAsia="仿宋_GB2312" w:cs="仿宋_GB2312"/>
          <w:b w:val="0"/>
          <w:bCs/>
          <w:color w:val="auto"/>
          <w:sz w:val="32"/>
          <w:szCs w:val="32"/>
          <w:highlight w:val="none"/>
          <w:lang w:eastAsia="zh-CN"/>
        </w:rPr>
        <w:t>收入</w:t>
      </w:r>
      <w:r>
        <w:rPr>
          <w:rFonts w:hint="eastAsia" w:ascii="仿宋_GB2312" w:hAnsi="仿宋_GB2312" w:eastAsia="仿宋_GB2312" w:cs="仿宋_GB2312"/>
          <w:b w:val="0"/>
          <w:bCs/>
          <w:color w:val="auto"/>
          <w:sz w:val="32"/>
          <w:szCs w:val="32"/>
          <w:highlight w:val="none"/>
        </w:rPr>
        <w:t>、</w:t>
      </w:r>
      <w:r>
        <w:rPr>
          <w:rFonts w:hint="eastAsia" w:ascii="仿宋_GB2312" w:hAnsi="仿宋_GB2312" w:eastAsia="仿宋_GB2312" w:cs="仿宋_GB2312"/>
          <w:b w:val="0"/>
          <w:bCs/>
          <w:color w:val="auto"/>
          <w:sz w:val="32"/>
          <w:szCs w:val="32"/>
          <w:highlight w:val="none"/>
          <w:lang w:eastAsia="zh-CN"/>
        </w:rPr>
        <w:t>支出</w:t>
      </w:r>
      <w:r>
        <w:rPr>
          <w:rFonts w:hint="eastAsia" w:ascii="仿宋_GB2312" w:hAnsi="仿宋_GB2312" w:eastAsia="仿宋_GB2312" w:cs="仿宋_GB2312"/>
          <w:b w:val="0"/>
          <w:bCs/>
          <w:color w:val="auto"/>
          <w:sz w:val="32"/>
          <w:szCs w:val="32"/>
          <w:highlight w:val="none"/>
        </w:rPr>
        <w:t>总计各增加</w:t>
      </w:r>
      <w:r>
        <w:rPr>
          <w:rFonts w:hint="eastAsia" w:ascii="仿宋_GB2312" w:hAnsi="仿宋_GB2312" w:eastAsia="仿宋_GB2312" w:cs="仿宋_GB2312"/>
          <w:b w:val="0"/>
          <w:bCs/>
          <w:color w:val="auto"/>
          <w:sz w:val="32"/>
          <w:szCs w:val="32"/>
          <w:highlight w:val="none"/>
          <w:lang w:val="en-US" w:eastAsia="zh-CN"/>
        </w:rPr>
        <w:t>26.93</w:t>
      </w:r>
      <w:r>
        <w:rPr>
          <w:rFonts w:hint="eastAsia" w:ascii="仿宋_GB2312" w:hAnsi="仿宋_GB2312" w:eastAsia="仿宋_GB2312" w:cs="仿宋_GB2312"/>
          <w:b w:val="0"/>
          <w:bCs/>
          <w:color w:val="auto"/>
          <w:sz w:val="32"/>
          <w:szCs w:val="32"/>
          <w:highlight w:val="none"/>
        </w:rPr>
        <w:t>万元，增长</w:t>
      </w:r>
      <w:r>
        <w:rPr>
          <w:rFonts w:hint="eastAsia" w:ascii="仿宋_GB2312" w:hAnsi="仿宋_GB2312" w:eastAsia="仿宋_GB2312" w:cs="仿宋_GB2312"/>
          <w:b w:val="0"/>
          <w:bCs/>
          <w:color w:val="auto"/>
          <w:sz w:val="32"/>
          <w:szCs w:val="32"/>
          <w:highlight w:val="none"/>
          <w:lang w:val="en-US" w:eastAsia="zh-CN"/>
        </w:rPr>
        <w:t>8.06</w:t>
      </w:r>
      <w:r>
        <w:rPr>
          <w:rFonts w:hint="eastAsia" w:ascii="仿宋_GB2312" w:hAnsi="仿宋_GB2312" w:eastAsia="仿宋_GB2312" w:cs="仿宋_GB2312"/>
          <w:b w:val="0"/>
          <w:bCs/>
          <w:color w:val="auto"/>
          <w:sz w:val="32"/>
          <w:szCs w:val="32"/>
          <w:highlight w:val="none"/>
        </w:rPr>
        <w:t>%。主要变动原因是</w:t>
      </w:r>
      <w:r>
        <w:rPr>
          <w:rFonts w:hint="eastAsia" w:ascii="仿宋_GB2312" w:hAnsi="仿宋_GB2312" w:eastAsia="仿宋_GB2312" w:cs="仿宋_GB2312"/>
          <w:b w:val="0"/>
          <w:bCs/>
          <w:sz w:val="32"/>
          <w:szCs w:val="32"/>
          <w:shd w:val="clear" w:color="auto" w:fill="FFFFFF"/>
          <w:lang w:val="en-US" w:eastAsia="zh-CN"/>
        </w:rPr>
        <w:t>人员调动、保险基数调整及公用经费增加。</w:t>
      </w:r>
    </w:p>
    <w:p w14:paraId="3339F93C">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6AF5E8F">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4A65554">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65CFA04">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783E3CC1">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62F24762">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403A4108">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5D31A910">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3F113436">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Start w:id="16" w:name="_Toc15377206"/>
      <w:bookmarkStart w:id="17" w:name="_Toc15396604"/>
    </w:p>
    <w:p w14:paraId="359FE3DA">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二、收入决算情况说明</w:t>
      </w:r>
      <w:bookmarkEnd w:id="16"/>
      <w:bookmarkEnd w:id="17"/>
    </w:p>
    <w:p w14:paraId="5C1A49B9">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highlight w:val="none"/>
          <w:lang w:eastAsia="zh-CN"/>
        </w:rPr>
        <w:t>2025年度本年收入合计361.11万元，其中：一般公共</w:t>
      </w:r>
      <w:r>
        <w:rPr>
          <w:rFonts w:hint="eastAsia" w:ascii="仿宋_GB2312" w:hAnsi="仿宋_GB2312" w:eastAsia="仿宋_GB2312" w:cs="仿宋_GB2312"/>
          <w:b w:val="0"/>
          <w:bCs/>
          <w:color w:val="auto"/>
          <w:sz w:val="32"/>
          <w:szCs w:val="32"/>
          <w:highlight w:val="none"/>
          <w:lang w:eastAsia="zh-CN"/>
        </w:rPr>
        <w:t>预算财政拨款收入</w:t>
      </w:r>
      <w:r>
        <w:rPr>
          <w:rFonts w:hint="eastAsia" w:ascii="仿宋_GB2312" w:hAnsi="仿宋_GB2312" w:eastAsia="仿宋_GB2312" w:cs="仿宋_GB2312"/>
          <w:b w:val="0"/>
          <w:bCs/>
          <w:sz w:val="32"/>
          <w:szCs w:val="32"/>
        </w:rPr>
        <w:t>361.11</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100</w:t>
      </w:r>
      <w:r>
        <w:rPr>
          <w:rFonts w:hint="eastAsia" w:ascii="仿宋_GB2312" w:hAnsi="仿宋_GB2312" w:eastAsia="仿宋_GB2312" w:cs="仿宋_GB2312"/>
          <w:b w:val="0"/>
          <w:bCs/>
          <w:color w:val="auto"/>
          <w:sz w:val="32"/>
          <w:szCs w:val="32"/>
          <w:highlight w:val="none"/>
          <w:lang w:eastAsia="zh-CN"/>
        </w:rPr>
        <w:t>%；政府性基金预算财政拨款收入</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%；国有资本经营预算财政拨款收入</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%；上级补助收入</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%；事业收入</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%；经营收入</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%；附属单位上缴收入</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%；其他收入</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w:t>
      </w:r>
    </w:p>
    <w:p w14:paraId="525DCD35">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000000"/>
          <w:sz w:val="32"/>
          <w:szCs w:val="32"/>
          <w:lang w:eastAsia="zh-CN"/>
        </w:rPr>
        <w:pict>
          <v:shape id="Object 4" o:spid="_x0000_s1027" o:spt="75" type="#_x0000_t75" style="position:absolute;left:0pt;margin-left:25.3pt;margin-top:3.4pt;height:199.5pt;width:352.5pt;mso-wrap-distance-left:9pt;mso-wrap-distance-right:9pt;z-index:-251655168;mso-width-relative:page;mso-height-relative:page;" o:ole="t" filled="f" o:preferrelative="t" stroked="f" coordsize="21600,21600" wrapcoords="21592 -2 0 0 0 21600 21592 21602 8 21602 21600 21600 21600 0 8 -2 21592 -2">
            <v:path/>
            <v:fill on="f" focussize="0,0"/>
            <v:stroke on="f"/>
            <v:imagedata r:id="rId12" o:title=""/>
            <o:lock v:ext="edit" aspectratio="f"/>
            <w10:wrap type="tight"/>
          </v:shape>
          <o:OLEObject Type="Embed" ProgID="Excel.Sheet.8" ShapeID="Object 4" DrawAspect="Content" ObjectID="_1468075726" r:id="rId11">
            <o:LockedField>false</o:LockedField>
          </o:OLEObject>
        </w:pict>
      </w:r>
      <w:r>
        <w:rPr>
          <w:rFonts w:hint="eastAsia" w:ascii="Times New Roman" w:hAnsi="Times New Roman" w:eastAsia="仿宋_GB2312" w:cs="仿宋_GB2312"/>
          <w:color w:val="auto"/>
          <w:sz w:val="32"/>
          <w:szCs w:val="32"/>
          <w:highlight w:val="none"/>
          <w:lang w:eastAsia="zh-CN"/>
        </w:rPr>
        <w:t>（图2：收入决算结构图）（饼状图）</w:t>
      </w:r>
    </w:p>
    <w:p w14:paraId="3DB731B6">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b w:val="0"/>
          <w:color w:val="auto"/>
          <w:highlight w:val="none"/>
          <w:lang w:eastAsia="zh-CN"/>
        </w:rPr>
      </w:pPr>
      <w:bookmarkStart w:id="18" w:name="_Toc15396605"/>
      <w:bookmarkStart w:id="19" w:name="_Toc15377207"/>
      <w:r>
        <w:rPr>
          <w:rFonts w:hint="eastAsia" w:ascii="Times New Roman" w:hAnsi="Times New Roman" w:eastAsia="黑体"/>
          <w:b w:val="0"/>
          <w:color w:val="auto"/>
          <w:highlight w:val="none"/>
          <w:lang w:eastAsia="zh-CN"/>
        </w:rPr>
        <w:t>三、支出决算情况说明</w:t>
      </w:r>
      <w:bookmarkEnd w:id="18"/>
      <w:bookmarkEnd w:id="19"/>
    </w:p>
    <w:p w14:paraId="3B430EEF">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color w:val="auto"/>
          <w:sz w:val="32"/>
          <w:szCs w:val="32"/>
          <w:highlight w:val="none"/>
          <w:lang w:eastAsia="zh-CN"/>
        </w:rPr>
      </w:pPr>
      <w:r>
        <w:rPr>
          <w:rStyle w:val="18"/>
          <w:rFonts w:hint="eastAsia" w:ascii="仿宋_GB2312" w:hAnsi="仿宋_GB2312" w:eastAsia="仿宋_GB2312" w:cs="仿宋_GB2312"/>
          <w:b w:val="0"/>
          <w:sz w:val="32"/>
          <w:szCs w:val="32"/>
          <w:shd w:val="clear" w:color="auto" w:fill="FFFFFF"/>
          <w:lang w:eastAsia="zh-CN"/>
        </w:rPr>
        <w:pict>
          <v:shape id="Object 5" o:spid="_x0000_s1028" o:spt="75" type="#_x0000_t75" style="position:absolute;left:0pt;margin-left:120.65pt;margin-top:487.25pt;height:219.9pt;width:361.95pt;mso-position-horizontal-relative:page;mso-position-vertical-relative:page;mso-wrap-distance-left:9pt;mso-wrap-distance-right:9pt;z-index:-251654144;mso-width-relative:page;mso-height-relative:page;" o:ole="t" filled="f" o:preferrelative="t" stroked="f" coordsize="21600,21600" wrapcoords="21592 -2 0 0 0 21600 21592 21602 8 21602 21600 21600 21600 0 8 -2 21592 -2">
            <v:path/>
            <v:fill on="f" focussize="0,0"/>
            <v:stroke on="f"/>
            <v:imagedata r:id="rId14" o:title=""/>
            <o:lock v:ext="edit" aspectratio="t"/>
            <w10:wrap type="tight"/>
          </v:shape>
          <o:OLEObject Type="Embed" ProgID="Excel.Chart.8" ShapeID="Object 5" DrawAspect="Content" ObjectID="_1468075727" r:id="rId13">
            <o:LockedField>false</o:LockedField>
          </o:OLEObject>
        </w:pict>
      </w:r>
      <w:r>
        <w:rPr>
          <w:rFonts w:hint="eastAsia" w:ascii="仿宋_GB2312" w:hAnsi="仿宋_GB2312" w:eastAsia="仿宋_GB2312" w:cs="仿宋_GB2312"/>
          <w:b w:val="0"/>
          <w:bCs/>
          <w:color w:val="auto"/>
          <w:highlight w:val="none"/>
          <w:lang w:eastAsia="zh-CN"/>
        </w:rPr>
        <w:t>2025年度本年支出合计361.11万元，其中：基本支出</w:t>
      </w:r>
      <w:r>
        <w:rPr>
          <w:rFonts w:hint="eastAsia" w:ascii="仿宋_GB2312" w:hAnsi="仿宋_GB2312" w:eastAsia="仿宋_GB2312" w:cs="仿宋_GB2312"/>
          <w:b w:val="0"/>
          <w:bCs/>
          <w:sz w:val="32"/>
          <w:szCs w:val="32"/>
        </w:rPr>
        <w:t>361.11</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100</w:t>
      </w:r>
      <w:r>
        <w:rPr>
          <w:rFonts w:hint="eastAsia" w:ascii="仿宋_GB2312" w:hAnsi="仿宋_GB2312" w:eastAsia="仿宋_GB2312" w:cs="仿宋_GB2312"/>
          <w:b w:val="0"/>
          <w:bCs/>
          <w:color w:val="auto"/>
          <w:sz w:val="32"/>
          <w:szCs w:val="32"/>
          <w:highlight w:val="none"/>
          <w:lang w:eastAsia="zh-CN"/>
        </w:rPr>
        <w:t>%；项目支出</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%；上缴上级支出</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%；经营支出</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%；对附属单位补助支出</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万元，占</w:t>
      </w:r>
      <w:r>
        <w:rPr>
          <w:rFonts w:hint="eastAsia" w:ascii="仿宋_GB2312" w:hAnsi="仿宋_GB2312" w:eastAsia="仿宋_GB2312" w:cs="仿宋_GB2312"/>
          <w:b w:val="0"/>
          <w:bCs/>
          <w:sz w:val="32"/>
          <w:szCs w:val="32"/>
        </w:rPr>
        <w:t>0</w:t>
      </w:r>
      <w:r>
        <w:rPr>
          <w:rFonts w:hint="eastAsia" w:ascii="仿宋_GB2312" w:hAnsi="仿宋_GB2312" w:eastAsia="仿宋_GB2312" w:cs="仿宋_GB2312"/>
          <w:b w:val="0"/>
          <w:bCs/>
          <w:color w:val="auto"/>
          <w:sz w:val="32"/>
          <w:szCs w:val="32"/>
          <w:highlight w:val="none"/>
          <w:lang w:eastAsia="zh-CN"/>
        </w:rPr>
        <w:t>%。</w:t>
      </w:r>
    </w:p>
    <w:p w14:paraId="3FF40518">
      <w:pPr>
        <w:pStyle w:val="28"/>
        <w:keepNext w:val="0"/>
        <w:keepLines w:val="0"/>
        <w:pageBreakBefore w:val="0"/>
        <w:widowControl w:val="0"/>
        <w:numPr>
          <w:ilvl w:val="0"/>
          <w:numId w:val="0"/>
        </w:numPr>
        <w:kinsoku w:val="0"/>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32B59907">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sz w:val="32"/>
          <w:szCs w:val="32"/>
          <w:highlight w:val="none"/>
          <w:lang w:eastAsia="zh-CN"/>
        </w:rPr>
      </w:pPr>
    </w:p>
    <w:p w14:paraId="5EA67B35">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b w:val="0"/>
          <w:color w:val="auto"/>
          <w:highlight w:val="none"/>
          <w:lang w:eastAsia="zh-CN"/>
        </w:rPr>
      </w:pPr>
      <w:bookmarkStart w:id="20" w:name="_Toc15377208"/>
      <w:bookmarkStart w:id="21" w:name="_Toc15396606"/>
      <w:r>
        <w:rPr>
          <w:rFonts w:hint="eastAsia" w:ascii="Times New Roman" w:hAnsi="Times New Roman" w:eastAsia="黑体"/>
          <w:b w:val="0"/>
          <w:color w:val="auto"/>
          <w:highlight w:val="none"/>
          <w:lang w:eastAsia="zh-CN"/>
        </w:rPr>
        <w:t>四、财政拨款收入支出决算总体情况说明</w:t>
      </w:r>
      <w:bookmarkEnd w:id="20"/>
      <w:bookmarkEnd w:id="21"/>
    </w:p>
    <w:p w14:paraId="586540BA">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highlight w:val="none"/>
          <w:lang w:val="en-US" w:eastAsia="zh-CN"/>
        </w:rPr>
        <w:t>2025年度财政拨款收入、支出总计均为</w:t>
      </w:r>
      <w:r>
        <w:rPr>
          <w:rFonts w:hint="eastAsia" w:ascii="仿宋_GB2312" w:hAnsi="仿宋_GB2312" w:eastAsia="仿宋_GB2312" w:cs="仿宋_GB2312"/>
          <w:b w:val="0"/>
          <w:bCs/>
          <w:color w:val="auto"/>
          <w:highlight w:val="none"/>
          <w:lang w:eastAsia="zh-CN"/>
        </w:rPr>
        <w:t>361.11</w:t>
      </w:r>
      <w:r>
        <w:rPr>
          <w:rFonts w:hint="eastAsia" w:ascii="仿宋_GB2312" w:hAnsi="仿宋_GB2312" w:eastAsia="仿宋_GB2312" w:cs="仿宋_GB2312"/>
          <w:b w:val="0"/>
          <w:bCs/>
          <w:color w:val="auto"/>
          <w:highlight w:val="none"/>
          <w:lang w:val="en-US" w:eastAsia="zh-CN"/>
        </w:rPr>
        <w:t>万元。</w:t>
      </w:r>
      <w:r>
        <w:rPr>
          <w:rFonts w:hint="eastAsia" w:ascii="仿宋_GB2312" w:hAnsi="仿宋_GB2312" w:eastAsia="仿宋_GB2312" w:cs="仿宋_GB2312"/>
          <w:b w:val="0"/>
          <w:bCs/>
          <w:color w:val="auto"/>
          <w:kern w:val="2"/>
          <w:sz w:val="32"/>
          <w:szCs w:val="32"/>
          <w:highlight w:val="none"/>
          <w:lang w:val="en-US" w:eastAsia="zh-CN" w:bidi="ar-SA"/>
        </w:rPr>
        <w:t>与上年度相比，财政拨款收入、支出总计各增加26.93万元，增长8.06%。主要变动原因是</w:t>
      </w:r>
      <w:r>
        <w:rPr>
          <w:rFonts w:hint="eastAsia" w:ascii="仿宋_GB2312" w:hAnsi="仿宋_GB2312" w:eastAsia="仿宋_GB2312" w:cs="仿宋_GB2312"/>
          <w:b w:val="0"/>
          <w:bCs/>
          <w:sz w:val="32"/>
          <w:szCs w:val="32"/>
          <w:shd w:val="clear" w:color="auto" w:fill="FFFFFF"/>
          <w:lang w:val="en-US" w:eastAsia="zh-CN"/>
        </w:rPr>
        <w:t>人员调动、保险基数调整及公用经费增加。</w:t>
      </w:r>
    </w:p>
    <w:p w14:paraId="07B9E544">
      <w:pPr>
        <w:keepNext w:val="0"/>
        <w:keepLines w:val="0"/>
        <w:pageBreakBefore w:val="0"/>
        <w:widowControl w:val="0"/>
        <w:kinsoku w:val="0"/>
        <w:wordWrap/>
        <w:overflowPunct/>
        <w:topLinePunct w:val="0"/>
        <w:autoSpaceDE/>
        <w:autoSpaceDN/>
        <w:bidi w:val="0"/>
        <w:adjustRightInd/>
        <w:snapToGrid/>
        <w:spacing w:line="576" w:lineRule="exact"/>
        <w:ind w:firstLine="420" w:firstLineChars="200"/>
        <w:textAlignment w:val="auto"/>
        <w:rPr>
          <w:rFonts w:hint="eastAsia" w:ascii="Times New Roman" w:hAnsi="Times New Roman" w:eastAsia="黑体"/>
          <w:color w:val="auto"/>
          <w:sz w:val="32"/>
          <w:szCs w:val="32"/>
          <w:highlight w:val="none"/>
        </w:rPr>
      </w:pPr>
      <w:r>
        <w:rPr>
          <w:rFonts w:hint="eastAsia" w:ascii="仿宋_GB2312" w:hAnsi="仿宋_GB2312" w:eastAsia="仿宋_GB2312" w:cs="仿宋_GB2312"/>
          <w:b w:val="0"/>
          <w:bCs/>
          <w:color w:val="auto"/>
          <w:highlight w:val="none"/>
          <w:lang w:eastAsia="zh-CN"/>
        </w:rPr>
        <w:pict>
          <v:shape id="Object 6" o:spid="_x0000_s1029" o:spt="75" type="#_x0000_t75" style="position:absolute;left:0pt;margin-left:121.25pt;margin-top:245.7pt;height:206.9pt;width:365.95pt;mso-position-horizontal-relative:page;mso-position-vertical-relative:page;mso-wrap-distance-left:9pt;mso-wrap-distance-right:9pt;z-index:-251653120;mso-width-relative:page;mso-height-relative:page;" o:ole="t" filled="f" o:preferrelative="t" stroked="f" coordsize="21600,21600" wrapcoords="21592 -2 0 0 0 21600 21592 21602 8 21602 21600 21600 21600 0 8 -2 21592 -2">
            <v:path/>
            <v:fill on="f" focussize="0,0"/>
            <v:stroke on="f"/>
            <v:imagedata r:id="rId16" o:title=""/>
            <o:lock v:ext="edit" aspectratio="t"/>
            <w10:wrap type="tight"/>
          </v:shape>
          <o:OLEObject Type="Embed" ProgID="Excel.Chart.8" ShapeID="Object 6" DrawAspect="Content" ObjectID="_1468075728" r:id="rId15">
            <o:LockedField>false</o:LockedField>
          </o:OLEObject>
        </w:pic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bookmarkStart w:id="22" w:name="_Toc15396607"/>
      <w:bookmarkStart w:id="23" w:name="_Toc15377209"/>
    </w:p>
    <w:p w14:paraId="466836F5">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五、一般公共预算财政拨款支出决算情况说明</w:t>
      </w:r>
      <w:bookmarkEnd w:id="22"/>
      <w:bookmarkEnd w:id="23"/>
      <w:bookmarkStart w:id="24" w:name="_Toc15377210"/>
    </w:p>
    <w:p w14:paraId="27110888">
      <w:pPr>
        <w:pStyle w:val="3"/>
        <w:keepNext w:val="0"/>
        <w:keepLines w:val="0"/>
        <w:pageBreakBefore w:val="0"/>
        <w:widowControl w:val="0"/>
        <w:kinsoku w:val="0"/>
        <w:wordWrap/>
        <w:overflowPunct/>
        <w:topLinePunct w:val="0"/>
        <w:autoSpaceDE/>
        <w:autoSpaceDN/>
        <w:bidi w:val="0"/>
        <w:adjustRightInd/>
        <w:snapToGrid/>
        <w:spacing w:line="576" w:lineRule="exact"/>
        <w:ind w:firstLine="643" w:firstLineChars="200"/>
        <w:textAlignment w:val="auto"/>
        <w:rPr>
          <w:rFonts w:hint="eastAsia" w:ascii="楷体_GB2312" w:hAnsi="楷体_GB2312" w:eastAsia="楷体_GB2312" w:cs="楷体_GB2312"/>
          <w:b/>
          <w:bCs w:val="0"/>
          <w:color w:val="auto"/>
          <w:highlight w:val="none"/>
          <w:lang w:eastAsia="zh-CN"/>
        </w:rPr>
      </w:pPr>
      <w:r>
        <w:rPr>
          <w:rFonts w:hint="eastAsia" w:ascii="楷体_GB2312" w:hAnsi="楷体_GB2312" w:eastAsia="楷体_GB2312" w:cs="楷体_GB2312"/>
          <w:b/>
          <w:bCs w:val="0"/>
          <w:color w:val="auto"/>
          <w:highlight w:val="none"/>
          <w:lang w:eastAsia="zh-CN"/>
        </w:rPr>
        <w:t>（一）一般公共预算财政拨款支出决算总体情况</w:t>
      </w:r>
      <w:bookmarkEnd w:id="24"/>
    </w:p>
    <w:p w14:paraId="43A5B1C7">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bCs/>
          <w:sz w:val="32"/>
          <w:szCs w:val="32"/>
          <w:shd w:val="clear" w:color="auto" w:fill="FFFFFF"/>
          <w:lang w:val="en-US" w:eastAsia="zh-CN"/>
        </w:rPr>
      </w:pPr>
      <w:r>
        <w:rPr>
          <w:rFonts w:hint="eastAsia" w:ascii="仿宋_GB2312" w:hAnsi="仿宋_GB2312" w:eastAsia="仿宋_GB2312" w:cs="仿宋_GB2312"/>
          <w:b w:val="0"/>
          <w:bCs/>
          <w:color w:val="auto"/>
          <w:highlight w:val="none"/>
          <w:lang w:val="en-US" w:eastAsia="zh-CN"/>
        </w:rPr>
        <w:t>2025年度一般公共预算财政拨款支出</w:t>
      </w:r>
      <w:r>
        <w:rPr>
          <w:rFonts w:hint="eastAsia" w:ascii="仿宋_GB2312" w:hAnsi="仿宋_GB2312" w:eastAsia="仿宋_GB2312" w:cs="仿宋_GB2312"/>
          <w:b w:val="0"/>
          <w:bCs/>
          <w:color w:val="auto"/>
          <w:highlight w:val="none"/>
          <w:lang w:eastAsia="zh-CN"/>
        </w:rPr>
        <w:t>361.11</w:t>
      </w:r>
      <w:r>
        <w:rPr>
          <w:rFonts w:hint="eastAsia" w:ascii="仿宋_GB2312" w:hAnsi="仿宋_GB2312" w:eastAsia="仿宋_GB2312" w:cs="仿宋_GB2312"/>
          <w:b w:val="0"/>
          <w:bCs/>
          <w:color w:val="auto"/>
          <w:highlight w:val="none"/>
          <w:lang w:val="en-US" w:eastAsia="zh-CN"/>
        </w:rPr>
        <w:t>万元，占</w:t>
      </w:r>
      <w:r>
        <w:rPr>
          <w:rFonts w:hint="eastAsia" w:ascii="仿宋_GB2312" w:hAnsi="仿宋_GB2312" w:eastAsia="仿宋_GB2312" w:cs="仿宋_GB2312"/>
          <w:b w:val="0"/>
          <w:bCs/>
          <w:color w:val="auto"/>
          <w:kern w:val="2"/>
          <w:sz w:val="32"/>
          <w:szCs w:val="32"/>
          <w:highlight w:val="none"/>
          <w:lang w:val="en-US" w:eastAsia="zh-CN" w:bidi="ar-SA"/>
        </w:rPr>
        <w:t>本年支出合计的</w:t>
      </w:r>
      <w:r>
        <w:rPr>
          <w:rFonts w:hint="eastAsia" w:ascii="仿宋_GB2312" w:hAnsi="仿宋_GB2312" w:eastAsia="仿宋_GB2312" w:cs="仿宋_GB2312"/>
          <w:b w:val="0"/>
          <w:bCs/>
          <w:sz w:val="32"/>
          <w:szCs w:val="32"/>
        </w:rPr>
        <w:t>100</w:t>
      </w:r>
      <w:r>
        <w:rPr>
          <w:rFonts w:hint="eastAsia" w:ascii="仿宋_GB2312" w:hAnsi="仿宋_GB2312" w:eastAsia="仿宋_GB2312" w:cs="仿宋_GB2312"/>
          <w:b w:val="0"/>
          <w:bCs/>
          <w:color w:val="auto"/>
          <w:kern w:val="2"/>
          <w:sz w:val="32"/>
          <w:szCs w:val="32"/>
          <w:highlight w:val="none"/>
          <w:lang w:val="en-US" w:eastAsia="zh-CN" w:bidi="ar-SA"/>
        </w:rPr>
        <w:t>%。与上年度相比，一般公共预算财政拨款支出增加26.93万元，增长8.06%。主要变动原因是</w:t>
      </w:r>
      <w:r>
        <w:rPr>
          <w:rFonts w:hint="eastAsia" w:ascii="仿宋_GB2312" w:hAnsi="仿宋_GB2312" w:eastAsia="仿宋_GB2312" w:cs="仿宋_GB2312"/>
          <w:b w:val="0"/>
          <w:bCs/>
          <w:sz w:val="32"/>
          <w:szCs w:val="32"/>
          <w:shd w:val="clear" w:color="auto" w:fill="FFFFFF"/>
          <w:lang w:val="en-US" w:eastAsia="zh-CN"/>
        </w:rPr>
        <w:t>人员调动、保险基数调整及公用经费增加。</w:t>
      </w:r>
    </w:p>
    <w:p w14:paraId="73DAE761">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330AAEEF">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kern w:val="0"/>
          <w:sz w:val="32"/>
          <w:szCs w:val="32"/>
          <w:shd w:val="clear" w:color="auto" w:fill="FFFFFF"/>
          <w:lang w:eastAsia="zh-CN"/>
        </w:rPr>
        <w:pict>
          <v:shape id="Object 8" o:spid="_x0000_s1030" o:spt="75" type="#_x0000_t75" style="position:absolute;left:0pt;margin-left:29.85pt;margin-top:1.65pt;height:191.9pt;width:337.75pt;mso-wrap-distance-bottom:0pt;mso-wrap-distance-left:9pt;mso-wrap-distance-right:9pt;mso-wrap-distance-top:0pt;z-index:251664384;mso-width-relative:page;mso-height-relative:page;" o:ole="t" filled="f" o:preferrelative="t" stroked="f" coordsize="21600,21600">
            <v:path/>
            <v:fill on="f" focussize="0,0"/>
            <v:stroke on="f"/>
            <v:imagedata r:id="rId18" o:title=""/>
            <o:lock v:ext="edit" aspectratio="t"/>
            <w10:wrap type="square"/>
          </v:shape>
          <o:OLEObject Type="Embed" ProgID="Excel.Chart.8" ShapeID="Object 8" DrawAspect="Content" ObjectID="_1468075729" r:id="rId17">
            <o:LockedField>false</o:LockedField>
          </o:OLEObject>
        </w:pict>
      </w:r>
    </w:p>
    <w:p w14:paraId="41149708">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28DAA88D">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E91BB69">
      <w:pPr>
        <w:keepNext w:val="0"/>
        <w:keepLines w:val="0"/>
        <w:pageBreakBefore w:val="0"/>
        <w:widowControl w:val="0"/>
        <w:kinsoku w:val="0"/>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0C92928B">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shd w:val="clear" w:color="auto" w:fill="FFFFFF"/>
        </w:rPr>
        <w:pict>
          <v:shape id="Object 26" o:spid="_x0000_s1034" o:spt="75" type="#_x0000_t75" style="position:absolute;left:0pt;margin-left:123.1pt;margin-top:497.7pt;height:211.1pt;width:327.35pt;mso-position-horizontal-relative:page;mso-position-vertical-relative:page;mso-wrap-distance-bottom:0pt;mso-wrap-distance-top:0pt;z-index:251666432;mso-width-relative:page;mso-height-relative:page;" o:ole="t" filled="f" o:preferrelative="t" stroked="f" coordsize="21600,21600">
            <v:path/>
            <v:fill on="f" focussize="0,0"/>
            <v:stroke on="f"/>
            <v:imagedata r:id="rId20" o:title=""/>
            <o:lock v:ext="edit" aspectratio="t"/>
            <w10:wrap type="topAndBottom"/>
          </v:shape>
          <o:OLEObject Type="Embed" ProgID="Excel.Chart.8" ShapeID="Object 26" DrawAspect="Content" ObjectID="_1468075730" r:id="rId19">
            <o:LockedField>false</o:LockedField>
          </o:OLEObject>
        </w:pic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361.11</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268.05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74.23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47.18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13.07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18.19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5.04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27.68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7.66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p>
    <w:p w14:paraId="18A891F6">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楷体_GB2312" w:cs="楷体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bookmarkStart w:id="26" w:name="_Toc15377212"/>
    </w:p>
    <w:p w14:paraId="189CC9B6">
      <w:pPr>
        <w:keepNext w:val="0"/>
        <w:keepLines w:val="0"/>
        <w:pageBreakBefore w:val="0"/>
        <w:widowControl w:val="0"/>
        <w:kinsoku w:val="0"/>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p>
    <w:p w14:paraId="3F2332F1">
      <w:pPr>
        <w:keepNext w:val="0"/>
        <w:keepLines w:val="0"/>
        <w:pageBreakBefore w:val="0"/>
        <w:widowControl w:val="0"/>
        <w:kinsoku w:val="0"/>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6"/>
    </w:p>
    <w:p w14:paraId="2D09260F">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bookmarkStart w:id="27" w:name="_Toc15377213"/>
      <w:bookmarkStart w:id="28" w:name="_Toc15377444"/>
      <w:bookmarkStart w:id="29"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361.11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7"/>
      <w:bookmarkEnd w:id="28"/>
      <w:bookmarkEnd w:id="29"/>
    </w:p>
    <w:p w14:paraId="34CC9FBE">
      <w:pPr>
        <w:keepNext w:val="0"/>
        <w:keepLines w:val="0"/>
        <w:pageBreakBefore w:val="0"/>
        <w:widowControl w:val="0"/>
        <w:numPr>
          <w:ilvl w:val="0"/>
          <w:numId w:val="3"/>
        </w:numPr>
        <w:kinsoku w:val="0"/>
        <w:wordWrap/>
        <w:overflowPunct/>
        <w:topLinePunct w:val="0"/>
        <w:autoSpaceDE/>
        <w:autoSpaceDN/>
        <w:bidi w:val="0"/>
        <w:spacing w:line="576" w:lineRule="exact"/>
        <w:ind w:firstLine="640" w:firstLineChars="200"/>
        <w:textAlignment w:val="auto"/>
        <w:rPr>
          <w:rStyle w:val="18"/>
          <w:rFonts w:hint="eastAsia" w:ascii="仿宋_GB2312" w:hAnsi="仿宋_GB2312" w:eastAsia="仿宋_GB2312" w:cs="仿宋_GB2312"/>
          <w:b w:val="0"/>
          <w:bCs/>
          <w:sz w:val="32"/>
          <w:szCs w:val="32"/>
          <w:shd w:val="clear" w:color="auto" w:fill="FFFFFF"/>
          <w:lang w:val="en-US" w:eastAsia="zh-CN"/>
        </w:rPr>
      </w:pP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268.05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Style w:val="18"/>
          <w:rFonts w:hint="eastAsia" w:ascii="仿宋_GB2312" w:hAnsi="仿宋_GB2312" w:eastAsia="仿宋_GB2312" w:cs="仿宋_GB2312"/>
          <w:b w:val="0"/>
          <w:bCs/>
          <w:sz w:val="32"/>
          <w:szCs w:val="32"/>
          <w:shd w:val="clear" w:color="auto" w:fill="FFFFFF"/>
        </w:rPr>
        <w:t>决算数</w:t>
      </w:r>
      <w:r>
        <w:rPr>
          <w:rStyle w:val="18"/>
          <w:rFonts w:hint="eastAsia" w:ascii="仿宋_GB2312" w:hAnsi="仿宋_GB2312" w:eastAsia="仿宋_GB2312" w:cs="仿宋_GB2312"/>
          <w:b w:val="0"/>
          <w:bCs/>
          <w:sz w:val="32"/>
          <w:szCs w:val="32"/>
          <w:shd w:val="clear" w:color="auto" w:fill="FFFFFF"/>
          <w:lang w:val="en-US" w:eastAsia="zh-CN"/>
        </w:rPr>
        <w:t>与</w:t>
      </w:r>
      <w:r>
        <w:rPr>
          <w:rStyle w:val="18"/>
          <w:rFonts w:hint="eastAsia" w:ascii="仿宋_GB2312" w:hAnsi="仿宋_GB2312" w:eastAsia="仿宋_GB2312" w:cs="仿宋_GB2312"/>
          <w:b w:val="0"/>
          <w:bCs/>
          <w:sz w:val="32"/>
          <w:szCs w:val="32"/>
          <w:shd w:val="clear" w:color="auto" w:fill="FFFFFF"/>
        </w:rPr>
        <w:t>预算数</w:t>
      </w:r>
      <w:r>
        <w:rPr>
          <w:rStyle w:val="18"/>
          <w:rFonts w:hint="eastAsia" w:ascii="仿宋_GB2312" w:hAnsi="仿宋_GB2312" w:eastAsia="仿宋_GB2312" w:cs="仿宋_GB2312"/>
          <w:b w:val="0"/>
          <w:bCs/>
          <w:sz w:val="32"/>
          <w:szCs w:val="32"/>
          <w:shd w:val="clear" w:color="auto" w:fill="FFFFFF"/>
          <w:lang w:val="en-US" w:eastAsia="zh-CN"/>
        </w:rPr>
        <w:t>持平。</w:t>
      </w:r>
    </w:p>
    <w:p w14:paraId="2560C2A3">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 1 \* GB2 \* MERGEFORMAT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⑴</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 政府办公厅（室）及相关机构事务（20103）：支出决算为268.05万元，完成预算100%，决算数与预算数持平。</w:t>
      </w:r>
    </w:p>
    <w:p w14:paraId="7B0C2880">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 2 \* GB2 \* MERGEFORMAT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⑵</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 事业运行（2010350）：支出决算为268.05万元，完成预算100%，决算数与预算数持平。</w:t>
      </w:r>
    </w:p>
    <w:p w14:paraId="1ED9F1C2">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2.社会保障和就业（208）：支出决算为47.18万元，完成预算100%，</w:t>
      </w:r>
      <w:r>
        <w:rPr>
          <w:rStyle w:val="18"/>
          <w:rFonts w:hint="eastAsia" w:ascii="仿宋_GB2312" w:hAnsi="仿宋_GB2312" w:eastAsia="仿宋_GB2312" w:cs="仿宋_GB2312"/>
          <w:b w:val="0"/>
          <w:bCs/>
          <w:sz w:val="32"/>
          <w:szCs w:val="32"/>
          <w:shd w:val="clear" w:color="auto" w:fill="FFFFFF"/>
        </w:rPr>
        <w:t>决算数</w:t>
      </w:r>
      <w:r>
        <w:rPr>
          <w:rStyle w:val="18"/>
          <w:rFonts w:hint="eastAsia" w:ascii="仿宋_GB2312" w:hAnsi="仿宋_GB2312" w:eastAsia="仿宋_GB2312" w:cs="仿宋_GB2312"/>
          <w:b w:val="0"/>
          <w:bCs/>
          <w:sz w:val="32"/>
          <w:szCs w:val="32"/>
          <w:shd w:val="clear" w:color="auto" w:fill="FFFFFF"/>
          <w:lang w:val="en-US" w:eastAsia="zh-CN"/>
        </w:rPr>
        <w:t>与</w:t>
      </w:r>
      <w:r>
        <w:rPr>
          <w:rStyle w:val="18"/>
          <w:rFonts w:hint="eastAsia" w:ascii="仿宋_GB2312" w:hAnsi="仿宋_GB2312" w:eastAsia="仿宋_GB2312" w:cs="仿宋_GB2312"/>
          <w:b w:val="0"/>
          <w:bCs/>
          <w:sz w:val="32"/>
          <w:szCs w:val="32"/>
          <w:shd w:val="clear" w:color="auto" w:fill="FFFFFF"/>
        </w:rPr>
        <w:t>预算数</w:t>
      </w:r>
      <w:r>
        <w:rPr>
          <w:rStyle w:val="18"/>
          <w:rFonts w:hint="eastAsia" w:ascii="仿宋_GB2312" w:hAnsi="仿宋_GB2312" w:eastAsia="仿宋_GB2312" w:cs="仿宋_GB2312"/>
          <w:b w:val="0"/>
          <w:bCs/>
          <w:sz w:val="32"/>
          <w:szCs w:val="32"/>
          <w:shd w:val="clear" w:color="auto" w:fill="FFFFFF"/>
          <w:lang w:val="en-US" w:eastAsia="zh-CN"/>
        </w:rPr>
        <w:t>持平。</w:t>
      </w:r>
    </w:p>
    <w:p w14:paraId="23222287">
      <w:pPr>
        <w:keepNext w:val="0"/>
        <w:keepLines w:val="0"/>
        <w:pageBreakBefore w:val="0"/>
        <w:widowControl w:val="0"/>
        <w:numPr>
          <w:ilvl w:val="0"/>
          <w:numId w:val="0"/>
        </w:numPr>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 1 \* GB2 \* MERGEFORMAT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⑴</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 行政事业单位养老支出（20805）：支出决算为47.18万元，完成预算100%，决算数与预算数持平。</w:t>
      </w:r>
    </w:p>
    <w:p w14:paraId="3DF2E5B3">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 2 \* GB2 \* MERGEFORMAT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⑵</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 机关事业单位基本养老保险缴费支出（2080505）：支出决算为31.45万元，完成预算100%，决算数与预算数持平。</w:t>
      </w:r>
    </w:p>
    <w:p w14:paraId="674406E8">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 3 \* GB2 \* MERGEFORMAT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⑶</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 机关事业单位职业年金缴费支出（2080506）：支出决算为15.73万元，完成预算100%，决算数与预算数持平。</w:t>
      </w:r>
    </w:p>
    <w:p w14:paraId="3CBF7B8E">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3.卫生健康（210）：支出决算为18.19万元，完成预算100%，决算数与预算数持平</w:t>
      </w:r>
    </w:p>
    <w:p w14:paraId="0E6275DF">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Style w:val="18"/>
          <w:rFonts w:hint="eastAsia" w:ascii="仿宋_GB2312" w:hAnsi="仿宋_GB2312" w:eastAsia="仿宋_GB2312" w:cs="仿宋_GB2312"/>
          <w:b w:val="0"/>
          <w:bCs/>
          <w:sz w:val="32"/>
          <w:szCs w:val="32"/>
          <w:shd w:val="clear" w:color="auto" w:fill="FFFFFF"/>
          <w:lang w:val="en-US" w:eastAsia="zh-CN"/>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 1 \* GB2 \* MERGEFORMAT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⑴</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 行政事业单位医疗（21011）：支出决算为18.19万元，完成预算100%，决算</w:t>
      </w:r>
      <w:r>
        <w:rPr>
          <w:rStyle w:val="18"/>
          <w:rFonts w:hint="eastAsia" w:ascii="仿宋_GB2312" w:hAnsi="仿宋_GB2312" w:eastAsia="仿宋_GB2312" w:cs="仿宋_GB2312"/>
          <w:b w:val="0"/>
          <w:bCs/>
          <w:sz w:val="32"/>
          <w:szCs w:val="32"/>
          <w:shd w:val="clear" w:color="auto" w:fill="FFFFFF"/>
        </w:rPr>
        <w:t>数</w:t>
      </w:r>
      <w:r>
        <w:rPr>
          <w:rStyle w:val="18"/>
          <w:rFonts w:hint="eastAsia" w:ascii="仿宋_GB2312" w:hAnsi="仿宋_GB2312" w:eastAsia="仿宋_GB2312" w:cs="仿宋_GB2312"/>
          <w:b w:val="0"/>
          <w:bCs/>
          <w:sz w:val="32"/>
          <w:szCs w:val="32"/>
          <w:shd w:val="clear" w:color="auto" w:fill="FFFFFF"/>
          <w:lang w:val="en-US" w:eastAsia="zh-CN"/>
        </w:rPr>
        <w:t>与</w:t>
      </w:r>
      <w:r>
        <w:rPr>
          <w:rStyle w:val="18"/>
          <w:rFonts w:hint="eastAsia" w:ascii="仿宋_GB2312" w:hAnsi="仿宋_GB2312" w:eastAsia="仿宋_GB2312" w:cs="仿宋_GB2312"/>
          <w:b w:val="0"/>
          <w:bCs/>
          <w:sz w:val="32"/>
          <w:szCs w:val="32"/>
          <w:shd w:val="clear" w:color="auto" w:fill="FFFFFF"/>
        </w:rPr>
        <w:t>预算数</w:t>
      </w:r>
      <w:r>
        <w:rPr>
          <w:rStyle w:val="18"/>
          <w:rFonts w:hint="eastAsia" w:ascii="仿宋_GB2312" w:hAnsi="仿宋_GB2312" w:eastAsia="仿宋_GB2312" w:cs="仿宋_GB2312"/>
          <w:b w:val="0"/>
          <w:bCs/>
          <w:sz w:val="32"/>
          <w:szCs w:val="32"/>
          <w:shd w:val="clear" w:color="auto" w:fill="FFFFFF"/>
          <w:lang w:val="en-US" w:eastAsia="zh-CN"/>
        </w:rPr>
        <w:t>持平</w:t>
      </w:r>
      <w:r>
        <w:rPr>
          <w:rStyle w:val="18"/>
          <w:rFonts w:hint="eastAsia" w:ascii="仿宋_GB2312" w:hAnsi="仿宋_GB2312" w:eastAsia="仿宋_GB2312" w:cs="仿宋_GB2312"/>
          <w:b w:val="0"/>
          <w:bCs/>
          <w:sz w:val="32"/>
          <w:szCs w:val="32"/>
          <w:shd w:val="clear" w:color="auto" w:fill="FFFFFF"/>
        </w:rPr>
        <w:t>。</w:t>
      </w:r>
    </w:p>
    <w:p w14:paraId="2D63758A">
      <w:pPr>
        <w:pStyle w:val="15"/>
        <w:keepNext w:val="0"/>
        <w:keepLines w:val="0"/>
        <w:pageBreakBefore w:val="0"/>
        <w:widowControl w:val="0"/>
        <w:numPr>
          <w:ilvl w:val="0"/>
          <w:numId w:val="0"/>
        </w:numPr>
        <w:suppressLineNumbers w:val="0"/>
        <w:kinsoku w:val="0"/>
        <w:wordWrap/>
        <w:overflowPunct/>
        <w:topLinePunct w:val="0"/>
        <w:autoSpaceDE/>
        <w:autoSpaceDN/>
        <w:bidi w:val="0"/>
        <w:adjustRightInd/>
        <w:snapToGrid/>
        <w:spacing w:before="0" w:beforeAutospacing="0" w:line="576" w:lineRule="exact"/>
        <w:ind w:right="0" w:rightChars="0" w:firstLine="640" w:firstLineChars="200"/>
        <w:jc w:val="left"/>
        <w:textAlignment w:val="auto"/>
        <w:rPr>
          <w:rStyle w:val="18"/>
          <w:rFonts w:hint="eastAsia" w:ascii="仿宋_GB2312" w:hAnsi="仿宋_GB2312" w:eastAsia="仿宋_GB2312" w:cs="仿宋_GB2312"/>
          <w:b w:val="0"/>
          <w:bCs/>
          <w:sz w:val="32"/>
          <w:szCs w:val="32"/>
          <w:shd w:val="clear" w:color="auto" w:fill="FFFFFF"/>
        </w:rPr>
      </w:pPr>
      <w:r>
        <w:rPr>
          <w:rFonts w:hint="eastAsia" w:ascii="仿宋_GB2312" w:hAnsi="仿宋_GB2312" w:eastAsia="仿宋_GB2312" w:cs="仿宋_GB2312"/>
          <w:b w:val="0"/>
          <w:bCs/>
          <w:sz w:val="32"/>
          <w:szCs w:val="32"/>
          <w:shd w:val="clear" w:color="auto" w:fill="FFFFFF"/>
        </w:rPr>
        <w:fldChar w:fldCharType="begin"/>
      </w:r>
      <w:r>
        <w:rPr>
          <w:rStyle w:val="18"/>
          <w:rFonts w:hint="eastAsia" w:ascii="仿宋_GB2312" w:hAnsi="仿宋_GB2312" w:eastAsia="仿宋_GB2312" w:cs="仿宋_GB2312"/>
          <w:b w:val="0"/>
          <w:bCs/>
          <w:sz w:val="32"/>
          <w:szCs w:val="32"/>
          <w:shd w:val="clear" w:color="auto" w:fill="FFFFFF"/>
        </w:rPr>
        <w:instrText xml:space="preserve"> = 2 \* GB2 \* MERGEFORMAT </w:instrText>
      </w:r>
      <w:r>
        <w:rPr>
          <w:rFonts w:hint="eastAsia" w:ascii="仿宋_GB2312" w:hAnsi="仿宋_GB2312" w:eastAsia="仿宋_GB2312" w:cs="仿宋_GB2312"/>
          <w:b w:val="0"/>
          <w:bCs/>
          <w:sz w:val="32"/>
          <w:szCs w:val="32"/>
          <w:shd w:val="clear" w:color="auto" w:fill="FFFFFF"/>
        </w:rPr>
        <w:fldChar w:fldCharType="separate"/>
      </w:r>
      <w:r>
        <w:rPr>
          <w:rFonts w:hint="eastAsia" w:ascii="仿宋_GB2312" w:hAnsi="仿宋_GB2312" w:eastAsia="仿宋_GB2312" w:cs="仿宋_GB2312"/>
          <w:b w:val="0"/>
          <w:bCs/>
          <w:sz w:val="32"/>
          <w:szCs w:val="32"/>
        </w:rPr>
        <w:t>⑵</w:t>
      </w:r>
      <w:r>
        <w:rPr>
          <w:rFonts w:hint="eastAsia" w:ascii="仿宋_GB2312" w:hAnsi="仿宋_GB2312" w:eastAsia="仿宋_GB2312" w:cs="仿宋_GB2312"/>
          <w:b w:val="0"/>
          <w:bCs/>
          <w:sz w:val="32"/>
          <w:szCs w:val="32"/>
          <w:shd w:val="clear" w:color="auto" w:fill="FFFFFF"/>
        </w:rPr>
        <w:fldChar w:fldCharType="end"/>
      </w:r>
      <w:r>
        <w:rPr>
          <w:rStyle w:val="18"/>
          <w:rFonts w:hint="eastAsia" w:ascii="仿宋_GB2312" w:hAnsi="仿宋_GB2312" w:eastAsia="仿宋_GB2312" w:cs="仿宋_GB2312"/>
          <w:b w:val="0"/>
          <w:bCs/>
          <w:sz w:val="32"/>
          <w:szCs w:val="32"/>
          <w:shd w:val="clear" w:color="auto" w:fill="FFFFFF"/>
          <w:lang w:val="en-US" w:eastAsia="zh-CN"/>
        </w:rPr>
        <w:t>. 事业单位医疗（2101102）：</w:t>
      </w:r>
      <w:r>
        <w:rPr>
          <w:rStyle w:val="18"/>
          <w:rFonts w:hint="eastAsia" w:ascii="仿宋_GB2312" w:hAnsi="仿宋_GB2312" w:eastAsia="仿宋_GB2312" w:cs="仿宋_GB2312"/>
          <w:b w:val="0"/>
          <w:bCs/>
          <w:sz w:val="32"/>
          <w:szCs w:val="32"/>
          <w:shd w:val="clear" w:color="auto" w:fill="FFFFFF"/>
        </w:rPr>
        <w:t>支出决算为</w:t>
      </w:r>
      <w:r>
        <w:rPr>
          <w:rStyle w:val="18"/>
          <w:rFonts w:hint="eastAsia" w:ascii="仿宋_GB2312" w:hAnsi="仿宋_GB2312" w:eastAsia="仿宋_GB2312" w:cs="仿宋_GB2312"/>
          <w:b w:val="0"/>
          <w:bCs/>
          <w:sz w:val="32"/>
          <w:szCs w:val="32"/>
          <w:shd w:val="clear" w:color="auto" w:fill="FFFFFF"/>
          <w:lang w:val="en-US" w:eastAsia="zh-CN"/>
        </w:rPr>
        <w:t>15.52</w:t>
      </w:r>
      <w:r>
        <w:rPr>
          <w:rStyle w:val="18"/>
          <w:rFonts w:hint="eastAsia" w:ascii="仿宋_GB2312" w:hAnsi="仿宋_GB2312" w:eastAsia="仿宋_GB2312" w:cs="仿宋_GB2312"/>
          <w:b w:val="0"/>
          <w:bCs/>
          <w:sz w:val="32"/>
          <w:szCs w:val="32"/>
          <w:shd w:val="clear" w:color="auto" w:fill="FFFFFF"/>
        </w:rPr>
        <w:t>万元，完成预算</w:t>
      </w:r>
      <w:r>
        <w:rPr>
          <w:rStyle w:val="18"/>
          <w:rFonts w:hint="eastAsia" w:ascii="仿宋_GB2312" w:hAnsi="仿宋_GB2312" w:eastAsia="仿宋_GB2312" w:cs="仿宋_GB2312"/>
          <w:b w:val="0"/>
          <w:bCs/>
          <w:sz w:val="32"/>
          <w:szCs w:val="32"/>
          <w:shd w:val="clear" w:color="auto" w:fill="FFFFFF"/>
          <w:lang w:val="en-US" w:eastAsia="zh-CN"/>
        </w:rPr>
        <w:t>100</w:t>
      </w:r>
      <w:r>
        <w:rPr>
          <w:rStyle w:val="18"/>
          <w:rFonts w:hint="eastAsia" w:ascii="仿宋_GB2312" w:hAnsi="仿宋_GB2312" w:eastAsia="仿宋_GB2312" w:cs="仿宋_GB2312"/>
          <w:b w:val="0"/>
          <w:bCs/>
          <w:sz w:val="32"/>
          <w:szCs w:val="32"/>
          <w:shd w:val="clear" w:color="auto" w:fill="FFFFFF"/>
        </w:rPr>
        <w:t>%，决算数</w:t>
      </w:r>
      <w:r>
        <w:rPr>
          <w:rStyle w:val="18"/>
          <w:rFonts w:hint="eastAsia" w:ascii="仿宋_GB2312" w:hAnsi="仿宋_GB2312" w:eastAsia="仿宋_GB2312" w:cs="仿宋_GB2312"/>
          <w:b w:val="0"/>
          <w:bCs/>
          <w:sz w:val="32"/>
          <w:szCs w:val="32"/>
          <w:shd w:val="clear" w:color="auto" w:fill="FFFFFF"/>
          <w:lang w:val="en-US" w:eastAsia="zh-CN"/>
        </w:rPr>
        <w:t>与</w:t>
      </w:r>
      <w:r>
        <w:rPr>
          <w:rStyle w:val="18"/>
          <w:rFonts w:hint="eastAsia" w:ascii="仿宋_GB2312" w:hAnsi="仿宋_GB2312" w:eastAsia="仿宋_GB2312" w:cs="仿宋_GB2312"/>
          <w:b w:val="0"/>
          <w:bCs/>
          <w:sz w:val="32"/>
          <w:szCs w:val="32"/>
          <w:shd w:val="clear" w:color="auto" w:fill="FFFFFF"/>
        </w:rPr>
        <w:t>预算数</w:t>
      </w:r>
      <w:r>
        <w:rPr>
          <w:rStyle w:val="18"/>
          <w:rFonts w:hint="eastAsia" w:ascii="仿宋_GB2312" w:hAnsi="仿宋_GB2312" w:eastAsia="仿宋_GB2312" w:cs="仿宋_GB2312"/>
          <w:b w:val="0"/>
          <w:bCs/>
          <w:sz w:val="32"/>
          <w:szCs w:val="32"/>
          <w:shd w:val="clear" w:color="auto" w:fill="FFFFFF"/>
          <w:lang w:val="en-US" w:eastAsia="zh-CN"/>
        </w:rPr>
        <w:t>持平</w:t>
      </w:r>
      <w:r>
        <w:rPr>
          <w:rStyle w:val="18"/>
          <w:rFonts w:hint="eastAsia" w:ascii="仿宋_GB2312" w:hAnsi="仿宋_GB2312" w:eastAsia="仿宋_GB2312" w:cs="仿宋_GB2312"/>
          <w:b w:val="0"/>
          <w:bCs/>
          <w:sz w:val="32"/>
          <w:szCs w:val="32"/>
          <w:shd w:val="clear" w:color="auto" w:fill="FFFFFF"/>
        </w:rPr>
        <w:t>。</w:t>
      </w:r>
    </w:p>
    <w:p w14:paraId="7CB8BAF5">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 3 \* GB2 \* MERGEFORMAT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⑶</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 其他行政事业单位医疗支出（2101109）：支出决算为2.68万元，完成预算100%，决算数与预算数持平。</w:t>
      </w:r>
    </w:p>
    <w:p w14:paraId="238122ED">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4.住房保障（221）：支出决算为27.68万元，完成预算100%，决算数与预算数持平。</w:t>
      </w:r>
    </w:p>
    <w:p w14:paraId="3D9ADD06">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 1 \* GB2 \* MERGEFORMAT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⑴</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 住房改革支出（22102）：支出决算为27.68万元，完成预算100%，决算数与预算数持平。</w:t>
      </w:r>
    </w:p>
    <w:p w14:paraId="5F90F0ED">
      <w:pPr>
        <w:pStyle w:val="15"/>
        <w:keepNext w:val="0"/>
        <w:keepLines w:val="0"/>
        <w:pageBreakBefore w:val="0"/>
        <w:widowControl w:val="0"/>
        <w:numPr>
          <w:ilvl w:val="0"/>
          <w:numId w:val="0"/>
        </w:numPr>
        <w:suppressLineNumbers w:val="0"/>
        <w:kinsoku w:val="0"/>
        <w:wordWrap/>
        <w:overflowPunct/>
        <w:topLinePunct w:val="0"/>
        <w:autoSpaceDE/>
        <w:autoSpaceDN/>
        <w:bidi w:val="0"/>
        <w:adjustRightInd/>
        <w:snapToGrid/>
        <w:spacing w:before="0" w:beforeAutospacing="0" w:line="576" w:lineRule="exact"/>
        <w:ind w:right="0" w:rightChars="0" w:firstLine="640" w:firstLineChars="200"/>
        <w:jc w:val="left"/>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 2 \* GB2 \* MERGEFORMAT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⑵</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 住房公积金（2210201）：支出决算为27.68万元，完成预算100%，决算数与预算数持平。</w:t>
      </w:r>
      <w:bookmarkStart w:id="30" w:name="_Toc15396608"/>
      <w:bookmarkStart w:id="31" w:name="_Toc15377214"/>
    </w:p>
    <w:p w14:paraId="2B813959">
      <w:pPr>
        <w:pStyle w:val="15"/>
        <w:keepNext w:val="0"/>
        <w:keepLines w:val="0"/>
        <w:pageBreakBefore w:val="0"/>
        <w:widowControl w:val="0"/>
        <w:numPr>
          <w:ilvl w:val="0"/>
          <w:numId w:val="0"/>
        </w:numPr>
        <w:suppressLineNumbers w:val="0"/>
        <w:kinsoku w:val="0"/>
        <w:wordWrap/>
        <w:overflowPunct/>
        <w:topLinePunct w:val="0"/>
        <w:autoSpaceDE/>
        <w:autoSpaceDN/>
        <w:bidi w:val="0"/>
        <w:adjustRightInd/>
        <w:snapToGrid/>
        <w:spacing w:before="0" w:beforeAutospacing="0" w:line="576" w:lineRule="exact"/>
        <w:ind w:right="0" w:rightChars="0" w:firstLine="640" w:firstLineChars="200"/>
        <w:jc w:val="left"/>
        <w:textAlignment w:val="auto"/>
        <w:rPr>
          <w:rStyle w:val="30"/>
          <w:rFonts w:ascii="Times New Roman" w:hAnsi="Times New Roman"/>
          <w:color w:val="auto"/>
          <w:highlight w:val="none"/>
        </w:rPr>
      </w:pPr>
      <w:r>
        <w:rPr>
          <w:rFonts w:hint="eastAsia" w:ascii="Times New Roman" w:hAnsi="Times New Roman" w:eastAsia="黑体" w:cs="Times New Roman"/>
          <w:color w:val="auto"/>
          <w:sz w:val="32"/>
          <w:szCs w:val="32"/>
          <w:highlight w:val="none"/>
        </w:rPr>
        <w:t>六、一般公共预算财政拨款基本支出决算情况说明</w:t>
      </w:r>
      <w:bookmarkEnd w:id="30"/>
      <w:bookmarkEnd w:id="31"/>
      <w:r>
        <w:rPr>
          <w:rStyle w:val="30"/>
          <w:rFonts w:ascii="Times New Roman" w:hAnsi="Times New Roman" w:eastAsia="黑体"/>
          <w:b w:val="0"/>
          <w:color w:val="auto"/>
          <w:highlight w:val="none"/>
        </w:rPr>
        <w:tab/>
      </w:r>
    </w:p>
    <w:p w14:paraId="0E8ECD1C">
      <w:pPr>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361.11</w:t>
      </w:r>
      <w:r>
        <w:rPr>
          <w:rFonts w:hint="eastAsia" w:ascii="Times New Roman" w:hAnsi="Times New Roman" w:eastAsia="仿宋_GB2312" w:cs="仿宋_GB2312"/>
          <w:color w:val="auto"/>
          <w:kern w:val="2"/>
          <w:sz w:val="32"/>
          <w:szCs w:val="32"/>
          <w:highlight w:val="none"/>
          <w:lang w:val="en-US" w:eastAsia="zh-CN" w:bidi="ar-SA"/>
        </w:rPr>
        <w:t>万元，其中：</w:t>
      </w:r>
    </w:p>
    <w:p w14:paraId="5CE38D9D">
      <w:pPr>
        <w:pStyle w:val="15"/>
        <w:keepNext w:val="0"/>
        <w:keepLines w:val="0"/>
        <w:pageBreakBefore w:val="0"/>
        <w:widowControl w:val="0"/>
        <w:numPr>
          <w:ilvl w:val="0"/>
          <w:numId w:val="0"/>
        </w:numPr>
        <w:suppressLineNumbers w:val="0"/>
        <w:kinsoku w:val="0"/>
        <w:wordWrap/>
        <w:overflowPunct/>
        <w:topLinePunct w:val="0"/>
        <w:autoSpaceDE/>
        <w:autoSpaceDN/>
        <w:bidi w:val="0"/>
        <w:adjustRightInd/>
        <w:snapToGrid/>
        <w:spacing w:before="0" w:beforeAutospacing="0" w:line="576" w:lineRule="exact"/>
        <w:ind w:right="0" w:rightChars="0" w:firstLine="640" w:firstLineChars="200"/>
        <w:jc w:val="left"/>
        <w:textAlignment w:val="auto"/>
        <w:rPr>
          <w:rStyle w:val="18"/>
          <w:rFonts w:hint="eastAsia" w:ascii="仿宋_GB2312" w:hAnsi="仿宋_GB2312" w:eastAsia="仿宋_GB2312" w:cs="仿宋_GB2312"/>
          <w:b w:val="0"/>
          <w:bCs/>
          <w:sz w:val="32"/>
          <w:szCs w:val="32"/>
          <w:shd w:val="clear" w:color="auto" w:fill="FFFFFF"/>
          <w:lang w:val="en-US" w:eastAsia="zh-CN"/>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342.02</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19.09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w:t>
      </w:r>
      <w:r>
        <w:rPr>
          <w:rStyle w:val="18"/>
          <w:rFonts w:hint="eastAsia" w:ascii="仿宋_GB2312" w:hAnsi="仿宋_GB2312" w:eastAsia="仿宋_GB2312" w:cs="仿宋_GB2312"/>
          <w:b w:val="0"/>
          <w:bCs/>
          <w:sz w:val="32"/>
          <w:szCs w:val="32"/>
          <w:shd w:val="clear" w:color="auto" w:fill="FFFFFF"/>
          <w:lang w:val="en-US" w:eastAsia="zh-CN"/>
        </w:rPr>
        <w:t>置、信息网络及软件购置更新、其他资本性支出等。</w:t>
      </w:r>
      <w:bookmarkStart w:id="32" w:name="_Toc15396609"/>
      <w:bookmarkStart w:id="33" w:name="_Toc15377215"/>
    </w:p>
    <w:p w14:paraId="5279F275">
      <w:pPr>
        <w:pStyle w:val="15"/>
        <w:keepNext w:val="0"/>
        <w:keepLines w:val="0"/>
        <w:pageBreakBefore w:val="0"/>
        <w:widowControl w:val="0"/>
        <w:numPr>
          <w:ilvl w:val="0"/>
          <w:numId w:val="0"/>
        </w:numPr>
        <w:suppressLineNumbers w:val="0"/>
        <w:kinsoku w:val="0"/>
        <w:wordWrap/>
        <w:overflowPunct/>
        <w:topLinePunct w:val="0"/>
        <w:autoSpaceDE/>
        <w:autoSpaceDN/>
        <w:bidi w:val="0"/>
        <w:adjustRightInd/>
        <w:snapToGrid/>
        <w:spacing w:before="0" w:beforeAutospacing="0" w:line="576" w:lineRule="exact"/>
        <w:ind w:right="0" w:rightChars="0" w:firstLine="640" w:firstLineChars="200"/>
        <w:jc w:val="left"/>
        <w:textAlignment w:val="auto"/>
        <w:rPr>
          <w:rStyle w:val="30"/>
          <w:rFonts w:hint="eastAsia" w:ascii="Times New Roman" w:hAnsi="Times New Roman" w:eastAsia="黑体"/>
          <w:b w:val="0"/>
          <w:color w:val="auto"/>
          <w:highlight w:val="none"/>
        </w:rPr>
      </w:pPr>
      <w:r>
        <w:rPr>
          <w:rStyle w:val="30"/>
          <w:rFonts w:hint="eastAsia" w:ascii="Times New Roman" w:hAnsi="Times New Roman" w:eastAsia="黑体"/>
          <w:b w:val="0"/>
          <w:color w:val="auto"/>
          <w:highlight w:val="none"/>
        </w:rPr>
        <w:t>七、财政拨款“三公”经费支出决算情况说明</w:t>
      </w:r>
      <w:bookmarkEnd w:id="32"/>
      <w:bookmarkEnd w:id="33"/>
      <w:bookmarkStart w:id="34" w:name="_Toc15377216"/>
    </w:p>
    <w:p w14:paraId="10745861">
      <w:pPr>
        <w:keepNext w:val="0"/>
        <w:keepLines w:val="0"/>
        <w:pageBreakBefore w:val="0"/>
        <w:widowControl w:val="0"/>
        <w:kinsoku w:val="0"/>
        <w:wordWrap/>
        <w:overflowPunct/>
        <w:topLinePunct w:val="0"/>
        <w:autoSpaceDE/>
        <w:autoSpaceDN/>
        <w:bidi w:val="0"/>
        <w:adjustRightInd/>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（一）财政拨款“三公”经费支出决算总体情况说明</w:t>
      </w:r>
      <w:bookmarkEnd w:id="34"/>
    </w:p>
    <w:p w14:paraId="6F29B237">
      <w:pPr>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0.12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0.12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eastAsia="仿宋_GB2312" w:cs="仿宋_GB2312"/>
          <w:color w:val="auto"/>
          <w:kern w:val="2"/>
          <w:sz w:val="32"/>
          <w:szCs w:val="32"/>
          <w:highlight w:val="none"/>
          <w:lang w:val="en-US" w:eastAsia="zh-CN" w:bidi="ar-SA"/>
        </w:rPr>
        <w:t>。</w:t>
      </w:r>
    </w:p>
    <w:p w14:paraId="643534D4">
      <w:pPr>
        <w:keepNext w:val="0"/>
        <w:keepLines w:val="0"/>
        <w:pageBreakBefore w:val="0"/>
        <w:widowControl w:val="0"/>
        <w:kinsoku w:val="0"/>
        <w:wordWrap/>
        <w:overflowPunct/>
        <w:topLinePunct w:val="0"/>
        <w:autoSpaceDE/>
        <w:autoSpaceDN/>
        <w:bidi w:val="0"/>
        <w:adjustRightInd/>
        <w:snapToGrid/>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35"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5"/>
    </w:p>
    <w:p w14:paraId="2A035681">
      <w:pPr>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0.12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09F93ED0">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posOffset>404495</wp:posOffset>
            </wp:positionH>
            <wp:positionV relativeFrom="paragraph">
              <wp:posOffset>193040</wp:posOffset>
            </wp:positionV>
            <wp:extent cx="4532630" cy="2665095"/>
            <wp:effectExtent l="4445" t="4445" r="15875" b="16510"/>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14:paraId="16DB3F74">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703427AB">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42350F7C">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206C6D9">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73261145">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CBD1D99">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1AD63265">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6DB2BE77">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FF098A9">
      <w:pPr>
        <w:keepNext w:val="0"/>
        <w:keepLines w:val="0"/>
        <w:pageBreakBefore w:val="0"/>
        <w:widowControl w:val="0"/>
        <w:kinsoku w:val="0"/>
        <w:wordWrap/>
        <w:overflowPunct/>
        <w:topLinePunct w:val="0"/>
        <w:autoSpaceDE/>
        <w:autoSpaceDN/>
        <w:bidi w:val="0"/>
        <w:spacing w:line="576"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w:t>
      </w:r>
    </w:p>
    <w:p w14:paraId="64A195D9">
      <w:pPr>
        <w:keepNext w:val="0"/>
        <w:keepLines w:val="0"/>
        <w:pageBreakBefore w:val="0"/>
        <w:widowControl w:val="0"/>
        <w:kinsoku w:val="0"/>
        <w:wordWrap/>
        <w:overflowPunct/>
        <w:topLinePunct w:val="0"/>
        <w:autoSpaceDE/>
        <w:autoSpaceDN/>
        <w:bidi w:val="0"/>
        <w:spacing w:line="576" w:lineRule="exact"/>
        <w:ind w:firstLine="643"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0.12</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0.12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w:t>
      </w:r>
      <w:r>
        <w:rPr>
          <w:rFonts w:hint="eastAsia" w:eastAsia="仿宋_GB2312" w:cs="仿宋_GB2312"/>
          <w:color w:val="auto"/>
          <w:kern w:val="2"/>
          <w:sz w:val="32"/>
          <w:szCs w:val="32"/>
          <w:highlight w:val="none"/>
          <w:lang w:val="en-US" w:eastAsia="zh-CN" w:bidi="ar-SA"/>
        </w:rPr>
        <w:t>是公务用车运行维护费增加。</w:t>
      </w:r>
    </w:p>
    <w:p w14:paraId="62374E79">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01C58090">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0.12</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32007FE4">
      <w:pPr>
        <w:keepNext w:val="0"/>
        <w:keepLines w:val="0"/>
        <w:pageBreakBefore w:val="0"/>
        <w:widowControl w:val="0"/>
        <w:kinsoku w:val="0"/>
        <w:wordWrap/>
        <w:overflowPunct/>
        <w:topLinePunct w:val="0"/>
        <w:autoSpaceDE/>
        <w:autoSpaceDN/>
        <w:bidi w:val="0"/>
        <w:spacing w:line="576"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533C11C9">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35794439">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6" w:name="_Toc15396610"/>
      <w:bookmarkStart w:id="37" w:name="_Toc15377218"/>
    </w:p>
    <w:p w14:paraId="380F9932">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八、政府性基金预算支出决算情况说明</w:t>
      </w:r>
      <w:bookmarkEnd w:id="36"/>
      <w:bookmarkEnd w:id="37"/>
    </w:p>
    <w:p w14:paraId="2347232B">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color w:val="auto"/>
          <w:highlight w:val="none"/>
          <w:lang w:val="en-US" w:eastAsia="zh-CN"/>
        </w:rPr>
      </w:pPr>
      <w:r>
        <w:rPr>
          <w:rFonts w:hint="eastAsia" w:ascii="仿宋_GB2312" w:hAnsi="仿宋_GB2312" w:eastAsia="仿宋_GB2312" w:cs="仿宋_GB2312"/>
          <w:b w:val="0"/>
          <w:color w:val="auto"/>
          <w:highlight w:val="none"/>
          <w:lang w:val="en-US" w:eastAsia="zh-CN"/>
        </w:rPr>
        <w:t>2025年度政府性基金预算财政拨款支出</w:t>
      </w:r>
      <w:r>
        <w:rPr>
          <w:rFonts w:hint="eastAsia" w:ascii="仿宋_GB2312" w:hAnsi="仿宋_GB2312" w:eastAsia="仿宋_GB2312" w:cs="仿宋_GB2312"/>
          <w:b w:val="0"/>
          <w:color w:val="auto"/>
          <w:highlight w:val="none"/>
          <w:lang w:eastAsia="zh-CN"/>
        </w:rPr>
        <w:t>0</w:t>
      </w:r>
      <w:r>
        <w:rPr>
          <w:rFonts w:hint="eastAsia" w:ascii="仿宋_GB2312" w:hAnsi="仿宋_GB2312" w:eastAsia="仿宋_GB2312" w:cs="仿宋_GB2312"/>
          <w:b w:val="0"/>
          <w:color w:val="auto"/>
          <w:highlight w:val="none"/>
          <w:lang w:val="en-US" w:eastAsia="zh-CN"/>
        </w:rPr>
        <w:t>万元，占本年支出合计的</w:t>
      </w:r>
      <w:r>
        <w:rPr>
          <w:rFonts w:hint="eastAsia" w:ascii="仿宋_GB2312" w:hAnsi="仿宋_GB2312" w:eastAsia="仿宋_GB2312" w:cs="仿宋_GB2312"/>
          <w:b w:val="0"/>
          <w:color w:val="auto"/>
          <w:highlight w:val="none"/>
          <w:lang w:eastAsia="zh-CN"/>
        </w:rPr>
        <w:t>0</w:t>
      </w:r>
      <w:r>
        <w:rPr>
          <w:rFonts w:hint="eastAsia" w:ascii="仿宋_GB2312" w:hAnsi="仿宋_GB2312" w:eastAsia="仿宋_GB2312" w:cs="仿宋_GB2312"/>
          <w:b w:val="0"/>
          <w:color w:val="auto"/>
          <w:highlight w:val="none"/>
          <w:lang w:val="en-US" w:eastAsia="zh-CN"/>
        </w:rPr>
        <w:t>%。</w:t>
      </w:r>
    </w:p>
    <w:p w14:paraId="799D758B">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b w:val="0"/>
          <w:color w:val="auto"/>
          <w:highlight w:val="none"/>
          <w:lang w:eastAsia="zh-CN"/>
        </w:rPr>
      </w:pPr>
      <w:bookmarkStart w:id="38" w:name="_Toc15377219"/>
      <w:bookmarkStart w:id="39" w:name="_Toc15396611"/>
      <w:r>
        <w:rPr>
          <w:rFonts w:hint="eastAsia" w:ascii="Times New Roman" w:hAnsi="Times New Roman" w:eastAsia="黑体"/>
          <w:b w:val="0"/>
          <w:color w:val="auto"/>
          <w:highlight w:val="none"/>
          <w:lang w:eastAsia="zh-CN"/>
        </w:rPr>
        <w:t>九、国有资本经营预算支出决算情况说明</w:t>
      </w:r>
      <w:bookmarkEnd w:id="38"/>
      <w:bookmarkEnd w:id="39"/>
    </w:p>
    <w:p w14:paraId="535CA311">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b w:val="0"/>
          <w:color w:val="auto"/>
          <w:highlight w:val="none"/>
          <w:lang w:val="en-US" w:eastAsia="zh-CN"/>
        </w:rPr>
      </w:pPr>
      <w:r>
        <w:rPr>
          <w:rFonts w:hint="eastAsia" w:ascii="仿宋_GB2312" w:hAnsi="仿宋_GB2312" w:eastAsia="仿宋_GB2312" w:cs="仿宋_GB2312"/>
          <w:b w:val="0"/>
          <w:color w:val="auto"/>
          <w:highlight w:val="none"/>
          <w:lang w:val="en-US" w:eastAsia="zh-CN"/>
        </w:rPr>
        <w:t>2025年度国有资本经营预算财政拨款支出</w:t>
      </w:r>
      <w:r>
        <w:rPr>
          <w:rFonts w:hint="eastAsia" w:ascii="仿宋_GB2312" w:hAnsi="仿宋_GB2312" w:eastAsia="仿宋_GB2312" w:cs="仿宋_GB2312"/>
          <w:b w:val="0"/>
          <w:color w:val="auto"/>
          <w:highlight w:val="none"/>
          <w:lang w:eastAsia="zh-CN"/>
        </w:rPr>
        <w:t>0</w:t>
      </w:r>
      <w:r>
        <w:rPr>
          <w:rFonts w:hint="eastAsia" w:ascii="仿宋_GB2312" w:hAnsi="仿宋_GB2312" w:eastAsia="仿宋_GB2312" w:cs="仿宋_GB2312"/>
          <w:b w:val="0"/>
          <w:color w:val="auto"/>
          <w:highlight w:val="none"/>
          <w:lang w:val="en-US" w:eastAsia="zh-CN"/>
        </w:rPr>
        <w:t>万元，占本年支出合计的</w:t>
      </w:r>
      <w:r>
        <w:rPr>
          <w:rFonts w:hint="eastAsia" w:ascii="仿宋_GB2312" w:hAnsi="仿宋_GB2312" w:eastAsia="仿宋_GB2312" w:cs="仿宋_GB2312"/>
          <w:b w:val="0"/>
          <w:color w:val="auto"/>
          <w:highlight w:val="none"/>
          <w:lang w:eastAsia="zh-CN"/>
        </w:rPr>
        <w:t>0</w:t>
      </w:r>
      <w:r>
        <w:rPr>
          <w:rFonts w:hint="eastAsia" w:ascii="仿宋_GB2312" w:hAnsi="仿宋_GB2312" w:eastAsia="仿宋_GB2312" w:cs="仿宋_GB2312"/>
          <w:b w:val="0"/>
          <w:color w:val="auto"/>
          <w:highlight w:val="none"/>
          <w:lang w:val="en-US" w:eastAsia="zh-CN"/>
        </w:rPr>
        <w:t>%。</w:t>
      </w:r>
    </w:p>
    <w:p w14:paraId="2674BF57">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b w:val="0"/>
          <w:color w:val="auto"/>
          <w:highlight w:val="none"/>
          <w:lang w:eastAsia="zh-CN"/>
        </w:rPr>
      </w:pPr>
      <w:bookmarkStart w:id="40" w:name="_Toc15396612"/>
      <w:bookmarkStart w:id="41" w:name="_Toc15377221"/>
      <w:r>
        <w:rPr>
          <w:rFonts w:hint="eastAsia" w:ascii="Times New Roman" w:hAnsi="Times New Roman" w:eastAsia="黑体"/>
          <w:b w:val="0"/>
          <w:color w:val="auto"/>
          <w:highlight w:val="none"/>
          <w:lang w:eastAsia="zh-CN"/>
        </w:rPr>
        <w:t>十、其他重要事项的情况说明</w:t>
      </w:r>
      <w:bookmarkEnd w:id="40"/>
      <w:bookmarkEnd w:id="41"/>
    </w:p>
    <w:p w14:paraId="00566E00">
      <w:pPr>
        <w:pStyle w:val="3"/>
        <w:keepNext w:val="0"/>
        <w:keepLines w:val="0"/>
        <w:pageBreakBefore w:val="0"/>
        <w:widowControl w:val="0"/>
        <w:kinsoku w:val="0"/>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黑体"/>
          <w:b w:val="0"/>
          <w:color w:val="auto"/>
          <w:highlight w:val="none"/>
          <w:lang w:eastAsia="zh-CN"/>
        </w:rPr>
      </w:pPr>
      <w:bookmarkStart w:id="42" w:name="_Toc15377222"/>
      <w:r>
        <w:rPr>
          <w:rFonts w:hint="eastAsia" w:ascii="Times New Roman" w:hAnsi="Times New Roman" w:eastAsia="黑体"/>
          <w:b w:val="0"/>
          <w:color w:val="auto"/>
          <w:highlight w:val="none"/>
          <w:lang w:eastAsia="zh-CN"/>
        </w:rPr>
        <w:t>（一）机关运行经费支出情况</w:t>
      </w:r>
      <w:bookmarkEnd w:id="42"/>
    </w:p>
    <w:p w14:paraId="46197C6E">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松潘县十里乡农业农村服务中心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19.09</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6.77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54.95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日常公用经费增加。</w:t>
      </w:r>
    </w:p>
    <w:p w14:paraId="1F76916E">
      <w:pPr>
        <w:keepNext w:val="0"/>
        <w:keepLines w:val="0"/>
        <w:pageBreakBefore w:val="0"/>
        <w:widowControl w:val="0"/>
        <w:kinsoku w:val="0"/>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3" w:name="_Toc15377223"/>
      <w:r>
        <w:rPr>
          <w:rFonts w:hint="eastAsia" w:ascii="Times New Roman" w:hAnsi="Times New Roman" w:eastAsia="楷体_GB2312" w:cs="楷体_GB2312"/>
          <w:b/>
          <w:color w:val="auto"/>
          <w:sz w:val="32"/>
          <w:szCs w:val="32"/>
          <w:highlight w:val="none"/>
        </w:rPr>
        <w:t>（二）政府采购支出情况</w:t>
      </w:r>
      <w:bookmarkEnd w:id="43"/>
    </w:p>
    <w:p w14:paraId="7C793CCE">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松潘县十里乡农业农村服务中心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596A4375">
      <w:pPr>
        <w:keepNext w:val="0"/>
        <w:keepLines w:val="0"/>
        <w:pageBreakBefore w:val="0"/>
        <w:widowControl w:val="0"/>
        <w:kinsoku w:val="0"/>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bookmarkStart w:id="44" w:name="_Toc15377224"/>
      <w:r>
        <w:rPr>
          <w:rFonts w:hint="eastAsia" w:ascii="Times New Roman" w:hAnsi="Times New Roman" w:eastAsia="楷体_GB2312" w:cs="楷体_GB2312"/>
          <w:b/>
          <w:color w:val="auto"/>
          <w:sz w:val="32"/>
          <w:szCs w:val="32"/>
          <w:highlight w:val="none"/>
        </w:rPr>
        <w:t>（三）国有资产占有使用情况</w:t>
      </w:r>
      <w:bookmarkEnd w:id="44"/>
    </w:p>
    <w:p w14:paraId="51060912">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松潘县十里乡农业农村服务中心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单位日常运转。</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6AB83B1D">
      <w:pPr>
        <w:keepNext w:val="0"/>
        <w:keepLines w:val="0"/>
        <w:pageBreakBefore w:val="0"/>
        <w:widowControl w:val="0"/>
        <w:kinsoku w:val="0"/>
        <w:wordWrap/>
        <w:overflowPunct/>
        <w:topLinePunct w:val="0"/>
        <w:autoSpaceDE/>
        <w:autoSpaceDN/>
        <w:bidi w:val="0"/>
        <w:spacing w:line="576" w:lineRule="exact"/>
        <w:ind w:firstLine="643" w:firstLineChars="200"/>
        <w:textAlignment w:val="auto"/>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5A5FE810">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155CA71F">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41A0CB46">
      <w:pPr>
        <w:keepNext w:val="0"/>
        <w:keepLines w:val="0"/>
        <w:pageBreakBefore w:val="0"/>
        <w:widowControl w:val="0"/>
        <w:numPr>
          <w:ilvl w:val="0"/>
          <w:numId w:val="0"/>
        </w:numPr>
        <w:kinsoku w:val="0"/>
        <w:wordWrap/>
        <w:overflowPunct/>
        <w:topLinePunct w:val="0"/>
        <w:autoSpaceDE/>
        <w:autoSpaceDN/>
        <w:bidi w:val="0"/>
        <w:spacing w:line="576" w:lineRule="exact"/>
        <w:ind w:firstLine="880" w:firstLineChars="200"/>
        <w:jc w:val="center"/>
        <w:textAlignment w:val="auto"/>
        <w:outlineLvl w:val="0"/>
        <w:rPr>
          <w:rFonts w:hint="eastAsia" w:ascii="Times New Roman" w:hAnsi="Times New Roman" w:eastAsia="黑体"/>
          <w:color w:val="auto"/>
          <w:sz w:val="44"/>
          <w:szCs w:val="44"/>
          <w:highlight w:val="none"/>
        </w:rPr>
      </w:pPr>
      <w:bookmarkStart w:id="45" w:name="_Toc15396613"/>
      <w:bookmarkStart w:id="46"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5"/>
      <w:bookmarkEnd w:id="46"/>
    </w:p>
    <w:p w14:paraId="66123E32">
      <w:pPr>
        <w:keepNext w:val="0"/>
        <w:keepLines w:val="0"/>
        <w:pageBreakBefore w:val="0"/>
        <w:widowControl w:val="0"/>
        <w:kinsoku w:val="0"/>
        <w:wordWrap/>
        <w:overflowPunct/>
        <w:topLinePunct w:val="0"/>
        <w:autoSpaceDE/>
        <w:autoSpaceDN/>
        <w:bidi w:val="0"/>
        <w:spacing w:line="576" w:lineRule="exact"/>
        <w:ind w:firstLine="883" w:firstLineChars="200"/>
        <w:jc w:val="left"/>
        <w:textAlignment w:val="auto"/>
        <w:rPr>
          <w:rFonts w:ascii="Times New Roman" w:hAnsi="Times New Roman"/>
          <w:b/>
          <w:color w:val="auto"/>
          <w:sz w:val="44"/>
          <w:szCs w:val="44"/>
          <w:highlight w:val="none"/>
        </w:rPr>
      </w:pPr>
    </w:p>
    <w:p w14:paraId="16A7BB1D">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E569846">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w:t>
      </w:r>
    </w:p>
    <w:p w14:paraId="0C97D747">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w:t>
      </w:r>
    </w:p>
    <w:p w14:paraId="734C01E8">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w:t>
      </w:r>
    </w:p>
    <w:p w14:paraId="668C3010">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6CD9847C">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659AFD20">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7D68F307">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39E0C7B4">
      <w:pPr>
        <w:pStyle w:val="15"/>
        <w:keepNext w:val="0"/>
        <w:keepLines w:val="0"/>
        <w:pageBreakBefore w:val="0"/>
        <w:widowControl w:val="0"/>
        <w:suppressLineNumbers w:val="0"/>
        <w:kinsoku w:val="0"/>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lang w:val="en-US" w:eastAsia="zh-CN"/>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hAnsi="仿宋_GB2312" w:eastAsia="仿宋_GB2312" w:cs="仿宋_GB2312"/>
          <w:sz w:val="32"/>
          <w:szCs w:val="32"/>
          <w:shd w:val="clear" w:color="auto" w:fill="FFFFFF"/>
          <w:lang w:val="en-US" w:eastAsia="zh-CN"/>
        </w:rPr>
        <w:t>一般公共服务支出（201）：指政府提供一般公共服务支出。</w:t>
      </w:r>
    </w:p>
    <w:p w14:paraId="21404C14">
      <w:pPr>
        <w:pStyle w:val="15"/>
        <w:keepNext w:val="0"/>
        <w:keepLines w:val="0"/>
        <w:pageBreakBefore w:val="0"/>
        <w:widowControl w:val="0"/>
        <w:suppressLineNumbers w:val="0"/>
        <w:kinsoku w:val="0"/>
        <w:wordWrap/>
        <w:overflowPunct/>
        <w:topLinePunct w:val="0"/>
        <w:autoSpaceDE/>
        <w:autoSpaceDN/>
        <w:bidi w:val="0"/>
        <w:adjustRightInd/>
        <w:snapToGrid/>
        <w:spacing w:before="0" w:beforeAutospacing="0" w:line="576" w:lineRule="exact"/>
        <w:ind w:left="0" w:firstLine="640" w:firstLineChars="200"/>
        <w:jc w:val="left"/>
        <w:textAlignment w:val="auto"/>
        <w:rPr>
          <w:rFonts w:hint="eastAsia" w:ascii="仿宋_GB2312" w:hAnsi="仿宋_GB2312" w:eastAsia="仿宋_GB2312" w:cs="仿宋_GB2312"/>
          <w:sz w:val="32"/>
          <w:szCs w:val="32"/>
          <w:shd w:val="clear" w:color="auto" w:fill="FFFFFF"/>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shd w:val="clear" w:color="auto" w:fill="FFFFFF"/>
        </w:rPr>
        <w:t>社会保障和就业</w:t>
      </w:r>
      <w:r>
        <w:rPr>
          <w:rFonts w:hint="eastAsia" w:ascii="仿宋_GB2312" w:hAnsi="仿宋_GB2312" w:eastAsia="仿宋_GB2312" w:cs="仿宋_GB2312"/>
          <w:sz w:val="32"/>
          <w:szCs w:val="32"/>
          <w:shd w:val="clear" w:color="auto" w:fill="FFFFFF"/>
          <w:lang w:val="en-US" w:eastAsia="zh-CN"/>
        </w:rPr>
        <w:t>支出</w:t>
      </w:r>
      <w:r>
        <w:rPr>
          <w:rFonts w:hint="eastAsia" w:ascii="仿宋_GB2312" w:hAnsi="仿宋_GB2312" w:eastAsia="仿宋_GB2312" w:cs="仿宋_GB2312"/>
          <w:sz w:val="32"/>
          <w:szCs w:val="32"/>
          <w:shd w:val="clear" w:color="auto" w:fill="FFFFFF"/>
        </w:rPr>
        <w:t>（</w:t>
      </w:r>
      <w:r>
        <w:rPr>
          <w:rFonts w:hint="eastAsia" w:ascii="仿宋_GB2312" w:hAnsi="仿宋_GB2312" w:eastAsia="仿宋_GB2312" w:cs="仿宋_GB2312"/>
          <w:sz w:val="32"/>
          <w:szCs w:val="32"/>
          <w:shd w:val="clear" w:color="auto" w:fill="FFFFFF"/>
          <w:lang w:val="en-US" w:eastAsia="zh-CN"/>
        </w:rPr>
        <w:t>208</w:t>
      </w:r>
      <w:r>
        <w:rPr>
          <w:rFonts w:hint="eastAsia" w:ascii="仿宋_GB2312" w:hAnsi="仿宋_GB2312" w:eastAsia="仿宋_GB2312" w:cs="仿宋_GB2312"/>
          <w:sz w:val="32"/>
          <w:szCs w:val="32"/>
          <w:shd w:val="clear" w:color="auto" w:fill="FFFFFF"/>
        </w:rPr>
        <w:t>）：指</w:t>
      </w:r>
      <w:r>
        <w:rPr>
          <w:rFonts w:hint="eastAsia" w:ascii="仿宋_GB2312" w:hAnsi="仿宋_GB2312" w:eastAsia="仿宋_GB2312" w:cs="仿宋_GB2312"/>
          <w:sz w:val="32"/>
          <w:szCs w:val="32"/>
          <w:shd w:val="clear" w:color="auto" w:fill="FFFFFF"/>
          <w:lang w:val="en-US" w:eastAsia="zh-CN"/>
        </w:rPr>
        <w:t>政府在社会保障与就业方面的支出</w:t>
      </w:r>
      <w:r>
        <w:rPr>
          <w:rFonts w:hint="eastAsia" w:ascii="仿宋_GB2312" w:hAnsi="仿宋_GB2312" w:eastAsia="仿宋_GB2312" w:cs="仿宋_GB2312"/>
          <w:sz w:val="32"/>
          <w:szCs w:val="32"/>
          <w:shd w:val="clear" w:color="auto" w:fill="FFFFFF"/>
        </w:rPr>
        <w:t>。</w:t>
      </w:r>
    </w:p>
    <w:p w14:paraId="4DE586E7">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shd w:val="clear" w:color="auto" w:fill="FFFFFF"/>
          <w:lang w:val="en-US" w:eastAsia="zh-CN"/>
        </w:rPr>
        <w:t>卫生健康支出（210）：</w:t>
      </w:r>
      <w:r>
        <w:rPr>
          <w:rFonts w:hint="eastAsia" w:ascii="仿宋_GB2312" w:hAnsi="仿宋_GB2312" w:eastAsia="仿宋_GB2312" w:cs="仿宋_GB2312"/>
          <w:sz w:val="32"/>
          <w:szCs w:val="32"/>
          <w:shd w:val="clear" w:color="auto" w:fill="FFFFFF"/>
        </w:rPr>
        <w:t xml:space="preserve"> </w:t>
      </w:r>
      <w:r>
        <w:rPr>
          <w:rFonts w:hint="eastAsia" w:ascii="仿宋_GB2312" w:hAnsi="仿宋_GB2312" w:eastAsia="仿宋_GB2312" w:cs="仿宋_GB2312"/>
          <w:sz w:val="32"/>
          <w:szCs w:val="32"/>
          <w:shd w:val="clear" w:color="auto" w:fill="FFFFFF"/>
          <w:lang w:val="en-US" w:eastAsia="zh-CN"/>
        </w:rPr>
        <w:t>指政府卫生健康方面的支出。</w:t>
      </w:r>
    </w:p>
    <w:p w14:paraId="08571F0D">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shd w:val="clear" w:color="auto" w:fill="FFFFFF"/>
          <w:lang w:val="en-US" w:eastAsia="zh-CN"/>
        </w:rPr>
        <w:t>住房保障支出（221）：指集中反映政府用于住房方面的支出。</w:t>
      </w:r>
    </w:p>
    <w:p w14:paraId="7355FE90">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正常运转、完成日常工作任务而发生的人员支出和公用支出。</w:t>
      </w:r>
    </w:p>
    <w:p w14:paraId="166B9B6E">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7D50213A">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4031E24">
      <w:pPr>
        <w:keepNext w:val="0"/>
        <w:keepLines w:val="0"/>
        <w:pageBreakBefore w:val="0"/>
        <w:widowControl w:val="0"/>
        <w:kinsoku w:val="0"/>
        <w:wordWrap/>
        <w:overflowPunct/>
        <w:topLinePunct w:val="0"/>
        <w:autoSpaceDE/>
        <w:autoSpaceDN/>
        <w:bidi w:val="0"/>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683466A">
      <w:pPr>
        <w:keepNext w:val="0"/>
        <w:keepLines w:val="0"/>
        <w:pageBreakBefore w:val="0"/>
        <w:widowControl w:val="0"/>
        <w:kinsoku w:val="0"/>
        <w:wordWrap/>
        <w:overflowPunct/>
        <w:topLinePunct w:val="0"/>
        <w:autoSpaceDE/>
        <w:autoSpaceDN/>
        <w:bidi w:val="0"/>
        <w:spacing w:line="576" w:lineRule="exact"/>
        <w:ind w:firstLine="640" w:firstLineChars="200"/>
        <w:jc w:val="center"/>
        <w:textAlignment w:val="auto"/>
        <w:rPr>
          <w:rFonts w:hint="eastAsia" w:ascii="Times New Roman" w:hAnsi="Times New Roman" w:eastAsia="仿宋"/>
          <w:b w:val="0"/>
          <w:color w:val="auto"/>
          <w:highlight w:val="none"/>
        </w:rPr>
      </w:pPr>
      <w:bookmarkStart w:id="47"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8" w:name="_Toc15396614"/>
      <w:r>
        <w:rPr>
          <w:rFonts w:hint="eastAsia" w:ascii="Times New Roman" w:hAnsi="Times New Roman" w:eastAsia="黑体"/>
          <w:color w:val="auto"/>
          <w:sz w:val="44"/>
          <w:szCs w:val="44"/>
          <w:highlight w:val="none"/>
        </w:rPr>
        <w:t>第四部分</w:t>
      </w:r>
      <w:bookmarkEnd w:id="48"/>
      <w:bookmarkStart w:id="49" w:name="_Toc15396618"/>
      <w:r>
        <w:rPr>
          <w:rStyle w:val="29"/>
          <w:rFonts w:hint="eastAsia" w:ascii="Times New Roman" w:hAnsi="Times New Roman" w:eastAsia="黑体"/>
          <w:b w:val="0"/>
          <w:color w:val="auto"/>
          <w:highlight w:val="none"/>
        </w:rPr>
        <w:t xml:space="preserve"> 附表</w:t>
      </w:r>
      <w:bookmarkEnd w:id="47"/>
      <w:bookmarkEnd w:id="49"/>
      <w:bookmarkStart w:id="50" w:name="_Toc15396619"/>
    </w:p>
    <w:p w14:paraId="3D38B783">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p>
    <w:p w14:paraId="15569C87">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0"/>
    </w:p>
    <w:p w14:paraId="14B7AB90">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1" w:name="_Toc15396620"/>
      <w:r>
        <w:rPr>
          <w:rFonts w:hint="eastAsia" w:ascii="Times New Roman" w:hAnsi="Times New Roman" w:eastAsia="仿宋_GB2312" w:cs="仿宋_GB2312"/>
          <w:color w:val="auto"/>
          <w:sz w:val="32"/>
          <w:szCs w:val="32"/>
          <w:highlight w:val="none"/>
        </w:rPr>
        <w:t>二、收入决算表</w:t>
      </w:r>
      <w:bookmarkEnd w:id="51"/>
    </w:p>
    <w:p w14:paraId="50348CCB">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2" w:name="_Toc15396621"/>
      <w:r>
        <w:rPr>
          <w:rFonts w:hint="eastAsia" w:ascii="Times New Roman" w:hAnsi="Times New Roman" w:eastAsia="仿宋_GB2312" w:cs="仿宋_GB2312"/>
          <w:color w:val="auto"/>
          <w:sz w:val="32"/>
          <w:szCs w:val="32"/>
          <w:highlight w:val="none"/>
        </w:rPr>
        <w:t>三、支出决算表</w:t>
      </w:r>
      <w:bookmarkEnd w:id="52"/>
    </w:p>
    <w:p w14:paraId="783DD6FC">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3" w:name="_Toc15396622"/>
      <w:r>
        <w:rPr>
          <w:rFonts w:hint="eastAsia" w:ascii="Times New Roman" w:hAnsi="Times New Roman" w:eastAsia="仿宋_GB2312" w:cs="仿宋_GB2312"/>
          <w:color w:val="auto"/>
          <w:sz w:val="32"/>
          <w:szCs w:val="32"/>
          <w:highlight w:val="none"/>
        </w:rPr>
        <w:t>四、财政拨款收入支出决算总表</w:t>
      </w:r>
      <w:bookmarkEnd w:id="53"/>
    </w:p>
    <w:p w14:paraId="405632CC">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4" w:name="_Toc15396623"/>
      <w:r>
        <w:rPr>
          <w:rFonts w:hint="eastAsia" w:ascii="Times New Roman" w:hAnsi="Times New Roman" w:eastAsia="仿宋_GB2312" w:cs="仿宋_GB2312"/>
          <w:color w:val="auto"/>
          <w:sz w:val="32"/>
          <w:szCs w:val="32"/>
          <w:highlight w:val="none"/>
        </w:rPr>
        <w:t>五、财政拨款支出决算明细表</w:t>
      </w:r>
      <w:bookmarkEnd w:id="54"/>
      <w:bookmarkStart w:id="55" w:name="_Toc15396624"/>
    </w:p>
    <w:p w14:paraId="34E7F418">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5"/>
    </w:p>
    <w:p w14:paraId="176D9D8B">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6" w:name="_Toc15396625"/>
      <w:r>
        <w:rPr>
          <w:rFonts w:hint="eastAsia" w:ascii="Times New Roman" w:hAnsi="Times New Roman" w:eastAsia="仿宋_GB2312" w:cs="仿宋_GB2312"/>
          <w:color w:val="auto"/>
          <w:sz w:val="32"/>
          <w:szCs w:val="32"/>
          <w:highlight w:val="none"/>
        </w:rPr>
        <w:t>七、一般公共预算财政拨款支出决算明细表</w:t>
      </w:r>
      <w:bookmarkEnd w:id="56"/>
    </w:p>
    <w:p w14:paraId="750A3EE5">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7" w:name="_Toc15396626"/>
      <w:r>
        <w:rPr>
          <w:rFonts w:hint="eastAsia" w:ascii="Times New Roman" w:hAnsi="Times New Roman" w:eastAsia="仿宋_GB2312" w:cs="仿宋_GB2312"/>
          <w:color w:val="auto"/>
          <w:sz w:val="32"/>
          <w:szCs w:val="32"/>
          <w:highlight w:val="none"/>
        </w:rPr>
        <w:t>八、一般公共预算财政拨款基本支出决算表</w:t>
      </w:r>
      <w:bookmarkEnd w:id="57"/>
    </w:p>
    <w:p w14:paraId="35A80604">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8" w:name="_Toc15396627"/>
      <w:r>
        <w:rPr>
          <w:rFonts w:hint="eastAsia" w:ascii="Times New Roman" w:hAnsi="Times New Roman" w:eastAsia="仿宋_GB2312" w:cs="仿宋_GB2312"/>
          <w:color w:val="auto"/>
          <w:sz w:val="32"/>
          <w:szCs w:val="32"/>
          <w:highlight w:val="none"/>
        </w:rPr>
        <w:t>九、一般公共预算财政拨款项目支出决算表</w:t>
      </w:r>
      <w:bookmarkEnd w:id="58"/>
    </w:p>
    <w:p w14:paraId="57E677CB">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59" w:name="_Toc15396628"/>
      <w:r>
        <w:rPr>
          <w:rFonts w:hint="eastAsia" w:ascii="Times New Roman" w:hAnsi="Times New Roman" w:eastAsia="仿宋_GB2312" w:cs="仿宋_GB2312"/>
          <w:color w:val="auto"/>
          <w:sz w:val="32"/>
          <w:szCs w:val="32"/>
          <w:highlight w:val="none"/>
        </w:rPr>
        <w:t>十、</w:t>
      </w:r>
      <w:bookmarkEnd w:id="59"/>
      <w:r>
        <w:rPr>
          <w:rFonts w:hint="eastAsia" w:ascii="Times New Roman" w:hAnsi="Times New Roman" w:eastAsia="仿宋_GB2312" w:cs="仿宋_GB2312"/>
          <w:color w:val="auto"/>
          <w:sz w:val="32"/>
          <w:szCs w:val="32"/>
          <w:highlight w:val="none"/>
        </w:rPr>
        <w:t>政府性基金预算财政拨款收入支出决算表</w:t>
      </w:r>
    </w:p>
    <w:p w14:paraId="0CBCD606">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60" w:name="_Toc15396629"/>
      <w:r>
        <w:rPr>
          <w:rFonts w:hint="eastAsia" w:ascii="Times New Roman" w:hAnsi="Times New Roman" w:eastAsia="仿宋_GB2312" w:cs="仿宋_GB2312"/>
          <w:color w:val="auto"/>
          <w:sz w:val="32"/>
          <w:szCs w:val="32"/>
          <w:highlight w:val="none"/>
        </w:rPr>
        <w:t>十一、</w:t>
      </w:r>
      <w:bookmarkEnd w:id="60"/>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78C721DB">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rPr>
      </w:pPr>
      <w:bookmarkStart w:id="61" w:name="_Toc15396630"/>
      <w:r>
        <w:rPr>
          <w:rFonts w:hint="eastAsia" w:ascii="Times New Roman" w:hAnsi="Times New Roman" w:eastAsia="仿宋_GB2312" w:cs="仿宋_GB2312"/>
          <w:color w:val="auto"/>
          <w:sz w:val="32"/>
          <w:szCs w:val="32"/>
          <w:highlight w:val="none"/>
        </w:rPr>
        <w:t>十二、</w:t>
      </w:r>
      <w:bookmarkEnd w:id="61"/>
      <w:r>
        <w:rPr>
          <w:rFonts w:hint="eastAsia" w:ascii="Times New Roman" w:hAnsi="Times New Roman" w:eastAsia="仿宋_GB2312" w:cs="仿宋_GB2312"/>
          <w:color w:val="auto"/>
          <w:sz w:val="32"/>
          <w:szCs w:val="32"/>
          <w:highlight w:val="none"/>
          <w:lang w:eastAsia="zh-CN"/>
        </w:rPr>
        <w:t>国有资本经营预算财政拨款支出决算表</w:t>
      </w:r>
    </w:p>
    <w:p w14:paraId="28BC2FE8">
      <w:pPr>
        <w:pStyle w:val="14"/>
        <w:keepNext w:val="0"/>
        <w:keepLines w:val="0"/>
        <w:pageBreakBefore w:val="0"/>
        <w:widowControl w:val="0"/>
        <w:kinsoku w:val="0"/>
        <w:wordWrap/>
        <w:overflowPunct/>
        <w:topLinePunct w:val="0"/>
        <w:autoSpaceDE/>
        <w:autoSpaceDN/>
        <w:bidi w:val="0"/>
        <w:adjustRightInd w:val="0"/>
        <w:snapToGrid w:val="0"/>
        <w:spacing w:line="576" w:lineRule="exact"/>
        <w:ind w:firstLine="640" w:firstLineChars="200"/>
        <w:jc w:val="left"/>
        <w:textAlignment w:val="auto"/>
        <w:rPr>
          <w:rFonts w:hint="eastAsia" w:ascii="Times New Roman" w:hAnsi="Times New Roman" w:eastAsia="仿宋_GB2312" w:cs="仿宋_GB2312"/>
          <w:color w:val="auto"/>
          <w:sz w:val="32"/>
          <w:szCs w:val="32"/>
          <w:highlight w:val="none"/>
          <w:lang w:eastAsia="zh-CN"/>
        </w:rPr>
      </w:pPr>
      <w:bookmarkStart w:id="62" w:name="_Toc15396631"/>
      <w:r>
        <w:rPr>
          <w:rFonts w:hint="eastAsia" w:ascii="Times New Roman" w:hAnsi="Times New Roman" w:eastAsia="仿宋_GB2312" w:cs="仿宋_GB2312"/>
          <w:color w:val="auto"/>
          <w:sz w:val="32"/>
          <w:szCs w:val="32"/>
          <w:highlight w:val="none"/>
        </w:rPr>
        <w:t>十三、</w:t>
      </w:r>
      <w:bookmarkEnd w:id="62"/>
      <w:r>
        <w:rPr>
          <w:rFonts w:hint="eastAsia" w:ascii="Times New Roman" w:hAnsi="Times New Roman" w:eastAsia="仿宋_GB2312" w:cs="仿宋_GB2312"/>
          <w:color w:val="auto"/>
          <w:sz w:val="32"/>
          <w:szCs w:val="32"/>
          <w:highlight w:val="none"/>
          <w:lang w:eastAsia="zh-CN"/>
        </w:rPr>
        <w:t>财政拨款“三公”经费支出决算表</w:t>
      </w:r>
    </w:p>
    <w:p w14:paraId="637941BD">
      <w:pPr>
        <w:keepNext w:val="0"/>
        <w:keepLines w:val="0"/>
        <w:pageBreakBefore w:val="0"/>
        <w:widowControl w:val="0"/>
        <w:kinsoku w:val="0"/>
        <w:wordWrap/>
        <w:overflowPunct w:val="0"/>
        <w:topLinePunct w:val="0"/>
        <w:autoSpaceDE/>
        <w:autoSpaceDN/>
        <w:bidi w:val="0"/>
        <w:spacing w:line="576" w:lineRule="exact"/>
        <w:ind w:firstLine="420" w:firstLineChars="200"/>
        <w:textAlignment w:val="auto"/>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F5CEFB6-BF9B-4370-9EEB-D593A865DFA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5A34AEB-F841-438B-B6C4-8D8C1902D1CC}"/>
  </w:font>
  <w:font w:name="仿宋">
    <w:panose1 w:val="02010609060101010101"/>
    <w:charset w:val="86"/>
    <w:family w:val="modern"/>
    <w:pitch w:val="default"/>
    <w:sig w:usb0="800002BF" w:usb1="38CF7CFA" w:usb2="00000016" w:usb3="00000000" w:csb0="00040001" w:csb1="00000000"/>
    <w:embedRegular r:id="rId3" w:fontKey="{AEBFFB72-AE86-4608-8F96-DA31088033AD}"/>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2698E8CD-0326-4E1E-AB20-5193AE5E7CA0}"/>
  </w:font>
  <w:font w:name="楷体_GB2312">
    <w:panose1 w:val="02010609030101010101"/>
    <w:charset w:val="86"/>
    <w:family w:val="auto"/>
    <w:pitch w:val="default"/>
    <w:sig w:usb0="00000001" w:usb1="080E0000" w:usb2="00000000" w:usb3="00000000" w:csb0="00040000" w:csb1="00000000"/>
    <w:embedRegular r:id="rId5" w:fontKey="{12C73E52-92A2-4B01-81AC-C2C546C90343}"/>
  </w:font>
  <w:font w:name="FangSong_GB2312">
    <w:altName w:val="仿宋_GB2312"/>
    <w:panose1 w:val="00000000000000000000"/>
    <w:charset w:val="00"/>
    <w:family w:val="auto"/>
    <w:pitch w:val="default"/>
    <w:sig w:usb0="00000000" w:usb1="00000000" w:usb2="00000000" w:usb3="00000000" w:csb0="00040001" w:csb1="00000000"/>
    <w:embedRegular r:id="rId6" w:fontKey="{83811D7F-6BD0-4FFE-9AB7-C79DF896102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23A36">
    <w:pPr>
      <w:pStyle w:val="10"/>
      <w:jc w:val="center"/>
    </w:pPr>
  </w:p>
  <w:p w14:paraId="3A5B31EB">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D1E6E">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D81CF">
    <w:pPr>
      <w:pStyle w:val="10"/>
      <w:jc w:val="center"/>
    </w:pPr>
  </w:p>
  <w:p w14:paraId="7FA8E2A8">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F2B33">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918F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E4918F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6251D">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2CA0F9"/>
    <w:multiLevelType w:val="singleLevel"/>
    <w:tmpl w:val="972CA0F9"/>
    <w:lvl w:ilvl="0" w:tentative="0">
      <w:start w:val="2"/>
      <w:numFmt w:val="chineseCounting"/>
      <w:suff w:val="nothing"/>
      <w:lvlText w:val="（%1）"/>
      <w:lvlJc w:val="left"/>
      <w:rPr>
        <w:rFonts w:hint="eastAsia"/>
      </w:rPr>
    </w:lvl>
  </w:abstractNum>
  <w:abstractNum w:abstractNumId="1">
    <w:nsid w:val="F7AFAA77"/>
    <w:multiLevelType w:val="singleLevel"/>
    <w:tmpl w:val="F7AFAA77"/>
    <w:lvl w:ilvl="0" w:tentative="0">
      <w:start w:val="1"/>
      <w:numFmt w:val="chineseCounting"/>
      <w:suff w:val="nothing"/>
      <w:lvlText w:val="%1、"/>
      <w:lvlJc w:val="left"/>
      <w:rPr>
        <w:rFonts w:hint="eastAsia"/>
      </w:rPr>
    </w:lvl>
  </w:abstractNum>
  <w:abstractNum w:abstractNumId="2">
    <w:nsid w:val="796A1A28"/>
    <w:multiLevelType w:val="singleLevel"/>
    <w:tmpl w:val="796A1A28"/>
    <w:lvl w:ilvl="0" w:tentative="0">
      <w:start w:val="1"/>
      <w:numFmt w:val="decimal"/>
      <w:lvlText w:val="%1."/>
      <w:lvlJc w:val="left"/>
      <w:pPr>
        <w:tabs>
          <w:tab w:val="left" w:pos="312"/>
        </w:tabs>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45388"/>
    <w:rsid w:val="1FF6BC77"/>
    <w:rsid w:val="21962A9E"/>
    <w:rsid w:val="21AE7C77"/>
    <w:rsid w:val="22BC3C41"/>
    <w:rsid w:val="23860B96"/>
    <w:rsid w:val="240371BF"/>
    <w:rsid w:val="260F557C"/>
    <w:rsid w:val="281408E2"/>
    <w:rsid w:val="29FD04D3"/>
    <w:rsid w:val="2BFF7BC6"/>
    <w:rsid w:val="2C2A0B96"/>
    <w:rsid w:val="2C8A61B5"/>
    <w:rsid w:val="2D2E01CF"/>
    <w:rsid w:val="2DF04E50"/>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EE74938"/>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D66C20"/>
    <w:rsid w:val="6FEFFFD8"/>
    <w:rsid w:val="6FF5CC65"/>
    <w:rsid w:val="6FFB47EC"/>
    <w:rsid w:val="6FFF034A"/>
    <w:rsid w:val="70167589"/>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2"/>
    <w:qFormat/>
    <w:uiPriority w:val="9"/>
    <w:rPr>
      <w:rFonts w:ascii="Times New Roman" w:hAnsi="Times New Roman"/>
      <w:b/>
      <w:bCs/>
      <w:kern w:val="44"/>
      <w:sz w:val="44"/>
      <w:szCs w:val="44"/>
    </w:rPr>
  </w:style>
  <w:style w:type="character" w:customStyle="1" w:styleId="30">
    <w:name w:val="标题 2 Char"/>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9"/>
    <w:semiHidden/>
    <w:qFormat/>
    <w:uiPriority w:val="99"/>
    <w:rPr>
      <w:rFonts w:ascii="Times New Roman" w:hAnsi="Times New Roman"/>
      <w:kern w:val="2"/>
      <w:sz w:val="18"/>
      <w:szCs w:val="18"/>
    </w:rPr>
  </w:style>
  <w:style w:type="character" w:customStyle="1" w:styleId="33">
    <w:name w:val="标题 3 Char"/>
    <w:basedOn w:val="17"/>
    <w:link w:val="4"/>
    <w:qFormat/>
    <w:uiPriority w:val="9"/>
    <w:rPr>
      <w:rFonts w:ascii="Times New Roman" w:hAnsi="Times New Roman"/>
      <w:b/>
      <w:bCs/>
      <w:kern w:val="2"/>
      <w:sz w:val="32"/>
      <w:szCs w:val="32"/>
    </w:rPr>
  </w:style>
  <w:style w:type="paragraph" w:customStyle="1" w:styleId="34">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chart" Target="charts/chart1.xml"/><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5.emf"/><Relationship Id="rId17" Type="http://schemas.openxmlformats.org/officeDocument/2006/relationships/oleObject" Target="embeddings/oleObject5.bin"/><Relationship Id="rId16" Type="http://schemas.openxmlformats.org/officeDocument/2006/relationships/image" Target="media/image4.emf"/><Relationship Id="rId15" Type="http://schemas.openxmlformats.org/officeDocument/2006/relationships/oleObject" Target="embeddings/oleObject4.bin"/><Relationship Id="rId14" Type="http://schemas.openxmlformats.org/officeDocument/2006/relationships/image" Target="media/image3.emf"/><Relationship Id="rId13" Type="http://schemas.openxmlformats.org/officeDocument/2006/relationships/oleObject" Target="embeddings/oleObject3.bin"/><Relationship Id="rId12" Type="http://schemas.openxmlformats.org/officeDocument/2006/relationships/image" Target="media/image2.emf"/><Relationship Id="rId11" Type="http://schemas.openxmlformats.org/officeDocument/2006/relationships/oleObject" Target="embeddings/oleObject2.bin"/><Relationship Id="rId10" Type="http://schemas.openxmlformats.org/officeDocument/2006/relationships/image" Target="media/image1.e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财政拨款“三公经费”支出</c:v>
                </c:pt>
              </c:strCache>
            </c:strRef>
          </c:tx>
          <c:spPr/>
          <c:explosion val="0"/>
          <c:dPt>
            <c:idx val="0"/>
            <c:bubble3D val="0"/>
            <c:spPr>
              <a:solidFill>
                <a:schemeClr val="accent1"/>
              </a:solidFill>
              <a:ln>
                <a:solidFill>
                  <a:schemeClr val="bg1"/>
                </a:solidFill>
              </a:ln>
              <a:effectLst/>
            </c:spPr>
          </c:dPt>
          <c:dPt>
            <c:idx val="1"/>
            <c:bubble3D val="0"/>
            <c:spPr>
              <a:solidFill>
                <a:schemeClr val="accent3"/>
              </a:solidFill>
              <a:ln>
                <a:solidFill>
                  <a:schemeClr val="bg1"/>
                </a:solidFill>
              </a:ln>
              <a:effectLst/>
            </c:spPr>
          </c:dPt>
          <c:dPt>
            <c:idx val="2"/>
            <c:bubble3D val="0"/>
            <c:spPr>
              <a:solidFill>
                <a:schemeClr val="accent6"/>
              </a:solidFill>
              <a:ln>
                <a:solidFill>
                  <a:schemeClr val="bg1"/>
                </a:solidFill>
              </a:ln>
              <a:effectLst/>
            </c:spPr>
          </c:dPt>
          <c:dLbls>
            <c:delete val="1"/>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0.12</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0535163911459793"/>
          <c:y val="0.15058375029783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f099685-e1a4-412e-8b22-0dacd54de13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4"/>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734150-72f6-417d-a2ea-71ddee39fb01}">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5426</Words>
  <Characters>5890</Characters>
  <Lines>61</Lines>
  <Paragraphs>17</Paragraphs>
  <TotalTime>247</TotalTime>
  <ScaleCrop>false</ScaleCrop>
  <LinksUpToDate>false</LinksUpToDate>
  <CharactersWithSpaces>5951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2026-10-14T01:28:31Z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