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A9437">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77425"/>
      <w:bookmarkStart w:id="3" w:name="_Toc15306267"/>
      <w:bookmarkStart w:id="4" w:name="_Toc15396597"/>
      <w:bookmarkStart w:id="5" w:name="_Toc15396475"/>
    </w:p>
    <w:p w14:paraId="62B470BA">
      <w:pPr>
        <w:pStyle w:val="5"/>
        <w:rPr>
          <w:rFonts w:hint="eastAsia" w:ascii="Times New Roman" w:hAnsi="Times New Roman" w:eastAsia="方正小标宋简体" w:cs="Times New Roman"/>
          <w:color w:val="auto"/>
          <w:kern w:val="2"/>
          <w:sz w:val="72"/>
          <w:szCs w:val="72"/>
          <w:highlight w:val="none"/>
          <w:lang w:val="en-US" w:eastAsia="zh-CN" w:bidi="ar-SA"/>
        </w:rPr>
      </w:pPr>
    </w:p>
    <w:p w14:paraId="115633DC">
      <w:pPr>
        <w:pStyle w:val="5"/>
        <w:rPr>
          <w:rFonts w:hint="eastAsia" w:ascii="Times New Roman" w:hAnsi="Times New Roman" w:eastAsia="方正小标宋简体" w:cs="Times New Roman"/>
          <w:color w:val="auto"/>
          <w:kern w:val="2"/>
          <w:sz w:val="72"/>
          <w:szCs w:val="72"/>
          <w:highlight w:val="none"/>
          <w:lang w:val="en-US" w:eastAsia="zh-CN" w:bidi="ar-SA"/>
        </w:rPr>
      </w:pPr>
    </w:p>
    <w:p w14:paraId="04590114">
      <w:pPr>
        <w:pStyle w:val="5"/>
        <w:rPr>
          <w:rFonts w:hint="eastAsia" w:ascii="Times New Roman" w:hAnsi="Times New Roman" w:eastAsia="方正小标宋简体" w:cs="Times New Roman"/>
          <w:color w:val="auto"/>
          <w:kern w:val="2"/>
          <w:sz w:val="72"/>
          <w:szCs w:val="72"/>
          <w:highlight w:val="none"/>
          <w:lang w:val="en-US" w:eastAsia="zh-CN" w:bidi="ar-SA"/>
        </w:rPr>
      </w:pPr>
    </w:p>
    <w:p w14:paraId="12696F8F">
      <w:pPr>
        <w:pStyle w:val="16"/>
        <w:keepNext w:val="0"/>
        <w:keepLines w:val="0"/>
        <w:widowControl/>
        <w:suppressLineNumbers w:val="0"/>
        <w:spacing w:before="0" w:beforeAutospacing="0"/>
        <w:ind w:left="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lang w:eastAsia="zh-CN"/>
        </w:rPr>
        <w:t>202</w:t>
      </w:r>
      <w:r>
        <w:rPr>
          <w:rFonts w:hint="eastAsia" w:ascii="方正小标宋简体" w:hAnsi="方正小标宋简体" w:eastAsia="方正小标宋简体" w:cs="方正小标宋简体"/>
          <w:sz w:val="44"/>
          <w:szCs w:val="44"/>
          <w:shd w:val="clear" w:color="auto" w:fill="FFFFFF"/>
          <w:lang w:val="en-US" w:eastAsia="zh-CN"/>
        </w:rPr>
        <w:t>5</w:t>
      </w:r>
      <w:r>
        <w:rPr>
          <w:rFonts w:hint="eastAsia" w:ascii="方正小标宋简体" w:hAnsi="方正小标宋简体" w:eastAsia="方正小标宋简体" w:cs="方正小标宋简体"/>
          <w:sz w:val="44"/>
          <w:szCs w:val="44"/>
          <w:shd w:val="clear" w:color="auto" w:fill="FFFFFF"/>
        </w:rPr>
        <w:t>年度</w:t>
      </w:r>
    </w:p>
    <w:p w14:paraId="0B11F344">
      <w:pPr>
        <w:pStyle w:val="16"/>
        <w:keepNext w:val="0"/>
        <w:keepLines w:val="0"/>
        <w:widowControl/>
        <w:suppressLineNumbers w:val="0"/>
        <w:spacing w:before="0" w:beforeAutospacing="0"/>
        <w:ind w:left="0"/>
        <w:jc w:val="center"/>
        <w:outlineLvl w:val="0"/>
        <w:rPr>
          <w:rFonts w:hint="eastAsia" w:ascii="方正小标宋简体" w:hAnsi="方正小标宋简体" w:eastAsia="方正小标宋简体" w:cs="方正小标宋简体"/>
          <w:sz w:val="44"/>
          <w:szCs w:val="44"/>
          <w:shd w:val="clear" w:color="auto" w:fill="FFFFFF"/>
        </w:rPr>
      </w:pPr>
      <w:bookmarkStart w:id="6" w:name="_Toc17411"/>
      <w:bookmarkStart w:id="7" w:name="_Toc11279"/>
      <w:bookmarkStart w:id="8" w:name="_Toc22753"/>
      <w:r>
        <w:rPr>
          <w:rFonts w:hint="eastAsia" w:ascii="方正小标宋简体" w:hAnsi="方正小标宋简体" w:eastAsia="方正小标宋简体" w:cs="方正小标宋简体"/>
          <w:sz w:val="44"/>
          <w:szCs w:val="44"/>
          <w:shd w:val="clear" w:color="auto" w:fill="FFFFFF"/>
          <w:lang w:val="en-US" w:eastAsia="zh-CN"/>
        </w:rPr>
        <w:t>四川省</w:t>
      </w:r>
      <w:r>
        <w:rPr>
          <w:rFonts w:hint="eastAsia" w:ascii="方正小标宋简体" w:hAnsi="方正小标宋简体" w:eastAsia="方正小标宋简体" w:cs="方正小标宋简体"/>
          <w:sz w:val="44"/>
          <w:szCs w:val="44"/>
          <w:shd w:val="clear" w:color="auto" w:fill="FFFFFF"/>
        </w:rPr>
        <w:t>阿坝州松潘县十里回族乡人民政府</w:t>
      </w:r>
      <w:bookmarkEnd w:id="6"/>
      <w:bookmarkEnd w:id="7"/>
      <w:bookmarkEnd w:id="8"/>
    </w:p>
    <w:p w14:paraId="567C1429">
      <w:pPr>
        <w:pStyle w:val="16"/>
        <w:keepNext w:val="0"/>
        <w:keepLines w:val="0"/>
        <w:widowControl/>
        <w:suppressLineNumbers w:val="0"/>
        <w:spacing w:before="0" w:beforeAutospacing="0"/>
        <w:ind w:left="0"/>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shd w:val="clear" w:color="auto" w:fill="FFFFFF"/>
          <w:lang w:eastAsia="zh-CN"/>
        </w:rPr>
        <w:t>（</w:t>
      </w:r>
      <w:r>
        <w:rPr>
          <w:rFonts w:hint="eastAsia" w:ascii="方正小标宋简体" w:hAnsi="方正小标宋简体" w:eastAsia="方正小标宋简体" w:cs="方正小标宋简体"/>
          <w:sz w:val="44"/>
          <w:szCs w:val="44"/>
          <w:shd w:val="clear" w:color="auto" w:fill="FFFFFF"/>
        </w:rPr>
        <w:t>单位决算</w:t>
      </w:r>
      <w:r>
        <w:rPr>
          <w:rFonts w:hint="eastAsia" w:ascii="方正小标宋简体" w:hAnsi="方正小标宋简体" w:eastAsia="方正小标宋简体" w:cs="方正小标宋简体"/>
          <w:sz w:val="44"/>
          <w:szCs w:val="44"/>
          <w:shd w:val="clear" w:color="auto" w:fill="FFFFFF"/>
          <w:lang w:val="en-US" w:eastAsia="zh-CN"/>
        </w:rPr>
        <w:t>公开）</w:t>
      </w:r>
    </w:p>
    <w:p w14:paraId="2FC753B0">
      <w:pPr>
        <w:pStyle w:val="16"/>
        <w:keepNext w:val="0"/>
        <w:keepLines w:val="0"/>
        <w:widowControl/>
        <w:suppressLineNumbers w:val="0"/>
        <w:spacing w:before="0" w:beforeAutospacing="0"/>
        <w:ind w:left="0"/>
        <w:jc w:val="center"/>
      </w:pPr>
      <w:r>
        <w:rPr>
          <w:shd w:val="clear" w:color="auto" w:fill="FFFFFF"/>
        </w:rPr>
        <w:t> </w:t>
      </w:r>
    </w:p>
    <w:p w14:paraId="3281B1B2">
      <w:pPr>
        <w:pStyle w:val="16"/>
        <w:keepNext w:val="0"/>
        <w:keepLines w:val="0"/>
        <w:widowControl/>
        <w:suppressLineNumbers w:val="0"/>
        <w:spacing w:before="0" w:beforeAutospacing="0"/>
        <w:ind w:left="0"/>
        <w:jc w:val="center"/>
      </w:pPr>
      <w:r>
        <w:rPr>
          <w:shd w:val="clear" w:color="auto" w:fill="FFFFFF"/>
        </w:rPr>
        <w:t> </w:t>
      </w:r>
    </w:p>
    <w:p w14:paraId="5367D6F9">
      <w:pPr>
        <w:pStyle w:val="16"/>
        <w:keepNext w:val="0"/>
        <w:keepLines w:val="0"/>
        <w:widowControl/>
        <w:suppressLineNumbers w:val="0"/>
        <w:spacing w:before="0" w:beforeAutospacing="0"/>
        <w:ind w:left="0"/>
        <w:jc w:val="center"/>
      </w:pPr>
      <w:r>
        <w:rPr>
          <w:shd w:val="clear" w:color="auto" w:fill="FFFFFF"/>
        </w:rPr>
        <w:t> </w:t>
      </w:r>
    </w:p>
    <w:p w14:paraId="30C7661B">
      <w:pPr>
        <w:pStyle w:val="16"/>
        <w:keepNext w:val="0"/>
        <w:keepLines w:val="0"/>
        <w:widowControl/>
        <w:suppressLineNumbers w:val="0"/>
        <w:spacing w:before="0" w:beforeAutospacing="0"/>
        <w:ind w:left="0"/>
        <w:jc w:val="center"/>
      </w:pPr>
      <w:r>
        <w:rPr>
          <w:shd w:val="clear" w:color="auto" w:fill="FFFFFF"/>
        </w:rPr>
        <w:t> </w:t>
      </w:r>
    </w:p>
    <w:p w14:paraId="5813A1ED">
      <w:pPr>
        <w:pStyle w:val="16"/>
        <w:keepNext w:val="0"/>
        <w:keepLines w:val="0"/>
        <w:widowControl/>
        <w:suppressLineNumbers w:val="0"/>
        <w:spacing w:before="0" w:beforeAutospacing="0"/>
        <w:ind w:left="0"/>
        <w:jc w:val="center"/>
      </w:pPr>
      <w:r>
        <w:rPr>
          <w:shd w:val="clear" w:color="auto" w:fill="FFFFFF"/>
        </w:rPr>
        <w:t> </w:t>
      </w:r>
    </w:p>
    <w:p w14:paraId="64C73CD9">
      <w:pPr>
        <w:pStyle w:val="16"/>
        <w:keepNext w:val="0"/>
        <w:keepLines w:val="0"/>
        <w:widowControl/>
        <w:suppressLineNumbers w:val="0"/>
        <w:spacing w:before="0" w:beforeAutospacing="0"/>
        <w:ind w:left="0"/>
        <w:jc w:val="center"/>
      </w:pPr>
      <w:r>
        <w:rPr>
          <w:shd w:val="clear" w:color="auto" w:fill="FFFFFF"/>
        </w:rPr>
        <w:t> </w:t>
      </w:r>
    </w:p>
    <w:p w14:paraId="54FC5DFA">
      <w:pPr>
        <w:pStyle w:val="16"/>
        <w:keepNext w:val="0"/>
        <w:keepLines w:val="0"/>
        <w:widowControl/>
        <w:suppressLineNumbers w:val="0"/>
        <w:spacing w:before="0" w:beforeAutospacing="0"/>
        <w:ind w:left="0"/>
        <w:jc w:val="center"/>
      </w:pPr>
      <w:r>
        <w:rPr>
          <w:shd w:val="clear" w:color="auto" w:fill="FFFFFF"/>
        </w:rPr>
        <w:t> </w:t>
      </w:r>
    </w:p>
    <w:p w14:paraId="0D63A751">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已经保密审查、内容审定，同意对外公开</w:t>
      </w:r>
    </w:p>
    <w:bookmarkEnd w:id="0"/>
    <w:bookmarkEnd w:id="1"/>
    <w:bookmarkEnd w:id="2"/>
    <w:bookmarkEnd w:id="3"/>
    <w:bookmarkEnd w:id="4"/>
    <w:bookmarkEnd w:id="5"/>
    <w:p w14:paraId="328E1639">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393FE0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94A9C7D">
      <w:pPr>
        <w:widowControl/>
        <w:jc w:val="center"/>
        <w:rPr>
          <w:rFonts w:ascii="Times New Roman" w:hAnsi="Times New Roman" w:eastAsia="黑体" w:cstheme="minorBidi"/>
          <w:color w:val="auto"/>
          <w:sz w:val="28"/>
          <w:szCs w:val="28"/>
          <w:highlight w:val="none"/>
        </w:rPr>
      </w:pPr>
    </w:p>
    <w:p w14:paraId="73B6EAF3">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413C465D">
      <w:pPr>
        <w:rPr>
          <w:rFonts w:ascii="Times New Roman" w:hAnsi="Times New Roman"/>
          <w:color w:val="auto"/>
          <w:highlight w:val="none"/>
        </w:rPr>
      </w:pPr>
    </w:p>
    <w:p w14:paraId="2E4F076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18BC6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47A19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C7BAE8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A6C71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845A3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21FB11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F0BFE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A0C12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75B32F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2E189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5BFE1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9CE0C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553D3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E037C9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3D88771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3255421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16BE0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784D2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3A74CF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DF960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80AB8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E518FB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AA560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97898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77355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301646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DC96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6F13D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AA219B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19F47E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9" w:name="_Toc15396599"/>
      <w:bookmarkStart w:id="10" w:name="_Toc15377196"/>
      <w:r>
        <w:rPr>
          <w:rFonts w:hint="eastAsia" w:ascii="Times New Roman" w:hAnsi="Times New Roman" w:eastAsia="仿宋_GB2312" w:cs="仿宋_GB2312"/>
          <w:b/>
          <w:color w:val="auto"/>
          <w:sz w:val="32"/>
          <w:szCs w:val="32"/>
          <w:highlight w:val="none"/>
        </w:rPr>
        <w:br w:type="page"/>
      </w:r>
    </w:p>
    <w:p w14:paraId="73067F93">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9"/>
      <w:bookmarkEnd w:id="10"/>
    </w:p>
    <w:p w14:paraId="5384169D">
      <w:pPr>
        <w:pStyle w:val="3"/>
        <w:rPr>
          <w:rStyle w:val="31"/>
          <w:rFonts w:hint="eastAsia" w:ascii="Times New Roman" w:hAnsi="Times New Roman" w:eastAsia="黑体"/>
          <w:b w:val="0"/>
          <w:bCs w:val="0"/>
          <w:color w:val="auto"/>
          <w:highlight w:val="none"/>
          <w:lang w:eastAsia="zh-CN"/>
        </w:rPr>
      </w:pPr>
      <w:bookmarkStart w:id="11" w:name="_Toc15396600"/>
      <w:bookmarkStart w:id="12" w:name="_Toc15377197"/>
      <w:r>
        <w:rPr>
          <w:rFonts w:hint="eastAsia" w:ascii="Times New Roman" w:hAnsi="Times New Roman" w:eastAsia="黑体"/>
          <w:b w:val="0"/>
          <w:color w:val="auto"/>
          <w:highlight w:val="none"/>
        </w:rPr>
        <w:t>一、</w:t>
      </w:r>
      <w:bookmarkEnd w:id="11"/>
      <w:bookmarkEnd w:id="12"/>
      <w:r>
        <w:rPr>
          <w:rFonts w:hint="eastAsia" w:ascii="Times New Roman" w:hAnsi="Times New Roman" w:eastAsia="黑体"/>
          <w:b w:val="0"/>
          <w:color w:val="auto"/>
          <w:highlight w:val="none"/>
          <w:lang w:eastAsia="zh-CN"/>
        </w:rPr>
        <w:t>部门职责</w:t>
      </w:r>
    </w:p>
    <w:p w14:paraId="3E1F5A6C">
      <w:pPr>
        <w:keepNext w:val="0"/>
        <w:keepLines w:val="0"/>
        <w:pageBreakBefore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bookmarkStart w:id="13" w:name="_Toc15377200"/>
      <w:bookmarkStart w:id="14" w:name="_Toc15396601"/>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加强党的领导。</w:t>
      </w:r>
    </w:p>
    <w:p w14:paraId="1B1F6A33">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履行政治领导责任，做好理论武装和思想政治工作，负责学习、宣传、贯彻执行党的理论和路线方针政策，贯彻落实党中央、省委、州委、县委的决策部署，发挥好把方向、管大局、保落实的重要作用。</w:t>
      </w:r>
    </w:p>
    <w:p w14:paraId="65A6103D">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履行</w:t>
      </w:r>
      <w:r>
        <w:rPr>
          <w:rFonts w:hint="eastAsia" w:hAnsi="仿宋_GB2312" w:cs="仿宋_GB2312"/>
          <w:sz w:val="32"/>
          <w:szCs w:val="32"/>
          <w:lang w:eastAsia="zh-CN"/>
        </w:rPr>
        <w:t>党要管党、全面从严治党主体责任</w:t>
      </w:r>
      <w:r>
        <w:rPr>
          <w:rFonts w:hint="eastAsia" w:ascii="仿宋_GB2312" w:hAnsi="仿宋_GB2312" w:eastAsia="仿宋_GB2312" w:cs="仿宋_GB2312"/>
          <w:sz w:val="32"/>
          <w:szCs w:val="32"/>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2B9D5560">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3.讨论和决定辖区内</w:t>
      </w:r>
      <w:r>
        <w:rPr>
          <w:rFonts w:hint="eastAsia" w:hAnsi="仿宋_GB2312" w:cs="仿宋_GB2312"/>
          <w:sz w:val="32"/>
          <w:szCs w:val="32"/>
          <w:lang w:eastAsia="zh-CN"/>
        </w:rPr>
        <w:t>经济建设、政治建设、文化建设、社会建设、生态文明建设</w:t>
      </w:r>
      <w:r>
        <w:rPr>
          <w:rFonts w:hint="eastAsia" w:ascii="仿宋_GB2312" w:hAnsi="仿宋_GB2312" w:eastAsia="仿宋_GB2312" w:cs="仿宋_GB2312"/>
          <w:sz w:val="32"/>
          <w:szCs w:val="32"/>
        </w:rPr>
        <w:t>、</w:t>
      </w:r>
      <w:r>
        <w:rPr>
          <w:rFonts w:hint="eastAsia" w:hAnsi="仿宋_GB2312" w:cs="仿宋_GB2312"/>
          <w:sz w:val="32"/>
          <w:szCs w:val="32"/>
          <w:lang w:eastAsia="zh-CN"/>
        </w:rPr>
        <w:t>法治建设</w:t>
      </w:r>
      <w:r>
        <w:rPr>
          <w:rFonts w:hint="eastAsia" w:ascii="仿宋_GB2312" w:hAnsi="仿宋_GB2312" w:eastAsia="仿宋_GB2312" w:cs="仿宋_GB2312"/>
          <w:sz w:val="32"/>
          <w:szCs w:val="32"/>
        </w:rPr>
        <w:t>和党的建设以及乡村振兴中的重大问题</w:t>
      </w:r>
      <w:r>
        <w:rPr>
          <w:rFonts w:hint="eastAsia" w:hAnsi="仿宋_GB2312" w:cs="仿宋_GB2312"/>
          <w:sz w:val="32"/>
          <w:szCs w:val="32"/>
          <w:lang w:eastAsia="zh-CN"/>
        </w:rPr>
        <w:t>，以及</w:t>
      </w:r>
      <w:r>
        <w:rPr>
          <w:rFonts w:hint="eastAsia" w:ascii="仿宋_GB2312" w:hAnsi="仿宋_GB2312" w:eastAsia="仿宋_GB2312" w:cs="仿宋_GB2312"/>
          <w:sz w:val="32"/>
          <w:szCs w:val="32"/>
        </w:rPr>
        <w:t>其他应当由党委讨论和决定的重大问题。</w:t>
      </w:r>
    </w:p>
    <w:p w14:paraId="22E9EBB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4.贯彻党管干部原则，加强干部队伍建设，完善干部培养选拔机制，加强干部教育管理监督。贯彻党管人才原则，加强人才队伍建设。加强对本乡工会、共青团、妇联等群团工作的领导。</w:t>
      </w:r>
    </w:p>
    <w:p w14:paraId="678394DD">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5.指导农村党建，落实基层党建工作责任制，严格抓好基层党组织建设各项制度，统筹抓好乡机关、村、驻辖区单位、行业、“两新”组织等党建工作，推进全面从严治党，落实农村基层党建工作要求。</w:t>
      </w:r>
    </w:p>
    <w:p w14:paraId="2E1FB26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6.加强基层社会宣传、舆论引导、精神文明建设、统一战线工作，落实党管意识形态工作责任制，健全完善党建引领基层体系，强化基层治理平台建设，进一步增强党在农村的</w:t>
      </w:r>
      <w:r>
        <w:rPr>
          <w:rFonts w:hint="eastAsia" w:hAnsi="仿宋_GB2312" w:cs="仿宋_GB2312"/>
          <w:sz w:val="32"/>
          <w:szCs w:val="32"/>
          <w:lang w:eastAsia="zh-CN"/>
        </w:rPr>
        <w:t>党的政治领导力、思想引领力、群众组织力、社会号召力</w:t>
      </w:r>
      <w:r>
        <w:rPr>
          <w:rFonts w:hint="eastAsia" w:ascii="仿宋_GB2312" w:hAnsi="仿宋_GB2312" w:eastAsia="仿宋_GB2312" w:cs="仿宋_GB2312"/>
          <w:sz w:val="32"/>
          <w:szCs w:val="32"/>
        </w:rPr>
        <w:t>。</w:t>
      </w:r>
    </w:p>
    <w:p w14:paraId="610A5EF6">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（二）统筹经济发展。</w:t>
      </w:r>
    </w:p>
    <w:p w14:paraId="6A3927E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7640BF9D">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hAnsi="仿宋_GB2312" w:cs="仿宋_GB2312"/>
          <w:sz w:val="32"/>
          <w:szCs w:val="32"/>
          <w:lang w:eastAsia="zh-CN"/>
        </w:rPr>
        <w:t>巩固拓展脱贫攻坚成果</w:t>
      </w:r>
      <w:r>
        <w:rPr>
          <w:rFonts w:hint="eastAsia" w:ascii="仿宋_GB2312" w:hAnsi="仿宋_GB2312" w:eastAsia="仿宋_GB2312" w:cs="仿宋_GB2312"/>
          <w:sz w:val="32"/>
          <w:szCs w:val="32"/>
        </w:rPr>
        <w:t>，贯彻落实中央、省、州、县关于实施乡村振兴战略的决策部署，提升农业发展质量，加强农村人居环境整治，推进宜居乡村建设，增强乡村振兴内生动力。</w:t>
      </w:r>
    </w:p>
    <w:p w14:paraId="328AA437">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3.指导农村经济发展，推动产业结构调整。保护各种经济组织的合法权益，营造良好的营商环境。</w:t>
      </w:r>
    </w:p>
    <w:p w14:paraId="22B9AB2E">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4.落实财政保障和财政管理有关政策，统筹管理本级财务及国有资产，协助做好税收征管工作，指导、监管村级财务和资产管理工作等。</w:t>
      </w:r>
    </w:p>
    <w:p w14:paraId="0BDD515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5.负责村镇规范建设管理，统筹农村基础设施建设等工作。负责辖区内自然资源保护、生态环境保护、城镇管理等工作。</w:t>
      </w:r>
    </w:p>
    <w:p w14:paraId="357B3D9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（三）加强民生改善。</w:t>
      </w:r>
    </w:p>
    <w:p w14:paraId="70DDDB86">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w:t>
      </w:r>
      <w:r>
        <w:rPr>
          <w:rFonts w:hint="eastAsia" w:hAnsi="仿宋_GB2312" w:cs="仿宋_GB2312"/>
          <w:sz w:val="32"/>
          <w:szCs w:val="32"/>
          <w:lang w:eastAsia="zh-CN"/>
        </w:rPr>
        <w:t>乡村</w:t>
      </w:r>
      <w:r>
        <w:rPr>
          <w:rFonts w:hint="eastAsia" w:ascii="仿宋_GB2312" w:hAnsi="仿宋_GB2312" w:eastAsia="仿宋_GB2312" w:cs="仿宋_GB2312"/>
          <w:sz w:val="32"/>
          <w:szCs w:val="32"/>
        </w:rPr>
        <w:t>综合便民服务平台标准化建设，做好村服务配套设施和综合服务平台建设，提升便民服务质量。</w:t>
      </w:r>
    </w:p>
    <w:p w14:paraId="3FBC3707">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5EC0F404">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（四）维护社会稳定。</w:t>
      </w:r>
    </w:p>
    <w:p w14:paraId="67020A98">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50F93618">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2.承担辖区社会治安综合治理工作，加强</w:t>
      </w:r>
      <w:r>
        <w:rPr>
          <w:rFonts w:hint="eastAsia" w:hAnsi="仿宋_GB2312" w:cs="仿宋_GB2312"/>
          <w:sz w:val="32"/>
          <w:szCs w:val="32"/>
          <w:lang w:eastAsia="zh-CN"/>
        </w:rPr>
        <w:t>法治建设</w:t>
      </w:r>
      <w:r>
        <w:rPr>
          <w:rFonts w:hint="eastAsia" w:ascii="仿宋_GB2312" w:hAnsi="仿宋_GB2312" w:eastAsia="仿宋_GB2312" w:cs="仿宋_GB2312"/>
          <w:sz w:val="32"/>
          <w:szCs w:val="32"/>
        </w:rPr>
        <w:t>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6CB3BC91">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3.指导村民自治，促进社会组织健康发展，完善村规民约，增强社会自治功能。</w:t>
      </w:r>
    </w:p>
    <w:p w14:paraId="3BF50B42">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4.负责国防教育，承担辖区内国防动员、征兵、民兵预备役、双拥等工作。</w:t>
      </w:r>
    </w:p>
    <w:p w14:paraId="5C6ABF00">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5.保障各少数民族的</w:t>
      </w:r>
      <w:r>
        <w:rPr>
          <w:rFonts w:hint="eastAsia" w:hAnsi="仿宋_GB2312" w:cs="仿宋_GB2312"/>
          <w:sz w:val="32"/>
          <w:szCs w:val="32"/>
          <w:lang w:eastAsia="zh-CN"/>
        </w:rPr>
        <w:t>合法权利</w:t>
      </w:r>
      <w:r>
        <w:rPr>
          <w:rFonts w:hint="eastAsia" w:ascii="仿宋_GB2312" w:hAnsi="仿宋_GB2312" w:eastAsia="仿宋_GB2312" w:cs="仿宋_GB2312"/>
          <w:sz w:val="32"/>
          <w:szCs w:val="32"/>
        </w:rPr>
        <w:t>和利益，尊重少数民族的风俗习惯，坚决与民族分裂活动和邪教组织斗争。</w:t>
      </w:r>
    </w:p>
    <w:p w14:paraId="5B89DF9A">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6.保障宪法和法律赋予妇女的男女平等、同工同酬和婚姻自由等各项权利。</w:t>
      </w:r>
    </w:p>
    <w:p w14:paraId="41E8E3F6">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3" w:firstLineChars="200"/>
        <w:jc w:val="left"/>
        <w:textAlignment w:val="auto"/>
        <w:rPr>
          <w:rFonts w:hint="eastAsia" w:ascii="Times New Roman" w:hAnsi="Times New Roman" w:eastAsia="黑体"/>
          <w:b w:val="0"/>
          <w:color w:val="auto"/>
          <w:highlight w:val="none"/>
        </w:rPr>
      </w:pPr>
      <w:r>
        <w:rPr>
          <w:rFonts w:hint="eastAsia" w:ascii="仿宋_GB2312" w:hAnsi="仿宋_GB2312" w:eastAsia="仿宋_GB2312" w:cs="仿宋_GB2312"/>
          <w:b/>
          <w:bCs/>
          <w:sz w:val="32"/>
          <w:szCs w:val="32"/>
        </w:rPr>
        <w:t>（五）完成上级交办的其他事项。</w:t>
      </w:r>
    </w:p>
    <w:p w14:paraId="37C8170A">
      <w:pPr>
        <w:pStyle w:val="3"/>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3"/>
      <w:bookmarkEnd w:id="14"/>
    </w:p>
    <w:p w14:paraId="63E231B8">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rPr>
          <w:rFonts w:hint="eastAsia" w:ascii="仿宋_GB2312" w:eastAsia="仿宋_GB2312" w:cs="仿宋_GB2312"/>
          <w:color w:val="000000"/>
          <w:sz w:val="31"/>
          <w:szCs w:val="31"/>
        </w:rPr>
      </w:pPr>
      <w:r>
        <w:rPr>
          <w:rFonts w:ascii="楷体_GB2312" w:eastAsia="楷体_GB2312" w:cs="楷体_GB2312"/>
          <w:b/>
          <w:bCs/>
          <w:color w:val="000000"/>
          <w:sz w:val="31"/>
          <w:szCs w:val="31"/>
        </w:rPr>
        <w:t>（一）党建工作办公室。</w:t>
      </w:r>
      <w:r>
        <w:rPr>
          <w:rFonts w:ascii="仿宋_GB2312" w:eastAsia="仿宋_GB2312" w:cs="仿宋_GB2312"/>
          <w:color w:val="000000"/>
          <w:sz w:val="31"/>
          <w:szCs w:val="31"/>
        </w:rPr>
        <w:t>负责基层党组织建设、</w:t>
      </w:r>
      <w:r>
        <w:rPr>
          <w:rFonts w:hint="eastAsia" w:ascii="仿宋_GB2312" w:eastAsia="仿宋_GB2312" w:cs="仿宋_GB2312"/>
          <w:color w:val="000000"/>
          <w:sz w:val="31"/>
          <w:szCs w:val="31"/>
          <w:lang w:eastAsia="zh-CN"/>
        </w:rPr>
        <w:t>流动党员党支部</w:t>
      </w:r>
      <w:r>
        <w:rPr>
          <w:rFonts w:hint="eastAsia" w:ascii="仿宋_GB2312" w:eastAsia="仿宋_GB2312" w:cs="仿宋_GB2312"/>
          <w:color w:val="000000"/>
          <w:sz w:val="31"/>
          <w:szCs w:val="31"/>
        </w:rPr>
        <w:t>建设、党风廉政建设、反腐败等工作；统筹辖区内党员和流动党员的发展、教育、管理和党费收缴工作，指导村（社区）党组织</w:t>
      </w:r>
      <w:r>
        <w:rPr>
          <w:rFonts w:hint="eastAsia" w:ascii="仿宋_GB2312" w:hAnsi="宋体" w:eastAsia="仿宋_GB2312" w:cs="仿宋_GB2312"/>
          <w:color w:val="000000"/>
          <w:kern w:val="0"/>
          <w:sz w:val="31"/>
          <w:szCs w:val="31"/>
          <w:lang w:val="en-US" w:eastAsia="zh-CN" w:bidi="ar"/>
        </w:rPr>
        <w:t>建设管理等工作；负责宣传思想、意识形态、精神文明建设和群</w:t>
      </w:r>
      <w:r>
        <w:rPr>
          <w:rFonts w:hint="eastAsia" w:ascii="仿宋_GB2312" w:eastAsia="仿宋_GB2312" w:cs="仿宋_GB2312"/>
          <w:color w:val="000000"/>
          <w:sz w:val="31"/>
          <w:szCs w:val="31"/>
        </w:rPr>
        <w:t>众工作；负责本乡机构编制管理及人才队伍建设、干部人事</w:t>
      </w:r>
      <w:r>
        <w:rPr>
          <w:rFonts w:hint="eastAsia" w:ascii="仿宋_GB2312" w:eastAsia="仿宋_GB2312" w:cs="仿宋_GB2312"/>
          <w:color w:val="000000"/>
          <w:sz w:val="31"/>
          <w:szCs w:val="31"/>
          <w:lang w:val="en-US" w:eastAsia="zh-CN"/>
        </w:rPr>
        <w:t>管理</w:t>
      </w:r>
      <w:r>
        <w:rPr>
          <w:rFonts w:hint="eastAsia" w:ascii="仿宋_GB2312" w:eastAsia="仿宋_GB2312" w:cs="仿宋_GB2312"/>
          <w:color w:val="000000"/>
          <w:sz w:val="31"/>
          <w:szCs w:val="31"/>
        </w:rPr>
        <w:t>、离退休干部管理工作；指导村（居）民委员会换届选举；完成领导交办的其他工作。</w:t>
      </w:r>
    </w:p>
    <w:p w14:paraId="3262E707">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（二）党政办公室。</w:t>
      </w:r>
      <w:r>
        <w:rPr>
          <w:rFonts w:hint="eastAsia" w:ascii="仿宋_GB2312" w:eastAsia="仿宋_GB2312" w:cs="仿宋_GB2312"/>
          <w:color w:val="000000"/>
          <w:sz w:val="31"/>
          <w:szCs w:val="31"/>
        </w:rPr>
        <w:t>负责乡机关日常事务和综合协调工作；负责综合文秘、档案管理、党政印章管理、信息、机要、保密、后勤保障等工作；组织办理人大代表议案建议、政协委员提案和人大代表、政协委员的联络服务工作；负责乡工会、共青团、妇联等群团工作；监督干部职工福利待遇工作的落实，维护职工的合法权益；负责国有资产管理，指导村级财务管理，管理乡行政事业单位和其他组织的各类财政资金等工作；根据有关法律规定和省政府授权，按照县政府职权调整事项目录，统一组织和指挥协调开展综合行政执法工作；负责整合落实行政执法信息平台和行政执法监督网络平台建设；负责乡村经济发展工作；负责村级资金核拨和监督管理；负责综合统计工作；指导农民合作经济组织、农村集体经济组织建设和发展；完成领导交办的其他工作。</w:t>
      </w:r>
    </w:p>
    <w:p w14:paraId="23D69D05">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（三）维护稳定和社会治理办公室。</w:t>
      </w:r>
      <w:r>
        <w:rPr>
          <w:rFonts w:hint="eastAsia" w:ascii="仿宋_GB2312" w:eastAsia="仿宋_GB2312" w:cs="仿宋_GB2312"/>
          <w:color w:val="000000"/>
          <w:sz w:val="31"/>
          <w:szCs w:val="31"/>
        </w:rPr>
        <w:t>负责社会治安综合治理、维护稳定、群众信访等工作；组织开展人武、政法、统战、信访、稳定、民宗、群众、防邪和微网实格等相关工作；负责辖区内法治建设，配合开展调解和帮教管理，承担辖区内矛盾纠纷多元化解协调工作；协助司法机关开展打击违法犯罪和禁毒、扫黑除恶活动；负责流动人口、外来僧道管理；组织开展法制、综治、平安建设等宣传教育活动，负责基层综治干部和群防群治队伍的教</w:t>
      </w:r>
      <w:r>
        <w:rPr>
          <w:rFonts w:hint="eastAsia" w:ascii="仿宋_GB2312" w:hAnsi="宋体" w:eastAsia="仿宋_GB2312" w:cs="仿宋_GB2312"/>
          <w:color w:val="000000"/>
          <w:kern w:val="0"/>
          <w:sz w:val="31"/>
          <w:szCs w:val="31"/>
          <w:lang w:val="en-US" w:eastAsia="zh-CN" w:bidi="ar"/>
        </w:rPr>
        <w:t>育、培训和管理等工作；负责公共事务综合管理工作；负责基层自治建设和民主法治建设，指导基层群众性自治组织规范化、制</w:t>
      </w:r>
      <w:r>
        <w:rPr>
          <w:rFonts w:hint="eastAsia" w:ascii="仿宋_GB2312" w:eastAsia="仿宋_GB2312" w:cs="仿宋_GB2312"/>
          <w:color w:val="000000"/>
          <w:sz w:val="31"/>
          <w:szCs w:val="31"/>
        </w:rPr>
        <w:t>度化建设；完成领导交办的其他工作。</w:t>
      </w:r>
    </w:p>
    <w:p w14:paraId="7DE7913F">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（四）应急管理和消防办公室。</w:t>
      </w:r>
      <w:r>
        <w:rPr>
          <w:rFonts w:hint="eastAsia" w:ascii="仿宋_GB2312" w:eastAsia="仿宋_GB2312" w:cs="仿宋_GB2312"/>
          <w:color w:val="000000"/>
          <w:sz w:val="31"/>
          <w:szCs w:val="31"/>
        </w:rPr>
        <w:t>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负责本辖区内日常消防工作，开展消防安全检查、督促火灾隐患整改、建强多种形式消防组织、开展经常性宣传教育、指导村（社区）和寺庙开展消防工作，定期研究解决本辖区内消防安全突出问题；完成领导交办的其他工作。</w:t>
      </w:r>
    </w:p>
    <w:p w14:paraId="2F18B891">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（五）村镇规划建设办公室。</w:t>
      </w:r>
      <w:r>
        <w:rPr>
          <w:rFonts w:hint="eastAsia" w:ascii="仿宋_GB2312" w:eastAsia="仿宋_GB2312" w:cs="仿宋_GB2312"/>
          <w:color w:val="000000"/>
          <w:sz w:val="31"/>
          <w:szCs w:val="31"/>
        </w:rPr>
        <w:t>负责村镇规划建设管理，统筹农村基础设施建设等工作；负责辖区内重大基础设施建设、重大公共服务资源布局规划，并对重大决策提出意见及建议；完成领导交办的其他工作。</w:t>
      </w:r>
    </w:p>
    <w:p w14:paraId="7F779EBD">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rPr>
          <w:rFonts w:hint="eastAsia" w:ascii="方正小标宋简体" w:hAnsi="方正小标宋简体" w:eastAsia="方正小标宋简体" w:cs="方正小标宋简体"/>
          <w:sz w:val="44"/>
          <w:szCs w:val="44"/>
          <w:shd w:val="clear" w:color="auto" w:fill="FFFFFF"/>
        </w:rPr>
      </w:pPr>
      <w:r>
        <w:rPr>
          <w:rFonts w:hint="eastAsia" w:ascii="楷体_GB2312" w:eastAsia="楷体_GB2312" w:cs="楷体_GB2312"/>
          <w:b/>
          <w:bCs/>
          <w:color w:val="000000"/>
          <w:sz w:val="31"/>
          <w:szCs w:val="31"/>
        </w:rPr>
        <w:t>（六）文化旅游和生态环境保护办公室。</w:t>
      </w:r>
      <w:r>
        <w:rPr>
          <w:rFonts w:hint="eastAsia" w:ascii="仿宋_GB2312" w:eastAsia="仿宋_GB2312" w:cs="仿宋_GB2312"/>
          <w:color w:val="000000"/>
          <w:sz w:val="31"/>
          <w:szCs w:val="31"/>
        </w:rPr>
        <w:t>负责宣传并贯彻落实宣传思想、精神文明建设、文化、旅游等法律法规和方针政策；承担基层新时代文明实践活动服务工作，做好理论宣讲</w:t>
      </w:r>
      <w:r>
        <w:rPr>
          <w:rFonts w:hint="eastAsia" w:ascii="仿宋_GB2312" w:eastAsia="仿宋_GB2312" w:cs="仿宋_GB2312"/>
          <w:color w:val="000000"/>
          <w:sz w:val="31"/>
          <w:szCs w:val="31"/>
          <w:lang w:eastAsia="zh-CN"/>
        </w:rPr>
        <w:t>、</w:t>
      </w:r>
      <w:r>
        <w:rPr>
          <w:rFonts w:hint="eastAsia" w:ascii="仿宋_GB2312" w:eastAsia="仿宋_GB2312" w:cs="仿宋_GB2312"/>
          <w:color w:val="000000"/>
          <w:sz w:val="31"/>
          <w:szCs w:val="31"/>
        </w:rPr>
        <w:t>教育服务、文化服务、科技服务、健康服务、法律服务、志愿服务等工</w:t>
      </w:r>
      <w:r>
        <w:rPr>
          <w:rFonts w:hint="eastAsia" w:ascii="仿宋_GB2312" w:hAnsi="宋体" w:eastAsia="仿宋_GB2312" w:cs="仿宋_GB2312"/>
          <w:color w:val="000000"/>
          <w:kern w:val="0"/>
          <w:sz w:val="31"/>
          <w:szCs w:val="31"/>
          <w:lang w:val="en-US" w:eastAsia="zh-CN" w:bidi="ar"/>
        </w:rPr>
        <w:t>作；拟订年度公益性文化项目实施计划，组织开展多种形式的文</w:t>
      </w:r>
      <w:r>
        <w:rPr>
          <w:rFonts w:hint="eastAsia" w:ascii="仿宋_GB2312" w:eastAsia="仿宋_GB2312" w:cs="仿宋_GB2312"/>
          <w:color w:val="000000"/>
          <w:sz w:val="31"/>
          <w:szCs w:val="31"/>
        </w:rPr>
        <w:t>娱体育活动和宣传文化阵地建设；负责对乡村</w:t>
      </w:r>
      <w:r>
        <w:rPr>
          <w:rFonts w:hint="eastAsia" w:ascii="仿宋_GB2312" w:eastAsia="仿宋_GB2312" w:cs="仿宋_GB2312"/>
          <w:color w:val="000000"/>
          <w:sz w:val="31"/>
          <w:szCs w:val="31"/>
          <w:lang w:val="en-US" w:eastAsia="zh-CN"/>
        </w:rPr>
        <w:t>文</w:t>
      </w:r>
      <w:r>
        <w:rPr>
          <w:rFonts w:hint="eastAsia" w:ascii="仿宋_GB2312" w:eastAsia="仿宋_GB2312" w:cs="仿宋_GB2312"/>
          <w:color w:val="000000"/>
          <w:sz w:val="31"/>
          <w:szCs w:val="31"/>
        </w:rPr>
        <w:t>化、文艺等活动的指导、协调和宣传工作；拟订旅游发展项目实施计划，搞好旅游发展等服务工作；负责辖区内自然资源保护、生态环境保护等工作；配合相关部门组织开展工业、生活、生产、经营、农业等污染的监督检查和防控整治工作；负责辖区内水资源保护、水环境治理、节约用水、环境卫生管理等工作；参与重大生态破坏事件的调查处理；完成领导交办的其他工作。</w:t>
      </w:r>
    </w:p>
    <w:p w14:paraId="417AA2C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34CB730">
      <w:pPr>
        <w:pStyle w:val="2"/>
        <w:pageBreakBefore w:val="0"/>
        <w:kinsoku/>
        <w:wordWrap/>
        <w:overflowPunct/>
        <w:topLinePunct w:val="0"/>
        <w:autoSpaceDE/>
        <w:autoSpaceDN/>
        <w:bidi w:val="0"/>
        <w:spacing w:line="576" w:lineRule="exact"/>
        <w:jc w:val="center"/>
        <w:textAlignment w:val="auto"/>
        <w:rPr>
          <w:rFonts w:hint="eastAsia" w:ascii="Times New Roman" w:hAnsi="Times New Roman" w:eastAsia="方正小标宋简体" w:cs="方正小标宋简体"/>
          <w:b w:val="0"/>
          <w:color w:val="auto"/>
          <w:highlight w:val="none"/>
        </w:rPr>
      </w:pPr>
      <w:bookmarkStart w:id="15" w:name="_Toc15377204"/>
      <w:bookmarkStart w:id="16"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5"/>
      <w:bookmarkEnd w:id="16"/>
    </w:p>
    <w:p w14:paraId="49A0D50F">
      <w:pPr>
        <w:pageBreakBefore w:val="0"/>
        <w:kinsoku/>
        <w:wordWrap/>
        <w:overflowPunct/>
        <w:topLinePunct w:val="0"/>
        <w:autoSpaceDE/>
        <w:autoSpaceDN/>
        <w:bidi w:val="0"/>
        <w:spacing w:line="576" w:lineRule="exact"/>
        <w:textAlignment w:val="auto"/>
        <w:rPr>
          <w:rFonts w:ascii="Times New Roman" w:hAnsi="Times New Roman"/>
          <w:color w:val="auto"/>
          <w:highlight w:val="none"/>
        </w:rPr>
      </w:pPr>
    </w:p>
    <w:p w14:paraId="4E32FEAF">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hint="eastAsia" w:ascii="Times New Roman" w:hAnsi="Times New Roman" w:eastAsia="黑体"/>
          <w:b w:val="0"/>
          <w:color w:val="auto"/>
          <w:highlight w:val="none"/>
        </w:rPr>
      </w:pPr>
      <w:bookmarkStart w:id="17" w:name="_Toc15377205"/>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7"/>
      <w:bookmarkEnd w:id="18"/>
    </w:p>
    <w:p w14:paraId="0B011CA8">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eastAsia="zh-CN"/>
        </w:rPr>
        <w:pict>
          <v:shape id="Object 6" o:spid="_x0000_s1026" o:spt="75" type="#_x0000_t75" style="position:absolute;left:0pt;margin-left:105.5pt;margin-top:292.3pt;height:227.35pt;width:365.9pt;mso-position-horizontal-relative:page;mso-position-vertical-relative:page;mso-wrap-distance-left:9pt;mso-wrap-distance-right:9pt;z-index:-251656192;mso-width-relative:page;mso-height-relative:page;" o:ole="t" filled="f" o:preferrelative="t" stroked="f" coordsize="21600,21600" wrapcoords="21592 -2 0 0 0 21600 21592 21602 8 21602 21600 21600 21600 0 8 -2 21592 -2">
            <v:path/>
            <v:fill on="f" focussize="0,0"/>
            <v:stroke on="f"/>
            <v:imagedata r:id="rId10" o:title=""/>
            <o:lock v:ext="edit" aspectratio="t"/>
            <w10:wrap type="tight"/>
          </v:shape>
          <o:OLEObject Type="Embed" ProgID="Excel.Chart.8" ShapeID="Object 6" DrawAspect="Content" ObjectID="_1468075725" r:id="rId9">
            <o:LockedField>false</o:LockedField>
          </o:OLEObject>
        </w:pict>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1356.04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总计增加173.06，增长14.63</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143.06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11.79</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shd w:val="clear" w:color="auto" w:fill="FFFFFF"/>
          <w:lang w:val="en-US" w:eastAsia="zh-CN"/>
        </w:rPr>
        <w:t>工资保险基数调整、公用经费、项目支出增加。</w:t>
      </w:r>
    </w:p>
    <w:p w14:paraId="69CE461D">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29E7414">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5377206"/>
      <w:bookmarkStart w:id="20" w:name="_Toc15396604"/>
      <w:r>
        <w:rPr>
          <w:rFonts w:hint="eastAsia" w:ascii="Times New Roman" w:hAnsi="Times New Roman" w:eastAsia="黑体"/>
          <w:color w:val="auto"/>
          <w:sz w:val="32"/>
          <w:szCs w:val="32"/>
          <w:highlight w:val="none"/>
          <w:lang w:eastAsia="zh-CN"/>
        </w:rPr>
        <w:t>二、收入决算情况说明</w:t>
      </w:r>
      <w:bookmarkEnd w:id="19"/>
      <w:bookmarkEnd w:id="20"/>
    </w:p>
    <w:p w14:paraId="70676B7D">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1356.04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1348.84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99.46</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7.2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0.53</w:t>
      </w:r>
      <w:r>
        <w:rPr>
          <w:rFonts w:hint="eastAsia" w:ascii="Times New Roman" w:hAnsi="Times New Roman" w:eastAsia="仿宋_GB2312" w:cs="仿宋_GB2312"/>
          <w:color w:val="auto"/>
          <w:sz w:val="32"/>
          <w:szCs w:val="32"/>
          <w:highlight w:val="none"/>
          <w:lang w:eastAsia="zh-CN"/>
        </w:rPr>
        <w:t>%。</w:t>
      </w:r>
    </w:p>
    <w:p w14:paraId="3129AAFC">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Style w:val="19"/>
          <w:rFonts w:hint="eastAsia" w:ascii="仿宋_GB2312" w:hAnsi="仿宋_GB2312" w:eastAsia="仿宋_GB2312" w:cs="仿宋_GB2312"/>
          <w:sz w:val="32"/>
          <w:szCs w:val="32"/>
          <w:shd w:val="clear" w:color="auto" w:fill="FFFFFF"/>
          <w:lang w:eastAsia="zh-CN"/>
        </w:rPr>
        <w:pict>
          <v:shape id="Object 2" o:spid="_x0000_s1027" o:spt="75" type="#_x0000_t75" style="position:absolute;left:0pt;margin-left:5.8pt;margin-top:9.9pt;height:220.6pt;width:382.25pt;mso-wrap-distance-left:9pt;mso-wrap-distance-right:9pt;z-index:-251655168;mso-width-relative:page;mso-height-relative:page;" o:ole="t" filled="f" o:preferrelative="t" stroked="f" coordsize="21600,21600" wrapcoords="21592 -2 0 0 0 21600 21592 21602 8 21602 21600 21600 21600 0 8 -2 21592 -2">
            <v:path/>
            <v:fill on="f" focussize="0,0"/>
            <v:stroke on="f"/>
            <v:imagedata r:id="rId12" o:title=""/>
            <o:lock v:ext="edit" aspectratio="t"/>
            <w10:wrap type="tight"/>
          </v:shape>
          <o:OLEObject Type="Embed" ProgID="Excel.Chart.8" ShapeID="Object 2" DrawAspect="Content" ObjectID="_1468075726" r:id="rId11">
            <o:LockedField>false</o:LockedField>
          </o:OLEObject>
        </w:pict>
      </w:r>
      <w:r>
        <w:rPr>
          <w:rFonts w:hint="eastAsia" w:ascii="Times New Roman" w:hAnsi="Times New Roman" w:eastAsia="仿宋_GB2312" w:cs="仿宋_GB2312"/>
          <w:color w:val="auto"/>
          <w:sz w:val="32"/>
          <w:szCs w:val="32"/>
          <w:highlight w:val="none"/>
          <w:lang w:eastAsia="zh-CN"/>
        </w:rPr>
        <w:t>（图2：收入决算结构图）（饼状图）</w:t>
      </w:r>
    </w:p>
    <w:p w14:paraId="7413824C">
      <w:pPr>
        <w:pageBreakBefore w:val="0"/>
        <w:kinsoku/>
        <w:wordWrap/>
        <w:overflowPunct/>
        <w:topLinePunct w:val="0"/>
        <w:autoSpaceDE/>
        <w:autoSpaceDN/>
        <w:bidi w:val="0"/>
        <w:spacing w:line="576"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p>
    <w:p w14:paraId="60DAF639">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hint="eastAsia" w:ascii="Times New Roman" w:hAnsi="Times New Roman" w:eastAsia="黑体"/>
          <w:b w:val="0"/>
          <w:color w:val="auto"/>
          <w:highlight w:val="none"/>
        </w:rPr>
      </w:pPr>
      <w:bookmarkStart w:id="21" w:name="_Toc15396605"/>
      <w:bookmarkStart w:id="2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1"/>
      <w:bookmarkEnd w:id="22"/>
    </w:p>
    <w:p w14:paraId="07FC2403">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1350.28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815.49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60.39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534.79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39.6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6628A122">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Style w:val="19"/>
          <w:rFonts w:hint="eastAsia" w:ascii="黑体" w:hAnsi="黑体" w:eastAsia="黑体" w:cs="黑体"/>
          <w:sz w:val="32"/>
          <w:szCs w:val="32"/>
          <w:shd w:val="clear" w:color="auto" w:fill="FFFFFF"/>
          <w:lang w:eastAsia="zh-CN"/>
        </w:rPr>
        <w:pict>
          <v:shape id="Object 19" o:spid="_x0000_s1028" o:spt="75" type="#_x0000_t75" style="position:absolute;left:0pt;margin-left:30.6pt;margin-top:6.7pt;height:218.25pt;width:359.3pt;mso-wrap-distance-bottom:0pt;mso-wrap-distance-left:9pt;mso-wrap-distance-right:9pt;mso-wrap-distance-top:0pt;z-index:251662336;mso-width-relative:page;mso-height-relative:page;" o:ole="t" filled="f" o:preferrelative="t" stroked="f" coordsize="21600,21600">
            <v:path/>
            <v:fill on="f" focussize="0,0"/>
            <v:stroke on="f"/>
            <v:imagedata r:id="rId14" o:title=""/>
            <o:lock v:ext="edit" aspectratio="t"/>
            <w10:wrap type="square"/>
          </v:shape>
          <o:OLEObject Type="Embed" ProgID="Excel.Chart.8" ShapeID="Object 19" DrawAspect="Content" ObjectID="_1468075727" r:id="rId13">
            <o:LockedField>false</o:LockedField>
          </o:OLEObject>
        </w:pict>
      </w:r>
    </w:p>
    <w:p w14:paraId="4C6FF390">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w:t>
      </w:r>
    </w:p>
    <w:p w14:paraId="6CC9B25B">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BD15625">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6C5EA58">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79D4E12">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5DEA000">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59DE4E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8" w:leftChars="304" w:firstLine="0" w:firstLineChars="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图</w:t>
      </w:r>
      <w:r>
        <w:rPr>
          <w:rFonts w:hint="eastAsia" w:ascii="Times New Roman" w:hAnsi="Times New Roman" w:eastAsia="仿宋_GB2312" w:cs="仿宋_GB2312"/>
          <w:color w:val="auto"/>
          <w:sz w:val="32"/>
          <w:szCs w:val="32"/>
          <w:highlight w:val="none"/>
          <w:lang w:eastAsia="zh-CN"/>
        </w:rPr>
        <w:t>3：支出决算结构图）（饼状图）</w:t>
      </w:r>
    </w:p>
    <w:p w14:paraId="26532BB4">
      <w:pPr>
        <w:pageBreakBefore w:val="0"/>
        <w:kinsoku/>
        <w:wordWrap/>
        <w:overflowPunct/>
        <w:topLinePunct w:val="0"/>
        <w:autoSpaceDE/>
        <w:autoSpaceDN/>
        <w:bidi w:val="0"/>
        <w:spacing w:line="576"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p>
    <w:p w14:paraId="1A746200">
      <w:pPr>
        <w:pageBreakBefore w:val="0"/>
        <w:kinsoku/>
        <w:wordWrap/>
        <w:overflowPunct/>
        <w:topLinePunct w:val="0"/>
        <w:autoSpaceDE/>
        <w:autoSpaceDN/>
        <w:bidi w:val="0"/>
        <w:spacing w:line="576" w:lineRule="exact"/>
        <w:ind w:firstLine="640" w:firstLineChars="200"/>
        <w:textAlignment w:val="auto"/>
        <w:outlineLvl w:val="1"/>
        <w:rPr>
          <w:rStyle w:val="31"/>
          <w:rFonts w:ascii="Times New Roman" w:hAnsi="Times New Roman" w:eastAsia="黑体"/>
          <w:b w:val="0"/>
          <w:color w:val="auto"/>
          <w:highlight w:val="none"/>
        </w:rPr>
      </w:pPr>
      <w:bookmarkStart w:id="23" w:name="_Toc15377208"/>
      <w:bookmarkStart w:id="24"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3"/>
      <w:bookmarkEnd w:id="24"/>
    </w:p>
    <w:p w14:paraId="6B12259F">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default" w:ascii="仿宋_GB2312" w:hAnsi="仿宋_GB2312" w:eastAsia="仿宋_GB2312" w:cs="仿宋_GB2312"/>
          <w:kern w:val="0"/>
          <w:sz w:val="32"/>
          <w:szCs w:val="32"/>
          <w:shd w:val="clear" w:color="auto" w:fill="FFFFFF"/>
          <w:lang w:val="en-US" w:eastAsia="zh-CN"/>
        </w:rPr>
        <w:pict>
          <v:shape id="Object 7" o:spid="_x0000_s1029" o:spt="75" type="#_x0000_t75" style="position:absolute;left:0pt;margin-left:34.85pt;margin-top:129.2pt;height:214.75pt;width:345.65pt;mso-wrap-distance-left:9pt;mso-wrap-distance-right:9pt;z-index:-251653120;mso-width-relative:page;mso-height-relative:page;" o:ole="t" filled="f" o:preferrelative="t" stroked="f" coordsize="21600,21600" wrapcoords="21591 -2 0 0 0 21600 21591 21602 8 21602 21599 21600 21599 0 8 -2 21591 -2">
            <v:path/>
            <v:fill on="f" focussize="0,0"/>
            <v:stroke on="f"/>
            <v:imagedata r:id="rId16" o:title=""/>
            <o:lock v:ext="edit" aspectratio="t"/>
            <w10:wrap type="tight"/>
          </v:shape>
          <o:OLEObject Type="Embed" ProgID="Excel.Chart.8" ShapeID="Object 7" DrawAspect="Content" ObjectID="_1468075728" r:id="rId15">
            <o:LockedField>false</o:LockedField>
          </o:OLEObject>
        </w:pic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1348.84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总计增加173.06，增长14.63</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143.06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11.79</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shd w:val="clear" w:color="auto" w:fill="FFFFFF"/>
          <w:lang w:val="en-US" w:eastAsia="zh-CN"/>
        </w:rPr>
        <w:t>工资保险基数调整、公用经费、项目支出增加。</w:t>
      </w:r>
    </w:p>
    <w:p w14:paraId="7A0C840D">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p>
    <w:p w14:paraId="5514827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32A36EA">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55DB5E4B">
      <w:pPr>
        <w:pageBreakBefore w:val="0"/>
        <w:kinsoku/>
        <w:wordWrap/>
        <w:overflowPunct/>
        <w:topLinePunct w:val="0"/>
        <w:autoSpaceDE/>
        <w:autoSpaceDN/>
        <w:bidi w:val="0"/>
        <w:spacing w:line="576" w:lineRule="exact"/>
        <w:ind w:firstLine="640" w:firstLineChars="200"/>
        <w:textAlignment w:val="auto"/>
        <w:outlineLvl w:val="1"/>
        <w:rPr>
          <w:rStyle w:val="31"/>
          <w:rFonts w:ascii="Times New Roman" w:hAnsi="Times New Roman" w:eastAsia="黑体"/>
          <w:b w:val="0"/>
          <w:color w:val="auto"/>
          <w:highlight w:val="none"/>
        </w:rPr>
      </w:pPr>
      <w:bookmarkStart w:id="25" w:name="_Toc15396607"/>
      <w:bookmarkStart w:id="26"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5"/>
      <w:bookmarkEnd w:id="26"/>
    </w:p>
    <w:p w14:paraId="5206D199">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7"/>
    </w:p>
    <w:p w14:paraId="34984846">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default" w:ascii="仿宋_GB2312" w:hAnsi="仿宋_GB2312" w:eastAsia="仿宋_GB2312" w:cs="仿宋_GB2312"/>
          <w:sz w:val="32"/>
          <w:szCs w:val="32"/>
          <w:shd w:val="clear" w:color="auto" w:fill="FFFFFF"/>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1348.84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99.89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136.86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11.29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shd w:val="clear" w:color="auto" w:fill="FFFFFF"/>
          <w:lang w:val="en-US" w:eastAsia="zh-CN"/>
        </w:rPr>
        <w:t>工资标准调整、津贴调整等原因人员经费增加，公用经费及项目支出增加。</w:t>
      </w:r>
    </w:p>
    <w:p w14:paraId="5A569EBF">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仿宋_GB2312" w:hAnsi="仿宋_GB2312" w:eastAsia="仿宋_GB2312" w:cs="仿宋_GB2312"/>
          <w:kern w:val="0"/>
          <w:sz w:val="32"/>
          <w:szCs w:val="32"/>
          <w:shd w:val="clear" w:color="auto" w:fill="FFFFFF"/>
          <w:lang w:val="en-US" w:eastAsia="zh-CN"/>
        </w:rPr>
        <w:pict>
          <v:shape id="Object 12" o:spid="_x0000_s1030" o:spt="75" type="#_x0000_t75" style="position:absolute;left:0pt;margin-left:122.9pt;margin-top:68.85pt;height:210.9pt;width:361.5pt;mso-position-horizontal-relative:page;mso-position-vertical-relative:page;mso-wrap-distance-left:9pt;mso-wrap-distance-right:9pt;z-index:-251652096;mso-width-relative:page;mso-height-relative:page;" o:ole="t" filled="f" o:preferrelative="t" stroked="f" coordsize="21600,21600" wrapcoords="21592 -2 0 0 0 21600 21592 21602 8 21602 21600 21600 21600 0 8 -2 21592 -2">
            <v:path/>
            <v:fill on="f" focussize="0,0"/>
            <v:stroke on="f"/>
            <v:imagedata r:id="rId18" o:title=""/>
            <o:lock v:ext="edit" aspectratio="t"/>
            <w10:wrap type="tight"/>
          </v:shape>
          <o:OLEObject Type="Embed" ProgID="Excel.Chart.8" ShapeID="Object 12" DrawAspect="Content" ObjectID="_1468075729" r:id="rId17">
            <o:LockedField>false</o:LockedField>
          </o:OLEObject>
        </w:pict>
      </w:r>
    </w:p>
    <w:p w14:paraId="673ADEF6">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D5E0F96">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5F3F4EA4">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AA4F6B3">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8"/>
    </w:p>
    <w:p w14:paraId="1396FC4D">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1348.84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（201）527.52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39.11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（208）99.35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7.37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（210）33.46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2.48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节能环保支出（211）74.39万元，占5.52%；农林水支出（213）563.46万元，占41.77%；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（221）50.66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3.75</w:t>
      </w:r>
      <w:r>
        <w:rPr>
          <w:rFonts w:hint="eastAsia" w:ascii="Times New Roman" w:hAnsi="Times New Roman" w:eastAsia="仿宋_GB2312" w:cs="仿宋_GB2312"/>
          <w:color w:val="auto"/>
          <w:kern w:val="2"/>
          <w:sz w:val="32"/>
          <w:szCs w:val="32"/>
          <w:highlight w:val="none"/>
          <w:lang w:val="en-US" w:eastAsia="zh-CN" w:bidi="ar-SA"/>
        </w:rPr>
        <w:t>%；</w:t>
      </w:r>
    </w:p>
    <w:p w14:paraId="370F2A99">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shd w:val="clear" w:color="auto" w:fill="FFFFFF"/>
        </w:rPr>
        <w:pict>
          <v:shape id="Object 14" o:spid="_x0000_s1031" o:spt="75" type="#_x0000_t75" style="position:absolute;left:0pt;margin-left:103.5pt;margin-top:562.25pt;height:230.75pt;width:380.2pt;mso-position-horizontal-relative:page;mso-position-vertical-relative:page;mso-wrap-distance-bottom:0pt;mso-wrap-distance-left:9pt;mso-wrap-distance-right:9pt;mso-wrap-distance-top:0pt;z-index:251665408;mso-width-relative:page;mso-height-relative:page;" o:ole="t" filled="f" o:preferrelative="t" stroked="f" coordsize="21600,21600">
            <v:path/>
            <v:fill on="f" focussize="0,0"/>
            <v:stroke on="f"/>
            <v:imagedata r:id="rId20" o:title=""/>
            <o:lock v:ext="edit" aspectratio="t"/>
            <w10:wrap type="square"/>
          </v:shape>
          <o:OLEObject Type="Embed" ProgID="Excel.Chart.8" ShapeID="Object 14" DrawAspect="Content" ObjectID="_1468075730" r:id="rId19">
            <o:LockedField>false</o:LockedField>
          </o:OLEObject>
        </w:pict>
      </w:r>
    </w:p>
    <w:p w14:paraId="3A7C6CF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4D97850">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9"/>
    </w:p>
    <w:p w14:paraId="62606D76">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0" w:name="_Toc15377444"/>
      <w:bookmarkStart w:id="31" w:name="_Toc15377213"/>
      <w:bookmarkStart w:id="32"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1348.84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0"/>
      <w:bookmarkEnd w:id="31"/>
      <w:bookmarkEnd w:id="32"/>
    </w:p>
    <w:p w14:paraId="7BA2DA16">
      <w:pPr>
        <w:keepNext w:val="0"/>
        <w:keepLines w:val="0"/>
        <w:pageBreakBefore w:val="0"/>
        <w:kinsoku/>
        <w:wordWrap/>
        <w:overflowPunct/>
        <w:topLinePunct w:val="0"/>
        <w:autoSpaceDE/>
        <w:autoSpaceDN/>
        <w:bidi w:val="0"/>
        <w:spacing w:line="576" w:lineRule="exact"/>
        <w:ind w:firstLine="643" w:firstLineChars="200"/>
        <w:textAlignment w:val="auto"/>
        <w:rPr>
          <w:rFonts w:ascii="仿宋" w:hAnsi="仿宋" w:eastAsia="仿宋"/>
          <w:b/>
          <w:color w:val="auto"/>
          <w:sz w:val="32"/>
          <w:szCs w:val="32"/>
          <w:highlight w:val="none"/>
        </w:rPr>
      </w:pPr>
      <w:r>
        <w:rPr>
          <w:rStyle w:val="19"/>
          <w:rFonts w:ascii="仿宋" w:hAnsi="仿宋" w:eastAsia="仿宋"/>
          <w:bCs/>
          <w:color w:val="auto"/>
          <w:sz w:val="32"/>
          <w:szCs w:val="32"/>
          <w:highlight w:val="none"/>
        </w:rPr>
        <w:t>1.</w:t>
      </w:r>
      <w:r>
        <w:rPr>
          <w:rStyle w:val="19"/>
          <w:rFonts w:hint="eastAsia" w:ascii="仿宋" w:hAnsi="仿宋" w:eastAsia="仿宋"/>
          <w:bCs/>
          <w:color w:val="auto"/>
          <w:sz w:val="32"/>
          <w:szCs w:val="32"/>
          <w:highlight w:val="none"/>
        </w:rPr>
        <w:t>一般公共服务（</w:t>
      </w:r>
      <w:r>
        <w:rPr>
          <w:rStyle w:val="19"/>
          <w:rFonts w:hint="eastAsia" w:ascii="仿宋" w:hAnsi="仿宋" w:eastAsia="仿宋"/>
          <w:bCs/>
          <w:color w:val="auto"/>
          <w:sz w:val="32"/>
          <w:szCs w:val="32"/>
          <w:highlight w:val="none"/>
          <w:lang w:val="en-US" w:eastAsia="zh-CN"/>
        </w:rPr>
        <w:t>201</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eastAsia="zh-CN"/>
        </w:rPr>
        <w:t>：</w:t>
      </w:r>
      <w:bookmarkStart w:id="33" w:name="OLE_LINK9"/>
      <w:r>
        <w:rPr>
          <w:rStyle w:val="19"/>
          <w:rFonts w:ascii="仿宋" w:hAnsi="仿宋" w:eastAsia="仿宋"/>
          <w:b w:val="0"/>
          <w:bCs/>
          <w:color w:val="auto"/>
          <w:sz w:val="32"/>
          <w:szCs w:val="32"/>
          <w:highlight w:val="none"/>
        </w:rPr>
        <w:t xml:space="preserve"> </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527.52</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bookmarkEnd w:id="33"/>
    <w:p w14:paraId="1D29838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bookmarkStart w:id="34" w:name="OLE_LINK10"/>
      <w:r>
        <w:rPr>
          <w:rFonts w:hint="eastAsia" w:ascii="仿宋_GB2312" w:hAnsi="仿宋_GB2312" w:eastAsia="仿宋_GB2312" w:cs="仿宋_GB2312"/>
          <w:b w:val="0"/>
          <w:bCs/>
          <w:sz w:val="32"/>
          <w:szCs w:val="32"/>
          <w:shd w:val="clear" w:color="auto" w:fill="FFFFFF"/>
          <w:lang w:val="en-US" w:eastAsia="zh-CN"/>
        </w:rPr>
        <w:t>.人大事务（20101）：支出决算为13.83，完成预算</w:t>
      </w:r>
      <w:r>
        <w:rPr>
          <w:rStyle w:val="19"/>
          <w:rFonts w:hint="eastAsia" w:ascii="仿宋_GB2312" w:hAnsi="仿宋_GB2312" w:eastAsia="仿宋_GB2312" w:cs="仿宋_GB2312"/>
          <w:b w:val="0"/>
          <w:bCs/>
          <w:sz w:val="32"/>
          <w:szCs w:val="32"/>
          <w:shd w:val="clear" w:color="auto" w:fill="FFFFFF"/>
          <w:lang w:val="en-US" w:eastAsia="zh-CN"/>
        </w:rPr>
        <w:t>数100%，决算数与预算数持平。</w:t>
      </w:r>
    </w:p>
    <w:p w14:paraId="7648CE6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rPr>
      </w:pPr>
      <w:r>
        <w:rPr>
          <w:rStyle w:val="19"/>
          <w:rFonts w:hint="eastAsia" w:ascii="仿宋_GB2312" w:hAnsi="仿宋_GB2312" w:eastAsia="仿宋_GB2312" w:cs="仿宋_GB2312"/>
          <w:b w:val="0"/>
          <w:bCs/>
          <w:sz w:val="32"/>
          <w:szCs w:val="32"/>
          <w:shd w:val="clear" w:color="auto" w:fill="FFFFFF"/>
          <w:lang w:val="en-US" w:eastAsia="zh-CN"/>
        </w:rPr>
        <w:t>人大会议（2010104）：</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2.2</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37FAC031">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代表工作（2010108）：</w:t>
      </w:r>
      <w:bookmarkStart w:id="35" w:name="OLE_LINK6"/>
      <w:r>
        <w:rPr>
          <w:rStyle w:val="19"/>
          <w:rFonts w:hint="eastAsia" w:ascii="仿宋_GB2312" w:hAnsi="仿宋_GB2312" w:eastAsia="仿宋_GB2312" w:cs="仿宋_GB2312"/>
          <w:b w:val="0"/>
          <w:bCs/>
          <w:sz w:val="32"/>
          <w:szCs w:val="32"/>
          <w:shd w:val="clear" w:color="auto" w:fill="FFFFFF"/>
          <w:lang w:val="en-US" w:eastAsia="zh-CN"/>
        </w:rPr>
        <w:t>支出决算为11.63万元，完成预算100%，决算数与预算数持平。</w:t>
      </w:r>
      <w:bookmarkEnd w:id="34"/>
      <w:bookmarkEnd w:id="35"/>
    </w:p>
    <w:p w14:paraId="332DBBD9">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.政协事务（20102）：支出决算为1.4万元，完成预算100%，决算数与预算数持平。</w:t>
      </w:r>
    </w:p>
    <w:p w14:paraId="62E5E1AE">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default" w:ascii="仿宋_GB2312" w:hAnsi="仿宋_GB2312" w:eastAsia="仿宋_GB2312" w:cs="仿宋_GB2312"/>
          <w:b w:val="0"/>
          <w:bCs/>
          <w:sz w:val="32"/>
          <w:szCs w:val="32"/>
          <w:shd w:val="clear" w:color="auto" w:fill="FFFFFF"/>
          <w:lang w:val="en-US" w:eastAsia="zh-CN"/>
        </w:rPr>
        <w:t>其他政协事务支出</w:t>
      </w:r>
      <w:r>
        <w:rPr>
          <w:rStyle w:val="19"/>
          <w:rFonts w:hint="eastAsia" w:ascii="仿宋_GB2312" w:hAnsi="仿宋_GB2312" w:eastAsia="仿宋_GB2312" w:cs="仿宋_GB2312"/>
          <w:b w:val="0"/>
          <w:bCs/>
          <w:sz w:val="32"/>
          <w:szCs w:val="32"/>
          <w:shd w:val="clear" w:color="auto" w:fill="FFFFFF"/>
          <w:lang w:val="en-US" w:eastAsia="zh-CN"/>
        </w:rPr>
        <w:t>（2010299）：支出决算为1.4万元，完成预算100%，决算数与预算数持平。</w:t>
      </w:r>
    </w:p>
    <w:p w14:paraId="39D3B9C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 xml:space="preserve">.政府办公厅（室）及相关机构事务（20103）：支出决算为512.29万元，完成预算100%，决算数与预算数持平。  </w:t>
      </w:r>
    </w:p>
    <w:p w14:paraId="1CA0879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行政运行（2010301）：</w:t>
      </w:r>
      <w:bookmarkStart w:id="36" w:name="OLE_LINK8"/>
      <w:r>
        <w:rPr>
          <w:rStyle w:val="19"/>
          <w:rFonts w:hint="eastAsia" w:ascii="仿宋_GB2312" w:hAnsi="仿宋_GB2312" w:eastAsia="仿宋_GB2312" w:cs="仿宋_GB2312"/>
          <w:b w:val="0"/>
          <w:bCs/>
          <w:sz w:val="32"/>
          <w:szCs w:val="32"/>
          <w:shd w:val="clear" w:color="auto" w:fill="FFFFFF"/>
          <w:lang w:val="en-US" w:eastAsia="zh-CN"/>
        </w:rPr>
        <w:t>支出决算为512.29万元，完成预算100%，决算数与预算数持平。</w:t>
      </w:r>
      <w:bookmarkEnd w:id="36"/>
    </w:p>
    <w:p w14:paraId="09C8F848">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2.社会保障和就业支出（208）：</w:t>
      </w:r>
      <w:r>
        <w:rPr>
          <w:rStyle w:val="19"/>
          <w:rFonts w:hint="eastAsia" w:ascii="仿宋_GB2312" w:hAnsi="仿宋_GB2312" w:eastAsia="仿宋_GB2312" w:cs="仿宋_GB2312"/>
          <w:b w:val="0"/>
          <w:bCs/>
          <w:sz w:val="32"/>
          <w:szCs w:val="32"/>
          <w:shd w:val="clear" w:color="auto" w:fill="FFFFFF"/>
        </w:rPr>
        <w:t xml:space="preserve"> 支出决算为</w:t>
      </w:r>
      <w:r>
        <w:rPr>
          <w:rStyle w:val="19"/>
          <w:rFonts w:hint="eastAsia" w:ascii="仿宋_GB2312" w:hAnsi="仿宋_GB2312" w:eastAsia="仿宋_GB2312" w:cs="仿宋_GB2312"/>
          <w:b w:val="0"/>
          <w:bCs/>
          <w:sz w:val="32"/>
          <w:szCs w:val="32"/>
          <w:shd w:val="clear" w:color="auto" w:fill="FFFFFF"/>
          <w:lang w:val="en-US" w:eastAsia="zh-CN"/>
        </w:rPr>
        <w:t>99.35</w:t>
      </w:r>
      <w:r>
        <w:rPr>
          <w:rStyle w:val="19"/>
          <w:rFonts w:hint="eastAsia" w:ascii="仿宋_GB2312" w:hAnsi="仿宋_GB2312" w:eastAsia="仿宋_GB2312" w:cs="仿宋_GB2312"/>
          <w:b w:val="0"/>
          <w:bCs/>
          <w:sz w:val="32"/>
          <w:szCs w:val="32"/>
          <w:shd w:val="clear" w:color="auto" w:fill="FFFFFF"/>
        </w:rPr>
        <w:t>万</w:t>
      </w:r>
      <w:r>
        <w:rPr>
          <w:rStyle w:val="19"/>
          <w:rFonts w:hint="eastAsia" w:ascii="仿宋_GB2312" w:hAnsi="仿宋_GB2312" w:eastAsia="仿宋_GB2312" w:cs="仿宋_GB2312"/>
          <w:b w:val="0"/>
          <w:bCs/>
          <w:sz w:val="32"/>
          <w:szCs w:val="32"/>
          <w:shd w:val="clear" w:color="auto" w:fill="FFFFFF"/>
          <w:lang w:val="en-US" w:eastAsia="zh-CN"/>
        </w:rPr>
        <w:t>元，完成预算100%，决算数与预算数持平。</w:t>
      </w:r>
    </w:p>
    <w:p w14:paraId="04DF75A6">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.行政事业单位养老支出（20805）：支出决算为99.35万元，完成预算100%，决算数与预算数持平。</w:t>
      </w:r>
    </w:p>
    <w:p w14:paraId="28D4AA9E">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机关事业单位基本养老保险缴费支出（2080505）：支出决算为57.8万元，完成预算100%，决算数与预算数持平。</w:t>
      </w:r>
    </w:p>
    <w:p w14:paraId="2C40163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机关事业单位职业年金缴费支出（2080506）：支出决算为41.55</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154957B3">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卫生健康支出（210）：</w:t>
      </w:r>
      <w:r>
        <w:rPr>
          <w:rStyle w:val="19"/>
          <w:rFonts w:hint="eastAsia" w:ascii="仿宋_GB2312" w:hAnsi="仿宋_GB2312" w:eastAsia="仿宋_GB2312" w:cs="仿宋_GB2312"/>
          <w:b w:val="0"/>
          <w:bCs/>
          <w:sz w:val="32"/>
          <w:szCs w:val="32"/>
          <w:shd w:val="clear" w:color="auto" w:fill="FFFFFF"/>
        </w:rPr>
        <w:t xml:space="preserve"> 支出决算为</w:t>
      </w:r>
      <w:r>
        <w:rPr>
          <w:rStyle w:val="19"/>
          <w:rFonts w:hint="eastAsia" w:ascii="仿宋_GB2312" w:hAnsi="仿宋_GB2312" w:eastAsia="仿宋_GB2312" w:cs="仿宋_GB2312"/>
          <w:b w:val="0"/>
          <w:bCs/>
          <w:sz w:val="32"/>
          <w:szCs w:val="32"/>
          <w:shd w:val="clear" w:color="auto" w:fill="FFFFFF"/>
          <w:lang w:val="en-US" w:eastAsia="zh-CN"/>
        </w:rPr>
        <w:t>34.32</w:t>
      </w:r>
      <w:r>
        <w:rPr>
          <w:rStyle w:val="19"/>
          <w:rFonts w:hint="eastAsia" w:ascii="仿宋_GB2312" w:hAnsi="仿宋_GB2312" w:eastAsia="仿宋_GB2312" w:cs="仿宋_GB2312"/>
          <w:b w:val="0"/>
          <w:bCs/>
          <w:sz w:val="32"/>
          <w:szCs w:val="32"/>
          <w:shd w:val="clear" w:color="auto" w:fill="FFFFFF"/>
        </w:rPr>
        <w:t>万元，</w:t>
      </w:r>
      <w:r>
        <w:rPr>
          <w:rStyle w:val="19"/>
          <w:rFonts w:hint="eastAsia" w:ascii="仿宋_GB2312" w:hAnsi="仿宋_GB2312" w:eastAsia="仿宋_GB2312" w:cs="仿宋_GB2312"/>
          <w:b w:val="0"/>
          <w:bCs/>
          <w:sz w:val="32"/>
          <w:szCs w:val="32"/>
          <w:shd w:val="clear" w:color="auto" w:fill="FFFFFF"/>
          <w:lang w:val="en-US" w:eastAsia="zh-CN"/>
        </w:rPr>
        <w:t>完成预算100%，决算数与预算数持平。</w:t>
      </w:r>
    </w:p>
    <w:p w14:paraId="01D8B62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.公共卫生（210004）： 支出决算为0.5万元，完成预算100%，决算数与预算数持平。</w:t>
      </w:r>
    </w:p>
    <w:p w14:paraId="1A3AAA4E">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重大公共卫生服务（2100409）：支出决算为0.5万元，完成预算100%，决算数与预算数持平。</w:t>
      </w:r>
    </w:p>
    <w:p w14:paraId="6D81153C">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.行政事业单位医疗（21011）：支出决算为32.96万元，完成预算100%，决算数与预算数持平。</w:t>
      </w:r>
    </w:p>
    <w:p w14:paraId="498A63A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行政单位医疗（2101101）：支出决算为28.33万元，完成预算100%，决算数与预算数持平。</w:t>
      </w:r>
    </w:p>
    <w:p w14:paraId="17D1CE7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rPr>
      </w:pPr>
      <w:r>
        <w:rPr>
          <w:rStyle w:val="19"/>
          <w:rFonts w:hint="eastAsia" w:ascii="仿宋_GB2312" w:hAnsi="仿宋_GB2312" w:eastAsia="仿宋_GB2312" w:cs="仿宋_GB2312"/>
          <w:b w:val="0"/>
          <w:bCs/>
          <w:sz w:val="32"/>
          <w:szCs w:val="32"/>
          <w:shd w:val="clear" w:color="auto" w:fill="FFFFFF"/>
          <w:lang w:val="en-US" w:eastAsia="zh-CN"/>
        </w:rPr>
        <w:t>公务员医疗补助（2101103）：支出决算为4.63万元，完成预算100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39C3DC05">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4.节能环保支出（211）：</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74.39</w:t>
      </w:r>
      <w:r>
        <w:rPr>
          <w:rStyle w:val="19"/>
          <w:rFonts w:hint="eastAsia" w:ascii="仿宋_GB2312" w:hAnsi="仿宋_GB2312" w:eastAsia="仿宋_GB2312" w:cs="仿宋_GB2312"/>
          <w:b w:val="0"/>
          <w:bCs/>
          <w:sz w:val="32"/>
          <w:szCs w:val="32"/>
          <w:shd w:val="clear" w:color="auto" w:fill="FFFFFF"/>
        </w:rPr>
        <w:t>万元，完</w:t>
      </w:r>
      <w:r>
        <w:rPr>
          <w:rStyle w:val="19"/>
          <w:rFonts w:hint="eastAsia" w:ascii="仿宋_GB2312" w:hAnsi="仿宋_GB2312" w:eastAsia="仿宋_GB2312" w:cs="仿宋_GB2312"/>
          <w:b w:val="0"/>
          <w:bCs/>
          <w:sz w:val="32"/>
          <w:szCs w:val="32"/>
          <w:shd w:val="clear" w:color="auto" w:fill="FFFFFF"/>
          <w:lang w:val="en-US" w:eastAsia="zh-CN"/>
        </w:rPr>
        <w:t>成预算100%，决算数与预算数持平。</w:t>
      </w:r>
    </w:p>
    <w:p w14:paraId="5B61092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.污染防治（21103）：支出决算为74.39万元，完成预算100%，决算数与预算数持平。</w:t>
      </w:r>
    </w:p>
    <w:p w14:paraId="3C0E2DA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其他污染防治支出（2110399）：支出决算为74.39万元，完成预算100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5C97D494">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b/>
          <w:bCs w:val="0"/>
          <w:sz w:val="32"/>
          <w:szCs w:val="32"/>
          <w:shd w:val="clear" w:color="auto" w:fill="FFFFFF"/>
          <w:lang w:val="en-US" w:eastAsia="zh-CN"/>
        </w:rPr>
        <w:t>5.农林水支出（213）</w:t>
      </w:r>
      <w:r>
        <w:rPr>
          <w:rFonts w:hint="eastAsia" w:ascii="仿宋_GB2312" w:hAnsi="仿宋_GB2312" w:eastAsia="仿宋_GB2312" w:cs="仿宋_GB2312"/>
          <w:sz w:val="32"/>
          <w:szCs w:val="32"/>
          <w:shd w:val="clear" w:color="auto" w:fill="FFFFFF"/>
          <w:lang w:val="en-US" w:eastAsia="zh-CN"/>
        </w:rPr>
        <w:t>：</w:t>
      </w:r>
      <w:bookmarkStart w:id="37" w:name="OLE_LINK7"/>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563.46</w:t>
      </w:r>
      <w:r>
        <w:rPr>
          <w:rStyle w:val="19"/>
          <w:rFonts w:hint="eastAsia" w:ascii="仿宋_GB2312" w:hAnsi="仿宋_GB2312" w:eastAsia="仿宋_GB2312" w:cs="仿宋_GB2312"/>
          <w:b w:val="0"/>
          <w:bCs/>
          <w:sz w:val="32"/>
          <w:szCs w:val="32"/>
          <w:shd w:val="clear" w:color="auto" w:fill="FFFFFF"/>
        </w:rPr>
        <w:t>万元，完成</w:t>
      </w:r>
      <w:r>
        <w:rPr>
          <w:rStyle w:val="19"/>
          <w:rFonts w:hint="eastAsia" w:ascii="仿宋_GB2312" w:hAnsi="仿宋_GB2312" w:eastAsia="仿宋_GB2312" w:cs="仿宋_GB2312"/>
          <w:b w:val="0"/>
          <w:bCs/>
          <w:sz w:val="32"/>
          <w:szCs w:val="32"/>
          <w:shd w:val="clear" w:color="auto" w:fill="FFFFFF"/>
          <w:lang w:val="en-US" w:eastAsia="zh-CN"/>
        </w:rPr>
        <w:t>预算100%，决算数与预算数持平。</w:t>
      </w:r>
      <w:bookmarkEnd w:id="37"/>
    </w:p>
    <w:p w14:paraId="0E0CC8C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.农业农村（21301）：支出决算为7.93万元，完成预算100%，决算数与预算数持平。</w:t>
      </w:r>
    </w:p>
    <w:p w14:paraId="52951FC5">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其他农业农村支出（2130199）：支出决算为7.93万元，完成预算100%，决算数与预算数持平。</w:t>
      </w:r>
    </w:p>
    <w:p w14:paraId="5CCDD702">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.巩固拓展脱贫攻坚成果衔接乡村振兴（21305）：支出决算为302.08万元，完成预算100%，决算数与预算数持平。</w:t>
      </w:r>
    </w:p>
    <w:p w14:paraId="0C9499A5">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农村基础设施建设（2130504）：支出决算为302.08万元，完成预算100%，决算数与预算数持平。</w:t>
      </w:r>
    </w:p>
    <w:p w14:paraId="628888FA">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.农村综合改革（21307）：支出决算为253.45万元，完成预算100%，决算数与预算数持平。</w:t>
      </w:r>
    </w:p>
    <w:p w14:paraId="34784E72">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rPr>
      </w:pPr>
      <w:r>
        <w:rPr>
          <w:rStyle w:val="19"/>
          <w:rFonts w:hint="eastAsia" w:ascii="仿宋_GB2312" w:hAnsi="仿宋_GB2312" w:eastAsia="仿宋_GB2312" w:cs="仿宋_GB2312"/>
          <w:b w:val="0"/>
          <w:bCs/>
          <w:sz w:val="32"/>
          <w:szCs w:val="32"/>
          <w:shd w:val="clear" w:color="auto" w:fill="FFFFFF"/>
          <w:lang w:val="en-US" w:eastAsia="zh-CN"/>
        </w:rPr>
        <w:t>对村民委员会和村党支部的补助（2130705）：支出决算为253.45万元</w:t>
      </w:r>
      <w:r>
        <w:rPr>
          <w:rStyle w:val="19"/>
          <w:rFonts w:hint="eastAsia" w:ascii="仿宋_GB2312" w:hAnsi="仿宋_GB2312" w:eastAsia="仿宋_GB2312" w:cs="仿宋_GB2312"/>
          <w:b w:val="0"/>
          <w:bCs/>
          <w:sz w:val="32"/>
          <w:szCs w:val="32"/>
          <w:shd w:val="clear" w:color="auto" w:fill="FFFFFF"/>
        </w:rPr>
        <w:t>，完成预算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79925151">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b/>
          <w:bCs/>
          <w:sz w:val="32"/>
          <w:szCs w:val="32"/>
          <w:shd w:val="clear" w:color="auto" w:fill="FFFFFF"/>
          <w:lang w:val="en-US" w:eastAsia="zh-CN"/>
        </w:rPr>
        <w:t>6.住房保障支出（221）</w:t>
      </w:r>
      <w:r>
        <w:rPr>
          <w:rFonts w:hint="eastAsia" w:ascii="仿宋_GB2312" w:hAnsi="仿宋_GB2312" w:eastAsia="仿宋_GB2312" w:cs="仿宋_GB2312"/>
          <w:sz w:val="32"/>
          <w:szCs w:val="32"/>
          <w:shd w:val="clear" w:color="auto" w:fill="FFFFFF"/>
        </w:rPr>
        <w:t> </w:t>
      </w:r>
      <w:r>
        <w:rPr>
          <w:rFonts w:hint="eastAsia" w:ascii="仿宋_GB2312" w:hAnsi="仿宋_GB2312" w:eastAsia="仿宋_GB2312" w:cs="仿宋_GB2312"/>
          <w:sz w:val="32"/>
          <w:szCs w:val="32"/>
          <w:shd w:val="clear" w:color="auto" w:fill="FFFFFF"/>
          <w:lang w:eastAsia="zh-CN"/>
        </w:rPr>
        <w:t>：</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50.66</w:t>
      </w:r>
      <w:r>
        <w:rPr>
          <w:rStyle w:val="19"/>
          <w:rFonts w:hint="eastAsia" w:ascii="仿宋_GB2312" w:hAnsi="仿宋_GB2312" w:eastAsia="仿宋_GB2312" w:cs="仿宋_GB2312"/>
          <w:b w:val="0"/>
          <w:bCs/>
          <w:sz w:val="32"/>
          <w:szCs w:val="32"/>
          <w:shd w:val="clear" w:color="auto" w:fill="FFFFFF"/>
        </w:rPr>
        <w:t>万元，完</w:t>
      </w:r>
      <w:r>
        <w:rPr>
          <w:rStyle w:val="19"/>
          <w:rFonts w:hint="eastAsia" w:ascii="仿宋_GB2312" w:hAnsi="仿宋_GB2312" w:eastAsia="仿宋_GB2312" w:cs="仿宋_GB2312"/>
          <w:b w:val="0"/>
          <w:bCs/>
          <w:sz w:val="32"/>
          <w:szCs w:val="32"/>
          <w:shd w:val="clear" w:color="auto" w:fill="FFFFFF"/>
          <w:lang w:val="en-US" w:eastAsia="zh-CN"/>
        </w:rPr>
        <w:t>成预算100%，决算数与预算数持平。</w:t>
      </w:r>
    </w:p>
    <w:p w14:paraId="16B99E2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.住房改革支出（22102）：支出决算为50.66万元，完成预算100%，决算数与预算数持平。</w:t>
      </w:r>
    </w:p>
    <w:p w14:paraId="665863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住房公积金（2210201）：支出决算为50.66万元，完成预算100%，决算数与预算数持平。 </w:t>
      </w:r>
    </w:p>
    <w:p w14:paraId="220C4E30">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textAlignment w:val="auto"/>
        <w:outlineLvl w:val="1"/>
        <w:rPr>
          <w:rFonts w:hint="eastAsia" w:ascii="Times New Roman" w:hAnsi="Times New Roman" w:eastAsia="黑体"/>
          <w:color w:val="auto"/>
          <w:sz w:val="32"/>
          <w:szCs w:val="32"/>
          <w:highlight w:val="none"/>
        </w:rPr>
      </w:pPr>
      <w:bookmarkStart w:id="38" w:name="_Toc15396608"/>
      <w:bookmarkStart w:id="39" w:name="_Toc15377214"/>
    </w:p>
    <w:p w14:paraId="30030668">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textAlignment w:val="auto"/>
        <w:outlineLvl w:val="1"/>
        <w:rPr>
          <w:rStyle w:val="31"/>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8"/>
      <w:bookmarkEnd w:id="39"/>
      <w:r>
        <w:rPr>
          <w:rStyle w:val="31"/>
          <w:rFonts w:ascii="Times New Roman" w:hAnsi="Times New Roman" w:eastAsia="黑体"/>
          <w:b w:val="0"/>
          <w:color w:val="auto"/>
          <w:highlight w:val="none"/>
        </w:rPr>
        <w:tab/>
      </w:r>
    </w:p>
    <w:p w14:paraId="06A8F9E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815.49</w:t>
      </w:r>
      <w:r>
        <w:rPr>
          <w:rFonts w:hint="eastAsia" w:ascii="Times New Roman" w:hAnsi="Times New Roman" w:eastAsia="仿宋_GB2312" w:cs="仿宋_GB2312"/>
          <w:color w:val="auto"/>
          <w:kern w:val="2"/>
          <w:sz w:val="32"/>
          <w:szCs w:val="32"/>
          <w:highlight w:val="none"/>
          <w:lang w:val="en-US" w:eastAsia="zh-CN" w:bidi="ar-SA"/>
        </w:rPr>
        <w:t>万元，其中：</w:t>
      </w:r>
    </w:p>
    <w:p w14:paraId="4C1E844A">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647.01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168.48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AB4532A">
      <w:pPr>
        <w:pageBreakBefore w:val="0"/>
        <w:kinsoku/>
        <w:wordWrap/>
        <w:overflowPunct/>
        <w:topLinePunct w:val="0"/>
        <w:autoSpaceDE/>
        <w:autoSpaceDN/>
        <w:bidi w:val="0"/>
        <w:spacing w:line="576" w:lineRule="exact"/>
        <w:ind w:firstLine="640"/>
        <w:textAlignment w:val="auto"/>
        <w:outlineLvl w:val="1"/>
        <w:rPr>
          <w:rFonts w:hint="eastAsia" w:ascii="Times New Roman" w:hAnsi="Times New Roman" w:eastAsia="黑体"/>
          <w:color w:val="auto"/>
          <w:sz w:val="32"/>
          <w:szCs w:val="32"/>
          <w:highlight w:val="none"/>
        </w:rPr>
      </w:pPr>
      <w:bookmarkStart w:id="40" w:name="_Toc15377215"/>
      <w:bookmarkStart w:id="41" w:name="_Toc15396609"/>
    </w:p>
    <w:p w14:paraId="78E34DEB">
      <w:pPr>
        <w:pageBreakBefore w:val="0"/>
        <w:kinsoku/>
        <w:wordWrap/>
        <w:overflowPunct/>
        <w:topLinePunct w:val="0"/>
        <w:autoSpaceDE/>
        <w:autoSpaceDN/>
        <w:bidi w:val="0"/>
        <w:spacing w:line="576" w:lineRule="exact"/>
        <w:ind w:firstLine="640"/>
        <w:textAlignment w:val="auto"/>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0"/>
      <w:bookmarkEnd w:id="41"/>
    </w:p>
    <w:p w14:paraId="36F1B7ED">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03DCF1DF">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7.77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4.16</w:t>
      </w:r>
      <w:r>
        <w:rPr>
          <w:rFonts w:hint="eastAsia" w:ascii="Times New Roman" w:hAnsi="Times New Roman" w:eastAsia="仿宋_GB2312" w:cs="仿宋_GB2312"/>
          <w:color w:val="auto"/>
          <w:kern w:val="2"/>
          <w:sz w:val="32"/>
          <w:szCs w:val="32"/>
          <w:highlight w:val="none"/>
          <w:lang w:val="en-US" w:eastAsia="zh-CN" w:bidi="ar-SA"/>
        </w:rPr>
        <w:t>%。决算数预算数持平</w:t>
      </w:r>
    </w:p>
    <w:p w14:paraId="5EBEA4FC">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0E9260E1">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7.77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55F67F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7472A2FF">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shd w:val="clear" w:color="auto" w:fill="FFFFFF"/>
          <w:lang w:eastAsia="zh-CN"/>
        </w:rPr>
        <w:pict>
          <v:shape id="Object 15" o:spid="_x0000_s1032" o:spt="75" type="#_x0000_t75" style="position:absolute;left:0pt;margin-left:117.5pt;margin-top:62.35pt;height:201.1pt;width:355.3pt;mso-position-horizontal-relative:page;mso-position-vertical-relative:page;mso-wrap-distance-bottom:0pt;mso-wrap-distance-left:9pt;mso-wrap-distance-right:9pt;mso-wrap-distance-top:0pt;z-index:251666432;mso-width-relative:page;mso-height-relative:page;" o:ole="t" filled="f" o:preferrelative="t" stroked="f" coordsize="21600,21600">
            <v:path/>
            <v:fill on="f" focussize="0,0"/>
            <v:stroke on="f"/>
            <v:imagedata r:id="rId22" o:title=""/>
            <o:lock v:ext="edit" aspectratio="t"/>
            <w10:wrap type="square"/>
          </v:shape>
          <o:OLEObject Type="Embed" ProgID="Excel.Chart.8" ShapeID="Object 15" DrawAspect="Content" ObjectID="_1468075731" r:id="rId21">
            <o:LockedField>false</o:LockedField>
          </o:OLEObject>
        </w:pict>
      </w:r>
    </w:p>
    <w:p w14:paraId="56A69754">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79CB3D5E">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253051A0">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015C34C">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6F67367C">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7E66512">
      <w:pPr>
        <w:pageBreakBefore w:val="0"/>
        <w:kinsoku/>
        <w:wordWrap/>
        <w:overflowPunct/>
        <w:topLinePunct w:val="0"/>
        <w:autoSpaceDE/>
        <w:autoSpaceDN/>
        <w:bidi w:val="0"/>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bookmarkStart w:id="44" w:name="OLE_LINK16"/>
      <w:r>
        <w:rPr>
          <w:rStyle w:val="19"/>
          <w:rFonts w:hint="eastAsia" w:ascii="仿宋_GB2312" w:hAnsi="仿宋_GB2312" w:eastAsia="仿宋_GB2312" w:cs="仿宋_GB2312"/>
          <w:sz w:val="32"/>
          <w:szCs w:val="32"/>
          <w:shd w:val="clear" w:color="auto" w:fill="FFFFFF"/>
        </w:rPr>
        <w:t>因公出国（境）经费支出</w:t>
      </w:r>
      <w:r>
        <w:rPr>
          <w:rFonts w:hint="eastAsia" w:ascii="仿宋_GB2312" w:hAnsi="仿宋_GB2312" w:eastAsia="仿宋_GB2312" w:cs="仿宋_GB2312"/>
          <w:sz w:val="32"/>
          <w:szCs w:val="32"/>
          <w:shd w:val="clear" w:color="auto" w:fill="FFFFFF"/>
        </w:rPr>
        <w:t>0万元，</w:t>
      </w:r>
      <w:r>
        <w:rPr>
          <w:rStyle w:val="19"/>
          <w:rFonts w:hint="eastAsia" w:ascii="仿宋_GB2312" w:hAnsi="仿宋_GB2312" w:eastAsia="仿宋_GB2312" w:cs="仿宋_GB2312"/>
          <w:sz w:val="32"/>
          <w:szCs w:val="32"/>
          <w:shd w:val="clear" w:color="auto" w:fill="FFFFFF"/>
        </w:rPr>
        <w:t>完成预算0%。</w:t>
      </w:r>
      <w:r>
        <w:rPr>
          <w:rFonts w:hint="eastAsia" w:ascii="仿宋_GB2312" w:hAnsi="仿宋_GB2312" w:eastAsia="仿宋_GB2312" w:cs="仿宋_GB2312"/>
          <w:sz w:val="32"/>
          <w:szCs w:val="32"/>
          <w:shd w:val="clear" w:color="auto" w:fill="FFFFFF"/>
        </w:rPr>
        <w:t>全年安排因公出国（境）团组0次，出国（境）0人。因公出国（境）支出决算比</w:t>
      </w:r>
      <w:r>
        <w:rPr>
          <w:rFonts w:hint="eastAsia" w:ascii="仿宋_GB2312" w:hAnsi="仿宋_GB2312" w:eastAsia="仿宋_GB2312" w:cs="仿宋_GB2312"/>
          <w:sz w:val="32"/>
          <w:szCs w:val="32"/>
          <w:shd w:val="clear" w:color="auto" w:fill="FFFFFF"/>
          <w:lang w:val="en-US" w:eastAsia="zh-CN"/>
        </w:rPr>
        <w:t>2024</w:t>
      </w:r>
      <w:r>
        <w:rPr>
          <w:rFonts w:hint="eastAsia" w:ascii="仿宋_GB2312" w:hAnsi="仿宋_GB2312" w:eastAsia="仿宋_GB2312" w:cs="仿宋_GB2312"/>
          <w:sz w:val="32"/>
          <w:szCs w:val="32"/>
          <w:shd w:val="clear" w:color="auto" w:fill="FFFFFF"/>
        </w:rPr>
        <w:t>年增加0万元，增长0%。</w:t>
      </w:r>
      <w:bookmarkEnd w:id="44"/>
    </w:p>
    <w:p w14:paraId="211168A1">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7.77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4.16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shd w:val="clear" w:color="auto" w:fill="FFFFFF"/>
          <w:lang w:val="en-US" w:eastAsia="zh-CN"/>
        </w:rPr>
        <w:t>公务用车运行费增加。</w:t>
      </w:r>
    </w:p>
    <w:p w14:paraId="2FE7BB0C">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5566825">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7.77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w:t>
      </w:r>
      <w:r>
        <w:rPr>
          <w:rFonts w:hint="eastAsia" w:ascii="Times New Roman" w:hAnsi="Times New Roman" w:eastAsia="仿宋_GB2312" w:cs="仿宋_GB2312"/>
          <w:color w:val="auto"/>
          <w:kern w:val="2"/>
          <w:sz w:val="32"/>
          <w:szCs w:val="32"/>
          <w:highlight w:val="none"/>
          <w:lang w:val="en-US" w:eastAsia="zh-CN" w:bidi="ar-SA"/>
        </w:rPr>
        <w:t>工作所需的公务用车燃料费、维修费、过路过桥费、保险费等支出。</w:t>
      </w:r>
    </w:p>
    <w:p w14:paraId="1DDC350F">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7C20C333">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BBECF39">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93002A9">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45" w:name="_Toc15377218"/>
      <w:bookmarkStart w:id="46" w:name="_Toc15396610"/>
    </w:p>
    <w:p w14:paraId="5E5CC922">
      <w:pPr>
        <w:pageBreakBefore w:val="0"/>
        <w:kinsoku/>
        <w:wordWrap/>
        <w:overflowPunct/>
        <w:topLinePunct w:val="0"/>
        <w:autoSpaceDE/>
        <w:autoSpaceDN/>
        <w:bidi w:val="0"/>
        <w:spacing w:line="576" w:lineRule="exact"/>
        <w:ind w:firstLine="640"/>
        <w:textAlignment w:val="auto"/>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5"/>
      <w:bookmarkEnd w:id="46"/>
    </w:p>
    <w:p w14:paraId="18828CA5">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D92C2C5">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6941BCF">
      <w:pPr>
        <w:pageBreakBefore w:val="0"/>
        <w:numPr>
          <w:ilvl w:val="0"/>
          <w:numId w:val="0"/>
        </w:numPr>
        <w:kinsoku/>
        <w:wordWrap/>
        <w:overflowPunct/>
        <w:topLinePunct w:val="0"/>
        <w:autoSpaceDE/>
        <w:autoSpaceDN/>
        <w:bidi w:val="0"/>
        <w:spacing w:line="576" w:lineRule="exact"/>
        <w:ind w:left="630" w:leftChars="0"/>
        <w:textAlignment w:val="auto"/>
        <w:outlineLvl w:val="1"/>
        <w:rPr>
          <w:rStyle w:val="31"/>
          <w:rFonts w:ascii="Times New Roman" w:hAnsi="Times New Roman" w:eastAsia="黑体"/>
          <w:b w:val="0"/>
          <w:color w:val="auto"/>
          <w:highlight w:val="none"/>
        </w:rPr>
      </w:pPr>
      <w:bookmarkStart w:id="47" w:name="_Toc15396611"/>
      <w:bookmarkStart w:id="48"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7"/>
      <w:bookmarkEnd w:id="48"/>
    </w:p>
    <w:p w14:paraId="62EF98A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54E2035">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3DC637B3">
      <w:pPr>
        <w:pageBreakBefore w:val="0"/>
        <w:numPr>
          <w:ilvl w:val="0"/>
          <w:numId w:val="0"/>
        </w:numPr>
        <w:kinsoku/>
        <w:wordWrap/>
        <w:overflowPunct/>
        <w:topLinePunct w:val="0"/>
        <w:autoSpaceDE/>
        <w:autoSpaceDN/>
        <w:bidi w:val="0"/>
        <w:spacing w:line="576" w:lineRule="exact"/>
        <w:ind w:left="630" w:leftChars="0"/>
        <w:textAlignment w:val="auto"/>
        <w:outlineLvl w:val="1"/>
        <w:rPr>
          <w:rStyle w:val="31"/>
          <w:rFonts w:hint="eastAsia" w:ascii="Times New Roman" w:hAnsi="Times New Roman" w:eastAsia="黑体"/>
          <w:b w:val="0"/>
          <w:color w:val="auto"/>
          <w:highlight w:val="none"/>
        </w:rPr>
      </w:pPr>
      <w:bookmarkStart w:id="49" w:name="_Toc15377221"/>
      <w:bookmarkStart w:id="50"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9"/>
      <w:bookmarkEnd w:id="50"/>
    </w:p>
    <w:p w14:paraId="502C9AF0">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1" w:name="_Toc15377222"/>
      <w:r>
        <w:rPr>
          <w:rFonts w:hint="eastAsia" w:ascii="Times New Roman" w:hAnsi="Times New Roman" w:eastAsia="楷体_GB2312" w:cs="楷体_GB2312"/>
          <w:b/>
          <w:color w:val="auto"/>
          <w:sz w:val="32"/>
          <w:szCs w:val="32"/>
          <w:highlight w:val="none"/>
        </w:rPr>
        <w:t>（一）机关运行经费支出情况</w:t>
      </w:r>
      <w:bookmarkEnd w:id="51"/>
    </w:p>
    <w:p w14:paraId="24F9A376">
      <w:pPr>
        <w:pageBreakBefore w:val="0"/>
        <w:kinsoku/>
        <w:wordWrap/>
        <w:overflowPunct/>
        <w:topLinePunct w:val="0"/>
        <w:autoSpaceDE/>
        <w:autoSpaceDN/>
        <w:bidi w:val="0"/>
        <w:spacing w:line="576" w:lineRule="exact"/>
        <w:ind w:firstLine="64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松潘县十里回族乡人民政府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168.48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30.33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21.95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公用经费增加。</w:t>
      </w:r>
    </w:p>
    <w:p w14:paraId="16D316E9">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lang w:val="en-US" w:eastAsia="zh-CN"/>
        </w:rPr>
      </w:pPr>
      <w:bookmarkStart w:id="52" w:name="_Toc15377223"/>
      <w:r>
        <w:rPr>
          <w:rFonts w:hint="eastAsia" w:ascii="Times New Roman" w:hAnsi="Times New Roman" w:eastAsia="楷体_GB2312" w:cs="楷体_GB2312"/>
          <w:b/>
          <w:color w:val="auto"/>
          <w:sz w:val="32"/>
          <w:szCs w:val="32"/>
          <w:highlight w:val="none"/>
        </w:rPr>
        <w:t>（二）政府采购支出情况</w:t>
      </w:r>
      <w:bookmarkEnd w:id="52"/>
      <w:r>
        <w:rPr>
          <w:rFonts w:hint="eastAsia" w:eastAsia="楷体_GB2312" w:cs="楷体_GB2312"/>
          <w:b/>
          <w:color w:val="auto"/>
          <w:sz w:val="32"/>
          <w:szCs w:val="32"/>
          <w:highlight w:val="none"/>
          <w:lang w:val="en-US" w:eastAsia="zh-CN"/>
        </w:rPr>
        <w:t>政府</w:t>
      </w:r>
    </w:p>
    <w:p w14:paraId="4379CF2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松潘县十里回族乡人</w:t>
      </w:r>
      <w:bookmarkStart w:id="81" w:name="_GoBack"/>
      <w:r>
        <w:rPr>
          <w:rFonts w:hint="eastAsia" w:ascii="仿宋_GB2312" w:hAnsi="仿宋_GB2312" w:eastAsia="仿宋_GB2312" w:cs="仿宋_GB2312"/>
          <w:sz w:val="32"/>
          <w:szCs w:val="32"/>
        </w:rPr>
        <w:t>民政府</w:t>
      </w:r>
      <w:r>
        <w:rPr>
          <w:rFonts w:hint="eastAsia" w:ascii="仿宋_GB2312" w:hAnsi="仿宋_GB2312" w:eastAsia="仿宋_GB2312" w:cs="仿宋_GB2312"/>
          <w:sz w:val="32"/>
          <w:szCs w:val="32"/>
          <w:lang w:val="en-US" w:eastAsia="zh-CN"/>
        </w:rPr>
        <w:t>政府</w:t>
      </w:r>
      <w:bookmarkEnd w:id="81"/>
      <w:r>
        <w:rPr>
          <w:rFonts w:hint="eastAsia" w:ascii="Times New Roman" w:hAnsi="Times New Roman" w:eastAsia="仿宋_GB2312" w:cs="仿宋_GB2312"/>
          <w:color w:val="auto"/>
          <w:kern w:val="2"/>
          <w:sz w:val="32"/>
          <w:szCs w:val="32"/>
          <w:highlight w:val="none"/>
          <w:lang w:val="en-US" w:eastAsia="zh-CN" w:bidi="ar-SA"/>
        </w:rPr>
        <w:t>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163D7711">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3" w:name="_Toc15377224"/>
      <w:r>
        <w:rPr>
          <w:rFonts w:hint="eastAsia" w:ascii="Times New Roman" w:hAnsi="Times New Roman" w:eastAsia="楷体_GB2312" w:cs="楷体_GB2312"/>
          <w:b/>
          <w:color w:val="auto"/>
          <w:sz w:val="32"/>
          <w:szCs w:val="32"/>
          <w:highlight w:val="none"/>
        </w:rPr>
        <w:t>（三）国有资产占有使用情况</w:t>
      </w:r>
      <w:bookmarkEnd w:id="53"/>
    </w:p>
    <w:p w14:paraId="7A1289FC">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松潘县十里回族乡人民政府（本级）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日常工作运转。</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7FC9BDE">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58B2053">
      <w:pPr>
        <w:pStyle w:val="16"/>
        <w:keepNext w:val="0"/>
        <w:keepLines w:val="0"/>
        <w:pageBreakBefore w:val="0"/>
        <w:widowControl/>
        <w:suppressLineNumbers w:val="0"/>
        <w:kinsoku/>
        <w:wordWrap/>
        <w:overflowPunct/>
        <w:topLinePunct w:val="0"/>
        <w:autoSpaceDN/>
        <w:bidi w:val="0"/>
        <w:adjustRightInd/>
        <w:snapToGrid/>
        <w:spacing w:before="0" w:beforeAutospacing="0" w:line="576" w:lineRule="exact"/>
        <w:ind w:left="0" w:firstLine="640" w:firstLineChars="200"/>
        <w:jc w:val="left"/>
        <w:textAlignment w:val="auto"/>
        <w:rPr>
          <w:rStyle w:val="19"/>
          <w:rFonts w:hint="eastAsia" w:ascii="方正小标宋简体" w:hAnsi="方正小标宋简体" w:eastAsia="方正小标宋简体" w:cs="方正小标宋简体"/>
          <w:sz w:val="44"/>
          <w:szCs w:val="44"/>
          <w:shd w:val="clear" w:color="auto" w:fill="FFFFFF"/>
        </w:rPr>
      </w:pPr>
      <w:r>
        <w:rPr>
          <w:rFonts w:hint="eastAsia" w:ascii="仿宋_GB2312" w:hAnsi="仿宋_GB2312" w:eastAsia="仿宋_GB2312" w:cs="仿宋_GB2312"/>
          <w:sz w:val="32"/>
          <w:szCs w:val="32"/>
          <w:shd w:val="clear" w:color="auto" w:fill="FFFFFF"/>
        </w:rPr>
        <w:t>根据预算绩效管理要求，本部门在</w:t>
      </w:r>
      <w:r>
        <w:rPr>
          <w:rFonts w:hint="eastAsia" w:ascii="仿宋_GB2312" w:hAnsi="仿宋_GB2312" w:eastAsia="仿宋_GB2312" w:cs="仿宋_GB2312"/>
          <w:sz w:val="32"/>
          <w:szCs w:val="32"/>
          <w:shd w:val="clear" w:color="auto" w:fill="FFFFFF"/>
          <w:lang w:eastAsia="zh-CN"/>
        </w:rPr>
        <w:t>2024</w:t>
      </w:r>
      <w:r>
        <w:rPr>
          <w:rFonts w:hint="eastAsia" w:ascii="仿宋_GB2312" w:hAnsi="仿宋_GB2312" w:eastAsia="仿宋_GB2312" w:cs="仿宋_GB2312"/>
          <w:sz w:val="32"/>
          <w:szCs w:val="32"/>
          <w:shd w:val="clear" w:color="auto" w:fill="FFFFFF"/>
        </w:rPr>
        <w:t>年度预算编制阶段，组织对</w:t>
      </w:r>
      <w:r>
        <w:rPr>
          <w:rFonts w:hint="eastAsia" w:ascii="仿宋_GB2312" w:hAnsi="仿宋_GB2312" w:eastAsia="仿宋_GB2312" w:cs="仿宋_GB2312"/>
          <w:sz w:val="32"/>
          <w:szCs w:val="32"/>
          <w:shd w:val="clear" w:color="auto" w:fill="FFFFFF"/>
          <w:lang w:val="en-US" w:eastAsia="zh-CN"/>
        </w:rPr>
        <w:t>0个</w:t>
      </w:r>
      <w:r>
        <w:rPr>
          <w:rFonts w:hint="eastAsia" w:ascii="仿宋_GB2312" w:hAnsi="仿宋_GB2312" w:eastAsia="仿宋_GB2312" w:cs="仿宋_GB2312"/>
          <w:sz w:val="32"/>
          <w:szCs w:val="32"/>
          <w:shd w:val="clear" w:color="auto" w:fill="FFFFFF"/>
        </w:rPr>
        <w:t>项目（项目名称）等</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个项目开展了预算事前绩效评估，对</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个项目编制了绩效目标</w:t>
      </w:r>
      <w:r>
        <w:rPr>
          <w:rFonts w:hint="eastAsia" w:ascii="仿宋_GB2312" w:hAnsi="仿宋_GB2312" w:eastAsia="仿宋_GB2312" w:cs="仿宋_GB2312"/>
          <w:sz w:val="32"/>
          <w:szCs w:val="32"/>
          <w:shd w:val="clear" w:color="auto" w:fill="FFFFFF"/>
          <w:lang w:eastAsia="zh-CN"/>
        </w:rPr>
        <w:t>，在</w:t>
      </w:r>
      <w:r>
        <w:rPr>
          <w:rFonts w:hint="eastAsia" w:ascii="仿宋_GB2312" w:hAnsi="仿宋_GB2312" w:eastAsia="仿宋_GB2312" w:cs="仿宋_GB2312"/>
          <w:sz w:val="32"/>
          <w:szCs w:val="32"/>
          <w:shd w:val="clear" w:color="auto" w:fill="FFFFFF"/>
        </w:rPr>
        <w:t>预算执行过程中，选取</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个项目开展绩效监控，组织对</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个项目开展绩效自评。</w:t>
      </w:r>
    </w:p>
    <w:p w14:paraId="213CCED8">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0BE3D01">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bookmarkStart w:id="54" w:name="_Toc15377225"/>
      <w:bookmarkStart w:id="55" w:name="_Toc15396613"/>
    </w:p>
    <w:p w14:paraId="339F5F0D">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p>
    <w:p w14:paraId="4BCD8A5B">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p>
    <w:p w14:paraId="7B90DCC2">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p>
    <w:p w14:paraId="6AD0E9FC">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p>
    <w:p w14:paraId="4150DEB3">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p>
    <w:p w14:paraId="2276A549">
      <w:pPr>
        <w:pageBreakBefore w:val="0"/>
        <w:numPr>
          <w:ilvl w:val="0"/>
          <w:numId w:val="0"/>
        </w:numPr>
        <w:kinsoku/>
        <w:wordWrap/>
        <w:overflowPunct/>
        <w:topLinePunct w:val="0"/>
        <w:autoSpaceDE/>
        <w:autoSpaceDN/>
        <w:bidi w:val="0"/>
        <w:spacing w:line="576" w:lineRule="exact"/>
        <w:jc w:val="both"/>
        <w:textAlignment w:val="auto"/>
        <w:outlineLvl w:val="0"/>
        <w:rPr>
          <w:rFonts w:hint="eastAsia" w:ascii="Times New Roman" w:hAnsi="Times New Roman" w:eastAsia="黑体"/>
          <w:color w:val="auto"/>
          <w:sz w:val="44"/>
          <w:szCs w:val="44"/>
          <w:highlight w:val="none"/>
        </w:rPr>
      </w:pPr>
    </w:p>
    <w:p w14:paraId="3195D35D">
      <w:pPr>
        <w:pageBreakBefore w:val="0"/>
        <w:numPr>
          <w:ilvl w:val="0"/>
          <w:numId w:val="0"/>
        </w:numPr>
        <w:kinsoku/>
        <w:wordWrap/>
        <w:overflowPunct/>
        <w:topLinePunct w:val="0"/>
        <w:autoSpaceDE/>
        <w:autoSpaceDN/>
        <w:bidi w:val="0"/>
        <w:spacing w:line="576" w:lineRule="exact"/>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4"/>
      <w:bookmarkEnd w:id="55"/>
    </w:p>
    <w:p w14:paraId="43C02523">
      <w:pPr>
        <w:pageBreakBefore w:val="0"/>
        <w:kinsoku/>
        <w:wordWrap/>
        <w:overflowPunct/>
        <w:topLinePunct w:val="0"/>
        <w:autoSpaceDE/>
        <w:autoSpaceDN/>
        <w:bidi w:val="0"/>
        <w:spacing w:line="576" w:lineRule="exact"/>
        <w:jc w:val="left"/>
        <w:textAlignment w:val="auto"/>
        <w:rPr>
          <w:rFonts w:ascii="Times New Roman" w:hAnsi="Times New Roman"/>
          <w:b/>
          <w:color w:val="auto"/>
          <w:sz w:val="44"/>
          <w:szCs w:val="44"/>
          <w:highlight w:val="none"/>
        </w:rPr>
      </w:pPr>
    </w:p>
    <w:p w14:paraId="3CE745BF">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9A652C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6195C52">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53BD14EC">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664286D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FE7846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27B646E">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09E3FE0">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FEAA132">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hAnsi="仿宋_GB2312" w:eastAsia="仿宋_GB2312" w:cs="仿宋_GB2312"/>
          <w:sz w:val="32"/>
          <w:szCs w:val="32"/>
          <w:shd w:val="clear" w:color="auto" w:fill="FFFFFF"/>
          <w:lang w:val="en-US" w:eastAsia="zh-CN"/>
        </w:rPr>
        <w:t>一般公共服务支出（201）：指政府提供一般公共服务支出。</w:t>
      </w:r>
    </w:p>
    <w:p w14:paraId="1441AAC7">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10.政府办公厅（室）及相关机构事务（20103）：指各级政府办公厅（室）及相关机构的支出。</w:t>
      </w:r>
    </w:p>
    <w:p w14:paraId="3408F394">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11.行政运行</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2010301</w:t>
      </w:r>
      <w:r>
        <w:rPr>
          <w:rFonts w:hint="eastAsia" w:ascii="仿宋_GB2312" w:hAnsi="仿宋_GB2312" w:eastAsia="仿宋_GB2312" w:cs="仿宋_GB2312"/>
          <w:sz w:val="32"/>
          <w:szCs w:val="32"/>
          <w:shd w:val="clear" w:color="auto" w:fill="FFFFFF"/>
        </w:rPr>
        <w:t>）：指</w:t>
      </w:r>
      <w:r>
        <w:rPr>
          <w:rFonts w:hint="eastAsia" w:ascii="仿宋_GB2312" w:hAnsi="仿宋_GB2312" w:eastAsia="仿宋_GB2312" w:cs="仿宋_GB2312"/>
          <w:sz w:val="32"/>
          <w:szCs w:val="32"/>
          <w:shd w:val="clear" w:color="auto" w:fill="FFFFFF"/>
          <w:lang w:val="en-US" w:eastAsia="zh-CN"/>
        </w:rPr>
        <w:t>行政单位（包括实行公务员管理的事业单位）的基本支出。</w:t>
      </w:r>
    </w:p>
    <w:p w14:paraId="03D28A3C">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.社会保障和就业</w:t>
      </w:r>
      <w:r>
        <w:rPr>
          <w:rFonts w:hint="eastAsia" w:ascii="仿宋_GB2312" w:hAnsi="仿宋_GB2312" w:eastAsia="仿宋_GB2312" w:cs="仿宋_GB2312"/>
          <w:sz w:val="32"/>
          <w:szCs w:val="32"/>
          <w:shd w:val="clear" w:color="auto" w:fill="FFFFFF"/>
          <w:lang w:val="en-US" w:eastAsia="zh-CN"/>
        </w:rPr>
        <w:t>支出</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208</w:t>
      </w:r>
      <w:r>
        <w:rPr>
          <w:rFonts w:hint="eastAsia" w:ascii="仿宋_GB2312" w:hAnsi="仿宋_GB2312" w:eastAsia="仿宋_GB2312" w:cs="仿宋_GB2312"/>
          <w:sz w:val="32"/>
          <w:szCs w:val="32"/>
          <w:shd w:val="clear" w:color="auto" w:fill="FFFFFF"/>
        </w:rPr>
        <w:t>）：指</w:t>
      </w:r>
      <w:r>
        <w:rPr>
          <w:rFonts w:hint="eastAsia" w:ascii="仿宋_GB2312" w:hAnsi="仿宋_GB2312" w:eastAsia="仿宋_GB2312" w:cs="仿宋_GB2312"/>
          <w:sz w:val="32"/>
          <w:szCs w:val="32"/>
          <w:shd w:val="clear" w:color="auto" w:fill="FFFFFF"/>
          <w:lang w:val="en-US" w:eastAsia="zh-CN"/>
        </w:rPr>
        <w:t>政府在社会保障与就业方面的支出</w:t>
      </w:r>
      <w:r>
        <w:rPr>
          <w:rFonts w:hint="eastAsia" w:ascii="仿宋_GB2312" w:hAnsi="仿宋_GB2312" w:eastAsia="仿宋_GB2312" w:cs="仿宋_GB2312"/>
          <w:sz w:val="32"/>
          <w:szCs w:val="32"/>
          <w:shd w:val="clear" w:color="auto" w:fill="FFFFFF"/>
        </w:rPr>
        <w:t>。</w:t>
      </w:r>
    </w:p>
    <w:p w14:paraId="5F15FF89">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13.行政事业单位养老支出（20805）：指用于行政事业单位养老方面的支出。</w:t>
      </w:r>
    </w:p>
    <w:p w14:paraId="128CC5C1">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14.机关事业单位基本养老保险缴费支出（2080505）：指机关事业单位实施养老保险制度由单位缴纳的基本养老保险费支出。</w:t>
      </w:r>
    </w:p>
    <w:p w14:paraId="46199468">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15.机关事业单位职业年金缴费支出（2080506）：指机关事业单位实施养老保险制度由单位实际缴纳的职业年金支出。</w:t>
      </w:r>
    </w:p>
    <w:p w14:paraId="02C25FBF">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outlineLvl w:val="1"/>
        <w:rPr>
          <w:rFonts w:hint="eastAsia" w:ascii="仿宋_GB2312" w:hAnsi="仿宋_GB2312" w:eastAsia="仿宋_GB2312" w:cs="仿宋_GB2312"/>
          <w:sz w:val="32"/>
          <w:szCs w:val="32"/>
          <w:shd w:val="clear" w:color="auto" w:fill="FFFFFF"/>
          <w:lang w:val="en-US" w:eastAsia="zh-CN"/>
        </w:rPr>
      </w:pPr>
      <w:bookmarkStart w:id="56" w:name="_Toc7576"/>
      <w:bookmarkStart w:id="57" w:name="_Toc18088"/>
      <w:bookmarkStart w:id="58" w:name="_Toc14925"/>
      <w:r>
        <w:rPr>
          <w:rFonts w:hint="eastAsia" w:ascii="仿宋_GB2312" w:hAnsi="仿宋_GB2312" w:eastAsia="仿宋_GB2312" w:cs="仿宋_GB2312"/>
          <w:sz w:val="32"/>
          <w:szCs w:val="32"/>
          <w:shd w:val="clear" w:color="auto" w:fill="FFFFFF"/>
          <w:lang w:val="en-US" w:eastAsia="zh-CN"/>
        </w:rPr>
        <w:t>16.卫生健康支出（210）：</w:t>
      </w:r>
      <w:r>
        <w:rPr>
          <w:rFonts w:hint="eastAsia"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lang w:val="en-US" w:eastAsia="zh-CN"/>
        </w:rPr>
        <w:t>指政府卫生健康方面的支出。</w:t>
      </w:r>
      <w:bookmarkEnd w:id="56"/>
      <w:bookmarkEnd w:id="57"/>
      <w:bookmarkEnd w:id="58"/>
    </w:p>
    <w:p w14:paraId="55DAA57F">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17.行政事业单位医疗（21011）：指行政事业单位医疗方面的支出。</w:t>
      </w:r>
    </w:p>
    <w:p w14:paraId="07EB3345">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18.行政单位医疗（2101101）：指财政部门安排的行政单位（包括实行公务员管理的事业单位）基本医疗保险缴费经费，未参加医疗保险的行政单位的公费医疗经费，按国家规定享受离休人员、红军老战士待遇人员的医疗经费。</w:t>
      </w:r>
    </w:p>
    <w:p w14:paraId="402AD053">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19.公务员医疗补助（2101103）：指财政部门安排的公务员医疗补助经费</w:t>
      </w:r>
    </w:p>
    <w:p w14:paraId="549E3FFF">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outlineLvl w:val="1"/>
        <w:rPr>
          <w:rFonts w:hint="eastAsia" w:ascii="仿宋_GB2312" w:hAnsi="仿宋_GB2312" w:eastAsia="仿宋_GB2312" w:cs="仿宋_GB2312"/>
          <w:sz w:val="32"/>
          <w:szCs w:val="32"/>
          <w:shd w:val="clear" w:color="auto" w:fill="FFFFFF"/>
        </w:rPr>
      </w:pPr>
      <w:bookmarkStart w:id="59" w:name="_Toc3515"/>
      <w:bookmarkStart w:id="60" w:name="_Toc29076"/>
      <w:bookmarkStart w:id="61" w:name="_Toc20806"/>
      <w:r>
        <w:rPr>
          <w:rFonts w:hint="eastAsia" w:ascii="仿宋_GB2312" w:hAnsi="仿宋_GB2312" w:eastAsia="仿宋_GB2312" w:cs="仿宋_GB2312"/>
          <w:sz w:val="32"/>
          <w:szCs w:val="32"/>
          <w:shd w:val="clear" w:color="auto" w:fill="FFFFFF"/>
          <w:lang w:val="en-US" w:eastAsia="zh-CN"/>
        </w:rPr>
        <w:t>20</w:t>
      </w:r>
      <w:r>
        <w:rPr>
          <w:rFonts w:hint="eastAsia" w:ascii="仿宋_GB2312" w:hAnsi="仿宋_GB2312" w:eastAsia="仿宋_GB2312" w:cs="仿宋_GB2312"/>
          <w:sz w:val="32"/>
          <w:szCs w:val="32"/>
          <w:shd w:val="clear" w:color="auto" w:fill="FFFFFF"/>
        </w:rPr>
        <w:t>.农林水（</w:t>
      </w:r>
      <w:r>
        <w:rPr>
          <w:rFonts w:hint="eastAsia" w:ascii="仿宋_GB2312" w:hAnsi="仿宋_GB2312" w:eastAsia="仿宋_GB2312" w:cs="仿宋_GB2312"/>
          <w:sz w:val="32"/>
          <w:szCs w:val="32"/>
          <w:shd w:val="clear" w:color="auto" w:fill="FFFFFF"/>
          <w:lang w:val="en-US" w:eastAsia="zh-CN"/>
        </w:rPr>
        <w:t>213</w:t>
      </w:r>
      <w:r>
        <w:rPr>
          <w:rFonts w:hint="eastAsia" w:ascii="仿宋_GB2312" w:hAnsi="仿宋_GB2312" w:eastAsia="仿宋_GB2312" w:cs="仿宋_GB2312"/>
          <w:sz w:val="32"/>
          <w:szCs w:val="32"/>
          <w:shd w:val="clear" w:color="auto" w:fill="FFFFFF"/>
        </w:rPr>
        <w:t>）：指</w:t>
      </w:r>
      <w:r>
        <w:rPr>
          <w:rFonts w:hint="eastAsia" w:ascii="仿宋_GB2312" w:hAnsi="仿宋_GB2312" w:eastAsia="仿宋_GB2312" w:cs="仿宋_GB2312"/>
          <w:sz w:val="32"/>
          <w:szCs w:val="32"/>
          <w:shd w:val="clear" w:color="auto" w:fill="FFFFFF"/>
          <w:lang w:val="en-US" w:eastAsia="zh-CN"/>
        </w:rPr>
        <w:t>政府农林水事务支出</w:t>
      </w:r>
      <w:r>
        <w:rPr>
          <w:rFonts w:hint="eastAsia" w:ascii="仿宋_GB2312" w:hAnsi="仿宋_GB2312" w:eastAsia="仿宋_GB2312" w:cs="仿宋_GB2312"/>
          <w:sz w:val="32"/>
          <w:szCs w:val="32"/>
          <w:shd w:val="clear" w:color="auto" w:fill="FFFFFF"/>
        </w:rPr>
        <w:t>。</w:t>
      </w:r>
      <w:bookmarkEnd w:id="59"/>
      <w:bookmarkEnd w:id="60"/>
      <w:bookmarkEnd w:id="61"/>
    </w:p>
    <w:p w14:paraId="424F8676">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21.巩固脱贫衔接乡村振兴（21305）：指用于农村（包括国有农场、国有林场）巩固拓展脱贫攻坚成果同乡村振兴有效衔接等方面的支出。</w:t>
      </w:r>
    </w:p>
    <w:p w14:paraId="32EA7710">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22.其他巩固脱贫衔接乡村振兴支出（2130599）：指除上述项目以外其他用于巩固拓展脱贫攻坚成果同乡村振兴有效衔接等方面的支出。</w:t>
      </w:r>
    </w:p>
    <w:p w14:paraId="11CD4C41">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outlineLvl w:val="1"/>
        <w:rPr>
          <w:rFonts w:hint="eastAsia" w:ascii="仿宋_GB2312" w:hAnsi="仿宋_GB2312" w:eastAsia="仿宋_GB2312" w:cs="仿宋_GB2312"/>
          <w:sz w:val="32"/>
          <w:szCs w:val="32"/>
          <w:shd w:val="clear" w:color="auto" w:fill="FFFFFF"/>
          <w:lang w:val="en-US" w:eastAsia="zh-CN"/>
        </w:rPr>
      </w:pPr>
      <w:bookmarkStart w:id="62" w:name="_Toc21071"/>
      <w:bookmarkStart w:id="63" w:name="_Toc24588"/>
      <w:bookmarkStart w:id="64" w:name="_Toc20321"/>
      <w:r>
        <w:rPr>
          <w:rFonts w:hint="eastAsia" w:ascii="仿宋_GB2312" w:hAnsi="仿宋_GB2312" w:eastAsia="仿宋_GB2312" w:cs="仿宋_GB2312"/>
          <w:sz w:val="32"/>
          <w:szCs w:val="32"/>
          <w:shd w:val="clear" w:color="auto" w:fill="FFFFFF"/>
          <w:lang w:val="en-US" w:eastAsia="zh-CN"/>
        </w:rPr>
        <w:t>23.农村综合改革（21307）：指农村综合改革方面的支出。</w:t>
      </w:r>
      <w:bookmarkEnd w:id="62"/>
      <w:bookmarkEnd w:id="63"/>
      <w:bookmarkEnd w:id="64"/>
    </w:p>
    <w:p w14:paraId="1618C54B">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default"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24.对村民委员会和村党支部的补助（2130705）：指各级财政对村民委员会和村党支部的补助支出，以及支持建立县级基本财力保障机制安排的村级组织运转奖补资金。</w:t>
      </w:r>
    </w:p>
    <w:p w14:paraId="58D0C83A">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25.住房保障支出（221）：指集中反映政府用于住房方面的支出。</w:t>
      </w:r>
    </w:p>
    <w:p w14:paraId="30026796">
      <w:pPr>
        <w:pStyle w:val="16"/>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26.住房改革支出（22102）：指行政事业单位使用财政拨款资金和其他资金等安排的住房改革支出。</w:t>
      </w:r>
    </w:p>
    <w:p w14:paraId="74219CB4">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27.住房公积金（2210201）：指行政事业单位按人力资源和社会保障部、财政部规定的基本工资和津贴补贴以及规定比例为职工缴纳的住房公积金。</w:t>
      </w:r>
    </w:p>
    <w:p w14:paraId="785DA27B">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lang w:val="en-US" w:eastAsia="zh-CN"/>
        </w:rPr>
        <w:t>8</w:t>
      </w:r>
      <w:r>
        <w:rPr>
          <w:rFonts w:hint="eastAsia" w:ascii="仿宋_GB2312" w:hAnsi="仿宋_GB2312" w:eastAsia="仿宋_GB2312" w:cs="仿宋_GB2312"/>
          <w:sz w:val="32"/>
          <w:szCs w:val="32"/>
          <w:shd w:val="clear" w:color="auto" w:fill="FFFFFF"/>
        </w:rPr>
        <w:t>.基本支出：指为保障机构正常运转、完成日常工作任务而发生的人员支出和公用支出。</w:t>
      </w:r>
    </w:p>
    <w:p w14:paraId="4CD209B7">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lang w:val="en-US" w:eastAsia="zh-CN"/>
        </w:rPr>
        <w:t>9</w:t>
      </w:r>
      <w:r>
        <w:rPr>
          <w:rFonts w:hint="eastAsia" w:ascii="仿宋_GB2312" w:hAnsi="仿宋_GB2312" w:eastAsia="仿宋_GB2312" w:cs="仿宋_GB2312"/>
          <w:sz w:val="32"/>
          <w:szCs w:val="32"/>
          <w:shd w:val="clear" w:color="auto" w:fill="FFFFFF"/>
        </w:rPr>
        <w:t>.项目支出：指在基本支出之外为完成特定行政任务和事业发展目标所发生的支出。</w:t>
      </w:r>
    </w:p>
    <w:p w14:paraId="03D41C9B">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rPr>
        <w:t>30</w:t>
      </w:r>
      <w:r>
        <w:rPr>
          <w:rFonts w:hint="eastAsia" w:ascii="仿宋_GB2312" w:hAnsi="仿宋_GB2312" w:eastAsia="仿宋_GB2312" w:cs="仿宋_GB2312"/>
          <w:sz w:val="32"/>
          <w:szCs w:val="32"/>
          <w:shd w:val="clear" w:color="auto" w:fill="FFFFFF"/>
        </w:rPr>
        <w:t>.经营支出：指事业单位在专业业务活动及其辅助活动之外开展非独立核算经营活动发生的支出。</w:t>
      </w:r>
    </w:p>
    <w:p w14:paraId="2D01EF7C">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0BDD1D8">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0" w:firstLineChars="200"/>
        <w:jc w:val="left"/>
        <w:textAlignment w:val="auto"/>
        <w:rPr>
          <w:rStyle w:val="19"/>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6ECB1DB">
      <w:pPr>
        <w:pageBreakBefore w:val="0"/>
        <w:kinsoku/>
        <w:wordWrap/>
        <w:overflowPunct/>
        <w:topLinePunct w:val="0"/>
        <w:autoSpaceDE/>
        <w:autoSpaceDN/>
        <w:bidi w:val="0"/>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2B0EB373">
      <w:pPr>
        <w:pageBreakBefore w:val="0"/>
        <w:widowControl/>
        <w:kinsoku/>
        <w:wordWrap/>
        <w:overflowPunct/>
        <w:topLinePunct w:val="0"/>
        <w:autoSpaceDE/>
        <w:autoSpaceDN/>
        <w:bidi w:val="0"/>
        <w:spacing w:line="576" w:lineRule="exact"/>
        <w:jc w:val="center"/>
        <w:textAlignment w:val="auto"/>
        <w:rPr>
          <w:rFonts w:hint="eastAsia" w:ascii="Times New Roman" w:hAnsi="Times New Roman" w:eastAsia="仿宋"/>
          <w:b w:val="0"/>
          <w:color w:val="auto"/>
          <w:highlight w:val="none"/>
        </w:rPr>
      </w:pPr>
      <w:bookmarkStart w:id="6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bookmarkEnd w:id="66"/>
      <w:bookmarkStart w:id="67" w:name="_Toc15396618"/>
      <w:r>
        <w:rPr>
          <w:rFonts w:hint="eastAsia" w:eastAsia="黑体"/>
          <w:color w:val="auto"/>
          <w:sz w:val="44"/>
          <w:szCs w:val="44"/>
          <w:highlight w:val="none"/>
          <w:lang w:val="en-US" w:eastAsia="zh-CN"/>
        </w:rPr>
        <w:t xml:space="preserve"> </w:t>
      </w:r>
      <w:r>
        <w:rPr>
          <w:rStyle w:val="30"/>
          <w:rFonts w:hint="eastAsia" w:ascii="Times New Roman" w:hAnsi="Times New Roman" w:eastAsia="黑体"/>
          <w:b w:val="0"/>
          <w:color w:val="auto"/>
          <w:highlight w:val="none"/>
        </w:rPr>
        <w:t xml:space="preserve"> 附表</w:t>
      </w:r>
      <w:bookmarkEnd w:id="65"/>
      <w:bookmarkEnd w:id="67"/>
      <w:bookmarkStart w:id="68" w:name="_Toc15396619"/>
    </w:p>
    <w:p w14:paraId="76BE539C">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p>
    <w:p w14:paraId="6FC67B6F">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8"/>
    </w:p>
    <w:p w14:paraId="2CA160E0">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69" w:name="_Toc15396620"/>
      <w:r>
        <w:rPr>
          <w:rFonts w:hint="eastAsia" w:ascii="Times New Roman" w:hAnsi="Times New Roman" w:eastAsia="仿宋_GB2312" w:cs="仿宋_GB2312"/>
          <w:color w:val="auto"/>
          <w:sz w:val="32"/>
          <w:szCs w:val="32"/>
          <w:highlight w:val="none"/>
        </w:rPr>
        <w:t>二、收入决算表</w:t>
      </w:r>
      <w:bookmarkEnd w:id="69"/>
    </w:p>
    <w:p w14:paraId="039B4BE0">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0" w:name="_Toc15396621"/>
      <w:r>
        <w:rPr>
          <w:rFonts w:hint="eastAsia" w:ascii="Times New Roman" w:hAnsi="Times New Roman" w:eastAsia="仿宋_GB2312" w:cs="仿宋_GB2312"/>
          <w:color w:val="auto"/>
          <w:sz w:val="32"/>
          <w:szCs w:val="32"/>
          <w:highlight w:val="none"/>
        </w:rPr>
        <w:t>三、支出决算表</w:t>
      </w:r>
      <w:bookmarkEnd w:id="70"/>
    </w:p>
    <w:p w14:paraId="650D2513">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1" w:name="_Toc15396622"/>
      <w:r>
        <w:rPr>
          <w:rFonts w:hint="eastAsia" w:ascii="Times New Roman" w:hAnsi="Times New Roman" w:eastAsia="仿宋_GB2312" w:cs="仿宋_GB2312"/>
          <w:color w:val="auto"/>
          <w:sz w:val="32"/>
          <w:szCs w:val="32"/>
          <w:highlight w:val="none"/>
        </w:rPr>
        <w:t>四、财政拨款收入支出决算总表</w:t>
      </w:r>
      <w:bookmarkEnd w:id="71"/>
    </w:p>
    <w:p w14:paraId="50408925">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2"/>
      <w:bookmarkStart w:id="73" w:name="_Toc15396624"/>
    </w:p>
    <w:p w14:paraId="54B5D3CA">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3"/>
    </w:p>
    <w:p w14:paraId="7A160042">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4" w:name="_Toc15396625"/>
      <w:r>
        <w:rPr>
          <w:rFonts w:hint="eastAsia" w:ascii="Times New Roman" w:hAnsi="Times New Roman" w:eastAsia="仿宋_GB2312" w:cs="仿宋_GB2312"/>
          <w:color w:val="auto"/>
          <w:sz w:val="32"/>
          <w:szCs w:val="32"/>
          <w:highlight w:val="none"/>
        </w:rPr>
        <w:t>七、一般公共预算财政拨款支出决算明细表</w:t>
      </w:r>
      <w:bookmarkEnd w:id="74"/>
    </w:p>
    <w:p w14:paraId="2839AEB6">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5" w:name="_Toc15396626"/>
      <w:r>
        <w:rPr>
          <w:rFonts w:hint="eastAsia" w:ascii="Times New Roman" w:hAnsi="Times New Roman" w:eastAsia="仿宋_GB2312" w:cs="仿宋_GB2312"/>
          <w:color w:val="auto"/>
          <w:sz w:val="32"/>
          <w:szCs w:val="32"/>
          <w:highlight w:val="none"/>
        </w:rPr>
        <w:t>八、一般公共预算财政拨款基本支出决算表</w:t>
      </w:r>
      <w:bookmarkEnd w:id="75"/>
    </w:p>
    <w:p w14:paraId="2043924F">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6" w:name="_Toc15396627"/>
      <w:r>
        <w:rPr>
          <w:rFonts w:hint="eastAsia" w:ascii="Times New Roman" w:hAnsi="Times New Roman" w:eastAsia="仿宋_GB2312" w:cs="仿宋_GB2312"/>
          <w:color w:val="auto"/>
          <w:sz w:val="32"/>
          <w:szCs w:val="32"/>
          <w:highlight w:val="none"/>
        </w:rPr>
        <w:t>九、一般公共预算财政拨款项目支出决算表</w:t>
      </w:r>
      <w:bookmarkEnd w:id="76"/>
    </w:p>
    <w:p w14:paraId="69822BCA">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7" w:name="_Toc15396628"/>
      <w:r>
        <w:rPr>
          <w:rFonts w:hint="eastAsia" w:ascii="Times New Roman" w:hAnsi="Times New Roman" w:eastAsia="仿宋_GB2312" w:cs="仿宋_GB2312"/>
          <w:color w:val="auto"/>
          <w:sz w:val="32"/>
          <w:szCs w:val="32"/>
          <w:highlight w:val="none"/>
        </w:rPr>
        <w:t>十、</w:t>
      </w:r>
      <w:bookmarkEnd w:id="77"/>
      <w:r>
        <w:rPr>
          <w:rFonts w:hint="eastAsia" w:ascii="Times New Roman" w:hAnsi="Times New Roman" w:eastAsia="仿宋_GB2312" w:cs="仿宋_GB2312"/>
          <w:color w:val="auto"/>
          <w:sz w:val="32"/>
          <w:szCs w:val="32"/>
          <w:highlight w:val="none"/>
        </w:rPr>
        <w:t>政府性基金预算财政拨款收入支出决算表</w:t>
      </w:r>
    </w:p>
    <w:p w14:paraId="0E54A37B">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8" w:name="_Toc15396629"/>
      <w:r>
        <w:rPr>
          <w:rFonts w:hint="eastAsia" w:ascii="Times New Roman" w:hAnsi="Times New Roman" w:eastAsia="仿宋_GB2312" w:cs="仿宋_GB2312"/>
          <w:color w:val="auto"/>
          <w:sz w:val="32"/>
          <w:szCs w:val="32"/>
          <w:highlight w:val="none"/>
        </w:rPr>
        <w:t>十一、</w:t>
      </w:r>
      <w:bookmarkEnd w:id="7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E5F3AE8">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rPr>
      </w:pPr>
      <w:bookmarkStart w:id="79" w:name="_Toc15396630"/>
      <w:r>
        <w:rPr>
          <w:rFonts w:hint="eastAsia" w:ascii="Times New Roman" w:hAnsi="Times New Roman" w:eastAsia="仿宋_GB2312" w:cs="仿宋_GB2312"/>
          <w:color w:val="auto"/>
          <w:sz w:val="32"/>
          <w:szCs w:val="32"/>
          <w:highlight w:val="none"/>
        </w:rPr>
        <w:t>十二、</w:t>
      </w:r>
      <w:bookmarkEnd w:id="79"/>
      <w:r>
        <w:rPr>
          <w:rFonts w:hint="eastAsia" w:ascii="Times New Roman" w:hAnsi="Times New Roman" w:eastAsia="仿宋_GB2312" w:cs="仿宋_GB2312"/>
          <w:color w:val="auto"/>
          <w:sz w:val="32"/>
          <w:szCs w:val="32"/>
          <w:highlight w:val="none"/>
          <w:lang w:eastAsia="zh-CN"/>
        </w:rPr>
        <w:t>国有资本经营预算财政拨款支出决算表</w:t>
      </w:r>
    </w:p>
    <w:p w14:paraId="381E6C44">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仿宋_GB2312" w:cs="仿宋_GB2312"/>
          <w:color w:val="auto"/>
          <w:sz w:val="32"/>
          <w:szCs w:val="32"/>
          <w:highlight w:val="none"/>
          <w:lang w:eastAsia="zh-CN"/>
        </w:rPr>
      </w:pPr>
      <w:bookmarkStart w:id="80" w:name="_Toc15396631"/>
      <w:r>
        <w:rPr>
          <w:rFonts w:hint="eastAsia" w:ascii="Times New Roman" w:hAnsi="Times New Roman" w:eastAsia="仿宋_GB2312" w:cs="仿宋_GB2312"/>
          <w:color w:val="auto"/>
          <w:sz w:val="32"/>
          <w:szCs w:val="32"/>
          <w:highlight w:val="none"/>
        </w:rPr>
        <w:t>十三、</w:t>
      </w:r>
      <w:bookmarkEnd w:id="80"/>
      <w:r>
        <w:rPr>
          <w:rFonts w:hint="eastAsia" w:ascii="Times New Roman" w:hAnsi="Times New Roman" w:eastAsia="仿宋_GB2312" w:cs="仿宋_GB2312"/>
          <w:color w:val="auto"/>
          <w:sz w:val="32"/>
          <w:szCs w:val="32"/>
          <w:highlight w:val="none"/>
          <w:lang w:eastAsia="zh-CN"/>
        </w:rPr>
        <w:t>财政拨款“三公”经费支出决算表</w:t>
      </w:r>
    </w:p>
    <w:p w14:paraId="4CC5E2AF">
      <w:pPr>
        <w:pageBreakBefore w:val="0"/>
        <w:kinsoku/>
        <w:wordWrap/>
        <w:overflowPunct/>
        <w:topLinePunct w:val="0"/>
        <w:autoSpaceDE/>
        <w:autoSpaceDN/>
        <w:bidi w:val="0"/>
        <w:spacing w:line="576" w:lineRule="exact"/>
        <w:textAlignment w:val="auto"/>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6B6558-EB98-4EB0-AE98-3F646D1F13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1196B04-EA7F-4ED1-928B-EB8347949268}"/>
  </w:font>
  <w:font w:name="仿宋">
    <w:panose1 w:val="02010609060101010101"/>
    <w:charset w:val="86"/>
    <w:family w:val="modern"/>
    <w:pitch w:val="default"/>
    <w:sig w:usb0="800002BF" w:usb1="38CF7CFA" w:usb2="00000016" w:usb3="00000000" w:csb0="00040001" w:csb1="00000000"/>
    <w:embedRegular r:id="rId3" w:fontKey="{D6AA33D2-F51B-4085-B3A8-6E1E0F9FAA6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66C1C662-E3B4-43D4-96D2-B70097CA2A80}"/>
  </w:font>
  <w:font w:name="楷体_GB2312">
    <w:panose1 w:val="02010609030101010101"/>
    <w:charset w:val="86"/>
    <w:family w:val="auto"/>
    <w:pitch w:val="default"/>
    <w:sig w:usb0="00000001" w:usb1="080E0000" w:usb2="00000000" w:usb3="00000000" w:csb0="00040000" w:csb1="00000000"/>
    <w:embedRegular r:id="rId5" w:fontKey="{C55D81D8-9577-43E6-B890-E882CCC331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2E732">
    <w:pPr>
      <w:pStyle w:val="10"/>
      <w:jc w:val="center"/>
    </w:pPr>
  </w:p>
  <w:p w14:paraId="6CA5E3D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7182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5316">
    <w:pPr>
      <w:pStyle w:val="10"/>
      <w:jc w:val="center"/>
    </w:pPr>
  </w:p>
  <w:p w14:paraId="28E73D3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DD9F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A16F5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FA16F5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6061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7F607E"/>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4E343B"/>
    <w:rsid w:val="186504BB"/>
    <w:rsid w:val="1938089F"/>
    <w:rsid w:val="19A445FC"/>
    <w:rsid w:val="1B7D550C"/>
    <w:rsid w:val="1BE8440E"/>
    <w:rsid w:val="1D155CEE"/>
    <w:rsid w:val="1DE178F3"/>
    <w:rsid w:val="1E5817D5"/>
    <w:rsid w:val="1E740ACF"/>
    <w:rsid w:val="1FF35744"/>
    <w:rsid w:val="1FF6BC77"/>
    <w:rsid w:val="21962A9E"/>
    <w:rsid w:val="21AE7C77"/>
    <w:rsid w:val="22BC3C41"/>
    <w:rsid w:val="23860B96"/>
    <w:rsid w:val="240371BF"/>
    <w:rsid w:val="25055812"/>
    <w:rsid w:val="260F557C"/>
    <w:rsid w:val="281408E2"/>
    <w:rsid w:val="29FD04D3"/>
    <w:rsid w:val="2BFF7BC6"/>
    <w:rsid w:val="2C0C340A"/>
    <w:rsid w:val="2C8A61B5"/>
    <w:rsid w:val="2CB80691"/>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77C2B8D"/>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080549C"/>
    <w:rsid w:val="53083A92"/>
    <w:rsid w:val="536C5BE5"/>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4E5646C"/>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C26D4F"/>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contractReview xmlns="http://schemas.wps.cn/vas-ai-hub/contract-review">
  <reviewItems>
    <reviewItem>
      <errorID>5b4def21-1e89-44ee-ad9a-13321dea2bc3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4C6FF390</paraID>
      <start>0</start>
      <end>1</end>
      <status>unmodified</status>
      <modifiedWord/>
      <trackRevisions>false</trackRevisions>
    </reviewItem>
    <reviewItem>
      <errorID>3fba418f-6167-44b3-9ef1-8e85a355a755</errorID>
      <errorWord>，。</errorWord>
      <group>L1_Punc</group>
      <groupName>标点问题</groupName>
      <ability>L2_Punc_CN</ability>
      <abilityName>标点符号问题</abilityName>
      <candidateList>
        <item>，</item>
      </candidateList>
      <explain/>
      <paraID> BBECF39</paraID>
      <start>9</start>
      <end>10</end>
      <status>modified</status>
      <modifiedWord>，</modifiedWord>
      <trackRevisions>false</trackRevisions>
    </reviewItem>
    <reviewItem>
      <errorID>aa999ca2-6bc6-4c3a-8c94-b75dff20d08d</errorID>
      <errorWord>民政府政府</errorWord>
      <group>L1_Sensitive</group>
      <groupName>敏感问题</groupName>
      <ability>L2_Sensitive</ability>
      <abilityName>敏感内容</abilityName>
      <candidateList/>
      <explain>【敏感内容】句中涉及敏感性内容的违规表述，请注意甄别。</explain>
      <paraID>4379CF2B</paraID>
      <start>16</start>
      <end>21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be90f8-16b3-4325-ab98-dd1416248a3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9066</Words>
  <Characters>9942</Characters>
  <Lines>61</Lines>
  <Paragraphs>17</Paragraphs>
  <TotalTime>3</TotalTime>
  <ScaleCrop>false</ScaleCrop>
  <LinksUpToDate>false</LinksUpToDate>
  <CharactersWithSpaces>9977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2026-10-14T01:28:33Z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