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55C82"/>
    <w:p w14:paraId="0FC75A80">
      <w:pPr>
        <w:spacing w:line="360" w:lineRule="auto"/>
        <w:ind w:firstLine="0"/>
        <w:jc w:val="center"/>
      </w:pPr>
      <w:r>
        <w:rPr>
          <w:rFonts w:ascii="Times New Roman" w:hAnsi="Times New Roman" w:eastAsia="宋体"/>
          <w:b/>
          <w:color w:val="000000"/>
          <w:sz w:val="44"/>
        </w:rPr>
        <w:t>2025年度</w:t>
      </w:r>
    </w:p>
    <w:p w14:paraId="260B38FC">
      <w:pPr>
        <w:spacing w:line="360" w:lineRule="auto"/>
        <w:ind w:firstLine="0"/>
        <w:jc w:val="center"/>
      </w:pPr>
      <w:r>
        <w:rPr>
          <w:rFonts w:ascii="Times New Roman" w:hAnsi="Times New Roman" w:eastAsia="宋体"/>
          <w:b/>
          <w:color w:val="000000"/>
          <w:sz w:val="32"/>
        </w:rPr>
        <w:t>阿坝州松潘县镇坪乡人民政府单位决算</w:t>
      </w:r>
    </w:p>
    <w:p w14:paraId="1E9A34C5">
      <w:pPr>
        <w:spacing w:line="360" w:lineRule="auto"/>
        <w:ind w:firstLine="0"/>
        <w:jc w:val="center"/>
      </w:pPr>
      <w:r>
        <w:rPr>
          <w:rFonts w:ascii="Times New Roman" w:hAnsi="Times New Roman" w:eastAsia="宋体"/>
          <w:b w:val="0"/>
          <w:color w:val="000000"/>
          <w:sz w:val="24"/>
        </w:rPr>
        <w:t>（单位公开范本）</w:t>
      </w:r>
    </w:p>
    <w:p w14:paraId="2F3CB6A0"/>
    <w:p w14:paraId="3EBFAADE">
      <w:pPr>
        <w:spacing w:line="360" w:lineRule="auto"/>
        <w:ind w:firstLine="0"/>
        <w:jc w:val="center"/>
      </w:pPr>
      <w:r>
        <w:rPr>
          <w:rFonts w:ascii="Times New Roman" w:hAnsi="Times New Roman" w:eastAsia="宋体"/>
          <w:b w:val="0"/>
          <w:color w:val="000000"/>
          <w:sz w:val="24"/>
        </w:rPr>
        <w:t>已经保密审查、内容审定，同意对外公开</w:t>
      </w:r>
    </w:p>
    <w:p w14:paraId="0C8B998B"/>
    <w:p w14:paraId="15C5FE28">
      <w:pPr>
        <w:pageBreakBefore/>
        <w:jc w:val="center"/>
      </w:pPr>
      <w:r>
        <w:rPr>
          <w:rFonts w:ascii="Times New Roman" w:hAnsi="Times New Roman" w:eastAsia="黑体"/>
          <w:b/>
          <w:color w:val="000000"/>
          <w:sz w:val="32"/>
        </w:rPr>
        <w:t>目  录</w:t>
      </w:r>
    </w:p>
    <w:p w14:paraId="2FF21CD1">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第一部分 单位概况</w:t>
      </w:r>
      <w:r>
        <w:tab/>
      </w:r>
      <w:r>
        <w:fldChar w:fldCharType="begin"/>
      </w:r>
      <w:r>
        <w:instrText xml:space="preserve"> PAGEREF _LarkToc00001 \h </w:instrText>
      </w:r>
      <w:r>
        <w:fldChar w:fldCharType="separate"/>
      </w:r>
      <w:r>
        <w:t>3</w:t>
      </w:r>
      <w:r>
        <w:fldChar w:fldCharType="end"/>
      </w:r>
      <w:r>
        <w:fldChar w:fldCharType="end"/>
      </w:r>
    </w:p>
    <w:p w14:paraId="1C9B067C">
      <w:pPr>
        <w:pStyle w:val="29"/>
        <w:tabs>
          <w:tab w:val="right" w:leader="dot" w:pos="9072"/>
        </w:tabs>
      </w:pPr>
      <w:r>
        <w:fldChar w:fldCharType="begin"/>
      </w:r>
      <w:r>
        <w:instrText xml:space="preserve"> HYPERLINK \l "_LarkToc00002" </w:instrText>
      </w:r>
      <w:r>
        <w:fldChar w:fldCharType="separate"/>
      </w:r>
      <w:r>
        <w:t>（一）主要职责</w:t>
      </w:r>
      <w:r>
        <w:tab/>
      </w:r>
      <w:r>
        <w:fldChar w:fldCharType="begin"/>
      </w:r>
      <w:r>
        <w:instrText xml:space="preserve"> PAGEREF _LarkToc00002 \h </w:instrText>
      </w:r>
      <w:r>
        <w:fldChar w:fldCharType="separate"/>
      </w:r>
      <w:r>
        <w:t>3</w:t>
      </w:r>
      <w:r>
        <w:fldChar w:fldCharType="end"/>
      </w:r>
      <w:r>
        <w:fldChar w:fldCharType="end"/>
      </w:r>
    </w:p>
    <w:p w14:paraId="3284E7B6">
      <w:pPr>
        <w:pStyle w:val="29"/>
        <w:tabs>
          <w:tab w:val="right" w:leader="dot" w:pos="9072"/>
        </w:tabs>
      </w:pPr>
      <w:r>
        <w:fldChar w:fldCharType="begin"/>
      </w:r>
      <w:r>
        <w:instrText xml:space="preserve"> HYPERLINK \l "_LarkToc00003" </w:instrText>
      </w:r>
      <w:r>
        <w:fldChar w:fldCharType="separate"/>
      </w:r>
      <w:r>
        <w:t>（二）机构设置</w:t>
      </w:r>
      <w:r>
        <w:tab/>
      </w:r>
      <w:r>
        <w:fldChar w:fldCharType="begin"/>
      </w:r>
      <w:r>
        <w:instrText xml:space="preserve"> PAGEREF _LarkToc00003 \h </w:instrText>
      </w:r>
      <w:r>
        <w:fldChar w:fldCharType="separate"/>
      </w:r>
      <w:r>
        <w:t>3</w:t>
      </w:r>
      <w:r>
        <w:fldChar w:fldCharType="end"/>
      </w:r>
      <w:r>
        <w:fldChar w:fldCharType="end"/>
      </w:r>
    </w:p>
    <w:p w14:paraId="4EDEAAD7">
      <w:pPr>
        <w:pStyle w:val="26"/>
        <w:tabs>
          <w:tab w:val="right" w:leader="dot" w:pos="9072"/>
        </w:tabs>
      </w:pPr>
      <w:r>
        <w:fldChar w:fldCharType="begin"/>
      </w:r>
      <w:r>
        <w:instrText xml:space="preserve"> HYPERLINK \l "_LarkToc00004" </w:instrText>
      </w:r>
      <w:r>
        <w:fldChar w:fldCharType="separate"/>
      </w:r>
      <w:r>
        <w:t>第二部分 2025年度单位决算情况说明</w:t>
      </w:r>
      <w:r>
        <w:tab/>
      </w:r>
      <w:r>
        <w:fldChar w:fldCharType="begin"/>
      </w:r>
      <w:r>
        <w:instrText xml:space="preserve"> PAGEREF _LarkToc00004 \h </w:instrText>
      </w:r>
      <w:r>
        <w:fldChar w:fldCharType="separate"/>
      </w:r>
      <w:r>
        <w:t>4</w:t>
      </w:r>
      <w:r>
        <w:fldChar w:fldCharType="end"/>
      </w:r>
      <w:r>
        <w:fldChar w:fldCharType="end"/>
      </w:r>
    </w:p>
    <w:p w14:paraId="14D377C3">
      <w:pPr>
        <w:pStyle w:val="29"/>
        <w:tabs>
          <w:tab w:val="right" w:leader="dot" w:pos="9072"/>
        </w:tabs>
      </w:pPr>
      <w:r>
        <w:fldChar w:fldCharType="begin"/>
      </w:r>
      <w:r>
        <w:instrText xml:space="preserve"> HYPERLINK \l "_LarkToc00005" </w:instrText>
      </w:r>
      <w:r>
        <w:fldChar w:fldCharType="separate"/>
      </w:r>
      <w:r>
        <w:t>一、收入支出决算总体情况说明</w:t>
      </w:r>
      <w:r>
        <w:tab/>
      </w:r>
      <w:r>
        <w:fldChar w:fldCharType="begin"/>
      </w:r>
      <w:r>
        <w:instrText xml:space="preserve"> PAGEREF _LarkToc00005 \h </w:instrText>
      </w:r>
      <w:r>
        <w:fldChar w:fldCharType="separate"/>
      </w:r>
      <w:r>
        <w:t>4</w:t>
      </w:r>
      <w:r>
        <w:fldChar w:fldCharType="end"/>
      </w:r>
      <w:r>
        <w:fldChar w:fldCharType="end"/>
      </w:r>
    </w:p>
    <w:p w14:paraId="137E71FA">
      <w:pPr>
        <w:pStyle w:val="29"/>
        <w:tabs>
          <w:tab w:val="right" w:leader="dot" w:pos="9072"/>
        </w:tabs>
      </w:pPr>
      <w:r>
        <w:fldChar w:fldCharType="begin"/>
      </w:r>
      <w:r>
        <w:instrText xml:space="preserve"> HYPERLINK \l "_LarkToc00006" </w:instrText>
      </w:r>
      <w:r>
        <w:fldChar w:fldCharType="separate"/>
      </w:r>
      <w:r>
        <w:t>二、收入决算情况说明</w:t>
      </w:r>
      <w:r>
        <w:tab/>
      </w:r>
      <w:r>
        <w:fldChar w:fldCharType="begin"/>
      </w:r>
      <w:r>
        <w:instrText xml:space="preserve"> PAGEREF _LarkToc00006 \h </w:instrText>
      </w:r>
      <w:r>
        <w:fldChar w:fldCharType="separate"/>
      </w:r>
      <w:r>
        <w:t>4</w:t>
      </w:r>
      <w:r>
        <w:fldChar w:fldCharType="end"/>
      </w:r>
      <w:r>
        <w:fldChar w:fldCharType="end"/>
      </w:r>
    </w:p>
    <w:p w14:paraId="420E0B11">
      <w:pPr>
        <w:pStyle w:val="29"/>
        <w:tabs>
          <w:tab w:val="right" w:leader="dot" w:pos="9072"/>
        </w:tabs>
      </w:pPr>
      <w:r>
        <w:fldChar w:fldCharType="begin"/>
      </w:r>
      <w:r>
        <w:instrText xml:space="preserve"> HYPERLINK \l "_LarkToc00007" </w:instrText>
      </w:r>
      <w:r>
        <w:fldChar w:fldCharType="separate"/>
      </w:r>
      <w:r>
        <w:t>三、支出决算情况说明</w:t>
      </w:r>
      <w:r>
        <w:tab/>
      </w:r>
      <w:r>
        <w:fldChar w:fldCharType="begin"/>
      </w:r>
      <w:r>
        <w:instrText xml:space="preserve"> PAGEREF _LarkToc00007 \h </w:instrText>
      </w:r>
      <w:r>
        <w:fldChar w:fldCharType="separate"/>
      </w:r>
      <w:r>
        <w:t>4</w:t>
      </w:r>
      <w:r>
        <w:fldChar w:fldCharType="end"/>
      </w:r>
      <w:r>
        <w:fldChar w:fldCharType="end"/>
      </w:r>
    </w:p>
    <w:p w14:paraId="22C33B93">
      <w:pPr>
        <w:pStyle w:val="29"/>
        <w:tabs>
          <w:tab w:val="right" w:leader="dot" w:pos="9072"/>
        </w:tabs>
      </w:pPr>
      <w:r>
        <w:fldChar w:fldCharType="begin"/>
      </w:r>
      <w:r>
        <w:instrText xml:space="preserve"> HYPERLINK \l "_LarkToc00008" </w:instrText>
      </w:r>
      <w:r>
        <w:fldChar w:fldCharType="separate"/>
      </w:r>
      <w:r>
        <w:t>四、财政拨款收入支出决算总体情况说明</w:t>
      </w:r>
      <w:r>
        <w:tab/>
      </w:r>
      <w:r>
        <w:fldChar w:fldCharType="begin"/>
      </w:r>
      <w:r>
        <w:instrText xml:space="preserve"> PAGEREF _LarkToc00008 \h </w:instrText>
      </w:r>
      <w:r>
        <w:fldChar w:fldCharType="separate"/>
      </w:r>
      <w:r>
        <w:t>4</w:t>
      </w:r>
      <w:r>
        <w:fldChar w:fldCharType="end"/>
      </w:r>
      <w:r>
        <w:fldChar w:fldCharType="end"/>
      </w:r>
    </w:p>
    <w:p w14:paraId="77E6A013">
      <w:pPr>
        <w:pStyle w:val="29"/>
        <w:tabs>
          <w:tab w:val="right" w:leader="dot" w:pos="9072"/>
        </w:tabs>
      </w:pPr>
      <w:r>
        <w:fldChar w:fldCharType="begin"/>
      </w:r>
      <w:r>
        <w:instrText xml:space="preserve"> HYPERLINK \l "_LarkToc00009" </w:instrText>
      </w:r>
      <w:r>
        <w:fldChar w:fldCharType="separate"/>
      </w:r>
      <w:r>
        <w:t>五、一般公共预算财政拨款支出决算情况说明</w:t>
      </w:r>
      <w:r>
        <w:tab/>
      </w:r>
      <w:r>
        <w:fldChar w:fldCharType="begin"/>
      </w:r>
      <w:r>
        <w:instrText xml:space="preserve"> PAGEREF _LarkToc00009 \h </w:instrText>
      </w:r>
      <w:r>
        <w:fldChar w:fldCharType="separate"/>
      </w:r>
      <w:r>
        <w:t>4</w:t>
      </w:r>
      <w:r>
        <w:fldChar w:fldCharType="end"/>
      </w:r>
      <w:r>
        <w:fldChar w:fldCharType="end"/>
      </w:r>
    </w:p>
    <w:p w14:paraId="7B15C9E3">
      <w:pPr>
        <w:pStyle w:val="29"/>
        <w:tabs>
          <w:tab w:val="right" w:leader="dot" w:pos="9072"/>
        </w:tabs>
      </w:pPr>
      <w:r>
        <w:fldChar w:fldCharType="begin"/>
      </w:r>
      <w:r>
        <w:instrText xml:space="preserve"> HYPERLINK \l "_LarkToc00010" </w:instrText>
      </w:r>
      <w:r>
        <w:fldChar w:fldCharType="separate"/>
      </w:r>
      <w:r>
        <w:t>六、一般公共预算财政拨款基本支出决算情况说明</w:t>
      </w:r>
      <w:r>
        <w:tab/>
      </w:r>
      <w:r>
        <w:fldChar w:fldCharType="begin"/>
      </w:r>
      <w:r>
        <w:instrText xml:space="preserve"> PAGEREF _LarkToc00010 \h </w:instrText>
      </w:r>
      <w:r>
        <w:fldChar w:fldCharType="separate"/>
      </w:r>
      <w:r>
        <w:t>6</w:t>
      </w:r>
      <w:r>
        <w:fldChar w:fldCharType="end"/>
      </w:r>
      <w:r>
        <w:fldChar w:fldCharType="end"/>
      </w:r>
    </w:p>
    <w:p w14:paraId="7A1130FD">
      <w:pPr>
        <w:pStyle w:val="29"/>
        <w:tabs>
          <w:tab w:val="right" w:leader="dot" w:pos="9072"/>
        </w:tabs>
      </w:pPr>
      <w:r>
        <w:fldChar w:fldCharType="begin"/>
      </w:r>
      <w:r>
        <w:instrText xml:space="preserve"> HYPERLINK \l "_LarkToc00011" </w:instrText>
      </w:r>
      <w:r>
        <w:fldChar w:fldCharType="separate"/>
      </w:r>
      <w:r>
        <w:t>七、财政拨款“三公”经费支出决算情况说明</w:t>
      </w:r>
      <w:r>
        <w:tab/>
      </w:r>
      <w:r>
        <w:fldChar w:fldCharType="begin"/>
      </w:r>
      <w:r>
        <w:instrText xml:space="preserve"> PAGEREF _LarkToc00011 \h </w:instrText>
      </w:r>
      <w:r>
        <w:fldChar w:fldCharType="separate"/>
      </w:r>
      <w:r>
        <w:t>7</w:t>
      </w:r>
      <w:r>
        <w:fldChar w:fldCharType="end"/>
      </w:r>
      <w:r>
        <w:fldChar w:fldCharType="end"/>
      </w:r>
    </w:p>
    <w:p w14:paraId="357B83F6">
      <w:pPr>
        <w:pStyle w:val="29"/>
        <w:tabs>
          <w:tab w:val="right" w:leader="dot" w:pos="9072"/>
        </w:tabs>
      </w:pPr>
      <w:r>
        <w:fldChar w:fldCharType="begin"/>
      </w:r>
      <w:r>
        <w:instrText xml:space="preserve"> HYPERLINK \l "_LarkToc00012" </w:instrText>
      </w:r>
      <w:r>
        <w:fldChar w:fldCharType="separate"/>
      </w:r>
      <w:r>
        <w:t>八、政府性基金预算支出决算情况说明</w:t>
      </w:r>
      <w:r>
        <w:tab/>
      </w:r>
      <w:r>
        <w:fldChar w:fldCharType="begin"/>
      </w:r>
      <w:r>
        <w:instrText xml:space="preserve"> PAGEREF _LarkToc00012 \h </w:instrText>
      </w:r>
      <w:r>
        <w:fldChar w:fldCharType="separate"/>
      </w:r>
      <w:r>
        <w:t>7</w:t>
      </w:r>
      <w:r>
        <w:fldChar w:fldCharType="end"/>
      </w:r>
      <w:r>
        <w:fldChar w:fldCharType="end"/>
      </w:r>
    </w:p>
    <w:p w14:paraId="4C94E6B4">
      <w:pPr>
        <w:pStyle w:val="29"/>
        <w:tabs>
          <w:tab w:val="right" w:leader="dot" w:pos="9072"/>
        </w:tabs>
      </w:pPr>
      <w:r>
        <w:fldChar w:fldCharType="begin"/>
      </w:r>
      <w:r>
        <w:instrText xml:space="preserve"> HYPERLINK \l "_LarkToc00013" </w:instrText>
      </w:r>
      <w:r>
        <w:fldChar w:fldCharType="separate"/>
      </w:r>
      <w:r>
        <w:t>九、国有资本经营预算支出决算情况说明</w:t>
      </w:r>
      <w:r>
        <w:tab/>
      </w:r>
      <w:r>
        <w:fldChar w:fldCharType="begin"/>
      </w:r>
      <w:r>
        <w:instrText xml:space="preserve"> PAGEREF _LarkToc00013 \h </w:instrText>
      </w:r>
      <w:r>
        <w:fldChar w:fldCharType="separate"/>
      </w:r>
      <w:r>
        <w:t>7</w:t>
      </w:r>
      <w:r>
        <w:fldChar w:fldCharType="end"/>
      </w:r>
      <w:r>
        <w:fldChar w:fldCharType="end"/>
      </w:r>
    </w:p>
    <w:p w14:paraId="2C20A0F1">
      <w:pPr>
        <w:pStyle w:val="29"/>
        <w:tabs>
          <w:tab w:val="right" w:leader="dot" w:pos="9072"/>
        </w:tabs>
      </w:pPr>
      <w:r>
        <w:fldChar w:fldCharType="begin"/>
      </w:r>
      <w:r>
        <w:instrText xml:space="preserve"> HYPERLINK \l "_LarkToc00014" </w:instrText>
      </w:r>
      <w:r>
        <w:fldChar w:fldCharType="separate"/>
      </w:r>
      <w:r>
        <w:t>十、其他重要事项的情况说明</w:t>
      </w:r>
      <w:r>
        <w:tab/>
      </w:r>
      <w:r>
        <w:fldChar w:fldCharType="begin"/>
      </w:r>
      <w:r>
        <w:instrText xml:space="preserve"> PAGEREF _LarkToc00014 \h </w:instrText>
      </w:r>
      <w:r>
        <w:fldChar w:fldCharType="separate"/>
      </w:r>
      <w:r>
        <w:t>7</w:t>
      </w:r>
      <w:r>
        <w:fldChar w:fldCharType="end"/>
      </w:r>
      <w:r>
        <w:fldChar w:fldCharType="end"/>
      </w:r>
    </w:p>
    <w:p w14:paraId="53EC9DBB">
      <w:pPr>
        <w:pStyle w:val="26"/>
        <w:tabs>
          <w:tab w:val="right" w:leader="dot" w:pos="9072"/>
        </w:tabs>
      </w:pPr>
      <w:r>
        <w:fldChar w:fldCharType="begin"/>
      </w:r>
      <w:r>
        <w:instrText xml:space="preserve"> HYPERLINK \l "_LarkToc00015" </w:instrText>
      </w:r>
      <w:r>
        <w:fldChar w:fldCharType="separate"/>
      </w:r>
      <w:r>
        <w:t>第三部分 名词解释</w:t>
      </w:r>
      <w:r>
        <w:tab/>
      </w:r>
      <w:r>
        <w:fldChar w:fldCharType="begin"/>
      </w:r>
      <w:r>
        <w:instrText xml:space="preserve"> PAGEREF _LarkToc00015 \h </w:instrText>
      </w:r>
      <w:r>
        <w:fldChar w:fldCharType="separate"/>
      </w:r>
      <w:r>
        <w:t>9</w:t>
      </w:r>
      <w:r>
        <w:fldChar w:fldCharType="end"/>
      </w:r>
      <w:r>
        <w:fldChar w:fldCharType="end"/>
      </w:r>
    </w:p>
    <w:p w14:paraId="43AC9934">
      <w:pPr>
        <w:pStyle w:val="26"/>
        <w:tabs>
          <w:tab w:val="right" w:leader="dot" w:pos="9072"/>
        </w:tabs>
      </w:pPr>
      <w:r>
        <w:fldChar w:fldCharType="begin"/>
      </w:r>
      <w:r>
        <w:instrText xml:space="preserve"> HYPERLINK \l "_LarkToc00016" </w:instrText>
      </w:r>
      <w:r>
        <w:fldChar w:fldCharType="separate"/>
      </w:r>
      <w:r>
        <w:t>第四部分 附件</w:t>
      </w:r>
      <w:r>
        <w:tab/>
      </w:r>
      <w:r>
        <w:fldChar w:fldCharType="begin"/>
      </w:r>
      <w:r>
        <w:instrText xml:space="preserve"> PAGEREF _LarkToc00016 \h </w:instrText>
      </w:r>
      <w:r>
        <w:fldChar w:fldCharType="separate"/>
      </w:r>
      <w:r>
        <w:t>12</w:t>
      </w:r>
      <w:r>
        <w:fldChar w:fldCharType="end"/>
      </w:r>
      <w:r>
        <w:fldChar w:fldCharType="end"/>
      </w:r>
    </w:p>
    <w:p w14:paraId="0E6DE9D0">
      <w:pPr>
        <w:pStyle w:val="26"/>
        <w:tabs>
          <w:tab w:val="right" w:leader="dot" w:pos="9072"/>
        </w:tabs>
      </w:pPr>
      <w:r>
        <w:fldChar w:fldCharType="begin"/>
      </w:r>
      <w:r>
        <w:instrText xml:space="preserve"> HYPERLINK \l "_LarkToc00017" </w:instrText>
      </w:r>
      <w:r>
        <w:fldChar w:fldCharType="separate"/>
      </w:r>
      <w:r>
        <w:t>第五部分 附表</w:t>
      </w:r>
      <w:r>
        <w:tab/>
      </w:r>
      <w:r>
        <w:fldChar w:fldCharType="begin"/>
      </w:r>
      <w:r>
        <w:instrText xml:space="preserve"> PAGEREF _LarkToc00017 \h </w:instrText>
      </w:r>
      <w:r>
        <w:fldChar w:fldCharType="separate"/>
      </w:r>
      <w:r>
        <w:t>13</w:t>
      </w:r>
      <w:r>
        <w:fldChar w:fldCharType="end"/>
      </w:r>
      <w:r>
        <w:fldChar w:fldCharType="end"/>
      </w:r>
      <w:r>
        <w:fldChar w:fldCharType="end"/>
      </w:r>
    </w:p>
    <w:p w14:paraId="71B97A04">
      <w:pPr>
        <w:spacing w:line="360" w:lineRule="auto"/>
        <w:ind w:firstLine="0"/>
        <w:jc w:val="center"/>
      </w:pPr>
      <w:r>
        <w:rPr>
          <w:rFonts w:ascii="Times New Roman" w:hAnsi="Times New Roman" w:eastAsia="宋体"/>
          <w:b w:val="0"/>
          <w:color w:val="000000"/>
          <w:sz w:val="24"/>
        </w:rPr>
        <w:t>公开时间：2026年10月</w:t>
      </w:r>
    </w:p>
    <w:p w14:paraId="2399E2AE">
      <w:r>
        <w:br w:type="page"/>
      </w:r>
    </w:p>
    <w:p w14:paraId="5992CC2F">
      <w:pPr>
        <w:pStyle w:val="3"/>
        <w:ind w:firstLine="0"/>
        <w:jc w:val="left"/>
      </w:pPr>
      <w:bookmarkStart w:id="0" w:name="_LarkToc00001"/>
      <w:r>
        <w:rPr>
          <w:rFonts w:ascii="Times New Roman" w:hAnsi="Times New Roman" w:eastAsia="黑体"/>
          <w:b/>
          <w:color w:val="000000"/>
          <w:sz w:val="32"/>
        </w:rPr>
        <w:t>第一部分 单位概况</w:t>
      </w:r>
      <w:bookmarkEnd w:id="0"/>
    </w:p>
    <w:p w14:paraId="47D5734B">
      <w:pPr>
        <w:pStyle w:val="4"/>
        <w:ind w:firstLine="0"/>
        <w:jc w:val="left"/>
      </w:pPr>
      <w:bookmarkStart w:id="1" w:name="_LarkToc00002"/>
      <w:r>
        <w:rPr>
          <w:rFonts w:ascii="Times New Roman" w:hAnsi="Times New Roman" w:eastAsia="黑体"/>
          <w:b/>
          <w:color w:val="000000"/>
          <w:sz w:val="28"/>
        </w:rPr>
        <w:t>（一）主要职责</w:t>
      </w:r>
      <w:bookmarkEnd w:id="1"/>
    </w:p>
    <w:p w14:paraId="7FFA0094">
      <w:pPr>
        <w:spacing w:line="360" w:lineRule="auto"/>
        <w:ind w:firstLine="480"/>
      </w:pPr>
      <w:r>
        <w:rPr>
          <w:rFonts w:ascii="Times New Roman" w:hAnsi="Times New Roman" w:eastAsia="宋体"/>
          <w:b w:val="0"/>
          <w:color w:val="000000"/>
          <w:sz w:val="24"/>
        </w:rPr>
        <w:t>一是主要职能。部门决算是各单位预算执行情况的综合反映，是政府宏观经济决策的重要参考，也是编制部门预算、强化预算管理的基本依据。2025年我乡部门预算工作在县财政局的领导和指导下，按照部门预算上报要求，精心编制，认真审核，努力提高部门预算执行情况。</w:t>
      </w:r>
    </w:p>
    <w:p w14:paraId="3684A469">
      <w:pPr>
        <w:spacing w:line="360" w:lineRule="auto"/>
        <w:ind w:firstLine="480"/>
      </w:pPr>
      <w:r>
        <w:rPr>
          <w:rFonts w:ascii="Times New Roman" w:hAnsi="Times New Roman" w:eastAsia="宋体"/>
          <w:b w:val="0"/>
          <w:color w:val="000000"/>
          <w:sz w:val="24"/>
        </w:rPr>
        <w:t>二是2025年重点工作完成情况。2025年，镇坪乡在县委、县政府的正确领导下，坚持以习近平新时代中国特色社会主义思想为指引，紧扣全乡工作大局，不断创新思路，锐意进取，注重协调发展，追求工作实效，大力推进经济、政治、文化建设，顺利推进各项目标任务。（重点工作完成情况以本年度实际工作总结为准。）</w:t>
      </w:r>
    </w:p>
    <w:p w14:paraId="6C79A48F">
      <w:pPr>
        <w:pStyle w:val="4"/>
        <w:ind w:firstLine="0"/>
        <w:jc w:val="left"/>
      </w:pPr>
      <w:bookmarkStart w:id="2" w:name="_LarkToc00003"/>
      <w:r>
        <w:rPr>
          <w:rFonts w:ascii="Times New Roman" w:hAnsi="Times New Roman" w:eastAsia="黑体"/>
          <w:b/>
          <w:color w:val="000000"/>
          <w:sz w:val="28"/>
        </w:rPr>
        <w:t>（二）机构设置</w:t>
      </w:r>
      <w:bookmarkEnd w:id="2"/>
    </w:p>
    <w:p w14:paraId="42BF919C">
      <w:pPr>
        <w:spacing w:line="360" w:lineRule="auto"/>
        <w:ind w:firstLine="480"/>
      </w:pPr>
      <w:r>
        <w:rPr>
          <w:rFonts w:ascii="Times New Roman" w:hAnsi="Times New Roman" w:eastAsia="宋体"/>
          <w:b w:val="0"/>
          <w:color w:val="000000"/>
          <w:sz w:val="24"/>
        </w:rPr>
        <w:t>松潘县镇坪乡人民政府2025年部门预算编报独立核算的机构数为1户。2025年年末在职实有人员25人，其中编制内实有人员24人（公务员23人、机关和事业工人1人），其他人员1人。</w:t>
      </w:r>
    </w:p>
    <w:p w14:paraId="1A0FE5F7">
      <w:r>
        <w:br w:type="page"/>
      </w:r>
    </w:p>
    <w:p w14:paraId="42645C9D">
      <w:pPr>
        <w:pStyle w:val="3"/>
        <w:ind w:firstLine="0"/>
        <w:jc w:val="left"/>
      </w:pPr>
      <w:bookmarkStart w:id="3" w:name="_LarkToc00004"/>
      <w:r>
        <w:rPr>
          <w:rFonts w:ascii="Times New Roman" w:hAnsi="Times New Roman" w:eastAsia="黑体"/>
          <w:b/>
          <w:color w:val="000000"/>
          <w:sz w:val="32"/>
        </w:rPr>
        <w:t>第二部分 2025年度单位决算情况说明</w:t>
      </w:r>
      <w:bookmarkEnd w:id="3"/>
    </w:p>
    <w:p w14:paraId="32C8B9A9">
      <w:pPr>
        <w:pStyle w:val="4"/>
        <w:ind w:firstLine="0"/>
        <w:jc w:val="left"/>
      </w:pPr>
      <w:bookmarkStart w:id="4" w:name="_LarkToc00005"/>
      <w:r>
        <w:rPr>
          <w:rFonts w:ascii="Times New Roman" w:hAnsi="Times New Roman" w:eastAsia="黑体"/>
          <w:b/>
          <w:color w:val="000000"/>
          <w:sz w:val="28"/>
        </w:rPr>
        <w:t>一、收入支出决算总体情况说明</w:t>
      </w:r>
      <w:bookmarkEnd w:id="4"/>
    </w:p>
    <w:p w14:paraId="64EAE5E2">
      <w:pPr>
        <w:spacing w:line="360" w:lineRule="auto"/>
        <w:ind w:firstLine="480"/>
      </w:pPr>
      <w:r>
        <w:rPr>
          <w:rFonts w:ascii="Times New Roman" w:hAnsi="Times New Roman" w:eastAsia="宋体"/>
          <w:b w:val="0"/>
          <w:color w:val="000000"/>
          <w:sz w:val="24"/>
        </w:rPr>
        <w:t>2025年度收入总计1536.90万元（其中本年收入1525.51万元、年初结转和结余11.39万元），与2024年相比，收入总计增加15.11万元，增长0.99%。支出总计1536.90万元，与2024年相比，支出总计增加30.15万元，增长2.00%，主要变动原因是项目增加。</w:t>
      </w:r>
    </w:p>
    <w:p w14:paraId="1C1B8D00">
      <w:pPr>
        <w:pStyle w:val="4"/>
        <w:ind w:firstLine="0"/>
        <w:jc w:val="left"/>
      </w:pPr>
      <w:bookmarkStart w:id="5" w:name="_LarkToc00006"/>
      <w:r>
        <w:rPr>
          <w:rFonts w:ascii="Times New Roman" w:hAnsi="Times New Roman" w:eastAsia="黑体"/>
          <w:b/>
          <w:color w:val="000000"/>
          <w:sz w:val="28"/>
        </w:rPr>
        <w:t>二、收入决算情况说明</w:t>
      </w:r>
      <w:bookmarkEnd w:id="5"/>
    </w:p>
    <w:p w14:paraId="7D663322">
      <w:pPr>
        <w:spacing w:line="360" w:lineRule="auto"/>
        <w:ind w:firstLine="480"/>
      </w:pPr>
      <w:r>
        <w:rPr>
          <w:rFonts w:ascii="Times New Roman" w:hAnsi="Times New Roman" w:eastAsia="宋体"/>
          <w:b w:val="0"/>
          <w:color w:val="000000"/>
          <w:sz w:val="24"/>
        </w:rPr>
        <w:t>2025年本年收入合计1525.51万元，其中：一般公共预算财政拨款收入1525.51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0DDA4151">
      <w:pPr>
        <w:pStyle w:val="4"/>
        <w:ind w:firstLine="0"/>
        <w:jc w:val="left"/>
      </w:pPr>
      <w:bookmarkStart w:id="6" w:name="_LarkToc00007"/>
      <w:r>
        <w:rPr>
          <w:rFonts w:ascii="Times New Roman" w:hAnsi="Times New Roman" w:eastAsia="黑体"/>
          <w:b/>
          <w:color w:val="000000"/>
          <w:sz w:val="28"/>
        </w:rPr>
        <w:t>三、支出决算情况说明</w:t>
      </w:r>
      <w:bookmarkEnd w:id="6"/>
    </w:p>
    <w:p w14:paraId="2896159D">
      <w:pPr>
        <w:spacing w:line="360" w:lineRule="auto"/>
        <w:ind w:firstLine="480"/>
      </w:pPr>
      <w:r>
        <w:rPr>
          <w:rFonts w:ascii="Times New Roman" w:hAnsi="Times New Roman" w:eastAsia="宋体"/>
          <w:b w:val="0"/>
          <w:color w:val="000000"/>
          <w:sz w:val="24"/>
        </w:rPr>
        <w:t>2025年本年支出合计1536.90万元，其中：基本支出760.47万元，占49.48%；项目支出776.44万元，占50.52%；上缴上级支出0.00万元，占0.00%；经营支出0.00万元，占0.00%；对附属单位补助支出0.00万元，占0.00%。</w:t>
      </w:r>
    </w:p>
    <w:p w14:paraId="56998D1B">
      <w:pPr>
        <w:pStyle w:val="4"/>
        <w:ind w:firstLine="0"/>
        <w:jc w:val="left"/>
      </w:pPr>
      <w:bookmarkStart w:id="7" w:name="_LarkToc00008"/>
      <w:r>
        <w:rPr>
          <w:rFonts w:ascii="Times New Roman" w:hAnsi="Times New Roman" w:eastAsia="黑体"/>
          <w:b/>
          <w:color w:val="000000"/>
          <w:sz w:val="28"/>
        </w:rPr>
        <w:t>四、财政拨款收入支出决算总体情况说明</w:t>
      </w:r>
      <w:bookmarkEnd w:id="7"/>
    </w:p>
    <w:p w14:paraId="4ED96C9A">
      <w:pPr>
        <w:spacing w:line="360" w:lineRule="auto"/>
        <w:ind w:firstLine="480"/>
      </w:pPr>
      <w:r>
        <w:rPr>
          <w:rFonts w:ascii="Times New Roman" w:hAnsi="Times New Roman" w:eastAsia="宋体"/>
          <w:b w:val="0"/>
          <w:color w:val="000000"/>
          <w:sz w:val="24"/>
        </w:rPr>
        <w:t>2025年度财政拨款收入总计1536.90万元（含年初结转11.39万元），支出总计1536.90万元。与2024年相比，支出总计增加30.15万元，增长2.00%，主要变动原因是项目增加。</w:t>
      </w:r>
    </w:p>
    <w:p w14:paraId="1BB493C7">
      <w:pPr>
        <w:pStyle w:val="4"/>
        <w:ind w:firstLine="0"/>
        <w:jc w:val="left"/>
      </w:pPr>
      <w:bookmarkStart w:id="8" w:name="_LarkToc00009"/>
      <w:r>
        <w:rPr>
          <w:rFonts w:ascii="Times New Roman" w:hAnsi="Times New Roman" w:eastAsia="黑体"/>
          <w:b/>
          <w:color w:val="000000"/>
          <w:sz w:val="28"/>
        </w:rPr>
        <w:t>五、一般公共预算财政拨款支出决算情况说明</w:t>
      </w:r>
      <w:bookmarkEnd w:id="8"/>
    </w:p>
    <w:p w14:paraId="6024AE7C">
      <w:pPr>
        <w:pStyle w:val="5"/>
        <w:ind w:firstLine="0"/>
        <w:jc w:val="left"/>
      </w:pPr>
      <w:r>
        <w:rPr>
          <w:rFonts w:ascii="Times New Roman" w:hAnsi="Times New Roman" w:eastAsia="黑体"/>
          <w:b/>
          <w:color w:val="000000"/>
          <w:sz w:val="24"/>
        </w:rPr>
        <w:t>（一）一般公共预算财政拨款支出决算总体情况</w:t>
      </w:r>
    </w:p>
    <w:p w14:paraId="57DBFEB1">
      <w:pPr>
        <w:spacing w:line="360" w:lineRule="auto"/>
        <w:ind w:firstLine="480"/>
      </w:pPr>
      <w:r>
        <w:rPr>
          <w:rFonts w:ascii="Times New Roman" w:hAnsi="Times New Roman" w:eastAsia="宋体"/>
          <w:b w:val="0"/>
          <w:color w:val="000000"/>
          <w:sz w:val="24"/>
        </w:rPr>
        <w:t>2025年一般公共预算财政拨款支出1536.90万元，占本年支出合计的100.00%。完成全年预算1856.70万元的82.78%。</w:t>
      </w:r>
    </w:p>
    <w:p w14:paraId="0F5D886A">
      <w:pPr>
        <w:pStyle w:val="5"/>
        <w:ind w:firstLine="0"/>
        <w:jc w:val="left"/>
      </w:pPr>
      <w:r>
        <w:rPr>
          <w:rFonts w:ascii="Times New Roman" w:hAnsi="Times New Roman" w:eastAsia="黑体"/>
          <w:b/>
          <w:color w:val="000000"/>
          <w:sz w:val="24"/>
        </w:rPr>
        <w:t>（二）一般公共预算财政拨款支出决算结构情况</w:t>
      </w:r>
    </w:p>
    <w:p w14:paraId="5AA51F28">
      <w:pPr>
        <w:spacing w:line="360" w:lineRule="auto"/>
        <w:ind w:firstLine="480"/>
      </w:pPr>
      <w:r>
        <w:rPr>
          <w:rFonts w:ascii="Times New Roman" w:hAnsi="Times New Roman" w:eastAsia="宋体"/>
          <w:b w:val="0"/>
          <w:color w:val="000000"/>
          <w:sz w:val="24"/>
        </w:rPr>
        <w:t>2025年一般公共预算财政拨款支出1536.90万元，主要用于以下方面：</w:t>
      </w:r>
    </w:p>
    <w:p w14:paraId="5C1D5708">
      <w:pPr>
        <w:spacing w:line="360" w:lineRule="auto"/>
        <w:ind w:firstLine="480"/>
      </w:pPr>
      <w:r>
        <w:rPr>
          <w:rFonts w:ascii="Times New Roman" w:hAnsi="Times New Roman" w:eastAsia="宋体"/>
          <w:b w:val="0"/>
          <w:color w:val="000000"/>
          <w:sz w:val="24"/>
        </w:rPr>
        <w:t>一般公共服务支出（类）支出521.71万元，占33.95%。</w:t>
      </w:r>
    </w:p>
    <w:p w14:paraId="5B0BEF60">
      <w:pPr>
        <w:spacing w:line="360" w:lineRule="auto"/>
        <w:ind w:firstLine="480"/>
      </w:pPr>
      <w:r>
        <w:rPr>
          <w:rFonts w:ascii="Times New Roman" w:hAnsi="Times New Roman" w:eastAsia="宋体"/>
          <w:b w:val="0"/>
          <w:color w:val="000000"/>
          <w:sz w:val="24"/>
        </w:rPr>
        <w:t>文化旅游体育与传媒支出（类）支出164.07万元，占10.68%。</w:t>
      </w:r>
    </w:p>
    <w:p w14:paraId="76D752DC">
      <w:pPr>
        <w:spacing w:line="360" w:lineRule="auto"/>
        <w:ind w:firstLine="480"/>
      </w:pPr>
      <w:r>
        <w:rPr>
          <w:rFonts w:ascii="Times New Roman" w:hAnsi="Times New Roman" w:eastAsia="宋体"/>
          <w:b w:val="0"/>
          <w:color w:val="000000"/>
          <w:sz w:val="24"/>
        </w:rPr>
        <w:t>社会保障和就业支出（类）支出85.48万元，占5.56%。</w:t>
      </w:r>
    </w:p>
    <w:p w14:paraId="54DB9C9A">
      <w:pPr>
        <w:spacing w:line="360" w:lineRule="auto"/>
        <w:ind w:firstLine="480"/>
      </w:pPr>
      <w:r>
        <w:rPr>
          <w:rFonts w:ascii="Times New Roman" w:hAnsi="Times New Roman" w:eastAsia="宋体"/>
          <w:b w:val="0"/>
          <w:color w:val="000000"/>
          <w:sz w:val="24"/>
        </w:rPr>
        <w:t>卫生健康支出（类）支出29.67万元，占1.93%。</w:t>
      </w:r>
    </w:p>
    <w:p w14:paraId="153A39D9">
      <w:pPr>
        <w:spacing w:line="360" w:lineRule="auto"/>
        <w:ind w:firstLine="480"/>
      </w:pPr>
      <w:r>
        <w:rPr>
          <w:rFonts w:ascii="Times New Roman" w:hAnsi="Times New Roman" w:eastAsia="宋体"/>
          <w:b w:val="0"/>
          <w:color w:val="000000"/>
          <w:sz w:val="24"/>
        </w:rPr>
        <w:t>节能环保支出（类）支出37.66万元，占2.45%。</w:t>
      </w:r>
    </w:p>
    <w:p w14:paraId="39C91F8D">
      <w:pPr>
        <w:spacing w:line="360" w:lineRule="auto"/>
        <w:ind w:firstLine="480"/>
      </w:pPr>
      <w:r>
        <w:rPr>
          <w:rFonts w:ascii="Times New Roman" w:hAnsi="Times New Roman" w:eastAsia="宋体"/>
          <w:b w:val="0"/>
          <w:color w:val="000000"/>
          <w:sz w:val="24"/>
        </w:rPr>
        <w:t>城乡社区支出（类）支出21.32万元，占1.39%。</w:t>
      </w:r>
    </w:p>
    <w:p w14:paraId="0784B9E1">
      <w:pPr>
        <w:spacing w:line="360" w:lineRule="auto"/>
        <w:ind w:firstLine="480"/>
      </w:pPr>
      <w:r>
        <w:rPr>
          <w:rFonts w:ascii="Times New Roman" w:hAnsi="Times New Roman" w:eastAsia="宋体"/>
          <w:b w:val="0"/>
          <w:color w:val="000000"/>
          <w:sz w:val="24"/>
        </w:rPr>
        <w:t>农林水支出（类）支出629.84万元，占40.98%。</w:t>
      </w:r>
    </w:p>
    <w:p w14:paraId="1F730F62">
      <w:pPr>
        <w:spacing w:line="360" w:lineRule="auto"/>
        <w:ind w:firstLine="480"/>
      </w:pPr>
      <w:r>
        <w:rPr>
          <w:rFonts w:ascii="Times New Roman" w:hAnsi="Times New Roman" w:eastAsia="宋体"/>
          <w:b w:val="0"/>
          <w:color w:val="000000"/>
          <w:sz w:val="24"/>
        </w:rPr>
        <w:t>住房保障支出（类）支出47.16万元，占3.07%。</w:t>
      </w:r>
    </w:p>
    <w:p w14:paraId="7CBF4B43">
      <w:pPr>
        <w:ind w:firstLine="0"/>
        <w:jc w:val="center"/>
      </w:pPr>
      <w:r>
        <w:drawing>
          <wp:inline distT="0" distB="0" distL="114300" distR="114300">
            <wp:extent cx="5219700" cy="42189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220000" cy="4219017"/>
                    </a:xfrm>
                    <a:prstGeom prst="rect">
                      <a:avLst/>
                    </a:prstGeom>
                  </pic:spPr>
                </pic:pic>
              </a:graphicData>
            </a:graphic>
          </wp:inline>
        </w:drawing>
      </w:r>
    </w:p>
    <w:p w14:paraId="60B7F7E8">
      <w:pPr>
        <w:spacing w:before="80" w:after="80"/>
        <w:ind w:firstLine="0"/>
        <w:jc w:val="center"/>
      </w:pPr>
      <w:r>
        <w:rPr>
          <w:rFonts w:ascii="Times New Roman" w:hAnsi="Times New Roman" w:eastAsia="宋体"/>
          <w:b w:val="0"/>
          <w:color w:val="000000"/>
          <w:sz w:val="21"/>
        </w:rPr>
        <w:t>松潘县镇坪乡人民政府</w:t>
      </w:r>
      <w:r>
        <w:rPr>
          <w:rFonts w:hint="eastAsia"/>
          <w:b w:val="0"/>
          <w:color w:val="000000"/>
          <w:sz w:val="21"/>
          <w:lang w:eastAsia="zh-CN"/>
        </w:rPr>
        <w:t>（</w:t>
      </w:r>
      <w:r>
        <w:rPr>
          <w:rFonts w:ascii="Times New Roman" w:hAnsi="Times New Roman" w:eastAsia="宋体"/>
          <w:b w:val="0"/>
          <w:color w:val="000000"/>
          <w:sz w:val="21"/>
        </w:rPr>
        <w:t>本级</w:t>
      </w:r>
      <w:r>
        <w:rPr>
          <w:rFonts w:hint="eastAsia"/>
          <w:b w:val="0"/>
          <w:color w:val="000000"/>
          <w:sz w:val="21"/>
          <w:lang w:eastAsia="zh-CN"/>
        </w:rPr>
        <w:t>）</w:t>
      </w:r>
      <w:r>
        <w:rPr>
          <w:rFonts w:ascii="Times New Roman" w:hAnsi="Times New Roman" w:eastAsia="宋体"/>
          <w:b w:val="0"/>
          <w:color w:val="000000"/>
          <w:sz w:val="21"/>
        </w:rPr>
        <w:t>2025年支出功能分类构成图</w:t>
      </w:r>
    </w:p>
    <w:p w14:paraId="742F44F3">
      <w:pPr>
        <w:pStyle w:val="5"/>
        <w:ind w:firstLine="0"/>
        <w:jc w:val="left"/>
      </w:pPr>
      <w:r>
        <w:rPr>
          <w:rFonts w:ascii="Times New Roman" w:hAnsi="Times New Roman" w:eastAsia="黑体"/>
          <w:b/>
          <w:color w:val="000000"/>
          <w:sz w:val="24"/>
        </w:rPr>
        <w:t>（三）一般公共预算财政拨款支出决算具体情况</w:t>
      </w:r>
    </w:p>
    <w:p w14:paraId="6F0B1247">
      <w:pPr>
        <w:spacing w:line="360" w:lineRule="auto"/>
        <w:ind w:firstLine="480"/>
      </w:pPr>
      <w:r>
        <w:rPr>
          <w:rFonts w:ascii="Times New Roman" w:hAnsi="Times New Roman" w:eastAsia="宋体"/>
          <w:b w:val="0"/>
          <w:color w:val="000000"/>
          <w:sz w:val="24"/>
        </w:rPr>
        <w:t>2025年一般公共预算支出决算数为1536.90万元，完成全年预算的82.78%。具体情况如下：</w:t>
      </w:r>
    </w:p>
    <w:p w14:paraId="6E9A38A7">
      <w:pPr>
        <w:spacing w:line="360" w:lineRule="auto"/>
        <w:ind w:firstLine="480"/>
      </w:pPr>
      <w:r>
        <w:rPr>
          <w:rFonts w:ascii="Times New Roman" w:hAnsi="Times New Roman" w:eastAsia="宋体"/>
          <w:b w:val="0"/>
          <w:color w:val="000000"/>
          <w:sz w:val="24"/>
        </w:rPr>
        <w:t>1.人大会议（2010104）支出决算2.35万元。</w:t>
      </w:r>
    </w:p>
    <w:p w14:paraId="0AF3B051">
      <w:pPr>
        <w:spacing w:line="360" w:lineRule="auto"/>
        <w:ind w:firstLine="480"/>
      </w:pPr>
      <w:r>
        <w:rPr>
          <w:rFonts w:ascii="Times New Roman" w:hAnsi="Times New Roman" w:eastAsia="宋体"/>
          <w:b w:val="0"/>
          <w:color w:val="000000"/>
          <w:sz w:val="24"/>
        </w:rPr>
        <w:t>2.代表工作（2010108）支出决算8.00万元。</w:t>
      </w:r>
    </w:p>
    <w:p w14:paraId="50464CF5">
      <w:pPr>
        <w:spacing w:line="360" w:lineRule="auto"/>
        <w:ind w:firstLine="480"/>
      </w:pPr>
      <w:r>
        <w:rPr>
          <w:rFonts w:ascii="Times New Roman" w:hAnsi="Times New Roman" w:eastAsia="宋体"/>
          <w:b w:val="0"/>
          <w:color w:val="000000"/>
          <w:sz w:val="24"/>
        </w:rPr>
        <w:t>3.其他政协事务支出（2010299）支出决算3.10万元。</w:t>
      </w:r>
    </w:p>
    <w:p w14:paraId="0CAA887A">
      <w:pPr>
        <w:spacing w:line="360" w:lineRule="auto"/>
        <w:ind w:firstLine="480"/>
      </w:pPr>
      <w:r>
        <w:rPr>
          <w:rFonts w:ascii="Times New Roman" w:hAnsi="Times New Roman" w:eastAsia="宋体"/>
          <w:b w:val="0"/>
          <w:color w:val="000000"/>
          <w:sz w:val="24"/>
        </w:rPr>
        <w:t>4.行政运行（2010301）支出决算508.26万元。</w:t>
      </w:r>
    </w:p>
    <w:p w14:paraId="2927A619">
      <w:pPr>
        <w:spacing w:line="360" w:lineRule="auto"/>
        <w:ind w:firstLine="480"/>
      </w:pPr>
      <w:r>
        <w:rPr>
          <w:rFonts w:ascii="Times New Roman" w:hAnsi="Times New Roman" w:eastAsia="宋体"/>
          <w:b w:val="0"/>
          <w:color w:val="000000"/>
          <w:sz w:val="24"/>
        </w:rPr>
        <w:t>5.其他文化旅游体育与传媒支出（2079999）支出决算164.07万元。</w:t>
      </w:r>
    </w:p>
    <w:p w14:paraId="554552A6">
      <w:pPr>
        <w:spacing w:line="360" w:lineRule="auto"/>
        <w:ind w:firstLine="480"/>
      </w:pPr>
      <w:r>
        <w:rPr>
          <w:rFonts w:ascii="Times New Roman" w:hAnsi="Times New Roman" w:eastAsia="宋体"/>
          <w:b w:val="0"/>
          <w:color w:val="000000"/>
          <w:sz w:val="24"/>
        </w:rPr>
        <w:t>6.机关事业单位基本养老保险缴费支出（2080505）支出决算53.45万元。</w:t>
      </w:r>
    </w:p>
    <w:p w14:paraId="13949D9B">
      <w:pPr>
        <w:spacing w:line="360" w:lineRule="auto"/>
        <w:ind w:firstLine="480"/>
      </w:pPr>
      <w:r>
        <w:rPr>
          <w:rFonts w:ascii="Times New Roman" w:hAnsi="Times New Roman" w:eastAsia="宋体"/>
          <w:b w:val="0"/>
          <w:color w:val="000000"/>
          <w:sz w:val="24"/>
        </w:rPr>
        <w:t>7.机关事业单位职业年金缴费支出（2080506）支出决算32.03万元。</w:t>
      </w:r>
    </w:p>
    <w:p w14:paraId="2575BC68">
      <w:pPr>
        <w:spacing w:line="360" w:lineRule="auto"/>
        <w:ind w:firstLine="480"/>
      </w:pPr>
      <w:r>
        <w:rPr>
          <w:rFonts w:ascii="Times New Roman" w:hAnsi="Times New Roman" w:eastAsia="宋体"/>
          <w:b w:val="0"/>
          <w:color w:val="000000"/>
          <w:sz w:val="24"/>
        </w:rPr>
        <w:t>8.行政单位医疗（2101101）支出决算24.88万元。</w:t>
      </w:r>
    </w:p>
    <w:p w14:paraId="723F2739">
      <w:pPr>
        <w:spacing w:line="360" w:lineRule="auto"/>
        <w:ind w:firstLine="480"/>
      </w:pPr>
      <w:r>
        <w:rPr>
          <w:rFonts w:ascii="Times New Roman" w:hAnsi="Times New Roman" w:eastAsia="宋体"/>
          <w:b w:val="0"/>
          <w:color w:val="000000"/>
          <w:sz w:val="24"/>
        </w:rPr>
        <w:t>9.公务员医疗补助（2101103）支出决算4.79万元。</w:t>
      </w:r>
    </w:p>
    <w:p w14:paraId="254396DB">
      <w:pPr>
        <w:spacing w:line="360" w:lineRule="auto"/>
        <w:ind w:firstLine="480"/>
      </w:pPr>
      <w:r>
        <w:rPr>
          <w:rFonts w:ascii="Times New Roman" w:hAnsi="Times New Roman" w:eastAsia="宋体"/>
          <w:b w:val="0"/>
          <w:color w:val="000000"/>
          <w:sz w:val="24"/>
        </w:rPr>
        <w:t>10.其他污染防治支出（2110399）支出决算37.66万元。</w:t>
      </w:r>
    </w:p>
    <w:p w14:paraId="2AEC984B">
      <w:pPr>
        <w:spacing w:line="360" w:lineRule="auto"/>
        <w:ind w:firstLine="480"/>
      </w:pPr>
      <w:r>
        <w:rPr>
          <w:rFonts w:ascii="Times New Roman" w:hAnsi="Times New Roman" w:eastAsia="宋体"/>
          <w:b w:val="0"/>
          <w:color w:val="000000"/>
          <w:sz w:val="24"/>
        </w:rPr>
        <w:t>11.城乡社区环境卫生（2120501）支出决算21.32万元。</w:t>
      </w:r>
    </w:p>
    <w:p w14:paraId="0A1AC9D1">
      <w:pPr>
        <w:spacing w:line="360" w:lineRule="auto"/>
        <w:ind w:firstLine="480"/>
      </w:pPr>
      <w:r>
        <w:rPr>
          <w:rFonts w:ascii="Times New Roman" w:hAnsi="Times New Roman" w:eastAsia="宋体"/>
          <w:b w:val="0"/>
          <w:color w:val="000000"/>
          <w:sz w:val="24"/>
        </w:rPr>
        <w:t>12.其他农业农村支出（2130199）支出决算166.89万元。</w:t>
      </w:r>
    </w:p>
    <w:p w14:paraId="384D8D60">
      <w:pPr>
        <w:spacing w:line="360" w:lineRule="auto"/>
        <w:ind w:firstLine="480"/>
      </w:pPr>
      <w:r>
        <w:rPr>
          <w:rFonts w:ascii="Times New Roman" w:hAnsi="Times New Roman" w:eastAsia="宋体"/>
          <w:b w:val="0"/>
          <w:color w:val="000000"/>
          <w:sz w:val="24"/>
        </w:rPr>
        <w:t>13.农村基础设施建设（2130504）支出决算173.93万元。</w:t>
      </w:r>
    </w:p>
    <w:p w14:paraId="53FF8A73">
      <w:pPr>
        <w:spacing w:line="360" w:lineRule="auto"/>
        <w:ind w:firstLine="480"/>
      </w:pPr>
      <w:r>
        <w:rPr>
          <w:rFonts w:ascii="Times New Roman" w:hAnsi="Times New Roman" w:eastAsia="宋体"/>
          <w:b w:val="0"/>
          <w:color w:val="000000"/>
          <w:sz w:val="24"/>
        </w:rPr>
        <w:t>14.生产发展（2130505）支出决算115.90万元。</w:t>
      </w:r>
    </w:p>
    <w:p w14:paraId="5500C09B">
      <w:pPr>
        <w:spacing w:line="360" w:lineRule="auto"/>
        <w:ind w:firstLine="480"/>
      </w:pPr>
      <w:r>
        <w:rPr>
          <w:rFonts w:ascii="Times New Roman" w:hAnsi="Times New Roman" w:eastAsia="宋体"/>
          <w:b w:val="0"/>
          <w:color w:val="000000"/>
          <w:sz w:val="24"/>
        </w:rPr>
        <w:t>15.对村民委员会和村党支部的补助（2130705）支出决算173.11万元。</w:t>
      </w:r>
    </w:p>
    <w:p w14:paraId="173D4E2C">
      <w:pPr>
        <w:spacing w:line="360" w:lineRule="auto"/>
        <w:ind w:firstLine="480"/>
      </w:pPr>
      <w:r>
        <w:rPr>
          <w:rFonts w:ascii="Times New Roman" w:hAnsi="Times New Roman" w:eastAsia="宋体"/>
          <w:b w:val="0"/>
          <w:color w:val="000000"/>
          <w:sz w:val="24"/>
        </w:rPr>
        <w:t>16.住房公积金（2210201）支出决算47.16万元。</w:t>
      </w:r>
    </w:p>
    <w:p w14:paraId="77ED61BE">
      <w:pPr>
        <w:spacing w:line="360" w:lineRule="auto"/>
        <w:ind w:firstLine="0"/>
      </w:pPr>
      <w:r>
        <w:rPr>
          <w:rFonts w:ascii="Times New Roman" w:hAnsi="Times New Roman" w:eastAsia="宋体"/>
          <w:b w:val="0"/>
          <w:color w:val="000000"/>
          <w:sz w:val="20"/>
        </w:rPr>
        <w:t>（注：上表功能科目数据来源于财决01表、财决04表，仅罗列本单位涉及的全部功能分类科目；“预算”口径为全年预算数。）</w:t>
      </w:r>
    </w:p>
    <w:p w14:paraId="1272775D">
      <w:pPr>
        <w:pStyle w:val="4"/>
        <w:ind w:firstLine="0"/>
        <w:jc w:val="left"/>
      </w:pPr>
      <w:bookmarkStart w:id="9" w:name="_LarkToc00010"/>
      <w:r>
        <w:rPr>
          <w:rFonts w:ascii="Times New Roman" w:hAnsi="Times New Roman" w:eastAsia="黑体"/>
          <w:b/>
          <w:color w:val="000000"/>
          <w:sz w:val="28"/>
        </w:rPr>
        <w:t>六、一般公共预算财政拨款基本支出决算情况说明</w:t>
      </w:r>
      <w:bookmarkEnd w:id="9"/>
    </w:p>
    <w:p w14:paraId="67EE3C6D">
      <w:pPr>
        <w:spacing w:line="360" w:lineRule="auto"/>
        <w:ind w:firstLine="480"/>
      </w:pPr>
      <w:r>
        <w:rPr>
          <w:rFonts w:ascii="Times New Roman" w:hAnsi="Times New Roman" w:eastAsia="宋体"/>
          <w:b w:val="0"/>
          <w:color w:val="000000"/>
          <w:sz w:val="24"/>
        </w:rPr>
        <w:t>2025年一般公共预算财政拨款基本支出760.47万元，其中：</w:t>
      </w:r>
    </w:p>
    <w:p w14:paraId="0ED506FC">
      <w:pPr>
        <w:spacing w:line="360" w:lineRule="auto"/>
        <w:ind w:firstLine="480"/>
      </w:pPr>
      <w:r>
        <w:rPr>
          <w:rFonts w:ascii="Times New Roman" w:hAnsi="Times New Roman" w:eastAsia="宋体"/>
          <w:b w:val="0"/>
          <w:color w:val="000000"/>
          <w:sz w:val="24"/>
        </w:rPr>
        <w:t>人员经费611.15万元，主要包括：</w:t>
      </w:r>
    </w:p>
    <w:p w14:paraId="3418324E">
      <w:pPr>
        <w:spacing w:line="360" w:lineRule="auto"/>
        <w:ind w:firstLine="480"/>
      </w:pPr>
      <w:r>
        <w:rPr>
          <w:rFonts w:ascii="Times New Roman" w:hAnsi="Times New Roman" w:eastAsia="宋体"/>
          <w:b w:val="0"/>
          <w:color w:val="000000"/>
          <w:sz w:val="24"/>
        </w:rPr>
        <w:t>基本工资129.30万元、津贴补贴151.81万元、奖金153.83万元、机关事业单位基本养老保险缴费53.45万元、职业年金缴费32.03万元、职工基本医疗保险缴费24.88万元、公务员医疗补助缴费4.79万元、其他社会保障缴费8.42万元、住房公积金47.16万元、其他工资福利支出3.22万元、生活补助2.25万元、奖励金0.02万元。</w:t>
      </w:r>
    </w:p>
    <w:p w14:paraId="15640232">
      <w:pPr>
        <w:spacing w:line="360" w:lineRule="auto"/>
        <w:ind w:firstLine="480"/>
      </w:pPr>
      <w:r>
        <w:rPr>
          <w:rFonts w:ascii="Times New Roman" w:hAnsi="Times New Roman" w:eastAsia="宋体"/>
          <w:b w:val="0"/>
          <w:color w:val="000000"/>
          <w:sz w:val="24"/>
        </w:rPr>
        <w:t>公用经费149.31万元，主要包括：</w:t>
      </w:r>
    </w:p>
    <w:p w14:paraId="49F8FBDC">
      <w:pPr>
        <w:spacing w:line="360" w:lineRule="auto"/>
        <w:ind w:firstLine="480"/>
      </w:pPr>
      <w:r>
        <w:rPr>
          <w:rFonts w:ascii="Times New Roman" w:hAnsi="Times New Roman" w:eastAsia="宋体"/>
          <w:b w:val="0"/>
          <w:color w:val="000000"/>
          <w:sz w:val="24"/>
        </w:rPr>
        <w:t>办公费50.98万元、电费1.60万元、取暖费5.40万元、差旅费0.84万元、维修（护）费70.00万元、会议费2.35万元、公务接待费0.54万元、工会经费5.81万元、福利费6.10万元、公务用车运行维护费5.70万元。</w:t>
      </w:r>
    </w:p>
    <w:p w14:paraId="0ED39175">
      <w:pPr>
        <w:spacing w:line="360" w:lineRule="auto"/>
        <w:ind w:firstLine="0"/>
      </w:pPr>
      <w:r>
        <w:rPr>
          <w:rFonts w:ascii="Times New Roman" w:hAnsi="Times New Roman" w:eastAsia="宋体"/>
          <w:b w:val="0"/>
          <w:color w:val="000000"/>
          <w:sz w:val="20"/>
        </w:rPr>
        <w:t>（注：数据来源于财决07表和财决08-1表，仅罗列本单位实际支出涉及的经济分类科目。）</w:t>
      </w:r>
    </w:p>
    <w:p w14:paraId="3DEEF678">
      <w:pPr>
        <w:pStyle w:val="4"/>
        <w:ind w:firstLine="0"/>
        <w:jc w:val="left"/>
      </w:pPr>
      <w:bookmarkStart w:id="10" w:name="_LarkToc00011"/>
      <w:r>
        <w:rPr>
          <w:rFonts w:ascii="Times New Roman" w:hAnsi="Times New Roman" w:eastAsia="黑体"/>
          <w:b/>
          <w:color w:val="000000"/>
          <w:sz w:val="28"/>
        </w:rPr>
        <w:t>七、财政拨款“三公”经费支出决算情况说明</w:t>
      </w:r>
      <w:bookmarkEnd w:id="10"/>
    </w:p>
    <w:p w14:paraId="59441823">
      <w:pPr>
        <w:pStyle w:val="5"/>
        <w:ind w:firstLine="0"/>
        <w:jc w:val="left"/>
      </w:pPr>
      <w:r>
        <w:rPr>
          <w:rFonts w:ascii="Times New Roman" w:hAnsi="Times New Roman" w:eastAsia="黑体"/>
          <w:b/>
          <w:color w:val="000000"/>
          <w:sz w:val="24"/>
        </w:rPr>
        <w:t>（一）“三公”经费财政拨款支出决算总体情况说明</w:t>
      </w:r>
    </w:p>
    <w:p w14:paraId="70B9DD12">
      <w:pPr>
        <w:spacing w:line="360" w:lineRule="auto"/>
        <w:ind w:firstLine="480"/>
      </w:pPr>
      <w:r>
        <w:rPr>
          <w:rFonts w:ascii="Times New Roman" w:hAnsi="Times New Roman" w:eastAsia="宋体"/>
          <w:b w:val="0"/>
          <w:color w:val="000000"/>
          <w:sz w:val="24"/>
        </w:rPr>
        <w:t>2025年“三公”经费财政拨款支出决算为6.24万元。</w:t>
      </w:r>
    </w:p>
    <w:p w14:paraId="4780BABA">
      <w:pPr>
        <w:pStyle w:val="5"/>
        <w:ind w:firstLine="0"/>
        <w:jc w:val="left"/>
      </w:pPr>
      <w:r>
        <w:rPr>
          <w:rFonts w:ascii="Times New Roman" w:hAnsi="Times New Roman" w:eastAsia="黑体"/>
          <w:b/>
          <w:color w:val="000000"/>
          <w:sz w:val="24"/>
        </w:rPr>
        <w:t>（二）“三公”经费财政拨款支出决算具体情况说明</w:t>
      </w:r>
    </w:p>
    <w:p w14:paraId="36D32E7D">
      <w:pPr>
        <w:spacing w:line="360" w:lineRule="auto"/>
        <w:ind w:firstLine="480"/>
      </w:pPr>
      <w:r>
        <w:rPr>
          <w:rFonts w:ascii="Times New Roman" w:hAnsi="Times New Roman" w:eastAsia="宋体"/>
          <w:b w:val="0"/>
          <w:color w:val="000000"/>
          <w:sz w:val="24"/>
        </w:rPr>
        <w:t>2025年“三公”经费财政拨款支出决算中，因公出国（境）费支出决算0.00万元，占0.00%；公务用车购置及运行维护费支出决算5.70万元，占100.00%；公务接待费支出决算0.54万元，占100.00%。具体情况如下：</w:t>
      </w:r>
    </w:p>
    <w:p w14:paraId="0FD451DA">
      <w:pPr>
        <w:spacing w:line="360" w:lineRule="auto"/>
        <w:ind w:firstLine="480"/>
      </w:pPr>
      <w:r>
        <w:rPr>
          <w:rFonts w:ascii="Times New Roman" w:hAnsi="Times New Roman" w:eastAsia="宋体"/>
          <w:b w:val="0"/>
          <w:color w:val="000000"/>
          <w:sz w:val="24"/>
        </w:rPr>
        <w:t>1.因公出国（境）经费支出0.00万元。全年安排因公出国（境）团组0次，出国（境）0人。</w:t>
      </w:r>
    </w:p>
    <w:p w14:paraId="0321BFE5">
      <w:pPr>
        <w:spacing w:line="360" w:lineRule="auto"/>
        <w:ind w:firstLine="480"/>
      </w:pPr>
      <w:r>
        <w:rPr>
          <w:rFonts w:ascii="Times New Roman" w:hAnsi="Times New Roman" w:eastAsia="宋体"/>
          <w:b w:val="0"/>
          <w:color w:val="000000"/>
          <w:sz w:val="24"/>
        </w:rPr>
        <w:t>2.公务用车购置及运行维护费支出5.70万元。其中：公务用车购置支出0.00万元；公务用车运行维护费支出5.70万元，主要用于下村开展工作、上县城开会、交材料等所需的公务用车燃料费、维修费等支出。</w:t>
      </w:r>
    </w:p>
    <w:p w14:paraId="2E9D0127">
      <w:pPr>
        <w:spacing w:line="360" w:lineRule="auto"/>
        <w:ind w:firstLine="480"/>
      </w:pPr>
      <w:r>
        <w:rPr>
          <w:rFonts w:ascii="Times New Roman" w:hAnsi="Times New Roman" w:eastAsia="宋体"/>
          <w:b w:val="0"/>
          <w:color w:val="000000"/>
          <w:sz w:val="24"/>
        </w:rPr>
        <w:t>3.公务接待费支出0.54万元。国内公务接待支出0.54万元，国内公务接待13批次，90人次（不包括陪同人员），共计支出0.54万元。外事接待支出0.00万元，外事接待0批次，0人，共计支出0.00万元。</w:t>
      </w:r>
    </w:p>
    <w:p w14:paraId="3FFE20F9">
      <w:pPr>
        <w:pStyle w:val="4"/>
        <w:ind w:firstLine="0"/>
        <w:jc w:val="left"/>
      </w:pPr>
      <w:bookmarkStart w:id="11" w:name="_LarkToc00012"/>
      <w:r>
        <w:rPr>
          <w:rFonts w:ascii="Times New Roman" w:hAnsi="Times New Roman" w:eastAsia="黑体"/>
          <w:b/>
          <w:color w:val="000000"/>
          <w:sz w:val="28"/>
        </w:rPr>
        <w:t>八、政府性基金预算支出决算情况说明</w:t>
      </w:r>
      <w:bookmarkEnd w:id="11"/>
    </w:p>
    <w:p w14:paraId="51322FBD">
      <w:pPr>
        <w:spacing w:line="360" w:lineRule="auto"/>
        <w:ind w:firstLine="480"/>
      </w:pPr>
      <w:r>
        <w:rPr>
          <w:rFonts w:ascii="Times New Roman" w:hAnsi="Times New Roman" w:eastAsia="宋体"/>
          <w:b w:val="0"/>
          <w:color w:val="000000"/>
          <w:sz w:val="24"/>
        </w:rPr>
        <w:t>2025年政府性基金预算财政拨款支出0.00万元。</w:t>
      </w:r>
    </w:p>
    <w:p w14:paraId="50404F70">
      <w:pPr>
        <w:pStyle w:val="4"/>
        <w:ind w:firstLine="0"/>
        <w:jc w:val="left"/>
      </w:pPr>
      <w:bookmarkStart w:id="12" w:name="_LarkToc00013"/>
      <w:r>
        <w:rPr>
          <w:rFonts w:ascii="Times New Roman" w:hAnsi="Times New Roman" w:eastAsia="黑体"/>
          <w:b/>
          <w:color w:val="000000"/>
          <w:sz w:val="28"/>
        </w:rPr>
        <w:t>九、国有资本经营预算支出决算情况说明</w:t>
      </w:r>
      <w:bookmarkEnd w:id="12"/>
    </w:p>
    <w:p w14:paraId="3FD37767">
      <w:pPr>
        <w:spacing w:line="360" w:lineRule="auto"/>
        <w:ind w:firstLine="480"/>
      </w:pPr>
      <w:r>
        <w:rPr>
          <w:rFonts w:ascii="Times New Roman" w:hAnsi="Times New Roman" w:eastAsia="宋体"/>
          <w:b w:val="0"/>
          <w:color w:val="000000"/>
          <w:sz w:val="24"/>
        </w:rPr>
        <w:t>2025年国有资本经营预算财政拨款支出0.00万元。</w:t>
      </w:r>
    </w:p>
    <w:p w14:paraId="00C35166">
      <w:pPr>
        <w:pStyle w:val="4"/>
        <w:ind w:firstLine="0"/>
        <w:jc w:val="left"/>
      </w:pPr>
      <w:bookmarkStart w:id="13" w:name="_LarkToc00014"/>
      <w:r>
        <w:rPr>
          <w:rFonts w:ascii="Times New Roman" w:hAnsi="Times New Roman" w:eastAsia="黑体"/>
          <w:b/>
          <w:color w:val="000000"/>
          <w:sz w:val="28"/>
        </w:rPr>
        <w:t>十、其他重要事项的情况说明</w:t>
      </w:r>
      <w:bookmarkEnd w:id="13"/>
    </w:p>
    <w:p w14:paraId="56E4B594">
      <w:pPr>
        <w:pStyle w:val="5"/>
        <w:ind w:firstLine="0"/>
        <w:jc w:val="left"/>
      </w:pPr>
      <w:r>
        <w:rPr>
          <w:rFonts w:ascii="Times New Roman" w:hAnsi="Times New Roman" w:eastAsia="黑体"/>
          <w:b/>
          <w:color w:val="000000"/>
          <w:sz w:val="24"/>
        </w:rPr>
        <w:t>（一）机关运行经费支出情况</w:t>
      </w:r>
    </w:p>
    <w:p w14:paraId="3A09F6BC">
      <w:pPr>
        <w:spacing w:line="360" w:lineRule="auto"/>
        <w:ind w:firstLine="480"/>
      </w:pPr>
      <w:r>
        <w:rPr>
          <w:rFonts w:ascii="Times New Roman" w:hAnsi="Times New Roman" w:eastAsia="宋体"/>
          <w:b w:val="0"/>
          <w:color w:val="000000"/>
          <w:sz w:val="24"/>
        </w:rPr>
        <w:t>2025年，松潘县镇坪乡人民政府</w:t>
      </w:r>
      <w:r>
        <w:rPr>
          <w:rFonts w:hint="eastAsia"/>
          <w:b w:val="0"/>
          <w:color w:val="000000"/>
          <w:sz w:val="24"/>
          <w:lang w:eastAsia="zh-CN"/>
        </w:rPr>
        <w:t>（</w:t>
      </w:r>
      <w:r>
        <w:rPr>
          <w:rFonts w:ascii="Times New Roman" w:hAnsi="Times New Roman" w:eastAsia="宋体"/>
          <w:b w:val="0"/>
          <w:color w:val="000000"/>
          <w:sz w:val="24"/>
        </w:rPr>
        <w:t>本级</w:t>
      </w:r>
      <w:r>
        <w:rPr>
          <w:rFonts w:hint="eastAsia"/>
          <w:b w:val="0"/>
          <w:color w:val="000000"/>
          <w:sz w:val="24"/>
          <w:lang w:eastAsia="zh-CN"/>
        </w:rPr>
        <w:t>）</w:t>
      </w:r>
      <w:r>
        <w:rPr>
          <w:rFonts w:ascii="Times New Roman" w:hAnsi="Times New Roman" w:eastAsia="宋体"/>
          <w:b w:val="0"/>
          <w:color w:val="000000"/>
          <w:sz w:val="24"/>
        </w:rPr>
        <w:t>机关运行经费支出149.31万元。</w:t>
      </w:r>
    </w:p>
    <w:p w14:paraId="0B86DF11">
      <w:pPr>
        <w:pStyle w:val="5"/>
        <w:ind w:firstLine="0"/>
        <w:jc w:val="left"/>
      </w:pPr>
      <w:r>
        <w:rPr>
          <w:rFonts w:ascii="Times New Roman" w:hAnsi="Times New Roman" w:eastAsia="黑体"/>
          <w:b/>
          <w:color w:val="000000"/>
          <w:sz w:val="24"/>
        </w:rPr>
        <w:t>（二）政府采购支出情况</w:t>
      </w:r>
    </w:p>
    <w:p w14:paraId="7266DAC6">
      <w:pPr>
        <w:spacing w:line="360" w:lineRule="auto"/>
        <w:ind w:firstLine="480"/>
      </w:pPr>
      <w:r>
        <w:rPr>
          <w:rFonts w:ascii="Times New Roman" w:hAnsi="Times New Roman" w:eastAsia="宋体"/>
          <w:b w:val="0"/>
          <w:color w:val="000000"/>
          <w:sz w:val="24"/>
        </w:rPr>
        <w:t>2025年，松潘县镇坪乡人民政府</w:t>
      </w:r>
      <w:r>
        <w:rPr>
          <w:rFonts w:hint="eastAsia"/>
          <w:b w:val="0"/>
          <w:color w:val="000000"/>
          <w:sz w:val="24"/>
          <w:lang w:eastAsia="zh-CN"/>
        </w:rPr>
        <w:t>（</w:t>
      </w:r>
      <w:r>
        <w:rPr>
          <w:rFonts w:ascii="Times New Roman" w:hAnsi="Times New Roman" w:eastAsia="宋体"/>
          <w:b w:val="0"/>
          <w:color w:val="000000"/>
          <w:sz w:val="24"/>
        </w:rPr>
        <w:t>本级</w:t>
      </w:r>
      <w:r>
        <w:rPr>
          <w:rFonts w:hint="eastAsia"/>
          <w:b w:val="0"/>
          <w:color w:val="000000"/>
          <w:sz w:val="24"/>
          <w:lang w:eastAsia="zh-CN"/>
        </w:rPr>
        <w:t>）</w:t>
      </w:r>
      <w:r>
        <w:rPr>
          <w:rFonts w:ascii="Times New Roman" w:hAnsi="Times New Roman" w:eastAsia="宋体"/>
          <w:b w:val="0"/>
          <w:color w:val="000000"/>
          <w:sz w:val="24"/>
        </w:rPr>
        <w:t>政府采购支出总额0.00万元，其中：政府采购货物支出0.00万元、政府采购工程支出0.00万元、政府采购服务支出0.00万元。授予中小企业合同金额0.00万元，占政府采购支出总额的0.00%，其中：授予小微企业合同金额0.00万元，占政府采购支出总额的0.00%。</w:t>
      </w:r>
    </w:p>
    <w:p w14:paraId="066FBD24">
      <w:pPr>
        <w:pStyle w:val="5"/>
        <w:ind w:firstLine="0"/>
        <w:jc w:val="left"/>
      </w:pPr>
      <w:r>
        <w:rPr>
          <w:rFonts w:ascii="Times New Roman" w:hAnsi="Times New Roman" w:eastAsia="黑体"/>
          <w:b/>
          <w:color w:val="000000"/>
          <w:sz w:val="24"/>
        </w:rPr>
        <w:t>（三）国有资产占有使用情况</w:t>
      </w:r>
    </w:p>
    <w:p w14:paraId="579E51DF">
      <w:pPr>
        <w:spacing w:line="360" w:lineRule="auto"/>
        <w:ind w:firstLine="480"/>
      </w:pPr>
      <w:r>
        <w:rPr>
          <w:rFonts w:ascii="Times New Roman" w:hAnsi="Times New Roman" w:eastAsia="宋体"/>
          <w:b w:val="0"/>
          <w:color w:val="000000"/>
          <w:sz w:val="24"/>
        </w:rPr>
        <w:t>截至2025年12月31日，松潘县镇坪乡人民政府</w:t>
      </w:r>
      <w:r>
        <w:rPr>
          <w:rFonts w:hint="eastAsia"/>
          <w:b w:val="0"/>
          <w:color w:val="000000"/>
          <w:sz w:val="24"/>
          <w:lang w:eastAsia="zh-CN"/>
        </w:rPr>
        <w:t>（</w:t>
      </w:r>
      <w:r>
        <w:rPr>
          <w:rFonts w:ascii="Times New Roman" w:hAnsi="Times New Roman" w:eastAsia="宋体"/>
          <w:b w:val="0"/>
          <w:color w:val="000000"/>
          <w:sz w:val="24"/>
        </w:rPr>
        <w:t>本级</w:t>
      </w:r>
      <w:r>
        <w:rPr>
          <w:rFonts w:hint="eastAsia"/>
          <w:b w:val="0"/>
          <w:color w:val="000000"/>
          <w:sz w:val="24"/>
          <w:lang w:eastAsia="zh-CN"/>
        </w:rPr>
        <w:t>）</w:t>
      </w:r>
      <w:r>
        <w:rPr>
          <w:rFonts w:ascii="Times New Roman" w:hAnsi="Times New Roman" w:eastAsia="宋体"/>
          <w:b w:val="0"/>
          <w:color w:val="000000"/>
          <w:sz w:val="24"/>
        </w:rPr>
        <w:t>共有车辆2辆，其中：公务用车2辆。单价100万元（含）以上设备（不含车辆）0台（套）。</w:t>
      </w:r>
    </w:p>
    <w:p w14:paraId="1F6A7C29">
      <w:pPr>
        <w:pStyle w:val="5"/>
        <w:ind w:firstLine="0"/>
        <w:jc w:val="left"/>
      </w:pPr>
      <w:r>
        <w:rPr>
          <w:rFonts w:ascii="Times New Roman" w:hAnsi="Times New Roman" w:eastAsia="黑体"/>
          <w:b/>
          <w:color w:val="000000"/>
          <w:sz w:val="24"/>
        </w:rPr>
        <w:t>（四）预算绩效管理情况</w:t>
      </w:r>
    </w:p>
    <w:p w14:paraId="61B66692">
      <w:pPr>
        <w:spacing w:line="360" w:lineRule="auto"/>
        <w:ind w:firstLine="480"/>
      </w:pPr>
      <w:r>
        <w:rPr>
          <w:rFonts w:ascii="Times New Roman" w:hAnsi="Times New Roman" w:eastAsia="宋体"/>
          <w:b w:val="0"/>
          <w:color w:val="000000"/>
          <w:sz w:val="24"/>
        </w:rPr>
        <w:t>根据预算绩效管理要求，本单位在2025年度预算编制阶段，组织对相关项目开展了预算事前绩效评估、编制了绩效目标，并在预算执行过程中开展绩效监控、组织绩效自评，绩效自评表详见第四部分附件。（项目数量及绩效目标以预算管理一体化系统2025年度实际填报为准，请按本年度实际情况补充。）</w:t>
      </w:r>
    </w:p>
    <w:p w14:paraId="491AC53E">
      <w:r>
        <w:br w:type="page"/>
      </w:r>
    </w:p>
    <w:p w14:paraId="7659116E">
      <w:pPr>
        <w:pStyle w:val="3"/>
        <w:ind w:firstLine="0"/>
        <w:jc w:val="left"/>
      </w:pPr>
      <w:bookmarkStart w:id="14" w:name="_LarkToc00015"/>
      <w:r>
        <w:rPr>
          <w:rFonts w:ascii="Times New Roman" w:hAnsi="Times New Roman" w:eastAsia="黑体"/>
          <w:b/>
          <w:color w:val="000000"/>
          <w:sz w:val="32"/>
        </w:rPr>
        <w:t>第三部分 名词解释</w:t>
      </w:r>
      <w:bookmarkEnd w:id="14"/>
    </w:p>
    <w:p w14:paraId="3F49BBA6">
      <w:pPr>
        <w:spacing w:line="360" w:lineRule="auto"/>
        <w:ind w:firstLine="480"/>
      </w:pPr>
      <w:r>
        <w:rPr>
          <w:rFonts w:ascii="Times New Roman" w:hAnsi="Times New Roman" w:eastAsia="宋体"/>
          <w:b w:val="0"/>
          <w:color w:val="000000"/>
          <w:sz w:val="24"/>
        </w:rPr>
        <w:t>1.财政拨款收入：指单位从同级财政部门取得的财政预算资金。</w:t>
      </w:r>
    </w:p>
    <w:p w14:paraId="09D8FFC6">
      <w:pPr>
        <w:spacing w:line="360" w:lineRule="auto"/>
        <w:ind w:firstLine="480"/>
      </w:pPr>
      <w:r>
        <w:rPr>
          <w:rFonts w:ascii="Times New Roman" w:hAnsi="Times New Roman" w:eastAsia="宋体"/>
          <w:b w:val="0"/>
          <w:color w:val="000000"/>
          <w:sz w:val="24"/>
        </w:rPr>
        <w:t>2.事业收入：指事业单位开展专业业务活动及辅助活动取得的收入。</w:t>
      </w:r>
    </w:p>
    <w:p w14:paraId="3A0C26D4">
      <w:pPr>
        <w:spacing w:line="360" w:lineRule="auto"/>
        <w:ind w:firstLine="480"/>
      </w:pPr>
      <w:r>
        <w:rPr>
          <w:rFonts w:ascii="Times New Roman" w:hAnsi="Times New Roman" w:eastAsia="宋体"/>
          <w:b w:val="0"/>
          <w:color w:val="000000"/>
          <w:sz w:val="24"/>
        </w:rPr>
        <w:t>3.经营收入：指事业单位在专业业务活动及其辅助活动之外开展非独立核算经营活动取得的收入。</w:t>
      </w:r>
    </w:p>
    <w:p w14:paraId="61BAEF81">
      <w:pPr>
        <w:spacing w:line="360" w:lineRule="auto"/>
        <w:ind w:firstLine="480"/>
      </w:pPr>
      <w:r>
        <w:rPr>
          <w:rFonts w:ascii="Times New Roman" w:hAnsi="Times New Roman" w:eastAsia="宋体"/>
          <w:b w:val="0"/>
          <w:color w:val="000000"/>
          <w:sz w:val="24"/>
        </w:rPr>
        <w:t>4.其他收入：指单位取得的除上述收入以外的各项收入。</w:t>
      </w:r>
    </w:p>
    <w:p w14:paraId="330BACA1">
      <w:pPr>
        <w:spacing w:line="360" w:lineRule="auto"/>
        <w:ind w:firstLine="480"/>
      </w:pPr>
      <w:r>
        <w:rPr>
          <w:rFonts w:ascii="Times New Roman" w:hAnsi="Times New Roman" w:eastAsia="宋体"/>
          <w:b w:val="0"/>
          <w:color w:val="000000"/>
          <w:sz w:val="24"/>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1F584C8">
      <w:pPr>
        <w:spacing w:line="360" w:lineRule="auto"/>
        <w:ind w:firstLine="480"/>
      </w:pPr>
      <w:r>
        <w:rPr>
          <w:rFonts w:ascii="Times New Roman" w:hAnsi="Times New Roman" w:eastAsia="宋体"/>
          <w:b w:val="0"/>
          <w:color w:val="000000"/>
          <w:sz w:val="24"/>
        </w:rPr>
        <w:t>6.年初结转和结余：指以前年度尚未完成、结转到本年按有关规定继续使用的资金。</w:t>
      </w:r>
    </w:p>
    <w:p w14:paraId="0FD6B4C8">
      <w:pPr>
        <w:spacing w:line="360" w:lineRule="auto"/>
        <w:ind w:firstLine="480"/>
      </w:pPr>
      <w:r>
        <w:rPr>
          <w:rFonts w:ascii="Times New Roman" w:hAnsi="Times New Roman" w:eastAsia="宋体"/>
          <w:b w:val="0"/>
          <w:color w:val="000000"/>
          <w:sz w:val="24"/>
        </w:rPr>
        <w:t>7.结余分配：指事业单位按照事业单位会计制度的规定从非财政补助结余中分配的事业基金和职工福利基金等。</w:t>
      </w:r>
    </w:p>
    <w:p w14:paraId="20DFA939">
      <w:pPr>
        <w:spacing w:line="360" w:lineRule="auto"/>
        <w:ind w:firstLine="480"/>
      </w:pPr>
      <w:r>
        <w:rPr>
          <w:rFonts w:ascii="Times New Roman" w:hAnsi="Times New Roman" w:eastAsia="宋体"/>
          <w:b w:val="0"/>
          <w:color w:val="000000"/>
          <w:sz w:val="24"/>
        </w:rPr>
        <w:t>8.年末结转和结余：指单位按有关规定结转到下年或以后年度继续使用的资金。</w:t>
      </w:r>
    </w:p>
    <w:p w14:paraId="45668A68">
      <w:pPr>
        <w:spacing w:line="360" w:lineRule="auto"/>
        <w:ind w:firstLine="480"/>
      </w:pPr>
      <w:r>
        <w:rPr>
          <w:rFonts w:ascii="Times New Roman" w:hAnsi="Times New Roman" w:eastAsia="宋体"/>
          <w:b w:val="0"/>
          <w:color w:val="000000"/>
          <w:sz w:val="24"/>
        </w:rPr>
        <w:t>9.一般公共服务支出（201）人大事务（20101）行政运行（2010101）：反映行政单位（包括实行公务员管理的事业单位）的基本支出。</w:t>
      </w:r>
    </w:p>
    <w:p w14:paraId="63D95482">
      <w:pPr>
        <w:spacing w:line="360" w:lineRule="auto"/>
        <w:ind w:firstLine="480"/>
      </w:pPr>
      <w:r>
        <w:rPr>
          <w:rFonts w:ascii="Times New Roman" w:hAnsi="Times New Roman" w:eastAsia="宋体"/>
          <w:b w:val="0"/>
          <w:color w:val="000000"/>
          <w:sz w:val="24"/>
        </w:rPr>
        <w:t>10.一般公共服务支出（201）人大事务（20101）人大会议（2010104）：反映各级人大召开人民代表大会等专门会议的支出。</w:t>
      </w:r>
    </w:p>
    <w:p w14:paraId="366EE8B6">
      <w:pPr>
        <w:spacing w:line="360" w:lineRule="auto"/>
        <w:ind w:firstLine="480"/>
      </w:pPr>
      <w:r>
        <w:rPr>
          <w:rFonts w:ascii="Times New Roman" w:hAnsi="Times New Roman" w:eastAsia="宋体"/>
          <w:b w:val="0"/>
          <w:color w:val="000000"/>
          <w:sz w:val="24"/>
        </w:rPr>
        <w:t>11.一般公共服务支出（201）政府办公厅（室）及相关机构事务（20103）行政运行（2010301）：反映行政单位（包括实行公务员管理的事业单位）的基本支出。</w:t>
      </w:r>
    </w:p>
    <w:p w14:paraId="366B958D">
      <w:pPr>
        <w:spacing w:line="360" w:lineRule="auto"/>
        <w:ind w:firstLine="480"/>
      </w:pPr>
      <w:r>
        <w:rPr>
          <w:rFonts w:ascii="Times New Roman" w:hAnsi="Times New Roman" w:eastAsia="宋体"/>
          <w:b w:val="0"/>
          <w:color w:val="000000"/>
          <w:sz w:val="24"/>
        </w:rPr>
        <w:t>12.一般公共服务支出（201）政府办公厅（室）及相关机构事务（20103）一般行政管理事务（2010302）：反映行政单位（包括实行公务员管理的事业单位）未单独设置项级科目的其他项目支出。</w:t>
      </w:r>
    </w:p>
    <w:p w14:paraId="28376572">
      <w:pPr>
        <w:spacing w:line="360" w:lineRule="auto"/>
        <w:ind w:firstLine="480"/>
      </w:pPr>
      <w:r>
        <w:rPr>
          <w:rFonts w:ascii="Times New Roman" w:hAnsi="Times New Roman" w:eastAsia="宋体"/>
          <w:b w:val="0"/>
          <w:color w:val="000000"/>
          <w:sz w:val="24"/>
        </w:rPr>
        <w:t>13.一般公共服务支出（201）政府办公厅（室）及相关机构事务（20103）事业运行（2010350）：反映事业单位的基本支出，不包括行政单位（包括实行公务员管理的事业单位）后勤服务中心、医务室等附属事业单位。</w:t>
      </w:r>
    </w:p>
    <w:p w14:paraId="4504FDE1">
      <w:pPr>
        <w:spacing w:line="360" w:lineRule="auto"/>
        <w:ind w:firstLine="480"/>
      </w:pPr>
      <w:r>
        <w:rPr>
          <w:rFonts w:ascii="Times New Roman" w:hAnsi="Times New Roman" w:eastAsia="宋体"/>
          <w:b w:val="0"/>
          <w:color w:val="000000"/>
          <w:sz w:val="24"/>
        </w:rPr>
        <w:t>14.一般公共服务支出（201）政府办公厅（室）及相关机构事务（20103）其他政府办公厅（室）及相关机构事务支出（2010399）：反映除上述项目以外的其他政府办公厅（室）及相关机构事务支出。</w:t>
      </w:r>
    </w:p>
    <w:p w14:paraId="5F726701">
      <w:pPr>
        <w:spacing w:line="360" w:lineRule="auto"/>
        <w:ind w:firstLine="480"/>
      </w:pPr>
      <w:r>
        <w:rPr>
          <w:rFonts w:ascii="Times New Roman" w:hAnsi="Times New Roman" w:eastAsia="宋体"/>
          <w:b w:val="0"/>
          <w:color w:val="000000"/>
          <w:sz w:val="24"/>
        </w:rPr>
        <w:t>15.社会保障和就业支出（208）行政事业单位养老支出（20805）机关事业单位基本养老保险缴费支出（2080505）：反映机关事业单位实施养老保险制度由单位缴纳的基本养老保险费支出。</w:t>
      </w:r>
    </w:p>
    <w:p w14:paraId="6BD15EC1">
      <w:pPr>
        <w:spacing w:line="360" w:lineRule="auto"/>
        <w:ind w:firstLine="480"/>
      </w:pPr>
      <w:r>
        <w:rPr>
          <w:rFonts w:ascii="Times New Roman" w:hAnsi="Times New Roman" w:eastAsia="宋体"/>
          <w:b w:val="0"/>
          <w:color w:val="000000"/>
          <w:sz w:val="24"/>
        </w:rPr>
        <w:t>16.社会保障和就业支出（208）行政事业单位养老支出（20805）机关事业单位职业年金缴费支出（2080506）：反映机关事业单位实施养老保险制度由单位实际缴纳的职业年金支出。</w:t>
      </w:r>
    </w:p>
    <w:p w14:paraId="7BF4168A">
      <w:pPr>
        <w:spacing w:line="360" w:lineRule="auto"/>
        <w:ind w:firstLine="480"/>
      </w:pPr>
      <w:r>
        <w:rPr>
          <w:rFonts w:ascii="Times New Roman" w:hAnsi="Times New Roman" w:eastAsia="宋体"/>
          <w:b w:val="0"/>
          <w:color w:val="000000"/>
          <w:sz w:val="24"/>
        </w:rPr>
        <w:t>17.社会保障和就业支出（208）其他社会保障和就业支出（20899）其他社会保障和就业支出（2089999）：反映除上述项以外其他用于社会保障和就业方面的支出。</w:t>
      </w:r>
    </w:p>
    <w:p w14:paraId="139F4A9A">
      <w:pPr>
        <w:spacing w:line="360" w:lineRule="auto"/>
        <w:ind w:firstLine="480"/>
      </w:pPr>
      <w:r>
        <w:rPr>
          <w:rFonts w:ascii="Times New Roman" w:hAnsi="Times New Roman" w:eastAsia="宋体"/>
          <w:b w:val="0"/>
          <w:color w:val="000000"/>
          <w:sz w:val="24"/>
        </w:rPr>
        <w:t>18.卫生健康支出（210）行政事业单位医疗（21011）行政单位医疗（2101101）：反映财政部门安排的行政单位（包括实行公务员管理的事业单位）基本医疗保险缴费经费，未参加医疗保险的行政单位的公费医疗经费，按国家规定享受离休人员、红军老战士待遇人员的医疗经费。</w:t>
      </w:r>
    </w:p>
    <w:p w14:paraId="3BC61744">
      <w:pPr>
        <w:spacing w:line="360" w:lineRule="auto"/>
        <w:ind w:firstLine="480"/>
      </w:pPr>
      <w:r>
        <w:rPr>
          <w:rFonts w:ascii="Times New Roman" w:hAnsi="Times New Roman" w:eastAsia="宋体"/>
          <w:b w:val="0"/>
          <w:color w:val="000000"/>
          <w:sz w:val="24"/>
        </w:rPr>
        <w:t>19.卫生健康支出（210）行政事业单位医疗（21011）事业单位医疗（2101102）：反映财政部门安排的事业单位基本医疗保险缴费经费，未参加医疗保险的事业单位的公费医疗经费，按国家规定享受离休人员待遇的医疗经费。</w:t>
      </w:r>
    </w:p>
    <w:p w14:paraId="66D25EAB">
      <w:pPr>
        <w:spacing w:line="360" w:lineRule="auto"/>
        <w:ind w:firstLine="480"/>
      </w:pPr>
      <w:r>
        <w:rPr>
          <w:rFonts w:ascii="Times New Roman" w:hAnsi="Times New Roman" w:eastAsia="宋体"/>
          <w:b w:val="0"/>
          <w:color w:val="000000"/>
          <w:sz w:val="24"/>
        </w:rPr>
        <w:t>20.卫生健康支出（210）行政事业单位医疗（21011）公务员医疗补助（2101103）：反映财政部门安排的公务员医疗补助经费。</w:t>
      </w:r>
    </w:p>
    <w:p w14:paraId="60A45043">
      <w:pPr>
        <w:spacing w:line="360" w:lineRule="auto"/>
        <w:ind w:firstLine="480"/>
      </w:pPr>
      <w:r>
        <w:rPr>
          <w:rFonts w:ascii="Times New Roman" w:hAnsi="Times New Roman" w:eastAsia="宋体"/>
          <w:b w:val="0"/>
          <w:color w:val="000000"/>
          <w:sz w:val="24"/>
        </w:rPr>
        <w:t>21.农林水支出（213）扶贫（21305）农村基础设施建设（2130504）：反映用于农村贫困地区乡村道路、住房、基本农田、水利设施、人畜饮水、生态环境保护等生产生活条件改善方面的支出。</w:t>
      </w:r>
    </w:p>
    <w:p w14:paraId="39F31D11">
      <w:pPr>
        <w:spacing w:line="360" w:lineRule="auto"/>
        <w:ind w:firstLine="480"/>
      </w:pPr>
      <w:r>
        <w:rPr>
          <w:rFonts w:ascii="Times New Roman" w:hAnsi="Times New Roman" w:eastAsia="宋体"/>
          <w:b w:val="0"/>
          <w:color w:val="000000"/>
          <w:sz w:val="24"/>
        </w:rPr>
        <w:t>22.农林水支出（213）扶贫（21305）其他扶贫支出（2130599）：反映除上述项目以外其他用于扶贫方面的支出。</w:t>
      </w:r>
    </w:p>
    <w:p w14:paraId="4FC8CA1D">
      <w:pPr>
        <w:spacing w:line="360" w:lineRule="auto"/>
        <w:ind w:firstLine="480"/>
      </w:pPr>
      <w:r>
        <w:rPr>
          <w:rFonts w:ascii="Times New Roman" w:hAnsi="Times New Roman" w:eastAsia="宋体"/>
          <w:b w:val="0"/>
          <w:color w:val="000000"/>
          <w:sz w:val="24"/>
        </w:rPr>
        <w:t>23.农林水支出（213）农村综合改革（21307）对村民委员会和村党支部的补助（2130705）：反映各级财政对村民委员会和村党支部的补助支出，以及支持建立县级基本财力保障机制安排的村级组织运转奖补资金。</w:t>
      </w:r>
    </w:p>
    <w:p w14:paraId="6E24B280">
      <w:pPr>
        <w:spacing w:line="360" w:lineRule="auto"/>
        <w:ind w:firstLine="480"/>
      </w:pPr>
      <w:r>
        <w:rPr>
          <w:rFonts w:ascii="Times New Roman" w:hAnsi="Times New Roman" w:eastAsia="宋体"/>
          <w:b w:val="0"/>
          <w:color w:val="000000"/>
          <w:sz w:val="24"/>
        </w:rPr>
        <w:t>24.住房保障支出（221）住房改革支出（22102）住房公积金（2210201）：反映行政事业单位按人力资源和社会保障部、财政部规定的基本工资和津贴补贴以及规定比例为职工缴纳的住房公积金。</w:t>
      </w:r>
    </w:p>
    <w:p w14:paraId="58606757">
      <w:pPr>
        <w:spacing w:line="360" w:lineRule="auto"/>
        <w:ind w:firstLine="480"/>
      </w:pPr>
      <w:r>
        <w:rPr>
          <w:rFonts w:ascii="Times New Roman" w:hAnsi="Times New Roman" w:eastAsia="宋体"/>
          <w:b w:val="0"/>
          <w:color w:val="000000"/>
          <w:sz w:val="24"/>
        </w:rPr>
        <w:t>25.基本支出：指为保障机构正常运转、完成日常工作任务而发生的人员支出和公用支出。</w:t>
      </w:r>
    </w:p>
    <w:p w14:paraId="6B0038E5">
      <w:pPr>
        <w:spacing w:line="360" w:lineRule="auto"/>
        <w:ind w:firstLine="480"/>
      </w:pPr>
      <w:r>
        <w:rPr>
          <w:rFonts w:ascii="Times New Roman" w:hAnsi="Times New Roman" w:eastAsia="宋体"/>
          <w:b w:val="0"/>
          <w:color w:val="000000"/>
          <w:sz w:val="24"/>
        </w:rPr>
        <w:t>26.项目支出：指在基本支出之外为完成特定行政任务和事业发展目标所发生的支出。</w:t>
      </w:r>
    </w:p>
    <w:p w14:paraId="40DF5A59">
      <w:pPr>
        <w:spacing w:line="360" w:lineRule="auto"/>
        <w:ind w:firstLine="480"/>
      </w:pPr>
      <w:r>
        <w:rPr>
          <w:rFonts w:ascii="Times New Roman" w:hAnsi="Times New Roman" w:eastAsia="宋体"/>
          <w:b w:val="0"/>
          <w:color w:val="000000"/>
          <w:sz w:val="24"/>
        </w:rPr>
        <w:t>27.经营支出：指事业单位在专业业务活动及其辅助活动之外开展非独立核算经营活动发生的支出。</w:t>
      </w:r>
    </w:p>
    <w:p w14:paraId="3D1D45A0">
      <w:pPr>
        <w:spacing w:line="360" w:lineRule="auto"/>
        <w:ind w:firstLine="480"/>
      </w:pPr>
      <w:r>
        <w:rPr>
          <w:rFonts w:ascii="Times New Roman" w:hAnsi="Times New Roman" w:eastAsia="宋体"/>
          <w:b w:val="0"/>
          <w:color w:val="000000"/>
          <w:sz w:val="24"/>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46627B2">
      <w:pPr>
        <w:spacing w:line="360" w:lineRule="auto"/>
        <w:ind w:firstLine="480"/>
      </w:pPr>
      <w:r>
        <w:rPr>
          <w:rFonts w:ascii="Times New Roman" w:hAnsi="Times New Roman" w:eastAsia="宋体"/>
          <w:b w:val="0"/>
          <w:color w:val="000000"/>
          <w:sz w:val="24"/>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0EB93A2">
      <w:pPr>
        <w:spacing w:line="360" w:lineRule="auto"/>
        <w:ind w:firstLine="480"/>
      </w:pPr>
      <w:r>
        <w:rPr>
          <w:rFonts w:ascii="Times New Roman" w:hAnsi="Times New Roman" w:eastAsia="宋体"/>
          <w:b w:val="0"/>
          <w:color w:val="000000"/>
          <w:sz w:val="24"/>
        </w:rPr>
        <w:t>30.财政应返还额度：为行政事业单位会计核算科目，用于核算实行国库集中支付的行政事业单位应收财政返还的资金额度。</w:t>
      </w:r>
    </w:p>
    <w:p w14:paraId="12AA5E7D">
      <w:r>
        <w:br w:type="page"/>
      </w:r>
    </w:p>
    <w:p w14:paraId="5AEADE30">
      <w:pPr>
        <w:pStyle w:val="3"/>
        <w:ind w:firstLine="0"/>
        <w:jc w:val="left"/>
      </w:pPr>
      <w:bookmarkStart w:id="15" w:name="_LarkToc00016"/>
      <w:r>
        <w:rPr>
          <w:rFonts w:ascii="Times New Roman" w:hAnsi="Times New Roman" w:eastAsia="黑体"/>
          <w:b/>
          <w:color w:val="000000"/>
          <w:sz w:val="32"/>
        </w:rPr>
        <w:t>第四部分 附件</w:t>
      </w:r>
      <w:bookmarkEnd w:id="15"/>
    </w:p>
    <w:p w14:paraId="72FBA72E">
      <w:pPr>
        <w:spacing w:line="360" w:lineRule="auto"/>
        <w:ind w:firstLine="480"/>
      </w:pPr>
      <w:r>
        <w:rPr>
          <w:rFonts w:ascii="Times New Roman" w:hAnsi="Times New Roman" w:eastAsia="宋体"/>
          <w:b w:val="0"/>
          <w:color w:val="000000"/>
          <w:sz w:val="24"/>
        </w:rPr>
        <w:t>部门预算项目支出绩效自评表（2025年度）</w:t>
      </w:r>
    </w:p>
    <w:p w14:paraId="2BFF233D">
      <w:pPr>
        <w:spacing w:line="360" w:lineRule="auto"/>
        <w:ind w:firstLine="480"/>
      </w:pPr>
      <w:r>
        <w:rPr>
          <w:rFonts w:ascii="Times New Roman" w:hAnsi="Times New Roman" w:eastAsia="宋体"/>
          <w:b w:val="0"/>
          <w:color w:val="000000"/>
          <w:sz w:val="24"/>
        </w:rPr>
        <w:t>（备注：按照绩效自评工作安排，各单位可在预算管理一体化系统—综合报表查询—预算绩效报表模块中下载本单位“部门预算项目支出绩效自评表（2025年度</w:t>
      </w:r>
      <w:bookmarkStart w:id="17" w:name="_GoBack"/>
      <w:r>
        <w:rPr>
          <w:rFonts w:ascii="Times New Roman" w:hAnsi="Times New Roman" w:eastAsia="宋体"/>
          <w:b w:val="0"/>
          <w:color w:val="000000"/>
          <w:sz w:val="24"/>
        </w:rPr>
        <w:t>）</w:t>
      </w:r>
      <w:bookmarkEnd w:id="17"/>
      <w:r>
        <w:rPr>
          <w:rFonts w:ascii="Times New Roman" w:hAnsi="Times New Roman" w:eastAsia="宋体"/>
          <w:b w:val="0"/>
          <w:color w:val="000000"/>
          <w:sz w:val="24"/>
        </w:rPr>
        <w:t>”，该表格应作为附件予以公开。此处保留绩效自评表结构，具体项目、预算数与绩效指标请按2025年度系统实际填报数据填写。）</w:t>
      </w:r>
    </w:p>
    <w:p w14:paraId="571373F3">
      <w:r>
        <w:br w:type="page"/>
      </w:r>
    </w:p>
    <w:p w14:paraId="2158B6DD">
      <w:pPr>
        <w:pStyle w:val="3"/>
        <w:ind w:firstLine="0"/>
        <w:jc w:val="left"/>
      </w:pPr>
      <w:bookmarkStart w:id="16" w:name="_LarkToc00017"/>
      <w:r>
        <w:rPr>
          <w:rFonts w:ascii="Times New Roman" w:hAnsi="Times New Roman" w:eastAsia="黑体"/>
          <w:b/>
          <w:color w:val="000000"/>
          <w:sz w:val="32"/>
        </w:rPr>
        <w:t>第五部分 附表</w:t>
      </w:r>
      <w:bookmarkEnd w:id="16"/>
    </w:p>
    <w:p w14:paraId="209971EA">
      <w:pPr>
        <w:spacing w:line="360" w:lineRule="auto"/>
        <w:ind w:firstLine="0"/>
      </w:pPr>
      <w:r>
        <w:rPr>
          <w:rFonts w:ascii="Times New Roman" w:hAnsi="Times New Roman" w:eastAsia="宋体"/>
          <w:b w:val="0"/>
          <w:color w:val="000000"/>
          <w:sz w:val="24"/>
        </w:rPr>
        <w:t>（注：附表数据来源于2025年度部门决算统计报表，金额单位：万元）</w:t>
      </w:r>
    </w:p>
    <w:p w14:paraId="59A94784">
      <w:pPr>
        <w:pStyle w:val="5"/>
        <w:ind w:firstLine="0"/>
        <w:jc w:val="left"/>
      </w:pPr>
      <w:r>
        <w:rPr>
          <w:rFonts w:ascii="Times New Roman" w:hAnsi="Times New Roman" w:eastAsia="黑体"/>
          <w:b/>
          <w:color w:val="000000"/>
          <w:sz w:val="24"/>
        </w:rPr>
        <w:t>一、收入支出决算总表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7C13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51CBBEB6">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7D969BB9">
            <w:pPr>
              <w:spacing w:line="240" w:lineRule="auto"/>
              <w:ind w:firstLine="0"/>
              <w:jc w:val="center"/>
            </w:pPr>
            <w:r>
              <w:rPr>
                <w:rFonts w:ascii="Times New Roman" w:hAnsi="Times New Roman" w:eastAsia="宋体"/>
                <w:b/>
                <w:color w:val="000000"/>
                <w:sz w:val="21"/>
              </w:rPr>
              <w:t>决算数</w:t>
            </w:r>
          </w:p>
        </w:tc>
      </w:tr>
      <w:tr w14:paraId="25AC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F0895A8">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007529FA">
            <w:pPr>
              <w:spacing w:line="240" w:lineRule="auto"/>
              <w:ind w:firstLine="0"/>
              <w:jc w:val="center"/>
            </w:pPr>
            <w:r>
              <w:rPr>
                <w:rFonts w:ascii="Times New Roman" w:hAnsi="Times New Roman" w:eastAsia="宋体"/>
                <w:b w:val="0"/>
                <w:color w:val="000000"/>
                <w:sz w:val="21"/>
              </w:rPr>
              <w:t>1525.51</w:t>
            </w:r>
          </w:p>
        </w:tc>
      </w:tr>
      <w:tr w14:paraId="4EB8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028A689">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5934B407">
            <w:pPr>
              <w:spacing w:line="240" w:lineRule="auto"/>
              <w:ind w:firstLine="0"/>
              <w:jc w:val="center"/>
            </w:pPr>
            <w:r>
              <w:rPr>
                <w:rFonts w:ascii="Times New Roman" w:hAnsi="Times New Roman" w:eastAsia="宋体"/>
                <w:b w:val="0"/>
                <w:color w:val="000000"/>
                <w:sz w:val="21"/>
              </w:rPr>
              <w:t>0.00</w:t>
            </w:r>
          </w:p>
        </w:tc>
      </w:tr>
      <w:tr w14:paraId="5E77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08EB545">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0F37379E">
            <w:pPr>
              <w:spacing w:line="240" w:lineRule="auto"/>
              <w:ind w:firstLine="0"/>
              <w:jc w:val="center"/>
            </w:pPr>
            <w:r>
              <w:rPr>
                <w:rFonts w:ascii="Times New Roman" w:hAnsi="Times New Roman" w:eastAsia="宋体"/>
                <w:b w:val="0"/>
                <w:color w:val="000000"/>
                <w:sz w:val="21"/>
              </w:rPr>
              <w:t>0.00</w:t>
            </w:r>
          </w:p>
        </w:tc>
      </w:tr>
      <w:tr w14:paraId="3C5B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BA5D2E8">
            <w:pPr>
              <w:spacing w:line="240" w:lineRule="auto"/>
              <w:ind w:firstLine="0"/>
              <w:jc w:val="center"/>
            </w:pPr>
            <w:r>
              <w:rPr>
                <w:rFonts w:ascii="Times New Roman" w:hAnsi="Times New Roman" w:eastAsia="宋体"/>
                <w:b w:val="0"/>
                <w:color w:val="000000"/>
                <w:sz w:val="21"/>
              </w:rPr>
              <w:t>上级补助收入</w:t>
            </w:r>
          </w:p>
        </w:tc>
        <w:tc>
          <w:tcPr>
            <w:tcW w:w="2835" w:type="dxa"/>
            <w:vAlign w:val="center"/>
          </w:tcPr>
          <w:p w14:paraId="5B9E185E">
            <w:pPr>
              <w:spacing w:line="240" w:lineRule="auto"/>
              <w:ind w:firstLine="0"/>
              <w:jc w:val="center"/>
            </w:pPr>
            <w:r>
              <w:rPr>
                <w:rFonts w:ascii="Times New Roman" w:hAnsi="Times New Roman" w:eastAsia="宋体"/>
                <w:b w:val="0"/>
                <w:color w:val="000000"/>
                <w:sz w:val="21"/>
              </w:rPr>
              <w:t>0.00</w:t>
            </w:r>
          </w:p>
        </w:tc>
      </w:tr>
      <w:tr w14:paraId="2CE5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18B3179">
            <w:pPr>
              <w:spacing w:line="240" w:lineRule="auto"/>
              <w:ind w:firstLine="0"/>
              <w:jc w:val="center"/>
            </w:pPr>
            <w:r>
              <w:rPr>
                <w:rFonts w:ascii="Times New Roman" w:hAnsi="Times New Roman" w:eastAsia="宋体"/>
                <w:b w:val="0"/>
                <w:color w:val="000000"/>
                <w:sz w:val="21"/>
              </w:rPr>
              <w:t>事业收入</w:t>
            </w:r>
          </w:p>
        </w:tc>
        <w:tc>
          <w:tcPr>
            <w:tcW w:w="2835" w:type="dxa"/>
            <w:vAlign w:val="center"/>
          </w:tcPr>
          <w:p w14:paraId="1C58D489">
            <w:pPr>
              <w:spacing w:line="240" w:lineRule="auto"/>
              <w:ind w:firstLine="0"/>
              <w:jc w:val="center"/>
            </w:pPr>
            <w:r>
              <w:rPr>
                <w:rFonts w:ascii="Times New Roman" w:hAnsi="Times New Roman" w:eastAsia="宋体"/>
                <w:b w:val="0"/>
                <w:color w:val="000000"/>
                <w:sz w:val="21"/>
              </w:rPr>
              <w:t>0.00</w:t>
            </w:r>
          </w:p>
        </w:tc>
      </w:tr>
      <w:tr w14:paraId="725A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46046D6">
            <w:pPr>
              <w:spacing w:line="240" w:lineRule="auto"/>
              <w:ind w:firstLine="0"/>
              <w:jc w:val="center"/>
            </w:pPr>
            <w:r>
              <w:rPr>
                <w:rFonts w:ascii="Times New Roman" w:hAnsi="Times New Roman" w:eastAsia="宋体"/>
                <w:b w:val="0"/>
                <w:color w:val="000000"/>
                <w:sz w:val="21"/>
              </w:rPr>
              <w:t>经营收入</w:t>
            </w:r>
          </w:p>
        </w:tc>
        <w:tc>
          <w:tcPr>
            <w:tcW w:w="2835" w:type="dxa"/>
            <w:vAlign w:val="center"/>
          </w:tcPr>
          <w:p w14:paraId="409B3AD0">
            <w:pPr>
              <w:spacing w:line="240" w:lineRule="auto"/>
              <w:ind w:firstLine="0"/>
              <w:jc w:val="center"/>
            </w:pPr>
            <w:r>
              <w:rPr>
                <w:rFonts w:ascii="Times New Roman" w:hAnsi="Times New Roman" w:eastAsia="宋体"/>
                <w:b w:val="0"/>
                <w:color w:val="000000"/>
                <w:sz w:val="21"/>
              </w:rPr>
              <w:t>0.00</w:t>
            </w:r>
          </w:p>
        </w:tc>
      </w:tr>
      <w:tr w14:paraId="3FF4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114E36C">
            <w:pPr>
              <w:spacing w:line="240" w:lineRule="auto"/>
              <w:ind w:firstLine="0"/>
              <w:jc w:val="center"/>
            </w:pPr>
            <w:r>
              <w:rPr>
                <w:rFonts w:ascii="Times New Roman" w:hAnsi="Times New Roman" w:eastAsia="宋体"/>
                <w:b w:val="0"/>
                <w:color w:val="000000"/>
                <w:sz w:val="21"/>
              </w:rPr>
              <w:t>附属单位上缴收入</w:t>
            </w:r>
          </w:p>
        </w:tc>
        <w:tc>
          <w:tcPr>
            <w:tcW w:w="2835" w:type="dxa"/>
            <w:vAlign w:val="center"/>
          </w:tcPr>
          <w:p w14:paraId="0030487D">
            <w:pPr>
              <w:spacing w:line="240" w:lineRule="auto"/>
              <w:ind w:firstLine="0"/>
              <w:jc w:val="center"/>
            </w:pPr>
            <w:r>
              <w:rPr>
                <w:rFonts w:ascii="Times New Roman" w:hAnsi="Times New Roman" w:eastAsia="宋体"/>
                <w:b w:val="0"/>
                <w:color w:val="000000"/>
                <w:sz w:val="21"/>
              </w:rPr>
              <w:t>0.00</w:t>
            </w:r>
          </w:p>
        </w:tc>
      </w:tr>
      <w:tr w14:paraId="7BCE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8DF6BE5">
            <w:pPr>
              <w:spacing w:line="240" w:lineRule="auto"/>
              <w:ind w:firstLine="0"/>
              <w:jc w:val="center"/>
            </w:pPr>
            <w:r>
              <w:rPr>
                <w:rFonts w:ascii="Times New Roman" w:hAnsi="Times New Roman" w:eastAsia="宋体"/>
                <w:b w:val="0"/>
                <w:color w:val="000000"/>
                <w:sz w:val="21"/>
              </w:rPr>
              <w:t>其他收入</w:t>
            </w:r>
          </w:p>
        </w:tc>
        <w:tc>
          <w:tcPr>
            <w:tcW w:w="2835" w:type="dxa"/>
            <w:vAlign w:val="center"/>
          </w:tcPr>
          <w:p w14:paraId="5F180A90">
            <w:pPr>
              <w:spacing w:line="240" w:lineRule="auto"/>
              <w:ind w:firstLine="0"/>
              <w:jc w:val="center"/>
            </w:pPr>
            <w:r>
              <w:rPr>
                <w:rFonts w:ascii="Times New Roman" w:hAnsi="Times New Roman" w:eastAsia="宋体"/>
                <w:b w:val="0"/>
                <w:color w:val="000000"/>
                <w:sz w:val="21"/>
              </w:rPr>
              <w:t>0.00</w:t>
            </w:r>
          </w:p>
        </w:tc>
      </w:tr>
      <w:tr w14:paraId="58B0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18C5473">
            <w:pPr>
              <w:spacing w:line="240" w:lineRule="auto"/>
              <w:ind w:firstLine="0"/>
              <w:jc w:val="center"/>
            </w:pPr>
            <w:r>
              <w:rPr>
                <w:rFonts w:ascii="Times New Roman" w:hAnsi="Times New Roman" w:eastAsia="宋体"/>
                <w:b w:val="0"/>
                <w:color w:val="000000"/>
                <w:sz w:val="21"/>
              </w:rPr>
              <w:t>本年收入合计</w:t>
            </w:r>
          </w:p>
        </w:tc>
        <w:tc>
          <w:tcPr>
            <w:tcW w:w="2835" w:type="dxa"/>
            <w:vAlign w:val="center"/>
          </w:tcPr>
          <w:p w14:paraId="48270EA6">
            <w:pPr>
              <w:spacing w:line="240" w:lineRule="auto"/>
              <w:ind w:firstLine="0"/>
              <w:jc w:val="center"/>
            </w:pPr>
            <w:r>
              <w:rPr>
                <w:rFonts w:ascii="Times New Roman" w:hAnsi="Times New Roman" w:eastAsia="宋体"/>
                <w:b w:val="0"/>
                <w:color w:val="000000"/>
                <w:sz w:val="21"/>
              </w:rPr>
              <w:t>1525.51</w:t>
            </w:r>
          </w:p>
        </w:tc>
      </w:tr>
      <w:tr w14:paraId="49D4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AF10E9C">
            <w:pPr>
              <w:spacing w:line="240" w:lineRule="auto"/>
              <w:ind w:firstLine="0"/>
              <w:jc w:val="center"/>
            </w:pPr>
            <w:r>
              <w:rPr>
                <w:rFonts w:ascii="Times New Roman" w:hAnsi="Times New Roman" w:eastAsia="宋体"/>
                <w:b w:val="0"/>
                <w:color w:val="000000"/>
                <w:sz w:val="21"/>
              </w:rPr>
              <w:t>年初结转和结余</w:t>
            </w:r>
          </w:p>
        </w:tc>
        <w:tc>
          <w:tcPr>
            <w:tcW w:w="2835" w:type="dxa"/>
            <w:vAlign w:val="center"/>
          </w:tcPr>
          <w:p w14:paraId="2232ABAE">
            <w:pPr>
              <w:spacing w:line="240" w:lineRule="auto"/>
              <w:ind w:firstLine="0"/>
              <w:jc w:val="center"/>
            </w:pPr>
            <w:r>
              <w:rPr>
                <w:rFonts w:ascii="Times New Roman" w:hAnsi="Times New Roman" w:eastAsia="宋体"/>
                <w:b w:val="0"/>
                <w:color w:val="000000"/>
                <w:sz w:val="21"/>
              </w:rPr>
              <w:t>11.39</w:t>
            </w:r>
          </w:p>
        </w:tc>
      </w:tr>
      <w:tr w14:paraId="3FF7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2388B00">
            <w:pPr>
              <w:spacing w:line="240" w:lineRule="auto"/>
              <w:ind w:firstLine="0"/>
              <w:jc w:val="center"/>
            </w:pPr>
            <w:r>
              <w:rPr>
                <w:rFonts w:ascii="Times New Roman" w:hAnsi="Times New Roman" w:eastAsia="宋体"/>
                <w:b w:val="0"/>
                <w:color w:val="000000"/>
                <w:sz w:val="21"/>
              </w:rPr>
              <w:t>支出总计</w:t>
            </w:r>
          </w:p>
        </w:tc>
        <w:tc>
          <w:tcPr>
            <w:tcW w:w="2835" w:type="dxa"/>
            <w:vAlign w:val="center"/>
          </w:tcPr>
          <w:p w14:paraId="60BECA0F">
            <w:pPr>
              <w:spacing w:line="240" w:lineRule="auto"/>
              <w:ind w:firstLine="0"/>
              <w:jc w:val="center"/>
            </w:pPr>
            <w:r>
              <w:rPr>
                <w:rFonts w:ascii="Times New Roman" w:hAnsi="Times New Roman" w:eastAsia="宋体"/>
                <w:b w:val="0"/>
                <w:color w:val="000000"/>
                <w:sz w:val="21"/>
              </w:rPr>
              <w:t>1536.90</w:t>
            </w:r>
          </w:p>
        </w:tc>
      </w:tr>
      <w:tr w14:paraId="1475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6DCACD0">
            <w:pPr>
              <w:spacing w:line="240" w:lineRule="auto"/>
              <w:ind w:firstLine="0"/>
              <w:jc w:val="center"/>
            </w:pPr>
            <w:r>
              <w:rPr>
                <w:rFonts w:ascii="Times New Roman" w:hAnsi="Times New Roman" w:eastAsia="宋体"/>
                <w:b w:val="0"/>
                <w:color w:val="000000"/>
                <w:sz w:val="21"/>
              </w:rPr>
              <w:t xml:space="preserve">    其中：基本支出</w:t>
            </w:r>
          </w:p>
        </w:tc>
        <w:tc>
          <w:tcPr>
            <w:tcW w:w="2835" w:type="dxa"/>
            <w:vAlign w:val="center"/>
          </w:tcPr>
          <w:p w14:paraId="638399E2">
            <w:pPr>
              <w:spacing w:line="240" w:lineRule="auto"/>
              <w:ind w:firstLine="0"/>
              <w:jc w:val="center"/>
            </w:pPr>
            <w:r>
              <w:rPr>
                <w:rFonts w:ascii="Times New Roman" w:hAnsi="Times New Roman" w:eastAsia="宋体"/>
                <w:b w:val="0"/>
                <w:color w:val="000000"/>
                <w:sz w:val="21"/>
              </w:rPr>
              <w:t>760.47</w:t>
            </w:r>
          </w:p>
        </w:tc>
      </w:tr>
      <w:tr w14:paraId="0624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E6D1253">
            <w:pPr>
              <w:spacing w:line="240" w:lineRule="auto"/>
              <w:ind w:firstLine="0"/>
              <w:jc w:val="center"/>
            </w:pPr>
            <w:r>
              <w:rPr>
                <w:rFonts w:ascii="Times New Roman" w:hAnsi="Times New Roman" w:eastAsia="宋体"/>
                <w:b w:val="0"/>
                <w:color w:val="000000"/>
                <w:sz w:val="21"/>
              </w:rPr>
              <w:t xml:space="preserve">    其中：项目支出</w:t>
            </w:r>
          </w:p>
        </w:tc>
        <w:tc>
          <w:tcPr>
            <w:tcW w:w="2835" w:type="dxa"/>
            <w:vAlign w:val="center"/>
          </w:tcPr>
          <w:p w14:paraId="11A462F1">
            <w:pPr>
              <w:spacing w:line="240" w:lineRule="auto"/>
              <w:ind w:firstLine="0"/>
              <w:jc w:val="center"/>
            </w:pPr>
            <w:r>
              <w:rPr>
                <w:rFonts w:ascii="Times New Roman" w:hAnsi="Times New Roman" w:eastAsia="宋体"/>
                <w:b w:val="0"/>
                <w:color w:val="000000"/>
                <w:sz w:val="21"/>
              </w:rPr>
              <w:t>776.44</w:t>
            </w:r>
          </w:p>
        </w:tc>
      </w:tr>
    </w:tbl>
    <w:p w14:paraId="0B3BE73B">
      <w:pPr>
        <w:pStyle w:val="5"/>
        <w:ind w:firstLine="0"/>
        <w:jc w:val="left"/>
      </w:pPr>
      <w:r>
        <w:rPr>
          <w:rFonts w:ascii="Times New Roman" w:hAnsi="Times New Roman" w:eastAsia="黑体"/>
          <w:b/>
          <w:color w:val="000000"/>
          <w:sz w:val="24"/>
        </w:rPr>
        <w:t>二、收入决算表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0AF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56AC655E">
            <w:pPr>
              <w:spacing w:line="240" w:lineRule="auto"/>
              <w:ind w:firstLine="0"/>
              <w:jc w:val="center"/>
            </w:pPr>
            <w:r>
              <w:rPr>
                <w:rFonts w:ascii="Times New Roman" w:hAnsi="Times New Roman" w:eastAsia="宋体"/>
                <w:b/>
                <w:color w:val="000000"/>
                <w:sz w:val="21"/>
              </w:rPr>
              <w:t>收入项目</w:t>
            </w:r>
          </w:p>
        </w:tc>
        <w:tc>
          <w:tcPr>
            <w:tcW w:w="2835" w:type="dxa"/>
            <w:shd w:val="clear" w:color="auto" w:fill="D9D9D9"/>
            <w:vAlign w:val="center"/>
          </w:tcPr>
          <w:p w14:paraId="5B24D9A5">
            <w:pPr>
              <w:spacing w:line="240" w:lineRule="auto"/>
              <w:ind w:firstLine="0"/>
              <w:jc w:val="center"/>
            </w:pPr>
            <w:r>
              <w:rPr>
                <w:rFonts w:ascii="Times New Roman" w:hAnsi="Times New Roman" w:eastAsia="宋体"/>
                <w:b/>
                <w:color w:val="000000"/>
                <w:sz w:val="21"/>
              </w:rPr>
              <w:t>决算数</w:t>
            </w:r>
          </w:p>
        </w:tc>
      </w:tr>
      <w:tr w14:paraId="5E11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F42965A">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5A9CD949">
            <w:pPr>
              <w:spacing w:line="240" w:lineRule="auto"/>
              <w:ind w:firstLine="0"/>
              <w:jc w:val="center"/>
            </w:pPr>
            <w:r>
              <w:rPr>
                <w:rFonts w:ascii="Times New Roman" w:hAnsi="Times New Roman" w:eastAsia="宋体"/>
                <w:b w:val="0"/>
                <w:color w:val="000000"/>
                <w:sz w:val="21"/>
              </w:rPr>
              <w:t>1525.51</w:t>
            </w:r>
          </w:p>
        </w:tc>
      </w:tr>
      <w:tr w14:paraId="4095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70A29BD">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47721152">
            <w:pPr>
              <w:spacing w:line="240" w:lineRule="auto"/>
              <w:ind w:firstLine="0"/>
              <w:jc w:val="center"/>
            </w:pPr>
            <w:r>
              <w:rPr>
                <w:rFonts w:ascii="Times New Roman" w:hAnsi="Times New Roman" w:eastAsia="宋体"/>
                <w:b w:val="0"/>
                <w:color w:val="000000"/>
                <w:sz w:val="21"/>
              </w:rPr>
              <w:t>0.00</w:t>
            </w:r>
          </w:p>
        </w:tc>
      </w:tr>
      <w:tr w14:paraId="255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28762A1">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7EA6F178">
            <w:pPr>
              <w:spacing w:line="240" w:lineRule="auto"/>
              <w:ind w:firstLine="0"/>
              <w:jc w:val="center"/>
            </w:pPr>
            <w:r>
              <w:rPr>
                <w:rFonts w:ascii="Times New Roman" w:hAnsi="Times New Roman" w:eastAsia="宋体"/>
                <w:b w:val="0"/>
                <w:color w:val="000000"/>
                <w:sz w:val="21"/>
              </w:rPr>
              <w:t>0.00</w:t>
            </w:r>
          </w:p>
        </w:tc>
      </w:tr>
      <w:tr w14:paraId="148B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B4838AE">
            <w:pPr>
              <w:spacing w:line="240" w:lineRule="auto"/>
              <w:ind w:firstLine="0"/>
              <w:jc w:val="center"/>
            </w:pPr>
            <w:r>
              <w:rPr>
                <w:rFonts w:ascii="Times New Roman" w:hAnsi="Times New Roman" w:eastAsia="宋体"/>
                <w:b w:val="0"/>
                <w:color w:val="000000"/>
                <w:sz w:val="21"/>
              </w:rPr>
              <w:t>其他收入</w:t>
            </w:r>
          </w:p>
        </w:tc>
        <w:tc>
          <w:tcPr>
            <w:tcW w:w="2835" w:type="dxa"/>
            <w:vAlign w:val="center"/>
          </w:tcPr>
          <w:p w14:paraId="211BB3ED">
            <w:pPr>
              <w:spacing w:line="240" w:lineRule="auto"/>
              <w:ind w:firstLine="0"/>
              <w:jc w:val="center"/>
            </w:pPr>
            <w:r>
              <w:rPr>
                <w:rFonts w:ascii="Times New Roman" w:hAnsi="Times New Roman" w:eastAsia="宋体"/>
                <w:b w:val="0"/>
                <w:color w:val="000000"/>
                <w:sz w:val="21"/>
              </w:rPr>
              <w:t>0.00</w:t>
            </w:r>
          </w:p>
        </w:tc>
      </w:tr>
      <w:tr w14:paraId="6EF8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47910C3">
            <w:pPr>
              <w:spacing w:line="240" w:lineRule="auto"/>
              <w:ind w:firstLine="0"/>
              <w:jc w:val="center"/>
            </w:pPr>
            <w:r>
              <w:rPr>
                <w:rFonts w:ascii="Times New Roman" w:hAnsi="Times New Roman" w:eastAsia="宋体"/>
                <w:b w:val="0"/>
                <w:color w:val="000000"/>
                <w:sz w:val="21"/>
              </w:rPr>
              <w:t>本年收入合计</w:t>
            </w:r>
          </w:p>
        </w:tc>
        <w:tc>
          <w:tcPr>
            <w:tcW w:w="2835" w:type="dxa"/>
            <w:vAlign w:val="center"/>
          </w:tcPr>
          <w:p w14:paraId="00609F3C">
            <w:pPr>
              <w:spacing w:line="240" w:lineRule="auto"/>
              <w:ind w:firstLine="0"/>
              <w:jc w:val="center"/>
            </w:pPr>
            <w:r>
              <w:rPr>
                <w:rFonts w:ascii="Times New Roman" w:hAnsi="Times New Roman" w:eastAsia="宋体"/>
                <w:b w:val="0"/>
                <w:color w:val="000000"/>
                <w:sz w:val="21"/>
              </w:rPr>
              <w:t>1525.51</w:t>
            </w:r>
          </w:p>
        </w:tc>
      </w:tr>
    </w:tbl>
    <w:p w14:paraId="67EB8465">
      <w:pPr>
        <w:pStyle w:val="5"/>
        <w:ind w:firstLine="0"/>
        <w:jc w:val="left"/>
      </w:pPr>
      <w:r>
        <w:rPr>
          <w:rFonts w:ascii="Times New Roman" w:hAnsi="Times New Roman" w:eastAsia="黑体"/>
          <w:b/>
          <w:color w:val="000000"/>
          <w:sz w:val="24"/>
        </w:rPr>
        <w:t>三、支出决算表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268"/>
        <w:gridCol w:w="2268"/>
        <w:gridCol w:w="2268"/>
      </w:tblGrid>
      <w:tr w14:paraId="7652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7BAC5988">
            <w:pPr>
              <w:spacing w:line="240" w:lineRule="auto"/>
              <w:ind w:firstLine="0"/>
              <w:jc w:val="center"/>
            </w:pPr>
            <w:r>
              <w:rPr>
                <w:rFonts w:ascii="Times New Roman" w:hAnsi="Times New Roman" w:eastAsia="宋体"/>
                <w:b/>
                <w:color w:val="000000"/>
                <w:sz w:val="20"/>
              </w:rPr>
              <w:t>功能科目（类/款/项）</w:t>
            </w:r>
          </w:p>
        </w:tc>
        <w:tc>
          <w:tcPr>
            <w:tcW w:w="3402" w:type="dxa"/>
            <w:shd w:val="clear" w:color="auto" w:fill="D9D9D9"/>
            <w:vAlign w:val="center"/>
          </w:tcPr>
          <w:p w14:paraId="17A0176F">
            <w:pPr>
              <w:spacing w:line="240" w:lineRule="auto"/>
              <w:ind w:firstLine="0"/>
              <w:jc w:val="center"/>
            </w:pPr>
            <w:r>
              <w:rPr>
                <w:rFonts w:ascii="Times New Roman" w:hAnsi="Times New Roman" w:eastAsia="宋体"/>
                <w:b/>
                <w:color w:val="000000"/>
                <w:sz w:val="20"/>
              </w:rPr>
              <w:t>科目名称</w:t>
            </w:r>
          </w:p>
        </w:tc>
        <w:tc>
          <w:tcPr>
            <w:tcW w:w="1701" w:type="dxa"/>
            <w:shd w:val="clear" w:color="auto" w:fill="D9D9D9"/>
            <w:vAlign w:val="center"/>
          </w:tcPr>
          <w:p w14:paraId="53866688">
            <w:pPr>
              <w:spacing w:line="240" w:lineRule="auto"/>
              <w:ind w:firstLine="0"/>
              <w:jc w:val="center"/>
            </w:pPr>
            <w:r>
              <w:rPr>
                <w:rFonts w:ascii="Times New Roman" w:hAnsi="Times New Roman" w:eastAsia="宋体"/>
                <w:b/>
                <w:color w:val="000000"/>
                <w:sz w:val="20"/>
              </w:rPr>
              <w:t>性质</w:t>
            </w:r>
          </w:p>
        </w:tc>
        <w:tc>
          <w:tcPr>
            <w:tcW w:w="1417" w:type="dxa"/>
            <w:shd w:val="clear" w:color="auto" w:fill="D9D9D9"/>
            <w:vAlign w:val="center"/>
          </w:tcPr>
          <w:p w14:paraId="3B82880A">
            <w:pPr>
              <w:spacing w:line="240" w:lineRule="auto"/>
              <w:ind w:firstLine="0"/>
              <w:jc w:val="center"/>
            </w:pPr>
            <w:r>
              <w:rPr>
                <w:rFonts w:ascii="Times New Roman" w:hAnsi="Times New Roman" w:eastAsia="宋体"/>
                <w:b/>
                <w:color w:val="000000"/>
                <w:sz w:val="20"/>
              </w:rPr>
              <w:t>决算数</w:t>
            </w:r>
          </w:p>
        </w:tc>
      </w:tr>
      <w:tr w14:paraId="5108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13956E7">
            <w:pPr>
              <w:spacing w:line="240" w:lineRule="auto"/>
              <w:ind w:firstLine="0"/>
              <w:jc w:val="center"/>
            </w:pPr>
            <w:r>
              <w:rPr>
                <w:rFonts w:ascii="Times New Roman" w:hAnsi="Times New Roman" w:eastAsia="宋体"/>
                <w:b w:val="0"/>
                <w:color w:val="000000"/>
                <w:sz w:val="20"/>
              </w:rPr>
              <w:t>2010104</w:t>
            </w:r>
          </w:p>
        </w:tc>
        <w:tc>
          <w:tcPr>
            <w:tcW w:w="3402" w:type="dxa"/>
            <w:vAlign w:val="center"/>
          </w:tcPr>
          <w:p w14:paraId="144204DD">
            <w:pPr>
              <w:spacing w:line="240" w:lineRule="auto"/>
              <w:ind w:firstLine="0"/>
              <w:jc w:val="center"/>
            </w:pPr>
            <w:r>
              <w:rPr>
                <w:rFonts w:ascii="Times New Roman" w:hAnsi="Times New Roman" w:eastAsia="宋体"/>
                <w:b w:val="0"/>
                <w:color w:val="000000"/>
                <w:sz w:val="20"/>
              </w:rPr>
              <w:t>人大会议</w:t>
            </w:r>
          </w:p>
        </w:tc>
        <w:tc>
          <w:tcPr>
            <w:tcW w:w="1701" w:type="dxa"/>
            <w:vAlign w:val="center"/>
          </w:tcPr>
          <w:p w14:paraId="61B55C2F">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72AE3A4C">
            <w:pPr>
              <w:spacing w:line="240" w:lineRule="auto"/>
              <w:ind w:firstLine="0"/>
              <w:jc w:val="center"/>
            </w:pPr>
            <w:r>
              <w:rPr>
                <w:rFonts w:ascii="Times New Roman" w:hAnsi="Times New Roman" w:eastAsia="宋体"/>
                <w:b w:val="0"/>
                <w:color w:val="000000"/>
                <w:sz w:val="20"/>
              </w:rPr>
              <w:t>2.35</w:t>
            </w:r>
          </w:p>
        </w:tc>
      </w:tr>
      <w:tr w14:paraId="0835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E907EF3">
            <w:pPr>
              <w:spacing w:line="240" w:lineRule="auto"/>
              <w:ind w:firstLine="0"/>
              <w:jc w:val="center"/>
            </w:pPr>
            <w:r>
              <w:rPr>
                <w:rFonts w:ascii="Times New Roman" w:hAnsi="Times New Roman" w:eastAsia="宋体"/>
                <w:b w:val="0"/>
                <w:color w:val="000000"/>
                <w:sz w:val="20"/>
              </w:rPr>
              <w:t>2010108</w:t>
            </w:r>
          </w:p>
        </w:tc>
        <w:tc>
          <w:tcPr>
            <w:tcW w:w="3402" w:type="dxa"/>
            <w:vAlign w:val="center"/>
          </w:tcPr>
          <w:p w14:paraId="7184378F">
            <w:pPr>
              <w:spacing w:line="240" w:lineRule="auto"/>
              <w:ind w:firstLine="0"/>
              <w:jc w:val="center"/>
            </w:pPr>
            <w:r>
              <w:rPr>
                <w:rFonts w:ascii="Times New Roman" w:hAnsi="Times New Roman" w:eastAsia="宋体"/>
                <w:b w:val="0"/>
                <w:color w:val="000000"/>
                <w:sz w:val="20"/>
              </w:rPr>
              <w:t>代表工作</w:t>
            </w:r>
          </w:p>
        </w:tc>
        <w:tc>
          <w:tcPr>
            <w:tcW w:w="1701" w:type="dxa"/>
            <w:vAlign w:val="center"/>
          </w:tcPr>
          <w:p w14:paraId="20E2C61A">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316313A1">
            <w:pPr>
              <w:spacing w:line="240" w:lineRule="auto"/>
              <w:ind w:firstLine="0"/>
              <w:jc w:val="center"/>
            </w:pPr>
            <w:r>
              <w:rPr>
                <w:rFonts w:ascii="Times New Roman" w:hAnsi="Times New Roman" w:eastAsia="宋体"/>
                <w:b w:val="0"/>
                <w:color w:val="000000"/>
                <w:sz w:val="20"/>
              </w:rPr>
              <w:t>8.00</w:t>
            </w:r>
          </w:p>
        </w:tc>
      </w:tr>
      <w:tr w14:paraId="3205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1674B56">
            <w:pPr>
              <w:spacing w:line="240" w:lineRule="auto"/>
              <w:ind w:firstLine="0"/>
              <w:jc w:val="center"/>
            </w:pPr>
            <w:r>
              <w:rPr>
                <w:rFonts w:ascii="Times New Roman" w:hAnsi="Times New Roman" w:eastAsia="宋体"/>
                <w:b w:val="0"/>
                <w:color w:val="000000"/>
                <w:sz w:val="20"/>
              </w:rPr>
              <w:t>2010299</w:t>
            </w:r>
          </w:p>
        </w:tc>
        <w:tc>
          <w:tcPr>
            <w:tcW w:w="3402" w:type="dxa"/>
            <w:vAlign w:val="center"/>
          </w:tcPr>
          <w:p w14:paraId="06DC7197">
            <w:pPr>
              <w:spacing w:line="240" w:lineRule="auto"/>
              <w:ind w:firstLine="0"/>
              <w:jc w:val="center"/>
            </w:pPr>
            <w:r>
              <w:rPr>
                <w:rFonts w:ascii="Times New Roman" w:hAnsi="Times New Roman" w:eastAsia="宋体"/>
                <w:b w:val="0"/>
                <w:color w:val="000000"/>
                <w:sz w:val="20"/>
              </w:rPr>
              <w:t>其他政协事务支出</w:t>
            </w:r>
          </w:p>
        </w:tc>
        <w:tc>
          <w:tcPr>
            <w:tcW w:w="1701" w:type="dxa"/>
            <w:vAlign w:val="center"/>
          </w:tcPr>
          <w:p w14:paraId="1E71FCE3">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7394DD24">
            <w:pPr>
              <w:spacing w:line="240" w:lineRule="auto"/>
              <w:ind w:firstLine="0"/>
              <w:jc w:val="center"/>
            </w:pPr>
            <w:r>
              <w:rPr>
                <w:rFonts w:ascii="Times New Roman" w:hAnsi="Times New Roman" w:eastAsia="宋体"/>
                <w:b w:val="0"/>
                <w:color w:val="000000"/>
                <w:sz w:val="20"/>
              </w:rPr>
              <w:t>3.10</w:t>
            </w:r>
          </w:p>
        </w:tc>
      </w:tr>
      <w:tr w14:paraId="1401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80DCD88">
            <w:pPr>
              <w:spacing w:line="240" w:lineRule="auto"/>
              <w:ind w:firstLine="0"/>
              <w:jc w:val="center"/>
            </w:pPr>
            <w:r>
              <w:rPr>
                <w:rFonts w:ascii="Times New Roman" w:hAnsi="Times New Roman" w:eastAsia="宋体"/>
                <w:b w:val="0"/>
                <w:color w:val="000000"/>
                <w:sz w:val="20"/>
              </w:rPr>
              <w:t>2010301</w:t>
            </w:r>
          </w:p>
        </w:tc>
        <w:tc>
          <w:tcPr>
            <w:tcW w:w="3402" w:type="dxa"/>
            <w:vAlign w:val="center"/>
          </w:tcPr>
          <w:p w14:paraId="7BD7AF8E">
            <w:pPr>
              <w:spacing w:line="240" w:lineRule="auto"/>
              <w:ind w:firstLine="0"/>
              <w:jc w:val="center"/>
            </w:pPr>
            <w:r>
              <w:rPr>
                <w:rFonts w:ascii="Times New Roman" w:hAnsi="Times New Roman" w:eastAsia="宋体"/>
                <w:b w:val="0"/>
                <w:color w:val="000000"/>
                <w:sz w:val="20"/>
              </w:rPr>
              <w:t>行政运行</w:t>
            </w:r>
          </w:p>
        </w:tc>
        <w:tc>
          <w:tcPr>
            <w:tcW w:w="1701" w:type="dxa"/>
            <w:vAlign w:val="center"/>
          </w:tcPr>
          <w:p w14:paraId="591A8E67">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33047C7F">
            <w:pPr>
              <w:spacing w:line="240" w:lineRule="auto"/>
              <w:ind w:firstLine="0"/>
              <w:jc w:val="center"/>
            </w:pPr>
            <w:r>
              <w:rPr>
                <w:rFonts w:ascii="Times New Roman" w:hAnsi="Times New Roman" w:eastAsia="宋体"/>
                <w:b w:val="0"/>
                <w:color w:val="000000"/>
                <w:sz w:val="20"/>
              </w:rPr>
              <w:t>508.26</w:t>
            </w:r>
          </w:p>
        </w:tc>
      </w:tr>
      <w:tr w14:paraId="6295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D04AC91">
            <w:pPr>
              <w:spacing w:line="240" w:lineRule="auto"/>
              <w:ind w:firstLine="0"/>
              <w:jc w:val="center"/>
            </w:pPr>
            <w:r>
              <w:rPr>
                <w:rFonts w:ascii="Times New Roman" w:hAnsi="Times New Roman" w:eastAsia="宋体"/>
                <w:b w:val="0"/>
                <w:color w:val="000000"/>
                <w:sz w:val="20"/>
              </w:rPr>
              <w:t>2079999</w:t>
            </w:r>
          </w:p>
        </w:tc>
        <w:tc>
          <w:tcPr>
            <w:tcW w:w="3402" w:type="dxa"/>
            <w:vAlign w:val="center"/>
          </w:tcPr>
          <w:p w14:paraId="2C245447">
            <w:pPr>
              <w:spacing w:line="240" w:lineRule="auto"/>
              <w:ind w:firstLine="0"/>
              <w:jc w:val="left"/>
            </w:pPr>
            <w:r>
              <w:rPr>
                <w:rFonts w:ascii="Times New Roman" w:hAnsi="Times New Roman" w:eastAsia="宋体"/>
                <w:b w:val="0"/>
                <w:color w:val="000000"/>
                <w:sz w:val="20"/>
              </w:rPr>
              <w:t>其他文化旅游体育与传媒支出</w:t>
            </w:r>
          </w:p>
        </w:tc>
        <w:tc>
          <w:tcPr>
            <w:tcW w:w="1701" w:type="dxa"/>
            <w:vAlign w:val="center"/>
          </w:tcPr>
          <w:p w14:paraId="6E0C7CE4">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39B7593A">
            <w:pPr>
              <w:spacing w:line="240" w:lineRule="auto"/>
              <w:ind w:firstLine="0"/>
              <w:jc w:val="center"/>
            </w:pPr>
            <w:r>
              <w:rPr>
                <w:rFonts w:ascii="Times New Roman" w:hAnsi="Times New Roman" w:eastAsia="宋体"/>
                <w:b w:val="0"/>
                <w:color w:val="000000"/>
                <w:sz w:val="20"/>
              </w:rPr>
              <w:t>164.07</w:t>
            </w:r>
          </w:p>
        </w:tc>
      </w:tr>
      <w:tr w14:paraId="4755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FDB966A">
            <w:pPr>
              <w:spacing w:line="240" w:lineRule="auto"/>
              <w:ind w:firstLine="0"/>
              <w:jc w:val="center"/>
            </w:pPr>
            <w:r>
              <w:rPr>
                <w:rFonts w:ascii="Times New Roman" w:hAnsi="Times New Roman" w:eastAsia="宋体"/>
                <w:b w:val="0"/>
                <w:color w:val="000000"/>
                <w:sz w:val="20"/>
              </w:rPr>
              <w:t>2080505</w:t>
            </w:r>
          </w:p>
        </w:tc>
        <w:tc>
          <w:tcPr>
            <w:tcW w:w="3402" w:type="dxa"/>
            <w:vAlign w:val="center"/>
          </w:tcPr>
          <w:p w14:paraId="73E4A754">
            <w:pPr>
              <w:spacing w:line="240" w:lineRule="auto"/>
              <w:ind w:firstLine="0"/>
              <w:jc w:val="left"/>
            </w:pPr>
            <w:r>
              <w:rPr>
                <w:rFonts w:ascii="Times New Roman" w:hAnsi="Times New Roman" w:eastAsia="宋体"/>
                <w:b w:val="0"/>
                <w:color w:val="000000"/>
                <w:sz w:val="20"/>
              </w:rPr>
              <w:t>机关事业单位基本养老保险缴费支出</w:t>
            </w:r>
          </w:p>
        </w:tc>
        <w:tc>
          <w:tcPr>
            <w:tcW w:w="1701" w:type="dxa"/>
            <w:vAlign w:val="center"/>
          </w:tcPr>
          <w:p w14:paraId="6C8285C6">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4E6616FB">
            <w:pPr>
              <w:spacing w:line="240" w:lineRule="auto"/>
              <w:ind w:firstLine="0"/>
              <w:jc w:val="center"/>
            </w:pPr>
            <w:r>
              <w:rPr>
                <w:rFonts w:ascii="Times New Roman" w:hAnsi="Times New Roman" w:eastAsia="宋体"/>
                <w:b w:val="0"/>
                <w:color w:val="000000"/>
                <w:sz w:val="20"/>
              </w:rPr>
              <w:t>53.45</w:t>
            </w:r>
          </w:p>
        </w:tc>
      </w:tr>
      <w:tr w14:paraId="4A89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CCBCF97">
            <w:pPr>
              <w:spacing w:line="240" w:lineRule="auto"/>
              <w:ind w:firstLine="0"/>
              <w:jc w:val="center"/>
            </w:pPr>
            <w:r>
              <w:rPr>
                <w:rFonts w:ascii="Times New Roman" w:hAnsi="Times New Roman" w:eastAsia="宋体"/>
                <w:b w:val="0"/>
                <w:color w:val="000000"/>
                <w:sz w:val="20"/>
              </w:rPr>
              <w:t>2080506</w:t>
            </w:r>
          </w:p>
        </w:tc>
        <w:tc>
          <w:tcPr>
            <w:tcW w:w="3402" w:type="dxa"/>
            <w:vAlign w:val="center"/>
          </w:tcPr>
          <w:p w14:paraId="53480247">
            <w:pPr>
              <w:spacing w:line="240" w:lineRule="auto"/>
              <w:ind w:firstLine="0"/>
              <w:jc w:val="left"/>
            </w:pPr>
            <w:r>
              <w:rPr>
                <w:rFonts w:ascii="Times New Roman" w:hAnsi="Times New Roman" w:eastAsia="宋体"/>
                <w:b w:val="0"/>
                <w:color w:val="000000"/>
                <w:sz w:val="20"/>
              </w:rPr>
              <w:t>机关事业单位职业年金缴费支出</w:t>
            </w:r>
          </w:p>
        </w:tc>
        <w:tc>
          <w:tcPr>
            <w:tcW w:w="1701" w:type="dxa"/>
            <w:vAlign w:val="center"/>
          </w:tcPr>
          <w:p w14:paraId="78D2427C">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51D4F54E">
            <w:pPr>
              <w:spacing w:line="240" w:lineRule="auto"/>
              <w:ind w:firstLine="0"/>
              <w:jc w:val="center"/>
            </w:pPr>
            <w:r>
              <w:rPr>
                <w:rFonts w:ascii="Times New Roman" w:hAnsi="Times New Roman" w:eastAsia="宋体"/>
                <w:b w:val="0"/>
                <w:color w:val="000000"/>
                <w:sz w:val="20"/>
              </w:rPr>
              <w:t>32.03</w:t>
            </w:r>
          </w:p>
        </w:tc>
      </w:tr>
      <w:tr w14:paraId="3E41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8DC74E3">
            <w:pPr>
              <w:spacing w:line="240" w:lineRule="auto"/>
              <w:ind w:firstLine="0"/>
              <w:jc w:val="center"/>
            </w:pPr>
            <w:r>
              <w:rPr>
                <w:rFonts w:ascii="Times New Roman" w:hAnsi="Times New Roman" w:eastAsia="宋体"/>
                <w:b w:val="0"/>
                <w:color w:val="000000"/>
                <w:sz w:val="20"/>
              </w:rPr>
              <w:t>2101101</w:t>
            </w:r>
          </w:p>
        </w:tc>
        <w:tc>
          <w:tcPr>
            <w:tcW w:w="3402" w:type="dxa"/>
            <w:vAlign w:val="center"/>
          </w:tcPr>
          <w:p w14:paraId="194F3D94">
            <w:pPr>
              <w:spacing w:line="240" w:lineRule="auto"/>
              <w:ind w:firstLine="0"/>
              <w:jc w:val="center"/>
            </w:pPr>
            <w:r>
              <w:rPr>
                <w:rFonts w:ascii="Times New Roman" w:hAnsi="Times New Roman" w:eastAsia="宋体"/>
                <w:b w:val="0"/>
                <w:color w:val="000000"/>
                <w:sz w:val="20"/>
              </w:rPr>
              <w:t>行政单位医疗</w:t>
            </w:r>
          </w:p>
        </w:tc>
        <w:tc>
          <w:tcPr>
            <w:tcW w:w="1701" w:type="dxa"/>
            <w:vAlign w:val="center"/>
          </w:tcPr>
          <w:p w14:paraId="5FC97666">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18EC89DB">
            <w:pPr>
              <w:spacing w:line="240" w:lineRule="auto"/>
              <w:ind w:firstLine="0"/>
              <w:jc w:val="center"/>
            </w:pPr>
            <w:r>
              <w:rPr>
                <w:rFonts w:ascii="Times New Roman" w:hAnsi="Times New Roman" w:eastAsia="宋体"/>
                <w:b w:val="0"/>
                <w:color w:val="000000"/>
                <w:sz w:val="20"/>
              </w:rPr>
              <w:t>24.88</w:t>
            </w:r>
          </w:p>
        </w:tc>
      </w:tr>
      <w:tr w14:paraId="6B22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C93B5DF">
            <w:pPr>
              <w:spacing w:line="240" w:lineRule="auto"/>
              <w:ind w:firstLine="0"/>
              <w:jc w:val="center"/>
            </w:pPr>
            <w:r>
              <w:rPr>
                <w:rFonts w:ascii="Times New Roman" w:hAnsi="Times New Roman" w:eastAsia="宋体"/>
                <w:b w:val="0"/>
                <w:color w:val="000000"/>
                <w:sz w:val="20"/>
              </w:rPr>
              <w:t>2101103</w:t>
            </w:r>
          </w:p>
        </w:tc>
        <w:tc>
          <w:tcPr>
            <w:tcW w:w="3402" w:type="dxa"/>
            <w:vAlign w:val="center"/>
          </w:tcPr>
          <w:p w14:paraId="3949E203">
            <w:pPr>
              <w:spacing w:line="240" w:lineRule="auto"/>
              <w:ind w:firstLine="0"/>
              <w:jc w:val="center"/>
            </w:pPr>
            <w:r>
              <w:rPr>
                <w:rFonts w:ascii="Times New Roman" w:hAnsi="Times New Roman" w:eastAsia="宋体"/>
                <w:b w:val="0"/>
                <w:color w:val="000000"/>
                <w:sz w:val="20"/>
              </w:rPr>
              <w:t>公务员医疗补助</w:t>
            </w:r>
          </w:p>
        </w:tc>
        <w:tc>
          <w:tcPr>
            <w:tcW w:w="1701" w:type="dxa"/>
            <w:vAlign w:val="center"/>
          </w:tcPr>
          <w:p w14:paraId="77C1E0EF">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2607CB20">
            <w:pPr>
              <w:spacing w:line="240" w:lineRule="auto"/>
              <w:ind w:firstLine="0"/>
              <w:jc w:val="center"/>
            </w:pPr>
            <w:r>
              <w:rPr>
                <w:rFonts w:ascii="Times New Roman" w:hAnsi="Times New Roman" w:eastAsia="宋体"/>
                <w:b w:val="0"/>
                <w:color w:val="000000"/>
                <w:sz w:val="20"/>
              </w:rPr>
              <w:t>4.79</w:t>
            </w:r>
          </w:p>
        </w:tc>
      </w:tr>
      <w:tr w14:paraId="54CB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4DF54A9">
            <w:pPr>
              <w:spacing w:line="240" w:lineRule="auto"/>
              <w:ind w:firstLine="0"/>
              <w:jc w:val="center"/>
            </w:pPr>
            <w:r>
              <w:rPr>
                <w:rFonts w:ascii="Times New Roman" w:hAnsi="Times New Roman" w:eastAsia="宋体"/>
                <w:b w:val="0"/>
                <w:color w:val="000000"/>
                <w:sz w:val="20"/>
              </w:rPr>
              <w:t>2110399</w:t>
            </w:r>
          </w:p>
        </w:tc>
        <w:tc>
          <w:tcPr>
            <w:tcW w:w="3402" w:type="dxa"/>
            <w:vAlign w:val="center"/>
          </w:tcPr>
          <w:p w14:paraId="20551A33">
            <w:pPr>
              <w:spacing w:line="240" w:lineRule="auto"/>
              <w:ind w:firstLine="0"/>
              <w:jc w:val="center"/>
            </w:pPr>
            <w:r>
              <w:rPr>
                <w:rFonts w:ascii="Times New Roman" w:hAnsi="Times New Roman" w:eastAsia="宋体"/>
                <w:b w:val="0"/>
                <w:color w:val="000000"/>
                <w:sz w:val="20"/>
              </w:rPr>
              <w:t>其他污染防治支出</w:t>
            </w:r>
          </w:p>
        </w:tc>
        <w:tc>
          <w:tcPr>
            <w:tcW w:w="1701" w:type="dxa"/>
            <w:vAlign w:val="center"/>
          </w:tcPr>
          <w:p w14:paraId="463ADA16">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2D772CCE">
            <w:pPr>
              <w:spacing w:line="240" w:lineRule="auto"/>
              <w:ind w:firstLine="0"/>
              <w:jc w:val="center"/>
            </w:pPr>
            <w:r>
              <w:rPr>
                <w:rFonts w:ascii="Times New Roman" w:hAnsi="Times New Roman" w:eastAsia="宋体"/>
                <w:b w:val="0"/>
                <w:color w:val="000000"/>
                <w:sz w:val="20"/>
              </w:rPr>
              <w:t>37.66</w:t>
            </w:r>
          </w:p>
        </w:tc>
      </w:tr>
      <w:tr w14:paraId="5F02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04EE3A1">
            <w:pPr>
              <w:spacing w:line="240" w:lineRule="auto"/>
              <w:ind w:firstLine="0"/>
              <w:jc w:val="center"/>
            </w:pPr>
            <w:r>
              <w:rPr>
                <w:rFonts w:ascii="Times New Roman" w:hAnsi="Times New Roman" w:eastAsia="宋体"/>
                <w:b w:val="0"/>
                <w:color w:val="000000"/>
                <w:sz w:val="20"/>
              </w:rPr>
              <w:t>2120501</w:t>
            </w:r>
          </w:p>
        </w:tc>
        <w:tc>
          <w:tcPr>
            <w:tcW w:w="3402" w:type="dxa"/>
            <w:vAlign w:val="center"/>
          </w:tcPr>
          <w:p w14:paraId="2563A612">
            <w:pPr>
              <w:spacing w:line="240" w:lineRule="auto"/>
              <w:ind w:firstLine="0"/>
              <w:jc w:val="center"/>
            </w:pPr>
            <w:r>
              <w:rPr>
                <w:rFonts w:ascii="Times New Roman" w:hAnsi="Times New Roman" w:eastAsia="宋体"/>
                <w:b w:val="0"/>
                <w:color w:val="000000"/>
                <w:sz w:val="20"/>
              </w:rPr>
              <w:t>城乡社区环境卫生</w:t>
            </w:r>
          </w:p>
        </w:tc>
        <w:tc>
          <w:tcPr>
            <w:tcW w:w="1701" w:type="dxa"/>
            <w:vAlign w:val="center"/>
          </w:tcPr>
          <w:p w14:paraId="13FBB586">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43C9D3F0">
            <w:pPr>
              <w:spacing w:line="240" w:lineRule="auto"/>
              <w:ind w:firstLine="0"/>
              <w:jc w:val="center"/>
            </w:pPr>
            <w:r>
              <w:rPr>
                <w:rFonts w:ascii="Times New Roman" w:hAnsi="Times New Roman" w:eastAsia="宋体"/>
                <w:b w:val="0"/>
                <w:color w:val="000000"/>
                <w:sz w:val="20"/>
              </w:rPr>
              <w:t>21.32</w:t>
            </w:r>
          </w:p>
        </w:tc>
      </w:tr>
      <w:tr w14:paraId="6829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5099FF6">
            <w:pPr>
              <w:spacing w:line="240" w:lineRule="auto"/>
              <w:ind w:firstLine="0"/>
              <w:jc w:val="center"/>
            </w:pPr>
            <w:r>
              <w:rPr>
                <w:rFonts w:ascii="Times New Roman" w:hAnsi="Times New Roman" w:eastAsia="宋体"/>
                <w:b w:val="0"/>
                <w:color w:val="000000"/>
                <w:sz w:val="20"/>
              </w:rPr>
              <w:t>2130199</w:t>
            </w:r>
          </w:p>
        </w:tc>
        <w:tc>
          <w:tcPr>
            <w:tcW w:w="3402" w:type="dxa"/>
            <w:vAlign w:val="center"/>
          </w:tcPr>
          <w:p w14:paraId="0144C2A2">
            <w:pPr>
              <w:spacing w:line="240" w:lineRule="auto"/>
              <w:ind w:firstLine="0"/>
              <w:jc w:val="center"/>
            </w:pPr>
            <w:r>
              <w:rPr>
                <w:rFonts w:ascii="Times New Roman" w:hAnsi="Times New Roman" w:eastAsia="宋体"/>
                <w:b w:val="0"/>
                <w:color w:val="000000"/>
                <w:sz w:val="20"/>
              </w:rPr>
              <w:t>其他农业农村支出</w:t>
            </w:r>
          </w:p>
        </w:tc>
        <w:tc>
          <w:tcPr>
            <w:tcW w:w="1701" w:type="dxa"/>
            <w:vAlign w:val="center"/>
          </w:tcPr>
          <w:p w14:paraId="6E4E58B2">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56D032BF">
            <w:pPr>
              <w:spacing w:line="240" w:lineRule="auto"/>
              <w:ind w:firstLine="0"/>
              <w:jc w:val="center"/>
            </w:pPr>
            <w:r>
              <w:rPr>
                <w:rFonts w:ascii="Times New Roman" w:hAnsi="Times New Roman" w:eastAsia="宋体"/>
                <w:b w:val="0"/>
                <w:color w:val="000000"/>
                <w:sz w:val="20"/>
              </w:rPr>
              <w:t>166.89</w:t>
            </w:r>
          </w:p>
        </w:tc>
      </w:tr>
      <w:tr w14:paraId="29C1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004EFBA">
            <w:pPr>
              <w:spacing w:line="240" w:lineRule="auto"/>
              <w:ind w:firstLine="0"/>
              <w:jc w:val="center"/>
            </w:pPr>
            <w:r>
              <w:rPr>
                <w:rFonts w:ascii="Times New Roman" w:hAnsi="Times New Roman" w:eastAsia="宋体"/>
                <w:b w:val="0"/>
                <w:color w:val="000000"/>
                <w:sz w:val="20"/>
              </w:rPr>
              <w:t>2130504</w:t>
            </w:r>
          </w:p>
        </w:tc>
        <w:tc>
          <w:tcPr>
            <w:tcW w:w="3402" w:type="dxa"/>
            <w:vAlign w:val="center"/>
          </w:tcPr>
          <w:p w14:paraId="25FEF025">
            <w:pPr>
              <w:spacing w:line="240" w:lineRule="auto"/>
              <w:ind w:firstLine="0"/>
              <w:jc w:val="center"/>
            </w:pPr>
            <w:r>
              <w:rPr>
                <w:rFonts w:ascii="Times New Roman" w:hAnsi="Times New Roman" w:eastAsia="宋体"/>
                <w:b w:val="0"/>
                <w:color w:val="000000"/>
                <w:sz w:val="20"/>
              </w:rPr>
              <w:t>农村基础设施建设</w:t>
            </w:r>
          </w:p>
        </w:tc>
        <w:tc>
          <w:tcPr>
            <w:tcW w:w="1701" w:type="dxa"/>
            <w:vAlign w:val="center"/>
          </w:tcPr>
          <w:p w14:paraId="41CDB9D1">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7426B1E3">
            <w:pPr>
              <w:spacing w:line="240" w:lineRule="auto"/>
              <w:ind w:firstLine="0"/>
              <w:jc w:val="center"/>
            </w:pPr>
            <w:r>
              <w:rPr>
                <w:rFonts w:ascii="Times New Roman" w:hAnsi="Times New Roman" w:eastAsia="宋体"/>
                <w:b w:val="0"/>
                <w:color w:val="000000"/>
                <w:sz w:val="20"/>
              </w:rPr>
              <w:t>173.93</w:t>
            </w:r>
          </w:p>
        </w:tc>
      </w:tr>
      <w:tr w14:paraId="1CF6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D314B49">
            <w:pPr>
              <w:spacing w:line="240" w:lineRule="auto"/>
              <w:ind w:firstLine="0"/>
              <w:jc w:val="center"/>
            </w:pPr>
            <w:r>
              <w:rPr>
                <w:rFonts w:ascii="Times New Roman" w:hAnsi="Times New Roman" w:eastAsia="宋体"/>
                <w:b w:val="0"/>
                <w:color w:val="000000"/>
                <w:sz w:val="20"/>
              </w:rPr>
              <w:t>2130505</w:t>
            </w:r>
          </w:p>
        </w:tc>
        <w:tc>
          <w:tcPr>
            <w:tcW w:w="3402" w:type="dxa"/>
            <w:vAlign w:val="center"/>
          </w:tcPr>
          <w:p w14:paraId="47698D16">
            <w:pPr>
              <w:spacing w:line="240" w:lineRule="auto"/>
              <w:ind w:firstLine="0"/>
              <w:jc w:val="center"/>
            </w:pPr>
            <w:r>
              <w:rPr>
                <w:rFonts w:ascii="Times New Roman" w:hAnsi="Times New Roman" w:eastAsia="宋体"/>
                <w:b w:val="0"/>
                <w:color w:val="000000"/>
                <w:sz w:val="20"/>
              </w:rPr>
              <w:t>生产发展</w:t>
            </w:r>
          </w:p>
        </w:tc>
        <w:tc>
          <w:tcPr>
            <w:tcW w:w="1701" w:type="dxa"/>
            <w:vAlign w:val="center"/>
          </w:tcPr>
          <w:p w14:paraId="7106110F">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08DF636E">
            <w:pPr>
              <w:spacing w:line="240" w:lineRule="auto"/>
              <w:ind w:firstLine="0"/>
              <w:jc w:val="center"/>
            </w:pPr>
            <w:r>
              <w:rPr>
                <w:rFonts w:ascii="Times New Roman" w:hAnsi="Times New Roman" w:eastAsia="宋体"/>
                <w:b w:val="0"/>
                <w:color w:val="000000"/>
                <w:sz w:val="20"/>
              </w:rPr>
              <w:t>115.90</w:t>
            </w:r>
          </w:p>
        </w:tc>
      </w:tr>
      <w:tr w14:paraId="072B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749E8B3">
            <w:pPr>
              <w:spacing w:line="240" w:lineRule="auto"/>
              <w:ind w:firstLine="0"/>
              <w:jc w:val="center"/>
            </w:pPr>
            <w:r>
              <w:rPr>
                <w:rFonts w:ascii="Times New Roman" w:hAnsi="Times New Roman" w:eastAsia="宋体"/>
                <w:b w:val="0"/>
                <w:color w:val="000000"/>
                <w:sz w:val="20"/>
              </w:rPr>
              <w:t>2130705</w:t>
            </w:r>
          </w:p>
        </w:tc>
        <w:tc>
          <w:tcPr>
            <w:tcW w:w="3402" w:type="dxa"/>
            <w:vAlign w:val="center"/>
          </w:tcPr>
          <w:p w14:paraId="012B0773">
            <w:pPr>
              <w:spacing w:line="240" w:lineRule="auto"/>
              <w:ind w:firstLine="0"/>
              <w:jc w:val="left"/>
            </w:pPr>
            <w:r>
              <w:rPr>
                <w:rFonts w:ascii="Times New Roman" w:hAnsi="Times New Roman" w:eastAsia="宋体"/>
                <w:b w:val="0"/>
                <w:color w:val="000000"/>
                <w:sz w:val="20"/>
              </w:rPr>
              <w:t>对村民委员会和村党支部的补助</w:t>
            </w:r>
          </w:p>
        </w:tc>
        <w:tc>
          <w:tcPr>
            <w:tcW w:w="1701" w:type="dxa"/>
            <w:vAlign w:val="center"/>
          </w:tcPr>
          <w:p w14:paraId="45B97AC0">
            <w:pPr>
              <w:spacing w:line="240" w:lineRule="auto"/>
              <w:ind w:firstLine="0"/>
              <w:jc w:val="left"/>
            </w:pPr>
            <w:r>
              <w:rPr>
                <w:rFonts w:ascii="Times New Roman" w:hAnsi="Times New Roman" w:eastAsia="宋体"/>
                <w:b w:val="0"/>
                <w:color w:val="000000"/>
                <w:sz w:val="20"/>
              </w:rPr>
              <w:t>基本76.44+项目96.67</w:t>
            </w:r>
          </w:p>
        </w:tc>
        <w:tc>
          <w:tcPr>
            <w:tcW w:w="1417" w:type="dxa"/>
            <w:vAlign w:val="center"/>
          </w:tcPr>
          <w:p w14:paraId="0658FF6E">
            <w:pPr>
              <w:spacing w:line="240" w:lineRule="auto"/>
              <w:ind w:firstLine="0"/>
              <w:jc w:val="center"/>
            </w:pPr>
            <w:r>
              <w:rPr>
                <w:rFonts w:ascii="Times New Roman" w:hAnsi="Times New Roman" w:eastAsia="宋体"/>
                <w:b w:val="0"/>
                <w:color w:val="000000"/>
                <w:sz w:val="20"/>
              </w:rPr>
              <w:t>173.11</w:t>
            </w:r>
          </w:p>
        </w:tc>
      </w:tr>
      <w:tr w14:paraId="7575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61A2C0C">
            <w:pPr>
              <w:spacing w:line="240" w:lineRule="auto"/>
              <w:ind w:firstLine="0"/>
              <w:jc w:val="center"/>
            </w:pPr>
            <w:r>
              <w:rPr>
                <w:rFonts w:ascii="Times New Roman" w:hAnsi="Times New Roman" w:eastAsia="宋体"/>
                <w:b w:val="0"/>
                <w:color w:val="000000"/>
                <w:sz w:val="20"/>
              </w:rPr>
              <w:t>2210201</w:t>
            </w:r>
          </w:p>
        </w:tc>
        <w:tc>
          <w:tcPr>
            <w:tcW w:w="3402" w:type="dxa"/>
            <w:vAlign w:val="center"/>
          </w:tcPr>
          <w:p w14:paraId="26DACE33">
            <w:pPr>
              <w:spacing w:line="240" w:lineRule="auto"/>
              <w:ind w:firstLine="0"/>
              <w:jc w:val="center"/>
            </w:pPr>
            <w:r>
              <w:rPr>
                <w:rFonts w:ascii="Times New Roman" w:hAnsi="Times New Roman" w:eastAsia="宋体"/>
                <w:b w:val="0"/>
                <w:color w:val="000000"/>
                <w:sz w:val="20"/>
              </w:rPr>
              <w:t>住房公积金</w:t>
            </w:r>
          </w:p>
        </w:tc>
        <w:tc>
          <w:tcPr>
            <w:tcW w:w="1701" w:type="dxa"/>
            <w:vAlign w:val="center"/>
          </w:tcPr>
          <w:p w14:paraId="0C61FC2C">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630FF656">
            <w:pPr>
              <w:spacing w:line="240" w:lineRule="auto"/>
              <w:ind w:firstLine="0"/>
              <w:jc w:val="center"/>
            </w:pPr>
            <w:r>
              <w:rPr>
                <w:rFonts w:ascii="Times New Roman" w:hAnsi="Times New Roman" w:eastAsia="宋体"/>
                <w:b w:val="0"/>
                <w:color w:val="000000"/>
                <w:sz w:val="20"/>
              </w:rPr>
              <w:t>47.16</w:t>
            </w:r>
          </w:p>
        </w:tc>
      </w:tr>
    </w:tbl>
    <w:p w14:paraId="4F85E174">
      <w:pPr>
        <w:pStyle w:val="5"/>
        <w:ind w:firstLine="0"/>
        <w:jc w:val="left"/>
      </w:pPr>
      <w:r>
        <w:rPr>
          <w:rFonts w:ascii="Times New Roman" w:hAnsi="Times New Roman" w:eastAsia="黑体"/>
          <w:b/>
          <w:color w:val="000000"/>
          <w:sz w:val="24"/>
        </w:rPr>
        <w:t>四、财政拨款收入支出决算总表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77C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39A01745">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7263BCE1">
            <w:pPr>
              <w:spacing w:line="240" w:lineRule="auto"/>
              <w:ind w:firstLine="0"/>
              <w:jc w:val="center"/>
            </w:pPr>
            <w:r>
              <w:rPr>
                <w:rFonts w:ascii="Times New Roman" w:hAnsi="Times New Roman" w:eastAsia="宋体"/>
                <w:b/>
                <w:color w:val="000000"/>
                <w:sz w:val="21"/>
              </w:rPr>
              <w:t>决算数</w:t>
            </w:r>
          </w:p>
        </w:tc>
      </w:tr>
      <w:tr w14:paraId="3764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2CF6736">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51FB5202">
            <w:pPr>
              <w:spacing w:line="240" w:lineRule="auto"/>
              <w:ind w:firstLine="0"/>
              <w:jc w:val="center"/>
            </w:pPr>
            <w:r>
              <w:rPr>
                <w:rFonts w:ascii="Times New Roman" w:hAnsi="Times New Roman" w:eastAsia="宋体"/>
                <w:b w:val="0"/>
                <w:color w:val="000000"/>
                <w:sz w:val="21"/>
              </w:rPr>
              <w:t>1525.51</w:t>
            </w:r>
          </w:p>
        </w:tc>
      </w:tr>
      <w:tr w14:paraId="577E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952C4CA">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03B16E6A">
            <w:pPr>
              <w:spacing w:line="240" w:lineRule="auto"/>
              <w:ind w:firstLine="0"/>
              <w:jc w:val="center"/>
            </w:pPr>
            <w:r>
              <w:rPr>
                <w:rFonts w:ascii="Times New Roman" w:hAnsi="Times New Roman" w:eastAsia="宋体"/>
                <w:b w:val="0"/>
                <w:color w:val="000000"/>
                <w:sz w:val="21"/>
              </w:rPr>
              <w:t>0.00</w:t>
            </w:r>
          </w:p>
        </w:tc>
      </w:tr>
      <w:tr w14:paraId="1C31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E44D145">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3E44DCF0">
            <w:pPr>
              <w:spacing w:line="240" w:lineRule="auto"/>
              <w:ind w:firstLine="0"/>
              <w:jc w:val="center"/>
            </w:pPr>
            <w:r>
              <w:rPr>
                <w:rFonts w:ascii="Times New Roman" w:hAnsi="Times New Roman" w:eastAsia="宋体"/>
                <w:b w:val="0"/>
                <w:color w:val="000000"/>
                <w:sz w:val="21"/>
              </w:rPr>
              <w:t>0.00</w:t>
            </w:r>
          </w:p>
        </w:tc>
      </w:tr>
      <w:tr w14:paraId="2F2F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4019C38">
            <w:pPr>
              <w:spacing w:line="240" w:lineRule="auto"/>
              <w:ind w:firstLine="0"/>
              <w:jc w:val="center"/>
            </w:pPr>
            <w:r>
              <w:rPr>
                <w:rFonts w:ascii="Times New Roman" w:hAnsi="Times New Roman" w:eastAsia="宋体"/>
                <w:b w:val="0"/>
                <w:color w:val="000000"/>
                <w:sz w:val="21"/>
              </w:rPr>
              <w:t>本年收入合计（含年初结转）</w:t>
            </w:r>
          </w:p>
        </w:tc>
        <w:tc>
          <w:tcPr>
            <w:tcW w:w="2835" w:type="dxa"/>
            <w:vAlign w:val="center"/>
          </w:tcPr>
          <w:p w14:paraId="431798A0">
            <w:pPr>
              <w:spacing w:line="240" w:lineRule="auto"/>
              <w:ind w:firstLine="0"/>
              <w:jc w:val="center"/>
            </w:pPr>
            <w:r>
              <w:rPr>
                <w:rFonts w:ascii="Times New Roman" w:hAnsi="Times New Roman" w:eastAsia="宋体"/>
                <w:b w:val="0"/>
                <w:color w:val="000000"/>
                <w:sz w:val="21"/>
              </w:rPr>
              <w:t>1536.90</w:t>
            </w:r>
          </w:p>
        </w:tc>
      </w:tr>
      <w:tr w14:paraId="38AC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29FD6ED">
            <w:pPr>
              <w:spacing w:line="240" w:lineRule="auto"/>
              <w:ind w:firstLine="0"/>
              <w:jc w:val="center"/>
            </w:pPr>
            <w:r>
              <w:rPr>
                <w:rFonts w:ascii="Times New Roman" w:hAnsi="Times New Roman" w:eastAsia="宋体"/>
                <w:b w:val="0"/>
                <w:color w:val="000000"/>
                <w:sz w:val="21"/>
              </w:rPr>
              <w:t>本年支出合计</w:t>
            </w:r>
          </w:p>
        </w:tc>
        <w:tc>
          <w:tcPr>
            <w:tcW w:w="2835" w:type="dxa"/>
            <w:vAlign w:val="center"/>
          </w:tcPr>
          <w:p w14:paraId="30465DE1">
            <w:pPr>
              <w:spacing w:line="240" w:lineRule="auto"/>
              <w:ind w:firstLine="0"/>
              <w:jc w:val="center"/>
            </w:pPr>
            <w:r>
              <w:rPr>
                <w:rFonts w:ascii="Times New Roman" w:hAnsi="Times New Roman" w:eastAsia="宋体"/>
                <w:b w:val="0"/>
                <w:color w:val="000000"/>
                <w:sz w:val="21"/>
              </w:rPr>
              <w:t>1536.90</w:t>
            </w:r>
          </w:p>
        </w:tc>
      </w:tr>
    </w:tbl>
    <w:p w14:paraId="109ED536">
      <w:pPr>
        <w:pStyle w:val="5"/>
        <w:ind w:firstLine="0"/>
        <w:jc w:val="left"/>
      </w:pPr>
      <w:r>
        <w:rPr>
          <w:rFonts w:ascii="Times New Roman" w:hAnsi="Times New Roman" w:eastAsia="黑体"/>
          <w:b/>
          <w:color w:val="000000"/>
          <w:sz w:val="24"/>
        </w:rPr>
        <w:t>五、财政拨款支出决算明细表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20BE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33F10E8C">
            <w:pPr>
              <w:spacing w:line="240" w:lineRule="auto"/>
              <w:ind w:firstLine="0"/>
              <w:jc w:val="center"/>
            </w:pPr>
            <w:r>
              <w:rPr>
                <w:rFonts w:ascii="Times New Roman" w:hAnsi="Times New Roman" w:eastAsia="宋体"/>
                <w:b/>
                <w:color w:val="000000"/>
                <w:sz w:val="21"/>
              </w:rPr>
              <w:t>经济分类科目</w:t>
            </w:r>
          </w:p>
        </w:tc>
        <w:tc>
          <w:tcPr>
            <w:tcW w:w="2835" w:type="dxa"/>
            <w:shd w:val="clear" w:color="auto" w:fill="D9D9D9"/>
            <w:vAlign w:val="center"/>
          </w:tcPr>
          <w:p w14:paraId="489AD9F4">
            <w:pPr>
              <w:spacing w:line="240" w:lineRule="auto"/>
              <w:ind w:firstLine="0"/>
              <w:jc w:val="center"/>
            </w:pPr>
            <w:r>
              <w:rPr>
                <w:rFonts w:ascii="Times New Roman" w:hAnsi="Times New Roman" w:eastAsia="宋体"/>
                <w:b/>
                <w:color w:val="000000"/>
                <w:sz w:val="21"/>
              </w:rPr>
              <w:t>决算数</w:t>
            </w:r>
          </w:p>
        </w:tc>
      </w:tr>
      <w:tr w14:paraId="4498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17300FD">
            <w:pPr>
              <w:spacing w:line="240" w:lineRule="auto"/>
              <w:ind w:firstLine="0"/>
              <w:jc w:val="center"/>
            </w:pPr>
            <w:r>
              <w:rPr>
                <w:rFonts w:ascii="Times New Roman" w:hAnsi="Times New Roman" w:eastAsia="宋体"/>
                <w:b w:val="0"/>
                <w:color w:val="000000"/>
                <w:sz w:val="21"/>
              </w:rPr>
              <w:t>工资福利支出</w:t>
            </w:r>
          </w:p>
        </w:tc>
        <w:tc>
          <w:tcPr>
            <w:tcW w:w="2835" w:type="dxa"/>
            <w:vAlign w:val="center"/>
          </w:tcPr>
          <w:p w14:paraId="09F1C784">
            <w:pPr>
              <w:spacing w:line="240" w:lineRule="auto"/>
              <w:ind w:firstLine="0"/>
              <w:jc w:val="center"/>
            </w:pPr>
            <w:r>
              <w:rPr>
                <w:rFonts w:ascii="Times New Roman" w:hAnsi="Times New Roman" w:eastAsia="宋体"/>
                <w:b w:val="0"/>
                <w:color w:val="000000"/>
                <w:sz w:val="21"/>
              </w:rPr>
              <w:t>608.88</w:t>
            </w:r>
          </w:p>
        </w:tc>
      </w:tr>
      <w:tr w14:paraId="04A0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21F7410">
            <w:pPr>
              <w:spacing w:line="240" w:lineRule="auto"/>
              <w:ind w:firstLine="0"/>
              <w:jc w:val="center"/>
            </w:pPr>
            <w:r>
              <w:rPr>
                <w:rFonts w:ascii="Times New Roman" w:hAnsi="Times New Roman" w:eastAsia="宋体"/>
                <w:b w:val="0"/>
                <w:color w:val="000000"/>
                <w:sz w:val="21"/>
              </w:rPr>
              <w:t>商品和服务支出</w:t>
            </w:r>
          </w:p>
        </w:tc>
        <w:tc>
          <w:tcPr>
            <w:tcW w:w="2835" w:type="dxa"/>
            <w:vAlign w:val="center"/>
          </w:tcPr>
          <w:p w14:paraId="4D1D0118">
            <w:pPr>
              <w:spacing w:line="240" w:lineRule="auto"/>
              <w:ind w:firstLine="0"/>
              <w:jc w:val="center"/>
            </w:pPr>
            <w:r>
              <w:rPr>
                <w:rFonts w:ascii="Times New Roman" w:hAnsi="Times New Roman" w:eastAsia="宋体"/>
                <w:b w:val="0"/>
                <w:color w:val="000000"/>
                <w:sz w:val="21"/>
              </w:rPr>
              <w:t>452.53</w:t>
            </w:r>
          </w:p>
        </w:tc>
      </w:tr>
      <w:tr w14:paraId="729C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2916134">
            <w:pPr>
              <w:spacing w:line="240" w:lineRule="auto"/>
              <w:ind w:firstLine="0"/>
              <w:jc w:val="center"/>
            </w:pPr>
            <w:r>
              <w:rPr>
                <w:rFonts w:ascii="Times New Roman" w:hAnsi="Times New Roman" w:eastAsia="宋体"/>
                <w:b w:val="0"/>
                <w:color w:val="000000"/>
                <w:sz w:val="21"/>
              </w:rPr>
              <w:t>对个人和家庭的补助</w:t>
            </w:r>
          </w:p>
        </w:tc>
        <w:tc>
          <w:tcPr>
            <w:tcW w:w="2835" w:type="dxa"/>
            <w:vAlign w:val="center"/>
          </w:tcPr>
          <w:p w14:paraId="517D6FCE">
            <w:pPr>
              <w:spacing w:line="240" w:lineRule="auto"/>
              <w:ind w:firstLine="0"/>
              <w:jc w:val="center"/>
            </w:pPr>
            <w:r>
              <w:rPr>
                <w:rFonts w:ascii="Times New Roman" w:hAnsi="Times New Roman" w:eastAsia="宋体"/>
                <w:b w:val="0"/>
                <w:color w:val="000000"/>
                <w:sz w:val="21"/>
              </w:rPr>
              <w:t>114.96</w:t>
            </w:r>
          </w:p>
        </w:tc>
      </w:tr>
      <w:tr w14:paraId="5498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635D483">
            <w:pPr>
              <w:spacing w:line="240" w:lineRule="auto"/>
              <w:ind w:firstLine="0"/>
              <w:jc w:val="center"/>
            </w:pPr>
            <w:r>
              <w:rPr>
                <w:rFonts w:ascii="Times New Roman" w:hAnsi="Times New Roman" w:eastAsia="宋体"/>
                <w:b w:val="0"/>
                <w:color w:val="000000"/>
                <w:sz w:val="21"/>
              </w:rPr>
              <w:t>资本性支出</w:t>
            </w:r>
          </w:p>
        </w:tc>
        <w:tc>
          <w:tcPr>
            <w:tcW w:w="2835" w:type="dxa"/>
            <w:vAlign w:val="center"/>
          </w:tcPr>
          <w:p w14:paraId="30234033">
            <w:pPr>
              <w:spacing w:line="240" w:lineRule="auto"/>
              <w:ind w:firstLine="0"/>
              <w:jc w:val="center"/>
            </w:pPr>
            <w:r>
              <w:rPr>
                <w:rFonts w:ascii="Times New Roman" w:hAnsi="Times New Roman" w:eastAsia="宋体"/>
                <w:b w:val="0"/>
                <w:color w:val="000000"/>
                <w:sz w:val="21"/>
              </w:rPr>
              <w:t>360.53</w:t>
            </w:r>
          </w:p>
        </w:tc>
      </w:tr>
      <w:tr w14:paraId="7AAB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54F58C2">
            <w:pPr>
              <w:spacing w:line="240" w:lineRule="auto"/>
              <w:ind w:firstLine="0"/>
              <w:jc w:val="center"/>
            </w:pPr>
            <w:r>
              <w:rPr>
                <w:rFonts w:ascii="Times New Roman" w:hAnsi="Times New Roman" w:eastAsia="宋体"/>
                <w:b w:val="0"/>
                <w:color w:val="000000"/>
                <w:sz w:val="21"/>
              </w:rPr>
              <w:t>合计</w:t>
            </w:r>
          </w:p>
        </w:tc>
        <w:tc>
          <w:tcPr>
            <w:tcW w:w="2835" w:type="dxa"/>
            <w:vAlign w:val="center"/>
          </w:tcPr>
          <w:p w14:paraId="61B06481">
            <w:pPr>
              <w:spacing w:line="240" w:lineRule="auto"/>
              <w:ind w:firstLine="0"/>
              <w:jc w:val="center"/>
            </w:pPr>
            <w:r>
              <w:rPr>
                <w:rFonts w:ascii="Times New Roman" w:hAnsi="Times New Roman" w:eastAsia="宋体"/>
                <w:b w:val="0"/>
                <w:color w:val="000000"/>
                <w:sz w:val="21"/>
              </w:rPr>
              <w:t>1536.90</w:t>
            </w:r>
          </w:p>
        </w:tc>
      </w:tr>
    </w:tbl>
    <w:p w14:paraId="56A3C615">
      <w:pPr>
        <w:pStyle w:val="5"/>
        <w:ind w:firstLine="0"/>
        <w:jc w:val="left"/>
      </w:pPr>
      <w:r>
        <w:rPr>
          <w:rFonts w:ascii="Times New Roman" w:hAnsi="Times New Roman" w:eastAsia="黑体"/>
          <w:b/>
          <w:color w:val="000000"/>
          <w:sz w:val="24"/>
        </w:rPr>
        <w:t>六、一般公共预算财政拨款支出决算表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6151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2CA0314A">
            <w:pPr>
              <w:spacing w:line="240" w:lineRule="auto"/>
              <w:ind w:firstLine="0"/>
              <w:jc w:val="center"/>
            </w:pPr>
            <w:r>
              <w:rPr>
                <w:rFonts w:ascii="Times New Roman" w:hAnsi="Times New Roman" w:eastAsia="宋体"/>
                <w:b/>
                <w:color w:val="000000"/>
                <w:sz w:val="21"/>
              </w:rPr>
              <w:t>功能分类科目（类级）</w:t>
            </w:r>
          </w:p>
        </w:tc>
        <w:tc>
          <w:tcPr>
            <w:tcW w:w="2835" w:type="dxa"/>
            <w:shd w:val="clear" w:color="auto" w:fill="D9D9D9"/>
            <w:vAlign w:val="center"/>
          </w:tcPr>
          <w:p w14:paraId="6F33D0F0">
            <w:pPr>
              <w:spacing w:line="240" w:lineRule="auto"/>
              <w:ind w:firstLine="0"/>
              <w:jc w:val="center"/>
            </w:pPr>
            <w:r>
              <w:rPr>
                <w:rFonts w:ascii="Times New Roman" w:hAnsi="Times New Roman" w:eastAsia="宋体"/>
                <w:b/>
                <w:color w:val="000000"/>
                <w:sz w:val="21"/>
              </w:rPr>
              <w:t>决算数</w:t>
            </w:r>
          </w:p>
        </w:tc>
      </w:tr>
      <w:tr w14:paraId="1A2B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00BED34">
            <w:pPr>
              <w:spacing w:line="240" w:lineRule="auto"/>
              <w:ind w:firstLine="0"/>
              <w:jc w:val="center"/>
            </w:pPr>
            <w:r>
              <w:rPr>
                <w:rFonts w:ascii="Times New Roman" w:hAnsi="Times New Roman" w:eastAsia="宋体"/>
                <w:b w:val="0"/>
                <w:color w:val="000000"/>
                <w:sz w:val="21"/>
              </w:rPr>
              <w:t>一般公共服务支出</w:t>
            </w:r>
          </w:p>
        </w:tc>
        <w:tc>
          <w:tcPr>
            <w:tcW w:w="2835" w:type="dxa"/>
            <w:vAlign w:val="center"/>
          </w:tcPr>
          <w:p w14:paraId="7EDD3452">
            <w:pPr>
              <w:spacing w:line="240" w:lineRule="auto"/>
              <w:ind w:firstLine="0"/>
              <w:jc w:val="center"/>
            </w:pPr>
            <w:r>
              <w:rPr>
                <w:rFonts w:ascii="Times New Roman" w:hAnsi="Times New Roman" w:eastAsia="宋体"/>
                <w:b w:val="0"/>
                <w:color w:val="000000"/>
                <w:sz w:val="21"/>
              </w:rPr>
              <w:t>521.71</w:t>
            </w:r>
          </w:p>
        </w:tc>
      </w:tr>
      <w:tr w14:paraId="6E06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0828D5D">
            <w:pPr>
              <w:spacing w:line="240" w:lineRule="auto"/>
              <w:ind w:firstLine="0"/>
              <w:jc w:val="center"/>
            </w:pPr>
            <w:r>
              <w:rPr>
                <w:rFonts w:ascii="Times New Roman" w:hAnsi="Times New Roman" w:eastAsia="宋体"/>
                <w:b w:val="0"/>
                <w:color w:val="000000"/>
                <w:sz w:val="21"/>
              </w:rPr>
              <w:t>文化旅游体育与传媒支出</w:t>
            </w:r>
          </w:p>
        </w:tc>
        <w:tc>
          <w:tcPr>
            <w:tcW w:w="2835" w:type="dxa"/>
            <w:vAlign w:val="center"/>
          </w:tcPr>
          <w:p w14:paraId="7B1F5120">
            <w:pPr>
              <w:spacing w:line="240" w:lineRule="auto"/>
              <w:ind w:firstLine="0"/>
              <w:jc w:val="center"/>
            </w:pPr>
            <w:r>
              <w:rPr>
                <w:rFonts w:ascii="Times New Roman" w:hAnsi="Times New Roman" w:eastAsia="宋体"/>
                <w:b w:val="0"/>
                <w:color w:val="000000"/>
                <w:sz w:val="21"/>
              </w:rPr>
              <w:t>164.07</w:t>
            </w:r>
          </w:p>
        </w:tc>
      </w:tr>
      <w:tr w14:paraId="2A81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94A604D">
            <w:pPr>
              <w:spacing w:line="240" w:lineRule="auto"/>
              <w:ind w:firstLine="0"/>
              <w:jc w:val="center"/>
            </w:pPr>
            <w:r>
              <w:rPr>
                <w:rFonts w:ascii="Times New Roman" w:hAnsi="Times New Roman" w:eastAsia="宋体"/>
                <w:b w:val="0"/>
                <w:color w:val="000000"/>
                <w:sz w:val="21"/>
              </w:rPr>
              <w:t>社会保障和就业支出</w:t>
            </w:r>
          </w:p>
        </w:tc>
        <w:tc>
          <w:tcPr>
            <w:tcW w:w="2835" w:type="dxa"/>
            <w:vAlign w:val="center"/>
          </w:tcPr>
          <w:p w14:paraId="5CC53055">
            <w:pPr>
              <w:spacing w:line="240" w:lineRule="auto"/>
              <w:ind w:firstLine="0"/>
              <w:jc w:val="center"/>
            </w:pPr>
            <w:r>
              <w:rPr>
                <w:rFonts w:ascii="Times New Roman" w:hAnsi="Times New Roman" w:eastAsia="宋体"/>
                <w:b w:val="0"/>
                <w:color w:val="000000"/>
                <w:sz w:val="21"/>
              </w:rPr>
              <w:t>85.48</w:t>
            </w:r>
          </w:p>
        </w:tc>
      </w:tr>
      <w:tr w14:paraId="08AF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274229C">
            <w:pPr>
              <w:spacing w:line="240" w:lineRule="auto"/>
              <w:ind w:firstLine="0"/>
              <w:jc w:val="center"/>
            </w:pPr>
            <w:r>
              <w:rPr>
                <w:rFonts w:ascii="Times New Roman" w:hAnsi="Times New Roman" w:eastAsia="宋体"/>
                <w:b w:val="0"/>
                <w:color w:val="000000"/>
                <w:sz w:val="21"/>
              </w:rPr>
              <w:t>卫生健康支出</w:t>
            </w:r>
          </w:p>
        </w:tc>
        <w:tc>
          <w:tcPr>
            <w:tcW w:w="2835" w:type="dxa"/>
            <w:vAlign w:val="center"/>
          </w:tcPr>
          <w:p w14:paraId="5E86A53A">
            <w:pPr>
              <w:spacing w:line="240" w:lineRule="auto"/>
              <w:ind w:firstLine="0"/>
              <w:jc w:val="center"/>
            </w:pPr>
            <w:r>
              <w:rPr>
                <w:rFonts w:ascii="Times New Roman" w:hAnsi="Times New Roman" w:eastAsia="宋体"/>
                <w:b w:val="0"/>
                <w:color w:val="000000"/>
                <w:sz w:val="21"/>
              </w:rPr>
              <w:t>29.67</w:t>
            </w:r>
          </w:p>
        </w:tc>
      </w:tr>
      <w:tr w14:paraId="1115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3946CF4">
            <w:pPr>
              <w:spacing w:line="240" w:lineRule="auto"/>
              <w:ind w:firstLine="0"/>
              <w:jc w:val="center"/>
            </w:pPr>
            <w:r>
              <w:rPr>
                <w:rFonts w:ascii="Times New Roman" w:hAnsi="Times New Roman" w:eastAsia="宋体"/>
                <w:b w:val="0"/>
                <w:color w:val="000000"/>
                <w:sz w:val="21"/>
              </w:rPr>
              <w:t>节能环保支出</w:t>
            </w:r>
          </w:p>
        </w:tc>
        <w:tc>
          <w:tcPr>
            <w:tcW w:w="2835" w:type="dxa"/>
            <w:vAlign w:val="center"/>
          </w:tcPr>
          <w:p w14:paraId="70082959">
            <w:pPr>
              <w:spacing w:line="240" w:lineRule="auto"/>
              <w:ind w:firstLine="0"/>
              <w:jc w:val="center"/>
            </w:pPr>
            <w:r>
              <w:rPr>
                <w:rFonts w:ascii="Times New Roman" w:hAnsi="Times New Roman" w:eastAsia="宋体"/>
                <w:b w:val="0"/>
                <w:color w:val="000000"/>
                <w:sz w:val="21"/>
              </w:rPr>
              <w:t>37.66</w:t>
            </w:r>
          </w:p>
        </w:tc>
      </w:tr>
      <w:tr w14:paraId="6BEB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4AD4F2E">
            <w:pPr>
              <w:spacing w:line="240" w:lineRule="auto"/>
              <w:ind w:firstLine="0"/>
              <w:jc w:val="center"/>
            </w:pPr>
            <w:r>
              <w:rPr>
                <w:rFonts w:ascii="Times New Roman" w:hAnsi="Times New Roman" w:eastAsia="宋体"/>
                <w:b w:val="0"/>
                <w:color w:val="000000"/>
                <w:sz w:val="21"/>
              </w:rPr>
              <w:t>城乡社区支出</w:t>
            </w:r>
          </w:p>
        </w:tc>
        <w:tc>
          <w:tcPr>
            <w:tcW w:w="2835" w:type="dxa"/>
            <w:vAlign w:val="center"/>
          </w:tcPr>
          <w:p w14:paraId="27FB8464">
            <w:pPr>
              <w:spacing w:line="240" w:lineRule="auto"/>
              <w:ind w:firstLine="0"/>
              <w:jc w:val="center"/>
            </w:pPr>
            <w:r>
              <w:rPr>
                <w:rFonts w:ascii="Times New Roman" w:hAnsi="Times New Roman" w:eastAsia="宋体"/>
                <w:b w:val="0"/>
                <w:color w:val="000000"/>
                <w:sz w:val="21"/>
              </w:rPr>
              <w:t>21.32</w:t>
            </w:r>
          </w:p>
        </w:tc>
      </w:tr>
      <w:tr w14:paraId="55B7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B83E1AE">
            <w:pPr>
              <w:spacing w:line="240" w:lineRule="auto"/>
              <w:ind w:firstLine="0"/>
              <w:jc w:val="center"/>
            </w:pPr>
            <w:r>
              <w:rPr>
                <w:rFonts w:ascii="Times New Roman" w:hAnsi="Times New Roman" w:eastAsia="宋体"/>
                <w:b w:val="0"/>
                <w:color w:val="000000"/>
                <w:sz w:val="21"/>
              </w:rPr>
              <w:t>农林水支出</w:t>
            </w:r>
          </w:p>
        </w:tc>
        <w:tc>
          <w:tcPr>
            <w:tcW w:w="2835" w:type="dxa"/>
            <w:vAlign w:val="center"/>
          </w:tcPr>
          <w:p w14:paraId="59CFDD94">
            <w:pPr>
              <w:spacing w:line="240" w:lineRule="auto"/>
              <w:ind w:firstLine="0"/>
              <w:jc w:val="center"/>
            </w:pPr>
            <w:r>
              <w:rPr>
                <w:rFonts w:ascii="Times New Roman" w:hAnsi="Times New Roman" w:eastAsia="宋体"/>
                <w:b w:val="0"/>
                <w:color w:val="000000"/>
                <w:sz w:val="21"/>
              </w:rPr>
              <w:t>629.84</w:t>
            </w:r>
          </w:p>
        </w:tc>
      </w:tr>
      <w:tr w14:paraId="23BA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BADAA62">
            <w:pPr>
              <w:spacing w:line="240" w:lineRule="auto"/>
              <w:ind w:firstLine="0"/>
              <w:jc w:val="center"/>
            </w:pPr>
            <w:r>
              <w:rPr>
                <w:rFonts w:ascii="Times New Roman" w:hAnsi="Times New Roman" w:eastAsia="宋体"/>
                <w:b w:val="0"/>
                <w:color w:val="000000"/>
                <w:sz w:val="21"/>
              </w:rPr>
              <w:t>住房保障支出</w:t>
            </w:r>
          </w:p>
        </w:tc>
        <w:tc>
          <w:tcPr>
            <w:tcW w:w="2835" w:type="dxa"/>
            <w:vAlign w:val="center"/>
          </w:tcPr>
          <w:p w14:paraId="04624394">
            <w:pPr>
              <w:spacing w:line="240" w:lineRule="auto"/>
              <w:ind w:firstLine="0"/>
              <w:jc w:val="center"/>
            </w:pPr>
            <w:r>
              <w:rPr>
                <w:rFonts w:ascii="Times New Roman" w:hAnsi="Times New Roman" w:eastAsia="宋体"/>
                <w:b w:val="0"/>
                <w:color w:val="000000"/>
                <w:sz w:val="21"/>
              </w:rPr>
              <w:t>47.16</w:t>
            </w:r>
          </w:p>
        </w:tc>
      </w:tr>
      <w:tr w14:paraId="7F49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E67D0F6">
            <w:pPr>
              <w:spacing w:line="240" w:lineRule="auto"/>
              <w:ind w:firstLine="0"/>
              <w:jc w:val="center"/>
            </w:pPr>
            <w:r>
              <w:rPr>
                <w:rFonts w:ascii="Times New Roman" w:hAnsi="Times New Roman" w:eastAsia="宋体"/>
                <w:b w:val="0"/>
                <w:color w:val="000000"/>
                <w:sz w:val="21"/>
              </w:rPr>
              <w:t>合计</w:t>
            </w:r>
          </w:p>
        </w:tc>
        <w:tc>
          <w:tcPr>
            <w:tcW w:w="2835" w:type="dxa"/>
            <w:vAlign w:val="center"/>
          </w:tcPr>
          <w:p w14:paraId="53305400">
            <w:pPr>
              <w:spacing w:line="240" w:lineRule="auto"/>
              <w:ind w:firstLine="0"/>
              <w:jc w:val="center"/>
            </w:pPr>
            <w:r>
              <w:rPr>
                <w:rFonts w:ascii="Times New Roman" w:hAnsi="Times New Roman" w:eastAsia="宋体"/>
                <w:b w:val="0"/>
                <w:color w:val="000000"/>
                <w:sz w:val="21"/>
              </w:rPr>
              <w:t>1536.90</w:t>
            </w:r>
          </w:p>
        </w:tc>
      </w:tr>
    </w:tbl>
    <w:p w14:paraId="24A23A0F">
      <w:pPr>
        <w:pStyle w:val="5"/>
        <w:ind w:firstLine="0"/>
        <w:jc w:val="left"/>
      </w:pPr>
      <w:r>
        <w:rPr>
          <w:rFonts w:ascii="Times New Roman" w:hAnsi="Times New Roman" w:eastAsia="黑体"/>
          <w:b/>
          <w:color w:val="000000"/>
          <w:sz w:val="24"/>
        </w:rPr>
        <w:t>七、一般公共预算财政拨款支出决算明细表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7878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78D63FAB">
            <w:pPr>
              <w:spacing w:line="240" w:lineRule="auto"/>
              <w:ind w:firstLine="0"/>
              <w:jc w:val="center"/>
            </w:pPr>
            <w:r>
              <w:rPr>
                <w:rFonts w:ascii="Times New Roman" w:hAnsi="Times New Roman" w:eastAsia="宋体"/>
                <w:b/>
                <w:color w:val="000000"/>
                <w:sz w:val="21"/>
              </w:rPr>
              <w:t>功能科目（项级）</w:t>
            </w:r>
          </w:p>
        </w:tc>
        <w:tc>
          <w:tcPr>
            <w:tcW w:w="4252" w:type="dxa"/>
            <w:shd w:val="clear" w:color="auto" w:fill="D9D9D9"/>
            <w:vAlign w:val="center"/>
          </w:tcPr>
          <w:p w14:paraId="39A1AE5A">
            <w:pPr>
              <w:spacing w:line="240" w:lineRule="auto"/>
              <w:ind w:firstLine="0"/>
              <w:jc w:val="center"/>
            </w:pPr>
            <w:r>
              <w:rPr>
                <w:rFonts w:ascii="Times New Roman" w:hAnsi="Times New Roman" w:eastAsia="宋体"/>
                <w:b/>
                <w:color w:val="000000"/>
                <w:sz w:val="21"/>
              </w:rPr>
              <w:t>名称</w:t>
            </w:r>
          </w:p>
        </w:tc>
        <w:tc>
          <w:tcPr>
            <w:tcW w:w="1701" w:type="dxa"/>
            <w:shd w:val="clear" w:color="auto" w:fill="D9D9D9"/>
            <w:vAlign w:val="center"/>
          </w:tcPr>
          <w:p w14:paraId="02054B39">
            <w:pPr>
              <w:spacing w:line="240" w:lineRule="auto"/>
              <w:ind w:firstLine="0"/>
              <w:jc w:val="center"/>
            </w:pPr>
            <w:r>
              <w:rPr>
                <w:rFonts w:ascii="Times New Roman" w:hAnsi="Times New Roman" w:eastAsia="宋体"/>
                <w:b/>
                <w:color w:val="000000"/>
                <w:sz w:val="21"/>
              </w:rPr>
              <w:t>决算数</w:t>
            </w:r>
          </w:p>
        </w:tc>
      </w:tr>
      <w:tr w14:paraId="496E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1F84053">
            <w:pPr>
              <w:spacing w:line="240" w:lineRule="auto"/>
              <w:ind w:firstLine="0"/>
              <w:jc w:val="center"/>
            </w:pPr>
            <w:r>
              <w:rPr>
                <w:rFonts w:ascii="Times New Roman" w:hAnsi="Times New Roman" w:eastAsia="宋体"/>
                <w:b w:val="0"/>
                <w:color w:val="000000"/>
                <w:sz w:val="21"/>
              </w:rPr>
              <w:t>2010104</w:t>
            </w:r>
          </w:p>
        </w:tc>
        <w:tc>
          <w:tcPr>
            <w:tcW w:w="4252" w:type="dxa"/>
            <w:vAlign w:val="center"/>
          </w:tcPr>
          <w:p w14:paraId="28BC5254">
            <w:pPr>
              <w:spacing w:line="240" w:lineRule="auto"/>
              <w:ind w:firstLine="0"/>
              <w:jc w:val="center"/>
            </w:pPr>
            <w:r>
              <w:rPr>
                <w:rFonts w:ascii="Times New Roman" w:hAnsi="Times New Roman" w:eastAsia="宋体"/>
                <w:b w:val="0"/>
                <w:color w:val="000000"/>
                <w:sz w:val="21"/>
              </w:rPr>
              <w:t>人大会议</w:t>
            </w:r>
          </w:p>
        </w:tc>
        <w:tc>
          <w:tcPr>
            <w:tcW w:w="1701" w:type="dxa"/>
            <w:vAlign w:val="center"/>
          </w:tcPr>
          <w:p w14:paraId="3D6A0D95">
            <w:pPr>
              <w:spacing w:line="240" w:lineRule="auto"/>
              <w:ind w:firstLine="0"/>
              <w:jc w:val="center"/>
            </w:pPr>
            <w:r>
              <w:rPr>
                <w:rFonts w:ascii="Times New Roman" w:hAnsi="Times New Roman" w:eastAsia="宋体"/>
                <w:b w:val="0"/>
                <w:color w:val="000000"/>
                <w:sz w:val="21"/>
              </w:rPr>
              <w:t>2.35</w:t>
            </w:r>
          </w:p>
        </w:tc>
      </w:tr>
      <w:tr w14:paraId="6F28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C91FC6A">
            <w:pPr>
              <w:spacing w:line="240" w:lineRule="auto"/>
              <w:ind w:firstLine="0"/>
              <w:jc w:val="center"/>
            </w:pPr>
            <w:r>
              <w:rPr>
                <w:rFonts w:ascii="Times New Roman" w:hAnsi="Times New Roman" w:eastAsia="宋体"/>
                <w:b w:val="0"/>
                <w:color w:val="000000"/>
                <w:sz w:val="21"/>
              </w:rPr>
              <w:t>2010108</w:t>
            </w:r>
          </w:p>
        </w:tc>
        <w:tc>
          <w:tcPr>
            <w:tcW w:w="4252" w:type="dxa"/>
            <w:vAlign w:val="center"/>
          </w:tcPr>
          <w:p w14:paraId="6A88F424">
            <w:pPr>
              <w:spacing w:line="240" w:lineRule="auto"/>
              <w:ind w:firstLine="0"/>
              <w:jc w:val="center"/>
            </w:pPr>
            <w:r>
              <w:rPr>
                <w:rFonts w:ascii="Times New Roman" w:hAnsi="Times New Roman" w:eastAsia="宋体"/>
                <w:b w:val="0"/>
                <w:color w:val="000000"/>
                <w:sz w:val="21"/>
              </w:rPr>
              <w:t>代表工作</w:t>
            </w:r>
          </w:p>
        </w:tc>
        <w:tc>
          <w:tcPr>
            <w:tcW w:w="1701" w:type="dxa"/>
            <w:vAlign w:val="center"/>
          </w:tcPr>
          <w:p w14:paraId="5D50859D">
            <w:pPr>
              <w:spacing w:line="240" w:lineRule="auto"/>
              <w:ind w:firstLine="0"/>
              <w:jc w:val="center"/>
            </w:pPr>
            <w:r>
              <w:rPr>
                <w:rFonts w:ascii="Times New Roman" w:hAnsi="Times New Roman" w:eastAsia="宋体"/>
                <w:b w:val="0"/>
                <w:color w:val="000000"/>
                <w:sz w:val="21"/>
              </w:rPr>
              <w:t>8.00</w:t>
            </w:r>
          </w:p>
        </w:tc>
      </w:tr>
      <w:tr w14:paraId="5A79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CEA35E0">
            <w:pPr>
              <w:spacing w:line="240" w:lineRule="auto"/>
              <w:ind w:firstLine="0"/>
              <w:jc w:val="center"/>
            </w:pPr>
            <w:r>
              <w:rPr>
                <w:rFonts w:ascii="Times New Roman" w:hAnsi="Times New Roman" w:eastAsia="宋体"/>
                <w:b w:val="0"/>
                <w:color w:val="000000"/>
                <w:sz w:val="21"/>
              </w:rPr>
              <w:t>2010299</w:t>
            </w:r>
          </w:p>
        </w:tc>
        <w:tc>
          <w:tcPr>
            <w:tcW w:w="4252" w:type="dxa"/>
            <w:vAlign w:val="center"/>
          </w:tcPr>
          <w:p w14:paraId="6350DF30">
            <w:pPr>
              <w:spacing w:line="240" w:lineRule="auto"/>
              <w:ind w:firstLine="0"/>
              <w:jc w:val="center"/>
            </w:pPr>
            <w:r>
              <w:rPr>
                <w:rFonts w:ascii="Times New Roman" w:hAnsi="Times New Roman" w:eastAsia="宋体"/>
                <w:b w:val="0"/>
                <w:color w:val="000000"/>
                <w:sz w:val="21"/>
              </w:rPr>
              <w:t>其他政协事务支出</w:t>
            </w:r>
          </w:p>
        </w:tc>
        <w:tc>
          <w:tcPr>
            <w:tcW w:w="1701" w:type="dxa"/>
            <w:vAlign w:val="center"/>
          </w:tcPr>
          <w:p w14:paraId="7954A98E">
            <w:pPr>
              <w:spacing w:line="240" w:lineRule="auto"/>
              <w:ind w:firstLine="0"/>
              <w:jc w:val="center"/>
            </w:pPr>
            <w:r>
              <w:rPr>
                <w:rFonts w:ascii="Times New Roman" w:hAnsi="Times New Roman" w:eastAsia="宋体"/>
                <w:b w:val="0"/>
                <w:color w:val="000000"/>
                <w:sz w:val="21"/>
              </w:rPr>
              <w:t>3.10</w:t>
            </w:r>
          </w:p>
        </w:tc>
      </w:tr>
      <w:tr w14:paraId="2468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4292795">
            <w:pPr>
              <w:spacing w:line="240" w:lineRule="auto"/>
              <w:ind w:firstLine="0"/>
              <w:jc w:val="center"/>
            </w:pPr>
            <w:r>
              <w:rPr>
                <w:rFonts w:ascii="Times New Roman" w:hAnsi="Times New Roman" w:eastAsia="宋体"/>
                <w:b w:val="0"/>
                <w:color w:val="000000"/>
                <w:sz w:val="21"/>
              </w:rPr>
              <w:t>2010301</w:t>
            </w:r>
          </w:p>
        </w:tc>
        <w:tc>
          <w:tcPr>
            <w:tcW w:w="4252" w:type="dxa"/>
            <w:vAlign w:val="center"/>
          </w:tcPr>
          <w:p w14:paraId="4C2314BC">
            <w:pPr>
              <w:spacing w:line="240" w:lineRule="auto"/>
              <w:ind w:firstLine="0"/>
              <w:jc w:val="center"/>
            </w:pPr>
            <w:r>
              <w:rPr>
                <w:rFonts w:ascii="Times New Roman" w:hAnsi="Times New Roman" w:eastAsia="宋体"/>
                <w:b w:val="0"/>
                <w:color w:val="000000"/>
                <w:sz w:val="21"/>
              </w:rPr>
              <w:t>行政运行</w:t>
            </w:r>
          </w:p>
        </w:tc>
        <w:tc>
          <w:tcPr>
            <w:tcW w:w="1701" w:type="dxa"/>
            <w:vAlign w:val="center"/>
          </w:tcPr>
          <w:p w14:paraId="7A9C0A1E">
            <w:pPr>
              <w:spacing w:line="240" w:lineRule="auto"/>
              <w:ind w:firstLine="0"/>
              <w:jc w:val="center"/>
            </w:pPr>
            <w:r>
              <w:rPr>
                <w:rFonts w:ascii="Times New Roman" w:hAnsi="Times New Roman" w:eastAsia="宋体"/>
                <w:b w:val="0"/>
                <w:color w:val="000000"/>
                <w:sz w:val="21"/>
              </w:rPr>
              <w:t>508.26</w:t>
            </w:r>
          </w:p>
        </w:tc>
      </w:tr>
      <w:tr w14:paraId="4312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FEA71C1">
            <w:pPr>
              <w:spacing w:line="240" w:lineRule="auto"/>
              <w:ind w:firstLine="0"/>
              <w:jc w:val="center"/>
            </w:pPr>
            <w:r>
              <w:rPr>
                <w:rFonts w:ascii="Times New Roman" w:hAnsi="Times New Roman" w:eastAsia="宋体"/>
                <w:b w:val="0"/>
                <w:color w:val="000000"/>
                <w:sz w:val="21"/>
              </w:rPr>
              <w:t>2079999</w:t>
            </w:r>
          </w:p>
        </w:tc>
        <w:tc>
          <w:tcPr>
            <w:tcW w:w="4252" w:type="dxa"/>
            <w:vAlign w:val="center"/>
          </w:tcPr>
          <w:p w14:paraId="45997388">
            <w:pPr>
              <w:spacing w:line="240" w:lineRule="auto"/>
              <w:ind w:firstLine="0"/>
              <w:jc w:val="left"/>
            </w:pPr>
            <w:r>
              <w:rPr>
                <w:rFonts w:ascii="Times New Roman" w:hAnsi="Times New Roman" w:eastAsia="宋体"/>
                <w:b w:val="0"/>
                <w:color w:val="000000"/>
                <w:sz w:val="21"/>
              </w:rPr>
              <w:t>其他文化旅游体育与传媒支出</w:t>
            </w:r>
          </w:p>
        </w:tc>
        <w:tc>
          <w:tcPr>
            <w:tcW w:w="1701" w:type="dxa"/>
            <w:vAlign w:val="center"/>
          </w:tcPr>
          <w:p w14:paraId="26C5D510">
            <w:pPr>
              <w:spacing w:line="240" w:lineRule="auto"/>
              <w:ind w:firstLine="0"/>
              <w:jc w:val="center"/>
            </w:pPr>
            <w:r>
              <w:rPr>
                <w:rFonts w:ascii="Times New Roman" w:hAnsi="Times New Roman" w:eastAsia="宋体"/>
                <w:b w:val="0"/>
                <w:color w:val="000000"/>
                <w:sz w:val="21"/>
              </w:rPr>
              <w:t>164.07</w:t>
            </w:r>
          </w:p>
        </w:tc>
      </w:tr>
      <w:tr w14:paraId="51F0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677E3F3">
            <w:pPr>
              <w:spacing w:line="240" w:lineRule="auto"/>
              <w:ind w:firstLine="0"/>
              <w:jc w:val="center"/>
            </w:pPr>
            <w:r>
              <w:rPr>
                <w:rFonts w:ascii="Times New Roman" w:hAnsi="Times New Roman" w:eastAsia="宋体"/>
                <w:b w:val="0"/>
                <w:color w:val="000000"/>
                <w:sz w:val="21"/>
              </w:rPr>
              <w:t>2080505</w:t>
            </w:r>
          </w:p>
        </w:tc>
        <w:tc>
          <w:tcPr>
            <w:tcW w:w="4252" w:type="dxa"/>
            <w:vAlign w:val="center"/>
          </w:tcPr>
          <w:p w14:paraId="7A006C3C">
            <w:pPr>
              <w:spacing w:line="240" w:lineRule="auto"/>
              <w:ind w:firstLine="0"/>
              <w:jc w:val="left"/>
            </w:pPr>
            <w:r>
              <w:rPr>
                <w:rFonts w:ascii="Times New Roman" w:hAnsi="Times New Roman" w:eastAsia="宋体"/>
                <w:b w:val="0"/>
                <w:color w:val="000000"/>
                <w:sz w:val="21"/>
              </w:rPr>
              <w:t>机关事业单位基本养老保险缴费支出</w:t>
            </w:r>
          </w:p>
        </w:tc>
        <w:tc>
          <w:tcPr>
            <w:tcW w:w="1701" w:type="dxa"/>
            <w:vAlign w:val="center"/>
          </w:tcPr>
          <w:p w14:paraId="503DBC80">
            <w:pPr>
              <w:spacing w:line="240" w:lineRule="auto"/>
              <w:ind w:firstLine="0"/>
              <w:jc w:val="center"/>
            </w:pPr>
            <w:r>
              <w:rPr>
                <w:rFonts w:ascii="Times New Roman" w:hAnsi="Times New Roman" w:eastAsia="宋体"/>
                <w:b w:val="0"/>
                <w:color w:val="000000"/>
                <w:sz w:val="21"/>
              </w:rPr>
              <w:t>53.45</w:t>
            </w:r>
          </w:p>
        </w:tc>
      </w:tr>
      <w:tr w14:paraId="3C04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D3EFA5A">
            <w:pPr>
              <w:spacing w:line="240" w:lineRule="auto"/>
              <w:ind w:firstLine="0"/>
              <w:jc w:val="center"/>
            </w:pPr>
            <w:r>
              <w:rPr>
                <w:rFonts w:ascii="Times New Roman" w:hAnsi="Times New Roman" w:eastAsia="宋体"/>
                <w:b w:val="0"/>
                <w:color w:val="000000"/>
                <w:sz w:val="21"/>
              </w:rPr>
              <w:t>2080506</w:t>
            </w:r>
          </w:p>
        </w:tc>
        <w:tc>
          <w:tcPr>
            <w:tcW w:w="4252" w:type="dxa"/>
            <w:vAlign w:val="center"/>
          </w:tcPr>
          <w:p w14:paraId="1878D448">
            <w:pPr>
              <w:spacing w:line="240" w:lineRule="auto"/>
              <w:ind w:firstLine="0"/>
              <w:jc w:val="left"/>
            </w:pPr>
            <w:r>
              <w:rPr>
                <w:rFonts w:ascii="Times New Roman" w:hAnsi="Times New Roman" w:eastAsia="宋体"/>
                <w:b w:val="0"/>
                <w:color w:val="000000"/>
                <w:sz w:val="21"/>
              </w:rPr>
              <w:t>机关事业单位职业年金缴费支出</w:t>
            </w:r>
          </w:p>
        </w:tc>
        <w:tc>
          <w:tcPr>
            <w:tcW w:w="1701" w:type="dxa"/>
            <w:vAlign w:val="center"/>
          </w:tcPr>
          <w:p w14:paraId="7A8AC168">
            <w:pPr>
              <w:spacing w:line="240" w:lineRule="auto"/>
              <w:ind w:firstLine="0"/>
              <w:jc w:val="center"/>
            </w:pPr>
            <w:r>
              <w:rPr>
                <w:rFonts w:ascii="Times New Roman" w:hAnsi="Times New Roman" w:eastAsia="宋体"/>
                <w:b w:val="0"/>
                <w:color w:val="000000"/>
                <w:sz w:val="21"/>
              </w:rPr>
              <w:t>32.03</w:t>
            </w:r>
          </w:p>
        </w:tc>
      </w:tr>
      <w:tr w14:paraId="0088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F626BB8">
            <w:pPr>
              <w:spacing w:line="240" w:lineRule="auto"/>
              <w:ind w:firstLine="0"/>
              <w:jc w:val="center"/>
            </w:pPr>
            <w:r>
              <w:rPr>
                <w:rFonts w:ascii="Times New Roman" w:hAnsi="Times New Roman" w:eastAsia="宋体"/>
                <w:b w:val="0"/>
                <w:color w:val="000000"/>
                <w:sz w:val="21"/>
              </w:rPr>
              <w:t>2101101</w:t>
            </w:r>
          </w:p>
        </w:tc>
        <w:tc>
          <w:tcPr>
            <w:tcW w:w="4252" w:type="dxa"/>
            <w:vAlign w:val="center"/>
          </w:tcPr>
          <w:p w14:paraId="332719A3">
            <w:pPr>
              <w:spacing w:line="240" w:lineRule="auto"/>
              <w:ind w:firstLine="0"/>
              <w:jc w:val="center"/>
            </w:pPr>
            <w:r>
              <w:rPr>
                <w:rFonts w:ascii="Times New Roman" w:hAnsi="Times New Roman" w:eastAsia="宋体"/>
                <w:b w:val="0"/>
                <w:color w:val="000000"/>
                <w:sz w:val="21"/>
              </w:rPr>
              <w:t>行政单位医疗</w:t>
            </w:r>
          </w:p>
        </w:tc>
        <w:tc>
          <w:tcPr>
            <w:tcW w:w="1701" w:type="dxa"/>
            <w:vAlign w:val="center"/>
          </w:tcPr>
          <w:p w14:paraId="026C9497">
            <w:pPr>
              <w:spacing w:line="240" w:lineRule="auto"/>
              <w:ind w:firstLine="0"/>
              <w:jc w:val="center"/>
            </w:pPr>
            <w:r>
              <w:rPr>
                <w:rFonts w:ascii="Times New Roman" w:hAnsi="Times New Roman" w:eastAsia="宋体"/>
                <w:b w:val="0"/>
                <w:color w:val="000000"/>
                <w:sz w:val="21"/>
              </w:rPr>
              <w:t>24.88</w:t>
            </w:r>
          </w:p>
        </w:tc>
      </w:tr>
      <w:tr w14:paraId="6F03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9C99146">
            <w:pPr>
              <w:spacing w:line="240" w:lineRule="auto"/>
              <w:ind w:firstLine="0"/>
              <w:jc w:val="center"/>
            </w:pPr>
            <w:r>
              <w:rPr>
                <w:rFonts w:ascii="Times New Roman" w:hAnsi="Times New Roman" w:eastAsia="宋体"/>
                <w:b w:val="0"/>
                <w:color w:val="000000"/>
                <w:sz w:val="21"/>
              </w:rPr>
              <w:t>2101103</w:t>
            </w:r>
          </w:p>
        </w:tc>
        <w:tc>
          <w:tcPr>
            <w:tcW w:w="4252" w:type="dxa"/>
            <w:vAlign w:val="center"/>
          </w:tcPr>
          <w:p w14:paraId="1F1E6DA1">
            <w:pPr>
              <w:spacing w:line="240" w:lineRule="auto"/>
              <w:ind w:firstLine="0"/>
              <w:jc w:val="center"/>
            </w:pPr>
            <w:r>
              <w:rPr>
                <w:rFonts w:ascii="Times New Roman" w:hAnsi="Times New Roman" w:eastAsia="宋体"/>
                <w:b w:val="0"/>
                <w:color w:val="000000"/>
                <w:sz w:val="21"/>
              </w:rPr>
              <w:t>公务员医疗补助</w:t>
            </w:r>
          </w:p>
        </w:tc>
        <w:tc>
          <w:tcPr>
            <w:tcW w:w="1701" w:type="dxa"/>
            <w:vAlign w:val="center"/>
          </w:tcPr>
          <w:p w14:paraId="5DA9B6C0">
            <w:pPr>
              <w:spacing w:line="240" w:lineRule="auto"/>
              <w:ind w:firstLine="0"/>
              <w:jc w:val="center"/>
            </w:pPr>
            <w:r>
              <w:rPr>
                <w:rFonts w:ascii="Times New Roman" w:hAnsi="Times New Roman" w:eastAsia="宋体"/>
                <w:b w:val="0"/>
                <w:color w:val="000000"/>
                <w:sz w:val="21"/>
              </w:rPr>
              <w:t>4.79</w:t>
            </w:r>
          </w:p>
        </w:tc>
      </w:tr>
      <w:tr w14:paraId="66DE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5FFC415">
            <w:pPr>
              <w:spacing w:line="240" w:lineRule="auto"/>
              <w:ind w:firstLine="0"/>
              <w:jc w:val="center"/>
            </w:pPr>
            <w:r>
              <w:rPr>
                <w:rFonts w:ascii="Times New Roman" w:hAnsi="Times New Roman" w:eastAsia="宋体"/>
                <w:b w:val="0"/>
                <w:color w:val="000000"/>
                <w:sz w:val="21"/>
              </w:rPr>
              <w:t>2110399</w:t>
            </w:r>
          </w:p>
        </w:tc>
        <w:tc>
          <w:tcPr>
            <w:tcW w:w="4252" w:type="dxa"/>
            <w:vAlign w:val="center"/>
          </w:tcPr>
          <w:p w14:paraId="726702BC">
            <w:pPr>
              <w:spacing w:line="240" w:lineRule="auto"/>
              <w:ind w:firstLine="0"/>
              <w:jc w:val="center"/>
            </w:pPr>
            <w:r>
              <w:rPr>
                <w:rFonts w:ascii="Times New Roman" w:hAnsi="Times New Roman" w:eastAsia="宋体"/>
                <w:b w:val="0"/>
                <w:color w:val="000000"/>
                <w:sz w:val="21"/>
              </w:rPr>
              <w:t>其他污染防治支出</w:t>
            </w:r>
          </w:p>
        </w:tc>
        <w:tc>
          <w:tcPr>
            <w:tcW w:w="1701" w:type="dxa"/>
            <w:vAlign w:val="center"/>
          </w:tcPr>
          <w:p w14:paraId="6C72D465">
            <w:pPr>
              <w:spacing w:line="240" w:lineRule="auto"/>
              <w:ind w:firstLine="0"/>
              <w:jc w:val="center"/>
            </w:pPr>
            <w:r>
              <w:rPr>
                <w:rFonts w:ascii="Times New Roman" w:hAnsi="Times New Roman" w:eastAsia="宋体"/>
                <w:b w:val="0"/>
                <w:color w:val="000000"/>
                <w:sz w:val="21"/>
              </w:rPr>
              <w:t>37.66</w:t>
            </w:r>
          </w:p>
        </w:tc>
      </w:tr>
      <w:tr w14:paraId="25A4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54DB1DE">
            <w:pPr>
              <w:spacing w:line="240" w:lineRule="auto"/>
              <w:ind w:firstLine="0"/>
              <w:jc w:val="center"/>
            </w:pPr>
            <w:r>
              <w:rPr>
                <w:rFonts w:ascii="Times New Roman" w:hAnsi="Times New Roman" w:eastAsia="宋体"/>
                <w:b w:val="0"/>
                <w:color w:val="000000"/>
                <w:sz w:val="21"/>
              </w:rPr>
              <w:t>2120501</w:t>
            </w:r>
          </w:p>
        </w:tc>
        <w:tc>
          <w:tcPr>
            <w:tcW w:w="4252" w:type="dxa"/>
            <w:vAlign w:val="center"/>
          </w:tcPr>
          <w:p w14:paraId="7026A278">
            <w:pPr>
              <w:spacing w:line="240" w:lineRule="auto"/>
              <w:ind w:firstLine="0"/>
              <w:jc w:val="center"/>
            </w:pPr>
            <w:r>
              <w:rPr>
                <w:rFonts w:ascii="Times New Roman" w:hAnsi="Times New Roman" w:eastAsia="宋体"/>
                <w:b w:val="0"/>
                <w:color w:val="000000"/>
                <w:sz w:val="21"/>
              </w:rPr>
              <w:t>城乡社区环境卫生</w:t>
            </w:r>
          </w:p>
        </w:tc>
        <w:tc>
          <w:tcPr>
            <w:tcW w:w="1701" w:type="dxa"/>
            <w:vAlign w:val="center"/>
          </w:tcPr>
          <w:p w14:paraId="4F2340F6">
            <w:pPr>
              <w:spacing w:line="240" w:lineRule="auto"/>
              <w:ind w:firstLine="0"/>
              <w:jc w:val="center"/>
            </w:pPr>
            <w:r>
              <w:rPr>
                <w:rFonts w:ascii="Times New Roman" w:hAnsi="Times New Roman" w:eastAsia="宋体"/>
                <w:b w:val="0"/>
                <w:color w:val="000000"/>
                <w:sz w:val="21"/>
              </w:rPr>
              <w:t>21.32</w:t>
            </w:r>
          </w:p>
        </w:tc>
      </w:tr>
      <w:tr w14:paraId="1FB4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DA7A703">
            <w:pPr>
              <w:spacing w:line="240" w:lineRule="auto"/>
              <w:ind w:firstLine="0"/>
              <w:jc w:val="center"/>
            </w:pPr>
            <w:r>
              <w:rPr>
                <w:rFonts w:ascii="Times New Roman" w:hAnsi="Times New Roman" w:eastAsia="宋体"/>
                <w:b w:val="0"/>
                <w:color w:val="000000"/>
                <w:sz w:val="21"/>
              </w:rPr>
              <w:t>2130199</w:t>
            </w:r>
          </w:p>
        </w:tc>
        <w:tc>
          <w:tcPr>
            <w:tcW w:w="4252" w:type="dxa"/>
            <w:vAlign w:val="center"/>
          </w:tcPr>
          <w:p w14:paraId="2C678A6B">
            <w:pPr>
              <w:spacing w:line="240" w:lineRule="auto"/>
              <w:ind w:firstLine="0"/>
              <w:jc w:val="center"/>
            </w:pPr>
            <w:r>
              <w:rPr>
                <w:rFonts w:ascii="Times New Roman" w:hAnsi="Times New Roman" w:eastAsia="宋体"/>
                <w:b w:val="0"/>
                <w:color w:val="000000"/>
                <w:sz w:val="21"/>
              </w:rPr>
              <w:t>其他农业农村支出</w:t>
            </w:r>
          </w:p>
        </w:tc>
        <w:tc>
          <w:tcPr>
            <w:tcW w:w="1701" w:type="dxa"/>
            <w:vAlign w:val="center"/>
          </w:tcPr>
          <w:p w14:paraId="5538DF3F">
            <w:pPr>
              <w:spacing w:line="240" w:lineRule="auto"/>
              <w:ind w:firstLine="0"/>
              <w:jc w:val="center"/>
            </w:pPr>
            <w:r>
              <w:rPr>
                <w:rFonts w:ascii="Times New Roman" w:hAnsi="Times New Roman" w:eastAsia="宋体"/>
                <w:b w:val="0"/>
                <w:color w:val="000000"/>
                <w:sz w:val="21"/>
              </w:rPr>
              <w:t>166.89</w:t>
            </w:r>
          </w:p>
        </w:tc>
      </w:tr>
      <w:tr w14:paraId="44DD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C117AE4">
            <w:pPr>
              <w:spacing w:line="240" w:lineRule="auto"/>
              <w:ind w:firstLine="0"/>
              <w:jc w:val="center"/>
            </w:pPr>
            <w:r>
              <w:rPr>
                <w:rFonts w:ascii="Times New Roman" w:hAnsi="Times New Roman" w:eastAsia="宋体"/>
                <w:b w:val="0"/>
                <w:color w:val="000000"/>
                <w:sz w:val="21"/>
              </w:rPr>
              <w:t>2130504</w:t>
            </w:r>
          </w:p>
        </w:tc>
        <w:tc>
          <w:tcPr>
            <w:tcW w:w="4252" w:type="dxa"/>
            <w:vAlign w:val="center"/>
          </w:tcPr>
          <w:p w14:paraId="79F1CD05">
            <w:pPr>
              <w:spacing w:line="240" w:lineRule="auto"/>
              <w:ind w:firstLine="0"/>
              <w:jc w:val="center"/>
            </w:pPr>
            <w:r>
              <w:rPr>
                <w:rFonts w:ascii="Times New Roman" w:hAnsi="Times New Roman" w:eastAsia="宋体"/>
                <w:b w:val="0"/>
                <w:color w:val="000000"/>
                <w:sz w:val="21"/>
              </w:rPr>
              <w:t>农村基础设施建设</w:t>
            </w:r>
          </w:p>
        </w:tc>
        <w:tc>
          <w:tcPr>
            <w:tcW w:w="1701" w:type="dxa"/>
            <w:vAlign w:val="center"/>
          </w:tcPr>
          <w:p w14:paraId="74DA9F95">
            <w:pPr>
              <w:spacing w:line="240" w:lineRule="auto"/>
              <w:ind w:firstLine="0"/>
              <w:jc w:val="center"/>
            </w:pPr>
            <w:r>
              <w:rPr>
                <w:rFonts w:ascii="Times New Roman" w:hAnsi="Times New Roman" w:eastAsia="宋体"/>
                <w:b w:val="0"/>
                <w:color w:val="000000"/>
                <w:sz w:val="21"/>
              </w:rPr>
              <w:t>173.93</w:t>
            </w:r>
          </w:p>
        </w:tc>
      </w:tr>
      <w:tr w14:paraId="4F3F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CF987AA">
            <w:pPr>
              <w:spacing w:line="240" w:lineRule="auto"/>
              <w:ind w:firstLine="0"/>
              <w:jc w:val="center"/>
            </w:pPr>
            <w:r>
              <w:rPr>
                <w:rFonts w:ascii="Times New Roman" w:hAnsi="Times New Roman" w:eastAsia="宋体"/>
                <w:b w:val="0"/>
                <w:color w:val="000000"/>
                <w:sz w:val="21"/>
              </w:rPr>
              <w:t>2130505</w:t>
            </w:r>
          </w:p>
        </w:tc>
        <w:tc>
          <w:tcPr>
            <w:tcW w:w="4252" w:type="dxa"/>
            <w:vAlign w:val="center"/>
          </w:tcPr>
          <w:p w14:paraId="6F3198ED">
            <w:pPr>
              <w:spacing w:line="240" w:lineRule="auto"/>
              <w:ind w:firstLine="0"/>
              <w:jc w:val="center"/>
            </w:pPr>
            <w:r>
              <w:rPr>
                <w:rFonts w:ascii="Times New Roman" w:hAnsi="Times New Roman" w:eastAsia="宋体"/>
                <w:b w:val="0"/>
                <w:color w:val="000000"/>
                <w:sz w:val="21"/>
              </w:rPr>
              <w:t>生产发展</w:t>
            </w:r>
          </w:p>
        </w:tc>
        <w:tc>
          <w:tcPr>
            <w:tcW w:w="1701" w:type="dxa"/>
            <w:vAlign w:val="center"/>
          </w:tcPr>
          <w:p w14:paraId="45BD5004">
            <w:pPr>
              <w:spacing w:line="240" w:lineRule="auto"/>
              <w:ind w:firstLine="0"/>
              <w:jc w:val="center"/>
            </w:pPr>
            <w:r>
              <w:rPr>
                <w:rFonts w:ascii="Times New Roman" w:hAnsi="Times New Roman" w:eastAsia="宋体"/>
                <w:b w:val="0"/>
                <w:color w:val="000000"/>
                <w:sz w:val="21"/>
              </w:rPr>
              <w:t>115.90</w:t>
            </w:r>
          </w:p>
        </w:tc>
      </w:tr>
      <w:tr w14:paraId="6AF7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32C81AE">
            <w:pPr>
              <w:spacing w:line="240" w:lineRule="auto"/>
              <w:ind w:firstLine="0"/>
              <w:jc w:val="center"/>
            </w:pPr>
            <w:r>
              <w:rPr>
                <w:rFonts w:ascii="Times New Roman" w:hAnsi="Times New Roman" w:eastAsia="宋体"/>
                <w:b w:val="0"/>
                <w:color w:val="000000"/>
                <w:sz w:val="21"/>
              </w:rPr>
              <w:t>2130705</w:t>
            </w:r>
          </w:p>
        </w:tc>
        <w:tc>
          <w:tcPr>
            <w:tcW w:w="4252" w:type="dxa"/>
            <w:vAlign w:val="center"/>
          </w:tcPr>
          <w:p w14:paraId="0FFBDFE5">
            <w:pPr>
              <w:spacing w:line="240" w:lineRule="auto"/>
              <w:ind w:firstLine="0"/>
              <w:jc w:val="left"/>
            </w:pPr>
            <w:r>
              <w:rPr>
                <w:rFonts w:ascii="Times New Roman" w:hAnsi="Times New Roman" w:eastAsia="宋体"/>
                <w:b w:val="0"/>
                <w:color w:val="000000"/>
                <w:sz w:val="21"/>
              </w:rPr>
              <w:t>对村民委员会和村党支部的补助</w:t>
            </w:r>
          </w:p>
        </w:tc>
        <w:tc>
          <w:tcPr>
            <w:tcW w:w="1701" w:type="dxa"/>
            <w:vAlign w:val="center"/>
          </w:tcPr>
          <w:p w14:paraId="04772FF9">
            <w:pPr>
              <w:spacing w:line="240" w:lineRule="auto"/>
              <w:ind w:firstLine="0"/>
              <w:jc w:val="center"/>
            </w:pPr>
            <w:r>
              <w:rPr>
                <w:rFonts w:ascii="Times New Roman" w:hAnsi="Times New Roman" w:eastAsia="宋体"/>
                <w:b w:val="0"/>
                <w:color w:val="000000"/>
                <w:sz w:val="21"/>
              </w:rPr>
              <w:t>173.11</w:t>
            </w:r>
          </w:p>
        </w:tc>
      </w:tr>
      <w:tr w14:paraId="05A6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E9ECDA5">
            <w:pPr>
              <w:spacing w:line="240" w:lineRule="auto"/>
              <w:ind w:firstLine="0"/>
              <w:jc w:val="center"/>
            </w:pPr>
            <w:r>
              <w:rPr>
                <w:rFonts w:ascii="Times New Roman" w:hAnsi="Times New Roman" w:eastAsia="宋体"/>
                <w:b w:val="0"/>
                <w:color w:val="000000"/>
                <w:sz w:val="21"/>
              </w:rPr>
              <w:t>2210201</w:t>
            </w:r>
          </w:p>
        </w:tc>
        <w:tc>
          <w:tcPr>
            <w:tcW w:w="4252" w:type="dxa"/>
            <w:vAlign w:val="center"/>
          </w:tcPr>
          <w:p w14:paraId="0A12AA6A">
            <w:pPr>
              <w:spacing w:line="240" w:lineRule="auto"/>
              <w:ind w:firstLine="0"/>
              <w:jc w:val="center"/>
            </w:pPr>
            <w:r>
              <w:rPr>
                <w:rFonts w:ascii="Times New Roman" w:hAnsi="Times New Roman" w:eastAsia="宋体"/>
                <w:b w:val="0"/>
                <w:color w:val="000000"/>
                <w:sz w:val="21"/>
              </w:rPr>
              <w:t>住房公积金</w:t>
            </w:r>
          </w:p>
        </w:tc>
        <w:tc>
          <w:tcPr>
            <w:tcW w:w="1701" w:type="dxa"/>
            <w:vAlign w:val="center"/>
          </w:tcPr>
          <w:p w14:paraId="4E1BCB48">
            <w:pPr>
              <w:spacing w:line="240" w:lineRule="auto"/>
              <w:ind w:firstLine="0"/>
              <w:jc w:val="center"/>
            </w:pPr>
            <w:r>
              <w:rPr>
                <w:rFonts w:ascii="Times New Roman" w:hAnsi="Times New Roman" w:eastAsia="宋体"/>
                <w:b w:val="0"/>
                <w:color w:val="000000"/>
                <w:sz w:val="21"/>
              </w:rPr>
              <w:t>47.16</w:t>
            </w:r>
          </w:p>
        </w:tc>
      </w:tr>
    </w:tbl>
    <w:p w14:paraId="098A884A">
      <w:pPr>
        <w:pStyle w:val="5"/>
        <w:ind w:firstLine="0"/>
        <w:jc w:val="left"/>
      </w:pPr>
      <w:r>
        <w:rPr>
          <w:rFonts w:ascii="Times New Roman" w:hAnsi="Times New Roman" w:eastAsia="黑体"/>
          <w:b/>
          <w:color w:val="000000"/>
          <w:sz w:val="24"/>
        </w:rPr>
        <w:t>八、一般公共预算财政拨款基本支出决算表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788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30E04107">
            <w:pPr>
              <w:spacing w:line="240" w:lineRule="auto"/>
              <w:ind w:firstLine="0"/>
              <w:jc w:val="center"/>
            </w:pPr>
            <w:r>
              <w:rPr>
                <w:rFonts w:ascii="Times New Roman" w:hAnsi="Times New Roman" w:eastAsia="宋体"/>
                <w:b/>
                <w:color w:val="000000"/>
                <w:sz w:val="21"/>
              </w:rPr>
              <w:t>经济分类</w:t>
            </w:r>
          </w:p>
        </w:tc>
        <w:tc>
          <w:tcPr>
            <w:tcW w:w="2835" w:type="dxa"/>
            <w:shd w:val="clear" w:color="auto" w:fill="D9D9D9"/>
            <w:vAlign w:val="center"/>
          </w:tcPr>
          <w:p w14:paraId="54236CCF">
            <w:pPr>
              <w:spacing w:line="240" w:lineRule="auto"/>
              <w:ind w:firstLine="0"/>
              <w:jc w:val="center"/>
            </w:pPr>
            <w:r>
              <w:rPr>
                <w:rFonts w:ascii="Times New Roman" w:hAnsi="Times New Roman" w:eastAsia="宋体"/>
                <w:b/>
                <w:color w:val="000000"/>
                <w:sz w:val="21"/>
              </w:rPr>
              <w:t>决算数</w:t>
            </w:r>
          </w:p>
        </w:tc>
      </w:tr>
      <w:tr w14:paraId="3C76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9117B33">
            <w:pPr>
              <w:spacing w:line="240" w:lineRule="auto"/>
              <w:ind w:firstLine="0"/>
              <w:jc w:val="center"/>
            </w:pPr>
            <w:r>
              <w:rPr>
                <w:rFonts w:ascii="Times New Roman" w:hAnsi="Times New Roman" w:eastAsia="宋体"/>
                <w:b w:val="0"/>
                <w:color w:val="000000"/>
                <w:sz w:val="21"/>
              </w:rPr>
              <w:t>人员经费合计</w:t>
            </w:r>
          </w:p>
        </w:tc>
        <w:tc>
          <w:tcPr>
            <w:tcW w:w="2835" w:type="dxa"/>
            <w:vAlign w:val="center"/>
          </w:tcPr>
          <w:p w14:paraId="1590DAD7">
            <w:pPr>
              <w:spacing w:line="240" w:lineRule="auto"/>
              <w:ind w:firstLine="0"/>
              <w:jc w:val="center"/>
            </w:pPr>
            <w:r>
              <w:rPr>
                <w:rFonts w:ascii="Times New Roman" w:hAnsi="Times New Roman" w:eastAsia="宋体"/>
                <w:b w:val="0"/>
                <w:color w:val="000000"/>
                <w:sz w:val="21"/>
              </w:rPr>
              <w:t>611.15</w:t>
            </w:r>
          </w:p>
        </w:tc>
      </w:tr>
      <w:tr w14:paraId="7129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2BFE7BB">
            <w:pPr>
              <w:spacing w:line="240" w:lineRule="auto"/>
              <w:ind w:firstLine="0"/>
              <w:jc w:val="center"/>
            </w:pPr>
            <w:r>
              <w:rPr>
                <w:rFonts w:ascii="Times New Roman" w:hAnsi="Times New Roman" w:eastAsia="宋体"/>
                <w:b w:val="0"/>
                <w:color w:val="000000"/>
                <w:sz w:val="21"/>
              </w:rPr>
              <w:t>公用经费合计</w:t>
            </w:r>
          </w:p>
        </w:tc>
        <w:tc>
          <w:tcPr>
            <w:tcW w:w="2835" w:type="dxa"/>
            <w:vAlign w:val="center"/>
          </w:tcPr>
          <w:p w14:paraId="5E669B23">
            <w:pPr>
              <w:spacing w:line="240" w:lineRule="auto"/>
              <w:ind w:firstLine="0"/>
              <w:jc w:val="center"/>
            </w:pPr>
            <w:r>
              <w:rPr>
                <w:rFonts w:ascii="Times New Roman" w:hAnsi="Times New Roman" w:eastAsia="宋体"/>
                <w:b w:val="0"/>
                <w:color w:val="000000"/>
                <w:sz w:val="21"/>
              </w:rPr>
              <w:t>149.31</w:t>
            </w:r>
          </w:p>
        </w:tc>
      </w:tr>
      <w:tr w14:paraId="7C9F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7BF2A74">
            <w:pPr>
              <w:spacing w:line="240" w:lineRule="auto"/>
              <w:ind w:firstLine="0"/>
              <w:jc w:val="center"/>
            </w:pPr>
            <w:r>
              <w:rPr>
                <w:rFonts w:ascii="Times New Roman" w:hAnsi="Times New Roman" w:eastAsia="宋体"/>
                <w:b w:val="0"/>
                <w:color w:val="000000"/>
                <w:sz w:val="21"/>
              </w:rPr>
              <w:t>基本支出合计</w:t>
            </w:r>
          </w:p>
        </w:tc>
        <w:tc>
          <w:tcPr>
            <w:tcW w:w="2835" w:type="dxa"/>
            <w:vAlign w:val="center"/>
          </w:tcPr>
          <w:p w14:paraId="7D80B069">
            <w:pPr>
              <w:spacing w:line="240" w:lineRule="auto"/>
              <w:ind w:firstLine="0"/>
              <w:jc w:val="center"/>
            </w:pPr>
            <w:r>
              <w:rPr>
                <w:rFonts w:ascii="Times New Roman" w:hAnsi="Times New Roman" w:eastAsia="宋体"/>
                <w:b w:val="0"/>
                <w:color w:val="000000"/>
                <w:sz w:val="21"/>
              </w:rPr>
              <w:t>760.47</w:t>
            </w:r>
          </w:p>
        </w:tc>
      </w:tr>
    </w:tbl>
    <w:p w14:paraId="4B991AEA">
      <w:pPr>
        <w:pStyle w:val="5"/>
        <w:ind w:firstLine="0"/>
        <w:jc w:val="left"/>
      </w:pPr>
      <w:r>
        <w:rPr>
          <w:rFonts w:ascii="Times New Roman" w:hAnsi="Times New Roman" w:eastAsia="黑体"/>
          <w:b/>
          <w:color w:val="000000"/>
          <w:sz w:val="24"/>
        </w:rPr>
        <w:t>九、一般公共预算财政拨款项目支出决算表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F20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55254011">
            <w:pPr>
              <w:spacing w:line="240" w:lineRule="auto"/>
              <w:ind w:firstLine="0"/>
              <w:jc w:val="center"/>
            </w:pPr>
            <w:r>
              <w:rPr>
                <w:rFonts w:ascii="Times New Roman" w:hAnsi="Times New Roman" w:eastAsia="宋体"/>
                <w:b/>
                <w:color w:val="000000"/>
                <w:sz w:val="21"/>
              </w:rPr>
              <w:t>项目（功能科目）</w:t>
            </w:r>
          </w:p>
        </w:tc>
        <w:tc>
          <w:tcPr>
            <w:tcW w:w="2835" w:type="dxa"/>
            <w:shd w:val="clear" w:color="auto" w:fill="D9D9D9"/>
            <w:vAlign w:val="center"/>
          </w:tcPr>
          <w:p w14:paraId="0CCE9156">
            <w:pPr>
              <w:spacing w:line="240" w:lineRule="auto"/>
              <w:ind w:firstLine="0"/>
              <w:jc w:val="center"/>
            </w:pPr>
            <w:r>
              <w:rPr>
                <w:rFonts w:ascii="Times New Roman" w:hAnsi="Times New Roman" w:eastAsia="宋体"/>
                <w:b/>
                <w:color w:val="000000"/>
                <w:sz w:val="21"/>
              </w:rPr>
              <w:t>决算数</w:t>
            </w:r>
          </w:p>
        </w:tc>
      </w:tr>
      <w:tr w14:paraId="5DC7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873EB2E">
            <w:pPr>
              <w:spacing w:line="240" w:lineRule="auto"/>
              <w:ind w:firstLine="0"/>
              <w:jc w:val="center"/>
            </w:pPr>
            <w:r>
              <w:rPr>
                <w:rFonts w:ascii="Times New Roman" w:hAnsi="Times New Roman" w:eastAsia="宋体"/>
                <w:b w:val="0"/>
                <w:color w:val="000000"/>
                <w:sz w:val="21"/>
              </w:rPr>
              <w:t>其他文化旅游体育与传媒支出</w:t>
            </w:r>
          </w:p>
        </w:tc>
        <w:tc>
          <w:tcPr>
            <w:tcW w:w="2835" w:type="dxa"/>
            <w:vAlign w:val="center"/>
          </w:tcPr>
          <w:p w14:paraId="25D9CE89">
            <w:pPr>
              <w:spacing w:line="240" w:lineRule="auto"/>
              <w:ind w:firstLine="0"/>
              <w:jc w:val="center"/>
            </w:pPr>
            <w:r>
              <w:rPr>
                <w:rFonts w:ascii="Times New Roman" w:hAnsi="Times New Roman" w:eastAsia="宋体"/>
                <w:b w:val="0"/>
                <w:color w:val="000000"/>
                <w:sz w:val="21"/>
              </w:rPr>
              <w:t>164.07</w:t>
            </w:r>
          </w:p>
        </w:tc>
      </w:tr>
      <w:tr w14:paraId="4A72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924F6EB">
            <w:pPr>
              <w:spacing w:line="240" w:lineRule="auto"/>
              <w:ind w:firstLine="0"/>
              <w:jc w:val="center"/>
            </w:pPr>
            <w:r>
              <w:rPr>
                <w:rFonts w:ascii="Times New Roman" w:hAnsi="Times New Roman" w:eastAsia="宋体"/>
                <w:b w:val="0"/>
                <w:color w:val="000000"/>
                <w:sz w:val="21"/>
              </w:rPr>
              <w:t>其他污染防治支出</w:t>
            </w:r>
          </w:p>
        </w:tc>
        <w:tc>
          <w:tcPr>
            <w:tcW w:w="2835" w:type="dxa"/>
            <w:vAlign w:val="center"/>
          </w:tcPr>
          <w:p w14:paraId="14EB5E54">
            <w:pPr>
              <w:spacing w:line="240" w:lineRule="auto"/>
              <w:ind w:firstLine="0"/>
              <w:jc w:val="center"/>
            </w:pPr>
            <w:r>
              <w:rPr>
                <w:rFonts w:ascii="Times New Roman" w:hAnsi="Times New Roman" w:eastAsia="宋体"/>
                <w:b w:val="0"/>
                <w:color w:val="000000"/>
                <w:sz w:val="21"/>
              </w:rPr>
              <w:t>37.66</w:t>
            </w:r>
          </w:p>
        </w:tc>
      </w:tr>
      <w:tr w14:paraId="2F24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4C5FF31">
            <w:pPr>
              <w:spacing w:line="240" w:lineRule="auto"/>
              <w:ind w:firstLine="0"/>
              <w:jc w:val="center"/>
            </w:pPr>
            <w:r>
              <w:rPr>
                <w:rFonts w:ascii="Times New Roman" w:hAnsi="Times New Roman" w:eastAsia="宋体"/>
                <w:b w:val="0"/>
                <w:color w:val="000000"/>
                <w:sz w:val="21"/>
              </w:rPr>
              <w:t>城乡社区环境卫生</w:t>
            </w:r>
          </w:p>
        </w:tc>
        <w:tc>
          <w:tcPr>
            <w:tcW w:w="2835" w:type="dxa"/>
            <w:vAlign w:val="center"/>
          </w:tcPr>
          <w:p w14:paraId="76CDA7BF">
            <w:pPr>
              <w:spacing w:line="240" w:lineRule="auto"/>
              <w:ind w:firstLine="0"/>
              <w:jc w:val="center"/>
            </w:pPr>
            <w:r>
              <w:rPr>
                <w:rFonts w:ascii="Times New Roman" w:hAnsi="Times New Roman" w:eastAsia="宋体"/>
                <w:b w:val="0"/>
                <w:color w:val="000000"/>
                <w:sz w:val="21"/>
              </w:rPr>
              <w:t>21.32</w:t>
            </w:r>
          </w:p>
        </w:tc>
      </w:tr>
      <w:tr w14:paraId="38E4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F4BF134">
            <w:pPr>
              <w:spacing w:line="240" w:lineRule="auto"/>
              <w:ind w:firstLine="0"/>
              <w:jc w:val="center"/>
            </w:pPr>
            <w:r>
              <w:rPr>
                <w:rFonts w:ascii="Times New Roman" w:hAnsi="Times New Roman" w:eastAsia="宋体"/>
                <w:b w:val="0"/>
                <w:color w:val="000000"/>
                <w:sz w:val="21"/>
              </w:rPr>
              <w:t>其他农业农村支出</w:t>
            </w:r>
          </w:p>
        </w:tc>
        <w:tc>
          <w:tcPr>
            <w:tcW w:w="2835" w:type="dxa"/>
            <w:vAlign w:val="center"/>
          </w:tcPr>
          <w:p w14:paraId="10A03EA9">
            <w:pPr>
              <w:spacing w:line="240" w:lineRule="auto"/>
              <w:ind w:firstLine="0"/>
              <w:jc w:val="center"/>
            </w:pPr>
            <w:r>
              <w:rPr>
                <w:rFonts w:ascii="Times New Roman" w:hAnsi="Times New Roman" w:eastAsia="宋体"/>
                <w:b w:val="0"/>
                <w:color w:val="000000"/>
                <w:sz w:val="21"/>
              </w:rPr>
              <w:t>166.89</w:t>
            </w:r>
          </w:p>
        </w:tc>
      </w:tr>
      <w:tr w14:paraId="00AF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3AE3C1A">
            <w:pPr>
              <w:spacing w:line="240" w:lineRule="auto"/>
              <w:ind w:firstLine="0"/>
              <w:jc w:val="center"/>
            </w:pPr>
            <w:r>
              <w:rPr>
                <w:rFonts w:ascii="Times New Roman" w:hAnsi="Times New Roman" w:eastAsia="宋体"/>
                <w:b w:val="0"/>
                <w:color w:val="000000"/>
                <w:sz w:val="21"/>
              </w:rPr>
              <w:t>农村基础设施建设</w:t>
            </w:r>
          </w:p>
        </w:tc>
        <w:tc>
          <w:tcPr>
            <w:tcW w:w="2835" w:type="dxa"/>
            <w:vAlign w:val="center"/>
          </w:tcPr>
          <w:p w14:paraId="23C7BF9A">
            <w:pPr>
              <w:spacing w:line="240" w:lineRule="auto"/>
              <w:ind w:firstLine="0"/>
              <w:jc w:val="center"/>
            </w:pPr>
            <w:r>
              <w:rPr>
                <w:rFonts w:ascii="Times New Roman" w:hAnsi="Times New Roman" w:eastAsia="宋体"/>
                <w:b w:val="0"/>
                <w:color w:val="000000"/>
                <w:sz w:val="21"/>
              </w:rPr>
              <w:t>173.93</w:t>
            </w:r>
          </w:p>
        </w:tc>
      </w:tr>
      <w:tr w14:paraId="32A5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8B01DC3">
            <w:pPr>
              <w:spacing w:line="240" w:lineRule="auto"/>
              <w:ind w:firstLine="0"/>
              <w:jc w:val="center"/>
            </w:pPr>
            <w:r>
              <w:rPr>
                <w:rFonts w:ascii="Times New Roman" w:hAnsi="Times New Roman" w:eastAsia="宋体"/>
                <w:b w:val="0"/>
                <w:color w:val="000000"/>
                <w:sz w:val="21"/>
              </w:rPr>
              <w:t>生产发展</w:t>
            </w:r>
          </w:p>
        </w:tc>
        <w:tc>
          <w:tcPr>
            <w:tcW w:w="2835" w:type="dxa"/>
            <w:vAlign w:val="center"/>
          </w:tcPr>
          <w:p w14:paraId="78F3EC10">
            <w:pPr>
              <w:spacing w:line="240" w:lineRule="auto"/>
              <w:ind w:firstLine="0"/>
              <w:jc w:val="center"/>
            </w:pPr>
            <w:r>
              <w:rPr>
                <w:rFonts w:ascii="Times New Roman" w:hAnsi="Times New Roman" w:eastAsia="宋体"/>
                <w:b w:val="0"/>
                <w:color w:val="000000"/>
                <w:sz w:val="21"/>
              </w:rPr>
              <w:t>115.90</w:t>
            </w:r>
          </w:p>
        </w:tc>
      </w:tr>
      <w:tr w14:paraId="1600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FE37C03">
            <w:pPr>
              <w:spacing w:line="240" w:lineRule="auto"/>
              <w:ind w:firstLine="0"/>
              <w:jc w:val="center"/>
            </w:pPr>
            <w:r>
              <w:rPr>
                <w:rFonts w:ascii="Times New Roman" w:hAnsi="Times New Roman" w:eastAsia="宋体"/>
                <w:b w:val="0"/>
                <w:color w:val="000000"/>
                <w:sz w:val="21"/>
              </w:rPr>
              <w:t>对村民委员会和村党支部的补助</w:t>
            </w:r>
          </w:p>
        </w:tc>
        <w:tc>
          <w:tcPr>
            <w:tcW w:w="2835" w:type="dxa"/>
            <w:vAlign w:val="center"/>
          </w:tcPr>
          <w:p w14:paraId="22D1093B">
            <w:pPr>
              <w:spacing w:line="240" w:lineRule="auto"/>
              <w:ind w:firstLine="0"/>
              <w:jc w:val="center"/>
            </w:pPr>
            <w:r>
              <w:rPr>
                <w:rFonts w:ascii="Times New Roman" w:hAnsi="Times New Roman" w:eastAsia="宋体"/>
                <w:b w:val="0"/>
                <w:color w:val="000000"/>
                <w:sz w:val="21"/>
              </w:rPr>
              <w:t>173.11</w:t>
            </w:r>
          </w:p>
        </w:tc>
      </w:tr>
      <w:tr w14:paraId="5FC0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A30C0A9">
            <w:pPr>
              <w:spacing w:line="240" w:lineRule="auto"/>
              <w:ind w:firstLine="0"/>
              <w:jc w:val="center"/>
            </w:pPr>
            <w:r>
              <w:rPr>
                <w:rFonts w:ascii="Times New Roman" w:hAnsi="Times New Roman" w:eastAsia="宋体"/>
                <w:b w:val="0"/>
                <w:color w:val="000000"/>
                <w:sz w:val="21"/>
              </w:rPr>
              <w:t>项目支出合计</w:t>
            </w:r>
          </w:p>
        </w:tc>
        <w:tc>
          <w:tcPr>
            <w:tcW w:w="2835" w:type="dxa"/>
            <w:vAlign w:val="center"/>
          </w:tcPr>
          <w:p w14:paraId="61C092CB">
            <w:pPr>
              <w:spacing w:line="240" w:lineRule="auto"/>
              <w:ind w:firstLine="0"/>
              <w:jc w:val="center"/>
            </w:pPr>
            <w:r>
              <w:rPr>
                <w:rFonts w:ascii="Times New Roman" w:hAnsi="Times New Roman" w:eastAsia="宋体"/>
                <w:b w:val="0"/>
                <w:color w:val="000000"/>
                <w:sz w:val="21"/>
              </w:rPr>
              <w:t>776.44</w:t>
            </w:r>
          </w:p>
        </w:tc>
      </w:tr>
    </w:tbl>
    <w:p w14:paraId="69CB0357">
      <w:pPr>
        <w:pStyle w:val="5"/>
        <w:ind w:firstLine="0"/>
        <w:jc w:val="left"/>
      </w:pPr>
      <w:r>
        <w:rPr>
          <w:rFonts w:ascii="Times New Roman" w:hAnsi="Times New Roman" w:eastAsia="黑体"/>
          <w:b/>
          <w:color w:val="000000"/>
          <w:sz w:val="24"/>
        </w:rPr>
        <w:t>十、政府性基金预算财政拨款收入支出决算表</w:t>
      </w:r>
    </w:p>
    <w:p w14:paraId="3D11396A">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18962FC1">
      <w:pPr>
        <w:pStyle w:val="5"/>
        <w:ind w:firstLine="0"/>
        <w:jc w:val="left"/>
      </w:pPr>
      <w:r>
        <w:rPr>
          <w:rFonts w:ascii="Times New Roman" w:hAnsi="Times New Roman" w:eastAsia="黑体"/>
          <w:b/>
          <w:color w:val="000000"/>
          <w:sz w:val="24"/>
        </w:rPr>
        <w:t>十一、国有资本经营预算财政拨款收入支出决算表</w:t>
      </w:r>
    </w:p>
    <w:p w14:paraId="6E176B18">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58FA6919">
      <w:pPr>
        <w:pStyle w:val="5"/>
        <w:ind w:firstLine="0"/>
        <w:jc w:val="left"/>
      </w:pPr>
      <w:r>
        <w:rPr>
          <w:rFonts w:ascii="Times New Roman" w:hAnsi="Times New Roman" w:eastAsia="黑体"/>
          <w:b/>
          <w:color w:val="000000"/>
          <w:sz w:val="24"/>
        </w:rPr>
        <w:t>十二、国有资本经营预算财政拨款支出决算表</w:t>
      </w:r>
    </w:p>
    <w:p w14:paraId="2F71B7B8">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71048BD6">
      <w:pPr>
        <w:pStyle w:val="5"/>
        <w:ind w:firstLine="0"/>
        <w:jc w:val="left"/>
      </w:pPr>
      <w:r>
        <w:rPr>
          <w:rFonts w:ascii="Times New Roman" w:hAnsi="Times New Roman" w:eastAsia="黑体"/>
          <w:b/>
          <w:color w:val="000000"/>
          <w:sz w:val="24"/>
        </w:rPr>
        <w:t>十三、财政拨款“三公”经费支出决算表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671B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1EB3BA47">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5B2CB243">
            <w:pPr>
              <w:spacing w:line="240" w:lineRule="auto"/>
              <w:ind w:firstLine="0"/>
              <w:jc w:val="center"/>
            </w:pPr>
            <w:r>
              <w:rPr>
                <w:rFonts w:ascii="Times New Roman" w:hAnsi="Times New Roman" w:eastAsia="宋体"/>
                <w:b/>
                <w:color w:val="000000"/>
                <w:sz w:val="21"/>
              </w:rPr>
              <w:t>决算数</w:t>
            </w:r>
          </w:p>
        </w:tc>
      </w:tr>
      <w:tr w14:paraId="790F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B952DED">
            <w:pPr>
              <w:spacing w:line="240" w:lineRule="auto"/>
              <w:ind w:firstLine="0"/>
              <w:jc w:val="center"/>
            </w:pPr>
            <w:r>
              <w:rPr>
                <w:rFonts w:ascii="Times New Roman" w:hAnsi="Times New Roman" w:eastAsia="宋体"/>
                <w:b w:val="0"/>
                <w:color w:val="000000"/>
                <w:sz w:val="21"/>
              </w:rPr>
              <w:t>“三公”经费合计</w:t>
            </w:r>
          </w:p>
        </w:tc>
        <w:tc>
          <w:tcPr>
            <w:tcW w:w="2835" w:type="dxa"/>
            <w:vAlign w:val="center"/>
          </w:tcPr>
          <w:p w14:paraId="26E45D01">
            <w:pPr>
              <w:spacing w:line="240" w:lineRule="auto"/>
              <w:ind w:firstLine="0"/>
              <w:jc w:val="center"/>
            </w:pPr>
            <w:r>
              <w:rPr>
                <w:rFonts w:ascii="Times New Roman" w:hAnsi="Times New Roman" w:eastAsia="宋体"/>
                <w:b w:val="0"/>
                <w:color w:val="000000"/>
                <w:sz w:val="21"/>
              </w:rPr>
              <w:t>6.24</w:t>
            </w:r>
          </w:p>
        </w:tc>
      </w:tr>
      <w:tr w14:paraId="53D3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7CCFAEA">
            <w:pPr>
              <w:spacing w:line="240" w:lineRule="auto"/>
              <w:ind w:firstLine="0"/>
              <w:jc w:val="center"/>
            </w:pPr>
            <w:r>
              <w:rPr>
                <w:rFonts w:ascii="Times New Roman" w:hAnsi="Times New Roman" w:eastAsia="宋体"/>
                <w:b w:val="0"/>
                <w:color w:val="000000"/>
                <w:sz w:val="21"/>
              </w:rPr>
              <w:t>因公出国（境）费</w:t>
            </w:r>
          </w:p>
        </w:tc>
        <w:tc>
          <w:tcPr>
            <w:tcW w:w="2835" w:type="dxa"/>
            <w:vAlign w:val="center"/>
          </w:tcPr>
          <w:p w14:paraId="6364ADCD">
            <w:pPr>
              <w:spacing w:line="240" w:lineRule="auto"/>
              <w:ind w:firstLine="0"/>
              <w:jc w:val="center"/>
            </w:pPr>
            <w:r>
              <w:rPr>
                <w:rFonts w:ascii="Times New Roman" w:hAnsi="Times New Roman" w:eastAsia="宋体"/>
                <w:b w:val="0"/>
                <w:color w:val="000000"/>
                <w:sz w:val="21"/>
              </w:rPr>
              <w:t>0.00</w:t>
            </w:r>
          </w:p>
        </w:tc>
      </w:tr>
      <w:tr w14:paraId="288D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23D7BF8">
            <w:pPr>
              <w:spacing w:line="240" w:lineRule="auto"/>
              <w:ind w:firstLine="0"/>
              <w:jc w:val="center"/>
            </w:pPr>
            <w:r>
              <w:rPr>
                <w:rFonts w:ascii="Times New Roman" w:hAnsi="Times New Roman" w:eastAsia="宋体"/>
                <w:b w:val="0"/>
                <w:color w:val="000000"/>
                <w:sz w:val="21"/>
              </w:rPr>
              <w:t>公务用车购置及运行维护费</w:t>
            </w:r>
          </w:p>
        </w:tc>
        <w:tc>
          <w:tcPr>
            <w:tcW w:w="2835" w:type="dxa"/>
            <w:vAlign w:val="center"/>
          </w:tcPr>
          <w:p w14:paraId="10F4D99D">
            <w:pPr>
              <w:spacing w:line="240" w:lineRule="auto"/>
              <w:ind w:firstLine="0"/>
              <w:jc w:val="center"/>
            </w:pPr>
            <w:r>
              <w:rPr>
                <w:rFonts w:ascii="Times New Roman" w:hAnsi="Times New Roman" w:eastAsia="宋体"/>
                <w:b w:val="0"/>
                <w:color w:val="000000"/>
                <w:sz w:val="21"/>
              </w:rPr>
              <w:t>5.70</w:t>
            </w:r>
          </w:p>
        </w:tc>
      </w:tr>
      <w:tr w14:paraId="780A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E25A654">
            <w:pPr>
              <w:spacing w:line="240" w:lineRule="auto"/>
              <w:ind w:firstLine="0"/>
              <w:jc w:val="center"/>
            </w:pPr>
            <w:r>
              <w:rPr>
                <w:rFonts w:ascii="Times New Roman" w:hAnsi="Times New Roman" w:eastAsia="宋体"/>
                <w:b w:val="0"/>
                <w:color w:val="000000"/>
                <w:sz w:val="21"/>
              </w:rPr>
              <w:t xml:space="preserve">    其中：公务用车购置费</w:t>
            </w:r>
          </w:p>
        </w:tc>
        <w:tc>
          <w:tcPr>
            <w:tcW w:w="2835" w:type="dxa"/>
            <w:vAlign w:val="center"/>
          </w:tcPr>
          <w:p w14:paraId="7B97FF30">
            <w:pPr>
              <w:spacing w:line="240" w:lineRule="auto"/>
              <w:ind w:firstLine="0"/>
              <w:jc w:val="center"/>
            </w:pPr>
            <w:r>
              <w:rPr>
                <w:rFonts w:ascii="Times New Roman" w:hAnsi="Times New Roman" w:eastAsia="宋体"/>
                <w:b w:val="0"/>
                <w:color w:val="000000"/>
                <w:sz w:val="21"/>
              </w:rPr>
              <w:t>0.00</w:t>
            </w:r>
          </w:p>
        </w:tc>
      </w:tr>
      <w:tr w14:paraId="3320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B6FCF30">
            <w:pPr>
              <w:spacing w:line="240" w:lineRule="auto"/>
              <w:ind w:firstLine="0"/>
              <w:jc w:val="center"/>
            </w:pPr>
            <w:r>
              <w:rPr>
                <w:rFonts w:ascii="Times New Roman" w:hAnsi="Times New Roman" w:eastAsia="宋体"/>
                <w:b w:val="0"/>
                <w:color w:val="000000"/>
                <w:sz w:val="21"/>
              </w:rPr>
              <w:t xml:space="preserve">    其中：公务用车运行维护费</w:t>
            </w:r>
          </w:p>
        </w:tc>
        <w:tc>
          <w:tcPr>
            <w:tcW w:w="2835" w:type="dxa"/>
            <w:vAlign w:val="center"/>
          </w:tcPr>
          <w:p w14:paraId="2045A04F">
            <w:pPr>
              <w:spacing w:line="240" w:lineRule="auto"/>
              <w:ind w:firstLine="0"/>
              <w:jc w:val="center"/>
            </w:pPr>
            <w:r>
              <w:rPr>
                <w:rFonts w:ascii="Times New Roman" w:hAnsi="Times New Roman" w:eastAsia="宋体"/>
                <w:b w:val="0"/>
                <w:color w:val="000000"/>
                <w:sz w:val="21"/>
              </w:rPr>
              <w:t>5.70</w:t>
            </w:r>
          </w:p>
        </w:tc>
      </w:tr>
      <w:tr w14:paraId="2395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B943013">
            <w:pPr>
              <w:spacing w:line="240" w:lineRule="auto"/>
              <w:ind w:firstLine="0"/>
              <w:jc w:val="center"/>
            </w:pPr>
            <w:r>
              <w:rPr>
                <w:rFonts w:ascii="Times New Roman" w:hAnsi="Times New Roman" w:eastAsia="宋体"/>
                <w:b w:val="0"/>
                <w:color w:val="000000"/>
                <w:sz w:val="21"/>
              </w:rPr>
              <w:t>公务接待费</w:t>
            </w:r>
          </w:p>
        </w:tc>
        <w:tc>
          <w:tcPr>
            <w:tcW w:w="2835" w:type="dxa"/>
            <w:vAlign w:val="center"/>
          </w:tcPr>
          <w:p w14:paraId="06738A2E">
            <w:pPr>
              <w:spacing w:line="240" w:lineRule="auto"/>
              <w:ind w:firstLine="0"/>
              <w:jc w:val="center"/>
            </w:pPr>
            <w:r>
              <w:rPr>
                <w:rFonts w:ascii="Times New Roman" w:hAnsi="Times New Roman" w:eastAsia="宋体"/>
                <w:b w:val="0"/>
                <w:color w:val="000000"/>
                <w:sz w:val="21"/>
              </w:rPr>
              <w:t>0.54</w:t>
            </w:r>
          </w:p>
        </w:tc>
      </w:tr>
    </w:tbl>
    <w:p w14:paraId="122BB915">
      <w:pPr>
        <w:spacing w:line="360" w:lineRule="auto"/>
        <w:ind w:firstLine="0"/>
      </w:pPr>
      <w:r>
        <w:rPr>
          <w:rFonts w:ascii="Times New Roman" w:hAnsi="Times New Roman" w:eastAsia="宋体"/>
          <w:b w:val="0"/>
          <w:color w:val="000000"/>
          <w:sz w:val="20"/>
        </w:rPr>
        <w:t>注：2025年度公务接待13批次、90人次；单位公务用车保有量2辆。</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10df4ef259bd349d33c936d22f1753299a82581c25a37999f7b9075ebe07a446:b45f727bb1a6aae54de64f78dd8d07bc4cfe5f2f8db43d07a7b8e5a412b2b989"/>
  </w:docVars>
  <w:rsids>
    <w:rsidRoot w:val="00B47730"/>
    <w:rsid w:val="00034616"/>
    <w:rsid w:val="0006063C"/>
    <w:rsid w:val="0015074B"/>
    <w:rsid w:val="0029639D"/>
    <w:rsid w:val="00326F90"/>
    <w:rsid w:val="00AA1D8D"/>
    <w:rsid w:val="00B47730"/>
    <w:rsid w:val="00CB0664"/>
    <w:rsid w:val="00FC693F"/>
    <w:rsid w:val="034D35F5"/>
    <w:rsid w:val="3CCA51F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ind w:firstLine="480"/>
    </w:pPr>
    <w:rPr>
      <w:rFonts w:ascii="Times New Roman" w:hAnsi="Times New Roman" w:eastAsia="宋体" w:cstheme="minorBidi"/>
      <w:sz w:val="24"/>
      <w:szCs w:val="22"/>
      <w:lang w:val="en-US" w:eastAsia="en-US" w:bidi="ar-SA"/>
    </w:rPr>
  </w:style>
  <w:style w:type="paragraph" w:styleId="3">
    <w:name w:val="heading 1"/>
    <w:basedOn w:val="1"/>
    <w:next w:val="1"/>
    <w:link w:val="140"/>
    <w:qFormat/>
    <w:uiPriority w:val="9"/>
    <w:pPr>
      <w:keepNext/>
      <w:keepLines/>
      <w:spacing w:before="200" w:after="120"/>
      <w:ind w:firstLine="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160" w:after="80"/>
      <w:ind w:firstLine="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60" w:after="80"/>
      <w:ind w:firstLine="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toc 1"/>
    <w:basedOn w:val="1"/>
    <w:next w:val="1"/>
    <w:semiHidden/>
    <w:unhideWhenUsed/>
    <w:qFormat/>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spacing w:line="240" w:lineRule="auto"/>
      <w:ind w:left="420" w:leftChars="200" w:firstLine="0" w:firstLineChars="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1e7548fe-7063-4fee-92a5-d77465a20775</errorID>
      <errorWord>(</errorWord>
      <group>L1_Format</group>
      <groupName>格式问题</groupName>
      <ability>L2_HalfPunc_CN</ability>
      <abilityName>全半角问题</abilityName>
      <candidateList>
        <item>（</item>
      </candidateList>
      <explain>文本全半角错误。</explain>
      <paraID>60B7F7E8</paraID>
      <start>10</start>
      <end>11</end>
      <status>modified</status>
      <modifiedWord>（</modifiedWord>
      <trackRevisions>false</trackRevisions>
    </reviewItem>
    <reviewItem>
      <errorID>5e85ae9e-6b79-4e95-8380-3605a17db1d2</errorID>
      <errorWord>)</errorWord>
      <group>L1_Format</group>
      <groupName>格式问题</groupName>
      <ability>L2_HalfPunc_CN</ability>
      <abilityName>全半角问题</abilityName>
      <candidateList>
        <item>）</item>
      </candidateList>
      <explain>文本全半角错误。</explain>
      <paraID>60B7F7E8</paraID>
      <start>13</start>
      <end>14</end>
      <status>modified</status>
      <modifiedWord>）</modifiedWord>
      <trackRevisions>false</trackRevisions>
    </reviewItem>
    <reviewItem>
      <errorID>daa4581f-26af-4d61-aa3f-cafd36c11a28</errorID>
      <errorWord>(</errorWord>
      <group>L1_Format</group>
      <groupName>格式问题</groupName>
      <ability>L2_HalfPunc_CN</ability>
      <abilityName>全半角问题</abilityName>
      <candidateList>
        <item>（</item>
      </candidateList>
      <explain>文本全半角错误。</explain>
      <paraID>3A09F6BC</paraID>
      <start>16</start>
      <end>17</end>
      <status>modified</status>
      <modifiedWord>（</modifiedWord>
      <trackRevisions>false</trackRevisions>
    </reviewItem>
    <reviewItem>
      <errorID>226919c9-eccc-433e-93fa-58dbfb636563</errorID>
      <errorWord>)</errorWord>
      <group>L1_Format</group>
      <groupName>格式问题</groupName>
      <ability>L2_HalfPunc_CN</ability>
      <abilityName>全半角问题</abilityName>
      <candidateList>
        <item>）</item>
      </candidateList>
      <explain>文本全半角错误。</explain>
      <paraID>3A09F6BC</paraID>
      <start>19</start>
      <end>20</end>
      <status>modified</status>
      <modifiedWord>）</modifiedWord>
      <trackRevisions>false</trackRevisions>
    </reviewItem>
    <reviewItem>
      <errorID>4111b512-408c-43f6-aec4-6b78ccb15f6a</errorID>
      <errorWord>(</errorWord>
      <group>L1_Format</group>
      <groupName>格式问题</groupName>
      <ability>L2_HalfPunc_CN</ability>
      <abilityName>全半角问题</abilityName>
      <candidateList>
        <item>（</item>
      </candidateList>
      <explain>文本全半角错误。</explain>
      <paraID>7266DAC6</paraID>
      <start>16</start>
      <end>17</end>
      <status>modified</status>
      <modifiedWord>（</modifiedWord>
      <trackRevisions>false</trackRevisions>
    </reviewItem>
    <reviewItem>
      <errorID>089ddf57-c413-41a0-8adb-6f9a3233686f</errorID>
      <errorWord>)</errorWord>
      <group>L1_Format</group>
      <groupName>格式问题</groupName>
      <ability>L2_HalfPunc_CN</ability>
      <abilityName>全半角问题</abilityName>
      <candidateList>
        <item>）</item>
      </candidateList>
      <explain>文本全半角错误。</explain>
      <paraID>7266DAC6</paraID>
      <start>19</start>
      <end>20</end>
      <status>modified</status>
      <modifiedWord>）</modifiedWord>
      <trackRevisions>false</trackRevisions>
    </reviewItem>
    <reviewItem>
      <errorID>f2dce6dd-2b59-40fc-bf49-cfbe0259a0a5</errorID>
      <errorWord>(</errorWord>
      <group>L1_Format</group>
      <groupName>格式问题</groupName>
      <ability>L2_HalfPunc_CN</ability>
      <abilityName>全半角问题</abilityName>
      <candidateList>
        <item>（</item>
      </candidateList>
      <explain>文本全半角错误。</explain>
      <paraID>579E51DF</paraID>
      <start>24</start>
      <end>25</end>
      <status>modified</status>
      <modifiedWord>（</modifiedWord>
      <trackRevisions>false</trackRevisions>
    </reviewItem>
    <reviewItem>
      <errorID>da6d04e4-f39b-4d50-a9bf-63afa524c0f5</errorID>
      <errorWord>)</errorWord>
      <group>L1_Format</group>
      <groupName>格式问题</groupName>
      <ability>L2_HalfPunc_CN</ability>
      <abilityName>全半角问题</abilityName>
      <candidateList>
        <item>）</item>
      </candidateList>
      <explain>文本全半角错误。</explain>
      <paraID>579E51DF</paraID>
      <start>27</start>
      <end>28</end>
      <status>modified</status>
      <modifiedWord>）</modifiedWord>
      <trackRevisions>false</trackRevisions>
    </reviewItem>
    <reviewItem>
      <errorID>c173c035-4380-4397-892f-043d5c686bf3</errorID>
      <errorWord>（</errorWord>
      <group>L1_Punc</group>
      <groupName>标点问题</groupName>
      <ability>L2_Punc_CN</ability>
      <abilityName>标点符号问题</abilityName>
      <candidateList/>
      <explain>同一形式括号套用。</explain>
      <paraID>2BFF233D</paraID>
      <start>65</start>
      <end>66</end>
      <status>ignored</status>
      <modifiedWord/>
      <trackRevisions>false</trackRevisions>
    </reviewItem>
    <reviewItem>
      <errorID>d752d10c-ee60-4b0d-a25c-390e0899cddc</errorID>
      <errorWord>）</errorWord>
      <group>L1_Punc</group>
      <groupName>标点问题</groupName>
      <ability>L2_Punc_CN</ability>
      <abilityName>标点符号问题</abilityName>
      <candidateList/>
      <explain>同一形式括号套用。</explain>
      <paraID>2BFF233D</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3c6b4d26-e6d6-4554-aa3f-49bb9269578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6563</Words>
  <Characters>8170</Characters>
  <Lines>0</Lines>
  <Paragraphs>0</Paragraphs>
  <TotalTime>0</TotalTime>
  <ScaleCrop>false</ScaleCrop>
  <LinksUpToDate>false</LinksUpToDate>
  <CharactersWithSpaces>8215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奕夕^_^</cp:lastModifiedBy>
  <dcterms:modified xsi:type="dcterms:W3CDTF">2026-10-15T07:57:56Z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6E4A55A429574BE2BDD19FC46C0460ED_13</vt:lpwstr>
  </property>
  <property fmtid="{D5CDD505-2E9C-101B-9397-08002B2CF9AE}" pid="4" name="KSOTemplateDocerSaveRecord">
    <vt:lpwstr>eyJoZGlkIjoiNTU1MWNhN2ZmY2ZhZmY3ODhlYTg0MWU5OGMyY2QwZmUiLCJ1c2VySWQiOiI0MzQ2NTM0NzEifQ==</vt:lpwstr>
  </property>
</Properties>
</file>