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71D2AAB">
      <w:pPr>
        <w:pStyle w:val="5"/>
        <w:jc w:val="center"/>
        <w:rPr>
          <w:rFonts w:ascii="方正小标宋简体" w:hAnsi="方正小标宋简体" w:eastAsia="方正小标宋简体" w:cs="Times New Roman"/>
          <w:color w:val="000000"/>
          <w:kern w:val="2"/>
          <w:sz w:val="44"/>
          <w:szCs w:val="44"/>
          <w:highlight w:val="none"/>
          <w:lang w:val="en-US" w:eastAsia="zh-CN" w:bidi="ar-SA"/>
        </w:rPr>
      </w:pPr>
    </w:p>
    <w:p w14:paraId="07F72D6F">
      <w:pPr>
        <w:pStyle w:val="5"/>
        <w:jc w:val="center"/>
        <w:rPr>
          <w:rFonts w:ascii="方正小标宋简体" w:hAnsi="方正小标宋简体" w:eastAsia="方正小标宋简体" w:cs="Times New Roman"/>
          <w:color w:val="000000"/>
          <w:kern w:val="2"/>
          <w:sz w:val="44"/>
          <w:szCs w:val="44"/>
          <w:highlight w:val="none"/>
          <w:lang w:val="en-US" w:eastAsia="zh-CN" w:bidi="ar-SA"/>
        </w:rPr>
      </w:pPr>
      <w:r>
        <w:rPr>
          <w:rFonts w:ascii="方正小标宋简体" w:hAnsi="方正小标宋简体" w:eastAsia="方正小标宋简体" w:cs="Times New Roman"/>
          <w:color w:val="000000"/>
          <w:kern w:val="2"/>
          <w:sz w:val="44"/>
          <w:szCs w:val="44"/>
          <w:lang w:val="en-US" w:eastAsia="zh-CN" w:bidi="ar-SA"/>
        </w:rPr>
        <w:t>2025年度四川省阿坝州松潘县大姓乡农业农村服务中心单位决算</w:t>
      </w:r>
    </w:p>
    <w:p w14:paraId="3827642B">
      <w:pPr>
        <w:pStyle w:val="5"/>
        <w:jc w:val="center"/>
        <w:rPr>
          <w:rFonts w:ascii="方正小标宋简体" w:hAnsi="方正小标宋简体" w:eastAsia="方正小标宋简体" w:cs="Times New Roman"/>
          <w:color w:val="000000"/>
          <w:kern w:val="2"/>
          <w:sz w:val="44"/>
          <w:szCs w:val="44"/>
          <w:highlight w:val="none"/>
          <w:lang w:val="en-US" w:eastAsia="zh-CN" w:bidi="ar-SA"/>
        </w:rPr>
      </w:pPr>
    </w:p>
    <w:p w14:paraId="6233391A">
      <w:pPr>
        <w:widowControl/>
        <w:jc w:val="center"/>
        <w:rPr>
          <w:rFonts w:ascii="黑体" w:hAnsi="黑体" w:eastAsia="黑体" w:cs="黑体"/>
          <w:color w:val="000000"/>
          <w:sz w:val="48"/>
          <w:szCs w:val="48"/>
          <w:highlight w:val="none"/>
        </w:rPr>
      </w:pPr>
      <w:r>
        <w:rPr>
          <w:rFonts w:ascii="黑体" w:hAnsi="黑体" w:eastAsia="黑体" w:cs="黑体"/>
          <w:color w:val="000000"/>
          <w:sz w:val="48"/>
          <w:szCs w:val="48"/>
        </w:rPr>
        <w:t>目录</w:t>
      </w:r>
    </w:p>
    <w:p w14:paraId="04E69C81">
      <w:pPr>
        <w:widowControl/>
        <w:jc w:val="center"/>
        <w:rPr>
          <w:rFonts w:ascii="黑体" w:hAnsi="黑体" w:eastAsia="黑体" w:cs="Times New Roman"/>
          <w:color w:val="000000"/>
          <w:sz w:val="28"/>
          <w:szCs w:val="28"/>
          <w:highlight w:val="none"/>
        </w:rPr>
      </w:pPr>
    </w:p>
    <w:p w14:paraId="1784DFB4">
      <w:pPr>
        <w:pStyle w:val="8"/>
        <w:rPr>
          <w:color w:val="000000"/>
          <w:highlight w:val="none"/>
        </w:rPr>
      </w:pPr>
      <w:r>
        <w:rPr>
          <w:color w:val="000000"/>
        </w:rPr>
        <w:t xml:space="preserve">公开时间：2026年10月 </w:t>
      </w:r>
      <w:r>
        <w:rPr>
          <w:rFonts w:hint="eastAsia"/>
          <w:color w:val="000000"/>
          <w:lang w:val="en-US" w:eastAsia="zh-CN"/>
        </w:rPr>
        <w:t>10</w:t>
      </w:r>
      <w:r>
        <w:rPr>
          <w:color w:val="000000"/>
        </w:rPr>
        <w:t>日</w:t>
      </w:r>
    </w:p>
    <w:p w14:paraId="1837291A">
      <w:pPr>
        <w:rPr>
          <w:color w:val="000000"/>
          <w:highlight w:val="none"/>
        </w:rPr>
      </w:pPr>
    </w:p>
    <w:p w14:paraId="280D6243">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 xml:space="preserve">第一部分 </w:t>
      </w:r>
      <w:r>
        <w:rPr>
          <w:rFonts w:ascii="方正仿宋;仿宋" w:hAnsi="方正仿宋;仿宋" w:eastAsia="方正仿宋;仿宋" w:cs="方正仿宋;仿宋"/>
          <w:color w:val="000000"/>
          <w:sz w:val="32"/>
          <w:szCs w:val="32"/>
          <w:lang w:eastAsia="zh-CN"/>
        </w:rPr>
        <w:t>单位</w:t>
      </w:r>
      <w:r>
        <w:rPr>
          <w:rFonts w:ascii="方正仿宋;仿宋" w:hAnsi="方正仿宋;仿宋" w:eastAsia="方正仿宋;仿宋" w:cs="方正仿宋;仿宋"/>
          <w:color w:val="000000"/>
          <w:sz w:val="32"/>
          <w:szCs w:val="32"/>
        </w:rPr>
        <w:t>概况</w:t>
      </w:r>
    </w:p>
    <w:p w14:paraId="08CF274E">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lang w:eastAsia="zh-CN"/>
        </w:rPr>
      </w:pPr>
      <w:r>
        <w:rPr>
          <w:rFonts w:ascii="方正仿宋;仿宋" w:hAnsi="方正仿宋;仿宋" w:eastAsia="方正仿宋;仿宋" w:cs="方正仿宋;仿宋"/>
          <w:color w:val="000000"/>
          <w:sz w:val="32"/>
          <w:szCs w:val="32"/>
        </w:rPr>
        <w:t>一、</w:t>
      </w:r>
      <w:r>
        <w:rPr>
          <w:rFonts w:ascii="方正仿宋;仿宋" w:hAnsi="方正仿宋;仿宋" w:eastAsia="方正仿宋;仿宋" w:cs="方正仿宋;仿宋"/>
          <w:color w:val="000000"/>
          <w:sz w:val="32"/>
          <w:szCs w:val="32"/>
          <w:lang w:eastAsia="zh-CN"/>
        </w:rPr>
        <w:t>主要职责</w:t>
      </w:r>
    </w:p>
    <w:p w14:paraId="1941F53B">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lang w:eastAsia="zh-CN"/>
        </w:rPr>
      </w:pPr>
      <w:r>
        <w:rPr>
          <w:rFonts w:ascii="方正仿宋;仿宋" w:hAnsi="方正仿宋;仿宋" w:eastAsia="方正仿宋;仿宋" w:cs="方正仿宋;仿宋"/>
          <w:color w:val="000000"/>
          <w:sz w:val="32"/>
          <w:szCs w:val="32"/>
          <w:lang w:eastAsia="zh-CN"/>
        </w:rPr>
        <w:t>二</w:t>
      </w:r>
      <w:r>
        <w:rPr>
          <w:rFonts w:ascii="方正仿宋;仿宋" w:hAnsi="方正仿宋;仿宋" w:eastAsia="方正仿宋;仿宋" w:cs="方正仿宋;仿宋"/>
          <w:color w:val="000000"/>
          <w:sz w:val="32"/>
          <w:szCs w:val="32"/>
        </w:rPr>
        <w:t>、</w:t>
      </w:r>
      <w:r>
        <w:rPr>
          <w:rFonts w:ascii="方正仿宋;仿宋" w:hAnsi="方正仿宋;仿宋" w:eastAsia="方正仿宋;仿宋" w:cs="方正仿宋;仿宋"/>
          <w:color w:val="000000"/>
          <w:sz w:val="32"/>
          <w:szCs w:val="32"/>
          <w:lang w:eastAsia="zh-CN"/>
        </w:rPr>
        <w:t>机构设置</w:t>
      </w:r>
    </w:p>
    <w:p w14:paraId="3E0D88BE">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第二部分 2025年度单位决算情况说明</w:t>
      </w:r>
    </w:p>
    <w:p w14:paraId="72773D78">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一、收入支出决算总体情况说明</w:t>
      </w:r>
    </w:p>
    <w:p w14:paraId="7722D600">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二、收入决算情况说明</w:t>
      </w:r>
    </w:p>
    <w:p w14:paraId="02B74DE8">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三、支出决算情况说明</w:t>
      </w:r>
    </w:p>
    <w:p w14:paraId="2A104706">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四、财政拨款收入支出决算总体情况说明</w:t>
      </w:r>
    </w:p>
    <w:p w14:paraId="281ECA48">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五、一般公共预算财政拨款支出决算情况说明</w:t>
      </w:r>
    </w:p>
    <w:p w14:paraId="1144CBE0">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六、一般公共预算财政拨款基本支出决算情况说明</w:t>
      </w:r>
    </w:p>
    <w:p w14:paraId="303A92EF">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七、财政拨款</w:t>
      </w:r>
      <w:r>
        <w:rPr>
          <w:rFonts w:ascii="方正仿宋;仿宋" w:hAnsi="方正仿宋;仿宋" w:eastAsia="方正仿宋;仿宋" w:cs="方正仿宋;仿宋"/>
          <w:color w:val="000000"/>
          <w:sz w:val="32"/>
          <w:szCs w:val="32"/>
          <w:lang w:eastAsia="zh-CN"/>
        </w:rPr>
        <w:t>“</w:t>
      </w:r>
      <w:r>
        <w:rPr>
          <w:rFonts w:ascii="方正仿宋;仿宋" w:hAnsi="方正仿宋;仿宋" w:eastAsia="方正仿宋;仿宋" w:cs="方正仿宋;仿宋"/>
          <w:color w:val="000000"/>
          <w:sz w:val="32"/>
          <w:szCs w:val="32"/>
        </w:rPr>
        <w:t>三公”经费支出决算情况说明</w:t>
      </w:r>
    </w:p>
    <w:p w14:paraId="65AB9933">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八、政府性基金预算支出决算情况说明</w:t>
      </w:r>
    </w:p>
    <w:p w14:paraId="76494E66">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九、国有资本经营预算支出决算情况说明</w:t>
      </w:r>
    </w:p>
    <w:p w14:paraId="6AA03B07">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lang w:eastAsia="zh-CN"/>
        </w:rPr>
      </w:pPr>
      <w:r>
        <w:rPr>
          <w:rFonts w:ascii="方正仿宋;仿宋" w:hAnsi="方正仿宋;仿宋" w:eastAsia="方正仿宋;仿宋" w:cs="方正仿宋;仿宋"/>
          <w:color w:val="000000"/>
          <w:sz w:val="32"/>
          <w:szCs w:val="32"/>
        </w:rPr>
        <w:t>十、其他重要事项的情况说明</w:t>
      </w:r>
    </w:p>
    <w:p w14:paraId="003E0A4B">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第三部分 名词解释</w:t>
      </w:r>
    </w:p>
    <w:p w14:paraId="5AC9B2BA">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第四部分 附件</w:t>
      </w:r>
    </w:p>
    <w:p w14:paraId="2B7C3D55">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第五部分 附表</w:t>
      </w:r>
    </w:p>
    <w:p w14:paraId="298098CE">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一、收入支出决算总表</w:t>
      </w:r>
    </w:p>
    <w:p w14:paraId="725B34D6">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二、收入决算表</w:t>
      </w:r>
    </w:p>
    <w:p w14:paraId="60BECD52">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三、支出决算表</w:t>
      </w:r>
    </w:p>
    <w:p w14:paraId="3B925C78">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四、财政拨款收入支出决算总表</w:t>
      </w:r>
    </w:p>
    <w:p w14:paraId="052CFA66">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五、财政拨款支出决算明细表</w:t>
      </w:r>
    </w:p>
    <w:p w14:paraId="3ECE2D5D">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六、一般公共预算财政拨款支出决算表</w:t>
      </w:r>
    </w:p>
    <w:p w14:paraId="0652FA5F">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七、一般公共预算财政拨款支出决算明细表</w:t>
      </w:r>
    </w:p>
    <w:p w14:paraId="05573FC8">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八、一般公共预算财政拨款基本支出决算</w:t>
      </w:r>
      <w:r>
        <w:rPr>
          <w:rFonts w:ascii="方正仿宋;仿宋" w:hAnsi="方正仿宋;仿宋" w:eastAsia="方正仿宋;仿宋" w:cs="方正仿宋;仿宋"/>
          <w:color w:val="000000"/>
          <w:sz w:val="32"/>
          <w:szCs w:val="32"/>
          <w:lang w:eastAsia="zh-CN"/>
        </w:rPr>
        <w:t>明细</w:t>
      </w:r>
      <w:r>
        <w:rPr>
          <w:rFonts w:ascii="方正仿宋;仿宋" w:hAnsi="方正仿宋;仿宋" w:eastAsia="方正仿宋;仿宋" w:cs="方正仿宋;仿宋"/>
          <w:color w:val="000000"/>
          <w:sz w:val="32"/>
          <w:szCs w:val="32"/>
        </w:rPr>
        <w:t>表</w:t>
      </w:r>
    </w:p>
    <w:p w14:paraId="7942054F">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九、一般公共预算财政拨款项目支出决算表</w:t>
      </w:r>
    </w:p>
    <w:p w14:paraId="1DCAC3F3">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十、政府性基金预算财政拨款收入支出决算表</w:t>
      </w:r>
    </w:p>
    <w:p w14:paraId="02F1ACD5">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十一、国有资本经营预算财政拨款收入支出决算表</w:t>
      </w:r>
    </w:p>
    <w:p w14:paraId="74CBCDC6">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十二、</w:t>
      </w:r>
      <w:r>
        <w:rPr>
          <w:rFonts w:ascii="方正仿宋;仿宋" w:hAnsi="方正仿宋;仿宋" w:eastAsia="方正仿宋;仿宋" w:cs="方正仿宋;仿宋"/>
          <w:color w:val="000000"/>
          <w:sz w:val="32"/>
          <w:szCs w:val="32"/>
          <w:lang w:val="en-US" w:eastAsia="zh-CN"/>
        </w:rPr>
        <w:t>国有资本经营预算财政拨款支出决算表</w:t>
      </w:r>
    </w:p>
    <w:p w14:paraId="313BA0BA">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十三、财政拨款“三公”经费支出决算表</w:t>
      </w:r>
    </w:p>
    <w:p w14:paraId="35379113">
      <w:pPr>
        <w:pStyle w:val="12"/>
        <w:snapToGrid w:val="0"/>
        <w:spacing w:line="440" w:lineRule="exact"/>
        <w:ind w:left="0" w:firstLine="0"/>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lang w:eastAsia="zh-CN"/>
        </w:rPr>
        <w:t>（</w:t>
      </w:r>
      <w:r>
        <w:rPr>
          <w:rFonts w:ascii="方正仿宋;仿宋" w:hAnsi="方正仿宋;仿宋" w:eastAsia="方正仿宋;仿宋" w:cs="方正仿宋;仿宋"/>
          <w:color w:val="000000"/>
          <w:sz w:val="32"/>
          <w:szCs w:val="32"/>
        </w:rPr>
        <w:t>注：请</w:t>
      </w:r>
      <w:r>
        <w:rPr>
          <w:rFonts w:ascii="方正仿宋;仿宋" w:hAnsi="方正仿宋;仿宋" w:eastAsia="方正仿宋;仿宋" w:cs="方正仿宋;仿宋"/>
          <w:color w:val="000000"/>
          <w:sz w:val="32"/>
          <w:szCs w:val="32"/>
          <w:lang w:eastAsia="zh-CN"/>
        </w:rPr>
        <w:t>单位</w:t>
      </w:r>
      <w:r>
        <w:rPr>
          <w:rFonts w:ascii="方正仿宋;仿宋" w:hAnsi="方正仿宋;仿宋" w:eastAsia="方正仿宋;仿宋" w:cs="方正仿宋;仿宋"/>
          <w:color w:val="000000"/>
          <w:sz w:val="32"/>
          <w:szCs w:val="32"/>
        </w:rPr>
        <w:t>根据实际注明页码</w:t>
      </w:r>
      <w:r>
        <w:rPr>
          <w:rFonts w:ascii="方正仿宋;仿宋" w:hAnsi="方正仿宋;仿宋" w:eastAsia="方正仿宋;仿宋" w:cs="方正仿宋;仿宋"/>
          <w:color w:val="000000"/>
          <w:sz w:val="32"/>
          <w:szCs w:val="32"/>
          <w:lang w:eastAsia="zh-CN"/>
        </w:rPr>
        <w:t>）</w:t>
      </w:r>
      <w:r>
        <w:br w:type="page"/>
      </w:r>
    </w:p>
    <w:p w14:paraId="485BFD35">
      <w:pPr>
        <w:widowControl/>
        <w:spacing w:line="440" w:lineRule="exact"/>
        <w:jc w:val="left"/>
        <w:rPr>
          <w:rFonts w:ascii="仿宋" w:hAnsi="仿宋" w:eastAsia="仿宋" w:cs="仿宋"/>
          <w:b/>
          <w:bCs/>
          <w:color w:val="000000"/>
          <w:kern w:val="2"/>
          <w:sz w:val="24"/>
          <w:szCs w:val="32"/>
          <w:highlight w:val="none"/>
        </w:rPr>
      </w:pPr>
    </w:p>
    <w:p w14:paraId="41B05B70">
      <w:pPr>
        <w:pStyle w:val="2"/>
        <w:jc w:val="center"/>
        <w:rPr>
          <w:rStyle w:val="17"/>
          <w:rFonts w:ascii="黑体" w:hAnsi="黑体" w:eastAsia="黑体" w:cs="黑体"/>
          <w:b/>
          <w:bCs w:val="0"/>
          <w:color w:val="000000"/>
          <w:highlight w:val="none"/>
        </w:rPr>
      </w:pPr>
      <w:r>
        <w:rPr>
          <w:rFonts w:ascii="黑体" w:hAnsi="黑体" w:eastAsia="黑体" w:cs="黑体"/>
          <w:b w:val="0"/>
          <w:color w:val="000000"/>
        </w:rPr>
        <w:t xml:space="preserve">第一部分 </w:t>
      </w:r>
      <w:r>
        <w:rPr>
          <w:rFonts w:ascii="黑体" w:hAnsi="黑体" w:eastAsia="黑体" w:cs="黑体"/>
          <w:b w:val="0"/>
          <w:color w:val="000000"/>
          <w:lang w:eastAsia="zh-CN"/>
        </w:rPr>
        <w:t>单位</w:t>
      </w:r>
      <w:r>
        <w:rPr>
          <w:rStyle w:val="17"/>
          <w:rFonts w:ascii="黑体" w:hAnsi="黑体" w:eastAsia="黑体" w:cs="黑体"/>
          <w:b w:val="0"/>
          <w:bCs w:val="0"/>
          <w:color w:val="000000"/>
        </w:rPr>
        <w:t>概况</w:t>
      </w:r>
    </w:p>
    <w:p w14:paraId="759DE8E8">
      <w:pPr>
        <w:widowControl/>
        <w:jc w:val="left"/>
        <w:rPr>
          <w:rStyle w:val="17"/>
          <w:rFonts w:ascii="黑体" w:hAnsi="黑体" w:eastAsia="黑体" w:cs="黑体"/>
          <w:b/>
          <w:bCs w:val="0"/>
          <w:color w:val="000000"/>
          <w:sz w:val="32"/>
          <w:szCs w:val="32"/>
          <w:highlight w:val="none"/>
        </w:rPr>
      </w:pPr>
    </w:p>
    <w:p w14:paraId="4452512A">
      <w:pPr>
        <w:pStyle w:val="3"/>
        <w:numPr>
          <w:ilvl w:val="0"/>
          <w:numId w:val="2"/>
        </w:numPr>
        <w:rPr>
          <w:rStyle w:val="18"/>
          <w:rFonts w:ascii="黑体" w:hAnsi="黑体" w:eastAsia="黑体" w:cs="黑体"/>
          <w:b w:val="0"/>
          <w:bCs w:val="0"/>
          <w:color w:val="000000"/>
          <w:highlight w:val="none"/>
          <w:lang w:eastAsia="zh-CN"/>
        </w:rPr>
      </w:pPr>
      <w:r>
        <w:rPr>
          <w:rStyle w:val="18"/>
          <w:rFonts w:ascii="黑体" w:hAnsi="黑体" w:eastAsia="黑体" w:cs="黑体"/>
          <w:b w:val="0"/>
          <w:bCs w:val="0"/>
          <w:color w:val="000000"/>
          <w:lang w:eastAsia="zh-CN"/>
        </w:rPr>
        <w:t>主要职责</w:t>
      </w:r>
    </w:p>
    <w:p w14:paraId="5CDFF636">
      <w:pPr>
        <w:pStyle w:val="26"/>
        <w:keepNext w:val="0"/>
        <w:keepLines w:val="0"/>
        <w:pageBreakBefore w:val="0"/>
        <w:widowControl/>
        <w:kinsoku/>
        <w:bidi w:val="0"/>
        <w:snapToGrid/>
        <w:spacing w:before="0" w:after="100" w:line="576" w:lineRule="exact"/>
        <w:jc w:val="left"/>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（一）主要职能</w:t>
      </w:r>
    </w:p>
    <w:p w14:paraId="2E11587F">
      <w:pPr>
        <w:pStyle w:val="24"/>
        <w:keepNext w:val="0"/>
        <w:keepLines w:val="0"/>
        <w:pageBreakBefore w:val="0"/>
        <w:widowControl w:val="0"/>
        <w:kinsoku/>
        <w:overflowPunct w:val="0"/>
        <w:autoSpaceDE/>
        <w:bidi w:val="0"/>
        <w:snapToGrid/>
        <w:spacing w:line="576" w:lineRule="exact"/>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（一）加强党的领导。</w:t>
      </w:r>
    </w:p>
    <w:p w14:paraId="5CE00BD2">
      <w:pPr>
        <w:pStyle w:val="24"/>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1.履行政治领导责任，做好理论武装和思想政治工作，负责学习、宣传、贯彻执行党的理论和路线方针政策，贯彻落实党中央、省委、州委、县委的决策部署，发挥好把方向、管大局、保落实的重要作用。</w:t>
      </w:r>
    </w:p>
    <w:p w14:paraId="57C8E53F">
      <w:pPr>
        <w:pStyle w:val="24"/>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2.履行</w:t>
      </w:r>
      <w:r>
        <w:rPr>
          <w:rFonts w:hint="eastAsia" w:ascii="Times New Roman" w:hAnsi="Times New Roman" w:eastAsia="仿宋" w:cs="Times New Roman"/>
          <w:color w:val="000000"/>
          <w:kern w:val="2"/>
          <w:sz w:val="32"/>
          <w:szCs w:val="24"/>
          <w:lang w:val="en-US" w:eastAsia="zh-CN" w:bidi="ar-SA"/>
        </w:rPr>
        <w:t>党要管党、全面从严治党</w:t>
      </w:r>
      <w:r>
        <w:rPr>
          <w:rFonts w:ascii="Times New Roman" w:hAnsi="Times New Roman" w:eastAsia="仿宋" w:cs="Times New Roman"/>
          <w:color w:val="000000"/>
          <w:kern w:val="2"/>
          <w:sz w:val="32"/>
          <w:szCs w:val="24"/>
          <w:lang w:val="en-US" w:eastAsia="zh-CN" w:bidi="ar-SA"/>
        </w:rPr>
        <w:t>主体责任，全面推进辖区党的政治建设、思想建设、组织建设、作风建设、纪律建设，落实党建工作责任制，推动全面从严治党向基层延伸。认真履行党风廉政建设主体责任，维护和执行党的纪律，监督党员干部和其他工作人员严格遵守国家法律法规。</w:t>
      </w:r>
    </w:p>
    <w:p w14:paraId="50974104">
      <w:pPr>
        <w:pStyle w:val="24"/>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3.讨论和决定辖区内</w:t>
      </w:r>
      <w:r>
        <w:rPr>
          <w:rFonts w:hint="eastAsia" w:ascii="Times New Roman" w:hAnsi="Times New Roman" w:eastAsia="仿宋" w:cs="Times New Roman"/>
          <w:color w:val="000000"/>
          <w:kern w:val="2"/>
          <w:sz w:val="32"/>
          <w:szCs w:val="24"/>
          <w:lang w:val="en-US" w:eastAsia="zh-CN" w:bidi="ar-SA"/>
        </w:rPr>
        <w:t>经济建设、政治建设、文化建设、社会建设、生态文明建设</w:t>
      </w:r>
      <w:r>
        <w:rPr>
          <w:rFonts w:ascii="Times New Roman" w:hAnsi="Times New Roman" w:eastAsia="仿宋" w:cs="Times New Roman"/>
          <w:color w:val="000000"/>
          <w:kern w:val="2"/>
          <w:sz w:val="32"/>
          <w:szCs w:val="24"/>
          <w:lang w:val="en-US" w:eastAsia="zh-CN" w:bidi="ar-SA"/>
        </w:rPr>
        <w:t>、</w:t>
      </w:r>
      <w:r>
        <w:rPr>
          <w:rFonts w:hint="eastAsia" w:ascii="Times New Roman" w:hAnsi="Times New Roman" w:eastAsia="仿宋" w:cs="Times New Roman"/>
          <w:color w:val="000000"/>
          <w:kern w:val="2"/>
          <w:sz w:val="32"/>
          <w:szCs w:val="24"/>
          <w:lang w:val="en-US" w:eastAsia="zh-CN" w:bidi="ar-SA"/>
        </w:rPr>
        <w:t>法治建设</w:t>
      </w:r>
      <w:r>
        <w:rPr>
          <w:rFonts w:ascii="Times New Roman" w:hAnsi="Times New Roman" w:eastAsia="仿宋" w:cs="Times New Roman"/>
          <w:color w:val="000000"/>
          <w:kern w:val="2"/>
          <w:sz w:val="32"/>
          <w:szCs w:val="24"/>
          <w:lang w:val="en-US" w:eastAsia="zh-CN" w:bidi="ar-SA"/>
        </w:rPr>
        <w:t>和党的建设以及乡村振兴中的重大问题。其他应当由党委讨论和决定的重大问题。</w:t>
      </w:r>
    </w:p>
    <w:p w14:paraId="70ACDF99">
      <w:pPr>
        <w:pStyle w:val="24"/>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4.贯彻党管干部原则，加强干部队伍建设，完善干部培养选拔机制，加强干部教育管理监督。贯彻党管人才原则，加强人才队伍建设。加强对本乡工会、共青团、妇联等群团工作的领导。</w:t>
      </w:r>
    </w:p>
    <w:p w14:paraId="13283B87">
      <w:pPr>
        <w:pStyle w:val="24"/>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5.指导农村党建，落实基层党建工作责任制，严格抓好基层党组织建设各项制度，统筹抓好乡机关、村、驻辖区单位、行业、“两新”组织等党建工作，推进全面从严治党，落实农村基层党建工作要求。</w:t>
      </w:r>
    </w:p>
    <w:p w14:paraId="5D903E90">
      <w:pPr>
        <w:pStyle w:val="24"/>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6.加强基层社会宣传、舆论引导、精神文明建设、统一战线工作，落实党管意识形态工作责任制，健全完善党建引领基层体系，强化基层治理平台建设，进一步增强党在农村的</w:t>
      </w:r>
      <w:r>
        <w:rPr>
          <w:rFonts w:hint="eastAsia" w:ascii="Times New Roman" w:hAnsi="Times New Roman" w:eastAsia="仿宋" w:cs="Times New Roman"/>
          <w:color w:val="000000"/>
          <w:kern w:val="2"/>
          <w:sz w:val="32"/>
          <w:szCs w:val="24"/>
          <w:lang w:val="en-US" w:eastAsia="zh-CN" w:bidi="ar-SA"/>
        </w:rPr>
        <w:t>党的政治领导力、思想引领力、群众组织力、社会号召力</w:t>
      </w:r>
      <w:r>
        <w:rPr>
          <w:rFonts w:ascii="Times New Roman" w:hAnsi="Times New Roman" w:eastAsia="仿宋" w:cs="Times New Roman"/>
          <w:color w:val="000000"/>
          <w:kern w:val="2"/>
          <w:sz w:val="32"/>
          <w:szCs w:val="24"/>
          <w:lang w:val="en-US" w:eastAsia="zh-CN" w:bidi="ar-SA"/>
        </w:rPr>
        <w:t>。</w:t>
      </w:r>
    </w:p>
    <w:p w14:paraId="4D76546D">
      <w:pPr>
        <w:pStyle w:val="24"/>
        <w:keepNext w:val="0"/>
        <w:keepLines w:val="0"/>
        <w:pageBreakBefore w:val="0"/>
        <w:widowControl w:val="0"/>
        <w:kinsoku/>
        <w:overflowPunct w:val="0"/>
        <w:autoSpaceDE/>
        <w:bidi w:val="0"/>
        <w:snapToGrid/>
        <w:spacing w:line="576" w:lineRule="exact"/>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（二）统筹经济发展。</w:t>
      </w:r>
    </w:p>
    <w:p w14:paraId="319C73AF">
      <w:pPr>
        <w:pStyle w:val="24"/>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1.负责辖区经济发展工作，执行辖区内的经济和社会发展计划、预算。参与区域内土地利用、产业发展等规划编制，对区域内重大基础设施建设、重大公共服务资源布局、重大政策提出意见建议。落实辖区内发展规划、专项规划、区域规划、国土空间规划和“四好农村路”建设等。</w:t>
      </w:r>
    </w:p>
    <w:p w14:paraId="50E0D47A">
      <w:pPr>
        <w:pStyle w:val="24"/>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2.</w:t>
      </w:r>
      <w:r>
        <w:rPr>
          <w:rFonts w:hint="eastAsia" w:ascii="Times New Roman" w:hAnsi="Times New Roman" w:eastAsia="仿宋" w:cs="Times New Roman"/>
          <w:color w:val="000000"/>
          <w:kern w:val="2"/>
          <w:sz w:val="32"/>
          <w:szCs w:val="24"/>
          <w:lang w:val="en-US" w:eastAsia="zh-CN" w:bidi="ar-SA"/>
        </w:rPr>
        <w:t>巩固拓展脱贫攻坚成果</w:t>
      </w:r>
      <w:r>
        <w:rPr>
          <w:rFonts w:ascii="Times New Roman" w:hAnsi="Times New Roman" w:eastAsia="仿宋" w:cs="Times New Roman"/>
          <w:color w:val="000000"/>
          <w:kern w:val="2"/>
          <w:sz w:val="32"/>
          <w:szCs w:val="24"/>
          <w:lang w:val="en-US" w:eastAsia="zh-CN" w:bidi="ar-SA"/>
        </w:rPr>
        <w:t>，贯彻落实中央、省、州、县关于实施乡村振兴战略的决策部署，提升农业发展质量，加强农村人居环境整治，推进宜居乡村建设，增强乡村振兴内生动力。</w:t>
      </w:r>
    </w:p>
    <w:p w14:paraId="46EDF86B">
      <w:pPr>
        <w:pStyle w:val="24"/>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3.指导农村经济发展，推动产业结构调整。保护各种经济组织的合法权益，营造良好的营商环境。</w:t>
      </w:r>
    </w:p>
    <w:p w14:paraId="61320088">
      <w:pPr>
        <w:pStyle w:val="24"/>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4.落实财政保障和财政管理有关政策，统筹管理本级财务及国有资产，协助做好税收征管工作，指导、监管村级财务和资产管理工作等。</w:t>
      </w:r>
    </w:p>
    <w:p w14:paraId="28409685">
      <w:pPr>
        <w:pStyle w:val="24"/>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5.负责村镇规范建设管理，统筹农村基础设施建设等工作。负责辖区内自然资源保护、生态环境保护、城镇管理等工作。</w:t>
      </w:r>
    </w:p>
    <w:p w14:paraId="15D963E0">
      <w:pPr>
        <w:pStyle w:val="24"/>
        <w:keepNext w:val="0"/>
        <w:keepLines w:val="0"/>
        <w:pageBreakBefore w:val="0"/>
        <w:widowControl w:val="0"/>
        <w:kinsoku/>
        <w:overflowPunct w:val="0"/>
        <w:autoSpaceDE/>
        <w:bidi w:val="0"/>
        <w:snapToGrid/>
        <w:spacing w:line="576" w:lineRule="exact"/>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（三）加强民生改善。</w:t>
      </w:r>
    </w:p>
    <w:p w14:paraId="1259CFD1">
      <w:pPr>
        <w:pStyle w:val="24"/>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1.加强乡综合便民服务平台标准化建设，做好农村服务配套设施和综合服务平台建设，提升便民服务质量。</w:t>
      </w:r>
    </w:p>
    <w:p w14:paraId="4120A66E">
      <w:pPr>
        <w:pStyle w:val="24"/>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2.负责教育体育、劳动就业、社会保障、卫生健康、计划生育、医疗保障、低保救助、助老助残、殡葬管理、文化旅游、民族宗教、移民搬迁、农技推广、农民工、妇女和未成年人保护等公共服务工作，承担组织领导、推进实施、综合协调等职责。</w:t>
      </w:r>
    </w:p>
    <w:p w14:paraId="125B29F5">
      <w:pPr>
        <w:pStyle w:val="24"/>
        <w:keepNext w:val="0"/>
        <w:keepLines w:val="0"/>
        <w:pageBreakBefore w:val="0"/>
        <w:widowControl w:val="0"/>
        <w:kinsoku/>
        <w:overflowPunct w:val="0"/>
        <w:autoSpaceDE/>
        <w:bidi w:val="0"/>
        <w:snapToGrid/>
        <w:spacing w:line="576" w:lineRule="exact"/>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（四）维护社会稳定。</w:t>
      </w:r>
    </w:p>
    <w:p w14:paraId="23FC4A02">
      <w:pPr>
        <w:pStyle w:val="24"/>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1.负责辖区公共安全及安全生产监管、应急管理工作。构建公共安全防控体系，建立应对突发紧急事件的处理预案，做好安全生产、防汛、消防、森林（草原）防灭火、减灾救灾、防疫、气象灾害防御、食品药品安全、地质灾害防治等应急管理工作，加强监督检查、隐患排查，落实安全生产责任制。负责辖区内生态环境保护和自然资源管理等工作。</w:t>
      </w:r>
    </w:p>
    <w:p w14:paraId="264C2C30">
      <w:pPr>
        <w:pStyle w:val="24"/>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2.承担辖区社会治安综合治理工作，加强</w:t>
      </w:r>
      <w:r>
        <w:rPr>
          <w:rFonts w:hint="eastAsia" w:ascii="Times New Roman" w:hAnsi="Times New Roman" w:eastAsia="仿宋" w:cs="Times New Roman"/>
          <w:color w:val="000000"/>
          <w:kern w:val="2"/>
          <w:sz w:val="32"/>
          <w:szCs w:val="24"/>
          <w:lang w:val="en-US" w:eastAsia="zh-CN" w:bidi="ar-SA"/>
        </w:rPr>
        <w:t>法治建设</w:t>
      </w:r>
      <w:r>
        <w:rPr>
          <w:rFonts w:ascii="Times New Roman" w:hAnsi="Times New Roman" w:eastAsia="仿宋" w:cs="Times New Roman"/>
          <w:color w:val="000000"/>
          <w:kern w:val="2"/>
          <w:sz w:val="32"/>
          <w:szCs w:val="24"/>
          <w:lang w:val="en-US" w:eastAsia="zh-CN" w:bidi="ar-SA"/>
        </w:rPr>
        <w:t>和社会治安综合治理。贯彻落实社会矛盾纠纷排查调处机制，及时化解辖区社会矛盾纠纷，确保社会稳定。协助司法机关开展打击各类刑事犯罪和禁毒、扫黑除恶等活动，稳妥处理突发性、群体性事件，确保人民群众生命财产安全。</w:t>
      </w:r>
    </w:p>
    <w:p w14:paraId="1DCDC4A0">
      <w:pPr>
        <w:pStyle w:val="24"/>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3.指导村民自治，促进社会组织健康发展，完善村规民约，增强社会自治功能。</w:t>
      </w:r>
    </w:p>
    <w:p w14:paraId="07DC9DEC">
      <w:pPr>
        <w:pStyle w:val="24"/>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4.负责国防教育，承担辖区内国防动员、征兵、民兵预备役、双拥等工作。</w:t>
      </w:r>
    </w:p>
    <w:p w14:paraId="114FE2A1">
      <w:pPr>
        <w:pStyle w:val="24"/>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5.保障各少数民族的合法权利和利益，尊重少数民族的风俗习惯，坚决与民族分裂活动和邪教组织斗争。</w:t>
      </w:r>
    </w:p>
    <w:p w14:paraId="7C62F96E">
      <w:pPr>
        <w:pStyle w:val="24"/>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6.保障宪法和法律赋予妇女的男女平等、同工同酬和婚姻自由等各项权利。</w:t>
      </w:r>
    </w:p>
    <w:p w14:paraId="733433F9">
      <w:pPr>
        <w:pStyle w:val="24"/>
        <w:keepNext w:val="0"/>
        <w:keepLines w:val="0"/>
        <w:pageBreakBefore w:val="0"/>
        <w:widowControl w:val="0"/>
        <w:kinsoku/>
        <w:overflowPunct w:val="0"/>
        <w:autoSpaceDE/>
        <w:bidi w:val="0"/>
        <w:snapToGrid/>
        <w:spacing w:line="576" w:lineRule="exact"/>
        <w:textAlignment w:val="top"/>
        <w:rPr>
          <w:rFonts w:ascii="Times New Roman" w:hAnsi="Times New Roman" w:eastAsia="仿宋" w:cs="Times New Roman"/>
          <w:b w:val="0"/>
          <w:bCs w:val="0"/>
          <w:color w:val="000000"/>
          <w:kern w:val="2"/>
          <w:sz w:val="32"/>
          <w:szCs w:val="24"/>
          <w:lang w:val="en-US" w:eastAsia="zh-CN" w:bidi="ar-SA"/>
        </w:rPr>
      </w:pPr>
      <w:r>
        <w:rPr>
          <w:rFonts w:ascii="Times New Roman" w:hAnsi="Times New Roman" w:eastAsia="仿宋" w:cs="Times New Roman"/>
          <w:b w:val="0"/>
          <w:bCs w:val="0"/>
          <w:color w:val="000000"/>
          <w:kern w:val="2"/>
          <w:sz w:val="32"/>
          <w:szCs w:val="24"/>
          <w:lang w:val="en-US" w:eastAsia="zh-CN" w:bidi="ar-SA"/>
        </w:rPr>
        <w:t>（五）完成上级交办的其他事项。</w:t>
      </w:r>
    </w:p>
    <w:p w14:paraId="1CE55564">
      <w:pPr>
        <w:keepNext w:val="0"/>
        <w:keepLines w:val="0"/>
        <w:pageBreakBefore w:val="0"/>
        <w:kinsoku/>
        <w:overflowPunct/>
        <w:autoSpaceDE/>
        <w:bidi w:val="0"/>
        <w:snapToGrid/>
        <w:spacing w:line="578" w:lineRule="exact"/>
        <w:ind w:right="0" w:firstLine="640"/>
        <w:jc w:val="both"/>
        <w:textAlignment w:val="auto"/>
        <w:rPr>
          <w:rFonts w:ascii="Times New Roman" w:hAnsi="Times New Roman" w:eastAsia="仿宋" w:cs="Times New Roman"/>
          <w:b w:val="0"/>
          <w:bCs w:val="0"/>
          <w:color w:val="000000"/>
          <w:kern w:val="2"/>
          <w:sz w:val="32"/>
          <w:szCs w:val="24"/>
          <w:lang w:val="en-US" w:eastAsia="zh-CN" w:bidi="ar-SA"/>
        </w:rPr>
      </w:pPr>
      <w:r>
        <w:rPr>
          <w:rFonts w:ascii="仿宋" w:hAnsi="仿宋" w:eastAsia="仿宋" w:cs="仿宋"/>
          <w:b w:val="0"/>
          <w:bCs w:val="0"/>
          <w:sz w:val="32"/>
          <w:szCs w:val="32"/>
          <w:lang w:val="en-US" w:eastAsia="zh-CN"/>
        </w:rPr>
        <w:t>积极响应县委、县政府“一城两心三地四片”五个松潘发展战略，主动融入“南部农旅融合示范区”，全力实施大姓乡“一心两线三产业”发展新思路，暨云昌村为中心</w:t>
      </w:r>
      <w:r>
        <w:rPr>
          <w:rFonts w:hint="eastAsia" w:ascii="仿宋" w:hAnsi="仿宋" w:eastAsia="仿宋" w:cs="仿宋"/>
          <w:b w:val="0"/>
          <w:bCs w:val="0"/>
          <w:sz w:val="32"/>
          <w:szCs w:val="32"/>
          <w:lang w:val="en-US" w:eastAsia="zh-CN"/>
        </w:rPr>
        <w:t>，以</w:t>
      </w:r>
      <w:r>
        <w:rPr>
          <w:rFonts w:ascii="仿宋" w:hAnsi="仿宋" w:eastAsia="仿宋" w:cs="仿宋"/>
          <w:b w:val="0"/>
          <w:bCs w:val="0"/>
          <w:sz w:val="32"/>
          <w:szCs w:val="32"/>
          <w:lang w:val="en-US" w:eastAsia="zh-CN"/>
        </w:rPr>
        <w:t>雪宝顶登山路线、青格峰登山路线，林下中药材产业、精品民宿产业、徒步登山产业，让项目做起来，让经济发展起来，让旅游活起来，让群众富起来，不断擦亮“户外秘境·魅力大姓”品牌。</w:t>
      </w:r>
    </w:p>
    <w:p w14:paraId="4822901F">
      <w:pPr>
        <w:pStyle w:val="26"/>
        <w:keepNext w:val="0"/>
        <w:keepLines w:val="0"/>
        <w:pageBreakBefore w:val="0"/>
        <w:widowControl/>
        <w:kinsoku/>
        <w:bidi w:val="0"/>
        <w:snapToGrid/>
        <w:spacing w:before="0" w:after="100" w:line="576" w:lineRule="exact"/>
        <w:jc w:val="left"/>
        <w:rPr>
          <w:rFonts w:ascii="Times New Roman" w:hAnsi="Times New Roman" w:eastAsia="仿宋" w:cs="Times New Roman"/>
          <w:b w:val="0"/>
          <w:bCs w:val="0"/>
          <w:color w:val="000000"/>
          <w:kern w:val="2"/>
          <w:sz w:val="32"/>
          <w:szCs w:val="24"/>
          <w:lang w:val="en-US" w:eastAsia="zh-CN" w:bidi="ar-SA"/>
        </w:rPr>
      </w:pPr>
      <w:r>
        <w:rPr>
          <w:rFonts w:ascii="Times New Roman" w:hAnsi="Times New Roman" w:eastAsia="仿宋" w:cs="Times New Roman"/>
          <w:b w:val="0"/>
          <w:bCs w:val="0"/>
          <w:color w:val="000000"/>
          <w:kern w:val="2"/>
          <w:sz w:val="32"/>
          <w:szCs w:val="24"/>
          <w:lang w:val="en-US" w:eastAsia="zh-CN" w:bidi="ar-SA"/>
        </w:rPr>
        <w:t>（六）202</w:t>
      </w:r>
      <w:r>
        <w:rPr>
          <w:rFonts w:hint="eastAsia" w:ascii="Times New Roman" w:hAnsi="Times New Roman" w:eastAsia="仿宋" w:cs="Times New Roman"/>
          <w:b w:val="0"/>
          <w:bCs w:val="0"/>
          <w:color w:val="000000"/>
          <w:kern w:val="2"/>
          <w:sz w:val="32"/>
          <w:szCs w:val="24"/>
          <w:lang w:val="en-US" w:eastAsia="zh-CN" w:bidi="ar-SA"/>
        </w:rPr>
        <w:t>5</w:t>
      </w:r>
      <w:r>
        <w:rPr>
          <w:rFonts w:ascii="Times New Roman" w:hAnsi="Times New Roman" w:eastAsia="仿宋" w:cs="Times New Roman"/>
          <w:b w:val="0"/>
          <w:bCs w:val="0"/>
          <w:color w:val="000000"/>
          <w:kern w:val="2"/>
          <w:sz w:val="32"/>
          <w:szCs w:val="24"/>
          <w:lang w:val="en-US" w:eastAsia="zh-CN" w:bidi="ar-SA"/>
        </w:rPr>
        <w:t>年重点工作完成情况。</w:t>
      </w:r>
    </w:p>
    <w:p w14:paraId="2ED9BA7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（一）聚焦产业提质，经济发展动能实现稳步增强</w:t>
      </w:r>
    </w:p>
    <w:p w14:paraId="0571C6F5">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一是特色农业规模化成型。</w:t>
      </w:r>
      <w:r>
        <w:rPr>
          <w:rFonts w:hint="eastAsia" w:ascii="仿宋_GB2312" w:hAnsi="仿宋_GB2312" w:eastAsia="仿宋_GB2312" w:cs="仿宋_GB2312"/>
          <w:sz w:val="32"/>
          <w:szCs w:val="32"/>
        </w:rPr>
        <w:t>全乡农村居民人均可支配收入由</w:t>
      </w:r>
      <w:r>
        <w:rPr>
          <w:rFonts w:hint="default" w:ascii="Times New Roman" w:hAnsi="Times New Roman" w:eastAsia="仿宋_GB2312" w:cs="Times New Roman"/>
          <w:sz w:val="32"/>
          <w:szCs w:val="32"/>
        </w:rPr>
        <w:t>13172</w:t>
      </w:r>
      <w:r>
        <w:rPr>
          <w:rFonts w:hint="eastAsia" w:ascii="仿宋_GB2312" w:hAnsi="仿宋_GB2312" w:eastAsia="仿宋_GB2312" w:cs="仿宋_GB2312"/>
          <w:sz w:val="32"/>
          <w:szCs w:val="32"/>
        </w:rPr>
        <w:t>元增长至</w:t>
      </w:r>
      <w:r>
        <w:rPr>
          <w:rFonts w:hint="default" w:ascii="Times New Roman" w:hAnsi="Times New Roman" w:eastAsia="仿宋_GB2312" w:cs="Times New Roman"/>
          <w:sz w:val="32"/>
          <w:szCs w:val="32"/>
        </w:rPr>
        <w:t>19832</w:t>
      </w:r>
      <w:r>
        <w:rPr>
          <w:rFonts w:hint="eastAsia" w:ascii="仿宋_GB2312" w:hAnsi="仿宋_GB2312" w:eastAsia="仿宋_GB2312" w:cs="仿宋_GB2312"/>
          <w:sz w:val="32"/>
          <w:szCs w:val="32"/>
        </w:rPr>
        <w:t>元，年均增长</w:t>
      </w:r>
      <w:r>
        <w:rPr>
          <w:rFonts w:hint="default" w:ascii="Times New Roman" w:hAnsi="Times New Roman" w:eastAsia="仿宋_GB2312" w:cs="Times New Roman"/>
          <w:sz w:val="32"/>
          <w:szCs w:val="32"/>
        </w:rPr>
        <w:t>8</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53</w:t>
      </w:r>
      <w:r>
        <w:rPr>
          <w:rFonts w:hint="eastAsia" w:ascii="仿宋_GB2312" w:hAnsi="仿宋_GB2312" w:eastAsia="仿宋_GB2312" w:cs="仿宋_GB2312"/>
          <w:sz w:val="32"/>
          <w:szCs w:val="32"/>
        </w:rPr>
        <w:t>%。严守耕地和粮食安全底线，复垦撂荒地</w:t>
      </w:r>
      <w:r>
        <w:rPr>
          <w:rFonts w:hint="default" w:ascii="Times New Roman" w:hAnsi="Times New Roman" w:eastAsia="仿宋_GB2312" w:cs="Times New Roman"/>
          <w:sz w:val="32"/>
          <w:szCs w:val="32"/>
        </w:rPr>
        <w:t>170</w:t>
      </w:r>
      <w:r>
        <w:rPr>
          <w:rFonts w:hint="eastAsia" w:ascii="仿宋_GB2312" w:hAnsi="仿宋_GB2312" w:eastAsia="仿宋_GB2312" w:cs="仿宋_GB2312"/>
          <w:sz w:val="32"/>
          <w:szCs w:val="32"/>
        </w:rPr>
        <w:t>亩，建成高标准农田</w:t>
      </w:r>
      <w:r>
        <w:rPr>
          <w:rFonts w:hint="default" w:ascii="Times New Roman" w:hAnsi="Times New Roman" w:eastAsia="仿宋_GB2312" w:cs="Times New Roman"/>
          <w:sz w:val="32"/>
          <w:szCs w:val="32"/>
        </w:rPr>
        <w:t>2653</w:t>
      </w:r>
      <w:r>
        <w:rPr>
          <w:rFonts w:hint="eastAsia" w:ascii="仿宋_GB2312" w:hAnsi="仿宋_GB2312" w:eastAsia="仿宋_GB2312" w:cs="仿宋_GB2312"/>
          <w:sz w:val="32"/>
          <w:szCs w:val="32"/>
        </w:rPr>
        <w:t>亩。推行“支部+”模式，贝母种植户累计</w:t>
      </w:r>
      <w:r>
        <w:rPr>
          <w:rFonts w:hint="default" w:ascii="Times New Roman" w:hAnsi="Times New Roman" w:eastAsia="仿宋_GB2312" w:cs="Times New Roman"/>
          <w:sz w:val="32"/>
          <w:szCs w:val="32"/>
        </w:rPr>
        <w:t>200</w:t>
      </w:r>
      <w:r>
        <w:rPr>
          <w:rFonts w:hint="eastAsia" w:ascii="仿宋_GB2312" w:hAnsi="仿宋_GB2312" w:eastAsia="仿宋_GB2312" w:cs="仿宋_GB2312"/>
          <w:sz w:val="32"/>
          <w:szCs w:val="32"/>
        </w:rPr>
        <w:t>余户，群众收益</w:t>
      </w:r>
      <w:r>
        <w:rPr>
          <w:rFonts w:hint="default" w:ascii="Times New Roman" w:hAnsi="Times New Roman" w:eastAsia="仿宋_GB2312" w:cs="Times New Roman"/>
          <w:sz w:val="32"/>
          <w:szCs w:val="32"/>
        </w:rPr>
        <w:t>300</w:t>
      </w:r>
      <w:r>
        <w:rPr>
          <w:rFonts w:hint="eastAsia" w:ascii="仿宋_GB2312" w:hAnsi="仿宋_GB2312" w:eastAsia="仿宋_GB2312" w:cs="仿宋_GB2312"/>
          <w:sz w:val="32"/>
          <w:szCs w:val="32"/>
        </w:rPr>
        <w:t>万元，云昌村川贝母园区获评县三星级现代农业园区。土豆、大蒜订单农业外销近</w:t>
      </w:r>
      <w:r>
        <w:rPr>
          <w:rFonts w:hint="default" w:ascii="Times New Roman" w:hAnsi="Times New Roman" w:eastAsia="仿宋_GB2312" w:cs="Times New Roman"/>
          <w:sz w:val="32"/>
          <w:szCs w:val="32"/>
        </w:rPr>
        <w:t>6</w:t>
      </w:r>
      <w:bookmarkStart w:id="0" w:name="_GoBack"/>
      <w:r>
        <w:rPr>
          <w:rFonts w:hint="eastAsia" w:ascii="仿宋_GB2312" w:hAnsi="仿宋_GB2312" w:eastAsia="仿宋_GB2312" w:cs="仿宋_GB2312"/>
          <w:sz w:val="32"/>
          <w:szCs w:val="32"/>
        </w:rPr>
        <w:t>万斤</w:t>
      </w:r>
      <w:bookmarkEnd w:id="0"/>
      <w:r>
        <w:rPr>
          <w:rFonts w:hint="eastAsia" w:ascii="仿宋_GB2312" w:hAnsi="仿宋_GB2312" w:eastAsia="仿宋_GB2312" w:cs="仿宋_GB2312"/>
          <w:sz w:val="32"/>
          <w:szCs w:val="32"/>
        </w:rPr>
        <w:t>，销售额近</w:t>
      </w:r>
      <w:r>
        <w:rPr>
          <w:rFonts w:hint="default" w:ascii="Times New Roman" w:hAnsi="Times New Roman" w:eastAsia="仿宋_GB2312" w:cs="Times New Roman"/>
          <w:sz w:val="32"/>
          <w:szCs w:val="32"/>
        </w:rPr>
        <w:t>10</w:t>
      </w:r>
      <w:r>
        <w:rPr>
          <w:rFonts w:hint="eastAsia" w:ascii="仿宋_GB2312" w:hAnsi="仿宋_GB2312" w:eastAsia="仿宋_GB2312" w:cs="仿宋_GB2312"/>
          <w:sz w:val="32"/>
          <w:szCs w:val="32"/>
        </w:rPr>
        <w:t>万元。因村施策发展地柏村订单农业、丁谷村环卫公司、木石村和云昌村山语民宿等项目，下纳咪村贝母种植收益</w:t>
      </w:r>
      <w:r>
        <w:rPr>
          <w:rFonts w:hint="default" w:ascii="Times New Roman" w:hAnsi="Times New Roman" w:eastAsia="仿宋_GB2312" w:cs="Times New Roman"/>
          <w:sz w:val="32"/>
          <w:szCs w:val="32"/>
        </w:rPr>
        <w:t>9</w:t>
      </w:r>
      <w:r>
        <w:rPr>
          <w:rFonts w:hint="eastAsia" w:ascii="Times New Roman" w:hAnsi="Times New Roman" w:eastAsia="仿宋_GB2312" w:cs="Times New Roman"/>
          <w:sz w:val="32"/>
          <w:szCs w:val="32"/>
          <w:lang w:eastAsia="zh-CN"/>
        </w:rPr>
        <w:t>万元，村集体经济</w:t>
      </w:r>
      <w:r>
        <w:rPr>
          <w:rFonts w:hint="eastAsia" w:ascii="仿宋_GB2312" w:hAnsi="仿宋_GB2312" w:eastAsia="仿宋_GB2312" w:cs="仿宋_GB2312"/>
          <w:sz w:val="32"/>
          <w:szCs w:val="32"/>
        </w:rPr>
        <w:t>多点开花。</w:t>
      </w:r>
    </w:p>
    <w:p w14:paraId="148AEE1F">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color w:val="000000"/>
          <w:sz w:val="32"/>
          <w:szCs w:val="32"/>
        </w:rPr>
      </w:pPr>
      <w:r>
        <w:rPr>
          <w:rFonts w:hint="eastAsia" w:eastAsia="仿宋_GB2312" w:cs="Times New Roman"/>
          <w:b/>
          <w:bCs/>
          <w:sz w:val="32"/>
          <w:szCs w:val="32"/>
          <w:lang w:val="en-US" w:eastAsia="zh-CN"/>
        </w:rPr>
        <w:t>二</w:t>
      </w:r>
      <w:r>
        <w:rPr>
          <w:rFonts w:hint="default" w:ascii="Times New Roman" w:hAnsi="Times New Roman" w:eastAsia="仿宋_GB2312" w:cs="Times New Roman"/>
          <w:b/>
          <w:bCs/>
          <w:sz w:val="32"/>
          <w:szCs w:val="32"/>
          <w:lang w:val="en-US" w:eastAsia="zh-CN"/>
        </w:rPr>
        <w:t>是项目基建系统性补齐。</w:t>
      </w:r>
      <w:r>
        <w:rPr>
          <w:rFonts w:hint="default" w:ascii="Times New Roman" w:hAnsi="Times New Roman" w:eastAsia="仿宋_GB2312" w:cs="Times New Roman"/>
          <w:color w:val="000000"/>
          <w:sz w:val="32"/>
          <w:szCs w:val="32"/>
        </w:rPr>
        <w:t>五年落地各类项目近30个，总投资1.26亿元，基础设施实现质的改善。统筹推进以工代赈示范工程等8个项目，累计完成投资1136.41万元，有效带动群众就近务工增收；建成大姓乡1号户外综合检查站，完成高标准农田建设，农业与旅游基础设施日趋完善。实施上纳咪村特色村落巩固提升、</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喀秋秘境</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文旅路线</w:t>
      </w:r>
      <w:r>
        <w:rPr>
          <w:rFonts w:hint="eastAsia" w:ascii="Times New Roman" w:hAnsi="Times New Roman" w:eastAsia="仿宋_GB2312" w:cs="Times New Roman"/>
          <w:color w:val="000000"/>
          <w:sz w:val="32"/>
          <w:szCs w:val="32"/>
          <w:lang w:eastAsia="zh-CN"/>
        </w:rPr>
        <w:t>边坡</w:t>
      </w:r>
      <w:r>
        <w:rPr>
          <w:rFonts w:hint="default" w:ascii="Times New Roman" w:hAnsi="Times New Roman" w:eastAsia="仿宋_GB2312" w:cs="Times New Roman"/>
          <w:color w:val="000000"/>
          <w:sz w:val="32"/>
          <w:szCs w:val="32"/>
          <w:lang w:val="en-US" w:eastAsia="zh-CN"/>
        </w:rPr>
        <w:t>治理</w:t>
      </w:r>
      <w:r>
        <w:rPr>
          <w:rFonts w:hint="default" w:ascii="Times New Roman" w:hAnsi="Times New Roman" w:eastAsia="仿宋_GB2312" w:cs="Times New Roman"/>
          <w:color w:val="000000"/>
          <w:sz w:val="32"/>
          <w:szCs w:val="32"/>
        </w:rPr>
        <w:t>及景观重构等项目，总投资达8541.56万元，乡村面貌焕然一新。岷大路改扩建工程全面竣工通车，彻底解决了群众出行难问题。</w:t>
      </w:r>
    </w:p>
    <w:p w14:paraId="0A0248C2">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eastAsia" w:eastAsia="仿宋_GB2312" w:cs="Times New Roman"/>
          <w:b/>
          <w:bCs/>
          <w:sz w:val="32"/>
          <w:szCs w:val="32"/>
          <w:lang w:val="en-US" w:eastAsia="zh-CN"/>
        </w:rPr>
        <w:t>三</w:t>
      </w:r>
      <w:r>
        <w:rPr>
          <w:rFonts w:hint="default" w:ascii="Times New Roman" w:hAnsi="Times New Roman" w:eastAsia="仿宋_GB2312" w:cs="Times New Roman"/>
          <w:b/>
          <w:bCs/>
          <w:sz w:val="32"/>
          <w:szCs w:val="32"/>
          <w:lang w:val="en-US" w:eastAsia="zh-CN"/>
        </w:rPr>
        <w:t>是文旅融合品牌</w:t>
      </w:r>
      <w:r>
        <w:rPr>
          <w:rFonts w:hint="eastAsia" w:ascii="Times New Roman" w:hAnsi="Times New Roman" w:eastAsia="仿宋_GB2312" w:cs="Times New Roman"/>
          <w:b/>
          <w:bCs/>
          <w:sz w:val="32"/>
          <w:szCs w:val="32"/>
          <w:lang w:val="en-US" w:eastAsia="zh-CN"/>
        </w:rPr>
        <w:t>日益响亮</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依托雪宝顶、花绿二海生态资源，</w:t>
      </w:r>
      <w:r>
        <w:rPr>
          <w:rFonts w:hint="default" w:ascii="Times New Roman" w:hAnsi="Times New Roman" w:eastAsia="仿宋_GB2312" w:cs="Times New Roman"/>
          <w:color w:val="000000"/>
          <w:sz w:val="32"/>
          <w:szCs w:val="32"/>
        </w:rPr>
        <w:t>规划形成</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一心两带多点</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的户外旅游格局</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打造</w:t>
      </w:r>
      <w:r>
        <w:rPr>
          <w:rFonts w:hint="default" w:ascii="Times New Roman" w:hAnsi="Times New Roman" w:eastAsia="仿宋_GB2312" w:cs="Times New Roman"/>
          <w:sz w:val="32"/>
          <w:szCs w:val="32"/>
          <w:lang w:val="en-US" w:eastAsia="zh-CN"/>
        </w:rPr>
        <w:t>两条精品徒步线路。建成花绿二海一号营地，</w:t>
      </w:r>
      <w:r>
        <w:rPr>
          <w:rFonts w:hint="default" w:ascii="Times New Roman" w:hAnsi="Times New Roman" w:eastAsia="仿宋_GB2312" w:cs="Times New Roman"/>
          <w:color w:val="000000"/>
          <w:sz w:val="32"/>
          <w:szCs w:val="32"/>
        </w:rPr>
        <w:t>与中铁文旅等</w:t>
      </w:r>
      <w:r>
        <w:rPr>
          <w:rFonts w:hint="eastAsia" w:eastAsia="仿宋_GB2312" w:cs="Times New Roman"/>
          <w:color w:val="000000"/>
          <w:sz w:val="32"/>
          <w:szCs w:val="32"/>
          <w:lang w:eastAsia="zh-CN"/>
        </w:rPr>
        <w:t>企业</w:t>
      </w:r>
      <w:r>
        <w:rPr>
          <w:rFonts w:hint="default" w:ascii="Times New Roman" w:hAnsi="Times New Roman" w:eastAsia="仿宋_GB2312" w:cs="Times New Roman"/>
          <w:color w:val="000000"/>
          <w:sz w:val="32"/>
          <w:szCs w:val="32"/>
        </w:rPr>
        <w:t>达成合作意向</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sz w:val="32"/>
          <w:szCs w:val="32"/>
          <w:lang w:val="en-US" w:eastAsia="zh-CN"/>
        </w:rPr>
        <w:t>在省登协新报备1座山峰——青格峰</w:t>
      </w:r>
      <w:r>
        <w:rPr>
          <w:rFonts w:hint="default"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rPr>
        <w:t>举办</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雪宝顶</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冰雪登山节、雪宝顶赛马会、青格峰登山季等特色节庆活动，五年来累计接待游客4万余人次，旅游综合收入突破500万元。</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光和云朵</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民宿年旅游收入稳定在100万元以上，群众户均分红持续增加；木石村、云昌村依托一号营地、花绿二海带动马帮、向导等配套项目创收40余万元</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文旅产业已成为群众增收致富的重要引擎。</w:t>
      </w:r>
    </w:p>
    <w:p w14:paraId="78C0EF6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（二）坚守民生为本，群众幸福指数实现持续攀升</w:t>
      </w:r>
    </w:p>
    <w:p w14:paraId="13E9542F">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一是防返贫底线</w:t>
      </w:r>
      <w:r>
        <w:rPr>
          <w:rFonts w:hint="eastAsia" w:ascii="Times New Roman" w:hAnsi="Times New Roman" w:eastAsia="仿宋_GB2312" w:cs="Times New Roman"/>
          <w:b/>
          <w:bCs/>
          <w:sz w:val="32"/>
          <w:szCs w:val="32"/>
          <w:lang w:val="en-US" w:eastAsia="zh-CN"/>
        </w:rPr>
        <w:t>全面守牢。</w:t>
      </w:r>
      <w:r>
        <w:rPr>
          <w:rFonts w:hint="default" w:ascii="Times New Roman" w:hAnsi="Times New Roman" w:eastAsia="仿宋_GB2312" w:cs="Times New Roman"/>
          <w:sz w:val="32"/>
          <w:szCs w:val="32"/>
          <w:lang w:val="en-US" w:eastAsia="zh-CN"/>
        </w:rPr>
        <w:t>常态化帮扶66户280名脱贫群众，开发公益性岗位64个，发放就业各类补贴200余万元，牢牢守住不发生规模性返贫底线。全覆盖摸排群众收入情况，按照收入支出比例精准核算，将支出占比较大的农户确定为帮扶户，</w:t>
      </w:r>
      <w:r>
        <w:rPr>
          <w:rFonts w:hint="eastAsia" w:ascii="Times New Roman" w:hAnsi="Times New Roman" w:eastAsia="仿宋_GB2312" w:cs="Times New Roman"/>
          <w:sz w:val="32"/>
          <w:szCs w:val="32"/>
          <w:lang w:val="en-US" w:eastAsia="zh-CN"/>
        </w:rPr>
        <w:t>两</w:t>
      </w:r>
      <w:r>
        <w:rPr>
          <w:rFonts w:hint="default" w:ascii="Times New Roman" w:hAnsi="Times New Roman" w:eastAsia="仿宋_GB2312" w:cs="Times New Roman"/>
          <w:sz w:val="32"/>
          <w:szCs w:val="32"/>
          <w:lang w:val="en-US" w:eastAsia="zh-CN"/>
        </w:rPr>
        <w:t>年共计确定20户帮扶户，并针对性落实助学、就业等帮扶措施，确保帮扶精准到户、措施精准到位。持续强化兜底保障，</w:t>
      </w:r>
      <w:r>
        <w:rPr>
          <w:rFonts w:hint="eastAsia" w:ascii="Times New Roman" w:hAnsi="Times New Roman" w:eastAsia="仿宋_GB2312" w:cs="Times New Roman"/>
          <w:sz w:val="32"/>
          <w:szCs w:val="32"/>
          <w:lang w:val="en-US" w:eastAsia="zh-CN"/>
        </w:rPr>
        <w:t>五年</w:t>
      </w:r>
      <w:r>
        <w:rPr>
          <w:rFonts w:hint="default" w:ascii="Times New Roman" w:hAnsi="Times New Roman" w:eastAsia="仿宋_GB2312" w:cs="Times New Roman"/>
          <w:sz w:val="32"/>
          <w:szCs w:val="32"/>
          <w:lang w:val="en-US" w:eastAsia="zh-CN"/>
        </w:rPr>
        <w:t>累计发放低保、残疾人救助等资金300余万元，医保参保率稳定95%以上。</w:t>
      </w:r>
    </w:p>
    <w:p w14:paraId="54AF0099">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二是公共服务供给不断优化。</w:t>
      </w:r>
      <w:r>
        <w:rPr>
          <w:rFonts w:hint="default" w:ascii="Times New Roman" w:hAnsi="Times New Roman" w:eastAsia="仿宋_GB2312" w:cs="Times New Roman"/>
          <w:sz w:val="32"/>
          <w:szCs w:val="32"/>
          <w:lang w:val="en-US" w:eastAsia="zh-CN"/>
        </w:rPr>
        <w:t>创新民生服务供给模式，联动天津大学、西南科技大学开展支教、义诊服务覆盖群众500人次，对接桐乡恒生鞋业等企业争取价值6万余元的爱心物资。依托微网实格推行上门接送体检服务，累计开展全民体检2000余人次，家庭医生签约全覆盖。巩固教育基本公共服务成果，控辍保学和义务教育阶段学生入学率达100%，学前三年儿童入园率实现100%。教育公平与质量同步提升，群众健康与教育获得感持续增强。深入推进新时代文明实践，评选</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四好家庭</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21户，乡风文明建设走深走实。</w:t>
      </w:r>
    </w:p>
    <w:p w14:paraId="3E86C54F">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三是人居环境持续改善</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构建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户分类、村收集、乡转运</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垃圾清运体系，五年清运生活垃圾2000余吨，建成丁谷村污水处理设施。推行路段网格化包干责任制，公众号开设环境问题曝光督办专栏，整治</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六乱</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死角200余处、拆除违建近20处，村容村貌长效管护机制基本成型。</w:t>
      </w:r>
    </w:p>
    <w:p w14:paraId="214F26B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（三）深化综合治理，平安建设根基实现牢固可靠</w:t>
      </w:r>
    </w:p>
    <w:p w14:paraId="69248C58">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一是</w:t>
      </w:r>
      <w:r>
        <w:rPr>
          <w:rFonts w:hint="eastAsia" w:ascii="Times New Roman" w:hAnsi="Times New Roman" w:eastAsia="仿宋_GB2312" w:cs="Times New Roman"/>
          <w:b/>
          <w:bCs/>
          <w:sz w:val="32"/>
          <w:szCs w:val="32"/>
          <w:lang w:val="en-US" w:eastAsia="zh-CN"/>
        </w:rPr>
        <w:t>基层</w:t>
      </w:r>
      <w:r>
        <w:rPr>
          <w:rFonts w:hint="default" w:ascii="Times New Roman" w:hAnsi="Times New Roman" w:eastAsia="仿宋_GB2312" w:cs="Times New Roman"/>
          <w:b/>
          <w:bCs/>
          <w:sz w:val="32"/>
          <w:szCs w:val="32"/>
          <w:lang w:val="en-US" w:eastAsia="zh-CN"/>
        </w:rPr>
        <w:t>治理效能</w:t>
      </w:r>
      <w:r>
        <w:rPr>
          <w:rFonts w:hint="eastAsia" w:ascii="Times New Roman" w:hAnsi="Times New Roman" w:eastAsia="仿宋_GB2312" w:cs="Times New Roman"/>
          <w:b/>
          <w:bCs/>
          <w:sz w:val="32"/>
          <w:szCs w:val="32"/>
          <w:lang w:val="en-US" w:eastAsia="zh-CN"/>
        </w:rPr>
        <w:t>显著</w:t>
      </w:r>
      <w:r>
        <w:rPr>
          <w:rFonts w:hint="default" w:ascii="Times New Roman" w:hAnsi="Times New Roman" w:eastAsia="仿宋_GB2312" w:cs="Times New Roman"/>
          <w:b/>
          <w:bCs/>
          <w:sz w:val="32"/>
          <w:szCs w:val="32"/>
          <w:lang w:val="en-US" w:eastAsia="zh-CN"/>
        </w:rPr>
        <w:t>提升。</w:t>
      </w:r>
      <w:r>
        <w:rPr>
          <w:rFonts w:hint="default" w:ascii="Times New Roman" w:hAnsi="Times New Roman" w:eastAsia="仿宋_GB2312" w:cs="Times New Roman"/>
          <w:sz w:val="32"/>
          <w:szCs w:val="32"/>
          <w:lang w:val="en-US" w:eastAsia="zh-CN"/>
        </w:rPr>
        <w:t>以“微网实格”工作为抓手，</w:t>
      </w:r>
      <w:r>
        <w:rPr>
          <w:rFonts w:hint="eastAsia" w:ascii="Times New Roman" w:hAnsi="Times New Roman" w:eastAsia="仿宋_GB2312" w:cs="Times New Roman"/>
          <w:sz w:val="32"/>
          <w:szCs w:val="32"/>
          <w:lang w:val="en-US" w:eastAsia="zh-CN"/>
        </w:rPr>
        <w:t>网格员</w:t>
      </w:r>
      <w:r>
        <w:rPr>
          <w:rFonts w:hint="default" w:ascii="Times New Roman" w:hAnsi="Times New Roman" w:eastAsia="仿宋_GB2312" w:cs="Times New Roman"/>
          <w:sz w:val="32"/>
          <w:szCs w:val="32"/>
          <w:lang w:val="en-US" w:eastAsia="zh-CN"/>
        </w:rPr>
        <w:t>深入村寨开展政策宣讲、隐患排查、暖心服务等具体工作，五年累计开展民生服务1500余次，通过</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有事找纪检</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等渠道累计解决困难诉求500余件，群众满意度显著提升。以网格为单元推动集体经济发展、登山线路开发等，实现治理效能与经济效益互促共进</w:t>
      </w:r>
      <w:r>
        <w:rPr>
          <w:rFonts w:hint="eastAsia" w:ascii="Times New Roman" w:hAnsi="Times New Roman" w:eastAsia="仿宋_GB2312" w:cs="Times New Roman"/>
          <w:sz w:val="32"/>
          <w:szCs w:val="32"/>
          <w:lang w:val="en-US" w:eastAsia="zh-CN"/>
        </w:rPr>
        <w:t>。</w:t>
      </w:r>
    </w:p>
    <w:p w14:paraId="46EF4F4B">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kern w:val="2"/>
          <w:sz w:val="32"/>
          <w:szCs w:val="32"/>
          <w:lang w:val="en-US" w:eastAsia="zh-CN" w:bidi="ar-SA"/>
        </w:rPr>
        <w:t>二是平安建设根基持续筑牢。</w:t>
      </w:r>
      <w:r>
        <w:rPr>
          <w:rFonts w:hint="default" w:ascii="Times New Roman" w:hAnsi="Times New Roman" w:eastAsia="仿宋_GB2312" w:cs="Times New Roman"/>
          <w:sz w:val="32"/>
          <w:szCs w:val="32"/>
          <w:lang w:val="en-US" w:eastAsia="zh-CN"/>
        </w:rPr>
        <w:t>加强重点人员、场所、区域管控，</w:t>
      </w:r>
      <w:r>
        <w:rPr>
          <w:rFonts w:hint="eastAsia" w:ascii="Times New Roman" w:hAnsi="Times New Roman" w:eastAsia="仿宋_GB2312" w:cs="Times New Roman"/>
          <w:sz w:val="32"/>
          <w:szCs w:val="32"/>
          <w:lang w:val="en-US" w:eastAsia="zh-CN"/>
        </w:rPr>
        <w:t>对</w:t>
      </w:r>
      <w:r>
        <w:rPr>
          <w:rFonts w:hint="default" w:ascii="Times New Roman" w:hAnsi="Times New Roman" w:eastAsia="仿宋_GB2312" w:cs="Times New Roman"/>
          <w:sz w:val="32"/>
          <w:szCs w:val="32"/>
          <w:lang w:val="en-US" w:eastAsia="zh-CN"/>
        </w:rPr>
        <w:t>辖区内4名精神障碍患者、5名刑满解教人员落实“一对一”管理措施</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矛盾纠纷多元化解机制不断完善，五年来成功调处各类矛盾纠纷100余起，调解成功率达98%以上，基本实现“小事不出村、大事不出乡”。对上纳咪寺庙实行“一寺一策”管理，对15名僧人落实“一人一档”，全面落实联寺联僧制度，五年累计走访僧人600余次，常态化开展宗教政策法规宣传宣讲200余次，持续巩固民族团结、宗教和顺、社会稳定的良好局面。</w:t>
      </w:r>
    </w:p>
    <w:p w14:paraId="5A74D295">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kern w:val="2"/>
          <w:sz w:val="32"/>
          <w:szCs w:val="32"/>
          <w:lang w:val="en-US" w:eastAsia="zh-CN" w:bidi="ar-SA"/>
        </w:rPr>
        <w:t>三是安全防线全面筑牢。</w:t>
      </w:r>
      <w:r>
        <w:rPr>
          <w:rFonts w:hint="default" w:ascii="Times New Roman" w:hAnsi="Times New Roman" w:eastAsia="仿宋_GB2312" w:cs="Times New Roman"/>
          <w:sz w:val="32"/>
          <w:szCs w:val="32"/>
          <w:lang w:val="en-US" w:eastAsia="zh-CN"/>
        </w:rPr>
        <w:t>抓实安全生产全领域管控，常态化排查整改安全隐患200余处，建立综合应急队伍7支，开展应急演练20余次；成功应对</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7.18</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山洪泥石流等自然灾害，实现零伤亡，举办全县首期高山协作培训班，培育高山协作向导15名，成立40人首支红十字会山地救援队，户外旅游安全持续增强。五年未发生重大安全事故、群体性事件，社会大局持续和谐稳定。</w:t>
      </w:r>
    </w:p>
    <w:p w14:paraId="3F9A1B8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二、存在问题</w:t>
      </w:r>
    </w:p>
    <w:p w14:paraId="73C25FDD">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一是</w:t>
      </w:r>
      <w:r>
        <w:rPr>
          <w:rFonts w:hint="default" w:ascii="Times New Roman" w:hAnsi="Times New Roman" w:eastAsia="仿宋_GB2312" w:cs="Times New Roman"/>
          <w:sz w:val="32"/>
          <w:szCs w:val="32"/>
          <w:lang w:val="en-US" w:eastAsia="zh-CN"/>
        </w:rPr>
        <w:t>经济发展的质量和效益有待提升，</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农旅融合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深度不够，产业链条短、附加值低的问题依然存在。</w:t>
      </w:r>
      <w:r>
        <w:rPr>
          <w:rFonts w:hint="default" w:ascii="Times New Roman" w:hAnsi="Times New Roman" w:eastAsia="仿宋_GB2312" w:cs="Times New Roman"/>
          <w:b/>
          <w:bCs/>
          <w:sz w:val="32"/>
          <w:szCs w:val="32"/>
          <w:lang w:val="en-US" w:eastAsia="zh-CN"/>
        </w:rPr>
        <w:t>二是</w:t>
      </w:r>
      <w:r>
        <w:rPr>
          <w:rFonts w:hint="default" w:ascii="Times New Roman" w:hAnsi="Times New Roman" w:eastAsia="仿宋_GB2312" w:cs="Times New Roman"/>
          <w:sz w:val="32"/>
          <w:szCs w:val="32"/>
          <w:lang w:val="en-US" w:eastAsia="zh-CN"/>
        </w:rPr>
        <w:t>基础设施和公共服务仍有短板，道路交通等基础设施及医疗、养老等公共服务供给与群众期盼还有差距。</w:t>
      </w:r>
      <w:r>
        <w:rPr>
          <w:rFonts w:hint="default" w:ascii="Times New Roman" w:hAnsi="Times New Roman" w:eastAsia="仿宋_GB2312" w:cs="Times New Roman"/>
          <w:b/>
          <w:bCs/>
          <w:sz w:val="32"/>
          <w:szCs w:val="32"/>
          <w:lang w:val="en-US" w:eastAsia="zh-CN"/>
        </w:rPr>
        <w:t>三是</w:t>
      </w:r>
      <w:r>
        <w:rPr>
          <w:rFonts w:hint="default" w:ascii="Times New Roman" w:hAnsi="Times New Roman" w:eastAsia="仿宋_GB2312" w:cs="Times New Roman"/>
          <w:sz w:val="32"/>
          <w:szCs w:val="32"/>
          <w:lang w:val="en-US" w:eastAsia="zh-CN"/>
        </w:rPr>
        <w:t>乡村治理能力有待加强，部分党员干部主动担当、主动作为意识不足，</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微网实格</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治理效能有待进一步发挥。</w:t>
      </w:r>
    </w:p>
    <w:p w14:paraId="4C277E46">
      <w:pPr>
        <w:pStyle w:val="3"/>
        <w:numPr>
          <w:ilvl w:val="0"/>
          <w:numId w:val="0"/>
        </w:numPr>
        <w:ind w:left="0" w:firstLine="0"/>
        <w:rPr>
          <w:rFonts w:ascii="黑体" w:hAnsi="黑体" w:eastAsia="黑体" w:cs="黑体"/>
          <w:b w:val="0"/>
          <w:color w:val="000000"/>
          <w:highlight w:val="none"/>
          <w:lang w:val="en-US" w:eastAsia="zh-CN"/>
        </w:rPr>
      </w:pPr>
      <w:r>
        <w:rPr>
          <w:rFonts w:ascii="黑体" w:hAnsi="黑体" w:eastAsia="黑体" w:cs="黑体"/>
          <w:b w:val="0"/>
          <w:color w:val="000000"/>
          <w:lang w:val="en-US" w:eastAsia="zh-CN"/>
        </w:rPr>
        <w:t>二、机构设置</w:t>
      </w:r>
    </w:p>
    <w:p w14:paraId="3645A505">
      <w:pPr>
        <w:pStyle w:val="24"/>
        <w:keepNext w:val="0"/>
        <w:keepLines w:val="0"/>
        <w:pageBreakBefore w:val="0"/>
        <w:kinsoku/>
        <w:bidi w:val="0"/>
        <w:snapToGrid/>
        <w:spacing w:line="576" w:lineRule="exact"/>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 设置党政综合办事机构5个：</w:t>
      </w:r>
    </w:p>
    <w:p w14:paraId="7B890261">
      <w:pPr>
        <w:pStyle w:val="24"/>
        <w:keepNext w:val="0"/>
        <w:keepLines w:val="0"/>
        <w:pageBreakBefore w:val="0"/>
        <w:kinsoku/>
        <w:bidi w:val="0"/>
        <w:snapToGrid/>
        <w:spacing w:line="576" w:lineRule="exact"/>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（一）党政办公室，挂财政工作办公室牌子。负责乡机关日</w:t>
      </w:r>
    </w:p>
    <w:p w14:paraId="3BAED483">
      <w:pPr>
        <w:pStyle w:val="24"/>
        <w:keepNext w:val="0"/>
        <w:keepLines w:val="0"/>
        <w:pageBreakBefore w:val="0"/>
        <w:kinsoku/>
        <w:bidi w:val="0"/>
        <w:snapToGrid/>
        <w:spacing w:line="576" w:lineRule="exact"/>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常事务和综合协调工作。负责综合文秘、档案管理、党政印章管理、信息、机要、保密、后勤保障等工作。组织办理人大代表议案建议、政协委员提案和人大代表、政协委员的联络服务工作。负责国有资产管理，指导村级财务管理，管理乡行政事业单位和其他组织的各类财政资金等工作。负责基层党组织建设、</w:t>
      </w:r>
      <w:r>
        <w:rPr>
          <w:rFonts w:hint="eastAsia" w:ascii="Times New Roman" w:hAnsi="Times New Roman" w:eastAsia="仿宋" w:cs="Times New Roman"/>
          <w:color w:val="000000"/>
          <w:kern w:val="2"/>
          <w:sz w:val="32"/>
          <w:szCs w:val="24"/>
          <w:lang w:val="en-US" w:eastAsia="zh-CN" w:bidi="ar-SA"/>
        </w:rPr>
        <w:t>流动党员党支部</w:t>
      </w:r>
      <w:r>
        <w:rPr>
          <w:rFonts w:ascii="Times New Roman" w:hAnsi="Times New Roman" w:eastAsia="仿宋" w:cs="Times New Roman"/>
          <w:color w:val="000000"/>
          <w:kern w:val="2"/>
          <w:sz w:val="32"/>
          <w:szCs w:val="24"/>
          <w:lang w:val="en-US" w:eastAsia="zh-CN" w:bidi="ar-SA"/>
        </w:rPr>
        <w:t>建设、党风廉政建设、反腐败等工作。统筹辖区内党员和流动党员的发展、教育、管理和党费收缴工作，指导村党组织建设管理等工作。负责本乡机构编制管理及人才队伍建设、干部人事管理、离退休干部管理工作。指导村民委员会换届选举。负责工会、共青团、妇联等群团工作。监督干部职工福利待遇工作的落实，维护职工的合法权益。组织开展文体娱乐活动，组织各种形式的技能竞赛、报告和讲座。完成领导交办的其他工作。</w:t>
      </w:r>
    </w:p>
    <w:p w14:paraId="7124DB72">
      <w:pPr>
        <w:pStyle w:val="24"/>
        <w:keepNext w:val="0"/>
        <w:keepLines w:val="0"/>
        <w:pageBreakBefore w:val="0"/>
        <w:kinsoku/>
        <w:bidi w:val="0"/>
        <w:snapToGrid/>
        <w:spacing w:line="576" w:lineRule="exact"/>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二）维护稳定办公室，挂群众工作办公室牌子。负责社会治安综合治理、维护稳定、群众信访等工作；组织开展人武、政法、统战、信访、稳定、民宗、群众、防邪和网格化管理等相关工作。负责辖区内法治建设，配合开展调解和帮教管理，承担辖区内矛盾纠纷多元化解协调工作。协助司法机关开展打击违法犯罪和禁毒、扫黑除恶活动。负责流动人口、外来僧道管理。负责基层自治建设和民主法治建设，指导基层群众性自治组织规范化、制度化建设。组织开展法制、综治、平安建设等宣传教育活动，负责基层综治干部和群防群治队伍的教育、培训和管理等工作。负责国防动员和兵役服务工作。完成领导交办的其他工作。</w:t>
      </w:r>
    </w:p>
    <w:p w14:paraId="7AD4BCB7">
      <w:pPr>
        <w:pStyle w:val="24"/>
        <w:keepNext w:val="0"/>
        <w:keepLines w:val="0"/>
        <w:pageBreakBefore w:val="0"/>
        <w:kinsoku/>
        <w:bidi w:val="0"/>
        <w:snapToGrid/>
        <w:spacing w:line="576" w:lineRule="exact"/>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三）经济发展和乡村振兴办公室，挂生态环境办公室牌子。负责经济工作的指导、协调、服务和监督管理。负责优化营商环境建设。负责统筹、协调、指导、配合开展辖区内经济结构调整、项目建设、招商引资、旅游开发、移民搬迁、土地流转等工作。负责组织实施乡村振兴、农村人居环境整治，推动宜居乡村建设。统筹、指导、监管辖区内农业农村、林业、水利等工作。指导农民合作经济组织、农村集体经济组织建设和发展。完成领导交办的其他工作。</w:t>
      </w:r>
    </w:p>
    <w:p w14:paraId="6FA08800">
      <w:pPr>
        <w:pStyle w:val="24"/>
        <w:keepNext w:val="0"/>
        <w:keepLines w:val="0"/>
        <w:pageBreakBefore w:val="0"/>
        <w:kinsoku/>
        <w:bidi w:val="0"/>
        <w:snapToGrid/>
        <w:spacing w:line="576" w:lineRule="exact"/>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四）社会事务和应急管理办公室，挂安全生产监督管理办公室牌子。负责公共事务综合管理。统一领导教育体育、科学、卫生健康、民政、文化等社会事业建设工作。负责应急体系建设、制度建设和应急管理工作，负责组织、指导、协调安全生产、自然灾害、防灾减灾救灾等日常工作。负责防汛抗旱、森林草原防灭火、地质灾害防治、卫生防疫等工作。负责应急抢险和应急队伍建设、管理、培训、演习以及应急设备和物资的储备、管理等工作。负责应急值守工作。负责辖区内生产经营单位安全生产状况的监督检查工作，协助有关部门依法履行安全生产监督管理工作。负责农村老旧危房安全排查，落实农村老旧住房安全监管和住房安全宣传引导职责。完成领导交办的其他工作。</w:t>
      </w:r>
    </w:p>
    <w:p w14:paraId="5D21E3DD">
      <w:pPr>
        <w:pStyle w:val="24"/>
        <w:keepNext w:val="0"/>
        <w:keepLines w:val="0"/>
        <w:pageBreakBefore w:val="0"/>
        <w:kinsoku/>
        <w:bidi w:val="0"/>
        <w:snapToGrid/>
        <w:spacing w:line="576" w:lineRule="exact"/>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五）村镇规划建设管理办公室，挂生态环境办公室牌子、综合执法办公室牌子。负责村镇规划建设管理、生态环境保护工作。负责参与拟订乡经济发展规划并组织实施，对辖区内重大基础设施建设、重大公共服务资源布局、重大决策提出意见及建议。负责辖区内自然资源保护、生态环境保护、城乡管理等工作。配合相关部门组织开展工业、生活、生产、经营、农业等污染的监督检查和防控整治工作，指导辖区内生态农业、牧业建设。负责辖区内水资源保护、水环境治理、节约用水、环境卫生管理等工作。参与重大生态破坏事件的调查处理。根据有关法律规定和省政府授权，按照县政府职权调整事项目录，统一组织和指挥协调开展综合行政执法工作。负责整合落实行政执法信息平台和行政执法监督网络平台建设。完成领导交办的其他工作。</w:t>
      </w:r>
    </w:p>
    <w:p w14:paraId="095F92AE">
      <w:pPr>
        <w:pStyle w:val="24"/>
        <w:keepNext w:val="0"/>
        <w:keepLines w:val="0"/>
        <w:pageBreakBefore w:val="0"/>
        <w:kinsoku/>
        <w:bidi w:val="0"/>
        <w:snapToGrid/>
        <w:spacing w:line="576" w:lineRule="exact"/>
      </w:pPr>
    </w:p>
    <w:p w14:paraId="1E3A4427">
      <w:pPr>
        <w:pStyle w:val="2"/>
        <w:ind w:right="440" w:firstLine="0"/>
        <w:jc w:val="center"/>
        <w:rPr>
          <w:rStyle w:val="17"/>
          <w:rFonts w:ascii="黑体" w:hAnsi="黑体" w:eastAsia="黑体" w:cs="黑体"/>
          <w:b w:val="0"/>
          <w:bCs/>
          <w:color w:val="000000"/>
          <w:highlight w:val="none"/>
        </w:rPr>
      </w:pPr>
      <w:r>
        <w:rPr>
          <w:rFonts w:ascii="黑体" w:hAnsi="黑体" w:eastAsia="黑体" w:cs="黑体"/>
          <w:b w:val="0"/>
          <w:bCs/>
          <w:color w:val="000000"/>
        </w:rPr>
        <w:t>第二部分 2025年度单位决算情况说明</w:t>
      </w:r>
    </w:p>
    <w:p w14:paraId="3C1F444B">
      <w:pPr>
        <w:rPr>
          <w:rStyle w:val="17"/>
          <w:rFonts w:ascii="黑体" w:hAnsi="黑体" w:eastAsia="黑体" w:cs="黑体"/>
          <w:b w:val="0"/>
          <w:bCs/>
          <w:color w:val="000000"/>
          <w:highlight w:val="none"/>
        </w:rPr>
      </w:pPr>
    </w:p>
    <w:p w14:paraId="4C7BF82B">
      <w:pPr>
        <w:pStyle w:val="29"/>
        <w:numPr>
          <w:ilvl w:val="0"/>
          <w:numId w:val="0"/>
        </w:numPr>
        <w:spacing w:line="600" w:lineRule="exact"/>
        <w:ind w:left="640" w:firstLine="0"/>
        <w:outlineLvl w:val="1"/>
        <w:rPr>
          <w:rStyle w:val="18"/>
          <w:rFonts w:ascii="黑体" w:hAnsi="黑体" w:eastAsia="黑体" w:cs="黑体"/>
          <w:b w:val="0"/>
          <w:color w:val="000000"/>
          <w:highlight w:val="none"/>
        </w:rPr>
      </w:pPr>
      <w:r>
        <w:rPr>
          <w:rFonts w:ascii="黑体" w:hAnsi="黑体" w:eastAsia="黑体" w:cs="黑体"/>
          <w:color w:val="000000"/>
          <w:sz w:val="32"/>
          <w:szCs w:val="32"/>
          <w:lang w:eastAsia="zh-CN"/>
        </w:rPr>
        <w:t>一、</w:t>
      </w:r>
      <w:r>
        <w:rPr>
          <w:rFonts w:ascii="黑体" w:hAnsi="黑体" w:eastAsia="黑体" w:cs="黑体"/>
          <w:color w:val="000000"/>
          <w:sz w:val="32"/>
          <w:szCs w:val="32"/>
        </w:rPr>
        <w:t>收</w:t>
      </w:r>
      <w:r>
        <w:rPr>
          <w:rStyle w:val="18"/>
          <w:rFonts w:ascii="黑体" w:hAnsi="黑体" w:eastAsia="黑体" w:cs="黑体"/>
          <w:b w:val="0"/>
          <w:color w:val="000000"/>
        </w:rPr>
        <w:t>入支出决算总体情况说明</w:t>
      </w:r>
    </w:p>
    <w:p w14:paraId="4C59E21E">
      <w:pPr>
        <w:spacing w:line="600" w:lineRule="exact"/>
        <w:ind w:firstLine="640"/>
        <w:rPr>
          <w:rFonts w:ascii="仿宋" w:hAnsi="仿宋" w:eastAsia="仿宋" w:cs="仿宋"/>
          <w:color w:val="000000"/>
          <w:sz w:val="32"/>
          <w:szCs w:val="32"/>
          <w:highlight w:val="none"/>
          <w:lang w:eastAsia="zh-CN"/>
        </w:rPr>
      </w:pPr>
      <w:r>
        <w:rPr>
          <w:rFonts w:ascii="仿宋" w:hAnsi="仿宋" w:eastAsia="仿宋" w:cs="仿宋"/>
          <w:color w:val="000000"/>
          <w:sz w:val="32"/>
          <w:szCs w:val="32"/>
          <w:lang w:eastAsia="zh-CN"/>
        </w:rPr>
        <w:t>2025年度收、支出总计为282.22万元。与2024年度相比，收、支总计各减少7.97万元，下降2.75%。主要变动原因是2025年我乡人员调动，相应各项收支相应减少。</w:t>
      </w:r>
    </w:p>
    <w:p w14:paraId="3C6ECB69">
      <w:pPr>
        <w:pStyle w:val="25"/>
        <w:rPr>
          <w:rFonts w:ascii="仿宋" w:hAnsi="仿宋" w:eastAsia="仿宋" w:cs="仿宋"/>
          <w:color w:val="000000"/>
          <w:sz w:val="32"/>
          <w:szCs w:val="32"/>
          <w:highlight w:val="none"/>
        </w:rPr>
      </w:pPr>
      <w:r>
        <w:drawing>
          <wp:inline distT="0" distB="0" distL="0" distR="0">
            <wp:extent cx="5295900" cy="2552700"/>
            <wp:effectExtent l="0" t="0" r="0" b="0"/>
            <wp:docPr id="1" name="图表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表 1"/>
                    <pic:cNvPicPr>
                      <a:picLocks noChangeAspect="1" noChangeArrowheads="1"/>
                    </pic:cNvPicPr>
                  </pic:nvPicPr>
                  <pic:blipFill>
                    <a:blip r:embed="rId4"/>
                    <a:srcRect l="-7" t="-14" r="-7" b="-14"/>
                    <a:stretch>
                      <a:fillRect/>
                    </a:stretch>
                  </pic:blipFill>
                  <pic:spPr>
                    <a:xfrm>
                      <a:off x="0" y="0"/>
                      <a:ext cx="5295900" cy="2552700"/>
                    </a:xfrm>
                    <a:prstGeom prst="rect">
                      <a:avLst/>
                    </a:prstGeom>
                  </pic:spPr>
                </pic:pic>
              </a:graphicData>
            </a:graphic>
          </wp:inline>
        </w:drawing>
      </w:r>
      <w:r>
        <w:rPr>
          <w:rFonts w:ascii="仿宋" w:hAnsi="仿宋" w:eastAsia="仿宋" w:cs="仿宋"/>
          <w:color w:val="000000"/>
          <w:sz w:val="32"/>
          <w:szCs w:val="32"/>
        </w:rPr>
        <w:t>（图1：收、支决算总计变动情况图）（柱状图）</w:t>
      </w:r>
    </w:p>
    <w:p w14:paraId="58159F24">
      <w:pPr>
        <w:spacing w:line="600" w:lineRule="exact"/>
        <w:ind w:firstLine="640"/>
        <w:jc w:val="left"/>
        <w:rPr>
          <w:rFonts w:ascii="仿宋" w:hAnsi="仿宋" w:eastAsia="仿宋" w:cs="仿宋"/>
          <w:color w:val="000000"/>
          <w:sz w:val="32"/>
          <w:szCs w:val="32"/>
          <w:highlight w:val="none"/>
        </w:rPr>
      </w:pPr>
    </w:p>
    <w:p w14:paraId="6AB6EA87">
      <w:pPr>
        <w:pStyle w:val="29"/>
        <w:numPr>
          <w:ilvl w:val="0"/>
          <w:numId w:val="0"/>
        </w:numPr>
        <w:spacing w:line="600" w:lineRule="exact"/>
        <w:ind w:left="640" w:firstLine="0"/>
        <w:outlineLvl w:val="1"/>
        <w:rPr>
          <w:rStyle w:val="18"/>
          <w:rFonts w:ascii="黑体" w:hAnsi="黑体" w:eastAsia="黑体" w:cs="黑体"/>
          <w:b w:val="0"/>
          <w:color w:val="000000"/>
          <w:highlight w:val="none"/>
        </w:rPr>
      </w:pPr>
      <w:r>
        <w:rPr>
          <w:rFonts w:ascii="黑体" w:hAnsi="黑体" w:eastAsia="黑体" w:cs="黑体"/>
          <w:color w:val="000000"/>
          <w:sz w:val="32"/>
          <w:szCs w:val="32"/>
          <w:lang w:eastAsia="zh-CN"/>
        </w:rPr>
        <w:t>二、</w:t>
      </w:r>
      <w:r>
        <w:rPr>
          <w:rFonts w:ascii="黑体" w:hAnsi="黑体" w:eastAsia="黑体" w:cs="黑体"/>
          <w:color w:val="000000"/>
          <w:sz w:val="32"/>
          <w:szCs w:val="32"/>
        </w:rPr>
        <w:t>收</w:t>
      </w:r>
      <w:r>
        <w:rPr>
          <w:rStyle w:val="18"/>
          <w:rFonts w:ascii="黑体" w:hAnsi="黑体" w:eastAsia="黑体" w:cs="黑体"/>
          <w:b w:val="0"/>
          <w:color w:val="000000"/>
        </w:rPr>
        <w:t>入决算情况说明</w:t>
      </w:r>
    </w:p>
    <w:p w14:paraId="31FCEF6D">
      <w:pPr>
        <w:numPr>
          <w:ilvl w:val="0"/>
          <w:numId w:val="0"/>
        </w:numPr>
        <w:spacing w:line="600" w:lineRule="exact"/>
        <w:ind w:firstLine="640"/>
        <w:outlineLvl w:val="1"/>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本年收入合计282.22万元，其中：一般公共预算财政拨款收入282.22万元，占100%；政府性基金预算财政拨款收入0万元，占0%；国有资本经营预算财政拨款收入0万元，占0%；上级补助收入0万元，占0%；事业收入0万元，占0%；经营收入0万元，占0%；附属单位上缴收入0万元，占0%；其他收入0万元，占0%。</w:t>
      </w:r>
    </w:p>
    <w:p w14:paraId="14744986">
      <w:pPr>
        <w:numPr>
          <w:ilvl w:val="0"/>
          <w:numId w:val="0"/>
        </w:numPr>
        <w:spacing w:line="600" w:lineRule="exact"/>
        <w:ind w:firstLine="643"/>
        <w:outlineLvl w:val="1"/>
        <w:rPr>
          <w:rFonts w:ascii="仿宋" w:hAnsi="仿宋" w:eastAsia="仿宋" w:cs="仿宋"/>
          <w:color w:val="000000"/>
          <w:sz w:val="32"/>
          <w:szCs w:val="32"/>
          <w:highlight w:val="none"/>
        </w:rPr>
      </w:pPr>
      <w:r>
        <w:rPr>
          <w:rFonts w:ascii="仿宋" w:hAnsi="仿宋" w:eastAsia="仿宋" w:cs="仿宋"/>
          <w:b/>
          <w:color w:val="000000"/>
          <w:sz w:val="32"/>
          <w:szCs w:val="32"/>
        </w:rPr>
        <w:t>（注：数据来源于财决01表</w:t>
      </w:r>
      <w:r>
        <w:rPr>
          <w:rFonts w:ascii="仿宋" w:hAnsi="仿宋" w:eastAsia="仿宋" w:cs="仿宋"/>
          <w:b/>
          <w:color w:val="000000"/>
          <w:sz w:val="32"/>
          <w:szCs w:val="32"/>
          <w:lang w:eastAsia="zh-CN"/>
        </w:rPr>
        <w:t>，仅罗列本单位涉及的收入。</w:t>
      </w:r>
      <w:r>
        <w:rPr>
          <w:rFonts w:ascii="仿宋" w:hAnsi="仿宋" w:eastAsia="仿宋" w:cs="仿宋"/>
          <w:b/>
          <w:color w:val="000000"/>
          <w:sz w:val="32"/>
          <w:szCs w:val="32"/>
        </w:rPr>
        <w:t>）</w:t>
      </w:r>
    </w:p>
    <w:p w14:paraId="4FADC9A1">
      <w:pPr>
        <w:pStyle w:val="25"/>
        <w:jc w:val="center"/>
        <w:rPr>
          <w:rFonts w:ascii="仿宋" w:hAnsi="仿宋" w:eastAsia="仿宋" w:cs="仿宋"/>
          <w:color w:val="000000"/>
          <w:sz w:val="32"/>
          <w:szCs w:val="32"/>
          <w:highlight w:val="none"/>
        </w:rPr>
      </w:pPr>
      <w:r>
        <w:rPr>
          <w:rFonts w:eastAsia="Calibri" w:cs="Calibri"/>
          <w:lang w:val="en-US" w:eastAsia="zh-CN"/>
        </w:rPr>
        <w:t xml:space="preserve">      </w:t>
      </w:r>
      <w:r>
        <w:drawing>
          <wp:inline distT="0" distB="0" distL="0" distR="0">
            <wp:extent cx="4617720" cy="2773680"/>
            <wp:effectExtent l="0" t="0" r="0" b="0"/>
            <wp:docPr id="2" name="图表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表 2"/>
                    <pic:cNvPicPr>
                      <a:picLocks noChangeAspect="1" noChangeArrowheads="1"/>
                    </pic:cNvPicPr>
                  </pic:nvPicPr>
                  <pic:blipFill>
                    <a:blip r:embed="rId5"/>
                    <a:srcRect l="-8" t="-13" r="-8" b="-13"/>
                    <a:stretch>
                      <a:fillRect/>
                    </a:stretch>
                  </pic:blipFill>
                  <pic:spPr>
                    <a:xfrm>
                      <a:off x="0" y="0"/>
                      <a:ext cx="4617720" cy="2773680"/>
                    </a:xfrm>
                    <a:prstGeom prst="rect">
                      <a:avLst/>
                    </a:prstGeom>
                  </pic:spPr>
                </pic:pic>
              </a:graphicData>
            </a:graphic>
          </wp:inline>
        </w:drawing>
      </w:r>
    </w:p>
    <w:p w14:paraId="29408E63">
      <w:pPr>
        <w:rPr>
          <w:rFonts w:ascii="仿宋" w:hAnsi="仿宋" w:eastAsia="仿宋" w:cs="仿宋"/>
          <w:color w:val="000000"/>
          <w:sz w:val="32"/>
          <w:szCs w:val="32"/>
          <w:highlight w:val="none"/>
        </w:rPr>
      </w:pPr>
    </w:p>
    <w:p w14:paraId="5B9A90B3">
      <w:pPr>
        <w:spacing w:line="600" w:lineRule="exact"/>
        <w:ind w:firstLine="1920"/>
        <w:rPr>
          <w:rFonts w:ascii="仿宋" w:hAnsi="仿宋" w:eastAsia="仿宋" w:cs="仿宋"/>
          <w:color w:val="000000"/>
          <w:sz w:val="32"/>
          <w:szCs w:val="32"/>
          <w:highlight w:val="none"/>
        </w:rPr>
      </w:pPr>
      <w:r>
        <w:rPr>
          <w:rFonts w:ascii="仿宋" w:hAnsi="仿宋" w:eastAsia="仿宋" w:cs="仿宋"/>
          <w:color w:val="000000"/>
          <w:sz w:val="32"/>
          <w:szCs w:val="32"/>
        </w:rPr>
        <w:t>（图2：收入决算结构图）（饼状图）</w:t>
      </w:r>
    </w:p>
    <w:p w14:paraId="06F1BB42">
      <w:pPr>
        <w:spacing w:line="600" w:lineRule="exact"/>
        <w:ind w:firstLine="640"/>
        <w:rPr>
          <w:rFonts w:ascii="仿宋" w:hAnsi="仿宋" w:eastAsia="仿宋" w:cs="仿宋"/>
          <w:color w:val="000000"/>
          <w:sz w:val="32"/>
          <w:szCs w:val="32"/>
          <w:highlight w:val="none"/>
        </w:rPr>
      </w:pPr>
    </w:p>
    <w:p w14:paraId="0286F6AF">
      <w:pPr>
        <w:pStyle w:val="29"/>
        <w:numPr>
          <w:ilvl w:val="0"/>
          <w:numId w:val="0"/>
        </w:numPr>
        <w:spacing w:line="600" w:lineRule="exact"/>
        <w:ind w:left="640" w:firstLine="0"/>
        <w:outlineLvl w:val="1"/>
        <w:rPr>
          <w:rStyle w:val="18"/>
          <w:rFonts w:ascii="黑体" w:hAnsi="黑体" w:eastAsia="黑体" w:cs="黑体"/>
          <w:b w:val="0"/>
          <w:color w:val="000000"/>
          <w:highlight w:val="none"/>
        </w:rPr>
      </w:pPr>
      <w:r>
        <w:rPr>
          <w:rFonts w:ascii="黑体" w:hAnsi="黑体" w:eastAsia="黑体" w:cs="黑体"/>
          <w:color w:val="000000"/>
          <w:sz w:val="32"/>
          <w:szCs w:val="32"/>
          <w:lang w:eastAsia="zh-CN"/>
        </w:rPr>
        <w:t>三、</w:t>
      </w:r>
      <w:r>
        <w:rPr>
          <w:rFonts w:ascii="黑体" w:hAnsi="黑体" w:eastAsia="黑体" w:cs="黑体"/>
          <w:color w:val="000000"/>
          <w:sz w:val="32"/>
          <w:szCs w:val="32"/>
        </w:rPr>
        <w:t>支</w:t>
      </w:r>
      <w:r>
        <w:rPr>
          <w:rStyle w:val="18"/>
          <w:rFonts w:ascii="黑体" w:hAnsi="黑体" w:eastAsia="黑体" w:cs="黑体"/>
          <w:b w:val="0"/>
          <w:color w:val="000000"/>
        </w:rPr>
        <w:t>出决算情况说明</w:t>
      </w:r>
    </w:p>
    <w:p w14:paraId="0647A4BB">
      <w:pPr>
        <w:numPr>
          <w:ilvl w:val="0"/>
          <w:numId w:val="0"/>
        </w:numPr>
        <w:spacing w:line="600" w:lineRule="exact"/>
        <w:ind w:firstLine="640"/>
        <w:outlineLvl w:val="1"/>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2025年度本年支出合计282.22万元，其中：基本支出282.22万元，占100%；项目支出0万元，占0%；上缴上级支出0万元，占0%；经营支出0万元，占0%；对附属单位补助支出0万元，占0%。</w:t>
      </w:r>
    </w:p>
    <w:p w14:paraId="5F13FEEF">
      <w:pPr>
        <w:numPr>
          <w:ilvl w:val="0"/>
          <w:numId w:val="0"/>
        </w:numPr>
        <w:spacing w:line="600" w:lineRule="exact"/>
        <w:ind w:firstLine="643"/>
        <w:outlineLvl w:val="1"/>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（注：数据来源于财决04表</w:t>
      </w:r>
      <w:r>
        <w:rPr>
          <w:rFonts w:ascii="仿宋" w:hAnsi="仿宋" w:eastAsia="仿宋" w:cs="仿宋"/>
          <w:b/>
          <w:color w:val="000000"/>
          <w:sz w:val="32"/>
          <w:szCs w:val="32"/>
          <w:lang w:eastAsia="zh-CN"/>
        </w:rPr>
        <w:t>，仅罗列本单位涉及的支出。</w:t>
      </w:r>
      <w:r>
        <w:rPr>
          <w:rFonts w:ascii="仿宋" w:hAnsi="仿宋" w:eastAsia="仿宋" w:cs="仿宋"/>
          <w:b/>
          <w:color w:val="000000"/>
          <w:sz w:val="32"/>
          <w:szCs w:val="32"/>
        </w:rPr>
        <w:t>）</w:t>
      </w:r>
    </w:p>
    <w:p w14:paraId="23C49B3F">
      <w:pPr>
        <w:spacing w:line="600" w:lineRule="exact"/>
        <w:ind w:firstLine="640"/>
        <w:rPr>
          <w:rFonts w:ascii="仿宋" w:hAnsi="仿宋" w:eastAsia="仿宋" w:cs="仿宋"/>
          <w:b/>
          <w:color w:val="000000"/>
          <w:sz w:val="32"/>
          <w:szCs w:val="32"/>
          <w:highlight w:val="none"/>
          <w:shd w:val="clear" w:fill="E5E5E5"/>
        </w:rPr>
      </w:pPr>
    </w:p>
    <w:p w14:paraId="5D0DC445">
      <w:pPr>
        <w:pStyle w:val="25"/>
        <w:rPr>
          <w:rFonts w:ascii="仿宋" w:hAnsi="仿宋" w:eastAsia="仿宋" w:cs="仿宋"/>
          <w:color w:val="000000"/>
          <w:sz w:val="32"/>
          <w:szCs w:val="32"/>
          <w:highlight w:val="none"/>
          <w:shd w:val="clear" w:fill="E5E5E5"/>
        </w:rPr>
      </w:pPr>
    </w:p>
    <w:p w14:paraId="6B158F16">
      <w:pPr>
        <w:rPr>
          <w:rFonts w:ascii="仿宋" w:hAnsi="仿宋" w:eastAsia="仿宋" w:cs="仿宋"/>
          <w:color w:val="000000"/>
          <w:sz w:val="32"/>
          <w:szCs w:val="32"/>
          <w:highlight w:val="none"/>
          <w:shd w:val="clear" w:fill="E5E5E5"/>
        </w:rPr>
      </w:pPr>
    </w:p>
    <w:p w14:paraId="40297C6F">
      <w:pPr>
        <w:pStyle w:val="25"/>
        <w:rPr>
          <w:rFonts w:ascii="仿宋" w:hAnsi="仿宋" w:eastAsia="仿宋" w:cs="仿宋"/>
          <w:color w:val="000000"/>
          <w:sz w:val="32"/>
          <w:szCs w:val="32"/>
          <w:highlight w:val="none"/>
          <w:shd w:val="clear" w:fill="E5E5E5"/>
        </w:rPr>
      </w:pPr>
    </w:p>
    <w:p w14:paraId="1F04CFA0">
      <w:pPr>
        <w:rPr>
          <w:rFonts w:ascii="仿宋" w:hAnsi="仿宋" w:eastAsia="仿宋" w:cs="仿宋"/>
          <w:color w:val="000000"/>
          <w:sz w:val="32"/>
          <w:szCs w:val="32"/>
          <w:highlight w:val="none"/>
          <w:shd w:val="clear" w:fill="E5E5E5"/>
        </w:rPr>
      </w:pPr>
    </w:p>
    <w:p w14:paraId="0D4AB109">
      <w:pPr>
        <w:pStyle w:val="25"/>
        <w:rPr>
          <w:rFonts w:ascii="仿宋" w:hAnsi="仿宋" w:eastAsia="仿宋" w:cs="仿宋"/>
          <w:color w:val="000000"/>
          <w:sz w:val="32"/>
          <w:szCs w:val="32"/>
          <w:highlight w:val="none"/>
          <w:shd w:val="clear" w:fill="E5E5E5"/>
        </w:rPr>
      </w:pPr>
      <w:r>
        <w:drawing>
          <wp:inline distT="0" distB="0" distL="0" distR="0">
            <wp:extent cx="4846320" cy="2788920"/>
            <wp:effectExtent l="0" t="0" r="0" b="0"/>
            <wp:docPr id="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0"/>
                    <pic:cNvPicPr>
                      <a:picLocks noChangeAspect="1" noChangeArrowheads="1"/>
                    </pic:cNvPicPr>
                  </pic:nvPicPr>
                  <pic:blipFill>
                    <a:blip r:embed="rId6"/>
                    <a:srcRect l="-7" t="-13" r="-7" b="-13"/>
                    <a:stretch>
                      <a:fillRect/>
                    </a:stretch>
                  </pic:blipFill>
                  <pic:spPr>
                    <a:xfrm>
                      <a:off x="0" y="0"/>
                      <a:ext cx="4846320" cy="2788920"/>
                    </a:xfrm>
                    <a:prstGeom prst="rect">
                      <a:avLst/>
                    </a:prstGeom>
                  </pic:spPr>
                </pic:pic>
              </a:graphicData>
            </a:graphic>
          </wp:inline>
        </w:drawing>
      </w:r>
    </w:p>
    <w:p w14:paraId="3B56502C">
      <w:pPr>
        <w:rPr>
          <w:rFonts w:ascii="仿宋" w:hAnsi="仿宋" w:eastAsia="仿宋" w:cs="仿宋"/>
          <w:color w:val="000000"/>
          <w:sz w:val="32"/>
          <w:szCs w:val="32"/>
          <w:highlight w:val="none"/>
          <w:shd w:val="clear" w:fill="E5E5E5"/>
        </w:rPr>
      </w:pPr>
    </w:p>
    <w:p w14:paraId="4EB7A649">
      <w:pPr>
        <w:spacing w:line="600" w:lineRule="exact"/>
        <w:ind w:firstLine="1600"/>
        <w:rPr>
          <w:rFonts w:ascii="仿宋" w:hAnsi="仿宋" w:eastAsia="仿宋" w:cs="仿宋"/>
          <w:color w:val="000000"/>
          <w:sz w:val="32"/>
          <w:szCs w:val="32"/>
          <w:highlight w:val="none"/>
        </w:rPr>
      </w:pPr>
      <w:r>
        <w:rPr>
          <w:rFonts w:ascii="仿宋" w:hAnsi="仿宋" w:eastAsia="仿宋" w:cs="仿宋"/>
          <w:color w:val="000000"/>
          <w:sz w:val="32"/>
          <w:szCs w:val="32"/>
        </w:rPr>
        <w:t>（图3：支出决算结构图）（饼状图）</w:t>
      </w:r>
    </w:p>
    <w:p w14:paraId="23889207">
      <w:pPr>
        <w:spacing w:line="600" w:lineRule="exact"/>
        <w:ind w:firstLine="640"/>
        <w:rPr>
          <w:rFonts w:ascii="仿宋" w:hAnsi="仿宋" w:eastAsia="仿宋" w:cs="仿宋"/>
          <w:color w:val="000000"/>
          <w:sz w:val="32"/>
          <w:szCs w:val="32"/>
          <w:highlight w:val="none"/>
        </w:rPr>
      </w:pPr>
    </w:p>
    <w:p w14:paraId="0A171372">
      <w:pPr>
        <w:numPr>
          <w:ilvl w:val="0"/>
          <w:numId w:val="0"/>
        </w:numPr>
        <w:spacing w:line="600" w:lineRule="exact"/>
        <w:ind w:firstLine="640"/>
        <w:outlineLvl w:val="1"/>
        <w:rPr>
          <w:rStyle w:val="18"/>
          <w:rFonts w:ascii="黑体" w:hAnsi="黑体" w:eastAsia="黑体" w:cs="黑体"/>
          <w:b w:val="0"/>
          <w:color w:val="000000"/>
          <w:highlight w:val="none"/>
        </w:rPr>
      </w:pPr>
      <w:r>
        <w:rPr>
          <w:rFonts w:ascii="黑体" w:hAnsi="黑体" w:eastAsia="黑体" w:cs="黑体"/>
          <w:color w:val="000000"/>
          <w:sz w:val="32"/>
          <w:szCs w:val="32"/>
        </w:rPr>
        <w:t>四、财</w:t>
      </w:r>
      <w:r>
        <w:rPr>
          <w:rStyle w:val="18"/>
          <w:rFonts w:ascii="黑体" w:hAnsi="黑体" w:eastAsia="黑体" w:cs="黑体"/>
          <w:b w:val="0"/>
          <w:color w:val="000000"/>
        </w:rPr>
        <w:t>政拨款收入支出决算总体情况说明</w:t>
      </w:r>
    </w:p>
    <w:p w14:paraId="136812F9">
      <w:pPr>
        <w:spacing w:line="600" w:lineRule="exact"/>
        <w:ind w:firstLine="640"/>
        <w:rPr>
          <w:rFonts w:ascii="仿宋" w:hAnsi="仿宋" w:eastAsia="仿宋" w:cs="仿宋"/>
          <w:color w:val="000000"/>
          <w:sz w:val="32"/>
          <w:szCs w:val="32"/>
          <w:highlight w:val="none"/>
          <w:lang w:eastAsia="zh-CN"/>
        </w:rPr>
      </w:pPr>
      <w:r>
        <w:rPr>
          <w:rFonts w:ascii="仿宋" w:hAnsi="仿宋" w:eastAsia="仿宋" w:cs="仿宋"/>
          <w:color w:val="000000"/>
          <w:sz w:val="32"/>
          <w:szCs w:val="32"/>
          <w:lang w:eastAsia="zh-CN"/>
        </w:rPr>
        <w:t>2025年度财政拨款收、支总计均为282.22万元。与2024年度相比，财政拨款收、支总计各减少7.97万元，下降2.75%。主要变动原因是2025年我乡人员调动，相应各项收支相应减少。</w:t>
      </w:r>
    </w:p>
    <w:p w14:paraId="64286E06">
      <w:pPr>
        <w:spacing w:line="600" w:lineRule="exact"/>
        <w:ind w:firstLine="640"/>
        <w:rPr>
          <w:rFonts w:ascii="仿宋" w:hAnsi="仿宋" w:eastAsia="仿宋" w:cs="仿宋"/>
          <w:color w:val="000000"/>
          <w:sz w:val="32"/>
          <w:szCs w:val="32"/>
          <w:highlight w:val="none"/>
          <w:lang w:eastAsia="zh-CN"/>
        </w:rPr>
      </w:pPr>
    </w:p>
    <w:p w14:paraId="544C12BB">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（注：数据来源于财决01-1表）</w:t>
      </w:r>
    </w:p>
    <w:p w14:paraId="2A8B30EF">
      <w:pPr>
        <w:spacing w:line="600" w:lineRule="exact"/>
        <w:rPr>
          <w:rFonts w:ascii="仿宋" w:hAnsi="仿宋" w:eastAsia="仿宋" w:cs="仿宋"/>
          <w:b/>
          <w:color w:val="000000"/>
          <w:sz w:val="32"/>
          <w:szCs w:val="32"/>
          <w:highlight w:val="none"/>
        </w:rPr>
      </w:pPr>
    </w:p>
    <w:p w14:paraId="2BF92188">
      <w:pPr>
        <w:pStyle w:val="25"/>
        <w:rPr>
          <w:rFonts w:ascii="仿宋" w:hAnsi="仿宋" w:eastAsia="仿宋" w:cs="仿宋"/>
          <w:color w:val="000000"/>
          <w:sz w:val="32"/>
          <w:szCs w:val="32"/>
          <w:highlight w:val="none"/>
        </w:rPr>
      </w:pPr>
    </w:p>
    <w:p w14:paraId="71259283">
      <w:pPr>
        <w:jc w:val="both"/>
      </w:pPr>
      <w:r>
        <w:drawing>
          <wp:inline distT="0" distB="0" distL="0" distR="0">
            <wp:extent cx="5295900" cy="2705100"/>
            <wp:effectExtent l="0" t="0" r="0" b="0"/>
            <wp:docPr id="4" name="图表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表 5"/>
                    <pic:cNvPicPr>
                      <a:picLocks noChangeAspect="1" noChangeArrowheads="1"/>
                    </pic:cNvPicPr>
                  </pic:nvPicPr>
                  <pic:blipFill>
                    <a:blip r:embed="rId7"/>
                    <a:srcRect l="-7" t="-13" r="-7" b="-13"/>
                    <a:stretch>
                      <a:fillRect/>
                    </a:stretch>
                  </pic:blipFill>
                  <pic:spPr>
                    <a:xfrm>
                      <a:off x="0" y="0"/>
                      <a:ext cx="5295900" cy="2705100"/>
                    </a:xfrm>
                    <a:prstGeom prst="rect">
                      <a:avLst/>
                    </a:prstGeom>
                  </pic:spPr>
                </pic:pic>
              </a:graphicData>
            </a:graphic>
          </wp:inline>
        </w:drawing>
      </w:r>
    </w:p>
    <w:p w14:paraId="735B6173">
      <w:pPr>
        <w:spacing w:line="600" w:lineRule="exact"/>
        <w:ind w:firstLine="320"/>
        <w:rPr>
          <w:rFonts w:ascii="仿宋" w:hAnsi="仿宋" w:eastAsia="仿宋" w:cs="仿宋"/>
          <w:color w:val="000000"/>
          <w:sz w:val="32"/>
          <w:szCs w:val="32"/>
          <w:highlight w:val="none"/>
        </w:rPr>
      </w:pPr>
      <w:r>
        <w:rPr>
          <w:rFonts w:ascii="仿宋" w:hAnsi="仿宋" w:eastAsia="仿宋" w:cs="仿宋"/>
          <w:color w:val="000000"/>
          <w:sz w:val="32"/>
          <w:szCs w:val="32"/>
        </w:rPr>
        <w:t>（图4：财政拨款收、支决算总计变动情况）（柱状图）</w:t>
      </w:r>
    </w:p>
    <w:p w14:paraId="022F33CF">
      <w:pPr>
        <w:spacing w:line="600" w:lineRule="exact"/>
        <w:ind w:firstLine="640"/>
        <w:rPr>
          <w:rFonts w:ascii="仿宋" w:hAnsi="仿宋" w:eastAsia="仿宋" w:cs="仿宋"/>
          <w:b/>
          <w:color w:val="000000"/>
          <w:sz w:val="32"/>
          <w:szCs w:val="32"/>
          <w:highlight w:val="none"/>
        </w:rPr>
      </w:pPr>
    </w:p>
    <w:p w14:paraId="25FF09F6">
      <w:pPr>
        <w:numPr>
          <w:ilvl w:val="0"/>
          <w:numId w:val="0"/>
        </w:numPr>
        <w:spacing w:line="600" w:lineRule="exact"/>
        <w:ind w:firstLine="640"/>
        <w:outlineLvl w:val="1"/>
        <w:rPr>
          <w:rStyle w:val="18"/>
          <w:rFonts w:ascii="黑体" w:hAnsi="黑体" w:eastAsia="黑体" w:cs="黑体"/>
          <w:b w:val="0"/>
          <w:color w:val="000000"/>
          <w:highlight w:val="none"/>
        </w:rPr>
      </w:pPr>
      <w:r>
        <w:rPr>
          <w:rFonts w:ascii="黑体" w:hAnsi="黑体" w:eastAsia="黑体" w:cs="黑体"/>
          <w:color w:val="000000"/>
          <w:sz w:val="32"/>
          <w:szCs w:val="32"/>
        </w:rPr>
        <w:t>五、</w:t>
      </w:r>
      <w:r>
        <w:rPr>
          <w:rFonts w:ascii="黑体" w:hAnsi="黑体" w:eastAsia="黑体" w:cs="黑体"/>
          <w:b/>
          <w:color w:val="000000"/>
          <w:sz w:val="32"/>
          <w:szCs w:val="32"/>
        </w:rPr>
        <w:t>一</w:t>
      </w:r>
      <w:r>
        <w:rPr>
          <w:rStyle w:val="18"/>
          <w:rFonts w:ascii="黑体" w:hAnsi="黑体" w:eastAsia="黑体" w:cs="黑体"/>
          <w:b w:val="0"/>
          <w:color w:val="000000"/>
        </w:rPr>
        <w:t>般公共预算财政拨款支出决算情况说明</w:t>
      </w:r>
    </w:p>
    <w:p w14:paraId="5AAE0F64">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（一）一般公共预算财政拨款支出决算总体情况</w:t>
      </w:r>
    </w:p>
    <w:p w14:paraId="6625EA09">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2025年度一般公共预算财政拨款支出282.22万元，占本年支出合计的100%。与2024年度相比，一般公共预算财政拨款支出减少7.97万元，下降2.75%。</w:t>
      </w:r>
    </w:p>
    <w:p w14:paraId="1189771A">
      <w:pPr>
        <w:pStyle w:val="25"/>
        <w:ind w:left="0" w:firstLine="0"/>
        <w:jc w:val="both"/>
        <w:rPr>
          <w:rFonts w:ascii="仿宋" w:hAnsi="仿宋" w:eastAsia="仿宋" w:cs="仿宋"/>
          <w:color w:val="000000"/>
          <w:sz w:val="32"/>
          <w:szCs w:val="32"/>
          <w:highlight w:val="none"/>
        </w:rPr>
      </w:pPr>
      <w:r>
        <w:drawing>
          <wp:inline distT="0" distB="0" distL="0" distR="0">
            <wp:extent cx="5487670" cy="2845435"/>
            <wp:effectExtent l="0" t="0" r="13970" b="4445"/>
            <wp:docPr id="5" name="图表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表 6"/>
                    <pic:cNvPicPr>
                      <a:picLocks noChangeAspect="1" noChangeArrowheads="1"/>
                    </pic:cNvPicPr>
                  </pic:nvPicPr>
                  <pic:blipFill>
                    <a:blip r:embed="rId8"/>
                    <a:srcRect l="-7" t="-14" r="-7" b="-14"/>
                    <a:stretch>
                      <a:fillRect/>
                    </a:stretch>
                  </pic:blipFill>
                  <pic:spPr>
                    <a:xfrm>
                      <a:off x="0" y="0"/>
                      <a:ext cx="5487670" cy="2845435"/>
                    </a:xfrm>
                    <a:prstGeom prst="rect">
                      <a:avLst/>
                    </a:prstGeom>
                  </pic:spPr>
                </pic:pic>
              </a:graphicData>
            </a:graphic>
          </wp:inline>
        </w:drawing>
      </w:r>
      <w:r>
        <w:rPr>
          <w:rFonts w:ascii="仿宋" w:hAnsi="仿宋" w:eastAsia="仿宋" w:cs="仿宋"/>
          <w:color w:val="000000"/>
          <w:sz w:val="32"/>
          <w:szCs w:val="32"/>
        </w:rPr>
        <w:t>（图5：一般公共预算财政拨款支出决算变动情况）（柱状图）</w:t>
      </w:r>
    </w:p>
    <w:p w14:paraId="2BE8D039">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（二）一般公共预算财政拨款支出决算结构情况</w:t>
      </w:r>
    </w:p>
    <w:p w14:paraId="2DBF50FC">
      <w:pPr>
        <w:spacing w:line="600" w:lineRule="exact"/>
        <w:ind w:firstLine="640"/>
        <w:rPr>
          <w:rFonts w:ascii="仿宋" w:hAnsi="仿宋" w:eastAsia="仿宋" w:cs="仿宋"/>
          <w:b/>
          <w:color w:val="000000"/>
          <w:sz w:val="32"/>
          <w:szCs w:val="32"/>
          <w:highlight w:val="none"/>
        </w:rPr>
      </w:pPr>
      <w:r>
        <w:rPr>
          <w:rFonts w:ascii="仿宋" w:hAnsi="仿宋" w:eastAsia="仿宋" w:cs="仿宋"/>
          <w:color w:val="000000"/>
          <w:sz w:val="32"/>
          <w:szCs w:val="32"/>
          <w:lang w:eastAsia="zh-CN"/>
        </w:rPr>
        <w:t>2025年度一般公共预算财政拨款支出282.22万元，主要用于以下方面：一般公共服务支出212.35万元，占75.24%；教育支出0万元，占0%；科学技术支出0万元，占0%；文化旅游体育与传媒支出0万元，占0%；社会保障和就业支出34.99万元，占12.40%；卫生健康支出13.75万元，占4.87%；住房保障支出21.13万元，占7.49%。</w:t>
      </w:r>
    </w:p>
    <w:p w14:paraId="5D5D6D5D">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w:t>
      </w:r>
      <w:r>
        <w:rPr>
          <w:rFonts w:ascii="仿宋" w:hAnsi="仿宋" w:eastAsia="仿宋" w:cs="仿宋"/>
          <w:b/>
          <w:color w:val="000000"/>
          <w:sz w:val="32"/>
          <w:szCs w:val="32"/>
          <w:lang w:eastAsia="zh-CN"/>
        </w:rPr>
        <w:t>注：数据来源于财决</w:t>
      </w:r>
      <w:r>
        <w:rPr>
          <w:rFonts w:ascii="仿宋" w:hAnsi="仿宋" w:eastAsia="仿宋" w:cs="仿宋"/>
          <w:b/>
          <w:color w:val="000000"/>
          <w:sz w:val="32"/>
          <w:szCs w:val="32"/>
          <w:lang w:val="en-US" w:eastAsia="zh-CN"/>
        </w:rPr>
        <w:t>01-1表，仅</w:t>
      </w:r>
      <w:r>
        <w:rPr>
          <w:rFonts w:ascii="仿宋" w:hAnsi="仿宋" w:eastAsia="仿宋" w:cs="仿宋"/>
          <w:b/>
          <w:color w:val="000000"/>
          <w:sz w:val="32"/>
          <w:szCs w:val="32"/>
        </w:rPr>
        <w:t>罗列</w:t>
      </w:r>
      <w:r>
        <w:rPr>
          <w:rFonts w:ascii="仿宋" w:hAnsi="仿宋" w:eastAsia="仿宋" w:cs="仿宋"/>
          <w:b/>
          <w:color w:val="000000"/>
          <w:sz w:val="32"/>
          <w:szCs w:val="32"/>
          <w:lang w:eastAsia="zh-CN"/>
        </w:rPr>
        <w:t>本单位涉及的</w:t>
      </w:r>
      <w:r>
        <w:rPr>
          <w:rFonts w:ascii="仿宋" w:hAnsi="仿宋" w:eastAsia="仿宋" w:cs="仿宋"/>
          <w:b/>
          <w:color w:val="000000"/>
          <w:sz w:val="32"/>
          <w:szCs w:val="32"/>
        </w:rPr>
        <w:t>全部功能分类科目，至类级。）</w:t>
      </w:r>
    </w:p>
    <w:p w14:paraId="0D3BBD30">
      <w:pPr>
        <w:spacing w:line="600" w:lineRule="exact"/>
        <w:ind w:firstLine="640"/>
        <w:rPr>
          <w:rFonts w:ascii="仿宋" w:hAnsi="仿宋" w:eastAsia="仿宋" w:cs="仿宋"/>
          <w:b/>
          <w:color w:val="000000"/>
          <w:sz w:val="32"/>
          <w:szCs w:val="32"/>
          <w:highlight w:val="none"/>
        </w:rPr>
      </w:pPr>
    </w:p>
    <w:p w14:paraId="40EB5DBB">
      <w:pPr>
        <w:pStyle w:val="25"/>
        <w:ind w:left="0" w:firstLine="0"/>
        <w:jc w:val="both"/>
        <w:rPr>
          <w:rFonts w:ascii="仿宋" w:hAnsi="仿宋" w:eastAsia="仿宋" w:cs="仿宋"/>
          <w:color w:val="000000"/>
          <w:sz w:val="32"/>
          <w:szCs w:val="32"/>
          <w:highlight w:val="none"/>
        </w:rPr>
      </w:pPr>
      <w:r>
        <w:drawing>
          <wp:inline distT="0" distB="0" distL="0" distR="0">
            <wp:extent cx="4629150" cy="2639060"/>
            <wp:effectExtent l="0" t="0" r="3810" b="12700"/>
            <wp:docPr id="6" name="图表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表 7"/>
                    <pic:cNvPicPr>
                      <a:picLocks noChangeAspect="1" noChangeArrowheads="1"/>
                    </pic:cNvPicPr>
                  </pic:nvPicPr>
                  <pic:blipFill>
                    <a:blip r:embed="rId9"/>
                    <a:srcRect l="-8" t="-11" r="-8" b="-11"/>
                    <a:stretch>
                      <a:fillRect/>
                    </a:stretch>
                  </pic:blipFill>
                  <pic:spPr>
                    <a:xfrm>
                      <a:off x="0" y="0"/>
                      <a:ext cx="4629150" cy="2639060"/>
                    </a:xfrm>
                    <a:prstGeom prst="rect">
                      <a:avLst/>
                    </a:prstGeom>
                  </pic:spPr>
                </pic:pic>
              </a:graphicData>
            </a:graphic>
          </wp:inline>
        </w:drawing>
      </w:r>
    </w:p>
    <w:p w14:paraId="4DAAED2C">
      <w:pPr>
        <w:spacing w:line="600" w:lineRule="exact"/>
        <w:rPr>
          <w:rFonts w:ascii="仿宋" w:hAnsi="仿宋" w:eastAsia="仿宋" w:cs="仿宋"/>
          <w:color w:val="000000"/>
          <w:sz w:val="32"/>
          <w:szCs w:val="32"/>
          <w:highlight w:val="none"/>
        </w:rPr>
      </w:pPr>
      <w:r>
        <w:rPr>
          <w:rFonts w:ascii="仿宋" w:hAnsi="仿宋" w:eastAsia="仿宋" w:cs="仿宋"/>
          <w:color w:val="000000"/>
          <w:sz w:val="32"/>
          <w:szCs w:val="32"/>
        </w:rPr>
        <w:t>（图6：一般公共预算财政拨款支出决算结构）（饼状图）</w:t>
      </w:r>
    </w:p>
    <w:p w14:paraId="4CB08DC9">
      <w:pPr>
        <w:spacing w:line="600" w:lineRule="exact"/>
        <w:ind w:firstLine="640"/>
        <w:rPr>
          <w:rFonts w:ascii="仿宋" w:hAnsi="仿宋" w:eastAsia="仿宋" w:cs="仿宋"/>
          <w:color w:val="000000"/>
          <w:sz w:val="32"/>
          <w:szCs w:val="32"/>
          <w:highlight w:val="none"/>
        </w:rPr>
      </w:pPr>
    </w:p>
    <w:p w14:paraId="72391984">
      <w:pPr>
        <w:spacing w:line="600" w:lineRule="exact"/>
        <w:ind w:firstLine="640"/>
        <w:rPr>
          <w:rFonts w:ascii="仿宋" w:hAnsi="仿宋" w:eastAsia="仿宋" w:cs="仿宋"/>
          <w:color w:val="000000"/>
          <w:sz w:val="32"/>
          <w:szCs w:val="32"/>
          <w:highlight w:val="none"/>
        </w:rPr>
      </w:pPr>
    </w:p>
    <w:p w14:paraId="5A3C4FE4">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（三）一般公共预算财政拨款支出决算具体情况</w:t>
      </w:r>
    </w:p>
    <w:p w14:paraId="5BAFD431">
      <w:pPr>
        <w:numPr>
          <w:ilvl w:val="0"/>
          <w:numId w:val="0"/>
        </w:numPr>
        <w:spacing w:line="600" w:lineRule="exact"/>
        <w:ind w:firstLine="643"/>
        <w:outlineLvl w:val="2"/>
        <w:rPr>
          <w:rFonts w:ascii="仿宋" w:hAnsi="仿宋" w:eastAsia="仿宋" w:cs="仿宋"/>
          <w:color w:val="000000"/>
          <w:sz w:val="32"/>
          <w:szCs w:val="32"/>
          <w:highlight w:val="none"/>
        </w:rPr>
      </w:pPr>
      <w:r>
        <w:rPr>
          <w:rFonts w:ascii="仿宋" w:hAnsi="仿宋" w:eastAsia="仿宋" w:cs="仿宋"/>
          <w:b/>
          <w:color w:val="000000"/>
          <w:sz w:val="32"/>
          <w:szCs w:val="32"/>
          <w:lang w:eastAsia="zh-CN"/>
        </w:rPr>
        <w:t>2025年度一般公共预算支出决算数为282.22，完成预算100%。其中：</w:t>
      </w:r>
    </w:p>
    <w:p w14:paraId="7DE0DEE9">
      <w:pPr>
        <w:numPr>
          <w:ilvl w:val="0"/>
          <w:numId w:val="3"/>
        </w:numPr>
        <w:tabs>
          <w:tab w:val="left" w:pos="312"/>
          <w:tab w:val="clear" w:pos="420"/>
        </w:tabs>
        <w:spacing w:line="600" w:lineRule="exact"/>
        <w:ind w:left="0" w:firstLine="643"/>
        <w:rPr>
          <w:rStyle w:val="19"/>
          <w:rFonts w:ascii="仿宋" w:hAnsi="仿宋" w:eastAsia="仿宋" w:cs="仿宋"/>
          <w:b w:val="0"/>
          <w:bCs/>
          <w:color w:val="000000"/>
          <w:sz w:val="32"/>
          <w:szCs w:val="32"/>
          <w:highlight w:val="none"/>
          <w:lang w:eastAsia="zh-CN"/>
        </w:rPr>
      </w:pPr>
      <w:r>
        <w:rPr>
          <w:rStyle w:val="19"/>
          <w:rFonts w:ascii="仿宋" w:hAnsi="仿宋" w:eastAsia="仿宋" w:cs="仿宋"/>
          <w:bCs/>
          <w:color w:val="000000"/>
          <w:sz w:val="32"/>
          <w:szCs w:val="32"/>
        </w:rPr>
        <w:t>（20103）事业运行（2010350）：支出决算为212.35万元，完成预算100%，决算数等于预算数。</w:t>
      </w:r>
    </w:p>
    <w:p w14:paraId="7427FCC1">
      <w:pPr>
        <w:numPr>
          <w:ilvl w:val="0"/>
          <w:numId w:val="3"/>
        </w:numPr>
        <w:tabs>
          <w:tab w:val="left" w:pos="312"/>
          <w:tab w:val="clear" w:pos="420"/>
        </w:tabs>
        <w:spacing w:line="600" w:lineRule="exact"/>
        <w:ind w:left="0" w:firstLine="640"/>
        <w:rPr>
          <w:rStyle w:val="19"/>
          <w:rFonts w:ascii="仿宋" w:hAnsi="仿宋" w:eastAsia="仿宋" w:cs="仿宋"/>
          <w:b w:val="0"/>
          <w:bCs/>
          <w:color w:val="000000"/>
          <w:sz w:val="32"/>
          <w:szCs w:val="32"/>
          <w:highlight w:val="none"/>
        </w:rPr>
      </w:pPr>
      <w:r>
        <w:rPr>
          <w:rFonts w:ascii="仿宋" w:hAnsi="仿宋" w:eastAsia="仿宋" w:cs="仿宋"/>
          <w:color w:val="000000"/>
          <w:kern w:val="0"/>
          <w:sz w:val="32"/>
          <w:szCs w:val="32"/>
          <w:lang w:val="en-US" w:eastAsia="zh-CN" w:bidi="ar"/>
        </w:rPr>
        <w:t>机关事业单位基本养老保险缴费（2080505）：支出决算为23.37万元，完成预算100%，决算数等于预算数。</w:t>
      </w:r>
    </w:p>
    <w:p w14:paraId="3FF3C0A9">
      <w:pPr>
        <w:numPr>
          <w:ilvl w:val="0"/>
          <w:numId w:val="3"/>
        </w:numPr>
        <w:tabs>
          <w:tab w:val="left" w:pos="312"/>
          <w:tab w:val="clear" w:pos="420"/>
        </w:tabs>
        <w:spacing w:line="600" w:lineRule="exact"/>
        <w:ind w:left="0" w:firstLine="640"/>
        <w:rPr>
          <w:rFonts w:ascii="仿宋" w:hAnsi="仿宋" w:eastAsia="仿宋" w:cs="仿宋"/>
          <w:color w:val="000000"/>
          <w:kern w:val="0"/>
          <w:sz w:val="32"/>
          <w:szCs w:val="32"/>
          <w:highlight w:val="none"/>
          <w:lang w:val="en-US" w:eastAsia="zh-CN" w:bidi="ar"/>
        </w:rPr>
      </w:pPr>
      <w:r>
        <w:rPr>
          <w:rFonts w:ascii="仿宋" w:hAnsi="仿宋" w:eastAsia="仿宋" w:cs="仿宋"/>
          <w:color w:val="000000"/>
          <w:kern w:val="0"/>
          <w:sz w:val="32"/>
          <w:szCs w:val="32"/>
          <w:lang w:val="en-US" w:eastAsia="zh-CN" w:bidi="ar"/>
        </w:rPr>
        <w:t>机关事业单位职业年金缴费（2080506）：支出决算为11.62万元，完成预算100%，决算数等于预算数。</w:t>
      </w:r>
    </w:p>
    <w:p w14:paraId="1F3038B4">
      <w:pPr>
        <w:pStyle w:val="26"/>
        <w:keepNext w:val="0"/>
        <w:keepLines w:val="0"/>
        <w:pageBreakBefore w:val="0"/>
        <w:widowControl/>
        <w:numPr>
          <w:ilvl w:val="0"/>
          <w:numId w:val="3"/>
        </w:numPr>
        <w:tabs>
          <w:tab w:val="left" w:pos="312"/>
          <w:tab w:val="clear" w:pos="420"/>
        </w:tabs>
        <w:overflowPunct/>
        <w:bidi w:val="0"/>
        <w:spacing w:before="100" w:after="0" w:line="576" w:lineRule="exact"/>
        <w:ind w:left="0" w:right="0" w:firstLine="640"/>
        <w:jc w:val="left"/>
        <w:rPr>
          <w:rFonts w:ascii="仿宋" w:hAnsi="仿宋" w:eastAsia="仿宋" w:cs="仿宋"/>
          <w:color w:val="000000"/>
          <w:kern w:val="0"/>
          <w:sz w:val="32"/>
          <w:szCs w:val="32"/>
          <w:highlight w:val="none"/>
          <w:lang w:val="en-US" w:eastAsia="zh-CN" w:bidi="ar"/>
        </w:rPr>
      </w:pPr>
      <w:r>
        <w:rPr>
          <w:rFonts w:ascii="仿宋" w:hAnsi="仿宋" w:eastAsia="仿宋" w:cs="仿宋"/>
          <w:color w:val="000000"/>
          <w:kern w:val="0"/>
          <w:sz w:val="32"/>
          <w:szCs w:val="32"/>
          <w:lang w:val="en-US" w:eastAsia="zh-CN" w:bidi="ar"/>
        </w:rPr>
        <w:t>事业单位医疗（2101102）：支出决算为11.52万元，完成预算100%，决算数等于预算数。</w:t>
      </w:r>
    </w:p>
    <w:p w14:paraId="1AF28F99">
      <w:pPr>
        <w:pStyle w:val="26"/>
        <w:keepNext w:val="0"/>
        <w:keepLines w:val="0"/>
        <w:pageBreakBefore w:val="0"/>
        <w:widowControl/>
        <w:numPr>
          <w:ilvl w:val="0"/>
          <w:numId w:val="3"/>
        </w:numPr>
        <w:tabs>
          <w:tab w:val="left" w:pos="312"/>
          <w:tab w:val="clear" w:pos="420"/>
        </w:tabs>
        <w:overflowPunct/>
        <w:bidi w:val="0"/>
        <w:spacing w:before="100" w:after="0" w:line="576" w:lineRule="exact"/>
        <w:ind w:left="0" w:right="0" w:firstLine="640"/>
        <w:jc w:val="left"/>
        <w:rPr>
          <w:rFonts w:ascii="仿宋" w:hAnsi="仿宋" w:eastAsia="仿宋" w:cs="仿宋"/>
          <w:color w:val="000000"/>
          <w:kern w:val="0"/>
          <w:sz w:val="32"/>
          <w:szCs w:val="32"/>
          <w:highlight w:val="none"/>
          <w:lang w:val="en-US" w:eastAsia="zh-CN" w:bidi="ar"/>
        </w:rPr>
      </w:pPr>
      <w:r>
        <w:rPr>
          <w:rFonts w:ascii="仿宋" w:hAnsi="仿宋" w:eastAsia="仿宋" w:cs="仿宋"/>
          <w:color w:val="000000"/>
          <w:kern w:val="0"/>
          <w:sz w:val="32"/>
          <w:szCs w:val="32"/>
          <w:lang w:val="en-US" w:eastAsia="zh-CN" w:bidi="ar"/>
        </w:rPr>
        <w:t>其他行政事业单位医疗支出（2101199）：支出决算为2.23万元，完成预算100%，决算数等于预算数。</w:t>
      </w:r>
    </w:p>
    <w:p w14:paraId="25AFCFEA">
      <w:pPr>
        <w:pStyle w:val="26"/>
        <w:keepNext w:val="0"/>
        <w:keepLines w:val="0"/>
        <w:pageBreakBefore w:val="0"/>
        <w:widowControl/>
        <w:numPr>
          <w:ilvl w:val="0"/>
          <w:numId w:val="3"/>
        </w:numPr>
        <w:tabs>
          <w:tab w:val="left" w:pos="312"/>
          <w:tab w:val="clear" w:pos="420"/>
        </w:tabs>
        <w:overflowPunct/>
        <w:bidi w:val="0"/>
        <w:spacing w:before="100" w:after="280" w:line="576" w:lineRule="exact"/>
        <w:ind w:left="0" w:right="0" w:firstLine="640"/>
        <w:jc w:val="left"/>
        <w:rPr>
          <w:rFonts w:ascii="仿宋" w:hAnsi="仿宋" w:eastAsia="仿宋" w:cs="仿宋"/>
          <w:color w:val="000000"/>
          <w:kern w:val="0"/>
          <w:sz w:val="32"/>
          <w:szCs w:val="32"/>
          <w:highlight w:val="none"/>
          <w:lang w:val="en-US" w:eastAsia="zh-CN" w:bidi="ar"/>
        </w:rPr>
      </w:pPr>
      <w:r>
        <w:rPr>
          <w:rFonts w:ascii="仿宋" w:hAnsi="仿宋" w:eastAsia="仿宋" w:cs="仿宋"/>
          <w:color w:val="000000"/>
          <w:kern w:val="0"/>
          <w:sz w:val="32"/>
          <w:szCs w:val="32"/>
          <w:lang w:val="en-US" w:eastAsia="zh-CN" w:bidi="ar"/>
        </w:rPr>
        <w:t>住房公积金（2210201）：支出决算为21.13万元，完成预算100%，决算数等于预算数。</w:t>
      </w:r>
    </w:p>
    <w:p w14:paraId="1D1D1EFC">
      <w:pPr>
        <w:spacing w:line="600" w:lineRule="exact"/>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（注：数据来源于财决01-1表</w:t>
      </w:r>
      <w:r>
        <w:rPr>
          <w:rFonts w:ascii="仿宋" w:hAnsi="仿宋" w:eastAsia="仿宋" w:cs="仿宋"/>
          <w:b/>
          <w:color w:val="000000"/>
          <w:sz w:val="32"/>
          <w:szCs w:val="32"/>
          <w:lang w:eastAsia="zh-CN"/>
        </w:rPr>
        <w:t>和财决</w:t>
      </w:r>
      <w:r>
        <w:rPr>
          <w:rFonts w:ascii="仿宋" w:hAnsi="仿宋" w:eastAsia="仿宋" w:cs="仿宋"/>
          <w:b/>
          <w:color w:val="000000"/>
          <w:sz w:val="32"/>
          <w:szCs w:val="32"/>
          <w:lang w:val="en-US" w:eastAsia="zh-CN"/>
        </w:rPr>
        <w:t>08表</w:t>
      </w:r>
      <w:r>
        <w:rPr>
          <w:rFonts w:ascii="仿宋" w:hAnsi="仿宋" w:eastAsia="仿宋" w:cs="仿宋"/>
          <w:b/>
          <w:color w:val="000000"/>
          <w:sz w:val="32"/>
          <w:szCs w:val="32"/>
        </w:rPr>
        <w:t>，</w:t>
      </w:r>
      <w:r>
        <w:rPr>
          <w:rFonts w:ascii="仿宋" w:hAnsi="仿宋" w:eastAsia="仿宋" w:cs="仿宋"/>
          <w:b/>
          <w:color w:val="000000"/>
          <w:sz w:val="32"/>
          <w:szCs w:val="32"/>
          <w:lang w:eastAsia="zh-CN"/>
        </w:rPr>
        <w:t>仅</w:t>
      </w:r>
      <w:r>
        <w:rPr>
          <w:rFonts w:ascii="仿宋" w:hAnsi="仿宋" w:eastAsia="仿宋" w:cs="仿宋"/>
          <w:b/>
          <w:color w:val="000000"/>
          <w:sz w:val="32"/>
          <w:szCs w:val="32"/>
        </w:rPr>
        <w:t>罗列</w:t>
      </w:r>
      <w:r>
        <w:rPr>
          <w:rFonts w:ascii="仿宋" w:hAnsi="仿宋" w:eastAsia="仿宋" w:cs="仿宋"/>
          <w:b/>
          <w:color w:val="000000"/>
          <w:sz w:val="32"/>
          <w:szCs w:val="32"/>
          <w:lang w:eastAsia="zh-CN"/>
        </w:rPr>
        <w:t>本单位涉及的</w:t>
      </w:r>
      <w:r>
        <w:rPr>
          <w:rFonts w:ascii="仿宋" w:hAnsi="仿宋" w:eastAsia="仿宋" w:cs="仿宋"/>
          <w:b/>
          <w:color w:val="000000"/>
          <w:sz w:val="32"/>
          <w:szCs w:val="32"/>
        </w:rPr>
        <w:t>全部功能分类科目</w:t>
      </w:r>
      <w:r>
        <w:rPr>
          <w:rFonts w:ascii="仿宋" w:hAnsi="仿宋" w:eastAsia="仿宋" w:cs="仿宋"/>
          <w:b/>
          <w:color w:val="000000"/>
          <w:sz w:val="32"/>
          <w:szCs w:val="32"/>
          <w:lang w:eastAsia="zh-CN"/>
        </w:rPr>
        <w:t>，</w:t>
      </w:r>
      <w:r>
        <w:rPr>
          <w:rFonts w:ascii="仿宋" w:hAnsi="仿宋" w:eastAsia="仿宋" w:cs="仿宋"/>
          <w:b/>
          <w:color w:val="000000"/>
          <w:sz w:val="32"/>
          <w:szCs w:val="32"/>
        </w:rPr>
        <w:t>至项级。上述“预算”口径为</w:t>
      </w:r>
      <w:r>
        <w:rPr>
          <w:rFonts w:ascii="仿宋" w:hAnsi="仿宋" w:eastAsia="仿宋" w:cs="仿宋"/>
          <w:b/>
          <w:color w:val="000000"/>
          <w:sz w:val="32"/>
          <w:szCs w:val="32"/>
          <w:lang w:eastAsia="zh-CN"/>
        </w:rPr>
        <w:t>全年预算</w:t>
      </w:r>
      <w:r>
        <w:rPr>
          <w:rFonts w:ascii="仿宋" w:hAnsi="仿宋" w:eastAsia="仿宋" w:cs="仿宋"/>
          <w:b/>
          <w:color w:val="000000"/>
          <w:sz w:val="32"/>
          <w:szCs w:val="32"/>
        </w:rPr>
        <w:t>数。增减变动原因为决算数</w:t>
      </w:r>
      <w:r>
        <w:rPr>
          <w:rFonts w:ascii="仿宋" w:hAnsi="仿宋" w:eastAsia="仿宋" w:cs="仿宋"/>
          <w:b/>
          <w:color w:val="000000"/>
          <w:sz w:val="32"/>
          <w:szCs w:val="32"/>
          <w:lang w:eastAsia="zh-CN"/>
        </w:rPr>
        <w:t>〈</w:t>
      </w:r>
      <w:r>
        <w:rPr>
          <w:rFonts w:ascii="仿宋" w:hAnsi="仿宋" w:eastAsia="仿宋" w:cs="仿宋"/>
          <w:b/>
          <w:color w:val="000000"/>
          <w:sz w:val="32"/>
          <w:szCs w:val="32"/>
        </w:rPr>
        <w:t>项级</w:t>
      </w:r>
      <w:r>
        <w:rPr>
          <w:rFonts w:ascii="仿宋" w:hAnsi="仿宋" w:eastAsia="仿宋" w:cs="仿宋"/>
          <w:b/>
          <w:color w:val="000000"/>
          <w:sz w:val="32"/>
          <w:szCs w:val="32"/>
          <w:lang w:eastAsia="zh-CN"/>
        </w:rPr>
        <w:t>〉</w:t>
      </w:r>
      <w:r>
        <w:rPr>
          <w:rFonts w:ascii="仿宋" w:hAnsi="仿宋" w:eastAsia="仿宋" w:cs="仿宋"/>
          <w:b/>
          <w:color w:val="000000"/>
          <w:sz w:val="32"/>
          <w:szCs w:val="32"/>
        </w:rPr>
        <w:t>和</w:t>
      </w:r>
      <w:r>
        <w:rPr>
          <w:rFonts w:ascii="仿宋" w:hAnsi="仿宋" w:eastAsia="仿宋" w:cs="仿宋"/>
          <w:b/>
          <w:color w:val="000000"/>
          <w:sz w:val="32"/>
          <w:szCs w:val="32"/>
          <w:lang w:eastAsia="zh-CN"/>
        </w:rPr>
        <w:t>全年预算</w:t>
      </w:r>
      <w:r>
        <w:rPr>
          <w:rFonts w:ascii="仿宋" w:hAnsi="仿宋" w:eastAsia="仿宋" w:cs="仿宋"/>
          <w:b/>
          <w:color w:val="000000"/>
          <w:sz w:val="32"/>
          <w:szCs w:val="32"/>
        </w:rPr>
        <w:t>数</w:t>
      </w:r>
      <w:r>
        <w:rPr>
          <w:rFonts w:ascii="仿宋" w:hAnsi="仿宋" w:eastAsia="仿宋" w:cs="仿宋"/>
          <w:b/>
          <w:color w:val="000000"/>
          <w:sz w:val="32"/>
          <w:szCs w:val="32"/>
          <w:lang w:eastAsia="zh-CN"/>
        </w:rPr>
        <w:t>〈</w:t>
      </w:r>
      <w:r>
        <w:rPr>
          <w:rFonts w:ascii="仿宋" w:hAnsi="仿宋" w:eastAsia="仿宋" w:cs="仿宋"/>
          <w:b/>
          <w:color w:val="000000"/>
          <w:sz w:val="32"/>
          <w:szCs w:val="32"/>
        </w:rPr>
        <w:t>项级</w:t>
      </w:r>
      <w:r>
        <w:rPr>
          <w:rFonts w:ascii="仿宋" w:hAnsi="仿宋" w:eastAsia="仿宋" w:cs="仿宋"/>
          <w:b/>
          <w:color w:val="000000"/>
          <w:sz w:val="32"/>
          <w:szCs w:val="32"/>
          <w:lang w:eastAsia="zh-CN"/>
        </w:rPr>
        <w:t>〉</w:t>
      </w:r>
      <w:r>
        <w:rPr>
          <w:rFonts w:ascii="仿宋" w:hAnsi="仿宋" w:eastAsia="仿宋" w:cs="仿宋"/>
          <w:b/>
          <w:color w:val="000000"/>
          <w:sz w:val="32"/>
          <w:szCs w:val="32"/>
        </w:rPr>
        <w:t>比较，与预算数持平可以不写原因。）</w:t>
      </w:r>
    </w:p>
    <w:p w14:paraId="0A229CCA">
      <w:pPr>
        <w:spacing w:line="600" w:lineRule="exact"/>
        <w:ind w:firstLine="640"/>
        <w:rPr>
          <w:rFonts w:ascii="仿宋" w:hAnsi="仿宋" w:eastAsia="仿宋" w:cs="仿宋"/>
          <w:b/>
          <w:color w:val="000000"/>
          <w:sz w:val="32"/>
          <w:szCs w:val="32"/>
          <w:highlight w:val="none"/>
        </w:rPr>
      </w:pPr>
    </w:p>
    <w:p w14:paraId="38CFCF3F">
      <w:pPr>
        <w:numPr>
          <w:ilvl w:val="0"/>
          <w:numId w:val="0"/>
        </w:numPr>
        <w:tabs>
          <w:tab w:val="right" w:pos="8306"/>
        </w:tabs>
        <w:spacing w:line="600" w:lineRule="exact"/>
        <w:ind w:firstLine="640"/>
        <w:outlineLvl w:val="1"/>
        <w:rPr>
          <w:rStyle w:val="18"/>
          <w:color w:val="000000"/>
          <w:highlight w:val="none"/>
        </w:rPr>
      </w:pPr>
      <w:r>
        <w:rPr>
          <w:rFonts w:ascii="黑体" w:hAnsi="黑体" w:eastAsia="黑体"/>
          <w:color w:val="000000"/>
          <w:sz w:val="32"/>
          <w:szCs w:val="32"/>
        </w:rPr>
        <w:t>六</w:t>
      </w:r>
      <w:r>
        <w:rPr>
          <w:rFonts w:ascii="黑体" w:hAnsi="黑体" w:eastAsia="黑体"/>
          <w:b/>
          <w:color w:val="000000"/>
          <w:sz w:val="32"/>
          <w:szCs w:val="32"/>
        </w:rPr>
        <w:t>、</w:t>
      </w:r>
      <w:r>
        <w:rPr>
          <w:rFonts w:ascii="黑体" w:hAnsi="黑体" w:eastAsia="黑体" w:cs="黑体"/>
          <w:b/>
          <w:color w:val="000000"/>
          <w:sz w:val="32"/>
          <w:szCs w:val="32"/>
        </w:rPr>
        <w:t>一</w:t>
      </w:r>
      <w:r>
        <w:rPr>
          <w:rStyle w:val="18"/>
          <w:rFonts w:ascii="黑体" w:hAnsi="黑体" w:eastAsia="黑体" w:cs="黑体"/>
          <w:b w:val="0"/>
          <w:color w:val="000000"/>
        </w:rPr>
        <w:t>般公共预算财政拨款基本支出决算情况说明</w:t>
      </w:r>
      <w:r>
        <w:rPr>
          <w:rStyle w:val="18"/>
          <w:rFonts w:ascii="黑体" w:hAnsi="黑体" w:eastAsia="黑体" w:cs="黑体"/>
          <w:b w:val="0"/>
          <w:color w:val="000000"/>
        </w:rPr>
        <w:tab/>
      </w:r>
    </w:p>
    <w:p w14:paraId="493EB478">
      <w:pPr>
        <w:spacing w:line="600" w:lineRule="exact"/>
        <w:ind w:firstLine="645"/>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2025年度一般公共预算财政拨款基本支出282.22万元，其中：</w:t>
      </w:r>
    </w:p>
    <w:p w14:paraId="7350836D">
      <w:pPr>
        <w:spacing w:line="600" w:lineRule="exact"/>
        <w:ind w:firstLine="645"/>
        <w:rPr>
          <w:rFonts w:ascii="仿宋" w:hAnsi="仿宋" w:eastAsia="仿宋" w:cs="仿宋"/>
          <w:color w:val="000000"/>
          <w:sz w:val="32"/>
          <w:szCs w:val="32"/>
          <w:highlight w:val="none"/>
        </w:rPr>
      </w:pPr>
      <w:r>
        <w:rPr>
          <w:rFonts w:ascii="仿宋" w:hAnsi="仿宋" w:eastAsia="仿宋" w:cs="仿宋"/>
          <w:color w:val="000000"/>
          <w:sz w:val="32"/>
          <w:szCs w:val="32"/>
        </w:rPr>
        <w:t>人员经费263.95万元，主要包括：基本工资49.05万元、津贴补贴39.29万元、奖金67.61万元、绩效工资36.99万元、机关事业单位基本养老保险缴费23.37万元、职业年金缴费11.62万元、职工基本医疗保险缴费11.52万元、其他社会保障缴费1.14万元、住房公积金21.13万元、医疗费2.23万元。</w:t>
      </w:r>
      <w:r>
        <w:rPr>
          <w:rFonts w:ascii="仿宋" w:hAnsi="仿宋" w:eastAsia="仿宋" w:cs="仿宋"/>
          <w:color w:val="000000"/>
          <w:sz w:val="32"/>
          <w:szCs w:val="32"/>
        </w:rPr>
        <w:br w:type="textWrapping"/>
      </w:r>
      <w:r>
        <w:rPr>
          <w:rFonts w:ascii="仿宋" w:hAnsi="仿宋" w:eastAsia="仿宋" w:cs="仿宋"/>
          <w:color w:val="000000"/>
          <w:sz w:val="32"/>
          <w:szCs w:val="32"/>
        </w:rPr>
        <w:t>　　公用经费18.27万元，主要包括：办公费11.35万元、电费1万元、差旅费1.33万元、工会经费2.7万元、福利费1.38万元、其他交通费用0.5万元。</w:t>
      </w:r>
    </w:p>
    <w:p w14:paraId="43601959">
      <w:pPr>
        <w:spacing w:line="600" w:lineRule="exact"/>
        <w:ind w:firstLine="645"/>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（注：数据来源于财决07表</w:t>
      </w:r>
      <w:r>
        <w:rPr>
          <w:rFonts w:ascii="仿宋" w:hAnsi="仿宋" w:eastAsia="仿宋" w:cs="仿宋"/>
          <w:b/>
          <w:color w:val="000000"/>
          <w:sz w:val="32"/>
          <w:szCs w:val="32"/>
          <w:lang w:eastAsia="zh-CN"/>
        </w:rPr>
        <w:t>和财决</w:t>
      </w:r>
      <w:r>
        <w:rPr>
          <w:rFonts w:ascii="仿宋" w:hAnsi="仿宋" w:eastAsia="仿宋" w:cs="仿宋"/>
          <w:b/>
          <w:color w:val="000000"/>
          <w:sz w:val="32"/>
          <w:szCs w:val="32"/>
          <w:lang w:val="en-US" w:eastAsia="zh-CN"/>
        </w:rPr>
        <w:t>08-1表</w:t>
      </w:r>
      <w:r>
        <w:rPr>
          <w:rFonts w:ascii="仿宋" w:hAnsi="仿宋" w:eastAsia="仿宋" w:cs="仿宋"/>
          <w:b/>
          <w:color w:val="000000"/>
          <w:sz w:val="32"/>
          <w:szCs w:val="32"/>
        </w:rPr>
        <w:t>，</w:t>
      </w:r>
      <w:r>
        <w:rPr>
          <w:rFonts w:ascii="仿宋" w:hAnsi="仿宋" w:eastAsia="仿宋" w:cs="仿宋"/>
          <w:b/>
          <w:color w:val="000000"/>
          <w:sz w:val="32"/>
          <w:szCs w:val="32"/>
          <w:lang w:eastAsia="zh-CN"/>
        </w:rPr>
        <w:t>仅罗列</w:t>
      </w:r>
      <w:r>
        <w:rPr>
          <w:rFonts w:ascii="仿宋" w:hAnsi="仿宋" w:eastAsia="仿宋" w:cs="仿宋"/>
          <w:b/>
          <w:color w:val="000000"/>
          <w:sz w:val="32"/>
          <w:szCs w:val="32"/>
        </w:rPr>
        <w:t>本</w:t>
      </w:r>
      <w:r>
        <w:rPr>
          <w:rFonts w:ascii="仿宋" w:hAnsi="仿宋" w:eastAsia="仿宋" w:cs="仿宋"/>
          <w:b/>
          <w:color w:val="000000"/>
          <w:sz w:val="32"/>
          <w:szCs w:val="32"/>
          <w:lang w:eastAsia="zh-CN"/>
        </w:rPr>
        <w:t>单位</w:t>
      </w:r>
      <w:r>
        <w:rPr>
          <w:rFonts w:ascii="仿宋" w:hAnsi="仿宋" w:eastAsia="仿宋" w:cs="仿宋"/>
          <w:b/>
          <w:color w:val="000000"/>
          <w:sz w:val="32"/>
          <w:szCs w:val="32"/>
        </w:rPr>
        <w:t>实际支出</w:t>
      </w:r>
      <w:r>
        <w:rPr>
          <w:rFonts w:ascii="仿宋" w:hAnsi="仿宋" w:eastAsia="仿宋" w:cs="仿宋"/>
          <w:b/>
          <w:color w:val="000000"/>
          <w:sz w:val="32"/>
          <w:szCs w:val="32"/>
          <w:lang w:eastAsia="zh-CN"/>
        </w:rPr>
        <w:t>涉及的</w:t>
      </w:r>
      <w:r>
        <w:rPr>
          <w:rFonts w:ascii="仿宋" w:hAnsi="仿宋" w:eastAsia="仿宋" w:cs="仿宋"/>
          <w:b/>
          <w:color w:val="000000"/>
          <w:sz w:val="32"/>
          <w:szCs w:val="32"/>
        </w:rPr>
        <w:t>经济分类科目。）</w:t>
      </w:r>
    </w:p>
    <w:p w14:paraId="03E4086E">
      <w:pPr>
        <w:spacing w:line="600" w:lineRule="exact"/>
        <w:ind w:firstLine="640"/>
        <w:rPr>
          <w:rFonts w:ascii="仿宋" w:hAnsi="仿宋" w:eastAsia="仿宋" w:cs="仿宋"/>
          <w:b/>
          <w:color w:val="000000"/>
          <w:sz w:val="32"/>
          <w:szCs w:val="32"/>
          <w:highlight w:val="none"/>
        </w:rPr>
      </w:pPr>
    </w:p>
    <w:p w14:paraId="1A3AFEB4">
      <w:pPr>
        <w:numPr>
          <w:ilvl w:val="0"/>
          <w:numId w:val="0"/>
        </w:numPr>
        <w:spacing w:line="600" w:lineRule="exact"/>
        <w:ind w:firstLine="640"/>
        <w:outlineLvl w:val="1"/>
        <w:rPr>
          <w:rStyle w:val="18"/>
          <w:rFonts w:ascii="黑体" w:hAnsi="黑体" w:eastAsia="黑体" w:cs="黑体"/>
          <w:b w:val="0"/>
          <w:color w:val="000000"/>
          <w:highlight w:val="none"/>
        </w:rPr>
      </w:pPr>
      <w:r>
        <w:rPr>
          <w:rFonts w:ascii="黑体" w:hAnsi="黑体" w:eastAsia="黑体"/>
          <w:color w:val="000000"/>
          <w:sz w:val="32"/>
          <w:szCs w:val="32"/>
        </w:rPr>
        <w:t>七、</w:t>
      </w:r>
      <w:r>
        <w:rPr>
          <w:rStyle w:val="18"/>
          <w:rFonts w:ascii="黑体" w:hAnsi="黑体" w:eastAsia="黑体" w:cs="黑体"/>
          <w:b w:val="0"/>
          <w:color w:val="000000"/>
        </w:rPr>
        <w:t>财政拨款</w:t>
      </w:r>
      <w:r>
        <w:rPr>
          <w:rStyle w:val="18"/>
          <w:rFonts w:ascii="黑体" w:hAnsi="黑体" w:eastAsia="黑体" w:cs="黑体"/>
          <w:color w:val="000000"/>
        </w:rPr>
        <w:t>“</w:t>
      </w:r>
      <w:r>
        <w:rPr>
          <w:rStyle w:val="18"/>
          <w:rFonts w:ascii="黑体" w:hAnsi="黑体" w:eastAsia="黑体" w:cs="黑体"/>
          <w:b w:val="0"/>
          <w:color w:val="000000"/>
        </w:rPr>
        <w:t>三公”经费支出决算情况说明</w:t>
      </w:r>
    </w:p>
    <w:p w14:paraId="18FC4AAC">
      <w:pPr>
        <w:numPr>
          <w:ilvl w:val="0"/>
          <w:numId w:val="0"/>
        </w:numPr>
        <w:spacing w:line="600" w:lineRule="exact"/>
        <w:ind w:firstLine="640"/>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（一）“三公”经费财政拨款支出决算总体情况说明</w:t>
      </w:r>
    </w:p>
    <w:p w14:paraId="13026A6F">
      <w:pPr>
        <w:spacing w:line="600" w:lineRule="exact"/>
        <w:ind w:firstLine="640"/>
        <w:rPr>
          <w:rFonts w:ascii="Times New Roman" w:hAnsi="Times New Roman" w:eastAsia="方正仿宋;仿宋" w:cs="Times New Roman"/>
          <w:color w:val="000000"/>
          <w:sz w:val="32"/>
          <w:szCs w:val="32"/>
          <w:highlight w:val="none"/>
        </w:rPr>
      </w:pPr>
      <w:r>
        <w:rPr>
          <w:rFonts w:ascii="Times New Roman" w:hAnsi="Times New Roman" w:eastAsia="方正仿宋;仿宋" w:cs="Times New Roman"/>
          <w:color w:val="000000"/>
          <w:sz w:val="32"/>
          <w:szCs w:val="32"/>
          <w:lang w:eastAsia="zh-CN"/>
        </w:rPr>
        <w:t>2025年度“三公”经费财政拨款支出决算为0万元。</w:t>
      </w:r>
    </w:p>
    <w:p w14:paraId="6935B702">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（注：上述“预算”口径为</w:t>
      </w:r>
      <w:r>
        <w:rPr>
          <w:rFonts w:ascii="仿宋" w:hAnsi="仿宋" w:eastAsia="仿宋" w:cs="仿宋"/>
          <w:b/>
          <w:color w:val="000000"/>
          <w:sz w:val="32"/>
          <w:szCs w:val="32"/>
          <w:lang w:eastAsia="zh-CN"/>
        </w:rPr>
        <w:t>全年预算</w:t>
      </w:r>
      <w:r>
        <w:rPr>
          <w:rFonts w:ascii="仿宋" w:hAnsi="仿宋" w:eastAsia="仿宋" w:cs="仿宋"/>
          <w:b/>
          <w:color w:val="000000"/>
          <w:sz w:val="32"/>
          <w:szCs w:val="32"/>
        </w:rPr>
        <w:t>数，包括</w:t>
      </w:r>
      <w:r>
        <w:rPr>
          <w:rFonts w:ascii="仿宋" w:hAnsi="仿宋" w:eastAsia="仿宋" w:cs="仿宋"/>
          <w:b/>
          <w:color w:val="000000"/>
          <w:sz w:val="32"/>
          <w:szCs w:val="32"/>
          <w:lang w:eastAsia="zh-CN"/>
        </w:rPr>
        <w:t>一般公共预算和</w:t>
      </w:r>
      <w:r>
        <w:rPr>
          <w:rFonts w:ascii="仿宋" w:hAnsi="仿宋" w:eastAsia="仿宋" w:cs="仿宋"/>
          <w:b/>
          <w:color w:val="000000"/>
          <w:sz w:val="32"/>
          <w:szCs w:val="32"/>
        </w:rPr>
        <w:t>政府性基金</w:t>
      </w:r>
      <w:r>
        <w:rPr>
          <w:rFonts w:ascii="仿宋" w:hAnsi="仿宋" w:eastAsia="仿宋" w:cs="仿宋"/>
          <w:b/>
          <w:color w:val="000000"/>
          <w:sz w:val="32"/>
          <w:szCs w:val="32"/>
          <w:lang w:eastAsia="zh-CN"/>
        </w:rPr>
        <w:t>预算财政拨款</w:t>
      </w:r>
      <w:r>
        <w:rPr>
          <w:rFonts w:ascii="仿宋" w:hAnsi="仿宋" w:eastAsia="仿宋" w:cs="仿宋"/>
          <w:b/>
          <w:color w:val="000000"/>
          <w:sz w:val="32"/>
          <w:szCs w:val="32"/>
        </w:rPr>
        <w:t>支出决算情况。）</w:t>
      </w:r>
    </w:p>
    <w:p w14:paraId="6BA2E80C">
      <w:pPr>
        <w:numPr>
          <w:ilvl w:val="0"/>
          <w:numId w:val="0"/>
        </w:numPr>
        <w:spacing w:line="600" w:lineRule="exact"/>
        <w:ind w:firstLine="640"/>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（二）“三公”经费财政拨款支出决算具体情况说明</w:t>
      </w:r>
    </w:p>
    <w:p w14:paraId="338A0637">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2025年度“三公”经费财政拨款支出决算中，因公出国（境）费支出决算0万元，占0%；公务用车购置及运行维护费支出决算0万元，占0%；公务接待费支出决算0万元，占0%。具体情况如下：</w:t>
      </w:r>
    </w:p>
    <w:p w14:paraId="03FB5E39">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（图7：“三公”经费财政拨款支出结构）（饼状图）</w:t>
      </w:r>
    </w:p>
    <w:p w14:paraId="2737842F">
      <w:pPr>
        <w:keepNext w:val="0"/>
        <w:keepLines w:val="0"/>
        <w:pageBreakBefore w:val="0"/>
        <w:kinsoku/>
        <w:overflowPunct/>
        <w:bidi w:val="0"/>
        <w:snapToGrid/>
        <w:spacing w:line="576" w:lineRule="exact"/>
        <w:ind w:firstLine="640"/>
        <w:jc w:val="both"/>
        <w:textAlignment w:val="auto"/>
        <w:rPr>
          <w:rStyle w:val="19"/>
          <w:rFonts w:ascii="Times New Roman" w:hAnsi="Times New Roman" w:eastAsia="方正仿宋;仿宋" w:cs="Times New Roman"/>
          <w:b w:val="0"/>
          <w:bCs/>
          <w:color w:val="000000"/>
          <w:sz w:val="32"/>
          <w:szCs w:val="32"/>
          <w:highlight w:val="none"/>
        </w:rPr>
      </w:pPr>
      <w:r>
        <w:rPr>
          <w:rFonts w:ascii="Times New Roman" w:hAnsi="Times New Roman" w:eastAsia="方正仿宋;仿宋" w:cs="Times New Roman"/>
          <w:b/>
          <w:color w:val="000000"/>
          <w:sz w:val="32"/>
          <w:szCs w:val="32"/>
        </w:rPr>
        <w:t>1.因公出国（境）经费支出</w:t>
      </w:r>
      <w:r>
        <w:rPr>
          <w:rFonts w:ascii="Times New Roman" w:hAnsi="Times New Roman" w:eastAsia="方正仿宋;仿宋" w:cs="Times New Roman"/>
          <w:color w:val="000000"/>
          <w:sz w:val="32"/>
          <w:szCs w:val="32"/>
          <w:lang w:val="en-US" w:eastAsia="zh-CN"/>
        </w:rPr>
        <w:t>0</w:t>
      </w:r>
      <w:r>
        <w:rPr>
          <w:rFonts w:ascii="Times New Roman" w:hAnsi="Times New Roman" w:eastAsia="方正仿宋;仿宋" w:cs="Times New Roman"/>
          <w:color w:val="000000"/>
          <w:sz w:val="32"/>
          <w:szCs w:val="32"/>
        </w:rPr>
        <w:t>万元</w:t>
      </w:r>
      <w:r>
        <w:rPr>
          <w:rStyle w:val="19"/>
          <w:rFonts w:ascii="Times New Roman" w:hAnsi="Times New Roman" w:eastAsia="方正仿宋;仿宋" w:cs="Times New Roman"/>
          <w:b w:val="0"/>
          <w:bCs/>
          <w:color w:val="000000"/>
          <w:sz w:val="32"/>
          <w:szCs w:val="32"/>
        </w:rPr>
        <w:t>。</w:t>
      </w:r>
    </w:p>
    <w:p w14:paraId="6921E3CA">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b/>
          <w:color w:val="000000"/>
          <w:sz w:val="32"/>
          <w:szCs w:val="32"/>
          <w:highlight w:val="none"/>
        </w:rPr>
      </w:pPr>
      <w:r>
        <w:rPr>
          <w:rFonts w:ascii="Times New Roman" w:hAnsi="Times New Roman" w:eastAsia="方正仿宋;仿宋" w:cs="Times New Roman"/>
          <w:b/>
          <w:color w:val="000000"/>
          <w:sz w:val="32"/>
          <w:szCs w:val="32"/>
        </w:rPr>
        <w:t>2.公务用车购置及运行维护费支出</w:t>
      </w:r>
      <w:r>
        <w:rPr>
          <w:rFonts w:ascii="Times New Roman" w:hAnsi="Times New Roman" w:eastAsia="方正仿宋;仿宋" w:cs="Times New Roman"/>
          <w:color w:val="000000"/>
          <w:sz w:val="32"/>
          <w:szCs w:val="32"/>
          <w:lang w:val="en-US" w:eastAsia="zh-CN"/>
        </w:rPr>
        <w:t>0</w:t>
      </w:r>
      <w:r>
        <w:rPr>
          <w:rFonts w:ascii="Times New Roman" w:hAnsi="Times New Roman" w:eastAsia="方正仿宋;仿宋" w:cs="Times New Roman"/>
          <w:color w:val="000000"/>
          <w:sz w:val="32"/>
          <w:szCs w:val="32"/>
        </w:rPr>
        <w:t>万元。</w:t>
      </w:r>
    </w:p>
    <w:p w14:paraId="41F0D43A">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b/>
          <w:color w:val="000000"/>
          <w:sz w:val="32"/>
          <w:szCs w:val="32"/>
          <w:highlight w:val="none"/>
        </w:rPr>
      </w:pPr>
      <w:r>
        <w:rPr>
          <w:rFonts w:ascii="Times New Roman" w:hAnsi="Times New Roman" w:eastAsia="方正仿宋;仿宋" w:cs="Times New Roman"/>
          <w:color w:val="000000"/>
          <w:sz w:val="32"/>
          <w:szCs w:val="32"/>
        </w:rPr>
        <w:t>其中：</w:t>
      </w:r>
      <w:r>
        <w:rPr>
          <w:rFonts w:ascii="Times New Roman" w:hAnsi="Times New Roman" w:eastAsia="方正仿宋;仿宋" w:cs="Times New Roman"/>
          <w:b/>
          <w:color w:val="000000"/>
          <w:sz w:val="32"/>
          <w:szCs w:val="32"/>
        </w:rPr>
        <w:t>公务用车购置支出</w:t>
      </w:r>
      <w:r>
        <w:rPr>
          <w:rFonts w:ascii="Times New Roman" w:hAnsi="Times New Roman" w:eastAsia="方正仿宋;仿宋" w:cs="Times New Roman"/>
          <w:color w:val="000000"/>
          <w:sz w:val="32"/>
          <w:szCs w:val="32"/>
          <w:lang w:val="en-US" w:eastAsia="zh-CN"/>
        </w:rPr>
        <w:t>0</w:t>
      </w:r>
      <w:r>
        <w:rPr>
          <w:rFonts w:ascii="Times New Roman" w:hAnsi="Times New Roman" w:eastAsia="方正仿宋;仿宋" w:cs="Times New Roman"/>
          <w:color w:val="000000"/>
          <w:sz w:val="32"/>
          <w:szCs w:val="32"/>
        </w:rPr>
        <w:t>万元。</w:t>
      </w:r>
    </w:p>
    <w:p w14:paraId="08193B19">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rPr>
      </w:pPr>
      <w:r>
        <w:rPr>
          <w:rFonts w:ascii="Times New Roman" w:hAnsi="Times New Roman" w:eastAsia="方正仿宋;仿宋" w:cs="Times New Roman"/>
          <w:b/>
          <w:color w:val="000000"/>
          <w:sz w:val="32"/>
          <w:szCs w:val="32"/>
        </w:rPr>
        <w:t>公务用车运行维护费支出</w:t>
      </w:r>
      <w:r>
        <w:rPr>
          <w:rFonts w:ascii="Times New Roman" w:hAnsi="Times New Roman" w:eastAsia="方正仿宋;仿宋" w:cs="Times New Roman"/>
          <w:color w:val="000000"/>
          <w:sz w:val="32"/>
          <w:szCs w:val="32"/>
          <w:lang w:val="en-US" w:eastAsia="zh-CN"/>
        </w:rPr>
        <w:t>0</w:t>
      </w:r>
      <w:r>
        <w:rPr>
          <w:rFonts w:ascii="Times New Roman" w:hAnsi="Times New Roman" w:eastAsia="方正仿宋;仿宋" w:cs="Times New Roman"/>
          <w:color w:val="000000"/>
          <w:sz w:val="32"/>
          <w:szCs w:val="32"/>
        </w:rPr>
        <w:t>万元。</w:t>
      </w:r>
    </w:p>
    <w:p w14:paraId="7135247A">
      <w:pPr>
        <w:keepNext w:val="0"/>
        <w:keepLines w:val="0"/>
        <w:pageBreakBefore w:val="0"/>
        <w:kinsoku/>
        <w:overflowPunct/>
        <w:bidi w:val="0"/>
        <w:snapToGrid/>
        <w:spacing w:line="576" w:lineRule="exact"/>
        <w:ind w:firstLine="640"/>
        <w:jc w:val="both"/>
        <w:textAlignment w:val="auto"/>
        <w:rPr>
          <w:rStyle w:val="19"/>
          <w:rFonts w:ascii="Times New Roman" w:hAnsi="Times New Roman" w:eastAsia="方正仿宋;仿宋" w:cs="Times New Roman"/>
          <w:b w:val="0"/>
          <w:bCs/>
          <w:color w:val="000000"/>
          <w:sz w:val="32"/>
          <w:szCs w:val="32"/>
          <w:highlight w:val="none"/>
        </w:rPr>
      </w:pPr>
      <w:r>
        <w:rPr>
          <w:rFonts w:ascii="Times New Roman" w:hAnsi="Times New Roman" w:eastAsia="方正仿宋;仿宋" w:cs="Times New Roman"/>
          <w:b/>
          <w:color w:val="000000"/>
          <w:sz w:val="32"/>
          <w:szCs w:val="32"/>
        </w:rPr>
        <w:t>3.公务接待费支出</w:t>
      </w:r>
      <w:r>
        <w:rPr>
          <w:rFonts w:ascii="Times New Roman" w:hAnsi="Times New Roman" w:eastAsia="方正仿宋;仿宋" w:cs="Times New Roman"/>
          <w:color w:val="000000"/>
          <w:sz w:val="32"/>
          <w:szCs w:val="32"/>
          <w:lang w:val="en-US" w:eastAsia="zh-CN"/>
        </w:rPr>
        <w:t>0</w:t>
      </w:r>
      <w:r>
        <w:rPr>
          <w:rFonts w:ascii="Times New Roman" w:hAnsi="Times New Roman" w:eastAsia="方正仿宋;仿宋" w:cs="Times New Roman"/>
          <w:color w:val="000000"/>
          <w:sz w:val="32"/>
          <w:szCs w:val="32"/>
        </w:rPr>
        <w:t>万元</w:t>
      </w:r>
      <w:r>
        <w:rPr>
          <w:rStyle w:val="19"/>
          <w:rFonts w:ascii="Times New Roman" w:hAnsi="Times New Roman" w:eastAsia="方正仿宋;仿宋" w:cs="Times New Roman"/>
          <w:b w:val="0"/>
          <w:bCs/>
          <w:color w:val="000000"/>
          <w:sz w:val="32"/>
          <w:szCs w:val="32"/>
        </w:rPr>
        <w:t>。</w:t>
      </w:r>
    </w:p>
    <w:p w14:paraId="592C67E7">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rPr>
      </w:pPr>
      <w:r>
        <w:rPr>
          <w:rFonts w:ascii="Times New Roman" w:hAnsi="Times New Roman" w:eastAsia="方正仿宋;仿宋" w:cs="Times New Roman"/>
          <w:color w:val="000000"/>
          <w:sz w:val="32"/>
          <w:szCs w:val="32"/>
        </w:rPr>
        <w:t>其中：</w:t>
      </w:r>
    </w:p>
    <w:p w14:paraId="5864C31C">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rPr>
      </w:pPr>
      <w:r>
        <w:rPr>
          <w:rFonts w:ascii="Times New Roman" w:hAnsi="Times New Roman" w:eastAsia="方正仿宋;仿宋" w:cs="Times New Roman"/>
          <w:b/>
          <w:color w:val="000000"/>
          <w:sz w:val="32"/>
          <w:szCs w:val="32"/>
        </w:rPr>
        <w:t>国内公务接待支出</w:t>
      </w:r>
      <w:r>
        <w:rPr>
          <w:rFonts w:ascii="Times New Roman" w:hAnsi="Times New Roman" w:eastAsia="方正仿宋;仿宋" w:cs="Times New Roman"/>
          <w:color w:val="000000"/>
          <w:sz w:val="32"/>
          <w:szCs w:val="32"/>
          <w:lang w:val="en-US" w:eastAsia="zh-CN"/>
        </w:rPr>
        <w:t>0</w:t>
      </w:r>
      <w:r>
        <w:rPr>
          <w:rFonts w:ascii="Times New Roman" w:hAnsi="Times New Roman" w:eastAsia="方正仿宋;仿宋" w:cs="Times New Roman"/>
          <w:color w:val="000000"/>
          <w:sz w:val="32"/>
          <w:szCs w:val="32"/>
        </w:rPr>
        <w:t>万元。</w:t>
      </w:r>
    </w:p>
    <w:p w14:paraId="7C2F0729">
      <w:pPr>
        <w:keepNext w:val="0"/>
        <w:keepLines w:val="0"/>
        <w:pageBreakBefore w:val="0"/>
        <w:kinsoku/>
        <w:overflowPunct/>
        <w:bidi w:val="0"/>
        <w:snapToGrid/>
        <w:spacing w:line="576" w:lineRule="exact"/>
        <w:ind w:firstLine="643"/>
        <w:jc w:val="both"/>
        <w:textAlignment w:val="auto"/>
        <w:rPr>
          <w:rFonts w:ascii="Times New Roman" w:hAnsi="Times New Roman" w:eastAsia="方正仿宋;仿宋" w:cs="Times New Roman"/>
          <w:color w:val="000000"/>
          <w:sz w:val="32"/>
          <w:szCs w:val="32"/>
          <w:highlight w:val="none"/>
          <w:lang w:eastAsia="zh-CN"/>
        </w:rPr>
      </w:pPr>
      <w:r>
        <w:rPr>
          <w:rFonts w:ascii="Times New Roman" w:hAnsi="Times New Roman" w:eastAsia="方正仿宋;仿宋" w:cs="Times New Roman"/>
          <w:b/>
          <w:color w:val="000000"/>
          <w:sz w:val="32"/>
          <w:szCs w:val="32"/>
        </w:rPr>
        <w:t>外事接待支出</w:t>
      </w:r>
      <w:r>
        <w:rPr>
          <w:rFonts w:ascii="Times New Roman" w:hAnsi="Times New Roman" w:eastAsia="方正仿宋;仿宋" w:cs="Times New Roman"/>
          <w:color w:val="000000"/>
          <w:sz w:val="32"/>
          <w:szCs w:val="32"/>
          <w:lang w:val="en-US" w:eastAsia="zh-CN"/>
        </w:rPr>
        <w:t>0</w:t>
      </w:r>
      <w:r>
        <w:rPr>
          <w:rFonts w:ascii="Times New Roman" w:hAnsi="Times New Roman" w:eastAsia="方正仿宋;仿宋" w:cs="Times New Roman"/>
          <w:color w:val="000000"/>
          <w:sz w:val="32"/>
          <w:szCs w:val="32"/>
        </w:rPr>
        <w:t>万元。</w:t>
      </w:r>
    </w:p>
    <w:p w14:paraId="4C23C7AB">
      <w:pPr>
        <w:numPr>
          <w:ilvl w:val="0"/>
          <w:numId w:val="0"/>
        </w:numPr>
        <w:spacing w:line="600" w:lineRule="exact"/>
        <w:ind w:firstLine="640"/>
        <w:outlineLvl w:val="1"/>
        <w:rPr>
          <w:rFonts w:ascii="黑体" w:hAnsi="黑体" w:eastAsia="黑体" w:cs="Times New Roman"/>
          <w:color w:val="000000"/>
          <w:sz w:val="32"/>
          <w:szCs w:val="32"/>
          <w:highlight w:val="none"/>
          <w:lang w:eastAsia="zh-CN"/>
        </w:rPr>
      </w:pPr>
    </w:p>
    <w:p w14:paraId="5DA39244">
      <w:pPr>
        <w:numPr>
          <w:ilvl w:val="0"/>
          <w:numId w:val="0"/>
        </w:numPr>
        <w:spacing w:line="600" w:lineRule="exact"/>
        <w:ind w:firstLine="640"/>
        <w:outlineLvl w:val="1"/>
        <w:rPr>
          <w:rStyle w:val="18"/>
          <w:rFonts w:ascii="黑体" w:hAnsi="黑体" w:eastAsia="黑体" w:cs="黑体"/>
          <w:color w:val="000000"/>
          <w:highlight w:val="none"/>
        </w:rPr>
      </w:pPr>
      <w:r>
        <w:rPr>
          <w:rFonts w:ascii="黑体" w:hAnsi="黑体" w:eastAsia="黑体"/>
          <w:color w:val="000000"/>
          <w:sz w:val="32"/>
          <w:szCs w:val="32"/>
        </w:rPr>
        <w:t>八、</w:t>
      </w:r>
      <w:r>
        <w:rPr>
          <w:rStyle w:val="18"/>
          <w:rFonts w:ascii="黑体" w:hAnsi="黑体" w:eastAsia="黑体" w:cs="黑体"/>
          <w:b w:val="0"/>
          <w:color w:val="000000"/>
        </w:rPr>
        <w:t>政府性基金预算支出决算情况说明</w:t>
      </w:r>
    </w:p>
    <w:p w14:paraId="6CCD8467">
      <w:pPr>
        <w:spacing w:line="600" w:lineRule="exact"/>
        <w:ind w:firstLine="640"/>
        <w:rPr>
          <w:rFonts w:ascii="仿宋" w:hAnsi="仿宋" w:eastAsia="仿宋"/>
          <w:color w:val="000000"/>
          <w:sz w:val="32"/>
          <w:szCs w:val="32"/>
          <w:highlight w:val="none"/>
        </w:rPr>
      </w:pPr>
      <w:r>
        <w:rPr>
          <w:rFonts w:ascii="仿宋" w:hAnsi="仿宋" w:eastAsia="仿宋"/>
          <w:color w:val="000000"/>
          <w:sz w:val="32"/>
          <w:szCs w:val="32"/>
          <w:lang w:eastAsia="zh-CN"/>
        </w:rPr>
        <w:t>2025年度政府性基金预算财政拨款支出0万元。</w:t>
      </w:r>
    </w:p>
    <w:p w14:paraId="5A51EC8E">
      <w:pPr>
        <w:spacing w:line="600" w:lineRule="exact"/>
        <w:ind w:firstLine="640"/>
        <w:rPr>
          <w:rFonts w:ascii="仿宋" w:hAnsi="仿宋" w:eastAsia="仿宋"/>
          <w:color w:val="000000"/>
          <w:sz w:val="32"/>
          <w:szCs w:val="32"/>
          <w:highlight w:val="none"/>
        </w:rPr>
      </w:pPr>
    </w:p>
    <w:p w14:paraId="74A2C1C9">
      <w:pPr>
        <w:keepNext w:val="0"/>
        <w:keepLines w:val="0"/>
        <w:pageBreakBefore w:val="0"/>
        <w:widowControl w:val="0"/>
        <w:numPr>
          <w:ilvl w:val="0"/>
          <w:numId w:val="0"/>
        </w:numPr>
        <w:kinsoku/>
        <w:overflowPunct/>
        <w:autoSpaceDE/>
        <w:bidi w:val="0"/>
        <w:snapToGrid/>
        <w:spacing w:line="600" w:lineRule="exact"/>
        <w:ind w:left="0" w:firstLine="640"/>
        <w:textAlignment w:val="auto"/>
        <w:outlineLvl w:val="1"/>
        <w:rPr>
          <w:rStyle w:val="18"/>
          <w:rFonts w:ascii="黑体" w:hAnsi="黑体" w:eastAsia="黑体" w:cs="黑体"/>
          <w:b w:val="0"/>
          <w:color w:val="000000"/>
          <w:highlight w:val="none"/>
        </w:rPr>
      </w:pPr>
      <w:r>
        <w:rPr>
          <w:rStyle w:val="18"/>
          <w:rFonts w:ascii="黑体" w:hAnsi="黑体" w:eastAsia="黑体" w:cs="黑体"/>
          <w:b w:val="0"/>
          <w:color w:val="000000"/>
          <w:lang w:eastAsia="zh-CN"/>
        </w:rPr>
        <w:t>九、</w:t>
      </w:r>
      <w:r>
        <w:rPr>
          <w:rStyle w:val="18"/>
          <w:rFonts w:ascii="黑体" w:hAnsi="黑体" w:eastAsia="黑体" w:cs="黑体"/>
          <w:b w:val="0"/>
          <w:color w:val="000000"/>
        </w:rPr>
        <w:t>国有资本经营预算支出决算情况说明</w:t>
      </w:r>
    </w:p>
    <w:p w14:paraId="6E20872A">
      <w:pPr>
        <w:spacing w:line="600" w:lineRule="exact"/>
        <w:ind w:firstLine="640"/>
        <w:rPr>
          <w:rFonts w:ascii="仿宋" w:hAnsi="仿宋" w:eastAsia="仿宋"/>
          <w:color w:val="000000"/>
          <w:sz w:val="32"/>
          <w:szCs w:val="32"/>
          <w:highlight w:val="none"/>
        </w:rPr>
      </w:pPr>
      <w:r>
        <w:rPr>
          <w:rFonts w:ascii="仿宋" w:hAnsi="仿宋" w:eastAsia="仿宋"/>
          <w:color w:val="000000"/>
          <w:sz w:val="32"/>
          <w:szCs w:val="32"/>
          <w:lang w:eastAsia="zh-CN"/>
        </w:rPr>
        <w:t>2025年度国有资本经营预算财政拨款支出0万元。</w:t>
      </w:r>
    </w:p>
    <w:p w14:paraId="36E21762">
      <w:pPr>
        <w:keepNext w:val="0"/>
        <w:keepLines w:val="0"/>
        <w:pageBreakBefore w:val="0"/>
        <w:widowControl w:val="0"/>
        <w:kinsoku/>
        <w:overflowPunct/>
        <w:autoSpaceDE/>
        <w:bidi w:val="0"/>
        <w:snapToGrid/>
        <w:spacing w:line="580" w:lineRule="exact"/>
        <w:ind w:firstLine="880"/>
        <w:jc w:val="center"/>
        <w:textAlignment w:val="auto"/>
        <w:rPr>
          <w:rFonts w:ascii="方正小标宋简体" w:hAnsi="方正小标宋简体" w:eastAsia="方正小标宋简体" w:cs="方正小标宋简体"/>
          <w:color w:val="000000"/>
          <w:sz w:val="44"/>
          <w:szCs w:val="44"/>
          <w:highlight w:val="none"/>
        </w:rPr>
      </w:pPr>
    </w:p>
    <w:p w14:paraId="005E0F18">
      <w:pPr>
        <w:keepNext w:val="0"/>
        <w:keepLines w:val="0"/>
        <w:pageBreakBefore w:val="0"/>
        <w:widowControl w:val="0"/>
        <w:numPr>
          <w:ilvl w:val="0"/>
          <w:numId w:val="0"/>
        </w:numPr>
        <w:kinsoku/>
        <w:overflowPunct/>
        <w:autoSpaceDE/>
        <w:bidi w:val="0"/>
        <w:snapToGrid/>
        <w:spacing w:line="600" w:lineRule="exact"/>
        <w:ind w:left="0" w:firstLine="640"/>
        <w:textAlignment w:val="auto"/>
        <w:outlineLvl w:val="1"/>
        <w:rPr>
          <w:rStyle w:val="18"/>
          <w:rFonts w:ascii="黑体" w:hAnsi="黑体" w:eastAsia="黑体" w:cs="黑体"/>
          <w:b w:val="0"/>
          <w:color w:val="000000"/>
          <w:highlight w:val="none"/>
        </w:rPr>
      </w:pPr>
      <w:r>
        <w:rPr>
          <w:rStyle w:val="18"/>
          <w:rFonts w:ascii="黑体" w:hAnsi="黑体" w:eastAsia="黑体" w:cs="黑体"/>
          <w:b w:val="0"/>
          <w:color w:val="000000"/>
          <w:lang w:eastAsia="zh-CN"/>
        </w:rPr>
        <w:t>十、</w:t>
      </w:r>
      <w:r>
        <w:rPr>
          <w:rStyle w:val="18"/>
          <w:rFonts w:ascii="黑体" w:hAnsi="黑体" w:eastAsia="黑体" w:cs="黑体"/>
          <w:b w:val="0"/>
          <w:color w:val="000000"/>
        </w:rPr>
        <w:t>其他重要事项的情况说明</w:t>
      </w:r>
    </w:p>
    <w:p w14:paraId="52375C03">
      <w:pPr>
        <w:numPr>
          <w:ilvl w:val="0"/>
          <w:numId w:val="0"/>
        </w:numPr>
        <w:spacing w:line="600" w:lineRule="exact"/>
        <w:ind w:firstLine="643"/>
        <w:outlineLvl w:val="2"/>
        <w:rPr>
          <w:rFonts w:ascii="仿宋" w:hAnsi="仿宋" w:eastAsia="仿宋" w:cs="仿宋"/>
          <w:color w:val="000000"/>
          <w:sz w:val="32"/>
          <w:szCs w:val="32"/>
          <w:highlight w:val="none"/>
        </w:rPr>
      </w:pPr>
      <w:r>
        <w:rPr>
          <w:rFonts w:ascii="仿宋" w:hAnsi="仿宋" w:eastAsia="仿宋" w:cs="仿宋"/>
          <w:b/>
          <w:color w:val="000000"/>
          <w:sz w:val="32"/>
          <w:szCs w:val="32"/>
        </w:rPr>
        <w:t>（一）机关运行经费支出情况</w:t>
      </w:r>
    </w:p>
    <w:p w14:paraId="4A396EDB">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rPr>
      </w:pPr>
      <w:r>
        <w:rPr>
          <w:rFonts w:ascii="仿宋" w:hAnsi="仿宋" w:eastAsia="仿宋"/>
          <w:color w:val="000000"/>
          <w:sz w:val="32"/>
          <w:szCs w:val="32"/>
          <w:lang w:eastAsia="zh-CN"/>
        </w:rPr>
        <w:t>2025年度，阿坝州松潘县大姓乡农业农村服务中心机关运行经费支出0万元，与2024年度决算数持平。</w:t>
      </w:r>
    </w:p>
    <w:p w14:paraId="4C219CC7">
      <w:pPr>
        <w:spacing w:line="600" w:lineRule="exact"/>
        <w:ind w:firstLine="640"/>
        <w:rPr>
          <w:rFonts w:ascii="仿宋" w:hAnsi="仿宋" w:eastAsia="仿宋" w:cs="Times New Roman"/>
          <w:color w:val="000000"/>
          <w:sz w:val="32"/>
          <w:szCs w:val="32"/>
          <w:highlight w:val="none"/>
        </w:rPr>
      </w:pPr>
    </w:p>
    <w:p w14:paraId="4B1A16D8">
      <w:pPr>
        <w:spacing w:line="600" w:lineRule="exact"/>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（注：数据来源于财决附03表）</w:t>
      </w:r>
    </w:p>
    <w:p w14:paraId="62884B19">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（二）政府采购支出情况</w:t>
      </w:r>
    </w:p>
    <w:p w14:paraId="4352767A">
      <w:pPr>
        <w:spacing w:line="600" w:lineRule="exact"/>
        <w:ind w:firstLine="640"/>
        <w:rPr>
          <w:rFonts w:ascii="仿宋" w:hAnsi="仿宋" w:eastAsia="仿宋"/>
          <w:color w:val="000000"/>
          <w:sz w:val="32"/>
          <w:szCs w:val="32"/>
          <w:highlight w:val="none"/>
        </w:rPr>
      </w:pPr>
      <w:r>
        <w:rPr>
          <w:rFonts w:ascii="仿宋" w:hAnsi="仿宋" w:eastAsia="仿宋"/>
          <w:color w:val="000000"/>
          <w:sz w:val="32"/>
          <w:szCs w:val="32"/>
          <w:lang w:eastAsia="zh-CN"/>
        </w:rPr>
        <w:t>2025年度，阿坝州松潘县大姓乡农业农村服务中心政府采购支出总额0万元，其中：政府采购货物支出0万元、政府采购工程支出0万元、政府采购服务支出0万元。</w:t>
      </w:r>
    </w:p>
    <w:p w14:paraId="6F837DB3">
      <w:pPr>
        <w:spacing w:line="600" w:lineRule="exact"/>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（注：数据来源于财决附03表）</w:t>
      </w:r>
    </w:p>
    <w:p w14:paraId="761EAB89">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（三）国有资产占有使用情况</w:t>
      </w:r>
    </w:p>
    <w:p w14:paraId="2B2DBC76">
      <w:pPr>
        <w:autoSpaceDE w:val="0"/>
        <w:spacing w:line="60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截至2025年12月31日，阿坝州松潘县大姓乡农业农村服务中心共有车辆0辆，单价100万元（含）以上设备（不含车辆）0台（套）。</w:t>
      </w:r>
    </w:p>
    <w:p w14:paraId="347EC580">
      <w:pPr>
        <w:autoSpaceDE w:val="0"/>
        <w:spacing w:line="600" w:lineRule="exact"/>
        <w:ind w:firstLine="643"/>
        <w:jc w:val="left"/>
        <w:rPr>
          <w:rFonts w:ascii="仿宋" w:hAnsi="仿宋" w:eastAsia="仿宋" w:cs="仿宋"/>
          <w:b/>
          <w:color w:val="000000"/>
          <w:sz w:val="32"/>
          <w:szCs w:val="32"/>
          <w:highlight w:val="none"/>
        </w:rPr>
      </w:pPr>
      <w:r>
        <w:rPr>
          <w:rFonts w:ascii="仿宋" w:hAnsi="仿宋" w:eastAsia="仿宋" w:cs="仿宋"/>
          <w:b/>
          <w:color w:val="000000"/>
          <w:sz w:val="32"/>
          <w:szCs w:val="32"/>
        </w:rPr>
        <w:t>（注：数据来源</w:t>
      </w:r>
      <w:r>
        <w:rPr>
          <w:rFonts w:ascii="仿宋" w:hAnsi="仿宋" w:eastAsia="仿宋" w:cs="仿宋"/>
          <w:b/>
          <w:color w:val="000000"/>
          <w:sz w:val="32"/>
          <w:szCs w:val="32"/>
          <w:lang w:eastAsia="zh-CN"/>
        </w:rPr>
        <w:t>于</w:t>
      </w:r>
      <w:r>
        <w:rPr>
          <w:rFonts w:ascii="仿宋" w:hAnsi="仿宋" w:eastAsia="仿宋" w:cs="仿宋"/>
          <w:b/>
          <w:color w:val="000000"/>
          <w:sz w:val="32"/>
          <w:szCs w:val="32"/>
        </w:rPr>
        <w:t>财决附03表，按</w:t>
      </w:r>
      <w:r>
        <w:rPr>
          <w:rFonts w:ascii="仿宋" w:hAnsi="仿宋" w:eastAsia="仿宋" w:cs="仿宋"/>
          <w:b/>
          <w:color w:val="000000"/>
          <w:sz w:val="32"/>
          <w:szCs w:val="32"/>
          <w:lang w:eastAsia="zh-CN"/>
        </w:rPr>
        <w:t>单位</w:t>
      </w:r>
      <w:r>
        <w:rPr>
          <w:rFonts w:ascii="仿宋" w:hAnsi="仿宋" w:eastAsia="仿宋" w:cs="仿宋"/>
          <w:b/>
          <w:color w:val="000000"/>
          <w:sz w:val="32"/>
          <w:szCs w:val="32"/>
        </w:rPr>
        <w:t>决算报表填报数据罗列车辆情况。）</w:t>
      </w:r>
    </w:p>
    <w:p w14:paraId="1B9F67E9">
      <w:pPr>
        <w:numPr>
          <w:ilvl w:val="0"/>
          <w:numId w:val="0"/>
        </w:numPr>
        <w:autoSpaceDE w:val="0"/>
        <w:spacing w:line="600" w:lineRule="exact"/>
        <w:ind w:firstLine="643"/>
        <w:jc w:val="left"/>
        <w:outlineLvl w:val="2"/>
        <w:rPr>
          <w:rFonts w:ascii="仿宋" w:hAnsi="仿宋" w:eastAsia="仿宋" w:cs="仿宋"/>
          <w:b/>
          <w:color w:val="000000"/>
          <w:sz w:val="32"/>
          <w:szCs w:val="32"/>
          <w:highlight w:val="none"/>
          <w:lang w:eastAsia="zh-CN"/>
        </w:rPr>
      </w:pPr>
      <w:r>
        <w:rPr>
          <w:rFonts w:ascii="仿宋" w:hAnsi="仿宋" w:eastAsia="仿宋" w:cs="仿宋"/>
          <w:b/>
          <w:color w:val="000000"/>
          <w:sz w:val="32"/>
          <w:szCs w:val="32"/>
        </w:rPr>
        <w:t>（四）预算绩效管理情况</w:t>
      </w:r>
    </w:p>
    <w:p w14:paraId="3E0C4439">
      <w:pPr>
        <w:spacing w:line="600" w:lineRule="exact"/>
        <w:ind w:firstLine="640"/>
        <w:rPr>
          <w:rFonts w:ascii="仿宋" w:hAnsi="仿宋" w:eastAsia="仿宋" w:cs="Times New Roman"/>
          <w:color w:val="000000"/>
          <w:sz w:val="32"/>
          <w:szCs w:val="32"/>
          <w:highlight w:val="none"/>
          <w:lang w:val="en-US" w:eastAsia="zh-CN"/>
        </w:rPr>
      </w:pPr>
      <w:r>
        <w:rPr>
          <w:rFonts w:ascii="仿宋" w:hAnsi="仿宋" w:eastAsia="仿宋" w:cs="Times New Roman"/>
          <w:color w:val="000000"/>
          <w:sz w:val="32"/>
          <w:szCs w:val="32"/>
          <w:lang w:eastAsia="zh-CN"/>
        </w:rPr>
        <w:t>根据预算绩效管理要求，本单位在2025年度预算编制阶段，组织对0个项目开展了预算事前绩效评估，对0个项目编制了绩效目标</w:t>
      </w:r>
      <w:r>
        <w:rPr>
          <w:rFonts w:hint="eastAsia" w:ascii="仿宋" w:hAnsi="仿宋" w:eastAsia="仿宋" w:cs="Times New Roman"/>
          <w:color w:val="000000"/>
          <w:sz w:val="32"/>
          <w:szCs w:val="32"/>
          <w:lang w:eastAsia="zh-CN"/>
        </w:rPr>
        <w:t>，在</w:t>
      </w:r>
      <w:r>
        <w:rPr>
          <w:rFonts w:ascii="仿宋" w:hAnsi="仿宋" w:eastAsia="仿宋" w:cs="Times New Roman"/>
          <w:color w:val="000000"/>
          <w:sz w:val="32"/>
          <w:szCs w:val="32"/>
          <w:lang w:eastAsia="zh-CN"/>
        </w:rPr>
        <w:t>预算执行过程中，选取0个项目开展绩效监控，组织对0个项目开展绩效自评，绩效自评表详见第四部分附件。</w:t>
      </w:r>
    </w:p>
    <w:p w14:paraId="4B909238">
      <w:pPr>
        <w:spacing w:line="600" w:lineRule="exact"/>
        <w:ind w:firstLine="640"/>
        <w:rPr>
          <w:rFonts w:ascii="仿宋" w:hAnsi="仿宋" w:eastAsia="仿宋" w:cs="Times New Roman"/>
          <w:color w:val="000000"/>
          <w:sz w:val="32"/>
          <w:szCs w:val="32"/>
          <w:highlight w:val="none"/>
          <w:lang w:val="en-US" w:eastAsia="zh-CN"/>
        </w:rPr>
      </w:pPr>
    </w:p>
    <w:p w14:paraId="252ACB13">
      <w:pPr>
        <w:numPr>
          <w:ilvl w:val="0"/>
          <w:numId w:val="0"/>
        </w:numPr>
        <w:spacing w:line="600" w:lineRule="exact"/>
        <w:ind w:left="0" w:firstLine="0"/>
        <w:jc w:val="center"/>
        <w:outlineLvl w:val="0"/>
        <w:rPr>
          <w:rStyle w:val="17"/>
          <w:rFonts w:ascii="黑体" w:hAnsi="黑体" w:eastAsia="黑体" w:cs="黑体"/>
          <w:b w:val="0"/>
          <w:color w:val="000000"/>
          <w:highlight w:val="none"/>
        </w:rPr>
      </w:pPr>
      <w:r>
        <w:rPr>
          <w:rFonts w:ascii="黑体" w:hAnsi="黑体" w:eastAsia="黑体" w:cs="黑体"/>
          <w:color w:val="000000"/>
          <w:sz w:val="44"/>
          <w:szCs w:val="44"/>
          <w:lang w:eastAsia="zh-CN"/>
        </w:rPr>
        <w:t>第三部分</w:t>
      </w:r>
      <w:r>
        <w:rPr>
          <w:rFonts w:ascii="黑体" w:hAnsi="黑体" w:eastAsia="黑体" w:cs="黑体"/>
          <w:color w:val="000000"/>
          <w:sz w:val="44"/>
          <w:szCs w:val="44"/>
          <w:lang w:val="en-US" w:eastAsia="zh-CN"/>
        </w:rPr>
        <w:t xml:space="preserve">  </w:t>
      </w:r>
      <w:r>
        <w:rPr>
          <w:rFonts w:ascii="黑体" w:hAnsi="黑体" w:eastAsia="黑体" w:cs="黑体"/>
          <w:color w:val="000000"/>
          <w:sz w:val="44"/>
          <w:szCs w:val="44"/>
        </w:rPr>
        <w:t>名</w:t>
      </w:r>
      <w:r>
        <w:rPr>
          <w:rStyle w:val="17"/>
          <w:rFonts w:ascii="黑体" w:hAnsi="黑体" w:eastAsia="黑体" w:cs="黑体"/>
          <w:b w:val="0"/>
          <w:color w:val="000000"/>
        </w:rPr>
        <w:t>词解释</w:t>
      </w:r>
    </w:p>
    <w:p w14:paraId="5EE94CC9">
      <w:pPr>
        <w:spacing w:line="600" w:lineRule="exact"/>
        <w:jc w:val="left"/>
        <w:rPr>
          <w:rStyle w:val="17"/>
          <w:rFonts w:ascii="宋体" w:hAnsi="宋体" w:eastAsia="黑体" w:cs="黑体"/>
          <w:b/>
          <w:color w:val="000000"/>
          <w:sz w:val="44"/>
          <w:szCs w:val="44"/>
          <w:highlight w:val="none"/>
        </w:rPr>
      </w:pPr>
    </w:p>
    <w:p w14:paraId="00D6C193">
      <w:pPr>
        <w:pStyle w:val="2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1.财政拨款收入：指单位从同级财政部门取得的财政预算资金。</w:t>
      </w:r>
    </w:p>
    <w:p w14:paraId="59E63828">
      <w:pPr>
        <w:pStyle w:val="2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2.事业收入：指事业单位开展专业业务活动及辅助活动取得的收入。3.经营收入：指事业单位在专业业务活动及其辅助活动之外开展非独立核算经营活动取得的收入。</w:t>
      </w:r>
    </w:p>
    <w:p w14:paraId="7EA0816C">
      <w:pPr>
        <w:pStyle w:val="2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4.其他收入：指单位取得的除上述收入以外的各项收入。</w:t>
      </w:r>
    </w:p>
    <w:p w14:paraId="46EB4AAA">
      <w:pPr>
        <w:pStyle w:val="2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5.</w:t>
      </w:r>
      <w:r>
        <w:rPr>
          <w:rFonts w:ascii="仿宋" w:hAnsi="仿宋" w:eastAsia="仿宋" w:cs="华文中宋;宋体"/>
          <w:sz w:val="32"/>
          <w:szCs w:val="32"/>
          <w:u w:val="none"/>
          <w:lang w:eastAsia="zh-CN"/>
        </w:rPr>
        <w:t>使用非财政拨款结余（含专用结余）</w:t>
      </w:r>
      <w:r>
        <w:rPr>
          <w:rFonts w:ascii="仿宋" w:hAnsi="仿宋" w:eastAsia="仿宋"/>
          <w:color w:val="000000"/>
          <w:sz w:val="32"/>
          <w:szCs w:val="32"/>
        </w:rPr>
        <w:t>：指事业单位</w:t>
      </w:r>
      <w:r>
        <w:rPr>
          <w:rFonts w:ascii="仿宋" w:hAnsi="仿宋" w:eastAsia="仿宋"/>
          <w:color w:val="000000"/>
          <w:sz w:val="32"/>
          <w:szCs w:val="32"/>
          <w:lang w:eastAsia="zh-CN"/>
        </w:rPr>
        <w:t>使用以前年度积累的非财政拨款结余弥补当年收支差额的金额。</w:t>
      </w:r>
      <w:r>
        <w:rPr>
          <w:rFonts w:ascii="仿宋" w:hAnsi="仿宋" w:eastAsia="仿宋"/>
          <w:color w:val="000000"/>
          <w:sz w:val="32"/>
          <w:szCs w:val="32"/>
        </w:rPr>
        <w:t xml:space="preserve"> </w:t>
      </w:r>
    </w:p>
    <w:p w14:paraId="754AB5B4">
      <w:pPr>
        <w:pStyle w:val="2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 xml:space="preserve">6.年初结转和结余：指以前年度尚未完成、结转到本年按有关规定继续使用的资金。 </w:t>
      </w:r>
    </w:p>
    <w:p w14:paraId="537B01C3">
      <w:pPr>
        <w:pStyle w:val="2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7.结余分配：指事业单位按照会计制度规定</w:t>
      </w:r>
      <w:r>
        <w:rPr>
          <w:rFonts w:ascii="仿宋" w:hAnsi="仿宋" w:eastAsia="仿宋"/>
          <w:color w:val="000000"/>
          <w:sz w:val="32"/>
          <w:szCs w:val="32"/>
          <w:lang w:eastAsia="zh-CN"/>
        </w:rPr>
        <w:t>缴纳的所得税、提取的专用结余以及转入非财政拨款结余的金额</w:t>
      </w:r>
      <w:r>
        <w:rPr>
          <w:rFonts w:ascii="仿宋" w:hAnsi="仿宋" w:eastAsia="仿宋"/>
          <w:color w:val="000000"/>
          <w:sz w:val="32"/>
          <w:szCs w:val="32"/>
        </w:rPr>
        <w:t>等。</w:t>
      </w:r>
    </w:p>
    <w:p w14:paraId="1C3CB673">
      <w:pPr>
        <w:pStyle w:val="2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8</w:t>
      </w:r>
      <w:r>
        <w:rPr>
          <w:rFonts w:ascii="仿宋" w:hAnsi="仿宋" w:eastAsia="仿宋"/>
          <w:color w:val="000000"/>
          <w:sz w:val="32"/>
          <w:szCs w:val="32"/>
          <w:lang w:val="en-US" w:eastAsia="zh-CN"/>
        </w:rPr>
        <w:t>.</w:t>
      </w:r>
      <w:r>
        <w:rPr>
          <w:rFonts w:ascii="仿宋" w:hAnsi="仿宋" w:eastAsia="仿宋"/>
          <w:color w:val="000000"/>
          <w:sz w:val="32"/>
          <w:szCs w:val="32"/>
        </w:rPr>
        <w:t>年末结转和结余：指单位按有关规定结转到下年或以后年度继续使用的资金。</w:t>
      </w:r>
    </w:p>
    <w:p w14:paraId="2DCE59DA">
      <w:pPr>
        <w:pStyle w:val="26"/>
        <w:keepNext w:val="0"/>
        <w:keepLines w:val="0"/>
        <w:pageBreakBefore w:val="0"/>
        <w:widowControl/>
        <w:overflowPunct/>
        <w:bidi w:val="0"/>
        <w:spacing w:before="0" w:after="100" w:line="576" w:lineRule="exact"/>
        <w:ind w:left="0" w:right="0" w:firstLine="640"/>
        <w:jc w:val="left"/>
        <w:rPr>
          <w:rFonts w:ascii="仿宋" w:hAnsi="仿宋" w:eastAsia="仿宋" w:cs="仿宋"/>
          <w:color w:val="000000"/>
          <w:kern w:val="0"/>
          <w:sz w:val="32"/>
          <w:szCs w:val="32"/>
          <w:highlight w:val="none"/>
          <w:lang w:val="en-US" w:eastAsia="zh-CN" w:bidi="ar"/>
        </w:rPr>
      </w:pPr>
      <w:r>
        <w:rPr>
          <w:rFonts w:ascii="仿宋" w:hAnsi="仿宋" w:eastAsia="仿宋" w:cs="仿宋"/>
          <w:color w:val="000000"/>
          <w:kern w:val="0"/>
          <w:sz w:val="32"/>
          <w:szCs w:val="32"/>
          <w:lang w:val="en-US" w:eastAsia="zh-CN" w:bidi="ar"/>
        </w:rPr>
        <w:t>9.社会保障和就业支出（208）行政事业单位养老支出（20805）机关事业单位基本养老保险缴费支出（2080505）：反映机关事业单位实施养老保险制度由单位缴纳的基本养老保险费支出。</w:t>
      </w:r>
    </w:p>
    <w:p w14:paraId="791A013B">
      <w:pPr>
        <w:pStyle w:val="26"/>
        <w:keepNext w:val="0"/>
        <w:keepLines w:val="0"/>
        <w:pageBreakBefore w:val="0"/>
        <w:widowControl/>
        <w:overflowPunct/>
        <w:bidi w:val="0"/>
        <w:spacing w:before="0" w:after="100" w:line="576" w:lineRule="exact"/>
        <w:jc w:val="left"/>
        <w:rPr>
          <w:rFonts w:ascii="仿宋" w:hAnsi="仿宋" w:eastAsia="仿宋" w:cs="仿宋"/>
          <w:color w:val="000000"/>
          <w:kern w:val="0"/>
          <w:sz w:val="32"/>
          <w:szCs w:val="32"/>
          <w:highlight w:val="none"/>
          <w:lang w:val="en-US" w:eastAsia="zh-CN" w:bidi="ar"/>
        </w:rPr>
      </w:pPr>
      <w:r>
        <w:rPr>
          <w:rFonts w:ascii="仿宋" w:hAnsi="仿宋" w:eastAsia="仿宋" w:cs="仿宋"/>
          <w:color w:val="000000"/>
          <w:kern w:val="0"/>
          <w:sz w:val="32"/>
          <w:szCs w:val="32"/>
          <w:lang w:val="en-US" w:eastAsia="zh-CN" w:bidi="ar"/>
        </w:rPr>
        <w:tab/>
      </w:r>
      <w:r>
        <w:rPr>
          <w:rFonts w:ascii="仿宋" w:hAnsi="仿宋" w:eastAsia="仿宋" w:cs="仿宋"/>
          <w:color w:val="000000"/>
          <w:kern w:val="0"/>
          <w:sz w:val="32"/>
          <w:szCs w:val="32"/>
          <w:lang w:val="en-US" w:eastAsia="zh-CN" w:bidi="ar"/>
        </w:rPr>
        <w:t>10.社会保障和就业支出（208）行政事业单位养老支出（20805）机关事业单位职业年金缴费支出（2080506）：反映机关事业单位实施养老保险制度由单位实际缴纳的职业年金支出。</w:t>
      </w:r>
    </w:p>
    <w:p w14:paraId="74C59F6B">
      <w:pPr>
        <w:pStyle w:val="26"/>
        <w:keepNext w:val="0"/>
        <w:keepLines w:val="0"/>
        <w:pageBreakBefore w:val="0"/>
        <w:widowControl/>
        <w:overflowPunct/>
        <w:bidi w:val="0"/>
        <w:spacing w:before="0" w:after="100" w:line="576" w:lineRule="exact"/>
        <w:jc w:val="left"/>
        <w:rPr>
          <w:rFonts w:ascii="仿宋" w:hAnsi="仿宋" w:eastAsia="仿宋" w:cs="仿宋"/>
          <w:color w:val="000000"/>
          <w:kern w:val="0"/>
          <w:sz w:val="32"/>
          <w:szCs w:val="32"/>
          <w:highlight w:val="none"/>
          <w:lang w:val="en-US" w:eastAsia="zh-CN" w:bidi="ar"/>
        </w:rPr>
      </w:pPr>
      <w:r>
        <w:rPr>
          <w:rFonts w:ascii="仿宋" w:hAnsi="仿宋" w:eastAsia="仿宋" w:cs="仿宋"/>
          <w:color w:val="000000"/>
          <w:kern w:val="0"/>
          <w:sz w:val="32"/>
          <w:szCs w:val="32"/>
          <w:lang w:val="en-US" w:eastAsia="zh-CN" w:bidi="ar"/>
        </w:rPr>
        <w:tab/>
      </w:r>
      <w:r>
        <w:rPr>
          <w:rFonts w:ascii="仿宋" w:hAnsi="仿宋" w:eastAsia="仿宋" w:cs="仿宋"/>
          <w:color w:val="000000"/>
          <w:kern w:val="0"/>
          <w:sz w:val="32"/>
          <w:szCs w:val="32"/>
          <w:lang w:val="en-US" w:eastAsia="zh-CN" w:bidi="ar"/>
        </w:rPr>
        <w:t>11.卫生健康支出（210）事业单位医疗（21011）行政单位医疗（2101102）：反映财政部门安排的行政单位（包括实行公务员管理的事业单位，下同）基本医疗保险缴费经费，未参加医疗保险的行政单位的公费医疗经费，按国家规定享受离休人员、红军老战士待遇人员的医疗经费。</w:t>
      </w:r>
    </w:p>
    <w:p w14:paraId="2CE4ADA7">
      <w:pPr>
        <w:pStyle w:val="26"/>
        <w:keepNext w:val="0"/>
        <w:keepLines w:val="0"/>
        <w:pageBreakBefore w:val="0"/>
        <w:widowControl/>
        <w:overflowPunct/>
        <w:bidi w:val="0"/>
        <w:spacing w:before="0" w:after="100" w:line="576" w:lineRule="exact"/>
        <w:jc w:val="left"/>
        <w:rPr>
          <w:rFonts w:ascii="仿宋" w:hAnsi="仿宋" w:eastAsia="仿宋" w:cs="仿宋"/>
          <w:color w:val="000000"/>
          <w:kern w:val="0"/>
          <w:sz w:val="32"/>
          <w:szCs w:val="32"/>
          <w:highlight w:val="none"/>
          <w:lang w:val="en-US" w:eastAsia="zh-CN" w:bidi="ar"/>
        </w:rPr>
      </w:pPr>
      <w:r>
        <w:rPr>
          <w:rFonts w:ascii="仿宋" w:hAnsi="仿宋" w:eastAsia="仿宋" w:cs="仿宋"/>
          <w:color w:val="000000"/>
          <w:kern w:val="0"/>
          <w:sz w:val="32"/>
          <w:szCs w:val="32"/>
          <w:lang w:val="en-US" w:eastAsia="zh-CN" w:bidi="ar"/>
        </w:rPr>
        <w:tab/>
      </w:r>
      <w:r>
        <w:rPr>
          <w:rFonts w:ascii="仿宋" w:hAnsi="仿宋" w:eastAsia="仿宋" w:cs="仿宋"/>
          <w:color w:val="000000"/>
          <w:kern w:val="0"/>
          <w:sz w:val="32"/>
          <w:szCs w:val="32"/>
          <w:lang w:val="en-US" w:eastAsia="zh-CN" w:bidi="ar"/>
        </w:rPr>
        <w:t>12.卫生健康支出（210）行政事业单位医疗（21011）公务员医疗补助（2101103）：反映财政部门安排的公务员医疗补助经费。</w:t>
      </w:r>
    </w:p>
    <w:p w14:paraId="4E72B092">
      <w:pPr>
        <w:pStyle w:val="26"/>
        <w:keepNext w:val="0"/>
        <w:keepLines w:val="0"/>
        <w:pageBreakBefore w:val="0"/>
        <w:widowControl/>
        <w:overflowPunct/>
        <w:bidi w:val="0"/>
        <w:spacing w:before="0" w:after="100" w:line="576" w:lineRule="exact"/>
        <w:jc w:val="left"/>
        <w:rPr>
          <w:rFonts w:ascii="仿宋" w:hAnsi="仿宋" w:eastAsia="仿宋" w:cs="仿宋"/>
          <w:color w:val="000000"/>
          <w:kern w:val="0"/>
          <w:sz w:val="32"/>
          <w:szCs w:val="32"/>
          <w:highlight w:val="none"/>
          <w:lang w:val="en-US" w:eastAsia="zh-CN" w:bidi="ar"/>
        </w:rPr>
      </w:pPr>
      <w:r>
        <w:rPr>
          <w:rFonts w:ascii="仿宋" w:hAnsi="仿宋" w:eastAsia="仿宋" w:cs="仿宋"/>
          <w:color w:val="000000"/>
          <w:kern w:val="0"/>
          <w:sz w:val="32"/>
          <w:szCs w:val="32"/>
          <w:lang w:val="en-US" w:eastAsia="zh-CN" w:bidi="ar"/>
        </w:rPr>
        <w:tab/>
      </w:r>
      <w:r>
        <w:rPr>
          <w:rFonts w:ascii="仿宋" w:hAnsi="仿宋" w:eastAsia="仿宋" w:cs="仿宋"/>
          <w:color w:val="000000"/>
          <w:kern w:val="0"/>
          <w:sz w:val="32"/>
          <w:szCs w:val="32"/>
          <w:lang w:val="en-US" w:eastAsia="zh-CN" w:bidi="ar"/>
        </w:rPr>
        <w:t>13.住房保障支出（221）住房改革支出（22102）住房公积金（2210201）：反映行政事业单位按人力资源和社会保障部、财政部规定的基本工资和津贴补贴以及规定比例为职工缴纳的住房公积金。</w:t>
      </w:r>
    </w:p>
    <w:p w14:paraId="70F42AAC">
      <w:pPr>
        <w:pStyle w:val="26"/>
        <w:keepNext w:val="0"/>
        <w:keepLines w:val="0"/>
        <w:pageBreakBefore w:val="0"/>
        <w:widowControl/>
        <w:overflowPunct/>
        <w:bidi w:val="0"/>
        <w:spacing w:before="0" w:after="100" w:line="576" w:lineRule="exact"/>
        <w:ind w:left="0" w:right="0" w:firstLine="640"/>
        <w:jc w:val="left"/>
        <w:rPr>
          <w:rFonts w:ascii="仿宋" w:hAnsi="仿宋" w:eastAsia="仿宋" w:cs="仿宋"/>
          <w:color w:val="000000"/>
          <w:kern w:val="0"/>
          <w:sz w:val="32"/>
          <w:szCs w:val="32"/>
          <w:highlight w:val="none"/>
          <w:lang w:val="en-US" w:eastAsia="zh-CN" w:bidi="ar"/>
        </w:rPr>
      </w:pPr>
      <w:r>
        <w:rPr>
          <w:rFonts w:ascii="仿宋" w:hAnsi="仿宋" w:eastAsia="仿宋" w:cs="仿宋"/>
          <w:color w:val="000000"/>
          <w:kern w:val="0"/>
          <w:sz w:val="32"/>
          <w:szCs w:val="32"/>
          <w:lang w:val="en-US" w:eastAsia="zh-CN" w:bidi="ar"/>
        </w:rPr>
        <w:t>14.灾害防治及应急管理支出（224）应急管理事务（22401）行政运行（2240150）：反映事业单位的基本支出。</w:t>
      </w:r>
    </w:p>
    <w:p w14:paraId="1E7160F8">
      <w:pPr>
        <w:ind w:firstLine="640"/>
        <w:rPr>
          <w:rFonts w:ascii="仿宋" w:hAnsi="仿宋" w:eastAsia="仿宋"/>
          <w:color w:val="000000"/>
          <w:sz w:val="32"/>
          <w:szCs w:val="32"/>
          <w:highlight w:val="none"/>
        </w:rPr>
      </w:pPr>
      <w:r>
        <w:rPr>
          <w:rFonts w:ascii="仿宋" w:hAnsi="仿宋" w:eastAsia="仿宋"/>
          <w:color w:val="000000"/>
          <w:sz w:val="32"/>
          <w:szCs w:val="32"/>
          <w:lang w:val="en-US" w:eastAsia="zh-CN"/>
        </w:rPr>
        <w:t>15</w:t>
      </w:r>
      <w:r>
        <w:rPr>
          <w:rFonts w:ascii="仿宋" w:hAnsi="仿宋" w:eastAsia="仿宋"/>
          <w:color w:val="000000"/>
          <w:sz w:val="32"/>
          <w:szCs w:val="32"/>
        </w:rPr>
        <w:t>.基本支出：指为保障机构正常运转、完成日常工作任务而发生的人员支出和公用支出。</w:t>
      </w:r>
    </w:p>
    <w:p w14:paraId="6F67A18A">
      <w:pPr>
        <w:ind w:firstLine="640"/>
        <w:rPr>
          <w:rFonts w:ascii="仿宋" w:hAnsi="仿宋" w:eastAsia="仿宋"/>
          <w:color w:val="000000"/>
          <w:sz w:val="32"/>
          <w:szCs w:val="32"/>
          <w:highlight w:val="none"/>
        </w:rPr>
      </w:pPr>
      <w:r>
        <w:rPr>
          <w:rFonts w:ascii="仿宋" w:hAnsi="仿宋" w:eastAsia="仿宋"/>
          <w:color w:val="000000"/>
          <w:sz w:val="32"/>
          <w:szCs w:val="32"/>
          <w:lang w:val="en-US" w:eastAsia="zh-CN"/>
        </w:rPr>
        <w:t>16</w:t>
      </w:r>
      <w:r>
        <w:rPr>
          <w:rFonts w:ascii="仿宋" w:hAnsi="仿宋" w:eastAsia="仿宋"/>
          <w:color w:val="000000"/>
          <w:sz w:val="32"/>
          <w:szCs w:val="32"/>
        </w:rPr>
        <w:t xml:space="preserve">.项目支出：指在基本支出之外为完成特定行政任务和事业发展目标所发生的支出。 </w:t>
      </w:r>
    </w:p>
    <w:p w14:paraId="3F3ACE58">
      <w:pPr>
        <w:ind w:firstLine="640"/>
        <w:rPr>
          <w:rFonts w:ascii="仿宋" w:hAnsi="仿宋" w:eastAsia="仿宋"/>
          <w:color w:val="000000"/>
          <w:sz w:val="32"/>
          <w:szCs w:val="32"/>
          <w:highlight w:val="none"/>
        </w:rPr>
      </w:pPr>
      <w:r>
        <w:rPr>
          <w:rFonts w:ascii="仿宋" w:hAnsi="仿宋" w:eastAsia="仿宋"/>
          <w:color w:val="000000"/>
          <w:sz w:val="32"/>
          <w:szCs w:val="32"/>
          <w:lang w:val="en-US" w:eastAsia="zh-CN"/>
        </w:rPr>
        <w:t>17</w:t>
      </w:r>
      <w:r>
        <w:rPr>
          <w:rFonts w:ascii="仿宋" w:hAnsi="仿宋" w:eastAsia="仿宋"/>
          <w:color w:val="000000"/>
          <w:sz w:val="32"/>
          <w:szCs w:val="32"/>
        </w:rPr>
        <w:t>.经营支出：指事业单位在专业业务活动及其辅助活动之外开展非独立核算经营活动发生的支出。</w:t>
      </w:r>
    </w:p>
    <w:p w14:paraId="1C47A45D">
      <w:pPr>
        <w:pStyle w:val="2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lang w:val="en-US" w:eastAsia="zh-CN"/>
        </w:rPr>
        <w:t>18</w:t>
      </w:r>
      <w:r>
        <w:rPr>
          <w:rFonts w:ascii="仿宋" w:hAnsi="仿宋" w:eastAsia="仿宋"/>
          <w:color w:val="000000"/>
          <w:sz w:val="32"/>
          <w:szCs w:val="32"/>
        </w:rPr>
        <w:t>.“三公”经费：指</w:t>
      </w:r>
      <w:r>
        <w:rPr>
          <w:rFonts w:ascii="仿宋" w:hAnsi="仿宋" w:eastAsia="仿宋"/>
          <w:color w:val="000000"/>
          <w:sz w:val="32"/>
          <w:szCs w:val="32"/>
          <w:lang w:eastAsia="zh-CN"/>
        </w:rPr>
        <w:t>单位</w:t>
      </w:r>
      <w:r>
        <w:rPr>
          <w:rFonts w:ascii="仿宋" w:hAnsi="仿宋" w:eastAsia="仿宋"/>
          <w:color w:val="00000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043D38D">
      <w:pPr>
        <w:pStyle w:val="2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lang w:val="en-US" w:eastAsia="zh-CN"/>
        </w:rPr>
        <w:t>19</w:t>
      </w:r>
      <w:r>
        <w:rPr>
          <w:rFonts w:ascii="仿宋" w:hAnsi="仿宋" w:eastAsia="仿宋"/>
          <w:color w:val="00000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16CA6B6">
      <w:pPr>
        <w:pStyle w:val="28"/>
        <w:bidi w:val="0"/>
        <w:spacing w:line="560" w:lineRule="exact"/>
        <w:ind w:firstLine="640"/>
        <w:jc w:val="left"/>
        <w:rPr>
          <w:rFonts w:ascii="仿宋" w:hAnsi="仿宋" w:eastAsia="仿宋"/>
          <w:color w:val="000000"/>
          <w:sz w:val="32"/>
          <w:szCs w:val="32"/>
          <w:highlight w:val="none"/>
        </w:rPr>
      </w:pPr>
    </w:p>
    <w:p w14:paraId="2E137386">
      <w:pPr>
        <w:pStyle w:val="28"/>
        <w:bidi w:val="0"/>
        <w:spacing w:line="560" w:lineRule="exact"/>
        <w:ind w:firstLine="640"/>
        <w:jc w:val="left"/>
        <w:rPr>
          <w:rFonts w:ascii="仿宋" w:hAnsi="仿宋" w:eastAsia="仿宋" w:cs="黑体"/>
          <w:color w:val="000000"/>
          <w:sz w:val="32"/>
          <w:szCs w:val="32"/>
          <w:highlight w:val="none"/>
        </w:rPr>
      </w:pPr>
    </w:p>
    <w:p w14:paraId="6EC6D301">
      <w:pPr>
        <w:ind w:firstLine="643"/>
        <w:rPr>
          <w:rFonts w:ascii="仿宋" w:hAnsi="仿宋" w:eastAsia="仿宋" w:cs="仿宋"/>
          <w:color w:val="000000"/>
          <w:kern w:val="0"/>
          <w:sz w:val="32"/>
          <w:szCs w:val="32"/>
          <w:highlight w:val="none"/>
          <w:lang w:val="en-US" w:eastAsia="zh-CN" w:bidi="ar-SA"/>
        </w:rPr>
      </w:pPr>
      <w:r>
        <w:rPr>
          <w:rFonts w:ascii="仿宋" w:hAnsi="仿宋" w:eastAsia="仿宋" w:cs="仿宋"/>
          <w:b/>
          <w:color w:val="000000"/>
          <w:sz w:val="32"/>
          <w:szCs w:val="32"/>
        </w:rPr>
        <w:t>（名词解释部分请根据各</w:t>
      </w:r>
      <w:r>
        <w:rPr>
          <w:rFonts w:ascii="仿宋" w:hAnsi="仿宋" w:eastAsia="仿宋" w:cs="仿宋"/>
          <w:b/>
          <w:color w:val="000000"/>
          <w:sz w:val="32"/>
          <w:szCs w:val="32"/>
          <w:lang w:eastAsia="zh-CN"/>
        </w:rPr>
        <w:t>单位</w:t>
      </w:r>
      <w:r>
        <w:rPr>
          <w:rFonts w:ascii="仿宋" w:hAnsi="仿宋" w:eastAsia="仿宋" w:cs="仿宋"/>
          <w:b/>
          <w:color w:val="000000"/>
          <w:sz w:val="32"/>
          <w:szCs w:val="32"/>
        </w:rPr>
        <w:t>实际列支情况罗列，并根据本</w:t>
      </w:r>
      <w:r>
        <w:rPr>
          <w:rFonts w:ascii="仿宋" w:hAnsi="仿宋" w:eastAsia="仿宋" w:cs="仿宋"/>
          <w:b/>
          <w:color w:val="000000"/>
          <w:sz w:val="32"/>
          <w:szCs w:val="32"/>
          <w:lang w:eastAsia="zh-CN"/>
        </w:rPr>
        <w:t>单位</w:t>
      </w:r>
      <w:r>
        <w:rPr>
          <w:rFonts w:ascii="仿宋" w:hAnsi="仿宋" w:eastAsia="仿宋" w:cs="仿宋"/>
          <w:b/>
          <w:color w:val="000000"/>
          <w:sz w:val="32"/>
          <w:szCs w:val="32"/>
        </w:rPr>
        <w:t>职责职能增减名词解释内容。</w:t>
      </w:r>
      <w:r>
        <w:rPr>
          <w:rFonts w:hint="eastAsia" w:ascii="仿宋" w:hAnsi="仿宋" w:eastAsia="仿宋" w:cs="仿宋"/>
          <w:b/>
          <w:color w:val="000000"/>
          <w:sz w:val="32"/>
          <w:szCs w:val="32"/>
          <w:lang w:eastAsia="zh-CN"/>
        </w:rPr>
        <w:t>）</w:t>
      </w:r>
      <w:r>
        <w:br w:type="page"/>
      </w:r>
    </w:p>
    <w:p w14:paraId="3BAD3BE7">
      <w:pPr>
        <w:rPr>
          <w:rFonts w:ascii="黑体" w:hAnsi="黑体" w:eastAsia="黑体" w:cs="黑体"/>
          <w:color w:val="000000"/>
          <w:kern w:val="0"/>
          <w:sz w:val="44"/>
          <w:szCs w:val="44"/>
          <w:highlight w:val="none"/>
          <w:lang w:val="en-US" w:eastAsia="zh-CN" w:bidi="ar-SA"/>
        </w:rPr>
      </w:pPr>
    </w:p>
    <w:p w14:paraId="4EA7EA96">
      <w:pPr>
        <w:numPr>
          <w:ilvl w:val="0"/>
          <w:numId w:val="0"/>
        </w:numPr>
        <w:spacing w:line="600" w:lineRule="exact"/>
        <w:jc w:val="center"/>
        <w:outlineLvl w:val="0"/>
        <w:rPr>
          <w:rFonts w:ascii="仿宋" w:hAnsi="仿宋" w:eastAsia="仿宋" w:cs="仿宋"/>
          <w:b w:val="0"/>
          <w:color w:val="000000"/>
          <w:highlight w:val="none"/>
        </w:rPr>
      </w:pPr>
      <w:r>
        <w:rPr>
          <w:rFonts w:ascii="黑体" w:hAnsi="黑体" w:eastAsia="黑体" w:cs="黑体"/>
          <w:color w:val="000000"/>
          <w:sz w:val="44"/>
          <w:szCs w:val="44"/>
        </w:rPr>
        <w:t>第</w:t>
      </w:r>
      <w:r>
        <w:rPr>
          <w:rStyle w:val="17"/>
          <w:rFonts w:ascii="黑体" w:hAnsi="黑体" w:eastAsia="黑体" w:cs="黑体"/>
          <w:b w:val="0"/>
          <w:color w:val="000000"/>
        </w:rPr>
        <w:t>五部分 附表</w:t>
      </w:r>
    </w:p>
    <w:p w14:paraId="6BF71E65">
      <w:pPr>
        <w:pStyle w:val="3"/>
        <w:rPr>
          <w:rFonts w:ascii="仿宋" w:hAnsi="仿宋" w:eastAsia="仿宋" w:cs="仿宋"/>
          <w:color w:val="000000"/>
          <w:highlight w:val="none"/>
        </w:rPr>
      </w:pPr>
      <w:r>
        <w:rPr>
          <w:rFonts w:ascii="仿宋" w:hAnsi="仿宋" w:eastAsia="仿宋" w:cs="仿宋"/>
          <w:b w:val="0"/>
          <w:color w:val="000000"/>
        </w:rPr>
        <w:t>一、收</w:t>
      </w:r>
      <w:r>
        <w:rPr>
          <w:rStyle w:val="18"/>
          <w:rFonts w:ascii="仿宋" w:hAnsi="仿宋" w:eastAsia="仿宋" w:cs="仿宋"/>
          <w:b w:val="0"/>
          <w:bCs w:val="0"/>
          <w:color w:val="000000"/>
        </w:rPr>
        <w:t>入支出决算总表</w:t>
      </w:r>
    </w:p>
    <w:p w14:paraId="6F16F0F6">
      <w:pPr>
        <w:pStyle w:val="3"/>
        <w:rPr>
          <w:rFonts w:ascii="仿宋" w:hAnsi="仿宋" w:eastAsia="仿宋" w:cs="仿宋"/>
          <w:color w:val="000000"/>
          <w:highlight w:val="none"/>
        </w:rPr>
      </w:pPr>
      <w:r>
        <w:rPr>
          <w:rFonts w:ascii="仿宋" w:hAnsi="仿宋" w:eastAsia="仿宋" w:cs="仿宋"/>
          <w:b w:val="0"/>
          <w:color w:val="000000"/>
        </w:rPr>
        <w:t>二、收</w:t>
      </w:r>
      <w:r>
        <w:rPr>
          <w:rStyle w:val="18"/>
          <w:rFonts w:ascii="仿宋" w:hAnsi="仿宋" w:eastAsia="仿宋" w:cs="仿宋"/>
          <w:b w:val="0"/>
          <w:bCs w:val="0"/>
          <w:color w:val="000000"/>
        </w:rPr>
        <w:t>入决算表</w:t>
      </w:r>
    </w:p>
    <w:p w14:paraId="552DD071">
      <w:pPr>
        <w:pStyle w:val="3"/>
        <w:rPr>
          <w:rFonts w:ascii="仿宋" w:hAnsi="仿宋" w:eastAsia="仿宋" w:cs="仿宋"/>
          <w:color w:val="000000"/>
          <w:highlight w:val="none"/>
        </w:rPr>
      </w:pPr>
      <w:r>
        <w:rPr>
          <w:rStyle w:val="18"/>
          <w:rFonts w:ascii="仿宋" w:hAnsi="仿宋" w:eastAsia="仿宋" w:cs="仿宋"/>
          <w:b w:val="0"/>
          <w:bCs w:val="0"/>
          <w:color w:val="000000"/>
        </w:rPr>
        <w:t>三、</w:t>
      </w:r>
      <w:r>
        <w:rPr>
          <w:rFonts w:ascii="仿宋" w:hAnsi="仿宋" w:eastAsia="仿宋" w:cs="仿宋"/>
          <w:b w:val="0"/>
          <w:color w:val="000000"/>
        </w:rPr>
        <w:t>支</w:t>
      </w:r>
      <w:r>
        <w:rPr>
          <w:rStyle w:val="18"/>
          <w:rFonts w:ascii="仿宋" w:hAnsi="仿宋" w:eastAsia="仿宋" w:cs="仿宋"/>
          <w:b w:val="0"/>
          <w:bCs w:val="0"/>
          <w:color w:val="000000"/>
        </w:rPr>
        <w:t>出决算表</w:t>
      </w:r>
    </w:p>
    <w:p w14:paraId="527AB239">
      <w:pPr>
        <w:pStyle w:val="3"/>
        <w:rPr>
          <w:rFonts w:ascii="仿宋" w:hAnsi="仿宋" w:eastAsia="仿宋" w:cs="仿宋"/>
          <w:b w:val="0"/>
          <w:color w:val="000000"/>
          <w:highlight w:val="none"/>
        </w:rPr>
      </w:pPr>
      <w:r>
        <w:rPr>
          <w:rStyle w:val="18"/>
          <w:rFonts w:ascii="仿宋" w:hAnsi="仿宋" w:eastAsia="仿宋" w:cs="仿宋"/>
          <w:b w:val="0"/>
          <w:bCs w:val="0"/>
          <w:color w:val="000000"/>
        </w:rPr>
        <w:t>四、</w:t>
      </w:r>
      <w:r>
        <w:rPr>
          <w:rFonts w:ascii="仿宋" w:hAnsi="仿宋" w:eastAsia="仿宋" w:cs="仿宋"/>
          <w:b w:val="0"/>
          <w:color w:val="000000"/>
        </w:rPr>
        <w:t>财</w:t>
      </w:r>
      <w:r>
        <w:rPr>
          <w:rStyle w:val="18"/>
          <w:rFonts w:ascii="仿宋" w:hAnsi="仿宋" w:eastAsia="仿宋" w:cs="仿宋"/>
          <w:b w:val="0"/>
          <w:bCs w:val="0"/>
          <w:color w:val="000000"/>
        </w:rPr>
        <w:t>政拨款收入支出决算总表</w:t>
      </w:r>
    </w:p>
    <w:p w14:paraId="64091A60">
      <w:pPr>
        <w:pStyle w:val="3"/>
        <w:rPr>
          <w:rStyle w:val="18"/>
          <w:rFonts w:ascii="仿宋" w:hAnsi="仿宋" w:eastAsia="仿宋" w:cs="仿宋"/>
          <w:b w:val="0"/>
          <w:bCs w:val="0"/>
          <w:color w:val="000000"/>
          <w:highlight w:val="none"/>
        </w:rPr>
      </w:pPr>
      <w:r>
        <w:rPr>
          <w:rStyle w:val="18"/>
          <w:rFonts w:ascii="仿宋" w:hAnsi="仿宋" w:eastAsia="仿宋" w:cs="仿宋"/>
          <w:b w:val="0"/>
          <w:bCs w:val="0"/>
          <w:color w:val="000000"/>
        </w:rPr>
        <w:t>五、</w:t>
      </w:r>
      <w:r>
        <w:rPr>
          <w:rFonts w:ascii="仿宋" w:hAnsi="仿宋" w:eastAsia="仿宋" w:cs="仿宋"/>
          <w:b w:val="0"/>
          <w:color w:val="000000"/>
        </w:rPr>
        <w:t>财</w:t>
      </w:r>
      <w:r>
        <w:rPr>
          <w:rStyle w:val="18"/>
          <w:rFonts w:ascii="仿宋" w:hAnsi="仿宋" w:eastAsia="仿宋" w:cs="仿宋"/>
          <w:b w:val="0"/>
          <w:bCs w:val="0"/>
          <w:color w:val="000000"/>
        </w:rPr>
        <w:t>政拨款支出决算明细表</w:t>
      </w:r>
    </w:p>
    <w:p w14:paraId="14E88480">
      <w:pPr>
        <w:pStyle w:val="3"/>
        <w:rPr>
          <w:rFonts w:ascii="仿宋" w:hAnsi="仿宋" w:eastAsia="仿宋" w:cs="仿宋"/>
          <w:color w:val="000000"/>
          <w:highlight w:val="none"/>
        </w:rPr>
      </w:pPr>
      <w:r>
        <w:rPr>
          <w:rStyle w:val="18"/>
          <w:rFonts w:ascii="仿宋" w:hAnsi="仿宋" w:eastAsia="仿宋" w:cs="仿宋"/>
          <w:b w:val="0"/>
          <w:bCs w:val="0"/>
          <w:color w:val="000000"/>
        </w:rPr>
        <w:t>六、</w:t>
      </w:r>
      <w:r>
        <w:rPr>
          <w:rFonts w:ascii="仿宋" w:hAnsi="仿宋" w:eastAsia="仿宋" w:cs="仿宋"/>
          <w:b w:val="0"/>
          <w:color w:val="000000"/>
        </w:rPr>
        <w:t>一</w:t>
      </w:r>
      <w:r>
        <w:rPr>
          <w:rStyle w:val="18"/>
          <w:rFonts w:ascii="仿宋" w:hAnsi="仿宋" w:eastAsia="仿宋" w:cs="仿宋"/>
          <w:b w:val="0"/>
          <w:bCs w:val="0"/>
          <w:color w:val="000000"/>
        </w:rPr>
        <w:t>般公共预算财政拨款支出决算表</w:t>
      </w:r>
    </w:p>
    <w:p w14:paraId="5B31B174">
      <w:pPr>
        <w:pStyle w:val="3"/>
        <w:rPr>
          <w:rFonts w:ascii="仿宋" w:hAnsi="仿宋" w:eastAsia="仿宋" w:cs="仿宋"/>
          <w:color w:val="000000"/>
          <w:highlight w:val="none"/>
        </w:rPr>
      </w:pPr>
      <w:r>
        <w:rPr>
          <w:rStyle w:val="18"/>
          <w:rFonts w:ascii="仿宋" w:hAnsi="仿宋" w:eastAsia="仿宋" w:cs="仿宋"/>
          <w:b w:val="0"/>
          <w:bCs w:val="0"/>
          <w:color w:val="000000"/>
        </w:rPr>
        <w:t>七、</w:t>
      </w:r>
      <w:r>
        <w:rPr>
          <w:rFonts w:ascii="仿宋" w:hAnsi="仿宋" w:eastAsia="仿宋" w:cs="仿宋"/>
          <w:b w:val="0"/>
          <w:color w:val="000000"/>
        </w:rPr>
        <w:t>一</w:t>
      </w:r>
      <w:r>
        <w:rPr>
          <w:rStyle w:val="18"/>
          <w:rFonts w:ascii="仿宋" w:hAnsi="仿宋" w:eastAsia="仿宋" w:cs="仿宋"/>
          <w:b w:val="0"/>
          <w:bCs w:val="0"/>
          <w:color w:val="000000"/>
        </w:rPr>
        <w:t>般公共预算财政拨款支出决算明细表</w:t>
      </w:r>
    </w:p>
    <w:p w14:paraId="29C5CDEE">
      <w:pPr>
        <w:pStyle w:val="3"/>
        <w:rPr>
          <w:rFonts w:ascii="仿宋" w:hAnsi="仿宋" w:eastAsia="仿宋" w:cs="仿宋"/>
          <w:color w:val="000000"/>
          <w:highlight w:val="none"/>
        </w:rPr>
      </w:pPr>
      <w:r>
        <w:rPr>
          <w:rStyle w:val="18"/>
          <w:rFonts w:ascii="仿宋" w:hAnsi="仿宋" w:eastAsia="仿宋" w:cs="仿宋"/>
          <w:b w:val="0"/>
          <w:bCs w:val="0"/>
          <w:color w:val="000000"/>
        </w:rPr>
        <w:t>八、</w:t>
      </w:r>
      <w:r>
        <w:rPr>
          <w:rFonts w:ascii="仿宋" w:hAnsi="仿宋" w:eastAsia="仿宋" w:cs="仿宋"/>
          <w:b w:val="0"/>
          <w:color w:val="000000"/>
        </w:rPr>
        <w:t>一</w:t>
      </w:r>
      <w:r>
        <w:rPr>
          <w:rStyle w:val="18"/>
          <w:rFonts w:ascii="仿宋" w:hAnsi="仿宋" w:eastAsia="仿宋" w:cs="仿宋"/>
          <w:b w:val="0"/>
          <w:bCs w:val="0"/>
          <w:color w:val="000000"/>
        </w:rPr>
        <w:t>般公共预算财政拨款基本支出决算表</w:t>
      </w:r>
    </w:p>
    <w:p w14:paraId="6F24951F">
      <w:pPr>
        <w:pStyle w:val="3"/>
        <w:rPr>
          <w:rFonts w:ascii="仿宋" w:hAnsi="仿宋" w:eastAsia="仿宋" w:cs="仿宋"/>
          <w:color w:val="000000"/>
          <w:highlight w:val="none"/>
        </w:rPr>
      </w:pPr>
      <w:r>
        <w:rPr>
          <w:rStyle w:val="18"/>
          <w:rFonts w:ascii="仿宋" w:hAnsi="仿宋" w:eastAsia="仿宋" w:cs="仿宋"/>
          <w:b w:val="0"/>
          <w:bCs w:val="0"/>
          <w:color w:val="000000"/>
        </w:rPr>
        <w:t>九、</w:t>
      </w:r>
      <w:r>
        <w:rPr>
          <w:rFonts w:ascii="仿宋" w:hAnsi="仿宋" w:eastAsia="仿宋" w:cs="仿宋"/>
          <w:b w:val="0"/>
          <w:color w:val="000000"/>
        </w:rPr>
        <w:t>一</w:t>
      </w:r>
      <w:r>
        <w:rPr>
          <w:rStyle w:val="18"/>
          <w:rFonts w:ascii="仿宋" w:hAnsi="仿宋" w:eastAsia="仿宋" w:cs="仿宋"/>
          <w:b w:val="0"/>
          <w:bCs w:val="0"/>
          <w:color w:val="000000"/>
        </w:rPr>
        <w:t>般公共预算财政拨款项目支出决算表</w:t>
      </w:r>
    </w:p>
    <w:p w14:paraId="32774D6E">
      <w:pPr>
        <w:pStyle w:val="3"/>
        <w:rPr>
          <w:rFonts w:ascii="仿宋" w:hAnsi="仿宋" w:eastAsia="仿宋" w:cs="仿宋"/>
          <w:color w:val="000000"/>
          <w:highlight w:val="none"/>
        </w:rPr>
      </w:pPr>
      <w:r>
        <w:rPr>
          <w:rStyle w:val="18"/>
          <w:rFonts w:ascii="仿宋" w:hAnsi="仿宋" w:eastAsia="仿宋" w:cs="仿宋"/>
          <w:b w:val="0"/>
          <w:bCs w:val="0"/>
          <w:color w:val="000000"/>
        </w:rPr>
        <w:t>十、</w:t>
      </w:r>
      <w:r>
        <w:rPr>
          <w:rFonts w:ascii="仿宋" w:hAnsi="仿宋" w:eastAsia="仿宋" w:cs="仿宋"/>
          <w:b w:val="0"/>
          <w:color w:val="000000"/>
        </w:rPr>
        <w:t>政</w:t>
      </w:r>
      <w:r>
        <w:rPr>
          <w:rStyle w:val="18"/>
          <w:rFonts w:ascii="仿宋" w:hAnsi="仿宋" w:eastAsia="仿宋" w:cs="仿宋"/>
          <w:b w:val="0"/>
          <w:bCs w:val="0"/>
          <w:color w:val="000000"/>
        </w:rPr>
        <w:t>府性基金预算财政拨款收入支出决算表</w:t>
      </w:r>
    </w:p>
    <w:p w14:paraId="729FD25D">
      <w:pPr>
        <w:pStyle w:val="3"/>
        <w:rPr>
          <w:rFonts w:ascii="仿宋" w:hAnsi="仿宋" w:eastAsia="仿宋" w:cs="仿宋"/>
          <w:color w:val="000000"/>
          <w:highlight w:val="none"/>
        </w:rPr>
      </w:pPr>
      <w:r>
        <w:rPr>
          <w:rStyle w:val="18"/>
          <w:rFonts w:ascii="仿宋" w:hAnsi="仿宋" w:eastAsia="仿宋" w:cs="仿宋"/>
          <w:b w:val="0"/>
          <w:bCs w:val="0"/>
          <w:color w:val="000000"/>
        </w:rPr>
        <w:t>十一、</w:t>
      </w:r>
      <w:r>
        <w:rPr>
          <w:rFonts w:ascii="仿宋" w:hAnsi="仿宋" w:eastAsia="仿宋" w:cs="仿宋"/>
          <w:b w:val="0"/>
          <w:color w:val="000000"/>
        </w:rPr>
        <w:t>国</w:t>
      </w:r>
      <w:r>
        <w:rPr>
          <w:rStyle w:val="18"/>
          <w:rFonts w:ascii="仿宋" w:hAnsi="仿宋" w:eastAsia="仿宋" w:cs="仿宋"/>
          <w:b w:val="0"/>
          <w:bCs w:val="0"/>
          <w:color w:val="000000"/>
        </w:rPr>
        <w:t>有资本经营预算</w:t>
      </w:r>
      <w:r>
        <w:rPr>
          <w:rStyle w:val="18"/>
          <w:rFonts w:ascii="仿宋" w:hAnsi="仿宋" w:eastAsia="仿宋" w:cs="仿宋"/>
          <w:b w:val="0"/>
          <w:bCs w:val="0"/>
          <w:color w:val="000000"/>
          <w:lang w:eastAsia="zh-CN"/>
        </w:rPr>
        <w:t>财政拨款收入</w:t>
      </w:r>
      <w:r>
        <w:rPr>
          <w:rStyle w:val="18"/>
          <w:rFonts w:ascii="仿宋" w:hAnsi="仿宋" w:eastAsia="仿宋" w:cs="仿宋"/>
          <w:b w:val="0"/>
          <w:bCs w:val="0"/>
          <w:color w:val="000000"/>
        </w:rPr>
        <w:t>支出决算表</w:t>
      </w:r>
    </w:p>
    <w:p w14:paraId="0970AA17">
      <w:pPr>
        <w:pStyle w:val="3"/>
        <w:rPr>
          <w:rFonts w:ascii="仿宋" w:hAnsi="仿宋" w:eastAsia="仿宋" w:cs="仿宋"/>
          <w:color w:val="000000"/>
          <w:highlight w:val="none"/>
        </w:rPr>
      </w:pPr>
      <w:r>
        <w:rPr>
          <w:rStyle w:val="18"/>
          <w:rFonts w:ascii="仿宋" w:hAnsi="仿宋" w:eastAsia="仿宋" w:cs="仿宋"/>
          <w:b w:val="0"/>
          <w:bCs w:val="0"/>
          <w:color w:val="000000"/>
        </w:rPr>
        <w:t>十二、</w:t>
      </w:r>
      <w:r>
        <w:rPr>
          <w:rStyle w:val="18"/>
          <w:rFonts w:ascii="仿宋" w:hAnsi="仿宋" w:eastAsia="仿宋" w:cs="仿宋"/>
          <w:b w:val="0"/>
          <w:bCs w:val="0"/>
          <w:color w:val="000000"/>
          <w:lang w:eastAsia="zh-CN"/>
        </w:rPr>
        <w:t>国有资本经营预算财政拨款支出决算表</w:t>
      </w:r>
    </w:p>
    <w:p w14:paraId="58084EDA">
      <w:pPr>
        <w:pStyle w:val="3"/>
        <w:rPr>
          <w:rFonts w:eastAsia="仿宋"/>
          <w:color w:val="000000"/>
          <w:highlight w:val="none"/>
          <w:lang w:eastAsia="zh-CN"/>
        </w:rPr>
      </w:pPr>
      <w:r>
        <w:rPr>
          <w:rStyle w:val="18"/>
          <w:rFonts w:ascii="仿宋" w:hAnsi="仿宋" w:eastAsia="仿宋" w:cs="仿宋"/>
          <w:b w:val="0"/>
          <w:bCs w:val="0"/>
          <w:color w:val="000000"/>
        </w:rPr>
        <w:t>十三、</w:t>
      </w:r>
      <w:r>
        <w:rPr>
          <w:rStyle w:val="18"/>
          <w:rFonts w:ascii="仿宋" w:hAnsi="仿宋" w:eastAsia="仿宋" w:cs="仿宋"/>
          <w:b w:val="0"/>
          <w:bCs w:val="0"/>
          <w:color w:val="000000"/>
          <w:lang w:eastAsia="zh-CN"/>
        </w:rPr>
        <w:t>财政拨款“三公”经费支出决算表</w:t>
      </w:r>
    </w:p>
    <w:p w14:paraId="4A7A949A">
      <w:pPr>
        <w:rPr>
          <w:rFonts w:eastAsia="仿宋"/>
          <w:color w:val="000000"/>
          <w:highlight w:val="none"/>
          <w:lang w:eastAsia="zh-CN"/>
        </w:rPr>
      </w:pPr>
    </w:p>
    <w:sectPr>
      <w:pgSz w:w="11906" w:h="16838"/>
      <w:pgMar w:top="1440" w:right="1800" w:bottom="1440" w:left="1800" w:header="0" w:footer="0"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2E60B81-4F5D-4D67-A7C4-8BD79D12AA2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BD74BCE-7E46-4E28-80A8-57986FFC2D84}"/>
  </w:font>
  <w:font w:name="Lohit Devanagari">
    <w:altName w:val="FFont-Family"/>
    <w:panose1 w:val="00000000000000000000"/>
    <w:charset w:val="00"/>
    <w:family w:val="auto"/>
    <w:pitch w:val="default"/>
    <w:sig w:usb0="00000000" w:usb1="00000000" w:usb2="00000000" w:usb3="00000000" w:csb0="00000000" w:csb1="00000000"/>
    <w:embedRegular r:id="rId3" w:fontKey="{F866DA6F-A187-405B-8301-3458485E19D0}"/>
  </w:font>
  <w:font w:name="FFont-Family">
    <w:panose1 w:val="02000509000000000000"/>
    <w:charset w:val="00"/>
    <w:family w:val="auto"/>
    <w:pitch w:val="default"/>
    <w:sig w:usb0="00000001" w:usb1="00000000" w:usb2="00000000" w:usb3="00000000" w:csb0="00000001" w:csb1="00000000"/>
  </w:font>
  <w:font w:name="Liberation Serif">
    <w:altName w:val="Times New Roman"/>
    <w:panose1 w:val="00000000000000000000"/>
    <w:charset w:val="01"/>
    <w:family w:val="roman"/>
    <w:pitch w:val="default"/>
    <w:sig w:usb0="00000000" w:usb1="00000000" w:usb2="00000000" w:usb3="00000000" w:csb0="00000000" w:csb1="00000000"/>
    <w:embedRegular r:id="rId4" w:fontKey="{96BE0FAE-0921-42A7-A500-C4EBA0D4024D}"/>
  </w:font>
  <w:font w:name="Noto Serif CJK SC">
    <w:altName w:val="宋体"/>
    <w:panose1 w:val="00000000000000000000"/>
    <w:charset w:val="86"/>
    <w:family w:val="auto"/>
    <w:pitch w:val="default"/>
    <w:sig w:usb0="00000000" w:usb1="00000000" w:usb2="00000000" w:usb3="00000000" w:csb0="00000000" w:csb1="00000000"/>
    <w:embedRegular r:id="rId5" w:fontKey="{CE6BFA76-1242-4F24-8E57-01B7D81DC472}"/>
  </w:font>
  <w:font w:name="Cambria">
    <w:panose1 w:val="02040503050406030204"/>
    <w:charset w:val="00"/>
    <w:family w:val="roman"/>
    <w:pitch w:val="default"/>
    <w:sig w:usb0="E00006FF" w:usb1="420024FF" w:usb2="02000000" w:usb3="00000000" w:csb0="2000019F" w:csb1="00000000"/>
    <w:embedRegular r:id="rId6" w:fontKey="{9D60A66E-C0FF-4DA3-80AC-B6DA0E785A12}"/>
  </w:font>
  <w:font w:name="仿宋">
    <w:panose1 w:val="02010609060101010101"/>
    <w:charset w:val="86"/>
    <w:family w:val="modern"/>
    <w:pitch w:val="default"/>
    <w:sig w:usb0="800002BF" w:usb1="38CF7CFA" w:usb2="00000016" w:usb3="00000000" w:csb0="00040001" w:csb1="00000000"/>
    <w:embedRegular r:id="rId7" w:fontKey="{1A78762D-774B-4A0A-AD72-5EE00EF81E05}"/>
  </w:font>
  <w:font w:name="Liberation Sans;微软雅黑">
    <w:altName w:val="黑体"/>
    <w:panose1 w:val="00000000000000000000"/>
    <w:charset w:val="00"/>
    <w:family w:val="auto"/>
    <w:pitch w:val="default"/>
    <w:sig w:usb0="00000000" w:usb1="00000000" w:usb2="00000000" w:usb3="00000000" w:csb0="00000000" w:csb1="00000000"/>
  </w:font>
  <w:font w:name="Noto Sans CJK SC Regular;宋体">
    <w:altName w:val="宋体"/>
    <w:panose1 w:val="00000000000000000000"/>
    <w:charset w:val="00"/>
    <w:family w:val="auto"/>
    <w:pitch w:val="default"/>
    <w:sig w:usb0="00000000" w:usb1="00000000" w:usb2="00000000" w:usb3="00000000" w:csb0="00000000" w:csb1="00000000"/>
  </w:font>
  <w:font w:name="方正小标宋简体">
    <w:panose1 w:val="02010600010101010101"/>
    <w:charset w:val="86"/>
    <w:family w:val="script"/>
    <w:pitch w:val="default"/>
    <w:sig w:usb0="00000001" w:usb1="080E0000" w:usb2="00000000" w:usb3="00000000" w:csb0="00040000" w:csb1="00000000"/>
    <w:embedRegular r:id="rId8" w:fontKey="{6954E7BE-481C-4612-AADE-DF0838B25ADC}"/>
  </w:font>
  <w:font w:name="方正仿宋;仿宋">
    <w:altName w:val="仿宋"/>
    <w:panose1 w:val="00000000000000000000"/>
    <w:charset w:val="00"/>
    <w:family w:val="auto"/>
    <w:pitch w:val="default"/>
    <w:sig w:usb0="00000000" w:usb1="00000000" w:usb2="00000000" w:usb3="00000000" w:csb0="00000000" w:csb1="00000000"/>
    <w:embedRegular r:id="rId9" w:fontKey="{E3DDF57A-5FAD-499F-BD37-49BDDC74E839}"/>
  </w:font>
  <w:font w:name="楷体_GB2312">
    <w:panose1 w:val="02010609030101010101"/>
    <w:charset w:val="86"/>
    <w:family w:val="modern"/>
    <w:pitch w:val="default"/>
    <w:sig w:usb0="00000001" w:usb1="080E0000" w:usb2="00000000" w:usb3="00000000" w:csb0="00040000" w:csb1="00000000"/>
    <w:embedRegular r:id="rId10" w:fontKey="{E9EBAC1E-E09A-42B1-9B73-85B1849C266D}"/>
  </w:font>
  <w:font w:name="仿宋_GB2312">
    <w:panose1 w:val="02010609030101010101"/>
    <w:charset w:val="86"/>
    <w:family w:val="modern"/>
    <w:pitch w:val="default"/>
    <w:sig w:usb0="00000001" w:usb1="080E0000" w:usb2="00000000" w:usb3="00000000" w:csb0="00040000" w:csb1="00000000"/>
    <w:embedRegular r:id="rId11" w:fontKey="{A65B68CB-3F66-48D9-B0A2-CC4F4D0BB3F2}"/>
  </w:font>
  <w:font w:name="华文中宋;宋体">
    <w:altName w:val="宋体"/>
    <w:panose1 w:val="00000000000000000000"/>
    <w:charset w:val="00"/>
    <w:family w:val="auto"/>
    <w:pitch w:val="default"/>
    <w:sig w:usb0="00000000" w:usb1="00000000" w:usb2="00000000" w:usb3="00000000" w:csb0="00000000" w:csb1="00000000"/>
    <w:embedRegular r:id="rId12" w:fontKey="{FABAA943-C6A6-461D-99C3-C0FD02BA162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1"/>
      <w:numFmt w:val="chineseCountingThousand"/>
      <w:suff w:val="nothing"/>
      <w:lvlText w:val="%1、"/>
      <w:lvlJc w:val="left"/>
      <w:pPr>
        <w:tabs>
          <w:tab w:val="left" w:pos="0"/>
        </w:tabs>
        <w:ind w:left="0" w:firstLine="0"/>
      </w:pPr>
    </w:lvl>
  </w:abstractNum>
  <w:abstractNum w:abstractNumId="1">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2">
    <w:nsid w:val="59ADCABA"/>
    <w:multiLevelType w:val="singleLevel"/>
    <w:tmpl w:val="59ADCABA"/>
    <w:lvl w:ilvl="0" w:tentative="0">
      <w:start w:val="1"/>
      <w:numFmt w:val="decimal"/>
      <w:lvlText w:val="%1."/>
      <w:lvlJc w:val="left"/>
      <w:pPr>
        <w:tabs>
          <w:tab w:val="left" w:pos="420"/>
        </w:tabs>
        <w:ind w:left="0" w:firstLine="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documentProtection w:enforcement="0"/>
  <w:defaultTabStop w:val="420"/>
  <w:autoHyphenation/>
  <w:compat>
    <w:noLeading/>
    <w:doNotExpandShiftReturn/>
    <w:useFELayout/>
    <w:compatSetting w:name="compatibilityMode" w:uri="http://schemas.microsoft.com/office/word" w:val="14"/>
  </w:compat>
  <w:rsids>
    <w:rsidRoot w:val="00000000"/>
    <w:rsid w:val="22D63D8E"/>
    <w:rsid w:val="2F8135BA"/>
    <w:rsid w:val="474D61EE"/>
    <w:rsid w:val="608F34D9"/>
    <w:rsid w:val="63EA36D2"/>
    <w:rsid w:val="6E1059D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000000"/>
      <w:kern w:val="2"/>
      <w:sz w:val="21"/>
      <w:szCs w:val="24"/>
      <w:lang w:val="en-US" w:eastAsia="zh-CN" w:bidi="ar-SA"/>
    </w:rPr>
  </w:style>
  <w:style w:type="paragraph" w:styleId="2">
    <w:name w:val="heading 1"/>
    <w:basedOn w:val="1"/>
    <w:next w:val="1"/>
    <w:qFormat/>
    <w:uiPriority w:val="0"/>
    <w:pPr>
      <w:keepNext/>
      <w:keepLines/>
      <w:numPr>
        <w:ilvl w:val="0"/>
        <w:numId w:val="1"/>
      </w:numPr>
      <w:spacing w:before="340" w:after="330" w:line="576" w:lineRule="auto"/>
      <w:outlineLvl w:val="0"/>
    </w:pPr>
    <w:rPr>
      <w:b/>
      <w:bCs/>
      <w:kern w:val="2"/>
      <w:sz w:val="44"/>
      <w:szCs w:val="44"/>
    </w:rPr>
  </w:style>
  <w:style w:type="paragraph" w:styleId="3">
    <w:name w:val="heading 2"/>
    <w:basedOn w:val="1"/>
    <w:next w:val="1"/>
    <w:qFormat/>
    <w:uiPriority w:val="0"/>
    <w:pPr>
      <w:keepNext/>
      <w:keepLines/>
      <w:numPr>
        <w:ilvl w:val="1"/>
        <w:numId w:val="1"/>
      </w:numPr>
      <w:spacing w:before="260" w:after="260" w:line="415" w:lineRule="auto"/>
      <w:outlineLvl w:val="1"/>
    </w:pPr>
    <w:rPr>
      <w:rFonts w:ascii="Cambria" w:hAnsi="Cambria" w:eastAsia="宋体" w:cs="Times New Roman"/>
      <w:b/>
      <w:bCs/>
      <w:sz w:val="32"/>
      <w:szCs w:val="32"/>
    </w:rPr>
  </w:style>
  <w:style w:type="character" w:default="1" w:styleId="14">
    <w:name w:val="Default Paragraph Font"/>
    <w:semiHidden/>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caption"/>
    <w:basedOn w:val="1"/>
    <w:qFormat/>
    <w:uiPriority w:val="0"/>
    <w:pPr>
      <w:suppressLineNumbers/>
      <w:spacing w:before="120" w:after="120"/>
    </w:pPr>
    <w:rPr>
      <w:rFonts w:cs="Lohit Devanagari"/>
      <w:i/>
      <w:iCs/>
      <w:sz w:val="24"/>
      <w:szCs w:val="24"/>
    </w:rPr>
  </w:style>
  <w:style w:type="paragraph" w:styleId="5">
    <w:name w:val="Body Text"/>
    <w:basedOn w:val="1"/>
    <w:uiPriority w:val="0"/>
    <w:pPr>
      <w:spacing w:before="0" w:after="140" w:line="276" w:lineRule="auto"/>
    </w:pPr>
  </w:style>
  <w:style w:type="paragraph" w:styleId="6">
    <w:name w:val="Body Text Indent"/>
    <w:basedOn w:val="1"/>
    <w:next w:val="7"/>
    <w:uiPriority w:val="0"/>
    <w:pPr>
      <w:spacing w:before="0" w:after="120"/>
    </w:pPr>
    <w:rPr>
      <w:rFonts w:ascii="仿宋" w:hAnsi="仿宋"/>
      <w:szCs w:val="32"/>
    </w:rPr>
  </w:style>
  <w:style w:type="paragraph" w:customStyle="1" w:styleId="7">
    <w:name w:val="正文文本缩进 21"/>
    <w:basedOn w:val="1"/>
    <w:qFormat/>
    <w:uiPriority w:val="0"/>
    <w:pPr>
      <w:ind w:firstLine="866"/>
      <w:jc w:val="center"/>
    </w:pPr>
    <w:rPr>
      <w:b/>
      <w:sz w:val="44"/>
    </w:rPr>
  </w:style>
  <w:style w:type="paragraph" w:styleId="8">
    <w:name w:val="toc 1"/>
    <w:basedOn w:val="1"/>
    <w:next w:val="1"/>
    <w:uiPriority w:val="0"/>
    <w:pPr>
      <w:tabs>
        <w:tab w:val="right" w:leader="dot" w:pos="8296"/>
      </w:tabs>
      <w:spacing w:before="93" w:after="0"/>
      <w:jc w:val="center"/>
    </w:pPr>
    <w:rPr>
      <w:rFonts w:ascii="仿宋" w:hAnsi="仿宋" w:eastAsia="仿宋" w:cs="仿宋"/>
      <w:sz w:val="28"/>
      <w:szCs w:val="28"/>
    </w:rPr>
  </w:style>
  <w:style w:type="paragraph" w:styleId="9">
    <w:name w:val="List"/>
    <w:basedOn w:val="5"/>
    <w:uiPriority w:val="0"/>
  </w:style>
  <w:style w:type="paragraph" w:styleId="10">
    <w:name w:val="footnote text"/>
    <w:basedOn w:val="1"/>
    <w:next w:val="11"/>
    <w:uiPriority w:val="0"/>
    <w:pPr>
      <w:snapToGrid w:val="0"/>
      <w:jc w:val="left"/>
    </w:pPr>
    <w:rPr>
      <w:sz w:val="18"/>
      <w:szCs w:val="18"/>
    </w:rPr>
  </w:style>
  <w:style w:type="paragraph" w:customStyle="1" w:styleId="11">
    <w:name w:val="正文首行缩进 21"/>
    <w:basedOn w:val="6"/>
    <w:next w:val="1"/>
    <w:qFormat/>
    <w:uiPriority w:val="0"/>
    <w:pPr>
      <w:ind w:firstLine="420"/>
    </w:pPr>
  </w:style>
  <w:style w:type="paragraph" w:styleId="12">
    <w:name w:val="toc 2"/>
    <w:basedOn w:val="1"/>
    <w:next w:val="1"/>
    <w:uiPriority w:val="0"/>
    <w:pPr>
      <w:tabs>
        <w:tab w:val="right" w:leader="dot" w:pos="8296"/>
      </w:tabs>
      <w:ind w:left="420" w:firstLine="0"/>
    </w:pPr>
  </w:style>
  <w:style w:type="character" w:customStyle="1" w:styleId="15">
    <w:name w:val="WW8Num2z0"/>
    <w:qFormat/>
    <w:uiPriority w:val="0"/>
  </w:style>
  <w:style w:type="character" w:customStyle="1" w:styleId="16">
    <w:name w:val="默认段落字体11"/>
    <w:qFormat/>
    <w:uiPriority w:val="0"/>
  </w:style>
  <w:style w:type="character" w:customStyle="1" w:styleId="17">
    <w:name w:val="标题 1 Char"/>
    <w:basedOn w:val="16"/>
    <w:qFormat/>
    <w:uiPriority w:val="0"/>
    <w:rPr>
      <w:b/>
      <w:bCs/>
      <w:kern w:val="2"/>
      <w:sz w:val="44"/>
      <w:szCs w:val="44"/>
    </w:rPr>
  </w:style>
  <w:style w:type="character" w:customStyle="1" w:styleId="18">
    <w:name w:val="标题 2 Char"/>
    <w:basedOn w:val="16"/>
    <w:qFormat/>
    <w:uiPriority w:val="0"/>
    <w:rPr>
      <w:rFonts w:ascii="Cambria" w:hAnsi="Cambria" w:eastAsia="宋体" w:cs="Times New Roman"/>
      <w:b/>
      <w:bCs/>
      <w:sz w:val="32"/>
      <w:szCs w:val="32"/>
    </w:rPr>
  </w:style>
  <w:style w:type="character" w:customStyle="1" w:styleId="19">
    <w:name w:val="Strong Emphasis"/>
    <w:basedOn w:val="16"/>
    <w:qFormat/>
    <w:uiPriority w:val="0"/>
    <w:rPr>
      <w:b/>
    </w:rPr>
  </w:style>
  <w:style w:type="character" w:customStyle="1" w:styleId="20">
    <w:name w:val="默认段落字体1"/>
    <w:qFormat/>
    <w:uiPriority w:val="0"/>
  </w:style>
  <w:style w:type="paragraph" w:customStyle="1" w:styleId="21">
    <w:name w:val="Heading"/>
    <w:basedOn w:val="1"/>
    <w:next w:val="5"/>
    <w:qFormat/>
    <w:uiPriority w:val="0"/>
    <w:pPr>
      <w:keepNext/>
      <w:widowControl w:val="0"/>
      <w:suppressAutoHyphens/>
      <w:spacing w:before="240" w:after="120"/>
    </w:pPr>
    <w:rPr>
      <w:rFonts w:ascii="Liberation Sans;微软雅黑" w:hAnsi="Liberation Sans;微软雅黑" w:eastAsia="Noto Sans CJK SC Regular;宋体" w:cs="Noto Sans CJK SC Regular;宋体"/>
      <w:sz w:val="28"/>
      <w:szCs w:val="28"/>
      <w:lang w:bidi="ar-SA"/>
    </w:rPr>
  </w:style>
  <w:style w:type="paragraph" w:customStyle="1" w:styleId="22">
    <w:name w:val="Index"/>
    <w:basedOn w:val="1"/>
    <w:qFormat/>
    <w:uiPriority w:val="0"/>
    <w:pPr>
      <w:widowControl w:val="0"/>
      <w:suppressLineNumbers/>
      <w:suppressAutoHyphens/>
    </w:pPr>
  </w:style>
  <w:style w:type="paragraph" w:customStyle="1" w:styleId="23">
    <w:name w:val="题注1"/>
    <w:basedOn w:val="1"/>
    <w:qFormat/>
    <w:uiPriority w:val="0"/>
    <w:pPr>
      <w:widowControl w:val="0"/>
      <w:suppressLineNumbers/>
      <w:suppressAutoHyphens/>
      <w:spacing w:before="120" w:after="120"/>
    </w:pPr>
    <w:rPr>
      <w:i/>
      <w:iCs/>
      <w:sz w:val="24"/>
      <w:szCs w:val="24"/>
    </w:rPr>
  </w:style>
  <w:style w:type="paragraph" w:customStyle="1" w:styleId="24">
    <w:name w:val="纯文本1"/>
    <w:basedOn w:val="1"/>
    <w:qFormat/>
    <w:uiPriority w:val="0"/>
    <w:rPr>
      <w:rFonts w:ascii="宋体" w:hAnsi="宋体" w:cs="Courier New"/>
    </w:rPr>
  </w:style>
  <w:style w:type="paragraph" w:customStyle="1" w:styleId="25">
    <w:name w:val="图表目录1"/>
    <w:basedOn w:val="1"/>
    <w:next w:val="1"/>
    <w:qFormat/>
    <w:uiPriority w:val="0"/>
    <w:pPr>
      <w:ind w:hanging="200"/>
    </w:pPr>
  </w:style>
  <w:style w:type="paragraph" w:customStyle="1" w:styleId="26">
    <w:name w:val="普通(网站)1"/>
    <w:basedOn w:val="1"/>
    <w:qFormat/>
    <w:uiPriority w:val="0"/>
    <w:pPr>
      <w:spacing w:before="100" w:after="100"/>
      <w:ind w:left="0" w:right="0" w:firstLine="0"/>
      <w:jc w:val="left"/>
    </w:pPr>
    <w:rPr>
      <w:kern w:val="0"/>
      <w:sz w:val="24"/>
      <w:lang w:val="en-US" w:eastAsia="zh-CN" w:bidi="ar"/>
    </w:rPr>
  </w:style>
  <w:style w:type="paragraph" w:customStyle="1" w:styleId="27">
    <w:name w:val="标题 5（有编号）（绿盟科技）"/>
    <w:next w:val="1"/>
    <w:qFormat/>
    <w:uiPriority w:val="0"/>
    <w:pPr>
      <w:keepNext/>
      <w:keepLines/>
      <w:widowControl w:val="0"/>
      <w:suppressAutoHyphens/>
      <w:bidi w:val="0"/>
      <w:spacing w:before="280" w:after="156" w:line="376" w:lineRule="auto"/>
      <w:jc w:val="left"/>
      <w:outlineLvl w:val="4"/>
    </w:pPr>
    <w:rPr>
      <w:rFonts w:ascii="Arial" w:hAnsi="Arial" w:eastAsia="黑体" w:cs="Times New Roman"/>
      <w:b/>
      <w:color w:val="auto"/>
      <w:kern w:val="2"/>
      <w:sz w:val="24"/>
      <w:szCs w:val="28"/>
      <w:lang w:val="en-US" w:eastAsia="zh-CN" w:bidi="ar-SA"/>
    </w:rPr>
  </w:style>
  <w:style w:type="paragraph" w:customStyle="1" w:styleId="28">
    <w:name w:val="Default"/>
    <w:qFormat/>
    <w:uiPriority w:val="0"/>
    <w:pPr>
      <w:widowControl w:val="0"/>
      <w:suppressAutoHyphens/>
      <w:autoSpaceDE w:val="0"/>
      <w:bidi w:val="0"/>
    </w:pPr>
    <w:rPr>
      <w:rFonts w:ascii="仿宋" w:hAnsi="仿宋" w:eastAsia="仿宋" w:cs="仿宋"/>
      <w:color w:val="000000"/>
      <w:sz w:val="24"/>
      <w:szCs w:val="24"/>
      <w:lang w:val="en-US" w:eastAsia="zh-CN" w:bidi="ar-SA"/>
    </w:rPr>
  </w:style>
  <w:style w:type="paragraph" w:styleId="29">
    <w:name w:val="List Paragraph"/>
    <w:basedOn w:val="1"/>
    <w:qFormat/>
    <w:uiPriority w:val="0"/>
    <w:pPr>
      <w:ind w:firstLine="42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f7f0956d-0add-4ebf-a7a0-a66ac691b49b</errorID>
      <errorWord>党要管党、从严治党</errorWord>
      <group>L1_Political</group>
      <groupName>政治性问题</groupName>
      <ability>L2_Unpolitical</ability>
      <abilityName>政治敏感错误</abilityName>
      <candidateList>
        <item>党要管党、全面从严治党</item>
      </candidateList>
      <explain/>
      <paraID>57C8E53F</paraID>
      <start>4</start>
      <end>15</end>
      <status>modified</status>
      <modifiedWord>党要管党、全面从严治党</modifiedWord>
      <trackRevisions>false</trackRevisions>
    </reviewItem>
    <reviewItem>
      <errorID>a8ad195c-9538-431e-989d-70c31c5c29f2</errorID>
      <errorWord>政治建设、经济建设、文化建设、社会建设、生态文明建设</errorWord>
      <group>L1_Political</group>
      <groupName>政治性问题</groupName>
      <ability>L2_Keyword</ability>
      <abilityName>固定表述</abilityName>
      <candidateList>
        <item>经济建设、政治建设、文化建设、社会建设、生态文明建设</item>
      </candidateList>
      <explain>词汇“经济建设、政治建设、文化建设、社会建设、生态文明建设”在特定场景下为固定表述形式，请确认此处的“政治建设、经济建设、文化建设、社会建设、生态文明建设”是否存在不当。</explain>
      <paraID>50974104</paraID>
      <start>10</start>
      <end>36</end>
      <status>modified</status>
      <modifiedWord>经济建设、政治建设、文化建设、社会建设、生态文明建设</modifiedWord>
      <trackRevisions>false</trackRevisions>
    </reviewItem>
    <reviewItem>
      <errorID>62e1958c-bf5b-42e5-9541-ee6bd7873ed3</errorID>
      <errorWord>法制建设</errorWord>
      <group>L1_Political</group>
      <groupName>政治性问题</groupName>
      <ability>L2_Unpolitical</ability>
      <abilityName>政治敏感错误</abilityName>
      <candidateList>
        <item>法治建设</item>
      </candidateList>
      <explain/>
      <paraID>50974104</paraID>
      <start>37</start>
      <end>41</end>
      <status>modified</status>
      <modifiedWord>法治建设</modifiedWord>
      <trackRevisions>false</trackRevisions>
    </reviewItem>
    <reviewItem>
      <errorID>3aaa0ccb-efd1-4c79-8388-61f6b8faf5d0</errorID>
      <errorWord>政治领导力、思想引领力、群众组织力、社会号召力</errorWord>
      <group>L1_Political</group>
      <groupName>政治性问题</groupName>
      <ability>L2_Keyword</ability>
      <abilityName>固定表述</abilityName>
      <candidateList>
        <item>党的政治领导力、思想引领力、群众组织力、社会号召力</item>
      </candidateList>
      <explain>词汇“党的政治领导力、思想引领力、群众组织力、社会号召力”在特定场景下为固定表述形式，请确认此处的“政治领导力、思想引领力、群众组织力、社会号召力”是否存在不当。</explain>
      <paraID>5D903E90</paraID>
      <start>78</start>
      <end>103</end>
      <status>modified</status>
      <modifiedWord>党的政治领导力、思想引领力、群众组织力、社会号召力</modifiedWord>
      <trackRevisions>false</trackRevisions>
    </reviewItem>
    <reviewItem>
      <errorID>0fe0b95d-390c-47ad-8359-4d5db02a561e</errorID>
      <errorWord>巩固脱贫攻坚成果</errorWord>
      <group>L1_Word</group>
      <groupName>字词问题</groupName>
      <ability>L2_Typo</ability>
      <abilityName>字词错误</abilityName>
      <candidateList>
        <item>巩固拓展脱贫攻坚成果</item>
      </candidateList>
      <explain/>
      <paraID>50E0D47A</paraID>
      <start>2</start>
      <end>12</end>
      <status>modified</status>
      <modifiedWord>巩固拓展脱贫攻坚成果</modifiedWord>
      <trackRevisions>false</trackRevisions>
    </reviewItem>
    <reviewItem>
      <errorID>616c5192-4017-4272-8d8a-cfdb394a95ff</errorID>
      <errorWord>法制建设</errorWord>
      <group>L1_Political</group>
      <groupName>政治性问题</groupName>
      <ability>L2_Unpolitical</ability>
      <abilityName>政治敏感错误</abilityName>
      <candidateList>
        <item>法治建设</item>
      </candidateList>
      <explain/>
      <paraID>264C2C30</paraID>
      <start>19</start>
      <end>23</end>
      <status>modified</status>
      <modifiedWord>法治建设</modifiedWord>
      <trackRevisions>false</trackRevisions>
    </reviewItem>
    <reviewItem>
      <errorID>3ef3e3f0-3101-4e6f-ae9f-2a7f4427ea47</errorID>
      <errorWord>，</errorWord>
      <group>L1_Word</group>
      <groupName>字词问题</groupName>
      <ability>L2_Typo</ability>
      <abilityName>字词错误</abilityName>
      <candidateList>
        <item>，以</item>
      </candidateList>
      <explain/>
      <paraID>1CE55564</paraID>
      <start>74</start>
      <end>76</end>
      <status>modified</status>
      <modifiedWord>，以</modifiedWord>
      <trackRevisions>false</trackRevisions>
    </reviewItem>
    <reviewItem>
      <errorID>ee6b9a0b-47e0-4f1e-a428-c525358eed79</errorID>
      <errorWord>万斤</errorWord>
      <group>L1_Knowledge</group>
      <groupName>知识性问题</groupName>
      <ability>L2_Knowledge</ability>
      <abilityName>其他知识</abilityName>
      <candidateList/>
      <explain>非法定单位</explain>
      <paraID> 571C6F5</paraID>
      <start>154</start>
      <end>156</end>
      <status>ignored</status>
      <modifiedWord/>
      <trackRevisions>false</trackRevisions>
    </reviewItem>
    <reviewItem>
      <errorID>0e10371c-3179-4080-91d5-50b8d3b6a170</errorID>
      <errorWord>万元，集体经济</errorWord>
      <group>L1_Word</group>
      <groupName>字词问题</groupName>
      <ability>L2_Typo</ability>
      <abilityName>字词错误</abilityName>
      <candidateList>
        <item>万元，村集体经济</item>
      </candidateList>
      <explain/>
      <paraID> 571C6F5</paraID>
      <start>214</start>
      <end>222</end>
      <status>modified</status>
      <modifiedWord>万元，村集体经济</modifiedWord>
      <trackRevisions>false</trackRevisions>
    </reviewItem>
    <reviewItem>
      <errorID>265c29fe-8cd3-4990-bfb2-850c247f673c</errorID>
      <errorWord>流动党支部</errorWord>
      <group>L1_Political</group>
      <groupName>政治性问题</groupName>
      <ability>L2_Unpolitical</ability>
      <abilityName>政治敏感错误</abilityName>
      <candidateList>
        <item>流动党员党支部</item>
      </candidateList>
      <explain/>
      <paraID>3BAED483</paraID>
      <start>137</start>
      <end>144</end>
      <status>modified</status>
      <modifiedWord>流动党员党支部</modifiedWord>
      <trackRevisions>false</trackRevisions>
    </reviewItem>
    <reviewItem>
      <errorID>b5bf7ef2-19ae-4a81-98c5-20aa88e5b2b9</errorID>
      <errorWord>，</errorWord>
      <group>L1_Word</group>
      <groupName>字词问题</groupName>
      <ability>L2_Typo</ability>
      <abilityName>字词错误</abilityName>
      <candidateList>
        <item>，在</item>
      </candidateList>
      <explain/>
      <paraID>3E0C4439</paraID>
      <start>59</start>
      <end>61</end>
      <status>modified</status>
      <modifiedWord>，在</modifiedWord>
      <trackRevisions>false</trackRevisions>
    </reviewItem>
  </reviewItems>
  <config/>
</contractReview>
</file>

<file path=customXml/itemProps1.xml><?xml version="1.0" encoding="utf-8"?>
<ds:datastoreItem xmlns:ds="http://schemas.openxmlformats.org/officeDocument/2006/customXml" ds:itemID="{7ab935b8-6aa8-42ec-9148-614b68863bdb}">
  <ds:schemaRefs/>
</ds:datastoreItem>
</file>

<file path=docProps/app.xml><?xml version="1.0" encoding="utf-8"?>
<Properties xmlns="http://schemas.openxmlformats.org/officeDocument/2006/extended-properties" xmlns:vt="http://schemas.openxmlformats.org/officeDocument/2006/docPropsVTypes">
  <Pages>25</Pages>
  <Words>9451</Words>
  <Characters>10053</Characters>
  <TotalTime>1</TotalTime>
  <ScaleCrop>false</ScaleCrop>
  <LinksUpToDate>false</LinksUpToDate>
  <CharactersWithSpaces>10081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2018-11-27T09:47:00Z</dcterms:created>
  <dc:creator>user</dc:creator>
  <cp:lastModifiedBy>奕夕^_^</cp:lastModifiedBy>
  <dcterms:modified xsi:type="dcterms:W3CDTF">2026-10-12T03:56:44Z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7A40ED91523143D9A5BE02D2DD7FDF67_13</vt:lpwstr>
  </property>
  <property fmtid="{D5CDD505-2E9C-101B-9397-08002B2CF9AE}" pid="3" name="KSOProductBuildVer">
    <vt:lpwstr>2052-12.1.0.28505</vt:lpwstr>
  </property>
  <property fmtid="{D5CDD505-2E9C-101B-9397-08002B2CF9AE}" pid="4" name="KSOTemplateDocerSaveRecord">
    <vt:lpwstr>eyJoZGlkIjoiNTU1MWNhN2ZmY2ZhZmY3ODhlYTg0MWU5OGMyY2QwZmUiLCJ1c2VySWQiOiI0MzQ2NTM0NzEifQ==</vt:lpwstr>
  </property>
  <property fmtid="{D5CDD505-2E9C-101B-9397-08002B2CF9AE}" pid="5" name="commondata">
    <vt:lpwstr>commondata</vt:lpwstr>
  </property>
</Properties>
</file>