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7BE8D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z w:val="42"/>
          <w:szCs w:val="42"/>
          <w:shd w:val="clear" w:fill="FFFFFF"/>
        </w:rPr>
      </w:pPr>
      <w:r>
        <w:rPr>
          <w:rFonts w:hint="eastAsia"/>
          <w:sz w:val="42"/>
          <w:szCs w:val="42"/>
          <w:shd w:val="clear" w:fill="FFFFFF"/>
          <w:lang w:eastAsia="zh-CN"/>
        </w:rPr>
        <w:t>202</w:t>
      </w:r>
      <w:r>
        <w:rPr>
          <w:rFonts w:hint="eastAsia"/>
          <w:sz w:val="42"/>
          <w:szCs w:val="42"/>
          <w:shd w:val="clear" w:fill="FFFFFF"/>
          <w:lang w:val="en-US" w:eastAsia="zh-CN"/>
        </w:rPr>
        <w:t>5</w:t>
      </w:r>
      <w:r>
        <w:rPr>
          <w:sz w:val="42"/>
          <w:szCs w:val="42"/>
          <w:shd w:val="clear" w:fill="FFFFFF"/>
        </w:rPr>
        <w:t>年度</w:t>
      </w:r>
    </w:p>
    <w:p w14:paraId="4655FC6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z w:val="42"/>
          <w:szCs w:val="42"/>
          <w:shd w:val="clear" w:fill="FFFFFF"/>
        </w:rPr>
      </w:pPr>
      <w:r>
        <w:rPr>
          <w:sz w:val="42"/>
          <w:szCs w:val="42"/>
          <w:shd w:val="clear" w:fill="FFFFFF"/>
        </w:rPr>
        <w:t>阿坝州松潘县</w:t>
      </w:r>
      <w:r>
        <w:rPr>
          <w:rFonts w:hint="eastAsia"/>
          <w:sz w:val="42"/>
          <w:szCs w:val="42"/>
          <w:shd w:val="clear" w:fill="FFFFFF"/>
          <w:lang w:val="en-US" w:eastAsia="zh-CN"/>
        </w:rPr>
        <w:t>毛儿盖镇</w:t>
      </w:r>
      <w:r>
        <w:rPr>
          <w:sz w:val="42"/>
          <w:szCs w:val="42"/>
          <w:shd w:val="clear" w:fill="FFFFFF"/>
        </w:rPr>
        <w:t>人民政府</w:t>
      </w:r>
    </w:p>
    <w:p w14:paraId="04DCE66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pPr>
      <w:r>
        <w:rPr>
          <w:rFonts w:hint="eastAsia"/>
          <w:sz w:val="42"/>
          <w:szCs w:val="42"/>
          <w:shd w:val="clear" w:fill="FFFFFF"/>
          <w:lang w:val="en-US" w:eastAsia="zh-CN"/>
        </w:rPr>
        <w:t>单位</w:t>
      </w:r>
      <w:r>
        <w:rPr>
          <w:sz w:val="42"/>
          <w:szCs w:val="42"/>
          <w:shd w:val="clear" w:fill="FFFFFF"/>
        </w:rPr>
        <w:t>决算</w:t>
      </w:r>
    </w:p>
    <w:p w14:paraId="52B3037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pPr>
    </w:p>
    <w:p w14:paraId="4AE89B8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5D32539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38FEDF7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66B8D5A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4C3662B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0B8D9FA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197E353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1AAC407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5D69C63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09786CC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664BA22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2B9FF44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0BD5460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pPr>
      <w:r>
        <w:rPr>
          <w:shd w:val="clear" w:fill="FFFFFF"/>
        </w:rPr>
        <w:t>已经保密审查、内容审定，同意对外公开</w:t>
      </w:r>
    </w:p>
    <w:p w14:paraId="1250D42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14ECFFA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75E464D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142C626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5CC9391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5089437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36DF065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486C3D4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0829E76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2C94531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32D4EEB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4A13E50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6A51490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2784B94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748A1E0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4468842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64DE393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3FA49A9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2CDF27D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3135496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r>
        <w:rPr>
          <w:shd w:val="clear" w:fill="FFFFFF"/>
        </w:rPr>
        <w:t>公开时间：202</w:t>
      </w:r>
      <w:r>
        <w:rPr>
          <w:rFonts w:hint="eastAsia"/>
          <w:shd w:val="clear" w:fill="FFFFFF"/>
          <w:lang w:val="en-US" w:eastAsia="zh-CN"/>
        </w:rPr>
        <w:t>6</w:t>
      </w:r>
      <w:r>
        <w:rPr>
          <w:shd w:val="clear" w:fill="FFFFFF"/>
        </w:rPr>
        <w:t>年</w:t>
      </w:r>
      <w:r>
        <w:rPr>
          <w:rFonts w:hint="eastAsia"/>
          <w:shd w:val="clear" w:fill="FFFFFF"/>
          <w:lang w:val="en-US" w:eastAsia="zh-CN"/>
        </w:rPr>
        <w:t>10</w:t>
      </w:r>
      <w:r>
        <w:rPr>
          <w:shd w:val="clear" w:fill="FFFFFF"/>
        </w:rPr>
        <w:t>月</w:t>
      </w:r>
      <w:r>
        <w:rPr>
          <w:rFonts w:hint="eastAsia"/>
          <w:shd w:val="clear" w:fill="FFFFFF"/>
          <w:lang w:val="en-US" w:eastAsia="zh-CN"/>
        </w:rPr>
        <w:t>13</w:t>
      </w:r>
      <w:r>
        <w:rPr>
          <w:shd w:val="clear" w:fill="FFFFFF"/>
        </w:rPr>
        <w:t>日</w:t>
      </w:r>
    </w:p>
    <w:p w14:paraId="2DAE441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46A90BF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63E2ABD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6A6FAE2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5749008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48550D6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rFonts w:hint="eastAsia" w:eastAsiaTheme="minorEastAsia"/>
          <w:lang w:val="en-US" w:eastAsia="zh-CN"/>
        </w:rPr>
      </w:pPr>
      <w:r>
        <w:rPr>
          <w:rFonts w:hint="eastAsia"/>
          <w:shd w:val="clear" w:fill="FFFFFF"/>
          <w:lang w:val="en-US" w:eastAsia="zh-CN"/>
        </w:rPr>
        <w:t>目录</w:t>
      </w:r>
    </w:p>
    <w:p w14:paraId="3B271229">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p>
    <w:p w14:paraId="0890412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第一部分 部门概况</w:t>
      </w:r>
    </w:p>
    <w:p w14:paraId="3F8DDF9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一、基本职能及主要工作</w:t>
      </w:r>
    </w:p>
    <w:p w14:paraId="5E0F5E9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二、机构设置</w:t>
      </w:r>
    </w:p>
    <w:p w14:paraId="4DED064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 xml:space="preserve">第二部分 </w:t>
      </w:r>
      <w:r>
        <w:rPr>
          <w:rFonts w:hint="eastAsia"/>
          <w:shd w:val="clear" w:fill="FFFFFF"/>
          <w:lang w:eastAsia="zh-CN"/>
        </w:rPr>
        <w:t>202</w:t>
      </w:r>
      <w:r>
        <w:rPr>
          <w:rFonts w:hint="eastAsia"/>
          <w:shd w:val="clear" w:fill="FFFFFF"/>
          <w:lang w:val="en-US" w:eastAsia="zh-CN"/>
        </w:rPr>
        <w:t>5</w:t>
      </w:r>
      <w:r>
        <w:rPr>
          <w:shd w:val="clear" w:fill="FFFFFF"/>
        </w:rPr>
        <w:t>年度部门决算情况说明</w:t>
      </w:r>
    </w:p>
    <w:p w14:paraId="397BA61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一、收入支出决算总体情况说明</w:t>
      </w:r>
    </w:p>
    <w:p w14:paraId="122613E9">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二、收入决算情况说明</w:t>
      </w:r>
    </w:p>
    <w:p w14:paraId="7832F09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三、支出决算情况说明</w:t>
      </w:r>
    </w:p>
    <w:p w14:paraId="1200928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四、财政拨款收入支出决算总体情况说明</w:t>
      </w:r>
    </w:p>
    <w:p w14:paraId="4DFAB319">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五、一般公共预算财政拨款支出决算情况说明</w:t>
      </w:r>
    </w:p>
    <w:p w14:paraId="5581080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六、一般公共预算财政拨款基本支出决算情况说明</w:t>
      </w:r>
    </w:p>
    <w:p w14:paraId="10D76EC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七、财政拨款“三公”经费支出决算情况说明</w:t>
      </w:r>
    </w:p>
    <w:p w14:paraId="2E0988B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八、政府性基金预算支出决算情况说明</w:t>
      </w:r>
    </w:p>
    <w:p w14:paraId="461E778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  九、国有资本经营预算支出决算情况说明</w:t>
      </w:r>
    </w:p>
    <w:p w14:paraId="0E06508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  十、其他重要事项的情况说明 </w:t>
      </w:r>
    </w:p>
    <w:p w14:paraId="2E35C33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第三部分 名词解释</w:t>
      </w:r>
    </w:p>
    <w:p w14:paraId="266F492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第四部分 附件</w:t>
      </w:r>
    </w:p>
    <w:p w14:paraId="06699A1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第五部分 附表</w:t>
      </w:r>
    </w:p>
    <w:p w14:paraId="728C25D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一、收入支出决算总表</w:t>
      </w:r>
    </w:p>
    <w:p w14:paraId="2170489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二、收入决算表</w:t>
      </w:r>
    </w:p>
    <w:p w14:paraId="129AECB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三、支出决算表</w:t>
      </w:r>
    </w:p>
    <w:p w14:paraId="667AB81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四、财政拨款收入支出决算总表</w:t>
      </w:r>
    </w:p>
    <w:p w14:paraId="5FCE98D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五、财政拨款支出决算明细表</w:t>
      </w:r>
    </w:p>
    <w:p w14:paraId="3DD1147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六、一般公共预算财政拨款支出决算表</w:t>
      </w:r>
    </w:p>
    <w:p w14:paraId="03A1784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七、一般公共预算财政拨款支出决算明细表</w:t>
      </w:r>
    </w:p>
    <w:p w14:paraId="2C43E3B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八、一般公共预算财政拨款基本支出决算表</w:t>
      </w:r>
    </w:p>
    <w:p w14:paraId="3E11EC2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九、一般公共预算财政拨款项目支出决算表</w:t>
      </w:r>
    </w:p>
    <w:p w14:paraId="3E71E32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十、政府性基金预算财政拨款收入支出决算表</w:t>
      </w:r>
    </w:p>
    <w:p w14:paraId="633A2C4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十一、国有资本经营预算财政拨款收入支出决算表</w:t>
      </w:r>
    </w:p>
    <w:p w14:paraId="39B3024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十二、国有资本经营预算财政拨款支出决算表</w:t>
      </w:r>
    </w:p>
    <w:p w14:paraId="32B2C5D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十三、财政拨款“三公”经费支出决算表</w:t>
      </w:r>
    </w:p>
    <w:p w14:paraId="6551202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rFonts w:hint="eastAsia"/>
          <w:shd w:val="clear" w:fill="FFFFFF"/>
          <w:lang w:eastAsia="zh-CN"/>
        </w:rPr>
        <w:t>（</w:t>
      </w:r>
      <w:r>
        <w:rPr>
          <w:shd w:val="clear" w:fill="FFFFFF"/>
        </w:rPr>
        <w:t>注：请部门根据实际注明页码</w:t>
      </w:r>
      <w:r>
        <w:rPr>
          <w:rFonts w:hint="eastAsia"/>
          <w:shd w:val="clear" w:fill="FFFFFF"/>
          <w:lang w:eastAsia="zh-CN"/>
        </w:rPr>
        <w:t>）</w:t>
      </w:r>
    </w:p>
    <w:p w14:paraId="0E8F50BF">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5118CCA1">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4AAE55C3">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7192CF06">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7DB6B6B9">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rPr>
          <w:shd w:val="clear" w:fill="FFFFFF"/>
        </w:rPr>
      </w:pPr>
    </w:p>
    <w:p w14:paraId="68788DE2">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pPr>
      <w:r>
        <w:rPr>
          <w:shd w:val="clear" w:fill="FFFFFF"/>
        </w:rPr>
        <w:t>第一部分 部门概况</w:t>
      </w:r>
    </w:p>
    <w:p w14:paraId="0887CE4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pPr>
      <w:r>
        <w:rPr>
          <w:shd w:val="clear" w:fill="FFFFFF"/>
        </w:rPr>
        <w:t>一、基本职能及主要工作</w:t>
      </w:r>
    </w:p>
    <w:p w14:paraId="75671A3B">
      <w:pPr>
        <w:keepNext w:val="0"/>
        <w:keepLines w:val="0"/>
        <w:pageBreakBefore w:val="0"/>
        <w:widowControl w:val="0"/>
        <w:kinsoku/>
        <w:wordWrap/>
        <w:overflowPunct/>
        <w:topLinePunct w:val="0"/>
        <w:autoSpaceDE/>
        <w:autoSpaceDN/>
        <w:bidi w:val="0"/>
        <w:adjustRightInd/>
        <w:snapToGrid/>
        <w:spacing w:afterAutospacing="0" w:line="600" w:lineRule="exact"/>
        <w:ind w:left="0" w:firstLine="643" w:firstLineChars="200"/>
        <w:textAlignment w:val="auto"/>
        <w:outlineLvl w:val="2"/>
        <w:rPr>
          <w:rFonts w:ascii="仿宋" w:hAnsi="仿宋" w:eastAsia="仿宋"/>
          <w:b/>
          <w:color w:val="000000"/>
          <w:sz w:val="32"/>
          <w:szCs w:val="32"/>
        </w:rPr>
      </w:pPr>
      <w:r>
        <w:rPr>
          <w:rFonts w:hint="eastAsia" w:ascii="仿宋" w:hAnsi="仿宋" w:eastAsia="仿宋"/>
          <w:b/>
          <w:color w:val="000000"/>
          <w:sz w:val="32"/>
          <w:szCs w:val="32"/>
          <w:lang w:eastAsia="zh-CN"/>
        </w:rPr>
        <w:t>（</w:t>
      </w:r>
      <w:r>
        <w:rPr>
          <w:rFonts w:hint="eastAsia" w:ascii="仿宋" w:hAnsi="仿宋" w:eastAsia="仿宋"/>
          <w:b/>
          <w:color w:val="000000"/>
          <w:sz w:val="32"/>
          <w:szCs w:val="32"/>
        </w:rPr>
        <w:t>一</w:t>
      </w:r>
      <w:r>
        <w:rPr>
          <w:rFonts w:hint="eastAsia" w:ascii="仿宋" w:hAnsi="仿宋" w:eastAsia="仿宋"/>
          <w:b/>
          <w:color w:val="000000"/>
          <w:sz w:val="32"/>
          <w:szCs w:val="32"/>
          <w:lang w:eastAsia="zh-CN"/>
        </w:rPr>
        <w:t>）</w:t>
      </w:r>
      <w:r>
        <w:rPr>
          <w:rFonts w:hint="eastAsia" w:ascii="仿宋" w:hAnsi="仿宋" w:eastAsia="仿宋"/>
          <w:b/>
          <w:color w:val="000000"/>
          <w:sz w:val="32"/>
          <w:szCs w:val="32"/>
        </w:rPr>
        <w:t>主要职能</w:t>
      </w:r>
    </w:p>
    <w:p w14:paraId="6AF0DF11">
      <w:pPr>
        <w:keepNext w:val="0"/>
        <w:keepLines w:val="0"/>
        <w:pageBreakBefore w:val="0"/>
        <w:widowControl w:val="0"/>
        <w:kinsoku/>
        <w:wordWrap/>
        <w:overflowPunct/>
        <w:topLinePunct w:val="0"/>
        <w:autoSpaceDE/>
        <w:autoSpaceDN/>
        <w:bidi w:val="0"/>
        <w:adjustRightInd/>
        <w:snapToGrid/>
        <w:spacing w:afterAutospacing="0"/>
        <w:ind w:left="0"/>
        <w:textAlignment w:val="auto"/>
        <w:rPr>
          <w:rFonts w:ascii="仿宋" w:hAnsi="仿宋" w:eastAsia="仿宋"/>
          <w:color w:val="000000"/>
          <w:sz w:val="32"/>
          <w:szCs w:val="32"/>
        </w:rPr>
      </w:pPr>
      <w:r>
        <w:rPr>
          <w:rFonts w:ascii="仿宋" w:hAnsi="仿宋" w:eastAsia="仿宋"/>
          <w:color w:val="000000"/>
          <w:sz w:val="32"/>
          <w:szCs w:val="32"/>
        </w:rPr>
        <w:tab/>
      </w:r>
      <w:r>
        <w:rPr>
          <w:rFonts w:ascii="仿宋" w:hAnsi="仿宋" w:eastAsia="仿宋"/>
          <w:color w:val="000000"/>
          <w:sz w:val="32"/>
          <w:szCs w:val="32"/>
        </w:rPr>
        <w:t>一、党委工作职责：</w:t>
      </w:r>
    </w:p>
    <w:p w14:paraId="0EAE8EBC">
      <w:pPr>
        <w:keepNext w:val="0"/>
        <w:keepLines w:val="0"/>
        <w:pageBreakBefore w:val="0"/>
        <w:widowControl w:val="0"/>
        <w:kinsoku/>
        <w:wordWrap/>
        <w:overflowPunct/>
        <w:topLinePunct w:val="0"/>
        <w:autoSpaceDE/>
        <w:autoSpaceDN/>
        <w:bidi w:val="0"/>
        <w:adjustRightInd/>
        <w:snapToGrid/>
        <w:spacing w:afterAutospacing="0"/>
        <w:ind w:left="0"/>
        <w:textAlignment w:val="auto"/>
        <w:rPr>
          <w:rFonts w:ascii="仿宋" w:hAnsi="仿宋" w:eastAsia="仿宋"/>
          <w:color w:val="000000"/>
          <w:sz w:val="32"/>
          <w:szCs w:val="32"/>
        </w:rPr>
      </w:pPr>
      <w:r>
        <w:rPr>
          <w:rFonts w:ascii="仿宋" w:hAnsi="仿宋" w:eastAsia="仿宋"/>
          <w:color w:val="000000"/>
          <w:sz w:val="32"/>
          <w:szCs w:val="32"/>
        </w:rPr>
        <w:t>（1）保证党的路线、方针、</w:t>
      </w:r>
      <w:r>
        <w:rPr>
          <w:rFonts w:hint="eastAsia" w:ascii="仿宋" w:hAnsi="仿宋" w:eastAsia="仿宋"/>
          <w:color w:val="000000"/>
          <w:sz w:val="32"/>
          <w:szCs w:val="32"/>
          <w:lang w:eastAsia="zh-CN"/>
        </w:rPr>
        <w:t>政策</w:t>
      </w:r>
      <w:r>
        <w:rPr>
          <w:rFonts w:ascii="仿宋" w:hAnsi="仿宋" w:eastAsia="仿宋"/>
          <w:color w:val="000000"/>
          <w:sz w:val="32"/>
          <w:szCs w:val="32"/>
        </w:rPr>
        <w:t>坚决贯彻执行。</w:t>
      </w:r>
    </w:p>
    <w:p w14:paraId="2E153F15">
      <w:pPr>
        <w:keepNext w:val="0"/>
        <w:keepLines w:val="0"/>
        <w:pageBreakBefore w:val="0"/>
        <w:widowControl w:val="0"/>
        <w:kinsoku/>
        <w:wordWrap/>
        <w:overflowPunct/>
        <w:topLinePunct w:val="0"/>
        <w:autoSpaceDE/>
        <w:autoSpaceDN/>
        <w:bidi w:val="0"/>
        <w:adjustRightInd/>
        <w:snapToGrid/>
        <w:spacing w:afterAutospacing="0"/>
        <w:ind w:left="0"/>
        <w:textAlignment w:val="auto"/>
        <w:rPr>
          <w:rFonts w:ascii="仿宋" w:hAnsi="仿宋" w:eastAsia="仿宋"/>
          <w:color w:val="000000"/>
          <w:sz w:val="32"/>
          <w:szCs w:val="32"/>
        </w:rPr>
      </w:pPr>
      <w:r>
        <w:rPr>
          <w:rFonts w:ascii="仿宋" w:hAnsi="仿宋" w:eastAsia="仿宋"/>
          <w:color w:val="000000"/>
          <w:sz w:val="32"/>
          <w:szCs w:val="32"/>
        </w:rPr>
        <w:t>（2）保证监督职能。</w:t>
      </w:r>
    </w:p>
    <w:p w14:paraId="78BF84E2">
      <w:pPr>
        <w:keepNext w:val="0"/>
        <w:keepLines w:val="0"/>
        <w:pageBreakBefore w:val="0"/>
        <w:widowControl w:val="0"/>
        <w:kinsoku/>
        <w:wordWrap/>
        <w:overflowPunct/>
        <w:topLinePunct w:val="0"/>
        <w:autoSpaceDE/>
        <w:autoSpaceDN/>
        <w:bidi w:val="0"/>
        <w:adjustRightInd/>
        <w:snapToGrid/>
        <w:spacing w:afterAutospacing="0"/>
        <w:ind w:left="0"/>
        <w:textAlignment w:val="auto"/>
        <w:rPr>
          <w:rFonts w:ascii="仿宋" w:hAnsi="仿宋" w:eastAsia="仿宋"/>
          <w:color w:val="000000"/>
          <w:sz w:val="32"/>
          <w:szCs w:val="32"/>
        </w:rPr>
      </w:pPr>
      <w:r>
        <w:rPr>
          <w:rFonts w:ascii="仿宋" w:hAnsi="仿宋" w:eastAsia="仿宋"/>
          <w:color w:val="000000"/>
          <w:sz w:val="32"/>
          <w:szCs w:val="32"/>
        </w:rPr>
        <w:t>（3）教育和管理职能。</w:t>
      </w:r>
    </w:p>
    <w:p w14:paraId="03FE2BDB">
      <w:pPr>
        <w:keepNext w:val="0"/>
        <w:keepLines w:val="0"/>
        <w:pageBreakBefore w:val="0"/>
        <w:widowControl w:val="0"/>
        <w:kinsoku/>
        <w:wordWrap/>
        <w:overflowPunct/>
        <w:topLinePunct w:val="0"/>
        <w:autoSpaceDE/>
        <w:autoSpaceDN/>
        <w:bidi w:val="0"/>
        <w:adjustRightInd/>
        <w:snapToGrid/>
        <w:spacing w:afterAutospacing="0"/>
        <w:ind w:left="0"/>
        <w:textAlignment w:val="auto"/>
        <w:rPr>
          <w:rFonts w:ascii="仿宋" w:hAnsi="仿宋" w:eastAsia="仿宋"/>
          <w:color w:val="000000"/>
          <w:sz w:val="32"/>
          <w:szCs w:val="32"/>
        </w:rPr>
      </w:pPr>
      <w:r>
        <w:rPr>
          <w:rFonts w:ascii="仿宋" w:hAnsi="仿宋" w:eastAsia="仿宋"/>
          <w:color w:val="000000"/>
          <w:sz w:val="32"/>
          <w:szCs w:val="32"/>
        </w:rPr>
        <w:t>（4）服从和服务于经济建设的职能。</w:t>
      </w:r>
    </w:p>
    <w:p w14:paraId="3B236E12">
      <w:pPr>
        <w:keepNext w:val="0"/>
        <w:keepLines w:val="0"/>
        <w:pageBreakBefore w:val="0"/>
        <w:widowControl w:val="0"/>
        <w:kinsoku/>
        <w:wordWrap/>
        <w:overflowPunct/>
        <w:topLinePunct w:val="0"/>
        <w:autoSpaceDE/>
        <w:autoSpaceDN/>
        <w:bidi w:val="0"/>
        <w:adjustRightInd/>
        <w:snapToGrid/>
        <w:spacing w:afterAutospacing="0"/>
        <w:ind w:left="0"/>
        <w:textAlignment w:val="auto"/>
        <w:rPr>
          <w:rFonts w:ascii="仿宋" w:hAnsi="仿宋" w:eastAsia="仿宋"/>
          <w:color w:val="000000"/>
          <w:sz w:val="32"/>
          <w:szCs w:val="32"/>
        </w:rPr>
      </w:pPr>
      <w:r>
        <w:rPr>
          <w:rFonts w:ascii="仿宋" w:hAnsi="仿宋" w:eastAsia="仿宋"/>
          <w:color w:val="000000"/>
          <w:sz w:val="32"/>
          <w:szCs w:val="32"/>
        </w:rPr>
        <w:t>（5）负责抓好本</w:t>
      </w:r>
      <w:r>
        <w:rPr>
          <w:rFonts w:hint="eastAsia" w:ascii="仿宋" w:hAnsi="仿宋" w:eastAsia="仿宋"/>
          <w:color w:val="000000"/>
          <w:sz w:val="32"/>
          <w:szCs w:val="32"/>
          <w:lang w:val="en-US" w:eastAsia="zh-CN"/>
        </w:rPr>
        <w:t>镇</w:t>
      </w:r>
      <w:r>
        <w:rPr>
          <w:rFonts w:ascii="仿宋" w:hAnsi="仿宋" w:eastAsia="仿宋"/>
          <w:color w:val="000000"/>
          <w:sz w:val="32"/>
          <w:szCs w:val="32"/>
        </w:rPr>
        <w:t>党建工作、群团工作、精神文明建设工作、新闻宣传工作。</w:t>
      </w:r>
    </w:p>
    <w:p w14:paraId="1EFA9BD7">
      <w:pPr>
        <w:keepNext w:val="0"/>
        <w:keepLines w:val="0"/>
        <w:pageBreakBefore w:val="0"/>
        <w:widowControl w:val="0"/>
        <w:kinsoku/>
        <w:wordWrap/>
        <w:overflowPunct/>
        <w:topLinePunct w:val="0"/>
        <w:autoSpaceDE/>
        <w:autoSpaceDN/>
        <w:bidi w:val="0"/>
        <w:adjustRightInd/>
        <w:snapToGrid/>
        <w:spacing w:afterAutospacing="0"/>
        <w:ind w:left="0"/>
        <w:textAlignment w:val="auto"/>
        <w:rPr>
          <w:rFonts w:ascii="仿宋" w:hAnsi="仿宋" w:eastAsia="仿宋"/>
          <w:color w:val="000000"/>
          <w:sz w:val="32"/>
          <w:szCs w:val="32"/>
        </w:rPr>
      </w:pPr>
      <w:r>
        <w:rPr>
          <w:rFonts w:ascii="仿宋" w:hAnsi="仿宋" w:eastAsia="仿宋"/>
          <w:color w:val="000000"/>
          <w:sz w:val="32"/>
          <w:szCs w:val="32"/>
        </w:rPr>
        <w:t>（6）完成县委、县政府交给的其他工作任务。</w:t>
      </w:r>
    </w:p>
    <w:p w14:paraId="12677B01">
      <w:pPr>
        <w:keepNext w:val="0"/>
        <w:keepLines w:val="0"/>
        <w:pageBreakBefore w:val="0"/>
        <w:widowControl w:val="0"/>
        <w:kinsoku/>
        <w:wordWrap/>
        <w:overflowPunct/>
        <w:topLinePunct w:val="0"/>
        <w:autoSpaceDE/>
        <w:autoSpaceDN/>
        <w:bidi w:val="0"/>
        <w:adjustRightInd/>
        <w:snapToGrid/>
        <w:spacing w:afterAutospacing="0"/>
        <w:ind w:left="0" w:firstLine="640" w:firstLineChars="200"/>
        <w:textAlignment w:val="auto"/>
        <w:rPr>
          <w:rFonts w:ascii="仿宋" w:hAnsi="仿宋" w:eastAsia="仿宋"/>
          <w:color w:val="000000"/>
          <w:sz w:val="32"/>
          <w:szCs w:val="32"/>
        </w:rPr>
      </w:pPr>
      <w:r>
        <w:rPr>
          <w:rFonts w:ascii="仿宋" w:hAnsi="仿宋" w:eastAsia="仿宋"/>
          <w:color w:val="000000"/>
          <w:sz w:val="32"/>
          <w:szCs w:val="32"/>
        </w:rPr>
        <w:t>二、政府职能：</w:t>
      </w:r>
    </w:p>
    <w:p w14:paraId="67494512">
      <w:pPr>
        <w:keepNext w:val="0"/>
        <w:keepLines w:val="0"/>
        <w:pageBreakBefore w:val="0"/>
        <w:widowControl w:val="0"/>
        <w:kinsoku/>
        <w:wordWrap/>
        <w:overflowPunct/>
        <w:topLinePunct w:val="0"/>
        <w:autoSpaceDE/>
        <w:autoSpaceDN/>
        <w:bidi w:val="0"/>
        <w:adjustRightInd/>
        <w:snapToGrid/>
        <w:spacing w:afterAutospacing="0"/>
        <w:ind w:firstLine="640" w:firstLineChars="200"/>
        <w:textAlignment w:val="auto"/>
        <w:rPr>
          <w:rFonts w:ascii="仿宋" w:hAnsi="仿宋" w:eastAsia="仿宋"/>
          <w:color w:val="000000"/>
          <w:sz w:val="32"/>
          <w:szCs w:val="32"/>
        </w:rPr>
      </w:pPr>
      <w:r>
        <w:rPr>
          <w:rFonts w:ascii="仿宋" w:hAnsi="仿宋" w:eastAsia="仿宋"/>
          <w:color w:val="000000"/>
          <w:sz w:val="32"/>
          <w:szCs w:val="32"/>
        </w:rPr>
        <w:t>（1）制定和组织实施经济、科技和社会发展计划，制定资源开发技术改造和产业结构调整方案，组织指导好各业生产，搞好商品流通，协调好本</w:t>
      </w:r>
      <w:r>
        <w:rPr>
          <w:rFonts w:hint="eastAsia" w:ascii="仿宋" w:hAnsi="仿宋" w:eastAsia="仿宋"/>
          <w:color w:val="000000"/>
          <w:sz w:val="32"/>
          <w:szCs w:val="32"/>
          <w:lang w:val="en-US" w:eastAsia="zh-CN"/>
        </w:rPr>
        <w:t>镇</w:t>
      </w:r>
      <w:r>
        <w:rPr>
          <w:rFonts w:ascii="仿宋" w:hAnsi="仿宋" w:eastAsia="仿宋"/>
          <w:color w:val="000000"/>
          <w:sz w:val="32"/>
          <w:szCs w:val="32"/>
        </w:rPr>
        <w:t>与外地区的经济交流与合作，抓好招商引资，人才引进项目开发，不断培育市场体系，组织经济运行，促进经济发展。</w:t>
      </w:r>
    </w:p>
    <w:p w14:paraId="31227495">
      <w:pPr>
        <w:keepNext w:val="0"/>
        <w:keepLines w:val="0"/>
        <w:pageBreakBefore w:val="0"/>
        <w:widowControl w:val="0"/>
        <w:kinsoku/>
        <w:wordWrap/>
        <w:overflowPunct/>
        <w:topLinePunct w:val="0"/>
        <w:autoSpaceDE/>
        <w:autoSpaceDN/>
        <w:bidi w:val="0"/>
        <w:adjustRightInd/>
        <w:snapToGrid/>
        <w:spacing w:afterAutospacing="0"/>
        <w:ind w:left="0" w:firstLine="640" w:firstLineChars="200"/>
        <w:textAlignment w:val="auto"/>
        <w:rPr>
          <w:rFonts w:ascii="仿宋" w:hAnsi="仿宋" w:eastAsia="仿宋"/>
          <w:color w:val="000000"/>
          <w:sz w:val="32"/>
          <w:szCs w:val="32"/>
        </w:rPr>
      </w:pPr>
      <w:r>
        <w:rPr>
          <w:rFonts w:ascii="仿宋" w:hAnsi="仿宋" w:eastAsia="仿宋"/>
          <w:color w:val="000000"/>
          <w:sz w:val="32"/>
          <w:szCs w:val="32"/>
        </w:rPr>
        <w:t>（2）制定并组织实施村</w:t>
      </w:r>
      <w:r>
        <w:rPr>
          <w:rFonts w:hint="eastAsia" w:ascii="仿宋" w:hAnsi="仿宋" w:eastAsia="仿宋"/>
          <w:color w:val="000000"/>
          <w:sz w:val="32"/>
          <w:szCs w:val="32"/>
          <w:lang w:val="en-US" w:eastAsia="zh-CN"/>
        </w:rPr>
        <w:t>镇</w:t>
      </w:r>
      <w:r>
        <w:rPr>
          <w:rFonts w:ascii="仿宋" w:hAnsi="仿宋" w:eastAsia="仿宋"/>
          <w:color w:val="000000"/>
          <w:sz w:val="32"/>
          <w:szCs w:val="32"/>
        </w:rPr>
        <w:t>建设规划，部署重点工程建设，地方道路建设及公共设施，水利设施的管理，负责土地、林木、水等自然资源和生态环境的保护，做好护林防火工作。</w:t>
      </w:r>
    </w:p>
    <w:p w14:paraId="131ABEDC">
      <w:pPr>
        <w:keepNext w:val="0"/>
        <w:keepLines w:val="0"/>
        <w:pageBreakBefore w:val="0"/>
        <w:widowControl w:val="0"/>
        <w:kinsoku/>
        <w:wordWrap/>
        <w:overflowPunct/>
        <w:topLinePunct w:val="0"/>
        <w:autoSpaceDE/>
        <w:autoSpaceDN/>
        <w:bidi w:val="0"/>
        <w:adjustRightInd/>
        <w:snapToGrid/>
        <w:spacing w:afterAutospacing="0"/>
        <w:ind w:left="0" w:firstLine="640" w:firstLineChars="200"/>
        <w:textAlignment w:val="auto"/>
        <w:rPr>
          <w:rFonts w:ascii="仿宋" w:hAnsi="仿宋" w:eastAsia="仿宋"/>
          <w:color w:val="000000"/>
          <w:sz w:val="32"/>
          <w:szCs w:val="32"/>
        </w:rPr>
      </w:pPr>
      <w:r>
        <w:rPr>
          <w:rFonts w:ascii="仿宋" w:hAnsi="仿宋" w:eastAsia="仿宋"/>
          <w:color w:val="000000"/>
          <w:sz w:val="32"/>
          <w:szCs w:val="32"/>
        </w:rPr>
        <w:t>（3）负责本行政区域内的民政、计划生育、文化教育、卫生、体育等社会公益事业的综合性工作，维护一切经济单位和个人的正当经济权益，取缔非法经济活动，调解和处理民事纠纷，打击刑事犯罪维护社会稳定。</w:t>
      </w:r>
    </w:p>
    <w:p w14:paraId="13261EEB">
      <w:pPr>
        <w:keepNext w:val="0"/>
        <w:keepLines w:val="0"/>
        <w:pageBreakBefore w:val="0"/>
        <w:widowControl w:val="0"/>
        <w:kinsoku/>
        <w:wordWrap/>
        <w:overflowPunct/>
        <w:topLinePunct w:val="0"/>
        <w:autoSpaceDE/>
        <w:autoSpaceDN/>
        <w:bidi w:val="0"/>
        <w:adjustRightInd/>
        <w:snapToGrid/>
        <w:spacing w:afterAutospacing="0"/>
        <w:ind w:left="0" w:firstLine="640" w:firstLineChars="200"/>
        <w:textAlignment w:val="auto"/>
        <w:rPr>
          <w:rFonts w:ascii="仿宋" w:hAnsi="仿宋" w:eastAsia="仿宋"/>
          <w:color w:val="000000"/>
          <w:sz w:val="32"/>
          <w:szCs w:val="32"/>
        </w:rPr>
      </w:pPr>
      <w:r>
        <w:rPr>
          <w:rFonts w:ascii="仿宋" w:hAnsi="仿宋" w:eastAsia="仿宋"/>
          <w:color w:val="000000"/>
          <w:sz w:val="32"/>
          <w:szCs w:val="32"/>
        </w:rPr>
        <w:t>（4）按计划组织本级财政收入和地方税的征收，完成国家财政计划，不断培植税源，管好财政资金，增强财政实力。</w:t>
      </w:r>
    </w:p>
    <w:p w14:paraId="7B253529">
      <w:pPr>
        <w:keepNext w:val="0"/>
        <w:keepLines w:val="0"/>
        <w:pageBreakBefore w:val="0"/>
        <w:widowControl w:val="0"/>
        <w:kinsoku/>
        <w:wordWrap/>
        <w:overflowPunct/>
        <w:topLinePunct w:val="0"/>
        <w:autoSpaceDE/>
        <w:autoSpaceDN/>
        <w:bidi w:val="0"/>
        <w:adjustRightInd/>
        <w:snapToGrid/>
        <w:spacing w:afterAutospacing="0"/>
        <w:ind w:left="0" w:firstLine="640" w:firstLineChars="200"/>
        <w:textAlignment w:val="auto"/>
        <w:rPr>
          <w:rFonts w:ascii="仿宋" w:hAnsi="仿宋" w:eastAsia="仿宋"/>
          <w:color w:val="000000"/>
          <w:sz w:val="32"/>
          <w:szCs w:val="32"/>
        </w:rPr>
      </w:pPr>
      <w:r>
        <w:rPr>
          <w:rFonts w:ascii="仿宋" w:hAnsi="仿宋" w:eastAsia="仿宋"/>
          <w:color w:val="000000"/>
          <w:sz w:val="32"/>
          <w:szCs w:val="32"/>
        </w:rPr>
        <w:t>（5）抓好精神文明建设，丰富群众文化生活，提倡移风易俗，反对封建迷信，破除陈规陋习，树立社会主义新风尚。</w:t>
      </w:r>
    </w:p>
    <w:p w14:paraId="31299C02">
      <w:pPr>
        <w:keepNext w:val="0"/>
        <w:keepLines w:val="0"/>
        <w:pageBreakBefore w:val="0"/>
        <w:widowControl w:val="0"/>
        <w:kinsoku/>
        <w:wordWrap/>
        <w:overflowPunct/>
        <w:topLinePunct w:val="0"/>
        <w:autoSpaceDE/>
        <w:autoSpaceDN/>
        <w:bidi w:val="0"/>
        <w:adjustRightInd/>
        <w:snapToGrid/>
        <w:spacing w:afterAutospacing="0"/>
        <w:ind w:left="0" w:firstLine="640" w:firstLineChars="200"/>
        <w:textAlignment w:val="auto"/>
      </w:pPr>
      <w:r>
        <w:rPr>
          <w:rFonts w:ascii="仿宋" w:hAnsi="仿宋" w:eastAsia="仿宋"/>
          <w:color w:val="000000"/>
          <w:sz w:val="32"/>
          <w:szCs w:val="32"/>
        </w:rPr>
        <w:t>（6）完成上级政府交办的</w:t>
      </w:r>
      <w:r>
        <w:rPr>
          <w:rFonts w:hint="eastAsia" w:ascii="仿宋" w:hAnsi="仿宋" w:eastAsia="仿宋"/>
          <w:color w:val="000000"/>
          <w:sz w:val="32"/>
          <w:szCs w:val="32"/>
          <w:lang w:eastAsia="zh-CN"/>
        </w:rPr>
        <w:t>其他事项</w:t>
      </w:r>
      <w:r>
        <w:rPr>
          <w:rFonts w:ascii="仿宋" w:hAnsi="仿宋" w:eastAsia="仿宋"/>
          <w:color w:val="000000"/>
          <w:sz w:val="32"/>
          <w:szCs w:val="32"/>
        </w:rPr>
        <w:t>。</w:t>
      </w:r>
    </w:p>
    <w:p w14:paraId="7C3A59F1">
      <w:pPr>
        <w:keepNext w:val="0"/>
        <w:keepLines w:val="0"/>
        <w:pageBreakBefore w:val="0"/>
        <w:widowControl w:val="0"/>
        <w:kinsoku/>
        <w:wordWrap/>
        <w:overflowPunct/>
        <w:topLinePunct w:val="0"/>
        <w:autoSpaceDE/>
        <w:autoSpaceDN/>
        <w:bidi w:val="0"/>
        <w:adjustRightInd/>
        <w:snapToGrid/>
        <w:spacing w:afterAutospacing="0" w:line="600" w:lineRule="exact"/>
        <w:ind w:left="0" w:firstLine="643" w:firstLineChars="200"/>
        <w:textAlignment w:val="auto"/>
        <w:outlineLvl w:val="2"/>
        <w:rPr>
          <w:rFonts w:ascii="仿宋" w:hAnsi="仿宋" w:eastAsia="仿宋"/>
          <w:b/>
          <w:color w:val="000000"/>
          <w:sz w:val="32"/>
          <w:szCs w:val="32"/>
        </w:rPr>
      </w:pPr>
      <w:bookmarkStart w:id="0" w:name="_Toc15378446"/>
      <w:bookmarkStart w:id="1" w:name="_Toc15377199"/>
      <w:r>
        <w:rPr>
          <w:rFonts w:hint="eastAsia" w:ascii="仿宋" w:hAnsi="仿宋" w:eastAsia="仿宋"/>
          <w:b/>
          <w:color w:val="000000"/>
          <w:sz w:val="32"/>
          <w:szCs w:val="32"/>
        </w:rPr>
        <w:t>（二）</w:t>
      </w:r>
      <w:r>
        <w:rPr>
          <w:rFonts w:hint="eastAsia" w:ascii="仿宋" w:hAnsi="仿宋" w:eastAsia="仿宋"/>
          <w:b/>
          <w:color w:val="000000"/>
          <w:sz w:val="32"/>
          <w:szCs w:val="32"/>
          <w:lang w:eastAsia="zh-CN"/>
        </w:rPr>
        <w:t>202</w:t>
      </w:r>
      <w:r>
        <w:rPr>
          <w:rFonts w:hint="eastAsia" w:ascii="仿宋" w:hAnsi="仿宋" w:eastAsia="仿宋"/>
          <w:b/>
          <w:color w:val="000000"/>
          <w:sz w:val="32"/>
          <w:szCs w:val="32"/>
          <w:lang w:val="en-US" w:eastAsia="zh-CN"/>
        </w:rPr>
        <w:t>5</w:t>
      </w:r>
      <w:r>
        <w:rPr>
          <w:rFonts w:hint="eastAsia" w:ascii="仿宋" w:hAnsi="仿宋" w:eastAsia="仿宋"/>
          <w:b/>
          <w:color w:val="000000"/>
          <w:sz w:val="32"/>
          <w:szCs w:val="32"/>
        </w:rPr>
        <w:t>重点工作完成情况</w:t>
      </w:r>
      <w:bookmarkEnd w:id="0"/>
      <w:bookmarkEnd w:id="1"/>
    </w:p>
    <w:p w14:paraId="75107EF5">
      <w:pPr>
        <w:keepNext w:val="0"/>
        <w:keepLines w:val="0"/>
        <w:pageBreakBefore w:val="0"/>
        <w:widowControl w:val="0"/>
        <w:kinsoku/>
        <w:wordWrap/>
        <w:overflowPunct/>
        <w:topLinePunct w:val="0"/>
        <w:autoSpaceDE/>
        <w:autoSpaceDN/>
        <w:bidi w:val="0"/>
        <w:adjustRightInd/>
        <w:snapToGrid/>
        <w:spacing w:afterAutospacing="0"/>
        <w:ind w:left="0"/>
        <w:textAlignment w:val="auto"/>
        <w:rPr>
          <w:rFonts w:hint="default" w:eastAsia="仿宋"/>
          <w:shd w:val="clear" w:fill="FFFFFF"/>
          <w:lang w:val="en-US" w:eastAsia="zh-CN"/>
        </w:rPr>
      </w:pPr>
      <w:r>
        <w:rPr>
          <w:rFonts w:ascii="仿宋" w:hAnsi="仿宋" w:eastAsia="仿宋"/>
          <w:color w:val="000000"/>
          <w:sz w:val="32"/>
          <w:szCs w:val="32"/>
        </w:rPr>
        <w:tab/>
      </w:r>
      <w:r>
        <w:rPr>
          <w:rFonts w:ascii="仿宋" w:hAnsi="仿宋" w:eastAsia="仿宋"/>
          <w:color w:val="000000"/>
          <w:sz w:val="32"/>
          <w:szCs w:val="32"/>
        </w:rPr>
        <w:t>完成了三月敏感期维稳工作；完成了上级安排的</w:t>
      </w:r>
      <w:r>
        <w:rPr>
          <w:rFonts w:hint="eastAsia" w:ascii="仿宋" w:hAnsi="仿宋" w:eastAsia="仿宋"/>
          <w:color w:val="000000"/>
          <w:sz w:val="32"/>
          <w:szCs w:val="32"/>
          <w:lang w:eastAsia="zh-CN"/>
        </w:rPr>
        <w:t>党委、政府</w:t>
      </w:r>
      <w:r>
        <w:rPr>
          <w:rFonts w:ascii="仿宋" w:hAnsi="仿宋" w:eastAsia="仿宋"/>
          <w:color w:val="000000"/>
          <w:sz w:val="32"/>
          <w:szCs w:val="32"/>
        </w:rPr>
        <w:t>主要工作；完成了</w:t>
      </w:r>
      <w:r>
        <w:rPr>
          <w:rFonts w:hint="eastAsia" w:ascii="仿宋" w:hAnsi="仿宋" w:eastAsia="仿宋"/>
          <w:color w:val="000000"/>
          <w:sz w:val="32"/>
          <w:szCs w:val="32"/>
          <w:lang w:val="en-US" w:eastAsia="zh-CN"/>
        </w:rPr>
        <w:t>控辍保学</w:t>
      </w:r>
      <w:r>
        <w:rPr>
          <w:rFonts w:ascii="仿宋" w:hAnsi="仿宋" w:eastAsia="仿宋"/>
          <w:color w:val="000000"/>
          <w:sz w:val="32"/>
          <w:szCs w:val="32"/>
        </w:rPr>
        <w:t>工作；</w:t>
      </w:r>
      <w:r>
        <w:rPr>
          <w:rFonts w:hint="eastAsia" w:ascii="仿宋" w:hAnsi="仿宋" w:eastAsia="仿宋"/>
          <w:color w:val="000000"/>
          <w:sz w:val="32"/>
          <w:szCs w:val="32"/>
          <w:lang w:val="en-US" w:eastAsia="zh-CN"/>
        </w:rPr>
        <w:t>完成了库区蓄水项目。</w:t>
      </w:r>
    </w:p>
    <w:p w14:paraId="56A299A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723" w:firstLineChars="200"/>
        <w:jc w:val="left"/>
        <w:textAlignment w:val="auto"/>
      </w:pPr>
      <w:r>
        <w:rPr>
          <w:shd w:val="clear" w:fill="FFFFFF"/>
        </w:rPr>
        <w:t>二、机构设置</w:t>
      </w:r>
    </w:p>
    <w:p w14:paraId="0B52086F">
      <w:pPr>
        <w:pStyle w:val="16"/>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firstLine="640" w:firstLineChars="200"/>
        <w:textAlignment w:val="auto"/>
        <w:rPr>
          <w:rFonts w:hint="eastAsia"/>
          <w:shd w:val="clear" w:fill="FFFFFF"/>
          <w:lang w:val="en-US" w:eastAsia="zh-CN"/>
        </w:rPr>
      </w:pPr>
      <w:r>
        <w:rPr>
          <w:rFonts w:hint="eastAsia" w:ascii="仿宋_GB2312" w:hAnsi="仿宋_GB2312" w:eastAsia="仿宋_GB2312" w:cs="仿宋_GB2312"/>
          <w:color w:val="000000"/>
          <w:sz w:val="32"/>
          <w:szCs w:val="32"/>
        </w:rPr>
        <w:t>松潘县毛儿盖镇人民政府属一级预算单位，独立编制机构数1个，独立核算机构数1个，行政内设5个。</w:t>
      </w:r>
      <w:r>
        <w:rPr>
          <w:rFonts w:hint="eastAsia" w:ascii="仿宋_GB2312" w:hAnsi="仿宋_GB2312" w:eastAsia="仿宋_GB2312" w:cs="仿宋_GB2312"/>
          <w:color w:val="000000"/>
          <w:sz w:val="32"/>
          <w:szCs w:val="32"/>
          <w:lang w:val="zh-CN"/>
        </w:rPr>
        <w:t>我镇总编制</w:t>
      </w:r>
      <w:r>
        <w:rPr>
          <w:rFonts w:hint="eastAsia"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lang w:val="zh-CN"/>
        </w:rPr>
        <w:t>名，其中：行政编制</w:t>
      </w: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lang w:val="zh-CN"/>
        </w:rPr>
        <w:t>名；事业编制</w:t>
      </w: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lang w:val="zh-CN"/>
        </w:rPr>
        <w:t>名。在职人员总数</w:t>
      </w:r>
      <w:r>
        <w:rPr>
          <w:rFonts w:hint="eastAsia" w:ascii="仿宋_GB2312" w:hAnsi="仿宋_GB2312" w:eastAsia="仿宋_GB2312" w:cs="仿宋_GB2312"/>
          <w:color w:val="000000"/>
          <w:sz w:val="32"/>
          <w:szCs w:val="32"/>
          <w:lang w:val="en-US" w:eastAsia="zh-CN"/>
        </w:rPr>
        <w:t>44</w:t>
      </w:r>
      <w:r>
        <w:rPr>
          <w:rFonts w:hint="eastAsia" w:ascii="仿宋_GB2312" w:hAnsi="仿宋_GB2312" w:eastAsia="仿宋_GB2312" w:cs="仿宋_GB2312"/>
          <w:color w:val="000000"/>
          <w:sz w:val="32"/>
          <w:szCs w:val="32"/>
          <w:lang w:val="zh-CN"/>
        </w:rPr>
        <w:t>人，其中：行政人员</w:t>
      </w: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lang w:val="zh-CN"/>
        </w:rPr>
        <w:t>人，其他事业人员</w:t>
      </w:r>
      <w:r>
        <w:rPr>
          <w:rFonts w:hint="eastAsia" w:ascii="仿宋_GB2312" w:hAnsi="仿宋_GB2312" w:eastAsia="仿宋_GB2312" w:cs="仿宋_GB2312"/>
          <w:color w:val="000000"/>
          <w:sz w:val="32"/>
          <w:szCs w:val="32"/>
          <w:lang w:val="en-US" w:eastAsia="zh-CN"/>
        </w:rPr>
        <w:t>20</w:t>
      </w:r>
      <w:r>
        <w:rPr>
          <w:rFonts w:hint="eastAsia" w:ascii="仿宋_GB2312" w:hAnsi="仿宋_GB2312" w:eastAsia="仿宋_GB2312" w:cs="仿宋_GB2312"/>
          <w:color w:val="000000"/>
          <w:sz w:val="32"/>
          <w:szCs w:val="32"/>
          <w:lang w:val="zh-CN"/>
        </w:rPr>
        <w:t>人，行政工勤在职</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人</w:t>
      </w:r>
      <w:r>
        <w:rPr>
          <w:rFonts w:hint="eastAsia" w:ascii="仿宋_GB2312" w:hAnsi="仿宋_GB2312" w:eastAsia="仿宋_GB2312" w:cs="仿宋_GB2312"/>
          <w:color w:val="000000"/>
          <w:sz w:val="32"/>
          <w:szCs w:val="32"/>
          <w:lang w:val="zh-CN"/>
        </w:rPr>
        <w:t>。</w:t>
      </w:r>
    </w:p>
    <w:p w14:paraId="41B1286E">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center"/>
        <w:textAlignment w:val="auto"/>
      </w:pPr>
      <w:r>
        <w:rPr>
          <w:shd w:val="clear" w:fill="FFFFFF"/>
        </w:rPr>
        <w:t xml:space="preserve">第二部分 </w:t>
      </w:r>
      <w:r>
        <w:rPr>
          <w:rFonts w:hint="eastAsia"/>
          <w:shd w:val="clear" w:fill="FFFFFF"/>
          <w:lang w:eastAsia="zh-CN"/>
        </w:rPr>
        <w:t>202</w:t>
      </w:r>
      <w:r>
        <w:rPr>
          <w:rFonts w:hint="eastAsia"/>
          <w:shd w:val="clear" w:fill="FFFFFF"/>
          <w:lang w:val="en-US" w:eastAsia="zh-CN"/>
        </w:rPr>
        <w:t>5</w:t>
      </w:r>
      <w:r>
        <w:rPr>
          <w:shd w:val="clear" w:fill="FFFFFF"/>
        </w:rPr>
        <w:t>年度部门决算情况说明</w:t>
      </w:r>
    </w:p>
    <w:p w14:paraId="393FDE4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一、收入支出决算总体情况说明</w:t>
      </w:r>
    </w:p>
    <w:p w14:paraId="1F173AE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2025</w:t>
      </w:r>
      <w:r>
        <w:rPr>
          <w:rFonts w:ascii="仿宋" w:hAnsi="仿宋" w:eastAsia="仿宋" w:cstheme="minorEastAsia"/>
          <w:color w:val="000000"/>
          <w:kern w:val="0"/>
          <w:sz w:val="32"/>
          <w:szCs w:val="32"/>
          <w:lang w:val="en-US" w:eastAsia="zh-CN" w:bidi="ar"/>
        </w:rPr>
        <w:t>年度收、支总计</w:t>
      </w:r>
      <w:r>
        <w:rPr>
          <w:rFonts w:hint="eastAsia" w:ascii="仿宋" w:hAnsi="仿宋" w:eastAsia="仿宋" w:cstheme="minorEastAsia"/>
          <w:color w:val="000000"/>
          <w:kern w:val="0"/>
          <w:sz w:val="32"/>
          <w:szCs w:val="32"/>
          <w:lang w:val="en-US" w:eastAsia="zh-CN" w:bidi="ar"/>
        </w:rPr>
        <w:t>1712.97</w:t>
      </w:r>
      <w:r>
        <w:rPr>
          <w:rFonts w:ascii="仿宋" w:hAnsi="仿宋" w:eastAsia="仿宋" w:cstheme="minorEastAsia"/>
          <w:color w:val="000000"/>
          <w:kern w:val="0"/>
          <w:sz w:val="32"/>
          <w:szCs w:val="32"/>
          <w:lang w:val="en-US" w:eastAsia="zh-CN" w:bidi="ar"/>
        </w:rPr>
        <w:t>万元。与202</w:t>
      </w:r>
      <w:r>
        <w:rPr>
          <w:rFonts w:hint="eastAsia" w:ascii="仿宋" w:hAnsi="仿宋" w:eastAsia="仿宋" w:cstheme="minorEastAsia"/>
          <w:color w:val="000000"/>
          <w:kern w:val="0"/>
          <w:sz w:val="32"/>
          <w:szCs w:val="32"/>
          <w:lang w:val="en-US" w:eastAsia="zh-CN" w:bidi="ar"/>
        </w:rPr>
        <w:t>4</w:t>
      </w:r>
      <w:r>
        <w:rPr>
          <w:rFonts w:ascii="仿宋" w:hAnsi="仿宋" w:eastAsia="仿宋" w:cstheme="minorEastAsia"/>
          <w:color w:val="000000"/>
          <w:kern w:val="0"/>
          <w:sz w:val="32"/>
          <w:szCs w:val="32"/>
          <w:lang w:val="en-US" w:eastAsia="zh-CN" w:bidi="ar"/>
        </w:rPr>
        <w:t>年相比，收、支总计各</w:t>
      </w:r>
      <w:r>
        <w:rPr>
          <w:rFonts w:hint="eastAsia" w:ascii="仿宋" w:hAnsi="仿宋" w:eastAsia="仿宋" w:cstheme="minorEastAsia"/>
          <w:color w:val="000000"/>
          <w:kern w:val="0"/>
          <w:sz w:val="32"/>
          <w:szCs w:val="32"/>
          <w:lang w:val="en-US" w:eastAsia="zh-CN" w:bidi="ar"/>
        </w:rPr>
        <w:t>减少30.02</w:t>
      </w:r>
      <w:r>
        <w:rPr>
          <w:rFonts w:ascii="仿宋" w:hAnsi="仿宋" w:eastAsia="仿宋" w:cstheme="minorEastAsia"/>
          <w:color w:val="000000"/>
          <w:kern w:val="0"/>
          <w:sz w:val="32"/>
          <w:szCs w:val="32"/>
          <w:lang w:val="en-US" w:eastAsia="zh-CN" w:bidi="ar"/>
        </w:rPr>
        <w:t>万元，</w:t>
      </w:r>
      <w:r>
        <w:rPr>
          <w:rFonts w:hint="eastAsia" w:ascii="仿宋" w:hAnsi="仿宋" w:eastAsia="仿宋" w:cstheme="minorEastAsia"/>
          <w:color w:val="000000"/>
          <w:kern w:val="0"/>
          <w:sz w:val="32"/>
          <w:szCs w:val="32"/>
          <w:lang w:val="en-US" w:eastAsia="zh-CN" w:bidi="ar"/>
        </w:rPr>
        <w:t>减少1.7</w:t>
      </w:r>
      <w:r>
        <w:rPr>
          <w:rFonts w:ascii="仿宋" w:hAnsi="仿宋" w:eastAsia="仿宋" w:cstheme="minorEastAsia"/>
          <w:color w:val="000000"/>
          <w:kern w:val="0"/>
          <w:sz w:val="32"/>
          <w:szCs w:val="32"/>
          <w:lang w:val="en-US" w:eastAsia="zh-CN" w:bidi="ar"/>
        </w:rPr>
        <w:t>%。主要变动原因是</w:t>
      </w:r>
      <w:r>
        <w:rPr>
          <w:rFonts w:hint="eastAsia" w:ascii="仿宋" w:hAnsi="仿宋" w:eastAsia="仿宋" w:cstheme="minorEastAsia"/>
          <w:color w:val="000000"/>
          <w:kern w:val="0"/>
          <w:sz w:val="32"/>
          <w:szCs w:val="32"/>
          <w:lang w:val="en-US" w:eastAsia="zh-CN" w:bidi="ar"/>
        </w:rPr>
        <w:t>人员减少。</w:t>
      </w:r>
    </w:p>
    <w:p w14:paraId="4130F11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二、收入决算情况说明</w:t>
      </w:r>
    </w:p>
    <w:p w14:paraId="04AF704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2025</w:t>
      </w:r>
      <w:r>
        <w:rPr>
          <w:rFonts w:ascii="仿宋" w:hAnsi="仿宋" w:eastAsia="仿宋" w:cstheme="minorEastAsia"/>
          <w:color w:val="000000"/>
          <w:kern w:val="0"/>
          <w:sz w:val="32"/>
          <w:szCs w:val="32"/>
          <w:lang w:val="en-US" w:eastAsia="zh-CN" w:bidi="ar"/>
        </w:rPr>
        <w:t>年本年收入合计</w:t>
      </w:r>
      <w:r>
        <w:rPr>
          <w:rFonts w:hint="eastAsia" w:ascii="仿宋" w:hAnsi="仿宋" w:eastAsia="仿宋" w:cstheme="minorEastAsia"/>
          <w:color w:val="000000"/>
          <w:kern w:val="0"/>
          <w:sz w:val="32"/>
          <w:szCs w:val="32"/>
          <w:lang w:val="en-US" w:eastAsia="zh-CN" w:bidi="ar"/>
        </w:rPr>
        <w:t>1712.97</w:t>
      </w:r>
      <w:r>
        <w:rPr>
          <w:rFonts w:ascii="仿宋" w:hAnsi="仿宋" w:eastAsia="仿宋" w:cstheme="minorEastAsia"/>
          <w:color w:val="000000"/>
          <w:kern w:val="0"/>
          <w:sz w:val="32"/>
          <w:szCs w:val="32"/>
          <w:lang w:val="en-US" w:eastAsia="zh-CN" w:bidi="ar"/>
        </w:rPr>
        <w:t>万元，其中：一般公共预算财政拨款收入</w:t>
      </w:r>
      <w:r>
        <w:rPr>
          <w:rFonts w:hint="eastAsia" w:ascii="仿宋" w:hAnsi="仿宋" w:eastAsia="仿宋" w:cstheme="minorEastAsia"/>
          <w:color w:val="000000"/>
          <w:kern w:val="0"/>
          <w:sz w:val="32"/>
          <w:szCs w:val="32"/>
          <w:lang w:val="en-US" w:eastAsia="zh-CN" w:bidi="ar"/>
        </w:rPr>
        <w:t>1711.97</w:t>
      </w:r>
      <w:r>
        <w:rPr>
          <w:rFonts w:ascii="仿宋" w:hAnsi="仿宋" w:eastAsia="仿宋" w:cstheme="minorEastAsia"/>
          <w:color w:val="000000"/>
          <w:kern w:val="0"/>
          <w:sz w:val="32"/>
          <w:szCs w:val="32"/>
          <w:lang w:val="en-US" w:eastAsia="zh-CN" w:bidi="ar"/>
        </w:rPr>
        <w:t>万元，占</w:t>
      </w:r>
      <w:r>
        <w:rPr>
          <w:rFonts w:hint="eastAsia" w:ascii="仿宋" w:hAnsi="仿宋" w:eastAsia="仿宋" w:cstheme="minorEastAsia"/>
          <w:color w:val="000000"/>
          <w:kern w:val="0"/>
          <w:sz w:val="32"/>
          <w:szCs w:val="32"/>
          <w:lang w:val="en-US" w:eastAsia="zh-CN" w:bidi="ar"/>
        </w:rPr>
        <w:t>99.999</w:t>
      </w:r>
      <w:r>
        <w:rPr>
          <w:rFonts w:ascii="仿宋" w:hAnsi="仿宋" w:eastAsia="仿宋" w:cstheme="minorEastAsia"/>
          <w:color w:val="000000"/>
          <w:kern w:val="0"/>
          <w:sz w:val="32"/>
          <w:szCs w:val="32"/>
          <w:lang w:val="en-US" w:eastAsia="zh-CN" w:bidi="ar"/>
        </w:rPr>
        <w:t>%；</w:t>
      </w:r>
      <w:r>
        <w:rPr>
          <w:rFonts w:hint="eastAsia" w:ascii="仿宋_GB2312" w:hAnsi="仿宋_GB2312" w:eastAsia="仿宋_GB2312" w:cs="仿宋_GB2312"/>
          <w:sz w:val="32"/>
          <w:szCs w:val="32"/>
          <w:shd w:val="clear" w:color="auto" w:fill="FFFFFF"/>
          <w:lang w:val="en-US" w:eastAsia="zh-CN"/>
        </w:rPr>
        <w:t>年初结转结余0万元，占0%，</w:t>
      </w:r>
      <w:r>
        <w:rPr>
          <w:rFonts w:ascii="仿宋" w:hAnsi="仿宋" w:eastAsia="仿宋" w:cstheme="minorEastAsia"/>
          <w:color w:val="000000"/>
          <w:kern w:val="0"/>
          <w:sz w:val="32"/>
          <w:szCs w:val="32"/>
          <w:lang w:val="en-US" w:eastAsia="zh-CN" w:bidi="ar"/>
        </w:rPr>
        <w:t>政府性基金预算财政拨款收入</w:t>
      </w:r>
      <w:r>
        <w:rPr>
          <w:rFonts w:hint="eastAsia" w:ascii="仿宋" w:hAnsi="仿宋" w:eastAsia="仿宋" w:cstheme="minorEastAsia"/>
          <w:color w:val="000000"/>
          <w:kern w:val="0"/>
          <w:sz w:val="32"/>
          <w:szCs w:val="32"/>
          <w:lang w:val="en-US" w:eastAsia="zh-CN" w:bidi="ar"/>
        </w:rPr>
        <w:t>0</w:t>
      </w:r>
      <w:r>
        <w:rPr>
          <w:rFonts w:ascii="仿宋" w:hAnsi="仿宋" w:eastAsia="仿宋" w:cstheme="minorEastAsia"/>
          <w:color w:val="000000"/>
          <w:kern w:val="0"/>
          <w:sz w:val="32"/>
          <w:szCs w:val="32"/>
          <w:lang w:val="en-US" w:eastAsia="zh-CN" w:bidi="ar"/>
        </w:rPr>
        <w:t>万元，占</w:t>
      </w:r>
      <w:r>
        <w:rPr>
          <w:rFonts w:hint="eastAsia" w:ascii="仿宋" w:hAnsi="仿宋" w:eastAsia="仿宋" w:cstheme="minorEastAsia"/>
          <w:color w:val="000000"/>
          <w:kern w:val="0"/>
          <w:sz w:val="32"/>
          <w:szCs w:val="32"/>
          <w:lang w:val="en-US" w:eastAsia="zh-CN" w:bidi="ar"/>
        </w:rPr>
        <w:t>0</w:t>
      </w:r>
      <w:r>
        <w:rPr>
          <w:rFonts w:ascii="仿宋" w:hAnsi="仿宋" w:eastAsia="仿宋" w:cstheme="minorEastAsia"/>
          <w:color w:val="000000"/>
          <w:kern w:val="0"/>
          <w:sz w:val="32"/>
          <w:szCs w:val="32"/>
          <w:lang w:val="en-US" w:eastAsia="zh-CN" w:bidi="ar"/>
        </w:rPr>
        <w:t>%；国有资本经营预算财政拨款收入0.00万元，占0.00%；上级补助收入0.00万元，占0.00%；事业收入0.00万元，占0.00%%；经营收入0.00万元，占0.00%%；附属单位上缴收入0.00万元，占0.00%；其他收入</w:t>
      </w:r>
      <w:r>
        <w:rPr>
          <w:rFonts w:hint="eastAsia" w:ascii="仿宋" w:hAnsi="仿宋" w:eastAsia="仿宋" w:cstheme="minorEastAsia"/>
          <w:color w:val="000000"/>
          <w:kern w:val="0"/>
          <w:sz w:val="32"/>
          <w:szCs w:val="32"/>
          <w:lang w:val="en-US" w:eastAsia="zh-CN" w:bidi="ar"/>
        </w:rPr>
        <w:t>1</w:t>
      </w:r>
      <w:r>
        <w:rPr>
          <w:rFonts w:ascii="仿宋" w:hAnsi="仿宋" w:eastAsia="仿宋" w:cstheme="minorEastAsia"/>
          <w:color w:val="000000"/>
          <w:kern w:val="0"/>
          <w:sz w:val="32"/>
          <w:szCs w:val="32"/>
          <w:lang w:val="en-US" w:eastAsia="zh-CN" w:bidi="ar"/>
        </w:rPr>
        <w:t>万元，占</w:t>
      </w:r>
      <w:r>
        <w:rPr>
          <w:rFonts w:hint="eastAsia" w:ascii="仿宋" w:hAnsi="仿宋" w:eastAsia="仿宋" w:cstheme="minorEastAsia"/>
          <w:color w:val="000000"/>
          <w:kern w:val="0"/>
          <w:sz w:val="32"/>
          <w:szCs w:val="32"/>
          <w:lang w:val="en-US" w:eastAsia="zh-CN" w:bidi="ar"/>
        </w:rPr>
        <w:t>0.001</w:t>
      </w:r>
      <w:r>
        <w:rPr>
          <w:rFonts w:ascii="仿宋" w:hAnsi="仿宋" w:eastAsia="仿宋" w:cstheme="minorEastAsia"/>
          <w:color w:val="000000"/>
          <w:kern w:val="0"/>
          <w:sz w:val="32"/>
          <w:szCs w:val="32"/>
          <w:lang w:val="en-US" w:eastAsia="zh-CN" w:bidi="ar"/>
        </w:rPr>
        <w:t>%。</w:t>
      </w:r>
    </w:p>
    <w:p w14:paraId="6CF4FBA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三、支出决算情况说明</w:t>
      </w:r>
    </w:p>
    <w:p w14:paraId="2737D8B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both"/>
        <w:textAlignment w:val="auto"/>
        <w:rPr>
          <w:rFonts w:hint="default"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2025</w:t>
      </w:r>
      <w:r>
        <w:rPr>
          <w:rFonts w:ascii="仿宋" w:hAnsi="仿宋" w:eastAsia="仿宋" w:cstheme="minorEastAsia"/>
          <w:color w:val="000000"/>
          <w:kern w:val="0"/>
          <w:sz w:val="32"/>
          <w:szCs w:val="32"/>
          <w:lang w:val="en-US" w:eastAsia="zh-CN" w:bidi="ar"/>
        </w:rPr>
        <w:t>年本年支出合计</w:t>
      </w:r>
      <w:r>
        <w:rPr>
          <w:rFonts w:hint="eastAsia" w:ascii="仿宋" w:hAnsi="仿宋" w:eastAsia="仿宋" w:cstheme="minorEastAsia"/>
          <w:color w:val="000000"/>
          <w:kern w:val="0"/>
          <w:sz w:val="32"/>
          <w:szCs w:val="32"/>
          <w:lang w:val="en-US" w:eastAsia="zh-CN" w:bidi="ar"/>
        </w:rPr>
        <w:t>1712.97</w:t>
      </w:r>
      <w:r>
        <w:rPr>
          <w:rFonts w:ascii="仿宋" w:hAnsi="仿宋" w:eastAsia="仿宋" w:cstheme="minorEastAsia"/>
          <w:color w:val="000000"/>
          <w:kern w:val="0"/>
          <w:sz w:val="32"/>
          <w:szCs w:val="32"/>
          <w:lang w:val="en-US" w:eastAsia="zh-CN" w:bidi="ar"/>
        </w:rPr>
        <w:t>万元，其中：基本支出</w:t>
      </w:r>
      <w:r>
        <w:rPr>
          <w:rFonts w:hint="eastAsia" w:ascii="仿宋" w:hAnsi="仿宋" w:eastAsia="仿宋" w:cstheme="minorEastAsia"/>
          <w:color w:val="000000"/>
          <w:kern w:val="0"/>
          <w:sz w:val="32"/>
          <w:szCs w:val="32"/>
          <w:lang w:val="en-US" w:eastAsia="zh-CN" w:bidi="ar"/>
        </w:rPr>
        <w:t>1235.92</w:t>
      </w:r>
      <w:r>
        <w:rPr>
          <w:rFonts w:ascii="仿宋" w:hAnsi="仿宋" w:eastAsia="仿宋" w:cstheme="minorEastAsia"/>
          <w:color w:val="000000"/>
          <w:kern w:val="0"/>
          <w:sz w:val="32"/>
          <w:szCs w:val="32"/>
          <w:lang w:val="en-US" w:eastAsia="zh-CN" w:bidi="ar"/>
        </w:rPr>
        <w:t>万元，占</w:t>
      </w:r>
      <w:r>
        <w:rPr>
          <w:rFonts w:hint="eastAsia" w:ascii="仿宋" w:hAnsi="仿宋" w:eastAsia="仿宋" w:cstheme="minorEastAsia"/>
          <w:color w:val="000000"/>
          <w:kern w:val="0"/>
          <w:sz w:val="32"/>
          <w:szCs w:val="32"/>
          <w:lang w:val="en-US" w:eastAsia="zh-CN" w:bidi="ar"/>
        </w:rPr>
        <w:t>72.15</w:t>
      </w:r>
      <w:r>
        <w:rPr>
          <w:rFonts w:ascii="仿宋" w:hAnsi="仿宋" w:eastAsia="仿宋" w:cstheme="minorEastAsia"/>
          <w:color w:val="000000"/>
          <w:kern w:val="0"/>
          <w:sz w:val="32"/>
          <w:szCs w:val="32"/>
          <w:lang w:val="en-US" w:eastAsia="zh-CN" w:bidi="ar"/>
        </w:rPr>
        <w:t>%；项目支出</w:t>
      </w:r>
      <w:r>
        <w:rPr>
          <w:rFonts w:hint="eastAsia" w:ascii="仿宋" w:hAnsi="仿宋" w:eastAsia="仿宋" w:cstheme="minorEastAsia"/>
          <w:color w:val="000000"/>
          <w:kern w:val="0"/>
          <w:sz w:val="32"/>
          <w:szCs w:val="32"/>
          <w:lang w:val="en-US" w:eastAsia="zh-CN" w:bidi="ar"/>
        </w:rPr>
        <w:t>476.04</w:t>
      </w:r>
      <w:r>
        <w:rPr>
          <w:rFonts w:ascii="仿宋" w:hAnsi="仿宋" w:eastAsia="仿宋" w:cstheme="minorEastAsia"/>
          <w:color w:val="000000"/>
          <w:kern w:val="0"/>
          <w:sz w:val="32"/>
          <w:szCs w:val="32"/>
          <w:lang w:val="en-US" w:eastAsia="zh-CN" w:bidi="ar"/>
        </w:rPr>
        <w:t>万元，占</w:t>
      </w:r>
      <w:r>
        <w:rPr>
          <w:rFonts w:hint="eastAsia" w:ascii="仿宋" w:hAnsi="仿宋" w:eastAsia="仿宋" w:cstheme="minorEastAsia"/>
          <w:color w:val="000000"/>
          <w:kern w:val="0"/>
          <w:sz w:val="32"/>
          <w:szCs w:val="32"/>
          <w:lang w:val="en-US" w:eastAsia="zh-CN" w:bidi="ar"/>
        </w:rPr>
        <w:t>27.79</w:t>
      </w:r>
      <w:r>
        <w:rPr>
          <w:rFonts w:ascii="仿宋" w:hAnsi="仿宋" w:eastAsia="仿宋" w:cstheme="minorEastAsia"/>
          <w:color w:val="000000"/>
          <w:kern w:val="0"/>
          <w:sz w:val="32"/>
          <w:szCs w:val="32"/>
          <w:lang w:val="en-US" w:eastAsia="zh-CN" w:bidi="ar"/>
        </w:rPr>
        <w:t>%；上缴上级支出0.00万元，占0.00%；经营支出0.00万元，占经营支出0.00万元，占 0.00%；对附属单位补助支出0.00万元，占0.00%。</w:t>
      </w:r>
      <w:r>
        <w:rPr>
          <w:rFonts w:hint="eastAsia" w:ascii="仿宋" w:hAnsi="仿宋" w:eastAsia="仿宋" w:cstheme="minorEastAsia"/>
          <w:color w:val="000000"/>
          <w:kern w:val="0"/>
          <w:sz w:val="32"/>
          <w:szCs w:val="32"/>
          <w:lang w:val="en-US" w:eastAsia="zh-CN" w:bidi="ar"/>
        </w:rPr>
        <w:t>年初结转和结余1万元，占0.06%。</w:t>
      </w:r>
    </w:p>
    <w:p w14:paraId="5AC35A8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四、财政拨款收入支出决算总体情况说明</w:t>
      </w:r>
    </w:p>
    <w:p w14:paraId="58DD185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2025</w:t>
      </w:r>
      <w:r>
        <w:rPr>
          <w:rFonts w:ascii="仿宋" w:hAnsi="仿宋" w:eastAsia="仿宋" w:cstheme="minorEastAsia"/>
          <w:color w:val="000000"/>
          <w:kern w:val="0"/>
          <w:sz w:val="32"/>
          <w:szCs w:val="32"/>
          <w:lang w:val="en-US" w:eastAsia="zh-CN" w:bidi="ar"/>
        </w:rPr>
        <w:t>年财政拨款收、支总计</w:t>
      </w:r>
      <w:r>
        <w:rPr>
          <w:rFonts w:hint="eastAsia" w:ascii="仿宋" w:hAnsi="仿宋" w:eastAsia="仿宋" w:cstheme="minorEastAsia"/>
          <w:color w:val="000000"/>
          <w:kern w:val="0"/>
          <w:sz w:val="32"/>
          <w:szCs w:val="32"/>
          <w:lang w:val="en-US" w:eastAsia="zh-CN" w:bidi="ar"/>
        </w:rPr>
        <w:t>1712.97</w:t>
      </w:r>
      <w:r>
        <w:rPr>
          <w:rFonts w:ascii="仿宋" w:hAnsi="仿宋" w:eastAsia="仿宋" w:cstheme="minorEastAsia"/>
          <w:color w:val="000000"/>
          <w:kern w:val="0"/>
          <w:sz w:val="32"/>
          <w:szCs w:val="32"/>
          <w:lang w:val="en-US" w:eastAsia="zh-CN" w:bidi="ar"/>
        </w:rPr>
        <w:t>万元。与202</w:t>
      </w:r>
      <w:r>
        <w:rPr>
          <w:rFonts w:hint="eastAsia" w:ascii="仿宋" w:hAnsi="仿宋" w:eastAsia="仿宋" w:cstheme="minorEastAsia"/>
          <w:color w:val="000000"/>
          <w:kern w:val="0"/>
          <w:sz w:val="32"/>
          <w:szCs w:val="32"/>
          <w:lang w:val="en-US" w:eastAsia="zh-CN" w:bidi="ar"/>
        </w:rPr>
        <w:t>4</w:t>
      </w:r>
      <w:r>
        <w:rPr>
          <w:rFonts w:ascii="仿宋" w:hAnsi="仿宋" w:eastAsia="仿宋" w:cstheme="minorEastAsia"/>
          <w:color w:val="000000"/>
          <w:kern w:val="0"/>
          <w:sz w:val="32"/>
          <w:szCs w:val="32"/>
          <w:lang w:val="en-US" w:eastAsia="zh-CN" w:bidi="ar"/>
        </w:rPr>
        <w:t>年相比，财政拨款收、支总计各</w:t>
      </w:r>
      <w:r>
        <w:rPr>
          <w:rFonts w:hint="eastAsia" w:ascii="仿宋" w:hAnsi="仿宋" w:eastAsia="仿宋" w:cstheme="minorEastAsia"/>
          <w:color w:val="000000"/>
          <w:kern w:val="0"/>
          <w:sz w:val="32"/>
          <w:szCs w:val="32"/>
          <w:lang w:val="en-US" w:eastAsia="zh-CN" w:bidi="ar"/>
        </w:rPr>
        <w:t>减少30.02</w:t>
      </w:r>
      <w:r>
        <w:rPr>
          <w:rFonts w:ascii="仿宋" w:hAnsi="仿宋" w:eastAsia="仿宋" w:cstheme="minorEastAsia"/>
          <w:color w:val="000000"/>
          <w:kern w:val="0"/>
          <w:sz w:val="32"/>
          <w:szCs w:val="32"/>
          <w:lang w:val="en-US" w:eastAsia="zh-CN" w:bidi="ar"/>
        </w:rPr>
        <w:t>万元，</w:t>
      </w:r>
      <w:r>
        <w:rPr>
          <w:rFonts w:hint="eastAsia" w:ascii="仿宋" w:hAnsi="仿宋" w:eastAsia="仿宋" w:cstheme="minorEastAsia"/>
          <w:color w:val="000000"/>
          <w:kern w:val="0"/>
          <w:sz w:val="32"/>
          <w:szCs w:val="32"/>
          <w:lang w:val="en-US" w:eastAsia="zh-CN" w:bidi="ar"/>
        </w:rPr>
        <w:t>减少1.7</w:t>
      </w:r>
      <w:r>
        <w:rPr>
          <w:rFonts w:ascii="仿宋" w:hAnsi="仿宋" w:eastAsia="仿宋" w:cstheme="minorEastAsia"/>
          <w:color w:val="000000"/>
          <w:kern w:val="0"/>
          <w:sz w:val="32"/>
          <w:szCs w:val="32"/>
          <w:lang w:val="en-US" w:eastAsia="zh-CN" w:bidi="ar"/>
        </w:rPr>
        <w:t>%。主要变动原因是</w:t>
      </w:r>
      <w:r>
        <w:rPr>
          <w:rFonts w:hint="eastAsia" w:ascii="仿宋" w:hAnsi="仿宋" w:eastAsia="仿宋" w:cstheme="minorEastAsia"/>
          <w:color w:val="000000"/>
          <w:kern w:val="0"/>
          <w:sz w:val="32"/>
          <w:szCs w:val="32"/>
          <w:lang w:val="en-US" w:eastAsia="zh-CN" w:bidi="ar"/>
        </w:rPr>
        <w:t>人员减少。</w:t>
      </w:r>
    </w:p>
    <w:p w14:paraId="6E1A2FE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五、一般公共预算财政拨款支出决算情况说明</w:t>
      </w:r>
    </w:p>
    <w:p w14:paraId="707B334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（一）一般公共预算财政拨款支出决算总体情况</w:t>
      </w:r>
    </w:p>
    <w:p w14:paraId="165A18C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2025</w:t>
      </w:r>
      <w:r>
        <w:rPr>
          <w:rFonts w:ascii="仿宋" w:hAnsi="仿宋" w:eastAsia="仿宋" w:cstheme="minorEastAsia"/>
          <w:color w:val="000000"/>
          <w:kern w:val="0"/>
          <w:sz w:val="32"/>
          <w:szCs w:val="32"/>
          <w:lang w:val="en-US" w:eastAsia="zh-CN" w:bidi="ar"/>
        </w:rPr>
        <w:t>年一般公共预算财政拨款支出</w:t>
      </w:r>
      <w:r>
        <w:rPr>
          <w:rFonts w:hint="eastAsia" w:ascii="仿宋" w:hAnsi="仿宋" w:eastAsia="仿宋" w:cstheme="minorEastAsia"/>
          <w:color w:val="000000"/>
          <w:kern w:val="0"/>
          <w:sz w:val="32"/>
          <w:szCs w:val="32"/>
          <w:lang w:val="en-US" w:eastAsia="zh-CN" w:bidi="ar"/>
        </w:rPr>
        <w:t>1712.97</w:t>
      </w:r>
      <w:r>
        <w:rPr>
          <w:rFonts w:ascii="仿宋" w:hAnsi="仿宋" w:eastAsia="仿宋" w:cstheme="minorEastAsia"/>
          <w:color w:val="000000"/>
          <w:kern w:val="0"/>
          <w:sz w:val="32"/>
          <w:szCs w:val="32"/>
          <w:lang w:val="en-US" w:eastAsia="zh-CN" w:bidi="ar"/>
        </w:rPr>
        <w:t>万元，占本年支出合计的</w:t>
      </w:r>
      <w:r>
        <w:rPr>
          <w:rFonts w:hint="eastAsia" w:ascii="仿宋" w:hAnsi="仿宋" w:eastAsia="仿宋" w:cstheme="minorEastAsia"/>
          <w:color w:val="000000"/>
          <w:kern w:val="0"/>
          <w:sz w:val="32"/>
          <w:szCs w:val="32"/>
          <w:lang w:val="en-US" w:eastAsia="zh-CN" w:bidi="ar"/>
        </w:rPr>
        <w:t>99.94</w:t>
      </w:r>
      <w:r>
        <w:rPr>
          <w:rFonts w:ascii="仿宋" w:hAnsi="仿宋" w:eastAsia="仿宋" w:cstheme="minorEastAsia"/>
          <w:color w:val="000000"/>
          <w:kern w:val="0"/>
          <w:sz w:val="32"/>
          <w:szCs w:val="32"/>
          <w:lang w:val="en-US" w:eastAsia="zh-CN" w:bidi="ar"/>
        </w:rPr>
        <w:t>%。与202</w:t>
      </w:r>
      <w:r>
        <w:rPr>
          <w:rFonts w:hint="eastAsia" w:ascii="仿宋" w:hAnsi="仿宋" w:eastAsia="仿宋" w:cstheme="minorEastAsia"/>
          <w:color w:val="000000"/>
          <w:kern w:val="0"/>
          <w:sz w:val="32"/>
          <w:szCs w:val="32"/>
          <w:lang w:val="en-US" w:eastAsia="zh-CN" w:bidi="ar"/>
        </w:rPr>
        <w:t>4</w:t>
      </w:r>
      <w:r>
        <w:rPr>
          <w:rFonts w:ascii="仿宋" w:hAnsi="仿宋" w:eastAsia="仿宋" w:cstheme="minorEastAsia"/>
          <w:color w:val="000000"/>
          <w:kern w:val="0"/>
          <w:sz w:val="32"/>
          <w:szCs w:val="32"/>
          <w:lang w:val="en-US" w:eastAsia="zh-CN" w:bidi="ar"/>
        </w:rPr>
        <w:t>年相比，一般公共预算财政拨款支出</w:t>
      </w:r>
      <w:r>
        <w:rPr>
          <w:rFonts w:hint="eastAsia" w:ascii="仿宋" w:hAnsi="仿宋" w:eastAsia="仿宋" w:cstheme="minorEastAsia"/>
          <w:color w:val="000000"/>
          <w:kern w:val="0"/>
          <w:sz w:val="32"/>
          <w:szCs w:val="32"/>
          <w:lang w:val="en-US" w:eastAsia="zh-CN" w:bidi="ar"/>
        </w:rPr>
        <w:t>减少30.02</w:t>
      </w:r>
      <w:r>
        <w:rPr>
          <w:rFonts w:ascii="仿宋" w:hAnsi="仿宋" w:eastAsia="仿宋" w:cstheme="minorEastAsia"/>
          <w:color w:val="000000"/>
          <w:kern w:val="0"/>
          <w:sz w:val="32"/>
          <w:szCs w:val="32"/>
          <w:lang w:val="en-US" w:eastAsia="zh-CN" w:bidi="ar"/>
        </w:rPr>
        <w:t>万元，</w:t>
      </w:r>
      <w:r>
        <w:rPr>
          <w:rFonts w:hint="eastAsia" w:ascii="仿宋" w:hAnsi="仿宋" w:eastAsia="仿宋" w:cstheme="minorEastAsia"/>
          <w:color w:val="000000"/>
          <w:kern w:val="0"/>
          <w:sz w:val="32"/>
          <w:szCs w:val="32"/>
          <w:lang w:val="en-US" w:eastAsia="zh-CN" w:bidi="ar"/>
        </w:rPr>
        <w:t>减少1.7</w:t>
      </w:r>
      <w:r>
        <w:rPr>
          <w:rFonts w:ascii="仿宋" w:hAnsi="仿宋" w:eastAsia="仿宋" w:cstheme="minorEastAsia"/>
          <w:color w:val="000000"/>
          <w:kern w:val="0"/>
          <w:sz w:val="32"/>
          <w:szCs w:val="32"/>
          <w:lang w:val="en-US" w:eastAsia="zh-CN" w:bidi="ar"/>
        </w:rPr>
        <w:t>%。主要变动原因是</w:t>
      </w:r>
      <w:r>
        <w:rPr>
          <w:rFonts w:hint="eastAsia" w:ascii="仿宋" w:hAnsi="仿宋" w:eastAsia="仿宋" w:cstheme="minorEastAsia"/>
          <w:color w:val="000000"/>
          <w:kern w:val="0"/>
          <w:sz w:val="32"/>
          <w:szCs w:val="32"/>
          <w:lang w:val="en-US" w:eastAsia="zh-CN" w:bidi="ar"/>
        </w:rPr>
        <w:t>人员减少。</w:t>
      </w:r>
    </w:p>
    <w:p w14:paraId="570957B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（二）一般公共预算财政拨款支出决算结构情况</w:t>
      </w:r>
    </w:p>
    <w:p w14:paraId="541BD2F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2025</w:t>
      </w:r>
      <w:r>
        <w:rPr>
          <w:rFonts w:ascii="仿宋" w:hAnsi="仿宋" w:eastAsia="仿宋" w:cstheme="minorEastAsia"/>
          <w:color w:val="000000"/>
          <w:kern w:val="0"/>
          <w:sz w:val="32"/>
          <w:szCs w:val="32"/>
          <w:lang w:val="en-US" w:eastAsia="zh-CN" w:bidi="ar"/>
        </w:rPr>
        <w:t>年一般公共预算财政拨款支出</w:t>
      </w:r>
      <w:r>
        <w:rPr>
          <w:rFonts w:hint="eastAsia" w:ascii="仿宋" w:hAnsi="仿宋" w:eastAsia="仿宋" w:cstheme="minorEastAsia"/>
          <w:color w:val="000000"/>
          <w:kern w:val="0"/>
          <w:sz w:val="32"/>
          <w:szCs w:val="32"/>
          <w:lang w:val="en-US" w:eastAsia="zh-CN" w:bidi="ar"/>
        </w:rPr>
        <w:t>1712.97</w:t>
      </w:r>
      <w:r>
        <w:rPr>
          <w:rFonts w:ascii="仿宋" w:hAnsi="仿宋" w:eastAsia="仿宋" w:cstheme="minorEastAsia"/>
          <w:color w:val="000000"/>
          <w:kern w:val="0"/>
          <w:sz w:val="32"/>
          <w:szCs w:val="32"/>
          <w:lang w:val="en-US" w:eastAsia="zh-CN" w:bidi="ar"/>
        </w:rPr>
        <w:t>万元，主要用于以下方面</w:t>
      </w:r>
      <w:r>
        <w:rPr>
          <w:rFonts w:hint="eastAsia" w:ascii="仿宋" w:hAnsi="仿宋" w:eastAsia="仿宋" w:cstheme="minorEastAsia"/>
          <w:color w:val="000000"/>
          <w:kern w:val="0"/>
          <w:sz w:val="32"/>
          <w:szCs w:val="32"/>
          <w:lang w:val="en-US" w:eastAsia="zh-CN" w:bidi="ar"/>
        </w:rPr>
        <w:t>：</w:t>
      </w:r>
      <w:r>
        <w:rPr>
          <w:rFonts w:ascii="仿宋" w:hAnsi="仿宋" w:eastAsia="仿宋" w:cstheme="minorEastAsia"/>
          <w:color w:val="000000"/>
          <w:kern w:val="0"/>
          <w:sz w:val="32"/>
          <w:szCs w:val="32"/>
          <w:lang w:val="en-US" w:eastAsia="zh-CN" w:bidi="ar"/>
        </w:rPr>
        <w:t>一般公共服务（类）支出</w:t>
      </w:r>
      <w:r>
        <w:rPr>
          <w:rFonts w:hint="eastAsia" w:ascii="仿宋" w:hAnsi="仿宋" w:eastAsia="仿宋" w:cstheme="minorEastAsia"/>
          <w:color w:val="000000"/>
          <w:kern w:val="0"/>
          <w:sz w:val="32"/>
          <w:szCs w:val="32"/>
          <w:lang w:val="en-US" w:eastAsia="zh-CN" w:bidi="ar"/>
        </w:rPr>
        <w:t>880.67</w:t>
      </w:r>
      <w:r>
        <w:rPr>
          <w:rFonts w:ascii="仿宋" w:hAnsi="仿宋" w:eastAsia="仿宋" w:cstheme="minorEastAsia"/>
          <w:color w:val="000000"/>
          <w:kern w:val="0"/>
          <w:sz w:val="32"/>
          <w:szCs w:val="32"/>
          <w:lang w:val="en-US" w:eastAsia="zh-CN" w:bidi="ar"/>
        </w:rPr>
        <w:t>万元，占</w:t>
      </w:r>
      <w:r>
        <w:rPr>
          <w:rFonts w:hint="eastAsia" w:ascii="仿宋" w:hAnsi="仿宋" w:eastAsia="仿宋" w:cstheme="minorEastAsia"/>
          <w:color w:val="000000"/>
          <w:kern w:val="0"/>
          <w:sz w:val="32"/>
          <w:szCs w:val="32"/>
          <w:lang w:val="en-US" w:eastAsia="zh-CN" w:bidi="ar"/>
        </w:rPr>
        <w:t>51.41</w:t>
      </w:r>
      <w:r>
        <w:rPr>
          <w:rFonts w:ascii="仿宋" w:hAnsi="仿宋" w:eastAsia="仿宋" w:cstheme="minorEastAsia"/>
          <w:color w:val="000000"/>
          <w:kern w:val="0"/>
          <w:sz w:val="32"/>
          <w:szCs w:val="32"/>
          <w:lang w:val="en-US" w:eastAsia="zh-CN" w:bidi="ar"/>
        </w:rPr>
        <w:t>%；教育支出（类）0.00万元，占0.00%；科学技术（类）支出0.00万元，占0.00%；文化旅游体育与传媒（类）支出0.00万元，占0.00%；社会保障和就业（类）支出</w:t>
      </w:r>
      <w:r>
        <w:rPr>
          <w:rFonts w:hint="eastAsia" w:ascii="仿宋" w:hAnsi="仿宋" w:eastAsia="仿宋" w:cstheme="minorEastAsia"/>
          <w:color w:val="000000"/>
          <w:kern w:val="0"/>
          <w:sz w:val="32"/>
          <w:szCs w:val="32"/>
          <w:lang w:val="en-US" w:eastAsia="zh-CN" w:bidi="ar"/>
        </w:rPr>
        <w:t>141.96</w:t>
      </w:r>
      <w:r>
        <w:rPr>
          <w:rFonts w:ascii="仿宋" w:hAnsi="仿宋" w:eastAsia="仿宋" w:cstheme="minorEastAsia"/>
          <w:color w:val="000000"/>
          <w:kern w:val="0"/>
          <w:sz w:val="32"/>
          <w:szCs w:val="32"/>
          <w:lang w:val="en-US" w:eastAsia="zh-CN" w:bidi="ar"/>
        </w:rPr>
        <w:t>万元，占</w:t>
      </w:r>
      <w:r>
        <w:rPr>
          <w:rFonts w:hint="eastAsia" w:ascii="仿宋" w:hAnsi="仿宋" w:eastAsia="仿宋" w:cstheme="minorEastAsia"/>
          <w:color w:val="000000"/>
          <w:kern w:val="0"/>
          <w:sz w:val="32"/>
          <w:szCs w:val="32"/>
          <w:lang w:val="en-US" w:eastAsia="zh-CN" w:bidi="ar"/>
        </w:rPr>
        <w:t>8.29</w:t>
      </w:r>
      <w:r>
        <w:rPr>
          <w:rFonts w:ascii="仿宋" w:hAnsi="仿宋" w:eastAsia="仿宋" w:cstheme="minorEastAsia"/>
          <w:color w:val="000000"/>
          <w:kern w:val="0"/>
          <w:sz w:val="32"/>
          <w:szCs w:val="32"/>
          <w:lang w:val="en-US" w:eastAsia="zh-CN" w:bidi="ar"/>
        </w:rPr>
        <w:t>%；卫生健康支出</w:t>
      </w:r>
      <w:r>
        <w:rPr>
          <w:rFonts w:hint="eastAsia" w:ascii="仿宋" w:hAnsi="仿宋" w:eastAsia="仿宋" w:cstheme="minorEastAsia"/>
          <w:color w:val="000000"/>
          <w:kern w:val="0"/>
          <w:sz w:val="32"/>
          <w:szCs w:val="32"/>
          <w:lang w:val="en-US" w:eastAsia="zh-CN" w:bidi="ar"/>
        </w:rPr>
        <w:t>54.58</w:t>
      </w:r>
      <w:r>
        <w:rPr>
          <w:rFonts w:ascii="仿宋" w:hAnsi="仿宋" w:eastAsia="仿宋" w:cstheme="minorEastAsia"/>
          <w:color w:val="000000"/>
          <w:kern w:val="0"/>
          <w:sz w:val="32"/>
          <w:szCs w:val="32"/>
          <w:lang w:val="en-US" w:eastAsia="zh-CN" w:bidi="ar"/>
        </w:rPr>
        <w:t>万元，占</w:t>
      </w:r>
      <w:r>
        <w:rPr>
          <w:rFonts w:hint="eastAsia" w:ascii="仿宋" w:hAnsi="仿宋" w:eastAsia="仿宋" w:cstheme="minorEastAsia"/>
          <w:color w:val="000000"/>
          <w:kern w:val="0"/>
          <w:sz w:val="32"/>
          <w:szCs w:val="32"/>
          <w:lang w:val="en-US" w:eastAsia="zh-CN" w:bidi="ar"/>
        </w:rPr>
        <w:t>3.19</w:t>
      </w:r>
      <w:r>
        <w:rPr>
          <w:rFonts w:ascii="仿宋" w:hAnsi="仿宋" w:eastAsia="仿宋" w:cstheme="minorEastAsia"/>
          <w:color w:val="000000"/>
          <w:kern w:val="0"/>
          <w:sz w:val="32"/>
          <w:szCs w:val="32"/>
          <w:lang w:val="en-US" w:eastAsia="zh-CN" w:bidi="ar"/>
        </w:rPr>
        <w:t>%；住房保障支出</w:t>
      </w:r>
      <w:r>
        <w:rPr>
          <w:rFonts w:hint="eastAsia" w:ascii="仿宋" w:hAnsi="仿宋" w:eastAsia="仿宋" w:cstheme="minorEastAsia"/>
          <w:color w:val="000000"/>
          <w:kern w:val="0"/>
          <w:sz w:val="32"/>
          <w:szCs w:val="32"/>
          <w:lang w:val="en-US" w:eastAsia="zh-CN" w:bidi="ar"/>
        </w:rPr>
        <w:t>83.71</w:t>
      </w:r>
      <w:r>
        <w:rPr>
          <w:rFonts w:ascii="仿宋" w:hAnsi="仿宋" w:eastAsia="仿宋" w:cstheme="minorEastAsia"/>
          <w:color w:val="000000"/>
          <w:kern w:val="0"/>
          <w:sz w:val="32"/>
          <w:szCs w:val="32"/>
          <w:lang w:val="en-US" w:eastAsia="zh-CN" w:bidi="ar"/>
        </w:rPr>
        <w:t>万元，占</w:t>
      </w:r>
      <w:r>
        <w:rPr>
          <w:rFonts w:hint="eastAsia" w:ascii="仿宋" w:hAnsi="仿宋" w:eastAsia="仿宋" w:cstheme="minorEastAsia"/>
          <w:color w:val="000000"/>
          <w:kern w:val="0"/>
          <w:sz w:val="32"/>
          <w:szCs w:val="32"/>
          <w:lang w:val="en-US" w:eastAsia="zh-CN" w:bidi="ar"/>
        </w:rPr>
        <w:t>4.9</w:t>
      </w:r>
      <w:r>
        <w:rPr>
          <w:rFonts w:ascii="仿宋" w:hAnsi="仿宋" w:eastAsia="仿宋" w:cstheme="minorEastAsia"/>
          <w:color w:val="000000"/>
          <w:kern w:val="0"/>
          <w:sz w:val="32"/>
          <w:szCs w:val="32"/>
          <w:lang w:val="en-US" w:eastAsia="zh-CN" w:bidi="ar"/>
        </w:rPr>
        <w:t>%；</w:t>
      </w:r>
      <w:r>
        <w:rPr>
          <w:rFonts w:hint="eastAsia" w:ascii="仿宋" w:hAnsi="仿宋" w:eastAsia="仿宋" w:cstheme="minorEastAsia"/>
          <w:color w:val="000000"/>
          <w:kern w:val="0"/>
          <w:sz w:val="32"/>
          <w:szCs w:val="32"/>
          <w:lang w:val="en-US" w:eastAsia="zh-CN" w:bidi="ar"/>
        </w:rPr>
        <w:t>城乡社区支出23.95，占1.4%；农林水支出527.09万元，占30.77%。</w:t>
      </w:r>
    </w:p>
    <w:p w14:paraId="1F5448B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321" w:firstLineChars="1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（三）一般公共预算财政拨款支出决算具体情况</w:t>
      </w:r>
    </w:p>
    <w:p w14:paraId="4DC41DA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2025</w:t>
      </w:r>
      <w:r>
        <w:rPr>
          <w:rFonts w:ascii="仿宋" w:hAnsi="仿宋" w:eastAsia="仿宋" w:cstheme="minorEastAsia"/>
          <w:color w:val="000000"/>
          <w:kern w:val="0"/>
          <w:sz w:val="32"/>
          <w:szCs w:val="32"/>
          <w:lang w:val="en-US" w:eastAsia="zh-CN" w:bidi="ar"/>
        </w:rPr>
        <w:t>年一般公共预算支出决算数为</w:t>
      </w:r>
      <w:r>
        <w:rPr>
          <w:rFonts w:hint="eastAsia" w:ascii="仿宋" w:hAnsi="仿宋" w:eastAsia="仿宋" w:cstheme="minorEastAsia"/>
          <w:color w:val="000000"/>
          <w:kern w:val="0"/>
          <w:sz w:val="32"/>
          <w:szCs w:val="32"/>
          <w:lang w:val="en-US" w:eastAsia="zh-CN" w:bidi="ar"/>
        </w:rPr>
        <w:t>1712.97</w:t>
      </w:r>
      <w:r>
        <w:rPr>
          <w:rFonts w:ascii="仿宋" w:hAnsi="仿宋" w:eastAsia="仿宋" w:cstheme="minorEastAsia"/>
          <w:color w:val="000000"/>
          <w:kern w:val="0"/>
          <w:sz w:val="32"/>
          <w:szCs w:val="32"/>
          <w:lang w:val="en-US" w:eastAsia="zh-CN" w:bidi="ar"/>
        </w:rPr>
        <w:t>，完成预算100.00%。其中：</w:t>
      </w:r>
    </w:p>
    <w:p w14:paraId="1B955E8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一般公共服务（类）</w:t>
      </w:r>
      <w:r>
        <w:rPr>
          <w:rFonts w:hint="eastAsia" w:ascii="仿宋_GB2312" w:hAnsi="仿宋_GB2312" w:eastAsia="仿宋_GB2312" w:cs="仿宋_GB2312"/>
          <w:color w:val="auto"/>
          <w:sz w:val="32"/>
          <w:szCs w:val="32"/>
          <w:lang w:val="en-US" w:eastAsia="zh-CN"/>
        </w:rPr>
        <w:t>201</w:t>
      </w:r>
      <w:r>
        <w:rPr>
          <w:rFonts w:hint="eastAsia" w:ascii="仿宋_GB2312" w:hAnsi="仿宋_GB2312" w:eastAsia="仿宋_GB2312" w:cs="仿宋_GB2312"/>
          <w:color w:val="auto"/>
          <w:sz w:val="32"/>
          <w:szCs w:val="32"/>
          <w:lang w:eastAsia="zh-CN"/>
        </w:rPr>
        <w:t>（款）</w:t>
      </w:r>
      <w:r>
        <w:rPr>
          <w:rFonts w:hint="eastAsia" w:ascii="仿宋_GB2312" w:hAnsi="仿宋_GB2312" w:eastAsia="仿宋_GB2312" w:cs="仿宋_GB2312"/>
          <w:color w:val="auto"/>
          <w:sz w:val="32"/>
          <w:szCs w:val="32"/>
          <w:lang w:val="en-US" w:eastAsia="zh-CN"/>
        </w:rPr>
        <w:t>03</w:t>
      </w:r>
      <w:r>
        <w:rPr>
          <w:rFonts w:hint="eastAsia" w:ascii="仿宋_GB2312" w:hAnsi="仿宋_GB2312" w:eastAsia="仿宋_GB2312" w:cs="仿宋_GB2312"/>
          <w:color w:val="auto"/>
          <w:sz w:val="32"/>
          <w:szCs w:val="32"/>
          <w:lang w:eastAsia="zh-CN"/>
        </w:rPr>
        <w:t>（项）</w:t>
      </w:r>
      <w:r>
        <w:rPr>
          <w:rFonts w:hint="eastAsia" w:ascii="仿宋_GB2312" w:hAnsi="仿宋_GB2312" w:eastAsia="仿宋_GB2312" w:cs="仿宋_GB2312"/>
          <w:color w:val="auto"/>
          <w:sz w:val="32"/>
          <w:szCs w:val="32"/>
          <w:lang w:val="en-US" w:eastAsia="zh-CN"/>
        </w:rPr>
        <w:t>01（行政运行）：</w:t>
      </w:r>
      <w:r>
        <w:rPr>
          <w:rFonts w:hint="eastAsia" w:ascii="仿宋_GB2312" w:hAnsi="仿宋_GB2312" w:eastAsia="仿宋_GB2312" w:cs="仿宋_GB2312"/>
          <w:color w:val="auto"/>
          <w:sz w:val="32"/>
          <w:szCs w:val="32"/>
          <w:lang w:eastAsia="zh-CN"/>
        </w:rPr>
        <w:t xml:space="preserve"> 支出决算为</w:t>
      </w:r>
      <w:r>
        <w:rPr>
          <w:rFonts w:hint="eastAsia" w:ascii="仿宋_GB2312" w:hAnsi="仿宋_GB2312" w:eastAsia="仿宋_GB2312" w:cs="仿宋_GB2312"/>
          <w:color w:val="auto"/>
          <w:sz w:val="32"/>
          <w:szCs w:val="32"/>
          <w:lang w:val="en-US" w:eastAsia="zh-CN"/>
        </w:rPr>
        <w:t>535.22</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w:t>
      </w:r>
    </w:p>
    <w:p w14:paraId="34ADA4D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.社会保障和就业（类）</w:t>
      </w:r>
      <w:r>
        <w:rPr>
          <w:rFonts w:hint="eastAsia" w:ascii="仿宋_GB2312" w:hAnsi="仿宋_GB2312" w:eastAsia="仿宋_GB2312" w:cs="仿宋_GB2312"/>
          <w:color w:val="auto"/>
          <w:sz w:val="32"/>
          <w:szCs w:val="32"/>
          <w:lang w:val="en-US" w:eastAsia="zh-CN"/>
        </w:rPr>
        <w:t>208</w:t>
      </w:r>
      <w:r>
        <w:rPr>
          <w:rFonts w:hint="eastAsia" w:ascii="仿宋_GB2312" w:hAnsi="仿宋_GB2312" w:eastAsia="仿宋_GB2312" w:cs="仿宋_GB2312"/>
          <w:color w:val="auto"/>
          <w:sz w:val="32"/>
          <w:szCs w:val="32"/>
          <w:lang w:eastAsia="zh-CN"/>
        </w:rPr>
        <w:t>（款）</w:t>
      </w:r>
      <w:r>
        <w:rPr>
          <w:rFonts w:hint="eastAsia" w:ascii="仿宋_GB2312" w:hAnsi="仿宋_GB2312" w:eastAsia="仿宋_GB2312" w:cs="仿宋_GB2312"/>
          <w:color w:val="auto"/>
          <w:sz w:val="32"/>
          <w:szCs w:val="32"/>
          <w:lang w:val="en-US" w:eastAsia="zh-CN"/>
        </w:rPr>
        <w:t>05</w:t>
      </w:r>
      <w:r>
        <w:rPr>
          <w:rFonts w:hint="eastAsia" w:ascii="仿宋_GB2312" w:hAnsi="仿宋_GB2312" w:eastAsia="仿宋_GB2312" w:cs="仿宋_GB2312"/>
          <w:color w:val="auto"/>
          <w:sz w:val="32"/>
          <w:szCs w:val="32"/>
          <w:lang w:eastAsia="zh-CN"/>
        </w:rPr>
        <w:t>（项）</w:t>
      </w:r>
      <w:r>
        <w:rPr>
          <w:rFonts w:hint="eastAsia" w:ascii="仿宋_GB2312" w:hAnsi="仿宋_GB2312" w:eastAsia="仿宋_GB2312" w:cs="仿宋_GB2312"/>
          <w:color w:val="auto"/>
          <w:sz w:val="32"/>
          <w:szCs w:val="32"/>
          <w:lang w:val="en-US" w:eastAsia="zh-CN"/>
        </w:rPr>
        <w:t>05</w:t>
      </w:r>
      <w:r>
        <w:rPr>
          <w:rFonts w:hint="eastAsia" w:ascii="仿宋_GB2312" w:hAnsi="仿宋_GB2312" w:eastAsia="仿宋_GB2312" w:cs="仿宋_GB2312"/>
          <w:color w:val="auto"/>
          <w:sz w:val="32"/>
          <w:szCs w:val="32"/>
          <w:lang w:eastAsia="zh-CN"/>
        </w:rPr>
        <w:t>（机关事业单位基本养老保险缴费支出）： 支出决算为</w:t>
      </w:r>
      <w:r>
        <w:rPr>
          <w:rFonts w:hint="eastAsia" w:ascii="仿宋_GB2312" w:hAnsi="仿宋_GB2312" w:eastAsia="仿宋_GB2312" w:cs="仿宋_GB2312"/>
          <w:color w:val="auto"/>
          <w:sz w:val="32"/>
          <w:szCs w:val="32"/>
          <w:lang w:val="en-US" w:eastAsia="zh-CN"/>
        </w:rPr>
        <w:t>87.79</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w:t>
      </w:r>
    </w:p>
    <w:p w14:paraId="0ED90BFC">
      <w:pPr>
        <w:pStyle w:val="2"/>
        <w:keepNext w:val="0"/>
        <w:keepLines w:val="0"/>
        <w:pageBreakBefore w:val="0"/>
        <w:widowControl w:val="0"/>
        <w:kinsoku/>
        <w:wordWrap/>
        <w:overflowPunct/>
        <w:topLinePunct w:val="0"/>
        <w:autoSpaceDE/>
        <w:autoSpaceDN/>
        <w:bidi w:val="0"/>
        <w:adjustRightInd/>
        <w:snapToGrid/>
        <w:spacing w:beforeLines="0" w:beforeAutospacing="0" w:afterAutospacing="0"/>
        <w:ind w:left="0" w:firstLine="640" w:firstLineChars="200"/>
        <w:textAlignment w:val="auto"/>
        <w:rPr>
          <w:rFonts w:hint="default" w:hAnsi="仿宋_GB2312" w:cs="仿宋_GB2312"/>
          <w:color w:val="auto"/>
          <w:sz w:val="32"/>
          <w:szCs w:val="32"/>
          <w:lang w:val="en-US" w:eastAsia="zh-CN"/>
        </w:rPr>
      </w:pPr>
      <w:r>
        <w:rPr>
          <w:rFonts w:hint="eastAsia" w:hAnsi="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社会保障和就业（类）</w:t>
      </w:r>
      <w:r>
        <w:rPr>
          <w:rFonts w:hint="eastAsia" w:ascii="仿宋_GB2312" w:hAnsi="仿宋_GB2312" w:eastAsia="仿宋_GB2312" w:cs="仿宋_GB2312"/>
          <w:color w:val="auto"/>
          <w:sz w:val="32"/>
          <w:szCs w:val="32"/>
          <w:lang w:val="en-US" w:eastAsia="zh-CN"/>
        </w:rPr>
        <w:t>208</w:t>
      </w:r>
      <w:r>
        <w:rPr>
          <w:rFonts w:hint="eastAsia" w:ascii="仿宋_GB2312" w:hAnsi="仿宋_GB2312" w:eastAsia="仿宋_GB2312" w:cs="仿宋_GB2312"/>
          <w:color w:val="auto"/>
          <w:sz w:val="32"/>
          <w:szCs w:val="32"/>
          <w:lang w:eastAsia="zh-CN"/>
        </w:rPr>
        <w:t>（款）</w:t>
      </w:r>
      <w:r>
        <w:rPr>
          <w:rFonts w:hint="eastAsia" w:ascii="仿宋_GB2312" w:hAnsi="仿宋_GB2312" w:eastAsia="仿宋_GB2312" w:cs="仿宋_GB2312"/>
          <w:color w:val="auto"/>
          <w:sz w:val="32"/>
          <w:szCs w:val="32"/>
          <w:lang w:val="en-US" w:eastAsia="zh-CN"/>
        </w:rPr>
        <w:t>05</w:t>
      </w:r>
      <w:r>
        <w:rPr>
          <w:rFonts w:hint="eastAsia" w:ascii="仿宋_GB2312" w:hAnsi="仿宋_GB2312" w:eastAsia="仿宋_GB2312" w:cs="仿宋_GB2312"/>
          <w:color w:val="auto"/>
          <w:sz w:val="32"/>
          <w:szCs w:val="32"/>
          <w:lang w:eastAsia="zh-CN"/>
        </w:rPr>
        <w:t>（项）</w:t>
      </w:r>
      <w:r>
        <w:rPr>
          <w:rFonts w:hint="eastAsia" w:ascii="仿宋_GB2312" w:hAnsi="仿宋_GB2312" w:eastAsia="仿宋_GB2312" w:cs="仿宋_GB2312"/>
          <w:color w:val="auto"/>
          <w:sz w:val="32"/>
          <w:szCs w:val="32"/>
          <w:lang w:val="en-US" w:eastAsia="zh-CN"/>
        </w:rPr>
        <w:t>0</w:t>
      </w:r>
      <w:r>
        <w:rPr>
          <w:rFonts w:hint="eastAsia" w:hAnsi="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（机关事业单位职业年金缴费支出）</w:t>
      </w:r>
      <w:r>
        <w:rPr>
          <w:rFonts w:hint="eastAsia" w:hAnsi="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 xml:space="preserve"> 支出决算为</w:t>
      </w:r>
      <w:r>
        <w:rPr>
          <w:rFonts w:hint="eastAsia" w:hAnsi="仿宋_GB2312" w:cs="仿宋_GB2312"/>
          <w:color w:val="auto"/>
          <w:sz w:val="32"/>
          <w:szCs w:val="32"/>
          <w:lang w:val="en-US" w:eastAsia="zh-CN"/>
        </w:rPr>
        <w:t>54.08</w:t>
      </w:r>
      <w:r>
        <w:rPr>
          <w:rFonts w:hint="eastAsia" w:ascii="仿宋_GB2312" w:hAnsi="仿宋_GB2312" w:eastAsia="仿宋_GB2312" w:cs="仿宋_GB2312"/>
          <w:color w:val="auto"/>
          <w:sz w:val="32"/>
          <w:szCs w:val="32"/>
          <w:lang w:eastAsia="zh-CN"/>
        </w:rPr>
        <w:t>万元，完成预算</w:t>
      </w:r>
      <w:r>
        <w:rPr>
          <w:rFonts w:hint="eastAsia" w:hAnsi="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w:t>
      </w:r>
      <w:r>
        <w:rPr>
          <w:rFonts w:hint="eastAsia" w:hAnsi="仿宋_GB2312" w:cs="仿宋_GB2312"/>
          <w:color w:val="auto"/>
          <w:sz w:val="32"/>
          <w:szCs w:val="32"/>
          <w:lang w:eastAsia="zh-CN"/>
        </w:rPr>
        <w:t>。</w:t>
      </w:r>
    </w:p>
    <w:p w14:paraId="5F6AA48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4.卫生健康（类）210（款）11（项）01（行政单位医疗补助）：支出决算为27.42万元，完成预算100%。</w:t>
      </w:r>
    </w:p>
    <w:p w14:paraId="17861668">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5.卫生健康（类）210（款）11（项）03（公务员医疗补助）：支出决算为4.78万元，完成预算100%。</w:t>
      </w:r>
    </w:p>
    <w:p w14:paraId="6968E3B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6.住房保障（类）221（款）02（项）01（住房公积金）：</w:t>
      </w:r>
      <w:r>
        <w:rPr>
          <w:rFonts w:hint="eastAsia" w:ascii="仿宋_GB2312" w:hAnsi="仿宋_GB2312" w:eastAsia="仿宋_GB2312" w:cs="仿宋_GB2312"/>
          <w:color w:val="auto"/>
          <w:sz w:val="32"/>
          <w:szCs w:val="32"/>
          <w:lang w:eastAsia="zh-CN"/>
        </w:rPr>
        <w:t>支出决算为</w:t>
      </w:r>
      <w:r>
        <w:rPr>
          <w:rFonts w:hint="eastAsia" w:ascii="仿宋_GB2312" w:hAnsi="仿宋_GB2312" w:eastAsia="仿宋_GB2312" w:cs="仿宋_GB2312"/>
          <w:color w:val="auto"/>
          <w:sz w:val="32"/>
          <w:szCs w:val="32"/>
          <w:lang w:val="en-US" w:eastAsia="zh-CN"/>
        </w:rPr>
        <w:t>83.71</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w:t>
      </w:r>
    </w:p>
    <w:p w14:paraId="60F23131">
      <w:pPr>
        <w:pStyle w:val="2"/>
        <w:keepNext w:val="0"/>
        <w:keepLines w:val="0"/>
        <w:pageBreakBefore w:val="0"/>
        <w:widowControl w:val="0"/>
        <w:kinsoku/>
        <w:wordWrap/>
        <w:overflowPunct/>
        <w:topLinePunct w:val="0"/>
        <w:autoSpaceDE/>
        <w:autoSpaceDN/>
        <w:bidi w:val="0"/>
        <w:adjustRightInd/>
        <w:snapToGrid/>
        <w:spacing w:beforeLines="0" w:beforeAutospacing="0" w:afterAutospacing="0"/>
        <w:ind w:left="0" w:firstLine="640" w:firstLineChars="200"/>
        <w:textAlignment w:val="auto"/>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7.人大事务（类）201（款）01（项）08（代表工作）：支出决算为5万元，完成预算100%</w:t>
      </w:r>
    </w:p>
    <w:p w14:paraId="1733FED5">
      <w:pPr>
        <w:pStyle w:val="2"/>
        <w:keepNext w:val="0"/>
        <w:keepLines w:val="0"/>
        <w:pageBreakBefore w:val="0"/>
        <w:widowControl w:val="0"/>
        <w:kinsoku/>
        <w:wordWrap/>
        <w:overflowPunct/>
        <w:topLinePunct w:val="0"/>
        <w:autoSpaceDE/>
        <w:autoSpaceDN/>
        <w:bidi w:val="0"/>
        <w:adjustRightInd/>
        <w:snapToGrid/>
        <w:spacing w:beforeLines="0" w:beforeAutospacing="0" w:afterAutospacing="0"/>
        <w:ind w:left="0" w:firstLine="640" w:firstLineChars="200"/>
        <w:textAlignment w:val="auto"/>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8.农林水支出（类）213（款）05（项）04（农村基础设施建设）：支出决算为123.61万元，完成预算100%，农林水支出（类）213（款）07（项）99（其他农村综合改革支出）：支出决算为29.74万元，完成预算100%。</w:t>
      </w:r>
    </w:p>
    <w:p w14:paraId="48B42DC2">
      <w:pPr>
        <w:pStyle w:val="2"/>
        <w:keepNext w:val="0"/>
        <w:keepLines w:val="0"/>
        <w:pageBreakBefore w:val="0"/>
        <w:widowControl w:val="0"/>
        <w:kinsoku/>
        <w:wordWrap/>
        <w:overflowPunct/>
        <w:topLinePunct w:val="0"/>
        <w:autoSpaceDE/>
        <w:autoSpaceDN/>
        <w:bidi w:val="0"/>
        <w:adjustRightInd/>
        <w:snapToGrid/>
        <w:spacing w:beforeLines="0" w:beforeAutospacing="0" w:afterAutospacing="0"/>
        <w:ind w:left="0"/>
        <w:textAlignment w:val="auto"/>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 xml:space="preserve">    9.政协事务（类）201（款）02（项）99（其他政协事务支出）：支出决算为1.5万元，完成预算100%。</w:t>
      </w:r>
    </w:p>
    <w:p w14:paraId="79B0AD8F">
      <w:pPr>
        <w:pStyle w:val="2"/>
        <w:keepNext w:val="0"/>
        <w:keepLines w:val="0"/>
        <w:pageBreakBefore w:val="0"/>
        <w:widowControl w:val="0"/>
        <w:pBdr>
          <w:bottom w:val="none" w:color="auto" w:sz="0" w:space="0"/>
        </w:pBdr>
        <w:kinsoku/>
        <w:wordWrap/>
        <w:overflowPunct/>
        <w:topLinePunct w:val="0"/>
        <w:autoSpaceDE/>
        <w:autoSpaceDN/>
        <w:bidi w:val="0"/>
        <w:adjustRightInd/>
        <w:snapToGrid/>
        <w:spacing w:beforeLines="0" w:beforeAutospacing="0" w:afterAutospacing="0"/>
        <w:ind w:left="0"/>
        <w:textAlignment w:val="auto"/>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 xml:space="preserve">   10.民政管理事务（类）208（款）02（项）08（基层政权建设和社区治理</w:t>
      </w:r>
    </w:p>
    <w:p w14:paraId="25F9F0F8">
      <w:pPr>
        <w:pStyle w:val="2"/>
        <w:keepNext w:val="0"/>
        <w:keepLines w:val="0"/>
        <w:pageBreakBefore w:val="0"/>
        <w:widowControl w:val="0"/>
        <w:pBdr>
          <w:bottom w:val="none" w:color="auto" w:sz="0" w:space="0"/>
        </w:pBdr>
        <w:kinsoku/>
        <w:wordWrap/>
        <w:overflowPunct/>
        <w:topLinePunct w:val="0"/>
        <w:autoSpaceDE/>
        <w:autoSpaceDN/>
        <w:bidi w:val="0"/>
        <w:adjustRightInd/>
        <w:snapToGrid/>
        <w:spacing w:beforeLines="0" w:beforeAutospacing="0" w:afterAutospacing="0"/>
        <w:ind w:left="0" w:firstLine="640" w:firstLineChars="200"/>
        <w:textAlignment w:val="auto"/>
        <w:rPr>
          <w:rFonts w:hint="eastAsia" w:hAnsi="仿宋_GB2312" w:cs="仿宋_GB2312"/>
          <w:color w:val="auto"/>
          <w:sz w:val="32"/>
          <w:szCs w:val="32"/>
          <w:lang w:val="en-US" w:eastAsia="zh-CN"/>
        </w:rPr>
      </w:pPr>
    </w:p>
    <w:p w14:paraId="328F423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六、一般公共预算财政拨款基本支出决算情况说明</w:t>
      </w:r>
    </w:p>
    <w:p w14:paraId="69BE01D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2025</w:t>
      </w:r>
      <w:r>
        <w:rPr>
          <w:rFonts w:ascii="仿宋" w:hAnsi="仿宋" w:eastAsia="仿宋" w:cstheme="minorEastAsia"/>
          <w:color w:val="000000"/>
          <w:kern w:val="0"/>
          <w:sz w:val="32"/>
          <w:szCs w:val="32"/>
          <w:lang w:val="en-US" w:eastAsia="zh-CN" w:bidi="ar"/>
        </w:rPr>
        <w:t>年一般公共预算财政拨款基本支出</w:t>
      </w:r>
      <w:r>
        <w:rPr>
          <w:rFonts w:hint="eastAsia" w:ascii="仿宋" w:hAnsi="仿宋" w:eastAsia="仿宋" w:cstheme="minorEastAsia"/>
          <w:color w:val="000000"/>
          <w:kern w:val="0"/>
          <w:sz w:val="32"/>
          <w:szCs w:val="32"/>
          <w:lang w:val="en-US" w:eastAsia="zh-CN" w:bidi="ar"/>
        </w:rPr>
        <w:t>880.67</w:t>
      </w:r>
      <w:r>
        <w:rPr>
          <w:rFonts w:ascii="仿宋" w:hAnsi="仿宋" w:eastAsia="仿宋" w:cstheme="minorEastAsia"/>
          <w:color w:val="000000"/>
          <w:kern w:val="0"/>
          <w:sz w:val="32"/>
          <w:szCs w:val="32"/>
          <w:lang w:val="en-US" w:eastAsia="zh-CN" w:bidi="ar"/>
        </w:rPr>
        <w:t>万元，其中：人员经费</w:t>
      </w:r>
      <w:r>
        <w:rPr>
          <w:rFonts w:hint="eastAsia" w:ascii="仿宋" w:hAnsi="仿宋" w:eastAsia="仿宋" w:cstheme="minorEastAsia"/>
          <w:color w:val="000000"/>
          <w:kern w:val="0"/>
          <w:sz w:val="32"/>
          <w:szCs w:val="32"/>
          <w:lang w:val="en-US" w:eastAsia="zh-CN" w:bidi="ar"/>
        </w:rPr>
        <w:t>791.35</w:t>
      </w:r>
      <w:r>
        <w:rPr>
          <w:rFonts w:ascii="仿宋" w:hAnsi="仿宋" w:eastAsia="仿宋" w:cstheme="minorEastAsia"/>
          <w:color w:val="000000"/>
          <w:kern w:val="0"/>
          <w:sz w:val="32"/>
          <w:szCs w:val="32"/>
          <w:lang w:val="en-US" w:eastAsia="zh-CN" w:bidi="ar"/>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11F9762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ascii="仿宋" w:hAnsi="仿宋" w:eastAsia="仿宋" w:cstheme="minorEastAsia"/>
          <w:color w:val="000000"/>
          <w:kern w:val="0"/>
          <w:sz w:val="32"/>
          <w:szCs w:val="32"/>
          <w:lang w:val="en-US" w:eastAsia="zh-CN" w:bidi="ar"/>
        </w:rPr>
        <w:t>公用经费</w:t>
      </w:r>
      <w:r>
        <w:rPr>
          <w:rFonts w:hint="eastAsia" w:ascii="仿宋" w:hAnsi="仿宋" w:eastAsia="仿宋" w:cstheme="minorEastAsia"/>
          <w:color w:val="000000"/>
          <w:kern w:val="0"/>
          <w:sz w:val="32"/>
          <w:szCs w:val="32"/>
          <w:lang w:val="en-US" w:eastAsia="zh-CN" w:bidi="ar"/>
        </w:rPr>
        <w:t>89.32</w:t>
      </w:r>
      <w:r>
        <w:rPr>
          <w:rFonts w:ascii="仿宋" w:hAnsi="仿宋" w:eastAsia="仿宋" w:cstheme="minorEastAsia"/>
          <w:color w:val="000000"/>
          <w:kern w:val="0"/>
          <w:sz w:val="32"/>
          <w:szCs w:val="32"/>
          <w:lang w:val="en-US" w:eastAsia="zh-CN" w:bidi="ar"/>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52EE94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七、“三公”经费财政拨款支出决算情况说明</w:t>
      </w:r>
    </w:p>
    <w:p w14:paraId="07525D6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（一）“三公”经费财政拨款支出决算总体情况说明</w:t>
      </w:r>
    </w:p>
    <w:p w14:paraId="67A2D8F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2025</w:t>
      </w:r>
      <w:r>
        <w:rPr>
          <w:rFonts w:ascii="仿宋" w:hAnsi="仿宋" w:eastAsia="仿宋" w:cstheme="minorEastAsia"/>
          <w:color w:val="000000"/>
          <w:kern w:val="0"/>
          <w:sz w:val="32"/>
          <w:szCs w:val="32"/>
          <w:lang w:val="en-US" w:eastAsia="zh-CN" w:bidi="ar"/>
        </w:rPr>
        <w:t>年“三公”经费财政拨款支出决算为</w:t>
      </w:r>
      <w:r>
        <w:rPr>
          <w:rFonts w:hint="eastAsia" w:ascii="仿宋" w:hAnsi="仿宋" w:eastAsia="仿宋" w:cstheme="minorEastAsia"/>
          <w:color w:val="000000"/>
          <w:kern w:val="0"/>
          <w:sz w:val="32"/>
          <w:szCs w:val="32"/>
          <w:lang w:val="en-US" w:eastAsia="zh-CN" w:bidi="ar"/>
        </w:rPr>
        <w:t>14</w:t>
      </w:r>
      <w:r>
        <w:rPr>
          <w:rFonts w:ascii="仿宋" w:hAnsi="仿宋" w:eastAsia="仿宋" w:cstheme="minorEastAsia"/>
          <w:color w:val="000000"/>
          <w:kern w:val="0"/>
          <w:sz w:val="32"/>
          <w:szCs w:val="32"/>
          <w:lang w:val="en-US" w:eastAsia="zh-CN" w:bidi="ar"/>
        </w:rPr>
        <w:t>万元，完成预算100.00%，决算数</w:t>
      </w:r>
      <w:r>
        <w:rPr>
          <w:rFonts w:hint="eastAsia" w:ascii="仿宋" w:hAnsi="仿宋" w:eastAsia="仿宋" w:cstheme="minorEastAsia"/>
          <w:color w:val="000000"/>
          <w:kern w:val="0"/>
          <w:sz w:val="32"/>
          <w:szCs w:val="32"/>
          <w:lang w:val="en-US" w:eastAsia="zh-CN" w:bidi="ar"/>
        </w:rPr>
        <w:t>与</w:t>
      </w:r>
      <w:r>
        <w:rPr>
          <w:rFonts w:ascii="仿宋" w:hAnsi="仿宋" w:eastAsia="仿宋" w:cstheme="minorEastAsia"/>
          <w:color w:val="000000"/>
          <w:kern w:val="0"/>
          <w:sz w:val="32"/>
          <w:szCs w:val="32"/>
          <w:lang w:val="en-US" w:eastAsia="zh-CN" w:bidi="ar"/>
        </w:rPr>
        <w:t>预算数持平。</w:t>
      </w:r>
    </w:p>
    <w:p w14:paraId="0642674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（二）“三公”经费财政拨款支出决算具体情况说明</w:t>
      </w:r>
    </w:p>
    <w:p w14:paraId="7046F34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2025</w:t>
      </w:r>
      <w:r>
        <w:rPr>
          <w:rFonts w:ascii="仿宋" w:hAnsi="仿宋" w:eastAsia="仿宋" w:cstheme="minorEastAsia"/>
          <w:color w:val="000000"/>
          <w:kern w:val="0"/>
          <w:sz w:val="32"/>
          <w:szCs w:val="32"/>
          <w:lang w:val="en-US" w:eastAsia="zh-CN" w:bidi="ar"/>
        </w:rPr>
        <w:t>年“三公”经费财政拨款支出决算中，因公出国（境）费支出决算0.00万元，占0.00%；公务用车购置及运行维护费支出决算</w:t>
      </w:r>
      <w:r>
        <w:rPr>
          <w:rFonts w:hint="eastAsia" w:ascii="仿宋" w:hAnsi="仿宋" w:eastAsia="仿宋" w:cstheme="minorEastAsia"/>
          <w:color w:val="000000"/>
          <w:kern w:val="0"/>
          <w:sz w:val="32"/>
          <w:szCs w:val="32"/>
          <w:lang w:val="en-US" w:eastAsia="zh-CN" w:bidi="ar"/>
        </w:rPr>
        <w:t>14</w:t>
      </w:r>
      <w:r>
        <w:rPr>
          <w:rFonts w:ascii="仿宋" w:hAnsi="仿宋" w:eastAsia="仿宋" w:cstheme="minorEastAsia"/>
          <w:color w:val="000000"/>
          <w:kern w:val="0"/>
          <w:sz w:val="32"/>
          <w:szCs w:val="32"/>
          <w:lang w:val="en-US" w:eastAsia="zh-CN" w:bidi="ar"/>
        </w:rPr>
        <w:t>万元，占100.00%；公务接待费支出决算0.00万元，占0.00%。具体情况如下：</w:t>
      </w:r>
    </w:p>
    <w:p w14:paraId="60E9C68E">
      <w:pPr>
        <w:pStyle w:val="12"/>
        <w:keepNext w:val="0"/>
        <w:keepLines w:val="0"/>
        <w:pageBreakBefore w:val="0"/>
        <w:widowControl w:val="0"/>
        <w:numPr>
          <w:ilvl w:val="0"/>
          <w:numId w:val="0"/>
        </w:numPr>
        <w:suppressLineNumbers w:val="0"/>
        <w:pBdr>
          <w:bottom w:val="none" w:color="auto" w:sz="0" w:space="0"/>
        </w:pBdr>
        <w:kinsoku/>
        <w:wordWrap/>
        <w:overflowPunct/>
        <w:topLinePunct w:val="0"/>
        <w:autoSpaceDE/>
        <w:autoSpaceDN/>
        <w:bidi w:val="0"/>
        <w:adjustRightInd/>
        <w:snapToGrid/>
        <w:spacing w:before="0" w:beforeAutospacing="0" w:afterAutospacing="0"/>
        <w:ind w:left="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1.</w:t>
      </w:r>
      <w:r>
        <w:rPr>
          <w:rFonts w:ascii="仿宋" w:hAnsi="仿宋" w:eastAsia="仿宋" w:cstheme="minorEastAsia"/>
          <w:color w:val="000000"/>
          <w:kern w:val="0"/>
          <w:sz w:val="32"/>
          <w:szCs w:val="32"/>
          <w:lang w:val="en-US" w:eastAsia="zh-CN" w:bidi="ar"/>
        </w:rPr>
        <w:t>因公出国（境）经费支出0.00万元，完成0.00%</w:t>
      </w:r>
      <w:r>
        <w:rPr>
          <w:rFonts w:hint="eastAsia" w:ascii="仿宋" w:hAnsi="仿宋" w:eastAsia="仿宋" w:cstheme="minorEastAsia"/>
          <w:color w:val="000000"/>
          <w:kern w:val="0"/>
          <w:sz w:val="32"/>
          <w:szCs w:val="32"/>
          <w:lang w:val="en-US" w:eastAsia="zh-CN" w:bidi="ar"/>
        </w:rPr>
        <w:t>。</w:t>
      </w:r>
      <w:r>
        <w:rPr>
          <w:rFonts w:ascii="仿宋" w:hAnsi="仿宋" w:eastAsia="仿宋" w:cstheme="minorEastAsia"/>
          <w:color w:val="000000"/>
          <w:kern w:val="0"/>
          <w:sz w:val="32"/>
          <w:szCs w:val="32"/>
          <w:lang w:val="en-US" w:eastAsia="zh-CN" w:bidi="ar"/>
        </w:rPr>
        <w:t>年安排因公出国（境）团组0次，出国（境）0人。因公出国（境）支出决算比202</w:t>
      </w:r>
      <w:r>
        <w:rPr>
          <w:rFonts w:hint="eastAsia" w:ascii="仿宋" w:hAnsi="仿宋" w:eastAsia="仿宋" w:cstheme="minorEastAsia"/>
          <w:color w:val="000000"/>
          <w:kern w:val="0"/>
          <w:sz w:val="32"/>
          <w:szCs w:val="32"/>
          <w:lang w:val="en-US" w:eastAsia="zh-CN" w:bidi="ar"/>
        </w:rPr>
        <w:t>4</w:t>
      </w:r>
      <w:r>
        <w:rPr>
          <w:rFonts w:ascii="仿宋" w:hAnsi="仿宋" w:eastAsia="仿宋" w:cstheme="minorEastAsia"/>
          <w:color w:val="000000"/>
          <w:kern w:val="0"/>
          <w:sz w:val="32"/>
          <w:szCs w:val="32"/>
          <w:lang w:val="en-US" w:eastAsia="zh-CN" w:bidi="ar"/>
        </w:rPr>
        <w:t>年</w:t>
      </w:r>
      <w:r>
        <w:rPr>
          <w:rFonts w:hint="eastAsia" w:ascii="仿宋" w:hAnsi="仿宋" w:eastAsia="仿宋" w:cstheme="minorEastAsia"/>
          <w:color w:val="000000"/>
          <w:kern w:val="0"/>
          <w:sz w:val="32"/>
          <w:szCs w:val="32"/>
          <w:lang w:val="en-US" w:eastAsia="zh-CN" w:bidi="ar"/>
        </w:rPr>
        <w:t>减少0</w:t>
      </w:r>
      <w:r>
        <w:rPr>
          <w:rFonts w:ascii="仿宋" w:hAnsi="仿宋" w:eastAsia="仿宋" w:cstheme="minorEastAsia"/>
          <w:color w:val="000000"/>
          <w:kern w:val="0"/>
          <w:sz w:val="32"/>
          <w:szCs w:val="32"/>
          <w:lang w:val="en-US" w:eastAsia="zh-CN" w:bidi="ar"/>
        </w:rPr>
        <w:t>万元，增长0.00%</w:t>
      </w:r>
    </w:p>
    <w:p w14:paraId="5D40BE8A">
      <w:pPr>
        <w:pStyle w:val="12"/>
        <w:keepNext w:val="0"/>
        <w:keepLines w:val="0"/>
        <w:pageBreakBefore w:val="0"/>
        <w:widowControl w:val="0"/>
        <w:suppressLineNumbers w:val="0"/>
        <w:pBdr>
          <w:bottom w:val="none" w:color="auto" w:sz="0" w:space="0"/>
        </w:pBdr>
        <w:kinsoku/>
        <w:wordWrap/>
        <w:overflowPunct/>
        <w:topLinePunct w:val="0"/>
        <w:autoSpaceDE/>
        <w:autoSpaceDN/>
        <w:bidi w:val="0"/>
        <w:adjustRightInd/>
        <w:snapToGrid/>
        <w:spacing w:before="0" w:beforeAutospacing="0" w:afterAutospacing="0"/>
        <w:ind w:left="0"/>
        <w:jc w:val="left"/>
        <w:textAlignment w:val="auto"/>
        <w:rPr>
          <w:rFonts w:hint="eastAsia" w:ascii="仿宋_GB2312" w:hAnsi="仿宋_GB2312" w:eastAsia="仿宋_GB2312" w:cs="仿宋_GB2312"/>
          <w:b w:val="0"/>
          <w:bCs/>
          <w:sz w:val="32"/>
          <w:szCs w:val="32"/>
        </w:rPr>
      </w:pPr>
      <w:r>
        <w:rPr>
          <w:rFonts w:ascii="仿宋" w:hAnsi="仿宋" w:eastAsia="仿宋" w:cstheme="minorEastAsia"/>
          <w:color w:val="000000"/>
          <w:kern w:val="0"/>
          <w:sz w:val="32"/>
          <w:szCs w:val="32"/>
          <w:lang w:val="en-US" w:eastAsia="zh-CN" w:bidi="ar"/>
        </w:rPr>
        <w:t>2.公务用车购置及运行维护费支出</w:t>
      </w:r>
      <w:r>
        <w:rPr>
          <w:rFonts w:hint="eastAsia" w:ascii="仿宋" w:hAnsi="仿宋" w:eastAsia="仿宋" w:cstheme="minorEastAsia"/>
          <w:color w:val="000000"/>
          <w:kern w:val="0"/>
          <w:sz w:val="32"/>
          <w:szCs w:val="32"/>
          <w:lang w:val="en-US" w:eastAsia="zh-CN" w:bidi="ar"/>
        </w:rPr>
        <w:t>14</w:t>
      </w:r>
      <w:r>
        <w:rPr>
          <w:rFonts w:ascii="仿宋" w:hAnsi="仿宋" w:eastAsia="仿宋" w:cstheme="minorEastAsia"/>
          <w:color w:val="000000"/>
          <w:kern w:val="0"/>
          <w:sz w:val="32"/>
          <w:szCs w:val="32"/>
          <w:lang w:val="en-US" w:eastAsia="zh-CN" w:bidi="ar"/>
        </w:rPr>
        <w:t>万元</w:t>
      </w:r>
      <w:r>
        <w:rPr>
          <w:rFonts w:hint="eastAsia" w:ascii="仿宋" w:hAnsi="仿宋" w:eastAsia="仿宋" w:cstheme="minorEastAsia"/>
          <w:color w:val="000000"/>
          <w:kern w:val="0"/>
          <w:sz w:val="32"/>
          <w:szCs w:val="32"/>
          <w:lang w:val="en-US" w:eastAsia="zh-CN" w:bidi="ar"/>
        </w:rPr>
        <w:t>，</w:t>
      </w:r>
      <w:r>
        <w:rPr>
          <w:rFonts w:ascii="仿宋" w:hAnsi="仿宋" w:eastAsia="仿宋" w:cstheme="minorEastAsia"/>
          <w:color w:val="000000"/>
          <w:kern w:val="0"/>
          <w:sz w:val="32"/>
          <w:szCs w:val="32"/>
          <w:lang w:val="en-US" w:eastAsia="zh-CN" w:bidi="ar"/>
        </w:rPr>
        <w:t>完成预算100.00%。公务用车购置及运行维护费支出决算</w:t>
      </w:r>
      <w:r>
        <w:rPr>
          <w:rFonts w:hint="eastAsia" w:ascii="仿宋" w:hAnsi="仿宋" w:eastAsia="仿宋" w:cstheme="minorEastAsia"/>
          <w:color w:val="000000"/>
          <w:kern w:val="0"/>
          <w:sz w:val="32"/>
          <w:szCs w:val="32"/>
          <w:lang w:val="en-US" w:eastAsia="zh-CN" w:bidi="ar"/>
        </w:rPr>
        <w:t>与</w:t>
      </w:r>
      <w:r>
        <w:rPr>
          <w:rFonts w:ascii="仿宋" w:hAnsi="仿宋" w:eastAsia="仿宋" w:cstheme="minorEastAsia"/>
          <w:color w:val="000000"/>
          <w:kern w:val="0"/>
          <w:sz w:val="32"/>
          <w:szCs w:val="32"/>
          <w:lang w:val="en-US" w:eastAsia="zh-CN" w:bidi="ar"/>
        </w:rPr>
        <w:t>202</w:t>
      </w:r>
      <w:r>
        <w:rPr>
          <w:rFonts w:hint="eastAsia" w:ascii="仿宋" w:hAnsi="仿宋" w:eastAsia="仿宋" w:cstheme="minorEastAsia"/>
          <w:color w:val="000000"/>
          <w:kern w:val="0"/>
          <w:sz w:val="32"/>
          <w:szCs w:val="32"/>
          <w:lang w:val="en-US" w:eastAsia="zh-CN" w:bidi="ar"/>
        </w:rPr>
        <w:t>4</w:t>
      </w:r>
      <w:r>
        <w:rPr>
          <w:rFonts w:ascii="仿宋" w:hAnsi="仿宋" w:eastAsia="仿宋" w:cstheme="minorEastAsia"/>
          <w:color w:val="000000"/>
          <w:kern w:val="0"/>
          <w:sz w:val="32"/>
          <w:szCs w:val="32"/>
          <w:lang w:val="en-US" w:eastAsia="zh-CN" w:bidi="ar"/>
        </w:rPr>
        <w:t>年</w:t>
      </w:r>
      <w:r>
        <w:rPr>
          <w:rFonts w:hint="eastAsia" w:ascii="仿宋" w:hAnsi="仿宋" w:eastAsia="仿宋" w:cstheme="minorEastAsia"/>
          <w:color w:val="000000"/>
          <w:kern w:val="0"/>
          <w:sz w:val="32"/>
          <w:szCs w:val="32"/>
          <w:lang w:val="en-US" w:eastAsia="zh-CN" w:bidi="ar"/>
        </w:rPr>
        <w:t>持平</w:t>
      </w:r>
      <w:r>
        <w:rPr>
          <w:rFonts w:ascii="仿宋" w:hAnsi="仿宋" w:eastAsia="仿宋" w:cstheme="minorEastAsia"/>
          <w:color w:val="000000"/>
          <w:kern w:val="0"/>
          <w:sz w:val="32"/>
          <w:szCs w:val="32"/>
          <w:lang w:val="en-US" w:eastAsia="zh-CN" w:bidi="ar"/>
        </w:rPr>
        <w:t>。</w:t>
      </w:r>
      <w:r>
        <w:rPr>
          <w:rFonts w:hint="eastAsia" w:ascii="仿宋_GB2312" w:hAnsi="仿宋_GB2312" w:eastAsia="仿宋_GB2312" w:cs="仿宋_GB2312"/>
          <w:b w:val="0"/>
          <w:bCs/>
          <w:sz w:val="32"/>
          <w:szCs w:val="32"/>
          <w:shd w:val="clear" w:color="auto" w:fill="FFFFFF"/>
        </w:rPr>
        <w:t>其中：</w:t>
      </w:r>
      <w:r>
        <w:rPr>
          <w:rStyle w:val="15"/>
          <w:rFonts w:hint="eastAsia" w:ascii="仿宋_GB2312" w:hAnsi="仿宋_GB2312" w:eastAsia="仿宋_GB2312" w:cs="仿宋_GB2312"/>
          <w:b w:val="0"/>
          <w:bCs/>
          <w:sz w:val="32"/>
          <w:szCs w:val="32"/>
          <w:shd w:val="clear" w:color="auto" w:fill="FFFFFF"/>
        </w:rPr>
        <w:t>公务用车购置支出</w:t>
      </w:r>
      <w:r>
        <w:rPr>
          <w:rFonts w:hint="eastAsia" w:ascii="仿宋_GB2312" w:hAnsi="仿宋_GB2312" w:eastAsia="仿宋_GB2312" w:cs="仿宋_GB2312"/>
          <w:b w:val="0"/>
          <w:bCs/>
          <w:sz w:val="32"/>
          <w:szCs w:val="32"/>
          <w:shd w:val="clear" w:color="auto" w:fill="FFFFFF"/>
        </w:rPr>
        <w:t>0.00万元。全年按规定更新购置公务用车0辆</w:t>
      </w:r>
      <w:r>
        <w:rPr>
          <w:rFonts w:hint="eastAsia" w:ascii="仿宋_GB2312" w:hAnsi="仿宋_GB2312" w:eastAsia="仿宋_GB2312" w:cs="仿宋_GB2312"/>
          <w:b w:val="0"/>
          <w:bCs/>
          <w:sz w:val="32"/>
          <w:szCs w:val="32"/>
          <w:shd w:val="clear" w:color="auto" w:fill="FFFFFF"/>
          <w:lang w:eastAsia="zh-CN"/>
        </w:rPr>
        <w:t>。</w:t>
      </w:r>
      <w:r>
        <w:rPr>
          <w:rStyle w:val="15"/>
          <w:rFonts w:hint="eastAsia" w:ascii="仿宋_GB2312" w:hAnsi="仿宋_GB2312" w:eastAsia="仿宋_GB2312" w:cs="仿宋_GB2312"/>
          <w:b w:val="0"/>
          <w:bCs/>
          <w:sz w:val="32"/>
          <w:szCs w:val="32"/>
          <w:shd w:val="clear" w:color="auto" w:fill="FFFFFF"/>
        </w:rPr>
        <w:t>公务用车运行维护费支出</w:t>
      </w:r>
      <w:r>
        <w:rPr>
          <w:rStyle w:val="15"/>
          <w:rFonts w:hint="eastAsia" w:ascii="仿宋_GB2312" w:hAnsi="仿宋_GB2312" w:eastAsia="仿宋_GB2312" w:cs="仿宋_GB2312"/>
          <w:b w:val="0"/>
          <w:bCs/>
          <w:sz w:val="32"/>
          <w:szCs w:val="32"/>
          <w:shd w:val="clear" w:color="auto" w:fill="FFFFFF"/>
          <w:lang w:val="en-US" w:eastAsia="zh-CN"/>
        </w:rPr>
        <w:t>14</w:t>
      </w:r>
      <w:r>
        <w:rPr>
          <w:rFonts w:hint="eastAsia" w:ascii="仿宋_GB2312" w:hAnsi="仿宋_GB2312" w:eastAsia="仿宋_GB2312" w:cs="仿宋_GB2312"/>
          <w:b w:val="0"/>
          <w:bCs/>
          <w:sz w:val="32"/>
          <w:szCs w:val="32"/>
          <w:shd w:val="clear" w:color="auto" w:fill="FFFFFF"/>
        </w:rPr>
        <w:t>万元。主要用于</w:t>
      </w:r>
      <w:r>
        <w:rPr>
          <w:rFonts w:hint="eastAsia" w:ascii="仿宋_GB2312" w:hAnsi="仿宋_GB2312" w:eastAsia="仿宋_GB2312" w:cs="仿宋_GB2312"/>
          <w:b w:val="0"/>
          <w:bCs/>
          <w:sz w:val="32"/>
          <w:szCs w:val="32"/>
          <w:shd w:val="clear" w:color="auto" w:fill="FFFFFF"/>
          <w:lang w:val="en-US" w:eastAsia="zh-CN"/>
        </w:rPr>
        <w:t>日常上县、下村</w:t>
      </w:r>
      <w:r>
        <w:rPr>
          <w:rFonts w:hint="eastAsia" w:ascii="仿宋_GB2312" w:hAnsi="仿宋_GB2312" w:eastAsia="仿宋_GB2312" w:cs="仿宋_GB2312"/>
          <w:b w:val="0"/>
          <w:bCs/>
          <w:sz w:val="32"/>
          <w:szCs w:val="32"/>
          <w:shd w:val="clear" w:color="auto" w:fill="FFFFFF"/>
        </w:rPr>
        <w:t>所需的公务用车燃料费、维修费、过路过桥费、保险费等支出。</w:t>
      </w:r>
    </w:p>
    <w:p w14:paraId="4AC042E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rPr>
          <w:rFonts w:hint="eastAsia" w:ascii="仿宋_GB2312" w:hAnsi="仿宋_GB2312" w:eastAsia="仿宋_GB2312" w:cs="仿宋_GB2312"/>
          <w:b w:val="0"/>
          <w:bCs/>
          <w:sz w:val="32"/>
          <w:szCs w:val="32"/>
        </w:rPr>
      </w:pPr>
      <w:r>
        <w:rPr>
          <w:rStyle w:val="15"/>
          <w:rFonts w:hint="eastAsia" w:ascii="仿宋_GB2312" w:hAnsi="仿宋_GB2312" w:eastAsia="仿宋_GB2312" w:cs="仿宋_GB2312"/>
          <w:b w:val="0"/>
          <w:bCs/>
          <w:sz w:val="32"/>
          <w:szCs w:val="32"/>
          <w:shd w:val="clear" w:color="auto" w:fill="FFFFFF"/>
        </w:rPr>
        <w:t>3.公务接待费支出</w:t>
      </w:r>
      <w:r>
        <w:rPr>
          <w:rFonts w:hint="eastAsia" w:ascii="仿宋_GB2312" w:hAnsi="仿宋_GB2312" w:eastAsia="仿宋_GB2312" w:cs="仿宋_GB2312"/>
          <w:b w:val="0"/>
          <w:bCs/>
          <w:sz w:val="32"/>
          <w:szCs w:val="32"/>
          <w:shd w:val="clear" w:color="auto" w:fill="FFFFFF"/>
        </w:rPr>
        <w:t>0.00万元，</w:t>
      </w:r>
      <w:r>
        <w:rPr>
          <w:rStyle w:val="15"/>
          <w:rFonts w:hint="eastAsia" w:ascii="仿宋_GB2312" w:hAnsi="仿宋_GB2312" w:eastAsia="仿宋_GB2312" w:cs="仿宋_GB2312"/>
          <w:b w:val="0"/>
          <w:bCs/>
          <w:sz w:val="32"/>
          <w:szCs w:val="32"/>
          <w:shd w:val="clear" w:color="auto" w:fill="FFFFFF"/>
        </w:rPr>
        <w:t>完成预算100%。</w:t>
      </w:r>
    </w:p>
    <w:p w14:paraId="11006E5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Chars="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八、政府性基金预算支出决算情况说明</w:t>
      </w:r>
    </w:p>
    <w:p w14:paraId="2CAB0A8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2025</w:t>
      </w:r>
      <w:r>
        <w:rPr>
          <w:rFonts w:ascii="仿宋" w:hAnsi="仿宋" w:eastAsia="仿宋" w:cstheme="minorEastAsia"/>
          <w:color w:val="000000"/>
          <w:kern w:val="0"/>
          <w:sz w:val="32"/>
          <w:szCs w:val="32"/>
          <w:lang w:val="en-US" w:eastAsia="zh-CN" w:bidi="ar"/>
        </w:rPr>
        <w:t>年政府性基金预算财政拨款支出</w:t>
      </w:r>
      <w:r>
        <w:rPr>
          <w:rFonts w:hint="eastAsia" w:ascii="仿宋" w:hAnsi="仿宋" w:eastAsia="仿宋" w:cstheme="minorEastAsia"/>
          <w:color w:val="000000"/>
          <w:kern w:val="0"/>
          <w:sz w:val="32"/>
          <w:szCs w:val="32"/>
          <w:lang w:val="en-US" w:eastAsia="zh-CN" w:bidi="ar"/>
        </w:rPr>
        <w:t>0</w:t>
      </w:r>
      <w:r>
        <w:rPr>
          <w:rFonts w:ascii="仿宋" w:hAnsi="仿宋" w:eastAsia="仿宋" w:cstheme="minorEastAsia"/>
          <w:color w:val="000000"/>
          <w:kern w:val="0"/>
          <w:sz w:val="32"/>
          <w:szCs w:val="32"/>
          <w:lang w:val="en-US" w:eastAsia="zh-CN" w:bidi="ar"/>
        </w:rPr>
        <w:t>万元。</w:t>
      </w:r>
    </w:p>
    <w:p w14:paraId="204BD48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Chars="0"/>
        <w:jc w:val="left"/>
        <w:textAlignment w:val="auto"/>
        <w:rPr>
          <w:rFonts w:ascii="仿宋" w:hAnsi="仿宋" w:eastAsia="仿宋" w:cstheme="minorEastAsia"/>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九、国有资本经营预算支出决算情况说明</w:t>
      </w:r>
    </w:p>
    <w:p w14:paraId="21DA6CA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ascii="仿宋" w:hAnsi="仿宋" w:eastAsia="仿宋" w:cstheme="minorEastAsia"/>
          <w:color w:val="000000"/>
          <w:kern w:val="0"/>
          <w:sz w:val="32"/>
          <w:szCs w:val="32"/>
          <w:lang w:val="en-US" w:eastAsia="zh-CN" w:bidi="ar"/>
        </w:rPr>
      </w:pPr>
      <w:r>
        <w:rPr>
          <w:rFonts w:hint="eastAsia" w:ascii="仿宋" w:hAnsi="仿宋" w:eastAsia="仿宋" w:cstheme="minorEastAsia"/>
          <w:color w:val="000000"/>
          <w:kern w:val="0"/>
          <w:sz w:val="32"/>
          <w:szCs w:val="32"/>
          <w:lang w:val="en-US" w:eastAsia="zh-CN" w:bidi="ar"/>
        </w:rPr>
        <w:t>202</w:t>
      </w:r>
      <w:r>
        <w:rPr>
          <w:rFonts w:ascii="仿宋" w:hAnsi="仿宋" w:eastAsia="仿宋" w:cstheme="minorEastAsia"/>
          <w:color w:val="000000"/>
          <w:kern w:val="0"/>
          <w:sz w:val="32"/>
          <w:szCs w:val="32"/>
          <w:lang w:val="en-US" w:eastAsia="zh-CN" w:bidi="ar"/>
        </w:rPr>
        <w:t>年国有资本经营预算财政拨款支出0万元。 </w:t>
      </w:r>
    </w:p>
    <w:p w14:paraId="2D518C0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3" w:firstLineChars="20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十、其他重要事项的情况说明</w:t>
      </w:r>
    </w:p>
    <w:p w14:paraId="6192970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rPr>
          <w:rFonts w:ascii="仿宋" w:hAnsi="仿宋" w:eastAsia="仿宋" w:cstheme="minorEastAsia"/>
          <w:b/>
          <w:bCs/>
          <w:color w:val="000000"/>
          <w:kern w:val="0"/>
          <w:sz w:val="32"/>
          <w:szCs w:val="32"/>
          <w:lang w:val="en-US" w:eastAsia="zh-CN" w:bidi="ar"/>
        </w:rPr>
      </w:pPr>
      <w:r>
        <w:rPr>
          <w:rFonts w:ascii="仿宋" w:hAnsi="仿宋" w:eastAsia="仿宋" w:cstheme="minorEastAsia"/>
          <w:b/>
          <w:bCs/>
          <w:color w:val="000000"/>
          <w:kern w:val="0"/>
          <w:sz w:val="32"/>
          <w:szCs w:val="32"/>
          <w:lang w:val="en-US" w:eastAsia="zh-CN" w:bidi="ar"/>
        </w:rPr>
        <w:t>（一）机关运行经费支出情况</w:t>
      </w:r>
    </w:p>
    <w:p w14:paraId="3476FB9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firstLine="640" w:firstLineChars="200"/>
        <w:jc w:val="left"/>
        <w:textAlignment w:val="auto"/>
        <w:rPr>
          <w:rFonts w:hint="default" w:ascii="仿宋_GB2312" w:hAnsi="仿宋_GB2312" w:eastAsia="仿宋_GB2312" w:cs="仿宋_GB2312"/>
          <w:strike w:val="0"/>
          <w:dstrike w:val="0"/>
          <w:color w:val="auto"/>
          <w:kern w:val="0"/>
          <w:sz w:val="28"/>
          <w:szCs w:val="28"/>
          <w:shd w:val="clear" w:color="auto" w:fill="auto"/>
          <w:lang w:val="en-US" w:eastAsia="zh-CN" w:bidi="ar"/>
        </w:rPr>
      </w:pPr>
      <w:r>
        <w:rPr>
          <w:rFonts w:hint="eastAsia" w:ascii="仿宋_GB2312" w:hAnsi="仿宋_GB2312" w:eastAsia="仿宋_GB2312" w:cs="仿宋_GB2312"/>
          <w:sz w:val="32"/>
          <w:szCs w:val="32"/>
          <w:shd w:val="clear" w:color="auto" w:fill="FFFFFF"/>
        </w:rPr>
        <w:t>20</w:t>
      </w:r>
      <w:r>
        <w:rPr>
          <w:rFonts w:hint="eastAsia" w:ascii="仿宋_GB2312" w:hAnsi="仿宋_GB2312" w:eastAsia="仿宋_GB2312" w:cs="仿宋_GB2312"/>
          <w:sz w:val="32"/>
          <w:szCs w:val="32"/>
          <w:shd w:val="clear" w:color="auto" w:fill="FFFFFF"/>
          <w:lang w:val="en-US" w:eastAsia="zh-CN"/>
        </w:rPr>
        <w:t>25</w:t>
      </w:r>
      <w:r>
        <w:rPr>
          <w:rFonts w:hint="eastAsia" w:ascii="仿宋_GB2312" w:hAnsi="仿宋_GB2312" w:eastAsia="仿宋_GB2312" w:cs="仿宋_GB2312"/>
          <w:sz w:val="32"/>
          <w:szCs w:val="32"/>
          <w:shd w:val="clear" w:color="auto" w:fill="FFFFFF"/>
        </w:rPr>
        <w:t>年，阿坝州松潘县毛尔盖镇人民政府机关运行经费支出</w:t>
      </w:r>
      <w:r>
        <w:rPr>
          <w:rFonts w:hint="eastAsia" w:ascii="仿宋_GB2312" w:hAnsi="仿宋_GB2312" w:eastAsia="仿宋_GB2312" w:cs="仿宋_GB2312"/>
          <w:sz w:val="32"/>
          <w:szCs w:val="32"/>
          <w:shd w:val="clear" w:color="auto" w:fill="FFFFFF"/>
          <w:lang w:val="en-US" w:eastAsia="zh-CN"/>
        </w:rPr>
        <w:t>63.87</w:t>
      </w:r>
      <w:r>
        <w:rPr>
          <w:rFonts w:hint="eastAsia" w:ascii="仿宋_GB2312" w:hAnsi="仿宋_GB2312" w:eastAsia="仿宋_GB2312" w:cs="仿宋_GB2312"/>
          <w:sz w:val="32"/>
          <w:szCs w:val="32"/>
          <w:shd w:val="clear" w:color="auto" w:fill="FFFFFF"/>
        </w:rPr>
        <w:t>万元，比202</w:t>
      </w:r>
      <w:r>
        <w:rPr>
          <w:rFonts w:hint="eastAsia" w:ascii="仿宋_GB2312" w:hAnsi="仿宋_GB2312" w:eastAsia="仿宋_GB2312" w:cs="仿宋_GB2312"/>
          <w:sz w:val="32"/>
          <w:szCs w:val="32"/>
          <w:shd w:val="clear" w:color="auto" w:fill="FFFFFF"/>
          <w:lang w:val="en-US" w:eastAsia="zh-CN"/>
        </w:rPr>
        <w:t>4</w:t>
      </w:r>
      <w:r>
        <w:rPr>
          <w:rFonts w:hint="eastAsia" w:ascii="仿宋_GB2312" w:hAnsi="仿宋_GB2312" w:eastAsia="仿宋_GB2312" w:cs="仿宋_GB2312"/>
          <w:sz w:val="32"/>
          <w:szCs w:val="32"/>
          <w:shd w:val="clear" w:color="auto" w:fill="FFFFFF"/>
        </w:rPr>
        <w:t>年增加</w:t>
      </w:r>
      <w:r>
        <w:rPr>
          <w:rFonts w:hint="eastAsia" w:ascii="仿宋_GB2312" w:hAnsi="仿宋_GB2312" w:eastAsia="仿宋_GB2312" w:cs="仿宋_GB2312"/>
          <w:sz w:val="32"/>
          <w:szCs w:val="32"/>
          <w:shd w:val="clear" w:color="auto" w:fill="FFFFFF"/>
          <w:lang w:val="en-US" w:eastAsia="zh-CN"/>
        </w:rPr>
        <w:t>11.06</w:t>
      </w:r>
      <w:r>
        <w:rPr>
          <w:rFonts w:hint="eastAsia" w:ascii="仿宋_GB2312" w:hAnsi="仿宋_GB2312" w:eastAsia="仿宋_GB2312" w:cs="仿宋_GB2312"/>
          <w:sz w:val="32"/>
          <w:szCs w:val="32"/>
          <w:shd w:val="clear" w:color="auto" w:fill="FFFFFF"/>
        </w:rPr>
        <w:t>万元，增长</w:t>
      </w:r>
      <w:r>
        <w:rPr>
          <w:rFonts w:hint="eastAsia" w:ascii="仿宋_GB2312" w:hAnsi="仿宋_GB2312" w:eastAsia="仿宋_GB2312" w:cs="仿宋_GB2312"/>
          <w:sz w:val="32"/>
          <w:szCs w:val="32"/>
          <w:shd w:val="clear" w:color="auto" w:fill="FFFFFF"/>
          <w:lang w:val="en-US" w:eastAsia="zh-CN"/>
        </w:rPr>
        <w:t>17.31</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color w:val="auto"/>
          <w:sz w:val="32"/>
          <w:szCs w:val="32"/>
          <w:lang w:val="en-US" w:eastAsia="zh-CN"/>
        </w:rPr>
        <w:t>增加的主要原因人员增加，办公经费开支增加。</w:t>
      </w:r>
    </w:p>
    <w:p w14:paraId="3D92704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rPr>
          <w:rFonts w:hint="eastAsia" w:ascii="楷体_GB2312" w:hAnsi="楷体_GB2312" w:eastAsia="楷体_GB2312" w:cs="楷体_GB2312"/>
          <w:sz w:val="32"/>
          <w:szCs w:val="32"/>
        </w:rPr>
      </w:pPr>
      <w:r>
        <w:rPr>
          <w:rStyle w:val="15"/>
          <w:rFonts w:hint="eastAsia" w:ascii="楷体_GB2312" w:hAnsi="楷体_GB2312" w:eastAsia="楷体_GB2312" w:cs="楷体_GB2312"/>
          <w:sz w:val="32"/>
          <w:szCs w:val="32"/>
          <w:shd w:val="clear" w:color="auto" w:fill="FFFFFF"/>
        </w:rPr>
        <w:t>（二）政府采购支出情况</w:t>
      </w:r>
    </w:p>
    <w:p w14:paraId="74FE967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年，阿坝州松潘县毛</w:t>
      </w:r>
      <w:r>
        <w:rPr>
          <w:rFonts w:hint="eastAsia" w:ascii="仿宋_GB2312" w:hAnsi="仿宋_GB2312" w:eastAsia="仿宋_GB2312" w:cs="仿宋_GB2312"/>
          <w:sz w:val="32"/>
          <w:szCs w:val="32"/>
          <w:shd w:val="clear" w:color="auto" w:fill="FFFFFF"/>
          <w:lang w:val="en-US" w:eastAsia="zh-CN"/>
        </w:rPr>
        <w:t>儿</w:t>
      </w:r>
      <w:r>
        <w:rPr>
          <w:rFonts w:hint="eastAsia" w:ascii="仿宋_GB2312" w:hAnsi="仿宋_GB2312" w:eastAsia="仿宋_GB2312" w:cs="仿宋_GB2312"/>
          <w:sz w:val="32"/>
          <w:szCs w:val="32"/>
          <w:shd w:val="clear" w:color="auto" w:fill="FFFFFF"/>
        </w:rPr>
        <w:t>盖镇人民政府政府采购支出总额0.00万元。</w:t>
      </w:r>
    </w:p>
    <w:p w14:paraId="52FCD50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rPr>
          <w:rFonts w:hint="eastAsia" w:ascii="楷体_GB2312" w:hAnsi="楷体_GB2312" w:eastAsia="楷体_GB2312" w:cs="楷体_GB2312"/>
          <w:sz w:val="32"/>
          <w:szCs w:val="32"/>
        </w:rPr>
      </w:pPr>
      <w:r>
        <w:rPr>
          <w:rStyle w:val="15"/>
          <w:rFonts w:hint="eastAsia" w:ascii="楷体_GB2312" w:hAnsi="楷体_GB2312" w:eastAsia="楷体_GB2312" w:cs="楷体_GB2312"/>
          <w:sz w:val="32"/>
          <w:szCs w:val="32"/>
          <w:shd w:val="clear" w:color="auto" w:fill="FFFFFF"/>
        </w:rPr>
        <w:t>（三）国有资产占有使用情况</w:t>
      </w:r>
    </w:p>
    <w:p w14:paraId="591B34A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截至202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年12月31日，阿坝州松潘县毛尔盖镇人民政府共有车辆</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辆，其中：</w:t>
      </w:r>
      <w:r>
        <w:rPr>
          <w:rFonts w:hint="eastAsia" w:ascii="仿宋_GB2312" w:hAnsi="仿宋_GB2312" w:eastAsia="仿宋_GB2312" w:cs="仿宋_GB2312"/>
          <w:sz w:val="32"/>
          <w:szCs w:val="32"/>
          <w:shd w:val="clear" w:color="auto" w:fill="FFFFFF"/>
          <w:lang w:val="en-US" w:eastAsia="zh-CN"/>
        </w:rPr>
        <w:t>特种专业用车1辆，</w:t>
      </w:r>
      <w:r>
        <w:rPr>
          <w:rFonts w:hint="eastAsia" w:ascii="仿宋_GB2312" w:hAnsi="仿宋_GB2312" w:eastAsia="仿宋_GB2312" w:cs="仿宋_GB2312"/>
          <w:sz w:val="32"/>
          <w:szCs w:val="32"/>
          <w:shd w:val="clear" w:color="auto" w:fill="FFFFFF"/>
        </w:rPr>
        <w:t>机要通信用车</w:t>
      </w:r>
      <w:r>
        <w:rPr>
          <w:rFonts w:hint="eastAsia" w:ascii="仿宋_GB2312" w:hAnsi="仿宋_GB2312" w:eastAsia="仿宋_GB2312" w:cs="仿宋_GB2312"/>
          <w:sz w:val="32"/>
          <w:szCs w:val="32"/>
          <w:shd w:val="clear" w:color="auto" w:fill="FFFFFF"/>
          <w:lang w:val="en-US" w:eastAsia="zh-CN"/>
        </w:rPr>
        <w:t>1</w:t>
      </w:r>
      <w:r>
        <w:rPr>
          <w:rFonts w:hint="eastAsia" w:ascii="仿宋_GB2312" w:hAnsi="仿宋_GB2312" w:eastAsia="仿宋_GB2312" w:cs="仿宋_GB2312"/>
          <w:sz w:val="32"/>
          <w:szCs w:val="32"/>
          <w:shd w:val="clear" w:color="auto" w:fill="FFFFFF"/>
        </w:rPr>
        <w:t>辆、其他用车</w:t>
      </w:r>
      <w:r>
        <w:rPr>
          <w:rFonts w:hint="eastAsia" w:ascii="仿宋_GB2312" w:hAnsi="仿宋_GB2312" w:eastAsia="仿宋_GB2312" w:cs="仿宋_GB2312"/>
          <w:sz w:val="32"/>
          <w:szCs w:val="32"/>
          <w:shd w:val="clear" w:color="auto" w:fill="FFFFFF"/>
          <w:lang w:val="en-US" w:eastAsia="zh-CN"/>
        </w:rPr>
        <w:t>3</w:t>
      </w:r>
      <w:r>
        <w:rPr>
          <w:rFonts w:hint="eastAsia" w:ascii="仿宋_GB2312" w:hAnsi="仿宋_GB2312" w:eastAsia="仿宋_GB2312" w:cs="仿宋_GB2312"/>
          <w:sz w:val="32"/>
          <w:szCs w:val="32"/>
          <w:shd w:val="clear" w:color="auto" w:fill="FFFFFF"/>
        </w:rPr>
        <w:t>辆。</w:t>
      </w:r>
    </w:p>
    <w:p w14:paraId="48861F8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rPr>
          <w:rFonts w:hint="eastAsia" w:ascii="楷体_GB2312" w:hAnsi="楷体_GB2312" w:eastAsia="楷体_GB2312" w:cs="楷体_GB2312"/>
          <w:sz w:val="32"/>
          <w:szCs w:val="32"/>
        </w:rPr>
      </w:pPr>
      <w:r>
        <w:rPr>
          <w:rStyle w:val="15"/>
          <w:rFonts w:hint="eastAsia" w:ascii="楷体_GB2312" w:hAnsi="楷体_GB2312" w:eastAsia="楷体_GB2312" w:cs="楷体_GB2312"/>
          <w:sz w:val="32"/>
          <w:szCs w:val="32"/>
          <w:shd w:val="clear" w:color="auto" w:fill="FFFFFF"/>
        </w:rPr>
        <w:t>（四）预算绩效管理情况</w:t>
      </w:r>
    </w:p>
    <w:p w14:paraId="07E1FC4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根据预算绩效管理要求，</w:t>
      </w:r>
      <w:r>
        <w:rPr>
          <w:rFonts w:hint="eastAsia" w:ascii="仿宋_GB2312" w:hAnsi="仿宋_GB2312" w:eastAsia="仿宋_GB2312" w:cs="仿宋_GB2312"/>
          <w:color w:val="auto"/>
          <w:sz w:val="32"/>
          <w:szCs w:val="32"/>
          <w:lang w:val="en-US" w:eastAsia="zh-CN"/>
        </w:rPr>
        <w:t>本部门对2025年一般公共预算项目支出开展了绩效目标管理，共编制绩效目标3个，</w:t>
      </w:r>
      <w:r>
        <w:rPr>
          <w:rFonts w:hint="eastAsia" w:ascii="仿宋_GB2312" w:hAnsi="仿宋_GB2312" w:eastAsia="仿宋_GB2312" w:cs="仿宋_GB2312"/>
          <w:sz w:val="32"/>
          <w:szCs w:val="32"/>
          <w:shd w:val="clear" w:color="auto" w:fill="FFFFFF"/>
        </w:rPr>
        <w:t>绩效自评表详见第四部分附件。</w:t>
      </w:r>
    </w:p>
    <w:p w14:paraId="2CFF61D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 </w:t>
      </w:r>
    </w:p>
    <w:p w14:paraId="645E727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center"/>
        <w:textAlignment w:val="auto"/>
        <w:outlineLvl w:val="0"/>
        <w:rPr>
          <w:rFonts w:hint="eastAsia" w:ascii="方正小标宋简体" w:hAnsi="方正小标宋简体" w:eastAsia="方正小标宋简体" w:cs="方正小标宋简体"/>
          <w:color w:val="auto"/>
          <w:sz w:val="44"/>
          <w:szCs w:val="44"/>
          <w:lang w:eastAsia="zh-CN"/>
        </w:rPr>
      </w:pPr>
      <w:bookmarkStart w:id="2" w:name="_Toc26671"/>
      <w:bookmarkStart w:id="3" w:name="_Toc23643"/>
      <w:bookmarkStart w:id="4" w:name="_Toc31279"/>
    </w:p>
    <w:p w14:paraId="04F6470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center"/>
        <w:textAlignment w:val="auto"/>
        <w:outlineLvl w:val="0"/>
        <w:rPr>
          <w:rFonts w:hint="eastAsia" w:ascii="方正小标宋简体" w:hAnsi="方正小标宋简体" w:eastAsia="方正小标宋简体" w:cs="方正小标宋简体"/>
          <w:color w:val="auto"/>
          <w:sz w:val="44"/>
          <w:szCs w:val="44"/>
          <w:lang w:eastAsia="zh-CN"/>
        </w:rPr>
      </w:pPr>
    </w:p>
    <w:p w14:paraId="4B23AA6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center"/>
        <w:textAlignment w:val="auto"/>
        <w:outlineLvl w:val="0"/>
        <w:rPr>
          <w:rFonts w:hint="eastAsia" w:ascii="方正小标宋简体" w:hAnsi="方正小标宋简体" w:eastAsia="方正小标宋简体" w:cs="方正小标宋简体"/>
          <w:color w:val="auto"/>
          <w:sz w:val="44"/>
          <w:szCs w:val="44"/>
          <w:lang w:eastAsia="zh-CN"/>
        </w:rPr>
      </w:pPr>
    </w:p>
    <w:p w14:paraId="78F6C5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center"/>
        <w:textAlignment w:val="auto"/>
        <w:outlineLvl w:val="0"/>
        <w:rPr>
          <w:rFonts w:hint="eastAsia" w:ascii="方正小标宋简体" w:hAnsi="方正小标宋简体" w:eastAsia="方正小标宋简体" w:cs="方正小标宋简体"/>
          <w:color w:val="auto"/>
          <w:sz w:val="44"/>
          <w:szCs w:val="44"/>
          <w:lang w:eastAsia="zh-CN"/>
        </w:rPr>
      </w:pPr>
    </w:p>
    <w:p w14:paraId="096EA30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center"/>
        <w:textAlignment w:val="auto"/>
        <w:outlineLvl w:val="0"/>
        <w:rPr>
          <w:rFonts w:hint="eastAsia" w:ascii="方正小标宋简体" w:hAnsi="方正小标宋简体" w:eastAsia="方正小标宋简体" w:cs="方正小标宋简体"/>
          <w:color w:val="auto"/>
          <w:sz w:val="44"/>
          <w:szCs w:val="44"/>
          <w:lang w:eastAsia="zh-CN"/>
        </w:rPr>
      </w:pPr>
    </w:p>
    <w:p w14:paraId="6778FBA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center"/>
        <w:textAlignment w:val="auto"/>
        <w:outlineLvl w:val="0"/>
        <w:rPr>
          <w:rFonts w:hint="eastAsia" w:ascii="方正小标宋简体" w:hAnsi="方正小标宋简体" w:eastAsia="方正小标宋简体" w:cs="方正小标宋简体"/>
          <w:color w:val="auto"/>
          <w:sz w:val="44"/>
          <w:szCs w:val="44"/>
          <w:lang w:eastAsia="zh-CN"/>
        </w:rPr>
      </w:pPr>
    </w:p>
    <w:p w14:paraId="6803829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center"/>
        <w:textAlignment w:val="auto"/>
        <w:outlineLvl w:val="0"/>
        <w:rPr>
          <w:rFonts w:hint="eastAsia" w:ascii="方正小标宋简体" w:hAnsi="方正小标宋简体" w:eastAsia="方正小标宋简体" w:cs="方正小标宋简体"/>
          <w:color w:val="auto"/>
          <w:sz w:val="44"/>
          <w:szCs w:val="44"/>
          <w:lang w:eastAsia="zh-CN"/>
        </w:rPr>
      </w:pPr>
    </w:p>
    <w:p w14:paraId="7C8F85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center"/>
        <w:textAlignment w:val="auto"/>
        <w:outlineLvl w:val="0"/>
        <w:rPr>
          <w:rFonts w:hint="eastAsia" w:ascii="方正小标宋简体" w:hAnsi="方正小标宋简体" w:eastAsia="方正小标宋简体" w:cs="方正小标宋简体"/>
          <w:color w:val="auto"/>
          <w:sz w:val="44"/>
          <w:szCs w:val="44"/>
          <w:lang w:eastAsia="zh-CN"/>
        </w:rPr>
      </w:pPr>
    </w:p>
    <w:p w14:paraId="74664C3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firstLineChars="0"/>
        <w:jc w:val="both"/>
        <w:textAlignment w:val="auto"/>
        <w:outlineLvl w:val="0"/>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 xml:space="preserve">                 </w:t>
      </w:r>
    </w:p>
    <w:p w14:paraId="3355EFF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firstLineChars="0"/>
        <w:jc w:val="both"/>
        <w:textAlignment w:val="auto"/>
        <w:outlineLvl w:val="0"/>
        <w:rPr>
          <w:rFonts w:hint="eastAsia" w:ascii="方正小标宋简体" w:hAnsi="方正小标宋简体" w:eastAsia="方正小标宋简体" w:cs="方正小标宋简体"/>
          <w:color w:val="auto"/>
          <w:sz w:val="44"/>
          <w:szCs w:val="44"/>
          <w:lang w:eastAsia="zh-CN"/>
        </w:rPr>
      </w:pPr>
    </w:p>
    <w:p w14:paraId="31AA6DD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firstLineChars="0"/>
        <w:jc w:val="both"/>
        <w:textAlignment w:val="auto"/>
        <w:outlineLvl w:val="0"/>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 xml:space="preserve">                   </w:t>
      </w:r>
    </w:p>
    <w:p w14:paraId="3B0FE8E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firstLineChars="0"/>
        <w:jc w:val="both"/>
        <w:textAlignment w:val="auto"/>
        <w:outlineLvl w:val="0"/>
        <w:rPr>
          <w:rFonts w:hint="eastAsia" w:ascii="方正小标宋简体" w:hAnsi="方正小标宋简体" w:eastAsia="方正小标宋简体" w:cs="方正小标宋简体"/>
          <w:color w:val="auto"/>
          <w:sz w:val="44"/>
          <w:szCs w:val="44"/>
          <w:lang w:eastAsia="zh-CN"/>
        </w:rPr>
      </w:pPr>
    </w:p>
    <w:p w14:paraId="127EC41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firstLineChars="0"/>
        <w:jc w:val="both"/>
        <w:textAlignment w:val="auto"/>
        <w:outlineLvl w:val="0"/>
        <w:rPr>
          <w:rFonts w:hint="eastAsia" w:ascii="方正小标宋简体" w:hAnsi="方正小标宋简体" w:eastAsia="方正小标宋简体" w:cs="方正小标宋简体"/>
          <w:color w:val="auto"/>
          <w:sz w:val="44"/>
          <w:szCs w:val="44"/>
          <w:lang w:eastAsia="zh-CN"/>
        </w:rPr>
      </w:pPr>
    </w:p>
    <w:p w14:paraId="0A55129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firstLine="2200" w:firstLineChars="500"/>
        <w:jc w:val="both"/>
        <w:textAlignment w:val="auto"/>
        <w:outlineLvl w:val="0"/>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第三部分 名词解释</w:t>
      </w:r>
      <w:bookmarkEnd w:id="2"/>
      <w:bookmarkEnd w:id="3"/>
      <w:bookmarkEnd w:id="4"/>
    </w:p>
    <w:p w14:paraId="385A615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both"/>
        <w:textAlignment w:val="auto"/>
        <w:outlineLvl w:val="1"/>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w:t>
      </w:r>
      <w:bookmarkStart w:id="5" w:name="_Toc20652"/>
      <w:r>
        <w:rPr>
          <w:rFonts w:hint="eastAsia" w:ascii="仿宋_GB2312" w:hAnsi="仿宋_GB2312" w:eastAsia="仿宋_GB2312" w:cs="仿宋_GB2312"/>
          <w:strike w:val="0"/>
          <w:dstrike w:val="0"/>
          <w:color w:val="auto"/>
          <w:kern w:val="0"/>
          <w:sz w:val="32"/>
          <w:szCs w:val="32"/>
          <w:shd w:val="clear" w:color="auto" w:fill="auto"/>
          <w:lang w:val="en-US" w:eastAsia="zh-CN" w:bidi="ar"/>
        </w:rPr>
        <w:t>1.财政拨款收入：指县级财政当年拨付的资金。</w:t>
      </w:r>
      <w:bookmarkEnd w:id="5"/>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w:t>
      </w:r>
    </w:p>
    <w:p w14:paraId="6191BC0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2.年初结转和结余：指以前年度尚未完成、结转到本年按有关规定继续使用的资金。 </w:t>
      </w:r>
    </w:p>
    <w:p w14:paraId="290875A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firstLine="669"/>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3.一般公共服务（类）201（款）03（项）01：指行政运行。（类）201（款）03（项）02：指一般行政管理事务。　　   </w:t>
      </w:r>
    </w:p>
    <w:p w14:paraId="3B9F250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firstLine="669"/>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4.社会保障和就业（类）208（款）05（项）05：指机关事业单位基本养老保险。（类）208（款）08（项）06：指机关事业单位职业年金缴费。</w:t>
      </w:r>
    </w:p>
    <w:p w14:paraId="41F30CF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5.医疗卫生与计划生育（类）210（款）11（项）01：指行政单位医疗。（类）210（款）11（项）03：指公务员医疗补助。</w:t>
      </w:r>
    </w:p>
    <w:p w14:paraId="4AB7EA5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7.住房保障（类）221（款）02（项）01：指住房公积金。 </w:t>
      </w:r>
    </w:p>
    <w:p w14:paraId="188AA88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8.年末结转和结余：指本年度或以前年度预算安排、因客观条件发生变化无法按原计划实施，需延迟到以后年度按有关规定继续使用的资金。 </w:t>
      </w:r>
    </w:p>
    <w:p w14:paraId="23458DD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9.基本支出：指为保障机构正常运转、完成日常工作任务而发生的人员支出和公用支出。 </w:t>
      </w:r>
    </w:p>
    <w:p w14:paraId="0CDF049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10.项目支出：指在基本支出之外为完成特定行政任务和事业发展目标所发生的支出。 </w:t>
      </w:r>
    </w:p>
    <w:p w14:paraId="560E8AB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11.“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68C8442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firstLine="644"/>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22F65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 </w:t>
      </w:r>
    </w:p>
    <w:p w14:paraId="575FE6B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rPr>
          <w:sz w:val="39"/>
          <w:szCs w:val="39"/>
          <w:shd w:val="clear" w:color="auto" w:fill="FFFFFF"/>
        </w:rPr>
      </w:pPr>
    </w:p>
    <w:p w14:paraId="3F08B55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rPr>
          <w:sz w:val="39"/>
          <w:szCs w:val="39"/>
          <w:shd w:val="clear" w:color="auto" w:fill="FFFFFF"/>
        </w:rPr>
      </w:pPr>
    </w:p>
    <w:p w14:paraId="48143DE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rPr>
          <w:sz w:val="39"/>
          <w:szCs w:val="39"/>
          <w:shd w:val="clear" w:color="auto" w:fill="FFFFFF"/>
        </w:rPr>
      </w:pPr>
    </w:p>
    <w:p w14:paraId="6284CB49">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rPr>
          <w:sz w:val="39"/>
          <w:szCs w:val="39"/>
          <w:shd w:val="clear" w:color="auto" w:fill="FFFFFF"/>
        </w:rPr>
      </w:pPr>
    </w:p>
    <w:p w14:paraId="12CEECE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rPr>
          <w:sz w:val="39"/>
          <w:szCs w:val="39"/>
          <w:shd w:val="clear" w:color="auto" w:fill="FFFFFF"/>
        </w:rPr>
      </w:pPr>
    </w:p>
    <w:p w14:paraId="7046AFC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rPr>
          <w:sz w:val="39"/>
          <w:szCs w:val="39"/>
          <w:shd w:val="clear" w:color="auto" w:fill="FFFFFF"/>
        </w:rPr>
      </w:pPr>
    </w:p>
    <w:p w14:paraId="7B2B7019">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rPr>
          <w:sz w:val="39"/>
          <w:szCs w:val="39"/>
          <w:shd w:val="clear" w:color="auto" w:fill="FFFFFF"/>
        </w:rPr>
      </w:pPr>
    </w:p>
    <w:p w14:paraId="5955470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rPr>
          <w:sz w:val="39"/>
          <w:szCs w:val="39"/>
          <w:shd w:val="clear" w:color="auto" w:fill="FFFFFF"/>
        </w:rPr>
      </w:pPr>
    </w:p>
    <w:p w14:paraId="2104929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rPr>
          <w:sz w:val="39"/>
          <w:szCs w:val="39"/>
          <w:shd w:val="clear" w:color="auto" w:fill="FFFFFF"/>
        </w:rPr>
      </w:pPr>
    </w:p>
    <w:p w14:paraId="012F489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rPr>
          <w:sz w:val="39"/>
          <w:szCs w:val="39"/>
          <w:shd w:val="clear" w:color="auto" w:fill="FFFFFF"/>
        </w:rPr>
      </w:pPr>
    </w:p>
    <w:p w14:paraId="6418DCA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both"/>
        <w:textAlignment w:val="auto"/>
      </w:pPr>
      <w:r>
        <w:rPr>
          <w:rFonts w:hint="eastAsia"/>
          <w:sz w:val="39"/>
          <w:szCs w:val="39"/>
          <w:shd w:val="clear" w:color="auto" w:fill="FFFFFF"/>
        </w:rPr>
        <w:t xml:space="preserve">              </w:t>
      </w:r>
      <w:r>
        <w:rPr>
          <w:rStyle w:val="15"/>
          <w:sz w:val="39"/>
          <w:szCs w:val="39"/>
          <w:shd w:val="clear" w:color="auto" w:fill="FFFFFF"/>
        </w:rPr>
        <w:t>第四部分 附件</w:t>
      </w:r>
    </w:p>
    <w:p w14:paraId="4EE9F77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 </w:t>
      </w:r>
    </w:p>
    <w:p w14:paraId="4F5B3D3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rPr>
          <w:shd w:val="clear" w:color="auto" w:fill="FFFFFF"/>
        </w:rPr>
        <w:t>部门预算项目支出绩效自评表（202</w:t>
      </w:r>
      <w:r>
        <w:rPr>
          <w:rFonts w:hint="eastAsia"/>
          <w:shd w:val="clear" w:color="auto" w:fill="FFFFFF"/>
        </w:rPr>
        <w:t>4</w:t>
      </w:r>
      <w:r>
        <w:rPr>
          <w:shd w:val="clear" w:color="auto" w:fill="FFFFFF"/>
        </w:rPr>
        <w:t>年度）</w:t>
      </w:r>
    </w:p>
    <w:p w14:paraId="2C3BCAF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rPr>
          <w:shd w:val="clear" w:color="auto" w:fill="FFFFFF"/>
        </w:rPr>
        <w:t> </w:t>
      </w:r>
    </w:p>
    <w:p w14:paraId="3296979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（备注：按照绩效自评工作安排，各单位可在预算管理一体化系统—综合报表查询—预算绩效报表模块中下载本单位“部门预算项目支出绩效自评表（202</w:t>
      </w:r>
      <w:r>
        <w:rPr>
          <w:rFonts w:hint="eastAsia"/>
          <w:shd w:val="clear" w:color="auto" w:fill="FFFFFF"/>
          <w:lang w:val="en-US" w:eastAsia="zh-CN"/>
        </w:rPr>
        <w:t>3</w:t>
      </w:r>
      <w:r>
        <w:rPr>
          <w:shd w:val="clear" w:color="auto" w:fill="FFFFFF"/>
        </w:rPr>
        <w:t>年度）”，该表格应作为附件予以公开。）</w:t>
      </w:r>
    </w:p>
    <w:p w14:paraId="1F18531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rPr>
          <w:shd w:val="clear" w:color="auto" w:fill="FFFFFF"/>
        </w:rPr>
        <w:t> </w:t>
      </w:r>
    </w:p>
    <w:p w14:paraId="2C297B0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附表</w:t>
      </w:r>
    </w:p>
    <w:tbl>
      <w:tblPr>
        <w:tblStyle w:val="13"/>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010"/>
        <w:gridCol w:w="1170"/>
        <w:gridCol w:w="1665"/>
        <w:gridCol w:w="1215"/>
        <w:gridCol w:w="1260"/>
        <w:gridCol w:w="2445"/>
      </w:tblGrid>
      <w:tr w14:paraId="5E8686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5" w:hRule="atLeast"/>
          <w:tblCellSpacing w:w="0" w:type="dxa"/>
        </w:trPr>
        <w:tc>
          <w:tcPr>
            <w:tcW w:w="9765" w:type="dxa"/>
            <w:gridSpan w:val="6"/>
            <w:noWrap/>
            <w:vAlign w:val="center"/>
          </w:tcPr>
          <w:p w14:paraId="3AAF047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rPr>
                <w:rStyle w:val="15"/>
              </w:rPr>
              <w:t>202</w:t>
            </w:r>
            <w:r>
              <w:rPr>
                <w:rStyle w:val="15"/>
                <w:rFonts w:hint="eastAsia"/>
                <w:lang w:val="en-US" w:eastAsia="zh-CN"/>
              </w:rPr>
              <w:t>3</w:t>
            </w:r>
            <w:r>
              <w:rPr>
                <w:rStyle w:val="15"/>
              </w:rPr>
              <w:t>年100万元以上（含）特定目标类部门预算项目绩效目标自评</w:t>
            </w:r>
          </w:p>
        </w:tc>
      </w:tr>
      <w:tr w14:paraId="3BD8E1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3180" w:type="dxa"/>
            <w:gridSpan w:val="2"/>
            <w:noWrap/>
            <w:vAlign w:val="center"/>
          </w:tcPr>
          <w:p w14:paraId="0E19787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主管部门及代码</w:t>
            </w:r>
          </w:p>
        </w:tc>
        <w:tc>
          <w:tcPr>
            <w:tcW w:w="2880" w:type="dxa"/>
            <w:gridSpan w:val="2"/>
            <w:noWrap/>
            <w:vAlign w:val="center"/>
          </w:tcPr>
          <w:p w14:paraId="4DFB470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637E1A6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实施单位</w:t>
            </w:r>
          </w:p>
        </w:tc>
        <w:tc>
          <w:tcPr>
            <w:tcW w:w="2445" w:type="dxa"/>
            <w:noWrap/>
            <w:vAlign w:val="center"/>
          </w:tcPr>
          <w:p w14:paraId="6DD766E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6153A6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3180" w:type="dxa"/>
            <w:gridSpan w:val="2"/>
            <w:vMerge w:val="restart"/>
            <w:noWrap/>
            <w:vAlign w:val="center"/>
          </w:tcPr>
          <w:p w14:paraId="72DF0F9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项目预算</w:t>
            </w:r>
          </w:p>
          <w:p w14:paraId="3BD0D05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执行情况</w:t>
            </w:r>
          </w:p>
          <w:p w14:paraId="27A4C0A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（万元）</w:t>
            </w:r>
          </w:p>
        </w:tc>
        <w:tc>
          <w:tcPr>
            <w:tcW w:w="1665" w:type="dxa"/>
            <w:noWrap/>
            <w:vAlign w:val="center"/>
          </w:tcPr>
          <w:p w14:paraId="4D6A789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预算数：</w:t>
            </w:r>
          </w:p>
        </w:tc>
        <w:tc>
          <w:tcPr>
            <w:tcW w:w="1215" w:type="dxa"/>
            <w:noWrap/>
            <w:vAlign w:val="center"/>
          </w:tcPr>
          <w:p w14:paraId="6A9B155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68F0F5E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执行数：</w:t>
            </w:r>
          </w:p>
        </w:tc>
        <w:tc>
          <w:tcPr>
            <w:tcW w:w="2445" w:type="dxa"/>
            <w:noWrap/>
            <w:vAlign w:val="center"/>
          </w:tcPr>
          <w:p w14:paraId="2C48C17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46F669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55" w:hRule="atLeast"/>
          <w:tblCellSpacing w:w="0" w:type="dxa"/>
        </w:trPr>
        <w:tc>
          <w:tcPr>
            <w:tcW w:w="3180" w:type="dxa"/>
            <w:gridSpan w:val="2"/>
            <w:vMerge w:val="continue"/>
            <w:noWrap/>
            <w:vAlign w:val="center"/>
          </w:tcPr>
          <w:p w14:paraId="102E2904">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665" w:type="dxa"/>
            <w:noWrap/>
            <w:vAlign w:val="center"/>
          </w:tcPr>
          <w:p w14:paraId="5EC2AF5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其中：</w:t>
            </w:r>
          </w:p>
          <w:p w14:paraId="2B5892D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财政拨款</w:t>
            </w:r>
          </w:p>
        </w:tc>
        <w:tc>
          <w:tcPr>
            <w:tcW w:w="1215" w:type="dxa"/>
            <w:noWrap/>
            <w:vAlign w:val="center"/>
          </w:tcPr>
          <w:p w14:paraId="2F58994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28E7254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其中：</w:t>
            </w:r>
          </w:p>
          <w:p w14:paraId="25E3162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财政拨款</w:t>
            </w:r>
          </w:p>
        </w:tc>
        <w:tc>
          <w:tcPr>
            <w:tcW w:w="2445" w:type="dxa"/>
            <w:noWrap/>
            <w:vAlign w:val="center"/>
          </w:tcPr>
          <w:p w14:paraId="63DEDD9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6B4FCF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3180" w:type="dxa"/>
            <w:gridSpan w:val="2"/>
            <w:vMerge w:val="continue"/>
            <w:noWrap/>
            <w:vAlign w:val="center"/>
          </w:tcPr>
          <w:p w14:paraId="3651EC2B">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665" w:type="dxa"/>
            <w:noWrap/>
            <w:vAlign w:val="center"/>
          </w:tcPr>
          <w:p w14:paraId="670A315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其他资金</w:t>
            </w:r>
          </w:p>
        </w:tc>
        <w:tc>
          <w:tcPr>
            <w:tcW w:w="1215" w:type="dxa"/>
            <w:noWrap/>
            <w:vAlign w:val="center"/>
          </w:tcPr>
          <w:p w14:paraId="68C3A88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53F2342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其他资金</w:t>
            </w:r>
          </w:p>
        </w:tc>
        <w:tc>
          <w:tcPr>
            <w:tcW w:w="2445" w:type="dxa"/>
            <w:noWrap/>
            <w:vAlign w:val="center"/>
          </w:tcPr>
          <w:p w14:paraId="60B239A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43081E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2010" w:type="dxa"/>
            <w:vMerge w:val="restart"/>
            <w:noWrap/>
            <w:vAlign w:val="center"/>
          </w:tcPr>
          <w:p w14:paraId="2C35747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年度总体目标</w:t>
            </w:r>
          </w:p>
          <w:p w14:paraId="659E373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完成情况</w:t>
            </w:r>
          </w:p>
        </w:tc>
        <w:tc>
          <w:tcPr>
            <w:tcW w:w="4050" w:type="dxa"/>
            <w:gridSpan w:val="3"/>
            <w:noWrap/>
            <w:vAlign w:val="center"/>
          </w:tcPr>
          <w:p w14:paraId="7B16421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预期目标</w:t>
            </w:r>
          </w:p>
        </w:tc>
        <w:tc>
          <w:tcPr>
            <w:tcW w:w="3705" w:type="dxa"/>
            <w:gridSpan w:val="2"/>
            <w:noWrap/>
            <w:vAlign w:val="center"/>
          </w:tcPr>
          <w:p w14:paraId="49EE5FC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目标实际完成情况</w:t>
            </w:r>
          </w:p>
        </w:tc>
      </w:tr>
      <w:tr w14:paraId="38A268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5" w:hRule="atLeast"/>
          <w:tblCellSpacing w:w="0" w:type="dxa"/>
        </w:trPr>
        <w:tc>
          <w:tcPr>
            <w:tcW w:w="2010" w:type="dxa"/>
            <w:vMerge w:val="continue"/>
            <w:noWrap/>
            <w:vAlign w:val="center"/>
          </w:tcPr>
          <w:p w14:paraId="607C36D2">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4050" w:type="dxa"/>
            <w:gridSpan w:val="3"/>
            <w:noWrap/>
            <w:vAlign w:val="center"/>
          </w:tcPr>
          <w:p w14:paraId="35CEE23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3705" w:type="dxa"/>
            <w:gridSpan w:val="2"/>
            <w:noWrap/>
            <w:vAlign w:val="center"/>
          </w:tcPr>
          <w:p w14:paraId="4F30B7E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3DAEEA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90" w:hRule="atLeast"/>
          <w:tblCellSpacing w:w="0" w:type="dxa"/>
        </w:trPr>
        <w:tc>
          <w:tcPr>
            <w:tcW w:w="2010" w:type="dxa"/>
            <w:vMerge w:val="restart"/>
            <w:noWrap/>
            <w:vAlign w:val="center"/>
          </w:tcPr>
          <w:p w14:paraId="335D004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年度绩效指标完成情况</w:t>
            </w:r>
          </w:p>
        </w:tc>
        <w:tc>
          <w:tcPr>
            <w:tcW w:w="1170" w:type="dxa"/>
            <w:noWrap/>
            <w:vAlign w:val="center"/>
          </w:tcPr>
          <w:p w14:paraId="25A444D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一级</w:t>
            </w:r>
          </w:p>
          <w:p w14:paraId="581791A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指标</w:t>
            </w:r>
          </w:p>
        </w:tc>
        <w:tc>
          <w:tcPr>
            <w:tcW w:w="1665" w:type="dxa"/>
            <w:noWrap/>
            <w:vAlign w:val="center"/>
          </w:tcPr>
          <w:p w14:paraId="4B9A0139">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二级</w:t>
            </w:r>
          </w:p>
          <w:p w14:paraId="277C3AF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指标</w:t>
            </w:r>
          </w:p>
        </w:tc>
        <w:tc>
          <w:tcPr>
            <w:tcW w:w="1215" w:type="dxa"/>
            <w:noWrap/>
            <w:vAlign w:val="center"/>
          </w:tcPr>
          <w:p w14:paraId="5A8C09F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三级</w:t>
            </w:r>
          </w:p>
          <w:p w14:paraId="3751B4D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指标</w:t>
            </w:r>
          </w:p>
        </w:tc>
        <w:tc>
          <w:tcPr>
            <w:tcW w:w="1260" w:type="dxa"/>
            <w:noWrap/>
            <w:vAlign w:val="center"/>
          </w:tcPr>
          <w:p w14:paraId="69B1F05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预期指标值</w:t>
            </w:r>
          </w:p>
        </w:tc>
        <w:tc>
          <w:tcPr>
            <w:tcW w:w="2445" w:type="dxa"/>
            <w:noWrap/>
            <w:vAlign w:val="center"/>
          </w:tcPr>
          <w:p w14:paraId="782869E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实际完成指标值</w:t>
            </w:r>
          </w:p>
        </w:tc>
      </w:tr>
      <w:tr w14:paraId="12DC84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010" w:type="dxa"/>
            <w:vMerge w:val="continue"/>
            <w:noWrap/>
            <w:vAlign w:val="center"/>
          </w:tcPr>
          <w:p w14:paraId="481E593B">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170" w:type="dxa"/>
            <w:vMerge w:val="restart"/>
            <w:noWrap/>
            <w:vAlign w:val="center"/>
          </w:tcPr>
          <w:p w14:paraId="5D089867">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完成</w:t>
            </w:r>
          </w:p>
          <w:p w14:paraId="491581B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指标</w:t>
            </w:r>
          </w:p>
        </w:tc>
        <w:tc>
          <w:tcPr>
            <w:tcW w:w="1665" w:type="dxa"/>
            <w:noWrap/>
            <w:vAlign w:val="center"/>
          </w:tcPr>
          <w:p w14:paraId="195936A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数量指标</w:t>
            </w:r>
          </w:p>
        </w:tc>
        <w:tc>
          <w:tcPr>
            <w:tcW w:w="1215" w:type="dxa"/>
            <w:noWrap/>
            <w:vAlign w:val="center"/>
          </w:tcPr>
          <w:p w14:paraId="7BCDF5F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510B362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2445" w:type="dxa"/>
            <w:noWrap/>
            <w:vAlign w:val="center"/>
          </w:tcPr>
          <w:p w14:paraId="27FFCCD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0CC46E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010" w:type="dxa"/>
            <w:vMerge w:val="continue"/>
            <w:noWrap/>
            <w:vAlign w:val="center"/>
          </w:tcPr>
          <w:p w14:paraId="6559F035">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170" w:type="dxa"/>
            <w:vMerge w:val="continue"/>
            <w:noWrap/>
            <w:vAlign w:val="center"/>
          </w:tcPr>
          <w:p w14:paraId="6546FD62">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665" w:type="dxa"/>
            <w:noWrap/>
            <w:vAlign w:val="center"/>
          </w:tcPr>
          <w:p w14:paraId="42B3FA6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质量指标</w:t>
            </w:r>
          </w:p>
        </w:tc>
        <w:tc>
          <w:tcPr>
            <w:tcW w:w="1215" w:type="dxa"/>
            <w:noWrap/>
            <w:vAlign w:val="center"/>
          </w:tcPr>
          <w:p w14:paraId="4D24320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5523BFD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2445" w:type="dxa"/>
            <w:noWrap/>
            <w:vAlign w:val="center"/>
          </w:tcPr>
          <w:p w14:paraId="69F0493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2732F0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010" w:type="dxa"/>
            <w:vMerge w:val="continue"/>
            <w:noWrap/>
            <w:vAlign w:val="center"/>
          </w:tcPr>
          <w:p w14:paraId="7BAF164E">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170" w:type="dxa"/>
            <w:vMerge w:val="continue"/>
            <w:noWrap/>
            <w:vAlign w:val="center"/>
          </w:tcPr>
          <w:p w14:paraId="76D9A4C3">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665" w:type="dxa"/>
            <w:noWrap/>
            <w:vAlign w:val="center"/>
          </w:tcPr>
          <w:p w14:paraId="4CF6DB0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时效指标</w:t>
            </w:r>
          </w:p>
        </w:tc>
        <w:tc>
          <w:tcPr>
            <w:tcW w:w="1215" w:type="dxa"/>
            <w:noWrap/>
            <w:vAlign w:val="center"/>
          </w:tcPr>
          <w:p w14:paraId="7820E2B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1F84211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2445" w:type="dxa"/>
            <w:noWrap/>
            <w:vAlign w:val="center"/>
          </w:tcPr>
          <w:p w14:paraId="47EF5B9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7408D7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blCellSpacing w:w="0" w:type="dxa"/>
        </w:trPr>
        <w:tc>
          <w:tcPr>
            <w:tcW w:w="2010" w:type="dxa"/>
            <w:vMerge w:val="continue"/>
            <w:noWrap/>
            <w:vAlign w:val="center"/>
          </w:tcPr>
          <w:p w14:paraId="6820DA50">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170" w:type="dxa"/>
            <w:vMerge w:val="continue"/>
            <w:noWrap/>
            <w:vAlign w:val="center"/>
          </w:tcPr>
          <w:p w14:paraId="42CD78A5">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665" w:type="dxa"/>
            <w:noWrap/>
            <w:vAlign w:val="center"/>
          </w:tcPr>
          <w:p w14:paraId="1B91897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成本指标</w:t>
            </w:r>
          </w:p>
        </w:tc>
        <w:tc>
          <w:tcPr>
            <w:tcW w:w="1215" w:type="dxa"/>
            <w:noWrap/>
            <w:vAlign w:val="center"/>
          </w:tcPr>
          <w:p w14:paraId="24D024F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6D573C0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2445" w:type="dxa"/>
            <w:noWrap/>
            <w:vAlign w:val="center"/>
          </w:tcPr>
          <w:p w14:paraId="7187D96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1EBEE8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blCellSpacing w:w="0" w:type="dxa"/>
        </w:trPr>
        <w:tc>
          <w:tcPr>
            <w:tcW w:w="2010" w:type="dxa"/>
            <w:vMerge w:val="continue"/>
            <w:noWrap/>
            <w:vAlign w:val="center"/>
          </w:tcPr>
          <w:p w14:paraId="68C81446">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170" w:type="dxa"/>
            <w:vMerge w:val="restart"/>
            <w:noWrap/>
            <w:vAlign w:val="center"/>
          </w:tcPr>
          <w:p w14:paraId="1F1838B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效益</w:t>
            </w:r>
          </w:p>
          <w:p w14:paraId="13E8693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指标</w:t>
            </w:r>
          </w:p>
        </w:tc>
        <w:tc>
          <w:tcPr>
            <w:tcW w:w="1665" w:type="dxa"/>
            <w:noWrap/>
            <w:vAlign w:val="center"/>
          </w:tcPr>
          <w:p w14:paraId="58AC3A9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经济效益指标</w:t>
            </w:r>
          </w:p>
        </w:tc>
        <w:tc>
          <w:tcPr>
            <w:tcW w:w="1215" w:type="dxa"/>
            <w:noWrap/>
            <w:vAlign w:val="center"/>
          </w:tcPr>
          <w:p w14:paraId="61F106F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7528357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2445" w:type="dxa"/>
            <w:noWrap/>
            <w:vAlign w:val="center"/>
          </w:tcPr>
          <w:p w14:paraId="07225EE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677F02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blCellSpacing w:w="0" w:type="dxa"/>
        </w:trPr>
        <w:tc>
          <w:tcPr>
            <w:tcW w:w="2010" w:type="dxa"/>
            <w:vMerge w:val="continue"/>
            <w:noWrap/>
            <w:vAlign w:val="center"/>
          </w:tcPr>
          <w:p w14:paraId="5071EA77">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170" w:type="dxa"/>
            <w:vMerge w:val="continue"/>
            <w:noWrap/>
            <w:vAlign w:val="center"/>
          </w:tcPr>
          <w:p w14:paraId="67BE40BB">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665" w:type="dxa"/>
            <w:noWrap/>
            <w:vAlign w:val="center"/>
          </w:tcPr>
          <w:p w14:paraId="489FD7B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社会效益指标</w:t>
            </w:r>
          </w:p>
        </w:tc>
        <w:tc>
          <w:tcPr>
            <w:tcW w:w="1215" w:type="dxa"/>
            <w:noWrap/>
            <w:vAlign w:val="center"/>
          </w:tcPr>
          <w:p w14:paraId="7C6F8F9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0ECF8C9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2445" w:type="dxa"/>
            <w:noWrap/>
            <w:vAlign w:val="center"/>
          </w:tcPr>
          <w:p w14:paraId="6237EF1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78F174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0" w:hRule="atLeast"/>
          <w:tblCellSpacing w:w="0" w:type="dxa"/>
        </w:trPr>
        <w:tc>
          <w:tcPr>
            <w:tcW w:w="2010" w:type="dxa"/>
            <w:vMerge w:val="continue"/>
            <w:noWrap/>
            <w:vAlign w:val="center"/>
          </w:tcPr>
          <w:p w14:paraId="1E3A05B3">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170" w:type="dxa"/>
            <w:vMerge w:val="continue"/>
            <w:noWrap/>
            <w:vAlign w:val="center"/>
          </w:tcPr>
          <w:p w14:paraId="6EC40648">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665" w:type="dxa"/>
            <w:noWrap/>
            <w:vAlign w:val="center"/>
          </w:tcPr>
          <w:p w14:paraId="146EA66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both"/>
              <w:textAlignment w:val="auto"/>
            </w:pPr>
            <w:r>
              <w:t>生态效益指标</w:t>
            </w:r>
          </w:p>
        </w:tc>
        <w:tc>
          <w:tcPr>
            <w:tcW w:w="1215" w:type="dxa"/>
            <w:noWrap/>
            <w:vAlign w:val="center"/>
          </w:tcPr>
          <w:p w14:paraId="5EAEE6A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67DEAF1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2445" w:type="dxa"/>
            <w:noWrap/>
            <w:vAlign w:val="center"/>
          </w:tcPr>
          <w:p w14:paraId="0827D85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1ECE2D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blCellSpacing w:w="0" w:type="dxa"/>
        </w:trPr>
        <w:tc>
          <w:tcPr>
            <w:tcW w:w="2010" w:type="dxa"/>
            <w:vMerge w:val="continue"/>
            <w:noWrap/>
            <w:vAlign w:val="center"/>
          </w:tcPr>
          <w:p w14:paraId="03E367FF">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170" w:type="dxa"/>
            <w:vMerge w:val="continue"/>
            <w:noWrap/>
            <w:vAlign w:val="center"/>
          </w:tcPr>
          <w:p w14:paraId="72994651">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665" w:type="dxa"/>
            <w:noWrap/>
            <w:vAlign w:val="center"/>
          </w:tcPr>
          <w:p w14:paraId="1B07C8A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可持续影响指标</w:t>
            </w:r>
          </w:p>
        </w:tc>
        <w:tc>
          <w:tcPr>
            <w:tcW w:w="1215" w:type="dxa"/>
            <w:noWrap/>
            <w:vAlign w:val="center"/>
          </w:tcPr>
          <w:p w14:paraId="5466A450">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69AFB453">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2445" w:type="dxa"/>
            <w:noWrap/>
            <w:vAlign w:val="center"/>
          </w:tcPr>
          <w:p w14:paraId="64C45EB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r w14:paraId="45A9EE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5" w:hRule="atLeast"/>
          <w:tblCellSpacing w:w="0" w:type="dxa"/>
        </w:trPr>
        <w:tc>
          <w:tcPr>
            <w:tcW w:w="2010" w:type="dxa"/>
            <w:vMerge w:val="continue"/>
            <w:noWrap/>
            <w:vAlign w:val="center"/>
          </w:tcPr>
          <w:p w14:paraId="6465781B">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rPr>
                <w:rFonts w:hint="eastAsia" w:ascii="宋体"/>
                <w:sz w:val="24"/>
                <w:szCs w:val="24"/>
              </w:rPr>
            </w:pPr>
          </w:p>
        </w:tc>
        <w:tc>
          <w:tcPr>
            <w:tcW w:w="1170" w:type="dxa"/>
            <w:noWrap/>
            <w:vAlign w:val="center"/>
          </w:tcPr>
          <w:p w14:paraId="3F88734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满意</w:t>
            </w:r>
          </w:p>
          <w:p w14:paraId="0A6AFDF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度指标</w:t>
            </w:r>
          </w:p>
        </w:tc>
        <w:tc>
          <w:tcPr>
            <w:tcW w:w="1665" w:type="dxa"/>
            <w:noWrap/>
            <w:vAlign w:val="center"/>
          </w:tcPr>
          <w:p w14:paraId="36DE670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满意度</w:t>
            </w:r>
          </w:p>
          <w:p w14:paraId="2359582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指标</w:t>
            </w:r>
          </w:p>
        </w:tc>
        <w:tc>
          <w:tcPr>
            <w:tcW w:w="1215" w:type="dxa"/>
            <w:noWrap/>
            <w:vAlign w:val="center"/>
          </w:tcPr>
          <w:p w14:paraId="79EA449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1260" w:type="dxa"/>
            <w:noWrap/>
            <w:vAlign w:val="center"/>
          </w:tcPr>
          <w:p w14:paraId="4A3720A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c>
          <w:tcPr>
            <w:tcW w:w="2445" w:type="dxa"/>
            <w:noWrap/>
            <w:vAlign w:val="center"/>
          </w:tcPr>
          <w:p w14:paraId="7F16F4C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t> </w:t>
            </w:r>
          </w:p>
        </w:tc>
      </w:tr>
    </w:tbl>
    <w:p w14:paraId="63770AC9">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（注：有两个及以上100万元以上（含</w:t>
      </w:r>
      <w:bookmarkStart w:id="6" w:name="_GoBack"/>
      <w:r>
        <w:rPr>
          <w:shd w:val="clear" w:color="auto" w:fill="FFFFFF"/>
        </w:rPr>
        <w:t>）</w:t>
      </w:r>
      <w:bookmarkEnd w:id="6"/>
      <w:r>
        <w:rPr>
          <w:shd w:val="clear" w:color="auto" w:fill="FFFFFF"/>
        </w:rPr>
        <w:t>特定目标类部门预算项目的，需分别开展绩效目标自评并填写附表）</w:t>
      </w:r>
    </w:p>
    <w:p w14:paraId="4428859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 </w:t>
      </w:r>
    </w:p>
    <w:p w14:paraId="047B8AB9">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 </w:t>
      </w:r>
    </w:p>
    <w:p w14:paraId="12361D2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 </w:t>
      </w:r>
    </w:p>
    <w:p w14:paraId="12CDCAF2">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center"/>
        <w:textAlignment w:val="auto"/>
      </w:pPr>
      <w:r>
        <w:rPr>
          <w:rStyle w:val="15"/>
          <w:sz w:val="39"/>
          <w:szCs w:val="39"/>
          <w:shd w:val="clear" w:color="auto" w:fill="FFFFFF"/>
        </w:rPr>
        <w:t>第五部分 附表</w:t>
      </w:r>
    </w:p>
    <w:p w14:paraId="4C9660D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一、收入支出决算总表</w:t>
      </w:r>
    </w:p>
    <w:p w14:paraId="40E390F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二、收入决算表</w:t>
      </w:r>
    </w:p>
    <w:p w14:paraId="5E4FB40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三、支出决算表</w:t>
      </w:r>
    </w:p>
    <w:p w14:paraId="07DF55E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四、财政拨款收入支出决算总表</w:t>
      </w:r>
    </w:p>
    <w:p w14:paraId="419DB00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五、财政拨款支出决算明细表</w:t>
      </w:r>
    </w:p>
    <w:p w14:paraId="3569175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六、一般公共预算财政拨款支出决算表</w:t>
      </w:r>
    </w:p>
    <w:p w14:paraId="3F6C8C6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七、一般公共预算财政拨款支出决算明细表</w:t>
      </w:r>
    </w:p>
    <w:p w14:paraId="5F531B3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八、一般公共预算财政拨款基本支出决算表</w:t>
      </w:r>
    </w:p>
    <w:p w14:paraId="17FE9DD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九、一般公共预算财政拨款项目支出决算表</w:t>
      </w:r>
    </w:p>
    <w:p w14:paraId="0606947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十、政府性基金预算财政拨款收入支出决算表</w:t>
      </w:r>
    </w:p>
    <w:p w14:paraId="4D4D323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十一、国有资本经营预算财政拨款收入支出决算表</w:t>
      </w:r>
    </w:p>
    <w:p w14:paraId="20B29ED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十二、国有资本经营预算财政拨款支出决算表</w:t>
      </w:r>
    </w:p>
    <w:p w14:paraId="7DCE7BC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jc w:val="left"/>
        <w:textAlignment w:val="auto"/>
      </w:pPr>
      <w:r>
        <w:rPr>
          <w:shd w:val="clear" w:color="auto" w:fill="FFFFFF"/>
        </w:rPr>
        <w:t>十三、财政拨款“三公”经费支出决算表</w:t>
      </w:r>
    </w:p>
    <w:p w14:paraId="565650E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ind w:left="0"/>
        <w:jc w:val="left"/>
        <w:textAlignment w:val="auto"/>
        <w:rPr>
          <w:rFonts w:ascii="仿宋" w:hAnsi="仿宋" w:eastAsia="仿宋" w:cstheme="minorEastAsia"/>
          <w:color w:val="000000"/>
          <w:kern w:val="0"/>
          <w:sz w:val="32"/>
          <w:szCs w:val="32"/>
          <w:lang w:val="en-US" w:eastAsia="zh-CN" w:bidi="ar"/>
        </w:rPr>
      </w:pPr>
    </w:p>
    <w:sectPr>
      <w:pgSz w:w="11915" w:h="16851"/>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CAC19733-FD58-4C2C-9147-D7DCC5D07FFF}"/>
  </w:font>
  <w:font w:name="仿宋">
    <w:panose1 w:val="02010609060101010101"/>
    <w:charset w:val="86"/>
    <w:family w:val="modern"/>
    <w:pitch w:val="default"/>
    <w:sig w:usb0="800002BF" w:usb1="38CF7CFA" w:usb2="00000016" w:usb3="00000000" w:csb0="00040001" w:csb1="00000000"/>
    <w:embedRegular r:id="rId2" w:fontKey="{1C9DE09F-59AC-4E7E-941C-EAF9BE4DC87D}"/>
  </w:font>
  <w:font w:name="楷体_GB2312">
    <w:panose1 w:val="02010609030101010101"/>
    <w:charset w:val="86"/>
    <w:family w:val="auto"/>
    <w:pitch w:val="default"/>
    <w:sig w:usb0="00000001" w:usb1="080E0000" w:usb2="00000000" w:usb3="00000000" w:csb0="00040000" w:csb1="00000000"/>
    <w:embedRegular r:id="rId3" w:fontKey="{9FA8DD6F-D7D1-47FE-A1F8-451EE758CD88}"/>
  </w:font>
  <w:font w:name="方正小标宋简体">
    <w:panose1 w:val="02010600010101010101"/>
    <w:charset w:val="86"/>
    <w:family w:val="auto"/>
    <w:pitch w:val="default"/>
    <w:sig w:usb0="00000001" w:usb1="080E0000" w:usb2="00000000" w:usb3="00000000" w:csb0="00040000" w:csb1="00000000"/>
    <w:embedRegular r:id="rId4" w:fontKey="{6333C4F1-2863-4F5D-A8DC-C468261A0B5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isplayHorizontalDrawingGridEvery w:val="1"/>
  <w:displayVerticalDrawingGridEvery w:val="1"/>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ZhNjA0OWE3ZWM3ZTJiMjVkMTVlNmQ0ODk5ZDcwMTUifQ=="/>
  </w:docVars>
  <w:rsids>
    <w:rsidRoot w:val="00000000"/>
    <w:rsid w:val="00D602CF"/>
    <w:rsid w:val="02FA4AEE"/>
    <w:rsid w:val="0A974AD5"/>
    <w:rsid w:val="1C7D6F54"/>
    <w:rsid w:val="284769FA"/>
    <w:rsid w:val="344B5884"/>
    <w:rsid w:val="3582520D"/>
    <w:rsid w:val="438C2264"/>
    <w:rsid w:val="48E63E5E"/>
    <w:rsid w:val="52BC2A39"/>
    <w:rsid w:val="58AA3202"/>
    <w:rsid w:val="5BF90175"/>
    <w:rsid w:val="6D837F22"/>
    <w:rsid w:val="763F6155"/>
    <w:rsid w:val="7DF926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left"/>
    </w:pPr>
    <w:rPr>
      <w:rFonts w:asciiTheme="minorEastAsia" w:hAnsiTheme="minorEastAsia" w:eastAsiaTheme="minorEastAsia" w:cstheme="minorEastAsia"/>
      <w:kern w:val="0"/>
      <w:sz w:val="24"/>
      <w:szCs w:val="24"/>
      <w:lang w:val="en-US" w:eastAsia="zh-CN" w:bidi="ar"/>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7">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8">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beforeLines="30"/>
    </w:pPr>
    <w:rPr>
      <w:rFonts w:ascii="仿宋_GB2312" w:eastAsia="仿宋_GB2312"/>
      <w:kern w:val="0"/>
      <w:sz w:val="24"/>
      <w:szCs w:val="20"/>
      <w:lang w:val="zh-CN"/>
    </w:rPr>
  </w:style>
  <w:style w:type="paragraph" w:styleId="9">
    <w:name w:val="Normal Indent"/>
    <w:basedOn w:val="1"/>
    <w:unhideWhenUsed/>
    <w:qFormat/>
    <w:uiPriority w:val="99"/>
    <w:pPr>
      <w:ind w:firstLine="68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5">
    <w:name w:val="Strong"/>
    <w:basedOn w:val="14"/>
    <w:qFormat/>
    <w:uiPriority w:val="0"/>
    <w:rPr>
      <w:b/>
    </w:rPr>
  </w:style>
  <w:style w:type="paragraph" w:customStyle="1" w:styleId="16">
    <w:name w:val="p0"/>
    <w:basedOn w:val="1"/>
    <w:qFormat/>
    <w:uiPriority w:val="0"/>
    <w:pPr>
      <w:widowControl/>
      <w:ind w:firstLine="420"/>
      <w:jc w:val="left"/>
    </w:pPr>
    <w:rPr>
      <w:kern w:val="0"/>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87776d05-eccd-4c6a-8b06-b86d682a3d3a</errorID>
      <errorWord>(</errorWord>
      <group>L1_Format</group>
      <groupName>格式问题</groupName>
      <ability>L2_HalfPunc_CN</ability>
      <abilityName>全半角问题</abilityName>
      <candidateList>
        <item>（</item>
      </candidateList>
      <explain>文本全半角错误。</explain>
      <paraID>65512020</paraID>
      <start>0</start>
      <end>1</end>
      <status>modified</status>
      <modifiedWord>（</modifiedWord>
      <trackRevisions>false</trackRevisions>
    </reviewItem>
    <reviewItem>
      <errorID>57f6851d-bf99-4870-b2ad-3bdba7805392</errorID>
      <errorWord>)</errorWord>
      <group>L1_Format</group>
      <groupName>格式问题</groupName>
      <ability>L2_HalfPunc_CN</ability>
      <abilityName>全半角问题</abilityName>
      <candidateList>
        <item>）</item>
      </candidateList>
      <explain>文本全半角错误。</explain>
      <paraID>65512020</paraID>
      <start>14</start>
      <end>15</end>
      <status>modified</status>
      <modifiedWord>）</modifiedWord>
      <trackRevisions>false</trackRevisions>
    </reviewItem>
    <reviewItem>
      <errorID>973c91d1-840e-4c8c-8539-da25f037603b</errorID>
      <errorWord>政策的</errorWord>
      <group>L1_Word</group>
      <groupName>字词问题</groupName>
      <ability>L2_Typo</ability>
      <abilityName>字词错误</abilityName>
      <candidateList>
        <item>政策</item>
      </candidateList>
      <explain/>
      <paraID> EAE8EBC</paraID>
      <start>13</start>
      <end>15</end>
      <status>modified</status>
      <modifiedWord>政策</modifiedWord>
      <trackRevisions>false</trackRevisions>
    </reviewItem>
    <reviewItem>
      <errorID>eac1e555-c9ae-4998-bdce-ba7bf50fc591</errorID>
      <errorWord>其它事项</errorWord>
      <group>L1_Word</group>
      <groupName>字词问题</groupName>
      <ability>L2_Typo</ability>
      <abilityName>字词错误</abilityName>
      <candidateList>
        <item>其他事项</item>
      </candidateList>
      <explain/>
      <paraID>31299C02</paraID>
      <start>12</start>
      <end>16</end>
      <status>modified</status>
      <modifiedWord>其他事项</modifiedWord>
      <trackRevisions>false</trackRevisions>
    </reviewItem>
    <reviewItem>
      <errorID>e7055ed5-f065-4f1f-ad90-b40c5048457c</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75107EF5</paraID>
      <start>22</start>
      <end>27</end>
      <status>modified</status>
      <modifiedWord>党委、政府</modifiedWord>
      <trackRevisions>false</trackRevisions>
    </reviewItem>
    <reviewItem>
      <errorID>441f9eaf-e4cd-4e47-9077-11a62da37c3d</errorID>
      <errorWord>:</errorWord>
      <group>L1_Format</group>
      <groupName>格式问题</groupName>
      <ability>L2_HalfPunc_CN</ability>
      <abilityName>全半角问题</abilityName>
      <candidateList>
        <item>：</item>
      </candidateList>
      <explain>文本全半角错误。</explain>
      <paraID>541BD2F5</paraID>
      <start>35</start>
      <end>36</end>
      <status>modified</status>
      <modifiedWord>：</modifiedWord>
      <trackRevisions>false</trackRevisions>
    </reviewItem>
    <reviewItem>
      <errorID>33b15ff2-e050-431a-ae20-b9a4e370d224</errorID>
      <errorWord>:</errorWord>
      <group>L1_Format</group>
      <groupName>格式问题</groupName>
      <ability>L2_HalfPunc_CN</ability>
      <abilityName>全半角问题</abilityName>
      <candidateList>
        <item>：</item>
      </candidateList>
      <explain>文本全半角错误。</explain>
      <paraID>1B955E81</paraID>
      <start>30</start>
      <end>31</end>
      <status>modified</status>
      <modifiedWord>：</modifiedWord>
      <trackRevisions>false</trackRevisions>
    </reviewItem>
    <reviewItem>
      <errorID>38102818-bc05-4441-b966-e840e59d3b2e</errorID>
      <errorWord>:</errorWord>
      <group>L1_Format</group>
      <groupName>格式问题</groupName>
      <ability>L2_HalfPunc_CN</ability>
      <abilityName>全半角问题</abilityName>
      <candidateList>
        <item>：</item>
      </candidateList>
      <explain>文本全半角错误。</explain>
      <paraID>34ADA4D5</paraID>
      <start>43</start>
      <end>44</end>
      <status>modified</status>
      <modifiedWord>：</modifiedWord>
      <trackRevisions>false</trackRevisions>
    </reviewItem>
    <reviewItem>
      <errorID>15b393a5-e6fc-49d0-9d1b-e16c17d96933</errorID>
      <errorWord>:</errorWord>
      <group>L1_Format</group>
      <groupName>格式问题</groupName>
      <ability>L2_HalfPunc_CN</ability>
      <abilityName>全半角问题</abilityName>
      <candidateList>
        <item>：</item>
      </candidateList>
      <explain>文本全半角错误。</explain>
      <paraID> ED90BFC</paraID>
      <start>41</start>
      <end>42</end>
      <status>modified</status>
      <modifiedWord>：</modifiedWord>
      <trackRevisions>false</trackRevisions>
    </reviewItem>
    <reviewItem>
      <errorID>0e385b9a-70bb-474b-a313-28178f75aac3</errorID>
      <errorWord>:</errorWord>
      <group>L1_Format</group>
      <groupName>格式问题</groupName>
      <ability>L2_HalfPunc_CN</ability>
      <abilityName>全半角问题</abilityName>
      <candidateList>
        <item>：</item>
      </candidateList>
      <explain>文本全半角错误。</explain>
      <paraID>5F6AA480</paraID>
      <start>32</start>
      <end>33</end>
      <status>modified</status>
      <modifiedWord>：</modifiedWord>
      <trackRevisions>false</trackRevisions>
    </reviewItem>
    <reviewItem>
      <errorID>11d86d07-8915-4708-a987-1910a492cd38</errorID>
      <errorWord>:</errorWord>
      <group>L1_Format</group>
      <groupName>格式问题</groupName>
      <ability>L2_HalfPunc_CN</ability>
      <abilityName>全半角问题</abilityName>
      <candidateList>
        <item>：</item>
      </candidateList>
      <explain>文本全半角错误。</explain>
      <paraID>17861668</paraID>
      <start>35</start>
      <end>36</end>
      <status>modified</status>
      <modifiedWord>：</modifiedWord>
      <trackRevisions>false</trackRevisions>
    </reviewItem>
    <reviewItem>
      <errorID>82c92c15-c9f2-475d-bcc2-ed85acf71572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79B0AD8F</paraID>
      <start>28</start>
      <end>29</end>
      <status>ignored</status>
      <modifiedWord/>
      <trackRevisions>false</trackRevisions>
    </reviewItem>
    <reviewItem>
      <errorID>87b41c38-fda5-4876-9d30-895453444814</errorID>
      <errorWord>,</errorWord>
      <group>L1_Format</group>
      <groupName>格式问题</groupName>
      <ability>L2_HalfPunc_CN</ability>
      <abilityName>全半角问题</abilityName>
      <candidateList>
        <item>，</item>
      </candidateList>
      <explain>文本全半角错误。</explain>
      <paraID>5D40BE8A</paraID>
      <start>20</start>
      <end>21</end>
      <status>modified</status>
      <modifiedWord>，</modifiedWord>
      <trackRevisions>false</trackRevisions>
    </reviewItem>
    <reviewItem>
      <errorID>3d41a78c-d11a-4290-90e1-d159d1753a82</errorID>
      <errorWord>民政府政府</errorWord>
      <group>L1_Sensitive</group>
      <groupName>敏感问题</groupName>
      <ability>L2_Sensitive</ability>
      <abilityName>敏感内容</abilityName>
      <candidateList/>
      <explain>【敏感内容】句中涉及敏感性内容的违规表述，请注意甄别。</explain>
      <paraID>74FE967C</paraID>
      <start>17</start>
      <end>22</end>
      <status>ignored</status>
      <modifiedWord/>
      <trackRevisions>false</trackRevisions>
    </reviewItem>
    <reviewItem>
      <errorID>96bee51b-5748-4fea-b8d4-d67f01e5e0d7</errorID>
      <errorWord>事物</errorWord>
      <group>L1_Word</group>
      <groupName>字词问题</groupName>
      <ability>L2_Typo</ability>
      <abilityName>字词错误</abilityName>
      <candidateList>
        <item>事务</item>
      </candidateList>
      <explain/>
      <paraID>290875AA</paraID>
      <start>55</start>
      <end>57</end>
      <status>modified</status>
      <modifiedWord>事务</modifiedWord>
      <trackRevisions>false</trackRevisions>
    </reviewItem>
    <reviewItem>
      <errorID>d238063d-3572-4b4e-a3a7-c7360c9dfd15</errorID>
      <errorWord>（</errorWord>
      <group>L1_Punc</group>
      <groupName>标点问题</groupName>
      <ability>L2_Punc_CN</ability>
      <abilityName>标点符号问题</abilityName>
      <candidateList/>
      <explain>同一形式括号套用。</explain>
      <paraID>32969790</paraID>
      <start>65</start>
      <end>66</end>
      <status>ignored</status>
      <modifiedWord/>
      <trackRevisions>false</trackRevisions>
    </reviewItem>
    <reviewItem>
      <errorID>aaa14d10-edf0-400f-9cbf-9405c6dec6ee</errorID>
      <errorWord>）</errorWord>
      <group>L1_Punc</group>
      <groupName>标点问题</groupName>
      <ability>L2_Punc_CN</ability>
      <abilityName>标点符号问题</abilityName>
      <candidateList/>
      <explain>同一形式括号套用。</explain>
      <paraID>32969790</paraID>
      <start>72</start>
      <end>73</end>
      <status>ignored</status>
      <modifiedWord/>
      <trackRevisions>false</trackRevisions>
    </reviewItem>
    <reviewItem>
      <errorID>097b8021-c0ce-4dd1-9bd9-d886255d39f7</errorID>
      <errorWord>（</errorWord>
      <group>L1_Punc</group>
      <groupName>标点问题</groupName>
      <ability>L2_Punc_CN</ability>
      <abilityName>标点符号问题</abilityName>
      <candidateList/>
      <explain>同一形式括号套用。</explain>
      <paraID>63770AC9</paraID>
      <start>16</start>
      <end>17</end>
      <status>ignored</status>
      <modifiedWord/>
      <trackRevisions>false</trackRevisions>
    </reviewItem>
    <reviewItem>
      <errorID>f9e53b98-6d86-43ec-923e-3e7d65f630a3</errorID>
      <errorWord>）</errorWord>
      <group>L1_Punc</group>
      <groupName>标点问题</groupName>
      <ability>L2_Punc_CN</ability>
      <abilityName>标点符号问题</abilityName>
      <candidateList/>
      <explain>同一形式括号套用。</explain>
      <paraID>63770AC9</paraID>
      <start>18</start>
      <end>19</end>
      <status>ignored</status>
      <modifiedWord/>
      <trackRevisions>false</trackRevisions>
    </reviewItem>
  </reviewItems>
  <config/>
</contractReview>
</file>

<file path=customXml/itemProps1.xml><?xml version="1.0" encoding="utf-8"?>
<ds:datastoreItem xmlns:ds="http://schemas.openxmlformats.org/officeDocument/2006/customXml" ds:itemID="{68aa432c-648e-4486-857a-5c11b47454b6}">
  <ds:schemaRefs/>
</ds:datastoreItem>
</file>

<file path=docProps/app.xml><?xml version="1.0" encoding="utf-8"?>
<Properties xmlns="http://schemas.openxmlformats.org/officeDocument/2006/extended-properties" xmlns:vt="http://schemas.openxmlformats.org/officeDocument/2006/docPropsVTypes">
  <Pages>14</Pages>
  <Words>4871</Words>
  <Characters>5476</Characters>
  <TotalTime>51</TotalTime>
  <ScaleCrop>false</ScaleCrop>
  <LinksUpToDate>false</LinksUpToDate>
  <CharactersWithSpaces>5635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2025-10-15T18:03:00Z</dcterms:created>
  <dc:creator>Administrator</dc:creator>
  <cp:lastModifiedBy>奕夕^_^</cp:lastModifiedBy>
  <dcterms:modified xsi:type="dcterms:W3CDTF">2026-10-13T06:58:44Z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eyJoZGlkIjoiNTU1MWNhN2ZmY2ZhZmY3ODhlYTg0MWU5OGMyY2QwZmUiLCJ1c2VySWQiOiI0MzQ2NTM0NzEifQ==</vt:lpwstr>
  </property>
  <property fmtid="{D5CDD505-2E9C-101B-9397-08002B2CF9AE}" pid="3" name="KSOProductBuildVer">
    <vt:lpwstr>2052-12.1.0.28505</vt:lpwstr>
  </property>
  <property fmtid="{D5CDD505-2E9C-101B-9397-08002B2CF9AE}" pid="4" name="ICV">
    <vt:lpwstr>0AF778E9A890463BBA6EC201A6AC39A3_12</vt:lpwstr>
  </property>
</Properties>
</file>