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99523E">
      <w:pPr>
        <w:pStyle w:val="7"/>
        <w:spacing w:before="93"/>
        <w:rPr>
          <w:rFonts w:ascii="Times New Roman" w:eastAsia="方正小标宋简体"/>
          <w:kern w:val="2"/>
          <w:sz w:val="72"/>
          <w:szCs w:val="72"/>
        </w:rPr>
      </w:pPr>
      <w:bookmarkStart w:id="0" w:name="_Toc15377193"/>
      <w:bookmarkStart w:id="1" w:name="_Toc15377425"/>
      <w:bookmarkStart w:id="2" w:name="_Toc15306267"/>
      <w:bookmarkStart w:id="3" w:name="_Toc15396597"/>
      <w:bookmarkStart w:id="4" w:name="_Toc15396475"/>
      <w:bookmarkStart w:id="5" w:name="_Toc15378441"/>
    </w:p>
    <w:p w14:paraId="0FF4DA23">
      <w:pPr>
        <w:pStyle w:val="7"/>
        <w:spacing w:before="93"/>
        <w:rPr>
          <w:rFonts w:ascii="Times New Roman" w:eastAsia="方正小标宋简体"/>
          <w:kern w:val="2"/>
          <w:sz w:val="72"/>
          <w:szCs w:val="72"/>
        </w:rPr>
      </w:pPr>
    </w:p>
    <w:p w14:paraId="3F611A60">
      <w:pPr>
        <w:pStyle w:val="7"/>
        <w:spacing w:before="93"/>
        <w:rPr>
          <w:rFonts w:ascii="Times New Roman" w:eastAsia="方正小标宋简体"/>
          <w:kern w:val="2"/>
          <w:sz w:val="72"/>
          <w:szCs w:val="72"/>
        </w:rPr>
      </w:pPr>
    </w:p>
    <w:p w14:paraId="46845C5D">
      <w:pPr>
        <w:pStyle w:val="7"/>
        <w:spacing w:beforeLines="0"/>
        <w:jc w:val="center"/>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r>
        <w:rPr>
          <w:rFonts w:hint="eastAsia" w:ascii="Times New Roman" w:eastAsia="方正小标宋简体"/>
          <w:kern w:val="2"/>
          <w:sz w:val="44"/>
          <w:szCs w:val="44"/>
        </w:rPr>
        <w:t>202</w:t>
      </w:r>
      <w:r>
        <w:rPr>
          <w:rFonts w:hint="eastAsia" w:ascii="Times New Roman" w:eastAsia="方正小标宋简体"/>
          <w:kern w:val="2"/>
          <w:sz w:val="44"/>
          <w:szCs w:val="44"/>
          <w:lang w:val="en-US" w:eastAsia="zh-CN"/>
        </w:rPr>
        <w:t>5</w:t>
      </w:r>
      <w:r>
        <w:rPr>
          <w:rFonts w:hint="eastAsia" w:ascii="Times New Roman" w:eastAsia="方正小标宋简体"/>
          <w:kern w:val="2"/>
          <w:sz w:val="44"/>
          <w:szCs w:val="44"/>
        </w:rPr>
        <w:t>年度</w:t>
      </w:r>
      <w:r>
        <w:rPr>
          <w:rFonts w:hint="eastAsia" w:ascii="Times New Roman" w:eastAsia="方正小标宋简体"/>
          <w:kern w:val="2"/>
          <w:sz w:val="44"/>
          <w:szCs w:val="44"/>
          <w:lang w:val="en-US" w:eastAsia="zh-CN"/>
        </w:rPr>
        <w:t>阿坝州松潘县川主寺镇农业农村服务中心</w:t>
      </w:r>
      <w:r>
        <w:rPr>
          <w:rFonts w:hint="eastAsia" w:ascii="Times New Roman" w:eastAsia="方正小标宋简体"/>
          <w:kern w:val="2"/>
          <w:sz w:val="44"/>
          <w:szCs w:val="44"/>
        </w:rPr>
        <w:t>决算公开</w:t>
      </w:r>
    </w:p>
    <w:bookmarkEnd w:id="0"/>
    <w:bookmarkEnd w:id="1"/>
    <w:bookmarkEnd w:id="2"/>
    <w:bookmarkEnd w:id="3"/>
    <w:bookmarkEnd w:id="4"/>
    <w:bookmarkEnd w:id="5"/>
    <w:p w14:paraId="48525C46">
      <w:pPr>
        <w:widowControl/>
        <w:jc w:val="center"/>
        <w:rPr>
          <w:rFonts w:eastAsia="黑体"/>
          <w:sz w:val="48"/>
          <w:szCs w:val="48"/>
        </w:rPr>
      </w:pPr>
      <w:r>
        <w:rPr>
          <w:rFonts w:hint="eastAsia" w:eastAsia="黑体"/>
          <w:sz w:val="48"/>
          <w:szCs w:val="48"/>
        </w:rPr>
        <w:t>目录</w:t>
      </w:r>
    </w:p>
    <w:p w14:paraId="3A675FA4">
      <w:pPr>
        <w:widowControl/>
        <w:jc w:val="center"/>
        <w:rPr>
          <w:rFonts w:eastAsia="黑体" w:cstheme="minorBidi"/>
          <w:sz w:val="28"/>
          <w:szCs w:val="28"/>
        </w:rPr>
      </w:pPr>
    </w:p>
    <w:p w14:paraId="3AB94423">
      <w:pPr>
        <w:pStyle w:val="12"/>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w:t>
      </w:r>
      <w:r>
        <w:rPr>
          <w:rFonts w:hint="eastAsia" w:ascii="Times New Roman" w:hAnsi="Times New Roman" w:eastAsia="仿宋_GB2312" w:cs="仿宋_GB2312"/>
          <w:sz w:val="32"/>
          <w:szCs w:val="32"/>
          <w:lang w:val="en-US" w:eastAsia="zh-CN"/>
        </w:rPr>
        <w:t>6</w:t>
      </w:r>
      <w:r>
        <w:rPr>
          <w:rFonts w:hint="eastAsia" w:ascii="Times New Roman" w:hAnsi="Times New Roman" w:eastAsia="仿宋_GB2312" w:cs="仿宋_GB2312"/>
          <w:sz w:val="32"/>
          <w:szCs w:val="32"/>
        </w:rPr>
        <w:t xml:space="preserve">年 </w:t>
      </w:r>
      <w:r>
        <w:rPr>
          <w:rFonts w:hint="eastAsia" w:ascii="Times New Roman" w:hAnsi="Times New Roman" w:eastAsia="仿宋_GB2312" w:cs="仿宋_GB2312"/>
          <w:sz w:val="32"/>
          <w:szCs w:val="32"/>
          <w:lang w:val="en-US" w:eastAsia="zh-CN"/>
        </w:rPr>
        <w:t>10</w:t>
      </w:r>
      <w:r>
        <w:rPr>
          <w:rFonts w:hint="eastAsia" w:ascii="Times New Roman" w:hAnsi="Times New Roman" w:eastAsia="仿宋_GB2312" w:cs="仿宋_GB2312"/>
          <w:sz w:val="32"/>
          <w:szCs w:val="32"/>
        </w:rPr>
        <w:t xml:space="preserve"> 月 </w:t>
      </w:r>
      <w:r>
        <w:rPr>
          <w:rFonts w:hint="eastAsia" w:ascii="Times New Roman" w:hAnsi="Times New Roman" w:eastAsia="仿宋_GB2312" w:cs="仿宋_GB2312"/>
          <w:sz w:val="32"/>
          <w:szCs w:val="32"/>
          <w:lang w:val="en-US" w:eastAsia="zh-CN"/>
        </w:rPr>
        <w:t>15</w:t>
      </w:r>
      <w:r>
        <w:rPr>
          <w:rFonts w:hint="eastAsia" w:ascii="Times New Roman" w:hAnsi="Times New Roman" w:eastAsia="仿宋_GB2312" w:cs="仿宋_GB2312"/>
          <w:sz w:val="32"/>
          <w:szCs w:val="32"/>
        </w:rPr>
        <w:t>日</w:t>
      </w:r>
    </w:p>
    <w:p w14:paraId="63C0BCB0"/>
    <w:p w14:paraId="162A9EE7">
      <w:pPr>
        <w:pStyle w:val="12"/>
        <w:adjustRightInd w:val="0"/>
        <w:snapToGrid w:val="0"/>
        <w:spacing w:before="0" w:line="560" w:lineRule="exact"/>
        <w:jc w:val="left"/>
        <w:rPr>
          <w:rFonts w:hint="eastAsia" w:ascii="Times New Roman" w:hAnsi="Times New Roman" w:eastAsia="黑体" w:cs="黑体"/>
          <w:sz w:val="32"/>
          <w:szCs w:val="32"/>
          <w:lang w:eastAsia="zh-CN"/>
        </w:rPr>
      </w:pPr>
      <w:r>
        <w:rPr>
          <w:rFonts w:hint="eastAsia" w:ascii="Times New Roman" w:hAnsi="Times New Roman" w:eastAsia="黑体" w:cs="黑体"/>
          <w:sz w:val="32"/>
          <w:szCs w:val="32"/>
        </w:rPr>
        <w:t>第一部分 部门概况</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1</w:t>
      </w:r>
    </w:p>
    <w:p w14:paraId="07155AE4">
      <w:pPr>
        <w:pStyle w:val="14"/>
        <w:adjustRightInd w:val="0"/>
        <w:snapToGrid w:val="0"/>
        <w:spacing w:line="560" w:lineRule="exact"/>
        <w:ind w:left="0" w:leftChars="0" w:firstLine="640" w:firstLineChars="200"/>
        <w:jc w:val="left"/>
        <w:rPr>
          <w:rFonts w:hint="eastAsia" w:eastAsia="仿宋_GB2312" w:cs="仿宋_GB2312"/>
          <w:sz w:val="32"/>
          <w:szCs w:val="32"/>
          <w:lang w:eastAsia="zh-CN"/>
        </w:rPr>
      </w:pPr>
      <w:r>
        <w:rPr>
          <w:rFonts w:hint="eastAsia" w:eastAsia="仿宋_GB2312" w:cs="仿宋_GB2312"/>
          <w:sz w:val="32"/>
          <w:szCs w:val="32"/>
        </w:rPr>
        <w:t>一、部门职责</w:t>
      </w:r>
      <w:r>
        <w:rPr>
          <w:rFonts w:hint="eastAsia" w:eastAsia="仿宋_GB2312" w:cs="仿宋_GB2312"/>
          <w:sz w:val="32"/>
          <w:szCs w:val="32"/>
        </w:rPr>
        <w:tab/>
      </w:r>
      <w:r>
        <w:rPr>
          <w:rFonts w:hint="eastAsia" w:eastAsia="仿宋_GB2312" w:cs="仿宋_GB2312"/>
          <w:sz w:val="32"/>
          <w:szCs w:val="32"/>
          <w:lang w:val="en-US" w:eastAsia="zh-CN"/>
        </w:rPr>
        <w:t>1</w:t>
      </w:r>
    </w:p>
    <w:p w14:paraId="4FBD899C">
      <w:pPr>
        <w:pStyle w:val="14"/>
        <w:adjustRightInd w:val="0"/>
        <w:snapToGrid w:val="0"/>
        <w:spacing w:line="560" w:lineRule="exact"/>
        <w:ind w:left="0" w:leftChars="0" w:firstLine="640" w:firstLineChars="200"/>
        <w:jc w:val="left"/>
        <w:rPr>
          <w:rFonts w:hint="eastAsia" w:eastAsia="仿宋_GB2312" w:cs="仿宋_GB2312"/>
          <w:sz w:val="32"/>
          <w:szCs w:val="32"/>
          <w:lang w:eastAsia="zh-CN"/>
        </w:rPr>
      </w:pPr>
      <w:r>
        <w:rPr>
          <w:rFonts w:hint="eastAsia" w:eastAsia="仿宋_GB2312" w:cs="仿宋_GB2312"/>
          <w:sz w:val="32"/>
          <w:szCs w:val="32"/>
        </w:rPr>
        <w:t>二、机构设置</w:t>
      </w:r>
      <w:r>
        <w:rPr>
          <w:rFonts w:hint="eastAsia" w:eastAsia="仿宋_GB2312" w:cs="仿宋_GB2312"/>
          <w:sz w:val="32"/>
          <w:szCs w:val="32"/>
        </w:rPr>
        <w:tab/>
      </w:r>
      <w:r>
        <w:rPr>
          <w:rFonts w:hint="eastAsia" w:eastAsia="仿宋_GB2312" w:cs="仿宋_GB2312"/>
          <w:sz w:val="32"/>
          <w:szCs w:val="32"/>
          <w:lang w:val="en-US" w:eastAsia="zh-CN"/>
        </w:rPr>
        <w:t>2</w:t>
      </w:r>
    </w:p>
    <w:p w14:paraId="5D6095BD">
      <w:pPr>
        <w:pStyle w:val="12"/>
        <w:adjustRightInd w:val="0"/>
        <w:snapToGrid w:val="0"/>
        <w:spacing w:before="0" w:line="560" w:lineRule="exact"/>
        <w:jc w:val="left"/>
        <w:rPr>
          <w:rFonts w:hint="eastAsia" w:ascii="Times New Roman" w:hAnsi="Times New Roman" w:eastAsia="黑体" w:cs="黑体"/>
          <w:sz w:val="32"/>
          <w:szCs w:val="32"/>
          <w:lang w:eastAsia="zh-CN"/>
        </w:rPr>
      </w:pPr>
      <w:r>
        <w:rPr>
          <w:rFonts w:hint="eastAsia" w:ascii="Times New Roman" w:hAnsi="Times New Roman" w:eastAsia="黑体" w:cs="黑体"/>
          <w:sz w:val="32"/>
          <w:szCs w:val="32"/>
        </w:rPr>
        <w:t>第二部分 202</w:t>
      </w:r>
      <w:r>
        <w:rPr>
          <w:rFonts w:hint="eastAsia" w:ascii="Times New Roman" w:hAnsi="Times New Roman" w:eastAsia="黑体" w:cs="黑体"/>
          <w:sz w:val="32"/>
          <w:szCs w:val="32"/>
          <w:lang w:val="en-US" w:eastAsia="zh-CN"/>
        </w:rPr>
        <w:t>5</w:t>
      </w:r>
      <w:r>
        <w:rPr>
          <w:rFonts w:hint="eastAsia" w:ascii="Times New Roman" w:hAnsi="Times New Roman" w:eastAsia="黑体" w:cs="黑体"/>
          <w:sz w:val="32"/>
          <w:szCs w:val="32"/>
        </w:rPr>
        <w:t>年度部门决算情况说明</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3</w:t>
      </w:r>
    </w:p>
    <w:p w14:paraId="5155C649">
      <w:pPr>
        <w:pStyle w:val="14"/>
        <w:adjustRightInd w:val="0"/>
        <w:snapToGrid w:val="0"/>
        <w:spacing w:line="560" w:lineRule="exact"/>
        <w:ind w:left="0" w:leftChars="0" w:firstLine="640" w:firstLineChars="200"/>
        <w:jc w:val="left"/>
        <w:rPr>
          <w:rFonts w:hint="eastAsia" w:eastAsia="仿宋_GB2312" w:cs="仿宋_GB2312"/>
          <w:sz w:val="32"/>
          <w:szCs w:val="32"/>
          <w:lang w:eastAsia="zh-CN"/>
        </w:rPr>
      </w:pPr>
      <w:r>
        <w:rPr>
          <w:rFonts w:hint="eastAsia" w:eastAsia="仿宋_GB2312" w:cs="仿宋_GB2312"/>
          <w:sz w:val="32"/>
          <w:szCs w:val="32"/>
        </w:rPr>
        <w:t>一、收入支出决算总体情况说明</w:t>
      </w:r>
      <w:r>
        <w:rPr>
          <w:rFonts w:hint="eastAsia" w:eastAsia="仿宋_GB2312" w:cs="仿宋_GB2312"/>
          <w:sz w:val="32"/>
          <w:szCs w:val="32"/>
        </w:rPr>
        <w:tab/>
      </w:r>
      <w:r>
        <w:rPr>
          <w:rFonts w:hint="eastAsia" w:eastAsia="仿宋_GB2312" w:cs="仿宋_GB2312"/>
          <w:sz w:val="32"/>
          <w:szCs w:val="32"/>
          <w:lang w:val="en-US" w:eastAsia="zh-CN"/>
        </w:rPr>
        <w:t>3</w:t>
      </w:r>
    </w:p>
    <w:p w14:paraId="4FCE229F">
      <w:pPr>
        <w:pStyle w:val="14"/>
        <w:adjustRightInd w:val="0"/>
        <w:snapToGrid w:val="0"/>
        <w:spacing w:line="560" w:lineRule="exact"/>
        <w:ind w:left="0" w:leftChars="0" w:firstLine="640" w:firstLineChars="200"/>
        <w:jc w:val="left"/>
        <w:rPr>
          <w:rFonts w:hint="eastAsia" w:eastAsia="仿宋_GB2312" w:cs="仿宋_GB2312"/>
          <w:sz w:val="32"/>
          <w:szCs w:val="32"/>
          <w:lang w:val="en-US" w:eastAsia="zh-CN"/>
        </w:rPr>
      </w:pPr>
      <w:r>
        <w:rPr>
          <w:rFonts w:hint="eastAsia" w:eastAsia="仿宋_GB2312" w:cs="仿宋_GB2312"/>
          <w:sz w:val="32"/>
          <w:szCs w:val="32"/>
        </w:rPr>
        <w:t>二、收入决算情况说明</w:t>
      </w:r>
      <w:r>
        <w:rPr>
          <w:rFonts w:hint="eastAsia" w:eastAsia="仿宋_GB2312" w:cs="仿宋_GB2312"/>
          <w:sz w:val="32"/>
          <w:szCs w:val="32"/>
        </w:rPr>
        <w:tab/>
      </w:r>
      <w:r>
        <w:rPr>
          <w:rFonts w:hint="eastAsia" w:eastAsia="仿宋_GB2312" w:cs="仿宋_GB2312"/>
          <w:sz w:val="32"/>
          <w:szCs w:val="32"/>
          <w:lang w:val="en-US" w:eastAsia="zh-CN"/>
        </w:rPr>
        <w:t>3</w:t>
      </w:r>
    </w:p>
    <w:p w14:paraId="033A218A">
      <w:pPr>
        <w:pStyle w:val="14"/>
        <w:adjustRightInd w:val="0"/>
        <w:snapToGrid w:val="0"/>
        <w:spacing w:line="560" w:lineRule="exact"/>
        <w:ind w:left="0" w:leftChars="0" w:firstLine="640" w:firstLineChars="200"/>
        <w:jc w:val="left"/>
        <w:rPr>
          <w:rFonts w:hint="eastAsia" w:eastAsia="仿宋_GB2312" w:cs="仿宋_GB2312"/>
          <w:sz w:val="32"/>
          <w:szCs w:val="32"/>
          <w:lang w:eastAsia="zh-CN"/>
        </w:rPr>
      </w:pPr>
      <w:r>
        <w:rPr>
          <w:rFonts w:hint="eastAsia" w:eastAsia="仿宋_GB2312" w:cs="仿宋_GB2312"/>
          <w:sz w:val="32"/>
          <w:szCs w:val="32"/>
        </w:rPr>
        <w:t>三、支出决算情况说明</w:t>
      </w:r>
      <w:r>
        <w:rPr>
          <w:rFonts w:hint="eastAsia" w:eastAsia="仿宋_GB2312" w:cs="仿宋_GB2312"/>
          <w:sz w:val="32"/>
          <w:szCs w:val="32"/>
        </w:rPr>
        <w:tab/>
      </w:r>
      <w:r>
        <w:rPr>
          <w:rFonts w:hint="eastAsia" w:eastAsia="仿宋_GB2312" w:cs="仿宋_GB2312"/>
          <w:sz w:val="32"/>
          <w:szCs w:val="32"/>
          <w:lang w:val="en-US" w:eastAsia="zh-CN"/>
        </w:rPr>
        <w:t>4</w:t>
      </w:r>
    </w:p>
    <w:p w14:paraId="2FE2F279">
      <w:pPr>
        <w:pStyle w:val="14"/>
        <w:adjustRightInd w:val="0"/>
        <w:snapToGrid w:val="0"/>
        <w:spacing w:line="560" w:lineRule="exact"/>
        <w:ind w:left="0" w:leftChars="0" w:firstLine="640" w:firstLineChars="200"/>
        <w:jc w:val="left"/>
        <w:rPr>
          <w:rFonts w:hint="eastAsia" w:eastAsia="仿宋_GB2312" w:cs="仿宋_GB2312"/>
          <w:sz w:val="32"/>
          <w:szCs w:val="32"/>
          <w:lang w:eastAsia="zh-CN"/>
        </w:rPr>
      </w:pPr>
      <w:r>
        <w:rPr>
          <w:rFonts w:hint="eastAsia" w:eastAsia="仿宋_GB2312" w:cs="仿宋_GB2312"/>
          <w:sz w:val="32"/>
          <w:szCs w:val="32"/>
        </w:rPr>
        <w:t>四、财政拨款收入支出决算总体情况说明</w:t>
      </w:r>
      <w:r>
        <w:rPr>
          <w:rFonts w:hint="eastAsia" w:eastAsia="仿宋_GB2312" w:cs="仿宋_GB2312"/>
          <w:sz w:val="32"/>
          <w:szCs w:val="32"/>
        </w:rPr>
        <w:tab/>
      </w:r>
      <w:r>
        <w:rPr>
          <w:rFonts w:hint="eastAsia" w:eastAsia="仿宋_GB2312" w:cs="仿宋_GB2312"/>
          <w:sz w:val="32"/>
          <w:szCs w:val="32"/>
          <w:lang w:val="en-US" w:eastAsia="zh-CN"/>
        </w:rPr>
        <w:t>4</w:t>
      </w:r>
    </w:p>
    <w:p w14:paraId="05A94E15">
      <w:pPr>
        <w:pStyle w:val="14"/>
        <w:adjustRightInd w:val="0"/>
        <w:snapToGrid w:val="0"/>
        <w:spacing w:line="560" w:lineRule="exact"/>
        <w:ind w:left="0" w:leftChars="0" w:firstLine="640" w:firstLineChars="200"/>
        <w:jc w:val="left"/>
        <w:rPr>
          <w:rFonts w:hint="eastAsia" w:eastAsia="仿宋_GB2312" w:cs="仿宋_GB2312"/>
          <w:sz w:val="32"/>
          <w:szCs w:val="32"/>
          <w:lang w:eastAsia="zh-CN"/>
        </w:rPr>
      </w:pPr>
      <w:r>
        <w:rPr>
          <w:rFonts w:hint="eastAsia" w:eastAsia="仿宋_GB2312" w:cs="仿宋_GB2312"/>
          <w:sz w:val="32"/>
          <w:szCs w:val="32"/>
        </w:rPr>
        <w:t>五、一般公共预算财政拨款支出决算情况说明</w:t>
      </w:r>
      <w:r>
        <w:rPr>
          <w:rFonts w:hint="eastAsia" w:eastAsia="仿宋_GB2312" w:cs="仿宋_GB2312"/>
          <w:sz w:val="32"/>
          <w:szCs w:val="32"/>
        </w:rPr>
        <w:tab/>
      </w:r>
      <w:r>
        <w:rPr>
          <w:rFonts w:hint="eastAsia" w:eastAsia="仿宋_GB2312" w:cs="仿宋_GB2312"/>
          <w:sz w:val="32"/>
          <w:szCs w:val="32"/>
          <w:lang w:val="en-US" w:eastAsia="zh-CN"/>
        </w:rPr>
        <w:t>5</w:t>
      </w:r>
    </w:p>
    <w:p w14:paraId="56D489FE">
      <w:pPr>
        <w:pStyle w:val="14"/>
        <w:adjustRightInd w:val="0"/>
        <w:snapToGrid w:val="0"/>
        <w:spacing w:line="560" w:lineRule="exact"/>
        <w:ind w:left="0" w:leftChars="0" w:firstLine="640" w:firstLineChars="200"/>
        <w:jc w:val="left"/>
        <w:rPr>
          <w:rFonts w:hint="eastAsia" w:eastAsia="仿宋_GB2312" w:cs="仿宋_GB2312"/>
          <w:sz w:val="32"/>
          <w:szCs w:val="32"/>
          <w:lang w:eastAsia="zh-CN"/>
        </w:rPr>
      </w:pPr>
      <w:r>
        <w:rPr>
          <w:rFonts w:hint="eastAsia" w:eastAsia="仿宋_GB2312" w:cs="仿宋_GB2312"/>
          <w:sz w:val="32"/>
          <w:szCs w:val="32"/>
        </w:rPr>
        <w:t>六、一般公共预算财政拨款基本支出决算情况说明</w:t>
      </w:r>
      <w:r>
        <w:rPr>
          <w:rFonts w:hint="eastAsia" w:eastAsia="仿宋_GB2312" w:cs="仿宋_GB2312"/>
          <w:sz w:val="32"/>
          <w:szCs w:val="32"/>
        </w:rPr>
        <w:tab/>
      </w:r>
      <w:r>
        <w:rPr>
          <w:rFonts w:hint="eastAsia" w:eastAsia="仿宋_GB2312" w:cs="仿宋_GB2312"/>
          <w:sz w:val="32"/>
          <w:szCs w:val="32"/>
          <w:lang w:val="en-US" w:eastAsia="zh-CN"/>
        </w:rPr>
        <w:t>8</w:t>
      </w:r>
    </w:p>
    <w:p w14:paraId="5E00F471">
      <w:pPr>
        <w:pStyle w:val="14"/>
        <w:adjustRightInd w:val="0"/>
        <w:snapToGrid w:val="0"/>
        <w:spacing w:line="560" w:lineRule="exact"/>
        <w:ind w:left="0" w:leftChars="0" w:firstLine="640" w:firstLineChars="200"/>
        <w:jc w:val="left"/>
        <w:rPr>
          <w:rFonts w:hint="eastAsia" w:eastAsia="仿宋_GB2312" w:cs="仿宋_GB2312"/>
          <w:sz w:val="32"/>
          <w:szCs w:val="32"/>
          <w:lang w:val="en-US" w:eastAsia="zh-CN"/>
        </w:rPr>
      </w:pPr>
      <w:r>
        <w:rPr>
          <w:rFonts w:hint="eastAsia" w:eastAsia="仿宋_GB2312" w:cs="仿宋_GB2312"/>
          <w:sz w:val="32"/>
          <w:szCs w:val="32"/>
        </w:rPr>
        <w:t>七、财政拨款“三公”经费支出决算情况说明</w:t>
      </w:r>
      <w:r>
        <w:rPr>
          <w:rFonts w:hint="eastAsia" w:eastAsia="仿宋_GB2312" w:cs="仿宋_GB2312"/>
          <w:sz w:val="32"/>
          <w:szCs w:val="32"/>
        </w:rPr>
        <w:tab/>
      </w:r>
      <w:r>
        <w:rPr>
          <w:rFonts w:hint="eastAsia" w:eastAsia="仿宋_GB2312" w:cs="仿宋_GB2312"/>
          <w:sz w:val="32"/>
          <w:szCs w:val="32"/>
          <w:lang w:val="en-US" w:eastAsia="zh-CN"/>
        </w:rPr>
        <w:t>8</w:t>
      </w:r>
    </w:p>
    <w:p w14:paraId="3B729C15">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八、政府性基金预算支出决算情况说明</w:t>
      </w:r>
      <w:r>
        <w:rPr>
          <w:rFonts w:hint="eastAsia" w:eastAsia="仿宋_GB2312" w:cs="仿宋_GB2312"/>
          <w:sz w:val="32"/>
          <w:szCs w:val="32"/>
        </w:rPr>
        <w:tab/>
      </w:r>
      <w:r>
        <w:rPr>
          <w:rFonts w:hint="eastAsia" w:eastAsia="仿宋_GB2312" w:cs="仿宋_GB2312"/>
          <w:sz w:val="32"/>
          <w:szCs w:val="32"/>
          <w:lang w:val="en-US" w:eastAsia="zh-CN"/>
        </w:rPr>
        <w:t>9</w:t>
      </w:r>
    </w:p>
    <w:p w14:paraId="1FFEFCFA">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九、国有资本经营预算支出决算情况说明</w:t>
      </w:r>
      <w:r>
        <w:rPr>
          <w:rFonts w:hint="eastAsia" w:eastAsia="仿宋_GB2312" w:cs="仿宋_GB2312"/>
          <w:sz w:val="32"/>
          <w:szCs w:val="32"/>
        </w:rPr>
        <w:tab/>
      </w:r>
      <w:r>
        <w:rPr>
          <w:rFonts w:hint="eastAsia" w:eastAsia="仿宋_GB2312" w:cs="仿宋_GB2312"/>
          <w:sz w:val="32"/>
          <w:szCs w:val="32"/>
          <w:lang w:val="en-US" w:eastAsia="zh-CN"/>
        </w:rPr>
        <w:t>9</w:t>
      </w:r>
    </w:p>
    <w:p w14:paraId="23B50E32">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十、其他重要事项的情况说明</w:t>
      </w:r>
      <w:r>
        <w:rPr>
          <w:rFonts w:hint="eastAsia" w:eastAsia="仿宋_GB2312" w:cs="仿宋_GB2312"/>
          <w:sz w:val="32"/>
          <w:szCs w:val="32"/>
        </w:rPr>
        <w:tab/>
      </w:r>
      <w:r>
        <w:rPr>
          <w:rFonts w:hint="eastAsia" w:eastAsia="仿宋_GB2312" w:cs="仿宋_GB2312"/>
          <w:sz w:val="32"/>
          <w:szCs w:val="32"/>
          <w:lang w:val="en-US" w:eastAsia="zh-CN"/>
        </w:rPr>
        <w:t>9</w:t>
      </w:r>
    </w:p>
    <w:p w14:paraId="0D792C5F">
      <w:pPr>
        <w:pStyle w:val="12"/>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第三部分 名词解释</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11</w:t>
      </w:r>
    </w:p>
    <w:p w14:paraId="5BA7B373">
      <w:pPr>
        <w:pStyle w:val="12"/>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第四部分 附件</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13</w:t>
      </w:r>
    </w:p>
    <w:p w14:paraId="0F0A60EC">
      <w:pPr>
        <w:pStyle w:val="12"/>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第五部分 附表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14</w:t>
      </w:r>
    </w:p>
    <w:p w14:paraId="25B9FD90">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一、收入支出决算总表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14</w:t>
      </w:r>
    </w:p>
    <w:p w14:paraId="6D72D4AC">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二、收入决算表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14</w:t>
      </w:r>
    </w:p>
    <w:p w14:paraId="7004AF0A">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三、支出决算表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14</w:t>
      </w:r>
    </w:p>
    <w:p w14:paraId="5EA8C2A9">
      <w:pPr>
        <w:pStyle w:val="14"/>
        <w:adjustRightInd w:val="0"/>
        <w:snapToGrid w:val="0"/>
        <w:spacing w:line="560" w:lineRule="exact"/>
        <w:ind w:left="0" w:leftChars="0" w:firstLine="640" w:firstLineChars="200"/>
        <w:jc w:val="left"/>
        <w:rPr>
          <w:rFonts w:hint="default" w:eastAsia="仿宋_GB2312" w:cs="仿宋_GB2312"/>
          <w:sz w:val="32"/>
          <w:szCs w:val="32"/>
          <w:lang w:val="en-US"/>
        </w:rPr>
        <w:sectPr>
          <w:footerReference r:id="rId6" w:type="default"/>
          <w:pgSz w:w="11910" w:h="16840"/>
          <w:pgMar w:top="1440" w:right="1803" w:bottom="1440" w:left="1803" w:header="720" w:footer="720" w:gutter="0"/>
          <w:pgNumType w:start="1"/>
          <w:cols w:space="720" w:num="1"/>
        </w:sectPr>
      </w:pPr>
      <w:r>
        <w:rPr>
          <w:rFonts w:hint="eastAsia" w:eastAsia="仿宋_GB2312" w:cs="仿宋_GB2312"/>
          <w:sz w:val="32"/>
          <w:szCs w:val="32"/>
        </w:rPr>
        <w:t>四、财政拨款收入支出决算总表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14</w:t>
      </w:r>
    </w:p>
    <w:p w14:paraId="77CDBED6">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五、财政拨款支出决算明细表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14</w:t>
      </w:r>
    </w:p>
    <w:p w14:paraId="2DA8883A">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六、一般公共预算财政拨款支出决算表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14</w:t>
      </w:r>
    </w:p>
    <w:p w14:paraId="25B469D2">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七、一般公共预算财政拨款支出决算明细表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14</w:t>
      </w:r>
    </w:p>
    <w:p w14:paraId="3BD6C084">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八、一般公共预算财政拨款基本支出决算明细表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14</w:t>
      </w:r>
    </w:p>
    <w:p w14:paraId="524B9B3A">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九、一般公共预算财政拨款项目支出决算表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14</w:t>
      </w:r>
    </w:p>
    <w:p w14:paraId="7477C8A1">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十、政府性基金预算财政拨款收入支出决算表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14</w:t>
      </w:r>
    </w:p>
    <w:p w14:paraId="7EEFC5DB">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十一、国有资本经营预算财政拨款收入支出决算表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14</w:t>
      </w:r>
    </w:p>
    <w:p w14:paraId="70742367">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十二、国有资本经营预算财政拨款支出决算表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14</w:t>
      </w:r>
    </w:p>
    <w:p w14:paraId="3B3F2705">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十三、财政拨款“三公”经费支出决算表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14</w:t>
      </w:r>
    </w:p>
    <w:p w14:paraId="5AD2E822">
      <w:pPr>
        <w:pStyle w:val="14"/>
        <w:adjustRightInd w:val="0"/>
        <w:snapToGrid w:val="0"/>
        <w:spacing w:line="560" w:lineRule="exact"/>
        <w:ind w:left="0" w:leftChars="0" w:firstLine="643" w:firstLineChars="200"/>
        <w:jc w:val="left"/>
        <w:rPr>
          <w:rFonts w:eastAsia="仿宋_GB2312" w:cs="仿宋_GB2312"/>
          <w:b/>
          <w:bCs/>
          <w:sz w:val="32"/>
          <w:szCs w:val="32"/>
        </w:rPr>
      </w:pPr>
    </w:p>
    <w:p w14:paraId="6AB69A52">
      <w:pPr>
        <w:pStyle w:val="4"/>
        <w:jc w:val="center"/>
        <w:rPr>
          <w:rFonts w:hint="eastAsia" w:eastAsia="方正小标宋简体" w:cs="方正小标宋简体"/>
          <w:b w:val="0"/>
        </w:rPr>
        <w:sectPr>
          <w:footerReference r:id="rId7" w:type="default"/>
          <w:pgSz w:w="11910" w:h="16840"/>
          <w:pgMar w:top="1440" w:right="1803" w:bottom="1440" w:left="1803" w:header="720" w:footer="720" w:gutter="0"/>
          <w:cols w:space="720" w:num="1"/>
        </w:sectPr>
      </w:pPr>
      <w:bookmarkStart w:id="6" w:name="_Toc15396599"/>
      <w:bookmarkStart w:id="7" w:name="_Toc15377196"/>
    </w:p>
    <w:p w14:paraId="6E8BE59E">
      <w:pPr>
        <w:pStyle w:val="4"/>
        <w:jc w:val="center"/>
        <w:rPr>
          <w:rFonts w:eastAsia="黑体"/>
          <w:sz w:val="32"/>
          <w:szCs w:val="32"/>
        </w:rPr>
      </w:pPr>
      <w:r>
        <w:rPr>
          <w:rFonts w:hint="eastAsia" w:eastAsia="方正小标宋简体" w:cs="方正小标宋简体"/>
          <w:b w:val="0"/>
        </w:rPr>
        <w:t xml:space="preserve">第一部分  </w:t>
      </w:r>
      <w:r>
        <w:rPr>
          <w:rFonts w:hint="eastAsia" w:eastAsia="方正小标宋简体" w:cs="方正小标宋简体"/>
          <w:b w:val="0"/>
          <w:lang w:val="en-US" w:eastAsia="zh-CN"/>
        </w:rPr>
        <w:t>单位</w:t>
      </w:r>
      <w:r>
        <w:rPr>
          <w:rStyle w:val="28"/>
          <w:rFonts w:hint="eastAsia" w:eastAsia="方正小标宋简体" w:cs="方正小标宋简体"/>
          <w:b w:val="0"/>
          <w:bCs w:val="0"/>
        </w:rPr>
        <w:t>概况</w:t>
      </w:r>
      <w:bookmarkEnd w:id="6"/>
      <w:bookmarkEnd w:id="7"/>
    </w:p>
    <w:p w14:paraId="77367542">
      <w:pPr>
        <w:pStyle w:val="5"/>
        <w:numPr>
          <w:ilvl w:val="0"/>
          <w:numId w:val="1"/>
        </w:numPr>
        <w:rPr>
          <w:rFonts w:hint="eastAsia" w:ascii="Times New Roman" w:hAnsi="Times New Roman" w:eastAsia="黑体"/>
          <w:b w:val="0"/>
        </w:rPr>
      </w:pPr>
      <w:r>
        <w:rPr>
          <w:rFonts w:hint="eastAsia" w:ascii="Times New Roman" w:hAnsi="Times New Roman" w:eastAsia="黑体"/>
          <w:b w:val="0"/>
        </w:rPr>
        <w:t>部门职责</w:t>
      </w:r>
    </w:p>
    <w:p w14:paraId="6F5D38FB">
      <w:pPr>
        <w:pStyle w:val="37"/>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firstLine="640" w:firstLineChars="200"/>
        <w:jc w:val="left"/>
        <w:textAlignment w:val="auto"/>
        <w:rPr>
          <w:rFonts w:hint="eastAsia" w:ascii="仿宋_GB2312" w:hAnsi="仿宋_GB2312" w:eastAsia="仿宋_GB2312" w:cs="仿宋_GB2312"/>
          <w:kern w:val="0"/>
          <w:sz w:val="32"/>
          <w:szCs w:val="32"/>
          <w:highlight w:val="none"/>
          <w:shd w:val="clear" w:color="auto" w:fill="FFFFFF"/>
        </w:rPr>
      </w:pPr>
      <w:r>
        <w:rPr>
          <w:rFonts w:hint="eastAsia" w:ascii="仿宋_GB2312" w:hAnsi="仿宋_GB2312" w:eastAsia="仿宋_GB2312" w:cs="仿宋_GB2312"/>
          <w:kern w:val="0"/>
          <w:sz w:val="32"/>
          <w:szCs w:val="32"/>
          <w:highlight w:val="none"/>
          <w:shd w:val="clear" w:color="auto" w:fill="FFFFFF"/>
          <w:lang w:eastAsia="zh-CN"/>
        </w:rPr>
        <w:t>（</w:t>
      </w:r>
      <w:r>
        <w:rPr>
          <w:rFonts w:hint="eastAsia" w:ascii="仿宋_GB2312" w:hAnsi="仿宋_GB2312" w:eastAsia="仿宋_GB2312" w:cs="仿宋_GB2312"/>
          <w:kern w:val="0"/>
          <w:sz w:val="32"/>
          <w:szCs w:val="32"/>
          <w:highlight w:val="none"/>
          <w:shd w:val="clear" w:color="auto" w:fill="FFFFFF"/>
          <w:lang w:val="en-US" w:eastAsia="zh-CN"/>
        </w:rPr>
        <w:t>1）</w:t>
      </w:r>
      <w:r>
        <w:rPr>
          <w:rFonts w:hint="eastAsia" w:ascii="仿宋_GB2312" w:hAnsi="仿宋_GB2312" w:eastAsia="仿宋_GB2312" w:cs="仿宋_GB2312"/>
          <w:kern w:val="0"/>
          <w:sz w:val="32"/>
          <w:szCs w:val="32"/>
          <w:highlight w:val="none"/>
          <w:shd w:val="clear" w:color="auto" w:fill="FFFFFF"/>
        </w:rPr>
        <w:t>贯彻落实党和政府各项路线方针政策、法规规章和上级机关的决定和命令，加强农村党组织建设和基层政权建设，巩固党在农村的执政基础；</w:t>
      </w:r>
    </w:p>
    <w:p w14:paraId="604D0D2D">
      <w:pPr>
        <w:pStyle w:val="37"/>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firstLine="640" w:firstLineChars="200"/>
        <w:jc w:val="left"/>
        <w:textAlignment w:val="auto"/>
        <w:rPr>
          <w:rFonts w:hint="eastAsia" w:ascii="仿宋_GB2312" w:hAnsi="仿宋_GB2312" w:eastAsia="仿宋_GB2312" w:cs="仿宋_GB2312"/>
          <w:kern w:val="0"/>
          <w:sz w:val="32"/>
          <w:szCs w:val="32"/>
          <w:highlight w:val="none"/>
          <w:shd w:val="clear" w:color="auto" w:fill="FFFFFF"/>
        </w:rPr>
      </w:pPr>
      <w:r>
        <w:rPr>
          <w:rFonts w:hint="eastAsia" w:ascii="仿宋_GB2312" w:hAnsi="仿宋_GB2312" w:eastAsia="仿宋_GB2312" w:cs="仿宋_GB2312"/>
          <w:kern w:val="0"/>
          <w:sz w:val="32"/>
          <w:szCs w:val="32"/>
          <w:highlight w:val="none"/>
          <w:shd w:val="clear" w:color="auto" w:fill="FFFFFF"/>
          <w:lang w:eastAsia="zh-CN"/>
        </w:rPr>
        <w:t>（</w:t>
      </w:r>
      <w:r>
        <w:rPr>
          <w:rFonts w:hint="eastAsia" w:ascii="仿宋_GB2312" w:hAnsi="仿宋_GB2312" w:eastAsia="仿宋_GB2312" w:cs="仿宋_GB2312"/>
          <w:kern w:val="0"/>
          <w:sz w:val="32"/>
          <w:szCs w:val="32"/>
          <w:highlight w:val="none"/>
          <w:shd w:val="clear" w:color="auto" w:fill="FFFFFF"/>
          <w:lang w:val="en-US" w:eastAsia="zh-CN"/>
        </w:rPr>
        <w:t>2）</w:t>
      </w:r>
      <w:r>
        <w:rPr>
          <w:rFonts w:hint="eastAsia" w:ascii="仿宋_GB2312" w:hAnsi="仿宋_GB2312" w:eastAsia="仿宋_GB2312" w:cs="仿宋_GB2312"/>
          <w:kern w:val="0"/>
          <w:sz w:val="32"/>
          <w:szCs w:val="32"/>
          <w:highlight w:val="none"/>
          <w:shd w:val="clear" w:color="auto" w:fill="FFFFFF"/>
        </w:rPr>
        <w:t>负责拟订本行政区域经济社会发展和乡村建设等规划，组织农村基础设施和各项公益事业建设，加快经济社会发展，改善群众生活环境；</w:t>
      </w:r>
    </w:p>
    <w:p w14:paraId="7CB839CE">
      <w:pPr>
        <w:pStyle w:val="37"/>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firstLine="640" w:firstLineChars="200"/>
        <w:jc w:val="left"/>
        <w:textAlignment w:val="auto"/>
        <w:rPr>
          <w:rFonts w:hint="eastAsia" w:ascii="仿宋_GB2312" w:hAnsi="仿宋_GB2312" w:eastAsia="仿宋_GB2312" w:cs="仿宋_GB2312"/>
          <w:kern w:val="0"/>
          <w:sz w:val="32"/>
          <w:szCs w:val="32"/>
          <w:highlight w:val="none"/>
          <w:shd w:val="clear" w:color="auto" w:fill="FFFFFF"/>
        </w:rPr>
      </w:pPr>
      <w:r>
        <w:rPr>
          <w:rFonts w:hint="eastAsia" w:ascii="仿宋_GB2312" w:hAnsi="仿宋_GB2312" w:eastAsia="仿宋_GB2312" w:cs="仿宋_GB2312"/>
          <w:kern w:val="0"/>
          <w:sz w:val="32"/>
          <w:szCs w:val="32"/>
          <w:highlight w:val="none"/>
          <w:shd w:val="clear" w:color="auto" w:fill="FFFFFF"/>
          <w:lang w:eastAsia="zh-CN"/>
        </w:rPr>
        <w:t>（</w:t>
      </w:r>
      <w:r>
        <w:rPr>
          <w:rFonts w:hint="eastAsia" w:ascii="仿宋_GB2312" w:hAnsi="仿宋_GB2312" w:eastAsia="仿宋_GB2312" w:cs="仿宋_GB2312"/>
          <w:kern w:val="0"/>
          <w:sz w:val="32"/>
          <w:szCs w:val="32"/>
          <w:highlight w:val="none"/>
          <w:shd w:val="clear" w:color="auto" w:fill="FFFFFF"/>
          <w:lang w:val="en-US" w:eastAsia="zh-CN"/>
        </w:rPr>
        <w:t>3）</w:t>
      </w:r>
      <w:r>
        <w:rPr>
          <w:rFonts w:hint="eastAsia" w:ascii="仿宋_GB2312" w:hAnsi="仿宋_GB2312" w:eastAsia="仿宋_GB2312" w:cs="仿宋_GB2312"/>
          <w:kern w:val="0"/>
          <w:sz w:val="32"/>
          <w:szCs w:val="32"/>
          <w:highlight w:val="none"/>
          <w:shd w:val="clear" w:color="auto" w:fill="FFFFFF"/>
        </w:rPr>
        <w:t>指导农村经济发展，推进农业结构调整，促进经济增长方式转变，组织引导农村富余劳动力转移与就业，促进农民增收；</w:t>
      </w:r>
    </w:p>
    <w:p w14:paraId="146AC9CF">
      <w:pPr>
        <w:pStyle w:val="37"/>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firstLine="640" w:firstLineChars="200"/>
        <w:jc w:val="left"/>
        <w:textAlignment w:val="auto"/>
        <w:rPr>
          <w:rFonts w:hint="eastAsia" w:ascii="仿宋_GB2312" w:hAnsi="仿宋_GB2312" w:eastAsia="仿宋_GB2312" w:cs="仿宋_GB2312"/>
          <w:kern w:val="0"/>
          <w:sz w:val="32"/>
          <w:szCs w:val="32"/>
          <w:highlight w:val="none"/>
          <w:shd w:val="clear" w:color="auto" w:fill="FFFFFF"/>
        </w:rPr>
      </w:pPr>
      <w:r>
        <w:rPr>
          <w:rFonts w:hint="eastAsia" w:ascii="仿宋_GB2312" w:hAnsi="仿宋_GB2312" w:eastAsia="仿宋_GB2312" w:cs="仿宋_GB2312"/>
          <w:kern w:val="0"/>
          <w:sz w:val="32"/>
          <w:szCs w:val="32"/>
          <w:highlight w:val="none"/>
          <w:shd w:val="clear" w:color="auto" w:fill="FFFFFF"/>
          <w:lang w:eastAsia="zh-CN"/>
        </w:rPr>
        <w:t>（</w:t>
      </w:r>
      <w:r>
        <w:rPr>
          <w:rFonts w:hint="eastAsia" w:ascii="仿宋_GB2312" w:hAnsi="仿宋_GB2312" w:eastAsia="仿宋_GB2312" w:cs="仿宋_GB2312"/>
          <w:kern w:val="0"/>
          <w:sz w:val="32"/>
          <w:szCs w:val="32"/>
          <w:highlight w:val="none"/>
          <w:shd w:val="clear" w:color="auto" w:fill="FFFFFF"/>
          <w:lang w:val="en-US" w:eastAsia="zh-CN"/>
        </w:rPr>
        <w:t>4）</w:t>
      </w:r>
      <w:r>
        <w:rPr>
          <w:rFonts w:hint="eastAsia" w:ascii="仿宋_GB2312" w:hAnsi="仿宋_GB2312" w:eastAsia="仿宋_GB2312" w:cs="仿宋_GB2312"/>
          <w:kern w:val="0"/>
          <w:sz w:val="32"/>
          <w:szCs w:val="32"/>
          <w:highlight w:val="none"/>
          <w:shd w:val="clear" w:color="auto" w:fill="FFFFFF"/>
        </w:rPr>
        <w:t>负责抓好义务教育、人口和计划生育、民政事务、救灾救助、就业培训、社会保障、劳动关系协调和新型合作医疗实施等工作，加强农村精神文明建设，促进农村社会事业发展；</w:t>
      </w:r>
    </w:p>
    <w:p w14:paraId="71071E2E">
      <w:pPr>
        <w:pStyle w:val="37"/>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firstLine="640" w:firstLineChars="200"/>
        <w:jc w:val="left"/>
        <w:textAlignment w:val="auto"/>
        <w:rPr>
          <w:rFonts w:hint="eastAsia" w:ascii="仿宋_GB2312" w:hAnsi="仿宋_GB2312" w:eastAsia="仿宋_GB2312" w:cs="仿宋_GB2312"/>
          <w:kern w:val="0"/>
          <w:sz w:val="32"/>
          <w:szCs w:val="32"/>
          <w:highlight w:val="none"/>
          <w:shd w:val="clear" w:color="auto" w:fill="FFFFFF"/>
        </w:rPr>
      </w:pPr>
      <w:r>
        <w:rPr>
          <w:rFonts w:hint="eastAsia" w:ascii="仿宋_GB2312" w:hAnsi="仿宋_GB2312" w:eastAsia="仿宋_GB2312" w:cs="仿宋_GB2312"/>
          <w:kern w:val="0"/>
          <w:sz w:val="32"/>
          <w:szCs w:val="32"/>
          <w:highlight w:val="none"/>
          <w:shd w:val="clear" w:color="auto" w:fill="FFFFFF"/>
          <w:lang w:eastAsia="zh-CN"/>
        </w:rPr>
        <w:t>（</w:t>
      </w:r>
      <w:r>
        <w:rPr>
          <w:rFonts w:hint="eastAsia" w:ascii="仿宋_GB2312" w:hAnsi="仿宋_GB2312" w:eastAsia="仿宋_GB2312" w:cs="仿宋_GB2312"/>
          <w:kern w:val="0"/>
          <w:sz w:val="32"/>
          <w:szCs w:val="32"/>
          <w:highlight w:val="none"/>
          <w:shd w:val="clear" w:color="auto" w:fill="FFFFFF"/>
          <w:lang w:val="en-US" w:eastAsia="zh-CN"/>
        </w:rPr>
        <w:t>5）</w:t>
      </w:r>
      <w:r>
        <w:rPr>
          <w:rFonts w:hint="eastAsia" w:ascii="仿宋_GB2312" w:hAnsi="仿宋_GB2312" w:eastAsia="仿宋_GB2312" w:cs="仿宋_GB2312"/>
          <w:kern w:val="0"/>
          <w:sz w:val="32"/>
          <w:szCs w:val="32"/>
          <w:highlight w:val="none"/>
          <w:shd w:val="clear" w:color="auto" w:fill="FFFFFF"/>
        </w:rPr>
        <w:t>推进基层民主</w:t>
      </w:r>
      <w:bookmarkStart w:id="50" w:name="_GoBack"/>
      <w:r>
        <w:rPr>
          <w:rFonts w:hint="eastAsia" w:ascii="仿宋_GB2312" w:hAnsi="仿宋_GB2312" w:eastAsia="仿宋_GB2312" w:cs="仿宋_GB2312"/>
          <w:kern w:val="0"/>
          <w:sz w:val="32"/>
          <w:szCs w:val="32"/>
          <w:highlight w:val="none"/>
          <w:shd w:val="clear" w:color="auto" w:fill="FFFFFF"/>
          <w:lang w:eastAsia="zh-CN"/>
        </w:rPr>
        <w:t>法治</w:t>
      </w:r>
      <w:bookmarkEnd w:id="50"/>
      <w:r>
        <w:rPr>
          <w:rFonts w:hint="eastAsia" w:ascii="仿宋_GB2312" w:hAnsi="仿宋_GB2312" w:eastAsia="仿宋_GB2312" w:cs="仿宋_GB2312"/>
          <w:kern w:val="0"/>
          <w:sz w:val="32"/>
          <w:szCs w:val="32"/>
          <w:highlight w:val="none"/>
          <w:shd w:val="clear" w:color="auto" w:fill="FFFFFF"/>
        </w:rPr>
        <w:t>建设，指导村（居）民委员会工作，维护群众合法权益；</w:t>
      </w:r>
    </w:p>
    <w:p w14:paraId="0C797E42">
      <w:pPr>
        <w:pStyle w:val="37"/>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firstLine="640" w:firstLineChars="200"/>
        <w:jc w:val="left"/>
        <w:textAlignment w:val="auto"/>
        <w:rPr>
          <w:rFonts w:hint="eastAsia" w:ascii="仿宋_GB2312" w:hAnsi="仿宋_GB2312" w:eastAsia="仿宋_GB2312" w:cs="仿宋_GB2312"/>
          <w:kern w:val="0"/>
          <w:sz w:val="32"/>
          <w:szCs w:val="32"/>
          <w:highlight w:val="none"/>
          <w:shd w:val="clear" w:color="auto" w:fill="FFFFFF"/>
        </w:rPr>
      </w:pPr>
      <w:r>
        <w:rPr>
          <w:rFonts w:hint="eastAsia" w:ascii="仿宋_GB2312" w:hAnsi="仿宋_GB2312" w:eastAsia="仿宋_GB2312" w:cs="仿宋_GB2312"/>
          <w:kern w:val="0"/>
          <w:sz w:val="32"/>
          <w:szCs w:val="32"/>
          <w:highlight w:val="none"/>
          <w:shd w:val="clear" w:color="auto" w:fill="FFFFFF"/>
          <w:lang w:eastAsia="zh-CN"/>
        </w:rPr>
        <w:t>（</w:t>
      </w:r>
      <w:r>
        <w:rPr>
          <w:rFonts w:hint="eastAsia" w:ascii="仿宋_GB2312" w:hAnsi="仿宋_GB2312" w:eastAsia="仿宋_GB2312" w:cs="仿宋_GB2312"/>
          <w:kern w:val="0"/>
          <w:sz w:val="32"/>
          <w:szCs w:val="32"/>
          <w:highlight w:val="none"/>
          <w:shd w:val="clear" w:color="auto" w:fill="FFFFFF"/>
          <w:lang w:val="en-US" w:eastAsia="zh-CN"/>
        </w:rPr>
        <w:t>6）</w:t>
      </w:r>
      <w:r>
        <w:rPr>
          <w:rFonts w:hint="eastAsia" w:ascii="仿宋_GB2312" w:hAnsi="仿宋_GB2312" w:eastAsia="仿宋_GB2312" w:cs="仿宋_GB2312"/>
          <w:kern w:val="0"/>
          <w:sz w:val="32"/>
          <w:szCs w:val="32"/>
          <w:highlight w:val="none"/>
          <w:shd w:val="clear" w:color="auto" w:fill="FFFFFF"/>
        </w:rPr>
        <w:t>加强社会治安综合治理，强化信访和矛盾纠纷调解工作，化解农村矛盾，维护农村社会和谐稳定，全面推进社会主义新农村建设。</w:t>
      </w:r>
    </w:p>
    <w:p w14:paraId="1389E88E">
      <w:pPr>
        <w:keepNext w:val="0"/>
        <w:keepLines w:val="0"/>
        <w:pageBreakBefore w:val="0"/>
        <w:widowControl w:val="0"/>
        <w:suppressAutoHyphens/>
        <w:kinsoku/>
        <w:wordWrap/>
        <w:overflowPunct/>
        <w:topLinePunct w:val="0"/>
        <w:autoSpaceDE/>
        <w:autoSpaceDN/>
        <w:bidi w:val="0"/>
        <w:adjustRightInd/>
        <w:snapToGrid/>
        <w:spacing w:line="360" w:lineRule="auto"/>
        <w:ind w:firstLine="640" w:firstLineChars="200"/>
        <w:textAlignment w:val="auto"/>
        <w:rPr>
          <w:rFonts w:hint="eastAsia" w:ascii="仿宋_GB2312" w:hAnsi="Calibri" w:eastAsia="仿宋_GB2312" w:cs="宋体"/>
          <w:b/>
          <w:bCs/>
          <w:color w:val="auto"/>
          <w:kern w:val="0"/>
          <w:sz w:val="32"/>
          <w:lang w:val="en-US" w:eastAsia="zh-CN" w:bidi="ar-SA"/>
        </w:rPr>
      </w:pPr>
      <w:r>
        <w:rPr>
          <w:rFonts w:hint="eastAsia" w:ascii="仿宋_GB2312" w:hAnsi="仿宋_GB2312" w:eastAsia="仿宋_GB2312" w:cs="仿宋_GB2312"/>
          <w:kern w:val="0"/>
          <w:sz w:val="32"/>
          <w:szCs w:val="32"/>
          <w:highlight w:val="none"/>
          <w:shd w:val="clear" w:color="auto" w:fill="FFFFFF"/>
          <w:lang w:eastAsia="zh-CN"/>
        </w:rPr>
        <w:t>（</w:t>
      </w:r>
      <w:r>
        <w:rPr>
          <w:rFonts w:hint="eastAsia" w:ascii="仿宋_GB2312" w:hAnsi="仿宋_GB2312" w:eastAsia="仿宋_GB2312" w:cs="仿宋_GB2312"/>
          <w:kern w:val="0"/>
          <w:sz w:val="32"/>
          <w:szCs w:val="32"/>
          <w:highlight w:val="none"/>
          <w:shd w:val="clear" w:color="auto" w:fill="FFFFFF"/>
          <w:lang w:val="en-US" w:eastAsia="zh-CN"/>
        </w:rPr>
        <w:t>7）</w:t>
      </w:r>
      <w:r>
        <w:rPr>
          <w:rFonts w:hint="eastAsia" w:ascii="仿宋_GB2312" w:hAnsi="仿宋_GB2312" w:eastAsia="仿宋_GB2312" w:cs="仿宋_GB2312"/>
          <w:kern w:val="0"/>
          <w:sz w:val="32"/>
          <w:szCs w:val="32"/>
          <w:highlight w:val="none"/>
          <w:shd w:val="clear" w:color="auto" w:fill="FFFFFF"/>
        </w:rPr>
        <w:t>承办</w:t>
      </w:r>
      <w:r>
        <w:rPr>
          <w:rFonts w:hint="eastAsia" w:ascii="仿宋_GB2312" w:hAnsi="仿宋_GB2312" w:eastAsia="仿宋_GB2312" w:cs="仿宋_GB2312"/>
          <w:kern w:val="0"/>
          <w:sz w:val="32"/>
          <w:szCs w:val="32"/>
          <w:highlight w:val="none"/>
          <w:shd w:val="clear" w:color="auto" w:fill="FFFFFF"/>
          <w:lang w:eastAsia="zh-CN"/>
        </w:rPr>
        <w:t>县委、县政府</w:t>
      </w:r>
      <w:r>
        <w:rPr>
          <w:rFonts w:hint="eastAsia" w:ascii="仿宋_GB2312" w:hAnsi="仿宋_GB2312" w:eastAsia="仿宋_GB2312" w:cs="仿宋_GB2312"/>
          <w:kern w:val="0"/>
          <w:sz w:val="32"/>
          <w:szCs w:val="32"/>
          <w:highlight w:val="none"/>
          <w:shd w:val="clear" w:color="auto" w:fill="FFFFFF"/>
        </w:rPr>
        <w:t>交办的其他事项</w:t>
      </w:r>
      <w:r>
        <w:rPr>
          <w:rFonts w:hint="eastAsia" w:ascii="仿宋_GB2312" w:hAnsi="Calibri" w:eastAsia="仿宋_GB2312" w:cs="宋体"/>
          <w:color w:val="auto"/>
          <w:kern w:val="0"/>
          <w:sz w:val="32"/>
          <w:lang w:val="en-US" w:eastAsia="zh-CN" w:bidi="ar-SA"/>
        </w:rPr>
        <w:t>。</w:t>
      </w:r>
    </w:p>
    <w:p w14:paraId="4C173D5F">
      <w:pPr>
        <w:suppressAutoHyphens/>
        <w:bidi w:val="0"/>
        <w:ind w:firstLine="803" w:firstLineChars="250"/>
        <w:rPr>
          <w:rFonts w:hint="eastAsia" w:ascii="仿宋_GB2312" w:hAnsi="Calibri" w:eastAsia="仿宋_GB2312" w:cs="宋体"/>
          <w:color w:val="auto"/>
          <w:kern w:val="0"/>
          <w:sz w:val="32"/>
          <w:lang w:val="en-US" w:eastAsia="zh-CN" w:bidi="ar-SA"/>
        </w:rPr>
      </w:pPr>
      <w:bookmarkStart w:id="8" w:name="_Toc15396601"/>
      <w:bookmarkStart w:id="9" w:name="_Toc15377200"/>
      <w:r>
        <w:rPr>
          <w:rFonts w:hint="eastAsia" w:ascii="仿宋_GB2312" w:hAnsi="Calibri" w:eastAsia="仿宋_GB2312" w:cs="宋体"/>
          <w:b/>
          <w:bCs/>
          <w:color w:val="auto"/>
          <w:kern w:val="0"/>
          <w:sz w:val="32"/>
          <w:lang w:val="en-US" w:eastAsia="zh-CN" w:bidi="ar-SA"/>
        </w:rPr>
        <w:t>二、机构设置</w:t>
      </w:r>
      <w:bookmarkEnd w:id="8"/>
      <w:bookmarkEnd w:id="9"/>
    </w:p>
    <w:p w14:paraId="135505FE">
      <w:pPr>
        <w:keepNext w:val="0"/>
        <w:keepLines w:val="0"/>
        <w:pageBreakBefore w:val="0"/>
        <w:widowControl w:val="0"/>
        <w:suppressAutoHyphens/>
        <w:kinsoku/>
        <w:wordWrap/>
        <w:overflowPunct/>
        <w:topLinePunct w:val="0"/>
        <w:autoSpaceDE/>
        <w:autoSpaceDN/>
        <w:bidi w:val="0"/>
        <w:adjustRightInd/>
        <w:snapToGrid/>
        <w:spacing w:line="360" w:lineRule="auto"/>
        <w:ind w:firstLine="800" w:firstLineChars="250"/>
        <w:textAlignment w:val="auto"/>
      </w:pPr>
      <w:r>
        <w:rPr>
          <w:rFonts w:hint="eastAsia" w:ascii="仿宋_GB2312" w:hAnsi="Calibri" w:eastAsia="仿宋_GB2312" w:cs="宋体"/>
          <w:color w:val="auto"/>
          <w:kern w:val="0"/>
          <w:sz w:val="32"/>
          <w:lang w:val="en-US" w:eastAsia="zh-CN" w:bidi="ar-SA"/>
        </w:rPr>
        <w:t>本单位本年度纳入本级决算编制范围的独立编制机构数共1个，比上年增加0个，独立核算机构数共1个，比上年增加0个</w:t>
      </w:r>
      <w:r>
        <w:rPr>
          <w:rFonts w:hint="eastAsia" w:ascii="仿宋_GB2312" w:eastAsia="仿宋_GB2312" w:cs="宋体"/>
          <w:kern w:val="0"/>
          <w:sz w:val="32"/>
          <w:lang w:val="en-US" w:eastAsia="zh-CN" w:bidi="ar-SA"/>
        </w:rPr>
        <w:t>。</w:t>
      </w:r>
    </w:p>
    <w:p w14:paraId="295113B1">
      <w:pPr>
        <w:pStyle w:val="7"/>
        <w:adjustRightInd w:val="0"/>
        <w:snapToGrid w:val="0"/>
        <w:spacing w:before="93" w:line="600" w:lineRule="exact"/>
        <w:ind w:firstLine="672" w:firstLineChars="210"/>
        <w:rPr>
          <w:rFonts w:eastAsia="仿宋"/>
          <w:kern w:val="0"/>
          <w:sz w:val="32"/>
          <w:szCs w:val="32"/>
        </w:rPr>
      </w:pPr>
      <w:r>
        <w:rPr>
          <w:rFonts w:eastAsia="仿宋"/>
          <w:sz w:val="32"/>
          <w:szCs w:val="32"/>
        </w:rPr>
        <w:br w:type="page"/>
      </w:r>
    </w:p>
    <w:p w14:paraId="533D2F2E">
      <w:pPr>
        <w:pStyle w:val="4"/>
        <w:spacing w:before="0" w:after="0" w:line="240" w:lineRule="auto"/>
        <w:jc w:val="center"/>
        <w:rPr>
          <w:rFonts w:eastAsia="方正小标宋简体" w:cs="方正小标宋简体"/>
          <w:b w:val="0"/>
        </w:rPr>
      </w:pPr>
      <w:bookmarkStart w:id="10" w:name="_Toc15396602"/>
      <w:bookmarkStart w:id="11" w:name="_Toc15377204"/>
      <w:r>
        <w:rPr>
          <w:rFonts w:hint="eastAsia" w:eastAsia="方正小标宋简体" w:cs="方正小标宋简体"/>
          <w:b w:val="0"/>
        </w:rPr>
        <w:t>第二部分  202</w:t>
      </w:r>
      <w:r>
        <w:rPr>
          <w:rFonts w:hint="eastAsia" w:eastAsia="方正小标宋简体" w:cs="方正小标宋简体"/>
          <w:b w:val="0"/>
          <w:lang w:val="en-US" w:eastAsia="zh-CN"/>
        </w:rPr>
        <w:t>5</w:t>
      </w:r>
      <w:r>
        <w:rPr>
          <w:rFonts w:hint="eastAsia" w:eastAsia="方正小标宋简体" w:cs="方正小标宋简体"/>
          <w:b w:val="0"/>
        </w:rPr>
        <w:t>年度</w:t>
      </w:r>
      <w:r>
        <w:rPr>
          <w:rFonts w:hint="eastAsia" w:eastAsia="方正小标宋简体" w:cs="方正小标宋简体"/>
          <w:b w:val="0"/>
          <w:lang w:val="en-US" w:eastAsia="zh-CN"/>
        </w:rPr>
        <w:t>单位</w:t>
      </w:r>
      <w:r>
        <w:rPr>
          <w:rFonts w:hint="eastAsia" w:eastAsia="方正小标宋简体" w:cs="方正小标宋简体"/>
          <w:b w:val="0"/>
        </w:rPr>
        <w:t>决算情况说明</w:t>
      </w:r>
      <w:bookmarkEnd w:id="10"/>
      <w:bookmarkEnd w:id="11"/>
    </w:p>
    <w:p w14:paraId="4EDEE253"/>
    <w:p w14:paraId="20F0A4DA">
      <w:pPr>
        <w:pStyle w:val="27"/>
        <w:spacing w:line="600" w:lineRule="exact"/>
        <w:ind w:firstLine="640"/>
        <w:outlineLvl w:val="1"/>
        <w:rPr>
          <w:rStyle w:val="29"/>
          <w:rFonts w:hint="eastAsia" w:ascii="Times New Roman" w:hAnsi="Times New Roman" w:eastAsia="黑体"/>
          <w:b w:val="0"/>
        </w:rPr>
      </w:pPr>
      <w:bookmarkStart w:id="12" w:name="_Toc15377205"/>
      <w:bookmarkStart w:id="13" w:name="_Toc15396603"/>
      <w:r>
        <w:rPr>
          <w:rFonts w:hint="eastAsia" w:eastAsia="黑体"/>
          <w:sz w:val="32"/>
          <w:szCs w:val="32"/>
        </w:rPr>
        <w:t>一、收</w:t>
      </w:r>
      <w:r>
        <w:rPr>
          <w:rStyle w:val="29"/>
          <w:rFonts w:hint="eastAsia" w:ascii="Times New Roman" w:hAnsi="Times New Roman" w:eastAsia="黑体"/>
          <w:b w:val="0"/>
        </w:rPr>
        <w:t>入支出决算总体情况说明</w:t>
      </w:r>
      <w:bookmarkEnd w:id="12"/>
      <w:bookmarkEnd w:id="13"/>
    </w:p>
    <w:p w14:paraId="6B020F35">
      <w:pPr>
        <w:pStyle w:val="27"/>
        <w:spacing w:line="600" w:lineRule="exact"/>
        <w:ind w:firstLine="640"/>
        <w:outlineLvl w:val="1"/>
        <w:rPr>
          <w:rFonts w:hint="default" w:eastAsia="仿宋_GB2312" w:cs="仿宋_GB2312"/>
          <w:sz w:val="32"/>
          <w:szCs w:val="32"/>
          <w:lang w:val="en-US"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年度收入、支出总计均为</w:t>
      </w:r>
      <w:r>
        <w:rPr>
          <w:rFonts w:hint="eastAsia" w:eastAsia="仿宋_GB2312" w:cs="仿宋_GB2312"/>
          <w:sz w:val="32"/>
          <w:szCs w:val="32"/>
          <w:lang w:val="en-US" w:eastAsia="zh-CN"/>
        </w:rPr>
        <w:t>776.34</w:t>
      </w:r>
      <w:r>
        <w:rPr>
          <w:rFonts w:hint="eastAsia" w:eastAsia="仿宋_GB2312" w:cs="仿宋_GB2312"/>
          <w:sz w:val="32"/>
          <w:szCs w:val="32"/>
        </w:rPr>
        <w:t>万元。与202</w:t>
      </w:r>
      <w:r>
        <w:rPr>
          <w:rFonts w:hint="eastAsia" w:eastAsia="仿宋_GB2312" w:cs="仿宋_GB2312"/>
          <w:sz w:val="32"/>
          <w:szCs w:val="32"/>
          <w:lang w:val="en-US" w:eastAsia="zh-CN"/>
        </w:rPr>
        <w:t>4</w:t>
      </w:r>
      <w:r>
        <w:rPr>
          <w:rFonts w:hint="eastAsia" w:eastAsia="仿宋_GB2312" w:cs="仿宋_GB2312"/>
          <w:sz w:val="32"/>
          <w:szCs w:val="32"/>
        </w:rPr>
        <w:t>年度相比，收入总计</w:t>
      </w:r>
      <w:r>
        <w:rPr>
          <w:rFonts w:hint="eastAsia" w:eastAsia="仿宋_GB2312" w:cs="仿宋_GB2312"/>
          <w:sz w:val="32"/>
          <w:szCs w:val="32"/>
          <w:lang w:val="en-US" w:eastAsia="zh-CN"/>
        </w:rPr>
        <w:t>增加4.22万元，增加0.55%、</w:t>
      </w:r>
      <w:r>
        <w:rPr>
          <w:rFonts w:hint="eastAsia" w:eastAsia="仿宋_GB2312" w:cs="仿宋_GB2312"/>
          <w:sz w:val="32"/>
          <w:szCs w:val="32"/>
        </w:rPr>
        <w:t>支出总计</w:t>
      </w:r>
      <w:r>
        <w:rPr>
          <w:rFonts w:hint="eastAsia" w:eastAsia="仿宋_GB2312" w:cs="仿宋_GB2312"/>
          <w:sz w:val="32"/>
          <w:szCs w:val="32"/>
          <w:lang w:val="en-US" w:eastAsia="zh-CN"/>
        </w:rPr>
        <w:t>增加4.22万元，增加0.55%</w:t>
      </w:r>
      <w:r>
        <w:rPr>
          <w:rFonts w:hint="eastAsia" w:eastAsia="仿宋_GB2312" w:cs="仿宋_GB2312"/>
          <w:sz w:val="32"/>
          <w:szCs w:val="32"/>
        </w:rPr>
        <w:t>。主要变动原因是</w:t>
      </w:r>
      <w:r>
        <w:rPr>
          <w:rFonts w:hint="eastAsia" w:eastAsia="仿宋_GB2312" w:cs="仿宋_GB2312"/>
          <w:sz w:val="32"/>
          <w:szCs w:val="32"/>
          <w:lang w:val="en-US" w:eastAsia="zh-CN"/>
        </w:rPr>
        <w:t>单位本年日常公用经费支出增加。</w:t>
      </w:r>
    </w:p>
    <w:p w14:paraId="4E52C700">
      <w:pPr>
        <w:ind w:firstLine="640" w:firstLineChars="200"/>
        <w:jc w:val="center"/>
        <w:rPr>
          <w:rFonts w:hint="eastAsia" w:eastAsia="仿宋_GB2312" w:cs="仿宋_GB2312"/>
          <w:sz w:val="32"/>
          <w:szCs w:val="32"/>
        </w:rPr>
      </w:pPr>
      <w:r>
        <w:rPr>
          <w:rFonts w:hint="eastAsia" w:eastAsia="仿宋_GB2312" w:cs="仿宋_GB2312"/>
          <w:sz w:val="32"/>
          <w:szCs w:val="32"/>
        </w:rPr>
        <w:t>（图1：收入、支出决算总计变动情况图）</w:t>
      </w:r>
    </w:p>
    <w:p w14:paraId="23171836">
      <w:pPr>
        <w:ind w:firstLine="640" w:firstLineChars="200"/>
        <w:rPr>
          <w:rFonts w:hint="eastAsia" w:eastAsia="仿宋_GB2312" w:cs="仿宋_GB2312"/>
          <w:sz w:val="32"/>
          <w:szCs w:val="32"/>
        </w:rPr>
      </w:pPr>
      <w:r>
        <w:rPr>
          <w:rFonts w:hint="eastAsia" w:ascii="黑体" w:hAnsi="黑体" w:eastAsia="黑体"/>
          <w:color w:val="auto"/>
          <w:sz w:val="32"/>
          <w:szCs w:val="32"/>
          <w:highlight w:val="none"/>
          <w:lang w:eastAsia="zh-CN"/>
        </w:rPr>
        <w:drawing>
          <wp:inline distT="0" distB="0" distL="114300" distR="114300">
            <wp:extent cx="5256530" cy="2988310"/>
            <wp:effectExtent l="5080" t="4445" r="8890" b="17145"/>
            <wp:docPr id="21"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AFE41E8">
      <w:pPr>
        <w:ind w:firstLine="640" w:firstLineChars="200"/>
        <w:rPr>
          <w:rFonts w:eastAsia="仿宋_GB2312" w:cs="仿宋_GB2312"/>
          <w:sz w:val="32"/>
          <w:szCs w:val="32"/>
        </w:rPr>
      </w:pPr>
    </w:p>
    <w:p w14:paraId="07592078">
      <w:pPr>
        <w:pStyle w:val="27"/>
        <w:spacing w:line="600" w:lineRule="exact"/>
        <w:ind w:firstLine="640"/>
        <w:outlineLvl w:val="1"/>
        <w:rPr>
          <w:rFonts w:eastAsia="黑体"/>
          <w:sz w:val="32"/>
          <w:szCs w:val="32"/>
        </w:rPr>
      </w:pPr>
      <w:bookmarkStart w:id="14" w:name="_Toc15396604"/>
      <w:bookmarkStart w:id="15" w:name="_Toc15377206"/>
      <w:r>
        <w:rPr>
          <w:rFonts w:hint="eastAsia" w:eastAsia="黑体"/>
          <w:sz w:val="32"/>
          <w:szCs w:val="32"/>
        </w:rPr>
        <w:t>二、收入决算情况说明</w:t>
      </w:r>
      <w:bookmarkEnd w:id="14"/>
      <w:bookmarkEnd w:id="15"/>
    </w:p>
    <w:p w14:paraId="00EAB0F8">
      <w:pPr>
        <w:pStyle w:val="27"/>
        <w:spacing w:line="600" w:lineRule="exact"/>
        <w:ind w:firstLine="640"/>
        <w:jc w:val="left"/>
        <w:outlineLvl w:val="1"/>
        <w:rPr>
          <w:rFonts w:eastAsia="仿宋_GB2312" w:cs="仿宋_GB2312"/>
          <w:b/>
          <w:bCs/>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年度本年收入合计</w:t>
      </w:r>
      <w:r>
        <w:rPr>
          <w:rFonts w:hint="eastAsia" w:eastAsia="仿宋_GB2312" w:cs="仿宋_GB2312"/>
          <w:sz w:val="32"/>
          <w:szCs w:val="32"/>
          <w:lang w:val="en-US" w:eastAsia="zh-CN"/>
        </w:rPr>
        <w:t>776.34</w:t>
      </w:r>
      <w:r>
        <w:rPr>
          <w:rFonts w:hint="eastAsia" w:ascii="仿宋_GB2312" w:hAnsi="仿宋_GB2312" w:eastAsia="仿宋_GB2312" w:cs="仿宋_GB2312"/>
          <w:sz w:val="32"/>
          <w:szCs w:val="32"/>
        </w:rPr>
        <w:t>万元，其中：一般公共预算财政拨款收入</w:t>
      </w:r>
      <w:r>
        <w:rPr>
          <w:rFonts w:hint="eastAsia" w:eastAsia="仿宋_GB2312" w:cs="仿宋_GB2312"/>
          <w:sz w:val="32"/>
          <w:szCs w:val="32"/>
          <w:lang w:val="en-US" w:eastAsia="zh-CN"/>
        </w:rPr>
        <w:t>776.34</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p>
    <w:p w14:paraId="47DA684E">
      <w:pPr>
        <w:ind w:firstLine="800" w:firstLineChars="250"/>
        <w:jc w:val="center"/>
        <w:rPr>
          <w:rFonts w:eastAsia="仿宋_GB2312" w:cs="仿宋_GB2312"/>
          <w:sz w:val="32"/>
          <w:szCs w:val="32"/>
        </w:rPr>
      </w:pPr>
      <w:r>
        <w:rPr>
          <w:rFonts w:hint="eastAsia" w:eastAsia="仿宋_GB2312" w:cs="仿宋_GB2312"/>
          <w:sz w:val="32"/>
          <w:szCs w:val="32"/>
        </w:rPr>
        <w:t>（图2：收入决算结构图）</w:t>
      </w:r>
    </w:p>
    <w:p w14:paraId="676D7291">
      <w:pPr>
        <w:ind w:firstLine="525" w:firstLineChars="250"/>
        <w:rPr>
          <w:rFonts w:eastAsia="仿宋_GB2312" w:cs="仿宋_GB2312"/>
          <w:sz w:val="32"/>
          <w:szCs w:val="32"/>
        </w:rPr>
      </w:pPr>
      <w:r>
        <w:rPr>
          <w:rFonts w:hint="eastAsia" w:eastAsia="仿宋"/>
          <w:lang w:eastAsia="zh-CN"/>
        </w:rPr>
        <w:drawing>
          <wp:inline distT="0" distB="0" distL="114300" distR="114300">
            <wp:extent cx="4558665" cy="3281045"/>
            <wp:effectExtent l="4445" t="4445" r="8890" b="16510"/>
            <wp:docPr id="2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D954DA0">
      <w:pPr>
        <w:pStyle w:val="27"/>
        <w:spacing w:line="600" w:lineRule="exact"/>
        <w:ind w:firstLine="640"/>
        <w:outlineLvl w:val="1"/>
        <w:rPr>
          <w:rStyle w:val="29"/>
          <w:rFonts w:ascii="Times New Roman" w:hAnsi="Times New Roman" w:eastAsia="黑体"/>
          <w:b w:val="0"/>
        </w:rPr>
      </w:pPr>
      <w:bookmarkStart w:id="16" w:name="_Toc15377207"/>
      <w:bookmarkStart w:id="17" w:name="_Toc15396605"/>
      <w:r>
        <w:rPr>
          <w:rFonts w:hint="eastAsia" w:eastAsia="黑体"/>
          <w:sz w:val="32"/>
          <w:szCs w:val="32"/>
        </w:rPr>
        <w:t>三、支</w:t>
      </w:r>
      <w:r>
        <w:rPr>
          <w:rStyle w:val="29"/>
          <w:rFonts w:hint="eastAsia" w:ascii="Times New Roman" w:hAnsi="Times New Roman" w:eastAsia="黑体"/>
          <w:b w:val="0"/>
        </w:rPr>
        <w:t>出决算情况说明</w:t>
      </w:r>
      <w:bookmarkEnd w:id="16"/>
      <w:bookmarkEnd w:id="17"/>
    </w:p>
    <w:p w14:paraId="5ADEC559">
      <w:pPr>
        <w:pStyle w:val="27"/>
        <w:spacing w:line="600" w:lineRule="exact"/>
        <w:ind w:firstLine="640"/>
        <w:jc w:val="left"/>
        <w:outlineLvl w:val="1"/>
        <w:rPr>
          <w:rFonts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年度本年支出合计</w:t>
      </w:r>
      <w:r>
        <w:rPr>
          <w:rFonts w:hint="eastAsia" w:eastAsia="仿宋_GB2312" w:cs="仿宋_GB2312"/>
          <w:sz w:val="32"/>
          <w:szCs w:val="32"/>
          <w:lang w:val="en-US" w:eastAsia="zh-CN"/>
        </w:rPr>
        <w:t>776.34</w:t>
      </w:r>
      <w:r>
        <w:rPr>
          <w:rFonts w:hint="eastAsia" w:ascii="仿宋_GB2312" w:hAnsi="仿宋_GB2312" w:eastAsia="仿宋_GB2312" w:cs="仿宋_GB2312"/>
          <w:sz w:val="32"/>
          <w:szCs w:val="32"/>
        </w:rPr>
        <w:t>万元，其中：基本支出</w:t>
      </w:r>
      <w:r>
        <w:rPr>
          <w:rFonts w:hint="eastAsia" w:eastAsia="仿宋_GB2312" w:cs="仿宋_GB2312"/>
          <w:sz w:val="32"/>
          <w:szCs w:val="32"/>
          <w:lang w:val="en-US" w:eastAsia="zh-CN"/>
        </w:rPr>
        <w:t>776.34</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100.00</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，占</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w:t>
      </w:r>
    </w:p>
    <w:p w14:paraId="049F604B">
      <w:pPr>
        <w:ind w:firstLine="800" w:firstLineChars="250"/>
        <w:jc w:val="center"/>
        <w:rPr>
          <w:rFonts w:hint="eastAsia" w:eastAsia="仿宋_GB2312" w:cs="仿宋_GB2312"/>
          <w:sz w:val="32"/>
          <w:szCs w:val="32"/>
        </w:rPr>
      </w:pPr>
      <w:r>
        <w:rPr>
          <w:rFonts w:hint="eastAsia" w:eastAsia="仿宋_GB2312" w:cs="仿宋_GB2312"/>
          <w:sz w:val="32"/>
          <w:szCs w:val="32"/>
        </w:rPr>
        <w:t>（图3：支出决算结构图）</w:t>
      </w:r>
    </w:p>
    <w:p w14:paraId="247757AB">
      <w:pPr>
        <w:ind w:firstLine="800" w:firstLineChars="250"/>
        <w:rPr>
          <w:rFonts w:hint="eastAsia" w:eastAsia="仿宋_GB2312" w:cs="仿宋_GB2312"/>
          <w:sz w:val="32"/>
          <w:szCs w:val="32"/>
        </w:rPr>
      </w:pPr>
      <w:r>
        <w:rPr>
          <w:rFonts w:hint="eastAsia" w:ascii="仿宋_GB2312" w:eastAsia="仿宋_GB2312"/>
          <w:color w:val="auto"/>
          <w:sz w:val="32"/>
          <w:szCs w:val="32"/>
          <w:highlight w:val="none"/>
          <w:lang w:eastAsia="zh-CN"/>
        </w:rPr>
        <w:drawing>
          <wp:inline distT="0" distB="0" distL="114300" distR="114300">
            <wp:extent cx="4586605" cy="3155315"/>
            <wp:effectExtent l="4445" t="4445" r="6350" b="15240"/>
            <wp:docPr id="1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0A88AAD">
      <w:pPr>
        <w:ind w:firstLine="800" w:firstLineChars="250"/>
        <w:rPr>
          <w:rFonts w:eastAsia="仿宋_GB2312" w:cs="仿宋_GB2312"/>
          <w:sz w:val="32"/>
          <w:szCs w:val="32"/>
        </w:rPr>
      </w:pPr>
    </w:p>
    <w:p w14:paraId="54075097">
      <w:pPr>
        <w:spacing w:line="600" w:lineRule="exact"/>
        <w:ind w:firstLine="640" w:firstLineChars="200"/>
        <w:outlineLvl w:val="1"/>
        <w:rPr>
          <w:rStyle w:val="29"/>
          <w:rFonts w:ascii="Times New Roman" w:hAnsi="Times New Roman" w:eastAsia="黑体"/>
          <w:b w:val="0"/>
        </w:rPr>
      </w:pPr>
      <w:bookmarkStart w:id="18" w:name="_Toc15377208"/>
      <w:bookmarkStart w:id="19" w:name="_Toc15396606"/>
      <w:r>
        <w:rPr>
          <w:rFonts w:hint="eastAsia" w:eastAsia="黑体"/>
          <w:sz w:val="32"/>
          <w:szCs w:val="32"/>
        </w:rPr>
        <w:t>四、财</w:t>
      </w:r>
      <w:r>
        <w:rPr>
          <w:rStyle w:val="29"/>
          <w:rFonts w:hint="eastAsia" w:ascii="Times New Roman" w:hAnsi="Times New Roman" w:eastAsia="黑体"/>
          <w:b w:val="0"/>
        </w:rPr>
        <w:t>政拨款收入支出决算总体情况说明</w:t>
      </w:r>
      <w:bookmarkEnd w:id="18"/>
      <w:bookmarkEnd w:id="19"/>
    </w:p>
    <w:p w14:paraId="286B29A3">
      <w:pPr>
        <w:spacing w:line="600" w:lineRule="exact"/>
        <w:ind w:firstLine="640"/>
        <w:rPr>
          <w:rFonts w:hint="default" w:eastAsia="仿宋_GB2312" w:cs="仿宋_GB2312"/>
          <w:sz w:val="32"/>
          <w:szCs w:val="32"/>
          <w:lang w:val="en-US"/>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年度财政拨款收入、支出总计均为</w:t>
      </w:r>
      <w:r>
        <w:rPr>
          <w:rFonts w:hint="eastAsia" w:eastAsia="仿宋_GB2312" w:cs="仿宋_GB2312"/>
          <w:sz w:val="32"/>
          <w:szCs w:val="32"/>
          <w:lang w:val="en-US" w:eastAsia="zh-CN"/>
        </w:rPr>
        <w:t>776.34</w:t>
      </w:r>
      <w:r>
        <w:rPr>
          <w:rFonts w:hint="eastAsia" w:eastAsia="仿宋_GB2312" w:cs="仿宋_GB2312"/>
          <w:sz w:val="32"/>
          <w:szCs w:val="32"/>
        </w:rPr>
        <w:t>万元。与202</w:t>
      </w:r>
      <w:r>
        <w:rPr>
          <w:rFonts w:hint="eastAsia" w:eastAsia="仿宋_GB2312" w:cs="仿宋_GB2312"/>
          <w:sz w:val="32"/>
          <w:szCs w:val="32"/>
          <w:lang w:val="en-US" w:eastAsia="zh-CN"/>
        </w:rPr>
        <w:t>4</w:t>
      </w:r>
      <w:r>
        <w:rPr>
          <w:rFonts w:hint="eastAsia" w:eastAsia="仿宋_GB2312" w:cs="仿宋_GB2312"/>
          <w:sz w:val="32"/>
          <w:szCs w:val="32"/>
        </w:rPr>
        <w:t>年度相比，财政拨款收入总计</w:t>
      </w:r>
      <w:r>
        <w:rPr>
          <w:rFonts w:hint="eastAsia" w:eastAsia="仿宋_GB2312" w:cs="仿宋_GB2312"/>
          <w:sz w:val="32"/>
          <w:szCs w:val="32"/>
          <w:lang w:val="en-US" w:eastAsia="zh-CN"/>
        </w:rPr>
        <w:t>增加4.22万元，增加0.55%、</w:t>
      </w:r>
      <w:r>
        <w:rPr>
          <w:rFonts w:hint="eastAsia" w:eastAsia="仿宋_GB2312" w:cs="仿宋_GB2312"/>
          <w:sz w:val="32"/>
          <w:szCs w:val="32"/>
        </w:rPr>
        <w:t>支出总计</w:t>
      </w:r>
      <w:r>
        <w:rPr>
          <w:rFonts w:hint="eastAsia" w:eastAsia="仿宋_GB2312" w:cs="仿宋_GB2312"/>
          <w:sz w:val="32"/>
          <w:szCs w:val="32"/>
          <w:lang w:val="en-US" w:eastAsia="zh-CN"/>
        </w:rPr>
        <w:t>增加4.22万元，增加0.55%</w:t>
      </w:r>
      <w:r>
        <w:rPr>
          <w:rFonts w:hint="eastAsia" w:eastAsia="仿宋_GB2312" w:cs="仿宋_GB2312"/>
          <w:sz w:val="32"/>
          <w:szCs w:val="32"/>
        </w:rPr>
        <w:t>。主要变动原因是</w:t>
      </w:r>
      <w:r>
        <w:rPr>
          <w:rFonts w:hint="eastAsia" w:eastAsia="仿宋_GB2312" w:cs="仿宋_GB2312"/>
          <w:sz w:val="32"/>
          <w:szCs w:val="32"/>
          <w:lang w:val="en-US" w:eastAsia="zh-CN"/>
        </w:rPr>
        <w:t>单位本年日常公用经费支出增加。</w:t>
      </w:r>
    </w:p>
    <w:p w14:paraId="5840B9D9">
      <w:pPr>
        <w:spacing w:line="600" w:lineRule="exact"/>
        <w:ind w:firstLine="640" w:firstLineChars="200"/>
        <w:rPr>
          <w:rFonts w:hint="eastAsia" w:eastAsia="仿宋_GB2312" w:cs="仿宋_GB2312"/>
          <w:sz w:val="32"/>
          <w:szCs w:val="32"/>
        </w:rPr>
      </w:pPr>
      <w:r>
        <w:rPr>
          <w:rFonts w:hint="eastAsia" w:eastAsia="仿宋_GB2312" w:cs="仿宋_GB2312"/>
          <w:sz w:val="32"/>
          <w:szCs w:val="32"/>
        </w:rPr>
        <w:t>（图4：财政拨款收、支决算总计变动情况）</w:t>
      </w:r>
    </w:p>
    <w:p w14:paraId="3C7B5AC9">
      <w:pPr>
        <w:spacing w:line="240" w:lineRule="auto"/>
        <w:rPr>
          <w:rFonts w:eastAsia="仿宋_GB2312" w:cs="仿宋_GB2312"/>
          <w:sz w:val="32"/>
          <w:szCs w:val="32"/>
        </w:rPr>
      </w:pPr>
      <w:r>
        <w:rPr>
          <w:rFonts w:hint="eastAsia" w:ascii="黑体" w:hAnsi="黑体" w:eastAsia="黑体"/>
          <w:color w:val="auto"/>
          <w:sz w:val="32"/>
          <w:szCs w:val="32"/>
          <w:highlight w:val="none"/>
          <w:lang w:eastAsia="zh-CN"/>
        </w:rPr>
        <w:drawing>
          <wp:inline distT="0" distB="0" distL="114300" distR="114300">
            <wp:extent cx="5256530" cy="2988310"/>
            <wp:effectExtent l="5080" t="4445" r="8890" b="1714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88454DC">
      <w:pPr>
        <w:spacing w:line="600" w:lineRule="exact"/>
        <w:ind w:firstLine="640" w:firstLineChars="200"/>
        <w:outlineLvl w:val="1"/>
        <w:rPr>
          <w:rStyle w:val="29"/>
          <w:rFonts w:ascii="Times New Roman" w:hAnsi="Times New Roman" w:eastAsia="黑体"/>
          <w:b w:val="0"/>
        </w:rPr>
      </w:pPr>
      <w:bookmarkStart w:id="20" w:name="_Toc15377209"/>
      <w:bookmarkStart w:id="21" w:name="_Toc15396607"/>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20"/>
      <w:bookmarkEnd w:id="21"/>
    </w:p>
    <w:p w14:paraId="1F541FFE">
      <w:pPr>
        <w:spacing w:line="600" w:lineRule="exact"/>
        <w:ind w:firstLine="643" w:firstLineChars="200"/>
        <w:outlineLvl w:val="2"/>
        <w:rPr>
          <w:rFonts w:eastAsia="楷体_GB2312" w:cs="楷体_GB2312"/>
          <w:b/>
          <w:sz w:val="32"/>
          <w:szCs w:val="32"/>
        </w:rPr>
      </w:pPr>
      <w:bookmarkStart w:id="22" w:name="_Toc15377210"/>
      <w:r>
        <w:rPr>
          <w:rFonts w:hint="eastAsia" w:eastAsia="楷体_GB2312" w:cs="楷体_GB2312"/>
          <w:b/>
          <w:sz w:val="32"/>
          <w:szCs w:val="32"/>
        </w:rPr>
        <w:t>（一）一般公共预算财政拨款支出决算总体情况</w:t>
      </w:r>
      <w:bookmarkEnd w:id="22"/>
    </w:p>
    <w:p w14:paraId="7B932F31">
      <w:pPr>
        <w:spacing w:line="600" w:lineRule="exact"/>
        <w:ind w:firstLine="640"/>
        <w:rPr>
          <w:rFonts w:hint="eastAsia" w:eastAsia="仿宋_GB2312" w:cs="仿宋_GB2312"/>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年度一般公共预算财政拨款支出</w:t>
      </w:r>
      <w:r>
        <w:rPr>
          <w:rFonts w:hint="eastAsia" w:eastAsia="仿宋_GB2312" w:cs="仿宋_GB2312"/>
          <w:sz w:val="32"/>
          <w:szCs w:val="32"/>
          <w:lang w:val="en-US" w:eastAsia="zh-CN"/>
        </w:rPr>
        <w:t>776.34</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年度相比，一般公共预算财政拨款支出</w:t>
      </w:r>
      <w:r>
        <w:rPr>
          <w:rFonts w:hint="eastAsia" w:eastAsia="仿宋_GB2312" w:cs="仿宋_GB2312"/>
          <w:sz w:val="32"/>
          <w:szCs w:val="32"/>
          <w:lang w:val="en-US" w:eastAsia="zh-CN"/>
        </w:rPr>
        <w:t>增加4.22</w:t>
      </w:r>
      <w:r>
        <w:rPr>
          <w:rFonts w:hint="eastAsia" w:ascii="仿宋_GB2312" w:hAnsi="仿宋_GB2312" w:eastAsia="仿宋_GB2312" w:cs="仿宋_GB2312"/>
          <w:sz w:val="32"/>
          <w:szCs w:val="32"/>
          <w:lang w:val="en-US" w:eastAsia="zh-CN"/>
        </w:rPr>
        <w:t>万元，增加0.55%</w:t>
      </w:r>
      <w:r>
        <w:rPr>
          <w:rFonts w:hint="eastAsia" w:ascii="仿宋_GB2312" w:hAnsi="仿宋_GB2312" w:eastAsia="仿宋_GB2312" w:cs="仿宋_GB2312"/>
          <w:sz w:val="32"/>
          <w:szCs w:val="32"/>
        </w:rPr>
        <w:t>。</w:t>
      </w:r>
      <w:r>
        <w:rPr>
          <w:rFonts w:hint="eastAsia" w:eastAsia="仿宋_GB2312" w:cs="仿宋_GB2312"/>
          <w:sz w:val="32"/>
          <w:szCs w:val="32"/>
        </w:rPr>
        <w:t>主要变动原因是</w:t>
      </w:r>
      <w:r>
        <w:rPr>
          <w:rFonts w:hint="eastAsia" w:eastAsia="仿宋_GB2312" w:cs="仿宋_GB2312"/>
          <w:sz w:val="32"/>
          <w:szCs w:val="32"/>
          <w:lang w:val="en-US" w:eastAsia="zh-CN"/>
        </w:rPr>
        <w:t>单位本年日常公用经费支出增加</w:t>
      </w:r>
    </w:p>
    <w:p w14:paraId="35886741">
      <w:pPr>
        <w:spacing w:line="600" w:lineRule="exact"/>
        <w:ind w:firstLine="640"/>
        <w:rPr>
          <w:rFonts w:hint="eastAsia" w:eastAsia="仿宋_GB2312" w:cs="仿宋_GB2312"/>
          <w:sz w:val="32"/>
          <w:szCs w:val="32"/>
        </w:rPr>
      </w:pPr>
      <w:r>
        <w:rPr>
          <w:rFonts w:hint="eastAsia" w:eastAsia="仿宋_GB2312" w:cs="仿宋_GB2312"/>
          <w:sz w:val="32"/>
          <w:szCs w:val="32"/>
        </w:rPr>
        <w:t>（图5：一般公共预算财政拨款支出决算变动情况）</w:t>
      </w:r>
    </w:p>
    <w:p w14:paraId="36D97AE4">
      <w:pPr>
        <w:spacing w:line="600" w:lineRule="exact"/>
        <w:ind w:firstLine="640"/>
        <w:rPr>
          <w:rFonts w:hint="eastAsia" w:eastAsia="仿宋_GB2312" w:cs="仿宋_GB2312"/>
          <w:sz w:val="32"/>
          <w:szCs w:val="32"/>
        </w:rPr>
      </w:pPr>
    </w:p>
    <w:p w14:paraId="2E1917C8">
      <w:pPr>
        <w:spacing w:line="600" w:lineRule="exact"/>
        <w:ind w:firstLine="640"/>
        <w:rPr>
          <w:rFonts w:hint="eastAsia" w:eastAsia="仿宋_GB2312" w:cs="仿宋_GB2312"/>
          <w:sz w:val="32"/>
          <w:szCs w:val="32"/>
        </w:rPr>
      </w:pPr>
    </w:p>
    <w:p w14:paraId="00D5187E">
      <w:pPr>
        <w:spacing w:line="600" w:lineRule="exact"/>
        <w:ind w:firstLine="640"/>
        <w:rPr>
          <w:rFonts w:hint="eastAsia" w:eastAsia="仿宋_GB2312" w:cs="仿宋_GB2312"/>
          <w:sz w:val="32"/>
          <w:szCs w:val="32"/>
        </w:rPr>
      </w:pPr>
    </w:p>
    <w:p w14:paraId="014AD325">
      <w:pPr>
        <w:spacing w:line="600" w:lineRule="exact"/>
        <w:ind w:firstLine="640"/>
        <w:rPr>
          <w:rFonts w:hint="eastAsia" w:eastAsia="仿宋_GB2312" w:cs="仿宋_GB2312"/>
          <w:sz w:val="32"/>
          <w:szCs w:val="32"/>
        </w:rPr>
      </w:pPr>
    </w:p>
    <w:p w14:paraId="3BFE7428">
      <w:pPr>
        <w:spacing w:line="240" w:lineRule="auto"/>
        <w:ind w:firstLine="0"/>
        <w:jc w:val="center"/>
        <w:rPr>
          <w:rFonts w:hint="eastAsia" w:eastAsia="仿宋_GB2312" w:cs="仿宋_GB2312"/>
          <w:sz w:val="32"/>
          <w:szCs w:val="32"/>
        </w:rPr>
      </w:pPr>
      <w:r>
        <w:rPr>
          <w:rFonts w:hint="eastAsia" w:ascii="仿宋" w:hAnsi="仿宋" w:eastAsia="仿宋"/>
          <w:b/>
          <w:color w:val="auto"/>
          <w:sz w:val="32"/>
          <w:szCs w:val="32"/>
          <w:highlight w:val="none"/>
          <w:lang w:eastAsia="zh-CN"/>
        </w:rPr>
        <w:drawing>
          <wp:inline distT="0" distB="0" distL="114300" distR="114300">
            <wp:extent cx="4431665" cy="2760345"/>
            <wp:effectExtent l="4445" t="5080" r="8890" b="1587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4FF90A1">
      <w:pPr>
        <w:spacing w:line="600" w:lineRule="exact"/>
        <w:ind w:firstLine="640"/>
        <w:rPr>
          <w:rFonts w:eastAsia="仿宋_GB2312" w:cs="仿宋_GB2312"/>
          <w:sz w:val="32"/>
          <w:szCs w:val="32"/>
        </w:rPr>
      </w:pPr>
    </w:p>
    <w:p w14:paraId="69AEC7DB">
      <w:pPr>
        <w:spacing w:line="600" w:lineRule="exact"/>
        <w:ind w:firstLine="643" w:firstLineChars="200"/>
        <w:outlineLvl w:val="2"/>
        <w:rPr>
          <w:rFonts w:eastAsia="楷体_GB2312" w:cs="楷体_GB2312"/>
          <w:b/>
          <w:sz w:val="32"/>
          <w:szCs w:val="32"/>
        </w:rPr>
      </w:pPr>
      <w:bookmarkStart w:id="23" w:name="_Toc15377211"/>
      <w:r>
        <w:rPr>
          <w:rFonts w:hint="eastAsia" w:eastAsia="楷体_GB2312" w:cs="楷体_GB2312"/>
          <w:b/>
          <w:sz w:val="32"/>
          <w:szCs w:val="32"/>
        </w:rPr>
        <w:t>（二）一般公共预算财政拨款支出决算结构情况</w:t>
      </w:r>
      <w:bookmarkEnd w:id="23"/>
    </w:p>
    <w:p w14:paraId="6757EA4D">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年度一般公共预算财政拨款支出</w:t>
      </w:r>
      <w:r>
        <w:rPr>
          <w:rFonts w:hint="eastAsia" w:eastAsia="仿宋_GB2312" w:cs="仿宋_GB2312"/>
          <w:sz w:val="32"/>
          <w:szCs w:val="32"/>
          <w:lang w:val="en-US" w:eastAsia="zh-CN"/>
        </w:rPr>
        <w:t>776.34</w:t>
      </w:r>
      <w:r>
        <w:rPr>
          <w:rFonts w:hint="eastAsia" w:ascii="仿宋_GB2312" w:hAnsi="仿宋_GB2312" w:eastAsia="仿宋_GB2312" w:cs="仿宋_GB2312"/>
          <w:sz w:val="32"/>
          <w:szCs w:val="32"/>
        </w:rPr>
        <w:t>万元</w:t>
      </w:r>
      <w:r>
        <w:rPr>
          <w:rFonts w:hint="eastAsia" w:eastAsia="仿宋_GB2312" w:cs="仿宋_GB2312"/>
          <w:sz w:val="32"/>
          <w:szCs w:val="32"/>
        </w:rPr>
        <w:t>，主要用于以下方面：一般公共服务支出</w:t>
      </w:r>
      <w:r>
        <w:rPr>
          <w:rFonts w:hint="eastAsia" w:eastAsia="仿宋_GB2312" w:cs="仿宋_GB2312"/>
          <w:sz w:val="32"/>
          <w:szCs w:val="32"/>
          <w:lang w:val="en-US" w:eastAsia="zh-CN"/>
        </w:rPr>
        <w:t>575.46万元，</w:t>
      </w:r>
      <w:r>
        <w:rPr>
          <w:rFonts w:hint="eastAsia" w:eastAsia="仿宋_GB2312" w:cs="仿宋_GB2312"/>
          <w:sz w:val="32"/>
          <w:szCs w:val="32"/>
        </w:rPr>
        <w:t>占</w:t>
      </w:r>
      <w:r>
        <w:rPr>
          <w:rFonts w:hint="eastAsia" w:eastAsia="仿宋_GB2312" w:cs="仿宋_GB2312"/>
          <w:sz w:val="32"/>
          <w:szCs w:val="32"/>
          <w:lang w:val="en-US" w:eastAsia="zh-CN"/>
        </w:rPr>
        <w:t>74.12</w:t>
      </w:r>
      <w:r>
        <w:rPr>
          <w:rFonts w:hint="eastAsia" w:eastAsia="仿宋_GB2312" w:cs="仿宋_GB2312"/>
          <w:sz w:val="32"/>
          <w:szCs w:val="32"/>
        </w:rPr>
        <w:t>%；社会保障和就业支出</w:t>
      </w:r>
      <w:r>
        <w:rPr>
          <w:rFonts w:hint="eastAsia" w:eastAsia="仿宋_GB2312" w:cs="仿宋_GB2312"/>
          <w:sz w:val="32"/>
          <w:szCs w:val="32"/>
          <w:lang w:val="en-US" w:eastAsia="zh-CN"/>
        </w:rPr>
        <w:t>101.67</w:t>
      </w:r>
      <w:r>
        <w:rPr>
          <w:rFonts w:hint="eastAsia" w:eastAsia="仿宋_GB2312" w:cs="仿宋_GB2312"/>
          <w:sz w:val="32"/>
          <w:szCs w:val="32"/>
        </w:rPr>
        <w:t>万元，占</w:t>
      </w:r>
      <w:r>
        <w:rPr>
          <w:rFonts w:hint="eastAsia" w:eastAsia="仿宋_GB2312" w:cs="仿宋_GB2312"/>
          <w:sz w:val="32"/>
          <w:szCs w:val="32"/>
          <w:lang w:val="en-US" w:eastAsia="zh-CN"/>
        </w:rPr>
        <w:t>13.10</w:t>
      </w:r>
      <w:r>
        <w:rPr>
          <w:rFonts w:hint="eastAsia" w:eastAsia="仿宋_GB2312" w:cs="仿宋_GB2312"/>
          <w:sz w:val="32"/>
          <w:szCs w:val="32"/>
        </w:rPr>
        <w:t>%；卫生健康支出</w:t>
      </w:r>
      <w:r>
        <w:rPr>
          <w:rFonts w:hint="eastAsia" w:eastAsia="仿宋_GB2312" w:cs="仿宋_GB2312"/>
          <w:sz w:val="32"/>
          <w:szCs w:val="32"/>
          <w:lang w:val="en-US" w:eastAsia="zh-CN"/>
        </w:rPr>
        <w:t>37.75</w:t>
      </w:r>
      <w:r>
        <w:rPr>
          <w:rFonts w:hint="eastAsia" w:eastAsia="仿宋_GB2312" w:cs="仿宋_GB2312"/>
          <w:sz w:val="32"/>
          <w:szCs w:val="32"/>
        </w:rPr>
        <w:t>万元，占</w:t>
      </w:r>
      <w:r>
        <w:rPr>
          <w:rFonts w:hint="eastAsia" w:eastAsia="仿宋_GB2312" w:cs="仿宋_GB2312"/>
          <w:sz w:val="32"/>
          <w:szCs w:val="32"/>
          <w:lang w:val="en-US" w:eastAsia="zh-CN"/>
        </w:rPr>
        <w:t>4.86</w:t>
      </w:r>
      <w:r>
        <w:rPr>
          <w:rFonts w:hint="eastAsia" w:eastAsia="仿宋_GB2312" w:cs="仿宋_GB2312"/>
          <w:sz w:val="32"/>
          <w:szCs w:val="32"/>
        </w:rPr>
        <w:t>%；住房保障支出</w:t>
      </w:r>
      <w:r>
        <w:rPr>
          <w:rFonts w:hint="eastAsia" w:eastAsia="仿宋_GB2312" w:cs="仿宋_GB2312"/>
          <w:sz w:val="32"/>
          <w:szCs w:val="32"/>
          <w:lang w:val="en-US" w:eastAsia="zh-CN"/>
        </w:rPr>
        <w:t>61.46</w:t>
      </w:r>
      <w:r>
        <w:rPr>
          <w:rFonts w:hint="eastAsia" w:eastAsia="仿宋_GB2312" w:cs="仿宋_GB2312"/>
          <w:sz w:val="32"/>
          <w:szCs w:val="32"/>
        </w:rPr>
        <w:t>万元，占</w:t>
      </w:r>
      <w:r>
        <w:rPr>
          <w:rFonts w:hint="eastAsia" w:eastAsia="仿宋_GB2312" w:cs="仿宋_GB2312"/>
          <w:sz w:val="32"/>
          <w:szCs w:val="32"/>
          <w:lang w:val="en-US" w:eastAsia="zh-CN"/>
        </w:rPr>
        <w:t>7.92</w:t>
      </w:r>
      <w:r>
        <w:rPr>
          <w:rFonts w:hint="eastAsia" w:eastAsia="仿宋_GB2312" w:cs="仿宋_GB2312"/>
          <w:sz w:val="32"/>
          <w:szCs w:val="32"/>
        </w:rPr>
        <w:t>%</w:t>
      </w:r>
      <w:r>
        <w:rPr>
          <w:rFonts w:hint="eastAsia" w:eastAsia="仿宋_GB2312" w:cs="仿宋_GB2312"/>
          <w:sz w:val="32"/>
          <w:szCs w:val="32"/>
          <w:lang w:eastAsia="zh-CN"/>
        </w:rPr>
        <w:t>。</w:t>
      </w:r>
    </w:p>
    <w:p w14:paraId="213ACD41">
      <w:pPr>
        <w:spacing w:line="600" w:lineRule="exact"/>
        <w:ind w:firstLine="640"/>
        <w:rPr>
          <w:rFonts w:hint="eastAsia" w:eastAsia="仿宋_GB2312" w:cs="仿宋_GB2312"/>
          <w:sz w:val="32"/>
          <w:szCs w:val="32"/>
        </w:rPr>
      </w:pPr>
      <w:r>
        <w:rPr>
          <w:rFonts w:hint="eastAsia" w:eastAsia="仿宋_GB2312" w:cs="仿宋_GB2312"/>
          <w:sz w:val="32"/>
          <w:szCs w:val="32"/>
        </w:rPr>
        <w:t>（图6：一般公共预算财政拨款支出决算结构）</w:t>
      </w:r>
    </w:p>
    <w:p w14:paraId="559AE00D">
      <w:pPr>
        <w:spacing w:line="600" w:lineRule="exact"/>
        <w:rPr>
          <w:rFonts w:hint="eastAsia" w:eastAsia="仿宋_GB2312" w:cs="仿宋_GB2312"/>
          <w:sz w:val="32"/>
          <w:szCs w:val="32"/>
        </w:rPr>
      </w:pPr>
    </w:p>
    <w:p w14:paraId="5F6428A4">
      <w:pPr>
        <w:spacing w:line="240" w:lineRule="auto"/>
        <w:ind w:firstLine="0"/>
        <w:jc w:val="center"/>
        <w:rPr>
          <w:rFonts w:hint="eastAsia" w:eastAsia="仿宋_GB2312" w:cs="仿宋_GB2312"/>
          <w:sz w:val="32"/>
          <w:szCs w:val="32"/>
        </w:rPr>
      </w:pPr>
      <w:r>
        <w:rPr>
          <w:rFonts w:hint="eastAsia" w:ascii="仿宋" w:hAnsi="仿宋" w:eastAsia="仿宋"/>
          <w:color w:val="auto"/>
          <w:sz w:val="32"/>
          <w:szCs w:val="32"/>
          <w:highlight w:val="none"/>
          <w:lang w:eastAsia="zh-CN"/>
        </w:rPr>
        <w:drawing>
          <wp:inline distT="0" distB="0" distL="114300" distR="114300">
            <wp:extent cx="4367530" cy="3051810"/>
            <wp:effectExtent l="4445" t="4445" r="9525" b="17145"/>
            <wp:docPr id="23"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99B6E50">
      <w:pPr>
        <w:spacing w:line="600" w:lineRule="exact"/>
        <w:ind w:firstLine="640"/>
        <w:rPr>
          <w:rFonts w:eastAsia="仿宋_GB2312" w:cs="仿宋_GB2312"/>
          <w:sz w:val="32"/>
          <w:szCs w:val="32"/>
        </w:rPr>
      </w:pPr>
    </w:p>
    <w:p w14:paraId="2933DF04">
      <w:pPr>
        <w:spacing w:line="600" w:lineRule="exact"/>
        <w:ind w:firstLine="643" w:firstLineChars="200"/>
        <w:outlineLvl w:val="2"/>
        <w:rPr>
          <w:rFonts w:eastAsia="楷体_GB2312" w:cs="楷体_GB2312"/>
          <w:b/>
          <w:sz w:val="32"/>
          <w:szCs w:val="32"/>
        </w:rPr>
      </w:pPr>
      <w:bookmarkStart w:id="24" w:name="_Toc15377212"/>
      <w:r>
        <w:rPr>
          <w:rFonts w:hint="eastAsia" w:eastAsia="楷体_GB2312" w:cs="楷体_GB2312"/>
          <w:b/>
          <w:sz w:val="32"/>
          <w:szCs w:val="32"/>
        </w:rPr>
        <w:t>（三）一般公共预算财政拨款支出决算具体情况</w:t>
      </w:r>
      <w:bookmarkEnd w:id="24"/>
    </w:p>
    <w:p w14:paraId="73722D4C">
      <w:pPr>
        <w:keepNext w:val="0"/>
        <w:keepLines w:val="0"/>
        <w:pageBreakBefore w:val="0"/>
        <w:widowControl w:val="0"/>
        <w:kinsoku/>
        <w:wordWrap/>
        <w:overflowPunct/>
        <w:topLinePunct w:val="0"/>
        <w:autoSpaceDE/>
        <w:autoSpaceDN/>
        <w:bidi w:val="0"/>
        <w:adjustRightInd/>
        <w:snapToGrid/>
        <w:spacing w:line="360" w:lineRule="auto"/>
        <w:ind w:firstLine="640"/>
        <w:textAlignment w:val="auto"/>
      </w:pPr>
      <w:bookmarkStart w:id="25" w:name="_Toc15377213"/>
      <w:bookmarkStart w:id="26" w:name="_Toc15378460"/>
      <w:bookmarkStart w:id="27" w:name="_Toc15377444"/>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年度一般公共预算财政拨款支出决算数为</w:t>
      </w:r>
      <w:r>
        <w:rPr>
          <w:rFonts w:hint="eastAsia" w:eastAsia="仿宋_GB2312" w:cs="仿宋_GB2312"/>
          <w:sz w:val="32"/>
          <w:szCs w:val="32"/>
          <w:lang w:val="en-US" w:eastAsia="zh-CN"/>
        </w:rPr>
        <w:t>776.34万元</w:t>
      </w:r>
      <w:r>
        <w:rPr>
          <w:rFonts w:hint="eastAsia" w:ascii="仿宋_GB2312" w:hAnsi="仿宋_GB2312" w:eastAsia="仿宋_GB2312" w:cs="仿宋_GB2312"/>
          <w:sz w:val="32"/>
          <w:szCs w:val="32"/>
        </w:rPr>
        <w:t>，</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25"/>
      <w:bookmarkEnd w:id="26"/>
      <w:bookmarkEnd w:id="27"/>
    </w:p>
    <w:p w14:paraId="3E55D659">
      <w:pPr>
        <w:spacing w:line="600" w:lineRule="exact"/>
        <w:ind w:firstLine="640"/>
        <w:rPr>
          <w:rFonts w:hint="eastAsia" w:ascii="仿宋" w:hAnsi="仿宋" w:eastAsia="仿宋"/>
          <w:color w:val="auto"/>
          <w:sz w:val="32"/>
          <w:szCs w:val="32"/>
          <w:highlight w:val="none"/>
        </w:rPr>
      </w:pPr>
      <w:r>
        <w:rPr>
          <w:rFonts w:hint="eastAsia" w:ascii="仿宋" w:hAnsi="仿宋" w:eastAsia="仿宋"/>
          <w:color w:val="auto"/>
          <w:sz w:val="32"/>
          <w:szCs w:val="32"/>
          <w:highlight w:val="none"/>
          <w:lang w:val="en-US" w:eastAsia="zh-CN"/>
        </w:rPr>
        <w:t>1</w:t>
      </w:r>
      <w:r>
        <w:rPr>
          <w:rFonts w:hint="eastAsia" w:ascii="仿宋" w:hAnsi="仿宋" w:eastAsia="仿宋"/>
          <w:color w:val="auto"/>
          <w:sz w:val="32"/>
          <w:szCs w:val="32"/>
          <w:highlight w:val="none"/>
        </w:rPr>
        <w:t>.社会保障和就业（</w:t>
      </w:r>
      <w:r>
        <w:rPr>
          <w:rFonts w:hint="eastAsia" w:ascii="仿宋" w:hAnsi="仿宋" w:eastAsia="仿宋"/>
          <w:color w:val="auto"/>
          <w:sz w:val="32"/>
          <w:szCs w:val="32"/>
          <w:highlight w:val="none"/>
          <w:lang w:val="en-US" w:eastAsia="zh-CN"/>
        </w:rPr>
        <w:t>208</w:t>
      </w:r>
      <w:r>
        <w:rPr>
          <w:rFonts w:hint="eastAsia" w:ascii="仿宋" w:hAnsi="仿宋" w:eastAsia="仿宋"/>
          <w:color w:val="auto"/>
          <w:sz w:val="32"/>
          <w:szCs w:val="32"/>
          <w:highlight w:val="none"/>
        </w:rPr>
        <w:t>）行政事业单位养老（</w:t>
      </w:r>
      <w:r>
        <w:rPr>
          <w:rFonts w:hint="eastAsia" w:ascii="仿宋" w:hAnsi="仿宋" w:eastAsia="仿宋"/>
          <w:color w:val="auto"/>
          <w:sz w:val="32"/>
          <w:szCs w:val="32"/>
          <w:highlight w:val="none"/>
          <w:lang w:val="en-US" w:eastAsia="zh-CN"/>
        </w:rPr>
        <w:t>05</w:t>
      </w:r>
      <w:r>
        <w:rPr>
          <w:rFonts w:hint="eastAsia" w:ascii="仿宋" w:hAnsi="仿宋" w:eastAsia="仿宋"/>
          <w:color w:val="auto"/>
          <w:sz w:val="32"/>
          <w:szCs w:val="32"/>
          <w:highlight w:val="none"/>
        </w:rPr>
        <w:t>）机关事业单位基本养老保险缴费（</w:t>
      </w:r>
      <w:r>
        <w:rPr>
          <w:rFonts w:hint="eastAsia" w:ascii="仿宋" w:hAnsi="仿宋" w:eastAsia="仿宋"/>
          <w:color w:val="auto"/>
          <w:sz w:val="32"/>
          <w:szCs w:val="32"/>
          <w:highlight w:val="none"/>
          <w:lang w:val="en-US" w:eastAsia="zh-CN"/>
        </w:rPr>
        <w:t>05</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 xml:space="preserve"> 支出决算为</w:t>
      </w:r>
      <w:r>
        <w:rPr>
          <w:rFonts w:hint="eastAsia" w:ascii="仿宋" w:hAnsi="仿宋" w:eastAsia="仿宋"/>
          <w:color w:val="auto"/>
          <w:sz w:val="32"/>
          <w:szCs w:val="32"/>
          <w:highlight w:val="none"/>
          <w:lang w:val="en-US" w:eastAsia="zh-CN"/>
        </w:rPr>
        <w:t>67.78</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100%。</w:t>
      </w:r>
    </w:p>
    <w:p w14:paraId="6B156EF8">
      <w:pPr>
        <w:spacing w:line="600" w:lineRule="exact"/>
        <w:ind w:firstLine="640"/>
        <w:rPr>
          <w:rFonts w:hint="eastAsia" w:ascii="仿宋" w:hAnsi="仿宋" w:eastAsia="仿宋"/>
          <w:color w:val="auto"/>
          <w:sz w:val="32"/>
          <w:szCs w:val="32"/>
          <w:highlight w:val="none"/>
        </w:rPr>
      </w:pPr>
      <w:r>
        <w:rPr>
          <w:rFonts w:hint="eastAsia" w:ascii="仿宋" w:hAnsi="仿宋" w:eastAsia="仿宋"/>
          <w:color w:val="auto"/>
          <w:sz w:val="32"/>
          <w:szCs w:val="32"/>
          <w:highlight w:val="none"/>
          <w:lang w:val="en-US" w:eastAsia="zh-CN"/>
        </w:rPr>
        <w:t>2</w:t>
      </w:r>
      <w:r>
        <w:rPr>
          <w:rFonts w:hint="eastAsia" w:ascii="仿宋" w:hAnsi="仿宋" w:eastAsia="仿宋"/>
          <w:color w:val="auto"/>
          <w:sz w:val="32"/>
          <w:szCs w:val="32"/>
          <w:highlight w:val="none"/>
        </w:rPr>
        <w:t>.社会保障和就业（</w:t>
      </w:r>
      <w:r>
        <w:rPr>
          <w:rFonts w:hint="eastAsia" w:ascii="仿宋" w:hAnsi="仿宋" w:eastAsia="仿宋"/>
          <w:color w:val="auto"/>
          <w:sz w:val="32"/>
          <w:szCs w:val="32"/>
          <w:highlight w:val="none"/>
          <w:lang w:val="en-US" w:eastAsia="zh-CN"/>
        </w:rPr>
        <w:t>208</w:t>
      </w:r>
      <w:r>
        <w:rPr>
          <w:rFonts w:hint="eastAsia" w:ascii="仿宋" w:hAnsi="仿宋" w:eastAsia="仿宋"/>
          <w:color w:val="auto"/>
          <w:sz w:val="32"/>
          <w:szCs w:val="32"/>
          <w:highlight w:val="none"/>
        </w:rPr>
        <w:t>）行政事业单位养老（</w:t>
      </w:r>
      <w:r>
        <w:rPr>
          <w:rFonts w:hint="eastAsia" w:ascii="仿宋" w:hAnsi="仿宋" w:eastAsia="仿宋"/>
          <w:color w:val="auto"/>
          <w:sz w:val="32"/>
          <w:szCs w:val="32"/>
          <w:highlight w:val="none"/>
          <w:lang w:val="en-US" w:eastAsia="zh-CN"/>
        </w:rPr>
        <w:t>05</w:t>
      </w:r>
      <w:r>
        <w:rPr>
          <w:rFonts w:hint="eastAsia" w:ascii="仿宋" w:hAnsi="仿宋" w:eastAsia="仿宋"/>
          <w:color w:val="auto"/>
          <w:sz w:val="32"/>
          <w:szCs w:val="32"/>
          <w:highlight w:val="none"/>
        </w:rPr>
        <w:t>）机关事业单位职业年金缴费（</w:t>
      </w:r>
      <w:r>
        <w:rPr>
          <w:rFonts w:hint="eastAsia" w:ascii="仿宋" w:hAnsi="仿宋" w:eastAsia="仿宋"/>
          <w:color w:val="auto"/>
          <w:sz w:val="32"/>
          <w:szCs w:val="32"/>
          <w:highlight w:val="none"/>
          <w:lang w:val="en-US" w:eastAsia="zh-CN"/>
        </w:rPr>
        <w:t>06</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支出决算为</w:t>
      </w:r>
      <w:r>
        <w:rPr>
          <w:rFonts w:hint="eastAsia" w:ascii="仿宋" w:hAnsi="仿宋" w:eastAsia="仿宋"/>
          <w:color w:val="auto"/>
          <w:sz w:val="32"/>
          <w:szCs w:val="32"/>
          <w:highlight w:val="none"/>
          <w:lang w:val="en-US" w:eastAsia="zh-CN"/>
        </w:rPr>
        <w:t>33.89</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100</w:t>
      </w:r>
      <w:r>
        <w:rPr>
          <w:rFonts w:hint="eastAsia" w:ascii="仿宋" w:hAnsi="仿宋" w:eastAsia="仿宋"/>
          <w:color w:val="auto"/>
          <w:sz w:val="32"/>
          <w:szCs w:val="32"/>
          <w:highlight w:val="none"/>
        </w:rPr>
        <w:t>%。</w:t>
      </w:r>
    </w:p>
    <w:p w14:paraId="2C19D7F0">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3</w:t>
      </w:r>
      <w:r>
        <w:rPr>
          <w:rFonts w:hint="eastAsia" w:ascii="仿宋" w:hAnsi="仿宋" w:eastAsia="仿宋"/>
          <w:color w:val="auto"/>
          <w:sz w:val="32"/>
          <w:szCs w:val="32"/>
          <w:highlight w:val="none"/>
        </w:rPr>
        <w:t>.卫生健康支出（</w:t>
      </w:r>
      <w:r>
        <w:rPr>
          <w:rFonts w:hint="eastAsia" w:ascii="仿宋" w:hAnsi="仿宋" w:eastAsia="仿宋"/>
          <w:color w:val="auto"/>
          <w:sz w:val="32"/>
          <w:szCs w:val="32"/>
          <w:highlight w:val="none"/>
          <w:lang w:val="en-US" w:eastAsia="zh-CN"/>
        </w:rPr>
        <w:t>210</w:t>
      </w:r>
      <w:r>
        <w:rPr>
          <w:rFonts w:hint="eastAsia" w:ascii="仿宋" w:hAnsi="仿宋" w:eastAsia="仿宋"/>
          <w:color w:val="auto"/>
          <w:sz w:val="32"/>
          <w:szCs w:val="32"/>
          <w:highlight w:val="none"/>
        </w:rPr>
        <w:t>）行政事业单位医疗</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11</w:t>
      </w:r>
      <w:r>
        <w:rPr>
          <w:rStyle w:val="17"/>
          <w:rFonts w:hint="eastAsia" w:ascii="仿宋" w:hAnsi="仿宋" w:eastAsia="仿宋"/>
          <w:b w:val="0"/>
          <w:bCs w:val="0"/>
          <w:color w:val="auto"/>
          <w:sz w:val="32"/>
          <w:szCs w:val="32"/>
          <w:highlight w:val="none"/>
        </w:rPr>
        <w:t>）事业单位医疗（</w:t>
      </w:r>
      <w:r>
        <w:rPr>
          <w:rStyle w:val="17"/>
          <w:rFonts w:hint="eastAsia" w:ascii="仿宋" w:hAnsi="仿宋" w:eastAsia="仿宋"/>
          <w:b w:val="0"/>
          <w:bCs w:val="0"/>
          <w:color w:val="auto"/>
          <w:sz w:val="32"/>
          <w:szCs w:val="32"/>
          <w:highlight w:val="none"/>
          <w:lang w:val="en-US" w:eastAsia="zh-CN"/>
        </w:rPr>
        <w:t>02</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31.60</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rPr>
        <w:t>。</w:t>
      </w:r>
    </w:p>
    <w:p w14:paraId="5463E298">
      <w:pPr>
        <w:spacing w:line="600" w:lineRule="exact"/>
        <w:ind w:firstLine="640"/>
        <w:rPr>
          <w:rStyle w:val="17"/>
          <w:rFonts w:hint="eastAsia" w:ascii="仿宋" w:hAnsi="仿宋" w:eastAsia="仿宋"/>
          <w:b w:val="0"/>
          <w:bCs w:val="0"/>
          <w:color w:val="auto"/>
          <w:sz w:val="32"/>
          <w:szCs w:val="32"/>
          <w:highlight w:val="none"/>
        </w:rPr>
      </w:pPr>
      <w:r>
        <w:rPr>
          <w:rStyle w:val="17"/>
          <w:rFonts w:hint="eastAsia" w:ascii="仿宋" w:hAnsi="仿宋" w:eastAsia="仿宋"/>
          <w:b w:val="0"/>
          <w:bCs w:val="0"/>
          <w:color w:val="auto"/>
          <w:sz w:val="32"/>
          <w:szCs w:val="32"/>
          <w:highlight w:val="none"/>
          <w:lang w:val="en-US" w:eastAsia="zh-CN"/>
        </w:rPr>
        <w:t>4</w:t>
      </w:r>
      <w:r>
        <w:rPr>
          <w:rStyle w:val="17"/>
          <w:rFonts w:ascii="仿宋" w:hAnsi="仿宋" w:eastAsia="仿宋"/>
          <w:b w:val="0"/>
          <w:bCs w:val="0"/>
          <w:color w:val="auto"/>
          <w:sz w:val="32"/>
          <w:szCs w:val="32"/>
          <w:highlight w:val="none"/>
        </w:rPr>
        <w:t>.</w:t>
      </w:r>
      <w:r>
        <w:rPr>
          <w:rFonts w:hint="eastAsia" w:ascii="仿宋" w:hAnsi="仿宋" w:eastAsia="仿宋"/>
          <w:color w:val="auto"/>
          <w:sz w:val="32"/>
          <w:szCs w:val="32"/>
          <w:highlight w:val="none"/>
        </w:rPr>
        <w:t>卫生健康支出（</w:t>
      </w:r>
      <w:r>
        <w:rPr>
          <w:rFonts w:hint="eastAsia" w:ascii="仿宋" w:hAnsi="仿宋" w:eastAsia="仿宋"/>
          <w:color w:val="auto"/>
          <w:sz w:val="32"/>
          <w:szCs w:val="32"/>
          <w:highlight w:val="none"/>
          <w:lang w:val="en-US" w:eastAsia="zh-CN"/>
        </w:rPr>
        <w:t>210</w:t>
      </w:r>
      <w:r>
        <w:rPr>
          <w:rFonts w:hint="eastAsia" w:ascii="仿宋" w:hAnsi="仿宋" w:eastAsia="仿宋"/>
          <w:color w:val="auto"/>
          <w:sz w:val="32"/>
          <w:szCs w:val="32"/>
          <w:highlight w:val="none"/>
        </w:rPr>
        <w:t>）行政事业单位医疗</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11</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其</w:t>
      </w:r>
      <w:r>
        <w:rPr>
          <w:rStyle w:val="17"/>
          <w:rFonts w:hint="eastAsia" w:ascii="仿宋" w:hAnsi="仿宋" w:eastAsia="仿宋"/>
          <w:b w:val="0"/>
          <w:bCs w:val="0"/>
          <w:color w:val="auto"/>
          <w:sz w:val="32"/>
          <w:szCs w:val="32"/>
          <w:highlight w:val="none"/>
        </w:rPr>
        <w:t>他行政事业单位医疗支出（</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6.15</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rPr>
        <w:t>。</w:t>
      </w:r>
    </w:p>
    <w:p w14:paraId="554F2525">
      <w:pPr>
        <w:spacing w:line="600" w:lineRule="exact"/>
        <w:ind w:firstLine="640"/>
        <w:rPr>
          <w:rStyle w:val="17"/>
          <w:rFonts w:ascii="仿宋" w:hAnsi="仿宋" w:eastAsia="仿宋"/>
          <w:b w:val="0"/>
          <w:bCs w:val="0"/>
          <w:color w:val="auto"/>
          <w:sz w:val="32"/>
          <w:szCs w:val="32"/>
          <w:highlight w:val="none"/>
        </w:rPr>
      </w:pPr>
      <w:r>
        <w:rPr>
          <w:rStyle w:val="17"/>
          <w:rFonts w:hint="eastAsia" w:ascii="仿宋" w:hAnsi="仿宋" w:eastAsia="仿宋"/>
          <w:b w:val="0"/>
          <w:bCs w:val="0"/>
          <w:color w:val="auto"/>
          <w:sz w:val="32"/>
          <w:szCs w:val="32"/>
          <w:highlight w:val="none"/>
          <w:lang w:val="en-US" w:eastAsia="zh-CN"/>
        </w:rPr>
        <w:t>5</w:t>
      </w:r>
      <w:r>
        <w:rPr>
          <w:rStyle w:val="17"/>
          <w:rFonts w:ascii="仿宋" w:hAnsi="仿宋" w:eastAsia="仿宋"/>
          <w:b w:val="0"/>
          <w:bCs w:val="0"/>
          <w:color w:val="auto"/>
          <w:sz w:val="32"/>
          <w:szCs w:val="32"/>
          <w:highlight w:val="none"/>
        </w:rPr>
        <w:t>.</w:t>
      </w:r>
      <w:r>
        <w:rPr>
          <w:rFonts w:hint="eastAsia" w:ascii="仿宋" w:hAnsi="仿宋" w:eastAsia="仿宋"/>
          <w:color w:val="auto"/>
          <w:sz w:val="32"/>
          <w:szCs w:val="32"/>
          <w:highlight w:val="none"/>
        </w:rPr>
        <w:t>一般公共服务支出（</w:t>
      </w:r>
      <w:r>
        <w:rPr>
          <w:rFonts w:hint="eastAsia" w:ascii="仿宋" w:hAnsi="仿宋" w:eastAsia="仿宋"/>
          <w:color w:val="auto"/>
          <w:sz w:val="32"/>
          <w:szCs w:val="32"/>
          <w:highlight w:val="none"/>
          <w:lang w:val="en-US" w:eastAsia="zh-CN"/>
        </w:rPr>
        <w:t>201</w:t>
      </w:r>
      <w:r>
        <w:rPr>
          <w:rFonts w:hint="eastAsia" w:ascii="仿宋" w:hAnsi="仿宋" w:eastAsia="仿宋"/>
          <w:color w:val="auto"/>
          <w:sz w:val="32"/>
          <w:szCs w:val="32"/>
          <w:highlight w:val="none"/>
        </w:rPr>
        <w:t>）政府办公厅（室）及相关机构事务</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03</w:t>
      </w:r>
      <w:r>
        <w:rPr>
          <w:rStyle w:val="17"/>
          <w:rFonts w:hint="eastAsia" w:ascii="仿宋" w:hAnsi="仿宋" w:eastAsia="仿宋"/>
          <w:b w:val="0"/>
          <w:bCs w:val="0"/>
          <w:color w:val="auto"/>
          <w:sz w:val="32"/>
          <w:szCs w:val="32"/>
          <w:highlight w:val="none"/>
        </w:rPr>
        <w:t>）事业运行（</w:t>
      </w:r>
      <w:r>
        <w:rPr>
          <w:rStyle w:val="17"/>
          <w:rFonts w:hint="eastAsia" w:ascii="仿宋" w:hAnsi="仿宋" w:eastAsia="仿宋"/>
          <w:b w:val="0"/>
          <w:bCs w:val="0"/>
          <w:color w:val="auto"/>
          <w:sz w:val="32"/>
          <w:szCs w:val="32"/>
          <w:highlight w:val="none"/>
          <w:lang w:val="en-US" w:eastAsia="zh-CN"/>
        </w:rPr>
        <w:t>50</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575.46</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p>
    <w:p w14:paraId="7F96F2B7">
      <w:pPr>
        <w:spacing w:line="600" w:lineRule="exact"/>
        <w:ind w:firstLine="640"/>
        <w:rPr>
          <w:rFonts w:eastAsia="仿宋_GB2312" w:cs="仿宋_GB2312"/>
          <w:sz w:val="32"/>
          <w:szCs w:val="32"/>
        </w:rPr>
      </w:pPr>
      <w:r>
        <w:rPr>
          <w:rStyle w:val="17"/>
          <w:rFonts w:hint="eastAsia" w:ascii="仿宋" w:hAnsi="仿宋" w:eastAsia="仿宋"/>
          <w:b w:val="0"/>
          <w:bCs w:val="0"/>
          <w:color w:val="auto"/>
          <w:sz w:val="32"/>
          <w:szCs w:val="32"/>
          <w:highlight w:val="none"/>
          <w:lang w:val="en-US" w:eastAsia="zh-CN"/>
        </w:rPr>
        <w:t>6</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rPr>
        <w:t>住房保障（</w:t>
      </w:r>
      <w:r>
        <w:rPr>
          <w:rStyle w:val="17"/>
          <w:rFonts w:hint="eastAsia" w:ascii="仿宋" w:hAnsi="仿宋" w:eastAsia="仿宋"/>
          <w:b w:val="0"/>
          <w:bCs w:val="0"/>
          <w:color w:val="auto"/>
          <w:sz w:val="32"/>
          <w:szCs w:val="32"/>
          <w:highlight w:val="none"/>
          <w:lang w:val="en-US" w:eastAsia="zh-CN"/>
        </w:rPr>
        <w:t>221</w:t>
      </w:r>
      <w:r>
        <w:rPr>
          <w:rStyle w:val="17"/>
          <w:rFonts w:hint="eastAsia" w:ascii="仿宋" w:hAnsi="仿宋" w:eastAsia="仿宋"/>
          <w:b w:val="0"/>
          <w:bCs w:val="0"/>
          <w:color w:val="auto"/>
          <w:sz w:val="32"/>
          <w:szCs w:val="32"/>
          <w:highlight w:val="none"/>
        </w:rPr>
        <w:t>）住房改革（</w:t>
      </w:r>
      <w:r>
        <w:rPr>
          <w:rStyle w:val="17"/>
          <w:rFonts w:hint="eastAsia" w:ascii="仿宋" w:hAnsi="仿宋" w:eastAsia="仿宋"/>
          <w:b w:val="0"/>
          <w:bCs w:val="0"/>
          <w:color w:val="auto"/>
          <w:sz w:val="32"/>
          <w:szCs w:val="32"/>
          <w:highlight w:val="none"/>
          <w:lang w:val="en-US" w:eastAsia="zh-CN"/>
        </w:rPr>
        <w:t>02</w:t>
      </w:r>
      <w:r>
        <w:rPr>
          <w:rStyle w:val="17"/>
          <w:rFonts w:hint="eastAsia" w:ascii="仿宋" w:hAnsi="仿宋" w:eastAsia="仿宋"/>
          <w:b w:val="0"/>
          <w:bCs w:val="0"/>
          <w:color w:val="auto"/>
          <w:sz w:val="32"/>
          <w:szCs w:val="32"/>
          <w:highlight w:val="none"/>
        </w:rPr>
        <w:t>）住房公积金（</w:t>
      </w:r>
      <w:r>
        <w:rPr>
          <w:rStyle w:val="17"/>
          <w:rFonts w:hint="eastAsia" w:ascii="仿宋" w:hAnsi="仿宋" w:eastAsia="仿宋"/>
          <w:b w:val="0"/>
          <w:bCs w:val="0"/>
          <w:color w:val="auto"/>
          <w:sz w:val="32"/>
          <w:szCs w:val="32"/>
          <w:highlight w:val="none"/>
          <w:lang w:val="en-US" w:eastAsia="zh-CN"/>
        </w:rPr>
        <w:t>01</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61.46</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p>
    <w:p w14:paraId="09FFB682">
      <w:pPr>
        <w:tabs>
          <w:tab w:val="right" w:pos="8306"/>
        </w:tabs>
        <w:spacing w:line="600" w:lineRule="exact"/>
        <w:ind w:firstLine="640"/>
        <w:outlineLvl w:val="1"/>
        <w:rPr>
          <w:rStyle w:val="29"/>
          <w:rFonts w:ascii="Times New Roman" w:hAnsi="Times New Roman"/>
        </w:rPr>
      </w:pPr>
      <w:bookmarkStart w:id="28" w:name="_Toc15396608"/>
      <w:bookmarkStart w:id="29" w:name="_Toc15377214"/>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28"/>
      <w:bookmarkEnd w:id="29"/>
      <w:r>
        <w:rPr>
          <w:rStyle w:val="29"/>
          <w:rFonts w:ascii="Times New Roman" w:hAnsi="Times New Roman" w:eastAsia="黑体"/>
          <w:b w:val="0"/>
        </w:rPr>
        <w:tab/>
      </w:r>
    </w:p>
    <w:p w14:paraId="7A6B2C5F">
      <w:pPr>
        <w:spacing w:line="600" w:lineRule="exact"/>
        <w:ind w:firstLine="640"/>
        <w:rPr>
          <w:rFonts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年度一般公共预算财政拨款基本支出</w:t>
      </w:r>
      <w:r>
        <w:rPr>
          <w:rFonts w:hint="eastAsia" w:eastAsia="仿宋_GB2312" w:cs="仿宋_GB2312"/>
          <w:sz w:val="32"/>
          <w:szCs w:val="32"/>
          <w:lang w:val="en-US" w:eastAsia="zh-CN"/>
        </w:rPr>
        <w:t>776.34</w:t>
      </w:r>
      <w:r>
        <w:rPr>
          <w:rFonts w:hint="eastAsia" w:ascii="仿宋_GB2312" w:hAnsi="仿宋_GB2312" w:eastAsia="仿宋_GB2312" w:cs="仿宋_GB2312"/>
          <w:sz w:val="32"/>
          <w:szCs w:val="32"/>
        </w:rPr>
        <w:t>万</w:t>
      </w:r>
      <w:r>
        <w:rPr>
          <w:rFonts w:hint="eastAsia" w:eastAsia="仿宋_GB2312" w:cs="仿宋_GB2312"/>
          <w:sz w:val="32"/>
          <w:szCs w:val="32"/>
        </w:rPr>
        <w:t>元，其中：</w:t>
      </w:r>
    </w:p>
    <w:p w14:paraId="0C82ECFB">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eastAsia="仿宋_GB2312" w:cs="仿宋_GB2312"/>
          <w:sz w:val="32"/>
          <w:szCs w:val="32"/>
          <w:lang w:val="en-US" w:eastAsia="zh-CN"/>
        </w:rPr>
        <w:t>742.83</w:t>
      </w:r>
      <w:r>
        <w:rPr>
          <w:rFonts w:hint="eastAsia" w:ascii="仿宋_GB2312" w:hAnsi="仿宋_GB2312" w:eastAsia="仿宋_GB2312" w:cs="仿宋_GB2312"/>
          <w:sz w:val="32"/>
          <w:szCs w:val="32"/>
        </w:rPr>
        <w:t>万</w:t>
      </w:r>
      <w:r>
        <w:rPr>
          <w:rFonts w:hint="eastAsia" w:eastAsia="仿宋_GB2312" w:cs="仿宋_GB2312"/>
          <w:sz w:val="32"/>
          <w:szCs w:val="32"/>
        </w:rPr>
        <w:t>元，主要包括：</w:t>
      </w:r>
      <w:r>
        <w:rPr>
          <w:rFonts w:hint="eastAsia" w:ascii="仿宋" w:hAnsi="仿宋" w:eastAsia="仿宋"/>
          <w:color w:val="auto"/>
          <w:sz w:val="32"/>
          <w:szCs w:val="32"/>
          <w:highlight w:val="none"/>
        </w:rPr>
        <w:t>基本工资、津贴补贴、奖金、绩效工资</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机关事业单位基本养老保险缴费、职工基本医疗保险缴费</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职业年金缴费、其他社会保障缴费、住房公积金</w:t>
      </w:r>
      <w:r>
        <w:rPr>
          <w:rFonts w:hint="eastAsia" w:ascii="仿宋" w:hAnsi="仿宋" w:eastAsia="仿宋"/>
          <w:color w:val="auto"/>
          <w:sz w:val="32"/>
          <w:szCs w:val="32"/>
          <w:highlight w:val="none"/>
          <w:lang w:eastAsia="zh-CN"/>
        </w:rPr>
        <w:t>、医疗费、奖励金</w:t>
      </w:r>
      <w:r>
        <w:rPr>
          <w:rFonts w:hint="eastAsia" w:eastAsia="仿宋_GB2312" w:cs="仿宋_GB2312"/>
          <w:sz w:val="32"/>
          <w:szCs w:val="32"/>
        </w:rPr>
        <w:t>。</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eastAsia="仿宋_GB2312" w:cs="仿宋_GB2312"/>
          <w:sz w:val="32"/>
          <w:szCs w:val="32"/>
          <w:lang w:val="en-US" w:eastAsia="zh-CN"/>
        </w:rPr>
        <w:t>33.51</w:t>
      </w:r>
      <w:r>
        <w:rPr>
          <w:rFonts w:hint="eastAsia" w:ascii="仿宋_GB2312" w:hAnsi="仿宋_GB2312" w:eastAsia="仿宋_GB2312" w:cs="仿宋_GB2312"/>
          <w:sz w:val="32"/>
          <w:szCs w:val="32"/>
        </w:rPr>
        <w:t>万</w:t>
      </w:r>
      <w:r>
        <w:rPr>
          <w:rFonts w:hint="eastAsia" w:eastAsia="仿宋_GB2312" w:cs="仿宋_GB2312"/>
          <w:sz w:val="32"/>
          <w:szCs w:val="32"/>
        </w:rPr>
        <w:t>元，主要包括：</w:t>
      </w:r>
      <w:r>
        <w:rPr>
          <w:rFonts w:hint="eastAsia" w:ascii="仿宋" w:hAnsi="仿宋" w:eastAsia="仿宋"/>
          <w:color w:val="auto"/>
          <w:sz w:val="32"/>
          <w:szCs w:val="32"/>
          <w:highlight w:val="none"/>
        </w:rPr>
        <w:t>办公费、</w:t>
      </w:r>
      <w:r>
        <w:rPr>
          <w:rFonts w:hint="eastAsia" w:ascii="仿宋" w:hAnsi="仿宋" w:eastAsia="仿宋"/>
          <w:color w:val="auto"/>
          <w:sz w:val="32"/>
          <w:szCs w:val="32"/>
          <w:highlight w:val="none"/>
          <w:lang w:val="en-US" w:eastAsia="zh-CN"/>
        </w:rPr>
        <w:t>水费、</w:t>
      </w:r>
      <w:r>
        <w:rPr>
          <w:rFonts w:hint="eastAsia" w:ascii="仿宋" w:hAnsi="仿宋" w:eastAsia="仿宋"/>
          <w:color w:val="auto"/>
          <w:sz w:val="32"/>
          <w:szCs w:val="32"/>
          <w:highlight w:val="none"/>
        </w:rPr>
        <w:t>电费、邮电、差旅费、工会经费、其他交通费用</w:t>
      </w:r>
      <w:r>
        <w:rPr>
          <w:rFonts w:hint="eastAsia" w:eastAsia="仿宋_GB2312" w:cs="仿宋_GB2312"/>
          <w:sz w:val="32"/>
          <w:szCs w:val="32"/>
        </w:rPr>
        <w:t>。</w:t>
      </w:r>
    </w:p>
    <w:p w14:paraId="475093D4">
      <w:pPr>
        <w:spacing w:line="600" w:lineRule="exact"/>
        <w:ind w:firstLine="640"/>
        <w:outlineLvl w:val="1"/>
        <w:rPr>
          <w:rStyle w:val="29"/>
          <w:rFonts w:ascii="Times New Roman" w:hAnsi="Times New Roman" w:eastAsia="黑体"/>
          <w:b w:val="0"/>
        </w:rPr>
      </w:pPr>
      <w:bookmarkStart w:id="30" w:name="_Toc15377215"/>
      <w:bookmarkStart w:id="31" w:name="_Toc15396609"/>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bookmarkEnd w:id="30"/>
      <w:bookmarkEnd w:id="31"/>
    </w:p>
    <w:p w14:paraId="55E32413">
      <w:pPr>
        <w:spacing w:line="600" w:lineRule="exact"/>
        <w:ind w:firstLine="643" w:firstLineChars="200"/>
        <w:outlineLvl w:val="2"/>
        <w:rPr>
          <w:rFonts w:eastAsia="楷体_GB2312" w:cs="楷体_GB2312"/>
          <w:b/>
          <w:sz w:val="32"/>
          <w:szCs w:val="32"/>
        </w:rPr>
      </w:pPr>
      <w:bookmarkStart w:id="32" w:name="_Toc15377216"/>
      <w:r>
        <w:rPr>
          <w:rFonts w:hint="eastAsia" w:eastAsia="楷体_GB2312" w:cs="楷体_GB2312"/>
          <w:b/>
          <w:sz w:val="32"/>
          <w:szCs w:val="32"/>
        </w:rPr>
        <w:t>（一）“三公”经费财政拨款支出决算总体情况说明</w:t>
      </w:r>
      <w:bookmarkEnd w:id="32"/>
    </w:p>
    <w:p w14:paraId="650FFC8B">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年度“三公”经费财政拨款支出决算为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w:t>
      </w:r>
      <w:r>
        <w:rPr>
          <w:rFonts w:hint="eastAsia" w:eastAsia="仿宋_GB2312" w:cs="仿宋_GB2312"/>
          <w:sz w:val="32"/>
          <w:szCs w:val="32"/>
        </w:rPr>
        <w:t>较上年度</w:t>
      </w:r>
      <w:r>
        <w:rPr>
          <w:rFonts w:hint="eastAsia" w:eastAsia="仿宋_GB2312" w:cs="仿宋_GB2312"/>
          <w:sz w:val="32"/>
          <w:szCs w:val="32"/>
          <w:lang w:val="en-US" w:eastAsia="zh-CN"/>
        </w:rPr>
        <w:t>不变。</w:t>
      </w:r>
    </w:p>
    <w:p w14:paraId="181B4920">
      <w:pPr>
        <w:spacing w:line="600" w:lineRule="exact"/>
        <w:ind w:firstLine="643" w:firstLineChars="200"/>
        <w:outlineLvl w:val="2"/>
        <w:rPr>
          <w:rFonts w:eastAsia="楷体_GB2312" w:cs="楷体_GB2312"/>
          <w:b/>
          <w:sz w:val="32"/>
          <w:szCs w:val="32"/>
        </w:rPr>
      </w:pPr>
      <w:bookmarkStart w:id="33" w:name="_Toc15377217"/>
      <w:r>
        <w:rPr>
          <w:rFonts w:hint="eastAsia" w:eastAsia="楷体_GB2312" w:cs="楷体_GB2312"/>
          <w:b/>
          <w:sz w:val="32"/>
          <w:szCs w:val="32"/>
        </w:rPr>
        <w:t>（二）“三公”经费财政拨款支出决算具体情况说明</w:t>
      </w:r>
      <w:bookmarkEnd w:id="33"/>
    </w:p>
    <w:p w14:paraId="3582B8E9">
      <w:pPr>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年度“三公”经费财政拨款支出决算中，因公出国（境）费支出决算</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万元；公务用车购置及运行维护费支出决算</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万元；公务接待费支出决算</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万元。具体情况如下：</w:t>
      </w:r>
    </w:p>
    <w:p w14:paraId="1E242049">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w:t>
      </w:r>
      <w:r>
        <w:rPr>
          <w:rFonts w:hint="eastAsia" w:ascii="仿宋_GB2312" w:hAnsi="仿宋_GB2312" w:eastAsia="仿宋_GB2312" w:cs="仿宋_GB2312"/>
          <w:sz w:val="32"/>
          <w:szCs w:val="32"/>
        </w:rPr>
        <w:t>组</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次，出国（境）</w:t>
      </w:r>
      <w:r>
        <w:rPr>
          <w:rFonts w:hint="eastAsia" w:eastAsia="仿宋_GB2312" w:cs="仿宋_GB2312"/>
          <w:sz w:val="32"/>
          <w:szCs w:val="32"/>
          <w:lang w:val="en-US" w:eastAsia="zh-CN"/>
        </w:rPr>
        <w:t>0</w:t>
      </w:r>
      <w:r>
        <w:rPr>
          <w:rFonts w:hint="eastAsia" w:ascii="仿宋_GB2312" w:hAnsi="仿宋_GB2312" w:eastAsia="仿宋_GB2312" w:cs="仿宋_GB2312"/>
          <w:sz w:val="32"/>
          <w:szCs w:val="32"/>
        </w:rPr>
        <w:t>人</w:t>
      </w:r>
      <w:r>
        <w:rPr>
          <w:rFonts w:hint="eastAsia" w:eastAsia="仿宋_GB2312" w:cs="仿宋_GB2312"/>
          <w:sz w:val="32"/>
          <w:szCs w:val="32"/>
        </w:rPr>
        <w:t>。</w:t>
      </w:r>
    </w:p>
    <w:p w14:paraId="2A9E127C">
      <w:pPr>
        <w:spacing w:line="600" w:lineRule="exact"/>
        <w:ind w:firstLine="640"/>
        <w:rPr>
          <w:rFonts w:hint="default" w:eastAsia="仿宋_GB2312" w:cs="仿宋_GB2312"/>
          <w:sz w:val="32"/>
          <w:szCs w:val="32"/>
          <w:lang w:val="en-US" w:eastAsia="zh-CN"/>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b/>
          <w:bCs/>
          <w:sz w:val="32"/>
          <w:szCs w:val="32"/>
          <w:lang w:val="en-US" w:eastAsia="zh-CN"/>
        </w:rPr>
        <w:t>0.00</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eastAsia="仿宋_GB2312" w:cs="仿宋_GB2312"/>
          <w:b/>
          <w:bCs/>
          <w:sz w:val="32"/>
          <w:szCs w:val="32"/>
          <w:lang w:val="en-US" w:eastAsia="zh-CN"/>
        </w:rPr>
        <w:t>0.00</w:t>
      </w:r>
      <w:r>
        <w:rPr>
          <w:rFonts w:hint="eastAsia" w:eastAsia="仿宋_GB2312" w:cs="仿宋_GB2312"/>
          <w:b/>
          <w:bCs/>
          <w:sz w:val="32"/>
          <w:szCs w:val="32"/>
        </w:rPr>
        <w:t>%。</w:t>
      </w:r>
      <w:r>
        <w:rPr>
          <w:rFonts w:hint="eastAsia" w:eastAsia="仿宋_GB2312" w:cs="仿宋_GB2312"/>
          <w:sz w:val="32"/>
          <w:szCs w:val="32"/>
        </w:rPr>
        <w:t>公务用车购置及运行维护费支出决算比202</w:t>
      </w:r>
      <w:r>
        <w:rPr>
          <w:rFonts w:hint="eastAsia" w:eastAsia="仿宋_GB2312" w:cs="仿宋_GB2312"/>
          <w:sz w:val="32"/>
          <w:szCs w:val="32"/>
          <w:lang w:val="en-US" w:eastAsia="zh-CN"/>
        </w:rPr>
        <w:t>4</w:t>
      </w:r>
      <w:r>
        <w:rPr>
          <w:rFonts w:hint="eastAsia" w:eastAsia="仿宋_GB2312" w:cs="仿宋_GB2312"/>
          <w:sz w:val="32"/>
          <w:szCs w:val="32"/>
        </w:rPr>
        <w:t>年度</w:t>
      </w:r>
      <w:r>
        <w:rPr>
          <w:rFonts w:hint="eastAsia" w:eastAsia="仿宋_GB2312" w:cs="仿宋_GB2312"/>
          <w:sz w:val="32"/>
          <w:szCs w:val="32"/>
          <w:lang w:val="en-US" w:eastAsia="zh-CN"/>
        </w:rPr>
        <w:t>不变。</w:t>
      </w:r>
    </w:p>
    <w:p w14:paraId="2F80BDA2">
      <w:pPr>
        <w:spacing w:line="600" w:lineRule="exact"/>
        <w:ind w:firstLine="640"/>
        <w:rPr>
          <w:rFonts w:eastAsia="仿宋_GB2312" w:cs="仿宋_GB2312"/>
          <w:sz w:val="32"/>
          <w:szCs w:val="32"/>
        </w:rPr>
      </w:pPr>
      <w:r>
        <w:rPr>
          <w:rFonts w:hint="eastAsia" w:eastAsia="仿宋_GB2312" w:cs="仿宋_GB2312"/>
          <w:sz w:val="32"/>
          <w:szCs w:val="32"/>
        </w:rPr>
        <w:t>其中：公务用车购置支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w:t>
      </w:r>
      <w:r>
        <w:rPr>
          <w:rFonts w:hint="eastAsia" w:eastAsia="仿宋_GB2312" w:cs="仿宋_GB2312"/>
          <w:sz w:val="32"/>
          <w:szCs w:val="32"/>
          <w:lang w:eastAsia="zh-CN"/>
        </w:rPr>
        <w:t>。</w:t>
      </w:r>
      <w:r>
        <w:rPr>
          <w:rFonts w:hint="eastAsia" w:eastAsia="仿宋_GB2312" w:cs="仿宋_GB2312"/>
          <w:sz w:val="32"/>
          <w:szCs w:val="32"/>
        </w:rPr>
        <w:t>截至202</w:t>
      </w:r>
      <w:r>
        <w:rPr>
          <w:rFonts w:hint="eastAsia" w:eastAsia="仿宋_GB2312" w:cs="仿宋_GB2312"/>
          <w:sz w:val="32"/>
          <w:szCs w:val="32"/>
          <w:lang w:val="en-US" w:eastAsia="zh-CN"/>
        </w:rPr>
        <w:t>5</w:t>
      </w:r>
      <w:r>
        <w:rPr>
          <w:rFonts w:hint="eastAsia" w:eastAsia="仿宋_GB2312" w:cs="仿宋_GB2312"/>
          <w:sz w:val="32"/>
          <w:szCs w:val="32"/>
        </w:rPr>
        <w:t>年12月31日，单位共有公务用车</w:t>
      </w:r>
      <w:r>
        <w:rPr>
          <w:rFonts w:hint="eastAsia" w:eastAsia="仿宋_GB2312" w:cs="仿宋_GB2312"/>
          <w:sz w:val="32"/>
          <w:szCs w:val="32"/>
          <w:lang w:val="en-US" w:eastAsia="zh-CN"/>
        </w:rPr>
        <w:t>0</w:t>
      </w:r>
      <w:r>
        <w:rPr>
          <w:rFonts w:hint="eastAsia" w:eastAsia="仿宋_GB2312" w:cs="仿宋_GB2312"/>
          <w:sz w:val="32"/>
          <w:szCs w:val="32"/>
        </w:rPr>
        <w:t>辆。</w:t>
      </w:r>
    </w:p>
    <w:p w14:paraId="1ECD7BDF">
      <w:pPr>
        <w:spacing w:line="600" w:lineRule="exact"/>
        <w:ind w:firstLine="640"/>
        <w:rPr>
          <w:rFonts w:eastAsia="仿宋_GB2312" w:cs="仿宋_GB2312"/>
          <w:sz w:val="32"/>
          <w:szCs w:val="32"/>
        </w:rPr>
      </w:pPr>
      <w:r>
        <w:rPr>
          <w:rFonts w:hint="eastAsia" w:eastAsia="仿宋_GB2312" w:cs="仿宋_GB2312"/>
          <w:sz w:val="32"/>
          <w:szCs w:val="32"/>
        </w:rPr>
        <w:t>公务用车运行维护费支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0.00</w:t>
      </w:r>
      <w:r>
        <w:rPr>
          <w:rFonts w:hint="eastAsia" w:eastAsia="仿宋_GB2312" w:cs="仿宋_GB2312"/>
          <w:sz w:val="32"/>
          <w:szCs w:val="32"/>
        </w:rPr>
        <w:t>万元</w:t>
      </w:r>
      <w:r>
        <w:rPr>
          <w:rFonts w:hint="eastAsia" w:eastAsia="仿宋_GB2312" w:cs="仿宋_GB2312"/>
          <w:sz w:val="32"/>
          <w:szCs w:val="32"/>
          <w:lang w:eastAsia="zh-CN"/>
        </w:rPr>
        <w:t>。</w:t>
      </w:r>
    </w:p>
    <w:p w14:paraId="2FB2DECB">
      <w:pPr>
        <w:numPr>
          <w:ilvl w:val="0"/>
          <w:numId w:val="2"/>
        </w:numPr>
        <w:spacing w:line="600" w:lineRule="exact"/>
        <w:ind w:firstLine="640"/>
        <w:rPr>
          <w:rFonts w:hint="eastAsia" w:eastAsia="仿宋_GB2312" w:cs="仿宋_GB2312"/>
          <w:b/>
          <w:bCs/>
          <w:sz w:val="32"/>
          <w:szCs w:val="32"/>
        </w:rPr>
      </w:pPr>
      <w:r>
        <w:rPr>
          <w:rFonts w:hint="eastAsia" w:eastAsia="仿宋_GB2312" w:cs="仿宋_GB2312"/>
          <w:b/>
          <w:bCs/>
          <w:sz w:val="32"/>
          <w:szCs w:val="32"/>
        </w:rPr>
        <w:t>公务接待费支出</w:t>
      </w:r>
      <w:r>
        <w:rPr>
          <w:rFonts w:hint="eastAsia" w:eastAsia="仿宋_GB2312" w:cs="仿宋_GB2312"/>
          <w:b/>
          <w:bCs/>
          <w:sz w:val="32"/>
          <w:szCs w:val="32"/>
          <w:lang w:val="en-US" w:eastAsia="zh-CN"/>
        </w:rPr>
        <w:t>0</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p>
    <w:p w14:paraId="0DF7D7CC">
      <w:pPr>
        <w:numPr>
          <w:ilvl w:val="0"/>
          <w:numId w:val="0"/>
        </w:numPr>
        <w:spacing w:line="600" w:lineRule="exact"/>
        <w:ind w:firstLine="640" w:firstLineChars="200"/>
        <w:rPr>
          <w:rFonts w:eastAsia="仿宋_GB2312" w:cs="仿宋_GB2312"/>
          <w:sz w:val="32"/>
          <w:szCs w:val="32"/>
        </w:rPr>
      </w:pPr>
      <w:r>
        <w:rPr>
          <w:rFonts w:hint="eastAsia" w:eastAsia="仿宋_GB2312" w:cs="仿宋_GB2312"/>
          <w:sz w:val="32"/>
          <w:szCs w:val="32"/>
        </w:rPr>
        <w:t>其中：国内公务接待支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w:t>
      </w:r>
      <w:r>
        <w:rPr>
          <w:rFonts w:hint="eastAsia" w:eastAsia="仿宋_GB2312" w:cs="仿宋_GB2312"/>
          <w:sz w:val="32"/>
          <w:szCs w:val="32"/>
        </w:rPr>
        <w:t>元。外事接待支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eastAsia="仿宋_GB2312" w:cs="仿宋_GB2312"/>
          <w:sz w:val="32"/>
          <w:szCs w:val="32"/>
        </w:rPr>
        <w:t>。</w:t>
      </w:r>
      <w:bookmarkStart w:id="34" w:name="_Toc15377218"/>
      <w:bookmarkStart w:id="35" w:name="_Toc15396610"/>
    </w:p>
    <w:p w14:paraId="47228CBE">
      <w:pPr>
        <w:spacing w:line="600" w:lineRule="exact"/>
        <w:ind w:firstLine="640"/>
        <w:outlineLvl w:val="1"/>
        <w:rPr>
          <w:rStyle w:val="29"/>
          <w:rFonts w:ascii="Times New Roman" w:hAnsi="Times New Roman" w:eastAsia="黑体"/>
        </w:rPr>
      </w:pPr>
      <w:r>
        <w:rPr>
          <w:rFonts w:hint="eastAsia" w:eastAsia="黑体"/>
          <w:sz w:val="32"/>
          <w:szCs w:val="32"/>
        </w:rPr>
        <w:t>八、</w:t>
      </w:r>
      <w:r>
        <w:rPr>
          <w:rStyle w:val="29"/>
          <w:rFonts w:hint="eastAsia" w:ascii="Times New Roman" w:hAnsi="Times New Roman" w:eastAsia="黑体"/>
          <w:b w:val="0"/>
        </w:rPr>
        <w:t>政府性基金预算支出决算情况说明</w:t>
      </w:r>
      <w:bookmarkEnd w:id="34"/>
      <w:bookmarkEnd w:id="35"/>
    </w:p>
    <w:p w14:paraId="469BDC26">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年度政府性基金预算财政拨款支出</w:t>
      </w:r>
      <w:r>
        <w:rPr>
          <w:rFonts w:hint="default" w:ascii="仿宋_GB2312" w:hAnsi="仿宋_GB2312" w:eastAsia="仿宋_GB2312" w:cs="仿宋_GB2312"/>
          <w:sz w:val="32"/>
          <w:szCs w:val="32"/>
        </w:rPr>
        <w:t>0</w:t>
      </w:r>
      <w:r>
        <w:rPr>
          <w:rFonts w:hint="eastAsia" w:ascii="仿宋_GB2312" w:hAnsi="仿宋_GB2312" w:eastAsia="仿宋_GB2312" w:cs="仿宋_GB2312"/>
          <w:sz w:val="32"/>
          <w:szCs w:val="32"/>
        </w:rPr>
        <w:t>万元</w:t>
      </w:r>
      <w:r>
        <w:rPr>
          <w:rFonts w:hint="default" w:ascii="仿宋_GB2312" w:hAnsi="仿宋_GB2312" w:eastAsia="仿宋_GB2312" w:cs="仿宋_GB2312"/>
          <w:sz w:val="32"/>
          <w:szCs w:val="32"/>
        </w:rPr>
        <w:t>。</w:t>
      </w:r>
    </w:p>
    <w:p w14:paraId="4A9A739A">
      <w:pPr>
        <w:spacing w:line="600" w:lineRule="exact"/>
        <w:ind w:left="630"/>
        <w:outlineLvl w:val="1"/>
        <w:rPr>
          <w:rStyle w:val="29"/>
          <w:rFonts w:ascii="Times New Roman" w:hAnsi="Times New Roman" w:eastAsia="黑体"/>
          <w:b w:val="0"/>
        </w:rPr>
      </w:pPr>
      <w:bookmarkStart w:id="36" w:name="_Toc15377219"/>
      <w:bookmarkStart w:id="37" w:name="_Toc15396611"/>
      <w:r>
        <w:rPr>
          <w:rStyle w:val="29"/>
          <w:rFonts w:hint="eastAsia" w:ascii="Times New Roman" w:hAnsi="Times New Roman" w:eastAsia="黑体"/>
          <w:b w:val="0"/>
        </w:rPr>
        <w:t>九、国有资本经营预算支出决算情况说明</w:t>
      </w:r>
      <w:bookmarkEnd w:id="36"/>
      <w:bookmarkEnd w:id="37"/>
    </w:p>
    <w:p w14:paraId="7AE95F82">
      <w:pPr>
        <w:spacing w:line="600" w:lineRule="exact"/>
        <w:ind w:firstLine="640"/>
        <w:rPr>
          <w:rFonts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年度国有资本经营预算财政拨款支出</w:t>
      </w:r>
      <w:r>
        <w:rPr>
          <w:rFonts w:hint="default" w:eastAsia="仿宋_GB2312" w:cs="仿宋_GB2312"/>
          <w:sz w:val="32"/>
          <w:szCs w:val="32"/>
        </w:rPr>
        <w:t>0</w:t>
      </w:r>
      <w:r>
        <w:rPr>
          <w:rFonts w:hint="eastAsia" w:ascii="仿宋_GB2312" w:hAnsi="仿宋_GB2312" w:eastAsia="仿宋_GB2312" w:cs="仿宋_GB2312"/>
          <w:sz w:val="32"/>
          <w:szCs w:val="32"/>
        </w:rPr>
        <w:t>万元</w:t>
      </w:r>
      <w:r>
        <w:rPr>
          <w:rFonts w:hint="default" w:ascii="仿宋_GB2312" w:hAnsi="仿宋_GB2312" w:eastAsia="仿宋_GB2312" w:cs="仿宋_GB2312"/>
          <w:sz w:val="32"/>
          <w:szCs w:val="32"/>
        </w:rPr>
        <w:t>。</w:t>
      </w:r>
    </w:p>
    <w:p w14:paraId="2CA2FA4F">
      <w:pPr>
        <w:spacing w:line="600" w:lineRule="exact"/>
        <w:ind w:left="630"/>
        <w:outlineLvl w:val="1"/>
        <w:rPr>
          <w:rStyle w:val="29"/>
          <w:rFonts w:ascii="Times New Roman" w:hAnsi="Times New Roman" w:eastAsia="黑体"/>
          <w:b w:val="0"/>
        </w:rPr>
      </w:pPr>
      <w:bookmarkStart w:id="38" w:name="_Toc15396612"/>
      <w:bookmarkStart w:id="39" w:name="_Toc15377221"/>
      <w:r>
        <w:rPr>
          <w:rStyle w:val="29"/>
          <w:rFonts w:hint="eastAsia" w:ascii="Times New Roman" w:hAnsi="Times New Roman" w:eastAsia="黑体"/>
          <w:b w:val="0"/>
        </w:rPr>
        <w:t>十、其他重要事项的情况说明</w:t>
      </w:r>
      <w:bookmarkEnd w:id="38"/>
      <w:bookmarkEnd w:id="39"/>
    </w:p>
    <w:p w14:paraId="2635AD73">
      <w:pPr>
        <w:spacing w:line="600" w:lineRule="exact"/>
        <w:ind w:firstLine="643" w:firstLineChars="200"/>
        <w:outlineLvl w:val="2"/>
        <w:rPr>
          <w:rFonts w:eastAsia="楷体_GB2312" w:cs="楷体_GB2312"/>
          <w:b/>
          <w:sz w:val="32"/>
          <w:szCs w:val="32"/>
        </w:rPr>
      </w:pPr>
      <w:bookmarkStart w:id="40" w:name="_Toc15377222"/>
      <w:r>
        <w:rPr>
          <w:rFonts w:hint="eastAsia" w:eastAsia="楷体_GB2312" w:cs="楷体_GB2312"/>
          <w:b/>
          <w:sz w:val="32"/>
          <w:szCs w:val="32"/>
        </w:rPr>
        <w:t>（一）机关运行经费支出情况</w:t>
      </w:r>
      <w:bookmarkEnd w:id="40"/>
    </w:p>
    <w:p w14:paraId="7B010C1B">
      <w:pPr>
        <w:spacing w:line="600" w:lineRule="exact"/>
        <w:ind w:firstLine="640"/>
        <w:rPr>
          <w:rFonts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w:t>
      </w:r>
      <w:r>
        <w:rPr>
          <w:rFonts w:hint="eastAsia" w:ascii="仿宋_GB2312" w:hAnsi="仿宋_GB2312" w:eastAsia="仿宋_GB2312" w:cs="仿宋_GB2312"/>
          <w:sz w:val="32"/>
          <w:szCs w:val="32"/>
        </w:rPr>
        <w:t>，阿坝州松潘县川主寺镇农业农村服务中心机关运行经费支出</w:t>
      </w:r>
      <w:r>
        <w:rPr>
          <w:rFonts w:hint="default" w:ascii="仿宋_GB2312" w:hAnsi="仿宋_GB2312" w:eastAsia="仿宋_GB2312" w:cs="仿宋_GB2312"/>
          <w:sz w:val="32"/>
          <w:szCs w:val="32"/>
        </w:rPr>
        <w:t>0</w:t>
      </w:r>
      <w:r>
        <w:rPr>
          <w:rFonts w:hint="eastAsia" w:ascii="仿宋_GB2312" w:hAnsi="仿宋_GB2312" w:eastAsia="仿宋_GB2312" w:cs="仿宋_GB2312"/>
          <w:sz w:val="32"/>
          <w:szCs w:val="32"/>
        </w:rPr>
        <w:t>万</w:t>
      </w:r>
      <w:r>
        <w:rPr>
          <w:rFonts w:hint="eastAsia" w:eastAsia="仿宋_GB2312" w:cs="仿宋_GB2312"/>
          <w:sz w:val="32"/>
          <w:szCs w:val="32"/>
        </w:rPr>
        <w:t>元</w:t>
      </w:r>
      <w:r>
        <w:rPr>
          <w:rFonts w:hint="default" w:eastAsia="仿宋_GB2312" w:cs="仿宋_GB2312"/>
          <w:sz w:val="32"/>
          <w:szCs w:val="32"/>
        </w:rPr>
        <w:t>。</w:t>
      </w:r>
    </w:p>
    <w:p w14:paraId="55FA91AE">
      <w:pPr>
        <w:spacing w:line="600" w:lineRule="exact"/>
        <w:ind w:firstLine="643" w:firstLineChars="200"/>
        <w:outlineLvl w:val="2"/>
        <w:rPr>
          <w:rFonts w:eastAsia="楷体_GB2312" w:cs="楷体_GB2312"/>
          <w:b/>
          <w:sz w:val="32"/>
          <w:szCs w:val="32"/>
        </w:rPr>
      </w:pPr>
      <w:bookmarkStart w:id="41" w:name="_Toc15377223"/>
      <w:r>
        <w:rPr>
          <w:rFonts w:hint="eastAsia" w:eastAsia="楷体_GB2312" w:cs="楷体_GB2312"/>
          <w:b/>
          <w:sz w:val="32"/>
          <w:szCs w:val="32"/>
        </w:rPr>
        <w:t>（二）政府采购支出情况</w:t>
      </w:r>
      <w:bookmarkEnd w:id="41"/>
    </w:p>
    <w:p w14:paraId="013F198C">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年度，阿坝州松潘县川主寺镇农业农村服务中心政府采购支出总额</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万元，其中：政府采购货物支出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元、政府采购服务支出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小企业合同金额</w:t>
      </w:r>
      <w:r>
        <w:rPr>
          <w:rFonts w:hint="eastAsia" w:ascii="仿宋_GB2312" w:hAnsi="仿宋_GB2312" w:eastAsia="仿宋_GB2312" w:cs="仿宋_GB2312"/>
          <w:sz w:val="32"/>
          <w:szCs w:val="32"/>
          <w:lang w:val="en-US" w:eastAsia="zh-CN"/>
        </w:rPr>
        <w:t>0.00万元，</w:t>
      </w:r>
      <w:r>
        <w:rPr>
          <w:rFonts w:hint="eastAsia" w:ascii="仿宋_GB2312" w:hAnsi="仿宋_GB2312" w:eastAsia="仿宋_GB2312" w:cs="仿宋_GB2312"/>
          <w:sz w:val="32"/>
          <w:szCs w:val="32"/>
        </w:rPr>
        <w:t>占政府采购支出总额的</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授予小微企业合同金额</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政府采购支出总额的</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w:t>
      </w:r>
    </w:p>
    <w:p w14:paraId="45302635">
      <w:pPr>
        <w:spacing w:line="600" w:lineRule="exact"/>
        <w:ind w:firstLine="643" w:firstLineChars="200"/>
        <w:outlineLvl w:val="2"/>
        <w:rPr>
          <w:rFonts w:eastAsia="楷体_GB2312" w:cs="楷体_GB2312"/>
          <w:b/>
          <w:sz w:val="32"/>
          <w:szCs w:val="32"/>
        </w:rPr>
      </w:pPr>
      <w:bookmarkStart w:id="42" w:name="_Toc15377224"/>
      <w:r>
        <w:rPr>
          <w:rFonts w:hint="eastAsia" w:eastAsia="楷体_GB2312" w:cs="楷体_GB2312"/>
          <w:b/>
          <w:sz w:val="32"/>
          <w:szCs w:val="32"/>
          <w:lang w:eastAsia="zh-CN"/>
        </w:rPr>
        <w:t>（</w:t>
      </w:r>
      <w:r>
        <w:rPr>
          <w:rFonts w:hint="eastAsia" w:eastAsia="楷体_GB2312" w:cs="楷体_GB2312"/>
          <w:b/>
          <w:sz w:val="32"/>
          <w:szCs w:val="32"/>
        </w:rPr>
        <w:t>三</w:t>
      </w:r>
      <w:r>
        <w:rPr>
          <w:rFonts w:hint="eastAsia" w:eastAsia="楷体_GB2312" w:cs="楷体_GB2312"/>
          <w:b/>
          <w:sz w:val="32"/>
          <w:szCs w:val="32"/>
          <w:lang w:eastAsia="zh-CN"/>
        </w:rPr>
        <w:t>）</w:t>
      </w:r>
      <w:r>
        <w:rPr>
          <w:rFonts w:hint="eastAsia" w:eastAsia="楷体_GB2312" w:cs="楷体_GB2312"/>
          <w:b/>
          <w:sz w:val="32"/>
          <w:szCs w:val="32"/>
        </w:rPr>
        <w:t>有资产占有使用情况</w:t>
      </w:r>
      <w:bookmarkEnd w:id="42"/>
    </w:p>
    <w:p w14:paraId="67C08217">
      <w:pPr>
        <w:spacing w:line="600" w:lineRule="exact"/>
        <w:ind w:firstLine="640"/>
        <w:rPr>
          <w:rFonts w:hint="default" w:eastAsia="仿宋_GB2312" w:cs="仿宋_GB2312"/>
          <w:sz w:val="32"/>
          <w:szCs w:val="32"/>
        </w:rPr>
      </w:pPr>
      <w:r>
        <w:rPr>
          <w:rFonts w:hint="eastAsia" w:ascii="仿宋_GB2312" w:hAnsi="仿宋_GB2312" w:eastAsia="仿宋_GB2312" w:cs="仿宋_GB2312"/>
          <w:sz w:val="32"/>
          <w:szCs w:val="32"/>
        </w:rPr>
        <w:t>截至202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年12月31日，阿坝州松潘县川主寺镇农业农村服务中心共有</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辆，其</w:t>
      </w:r>
      <w:r>
        <w:rPr>
          <w:rFonts w:hint="eastAsia" w:ascii="仿宋_GB2312" w:hAnsi="仿宋_GB2312" w:eastAsia="仿宋_GB2312" w:cs="仿宋_GB2312"/>
          <w:sz w:val="32"/>
          <w:szCs w:val="32"/>
          <w:lang w:val="en-US" w:eastAsia="zh-CN"/>
        </w:rPr>
        <w:t>中：</w:t>
      </w:r>
      <w:r>
        <w:rPr>
          <w:rFonts w:hint="eastAsia" w:ascii="仿宋_GB2312" w:hAnsi="仿宋_GB2312" w:eastAsia="仿宋_GB2312" w:cs="仿宋_GB2312"/>
          <w:sz w:val="32"/>
          <w:szCs w:val="32"/>
        </w:rPr>
        <w:t>其他</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辆主要是</w:t>
      </w:r>
      <w:r>
        <w:rPr>
          <w:rFonts w:hint="eastAsia" w:ascii="仿宋_GB2312" w:eastAsia="仿宋_GB2312"/>
          <w:color w:val="auto"/>
          <w:sz w:val="32"/>
          <w:szCs w:val="32"/>
          <w:highlight w:val="none"/>
          <w:shd w:val="clear"/>
        </w:rPr>
        <w:t>用于</w:t>
      </w:r>
      <w:r>
        <w:rPr>
          <w:rFonts w:hint="eastAsia" w:ascii="仿宋_GB2312" w:eastAsia="仿宋_GB2312"/>
          <w:color w:val="auto"/>
          <w:sz w:val="32"/>
          <w:szCs w:val="32"/>
          <w:highlight w:val="none"/>
          <w:shd w:val="clear"/>
          <w:lang w:eastAsia="zh-CN"/>
        </w:rPr>
        <w:t>公务出差等，</w:t>
      </w:r>
      <w:r>
        <w:rPr>
          <w:rFonts w:hint="eastAsia" w:ascii="仿宋_GB2312" w:hAnsi="仿宋_GB2312" w:eastAsia="仿宋_GB2312" w:cs="仿宋_GB2312"/>
          <w:sz w:val="32"/>
          <w:szCs w:val="32"/>
        </w:rPr>
        <w:t>单价100万元（含）以上设备（不含车辆）</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台（套）</w:t>
      </w:r>
      <w:r>
        <w:rPr>
          <w:rFonts w:hint="eastAsia" w:eastAsia="仿宋_GB2312" w:cs="仿宋_GB2312"/>
          <w:sz w:val="32"/>
          <w:szCs w:val="32"/>
        </w:rPr>
        <w:t>。</w:t>
      </w:r>
    </w:p>
    <w:p w14:paraId="43666F02">
      <w:pPr>
        <w:spacing w:line="600" w:lineRule="exact"/>
        <w:outlineLvl w:val="2"/>
        <w:rPr>
          <w:rFonts w:eastAsia="楷体_GB2312" w:cs="楷体_GB2312"/>
          <w:b/>
          <w:sz w:val="32"/>
          <w:szCs w:val="32"/>
        </w:rPr>
      </w:pPr>
      <w:r>
        <w:rPr>
          <w:rFonts w:hint="eastAsia" w:eastAsia="楷体_GB2312" w:cs="楷体_GB2312"/>
          <w:b/>
          <w:sz w:val="32"/>
          <w:szCs w:val="32"/>
        </w:rPr>
        <w:t>（四）</w:t>
      </w:r>
      <w:r>
        <w:rPr>
          <w:rFonts w:hint="eastAsia" w:eastAsia="楷体_GB2312" w:cs="楷体_GB2312"/>
          <w:b/>
          <w:sz w:val="32"/>
          <w:szCs w:val="32"/>
          <w:lang w:eastAsia="zh-CN"/>
        </w:rPr>
        <w:t>预算绩效管理</w:t>
      </w:r>
      <w:r>
        <w:rPr>
          <w:rFonts w:hint="eastAsia" w:eastAsia="楷体_GB2312" w:cs="楷体_GB2312"/>
          <w:b/>
          <w:sz w:val="32"/>
          <w:szCs w:val="32"/>
        </w:rPr>
        <w:t>情况</w:t>
      </w:r>
    </w:p>
    <w:p w14:paraId="1CEAE84E">
      <w:pPr>
        <w:spacing w:line="600" w:lineRule="exact"/>
        <w:ind w:firstLine="640"/>
        <w:rPr>
          <w:rFonts w:eastAsia="仿宋_GB2312" w:cs="仿宋_GB2312"/>
          <w:sz w:val="32"/>
          <w:szCs w:val="32"/>
        </w:rPr>
      </w:pPr>
      <w:r>
        <w:rPr>
          <w:rFonts w:hint="eastAsia" w:ascii="仿宋_GB2312" w:hAnsi="Times New Roman" w:eastAsia="仿宋_GB2312" w:cs="Times New Roman"/>
          <w:color w:val="auto"/>
          <w:sz w:val="32"/>
          <w:szCs w:val="32"/>
          <w:highlight w:val="none"/>
          <w:lang w:eastAsia="zh-CN"/>
        </w:rPr>
        <w:t>根据预算绩效管理要求，本单位在</w:t>
      </w:r>
      <w:r>
        <w:rPr>
          <w:rFonts w:hint="eastAsia" w:ascii="仿宋_GB2312" w:hAnsi="Times New Roman" w:eastAsia="仿宋_GB2312" w:cs="Times New Roman"/>
          <w:color w:val="auto"/>
          <w:sz w:val="32"/>
          <w:szCs w:val="32"/>
          <w:highlight w:val="none"/>
          <w:lang w:val="en-US" w:eastAsia="zh-CN"/>
        </w:rPr>
        <w:t>202</w:t>
      </w:r>
      <w:r>
        <w:rPr>
          <w:rFonts w:hint="eastAsia" w:ascii="仿宋_GB2312" w:eastAsia="仿宋_GB2312" w:cs="Times New Roman"/>
          <w:color w:val="auto"/>
          <w:sz w:val="32"/>
          <w:szCs w:val="32"/>
          <w:highlight w:val="none"/>
          <w:lang w:val="en-US" w:eastAsia="zh-CN"/>
        </w:rPr>
        <w:t>5</w:t>
      </w:r>
      <w:r>
        <w:rPr>
          <w:rFonts w:hint="eastAsia" w:ascii="仿宋_GB2312" w:hAnsi="Times New Roman" w:eastAsia="仿宋_GB2312" w:cs="Times New Roman"/>
          <w:color w:val="auto"/>
          <w:sz w:val="32"/>
          <w:szCs w:val="32"/>
          <w:highlight w:val="none"/>
          <w:lang w:val="en-US" w:eastAsia="zh-CN"/>
        </w:rPr>
        <w:t>年度</w:t>
      </w:r>
      <w:r>
        <w:rPr>
          <w:rFonts w:hint="eastAsia" w:ascii="仿宋_GB2312" w:hAnsi="Times New Roman" w:eastAsia="仿宋_GB2312" w:cs="Times New Roman"/>
          <w:color w:val="auto"/>
          <w:sz w:val="32"/>
          <w:szCs w:val="32"/>
          <w:highlight w:val="none"/>
          <w:lang w:eastAsia="zh-CN"/>
        </w:rPr>
        <w:t>预算编制阶段，组织对</w:t>
      </w:r>
      <w:r>
        <w:rPr>
          <w:rFonts w:hint="eastAsia" w:ascii="仿宋_GB2312" w:eastAsia="仿宋_GB2312" w:cs="Times New Roman"/>
          <w:color w:val="auto"/>
          <w:sz w:val="32"/>
          <w:szCs w:val="32"/>
          <w:highlight w:val="none"/>
          <w:lang w:val="en-US" w:eastAsia="zh-CN"/>
        </w:rPr>
        <w:t>0</w:t>
      </w:r>
      <w:r>
        <w:rPr>
          <w:rFonts w:hint="eastAsia" w:ascii="仿宋_GB2312" w:hAnsi="Times New Roman" w:eastAsia="仿宋_GB2312" w:cs="Times New Roman"/>
          <w:color w:val="auto"/>
          <w:sz w:val="32"/>
          <w:szCs w:val="32"/>
          <w:highlight w:val="none"/>
          <w:lang w:eastAsia="zh-CN"/>
        </w:rPr>
        <w:t>标，预算执行过程中，选取</w:t>
      </w:r>
      <w:r>
        <w:rPr>
          <w:rFonts w:hint="eastAsia" w:ascii="仿宋_GB2312" w:eastAsia="仿宋_GB2312" w:cs="Times New Roman"/>
          <w:color w:val="auto"/>
          <w:sz w:val="32"/>
          <w:szCs w:val="32"/>
          <w:highlight w:val="none"/>
          <w:lang w:val="en-US" w:eastAsia="zh-CN"/>
        </w:rPr>
        <w:t>0</w:t>
      </w:r>
      <w:r>
        <w:rPr>
          <w:rFonts w:hint="eastAsia" w:ascii="仿宋_GB2312" w:hAnsi="Times New Roman" w:eastAsia="仿宋_GB2312" w:cs="Times New Roman"/>
          <w:color w:val="auto"/>
          <w:sz w:val="32"/>
          <w:szCs w:val="32"/>
          <w:highlight w:val="none"/>
          <w:lang w:eastAsia="zh-CN"/>
        </w:rPr>
        <w:t>个项目开展绩效监控，组织对</w:t>
      </w:r>
      <w:r>
        <w:rPr>
          <w:rFonts w:hint="eastAsia" w:ascii="仿宋_GB2312" w:eastAsia="仿宋_GB2312" w:cs="Times New Roman"/>
          <w:color w:val="auto"/>
          <w:sz w:val="32"/>
          <w:szCs w:val="32"/>
          <w:highlight w:val="none"/>
          <w:lang w:val="en-US" w:eastAsia="zh-CN"/>
        </w:rPr>
        <w:t>0</w:t>
      </w:r>
      <w:r>
        <w:rPr>
          <w:rFonts w:hint="eastAsia" w:ascii="仿宋_GB2312" w:hAnsi="Times New Roman" w:eastAsia="仿宋_GB2312" w:cs="Times New Roman"/>
          <w:color w:val="auto"/>
          <w:sz w:val="32"/>
          <w:szCs w:val="32"/>
          <w:highlight w:val="none"/>
          <w:lang w:val="en-US" w:eastAsia="zh-CN"/>
        </w:rPr>
        <w:t>个项目开展绩效自评，绩效自评表详见第四部分附件</w:t>
      </w:r>
      <w:r>
        <w:rPr>
          <w:rFonts w:hint="eastAsia" w:eastAsia="仿宋_GB2312" w:cs="仿宋_GB2312"/>
          <w:sz w:val="32"/>
          <w:szCs w:val="32"/>
        </w:rPr>
        <w:t>。</w:t>
      </w:r>
    </w:p>
    <w:p w14:paraId="46481C67">
      <w:pPr>
        <w:spacing w:line="600" w:lineRule="exact"/>
        <w:jc w:val="center"/>
        <w:outlineLvl w:val="0"/>
        <w:rPr>
          <w:rFonts w:hint="eastAsia" w:eastAsia="黑体"/>
          <w:sz w:val="44"/>
          <w:szCs w:val="44"/>
          <w:highlight w:val="none"/>
        </w:rPr>
      </w:pPr>
      <w:bookmarkStart w:id="43" w:name="_Toc15377225"/>
      <w:bookmarkStart w:id="44" w:name="_Toc15396613"/>
    </w:p>
    <w:p w14:paraId="74B8208A">
      <w:pPr>
        <w:spacing w:line="600" w:lineRule="exact"/>
        <w:jc w:val="center"/>
        <w:outlineLvl w:val="0"/>
        <w:rPr>
          <w:rFonts w:hint="eastAsia" w:eastAsia="黑体"/>
          <w:sz w:val="44"/>
          <w:szCs w:val="44"/>
          <w:highlight w:val="none"/>
        </w:rPr>
      </w:pPr>
    </w:p>
    <w:p w14:paraId="3FEB3BAB">
      <w:pPr>
        <w:spacing w:line="600" w:lineRule="exact"/>
        <w:jc w:val="center"/>
        <w:outlineLvl w:val="0"/>
        <w:rPr>
          <w:rFonts w:hint="eastAsia" w:eastAsia="黑体"/>
          <w:sz w:val="44"/>
          <w:szCs w:val="44"/>
          <w:highlight w:val="none"/>
        </w:rPr>
      </w:pPr>
    </w:p>
    <w:p w14:paraId="1D55F921">
      <w:pPr>
        <w:spacing w:line="600" w:lineRule="exact"/>
        <w:jc w:val="center"/>
        <w:outlineLvl w:val="0"/>
        <w:rPr>
          <w:rFonts w:hint="eastAsia" w:eastAsia="黑体"/>
          <w:sz w:val="44"/>
          <w:szCs w:val="44"/>
          <w:highlight w:val="none"/>
        </w:rPr>
      </w:pPr>
    </w:p>
    <w:p w14:paraId="5D6A425B">
      <w:pPr>
        <w:spacing w:line="600" w:lineRule="exact"/>
        <w:jc w:val="center"/>
        <w:outlineLvl w:val="0"/>
        <w:rPr>
          <w:rFonts w:hint="eastAsia" w:eastAsia="黑体"/>
          <w:sz w:val="44"/>
          <w:szCs w:val="44"/>
          <w:highlight w:val="none"/>
        </w:rPr>
      </w:pPr>
    </w:p>
    <w:p w14:paraId="494A812E">
      <w:pPr>
        <w:spacing w:line="600" w:lineRule="exact"/>
        <w:jc w:val="center"/>
        <w:outlineLvl w:val="0"/>
        <w:rPr>
          <w:rFonts w:hint="eastAsia" w:eastAsia="黑体"/>
          <w:sz w:val="44"/>
          <w:szCs w:val="44"/>
          <w:highlight w:val="none"/>
        </w:rPr>
      </w:pPr>
    </w:p>
    <w:p w14:paraId="21867CDB">
      <w:pPr>
        <w:spacing w:line="600" w:lineRule="exact"/>
        <w:jc w:val="center"/>
        <w:outlineLvl w:val="0"/>
        <w:rPr>
          <w:rFonts w:hint="eastAsia" w:eastAsia="黑体"/>
          <w:sz w:val="44"/>
          <w:szCs w:val="44"/>
          <w:highlight w:val="none"/>
        </w:rPr>
      </w:pPr>
    </w:p>
    <w:p w14:paraId="6B70801A">
      <w:pPr>
        <w:spacing w:line="600" w:lineRule="exact"/>
        <w:jc w:val="center"/>
        <w:outlineLvl w:val="0"/>
        <w:rPr>
          <w:rFonts w:hint="eastAsia" w:eastAsia="黑体"/>
          <w:sz w:val="44"/>
          <w:szCs w:val="44"/>
          <w:highlight w:val="none"/>
        </w:rPr>
      </w:pPr>
    </w:p>
    <w:p w14:paraId="1EB6655B">
      <w:pPr>
        <w:spacing w:line="600" w:lineRule="exact"/>
        <w:jc w:val="center"/>
        <w:outlineLvl w:val="0"/>
        <w:rPr>
          <w:rFonts w:hint="eastAsia" w:eastAsia="黑体"/>
          <w:sz w:val="44"/>
          <w:szCs w:val="44"/>
          <w:highlight w:val="none"/>
        </w:rPr>
      </w:pPr>
    </w:p>
    <w:p w14:paraId="2469F663">
      <w:pPr>
        <w:spacing w:line="600" w:lineRule="exact"/>
        <w:jc w:val="center"/>
        <w:outlineLvl w:val="0"/>
        <w:rPr>
          <w:rFonts w:hint="eastAsia" w:eastAsia="黑体"/>
          <w:sz w:val="44"/>
          <w:szCs w:val="44"/>
          <w:highlight w:val="none"/>
        </w:rPr>
      </w:pPr>
    </w:p>
    <w:p w14:paraId="41E37BDB">
      <w:pPr>
        <w:spacing w:line="600" w:lineRule="exact"/>
        <w:jc w:val="center"/>
        <w:outlineLvl w:val="0"/>
        <w:rPr>
          <w:rFonts w:hint="eastAsia" w:eastAsia="黑体"/>
          <w:sz w:val="44"/>
          <w:szCs w:val="44"/>
          <w:highlight w:val="none"/>
        </w:rPr>
      </w:pPr>
    </w:p>
    <w:p w14:paraId="6F45BA35">
      <w:pPr>
        <w:spacing w:line="600" w:lineRule="exact"/>
        <w:jc w:val="center"/>
        <w:outlineLvl w:val="0"/>
        <w:rPr>
          <w:rFonts w:eastAsia="黑体"/>
          <w:sz w:val="44"/>
          <w:szCs w:val="44"/>
        </w:rPr>
      </w:pPr>
      <w:r>
        <w:rPr>
          <w:rFonts w:hint="eastAsia" w:eastAsia="黑体"/>
          <w:sz w:val="44"/>
          <w:szCs w:val="44"/>
          <w:highlight w:val="none"/>
        </w:rPr>
        <w:t xml:space="preserve">第三部分  </w:t>
      </w:r>
      <w:r>
        <w:rPr>
          <w:rFonts w:hint="eastAsia" w:eastAsia="黑体"/>
          <w:sz w:val="44"/>
          <w:szCs w:val="44"/>
        </w:rPr>
        <w:t>名词解释</w:t>
      </w:r>
      <w:bookmarkEnd w:id="43"/>
      <w:bookmarkEnd w:id="44"/>
    </w:p>
    <w:p w14:paraId="46850336">
      <w:pPr>
        <w:spacing w:line="600" w:lineRule="exact"/>
        <w:jc w:val="left"/>
        <w:rPr>
          <w:b/>
          <w:sz w:val="44"/>
          <w:szCs w:val="44"/>
        </w:rPr>
      </w:pPr>
    </w:p>
    <w:p w14:paraId="2700F3BD">
      <w:pPr>
        <w:pStyle w:val="26"/>
        <w:keepNext w:val="0"/>
        <w:keepLines w:val="0"/>
        <w:pageBreakBefore w:val="0"/>
        <w:widowControl w:val="0"/>
        <w:kinsoku/>
        <w:wordWrap/>
        <w:overflowPunct/>
        <w:topLinePunct w:val="0"/>
        <w:bidi w:val="0"/>
        <w:snapToGrid/>
        <w:spacing w:line="360" w:lineRule="auto"/>
        <w:ind w:firstLine="640" w:firstLineChars="200"/>
        <w:textAlignment w:val="auto"/>
        <w:outlineLvl w:val="1"/>
        <w:rPr>
          <w:rFonts w:ascii="仿宋_GB2312" w:eastAsia="仿宋_GB2312"/>
          <w:color w:val="auto"/>
          <w:sz w:val="32"/>
          <w:szCs w:val="32"/>
        </w:rPr>
      </w:pPr>
      <w:r>
        <w:rPr>
          <w:rFonts w:hint="eastAsia" w:eastAsia="仿宋_GB2312" w:cs="仿宋_GB2312"/>
          <w:sz w:val="32"/>
          <w:szCs w:val="32"/>
        </w:rPr>
        <w:t>1</w:t>
      </w:r>
      <w:bookmarkStart w:id="45" w:name="_Toc10699"/>
      <w:bookmarkStart w:id="46" w:name="_Toc8369"/>
      <w:r>
        <w:rPr>
          <w:rFonts w:ascii="仿宋_GB2312" w:eastAsia="仿宋_GB2312"/>
          <w:color w:val="auto"/>
          <w:sz w:val="32"/>
          <w:szCs w:val="32"/>
        </w:rPr>
        <w:t>.</w:t>
      </w:r>
      <w:r>
        <w:rPr>
          <w:rFonts w:hint="eastAsia" w:ascii="仿宋_GB2312" w:eastAsia="仿宋_GB2312"/>
          <w:color w:val="auto"/>
          <w:sz w:val="32"/>
          <w:szCs w:val="32"/>
        </w:rPr>
        <w:t>财政拨款收入：指单位从同级财政部门取得的财政预算资金。</w:t>
      </w:r>
      <w:bookmarkEnd w:id="45"/>
      <w:bookmarkEnd w:id="46"/>
    </w:p>
    <w:p w14:paraId="2F571499">
      <w:pPr>
        <w:pStyle w:val="26"/>
        <w:keepNext w:val="0"/>
        <w:keepLines w:val="0"/>
        <w:pageBreakBefore w:val="0"/>
        <w:widowControl w:val="0"/>
        <w:kinsoku/>
        <w:wordWrap/>
        <w:overflowPunct/>
        <w:topLinePunct w:val="0"/>
        <w:bidi w:val="0"/>
        <w:snapToGrid/>
        <w:spacing w:line="360" w:lineRule="auto"/>
        <w:ind w:firstLine="640" w:firstLineChars="200"/>
        <w:textAlignment w:val="auto"/>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14:paraId="4A9E57B1">
      <w:pPr>
        <w:pStyle w:val="26"/>
        <w:keepNext w:val="0"/>
        <w:keepLines w:val="0"/>
        <w:pageBreakBefore w:val="0"/>
        <w:widowControl w:val="0"/>
        <w:kinsoku/>
        <w:wordWrap/>
        <w:overflowPunct/>
        <w:topLinePunct w:val="0"/>
        <w:bidi w:val="0"/>
        <w:snapToGrid/>
        <w:spacing w:line="360" w:lineRule="auto"/>
        <w:ind w:firstLine="640" w:firstLineChars="200"/>
        <w:textAlignment w:val="auto"/>
        <w:rPr>
          <w:rFonts w:hint="eastAsia"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p>
    <w:p w14:paraId="3FDD127F">
      <w:pPr>
        <w:pStyle w:val="26"/>
        <w:keepNext w:val="0"/>
        <w:keepLines w:val="0"/>
        <w:pageBreakBefore w:val="0"/>
        <w:widowControl w:val="0"/>
        <w:kinsoku/>
        <w:wordWrap/>
        <w:overflowPunct/>
        <w:topLinePunct w:val="0"/>
        <w:bidi w:val="0"/>
        <w:snapToGrid/>
        <w:spacing w:line="360" w:lineRule="auto"/>
        <w:ind w:firstLine="640" w:firstLineChars="200"/>
        <w:textAlignment w:val="auto"/>
        <w:outlineLvl w:val="1"/>
        <w:rPr>
          <w:rFonts w:ascii="仿宋_GB2312" w:eastAsia="仿宋_GB2312"/>
          <w:color w:val="auto"/>
          <w:sz w:val="32"/>
          <w:szCs w:val="32"/>
        </w:rPr>
      </w:pPr>
      <w:bookmarkStart w:id="47" w:name="_Toc20903"/>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w:t>
      </w:r>
      <w:bookmarkEnd w:id="47"/>
    </w:p>
    <w:p w14:paraId="2F95731B">
      <w:pPr>
        <w:pStyle w:val="26"/>
        <w:keepNext w:val="0"/>
        <w:keepLines w:val="0"/>
        <w:pageBreakBefore w:val="0"/>
        <w:widowControl w:val="0"/>
        <w:kinsoku/>
        <w:wordWrap/>
        <w:overflowPunct/>
        <w:topLinePunct w:val="0"/>
        <w:bidi w:val="0"/>
        <w:snapToGrid/>
        <w:spacing w:line="360" w:lineRule="auto"/>
        <w:ind w:firstLine="640" w:firstLineChars="200"/>
        <w:textAlignment w:val="auto"/>
        <w:rPr>
          <w:rFonts w:ascii="仿宋_GB2312" w:eastAsia="仿宋_GB2312"/>
          <w:color w:val="auto"/>
          <w:sz w:val="32"/>
          <w:szCs w:val="32"/>
        </w:rPr>
      </w:pPr>
      <w:r>
        <w:rPr>
          <w:rFonts w:ascii="仿宋_GB2312" w:eastAsia="仿宋_GB2312"/>
          <w:color w:val="auto"/>
          <w:sz w:val="32"/>
          <w:szCs w:val="32"/>
        </w:rPr>
        <w:t>5.</w:t>
      </w:r>
      <w:r>
        <w:rPr>
          <w:rFonts w:hint="eastAsia" w:ascii="仿宋_GB2312" w:hAnsi="华文中宋" w:eastAsia="仿宋_GB2312"/>
          <w:sz w:val="32"/>
          <w:szCs w:val="32"/>
        </w:rPr>
        <w:t>使用非财政拨款结余（含专用结余）</w:t>
      </w:r>
      <w:r>
        <w:rPr>
          <w:rFonts w:hint="eastAsia" w:ascii="仿宋_GB2312" w:eastAsia="仿宋_GB2312"/>
          <w:color w:val="auto"/>
          <w:sz w:val="32"/>
          <w:szCs w:val="32"/>
        </w:rPr>
        <w:t>：指事业单位使用以前年度积累的非财政拨款结余弥补当年收支差额的金额。</w:t>
      </w:r>
    </w:p>
    <w:p w14:paraId="0C2F7627">
      <w:pPr>
        <w:pStyle w:val="26"/>
        <w:keepNext w:val="0"/>
        <w:keepLines w:val="0"/>
        <w:pageBreakBefore w:val="0"/>
        <w:widowControl w:val="0"/>
        <w:kinsoku/>
        <w:wordWrap/>
        <w:overflowPunct/>
        <w:topLinePunct w:val="0"/>
        <w:bidi w:val="0"/>
        <w:snapToGrid/>
        <w:spacing w:line="360" w:lineRule="auto"/>
        <w:ind w:firstLine="640" w:firstLineChars="200"/>
        <w:textAlignment w:val="auto"/>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14:paraId="254C60E6">
      <w:pPr>
        <w:pStyle w:val="26"/>
        <w:keepNext w:val="0"/>
        <w:keepLines w:val="0"/>
        <w:pageBreakBefore w:val="0"/>
        <w:widowControl w:val="0"/>
        <w:kinsoku/>
        <w:wordWrap/>
        <w:overflowPunct/>
        <w:topLinePunct w:val="0"/>
        <w:bidi w:val="0"/>
        <w:snapToGrid/>
        <w:spacing w:line="360" w:lineRule="auto"/>
        <w:ind w:firstLine="640" w:firstLineChars="200"/>
        <w:textAlignment w:val="auto"/>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12D1B54E">
      <w:pPr>
        <w:pStyle w:val="26"/>
        <w:keepNext w:val="0"/>
        <w:keepLines w:val="0"/>
        <w:pageBreakBefore w:val="0"/>
        <w:widowControl w:val="0"/>
        <w:kinsoku/>
        <w:wordWrap/>
        <w:overflowPunct/>
        <w:topLinePunct w:val="0"/>
        <w:bidi w:val="0"/>
        <w:snapToGrid/>
        <w:spacing w:line="360" w:lineRule="auto"/>
        <w:ind w:firstLine="640" w:firstLineChars="200"/>
        <w:textAlignment w:val="auto"/>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14:paraId="5A0C9270">
      <w:pPr>
        <w:keepNext w:val="0"/>
        <w:keepLines w:val="0"/>
        <w:pageBreakBefore w:val="0"/>
        <w:widowControl w:val="0"/>
        <w:kinsoku/>
        <w:wordWrap/>
        <w:overflowPunct/>
        <w:topLinePunct w:val="0"/>
        <w:bidi w:val="0"/>
        <w:snapToGrid/>
        <w:spacing w:line="360" w:lineRule="auto"/>
        <w:ind w:firstLine="640" w:firstLineChars="200"/>
        <w:textAlignment w:val="auto"/>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9.社会保障和就业（208）行政事业单位养老（05）机关事业单位基本养老保险缴费（05）：反映机关事业单位实施养老保险制度由单位缴纳的基本养老保险费支出。</w:t>
      </w:r>
    </w:p>
    <w:p w14:paraId="13D7A9E9">
      <w:pPr>
        <w:pStyle w:val="26"/>
        <w:keepNext w:val="0"/>
        <w:keepLines w:val="0"/>
        <w:pageBreakBefore w:val="0"/>
        <w:widowControl w:val="0"/>
        <w:kinsoku/>
        <w:wordWrap/>
        <w:overflowPunct/>
        <w:topLinePunct w:val="0"/>
        <w:bidi w:val="0"/>
        <w:snapToGrid/>
        <w:spacing w:line="360" w:lineRule="auto"/>
        <w:ind w:firstLine="640" w:firstLineChars="200"/>
        <w:textAlignment w:val="auto"/>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10.社会保障和就业（208）行政事业单位养老（05）机关事业单位职业年金缴费（06）：反映机关事业单位实施养老保险制度由单位实际缴纳的职业年金支出。</w:t>
      </w:r>
    </w:p>
    <w:p w14:paraId="6308D8C6">
      <w:pPr>
        <w:pStyle w:val="26"/>
        <w:keepNext w:val="0"/>
        <w:keepLines w:val="0"/>
        <w:pageBreakBefore w:val="0"/>
        <w:widowControl w:val="0"/>
        <w:kinsoku/>
        <w:wordWrap/>
        <w:overflowPunct/>
        <w:topLinePunct w:val="0"/>
        <w:bidi w:val="0"/>
        <w:snapToGrid/>
        <w:spacing w:line="360" w:lineRule="auto"/>
        <w:ind w:firstLine="640" w:firstLineChars="200"/>
        <w:textAlignment w:val="auto"/>
        <w:rPr>
          <w:rStyle w:val="17"/>
          <w:rFonts w:hint="eastAsia" w:ascii="仿宋" w:hAnsi="仿宋" w:eastAsia="仿宋"/>
          <w:b w:val="0"/>
          <w:bCs w:val="0"/>
          <w:color w:val="auto"/>
          <w:sz w:val="32"/>
          <w:szCs w:val="32"/>
          <w:highlight w:val="none"/>
        </w:rPr>
      </w:pPr>
      <w:r>
        <w:rPr>
          <w:rFonts w:hint="eastAsia" w:hAnsi="仿宋"/>
          <w:color w:val="auto"/>
          <w:sz w:val="32"/>
          <w:szCs w:val="32"/>
          <w:highlight w:val="none"/>
          <w:lang w:val="en-US" w:eastAsia="zh-CN"/>
        </w:rPr>
        <w:t>11</w:t>
      </w:r>
      <w:r>
        <w:rPr>
          <w:rFonts w:hint="eastAsia" w:ascii="仿宋" w:hAnsi="仿宋" w:eastAsia="仿宋"/>
          <w:color w:val="auto"/>
          <w:sz w:val="32"/>
          <w:szCs w:val="32"/>
          <w:highlight w:val="none"/>
        </w:rPr>
        <w:t>.卫生健康支出（</w:t>
      </w:r>
      <w:r>
        <w:rPr>
          <w:rFonts w:hint="eastAsia" w:ascii="仿宋" w:hAnsi="仿宋" w:eastAsia="仿宋"/>
          <w:color w:val="auto"/>
          <w:sz w:val="32"/>
          <w:szCs w:val="32"/>
          <w:highlight w:val="none"/>
          <w:lang w:val="en-US" w:eastAsia="zh-CN"/>
        </w:rPr>
        <w:t>210</w:t>
      </w:r>
      <w:r>
        <w:rPr>
          <w:rFonts w:hint="eastAsia" w:ascii="仿宋" w:hAnsi="仿宋" w:eastAsia="仿宋"/>
          <w:color w:val="auto"/>
          <w:sz w:val="32"/>
          <w:szCs w:val="32"/>
          <w:highlight w:val="none"/>
        </w:rPr>
        <w:t>）行政事业单位医疗</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11</w:t>
      </w:r>
      <w:r>
        <w:rPr>
          <w:rStyle w:val="17"/>
          <w:rFonts w:hint="eastAsia" w:ascii="仿宋" w:hAnsi="仿宋" w:eastAsia="仿宋"/>
          <w:b w:val="0"/>
          <w:bCs w:val="0"/>
          <w:color w:val="auto"/>
          <w:sz w:val="32"/>
          <w:szCs w:val="32"/>
          <w:highlight w:val="none"/>
        </w:rPr>
        <w:t>）事业单位医疗（</w:t>
      </w:r>
      <w:r>
        <w:rPr>
          <w:rStyle w:val="17"/>
          <w:rFonts w:hint="eastAsia" w:ascii="仿宋" w:hAnsi="仿宋" w:eastAsia="仿宋"/>
          <w:b w:val="0"/>
          <w:bCs w:val="0"/>
          <w:color w:val="auto"/>
          <w:sz w:val="32"/>
          <w:szCs w:val="32"/>
          <w:highlight w:val="none"/>
          <w:lang w:val="en-US" w:eastAsia="zh-CN"/>
        </w:rPr>
        <w:t>02</w:t>
      </w:r>
      <w:r>
        <w:rPr>
          <w:rStyle w:val="17"/>
          <w:rFonts w:hint="eastAsia" w:ascii="仿宋" w:hAnsi="仿宋" w:eastAsia="仿宋"/>
          <w:b w:val="0"/>
          <w:bCs w:val="0"/>
          <w:color w:val="auto"/>
          <w:sz w:val="32"/>
          <w:szCs w:val="32"/>
          <w:highlight w:val="none"/>
        </w:rPr>
        <w:t>）</w:t>
      </w:r>
      <w:r>
        <w:rPr>
          <w:rStyle w:val="17"/>
          <w:rFonts w:hint="eastAsia" w:hAnsi="仿宋"/>
          <w:b w:val="0"/>
          <w:bCs w:val="0"/>
          <w:color w:val="auto"/>
          <w:sz w:val="32"/>
          <w:szCs w:val="32"/>
          <w:highlight w:val="none"/>
          <w:lang w:eastAsia="zh-CN"/>
        </w:rPr>
        <w:t>：</w:t>
      </w:r>
      <w:r>
        <w:rPr>
          <w:rStyle w:val="17"/>
          <w:rFonts w:hint="eastAsia" w:hAnsi="仿宋"/>
          <w:b w:val="0"/>
          <w:bCs w:val="0"/>
          <w:color w:val="auto"/>
          <w:sz w:val="32"/>
          <w:szCs w:val="32"/>
          <w:highlight w:val="none"/>
          <w:lang w:val="en-US" w:eastAsia="zh-CN"/>
        </w:rPr>
        <w:t>反映财政部门安排的事业单位基本医疗保险缴费经费，未参加医疗保险的事业单位的公费医疗经费，按国家规定享受离休人员待遇的医疗经费</w:t>
      </w:r>
      <w:r>
        <w:rPr>
          <w:rStyle w:val="17"/>
          <w:rFonts w:hint="eastAsia" w:ascii="仿宋" w:hAnsi="仿宋" w:eastAsia="仿宋"/>
          <w:b w:val="0"/>
          <w:bCs w:val="0"/>
          <w:color w:val="auto"/>
          <w:sz w:val="32"/>
          <w:szCs w:val="32"/>
          <w:highlight w:val="none"/>
        </w:rPr>
        <w:t>。</w:t>
      </w:r>
    </w:p>
    <w:p w14:paraId="025EF587">
      <w:pPr>
        <w:pStyle w:val="26"/>
        <w:keepNext w:val="0"/>
        <w:keepLines w:val="0"/>
        <w:pageBreakBefore w:val="0"/>
        <w:widowControl w:val="0"/>
        <w:kinsoku/>
        <w:wordWrap/>
        <w:overflowPunct/>
        <w:topLinePunct w:val="0"/>
        <w:bidi w:val="0"/>
        <w:snapToGrid/>
        <w:spacing w:line="360" w:lineRule="auto"/>
        <w:ind w:firstLine="640" w:firstLineChars="200"/>
        <w:textAlignment w:val="auto"/>
        <w:rPr>
          <w:rFonts w:hint="eastAsia" w:ascii="仿宋_GB2312" w:eastAsia="仿宋_GB2312"/>
          <w:color w:val="auto"/>
          <w:sz w:val="32"/>
          <w:szCs w:val="32"/>
        </w:rPr>
      </w:pPr>
      <w:r>
        <w:rPr>
          <w:rStyle w:val="17"/>
          <w:rFonts w:hint="eastAsia" w:hAnsi="仿宋"/>
          <w:b w:val="0"/>
          <w:bCs w:val="0"/>
          <w:color w:val="auto"/>
          <w:sz w:val="32"/>
          <w:szCs w:val="32"/>
          <w:highlight w:val="none"/>
          <w:lang w:val="en-US" w:eastAsia="zh-CN"/>
        </w:rPr>
        <w:t>12</w:t>
      </w:r>
      <w:r>
        <w:rPr>
          <w:rStyle w:val="17"/>
          <w:rFonts w:ascii="仿宋" w:hAnsi="仿宋" w:eastAsia="仿宋"/>
          <w:b w:val="0"/>
          <w:bCs w:val="0"/>
          <w:color w:val="auto"/>
          <w:sz w:val="32"/>
          <w:szCs w:val="32"/>
          <w:highlight w:val="none"/>
        </w:rPr>
        <w:t>.</w:t>
      </w:r>
      <w:r>
        <w:rPr>
          <w:rFonts w:hint="eastAsia" w:ascii="仿宋" w:hAnsi="仿宋" w:eastAsia="仿宋"/>
          <w:color w:val="auto"/>
          <w:sz w:val="32"/>
          <w:szCs w:val="32"/>
          <w:highlight w:val="none"/>
        </w:rPr>
        <w:t>卫生健康支出（</w:t>
      </w:r>
      <w:r>
        <w:rPr>
          <w:rFonts w:hint="eastAsia" w:ascii="仿宋" w:hAnsi="仿宋" w:eastAsia="仿宋"/>
          <w:color w:val="auto"/>
          <w:sz w:val="32"/>
          <w:szCs w:val="32"/>
          <w:highlight w:val="none"/>
          <w:lang w:val="en-US" w:eastAsia="zh-CN"/>
        </w:rPr>
        <w:t>210</w:t>
      </w:r>
      <w:r>
        <w:rPr>
          <w:rFonts w:hint="eastAsia" w:ascii="仿宋" w:hAnsi="仿宋" w:eastAsia="仿宋"/>
          <w:color w:val="auto"/>
          <w:sz w:val="32"/>
          <w:szCs w:val="32"/>
          <w:highlight w:val="none"/>
        </w:rPr>
        <w:t>）行政事业单位医疗</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11</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其</w:t>
      </w:r>
      <w:r>
        <w:rPr>
          <w:rStyle w:val="17"/>
          <w:rFonts w:hint="eastAsia" w:ascii="仿宋" w:hAnsi="仿宋" w:eastAsia="仿宋"/>
          <w:b w:val="0"/>
          <w:bCs w:val="0"/>
          <w:color w:val="auto"/>
          <w:sz w:val="32"/>
          <w:szCs w:val="32"/>
          <w:highlight w:val="none"/>
        </w:rPr>
        <w:t>他行</w:t>
      </w:r>
      <w:r>
        <w:rPr>
          <w:rFonts w:hint="eastAsia" w:ascii="仿宋_GB2312" w:eastAsia="仿宋_GB2312"/>
          <w:color w:val="auto"/>
          <w:sz w:val="32"/>
          <w:szCs w:val="32"/>
        </w:rPr>
        <w:t>政事业单位医疗支出（</w:t>
      </w:r>
      <w:r>
        <w:rPr>
          <w:rFonts w:hint="eastAsia" w:ascii="仿宋_GB2312" w:eastAsia="仿宋_GB2312"/>
          <w:color w:val="auto"/>
          <w:sz w:val="32"/>
          <w:szCs w:val="32"/>
          <w:lang w:val="en-US" w:eastAsia="zh-CN"/>
        </w:rPr>
        <w:t>99</w:t>
      </w:r>
      <w:r>
        <w:rPr>
          <w:rFonts w:hint="eastAsia" w:ascii="仿宋_GB2312" w:eastAsia="仿宋_GB2312"/>
          <w:color w:val="auto"/>
          <w:sz w:val="32"/>
          <w:szCs w:val="32"/>
        </w:rPr>
        <w:t>）</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反映上述项目以外的其他用于行政事业单位医疗方面的支出</w:t>
      </w:r>
      <w:r>
        <w:rPr>
          <w:rFonts w:hint="eastAsia" w:ascii="仿宋_GB2312" w:eastAsia="仿宋_GB2312"/>
          <w:color w:val="auto"/>
          <w:sz w:val="32"/>
          <w:szCs w:val="32"/>
        </w:rPr>
        <w:t>。</w:t>
      </w:r>
    </w:p>
    <w:p w14:paraId="0BF1B972">
      <w:pPr>
        <w:pStyle w:val="26"/>
        <w:keepNext w:val="0"/>
        <w:keepLines w:val="0"/>
        <w:pageBreakBefore w:val="0"/>
        <w:widowControl w:val="0"/>
        <w:kinsoku/>
        <w:wordWrap/>
        <w:overflowPunct/>
        <w:topLinePunct w:val="0"/>
        <w:bidi w:val="0"/>
        <w:snapToGrid/>
        <w:spacing w:line="360" w:lineRule="auto"/>
        <w:ind w:firstLine="640" w:firstLineChars="200"/>
        <w:textAlignment w:val="auto"/>
        <w:rPr>
          <w:rFonts w:hint="default" w:ascii="仿宋_GB2312" w:eastAsia="仿宋_GB2312"/>
          <w:color w:val="auto"/>
          <w:sz w:val="32"/>
          <w:szCs w:val="32"/>
          <w:lang w:val="en-US" w:eastAsia="zh-CN"/>
        </w:rPr>
      </w:pPr>
      <w:r>
        <w:rPr>
          <w:rFonts w:hint="eastAsia" w:ascii="仿宋_GB2312" w:eastAsia="仿宋_GB2312"/>
          <w:color w:val="auto"/>
          <w:sz w:val="32"/>
          <w:szCs w:val="32"/>
          <w:lang w:val="en-US" w:eastAsia="zh-CN"/>
        </w:rPr>
        <w:t>13</w:t>
      </w:r>
      <w:r>
        <w:rPr>
          <w:rFonts w:hint="eastAsia" w:ascii="仿宋_GB2312" w:eastAsia="仿宋_GB2312"/>
          <w:color w:val="auto"/>
          <w:sz w:val="32"/>
          <w:szCs w:val="32"/>
        </w:rPr>
        <w:t>.一般公共服务支出（</w:t>
      </w:r>
      <w:r>
        <w:rPr>
          <w:rFonts w:hint="eastAsia" w:ascii="仿宋_GB2312" w:eastAsia="仿宋_GB2312"/>
          <w:color w:val="auto"/>
          <w:sz w:val="32"/>
          <w:szCs w:val="32"/>
          <w:lang w:val="en-US" w:eastAsia="zh-CN"/>
        </w:rPr>
        <w:t>201</w:t>
      </w:r>
      <w:r>
        <w:rPr>
          <w:rFonts w:hint="eastAsia" w:ascii="仿宋_GB2312" w:eastAsia="仿宋_GB2312"/>
          <w:color w:val="auto"/>
          <w:sz w:val="32"/>
          <w:szCs w:val="32"/>
        </w:rPr>
        <w:t>）</w:t>
      </w:r>
      <w:r>
        <w:rPr>
          <w:rFonts w:hint="eastAsia" w:ascii="仿宋_GB2312" w:eastAsia="仿宋_GB2312"/>
          <w:color w:val="auto"/>
          <w:sz w:val="32"/>
          <w:szCs w:val="32"/>
          <w:lang w:val="en-US" w:eastAsia="zh-CN"/>
        </w:rPr>
        <w:t>反映事业单位的基本支出，不包括行政单位（包括实行公务员管理的事业单位）后勤服务中心，医疗室等附属事业单位</w:t>
      </w:r>
      <w:r>
        <w:rPr>
          <w:rFonts w:hint="eastAsia" w:ascii="仿宋_GB2312" w:eastAsia="仿宋_GB2312"/>
          <w:color w:val="auto"/>
          <w:sz w:val="32"/>
          <w:szCs w:val="32"/>
          <w:lang w:eastAsia="zh-CN"/>
        </w:rPr>
        <w:t>。</w:t>
      </w:r>
    </w:p>
    <w:p w14:paraId="57C36888">
      <w:pPr>
        <w:pStyle w:val="26"/>
        <w:keepNext w:val="0"/>
        <w:keepLines w:val="0"/>
        <w:pageBreakBefore w:val="0"/>
        <w:widowControl w:val="0"/>
        <w:kinsoku/>
        <w:wordWrap/>
        <w:overflowPunct/>
        <w:topLinePunct w:val="0"/>
        <w:bidi w:val="0"/>
        <w:snapToGrid/>
        <w:spacing w:line="360" w:lineRule="auto"/>
        <w:ind w:firstLine="640" w:firstLineChars="200"/>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14.住房保障（221）住房改革（02）住房公积金（01）：反映行政事业单位按人力资源和社会保障部、财政部规定的基本工资和津贴补贴以及规定比例为职工缴纳的住房公积金。</w:t>
      </w:r>
    </w:p>
    <w:p w14:paraId="60FDE512">
      <w:pPr>
        <w:pStyle w:val="26"/>
        <w:keepNext w:val="0"/>
        <w:keepLines w:val="0"/>
        <w:pageBreakBefore w:val="0"/>
        <w:widowControl w:val="0"/>
        <w:kinsoku/>
        <w:wordWrap/>
        <w:overflowPunct/>
        <w:topLinePunct w:val="0"/>
        <w:bidi w:val="0"/>
        <w:snapToGrid/>
        <w:spacing w:line="36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lang w:val="en-US" w:eastAsia="zh-CN"/>
        </w:rPr>
        <w:t>15</w:t>
      </w:r>
      <w:r>
        <w:rPr>
          <w:rFonts w:hint="eastAsia" w:ascii="仿宋_GB2312" w:eastAsia="仿宋_GB2312"/>
          <w:color w:val="auto"/>
          <w:sz w:val="32"/>
          <w:szCs w:val="32"/>
        </w:rPr>
        <w:t>.基本支出：指为保障机构正常运转、完成日常工作任务而发生的人员支出和公用</w:t>
      </w:r>
      <w:r>
        <w:rPr>
          <w:rFonts w:hint="eastAsia" w:ascii="仿宋_GB2312" w:eastAsia="仿宋_GB2312"/>
          <w:color w:val="auto"/>
          <w:sz w:val="32"/>
          <w:szCs w:val="32"/>
          <w:highlight w:val="none"/>
        </w:rPr>
        <w:t>支出。</w:t>
      </w:r>
    </w:p>
    <w:p w14:paraId="0596286A">
      <w:pPr>
        <w:keepNext w:val="0"/>
        <w:keepLines w:val="0"/>
        <w:pageBreakBefore w:val="0"/>
        <w:widowControl w:val="0"/>
        <w:kinsoku/>
        <w:wordWrap/>
        <w:overflowPunct/>
        <w:topLinePunct w:val="0"/>
        <w:bidi w:val="0"/>
        <w:snapToGrid/>
        <w:spacing w:line="36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16</w:t>
      </w:r>
      <w:r>
        <w:rPr>
          <w:rFonts w:ascii="仿宋_GB2312" w:eastAsia="仿宋_GB2312"/>
          <w:color w:val="auto"/>
          <w:sz w:val="32"/>
          <w:szCs w:val="32"/>
          <w:highlight w:val="none"/>
        </w:rPr>
        <w:t>.</w:t>
      </w:r>
      <w:r>
        <w:rPr>
          <w:rFonts w:hint="eastAsia" w:ascii="仿宋_GB2312" w:eastAsia="仿宋_GB2312"/>
          <w:color w:val="auto"/>
          <w:sz w:val="32"/>
          <w:szCs w:val="32"/>
          <w:highlight w:val="none"/>
        </w:rPr>
        <w:t>项目支出：指在基本支出之外为完成特定行政任务和事业发展目标所发生的支出。</w:t>
      </w:r>
      <w:r>
        <w:rPr>
          <w:rFonts w:ascii="仿宋_GB2312" w:eastAsia="仿宋_GB2312"/>
          <w:color w:val="auto"/>
          <w:sz w:val="32"/>
          <w:szCs w:val="32"/>
          <w:highlight w:val="none"/>
        </w:rPr>
        <w:t xml:space="preserve"> </w:t>
      </w:r>
      <w:bookmarkStart w:id="48" w:name="_Toc15377226"/>
    </w:p>
    <w:p w14:paraId="5C2CDDC3">
      <w:pPr>
        <w:ind w:firstLine="640" w:firstLineChars="200"/>
        <w:rPr>
          <w:rFonts w:ascii="仿宋_GB2312" w:eastAsia="仿宋_GB2312"/>
          <w:color w:val="auto"/>
          <w:sz w:val="32"/>
          <w:szCs w:val="32"/>
          <w:highlight w:val="none"/>
        </w:rPr>
      </w:pPr>
    </w:p>
    <w:p w14:paraId="29C137C3">
      <w:pPr>
        <w:ind w:firstLine="640" w:firstLineChars="200"/>
        <w:rPr>
          <w:rFonts w:ascii="仿宋_GB2312" w:eastAsia="仿宋_GB2312"/>
          <w:color w:val="auto"/>
          <w:sz w:val="32"/>
          <w:szCs w:val="32"/>
          <w:highlight w:val="none"/>
        </w:rPr>
      </w:pPr>
    </w:p>
    <w:p w14:paraId="64D255FD">
      <w:pPr>
        <w:rPr>
          <w:rFonts w:ascii="仿宋_GB2312" w:eastAsia="仿宋_GB2312"/>
          <w:color w:val="auto"/>
          <w:sz w:val="32"/>
          <w:szCs w:val="32"/>
          <w:highlight w:val="none"/>
        </w:rPr>
      </w:pPr>
    </w:p>
    <w:p w14:paraId="2492C033">
      <w:pPr>
        <w:pStyle w:val="7"/>
        <w:jc w:val="center"/>
        <w:rPr>
          <w:sz w:val="20"/>
        </w:rPr>
      </w:pPr>
      <w:r>
        <w:rPr>
          <w:rFonts w:hint="eastAsia"/>
          <w:b/>
          <w:bCs/>
          <w:sz w:val="44"/>
          <w:szCs w:val="44"/>
          <w:lang w:val="en-US" w:eastAsia="zh-CN"/>
        </w:rPr>
        <w:t>第四部分 附件</w:t>
      </w:r>
    </w:p>
    <w:p w14:paraId="0D592169">
      <w:pPr>
        <w:rPr>
          <w:rFonts w:ascii="仿宋_GB2312" w:eastAsia="仿宋_GB2312"/>
          <w:color w:val="auto"/>
          <w:sz w:val="32"/>
          <w:szCs w:val="32"/>
          <w:highlight w:val="none"/>
        </w:rPr>
      </w:pPr>
    </w:p>
    <w:p w14:paraId="2E781970">
      <w:pPr>
        <w:pStyle w:val="7"/>
        <w:jc w:val="left"/>
        <w:rPr>
          <w:rFonts w:hint="default"/>
          <w:b/>
          <w:bCs/>
          <w:sz w:val="44"/>
          <w:szCs w:val="44"/>
          <w:lang w:val="en-US" w:eastAsia="zh-CN"/>
        </w:rPr>
      </w:pPr>
      <w:r>
        <w:rPr>
          <w:rFonts w:hint="eastAsia"/>
          <w:b/>
          <w:bCs/>
          <w:sz w:val="44"/>
          <w:szCs w:val="44"/>
          <w:lang w:val="en-US" w:eastAsia="zh-CN"/>
        </w:rPr>
        <w:t>无</w:t>
      </w:r>
    </w:p>
    <w:p w14:paraId="6406EC33">
      <w:pPr>
        <w:rPr>
          <w:rFonts w:ascii="仿宋_GB2312" w:eastAsia="仿宋_GB2312"/>
          <w:color w:val="auto"/>
          <w:sz w:val="32"/>
          <w:szCs w:val="32"/>
          <w:highlight w:val="none"/>
        </w:rPr>
      </w:pPr>
    </w:p>
    <w:p w14:paraId="0CCD4E07">
      <w:pPr>
        <w:rPr>
          <w:rFonts w:ascii="仿宋_GB2312" w:eastAsia="仿宋_GB2312"/>
          <w:color w:val="auto"/>
          <w:sz w:val="32"/>
          <w:szCs w:val="32"/>
          <w:highlight w:val="none"/>
        </w:rPr>
      </w:pPr>
    </w:p>
    <w:p w14:paraId="0888A72F">
      <w:pPr>
        <w:rPr>
          <w:rFonts w:hint="eastAsia" w:ascii="黑体" w:eastAsia="黑体"/>
          <w:sz w:val="18"/>
          <w:lang w:val="en-US" w:eastAsia="zh-CN"/>
        </w:rPr>
      </w:pPr>
      <w:bookmarkStart w:id="49" w:name="_Toc15396614"/>
    </w:p>
    <w:p w14:paraId="34237017">
      <w:pPr>
        <w:rPr>
          <w:rFonts w:hint="eastAsia" w:ascii="黑体" w:eastAsia="黑体"/>
          <w:sz w:val="18"/>
          <w:lang w:val="en-US" w:eastAsia="zh-CN"/>
        </w:rPr>
      </w:pPr>
    </w:p>
    <w:p w14:paraId="05FCF386">
      <w:pPr>
        <w:rPr>
          <w:rFonts w:hint="eastAsia" w:ascii="黑体" w:eastAsia="黑体"/>
          <w:sz w:val="18"/>
          <w:lang w:val="en-US" w:eastAsia="zh-CN"/>
        </w:rPr>
      </w:pPr>
    </w:p>
    <w:p w14:paraId="209E897D">
      <w:pPr>
        <w:rPr>
          <w:rFonts w:hint="eastAsia" w:ascii="黑体" w:eastAsia="黑体"/>
          <w:sz w:val="18"/>
          <w:lang w:val="en-US" w:eastAsia="zh-CN"/>
        </w:rPr>
      </w:pPr>
    </w:p>
    <w:p w14:paraId="48325931">
      <w:pPr>
        <w:rPr>
          <w:rFonts w:hint="eastAsia" w:ascii="黑体" w:eastAsia="黑体"/>
          <w:sz w:val="18"/>
          <w:lang w:val="en-US" w:eastAsia="zh-CN"/>
        </w:rPr>
      </w:pPr>
    </w:p>
    <w:p w14:paraId="7AC4DA31">
      <w:pPr>
        <w:rPr>
          <w:rFonts w:hint="eastAsia" w:ascii="黑体" w:eastAsia="黑体"/>
          <w:sz w:val="18"/>
          <w:lang w:val="en-US" w:eastAsia="zh-CN"/>
        </w:rPr>
        <w:sectPr>
          <w:footerReference r:id="rId8" w:type="default"/>
          <w:pgSz w:w="11910" w:h="16840"/>
          <w:pgMar w:top="1440" w:right="1803" w:bottom="1440" w:left="1803" w:header="720" w:footer="720" w:gutter="0"/>
          <w:pgNumType w:start="1"/>
          <w:cols w:space="720" w:num="1"/>
        </w:sectPr>
      </w:pPr>
    </w:p>
    <w:p w14:paraId="496F55DD">
      <w:pPr>
        <w:spacing w:line="572" w:lineRule="exact"/>
        <w:jc w:val="left"/>
        <w:outlineLvl w:val="0"/>
        <w:rPr>
          <w:rFonts w:eastAsia="黑体" w:cs="方正小标宋简体"/>
          <w:sz w:val="44"/>
          <w:szCs w:val="44"/>
        </w:rPr>
      </w:pPr>
      <w:r>
        <w:rPr>
          <w:rFonts w:hint="eastAsia" w:eastAsia="黑体" w:cs="黑体"/>
          <w:sz w:val="32"/>
          <w:szCs w:val="32"/>
        </w:rPr>
        <w:t>附件1</w:t>
      </w:r>
    </w:p>
    <w:p w14:paraId="2BC1C32C">
      <w:pPr>
        <w:widowControl/>
        <w:spacing w:line="578" w:lineRule="exact"/>
        <w:contextualSpacing/>
        <w:jc w:val="center"/>
        <w:rPr>
          <w:rFonts w:eastAsia="方正小标宋简体"/>
          <w:bCs/>
          <w:sz w:val="44"/>
          <w:szCs w:val="44"/>
          <w:shd w:val="clear" w:color="auto" w:fill="FFFFFF"/>
        </w:rPr>
      </w:pPr>
    </w:p>
    <w:p w14:paraId="103A8F2B">
      <w:pPr>
        <w:suppressAutoHyphens/>
        <w:bidi w:val="0"/>
        <w:spacing w:line="600" w:lineRule="exact"/>
        <w:jc w:val="center"/>
        <w:outlineLvl w:val="0"/>
        <w:rPr>
          <w:rFonts w:hint="eastAsia" w:ascii="仿宋" w:hAnsi="仿宋" w:eastAsia="仿宋"/>
          <w:b w:val="0"/>
          <w:color w:val="auto"/>
          <w:highlight w:val="none"/>
        </w:rPr>
      </w:pPr>
      <w:r>
        <w:rPr>
          <w:rFonts w:hint="eastAsia" w:ascii="黑体" w:hAnsi="黑体" w:eastAsia="黑体"/>
          <w:color w:val="auto"/>
          <w:sz w:val="44"/>
          <w:szCs w:val="44"/>
          <w:highlight w:val="none"/>
        </w:rPr>
        <w:t>第</w:t>
      </w:r>
      <w:r>
        <w:rPr>
          <w:rFonts w:hint="eastAsia" w:ascii="黑体" w:hAnsi="黑体" w:eastAsia="黑体"/>
          <w:b w:val="0"/>
          <w:bCs/>
          <w:color w:val="auto"/>
          <w:kern w:val="44"/>
          <w:sz w:val="44"/>
          <w:szCs w:val="44"/>
          <w:highlight w:val="none"/>
        </w:rPr>
        <w:t>五部分 附表</w:t>
      </w:r>
    </w:p>
    <w:p w14:paraId="5DF211B1">
      <w:pPr>
        <w:spacing w:line="572" w:lineRule="exact"/>
        <w:jc w:val="left"/>
        <w:outlineLvl w:val="0"/>
        <w:rPr>
          <w:rFonts w:hint="eastAsia" w:eastAsia="黑体" w:cs="黑体"/>
          <w:sz w:val="32"/>
          <w:szCs w:val="32"/>
          <w:lang w:val="en-US" w:eastAsia="zh-CN"/>
        </w:rPr>
      </w:pPr>
    </w:p>
    <w:p w14:paraId="06A80A1C">
      <w:pPr>
        <w:keepNext/>
        <w:keepLines/>
        <w:pageBreakBefore w:val="0"/>
        <w:widowControl w:val="0"/>
        <w:suppressAutoHyphens/>
        <w:kinsoku/>
        <w:wordWrap/>
        <w:overflowPunct/>
        <w:topLinePunct w:val="0"/>
        <w:autoSpaceDE/>
        <w:autoSpaceDN/>
        <w:bidi w:val="0"/>
        <w:adjustRightInd/>
        <w:snapToGrid/>
        <w:spacing w:before="260" w:after="260" w:line="560" w:lineRule="exact"/>
        <w:jc w:val="both"/>
        <w:textAlignment w:val="auto"/>
        <w:outlineLvl w:val="1"/>
        <w:rPr>
          <w:rFonts w:hint="eastAsia" w:ascii="仿宋" w:hAnsi="仿宋" w:eastAsia="仿宋" w:cs="Times New Roman"/>
          <w:b w:val="0"/>
          <w:bCs/>
          <w:color w:val="auto"/>
          <w:kern w:val="2"/>
          <w:sz w:val="32"/>
          <w:szCs w:val="32"/>
          <w:lang w:val="en-US" w:eastAsia="zh-CN" w:bidi="ar-SA"/>
        </w:rPr>
      </w:pPr>
      <w:r>
        <w:rPr>
          <w:rFonts w:hint="eastAsia" w:ascii="仿宋" w:hAnsi="仿宋" w:eastAsia="仿宋" w:cs="Times New Roman"/>
          <w:b w:val="0"/>
          <w:bCs/>
          <w:color w:val="auto"/>
          <w:kern w:val="2"/>
          <w:sz w:val="32"/>
          <w:szCs w:val="32"/>
          <w:lang w:val="en-US" w:eastAsia="zh-CN" w:bidi="ar-SA"/>
        </w:rPr>
        <w:t>一、收入支出决算总表</w:t>
      </w:r>
    </w:p>
    <w:p w14:paraId="537A13A8">
      <w:pPr>
        <w:keepNext/>
        <w:keepLines/>
        <w:pageBreakBefore w:val="0"/>
        <w:widowControl w:val="0"/>
        <w:suppressAutoHyphens/>
        <w:kinsoku/>
        <w:wordWrap/>
        <w:overflowPunct/>
        <w:topLinePunct w:val="0"/>
        <w:autoSpaceDE/>
        <w:autoSpaceDN/>
        <w:bidi w:val="0"/>
        <w:adjustRightInd/>
        <w:snapToGrid/>
        <w:spacing w:before="260" w:after="260" w:line="560" w:lineRule="exact"/>
        <w:jc w:val="both"/>
        <w:textAlignment w:val="auto"/>
        <w:outlineLvl w:val="1"/>
        <w:rPr>
          <w:rFonts w:hint="eastAsia" w:ascii="仿宋" w:hAnsi="仿宋" w:eastAsia="仿宋" w:cs="Times New Roman"/>
          <w:b w:val="0"/>
          <w:bCs/>
          <w:color w:val="auto"/>
          <w:kern w:val="2"/>
          <w:sz w:val="32"/>
          <w:szCs w:val="32"/>
          <w:lang w:val="en-US" w:eastAsia="zh-CN" w:bidi="ar-SA"/>
        </w:rPr>
      </w:pPr>
      <w:r>
        <w:rPr>
          <w:rFonts w:hint="eastAsia" w:ascii="仿宋" w:hAnsi="仿宋" w:eastAsia="仿宋" w:cs="Times New Roman"/>
          <w:b w:val="0"/>
          <w:bCs/>
          <w:color w:val="auto"/>
          <w:kern w:val="2"/>
          <w:sz w:val="32"/>
          <w:szCs w:val="32"/>
          <w:lang w:val="en-US" w:eastAsia="zh-CN" w:bidi="ar-SA"/>
        </w:rPr>
        <w:t>二、收入决算表</w:t>
      </w:r>
    </w:p>
    <w:p w14:paraId="0A3B1BA7">
      <w:pPr>
        <w:keepNext/>
        <w:keepLines/>
        <w:pageBreakBefore w:val="0"/>
        <w:widowControl w:val="0"/>
        <w:suppressAutoHyphens/>
        <w:kinsoku/>
        <w:wordWrap/>
        <w:overflowPunct/>
        <w:topLinePunct w:val="0"/>
        <w:autoSpaceDE/>
        <w:autoSpaceDN/>
        <w:bidi w:val="0"/>
        <w:adjustRightInd/>
        <w:snapToGrid/>
        <w:spacing w:before="260" w:after="260" w:line="560" w:lineRule="exact"/>
        <w:jc w:val="both"/>
        <w:textAlignment w:val="auto"/>
        <w:outlineLvl w:val="1"/>
        <w:rPr>
          <w:rFonts w:hint="eastAsia" w:ascii="仿宋" w:hAnsi="仿宋" w:eastAsia="仿宋" w:cs="Times New Roman"/>
          <w:b w:val="0"/>
          <w:bCs/>
          <w:color w:val="auto"/>
          <w:kern w:val="2"/>
          <w:sz w:val="32"/>
          <w:szCs w:val="32"/>
          <w:lang w:val="en-US" w:eastAsia="zh-CN" w:bidi="ar-SA"/>
        </w:rPr>
      </w:pPr>
      <w:r>
        <w:rPr>
          <w:rFonts w:hint="eastAsia" w:ascii="仿宋" w:hAnsi="仿宋" w:eastAsia="仿宋" w:cs="Times New Roman"/>
          <w:b w:val="0"/>
          <w:bCs/>
          <w:color w:val="auto"/>
          <w:kern w:val="2"/>
          <w:sz w:val="32"/>
          <w:szCs w:val="32"/>
          <w:lang w:val="en-US" w:eastAsia="zh-CN" w:bidi="ar-SA"/>
        </w:rPr>
        <w:t>三、支出决算表</w:t>
      </w:r>
    </w:p>
    <w:p w14:paraId="5C7B3FF8">
      <w:pPr>
        <w:keepNext/>
        <w:keepLines/>
        <w:pageBreakBefore w:val="0"/>
        <w:widowControl w:val="0"/>
        <w:suppressAutoHyphens/>
        <w:kinsoku/>
        <w:wordWrap/>
        <w:overflowPunct/>
        <w:topLinePunct w:val="0"/>
        <w:autoSpaceDE/>
        <w:autoSpaceDN/>
        <w:bidi w:val="0"/>
        <w:adjustRightInd/>
        <w:snapToGrid/>
        <w:spacing w:before="260" w:after="260" w:line="560" w:lineRule="exact"/>
        <w:jc w:val="both"/>
        <w:textAlignment w:val="auto"/>
        <w:outlineLvl w:val="1"/>
        <w:rPr>
          <w:rFonts w:hint="eastAsia" w:ascii="仿宋" w:hAnsi="仿宋" w:eastAsia="仿宋" w:cs="Times New Roman"/>
          <w:b w:val="0"/>
          <w:bCs/>
          <w:color w:val="auto"/>
          <w:kern w:val="2"/>
          <w:sz w:val="32"/>
          <w:szCs w:val="32"/>
          <w:lang w:val="en-US" w:eastAsia="zh-CN" w:bidi="ar-SA"/>
        </w:rPr>
      </w:pPr>
      <w:r>
        <w:rPr>
          <w:rFonts w:hint="eastAsia" w:ascii="仿宋" w:hAnsi="仿宋" w:eastAsia="仿宋" w:cs="Times New Roman"/>
          <w:b w:val="0"/>
          <w:bCs/>
          <w:color w:val="auto"/>
          <w:kern w:val="2"/>
          <w:sz w:val="32"/>
          <w:szCs w:val="32"/>
          <w:lang w:val="en-US" w:eastAsia="zh-CN" w:bidi="ar-SA"/>
        </w:rPr>
        <w:t>四、财政拨款收入支出决算总表</w:t>
      </w:r>
    </w:p>
    <w:p w14:paraId="0ED43EBA">
      <w:pPr>
        <w:keepNext/>
        <w:keepLines/>
        <w:pageBreakBefore w:val="0"/>
        <w:widowControl w:val="0"/>
        <w:suppressAutoHyphens/>
        <w:kinsoku/>
        <w:wordWrap/>
        <w:overflowPunct/>
        <w:topLinePunct w:val="0"/>
        <w:autoSpaceDE/>
        <w:autoSpaceDN/>
        <w:bidi w:val="0"/>
        <w:adjustRightInd/>
        <w:snapToGrid/>
        <w:spacing w:before="260" w:after="260" w:line="560" w:lineRule="exact"/>
        <w:jc w:val="both"/>
        <w:textAlignment w:val="auto"/>
        <w:outlineLvl w:val="1"/>
        <w:rPr>
          <w:rFonts w:hint="eastAsia" w:ascii="仿宋" w:hAnsi="仿宋" w:eastAsia="仿宋" w:cs="Times New Roman"/>
          <w:b w:val="0"/>
          <w:bCs/>
          <w:color w:val="auto"/>
          <w:kern w:val="2"/>
          <w:sz w:val="32"/>
          <w:szCs w:val="32"/>
          <w:lang w:val="en-US" w:eastAsia="zh-CN" w:bidi="ar-SA"/>
        </w:rPr>
      </w:pPr>
      <w:r>
        <w:rPr>
          <w:rFonts w:hint="eastAsia" w:ascii="仿宋" w:hAnsi="仿宋" w:eastAsia="仿宋" w:cs="Times New Roman"/>
          <w:b w:val="0"/>
          <w:bCs/>
          <w:color w:val="auto"/>
          <w:kern w:val="2"/>
          <w:sz w:val="32"/>
          <w:szCs w:val="32"/>
          <w:lang w:val="en-US" w:eastAsia="zh-CN" w:bidi="ar-SA"/>
        </w:rPr>
        <w:t>五、财政拨款支出决算明细表</w:t>
      </w:r>
    </w:p>
    <w:p w14:paraId="5B4FD5F1">
      <w:pPr>
        <w:keepNext/>
        <w:keepLines/>
        <w:pageBreakBefore w:val="0"/>
        <w:widowControl w:val="0"/>
        <w:suppressAutoHyphens/>
        <w:kinsoku/>
        <w:wordWrap/>
        <w:overflowPunct/>
        <w:topLinePunct w:val="0"/>
        <w:autoSpaceDE/>
        <w:autoSpaceDN/>
        <w:bidi w:val="0"/>
        <w:adjustRightInd/>
        <w:snapToGrid/>
        <w:spacing w:before="260" w:after="260" w:line="560" w:lineRule="exact"/>
        <w:jc w:val="both"/>
        <w:textAlignment w:val="auto"/>
        <w:outlineLvl w:val="1"/>
        <w:rPr>
          <w:rFonts w:hint="eastAsia" w:ascii="仿宋" w:hAnsi="仿宋" w:eastAsia="仿宋" w:cs="Times New Roman"/>
          <w:b w:val="0"/>
          <w:bCs/>
          <w:color w:val="auto"/>
          <w:kern w:val="2"/>
          <w:sz w:val="32"/>
          <w:szCs w:val="32"/>
          <w:lang w:val="en-US" w:eastAsia="zh-CN" w:bidi="ar-SA"/>
        </w:rPr>
      </w:pPr>
      <w:r>
        <w:rPr>
          <w:rFonts w:hint="eastAsia" w:ascii="仿宋" w:hAnsi="仿宋" w:eastAsia="仿宋" w:cs="Times New Roman"/>
          <w:b w:val="0"/>
          <w:bCs/>
          <w:color w:val="auto"/>
          <w:kern w:val="2"/>
          <w:sz w:val="32"/>
          <w:szCs w:val="32"/>
          <w:lang w:val="en-US" w:eastAsia="zh-CN" w:bidi="ar-SA"/>
        </w:rPr>
        <w:t>六、一般公共预算财政拨款支出决算表</w:t>
      </w:r>
    </w:p>
    <w:p w14:paraId="2ECF0664">
      <w:pPr>
        <w:keepNext/>
        <w:keepLines/>
        <w:pageBreakBefore w:val="0"/>
        <w:widowControl w:val="0"/>
        <w:suppressAutoHyphens/>
        <w:kinsoku/>
        <w:wordWrap/>
        <w:overflowPunct/>
        <w:topLinePunct w:val="0"/>
        <w:autoSpaceDE/>
        <w:autoSpaceDN/>
        <w:bidi w:val="0"/>
        <w:adjustRightInd/>
        <w:snapToGrid/>
        <w:spacing w:before="260" w:after="260" w:line="560" w:lineRule="exact"/>
        <w:jc w:val="both"/>
        <w:textAlignment w:val="auto"/>
        <w:outlineLvl w:val="1"/>
        <w:rPr>
          <w:rFonts w:hint="eastAsia" w:ascii="仿宋" w:hAnsi="仿宋" w:eastAsia="仿宋" w:cs="Times New Roman"/>
          <w:b w:val="0"/>
          <w:bCs/>
          <w:color w:val="auto"/>
          <w:kern w:val="2"/>
          <w:sz w:val="32"/>
          <w:szCs w:val="32"/>
          <w:lang w:val="en-US" w:eastAsia="zh-CN" w:bidi="ar-SA"/>
        </w:rPr>
      </w:pPr>
      <w:r>
        <w:rPr>
          <w:rFonts w:hint="eastAsia" w:ascii="仿宋" w:hAnsi="仿宋" w:eastAsia="仿宋" w:cs="Times New Roman"/>
          <w:b w:val="0"/>
          <w:bCs/>
          <w:color w:val="auto"/>
          <w:kern w:val="2"/>
          <w:sz w:val="32"/>
          <w:szCs w:val="32"/>
          <w:lang w:val="en-US" w:eastAsia="zh-CN" w:bidi="ar-SA"/>
        </w:rPr>
        <w:t>七、一般公共预算财政拨款支出决算明细表</w:t>
      </w:r>
    </w:p>
    <w:p w14:paraId="13F2F4C2">
      <w:pPr>
        <w:keepNext/>
        <w:keepLines/>
        <w:pageBreakBefore w:val="0"/>
        <w:widowControl w:val="0"/>
        <w:suppressAutoHyphens/>
        <w:kinsoku/>
        <w:wordWrap/>
        <w:overflowPunct/>
        <w:topLinePunct w:val="0"/>
        <w:autoSpaceDE/>
        <w:autoSpaceDN/>
        <w:bidi w:val="0"/>
        <w:adjustRightInd/>
        <w:snapToGrid/>
        <w:spacing w:before="260" w:after="260" w:line="560" w:lineRule="exact"/>
        <w:jc w:val="both"/>
        <w:textAlignment w:val="auto"/>
        <w:outlineLvl w:val="1"/>
        <w:rPr>
          <w:rFonts w:hint="eastAsia" w:ascii="仿宋" w:hAnsi="仿宋" w:eastAsia="仿宋" w:cs="Times New Roman"/>
          <w:b w:val="0"/>
          <w:bCs/>
          <w:color w:val="auto"/>
          <w:kern w:val="2"/>
          <w:sz w:val="32"/>
          <w:szCs w:val="32"/>
          <w:lang w:val="en-US" w:eastAsia="zh-CN" w:bidi="ar-SA"/>
        </w:rPr>
      </w:pPr>
      <w:r>
        <w:rPr>
          <w:rFonts w:hint="eastAsia" w:ascii="仿宋" w:hAnsi="仿宋" w:eastAsia="仿宋" w:cs="Times New Roman"/>
          <w:b w:val="0"/>
          <w:bCs/>
          <w:color w:val="auto"/>
          <w:kern w:val="2"/>
          <w:sz w:val="32"/>
          <w:szCs w:val="32"/>
          <w:lang w:val="en-US" w:eastAsia="zh-CN" w:bidi="ar-SA"/>
        </w:rPr>
        <w:t>八、一般公共预算财政拨款基本支出决算表</w:t>
      </w:r>
    </w:p>
    <w:p w14:paraId="5563310D">
      <w:pPr>
        <w:keepNext/>
        <w:keepLines/>
        <w:pageBreakBefore w:val="0"/>
        <w:widowControl w:val="0"/>
        <w:suppressAutoHyphens/>
        <w:kinsoku/>
        <w:wordWrap/>
        <w:overflowPunct/>
        <w:topLinePunct w:val="0"/>
        <w:autoSpaceDE/>
        <w:autoSpaceDN/>
        <w:bidi w:val="0"/>
        <w:adjustRightInd/>
        <w:snapToGrid/>
        <w:spacing w:before="260" w:after="260" w:line="560" w:lineRule="exact"/>
        <w:jc w:val="both"/>
        <w:textAlignment w:val="auto"/>
        <w:outlineLvl w:val="1"/>
        <w:rPr>
          <w:rFonts w:hint="eastAsia" w:ascii="仿宋" w:hAnsi="仿宋" w:eastAsia="仿宋" w:cs="Times New Roman"/>
          <w:b w:val="0"/>
          <w:bCs/>
          <w:color w:val="auto"/>
          <w:kern w:val="2"/>
          <w:sz w:val="32"/>
          <w:szCs w:val="32"/>
          <w:lang w:val="en-US" w:eastAsia="zh-CN" w:bidi="ar-SA"/>
        </w:rPr>
      </w:pPr>
      <w:r>
        <w:rPr>
          <w:rFonts w:hint="eastAsia" w:ascii="仿宋" w:hAnsi="仿宋" w:eastAsia="仿宋" w:cs="Times New Roman"/>
          <w:b w:val="0"/>
          <w:bCs/>
          <w:color w:val="auto"/>
          <w:kern w:val="2"/>
          <w:sz w:val="32"/>
          <w:szCs w:val="32"/>
          <w:lang w:val="en-US" w:eastAsia="zh-CN" w:bidi="ar-SA"/>
        </w:rPr>
        <w:t>九、一般公共预算财政拨款项目支出决算表</w:t>
      </w:r>
    </w:p>
    <w:p w14:paraId="528394B6">
      <w:pPr>
        <w:keepNext/>
        <w:keepLines/>
        <w:pageBreakBefore w:val="0"/>
        <w:widowControl w:val="0"/>
        <w:suppressAutoHyphens/>
        <w:kinsoku/>
        <w:wordWrap/>
        <w:overflowPunct/>
        <w:topLinePunct w:val="0"/>
        <w:autoSpaceDE/>
        <w:autoSpaceDN/>
        <w:bidi w:val="0"/>
        <w:adjustRightInd/>
        <w:snapToGrid/>
        <w:spacing w:before="260" w:after="260" w:line="560" w:lineRule="exact"/>
        <w:jc w:val="both"/>
        <w:textAlignment w:val="auto"/>
        <w:outlineLvl w:val="1"/>
        <w:rPr>
          <w:rFonts w:hint="eastAsia" w:ascii="仿宋" w:hAnsi="仿宋" w:eastAsia="仿宋" w:cs="Times New Roman"/>
          <w:b w:val="0"/>
          <w:bCs/>
          <w:color w:val="auto"/>
          <w:kern w:val="2"/>
          <w:sz w:val="32"/>
          <w:szCs w:val="32"/>
          <w:lang w:val="en-US" w:eastAsia="zh-CN" w:bidi="ar-SA"/>
        </w:rPr>
      </w:pPr>
      <w:r>
        <w:rPr>
          <w:rFonts w:hint="eastAsia" w:ascii="仿宋" w:hAnsi="仿宋" w:eastAsia="仿宋" w:cs="Times New Roman"/>
          <w:b w:val="0"/>
          <w:bCs/>
          <w:color w:val="auto"/>
          <w:kern w:val="2"/>
          <w:sz w:val="32"/>
          <w:szCs w:val="32"/>
          <w:lang w:val="en-US" w:eastAsia="zh-CN" w:bidi="ar-SA"/>
        </w:rPr>
        <w:t>十、政府性基金预算财政拨款收入支出决算表</w:t>
      </w:r>
    </w:p>
    <w:p w14:paraId="4E68B251">
      <w:pPr>
        <w:pStyle w:val="7"/>
        <w:rPr>
          <w:sz w:val="20"/>
        </w:rPr>
      </w:pPr>
      <w:r>
        <w:rPr>
          <w:rFonts w:hint="eastAsia" w:ascii="仿宋" w:hAnsi="仿宋" w:eastAsia="仿宋" w:cs="Times New Roman"/>
          <w:b w:val="0"/>
          <w:bCs/>
          <w:color w:val="auto"/>
          <w:kern w:val="2"/>
          <w:sz w:val="32"/>
          <w:szCs w:val="32"/>
          <w:lang w:val="en-US" w:eastAsia="zh-CN" w:bidi="ar-SA"/>
        </w:rPr>
        <w:t>十一、国有资本经营预算财政拨款收入支出决算表</w:t>
      </w:r>
    </w:p>
    <w:bookmarkEnd w:id="49"/>
    <w:p w14:paraId="1E93F4EA">
      <w:pPr>
        <w:pStyle w:val="7"/>
        <w:spacing w:before="45" w:line="288" w:lineRule="auto"/>
        <w:ind w:right="3544"/>
        <w:rPr>
          <w:rFonts w:hint="eastAsia" w:ascii="仿宋_GB2312" w:eastAsia="仿宋_GB2312"/>
          <w:color w:val="auto"/>
          <w:sz w:val="32"/>
          <w:szCs w:val="32"/>
          <w:highlight w:val="none"/>
          <w:lang w:eastAsia="zh-CN"/>
        </w:rPr>
      </w:pPr>
    </w:p>
    <w:p w14:paraId="664ADBE8">
      <w:pPr>
        <w:rPr>
          <w:rFonts w:hint="eastAsia"/>
          <w:lang w:eastAsia="zh-CN"/>
        </w:rPr>
        <w:sectPr>
          <w:footerReference r:id="rId10" w:type="first"/>
          <w:footerReference r:id="rId9" w:type="default"/>
          <w:pgSz w:w="11906" w:h="16838"/>
          <w:pgMar w:top="1440" w:right="283" w:bottom="1440" w:left="1134" w:header="851" w:footer="992" w:gutter="0"/>
          <w:pgNumType w:fmt="decimal" w:start="14"/>
          <w:cols w:space="425" w:num="1"/>
          <w:titlePg/>
          <w:docGrid w:type="lines" w:linePitch="312" w:charSpace="0"/>
        </w:sectPr>
      </w:pPr>
      <w:r>
        <w:rPr>
          <w:rFonts w:hint="eastAsia"/>
          <w:lang w:eastAsia="zh-CN"/>
        </w:rPr>
        <w:object>
          <v:shape id="_x0000_i1025" o:spt="75" type="#_x0000_t75" style="height:65.5pt;width:72.5pt;" o:ole="t" filled="f" o:preferrelative="t" stroked="f" coordsize="21600,21600">
            <v:path/>
            <v:fill on="f" focussize="0,0"/>
            <v:stroke on="f"/>
            <v:imagedata r:id="rId19" o:title=""/>
            <o:lock v:ext="edit" aspectratio="t"/>
            <w10:wrap type="none"/>
            <w10:anchorlock/>
          </v:shape>
          <o:OLEObject Type="Embed" ProgID="Excel.Sheet.8" ShapeID="_x0000_i1025" DrawAspect="Icon" ObjectID="_1468075725" r:id="rId18">
            <o:LockedField>false</o:LockedField>
          </o:OLEObject>
        </w:object>
      </w:r>
    </w:p>
    <w:p w14:paraId="0D36FB85">
      <w:pPr>
        <w:spacing w:line="572" w:lineRule="exact"/>
        <w:jc w:val="left"/>
        <w:outlineLvl w:val="0"/>
        <w:rPr>
          <w:rFonts w:hint="eastAsia" w:eastAsia="黑体" w:cs="黑体"/>
          <w:sz w:val="32"/>
          <w:szCs w:val="32"/>
          <w:lang w:val="en-US" w:eastAsia="zh-CN"/>
        </w:rPr>
      </w:pPr>
    </w:p>
    <w:p w14:paraId="4FD3EFBF">
      <w:pPr>
        <w:spacing w:line="572" w:lineRule="exact"/>
        <w:jc w:val="left"/>
        <w:outlineLvl w:val="0"/>
        <w:rPr>
          <w:rFonts w:hint="eastAsia" w:eastAsia="黑体" w:cs="黑体"/>
          <w:sz w:val="32"/>
          <w:szCs w:val="32"/>
        </w:rPr>
      </w:pPr>
    </w:p>
    <w:p w14:paraId="40F2D324">
      <w:pPr>
        <w:spacing w:line="572" w:lineRule="exact"/>
        <w:jc w:val="left"/>
        <w:outlineLvl w:val="0"/>
        <w:rPr>
          <w:rFonts w:hint="eastAsia" w:eastAsia="黑体" w:cs="黑体"/>
          <w:sz w:val="32"/>
          <w:szCs w:val="32"/>
        </w:rPr>
      </w:pPr>
    </w:p>
    <w:bookmarkEnd w:id="48"/>
    <w:p w14:paraId="2DB10B79">
      <w:pPr>
        <w:spacing w:line="572" w:lineRule="exact"/>
        <w:jc w:val="left"/>
        <w:outlineLvl w:val="0"/>
        <w:rPr>
          <w:rFonts w:hint="eastAsia" w:eastAsia="黑体" w:cs="黑体"/>
          <w:sz w:val="32"/>
          <w:szCs w:val="32"/>
          <w:lang w:val="en-US" w:eastAsia="zh-CN"/>
        </w:rPr>
      </w:pPr>
    </w:p>
    <w:sectPr>
      <w:pgSz w:w="16838" w:h="11906" w:orient="landscape"/>
      <w:pgMar w:top="567" w:right="958" w:bottom="567" w:left="958"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F34C74A-2AF3-4878-902C-440A1C6A15D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B71305BA-E146-4A8C-AB6F-A70286D40A13}"/>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76118CE0-F17D-40D6-BA7A-B059AD1796EE}"/>
  </w:font>
  <w:font w:name="仿宋">
    <w:panose1 w:val="02010609060101010101"/>
    <w:charset w:val="86"/>
    <w:family w:val="modern"/>
    <w:pitch w:val="default"/>
    <w:sig w:usb0="800002BF" w:usb1="38CF7CFA" w:usb2="00000016" w:usb3="00000000" w:csb0="00040001" w:csb1="00000000"/>
    <w:embedRegular r:id="rId4" w:fontKey="{87F6AA5A-318C-4AA8-B5BD-042D045FC253}"/>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5" w:fontKey="{7A0F2F29-EFD9-417A-BA51-2AA05C6F2B88}"/>
  </w:font>
  <w:font w:name="楷体_GB2312">
    <w:panose1 w:val="02010609030101010101"/>
    <w:charset w:val="86"/>
    <w:family w:val="auto"/>
    <w:pitch w:val="default"/>
    <w:sig w:usb0="00000001" w:usb1="080E0000" w:usb2="00000000" w:usb3="00000000" w:csb0="00040000" w:csb1="00000000"/>
    <w:embedRegular r:id="rId6" w:fontKey="{BD808227-838D-4552-AF99-3BBA0C170837}"/>
  </w:font>
  <w:font w:name="华文中宋">
    <w:altName w:val="宋体"/>
    <w:panose1 w:val="02010600040101010101"/>
    <w:charset w:val="86"/>
    <w:family w:val="auto"/>
    <w:pitch w:val="default"/>
    <w:sig w:usb0="00000000" w:usb1="00000000" w:usb2="00000000" w:usb3="00000000" w:csb0="0004009F" w:csb1="DFD70000"/>
    <w:embedRegular r:id="rId7" w:fontKey="{42C207FA-1C3B-496B-B80B-0B787CC44A0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37E0E">
    <w:pPr>
      <w:pStyle w:val="10"/>
      <w:jc w:val="center"/>
    </w:pPr>
  </w:p>
  <w:p w14:paraId="036783CE">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01788">
    <w:pPr>
      <w:pStyle w:val="10"/>
      <w:jc w:val="center"/>
      <w:rPr>
        <w:rFonts w:hint="default" w:eastAsia="宋体"/>
        <w:lang w:val="en-US" w:eastAsia="zh-CN"/>
      </w:rPr>
    </w:pPr>
    <w:r>
      <w:rPr>
        <w:rFonts w:hint="eastAsia"/>
        <w:lang w:val="en-US" w:eastAsia="zh-CN"/>
      </w:rPr>
      <w:t>38</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94825">
    <w:pPr>
      <w:pStyle w:val="10"/>
      <w:jc w:val="center"/>
    </w:pPr>
  </w:p>
  <w:p w14:paraId="1C1DB241">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0D21C">
    <w:pPr>
      <w:pStyle w:val="10"/>
      <w:jc w:val="center"/>
    </w:pPr>
  </w:p>
  <w:p w14:paraId="089F7549">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A765D">
    <w:pPr>
      <w:pStyle w:val="10"/>
      <w:jc w:val="center"/>
    </w:pPr>
  </w:p>
  <w:p w14:paraId="26413448">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A3A30F">
                          <w:pPr>
                            <w:pStyle w:val="10"/>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FA3A30F">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14:paraId="51BE83B4">
    <w:pPr>
      <w:pStyle w:val="1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A7465">
    <w:pPr>
      <w:pStyle w:val="10"/>
      <w:jc w:val="center"/>
    </w:pPr>
  </w:p>
  <w:p w14:paraId="2C8282D3">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22F2E1">
                          <w:pPr>
                            <w:pStyle w:val="10"/>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122F2E1">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14:paraId="516D776B">
    <w:pPr>
      <w:pStyle w:val="1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1DB45">
    <w:pPr>
      <w:pStyle w:val="10"/>
      <w:jc w:val="both"/>
      <w:rPr>
        <w:rFonts w:hint="default"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1DAFCC">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51DAFCC">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244DE">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515FF2"/>
    <w:multiLevelType w:val="singleLevel"/>
    <w:tmpl w:val="33515FF2"/>
    <w:lvl w:ilvl="0" w:tentative="0">
      <w:start w:val="1"/>
      <w:numFmt w:val="chineseCounting"/>
      <w:suff w:val="nothing"/>
      <w:lvlText w:val="%1、"/>
      <w:lvlJc w:val="left"/>
      <w:rPr>
        <w:rFonts w:hint="eastAsia"/>
      </w:rPr>
    </w:lvl>
  </w:abstractNum>
  <w:abstractNum w:abstractNumId="1">
    <w:nsid w:val="35227284"/>
    <w:multiLevelType w:val="singleLevel"/>
    <w:tmpl w:val="35227284"/>
    <w:lvl w:ilvl="0" w:tentative="0">
      <w:start w:val="3"/>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657AA"/>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07004"/>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3795B"/>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22A3"/>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02FE1"/>
    <w:rsid w:val="00D114F0"/>
    <w:rsid w:val="00D20620"/>
    <w:rsid w:val="00D254F7"/>
    <w:rsid w:val="00D26091"/>
    <w:rsid w:val="00D2685C"/>
    <w:rsid w:val="00D34E7C"/>
    <w:rsid w:val="00D35489"/>
    <w:rsid w:val="00D36AFE"/>
    <w:rsid w:val="00D51276"/>
    <w:rsid w:val="00D5444D"/>
    <w:rsid w:val="00D7035F"/>
    <w:rsid w:val="00DA634F"/>
    <w:rsid w:val="00DA65AC"/>
    <w:rsid w:val="00DB1913"/>
    <w:rsid w:val="00DC2C99"/>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1846"/>
    <w:rsid w:val="00F45853"/>
    <w:rsid w:val="00F602DF"/>
    <w:rsid w:val="00F754A1"/>
    <w:rsid w:val="00F81FD9"/>
    <w:rsid w:val="00F841AA"/>
    <w:rsid w:val="00F84A94"/>
    <w:rsid w:val="00F87E96"/>
    <w:rsid w:val="00FA23E8"/>
    <w:rsid w:val="00FD3CC1"/>
    <w:rsid w:val="00FF1E02"/>
    <w:rsid w:val="00FF30B4"/>
    <w:rsid w:val="012A5EC2"/>
    <w:rsid w:val="015975B8"/>
    <w:rsid w:val="026C7CAB"/>
    <w:rsid w:val="02FEBE30"/>
    <w:rsid w:val="04486354"/>
    <w:rsid w:val="04916F1E"/>
    <w:rsid w:val="061E35DE"/>
    <w:rsid w:val="066E0107"/>
    <w:rsid w:val="073C7E19"/>
    <w:rsid w:val="077F1328"/>
    <w:rsid w:val="07996F6E"/>
    <w:rsid w:val="07A33756"/>
    <w:rsid w:val="07DFD8BA"/>
    <w:rsid w:val="09867E8F"/>
    <w:rsid w:val="0A2032A3"/>
    <w:rsid w:val="0A410AF1"/>
    <w:rsid w:val="0CA8290A"/>
    <w:rsid w:val="0CB02BEB"/>
    <w:rsid w:val="0D16137A"/>
    <w:rsid w:val="0D35B1ED"/>
    <w:rsid w:val="0E254B6B"/>
    <w:rsid w:val="0F98263C"/>
    <w:rsid w:val="101860EC"/>
    <w:rsid w:val="101F47CC"/>
    <w:rsid w:val="10C055FF"/>
    <w:rsid w:val="11694EBD"/>
    <w:rsid w:val="11772AA4"/>
    <w:rsid w:val="118107EC"/>
    <w:rsid w:val="12E24EE2"/>
    <w:rsid w:val="13D50BC4"/>
    <w:rsid w:val="14B17F78"/>
    <w:rsid w:val="15267261"/>
    <w:rsid w:val="165E0673"/>
    <w:rsid w:val="16B831D5"/>
    <w:rsid w:val="16BB723D"/>
    <w:rsid w:val="16BD3B7A"/>
    <w:rsid w:val="17E50567"/>
    <w:rsid w:val="186504BB"/>
    <w:rsid w:val="1887613B"/>
    <w:rsid w:val="19A445FC"/>
    <w:rsid w:val="19CD710A"/>
    <w:rsid w:val="19EC48E7"/>
    <w:rsid w:val="1BE8440E"/>
    <w:rsid w:val="1CC6347C"/>
    <w:rsid w:val="1D155CEE"/>
    <w:rsid w:val="1D1638FE"/>
    <w:rsid w:val="1D526E45"/>
    <w:rsid w:val="1E312DEB"/>
    <w:rsid w:val="1E740ACF"/>
    <w:rsid w:val="1E851F92"/>
    <w:rsid w:val="1EF06916"/>
    <w:rsid w:val="1FF35744"/>
    <w:rsid w:val="1FF6BC77"/>
    <w:rsid w:val="213C51D4"/>
    <w:rsid w:val="2186353C"/>
    <w:rsid w:val="22E16E76"/>
    <w:rsid w:val="23384D2F"/>
    <w:rsid w:val="23860B96"/>
    <w:rsid w:val="240371BF"/>
    <w:rsid w:val="244F3473"/>
    <w:rsid w:val="24AE0D3C"/>
    <w:rsid w:val="24C97D99"/>
    <w:rsid w:val="25A718F0"/>
    <w:rsid w:val="25AC730F"/>
    <w:rsid w:val="25BB59F6"/>
    <w:rsid w:val="260F557C"/>
    <w:rsid w:val="26970054"/>
    <w:rsid w:val="281408E2"/>
    <w:rsid w:val="299420AD"/>
    <w:rsid w:val="29D21A40"/>
    <w:rsid w:val="29FD04D3"/>
    <w:rsid w:val="2A7D2DB9"/>
    <w:rsid w:val="2ACD6F90"/>
    <w:rsid w:val="2BFF7BC6"/>
    <w:rsid w:val="2C8A61B5"/>
    <w:rsid w:val="2DF04E50"/>
    <w:rsid w:val="2E586DFA"/>
    <w:rsid w:val="2F040D46"/>
    <w:rsid w:val="2F6B035B"/>
    <w:rsid w:val="2FAE5751"/>
    <w:rsid w:val="2FB1A395"/>
    <w:rsid w:val="2FD9A7D8"/>
    <w:rsid w:val="2FDBF714"/>
    <w:rsid w:val="30AB6865"/>
    <w:rsid w:val="30E1618E"/>
    <w:rsid w:val="3169239F"/>
    <w:rsid w:val="319F7F4E"/>
    <w:rsid w:val="32BD1EF1"/>
    <w:rsid w:val="3304709D"/>
    <w:rsid w:val="33A773CB"/>
    <w:rsid w:val="34831B82"/>
    <w:rsid w:val="349D6851"/>
    <w:rsid w:val="35E6413B"/>
    <w:rsid w:val="367774C5"/>
    <w:rsid w:val="36AA5135"/>
    <w:rsid w:val="36BE0DA7"/>
    <w:rsid w:val="36D668E1"/>
    <w:rsid w:val="376B6AA6"/>
    <w:rsid w:val="376D39B2"/>
    <w:rsid w:val="37E16F03"/>
    <w:rsid w:val="37F53A3B"/>
    <w:rsid w:val="389B6C89"/>
    <w:rsid w:val="38CD069D"/>
    <w:rsid w:val="38D469F0"/>
    <w:rsid w:val="39627CCD"/>
    <w:rsid w:val="397BAF1F"/>
    <w:rsid w:val="39A2608B"/>
    <w:rsid w:val="39AE0778"/>
    <w:rsid w:val="3AB79AF3"/>
    <w:rsid w:val="3AE834C0"/>
    <w:rsid w:val="3B7EF35A"/>
    <w:rsid w:val="3B9FDB6C"/>
    <w:rsid w:val="3BF5BC2F"/>
    <w:rsid w:val="3C3F2BFE"/>
    <w:rsid w:val="3CEBA265"/>
    <w:rsid w:val="3D18467D"/>
    <w:rsid w:val="3D98207C"/>
    <w:rsid w:val="3DEE7CF3"/>
    <w:rsid w:val="3E740A63"/>
    <w:rsid w:val="3E78745D"/>
    <w:rsid w:val="3EE17838"/>
    <w:rsid w:val="3F55381A"/>
    <w:rsid w:val="3F7F7599"/>
    <w:rsid w:val="3FF4CAE0"/>
    <w:rsid w:val="3FF7B227"/>
    <w:rsid w:val="423D6402"/>
    <w:rsid w:val="43602C8F"/>
    <w:rsid w:val="44E268DA"/>
    <w:rsid w:val="450D13D7"/>
    <w:rsid w:val="45506656"/>
    <w:rsid w:val="46E10058"/>
    <w:rsid w:val="486A6C7A"/>
    <w:rsid w:val="4A627F82"/>
    <w:rsid w:val="4B0E749A"/>
    <w:rsid w:val="4B2477C4"/>
    <w:rsid w:val="4B4F25DA"/>
    <w:rsid w:val="4B846D55"/>
    <w:rsid w:val="4B985ABC"/>
    <w:rsid w:val="4BE068DB"/>
    <w:rsid w:val="4CAC7BC8"/>
    <w:rsid w:val="4D577224"/>
    <w:rsid w:val="4D9C3A84"/>
    <w:rsid w:val="4DBF1CEB"/>
    <w:rsid w:val="4DCC45CE"/>
    <w:rsid w:val="4DF0007C"/>
    <w:rsid w:val="4EAB630A"/>
    <w:rsid w:val="4ECE2238"/>
    <w:rsid w:val="4F833267"/>
    <w:rsid w:val="4FE9BD67"/>
    <w:rsid w:val="4FFB052F"/>
    <w:rsid w:val="51903DCF"/>
    <w:rsid w:val="537E6D0A"/>
    <w:rsid w:val="53F74C96"/>
    <w:rsid w:val="55170BA8"/>
    <w:rsid w:val="553218C9"/>
    <w:rsid w:val="558275C0"/>
    <w:rsid w:val="567E1AA5"/>
    <w:rsid w:val="56E47B74"/>
    <w:rsid w:val="57175D52"/>
    <w:rsid w:val="57BD3DD4"/>
    <w:rsid w:val="5AF92295"/>
    <w:rsid w:val="5B250254"/>
    <w:rsid w:val="5B344779"/>
    <w:rsid w:val="5BDD79E6"/>
    <w:rsid w:val="5BF561CA"/>
    <w:rsid w:val="5BFF5DFC"/>
    <w:rsid w:val="5CD71FC4"/>
    <w:rsid w:val="5D0D5760"/>
    <w:rsid w:val="5D1F11B5"/>
    <w:rsid w:val="5D695134"/>
    <w:rsid w:val="5DAE1B18"/>
    <w:rsid w:val="5DE7D9E5"/>
    <w:rsid w:val="5E5B2FBB"/>
    <w:rsid w:val="5ECEC941"/>
    <w:rsid w:val="5FBF9FF3"/>
    <w:rsid w:val="5FCD4E2C"/>
    <w:rsid w:val="5FEF394A"/>
    <w:rsid w:val="5FF67715"/>
    <w:rsid w:val="6014175D"/>
    <w:rsid w:val="62BF3928"/>
    <w:rsid w:val="633B688A"/>
    <w:rsid w:val="63B3701E"/>
    <w:rsid w:val="647F5392"/>
    <w:rsid w:val="65E66580"/>
    <w:rsid w:val="664B1D71"/>
    <w:rsid w:val="664B4E8E"/>
    <w:rsid w:val="666253EE"/>
    <w:rsid w:val="67277B67"/>
    <w:rsid w:val="67AA3209"/>
    <w:rsid w:val="68613A30"/>
    <w:rsid w:val="698D0931"/>
    <w:rsid w:val="6A72463D"/>
    <w:rsid w:val="6A7FE5F3"/>
    <w:rsid w:val="6B0371AC"/>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1E60A7F"/>
    <w:rsid w:val="72233669"/>
    <w:rsid w:val="72734D90"/>
    <w:rsid w:val="73160E6D"/>
    <w:rsid w:val="7332FE48"/>
    <w:rsid w:val="73AB61DA"/>
    <w:rsid w:val="73AD73D5"/>
    <w:rsid w:val="73B6EB34"/>
    <w:rsid w:val="73E159A2"/>
    <w:rsid w:val="73FA497D"/>
    <w:rsid w:val="744731E5"/>
    <w:rsid w:val="74BBD01D"/>
    <w:rsid w:val="74ED5379"/>
    <w:rsid w:val="75D2027E"/>
    <w:rsid w:val="75DEEEC2"/>
    <w:rsid w:val="75E32345"/>
    <w:rsid w:val="76DC42E6"/>
    <w:rsid w:val="76E3355F"/>
    <w:rsid w:val="76FF5125"/>
    <w:rsid w:val="776F6FFA"/>
    <w:rsid w:val="778769C8"/>
    <w:rsid w:val="77A75DCA"/>
    <w:rsid w:val="77DC22F5"/>
    <w:rsid w:val="783E271A"/>
    <w:rsid w:val="785901FD"/>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6"/>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qFormat/>
    <w:uiPriority w:val="0"/>
    <w:pPr>
      <w:spacing w:after="120"/>
      <w:ind w:left="200" w:leftChars="200"/>
    </w:pPr>
    <w:rPr>
      <w:rFonts w:ascii="仿宋_GB2312"/>
      <w:szCs w:val="32"/>
    </w:rPr>
  </w:style>
  <w:style w:type="paragraph" w:styleId="7">
    <w:name w:val="Body Text"/>
    <w:basedOn w:val="1"/>
    <w:next w:val="1"/>
    <w:link w:val="25"/>
    <w:qFormat/>
    <w:uiPriority w:val="99"/>
    <w:pPr>
      <w:spacing w:beforeLines="30"/>
    </w:pPr>
    <w:rPr>
      <w:rFonts w:ascii="仿宋_GB2312" w:eastAsia="仿宋_GB2312"/>
      <w:kern w:val="0"/>
      <w:sz w:val="30"/>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2"/>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字符"/>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字符"/>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字符"/>
    <w:link w:val="7"/>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字符"/>
    <w:basedOn w:val="16"/>
    <w:link w:val="4"/>
    <w:qFormat/>
    <w:uiPriority w:val="9"/>
    <w:rPr>
      <w:rFonts w:ascii="Times New Roman" w:hAnsi="Times New Roman"/>
      <w:b/>
      <w:bCs/>
      <w:kern w:val="44"/>
      <w:sz w:val="44"/>
      <w:szCs w:val="44"/>
    </w:rPr>
  </w:style>
  <w:style w:type="character" w:customStyle="1" w:styleId="29">
    <w:name w:val="标题 2 字符"/>
    <w:basedOn w:val="16"/>
    <w:link w:val="5"/>
    <w:qFormat/>
    <w:uiPriority w:val="9"/>
    <w:rPr>
      <w:rFonts w:asciiTheme="majorHAnsi" w:hAnsiTheme="majorHAnsi" w:eastAsiaTheme="majorEastAsia" w:cstheme="majorBidi"/>
      <w:b/>
      <w:bCs/>
      <w:kern w:val="2"/>
      <w:sz w:val="32"/>
      <w:szCs w:val="32"/>
    </w:rPr>
  </w:style>
  <w:style w:type="paragraph" w:customStyle="1" w:styleId="30">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字符"/>
    <w:basedOn w:val="16"/>
    <w:link w:val="9"/>
    <w:semiHidden/>
    <w:qFormat/>
    <w:uiPriority w:val="99"/>
    <w:rPr>
      <w:rFonts w:ascii="Times New Roman" w:hAnsi="Times New Roman"/>
      <w:kern w:val="2"/>
      <w:sz w:val="18"/>
      <w:szCs w:val="18"/>
    </w:rPr>
  </w:style>
  <w:style w:type="character" w:customStyle="1" w:styleId="32">
    <w:name w:val="标题 3 字符"/>
    <w:basedOn w:val="16"/>
    <w:link w:val="6"/>
    <w:qFormat/>
    <w:uiPriority w:val="9"/>
    <w:rPr>
      <w:rFonts w:ascii="Times New Roman" w:hAnsi="Times New Roman"/>
      <w:b/>
      <w:bCs/>
      <w:kern w:val="2"/>
      <w:sz w:val="32"/>
      <w:szCs w:val="32"/>
    </w:rPr>
  </w:style>
  <w:style w:type="paragraph" w:customStyle="1" w:styleId="33">
    <w:name w:val="TOC 标题2"/>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paragraph" w:customStyle="1" w:styleId="35">
    <w:name w:val="Table Paragraph"/>
    <w:basedOn w:val="1"/>
    <w:qFormat/>
    <w:uiPriority w:val="1"/>
    <w:pPr>
      <w:jc w:val="center"/>
    </w:pPr>
    <w:rPr>
      <w:rFonts w:ascii="宋体" w:hAnsi="宋体" w:eastAsia="宋体" w:cs="宋体"/>
    </w:rPr>
  </w:style>
  <w:style w:type="character" w:customStyle="1" w:styleId="36">
    <w:name w:val="标题 1 Char"/>
    <w:basedOn w:val="16"/>
    <w:link w:val="4"/>
    <w:qFormat/>
    <w:uiPriority w:val="9"/>
    <w:rPr>
      <w:b/>
      <w:bCs/>
      <w:kern w:val="44"/>
      <w:sz w:val="44"/>
      <w:szCs w:val="44"/>
    </w:rPr>
  </w:style>
  <w:style w:type="paragraph" w:customStyle="1" w:styleId="37">
    <w:name w:val="普通(网站) Char"/>
    <w:basedOn w:val="1"/>
    <w:qFormat/>
    <w:uiPriority w:val="0"/>
    <w:pPr>
      <w:spacing w:before="100" w:beforeAutospacing="1" w:after="100" w:afterAutospacing="1"/>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emf"/><Relationship Id="rId18" Type="http://schemas.openxmlformats.org/officeDocument/2006/relationships/oleObject" Target="embeddings/oleObject1.bin"/><Relationship Id="rId17" Type="http://schemas.openxmlformats.org/officeDocument/2006/relationships/chart" Target="charts/chart6.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2025</c:v>
                </c:pt>
                <c:pt idx="1">
                  <c:v>2024</c:v>
                </c:pt>
              </c:numCache>
            </c:numRef>
          </c:cat>
          <c:val>
            <c:numRef>
              <c:f>Sheet1!$B$2:$B$3</c:f>
              <c:numCache>
                <c:formatCode>General</c:formatCode>
                <c:ptCount val="2"/>
                <c:pt idx="0">
                  <c:v>776.34</c:v>
                </c:pt>
                <c:pt idx="1" c:formatCode="#,##0.00">
                  <c:v>772.12</c:v>
                </c:pt>
              </c:numCache>
            </c:numRef>
          </c:val>
        </c:ser>
        <c:ser>
          <c:idx val="1"/>
          <c:order val="1"/>
          <c:tx>
            <c:strRef>
              <c:f>Sheet1!$C$1</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2025</c:v>
                </c:pt>
                <c:pt idx="1">
                  <c:v>2024</c:v>
                </c:pt>
              </c:numCache>
            </c:numRef>
          </c:cat>
          <c:val>
            <c:numRef>
              <c:f>Sheet1!$C$2:$C$3</c:f>
              <c:numCache>
                <c:formatCode>General</c:formatCode>
                <c:ptCount val="2"/>
                <c:pt idx="0">
                  <c:v>776.34</c:v>
                </c:pt>
                <c:pt idx="1" c:formatCode="#,##0.00">
                  <c:v>772.12</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numRef>
              <c:f>Sheet1!$A$2:$A$3</c:f>
              <c:numCache>
                <c:formatCode>General</c:formatCode>
                <c:ptCount val="2"/>
                <c:pt idx="0">
                  <c:v>2025</c:v>
                </c:pt>
                <c:pt idx="1">
                  <c:v>2024</c:v>
                </c:pt>
              </c:numCache>
            </c:num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55527820"/>
        <c:axId val="56941169"/>
      </c:barChart>
      <c:catAx>
        <c:axId val="5552782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941169"/>
        <c:crosses val="autoZero"/>
        <c:auto val="1"/>
        <c:lblAlgn val="ctr"/>
        <c:lblOffset val="100"/>
        <c:noMultiLvlLbl val="0"/>
      </c:catAx>
      <c:valAx>
        <c:axId val="5694116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527820"/>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14f9926-bc76-4420-99a8-cebaa8dd291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列1</c:v>
                </c:pt>
              </c:strCache>
            </c:strRef>
          </c:tx>
          <c:spPr/>
          <c:explosion val="0"/>
          <c:dPt>
            <c:idx val="0"/>
            <c:bubble3D val="0"/>
            <c:spPr>
              <a:solidFill>
                <a:schemeClr val="accent1"/>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一般公共预算财政拨款收入</c:v>
                </c:pt>
              </c:strCache>
            </c:strRef>
          </c:cat>
          <c:val>
            <c:numRef>
              <c:f>Sheet1!$B$2</c:f>
              <c:numCache>
                <c:formatCode>General</c:formatCode>
                <c:ptCount val="1"/>
                <c:pt idx="0">
                  <c:v>776.34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manualLayout>
          <c:xMode val="edge"/>
          <c:yMode val="edge"/>
          <c:x val="0.350365431465573"/>
          <c:y val="0.10889973713856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8ddddb1-6f7d-4d47-be5f-f0728e573de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支出结构决算图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manualLayout>
                  <c:x val="-0.0734771627610553"/>
                  <c:y val="-0.00773191308402392"/>
                </c:manualLayout>
              </c:layout>
              <c:dLblPos val="bestFit"/>
              <c:showLegendKey val="0"/>
              <c:showVal val="0"/>
              <c:showCatName val="0"/>
              <c:showSerName val="0"/>
              <c:showPercent val="1"/>
              <c:showBubbleSize val="0"/>
              <c:separator>;</c:separator>
              <c:extLst>
                <c:ext xmlns:c15="http://schemas.microsoft.com/office/drawing/2012/chart" uri="{CE6537A1-D6FC-4f65-9D91-7224C49458BB}">
                  <c15:layout>
                    <c:manualLayout>
                      <c:w val="0.116710508099128"/>
                      <c:h val="0.0788891124974844"/>
                    </c:manualLayout>
                  </c15:layout>
                </c:ext>
              </c:extLst>
            </c:dLbl>
            <c:dLbl>
              <c:idx val="1"/>
              <c:layout/>
              <c:dLblPos val="bestFit"/>
              <c:showLegendKey val="0"/>
              <c:showVal val="0"/>
              <c:showCatName val="0"/>
              <c:showSerName val="0"/>
              <c:showPercent val="1"/>
              <c:showBubbleSize val="0"/>
              <c:separator>;</c:separator>
              <c:extLst>
                <c:ext xmlns:c15="http://schemas.microsoft.com/office/drawing/2012/chart" uri="{CE6537A1-D6FC-4f65-9D91-7224C49458BB}">
                  <c15:layout>
                    <c:manualLayout>
                      <c:w val="0.111311089574969"/>
                      <c:h val="0.070839203058965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eparator>;</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776.34</c:v>
                </c:pt>
                <c:pt idx="1" c:formatCode="#,##0.00">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7fe1263-3ac1-4655-8b0d-db8b7c4af89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2025</c:v>
                </c:pt>
                <c:pt idx="1">
                  <c:v>2024</c:v>
                </c:pt>
              </c:numCache>
            </c:numRef>
          </c:cat>
          <c:val>
            <c:numRef>
              <c:f>Sheet1!$B$2:$B$3</c:f>
              <c:numCache>
                <c:formatCode>General</c:formatCode>
                <c:ptCount val="2"/>
                <c:pt idx="0">
                  <c:v>776.34</c:v>
                </c:pt>
                <c:pt idx="1" c:formatCode="#,##0.00">
                  <c:v>772.12</c:v>
                </c:pt>
              </c:numCache>
            </c:numRef>
          </c:val>
        </c:ser>
        <c:ser>
          <c:idx val="1"/>
          <c:order val="1"/>
          <c:tx>
            <c:strRef>
              <c:f>Sheet1!$C$1</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2025</c:v>
                </c:pt>
                <c:pt idx="1">
                  <c:v>2024</c:v>
                </c:pt>
              </c:numCache>
            </c:numRef>
          </c:cat>
          <c:val>
            <c:numRef>
              <c:f>Sheet1!$C$2:$C$3</c:f>
              <c:numCache>
                <c:formatCode>General</c:formatCode>
                <c:ptCount val="2"/>
                <c:pt idx="0">
                  <c:v>776.34</c:v>
                </c:pt>
                <c:pt idx="1" c:formatCode="#,##0.00">
                  <c:v>772.12</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numRef>
              <c:f>Sheet1!$A$2:$A$3</c:f>
              <c:numCache>
                <c:formatCode>General</c:formatCode>
                <c:ptCount val="2"/>
                <c:pt idx="0">
                  <c:v>2025</c:v>
                </c:pt>
                <c:pt idx="1">
                  <c:v>2024</c:v>
                </c:pt>
              </c:numCache>
            </c:num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55527820"/>
        <c:axId val="56941169"/>
      </c:barChart>
      <c:catAx>
        <c:axId val="5552782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941169"/>
        <c:crosses val="autoZero"/>
        <c:auto val="1"/>
        <c:lblAlgn val="ctr"/>
        <c:lblOffset val="100"/>
        <c:noMultiLvlLbl val="0"/>
      </c:catAx>
      <c:valAx>
        <c:axId val="5694116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527820"/>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14f9926-bc76-4420-99a8-cebaa8dd291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00100300902708"/>
          <c:y val="0.0509987250318742"/>
          <c:w val="0.908359507127325"/>
          <c:h val="0.754228644283893"/>
        </c:manualLayout>
      </c:layout>
      <c:barChart>
        <c:barDir val="col"/>
        <c:grouping val="clustered"/>
        <c:varyColors val="0"/>
        <c:ser>
          <c:idx val="0"/>
          <c:order val="0"/>
          <c:tx>
            <c:strRef>
              <c:f>Sheet1!#REF!</c:f>
              <c:strCache>
                <c:ptCount val="1"/>
                <c:pt idx="0">
                  <c:v/>
                </c:pt>
              </c:strCache>
            </c:strRef>
          </c:tx>
          <c:spPr>
            <a:solidFill>
              <a:schemeClr val="accent1"/>
            </a:solidFill>
            <a:ln>
              <a:noFill/>
            </a:ln>
            <a:effectLst/>
          </c:spPr>
          <c:invertIfNegative val="0"/>
          <c:dLbls>
            <c:delete val="1"/>
          </c:dLbls>
          <c:cat>
            <c:numRef>
              <c:f>Sheet1!$A$2:$A$3</c:f>
              <c:numCache>
                <c:formatCode>General</c:formatCode>
                <c:ptCount val="2"/>
                <c:pt idx="0">
                  <c:v>2024</c:v>
                </c:pt>
                <c:pt idx="1">
                  <c:v>2025</c:v>
                </c:pt>
              </c:numCache>
            </c:numRef>
          </c:cat>
          <c:val>
            <c:numRef>
              <c:f>Sheet1!#REF!</c:f>
              <c:numCache>
                <c:formatCode>General</c:formatCode>
                <c:ptCount val="1"/>
                <c:pt idx="0">
                  <c:v>1</c:v>
                </c:pt>
              </c:numCache>
            </c:numRef>
          </c:val>
        </c:ser>
        <c:ser>
          <c:idx val="1"/>
          <c:order val="1"/>
          <c:tx>
            <c:strRef>
              <c:f>Sheet1!$B$1</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Sheet1!$B$2:$B$3</c:f>
              <c:numCache>
                <c:formatCode>#,##0.00</c:formatCode>
                <c:ptCount val="2"/>
                <c:pt idx="0">
                  <c:v>772.12</c:v>
                </c:pt>
                <c:pt idx="1" c:formatCode="General">
                  <c:v>776.34</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numRef>
              <c:f>Sheet1!$A$2:$A$3</c:f>
              <c:numCache>
                <c:formatCode>General</c:formatCode>
                <c:ptCount val="2"/>
                <c:pt idx="0">
                  <c:v>2024</c:v>
                </c:pt>
                <c:pt idx="1">
                  <c:v>2025</c:v>
                </c:pt>
              </c:numCache>
            </c:num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505462159"/>
        <c:axId val="336000619"/>
      </c:barChart>
      <c:catAx>
        <c:axId val="50546215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6000619"/>
        <c:crosses val="autoZero"/>
        <c:auto val="1"/>
        <c:lblAlgn val="ctr"/>
        <c:lblOffset val="100"/>
        <c:noMultiLvlLbl val="0"/>
      </c:catAx>
      <c:valAx>
        <c:axId val="33600061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5462159"/>
        <c:crosses val="autoZero"/>
        <c:crossBetween val="between"/>
      </c:valAx>
      <c:spPr>
        <a:noFill/>
        <a:ln>
          <a:noFill/>
        </a:ln>
        <a:effectLst/>
      </c:spPr>
    </c:plotArea>
    <c:legend>
      <c:legendPos val="b"/>
      <c:legendEntry>
        <c:idx val="0"/>
        <c:delete val="1"/>
      </c:legendEntry>
      <c:legendEntry>
        <c:idx val="2"/>
        <c:delete val="1"/>
      </c:legendEntry>
      <c:layout>
        <c:manualLayout>
          <c:xMode val="edge"/>
          <c:yMode val="edge"/>
          <c:x val="0.465780707670245"/>
          <c:y val="0.88031054629661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77142f5-d6b4-4e36-b32e-f04492c46f4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社会保障和就业支出</c:v>
                </c:pt>
                <c:pt idx="1">
                  <c:v>卫生健康支出</c:v>
                </c:pt>
                <c:pt idx="2">
                  <c:v>住房保障支出</c:v>
                </c:pt>
                <c:pt idx="3">
                  <c:v>一般公共服务支出</c:v>
                </c:pt>
              </c:strCache>
            </c:strRef>
          </c:cat>
          <c:val>
            <c:numRef>
              <c:f>Sheet1!$B$2:$B$5</c:f>
              <c:numCache>
                <c:formatCode>General</c:formatCode>
                <c:ptCount val="4"/>
                <c:pt idx="0">
                  <c:v>101.67</c:v>
                </c:pt>
                <c:pt idx="1">
                  <c:v>37.75</c:v>
                </c:pt>
                <c:pt idx="2">
                  <c:v>61.46</c:v>
                </c:pt>
                <c:pt idx="3">
                  <c:v>575.46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44fff99-a843-4755-97d0-58ea0896bde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363a2730-21f6-49fb-ba4d-1508c4597035</errorID>
      <errorWord>法制</errorWord>
      <group>L1_Word</group>
      <groupName>字词问题</groupName>
      <ability>L2_Typo</ability>
      <abilityName>字词错误</abilityName>
      <candidateList>
        <item>法治</item>
      </candidateList>
      <explain>存在发音相同字词的误用。</explain>
      <paraID>71071E2E</paraID>
      <start>9</start>
      <end>11</end>
      <status>modified</status>
      <modifiedWord>法治</modifiedWord>
      <trackRevisions>false</trackRevisions>
    </reviewItem>
    <reviewItem>
      <errorID>c755dc86-bb3a-48a6-9a81-a2d6174585bf</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1389E88E</paraID>
      <start>5</start>
      <end>11</end>
      <status>modified</status>
      <modifiedWord>县委、县政府</modifiedWord>
      <trackRevisions>false</trackRevisions>
    </reviewItem>
    <reviewItem>
      <errorID>df004aee-e138-43a3-9f47-fdad99ba37e2</errorID>
      <errorWord>本套</errorWord>
      <group>L1_Knowledge</group>
      <groupName>知识性问题</groupName>
      <ability>L2_Knowledge</ability>
      <abilityName>其他知识</abilityName>
      <candidateList>
        <item>本级</item>
      </candidateList>
      <explain/>
      <paraID>135505FE</paraID>
      <start>8</start>
      <end>10</end>
      <status>modified</status>
      <modifiedWord>本级</modifiedWord>
      <trackRevisions>false</trackRevisions>
    </reviewItem>
    <reviewItem>
      <errorID>3d4ee07a-3ac2-4d5a-b478-102c866e3438</errorID>
      <errorWord>:</errorWord>
      <group>L1_Format</group>
      <groupName>格式问题</groupName>
      <ability>L2_HalfPunc_CN</ability>
      <abilityName>全半角问题</abilityName>
      <candidateList>
        <item>：</item>
      </candidateList>
      <explain>文本全半角错误。</explain>
      <paraID>3E55D659</paraID>
      <start>44</start>
      <end>45</end>
      <status>modified</status>
      <modifiedWord>：</modifiedWord>
      <trackRevisions>false</trackRevisions>
    </reviewItem>
    <reviewItem>
      <errorID>bb39a4c4-0f3c-4e5e-9551-b50744c9c83d</errorID>
      <errorWord>:</errorWord>
      <group>L1_Format</group>
      <groupName>格式问题</groupName>
      <ability>L2_HalfPunc_CN</ability>
      <abilityName>全半角问题</abilityName>
      <candidateList>
        <item>：</item>
      </candidateList>
      <explain>文本全半角错误。</explain>
      <paraID>6B156EF8</paraID>
      <start>42</start>
      <end>43</end>
      <status>modified</status>
      <modifiedWord>：</modifiedWord>
      <trackRevisions>false</trackRevisions>
    </reviewItem>
    <reviewItem>
      <errorID>14f275b4-0116-42a8-9819-641bb746a5b1</errorID>
      <errorWord>:</errorWord>
      <group>L1_Format</group>
      <groupName>格式问题</groupName>
      <ability>L2_HalfPunc_CN</ability>
      <abilityName>全半角问题</abilityName>
      <candidateList>
        <item>：</item>
      </candidateList>
      <explain>文本全半角错误。</explain>
      <paraID>2C19D7F0</paraID>
      <start>35</start>
      <end>36</end>
      <status>modified</status>
      <modifiedWord>：</modifiedWord>
      <trackRevisions>false</trackRevisions>
    </reviewItem>
    <reviewItem>
      <errorID>8b82225c-a753-4d3f-93ab-8047999b29a6</errorID>
      <errorWord>:</errorWord>
      <group>L1_Format</group>
      <groupName>格式问题</groupName>
      <ability>L2_HalfPunc_CN</ability>
      <abilityName>全半角问题</abilityName>
      <candidateList>
        <item>：</item>
      </candidateList>
      <explain>文本全半角错误。</explain>
      <paraID>5463E298</paraID>
      <start>41</start>
      <end>42</end>
      <status>modified</status>
      <modifiedWord>：</modifiedWord>
      <trackRevisions>false</trackRevisions>
    </reviewItem>
    <reviewItem>
      <errorID>404e03b0-823b-4930-8fe5-a49bf8483e1f</errorID>
      <errorWord>:</errorWord>
      <group>L1_Format</group>
      <groupName>格式问题</groupName>
      <ability>L2_HalfPunc_CN</ability>
      <abilityName>全半角问题</abilityName>
      <candidateList>
        <item>：</item>
      </candidateList>
      <explain>文本全半角错误。</explain>
      <paraID>554F2525</paraID>
      <start>42</start>
      <end>43</end>
      <status>modified</status>
      <modifiedWord>：</modifiedWord>
      <trackRevisions>false</trackRevisions>
    </reviewItem>
    <reviewItem>
      <errorID>e94c2620-2eeb-4cc6-b6c1-632110158a57</errorID>
      <errorWord>:</errorWord>
      <group>L1_Format</group>
      <groupName>格式问题</groupName>
      <ability>L2_HalfPunc_CN</ability>
      <abilityName>全半角问题</abilityName>
      <candidateList>
        <item>：</item>
      </candidateList>
      <explain>文本全半角错误。</explain>
      <paraID>7F96F2B7</paraID>
      <start>28</start>
      <end>29</end>
      <status>modified</status>
      <modifiedWord>：</modifiedWord>
      <trackRevisions>false</trackRevisions>
    </reviewItem>
    <reviewItem>
      <errorID>57b33fdf-8144-4bb6-b42e-39235cae2757</errorID>
      <errorWord>.</errorWord>
      <group>L1_Format</group>
      <groupName>格式问题</groupName>
      <ability>L2_HalfPunc_CN</ability>
      <abilityName>全半角问题</abilityName>
      <candidateList>
        <item>。</item>
      </candidateList>
      <explain>文本全半角错误。</explain>
      <paraID>2A9E127C</paraID>
      <start>58</start>
      <end>59</end>
      <status>modified</status>
      <modifiedWord>。</modifiedWord>
      <trackRevisions>false</trackRevisions>
    </reviewItem>
    <reviewItem>
      <errorID>75c548ea-3ac2-4d0b-ab7e-a6f754d53504</errorID>
      <errorWord>。。</errorWord>
      <group>L1_Punc</group>
      <groupName>标点问题</groupName>
      <ability>L2_Punc_CN</ability>
      <abilityName>标点符号问题</abilityName>
      <candidateList>
        <item>。</item>
      </candidateList>
      <explain/>
      <paraID>1ECD7BDF</paraID>
      <start>17</start>
      <end>18</end>
      <status>modified</status>
      <modifiedWord>。</modifiedWord>
      <trackRevisions>false</trackRevisions>
    </reviewItem>
    <reviewItem>
      <errorID>1697082b-f7b0-40bd-8aee-887984b0a643</errorID>
      <errorWord>，：</errorWord>
      <group>L1_Punc</group>
      <groupName>标点问题</groupName>
      <ability>L2_Punc_CN</ability>
      <abilityName>标点符号问题</abilityName>
      <candidateList>
        <item>，</item>
      </candidateList>
      <explain/>
      <paraID> 13F198C</paraID>
      <start>99</start>
      <end>100</end>
      <status>modified</status>
      <modifiedWord>，</modifiedWord>
      <trackRevisions>false</trackRevisions>
    </reviewItem>
    <reviewItem>
      <errorID>d0ba4c45-b138-4c0f-9a5f-8311a0ebbf75</errorID>
      <errorWord>公务出差等公务出差等</errorWord>
      <group>L1_Word</group>
      <groupName>字词问题</groupName>
      <ability>L2_Typo</ability>
      <abilityName>字词错误</abilityName>
      <candidateList>
        <item>公务出差等</item>
      </candidateList>
      <explain/>
      <paraID>67C08217</paraID>
      <start>49</start>
      <end>54</end>
      <status>modified</status>
      <modifiedWord>公务出差等</modifiedWord>
      <trackRevisions>false</trackRevisions>
    </reviewItem>
    <reviewItem>
      <errorID>1eaa32e1-90d2-40b6-b9ad-febbd91c6034</errorID>
      <errorWord>预绩效管理</errorWord>
      <group>L1_Political</group>
      <groupName>政治性问题</groupName>
      <ability>L2_Keyword</ability>
      <abilityName>固定表述</abilityName>
      <candidateList>
        <item>预算绩效管理</item>
      </candidateList>
      <explain>词汇“预算绩效管理”在特定场景下为固定表述形式，请确认此处的“预绩效管理”是否存在不当。</explain>
      <paraID>43666F02</paraID>
      <start>3</start>
      <end>9</end>
      <status>modified</status>
      <modifiedWord>预算绩效管理</modifiedWord>
      <trackRevisions>false</trackRevisions>
    </reviewItem>
    <reviewItem>
      <errorID>d1304cb9-9efe-48c7-954f-30cca522120c</errorID>
      <errorWord>:</errorWord>
      <group>L1_Format</group>
      <groupName>格式问题</groupName>
      <ability>L2_HalfPunc_CN</ability>
      <abilityName>全半角问题</abilityName>
      <candidateList>
        <item>：</item>
      </candidateList>
      <explain>文本全半角错误。</explain>
      <paraID>6308D8C6</paraID>
      <start>36</start>
      <end>37</end>
      <status>modified</status>
      <modifiedWord>：</modifiedWord>
      <trackRevisions>false</trackRevisions>
    </reviewItem>
    <reviewItem>
      <errorID>6dcfd179-89f3-4972-a09c-e84851dc9151</errorID>
      <errorWord>:</errorWord>
      <group>L1_Format</group>
      <groupName>格式问题</groupName>
      <ability>L2_HalfPunc_CN</ability>
      <abilityName>全半角问题</abilityName>
      <candidateList>
        <item>：</item>
      </candidateList>
      <explain>文本全半角错误。</explain>
      <paraID> 25EF587</paraID>
      <start>42</start>
      <end>43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985e4d-c182-4b1b-bbe9-383d9928a2cf}">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18</Pages>
  <Words>3914</Words>
  <Characters>4338</Characters>
  <Lines>60</Lines>
  <Paragraphs>17</Paragraphs>
  <TotalTime>1</TotalTime>
  <ScaleCrop>false</ScaleCrop>
  <LinksUpToDate>false</LinksUpToDate>
  <CharactersWithSpaces>4390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奕夕^_^</cp:lastModifiedBy>
  <cp:lastPrinted>2025-08-06T17:34:00Z</cp:lastPrinted>
  <dcterms:modified xsi:type="dcterms:W3CDTF">2026-10-15T08:05:27Z</dcterms:modified>
  <dc:title>四川省***</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C06D43E2E2134355B8170727482437A1_13</vt:lpwstr>
  </property>
  <property fmtid="{D5CDD505-2E9C-101B-9397-08002B2CF9AE}" pid="4" name="KSOTemplateDocerSaveRecord">
    <vt:lpwstr>eyJoZGlkIjoiNTU1MWNhN2ZmY2ZhZmY3ODhlYTg0MWU5OGMyY2QwZmUiLCJ1c2VySWQiOiI0MzQ2NTM0NzEifQ==</vt:lpwstr>
  </property>
</Properties>
</file>