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EA082">
      <w:pPr>
        <w:pStyle w:val="6"/>
        <w:rPr>
          <w:rFonts w:hint="eastAsia" w:ascii="黑体" w:hAnsi="黑体" w:eastAsia="黑体" w:cs="黑体"/>
          <w:color w:val="auto"/>
          <w:kern w:val="2"/>
          <w:sz w:val="32"/>
          <w:szCs w:val="32"/>
          <w:highlight w:val="none"/>
          <w:lang w:val="en-US" w:eastAsia="zh-CN" w:bidi="ar-SA"/>
        </w:rPr>
      </w:pPr>
      <w:bookmarkStart w:id="0" w:name="_Toc15396475"/>
      <w:bookmarkStart w:id="1" w:name="_Toc15377425"/>
      <w:bookmarkStart w:id="2" w:name="_Toc15396597"/>
      <w:bookmarkStart w:id="3" w:name="_Toc15378441"/>
      <w:bookmarkStart w:id="4" w:name="_Toc15377193"/>
      <w:bookmarkStart w:id="5" w:name="_Toc15306267"/>
      <w:bookmarkStart w:id="67" w:name="_GoBack"/>
      <w:bookmarkEnd w:id="67"/>
    </w:p>
    <w:p w14:paraId="412B7F81">
      <w:pPr>
        <w:pStyle w:val="6"/>
        <w:rPr>
          <w:rFonts w:hint="eastAsia" w:ascii="Times New Roman" w:hAnsi="Times New Roman" w:eastAsia="方正小标宋简体" w:cs="Times New Roman"/>
          <w:color w:val="auto"/>
          <w:kern w:val="2"/>
          <w:sz w:val="72"/>
          <w:szCs w:val="72"/>
          <w:highlight w:val="none"/>
          <w:lang w:val="en-US" w:eastAsia="zh-CN" w:bidi="ar-SA"/>
        </w:rPr>
      </w:pPr>
    </w:p>
    <w:p w14:paraId="779E8767">
      <w:pPr>
        <w:pStyle w:val="6"/>
        <w:rPr>
          <w:rFonts w:hint="eastAsia" w:ascii="Times New Roman" w:hAnsi="Times New Roman" w:eastAsia="方正小标宋简体" w:cs="Times New Roman"/>
          <w:color w:val="auto"/>
          <w:kern w:val="2"/>
          <w:sz w:val="72"/>
          <w:szCs w:val="72"/>
          <w:highlight w:val="none"/>
          <w:lang w:val="en-US" w:eastAsia="zh-CN" w:bidi="ar-SA"/>
        </w:rPr>
      </w:pPr>
    </w:p>
    <w:p w14:paraId="0938F856">
      <w:pPr>
        <w:pStyle w:val="6"/>
        <w:rPr>
          <w:rFonts w:hint="eastAsia" w:ascii="Times New Roman" w:hAnsi="Times New Roman" w:eastAsia="方正小标宋简体" w:cs="Times New Roman"/>
          <w:color w:val="auto"/>
          <w:kern w:val="2"/>
          <w:sz w:val="72"/>
          <w:szCs w:val="72"/>
          <w:highlight w:val="none"/>
          <w:lang w:val="en-US" w:eastAsia="zh-CN" w:bidi="ar-SA"/>
        </w:rPr>
      </w:pPr>
    </w:p>
    <w:p w14:paraId="68D0E6E4">
      <w:pPr>
        <w:pStyle w:val="6"/>
        <w:rPr>
          <w:rFonts w:hint="eastAsia" w:ascii="Times New Roman" w:hAnsi="Times New Roman" w:eastAsia="方正小标宋简体" w:cs="Times New Roman"/>
          <w:color w:val="auto"/>
          <w:kern w:val="2"/>
          <w:sz w:val="72"/>
          <w:szCs w:val="72"/>
          <w:highlight w:val="none"/>
          <w:lang w:val="en-US" w:eastAsia="zh-CN" w:bidi="ar-SA"/>
        </w:rPr>
      </w:pPr>
    </w:p>
    <w:p w14:paraId="439B81ED">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2025年度松潘县医疗保障局</w:t>
      </w:r>
      <w:r>
        <w:rPr>
          <w:rFonts w:hint="eastAsia" w:ascii="Times New Roman" w:hAnsi="Times New Roman" w:eastAsia="方正小标宋简体" w:cs="Times New Roman"/>
          <w:color w:val="auto"/>
          <w:kern w:val="2"/>
          <w:sz w:val="44"/>
          <w:szCs w:val="44"/>
          <w:highlight w:val="none"/>
          <w:lang w:val="en-US" w:eastAsia="zh-CN" w:bidi="ar-SA"/>
        </w:rPr>
        <w:t>部门决算</w:t>
      </w:r>
    </w:p>
    <w:p w14:paraId="1217E381">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公开</w:t>
      </w:r>
      <w:r>
        <w:rPr>
          <w:rFonts w:hint="eastAsia" w:ascii="Times New Roman" w:eastAsia="方正小标宋简体" w:cs="Times New Roman"/>
          <w:color w:val="auto"/>
          <w:kern w:val="2"/>
          <w:sz w:val="44"/>
          <w:szCs w:val="44"/>
          <w:highlight w:val="none"/>
          <w:lang w:val="en-US" w:eastAsia="zh-CN" w:bidi="ar-SA"/>
        </w:rPr>
        <w:t>）</w:t>
      </w:r>
    </w:p>
    <w:p w14:paraId="553B8FAC">
      <w:pPr>
        <w:spacing w:line="600" w:lineRule="exact"/>
        <w:jc w:val="center"/>
        <w:outlineLvl w:val="0"/>
        <w:rPr>
          <w:rFonts w:ascii="Times New Roman" w:hAnsi="Times New Roman" w:eastAsia="方正小标宋简体"/>
          <w:color w:val="auto"/>
          <w:sz w:val="72"/>
          <w:szCs w:val="72"/>
          <w:highlight w:val="none"/>
        </w:rPr>
      </w:pPr>
    </w:p>
    <w:p w14:paraId="44BE423E">
      <w:pPr>
        <w:pStyle w:val="21"/>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CE5B8FC">
      <w:pPr>
        <w:rPr>
          <w:rFonts w:ascii="Times New Roman" w:hAnsi="Times New Roman"/>
        </w:rPr>
      </w:pPr>
    </w:p>
    <w:p w14:paraId="573D8C2B">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6CA898A">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872D9DC">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349293E">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7CA5700">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78442"/>
      <w:bookmarkStart w:id="7" w:name="_Toc15396476"/>
      <w:bookmarkStart w:id="8" w:name="_Toc15377426"/>
      <w:bookmarkStart w:id="9" w:name="_Toc15396598"/>
      <w:bookmarkStart w:id="10" w:name="_Toc15377194"/>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松潘县医疗保障局</w:t>
      </w:r>
    </w:p>
    <w:p w14:paraId="74B93F00">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6474147E">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6B8FD38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6B1D8BF">
      <w:pPr>
        <w:widowControl/>
        <w:jc w:val="center"/>
        <w:rPr>
          <w:rFonts w:ascii="Times New Roman" w:hAnsi="Times New Roman" w:eastAsia="黑体" w:cstheme="minorBidi"/>
          <w:color w:val="auto"/>
          <w:sz w:val="28"/>
          <w:szCs w:val="28"/>
          <w:highlight w:val="none"/>
        </w:rPr>
      </w:pPr>
    </w:p>
    <w:p w14:paraId="06258DBA">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5A78EF47">
      <w:pPr>
        <w:rPr>
          <w:rFonts w:ascii="Times New Roman" w:hAnsi="Times New Roman"/>
          <w:color w:val="auto"/>
          <w:highlight w:val="none"/>
        </w:rPr>
      </w:pPr>
    </w:p>
    <w:p w14:paraId="30788F4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04116B6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8B4DA3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1986CF8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79D7C0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1A6213C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D42019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915505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7395D1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4A8F10C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29F6F7D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1D7481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4240A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145E0D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4726445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EDF34E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69059F9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124E878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36779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5DAF95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805F0D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16A2FD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12A224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80D5AD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F81264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68C4B8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7B807E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94B9F5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324757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8C4D10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0AF541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33C36E53">
      <w:pPr>
        <w:pStyle w:val="3"/>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14:paraId="3C739068">
      <w:pPr>
        <w:widowControl/>
        <w:jc w:val="left"/>
        <w:rPr>
          <w:rFonts w:ascii="Times New Roman" w:hAnsi="Times New Roman" w:eastAsia="黑体"/>
          <w:color w:val="auto"/>
          <w:sz w:val="32"/>
          <w:szCs w:val="32"/>
          <w:highlight w:val="none"/>
        </w:rPr>
      </w:pPr>
    </w:p>
    <w:p w14:paraId="35E44948">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305A1352">
      <w:pPr>
        <w:keepNext w:val="0"/>
        <w:keepLines w:val="0"/>
        <w:pageBreakBefore w:val="0"/>
        <w:widowControl w:val="0"/>
        <w:kinsoku/>
        <w:wordWrap/>
        <w:overflowPunct/>
        <w:topLinePunct w:val="0"/>
        <w:bidi w:val="0"/>
        <w:spacing w:afterAutospacing="0" w:line="578" w:lineRule="exact"/>
        <w:ind w:left="0" w:leftChars="0" w:right="0" w:firstLine="420" w:firstLineChars="200"/>
        <w:textAlignment w:val="auto"/>
        <w:rPr>
          <w:rFonts w:hint="eastAsia" w:ascii="仿宋_GB2312" w:hAnsi="仿宋_GB2312" w:eastAsia="仿宋_GB2312" w:cs="仿宋_GB2312"/>
          <w:color w:val="auto"/>
          <w:sz w:val="32"/>
          <w:szCs w:val="32"/>
        </w:rPr>
      </w:pPr>
      <w:r>
        <w:rPr>
          <w:rFonts w:hint="eastAsia"/>
          <w:lang w:val="en-US" w:eastAsia="zh-CN"/>
        </w:rPr>
        <w:t xml:space="preserve">  </w:t>
      </w:r>
      <w:r>
        <w:rPr>
          <w:rFonts w:hint="eastAsia" w:ascii="仿宋_GB2312" w:hAnsi="仿宋_GB2312" w:eastAsia="仿宋_GB2312" w:cs="仿宋_GB2312"/>
          <w:color w:val="auto"/>
          <w:sz w:val="32"/>
          <w:szCs w:val="32"/>
        </w:rPr>
        <w:t>（1）负责贯彻落实国家、省、市州政府有关医疗保险的方针、政策；</w:t>
      </w:r>
    </w:p>
    <w:p w14:paraId="64AB0DF4">
      <w:pPr>
        <w:keepNext w:val="0"/>
        <w:keepLines w:val="0"/>
        <w:pageBreakBefore w:val="0"/>
        <w:widowControl w:val="0"/>
        <w:kinsoku/>
        <w:wordWrap/>
        <w:overflowPunct/>
        <w:topLinePunct w:val="0"/>
        <w:bidi w:val="0"/>
        <w:spacing w:afterAutospacing="0" w:line="578" w:lineRule="exact"/>
        <w:ind w:left="0" w:leftChars="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（2）负责县级机关事业单位、企业和个体、农民工及</w:t>
      </w:r>
      <w:r>
        <w:rPr>
          <w:rFonts w:hint="eastAsia" w:ascii="仿宋_GB2312" w:hAnsi="仿宋_GB2312" w:eastAsia="仿宋_GB2312" w:cs="仿宋_GB2312"/>
          <w:color w:val="auto"/>
          <w:sz w:val="32"/>
          <w:szCs w:val="32"/>
          <w:lang w:eastAsia="zh-CN"/>
        </w:rPr>
        <w:t>城乡居民医保</w:t>
      </w:r>
      <w:r>
        <w:rPr>
          <w:rFonts w:hint="eastAsia" w:ascii="仿宋_GB2312" w:hAnsi="仿宋_GB2312" w:eastAsia="仿宋_GB2312" w:cs="仿宋_GB2312"/>
          <w:color w:val="auto"/>
          <w:sz w:val="32"/>
          <w:szCs w:val="32"/>
        </w:rPr>
        <w:t>手续的办理；</w:t>
      </w:r>
    </w:p>
    <w:p w14:paraId="1968CA83">
      <w:pPr>
        <w:keepNext w:val="0"/>
        <w:keepLines w:val="0"/>
        <w:pageBreakBefore w:val="0"/>
        <w:widowControl w:val="0"/>
        <w:kinsoku/>
        <w:wordWrap/>
        <w:overflowPunct/>
        <w:topLinePunct w:val="0"/>
        <w:bidi w:val="0"/>
        <w:spacing w:afterAutospacing="0" w:line="578" w:lineRule="exact"/>
        <w:ind w:left="0" w:leftChars="0" w:right="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（3）负责县级基本医疗保险基金的征缴、管理与支付； </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（4）负责县级公务员医疗保险基金、补充医疗保险金的征收、管理与支付；</w:t>
      </w:r>
    </w:p>
    <w:p w14:paraId="41178D29">
      <w:pPr>
        <w:keepNext w:val="0"/>
        <w:keepLines w:val="0"/>
        <w:pageBreakBefore w:val="0"/>
        <w:widowControl w:val="0"/>
        <w:kinsoku/>
        <w:wordWrap/>
        <w:overflowPunct/>
        <w:topLinePunct w:val="0"/>
        <w:bidi w:val="0"/>
        <w:spacing w:afterAutospacing="0" w:line="578" w:lineRule="exact"/>
        <w:ind w:left="0" w:leftChars="0" w:right="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（5）负责县级参保居民医疗保险基金的征收和参保人员费用的审核支付；                               </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（6）负责企业离休干部、二等乙级伤残军人医疗费的管理、支付；                                        </w:t>
      </w:r>
      <w:r>
        <w:rPr>
          <w:rFonts w:hint="eastAsia" w:ascii="仿宋_GB2312" w:hAnsi="仿宋_GB2312" w:eastAsia="仿宋_GB2312" w:cs="仿宋_GB2312"/>
          <w:color w:val="auto"/>
          <w:sz w:val="32"/>
          <w:szCs w:val="32"/>
        </w:rPr>
        <w:br w:type="textWrapping"/>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（7）负责定点医院、定点药店的服务协议签订，并对协议执行情况进行管理、监督、指导；</w:t>
      </w:r>
    </w:p>
    <w:p w14:paraId="44365CF9">
      <w:pPr>
        <w:keepNext w:val="0"/>
        <w:keepLines w:val="0"/>
        <w:pageBreakBefore w:val="0"/>
        <w:widowControl w:val="0"/>
        <w:kinsoku/>
        <w:wordWrap/>
        <w:overflowPunct/>
        <w:topLinePunct w:val="0"/>
        <w:bidi w:val="0"/>
        <w:spacing w:afterAutospacing="0" w:line="578" w:lineRule="exact"/>
        <w:ind w:left="0" w:leftChars="0" w:right="0" w:firstLine="64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lang w:val="en-US" w:eastAsia="zh-CN"/>
        </w:rPr>
        <w:t>8</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负责全县财政供养人员的体检费用的审核与报销。</w:t>
      </w:r>
    </w:p>
    <w:p w14:paraId="1580F059">
      <w:pPr>
        <w:numPr>
          <w:ilvl w:val="0"/>
          <w:numId w:val="0"/>
        </w:numPr>
        <w:rPr>
          <w:rFonts w:hint="default"/>
          <w:lang w:val="en-US" w:eastAsia="zh-CN"/>
        </w:rPr>
      </w:pPr>
    </w:p>
    <w:p w14:paraId="2A973033">
      <w:pPr>
        <w:pStyle w:val="4"/>
        <w:rPr>
          <w:rStyle w:val="31"/>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4"/>
      <w:bookmarkEnd w:id="15"/>
    </w:p>
    <w:p w14:paraId="787D492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松潘县医疗保障局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w:t>
      </w:r>
    </w:p>
    <w:p w14:paraId="7884EF88">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sz w:val="32"/>
          <w:szCs w:val="32"/>
        </w:rPr>
        <w:t>松潘县医疗保障局</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4F83C0F6">
      <w:pPr>
        <w:pStyle w:val="6"/>
        <w:numPr>
          <w:ilvl w:val="0"/>
          <w:numId w:val="2"/>
        </w:numPr>
        <w:adjustRightInd w:val="0"/>
        <w:snapToGrid w:val="0"/>
        <w:spacing w:before="93" w:line="600" w:lineRule="exact"/>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松潘县医疗保障局</w:t>
      </w:r>
    </w:p>
    <w:p w14:paraId="23778019">
      <w:pPr>
        <w:widowControl/>
        <w:ind w:firstLine="640" w:firstLineChars="200"/>
        <w:jc w:val="left"/>
        <w:rPr>
          <w:rFonts w:ascii="Times New Roman" w:hAnsi="Times New Roman" w:eastAsia="仿宋"/>
          <w:color w:val="auto"/>
          <w:kern w:val="0"/>
          <w:sz w:val="32"/>
          <w:szCs w:val="32"/>
          <w:highlight w:val="none"/>
        </w:rPr>
      </w:pPr>
      <w:r>
        <w:rPr>
          <w:rFonts w:hint="eastAsia" w:ascii="仿宋_GB2312" w:hAnsi="仿宋_GB2312" w:eastAsia="仿宋_GB2312" w:cs="仿宋_GB2312"/>
          <w:color w:val="auto"/>
          <w:sz w:val="32"/>
          <w:szCs w:val="32"/>
          <w:highlight w:val="none"/>
          <w:lang w:val="en-US" w:eastAsia="zh-CN"/>
        </w:rPr>
        <w:t>2.松潘县城乡居民基本医疗保险服务中心</w:t>
      </w:r>
      <w:r>
        <w:rPr>
          <w:rFonts w:ascii="Times New Roman" w:hAnsi="Times New Roman" w:eastAsia="仿宋"/>
          <w:color w:val="auto"/>
          <w:sz w:val="32"/>
          <w:szCs w:val="32"/>
          <w:highlight w:val="none"/>
        </w:rPr>
        <w:br w:type="page"/>
      </w:r>
    </w:p>
    <w:p w14:paraId="706FFD58">
      <w:pPr>
        <w:pStyle w:val="3"/>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34E2CABB">
      <w:pPr>
        <w:rPr>
          <w:rFonts w:ascii="Times New Roman" w:hAnsi="Times New Roman"/>
          <w:color w:val="auto"/>
          <w:highlight w:val="none"/>
        </w:rPr>
      </w:pPr>
    </w:p>
    <w:p w14:paraId="3E2F436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8"/>
      <w:bookmarkEnd w:id="19"/>
    </w:p>
    <w:p w14:paraId="410A5C75">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1312.16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88.65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7.2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项目变动，人员变动。</w:t>
      </w:r>
    </w:p>
    <w:p w14:paraId="562B938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256CD6E4">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0D54D26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1312.16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1312.16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40EC5EF1">
      <w:pPr>
        <w:ind w:firstLine="800" w:firstLineChars="250"/>
        <w:rPr>
          <w:rFonts w:hint="eastAsia" w:ascii="Times New Roman" w:hAnsi="Times New Roman" w:eastAsia="仿宋_GB2312" w:cs="仿宋_GB2312"/>
          <w:color w:val="auto"/>
          <w:sz w:val="32"/>
          <w:szCs w:val="32"/>
          <w:highlight w:val="none"/>
          <w:lang w:eastAsia="zh-CN"/>
        </w:rPr>
      </w:pPr>
    </w:p>
    <w:p w14:paraId="7F9E239B">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2"/>
      <w:bookmarkEnd w:id="23"/>
    </w:p>
    <w:p w14:paraId="3987CA61">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1312.16</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515.9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39.31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796.26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60.68</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0B362E06">
      <w:pPr>
        <w:ind w:firstLine="800" w:firstLineChars="250"/>
        <w:rPr>
          <w:rFonts w:hint="eastAsia" w:ascii="Times New Roman" w:hAnsi="Times New Roman" w:eastAsia="仿宋_GB2312" w:cs="仿宋_GB2312"/>
          <w:color w:val="auto"/>
          <w:sz w:val="32"/>
          <w:szCs w:val="32"/>
          <w:highlight w:val="none"/>
          <w:lang w:eastAsia="zh-CN"/>
        </w:rPr>
      </w:pPr>
    </w:p>
    <w:p w14:paraId="66E95FAB">
      <w:pPr>
        <w:spacing w:line="600" w:lineRule="exact"/>
        <w:ind w:firstLine="640" w:firstLineChars="200"/>
        <w:outlineLvl w:val="1"/>
        <w:rPr>
          <w:rStyle w:val="31"/>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4"/>
      <w:bookmarkEnd w:id="25"/>
    </w:p>
    <w:p w14:paraId="1D1BEA2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1312.16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88.65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项目变动，人员变动。</w:t>
      </w:r>
    </w:p>
    <w:p w14:paraId="73DF41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7DB2AF9">
      <w:pPr>
        <w:spacing w:line="600" w:lineRule="exact"/>
        <w:ind w:firstLine="640" w:firstLineChars="200"/>
        <w:outlineLvl w:val="1"/>
        <w:rPr>
          <w:rStyle w:val="31"/>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6"/>
      <w:bookmarkEnd w:id="27"/>
    </w:p>
    <w:p w14:paraId="30C2A27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3008BA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1312.16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88.65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项目变动，人员变动。</w:t>
      </w:r>
    </w:p>
    <w:p w14:paraId="240D5E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BBC78A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42C0C218">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1312.16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69.75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1205.13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91.84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37.28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w:t>
      </w:r>
      <w:bookmarkStart w:id="30" w:name="_Toc15377212"/>
    </w:p>
    <w:p w14:paraId="01BA2C5F">
      <w:pPr>
        <w:spacing w:line="600" w:lineRule="exact"/>
        <w:ind w:firstLine="640" w:firstLineChars="200"/>
        <w:outlineLvl w:val="2"/>
        <w:rPr>
          <w:rFonts w:hint="eastAsia" w:ascii="Times New Roman" w:hAnsi="Times New Roman" w:eastAsia="仿宋_GB2312" w:cs="仿宋_GB2312"/>
          <w:color w:val="auto"/>
          <w:kern w:val="2"/>
          <w:sz w:val="32"/>
          <w:szCs w:val="32"/>
          <w:highlight w:val="none"/>
          <w:lang w:val="en-US" w:eastAsia="zh-CN" w:bidi="ar-SA"/>
        </w:rPr>
      </w:pPr>
    </w:p>
    <w:p w14:paraId="4E14246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7727C4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8460"/>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1312.16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01ADB5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69.75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595FD4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1205.13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31510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DB91787">
      <w:pPr>
        <w:tabs>
          <w:tab w:val="right" w:pos="8306"/>
        </w:tabs>
        <w:spacing w:line="600" w:lineRule="exact"/>
        <w:ind w:firstLine="640"/>
        <w:outlineLvl w:val="1"/>
        <w:rPr>
          <w:rStyle w:val="31"/>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4"/>
      <w:bookmarkEnd w:id="35"/>
      <w:r>
        <w:rPr>
          <w:rStyle w:val="31"/>
          <w:rFonts w:ascii="Times New Roman" w:hAnsi="Times New Roman" w:eastAsia="黑体"/>
          <w:b w:val="0"/>
          <w:color w:val="auto"/>
          <w:highlight w:val="none"/>
        </w:rPr>
        <w:tab/>
      </w:r>
    </w:p>
    <w:p w14:paraId="386149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515.9</w:t>
      </w:r>
      <w:r>
        <w:rPr>
          <w:rFonts w:hint="eastAsia" w:ascii="Times New Roman" w:hAnsi="Times New Roman" w:eastAsia="仿宋_GB2312" w:cs="仿宋_GB2312"/>
          <w:color w:val="auto"/>
          <w:kern w:val="2"/>
          <w:sz w:val="32"/>
          <w:szCs w:val="32"/>
          <w:highlight w:val="none"/>
          <w:lang w:val="en-US" w:eastAsia="zh-CN" w:bidi="ar-SA"/>
        </w:rPr>
        <w:t>万元，其中：</w:t>
      </w:r>
    </w:p>
    <w:p w14:paraId="3CA2EA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485.27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30.63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CCCDC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B8A314A">
      <w:pPr>
        <w:spacing w:line="600" w:lineRule="exact"/>
        <w:ind w:firstLine="640"/>
        <w:outlineLvl w:val="1"/>
        <w:rPr>
          <w:rStyle w:val="31"/>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36"/>
      <w:bookmarkEnd w:id="37"/>
    </w:p>
    <w:p w14:paraId="2A33F88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6F909B8E">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1.75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无增减。</w:t>
      </w:r>
    </w:p>
    <w:p w14:paraId="40B47B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501BE3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1.75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万元。具体情况如下：</w:t>
      </w:r>
    </w:p>
    <w:p w14:paraId="448DA06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上年度无增减。</w:t>
      </w:r>
    </w:p>
    <w:p w14:paraId="6E2EAE22">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1.75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上年度无增减。</w:t>
      </w:r>
    </w:p>
    <w:p w14:paraId="2A3B776D">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770EC2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1.75</w:t>
      </w:r>
      <w:r>
        <w:rPr>
          <w:rFonts w:hint="eastAsia" w:ascii="Times New Roman" w:hAnsi="Times New Roman" w:eastAsia="仿宋_GB2312" w:cs="仿宋_GB2312"/>
          <w:color w:val="auto"/>
          <w:kern w:val="2"/>
          <w:sz w:val="32"/>
          <w:szCs w:val="32"/>
          <w:highlight w:val="none"/>
          <w:lang w:val="en-US" w:eastAsia="zh-CN" w:bidi="ar-SA"/>
        </w:rPr>
        <w:t>万元。主要所需的公务用车燃料费、维修费、过路过桥费、保险费等支出。</w:t>
      </w:r>
    </w:p>
    <w:p w14:paraId="21BD53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无增减。</w:t>
      </w:r>
    </w:p>
    <w:p w14:paraId="56AC03B1">
      <w:pPr>
        <w:spacing w:line="600" w:lineRule="exact"/>
        <w:ind w:firstLine="640"/>
        <w:outlineLvl w:val="1"/>
        <w:rPr>
          <w:rFonts w:hint="eastAsia" w:ascii="Times New Roman" w:hAnsi="Times New Roman" w:eastAsia="黑体"/>
          <w:color w:val="auto"/>
          <w:sz w:val="32"/>
          <w:szCs w:val="32"/>
          <w:highlight w:val="none"/>
        </w:rPr>
      </w:pPr>
      <w:bookmarkStart w:id="40" w:name="_Toc15377218"/>
      <w:bookmarkStart w:id="41" w:name="_Toc15396610"/>
    </w:p>
    <w:p w14:paraId="79EA446C">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0"/>
      <w:bookmarkEnd w:id="41"/>
    </w:p>
    <w:p w14:paraId="230F004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无增减。</w:t>
      </w:r>
    </w:p>
    <w:p w14:paraId="316B7E7E">
      <w:pPr>
        <w:pStyle w:val="2"/>
        <w:rPr>
          <w:rFonts w:hint="eastAsia"/>
          <w:lang w:val="en-US" w:eastAsia="zh-CN"/>
        </w:rPr>
      </w:pPr>
    </w:p>
    <w:p w14:paraId="49483A9A">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42" w:name="_Toc15377219"/>
      <w:bookmarkStart w:id="43" w:name="_Toc15396611"/>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42"/>
      <w:bookmarkEnd w:id="43"/>
    </w:p>
    <w:p w14:paraId="40C691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无增减。</w:t>
      </w:r>
    </w:p>
    <w:p w14:paraId="1A318E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82C9577">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44" w:name="_Toc15377221"/>
      <w:bookmarkStart w:id="45"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44"/>
      <w:bookmarkEnd w:id="45"/>
    </w:p>
    <w:p w14:paraId="49C17BF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3F2AFC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松潘县医疗保障局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17.44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5.18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42.25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人员变动。</w:t>
      </w:r>
    </w:p>
    <w:p w14:paraId="7ED13D8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15300D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松潘县医疗保障局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32EB96F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238FEA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松潘县医疗保障局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hAnsi="仿宋_GB2312" w:eastAsia="仿宋_GB2312" w:cs="仿宋_GB2312"/>
          <w:color w:val="auto"/>
          <w:sz w:val="32"/>
          <w:szCs w:val="32"/>
          <w:shd w:val="clear" w:color="auto" w:fill="FFFFFF"/>
          <w:lang w:eastAsia="zh-CN"/>
        </w:rPr>
        <w:t>办公，下乡宣传政策，检查医疗机构等</w:t>
      </w:r>
      <w:r>
        <w:rPr>
          <w:rFonts w:hint="eastAsia" w:ascii="仿宋_GB2312" w:hAnsi="仿宋_GB2312" w:eastAsia="仿宋_GB2312" w:cs="仿宋_GB2312"/>
          <w:color w:val="auto"/>
          <w:sz w:val="32"/>
          <w:szCs w:val="32"/>
          <w:shd w:val="clear" w:color="auto" w:fill="FFFFFF"/>
          <w:lang w:val="en-US" w:eastAsia="zh-CN"/>
        </w:rPr>
        <w:t>公务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635BB3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9343D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3C225F9">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655E205E">
      <w:pPr>
        <w:spacing w:line="600" w:lineRule="exact"/>
        <w:jc w:val="left"/>
        <w:rPr>
          <w:rFonts w:ascii="Times New Roman" w:hAnsi="Times New Roman"/>
          <w:b/>
          <w:color w:val="auto"/>
          <w:sz w:val="44"/>
          <w:szCs w:val="44"/>
          <w:highlight w:val="none"/>
        </w:rPr>
      </w:pPr>
    </w:p>
    <w:p w14:paraId="118018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302698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2BB289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18D9B1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08A0EE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412081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6ED68CF">
      <w:pPr>
        <w:spacing w:line="600" w:lineRule="exact"/>
        <w:ind w:firstLine="640"/>
        <w:rPr>
          <w:rFonts w:hint="eastAsia" w:ascii="仿宋_GB2312" w:hAnsi="仿宋_GB2312" w:eastAsia="仿宋_GB2312" w:cs="仿宋_GB2312"/>
          <w:color w:val="auto"/>
          <w:sz w:val="32"/>
          <w:szCs w:val="32"/>
          <w:shd w:val="clear" w:color="auto" w:fill="FFFFFF"/>
          <w:lang w:eastAsia="zh-CN"/>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188AA011">
      <w:pPr>
        <w:pStyle w:val="16"/>
        <w:keepNext w:val="0"/>
        <w:keepLines w:val="0"/>
        <w:pageBreakBefore w:val="0"/>
        <w:widowControl w:val="0"/>
        <w:suppressLineNumbers w:val="0"/>
        <w:kinsoku/>
        <w:wordWrap/>
        <w:overflowPunct/>
        <w:topLinePunct w:val="0"/>
        <w:bidi w:val="0"/>
        <w:spacing w:before="0" w:beforeAutospacing="0" w:after="0" w:afterAutospacing="0" w:line="578" w:lineRule="exact"/>
        <w:ind w:left="0" w:leftChars="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8</w:t>
      </w:r>
      <w:r>
        <w:rPr>
          <w:rFonts w:hint="eastAsia" w:ascii="仿宋_GB2312" w:hAnsi="仿宋_GB2312" w:eastAsia="仿宋_GB2312" w:cs="仿宋_GB2312"/>
          <w:color w:val="auto"/>
          <w:sz w:val="32"/>
          <w:szCs w:val="32"/>
          <w:shd w:val="clear" w:color="auto" w:fill="FFFFFF"/>
          <w:lang w:val="en-US" w:eastAsia="zh-CN"/>
        </w:rPr>
        <w:t>.</w:t>
      </w:r>
      <w:r>
        <w:rPr>
          <w:rFonts w:hint="eastAsia" w:ascii="仿宋_GB2312" w:hAnsi="仿宋_GB2312" w:eastAsia="仿宋_GB2312" w:cs="仿宋_GB2312"/>
          <w:color w:val="auto"/>
          <w:sz w:val="32"/>
          <w:szCs w:val="32"/>
          <w:shd w:val="clear" w:color="auto" w:fill="FFFFFF"/>
        </w:rPr>
        <w:t>年末结转和结余：指单位按有关规定结转到下年或以后年度继续使用的资金。</w:t>
      </w:r>
    </w:p>
    <w:p w14:paraId="737A29DC">
      <w:pPr>
        <w:keepNext w:val="0"/>
        <w:keepLines w:val="0"/>
        <w:pageBreakBefore w:val="0"/>
        <w:widowControl w:val="0"/>
        <w:shd w:val="clear" w:color="auto" w:fill="FBFBFB"/>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shd w:val="clear" w:color="auto" w:fill="FFFFFF"/>
        </w:rPr>
        <w:t>9.</w:t>
      </w:r>
      <w:r>
        <w:rPr>
          <w:rFonts w:hint="eastAsia" w:ascii="仿宋_GB2312" w:hAnsi="仿宋_GB2312" w:eastAsia="仿宋_GB2312" w:cs="仿宋_GB2312"/>
          <w:color w:val="auto"/>
          <w:kern w:val="0"/>
          <w:sz w:val="32"/>
          <w:szCs w:val="32"/>
        </w:rPr>
        <w:t>住房保障支出：指职工的住房公积金。</w:t>
      </w:r>
    </w:p>
    <w:p w14:paraId="662E6903">
      <w:pPr>
        <w:keepNext w:val="0"/>
        <w:keepLines w:val="0"/>
        <w:pageBreakBefore w:val="0"/>
        <w:widowControl w:val="0"/>
        <w:shd w:val="clear" w:color="auto" w:fill="FBFBFB"/>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10.结余分配：指事业单位按规定提取的职工福利基金、事业基金和缴纳的所得税，以及建设单位按规定应交回的基本建设竣工项目结余资金。</w:t>
      </w:r>
    </w:p>
    <w:p w14:paraId="263A514A">
      <w:pPr>
        <w:keepNext w:val="0"/>
        <w:keepLines w:val="0"/>
        <w:pageBreakBefore w:val="0"/>
        <w:widowControl w:val="0"/>
        <w:shd w:val="clear" w:color="auto" w:fill="FBFBFB"/>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11.年末结转和结余：指本年度或以前年度预算安排、因客观条件发生变化无法按原计划实施，需延迟到以后年度按有关规定继续使用的资金。</w:t>
      </w:r>
    </w:p>
    <w:p w14:paraId="6078F4B6">
      <w:pPr>
        <w:keepNext w:val="0"/>
        <w:keepLines w:val="0"/>
        <w:pageBreakBefore w:val="0"/>
        <w:widowControl w:val="0"/>
        <w:shd w:val="clear" w:color="auto" w:fill="FBFBFB"/>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12.基本支出：指为保障机构正常运转、完成日常工作任务而发生的人员支出和公用支出。</w:t>
      </w:r>
    </w:p>
    <w:p w14:paraId="66CC01A4">
      <w:pPr>
        <w:keepNext w:val="0"/>
        <w:keepLines w:val="0"/>
        <w:pageBreakBefore w:val="0"/>
        <w:widowControl w:val="0"/>
        <w:shd w:val="clear" w:color="auto" w:fill="FBFBFB"/>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13.项目支出：指在基本支出之外为完成特定行政任务和事业发展目标所发生的支出。</w:t>
      </w:r>
    </w:p>
    <w:p w14:paraId="2D6D0F77">
      <w:pPr>
        <w:keepNext w:val="0"/>
        <w:keepLines w:val="0"/>
        <w:pageBreakBefore w:val="0"/>
        <w:widowControl w:val="0"/>
        <w:shd w:val="clear" w:color="auto" w:fill="FBFBFB"/>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14.经营支出：指事业单位在专业业务活动及其辅助活动之外开展非独立核算经营活动发生的支出。</w:t>
      </w:r>
    </w:p>
    <w:p w14:paraId="15454BF2">
      <w:pPr>
        <w:keepNext w:val="0"/>
        <w:keepLines w:val="0"/>
        <w:pageBreakBefore w:val="0"/>
        <w:widowControl w:val="0"/>
        <w:shd w:val="clear" w:color="auto" w:fill="FBFBFB"/>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15.“三公”经费：纳入州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C51247C">
      <w:pPr>
        <w:keepNext w:val="0"/>
        <w:keepLines w:val="0"/>
        <w:pageBreakBefore w:val="0"/>
        <w:widowControl w:val="0"/>
        <w:shd w:val="clear" w:color="auto" w:fill="FBFBFB"/>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14CE65">
      <w:pPr>
        <w:keepNext w:val="0"/>
        <w:keepLines w:val="0"/>
        <w:pageBreakBefore w:val="0"/>
        <w:widowControl w:val="0"/>
        <w:shd w:val="clear" w:color="auto" w:fill="FFFFFF"/>
        <w:kinsoku/>
        <w:wordWrap/>
        <w:overflowPunct/>
        <w:topLinePunct w:val="0"/>
        <w:bidi w:val="0"/>
        <w:spacing w:afterAutospacing="0" w:line="578" w:lineRule="exact"/>
        <w:ind w:left="0" w:leftChars="0" w:right="0"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17.基本支出：指为保障机构正常运转、完成日常工作任务而发生的人员支出和公用支出。</w:t>
      </w:r>
    </w:p>
    <w:p w14:paraId="734F88A9">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18.项目支出：指在基本支出之外为完成特定行政任务和事业发展目标所发生的支出。 </w:t>
      </w:r>
    </w:p>
    <w:p w14:paraId="644A003C">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19.经营支出：指事业单位在专业业务活动及其辅助活动之外开展非独立核算经营活动发生的支出。</w:t>
      </w:r>
    </w:p>
    <w:p w14:paraId="0FEFD99F">
      <w:pPr>
        <w:pStyle w:val="16"/>
        <w:keepNext w:val="0"/>
        <w:keepLines w:val="0"/>
        <w:pageBreakBefore w:val="0"/>
        <w:widowControl w:val="0"/>
        <w:suppressLineNumbers w:val="0"/>
        <w:kinsoku/>
        <w:wordWrap/>
        <w:overflowPunct/>
        <w:topLinePunct w:val="0"/>
        <w:bidi w:val="0"/>
        <w:spacing w:before="0" w:beforeAutospacing="0" w:after="0" w:afterAutospacing="0" w:line="578" w:lineRule="exact"/>
        <w:ind w:left="0" w:leftChars="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7C9874">
      <w:pPr>
        <w:pStyle w:val="16"/>
        <w:keepNext w:val="0"/>
        <w:keepLines w:val="0"/>
        <w:pageBreakBefore w:val="0"/>
        <w:widowControl w:val="0"/>
        <w:suppressLineNumbers w:val="0"/>
        <w:kinsoku/>
        <w:wordWrap/>
        <w:overflowPunct/>
        <w:topLinePunct w:val="0"/>
        <w:bidi w:val="0"/>
        <w:spacing w:before="0" w:beforeAutospacing="0" w:after="0" w:afterAutospacing="0" w:line="578" w:lineRule="exact"/>
        <w:ind w:left="0" w:leftChars="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1</w:t>
      </w:r>
      <w:r>
        <w:rPr>
          <w:rFonts w:hint="eastAsia" w:ascii="仿宋_GB2312" w:hAnsi="仿宋_GB2312" w:eastAsia="仿宋_GB2312" w:cs="仿宋_GB2312"/>
          <w:color w:val="auto"/>
          <w:sz w:val="32"/>
          <w:szCs w:val="32"/>
          <w:shd w:val="clear" w:color="auto" w:fill="FFFFFF"/>
        </w:rPr>
        <w:t>.基本支出：指为保障机构正常运转、完成日常工作任务而发生的人员支出和公用支出。</w:t>
      </w:r>
    </w:p>
    <w:p w14:paraId="14678F3D">
      <w:pPr>
        <w:pStyle w:val="16"/>
        <w:keepNext w:val="0"/>
        <w:keepLines w:val="0"/>
        <w:pageBreakBefore w:val="0"/>
        <w:widowControl w:val="0"/>
        <w:suppressLineNumbers w:val="0"/>
        <w:kinsoku/>
        <w:wordWrap/>
        <w:overflowPunct/>
        <w:topLinePunct w:val="0"/>
        <w:bidi w:val="0"/>
        <w:spacing w:before="0" w:beforeAutospacing="0" w:after="0" w:afterAutospacing="0" w:line="578" w:lineRule="exact"/>
        <w:ind w:left="0" w:leftChars="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2</w:t>
      </w:r>
      <w:r>
        <w:rPr>
          <w:rFonts w:hint="eastAsia" w:ascii="仿宋_GB2312" w:hAnsi="仿宋_GB2312" w:eastAsia="仿宋_GB2312" w:cs="仿宋_GB2312"/>
          <w:color w:val="auto"/>
          <w:sz w:val="32"/>
          <w:szCs w:val="32"/>
          <w:shd w:val="clear" w:color="auto" w:fill="FFFFFF"/>
        </w:rPr>
        <w:t>.项目支出：指在基本支出之外为完成特定行政任务和事业发展目标所发生的支出。</w:t>
      </w:r>
    </w:p>
    <w:p w14:paraId="46F5C90A">
      <w:pPr>
        <w:pStyle w:val="16"/>
        <w:keepNext w:val="0"/>
        <w:keepLines w:val="0"/>
        <w:pageBreakBefore w:val="0"/>
        <w:widowControl w:val="0"/>
        <w:suppressLineNumbers w:val="0"/>
        <w:kinsoku/>
        <w:wordWrap/>
        <w:overflowPunct/>
        <w:topLinePunct w:val="0"/>
        <w:bidi w:val="0"/>
        <w:spacing w:before="0" w:beforeAutospacing="0" w:after="0" w:afterAutospacing="0" w:line="578" w:lineRule="exact"/>
        <w:ind w:left="0" w:leftChars="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2</w:t>
      </w:r>
      <w:r>
        <w:rPr>
          <w:rFonts w:hint="eastAsia" w:ascii="仿宋_GB2312" w:hAnsi="仿宋_GB2312" w:eastAsia="仿宋_GB2312" w:cs="仿宋_GB2312"/>
          <w:color w:val="auto"/>
          <w:sz w:val="32"/>
          <w:szCs w:val="32"/>
          <w:shd w:val="clear" w:color="auto" w:fill="FFFFFF"/>
          <w:lang w:val="en-US" w:eastAsia="zh-CN"/>
        </w:rPr>
        <w:t>3</w:t>
      </w:r>
      <w:r>
        <w:rPr>
          <w:rFonts w:hint="eastAsia" w:ascii="仿宋_GB2312" w:hAnsi="仿宋_GB2312" w:eastAsia="仿宋_GB2312" w:cs="仿宋_GB2312"/>
          <w:color w:val="auto"/>
          <w:sz w:val="32"/>
          <w:szCs w:val="32"/>
          <w:shd w:val="clear" w:color="auto" w:fill="FFFFFF"/>
        </w:rPr>
        <w:t>.经营支出：指事业单位在专业业务活动及其辅助活动之外开展非独立核算经营活动发生的支出。</w:t>
      </w:r>
    </w:p>
    <w:p w14:paraId="511B6ED8">
      <w:pPr>
        <w:pStyle w:val="16"/>
        <w:keepNext w:val="0"/>
        <w:keepLines w:val="0"/>
        <w:pageBreakBefore w:val="0"/>
        <w:widowControl w:val="0"/>
        <w:suppressLineNumbers w:val="0"/>
        <w:kinsoku/>
        <w:wordWrap/>
        <w:overflowPunct/>
        <w:topLinePunct w:val="0"/>
        <w:bidi w:val="0"/>
        <w:spacing w:before="0" w:beforeAutospacing="0" w:after="0" w:afterAutospacing="0" w:line="578" w:lineRule="exact"/>
        <w:ind w:left="0" w:leftChars="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lang w:val="en-US" w:eastAsia="zh-CN"/>
        </w:rPr>
        <w:t>24</w:t>
      </w:r>
      <w:r>
        <w:rPr>
          <w:rFonts w:hint="eastAsia" w:ascii="仿宋_GB2312" w:hAnsi="仿宋_GB2312" w:eastAsia="仿宋_GB2312" w:cs="仿宋_GB2312"/>
          <w:color w:val="auto"/>
          <w:sz w:val="32"/>
          <w:szCs w:val="32"/>
          <w:shd w:val="clear" w:color="auto" w:fill="FFFFFF"/>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DFBB2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z w:val="32"/>
          <w:szCs w:val="32"/>
          <w:shd w:val="clear" w:color="auto" w:fill="FFFFFF"/>
          <w:lang w:val="en-US" w:eastAsia="zh-CN"/>
        </w:rPr>
        <w:t>25</w:t>
      </w:r>
      <w:r>
        <w:rPr>
          <w:rFonts w:hint="eastAsia" w:ascii="仿宋_GB2312" w:hAnsi="仿宋_GB2312" w:eastAsia="仿宋_GB2312" w:cs="仿宋_GB2312"/>
          <w:color w:val="auto"/>
          <w:sz w:val="32"/>
          <w:szCs w:val="32"/>
          <w:shd w:val="clear" w:color="auto" w:fill="FFFFFF"/>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0E88FC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48DC5968">
      <w:pPr>
        <w:spacing w:line="600" w:lineRule="exact"/>
        <w:jc w:val="center"/>
        <w:rPr>
          <w:rStyle w:val="30"/>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66DB6799">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1A2E35C">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0CF75FC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CDA61F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F0D2029">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03980F15">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3062AA5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CABC1E1">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default" w:ascii="Times New Roman" w:hAnsi="Times New Roman" w:cs="Times New Roman"/>
          <w:szCs w:val="32"/>
        </w:rPr>
      </w:pPr>
      <w:bookmarkStart w:id="53" w:name="_Toc15396618"/>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color w:val="auto"/>
          <w:sz w:val="32"/>
          <w:szCs w:val="32"/>
          <w:lang w:val="en-US" w:eastAsia="zh-CN"/>
        </w:rPr>
        <w:t>松潘县医疗保障局成立于2019年，现有在编在岗人员24人，其中公务员9</w:t>
      </w:r>
      <w:r>
        <w:rPr>
          <w:rFonts w:hint="eastAsia" w:ascii="仿宋_GB2312" w:hAnsi="仿宋_GB2312" w:eastAsia="仿宋_GB2312" w:cs="仿宋_GB2312"/>
          <w:color w:val="auto"/>
          <w:sz w:val="32"/>
          <w:szCs w:val="32"/>
        </w:rPr>
        <w:t>个，事业编制</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个，行政编制</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val="en-US" w:eastAsia="zh-CN"/>
        </w:rPr>
        <w:t>退休2人。局内设有办公室、审核结算股、基金管理股、统筹股。</w:t>
      </w:r>
    </w:p>
    <w:p w14:paraId="3335A882">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14:paraId="549D23E7">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贯彻落实医疗保险、生育保险。医疗救助等生育保障法律法规。拟定全县医疗保障规范性文件草案。拟订全县医疗保障事业发展规划、政策和标准。并组织实施和监督检查。</w:t>
      </w:r>
    </w:p>
    <w:p w14:paraId="3071157D">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组织</w:t>
      </w:r>
      <w:r>
        <w:rPr>
          <w:rFonts w:hint="eastAsia" w:ascii="仿宋_GB2312" w:hAnsi="仿宋_GB2312" w:eastAsia="仿宋_GB2312" w:cs="仿宋_GB2312"/>
          <w:color w:val="auto"/>
          <w:sz w:val="32"/>
          <w:szCs w:val="32"/>
          <w:lang w:eastAsia="zh-CN"/>
        </w:rPr>
        <w:t>拟订</w:t>
      </w:r>
      <w:r>
        <w:rPr>
          <w:rFonts w:hint="eastAsia" w:ascii="仿宋_GB2312" w:hAnsi="仿宋_GB2312" w:eastAsia="仿宋_GB2312" w:cs="仿宋_GB2312"/>
          <w:color w:val="auto"/>
          <w:sz w:val="32"/>
          <w:szCs w:val="32"/>
        </w:rPr>
        <w:t>并实施医疗保障基金监督管理制度。建立健全医疗保障基金安全防控机制。监督强化全县医疗保障基金运行管理。</w:t>
      </w:r>
    </w:p>
    <w:p w14:paraId="5DFB05DA">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承担医疗保障筹资和待遇支付政策落实的责任。</w:t>
      </w:r>
    </w:p>
    <w:p w14:paraId="2D3FA6C9">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负责落实全县城乡统一的药品、医用耗材、医疗服务项目，医疗服务设施等医疗保障目录和支付标</w:t>
      </w:r>
      <w:r>
        <w:rPr>
          <w:rFonts w:hint="eastAsia" w:ascii="仿宋_GB2312" w:hAnsi="仿宋_GB2312" w:eastAsia="仿宋_GB2312" w:cs="仿宋_GB2312"/>
          <w:color w:val="auto"/>
          <w:sz w:val="32"/>
          <w:szCs w:val="32"/>
          <w:lang w:eastAsia="zh-CN"/>
        </w:rPr>
        <w:t>准</w:t>
      </w:r>
      <w:r>
        <w:rPr>
          <w:rFonts w:hint="eastAsia" w:ascii="仿宋_GB2312" w:hAnsi="仿宋_GB2312" w:eastAsia="仿宋_GB2312" w:cs="仿宋_GB2312"/>
          <w:color w:val="auto"/>
          <w:sz w:val="32"/>
          <w:szCs w:val="32"/>
        </w:rPr>
        <w:t>并监督管理。监督管理全县特殊医用材料、特殊检查和治疗、医院制剂等相关目录和支付标准并实施</w:t>
      </w:r>
    </w:p>
    <w:p w14:paraId="7F522668">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负责药品、医用耗材、医疗服务项目、医疗服务设施收费等政策监督管理，建立医保支付医药服务价格动态调整机制，推动建立市场主导的社会医药服务价格形成机制，建立价格信息监测和信息公开制度。</w:t>
      </w:r>
    </w:p>
    <w:p w14:paraId="4A0A8E88">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贯彻落实药品医用耗材的招标采购政策并监督管理。</w:t>
      </w:r>
    </w:p>
    <w:p w14:paraId="0F641D69">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拟定全县定点医药机构协议和支付管理办法并组织实施、推进医疗保障基金支付方式改革，监督管理全县医疗保障定点医药机构，建立健全医疗保障信用评价体系和信息技术制度。监督管理定点医药机构医疗服务行为和医疗费用，依法查处医疗保障领域违法违规行为。承担全县医疗保障经办服务管理。并组织实施异地就医管理和费用结算，负责全县医疗保障关系转移接续经办管理。</w:t>
      </w:r>
    </w:p>
    <w:p w14:paraId="6E09A24B">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负责规划并</w:t>
      </w:r>
      <w:r>
        <w:rPr>
          <w:rFonts w:hint="eastAsia" w:ascii="仿宋_GB2312" w:hAnsi="仿宋_GB2312" w:eastAsia="仿宋_GB2312" w:cs="仿宋_GB2312"/>
          <w:color w:val="auto"/>
          <w:sz w:val="32"/>
          <w:szCs w:val="32"/>
          <w:lang w:eastAsia="zh-CN"/>
        </w:rPr>
        <w:t>实施</w:t>
      </w:r>
      <w:r>
        <w:rPr>
          <w:rFonts w:hint="eastAsia" w:ascii="仿宋_GB2312" w:hAnsi="仿宋_GB2312" w:eastAsia="仿宋_GB2312" w:cs="仿宋_GB2312"/>
          <w:color w:val="auto"/>
          <w:sz w:val="32"/>
          <w:szCs w:val="32"/>
        </w:rPr>
        <w:t>全县医疗保障信息化建设、组织开展医疗保障大数据管理和应用。</w:t>
      </w:r>
    </w:p>
    <w:p w14:paraId="09EC975C">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负责职责范围内的安全生产、职业健康、生态环境保护和审批服务便民化工作。</w:t>
      </w:r>
    </w:p>
    <w:p w14:paraId="7D933908">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rPr>
        <w:t>完成县委、县政府交办的其他</w:t>
      </w:r>
      <w:r>
        <w:rPr>
          <w:rFonts w:hint="eastAsia" w:ascii="仿宋_GB2312" w:hAnsi="仿宋_GB2312" w:eastAsia="仿宋_GB2312" w:cs="仿宋_GB2312"/>
          <w:color w:val="auto"/>
          <w:sz w:val="32"/>
          <w:szCs w:val="32"/>
          <w:lang w:eastAsia="zh-CN"/>
        </w:rPr>
        <w:t>任</w:t>
      </w:r>
      <w:r>
        <w:rPr>
          <w:rFonts w:hint="eastAsia" w:ascii="仿宋_GB2312" w:hAnsi="仿宋_GB2312" w:eastAsia="仿宋_GB2312" w:cs="仿宋_GB2312"/>
          <w:color w:val="auto"/>
          <w:sz w:val="32"/>
          <w:szCs w:val="32"/>
        </w:rPr>
        <w:t>务。</w:t>
      </w:r>
    </w:p>
    <w:p w14:paraId="32B4918A">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职能转变。完善统一的城乡居民基本医疗保险和大病保险制度，不断提高医疗保障水平。建立健全覆盖全民、城乡统筹的多层次医疗保障体系，确保医疗保障资金合理使用、安全可控，推进医疗、医保，医药“三医联动”改革，更好地保障人民群众就医需求，减轻医药费用负担。</w:t>
      </w:r>
    </w:p>
    <w:p w14:paraId="0C9D62A7">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与县卫健局的有关职责分工，与县卫健局在医疗、医保、医药等方面加强制度、政策</w:t>
      </w:r>
      <w:r>
        <w:rPr>
          <w:rFonts w:hint="eastAsia" w:ascii="仿宋_GB2312" w:hAnsi="仿宋_GB2312" w:eastAsia="仿宋_GB2312" w:cs="仿宋_GB2312"/>
          <w:color w:val="auto"/>
          <w:sz w:val="32"/>
          <w:szCs w:val="32"/>
          <w:lang w:eastAsia="zh-CN"/>
        </w:rPr>
        <w:t>衔接</w:t>
      </w:r>
      <w:r>
        <w:rPr>
          <w:rFonts w:hint="eastAsia" w:ascii="仿宋_GB2312" w:hAnsi="仿宋_GB2312" w:eastAsia="仿宋_GB2312" w:cs="仿宋_GB2312"/>
          <w:color w:val="auto"/>
          <w:sz w:val="32"/>
          <w:szCs w:val="32"/>
        </w:rPr>
        <w:t>，建立沟通协商机制，协调推进改革，提高医疗资源使用效率和医疗保障水平。</w:t>
      </w:r>
    </w:p>
    <w:p w14:paraId="732F5DC9">
      <w:pPr>
        <w:pStyle w:val="2"/>
        <w:rPr>
          <w:rFonts w:hint="default"/>
          <w:lang w:val="zh-CN"/>
        </w:rPr>
      </w:pPr>
    </w:p>
    <w:p w14:paraId="610A5A76">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color w:val="auto"/>
          <w:sz w:val="32"/>
          <w:szCs w:val="32"/>
          <w:lang w:val="en-US" w:eastAsia="zh-CN"/>
        </w:rPr>
        <w:t>现有在编在岗人员24人，其中公务员9</w:t>
      </w:r>
      <w:r>
        <w:rPr>
          <w:rFonts w:hint="eastAsia" w:ascii="仿宋_GB2312" w:hAnsi="仿宋_GB2312" w:eastAsia="仿宋_GB2312" w:cs="仿宋_GB2312"/>
          <w:color w:val="auto"/>
          <w:sz w:val="32"/>
          <w:szCs w:val="32"/>
        </w:rPr>
        <w:t>个，事业编制</w:t>
      </w:r>
      <w:r>
        <w:rPr>
          <w:rFonts w:hint="eastAsia" w:ascii="仿宋_GB2312" w:hAnsi="仿宋_GB2312" w:eastAsia="仿宋_GB2312" w:cs="仿宋_GB2312"/>
          <w:color w:val="auto"/>
          <w:sz w:val="32"/>
          <w:szCs w:val="32"/>
          <w:lang w:val="en-US" w:eastAsia="zh-CN"/>
        </w:rPr>
        <w:t>11</w:t>
      </w:r>
      <w:r>
        <w:rPr>
          <w:rFonts w:hint="eastAsia" w:ascii="仿宋_GB2312" w:hAnsi="仿宋_GB2312" w:eastAsia="仿宋_GB2312" w:cs="仿宋_GB2312"/>
          <w:color w:val="auto"/>
          <w:sz w:val="32"/>
          <w:szCs w:val="32"/>
        </w:rPr>
        <w:t>个，行政编制</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auto"/>
          <w:sz w:val="32"/>
          <w:szCs w:val="32"/>
          <w:lang w:val="en-US" w:eastAsia="zh-CN"/>
        </w:rPr>
        <w:t>退休2人。</w:t>
      </w:r>
    </w:p>
    <w:p w14:paraId="47E00A8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4FB7D8F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1312.16</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88.65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7.2%</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项目增加，人员变动。</w:t>
      </w:r>
    </w:p>
    <w:p w14:paraId="6E2D4731">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1223.51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%。与2024年度相比，一般公共预算财政拨款支出增加</w:t>
      </w:r>
      <w:r>
        <w:rPr>
          <w:rFonts w:hint="eastAsia" w:eastAsia="仿宋_GB2312" w:cs="仿宋_GB2312"/>
          <w:color w:val="auto"/>
          <w:kern w:val="2"/>
          <w:sz w:val="32"/>
          <w:szCs w:val="32"/>
          <w:highlight w:val="none"/>
          <w:lang w:val="en-US" w:eastAsia="zh-CN" w:bidi="ar-SA"/>
        </w:rPr>
        <w:t>88.65</w:t>
      </w:r>
      <w:r>
        <w:rPr>
          <w:rFonts w:hint="eastAsia" w:ascii="仿宋_GB2312" w:hAnsi="仿宋_GB2312" w:eastAsia="仿宋_GB2312" w:cs="仿宋_GB2312"/>
          <w:color w:val="auto"/>
          <w:kern w:val="2"/>
          <w:sz w:val="32"/>
          <w:szCs w:val="32"/>
          <w:highlight w:val="none"/>
          <w:lang w:val="en-US" w:eastAsia="zh-CN" w:bidi="ar-SA"/>
        </w:rPr>
        <w:t>万元，增长7.2%。主要变动原因是</w:t>
      </w:r>
      <w:r>
        <w:rPr>
          <w:rFonts w:hint="eastAsia" w:eastAsia="仿宋_GB2312" w:cs="仿宋_GB2312"/>
          <w:color w:val="auto"/>
          <w:kern w:val="2"/>
          <w:sz w:val="32"/>
          <w:szCs w:val="32"/>
          <w:highlight w:val="none"/>
          <w:lang w:val="en-US" w:eastAsia="zh-CN" w:bidi="ar-SA"/>
        </w:rPr>
        <w:t>项目增加、人员变动。</w:t>
      </w:r>
    </w:p>
    <w:p w14:paraId="5D9ECCA5">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基本支出，是用于保障社会保险事业管理局行政机构、事业机构的正常运转的日常支出，包括基本工资、津贴补贴等人员经费以及办公费、印刷费、水电费等日常公用经费。202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年部门预算基本支出预算</w:t>
      </w:r>
      <w:r>
        <w:rPr>
          <w:rFonts w:hint="eastAsia" w:ascii="仿宋_GB2312" w:hAnsi="仿宋_GB2312" w:eastAsia="仿宋_GB2312" w:cs="仿宋_GB2312"/>
          <w:color w:val="auto"/>
          <w:sz w:val="32"/>
          <w:szCs w:val="32"/>
          <w:lang w:eastAsia="zh-CN"/>
        </w:rPr>
        <w:t>收入</w:t>
      </w:r>
      <w:r>
        <w:rPr>
          <w:rFonts w:hint="eastAsia" w:ascii="仿宋_GB2312" w:hAnsi="仿宋_GB2312" w:eastAsia="仿宋_GB2312" w:cs="仿宋_GB2312"/>
          <w:color w:val="auto"/>
          <w:sz w:val="32"/>
          <w:szCs w:val="32"/>
        </w:rPr>
        <w:t>总数</w:t>
      </w:r>
      <w:r>
        <w:rPr>
          <w:rFonts w:hint="eastAsia" w:ascii="仿宋_GB2312" w:hAnsi="仿宋_GB2312" w:eastAsia="仿宋_GB2312" w:cs="仿宋_GB2312"/>
          <w:color w:val="auto"/>
          <w:sz w:val="32"/>
          <w:szCs w:val="32"/>
          <w:lang w:val="en-US" w:eastAsia="zh-CN"/>
        </w:rPr>
        <w:t>515.9</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，支出总数</w:t>
      </w:r>
      <w:r>
        <w:rPr>
          <w:rFonts w:hint="eastAsia" w:ascii="仿宋_GB2312" w:hAnsi="仿宋_GB2312" w:eastAsia="仿宋_GB2312" w:cs="仿宋_GB2312"/>
          <w:color w:val="auto"/>
          <w:sz w:val="32"/>
          <w:szCs w:val="32"/>
          <w:lang w:val="en-US" w:eastAsia="zh-CN"/>
        </w:rPr>
        <w:t>515.9</w:t>
      </w:r>
      <w:r>
        <w:rPr>
          <w:rFonts w:hint="eastAsia" w:ascii="仿宋_GB2312" w:hAnsi="仿宋_GB2312" w:eastAsia="仿宋_GB2312" w:cs="仿宋_GB2312"/>
          <w:color w:val="auto"/>
          <w:sz w:val="32"/>
          <w:szCs w:val="32"/>
        </w:rPr>
        <w:t>万元。</w:t>
      </w:r>
    </w:p>
    <w:p w14:paraId="045FC0B5">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项目支出，用于专项业务工作的经费支出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项目包括全县职工体检专项资金，武装部遗属门诊补贴费用，城乡居民基本医疗保险专项业务经费，医保网络费用</w:t>
      </w: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年部门预算项目支出预算</w:t>
      </w:r>
      <w:r>
        <w:rPr>
          <w:rFonts w:hint="eastAsia" w:ascii="仿宋_GB2312" w:hAnsi="仿宋_GB2312" w:eastAsia="仿宋_GB2312" w:cs="仿宋_GB2312"/>
          <w:color w:val="auto"/>
          <w:sz w:val="32"/>
          <w:szCs w:val="32"/>
          <w:lang w:eastAsia="zh-CN"/>
        </w:rPr>
        <w:t>收入</w:t>
      </w:r>
      <w:r>
        <w:rPr>
          <w:rFonts w:hint="eastAsia" w:ascii="仿宋_GB2312" w:hAnsi="仿宋_GB2312" w:eastAsia="仿宋_GB2312" w:cs="仿宋_GB2312"/>
          <w:color w:val="auto"/>
          <w:sz w:val="32"/>
          <w:szCs w:val="32"/>
        </w:rPr>
        <w:t>总数</w:t>
      </w:r>
      <w:r>
        <w:rPr>
          <w:rFonts w:hint="eastAsia" w:ascii="仿宋_GB2312" w:hAnsi="仿宋_GB2312" w:eastAsia="仿宋_GB2312" w:cs="仿宋_GB2312"/>
          <w:color w:val="auto"/>
          <w:sz w:val="32"/>
          <w:szCs w:val="32"/>
          <w:lang w:val="en-US" w:eastAsia="zh-CN"/>
        </w:rPr>
        <w:t>796.26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，支出总数为</w:t>
      </w:r>
      <w:r>
        <w:rPr>
          <w:rFonts w:hint="eastAsia" w:ascii="仿宋_GB2312" w:hAnsi="仿宋_GB2312" w:eastAsia="仿宋_GB2312" w:cs="仿宋_GB2312"/>
          <w:color w:val="auto"/>
          <w:sz w:val="32"/>
          <w:szCs w:val="32"/>
          <w:lang w:val="en-US" w:eastAsia="zh-CN"/>
        </w:rPr>
        <w:t>796.26万元</w:t>
      </w:r>
      <w:r>
        <w:rPr>
          <w:rFonts w:hint="eastAsia" w:ascii="仿宋_GB2312" w:hAnsi="仿宋_GB2312" w:eastAsia="仿宋_GB2312" w:cs="仿宋_GB2312"/>
          <w:color w:val="auto"/>
          <w:sz w:val="32"/>
          <w:szCs w:val="32"/>
        </w:rPr>
        <w:t>。</w:t>
      </w:r>
    </w:p>
    <w:p w14:paraId="34673598">
      <w:pPr>
        <w:pStyle w:val="2"/>
        <w:ind w:left="0" w:leftChars="0" w:firstLine="0" w:firstLineChars="0"/>
        <w:rPr>
          <w:rFonts w:hint="eastAsia"/>
          <w:lang w:val="en-US" w:eastAsia="zh-CN"/>
        </w:rPr>
      </w:pPr>
    </w:p>
    <w:p w14:paraId="0854E50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6D57E99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w:t>
      </w:r>
      <w:r>
        <w:rPr>
          <w:rFonts w:hint="eastAsia" w:eastAsia="仿宋_GB2312" w:cs="Times New Roman"/>
          <w:sz w:val="32"/>
          <w:szCs w:val="32"/>
          <w:lang w:val="en-US" w:eastAsia="zh-CN"/>
        </w:rPr>
        <w:t>无</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14:paraId="29E1EDA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5D8597A">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color w:val="auto"/>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5C6FEAC9">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1.人员类项目绩效分析</w:t>
      </w:r>
    </w:p>
    <w:p w14:paraId="238F87B5">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2025年度本单位无此项。</w:t>
      </w:r>
    </w:p>
    <w:p w14:paraId="5BC58B56">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2.运转类项目绩效分析</w:t>
      </w:r>
    </w:p>
    <w:p w14:paraId="14C33549">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2025年度本单位无此项。</w:t>
      </w:r>
    </w:p>
    <w:p w14:paraId="6EE61A3F">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3.特定目标类项目绩效分析</w:t>
      </w:r>
    </w:p>
    <w:p w14:paraId="00E62477">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2025年特定目标类主要包含全县职工体检费，武装部遗属门诊补贴费用，城乡居民基本医疗保险专项业务经费，医保网络费用，4个项目。</w:t>
      </w:r>
    </w:p>
    <w:p w14:paraId="2494D69E">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全县职工体检费是用于确保完善建立干部职工健康体检医疗保障机制，让每一位干部职工及时掌握自身健康状况，做到有病早发现早治疗早预防，有针对性地开展健康教育、健康促进活动的工作。</w:t>
      </w:r>
    </w:p>
    <w:p w14:paraId="12E8DF9A">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武装部遗属门诊补贴费用是用于对武装部遗属门诊医疗费用补助的工作。</w:t>
      </w:r>
    </w:p>
    <w:p w14:paraId="056E2E8D">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城乡居民基本医疗保险专项业务经费是用于确保建立完善城乡居民和城镇职工基本医疗保险服务体系，为全面推动日常工作开展，提高医疗等服务性工作效率。</w:t>
      </w:r>
    </w:p>
    <w:p w14:paraId="5A7CAD89">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医保网络费用是用于保障乡镇服务中心医保专网正常使用。</w:t>
      </w:r>
    </w:p>
    <w:p w14:paraId="2B7B9AA2">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color w:val="auto"/>
          <w:sz w:val="32"/>
          <w:szCs w:val="32"/>
          <w:lang w:val="zh-CN"/>
        </w:rPr>
      </w:pPr>
      <w:r>
        <w:rPr>
          <w:rFonts w:hint="eastAsia" w:ascii="楷体_GB2312" w:hAnsi="楷体_GB2312" w:eastAsia="楷体_GB2312" w:cs="楷体_GB2312"/>
          <w:b/>
          <w:bCs/>
          <w:color w:val="auto"/>
          <w:sz w:val="32"/>
          <w:szCs w:val="32"/>
          <w:lang w:val="en-US" w:eastAsia="zh-CN"/>
        </w:rPr>
        <w:t>（二）</w:t>
      </w:r>
      <w:r>
        <w:rPr>
          <w:rFonts w:hint="eastAsia" w:ascii="楷体_GB2312" w:hAnsi="楷体_GB2312" w:eastAsia="楷体_GB2312" w:cs="楷体_GB2312"/>
          <w:b/>
          <w:bCs/>
          <w:color w:val="auto"/>
          <w:sz w:val="32"/>
          <w:szCs w:val="32"/>
          <w:lang w:val="zh-CN"/>
        </w:rPr>
        <w:t>履职效能。</w:t>
      </w:r>
    </w:p>
    <w:p w14:paraId="7CA7D350">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lang w:val="en-US" w:eastAsia="zh-CN"/>
        </w:rPr>
        <w:t>1.</w:t>
      </w:r>
      <w:r>
        <w:rPr>
          <w:rFonts w:hint="eastAsia" w:ascii="仿宋_GB2312" w:hAnsi="仿宋_GB2312" w:eastAsia="仿宋_GB2312" w:cs="仿宋_GB2312"/>
          <w:b/>
          <w:bCs/>
          <w:color w:val="auto"/>
          <w:kern w:val="0"/>
          <w:sz w:val="32"/>
          <w:szCs w:val="32"/>
        </w:rPr>
        <w:t>办公室</w:t>
      </w:r>
    </w:p>
    <w:p w14:paraId="7128D25E">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负责医保局的行政日常工作，负责会议室的管理工作，</w:t>
      </w:r>
      <w:r>
        <w:rPr>
          <w:rFonts w:hint="eastAsia" w:ascii="仿宋_GB2312" w:hAnsi="仿宋_GB2312" w:eastAsia="仿宋_GB2312" w:cs="仿宋_GB2312"/>
          <w:color w:val="auto"/>
          <w:kern w:val="0"/>
          <w:sz w:val="32"/>
          <w:szCs w:val="32"/>
          <w:lang w:eastAsia="zh-CN"/>
        </w:rPr>
        <w:t>建立健全</w:t>
      </w:r>
      <w:r>
        <w:rPr>
          <w:rFonts w:hint="eastAsia" w:ascii="仿宋_GB2312" w:hAnsi="仿宋_GB2312" w:eastAsia="仿宋_GB2312" w:cs="仿宋_GB2312"/>
          <w:color w:val="auto"/>
          <w:kern w:val="0"/>
          <w:sz w:val="32"/>
          <w:szCs w:val="32"/>
        </w:rPr>
        <w:t>本局的各项规章制度，撰写分析报告。</w:t>
      </w:r>
    </w:p>
    <w:p w14:paraId="7615026F">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负责局文件、报告、会议资料、工作总结等有关文字材料的拟稿、打印、装订，并进行发文的登记管理；</w:t>
      </w:r>
    </w:p>
    <w:p w14:paraId="1F9C8258">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负责公文收发、传递，根据领导的批示要求催办、督促文件的办理执行情况；</w:t>
      </w:r>
    </w:p>
    <w:p w14:paraId="0BD8DC50">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负责整理、建立健全档案管理制度，保管好文书档案；负责有关会议记录，并及时整理会议的有关材料（包括会议纪要、简报等）；</w:t>
      </w:r>
    </w:p>
    <w:p w14:paraId="5B2EC3C2">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负责依照国家相关规定做好公章、法人印章、局介绍信的保管和使用工作，对各种更换的印章负责登记、保管；</w:t>
      </w:r>
    </w:p>
    <w:p w14:paraId="433B9401">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认真做好综合信息的收集、分析、整理并及时、准确向领导汇报；协助领导做好内部管理和服务工作；</w:t>
      </w:r>
    </w:p>
    <w:p w14:paraId="42B1C669">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完成领导交办的其他工作。</w:t>
      </w:r>
    </w:p>
    <w:p w14:paraId="6FFBCBA5">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lang w:val="en-US" w:eastAsia="zh-CN"/>
        </w:rPr>
        <w:t>2.</w:t>
      </w:r>
      <w:r>
        <w:rPr>
          <w:rFonts w:hint="eastAsia" w:ascii="仿宋_GB2312" w:hAnsi="仿宋_GB2312" w:eastAsia="仿宋_GB2312" w:cs="仿宋_GB2312"/>
          <w:b/>
          <w:bCs/>
          <w:color w:val="auto"/>
          <w:kern w:val="0"/>
          <w:sz w:val="32"/>
          <w:szCs w:val="32"/>
        </w:rPr>
        <w:t>审核结算股</w:t>
      </w:r>
    </w:p>
    <w:p w14:paraId="395DB9D3">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负责医疗费用票据报销的审核，认真贯彻执行各种与审核制度有关的</w:t>
      </w:r>
      <w:r>
        <w:rPr>
          <w:rFonts w:hint="eastAsia" w:ascii="仿宋_GB2312" w:hAnsi="仿宋_GB2312" w:eastAsia="仿宋_GB2312" w:cs="仿宋_GB2312"/>
          <w:color w:val="auto"/>
          <w:kern w:val="0"/>
          <w:sz w:val="32"/>
          <w:szCs w:val="32"/>
          <w:lang w:eastAsia="zh-CN"/>
        </w:rPr>
        <w:t>法律法规</w:t>
      </w:r>
      <w:r>
        <w:rPr>
          <w:rFonts w:hint="eastAsia" w:ascii="仿宋_GB2312" w:hAnsi="仿宋_GB2312" w:eastAsia="仿宋_GB2312" w:cs="仿宋_GB2312"/>
          <w:color w:val="auto"/>
          <w:kern w:val="0"/>
          <w:sz w:val="32"/>
          <w:szCs w:val="32"/>
        </w:rPr>
        <w:t>，树立良好的职业道</w:t>
      </w:r>
      <w:r>
        <w:rPr>
          <w:rFonts w:hint="eastAsia" w:ascii="仿宋_GB2312" w:hAnsi="仿宋_GB2312" w:eastAsia="仿宋_GB2312" w:cs="仿宋_GB2312"/>
          <w:color w:val="auto"/>
          <w:kern w:val="0"/>
          <w:sz w:val="32"/>
          <w:szCs w:val="32"/>
          <w:lang w:eastAsia="zh-CN"/>
        </w:rPr>
        <w:t>德和</w:t>
      </w:r>
      <w:r>
        <w:rPr>
          <w:rFonts w:hint="eastAsia" w:ascii="仿宋_GB2312" w:hAnsi="仿宋_GB2312" w:eastAsia="仿宋_GB2312" w:cs="仿宋_GB2312"/>
          <w:color w:val="auto"/>
          <w:kern w:val="0"/>
          <w:sz w:val="32"/>
          <w:szCs w:val="32"/>
        </w:rPr>
        <w:t>坚持原则，秉公办事。</w:t>
      </w:r>
    </w:p>
    <w:p w14:paraId="135D2850">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认真执行国家、省有关医疗保险政策、法规，严格掌握审核标准，杜绝一切不合理医疗消费；</w:t>
      </w:r>
    </w:p>
    <w:p w14:paraId="43CE9098">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负责医疗费用凭据的初审，核定参保人应付金额和应报销金额；</w:t>
      </w:r>
    </w:p>
    <w:p w14:paraId="0E5010B1">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负责初审后医疗费用凭据、个人自付金额和应报销金额的复核，并将复核意见和全部复核凭证交财务科；</w:t>
      </w:r>
    </w:p>
    <w:p w14:paraId="24DD2154">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严格按省医疗保险管理条例和细则要求，办理特殊用药和特殊检查申请的审核和审批手续；</w:t>
      </w:r>
    </w:p>
    <w:p w14:paraId="7A04F05D">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完成领导交办的其他工作任务。</w:t>
      </w:r>
    </w:p>
    <w:p w14:paraId="54AF6D12">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lang w:val="en-US" w:eastAsia="zh-CN"/>
        </w:rPr>
        <w:t>3.</w:t>
      </w:r>
      <w:r>
        <w:rPr>
          <w:rFonts w:hint="eastAsia" w:ascii="仿宋_GB2312" w:hAnsi="仿宋_GB2312" w:eastAsia="仿宋_GB2312" w:cs="仿宋_GB2312"/>
          <w:b/>
          <w:bCs/>
          <w:color w:val="auto"/>
          <w:kern w:val="0"/>
          <w:sz w:val="32"/>
          <w:szCs w:val="32"/>
        </w:rPr>
        <w:t>基金管理股</w:t>
      </w:r>
    </w:p>
    <w:p w14:paraId="2E797AA7">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按照收支两条线，严格遵守《社会保险基金财务制度</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社会保险基金会计制度</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事业单位财务</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事业单位会计制度》执行，定期与银行</w:t>
      </w:r>
      <w:r>
        <w:rPr>
          <w:rFonts w:hint="eastAsia" w:ascii="仿宋_GB2312" w:hAnsi="仿宋_GB2312" w:eastAsia="仿宋_GB2312" w:cs="仿宋_GB2312"/>
          <w:color w:val="auto"/>
          <w:kern w:val="0"/>
          <w:sz w:val="32"/>
          <w:szCs w:val="32"/>
          <w:lang w:eastAsia="zh-CN"/>
        </w:rPr>
        <w:t>进行对账</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确保账</w:t>
      </w:r>
      <w:r>
        <w:rPr>
          <w:rFonts w:hint="eastAsia" w:ascii="仿宋_GB2312" w:hAnsi="仿宋_GB2312" w:eastAsia="仿宋_GB2312" w:cs="仿宋_GB2312"/>
          <w:color w:val="auto"/>
          <w:kern w:val="0"/>
          <w:sz w:val="32"/>
          <w:szCs w:val="32"/>
        </w:rPr>
        <w:t>款相符，保管好空白支票，根据相关政策做好稽核工作。</w:t>
      </w:r>
    </w:p>
    <w:p w14:paraId="4B4F563F">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认真执行国家财经制度、严格掌握经费开支标准、杜绝一切不合理开支。根据经费实际需要，编制年度收支预算，定期分析预算的执行情况。</w:t>
      </w:r>
    </w:p>
    <w:p w14:paraId="132D173C">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负责经费</w:t>
      </w:r>
      <w:r>
        <w:rPr>
          <w:rFonts w:hint="eastAsia" w:ascii="仿宋_GB2312" w:hAnsi="仿宋_GB2312" w:eastAsia="仿宋_GB2312" w:cs="仿宋_GB2312"/>
          <w:color w:val="auto"/>
          <w:kern w:val="0"/>
          <w:sz w:val="32"/>
          <w:szCs w:val="32"/>
          <w:lang w:eastAsia="zh-CN"/>
        </w:rPr>
        <w:t>总账</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明细分类账</w:t>
      </w:r>
      <w:r>
        <w:rPr>
          <w:rFonts w:hint="eastAsia" w:ascii="仿宋_GB2312" w:hAnsi="仿宋_GB2312" w:eastAsia="仿宋_GB2312" w:cs="仿宋_GB2312"/>
          <w:color w:val="auto"/>
          <w:kern w:val="0"/>
          <w:sz w:val="32"/>
          <w:szCs w:val="32"/>
        </w:rPr>
        <w:t>的设置和登记，及时清理往来款项，按期</w:t>
      </w:r>
      <w:r>
        <w:rPr>
          <w:rFonts w:hint="eastAsia" w:ascii="仿宋_GB2312" w:hAnsi="仿宋_GB2312" w:eastAsia="仿宋_GB2312" w:cs="仿宋_GB2312"/>
          <w:color w:val="auto"/>
          <w:kern w:val="0"/>
          <w:sz w:val="32"/>
          <w:szCs w:val="32"/>
          <w:lang w:eastAsia="zh-CN"/>
        </w:rPr>
        <w:t>核对账目</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做到账账账相符</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账表相符</w:t>
      </w:r>
      <w:r>
        <w:rPr>
          <w:rFonts w:hint="eastAsia" w:ascii="仿宋_GB2312" w:hAnsi="仿宋_GB2312" w:eastAsia="仿宋_GB2312" w:cs="仿宋_GB2312"/>
          <w:color w:val="auto"/>
          <w:kern w:val="0"/>
          <w:sz w:val="32"/>
          <w:szCs w:val="32"/>
        </w:rPr>
        <w:t>。</w:t>
      </w:r>
    </w:p>
    <w:p w14:paraId="28B2CB48">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负责编制经费</w:t>
      </w:r>
      <w:r>
        <w:rPr>
          <w:rFonts w:hint="eastAsia" w:ascii="仿宋_GB2312" w:hAnsi="仿宋_GB2312" w:eastAsia="仿宋_GB2312" w:cs="仿宋_GB2312"/>
          <w:color w:val="auto"/>
          <w:kern w:val="0"/>
          <w:sz w:val="32"/>
          <w:szCs w:val="32"/>
          <w:lang w:eastAsia="zh-CN"/>
        </w:rPr>
        <w:t>记账</w:t>
      </w:r>
      <w:r>
        <w:rPr>
          <w:rFonts w:hint="eastAsia" w:ascii="仿宋_GB2312" w:hAnsi="仿宋_GB2312" w:eastAsia="仿宋_GB2312" w:cs="仿宋_GB2312"/>
          <w:color w:val="auto"/>
          <w:kern w:val="0"/>
          <w:sz w:val="32"/>
          <w:szCs w:val="32"/>
        </w:rPr>
        <w:t>凭证和科目汇总表，按制度规定正确使用会计科目。</w:t>
      </w:r>
    </w:p>
    <w:p w14:paraId="60261434">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严格执行经费开支审批报销制度，对超计划和手续不完备，无分管主任签字的开支有权拒绝报销。</w:t>
      </w:r>
    </w:p>
    <w:p w14:paraId="1AF52088">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熟悉和掌握国家财经法规、银行结算纪律、</w:t>
      </w:r>
      <w:r>
        <w:rPr>
          <w:rFonts w:hint="eastAsia" w:ascii="仿宋_GB2312" w:hAnsi="仿宋_GB2312" w:eastAsia="仿宋_GB2312" w:cs="仿宋_GB2312"/>
          <w:color w:val="auto"/>
          <w:kern w:val="0"/>
          <w:sz w:val="32"/>
          <w:szCs w:val="32"/>
          <w:lang w:eastAsia="zh-CN"/>
        </w:rPr>
        <w:t>现金管理暂行条例</w:t>
      </w:r>
      <w:r>
        <w:rPr>
          <w:rFonts w:hint="eastAsia" w:ascii="仿宋_GB2312" w:hAnsi="仿宋_GB2312" w:eastAsia="仿宋_GB2312" w:cs="仿宋_GB2312"/>
          <w:color w:val="auto"/>
          <w:kern w:val="0"/>
          <w:sz w:val="32"/>
          <w:szCs w:val="32"/>
        </w:rPr>
        <w:t>及有关规章制度。</w:t>
      </w:r>
    </w:p>
    <w:p w14:paraId="31794A99">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严格执行基金“收支两条线”管理规定，做好银行收支</w:t>
      </w:r>
      <w:r>
        <w:rPr>
          <w:rFonts w:hint="eastAsia" w:ascii="仿宋_GB2312" w:hAnsi="仿宋_GB2312" w:eastAsia="仿宋_GB2312" w:cs="仿宋_GB2312"/>
          <w:color w:val="auto"/>
          <w:kern w:val="0"/>
          <w:sz w:val="32"/>
          <w:szCs w:val="32"/>
          <w:lang w:eastAsia="zh-CN"/>
        </w:rPr>
        <w:t>账户及其他账户的</w:t>
      </w:r>
      <w:r>
        <w:rPr>
          <w:rFonts w:hint="eastAsia" w:ascii="仿宋_GB2312" w:hAnsi="仿宋_GB2312" w:eastAsia="仿宋_GB2312" w:cs="仿宋_GB2312"/>
          <w:color w:val="auto"/>
          <w:kern w:val="0"/>
          <w:sz w:val="32"/>
          <w:szCs w:val="32"/>
        </w:rPr>
        <w:t>日常结算，掌握银行余额的变化情况。</w:t>
      </w:r>
    </w:p>
    <w:p w14:paraId="77F0087A">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w:t>
      </w:r>
      <w:r>
        <w:rPr>
          <w:rFonts w:hint="eastAsia" w:ascii="仿宋_GB2312" w:hAnsi="仿宋_GB2312" w:eastAsia="仿宋_GB2312" w:cs="仿宋_GB2312"/>
          <w:color w:val="auto"/>
          <w:kern w:val="0"/>
          <w:sz w:val="32"/>
          <w:szCs w:val="32"/>
          <w:lang w:eastAsia="zh-CN"/>
        </w:rPr>
        <w:t>现金日记账</w:t>
      </w:r>
      <w:r>
        <w:rPr>
          <w:rFonts w:hint="eastAsia" w:ascii="仿宋_GB2312" w:hAnsi="仿宋_GB2312" w:eastAsia="仿宋_GB2312" w:cs="仿宋_GB2312"/>
          <w:color w:val="auto"/>
          <w:kern w:val="0"/>
          <w:sz w:val="32"/>
          <w:szCs w:val="32"/>
        </w:rPr>
        <w:t>、银行存款</w:t>
      </w:r>
      <w:r>
        <w:rPr>
          <w:rFonts w:hint="eastAsia" w:ascii="仿宋_GB2312" w:hAnsi="仿宋_GB2312" w:eastAsia="仿宋_GB2312" w:cs="仿宋_GB2312"/>
          <w:color w:val="auto"/>
          <w:kern w:val="0"/>
          <w:sz w:val="32"/>
          <w:szCs w:val="32"/>
          <w:lang w:eastAsia="zh-CN"/>
        </w:rPr>
        <w:t>日记账的记账</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算账</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对账</w:t>
      </w:r>
      <w:r>
        <w:rPr>
          <w:rFonts w:hint="eastAsia" w:ascii="仿宋_GB2312" w:hAnsi="仿宋_GB2312" w:eastAsia="仿宋_GB2312" w:cs="仿宋_GB2312"/>
          <w:color w:val="auto"/>
          <w:kern w:val="0"/>
          <w:sz w:val="32"/>
          <w:szCs w:val="32"/>
        </w:rPr>
        <w:t>工作，做到日清月结、</w:t>
      </w:r>
      <w:r>
        <w:rPr>
          <w:rFonts w:hint="eastAsia" w:ascii="仿宋_GB2312" w:hAnsi="仿宋_GB2312" w:eastAsia="仿宋_GB2312" w:cs="仿宋_GB2312"/>
          <w:color w:val="auto"/>
          <w:kern w:val="0"/>
          <w:sz w:val="32"/>
          <w:szCs w:val="32"/>
          <w:lang w:eastAsia="zh-CN"/>
        </w:rPr>
        <w:t>账账相符</w:t>
      </w:r>
      <w:r>
        <w:rPr>
          <w:rFonts w:hint="eastAsia" w:ascii="仿宋_GB2312" w:hAnsi="仿宋_GB2312" w:eastAsia="仿宋_GB2312" w:cs="仿宋_GB2312"/>
          <w:color w:val="auto"/>
          <w:kern w:val="0"/>
          <w:sz w:val="32"/>
          <w:szCs w:val="32"/>
        </w:rPr>
        <w:t>。</w:t>
      </w:r>
    </w:p>
    <w:p w14:paraId="1E8F5A47">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严格按现金管理规定，做好现金收支结算。不超库存限额、不坐支，不以白条顶替现金，每日核对库存余额，保证</w:t>
      </w:r>
      <w:r>
        <w:rPr>
          <w:rFonts w:hint="eastAsia" w:ascii="仿宋_GB2312" w:hAnsi="仿宋_GB2312" w:eastAsia="仿宋_GB2312" w:cs="仿宋_GB2312"/>
          <w:color w:val="auto"/>
          <w:kern w:val="0"/>
          <w:sz w:val="32"/>
          <w:szCs w:val="32"/>
          <w:lang w:eastAsia="zh-CN"/>
        </w:rPr>
        <w:t>账款</w:t>
      </w:r>
      <w:r>
        <w:rPr>
          <w:rFonts w:hint="eastAsia" w:ascii="仿宋_GB2312" w:hAnsi="仿宋_GB2312" w:eastAsia="仿宋_GB2312" w:cs="仿宋_GB2312"/>
          <w:color w:val="auto"/>
          <w:kern w:val="0"/>
          <w:sz w:val="32"/>
          <w:szCs w:val="32"/>
        </w:rPr>
        <w:t>相符。</w:t>
      </w:r>
    </w:p>
    <w:p w14:paraId="5E24F1CF">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9</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严格审核原始凭证，对内容不全、字迹不清、责任不明确、涂改、金额不符的原始凭证有权拒绝付款。</w:t>
      </w:r>
    </w:p>
    <w:p w14:paraId="3B688995">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按月编制银行存款余额调节表，发现问题立即查询，及时清理</w:t>
      </w:r>
      <w:r>
        <w:rPr>
          <w:rFonts w:hint="eastAsia" w:ascii="仿宋_GB2312" w:hAnsi="仿宋_GB2312" w:eastAsia="仿宋_GB2312" w:cs="仿宋_GB2312"/>
          <w:color w:val="auto"/>
          <w:kern w:val="0"/>
          <w:sz w:val="32"/>
          <w:szCs w:val="32"/>
          <w:lang w:eastAsia="zh-CN"/>
        </w:rPr>
        <w:t>未达账项</w:t>
      </w:r>
      <w:r>
        <w:rPr>
          <w:rFonts w:hint="eastAsia" w:ascii="仿宋_GB2312" w:hAnsi="仿宋_GB2312" w:eastAsia="仿宋_GB2312" w:cs="仿宋_GB2312"/>
          <w:color w:val="auto"/>
          <w:kern w:val="0"/>
          <w:sz w:val="32"/>
          <w:szCs w:val="32"/>
        </w:rPr>
        <w:t>。</w:t>
      </w:r>
    </w:p>
    <w:p w14:paraId="1A92D4AD">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负责保管空白支票、空白收据及各种有关证件。建立支票、收据领用登记本，签发支票时内容填写完整，保证银行存款不空头。对因管理不严而造成支票丢失的，要承担相应责任。</w:t>
      </w:r>
    </w:p>
    <w:p w14:paraId="3DD5ACA8">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12</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完成领导交办的其他工作。</w:t>
      </w:r>
    </w:p>
    <w:p w14:paraId="39B3FD2B">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b/>
          <w:bCs/>
          <w:color w:val="auto"/>
          <w:kern w:val="0"/>
          <w:sz w:val="32"/>
          <w:szCs w:val="32"/>
        </w:rPr>
      </w:pPr>
      <w:r>
        <w:rPr>
          <w:rFonts w:hint="eastAsia" w:ascii="仿宋_GB2312" w:hAnsi="仿宋_GB2312" w:eastAsia="仿宋_GB2312" w:cs="仿宋_GB2312"/>
          <w:b/>
          <w:bCs/>
          <w:color w:val="auto"/>
          <w:kern w:val="0"/>
          <w:sz w:val="32"/>
          <w:szCs w:val="32"/>
          <w:lang w:val="en-US" w:eastAsia="zh-CN"/>
        </w:rPr>
        <w:t>4.</w:t>
      </w:r>
      <w:r>
        <w:rPr>
          <w:rFonts w:hint="eastAsia" w:ascii="仿宋_GB2312" w:hAnsi="仿宋_GB2312" w:eastAsia="仿宋_GB2312" w:cs="仿宋_GB2312"/>
          <w:b/>
          <w:bCs/>
          <w:color w:val="auto"/>
          <w:kern w:val="0"/>
          <w:sz w:val="32"/>
          <w:szCs w:val="32"/>
        </w:rPr>
        <w:t>筹股</w:t>
      </w:r>
    </w:p>
    <w:p w14:paraId="73EF8C9D">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负责管理好全县参保职工的个人台账，负责制定本部门的发展规划，完成好本部门的工作计划，为确保工作顺利完成，制定出相应的对策，做好稽核工作。负责本</w:t>
      </w:r>
      <w:r>
        <w:rPr>
          <w:rFonts w:hint="eastAsia" w:ascii="仿宋_GB2312" w:hAnsi="仿宋_GB2312" w:eastAsia="仿宋_GB2312" w:cs="仿宋_GB2312"/>
          <w:color w:val="auto"/>
          <w:kern w:val="0"/>
          <w:sz w:val="32"/>
          <w:szCs w:val="32"/>
          <w:lang w:eastAsia="zh-CN"/>
        </w:rPr>
        <w:t>部门</w:t>
      </w:r>
      <w:r>
        <w:rPr>
          <w:rFonts w:hint="eastAsia" w:ascii="仿宋_GB2312" w:hAnsi="仿宋_GB2312" w:eastAsia="仿宋_GB2312" w:cs="仿宋_GB2312"/>
          <w:color w:val="auto"/>
          <w:kern w:val="0"/>
          <w:sz w:val="32"/>
          <w:szCs w:val="32"/>
        </w:rPr>
        <w:t>各种数据的分析和整理，制定与自己工作范围相适应的各种工作计划和规划，对平时自己的工作进行总结、分析，解决统计工作中的实际困难与问题。撰写调查报告和工作总结。</w:t>
      </w:r>
    </w:p>
    <w:p w14:paraId="3B1008AF">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认真贯彻执行《</w:t>
      </w:r>
      <w:r>
        <w:rPr>
          <w:rFonts w:hint="eastAsia" w:ascii="仿宋_GB2312" w:hAnsi="仿宋_GB2312" w:eastAsia="仿宋_GB2312" w:cs="仿宋_GB2312"/>
          <w:color w:val="auto"/>
          <w:kern w:val="0"/>
          <w:sz w:val="32"/>
          <w:szCs w:val="32"/>
          <w:lang w:eastAsia="zh-CN"/>
        </w:rPr>
        <w:t>中华人民共和国统计法</w:t>
      </w:r>
      <w:r>
        <w:rPr>
          <w:rFonts w:hint="eastAsia" w:ascii="仿宋_GB2312" w:hAnsi="仿宋_GB2312" w:eastAsia="仿宋_GB2312" w:cs="仿宋_GB2312"/>
          <w:color w:val="auto"/>
          <w:kern w:val="0"/>
          <w:sz w:val="32"/>
          <w:szCs w:val="32"/>
        </w:rPr>
        <w:t>》和国家、省劳动和社会保障厅有关规定。</w:t>
      </w:r>
    </w:p>
    <w:p w14:paraId="11D79EC0">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结合局医疗保险基金业务运行特点，建立和完善统计数据库，监督和定期检查统计信息质量及管理工作。</w:t>
      </w:r>
    </w:p>
    <w:p w14:paraId="5FB233E4">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负责编制月、季、年统计报表和综合分析报告，做到内容完整，数据准确。</w:t>
      </w:r>
    </w:p>
    <w:p w14:paraId="4B10DFC9">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负责统计资料的收集、整理，汇编统计年鉴，按时向领导提供完整、准确的统计信息。</w:t>
      </w:r>
    </w:p>
    <w:p w14:paraId="4E95BE5D">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定期深入调查研究，针对统计信息工作中存在的问题提出改进措施建议。</w:t>
      </w:r>
    </w:p>
    <w:p w14:paraId="2010FFE1">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加强业务知识和计算机管理程序的学习，提高自身业务素质。</w:t>
      </w:r>
    </w:p>
    <w:p w14:paraId="24D92E6D">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对参保单位及人员进行保险登记。</w:t>
      </w:r>
    </w:p>
    <w:p w14:paraId="3C1691D5">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核定缴费基数，并按核定的缴费基数编制征集计划。</w:t>
      </w:r>
    </w:p>
    <w:p w14:paraId="05F8AF0F">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9</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依据核定的缴费基数，开具征缴通知书，通过“收入户”征集。</w:t>
      </w:r>
    </w:p>
    <w:p w14:paraId="66BECBA5">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整理汇总保险费收缴情况，对已办理登记但未及时、足额缴纳的单位，及时向其发出《催缴通知书》，对拒不</w:t>
      </w:r>
      <w:r>
        <w:rPr>
          <w:rFonts w:hint="eastAsia" w:ascii="仿宋_GB2312" w:hAnsi="仿宋_GB2312" w:eastAsia="仿宋_GB2312" w:cs="仿宋_GB2312"/>
          <w:color w:val="auto"/>
          <w:kern w:val="0"/>
          <w:sz w:val="32"/>
          <w:szCs w:val="32"/>
          <w:lang w:eastAsia="zh-CN"/>
        </w:rPr>
        <w:t>缴纳</w:t>
      </w:r>
      <w:r>
        <w:rPr>
          <w:rFonts w:hint="eastAsia" w:ascii="仿宋_GB2312" w:hAnsi="仿宋_GB2312" w:eastAsia="仿宋_GB2312" w:cs="仿宋_GB2312"/>
          <w:color w:val="auto"/>
          <w:kern w:val="0"/>
          <w:sz w:val="32"/>
          <w:szCs w:val="32"/>
        </w:rPr>
        <w:t>者，按有关规定执行。</w:t>
      </w:r>
    </w:p>
    <w:p w14:paraId="7E2F877F">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审核办理机关事业单位医疗保险的人员增减、转移、终止变更工作。</w:t>
      </w:r>
    </w:p>
    <w:p w14:paraId="0BCDFCBD">
      <w:pPr>
        <w:keepNext w:val="0"/>
        <w:keepLines w:val="0"/>
        <w:pageBreakBefore w:val="0"/>
        <w:widowControl w:val="0"/>
        <w:kinsoku/>
        <w:wordWrap/>
        <w:overflowPunct/>
        <w:topLinePunct w:val="0"/>
        <w:autoSpaceDE w:val="0"/>
        <w:autoSpaceDN w:val="0"/>
        <w:bidi w:val="0"/>
        <w:adjustRightInd w:val="0"/>
        <w:spacing w:afterAutospacing="0" w:line="578" w:lineRule="exact"/>
        <w:ind w:left="0" w:leftChars="0" w:right="0" w:firstLine="64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12</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按单位上报情况，定期核定职工</w:t>
      </w:r>
      <w:r>
        <w:rPr>
          <w:rFonts w:hint="eastAsia" w:ascii="仿宋_GB2312" w:hAnsi="仿宋_GB2312" w:eastAsia="仿宋_GB2312" w:cs="仿宋_GB2312"/>
          <w:color w:val="auto"/>
          <w:kern w:val="0"/>
          <w:sz w:val="32"/>
          <w:szCs w:val="32"/>
          <w:lang w:eastAsia="zh-CN"/>
        </w:rPr>
        <w:t>人数</w:t>
      </w:r>
      <w:r>
        <w:rPr>
          <w:rFonts w:hint="eastAsia" w:ascii="仿宋_GB2312" w:hAnsi="仿宋_GB2312" w:eastAsia="仿宋_GB2312" w:cs="仿宋_GB2312"/>
          <w:color w:val="auto"/>
          <w:kern w:val="0"/>
          <w:sz w:val="32"/>
          <w:szCs w:val="32"/>
        </w:rPr>
        <w:t>进行基数调整。</w:t>
      </w:r>
    </w:p>
    <w:p w14:paraId="7B5C484C">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13</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完成领导交办的其他工作。</w:t>
      </w:r>
    </w:p>
    <w:p w14:paraId="55B32428">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en-US" w:eastAsia="zh-CN"/>
        </w:rPr>
        <w:t>（三）</w:t>
      </w:r>
      <w:r>
        <w:rPr>
          <w:rFonts w:hint="eastAsia" w:ascii="楷体_GB2312" w:hAnsi="楷体_GB2312" w:eastAsia="楷体_GB2312" w:cs="楷体_GB2312"/>
          <w:b/>
          <w:bCs/>
          <w:color w:val="auto"/>
          <w:sz w:val="32"/>
          <w:szCs w:val="32"/>
          <w:lang w:val="zh-CN"/>
        </w:rPr>
        <w:t>预算管理。</w:t>
      </w:r>
    </w:p>
    <w:p w14:paraId="38AE1939">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加强预算管理，推进厉行节约、规范财务行为，2024年松潘县医疗保障局修订完善了《松潘县医疗保障局预算管理规定》，对预算编制、预算编制责任分工、预算执行及分析、预算调整、决算编制、预算绩效管理等内容作出了明确规定，预算管理制度健全。由党组会确定预算年度重点工作任务，并将任务分解到各股室，业务根据下达的工作任务提出预算项目经费需求，财务汇总预算数据，报局党组会审议后，形成当年部门预算。</w:t>
      </w:r>
    </w:p>
    <w:p w14:paraId="72491FA9">
      <w:pPr>
        <w:keepNext w:val="0"/>
        <w:keepLines w:val="0"/>
        <w:pageBreakBefore w:val="0"/>
        <w:widowControl w:val="0"/>
        <w:kinsoku/>
        <w:wordWrap/>
        <w:overflowPunct/>
        <w:topLinePunct w:val="0"/>
        <w:bidi w:val="0"/>
        <w:spacing w:afterAutospacing="0" w:line="578" w:lineRule="exact"/>
        <w:ind w:left="0" w:leftChars="0" w:right="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在预算编制时基本按照相关预算编制文件要求编制单位2025年部门预算，落实了人员经费支出定员定额管理控制的要求，亦编制了部门整体支出绩效目标和部门项目绩效目标。</w:t>
      </w:r>
    </w:p>
    <w:p w14:paraId="7DEBEB8A">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查阅预算编制相关资料，部门按当年重点工作任务对预算资金进行分解安排，但在预算测算过程中还不够细化，只按分项罗列了预算金额，未具体测算到数量、单价等明细内容；在预算执行方面，预算执行监控到位，发现预算执行存在困难，及时进行了预算调整，年度预算执行进度较好。总体来看松潘县公共就业和人才交流服务中心在预算编制、预算执行、项目库管理等方面比较规范。</w:t>
      </w:r>
    </w:p>
    <w:p w14:paraId="62D93053">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color w:val="auto"/>
          <w:sz w:val="32"/>
          <w:szCs w:val="32"/>
          <w:lang w:val="zh-CN"/>
        </w:rPr>
      </w:pPr>
      <w:r>
        <w:rPr>
          <w:rFonts w:hint="eastAsia" w:ascii="楷体_GB2312" w:hAnsi="楷体_GB2312" w:eastAsia="楷体_GB2312" w:cs="楷体_GB2312"/>
          <w:b/>
          <w:bCs/>
          <w:color w:val="auto"/>
          <w:sz w:val="32"/>
          <w:szCs w:val="32"/>
          <w:lang w:val="en-US" w:eastAsia="zh-CN"/>
        </w:rPr>
        <w:t>（四）</w:t>
      </w:r>
      <w:r>
        <w:rPr>
          <w:rFonts w:hint="eastAsia" w:ascii="楷体_GB2312" w:hAnsi="楷体_GB2312" w:eastAsia="楷体_GB2312" w:cs="楷体_GB2312"/>
          <w:b/>
          <w:bCs/>
          <w:color w:val="auto"/>
          <w:sz w:val="32"/>
          <w:szCs w:val="32"/>
          <w:lang w:val="zh-CN"/>
        </w:rPr>
        <w:t>财务管理。</w:t>
      </w:r>
    </w:p>
    <w:p w14:paraId="3C9B5B00">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rPr>
        <w:t>松潘县</w:t>
      </w:r>
      <w:r>
        <w:rPr>
          <w:rFonts w:hint="eastAsia" w:ascii="仿宋_GB2312" w:hAnsi="仿宋_GB2312" w:eastAsia="仿宋_GB2312" w:cs="仿宋_GB2312"/>
          <w:color w:val="auto"/>
          <w:sz w:val="32"/>
          <w:szCs w:val="32"/>
          <w:lang w:val="en-US" w:eastAsia="zh-CN"/>
        </w:rPr>
        <w:t>医疗保障局</w:t>
      </w:r>
      <w:r>
        <w:rPr>
          <w:rFonts w:hint="eastAsia" w:ascii="仿宋_GB2312" w:hAnsi="仿宋_GB2312" w:eastAsia="仿宋_GB2312" w:cs="仿宋_GB2312"/>
          <w:color w:val="auto"/>
          <w:sz w:val="32"/>
          <w:szCs w:val="32"/>
          <w:lang w:val="zh-CN"/>
        </w:rPr>
        <w:t>202</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val="zh-CN"/>
        </w:rPr>
        <w:t>年修订了《制度汇编》，对“三重一大”事项决策、预算管理、收入管理、支出管理、报销管理、会计档案管理、“三公”经费支出、合同管理等方面的管理程序进行了明确。各科室根据下年度业务工作计划安排，结合编制口径要求，会同财务科平衡汇总后完成预算的具体编制，由单位负责人审定后报松潘县财政处归口编制。专项资金年度支出编制：松潘县</w:t>
      </w:r>
      <w:r>
        <w:rPr>
          <w:rFonts w:hint="eastAsia" w:ascii="仿宋_GB2312" w:hAnsi="仿宋_GB2312" w:eastAsia="仿宋_GB2312" w:cs="仿宋_GB2312"/>
          <w:color w:val="auto"/>
          <w:sz w:val="32"/>
          <w:szCs w:val="32"/>
          <w:lang w:val="en-US" w:eastAsia="zh-CN"/>
        </w:rPr>
        <w:t>医疗保障局</w:t>
      </w:r>
      <w:r>
        <w:rPr>
          <w:rFonts w:hint="eastAsia" w:ascii="仿宋_GB2312" w:hAnsi="仿宋_GB2312" w:eastAsia="仿宋_GB2312" w:cs="仿宋_GB2312"/>
          <w:color w:val="auto"/>
          <w:sz w:val="32"/>
          <w:szCs w:val="32"/>
          <w:lang w:val="zh-CN"/>
        </w:rPr>
        <w:t>在取得财政经费预算批复通知后，在额度范围内编制。追加预算编制的审定：涉及单位追加预算的项目，由归口部门会同松潘县公共就业和人才交流服务中心拟制预算报告，报单位负责人审定后，按相关程序向松潘县财政局或经费对口部门报批。</w:t>
      </w:r>
    </w:p>
    <w:p w14:paraId="590FCA8D">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color w:val="auto"/>
          <w:sz w:val="32"/>
          <w:szCs w:val="32"/>
          <w:lang w:val="zh-CN"/>
        </w:rPr>
      </w:pPr>
      <w:r>
        <w:rPr>
          <w:rFonts w:hint="eastAsia" w:ascii="楷体_GB2312" w:hAnsi="楷体_GB2312" w:eastAsia="楷体_GB2312" w:cs="楷体_GB2312"/>
          <w:b/>
          <w:bCs/>
          <w:color w:val="auto"/>
          <w:sz w:val="32"/>
          <w:szCs w:val="32"/>
          <w:lang w:val="en-US" w:eastAsia="zh-CN"/>
        </w:rPr>
        <w:t>（五）</w:t>
      </w:r>
      <w:r>
        <w:rPr>
          <w:rFonts w:hint="eastAsia" w:ascii="楷体_GB2312" w:hAnsi="楷体_GB2312" w:eastAsia="楷体_GB2312" w:cs="楷体_GB2312"/>
          <w:b/>
          <w:bCs/>
          <w:color w:val="auto"/>
          <w:sz w:val="32"/>
          <w:szCs w:val="32"/>
          <w:lang w:val="zh-CN"/>
        </w:rPr>
        <w:t>资产管理。</w:t>
      </w:r>
    </w:p>
    <w:p w14:paraId="54263496">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制定了《资产管理制度》，对单位资产配置管理、资产使用管理、资产处置管理、资产财务管理等方面进行了规定，但未制定无形资产管理制度及资产维修维护管理规定。松潘县公共就业和人才交流服务中心基本按照上述管理制度实施了资产采购和日常管理。</w:t>
      </w:r>
    </w:p>
    <w:p w14:paraId="6002FAD3">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en-US" w:eastAsia="zh-CN"/>
        </w:rPr>
        <w:t>（六）</w:t>
      </w:r>
      <w:r>
        <w:rPr>
          <w:rFonts w:hint="eastAsia" w:ascii="楷体_GB2312" w:hAnsi="楷体_GB2312" w:eastAsia="楷体_GB2312" w:cs="楷体_GB2312"/>
          <w:b/>
          <w:bCs/>
          <w:color w:val="auto"/>
          <w:sz w:val="32"/>
          <w:szCs w:val="32"/>
          <w:lang w:val="zh-CN"/>
        </w:rPr>
        <w:t>采购管理。</w:t>
      </w:r>
    </w:p>
    <w:p w14:paraId="7A7C6740">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zh-CN"/>
        </w:rPr>
        <w:t>2023年修订完善了《</w:t>
      </w:r>
      <w:r>
        <w:rPr>
          <w:rFonts w:hint="eastAsia" w:ascii="仿宋_GB2312" w:hAnsi="仿宋_GB2312" w:eastAsia="仿宋_GB2312" w:cs="仿宋_GB2312"/>
          <w:color w:val="auto"/>
          <w:sz w:val="32"/>
          <w:szCs w:val="32"/>
          <w:lang w:val="zh-CN" w:eastAsia="zh-CN"/>
        </w:rPr>
        <w:t>松潘县</w:t>
      </w:r>
      <w:r>
        <w:rPr>
          <w:rFonts w:hint="eastAsia" w:ascii="仿宋_GB2312" w:hAnsi="仿宋_GB2312" w:eastAsia="仿宋_GB2312" w:cs="仿宋_GB2312"/>
          <w:color w:val="auto"/>
          <w:sz w:val="32"/>
          <w:szCs w:val="32"/>
          <w:lang w:val="en-US" w:eastAsia="zh-CN"/>
        </w:rPr>
        <w:t>医疗保障局</w:t>
      </w:r>
      <w:r>
        <w:rPr>
          <w:rFonts w:hint="eastAsia" w:ascii="仿宋_GB2312" w:hAnsi="仿宋_GB2312" w:eastAsia="仿宋_GB2312" w:cs="仿宋_GB2312"/>
          <w:color w:val="auto"/>
          <w:sz w:val="32"/>
          <w:szCs w:val="32"/>
          <w:lang w:val="zh-CN"/>
        </w:rPr>
        <w:t>政府采购内部控制管理办法》，对管理机构与职责、工作岗位设置、政府采购组织形式及方式、政府采购程序、政府采购档案管理及监督检查进行了规定，管理制度较健全。202</w:t>
      </w:r>
      <w:r>
        <w:rPr>
          <w:rFonts w:hint="eastAsia" w:ascii="仿宋_GB2312" w:hAnsi="仿宋_GB2312" w:eastAsia="仿宋_GB2312" w:cs="仿宋_GB2312"/>
          <w:color w:val="auto"/>
          <w:sz w:val="32"/>
          <w:szCs w:val="32"/>
          <w:lang w:val="en-US" w:eastAsia="zh-CN"/>
        </w:rPr>
        <w:t>5年</w:t>
      </w:r>
      <w:r>
        <w:rPr>
          <w:rFonts w:hint="eastAsia" w:ascii="仿宋_GB2312" w:hAnsi="仿宋_GB2312" w:eastAsia="仿宋_GB2312" w:cs="仿宋_GB2312"/>
          <w:color w:val="auto"/>
          <w:sz w:val="32"/>
          <w:szCs w:val="32"/>
          <w:lang w:val="zh-CN"/>
        </w:rPr>
        <w:t>政府采购支出</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val="zh-CN"/>
        </w:rPr>
        <w:t>万元。</w:t>
      </w:r>
    </w:p>
    <w:p w14:paraId="0DA11948">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w:t>
      </w:r>
      <w:r>
        <w:rPr>
          <w:rFonts w:hint="eastAsia" w:ascii="黑体" w:hAnsi="黑体" w:eastAsia="黑体" w:cs="黑体"/>
          <w:b w:val="0"/>
          <w:bCs w:val="0"/>
          <w:color w:val="auto"/>
          <w:sz w:val="32"/>
          <w:szCs w:val="32"/>
          <w:lang w:val="zh-CN"/>
        </w:rPr>
        <w:t>部门预算项目绩效分析。</w:t>
      </w:r>
    </w:p>
    <w:p w14:paraId="66E9FAD1">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2025年特定目标类主要包含全县职工体检费，武装部遗属门诊补贴费用，城乡居民基本医疗保险专项业务经费，医保网络费用，4个项目。年底总支出为796.26万元。</w:t>
      </w:r>
    </w:p>
    <w:p w14:paraId="7ADF5810">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本年度全县职工体检费是用于确保完善建立干部职工健康体检医疗保障机制，让每一位干部职工及时掌握自身健康状况，做到有病早发现早治疗早预防，有针对性地开展健康教育、健康促进活动的工作。</w:t>
      </w:r>
    </w:p>
    <w:p w14:paraId="521606E2">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武装部遗属门诊补贴费用是用于对武装部遗属门诊医疗费用补助的工作。</w:t>
      </w:r>
    </w:p>
    <w:p w14:paraId="2DF20148">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城乡居民基本医疗保险专项业务经费是用于确保建立完善城乡居民和城镇职工基本医疗保险服务体系，为全面推动日常工作开展，提高医疗等服务性工作效率。</w:t>
      </w:r>
    </w:p>
    <w:p w14:paraId="71AC3AB3">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医保网络费用是用于保障乡镇服务中心医保专网正常使用。</w:t>
      </w:r>
    </w:p>
    <w:p w14:paraId="23965BD4">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仿宋_GB2312" w:hAnsi="仿宋_GB2312" w:eastAsia="仿宋_GB2312" w:cs="仿宋_GB2312"/>
          <w:b/>
          <w:bCs/>
          <w:color w:val="auto"/>
          <w:sz w:val="32"/>
          <w:szCs w:val="32"/>
          <w:lang w:val="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val="zh-CN"/>
        </w:rPr>
        <w:t>项目决策。</w:t>
      </w:r>
    </w:p>
    <w:p w14:paraId="25EC551B">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2025年我单位整体绩效自评</w:t>
      </w:r>
      <w:r>
        <w:rPr>
          <w:rFonts w:hint="eastAsia" w:ascii="仿宋_GB2312" w:hAnsi="仿宋_GB2312" w:eastAsia="仿宋_GB2312" w:cs="仿宋_GB2312"/>
          <w:color w:val="auto"/>
          <w:sz w:val="32"/>
          <w:szCs w:val="32"/>
          <w:lang w:eastAsia="zh-CN"/>
        </w:rPr>
        <w:t>决策程序严密，项目绩效目标设置科学合理。项目资金与项目总体规划、相关行业事业发展相匹配，聚焦重大任务、重点领域、重点环节和重点项目。项目制度办法体系健全、要素完备。</w:t>
      </w:r>
    </w:p>
    <w:p w14:paraId="7275E5CF">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仿宋_GB2312" w:hAnsi="仿宋_GB2312" w:eastAsia="仿宋_GB2312" w:cs="仿宋_GB2312"/>
          <w:b/>
          <w:bCs/>
          <w:color w:val="auto"/>
          <w:sz w:val="32"/>
          <w:szCs w:val="32"/>
          <w:lang w:val="zh-CN"/>
        </w:rPr>
      </w:pPr>
      <w:r>
        <w:rPr>
          <w:rFonts w:hint="eastAsia" w:ascii="仿宋_GB2312" w:hAnsi="仿宋_GB2312" w:eastAsia="仿宋_GB2312" w:cs="仿宋_GB2312"/>
          <w:b/>
          <w:bCs/>
          <w:color w:val="auto"/>
          <w:sz w:val="32"/>
          <w:szCs w:val="32"/>
          <w:lang w:val="en-US" w:eastAsia="zh-CN"/>
        </w:rPr>
        <w:t>2.项目执行</w:t>
      </w:r>
      <w:r>
        <w:rPr>
          <w:rFonts w:hint="eastAsia" w:ascii="仿宋_GB2312" w:hAnsi="仿宋_GB2312" w:eastAsia="仿宋_GB2312" w:cs="仿宋_GB2312"/>
          <w:b/>
          <w:bCs/>
          <w:color w:val="auto"/>
          <w:sz w:val="32"/>
          <w:szCs w:val="32"/>
          <w:lang w:val="zh-CN"/>
        </w:rPr>
        <w:t>。</w:t>
      </w:r>
    </w:p>
    <w:p w14:paraId="088FD695">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zh-CN"/>
        </w:rPr>
      </w:pPr>
      <w:r>
        <w:rPr>
          <w:rFonts w:hint="eastAsia" w:ascii="仿宋_GB2312" w:hAnsi="仿宋_GB2312" w:eastAsia="仿宋_GB2312" w:cs="仿宋_GB2312"/>
          <w:color w:val="auto"/>
          <w:sz w:val="32"/>
          <w:szCs w:val="32"/>
          <w:lang w:val="en-US" w:eastAsia="zh-CN"/>
        </w:rPr>
        <w:t>2025年我单位</w:t>
      </w:r>
      <w:r>
        <w:rPr>
          <w:rFonts w:hint="eastAsia" w:ascii="仿宋_GB2312" w:hAnsi="仿宋_GB2312" w:eastAsia="仿宋_GB2312" w:cs="仿宋_GB2312"/>
          <w:color w:val="auto"/>
          <w:sz w:val="32"/>
          <w:szCs w:val="32"/>
          <w:lang w:val="zh-CN"/>
        </w:rPr>
        <w:t>项目资金分配因素选取、权重设置、区域分布，项目管理、审批符合管理要求，管资金、管项目、管政策、管绩效，项目绩效监管按要求开展，对下指导有力有效。</w:t>
      </w:r>
    </w:p>
    <w:p w14:paraId="3505E588">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仿宋_GB2312" w:hAnsi="仿宋_GB2312" w:eastAsia="仿宋_GB2312" w:cs="仿宋_GB2312"/>
          <w:b/>
          <w:bCs/>
          <w:color w:val="auto"/>
          <w:sz w:val="32"/>
          <w:szCs w:val="32"/>
          <w:lang w:val="zh-CN"/>
        </w:rPr>
      </w:pPr>
      <w:r>
        <w:rPr>
          <w:rFonts w:hint="eastAsia" w:ascii="仿宋_GB2312" w:hAnsi="仿宋_GB2312" w:eastAsia="仿宋_GB2312" w:cs="仿宋_GB2312"/>
          <w:b/>
          <w:bCs/>
          <w:color w:val="auto"/>
          <w:sz w:val="32"/>
          <w:szCs w:val="32"/>
          <w:lang w:val="en-US" w:eastAsia="zh-CN"/>
        </w:rPr>
        <w:t>3.</w:t>
      </w:r>
      <w:r>
        <w:rPr>
          <w:rFonts w:hint="eastAsia" w:ascii="仿宋_GB2312" w:hAnsi="仿宋_GB2312" w:eastAsia="仿宋_GB2312" w:cs="仿宋_GB2312"/>
          <w:b/>
          <w:bCs/>
          <w:color w:val="auto"/>
          <w:sz w:val="32"/>
          <w:szCs w:val="32"/>
          <w:lang w:val="zh-CN"/>
        </w:rPr>
        <w:t>目标实现。</w:t>
      </w:r>
    </w:p>
    <w:p w14:paraId="42FDCA53">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2025我单位</w:t>
      </w:r>
      <w:r>
        <w:rPr>
          <w:rFonts w:hint="eastAsia" w:ascii="仿宋_GB2312" w:hAnsi="仿宋_GB2312" w:eastAsia="仿宋_GB2312" w:cs="仿宋_GB2312"/>
          <w:color w:val="auto"/>
          <w:sz w:val="32"/>
          <w:szCs w:val="32"/>
          <w:lang w:eastAsia="zh-CN"/>
        </w:rPr>
        <w:t>项目完成预期目标，实施结果与绩效目标相匹配，反映目标实现程度。</w:t>
      </w:r>
    </w:p>
    <w:p w14:paraId="0D10206D">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黑体" w:hAnsi="黑体" w:eastAsia="黑体" w:cs="黑体"/>
          <w:color w:val="auto"/>
          <w:sz w:val="32"/>
          <w:szCs w:val="32"/>
          <w:lang w:val="zh-CN" w:eastAsia="zh-CN"/>
        </w:rPr>
      </w:pP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lang w:val="zh-CN" w:eastAsia="zh-CN"/>
        </w:rPr>
        <w:t>重点领域</w:t>
      </w:r>
      <w:r>
        <w:rPr>
          <w:rFonts w:hint="eastAsia" w:ascii="黑体" w:hAnsi="黑体" w:eastAsia="黑体" w:cs="黑体"/>
          <w:color w:val="auto"/>
          <w:sz w:val="32"/>
          <w:szCs w:val="32"/>
          <w:lang w:val="zh-CN"/>
        </w:rPr>
        <w:t>绩效分析</w:t>
      </w:r>
      <w:r>
        <w:rPr>
          <w:rFonts w:hint="eastAsia" w:ascii="黑体" w:hAnsi="黑体" w:eastAsia="黑体" w:cs="黑体"/>
          <w:color w:val="auto"/>
          <w:sz w:val="32"/>
          <w:szCs w:val="32"/>
          <w:lang w:val="zh-CN" w:eastAsia="zh-CN"/>
        </w:rPr>
        <w:t>。</w:t>
      </w:r>
    </w:p>
    <w:p w14:paraId="12143380">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本单位无此项。</w:t>
      </w:r>
    </w:p>
    <w:p w14:paraId="421EB4E6">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黑体" w:hAnsi="黑体" w:eastAsia="黑体" w:cs="黑体"/>
          <w:color w:val="auto"/>
          <w:sz w:val="32"/>
          <w:szCs w:val="32"/>
          <w:lang w:val="zh-CN" w:eastAsia="zh-CN"/>
        </w:rPr>
      </w:pP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lang w:val="zh-CN" w:eastAsia="zh-CN"/>
        </w:rPr>
        <w:t>绩效结果应用情况。</w:t>
      </w:r>
    </w:p>
    <w:p w14:paraId="6CC51398">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202</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val="zh-CN" w:eastAsia="zh-CN"/>
        </w:rPr>
        <w:t>年预算绩效管理工作，均按要求完成了预算项目事前绩效目标填报、事中绩效监控、事后绩效评价等绩效管理的全过程工作。</w:t>
      </w:r>
    </w:p>
    <w:p w14:paraId="06CBEA9F">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en-US" w:eastAsia="zh-CN"/>
        </w:rPr>
        <w:t>2025年单位共有特定目标类项目4个，均按要求完成了项目绩效目标填报、事中绩效目标监控、事后绩效目标自评，在评价过程中医保局按要求提供了部门整体绩效自评报告，报告格式规范、内容完整</w:t>
      </w:r>
      <w:r>
        <w:rPr>
          <w:rFonts w:hint="eastAsia" w:ascii="仿宋_GB2312" w:hAnsi="仿宋_GB2312" w:eastAsia="仿宋_GB2312" w:cs="仿宋_GB2312"/>
          <w:color w:val="auto"/>
          <w:sz w:val="32"/>
          <w:szCs w:val="32"/>
          <w:lang w:val="zh-CN" w:eastAsia="zh-CN"/>
        </w:rPr>
        <w:t>。</w:t>
      </w:r>
    </w:p>
    <w:p w14:paraId="2525FE18">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七</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评价结论及建议</w:t>
      </w:r>
    </w:p>
    <w:p w14:paraId="3E58B4FC">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zh-CN"/>
        </w:rPr>
        <w:t>（一）评价结论。</w:t>
      </w:r>
    </w:p>
    <w:p w14:paraId="69976A02">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完成了法定职责以及年初制定的目标任务，单位运转正常，年度重点工作基本达到预期目标，履行了单位应尽的职责。但存在预算安排准确性有待提高、需加强单位制度建设及做好成本控制等问题。经评价，2025年部门整体支出绩效评价为优秀。</w:t>
      </w:r>
    </w:p>
    <w:p w14:paraId="65C53EE6">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b/>
          <w:bCs/>
          <w:color w:val="auto"/>
          <w:sz w:val="32"/>
          <w:szCs w:val="32"/>
          <w:lang w:val="zh-CN"/>
        </w:rPr>
      </w:pPr>
      <w:r>
        <w:rPr>
          <w:rFonts w:hint="eastAsia" w:ascii="楷体_GB2312" w:hAnsi="楷体_GB2312" w:eastAsia="楷体_GB2312" w:cs="楷体_GB2312"/>
          <w:b/>
          <w:bCs/>
          <w:color w:val="auto"/>
          <w:sz w:val="32"/>
          <w:szCs w:val="32"/>
          <w:lang w:val="zh-CN"/>
        </w:rPr>
        <w:t>（二）存在问题。</w:t>
      </w:r>
    </w:p>
    <w:p w14:paraId="0E0F3BC9">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个别项目支出预算编制不够具体细化，导致预算执行率未达到100%。</w:t>
      </w:r>
    </w:p>
    <w:p w14:paraId="3703E827">
      <w:pPr>
        <w:keepNext w:val="0"/>
        <w:keepLines w:val="0"/>
        <w:pageBreakBefore w:val="0"/>
        <w:widowControl w:val="0"/>
        <w:kinsoku/>
        <w:wordWrap/>
        <w:overflowPunct/>
        <w:topLinePunct w:val="0"/>
        <w:bidi w:val="0"/>
        <w:spacing w:afterAutospacing="0" w:line="578" w:lineRule="exact"/>
        <w:ind w:left="0" w:leftChars="0" w:right="0" w:firstLine="643" w:firstLineChars="200"/>
        <w:textAlignment w:val="auto"/>
        <w:rPr>
          <w:rFonts w:hint="eastAsia" w:ascii="楷体_GB2312" w:hAnsi="楷体_GB2312" w:eastAsia="楷体_GB2312" w:cs="楷体_GB2312"/>
          <w:b/>
          <w:bCs/>
          <w:color w:val="auto"/>
          <w:sz w:val="32"/>
          <w:szCs w:val="32"/>
          <w:lang w:val="zh-CN" w:eastAsia="zh-CN"/>
        </w:rPr>
      </w:pPr>
      <w:r>
        <w:rPr>
          <w:rFonts w:hint="eastAsia" w:ascii="楷体_GB2312" w:hAnsi="楷体_GB2312" w:eastAsia="楷体_GB2312" w:cs="楷体_GB2312"/>
          <w:b/>
          <w:bCs/>
          <w:color w:val="auto"/>
          <w:sz w:val="32"/>
          <w:szCs w:val="32"/>
          <w:lang w:val="zh-CN" w:eastAsia="zh-CN"/>
        </w:rPr>
        <w:t>（三）改进建议。</w:t>
      </w:r>
    </w:p>
    <w:p w14:paraId="74D0F4D8">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进一步细化年度目标任务，对分解的目标任务进行仔细分析及测算，做好预算编制的沟通与协调工作，努力提高预算编制的准确性与前瞻性，降低年度预算调整幅度，加强对预算执行的控制，体现预算的刚性约束力。</w:t>
      </w:r>
    </w:p>
    <w:p w14:paraId="215A15ED">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2.进一步加快预算资金的执行进度，努力提升资金使用效益。</w:t>
      </w:r>
    </w:p>
    <w:p w14:paraId="13602EDD">
      <w:pPr>
        <w:keepNext w:val="0"/>
        <w:keepLines w:val="0"/>
        <w:pageBreakBefore w:val="0"/>
        <w:widowControl w:val="0"/>
        <w:kinsoku/>
        <w:wordWrap/>
        <w:overflowPunct/>
        <w:topLinePunct w:val="0"/>
        <w:bidi w:val="0"/>
        <w:spacing w:afterAutospacing="0" w:line="578" w:lineRule="exact"/>
        <w:ind w:left="0" w:leftChars="0" w:righ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3.进一步完善内控管理制度，建立完善项目资金管理办法，有助于进一步加强预算资金使用的管控，提高财政资金的使用效率，促进财政支出绩效不断提升。</w:t>
      </w:r>
    </w:p>
    <w:p w14:paraId="707B21A2">
      <w:pPr>
        <w:pStyle w:val="2"/>
        <w:rPr>
          <w:rFonts w:hint="eastAsia" w:ascii="仿宋_GB2312" w:hAnsi="仿宋_GB2312" w:eastAsia="仿宋_GB2312" w:cs="仿宋_GB2312"/>
          <w:color w:val="auto"/>
          <w:sz w:val="32"/>
          <w:szCs w:val="32"/>
          <w:lang w:val="en-US" w:eastAsia="zh-CN"/>
        </w:rPr>
      </w:pPr>
    </w:p>
    <w:p w14:paraId="4B710D76">
      <w:pPr>
        <w:rPr>
          <w:rFonts w:hint="eastAsia" w:ascii="仿宋_GB2312" w:hAnsi="仿宋_GB2312" w:eastAsia="仿宋_GB2312" w:cs="仿宋_GB2312"/>
          <w:color w:val="auto"/>
          <w:sz w:val="32"/>
          <w:szCs w:val="32"/>
          <w:lang w:val="en-US" w:eastAsia="zh-CN"/>
        </w:rPr>
      </w:pPr>
    </w:p>
    <w:p w14:paraId="598069A2">
      <w:pPr>
        <w:pStyle w:val="2"/>
        <w:rPr>
          <w:rFonts w:hint="eastAsia" w:ascii="仿宋_GB2312" w:hAnsi="仿宋_GB2312" w:eastAsia="仿宋_GB2312" w:cs="仿宋_GB2312"/>
          <w:color w:val="auto"/>
          <w:sz w:val="32"/>
          <w:szCs w:val="32"/>
          <w:lang w:val="en-US" w:eastAsia="zh-CN"/>
        </w:rPr>
      </w:pPr>
    </w:p>
    <w:p w14:paraId="51FC5307">
      <w:pPr>
        <w:rPr>
          <w:rFonts w:hint="eastAsia" w:ascii="仿宋_GB2312" w:hAnsi="仿宋_GB2312" w:eastAsia="仿宋_GB2312" w:cs="仿宋_GB2312"/>
          <w:color w:val="auto"/>
          <w:sz w:val="32"/>
          <w:szCs w:val="32"/>
          <w:lang w:val="en-US" w:eastAsia="zh-CN"/>
        </w:rPr>
      </w:pPr>
    </w:p>
    <w:p w14:paraId="39D278D7">
      <w:pPr>
        <w:pStyle w:val="2"/>
        <w:rPr>
          <w:rFonts w:hint="eastAsia" w:ascii="仿宋_GB2312" w:hAnsi="仿宋_GB2312" w:eastAsia="仿宋_GB2312" w:cs="仿宋_GB2312"/>
          <w:color w:val="auto"/>
          <w:sz w:val="32"/>
          <w:szCs w:val="32"/>
          <w:lang w:val="en-US" w:eastAsia="zh-CN"/>
        </w:rPr>
      </w:pPr>
    </w:p>
    <w:p w14:paraId="4FEE2474">
      <w:pPr>
        <w:rPr>
          <w:rFonts w:hint="eastAsia" w:ascii="仿宋_GB2312" w:hAnsi="仿宋_GB2312" w:eastAsia="仿宋_GB2312" w:cs="仿宋_GB2312"/>
          <w:color w:val="auto"/>
          <w:sz w:val="32"/>
          <w:szCs w:val="32"/>
          <w:lang w:val="en-US" w:eastAsia="zh-CN"/>
        </w:rPr>
      </w:pPr>
    </w:p>
    <w:p w14:paraId="763C04D4">
      <w:pPr>
        <w:pStyle w:val="2"/>
        <w:rPr>
          <w:rFonts w:hint="eastAsia" w:ascii="仿宋_GB2312" w:hAnsi="仿宋_GB2312" w:eastAsia="仿宋_GB2312" w:cs="仿宋_GB2312"/>
          <w:color w:val="auto"/>
          <w:sz w:val="32"/>
          <w:szCs w:val="32"/>
          <w:lang w:val="en-US" w:eastAsia="zh-CN"/>
        </w:rPr>
      </w:pPr>
    </w:p>
    <w:p w14:paraId="162B166D">
      <w:pPr>
        <w:rPr>
          <w:rFonts w:hint="eastAsia" w:ascii="仿宋_GB2312" w:hAnsi="仿宋_GB2312" w:eastAsia="仿宋_GB2312" w:cs="仿宋_GB2312"/>
          <w:color w:val="auto"/>
          <w:sz w:val="32"/>
          <w:szCs w:val="32"/>
          <w:lang w:val="en-US" w:eastAsia="zh-CN"/>
        </w:rPr>
      </w:pPr>
    </w:p>
    <w:p w14:paraId="09F9D2EA">
      <w:pPr>
        <w:pStyle w:val="2"/>
        <w:rPr>
          <w:rFonts w:hint="eastAsia" w:ascii="仿宋_GB2312" w:hAnsi="仿宋_GB2312" w:eastAsia="仿宋_GB2312" w:cs="仿宋_GB2312"/>
          <w:color w:val="auto"/>
          <w:sz w:val="32"/>
          <w:szCs w:val="32"/>
          <w:lang w:val="en-US" w:eastAsia="zh-CN"/>
        </w:rPr>
      </w:pPr>
    </w:p>
    <w:p w14:paraId="04DD0AEA">
      <w:pPr>
        <w:rPr>
          <w:rFonts w:hint="eastAsia" w:ascii="仿宋_GB2312" w:hAnsi="仿宋_GB2312" w:eastAsia="仿宋_GB2312" w:cs="仿宋_GB2312"/>
          <w:color w:val="auto"/>
          <w:sz w:val="32"/>
          <w:szCs w:val="32"/>
          <w:lang w:val="en-US" w:eastAsia="zh-CN"/>
        </w:rPr>
      </w:pPr>
    </w:p>
    <w:p w14:paraId="345BC494">
      <w:pPr>
        <w:pStyle w:val="2"/>
        <w:rPr>
          <w:rFonts w:hint="eastAsia" w:ascii="仿宋_GB2312" w:hAnsi="仿宋_GB2312" w:eastAsia="仿宋_GB2312" w:cs="仿宋_GB2312"/>
          <w:color w:val="auto"/>
          <w:sz w:val="32"/>
          <w:szCs w:val="32"/>
          <w:lang w:val="en-US" w:eastAsia="zh-CN"/>
        </w:rPr>
      </w:pPr>
    </w:p>
    <w:p w14:paraId="1C1B58A2">
      <w:pPr>
        <w:rPr>
          <w:rFonts w:hint="eastAsia" w:ascii="仿宋_GB2312" w:hAnsi="仿宋_GB2312" w:eastAsia="仿宋_GB2312" w:cs="仿宋_GB2312"/>
          <w:color w:val="auto"/>
          <w:sz w:val="32"/>
          <w:szCs w:val="32"/>
          <w:lang w:val="en-US" w:eastAsia="zh-CN"/>
        </w:rPr>
      </w:pPr>
    </w:p>
    <w:p w14:paraId="31D42E53">
      <w:pPr>
        <w:pStyle w:val="2"/>
        <w:rPr>
          <w:rFonts w:hint="eastAsia" w:ascii="仿宋_GB2312" w:hAnsi="仿宋_GB2312" w:eastAsia="仿宋_GB2312" w:cs="仿宋_GB2312"/>
          <w:color w:val="auto"/>
          <w:sz w:val="32"/>
          <w:szCs w:val="32"/>
          <w:lang w:val="en-US" w:eastAsia="zh-CN"/>
        </w:rPr>
      </w:pPr>
    </w:p>
    <w:p w14:paraId="463348D4">
      <w:pPr>
        <w:rPr>
          <w:rFonts w:hint="eastAsia" w:ascii="仿宋_GB2312" w:hAnsi="仿宋_GB2312" w:eastAsia="仿宋_GB2312" w:cs="仿宋_GB2312"/>
          <w:color w:val="auto"/>
          <w:sz w:val="32"/>
          <w:szCs w:val="32"/>
          <w:lang w:val="en-US" w:eastAsia="zh-CN"/>
        </w:rPr>
      </w:pPr>
    </w:p>
    <w:p w14:paraId="2082FF48">
      <w:pPr>
        <w:pStyle w:val="2"/>
        <w:rPr>
          <w:rFonts w:hint="eastAsia" w:ascii="仿宋_GB2312" w:hAnsi="仿宋_GB2312" w:eastAsia="仿宋_GB2312" w:cs="仿宋_GB2312"/>
          <w:color w:val="auto"/>
          <w:sz w:val="32"/>
          <w:szCs w:val="32"/>
          <w:lang w:val="en-US" w:eastAsia="zh-CN"/>
        </w:rPr>
      </w:pPr>
    </w:p>
    <w:p w14:paraId="4C96DF72">
      <w:pPr>
        <w:rPr>
          <w:rFonts w:hint="eastAsia" w:ascii="仿宋_GB2312" w:hAnsi="仿宋_GB2312" w:eastAsia="仿宋_GB2312" w:cs="仿宋_GB2312"/>
          <w:color w:val="auto"/>
          <w:sz w:val="32"/>
          <w:szCs w:val="32"/>
          <w:lang w:val="en-US" w:eastAsia="zh-CN"/>
        </w:rPr>
      </w:pPr>
    </w:p>
    <w:p w14:paraId="39C26A7F">
      <w:pPr>
        <w:pStyle w:val="2"/>
        <w:rPr>
          <w:rFonts w:hint="eastAsia" w:ascii="仿宋_GB2312" w:hAnsi="仿宋_GB2312" w:eastAsia="仿宋_GB2312" w:cs="仿宋_GB2312"/>
          <w:color w:val="auto"/>
          <w:sz w:val="32"/>
          <w:szCs w:val="32"/>
          <w:lang w:val="en-US" w:eastAsia="zh-CN"/>
        </w:rPr>
      </w:pPr>
    </w:p>
    <w:p w14:paraId="3CB89DC1">
      <w:pPr>
        <w:rPr>
          <w:rFonts w:hint="eastAsia" w:ascii="仿宋_GB2312" w:hAnsi="仿宋_GB2312" w:eastAsia="仿宋_GB2312" w:cs="仿宋_GB2312"/>
          <w:color w:val="auto"/>
          <w:sz w:val="32"/>
          <w:szCs w:val="32"/>
          <w:lang w:val="en-US" w:eastAsia="zh-CN"/>
        </w:rPr>
      </w:pPr>
    </w:p>
    <w:p w14:paraId="4A418D8F">
      <w:pPr>
        <w:pStyle w:val="2"/>
        <w:rPr>
          <w:rFonts w:hint="eastAsia" w:ascii="仿宋_GB2312" w:hAnsi="仿宋_GB2312" w:eastAsia="仿宋_GB2312" w:cs="仿宋_GB2312"/>
          <w:color w:val="auto"/>
          <w:sz w:val="32"/>
          <w:szCs w:val="32"/>
          <w:lang w:val="en-US" w:eastAsia="zh-CN"/>
        </w:rPr>
      </w:pPr>
    </w:p>
    <w:p w14:paraId="48425458">
      <w:pPr>
        <w:rPr>
          <w:rFonts w:hint="eastAsia" w:ascii="仿宋_GB2312" w:hAnsi="仿宋_GB2312" w:eastAsia="仿宋_GB2312" w:cs="仿宋_GB2312"/>
          <w:color w:val="auto"/>
          <w:sz w:val="32"/>
          <w:szCs w:val="32"/>
          <w:lang w:val="en-US" w:eastAsia="zh-CN"/>
        </w:rPr>
      </w:pPr>
    </w:p>
    <w:p w14:paraId="077AB37D">
      <w:pPr>
        <w:pStyle w:val="2"/>
        <w:rPr>
          <w:rFonts w:hint="eastAsia"/>
          <w:lang w:val="en-US" w:eastAsia="zh-CN"/>
        </w:rPr>
      </w:pPr>
    </w:p>
    <w:p w14:paraId="536CE894">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51"/>
      <w:bookmarkEnd w:id="53"/>
      <w:bookmarkStart w:id="54" w:name="_Toc15396619"/>
    </w:p>
    <w:p w14:paraId="7DF6DDD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633E11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1A12205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21BBFB0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529B4F8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3166DF3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47D9F26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13C871B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4A15E9A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1B89E33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22D6493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415766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0347DA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698FC44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18BDE7C8">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3BBAE4-0677-43AF-BEB6-AB231682A04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FC2E070D-20B2-4946-B9C2-13E9B6C89C05}"/>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9694EAF5-1732-4BAA-9675-C137AA032EAB}"/>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4" w:fontKey="{6DB04547-693D-4E03-9B06-EDD6287C6EFD}"/>
  </w:font>
  <w:font w:name="楷体_GB2312">
    <w:panose1 w:val="02010609030101010101"/>
    <w:charset w:val="86"/>
    <w:family w:val="auto"/>
    <w:pitch w:val="default"/>
    <w:sig w:usb0="00000001" w:usb1="080E0000" w:usb2="00000000" w:usb3="00000000" w:csb0="00040000" w:csb1="00000000"/>
    <w:embedRegular r:id="rId5" w:fontKey="{B403BA77-60E4-40D9-B13C-44CB39F452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02FAE">
    <w:pPr>
      <w:pStyle w:val="11"/>
      <w:jc w:val="center"/>
    </w:pPr>
  </w:p>
  <w:p w14:paraId="14BAC8F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93BBE">
    <w:pPr>
      <w:pStyle w:val="11"/>
      <w:jc w:val="center"/>
    </w:pPr>
  </w:p>
  <w:p w14:paraId="1B6C183D">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F9FDC">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6D172">
    <w:pPr>
      <w:pStyle w:val="11"/>
      <w:jc w:val="center"/>
    </w:pPr>
  </w:p>
  <w:p w14:paraId="25203F29">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3DCA4">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8F9CB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98F9CB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8A164">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BDF062"/>
    <w:multiLevelType w:val="singleLevel"/>
    <w:tmpl w:val="47BDF062"/>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8784719"/>
    <w:rsid w:val="1938089F"/>
    <w:rsid w:val="19A445FC"/>
    <w:rsid w:val="1B7D550C"/>
    <w:rsid w:val="1BE8440E"/>
    <w:rsid w:val="1D155CEE"/>
    <w:rsid w:val="1D2A34BB"/>
    <w:rsid w:val="1DE178F3"/>
    <w:rsid w:val="1E740ACF"/>
    <w:rsid w:val="1FF35744"/>
    <w:rsid w:val="1FF6BC77"/>
    <w:rsid w:val="21962A9E"/>
    <w:rsid w:val="21AE7C77"/>
    <w:rsid w:val="22BC3C41"/>
    <w:rsid w:val="23860B96"/>
    <w:rsid w:val="240371BF"/>
    <w:rsid w:val="260F557C"/>
    <w:rsid w:val="281408E2"/>
    <w:rsid w:val="282354AA"/>
    <w:rsid w:val="29FD04D3"/>
    <w:rsid w:val="2A6922B9"/>
    <w:rsid w:val="2BFF7BC6"/>
    <w:rsid w:val="2C8A61B5"/>
    <w:rsid w:val="2D2E01CF"/>
    <w:rsid w:val="2DF04E50"/>
    <w:rsid w:val="2E9545B0"/>
    <w:rsid w:val="2F040D46"/>
    <w:rsid w:val="2F973433"/>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2B7DA2"/>
    <w:rsid w:val="4A627F82"/>
    <w:rsid w:val="4B0E749A"/>
    <w:rsid w:val="4B4F25DA"/>
    <w:rsid w:val="4BDA0CFB"/>
    <w:rsid w:val="4BE068DB"/>
    <w:rsid w:val="4D3C0CCC"/>
    <w:rsid w:val="4D577224"/>
    <w:rsid w:val="4DBF1CEB"/>
    <w:rsid w:val="4EAB630A"/>
    <w:rsid w:val="4ECE2238"/>
    <w:rsid w:val="4F833267"/>
    <w:rsid w:val="4FE9BD67"/>
    <w:rsid w:val="4FFB052F"/>
    <w:rsid w:val="520C0DE3"/>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80ed9da0-eba0-4aeb-8030-5219015e6220</errorID>
      <errorWord>城乡居民参保</errorWord>
      <group>L1_Political</group>
      <groupName>政治性问题</groupName>
      <ability>L2_Keyword</ability>
      <abilityName>固定表述</abilityName>
      <candidateList>
        <item>城乡居民医保</item>
      </candidateList>
      <explain>词汇“城乡居民医保”在特定场景下为固定表述形式，请确认此处的“城乡居民参保”是否存在不当。</explain>
      <paraID>64AB0DF4</paraID>
      <start>27</start>
      <end>33</end>
      <status>modified</status>
      <modifiedWord>城乡居民医保</modifiedWord>
      <trackRevisions>false</trackRevisions>
    </reviewItem>
    <reviewItem>
      <errorID>104ae94a-eba0-4ecb-bfc8-fdeeabbeaf29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549D23E7</paraID>
      <start>0</start>
      <end>2</end>
      <status>modified</status>
      <modifiedWord>1.</modifiedWord>
      <trackRevisions>false</trackRevisions>
    </reviewItem>
    <reviewItem>
      <errorID>79a78dd6-500d-4155-8b6d-f49c3c287f96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3071157D</paraID>
      <start>0</start>
      <end>2</end>
      <status>modified</status>
      <modifiedWord>2.</modifiedWord>
      <trackRevisions>false</trackRevisions>
    </reviewItem>
    <reviewItem>
      <errorID>e9a71f29-9acf-40fc-8261-17dcb4893fca</errorID>
      <errorWord>拟定</errorWord>
      <group>L1_Word</group>
      <groupName>字词问题</groupName>
      <ability>L2_Typo</ability>
      <abilityName>字词错误</abilityName>
      <candidateList>
        <item>拟订</item>
      </candidateList>
      <explain>存在发音相同字词的误用。</explain>
      <paraID>3071157D</paraID>
      <start>4</start>
      <end>6</end>
      <status>modified</status>
      <modifiedWord>拟订</modifiedWord>
      <trackRevisions>false</trackRevisions>
    </reviewItem>
    <reviewItem>
      <errorID>06bb1ca2-4d5e-425e-8538-75415f7b1c42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5DFB05DA</paraID>
      <start>0</start>
      <end>2</end>
      <status>modified</status>
      <modifiedWord>3.</modifiedWord>
      <trackRevisions>false</trackRevisions>
    </reviewItem>
    <reviewItem>
      <errorID>f419a234-73c4-4309-bb63-f0164635a6ea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2D3FA6C9</paraID>
      <start>0</start>
      <end>2</end>
      <status>modified</status>
      <modifiedWord>4.</modifiedWord>
      <trackRevisions>false</trackRevisions>
    </reviewItem>
    <reviewItem>
      <errorID>915d5428-56b6-4808-b3b4-354fa327c7af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7F522668</paraID>
      <start>0</start>
      <end>2</end>
      <status>modified</status>
      <modifiedWord>5.</modifiedWord>
      <trackRevisions>false</trackRevisions>
    </reviewItem>
    <reviewItem>
      <errorID>f75aaa96-5bbb-4488-89b1-9dad9e8196e2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4A0A8E88</paraID>
      <start>0</start>
      <end>2</end>
      <status>modified</status>
      <modifiedWord>6.</modifiedWord>
      <trackRevisions>false</trackRevisions>
    </reviewItem>
    <reviewItem>
      <errorID>5b1d089b-d7be-4a22-b547-18fcc1ac2046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F641D69</paraID>
      <start>0</start>
      <end>2</end>
      <status>modified</status>
      <modifiedWord>7.</modifiedWord>
      <trackRevisions>false</trackRevisions>
    </reviewItem>
    <reviewItem>
      <errorID>66fad5a6-9cca-4110-8116-5db3e4e7b401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6E09A24B</paraID>
      <start>0</start>
      <end>2</end>
      <status>modified</status>
      <modifiedWord>8.</modifiedWord>
      <trackRevisions>false</trackRevisions>
    </reviewItem>
    <reviewItem>
      <errorID>0c1cad86-9275-4f1a-8a96-6a3b638b8469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9EC975C</paraID>
      <start>0</start>
      <end>2</end>
      <status>modified</status>
      <modifiedWord>9.</modifiedWord>
      <trackRevisions>false</trackRevisions>
    </reviewItem>
    <reviewItem>
      <errorID>74bf848e-5fd4-49a6-bd5b-046e49783f6b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7D933908</paraID>
      <start>0</start>
      <end>3</end>
      <status>modified</status>
      <modifiedWord>10.</modifiedWord>
      <trackRevisions>false</trackRevisions>
    </reviewItem>
    <reviewItem>
      <errorID>e12be5a0-a880-472c-98ce-0f65c4374658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32B4918A</paraID>
      <start>0</start>
      <end>3</end>
      <status>modified</status>
      <modifiedWord>11.</modifiedWord>
      <trackRevisions>false</trackRevisions>
    </reviewItem>
    <reviewItem>
      <errorID>0a4fca40-4c53-4a6b-9b66-3d2bff9d0030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C9D62A7</paraID>
      <start>0</start>
      <end>3</end>
      <status>modified</status>
      <modifiedWord>12.</modifiedWord>
      <trackRevisions>false</trackRevisions>
    </reviewItem>
    <reviewItem>
      <errorID>57ef4231-b145-4057-9363-bf1f5eb1aa9d</errorID>
      <errorWord>德</errorWord>
      <group>L1_Word</group>
      <groupName>字词问题</groupName>
      <ability>L2_Typo</ability>
      <abilityName>字词错误</abilityName>
      <candidateList>
        <item>德和</item>
      </candidateList>
      <explain/>
      <paraID>395DB9D3</paraID>
      <start>43</start>
      <end>45</end>
      <status>modified</status>
      <modifiedWord>德和</modifiedWord>
      <trackRevisions>false</trackRevisions>
    </reviewItem>
    <reviewItem>
      <errorID>b00452cc-f484-4835-b95f-bdc82658e834</errorID>
      <errorWord>部门中</errorWord>
      <group>L1_Word</group>
      <groupName>字词问题</groupName>
      <ability>L2_Typo</ability>
      <abilityName>字词错误</abilityName>
      <candidateList>
        <item>部门</item>
      </candidateList>
      <explain/>
      <paraID>73EF8C9D</paraID>
      <start>71</start>
      <end>73</end>
      <status>modified</status>
      <modifiedWord>部门</modifiedWord>
      <trackRevisions>false</trackRevisions>
    </reviewItem>
    <reviewItem>
      <errorID>960c97f2-61e4-4095-a0df-faf79283cff7</errorID>
      <errorWord>统计法</errorWord>
      <group>L1_Knowledge</group>
      <groupName>知识性问题</groupName>
      <ability>L2_Knowledge</ability>
      <abilityName>其他知识</abilityName>
      <candidateList>
        <item>中华人民共和国统计法</item>
      </candidateList>
      <explain>当前法律法规名称使用简称，请注意是否应当使用全称。</explain>
      <paraID>3B1008AF</paraID>
      <start>10</start>
      <end>20</end>
      <status>modified</status>
      <modifiedWord>中华人民共和国统计法</modifiedWord>
      <trackRevisions>false</trackRevisions>
    </reviewItem>
    <reviewItem>
      <errorID>f0eb8bd7-08a7-4262-b01e-395d933494b4</errorID>
      <errorWord>人数和</errorWord>
      <group>L1_Word</group>
      <groupName>字词问题</groupName>
      <ability>L2_Typo</ability>
      <abilityName>字词错误</abilityName>
      <candidateList>
        <item>人数</item>
      </candidateList>
      <explain/>
      <paraID> BCDFCBD</paraID>
      <start>18</start>
      <end>20</end>
      <status>modified</status>
      <modifiedWord>人数</modifiedWord>
      <trackRevisions>false</trackRevisions>
    </reviewItem>
    <reviewItem>
      <errorID>6f44c3b8-d206-4a81-b60b-1102d8aa253a</errorID>
      <errorWord>程</errorWord>
      <group>L1_Word</group>
      <groupName>字词问题</groupName>
      <ability>L2_Typo</ability>
      <abilityName>字词错误</abilityName>
      <candidateList>
        <item>程中</item>
      </candidateList>
      <explain/>
      <paraID>7DEBEB8A</paraID>
      <start>42</start>
      <end>44</end>
      <status>modified</status>
      <modifiedWord>程中</modifiedWord>
      <trackRevisions>false</trackRevisions>
    </reviewItem>
    <reviewItem>
      <errorID>c916bd43-2289-4e0c-842e-40989856b7a5</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3C9B5B00</paraID>
      <start>62</start>
      <end>68</end>
      <status>modified</status>
      <modifiedWord>“三公”经费</modifiedWord>
      <trackRevisions>false</trackRevisions>
    </reviewItem>
    <reviewItem>
      <errorID>964b0916-910b-45b0-9410-fd67d1967bd5</errorID>
      <errorWord>，</errorWord>
      <group>L1_Word</group>
      <groupName>字词问题</groupName>
      <ability>L2_Typo</ability>
      <abilityName>字词错误</abilityName>
      <candidateList>
        <item>，由</item>
      </candidateList>
      <explain/>
      <paraID>3C9B5B00</paraID>
      <start>134</start>
      <end>136</end>
      <status>modified</status>
      <modifiedWord>，由</modifiedWord>
      <trackRevisions>false</trackRevisions>
    </reviewItem>
    <reviewItem>
      <errorID>b4ca2fbd-ffa9-4dfa-8e85-164aab34dadc</errorID>
      <errorWord>报市</errorWord>
      <group>L1_Word</group>
      <groupName>字词问题</groupName>
      <ability>L2_Typo</ability>
      <abilityName>字词错误</abilityName>
      <candidateList>
        <item>报</item>
      </candidateList>
      <explain/>
      <paraID>3C9B5B00</paraID>
      <start>144</start>
      <end>145</end>
      <status>modified</status>
      <modifiedWord>报</modifiedWord>
      <trackRevisions>false</trackRevisions>
    </reviewItem>
    <reviewItem>
      <errorID>51a7a09d-549e-4982-b4a4-30f112bd9949</errorID>
      <errorWord>、</errorWord>
      <group>L1_Word</group>
      <groupName>字词问题</groupName>
      <ability>L2_Typo</ability>
      <abilityName>字词错误</abilityName>
      <candidateList>
        <item>、管</item>
      </candidateList>
      <explain/>
      <paraID> 88FD695</paraID>
      <start>46</start>
      <end>48</end>
      <status>modified</status>
      <modifiedWord>、管</modifiedWord>
      <trackRevisions>false</trackRevisions>
    </reviewItem>
    <reviewItem>
      <errorID>32402b57-da25-442a-88b2-2d82429db5f1</errorID>
      <errorWord>、</errorWord>
      <group>L1_Word</group>
      <groupName>字词问题</groupName>
      <ability>L2_Typo</ability>
      <abilityName>字词错误</abilityName>
      <candidateList>
        <item>、管</item>
      </candidateList>
      <explain/>
      <paraID> 88FD695</paraID>
      <start>50</start>
      <end>52</end>
      <status>modified</status>
      <modifiedWord>、管</modifiedWord>
      <trackRevisions>false</trackRevisions>
    </reviewItem>
    <reviewItem>
      <errorID>801b739e-abf8-4f08-a590-34bde4a59ae2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74D0F4D8</paraID>
      <start>0</start>
      <end>2</end>
      <status>modified</status>
      <modifiedWord>1.</modifiedWord>
      <trackRevisions>false</trackRevisions>
    </reviewItem>
    <reviewItem>
      <errorID>f28ece79-da3e-4d1d-9edf-ed2cceb6e357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215A15ED</paraID>
      <start>0</start>
      <end>2</end>
      <status>modified</status>
      <modifiedWord>2.</modifiedWord>
      <trackRevisions>false</trackRevisions>
    </reviewItem>
    <reviewItem>
      <errorID>8f7db3d9-2c40-4f07-81f2-bbc13434c69b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13602EDD</paraID>
      <start>0</start>
      <end>2</end>
      <status>modified</status>
      <modifiedWord>3.</modifiedWord>
      <trackRevisions>false</trackRevisions>
    </reviewItem>
    <reviewItem>
      <errorID>8064e7b7-46fa-4d51-8e64-0b375d69dece</errorID>
      <errorWord>进一步加强对</errorWord>
      <group>L1_Word</group>
      <groupName>字词问题</groupName>
      <ability>L2_Typo</ability>
      <abilityName>字词错误</abilityName>
      <candidateList>
        <item>进一步加强</item>
      </candidateList>
      <explain/>
      <paraID>13602EDD</paraID>
      <start>30</start>
      <end>35</end>
      <status>modified</status>
      <modifiedWord>进一步加强</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bb5212-4c4f-49ae-a469-0692c890c8f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10247</Words>
  <Characters>10731</Characters>
  <Lines>61</Lines>
  <Paragraphs>17</Paragraphs>
  <TotalTime>13</TotalTime>
  <ScaleCrop>false</ScaleCrop>
  <LinksUpToDate>false</LinksUpToDate>
  <CharactersWithSpaces>10844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对影成三人</cp:lastModifiedBy>
  <cp:lastPrinted>2026-08-03T09:27:00Z</cp:lastPrinted>
  <dcterms:modified xsi:type="dcterms:W3CDTF">2026-10-20T07:56:59Z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eyJoZGlkIjoiYjA1ZDg3Y2Y1MzJlNDVjZjA5NTk4YjViYTliYmM3NTYiLCJ1c2VySWQiOiIyNDIyNDYwNDUifQ==</vt:lpwstr>
  </property>
</Properties>
</file>