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8BE8D">
      <w:pPr>
        <w:pStyle w:val="2"/>
        <w:rPr>
          <w:rFonts w:ascii="Times New Roman" w:hAnsi="Times New Roman" w:eastAsia="方正小标宋简体"/>
          <w:color w:val="auto"/>
          <w:sz w:val="72"/>
          <w:szCs w:val="72"/>
          <w:highlight w:val="none"/>
        </w:rPr>
      </w:pPr>
      <w:bookmarkStart w:id="0" w:name="_Toc15378441"/>
      <w:bookmarkStart w:id="1" w:name="_Toc15306267"/>
      <w:bookmarkStart w:id="2" w:name="_Toc15396597"/>
      <w:bookmarkStart w:id="3" w:name="_Toc15396475"/>
      <w:bookmarkStart w:id="4" w:name="_Toc15377425"/>
      <w:bookmarkStart w:id="5" w:name="_Toc15377193"/>
    </w:p>
    <w:p w14:paraId="74016F25">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1271BF19">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eastAsia="zh-CN"/>
        </w:rPr>
        <w:t>阿坝州松潘县</w:t>
      </w:r>
    </w:p>
    <w:p w14:paraId="146C8F8A">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eastAsia="zh-CN"/>
        </w:rPr>
        <w:t>社会保险事务中心</w:t>
      </w:r>
    </w:p>
    <w:p w14:paraId="5F4C43BF">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单位决算</w:t>
      </w:r>
    </w:p>
    <w:p w14:paraId="69A5311A">
      <w:pPr>
        <w:adjustRightInd w:val="0"/>
        <w:snapToGrid w:val="0"/>
        <w:spacing w:line="360" w:lineRule="auto"/>
        <w:jc w:val="center"/>
        <w:outlineLvl w:val="0"/>
        <w:rPr>
          <w:rFonts w:ascii="方正小标宋简体" w:hAnsi="宋体" w:eastAsia="方正小标宋简体"/>
          <w:sz w:val="52"/>
          <w:szCs w:val="52"/>
        </w:rPr>
      </w:pPr>
      <w:bookmarkStart w:id="58" w:name="_GoBack"/>
      <w:r>
        <w:rPr>
          <w:rFonts w:hint="eastAsia" w:ascii="方正小标宋简体" w:hAnsi="宋体" w:eastAsia="方正小标宋简体"/>
          <w:sz w:val="52"/>
          <w:szCs w:val="52"/>
          <w:lang w:eastAsia="zh-CN"/>
        </w:rPr>
        <w:t>（</w:t>
      </w:r>
      <w:bookmarkEnd w:id="58"/>
      <w:r>
        <w:rPr>
          <w:rFonts w:hint="eastAsia" w:ascii="方正小标宋简体" w:hAnsi="宋体" w:eastAsia="方正小标宋简体"/>
          <w:sz w:val="52"/>
          <w:szCs w:val="52"/>
        </w:rPr>
        <w:t>单位公开</w:t>
      </w:r>
      <w:r>
        <w:rPr>
          <w:rFonts w:hint="eastAsia" w:ascii="方正小标宋简体" w:hAnsi="宋体" w:eastAsia="方正小标宋简体"/>
          <w:sz w:val="52"/>
          <w:szCs w:val="52"/>
          <w:lang w:eastAsia="zh-CN"/>
        </w:rPr>
        <w:t>）</w:t>
      </w:r>
    </w:p>
    <w:p w14:paraId="4C370478">
      <w:pPr>
        <w:pStyle w:val="2"/>
        <w:rPr>
          <w:rFonts w:hint="eastAsia" w:ascii="Times New Roman" w:hAnsi="Times New Roman" w:eastAsia="方正小标宋简体" w:cs="Times New Roman"/>
          <w:color w:val="auto"/>
          <w:kern w:val="2"/>
          <w:sz w:val="72"/>
          <w:szCs w:val="72"/>
          <w:highlight w:val="none"/>
          <w:lang w:val="en-US" w:eastAsia="zh-CN" w:bidi="ar-SA"/>
        </w:rPr>
      </w:pPr>
    </w:p>
    <w:p w14:paraId="239564A6">
      <w:pPr>
        <w:pStyle w:val="2"/>
        <w:rPr>
          <w:rFonts w:hint="eastAsia" w:ascii="Times New Roman" w:hAnsi="Times New Roman" w:eastAsia="方正小标宋简体" w:cs="Times New Roman"/>
          <w:color w:val="auto"/>
          <w:kern w:val="2"/>
          <w:sz w:val="72"/>
          <w:szCs w:val="72"/>
          <w:highlight w:val="none"/>
          <w:lang w:val="en-US" w:eastAsia="zh-CN" w:bidi="ar-SA"/>
        </w:rPr>
      </w:pPr>
    </w:p>
    <w:p w14:paraId="76F3BC05">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92D5527">
      <w:pPr>
        <w:rPr>
          <w:rFonts w:ascii="Times New Roman" w:hAnsi="Times New Roman"/>
        </w:rPr>
      </w:pPr>
    </w:p>
    <w:bookmarkEnd w:id="0"/>
    <w:bookmarkEnd w:id="1"/>
    <w:bookmarkEnd w:id="2"/>
    <w:bookmarkEnd w:id="3"/>
    <w:bookmarkEnd w:id="4"/>
    <w:bookmarkEnd w:id="5"/>
    <w:p w14:paraId="39922828">
      <w:pPr>
        <w:widowControl/>
        <w:ind w:firstLine="3360" w:firstLineChars="7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B156E88">
      <w:pPr>
        <w:widowControl/>
        <w:jc w:val="center"/>
        <w:rPr>
          <w:rFonts w:ascii="Times New Roman" w:hAnsi="Times New Roman" w:eastAsia="黑体" w:cstheme="minorBidi"/>
          <w:color w:val="auto"/>
          <w:sz w:val="28"/>
          <w:szCs w:val="28"/>
          <w:highlight w:val="none"/>
        </w:rPr>
      </w:pPr>
    </w:p>
    <w:p w14:paraId="6A1BFE79">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p w14:paraId="5308DDFC">
      <w:pPr>
        <w:rPr>
          <w:rFonts w:ascii="Times New Roman" w:hAnsi="Times New Roman"/>
          <w:color w:val="auto"/>
          <w:highlight w:val="none"/>
        </w:rPr>
      </w:pPr>
    </w:p>
    <w:p w14:paraId="2FE9829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78EEC2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DBA12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A13603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1D776C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BC5FDE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8AD47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8E53F4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F1850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362BFF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7E83801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8794B5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4FCB3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079774F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BFC848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E632C9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四</w:t>
      </w:r>
      <w:r>
        <w:rPr>
          <w:rFonts w:hint="eastAsia" w:ascii="Times New Roman" w:hAnsi="Times New Roman" w:eastAsia="黑体" w:cs="黑体"/>
          <w:color w:val="auto"/>
          <w:sz w:val="32"/>
          <w:szCs w:val="32"/>
          <w:highlight w:val="none"/>
        </w:rPr>
        <w:t>部分 附表</w:t>
      </w:r>
    </w:p>
    <w:p w14:paraId="1AD250C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E47383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5E116B1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A93C33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6D5D6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18041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CCF09E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E0EB0C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7B9642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365D4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FEA14D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F26C7B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DB61BF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060B3A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1BB17A02">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0A7D7835">
      <w:pPr>
        <w:widowControl/>
        <w:jc w:val="left"/>
        <w:rPr>
          <w:rFonts w:ascii="Times New Roman" w:hAnsi="Times New Roman" w:eastAsia="黑体"/>
          <w:color w:val="auto"/>
          <w:sz w:val="32"/>
          <w:szCs w:val="32"/>
          <w:highlight w:val="none"/>
        </w:rPr>
      </w:pPr>
    </w:p>
    <w:p w14:paraId="158EAEC3">
      <w:pPr>
        <w:pStyle w:val="4"/>
        <w:numPr>
          <w:ilvl w:val="0"/>
          <w:numId w:val="1"/>
        </w:numPr>
        <w:rPr>
          <w:rFonts w:hint="eastAsia"/>
          <w:lang w:eastAsia="zh-CN"/>
        </w:rPr>
      </w:pPr>
      <w:r>
        <w:rPr>
          <w:rFonts w:hint="eastAsia" w:ascii="Times New Roman" w:hAnsi="Times New Roman" w:eastAsia="黑体"/>
          <w:b w:val="0"/>
          <w:color w:val="auto"/>
          <w:highlight w:val="none"/>
          <w:lang w:eastAsia="zh-CN"/>
        </w:rPr>
        <w:t>部门职责</w:t>
      </w:r>
    </w:p>
    <w:p w14:paraId="03644C82">
      <w:pPr>
        <w:pStyle w:val="4"/>
        <w:numPr>
          <w:ilvl w:val="0"/>
          <w:numId w:val="0"/>
        </w:numPr>
        <w:ind w:firstLine="640" w:firstLineChars="200"/>
        <w:rPr>
          <w:rFonts w:hint="eastAsia"/>
          <w:lang w:eastAsia="zh-CN"/>
        </w:rPr>
      </w:pPr>
      <w:r>
        <w:rPr>
          <w:rFonts w:hint="eastAsia" w:ascii="仿宋_GB2312" w:hAnsi="仿宋_GB2312" w:eastAsia="仿宋_GB2312" w:cs="仿宋_GB2312"/>
          <w:b w:val="0"/>
          <w:bCs w:val="0"/>
          <w:color w:val="auto"/>
          <w:sz w:val="32"/>
          <w:szCs w:val="32"/>
          <w:lang w:val="en-US" w:eastAsia="zh-CN"/>
        </w:rPr>
        <w:t>主要职能。宣传、贯彻、执行党和国家有关城镇企业职工基本养老、工伤保险的方针、政策、法律法规和上级指示精神；经办城镇各类企业职工及个体劳动者养老保险业务。即：办理参加养老保险的登记，受理缴费申报；核定养老保险参保单位、个人缴费基数；征收养老保险费和支付离退休人员基本养老金；办理养老保险关系转移、变更、续保手续；负责离退休条件审核、待遇计算，按时足额拨付离退休人员基本养老金；建立、管理参保单位、人员基本资料、数据、档案；做好离退休人员管理服务工作；管理、经办各类企事业单位职工工伤、生育保险业务。即：办理参加工伤保险、生育保险登记，受理缴费申报，核定缴费基数；负责审核按时拨付工伤保险待遇；建立、管理参保单位基本资料、数据、档案。</w:t>
      </w:r>
    </w:p>
    <w:p w14:paraId="6B4C4380">
      <w:pPr>
        <w:pStyle w:val="4"/>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p>
    <w:p w14:paraId="2B074CCB">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阿坝州松潘县社会保险</w:t>
      </w:r>
      <w:r>
        <w:rPr>
          <w:rFonts w:hint="eastAsia" w:ascii="仿宋_GB2312" w:hAnsi="仿宋_GB2312" w:eastAsia="仿宋_GB2312" w:cs="仿宋_GB2312"/>
          <w:color w:val="auto"/>
          <w:sz w:val="32"/>
          <w:szCs w:val="32"/>
          <w:highlight w:val="none"/>
          <w:lang w:eastAsia="zh-CN"/>
        </w:rPr>
        <w:t>事务中心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022E71A6">
      <w:pPr>
        <w:spacing w:line="578" w:lineRule="exact"/>
        <w:ind w:firstLine="640" w:firstLineChars="200"/>
        <w:rPr>
          <w:rFonts w:hint="eastAsia" w:ascii="仿宋" w:hAnsi="仿宋" w:eastAsia="仿宋" w:cs="仿宋"/>
          <w:sz w:val="32"/>
          <w:szCs w:val="32"/>
        </w:rPr>
      </w:pPr>
      <w:r>
        <w:rPr>
          <w:rFonts w:hint="eastAsia" w:eastAsia="仿宋"/>
          <w:color w:val="auto"/>
          <w:sz w:val="32"/>
          <w:szCs w:val="32"/>
          <w:highlight w:val="none"/>
          <w:lang w:val="en-US" w:eastAsia="zh-CN"/>
        </w:rPr>
        <w:t xml:space="preserve"> </w:t>
      </w:r>
      <w:r>
        <w:rPr>
          <w:rFonts w:hint="eastAsia" w:ascii="仿宋" w:hAnsi="仿宋" w:eastAsia="仿宋" w:cs="仿宋"/>
          <w:sz w:val="32"/>
          <w:szCs w:val="32"/>
        </w:rPr>
        <w:t>松潘县</w:t>
      </w:r>
      <w:r>
        <w:rPr>
          <w:rFonts w:hint="eastAsia" w:ascii="仿宋" w:hAnsi="仿宋" w:eastAsia="仿宋" w:cs="仿宋"/>
          <w:sz w:val="32"/>
          <w:szCs w:val="32"/>
          <w:lang w:eastAsia="zh-CN"/>
        </w:rPr>
        <w:t>社会保险事务中心</w:t>
      </w:r>
      <w:r>
        <w:rPr>
          <w:rFonts w:hint="eastAsia" w:ascii="仿宋" w:hAnsi="仿宋" w:eastAsia="仿宋" w:cs="仿宋"/>
          <w:sz w:val="32"/>
          <w:szCs w:val="32"/>
        </w:rPr>
        <w:t>设</w:t>
      </w:r>
      <w:r>
        <w:rPr>
          <w:rFonts w:hint="eastAsia" w:ascii="仿宋" w:hAnsi="仿宋" w:eastAsia="仿宋" w:cs="仿宋"/>
          <w:sz w:val="32"/>
          <w:szCs w:val="32"/>
          <w:lang w:val="en-US" w:eastAsia="zh-CN"/>
        </w:rPr>
        <w:t>5</w:t>
      </w:r>
      <w:r>
        <w:rPr>
          <w:rFonts w:hint="eastAsia" w:ascii="仿宋" w:hAnsi="仿宋" w:eastAsia="仿宋" w:cs="仿宋"/>
          <w:sz w:val="32"/>
          <w:szCs w:val="32"/>
        </w:rPr>
        <w:t>个内设机构：</w:t>
      </w:r>
    </w:p>
    <w:p w14:paraId="76EEEA2F">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（一）办公室</w:t>
      </w:r>
    </w:p>
    <w:p w14:paraId="1BC5B274">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负责局机关日常事务，承担综合性协调工作；</w:t>
      </w:r>
    </w:p>
    <w:p w14:paraId="66BD4573">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负责领导重要批示和会议决定事项的督办工作负责组织召开会议及文秘、保密、信息、信访、宣传和接待联络工作；拟定单位工作制度、工作计划、工作总结并负责监督检查；</w:t>
      </w:r>
    </w:p>
    <w:p w14:paraId="25C7DA62">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负责局机关文印、收发、房产、办公设施、车辆等管理及保障工作；</w:t>
      </w:r>
    </w:p>
    <w:p w14:paraId="2C9EF2D6">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负责承办局机关党风廉政建设、精神文明建设、干部考核工作；</w:t>
      </w:r>
    </w:p>
    <w:p w14:paraId="40237A50">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财务股</w:t>
      </w:r>
    </w:p>
    <w:p w14:paraId="7046C3C3">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1.</w:t>
      </w:r>
      <w:r>
        <w:rPr>
          <w:rFonts w:hint="eastAsia" w:ascii="仿宋" w:hAnsi="仿宋" w:eastAsia="仿宋" w:cs="仿宋"/>
          <w:sz w:val="32"/>
          <w:szCs w:val="32"/>
        </w:rPr>
        <w:t>认真贯彻执行国家有关社会保险基金财务管理</w:t>
      </w:r>
      <w:r>
        <w:rPr>
          <w:rFonts w:hint="eastAsia" w:ascii="仿宋" w:hAnsi="仿宋" w:eastAsia="仿宋" w:cs="仿宋"/>
          <w:sz w:val="32"/>
          <w:szCs w:val="32"/>
          <w:lang w:eastAsia="zh-CN"/>
        </w:rPr>
        <w:t>法律法规</w:t>
      </w:r>
      <w:r>
        <w:rPr>
          <w:rFonts w:hint="eastAsia" w:ascii="仿宋" w:hAnsi="仿宋" w:eastAsia="仿宋" w:cs="仿宋"/>
          <w:sz w:val="32"/>
          <w:szCs w:val="32"/>
        </w:rPr>
        <w:t>；</w:t>
      </w:r>
    </w:p>
    <w:p w14:paraId="01E9A1C2">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负责各项社会保险基金财务收入、支出预算决算；负责社会保险基金的拨付计划执行情况以及财务分析，提出改进意见；负责报告社保基金收支、结存情况；</w:t>
      </w:r>
    </w:p>
    <w:p w14:paraId="76D88E1A">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负责各项社会保险基金待遇审核支付工作；</w:t>
      </w:r>
    </w:p>
    <w:p w14:paraId="49DBABCC">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负责各项社会保险基金的日常</w:t>
      </w:r>
      <w:r>
        <w:rPr>
          <w:rFonts w:hint="eastAsia" w:ascii="仿宋" w:hAnsi="仿宋" w:eastAsia="仿宋" w:cs="仿宋"/>
          <w:sz w:val="32"/>
          <w:szCs w:val="32"/>
          <w:lang w:eastAsia="zh-CN"/>
        </w:rPr>
        <w:t>账务处理</w:t>
      </w:r>
      <w:r>
        <w:rPr>
          <w:rFonts w:hint="eastAsia" w:ascii="仿宋" w:hAnsi="仿宋" w:eastAsia="仿宋" w:cs="仿宋"/>
          <w:sz w:val="32"/>
          <w:szCs w:val="32"/>
        </w:rPr>
        <w:t>；负责票据的领用、核销、保管工作和财务资料装订整理、归档工作；</w:t>
      </w:r>
    </w:p>
    <w:p w14:paraId="693D50BC">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5.</w:t>
      </w:r>
      <w:r>
        <w:rPr>
          <w:rFonts w:hint="eastAsia" w:ascii="仿宋" w:hAnsi="仿宋" w:eastAsia="仿宋" w:cs="仿宋"/>
          <w:sz w:val="32"/>
          <w:szCs w:val="32"/>
        </w:rPr>
        <w:t>负责实施社会保险基金收支两条线的财政专户管理制度，准确及时反映各项社会保险基金收支运营情况、合理、规范、安全使用基金，按期上解基金；</w:t>
      </w:r>
    </w:p>
    <w:p w14:paraId="61BB0A65">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6.</w:t>
      </w:r>
      <w:r>
        <w:rPr>
          <w:rFonts w:hint="eastAsia" w:ascii="仿宋" w:hAnsi="仿宋" w:eastAsia="仿宋" w:cs="仿宋"/>
          <w:sz w:val="32"/>
          <w:szCs w:val="32"/>
        </w:rPr>
        <w:t>负责社会保险基金会计资料的收集、整理、编制，上报社会保险基金会计报表；</w:t>
      </w:r>
    </w:p>
    <w:p w14:paraId="24471EAD">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7.</w:t>
      </w:r>
      <w:r>
        <w:rPr>
          <w:rFonts w:hint="eastAsia" w:ascii="仿宋" w:hAnsi="仿宋" w:eastAsia="仿宋" w:cs="仿宋"/>
          <w:sz w:val="32"/>
          <w:szCs w:val="32"/>
        </w:rPr>
        <w:t>负责对各项社会保险基金运行情况提供分析、研究和预测，提出调整建议和实施方案；</w:t>
      </w:r>
    </w:p>
    <w:p w14:paraId="6F09E121">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三</w:t>
      </w:r>
      <w:r>
        <w:rPr>
          <w:rFonts w:hint="eastAsia" w:ascii="仿宋" w:hAnsi="仿宋" w:eastAsia="仿宋" w:cs="仿宋"/>
          <w:sz w:val="32"/>
          <w:szCs w:val="32"/>
        </w:rPr>
        <w:t>）</w:t>
      </w:r>
      <w:r>
        <w:rPr>
          <w:rFonts w:hint="eastAsia" w:ascii="仿宋" w:hAnsi="仿宋" w:eastAsia="仿宋" w:cs="仿宋"/>
          <w:sz w:val="32"/>
          <w:szCs w:val="32"/>
          <w:lang w:eastAsia="zh-CN"/>
        </w:rPr>
        <w:t>统筹股</w:t>
      </w:r>
    </w:p>
    <w:p w14:paraId="0F2AC1FB">
      <w:pPr>
        <w:ind w:firstLine="800" w:firstLineChars="250"/>
        <w:rPr>
          <w:rFonts w:hint="eastAsia" w:ascii="仿宋" w:hAnsi="仿宋" w:eastAsia="仿宋" w:cs="仿宋"/>
          <w:sz w:val="32"/>
          <w:szCs w:val="32"/>
        </w:rPr>
      </w:pPr>
      <w:r>
        <w:rPr>
          <w:rFonts w:hint="eastAsia" w:ascii="仿宋" w:hAnsi="仿宋" w:eastAsia="仿宋" w:cs="仿宋"/>
          <w:sz w:val="32"/>
          <w:szCs w:val="32"/>
        </w:rPr>
        <w:t>1负责宣传贯彻执行国家、省、州有关养老保险征收管理的各项</w:t>
      </w:r>
      <w:r>
        <w:rPr>
          <w:rFonts w:hint="eastAsia" w:ascii="仿宋" w:hAnsi="仿宋" w:eastAsia="仿宋" w:cs="仿宋"/>
          <w:sz w:val="32"/>
          <w:szCs w:val="32"/>
          <w:lang w:eastAsia="zh-CN"/>
        </w:rPr>
        <w:t>法律法规</w:t>
      </w:r>
      <w:r>
        <w:rPr>
          <w:rFonts w:hint="eastAsia" w:ascii="仿宋" w:hAnsi="仿宋" w:eastAsia="仿宋" w:cs="仿宋"/>
          <w:sz w:val="32"/>
          <w:szCs w:val="32"/>
        </w:rPr>
        <w:t>和政策；</w:t>
      </w:r>
    </w:p>
    <w:p w14:paraId="20CC9FF9">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2.</w:t>
      </w:r>
      <w:r>
        <w:rPr>
          <w:rFonts w:hint="eastAsia" w:ascii="仿宋" w:hAnsi="仿宋" w:eastAsia="仿宋" w:cs="仿宋"/>
          <w:sz w:val="32"/>
          <w:szCs w:val="32"/>
        </w:rPr>
        <w:t>负责组织本科室业务操作中的各项规章制度、目标管理方案及全年工作计划的</w:t>
      </w:r>
      <w:r>
        <w:rPr>
          <w:rFonts w:hint="eastAsia" w:ascii="仿宋" w:hAnsi="仿宋" w:eastAsia="仿宋" w:cs="仿宋"/>
          <w:sz w:val="32"/>
          <w:szCs w:val="32"/>
          <w:lang w:eastAsia="zh-CN"/>
        </w:rPr>
        <w:t>拟订</w:t>
      </w:r>
      <w:r>
        <w:rPr>
          <w:rFonts w:hint="eastAsia" w:ascii="仿宋" w:hAnsi="仿宋" w:eastAsia="仿宋" w:cs="仿宋"/>
          <w:sz w:val="32"/>
          <w:szCs w:val="32"/>
        </w:rPr>
        <w:t>，针对存在的问题及时改进工作；</w:t>
      </w:r>
    </w:p>
    <w:p w14:paraId="61DEC246">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负责办理各类用人单位、个体户、灵活就业人员参加养老保险登记、审核、变更和注销登记业务；负责养老保险登记证的核发及养老保险年检工作；</w:t>
      </w:r>
    </w:p>
    <w:p w14:paraId="3A4F9CFC">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负责参保单位、个体户和灵活就业人员参保档案的建立和归档管理；</w:t>
      </w:r>
    </w:p>
    <w:p w14:paraId="3EE42DEE">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5.</w:t>
      </w:r>
      <w:r>
        <w:rPr>
          <w:rFonts w:hint="eastAsia" w:ascii="仿宋" w:hAnsi="仿宋" w:eastAsia="仿宋" w:cs="仿宋"/>
          <w:sz w:val="32"/>
          <w:szCs w:val="32"/>
        </w:rPr>
        <w:t>负责办理参保单位、个体灵活就业人员养老保险费申报审核、缴费结算和数据录入业务；负责养老保险费缓缴办理及欠缴社会保险费单位及个人的催缴工作；</w:t>
      </w:r>
    </w:p>
    <w:p w14:paraId="56A499A7">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6.</w:t>
      </w:r>
      <w:r>
        <w:rPr>
          <w:rFonts w:hint="eastAsia" w:ascii="仿宋" w:hAnsi="仿宋" w:eastAsia="仿宋" w:cs="仿宋"/>
          <w:sz w:val="32"/>
          <w:szCs w:val="32"/>
        </w:rPr>
        <w:t>负责参保人员养老保险关系建立、转移、中断、接续、终止的经</w:t>
      </w:r>
      <w:r>
        <w:rPr>
          <w:rFonts w:hint="eastAsia" w:ascii="仿宋" w:hAnsi="仿宋" w:eastAsia="仿宋" w:cs="仿宋"/>
          <w:sz w:val="32"/>
          <w:szCs w:val="32"/>
          <w:lang w:eastAsia="zh-CN"/>
        </w:rPr>
        <w:t>办</w:t>
      </w:r>
      <w:r>
        <w:rPr>
          <w:rFonts w:hint="eastAsia" w:ascii="仿宋" w:hAnsi="仿宋" w:eastAsia="仿宋" w:cs="仿宋"/>
          <w:sz w:val="32"/>
          <w:szCs w:val="32"/>
        </w:rPr>
        <w:t>业务；</w:t>
      </w:r>
    </w:p>
    <w:p w14:paraId="4B1C4863">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7.</w:t>
      </w:r>
      <w:r>
        <w:rPr>
          <w:rFonts w:hint="eastAsia" w:ascii="仿宋" w:hAnsi="仿宋" w:eastAsia="仿宋" w:cs="仿宋"/>
          <w:sz w:val="32"/>
          <w:szCs w:val="32"/>
        </w:rPr>
        <w:t>负责养老保险</w:t>
      </w:r>
      <w:r>
        <w:rPr>
          <w:rFonts w:hint="eastAsia" w:ascii="仿宋" w:hAnsi="仿宋" w:eastAsia="仿宋" w:cs="仿宋"/>
          <w:sz w:val="32"/>
          <w:szCs w:val="32"/>
          <w:lang w:eastAsia="zh-CN"/>
        </w:rPr>
        <w:t>个人账户的</w:t>
      </w:r>
      <w:r>
        <w:rPr>
          <w:rFonts w:hint="eastAsia" w:ascii="仿宋" w:hAnsi="仿宋" w:eastAsia="仿宋" w:cs="仿宋"/>
          <w:sz w:val="32"/>
          <w:szCs w:val="32"/>
        </w:rPr>
        <w:t>建立、变更和管理工作；</w:t>
      </w:r>
    </w:p>
    <w:p w14:paraId="1CB94F6C">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8.</w:t>
      </w:r>
      <w:r>
        <w:rPr>
          <w:rFonts w:hint="eastAsia" w:ascii="仿宋" w:hAnsi="仿宋" w:eastAsia="仿宋" w:cs="仿宋"/>
          <w:sz w:val="32"/>
          <w:szCs w:val="32"/>
        </w:rPr>
        <w:t>负责企业养老保险参保人员数据的录入和管理工作；</w:t>
      </w:r>
    </w:p>
    <w:p w14:paraId="1ACE1263">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9.</w:t>
      </w:r>
      <w:r>
        <w:rPr>
          <w:rFonts w:hint="eastAsia" w:ascii="仿宋" w:hAnsi="仿宋" w:eastAsia="仿宋" w:cs="仿宋"/>
          <w:sz w:val="32"/>
          <w:szCs w:val="32"/>
        </w:rPr>
        <w:t>负责“金保”工程应用程序系统运行、维护和管理等工作。</w:t>
      </w:r>
    </w:p>
    <w:p w14:paraId="0767264A">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10.</w:t>
      </w:r>
      <w:r>
        <w:rPr>
          <w:rFonts w:hint="eastAsia" w:ascii="仿宋" w:hAnsi="仿宋" w:eastAsia="仿宋" w:cs="仿宋"/>
          <w:sz w:val="32"/>
          <w:szCs w:val="32"/>
        </w:rPr>
        <w:t>负责编制、报送本股室应上报的各类报表；</w:t>
      </w:r>
    </w:p>
    <w:p w14:paraId="16E8D634">
      <w:pPr>
        <w:ind w:firstLine="800" w:firstLineChars="250"/>
        <w:rPr>
          <w:rFonts w:hint="eastAsia" w:ascii="仿宋" w:hAnsi="仿宋" w:eastAsia="仿宋" w:cs="仿宋"/>
          <w:sz w:val="32"/>
          <w:szCs w:val="32"/>
        </w:rPr>
      </w:pPr>
      <w:r>
        <w:rPr>
          <w:rFonts w:hint="eastAsia" w:ascii="仿宋" w:hAnsi="仿宋" w:eastAsia="仿宋" w:cs="仿宋"/>
          <w:sz w:val="32"/>
          <w:szCs w:val="32"/>
          <w:lang w:eastAsia="zh-CN"/>
        </w:rPr>
        <w:t>11.</w:t>
      </w:r>
      <w:r>
        <w:rPr>
          <w:rFonts w:hint="eastAsia" w:ascii="仿宋" w:hAnsi="仿宋" w:eastAsia="仿宋" w:cs="仿宋"/>
          <w:sz w:val="32"/>
          <w:szCs w:val="32"/>
        </w:rPr>
        <w:t>承办</w:t>
      </w:r>
      <w:r>
        <w:rPr>
          <w:rFonts w:hint="eastAsia" w:ascii="仿宋" w:hAnsi="仿宋" w:eastAsia="仿宋" w:cs="仿宋"/>
          <w:sz w:val="32"/>
          <w:szCs w:val="32"/>
          <w:lang w:eastAsia="zh-CN"/>
        </w:rPr>
        <w:t>企业职工基本养老保险</w:t>
      </w:r>
      <w:r>
        <w:rPr>
          <w:rFonts w:hint="eastAsia" w:ascii="仿宋" w:hAnsi="仿宋" w:eastAsia="仿宋" w:cs="仿宋"/>
          <w:sz w:val="32"/>
          <w:szCs w:val="32"/>
        </w:rPr>
        <w:t>信息网络的规划、建设、管理、使用、维护与升级等工作；</w:t>
      </w:r>
    </w:p>
    <w:p w14:paraId="1C301C19">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（四）待遇股</w:t>
      </w:r>
    </w:p>
    <w:p w14:paraId="3E948295">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负责国家、省、州有关退休管理、养老待遇等社会保险政策的宣传和政策解释；按月核算符合退休条件人员的养老金，做到准确无误；按月提供退休人员养老金支付花名册、汇总表，做到准确、及时、足额调整和发放，同时负责退休人员的日常管理。核算退休人员死亡丧葬费、抚恤金</w:t>
      </w:r>
      <w:r>
        <w:rPr>
          <w:rFonts w:hint="eastAsia" w:ascii="仿宋" w:hAnsi="仿宋" w:eastAsia="仿宋" w:cs="仿宋"/>
          <w:sz w:val="32"/>
          <w:szCs w:val="32"/>
          <w:lang w:eastAsia="zh-CN"/>
        </w:rPr>
        <w:t>和个人账户</w:t>
      </w:r>
      <w:r>
        <w:rPr>
          <w:rFonts w:hint="eastAsia" w:ascii="仿宋" w:hAnsi="仿宋" w:eastAsia="仿宋" w:cs="仿宋"/>
          <w:sz w:val="32"/>
          <w:szCs w:val="32"/>
        </w:rPr>
        <w:t>余额，做到支付有据，支付准确无误；负责工伤保险待遇的计算、审核及调整工作；防范虚报冒领工伤保险待遇，办理工伤保险待遇发放过程中的来信、来访工作，为待遇领取对象提供查询服务。负责企业在职人员企业养老保险终止待遇核定（养老保险死亡待遇申领），办理在职人员死亡一次性待遇申领工作。</w:t>
      </w:r>
    </w:p>
    <w:p w14:paraId="4CDA03B8">
      <w:pPr>
        <w:numPr>
          <w:ilvl w:val="0"/>
          <w:numId w:val="2"/>
        </w:numPr>
        <w:spacing w:line="578" w:lineRule="exact"/>
        <w:ind w:firstLine="640" w:firstLineChars="200"/>
        <w:rPr>
          <w:rFonts w:hint="default" w:ascii="仿宋" w:hAnsi="仿宋" w:eastAsia="仿宋" w:cs="仿宋"/>
          <w:sz w:val="32"/>
          <w:szCs w:val="32"/>
        </w:rPr>
      </w:pPr>
      <w:r>
        <w:rPr>
          <w:rFonts w:hint="default" w:ascii="仿宋" w:hAnsi="仿宋" w:eastAsia="仿宋" w:cs="仿宋"/>
          <w:sz w:val="32"/>
          <w:szCs w:val="32"/>
        </w:rPr>
        <w:t>稽核股</w:t>
      </w:r>
    </w:p>
    <w:p w14:paraId="70019A31">
      <w:pPr>
        <w:numPr>
          <w:ilvl w:val="0"/>
          <w:numId w:val="0"/>
        </w:num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负责本局基金稽核工作，</w:t>
      </w:r>
      <w:r>
        <w:rPr>
          <w:rFonts w:hint="eastAsia" w:ascii="仿宋" w:hAnsi="仿宋" w:eastAsia="仿宋" w:cs="仿宋"/>
          <w:sz w:val="32"/>
          <w:szCs w:val="32"/>
          <w:lang w:eastAsia="zh-CN"/>
        </w:rPr>
        <w:t>拟订</w:t>
      </w:r>
      <w:r>
        <w:rPr>
          <w:rFonts w:hint="eastAsia" w:ascii="仿宋" w:hAnsi="仿宋" w:eastAsia="仿宋" w:cs="仿宋"/>
          <w:sz w:val="32"/>
          <w:szCs w:val="32"/>
        </w:rPr>
        <w:t>年度稽核计划、报送稽核工作总结；负责稽核参保单位参保和缴纳社会保险费的情况（包括参保人员和缴费基数），是否存在瞒报、少报、漏报情况，缴费单位和缴费个人申报的社会保险缴费人数、缴费基数是否符合国家规定；是否按时足额缴纳社会保险费；负责稽核企业欠缴社会保险费及其缴费能力的情况；负责稽核单位欠费补缴和灵活就业人员补缴的情况；对虚报、冒领社会保险待遇现象进行监督检查，并对冒领情况实施追缴；国家规定的或者社会保障</w:t>
      </w:r>
    </w:p>
    <w:p w14:paraId="717F1B52">
      <w:pPr>
        <w:numPr>
          <w:ilvl w:val="0"/>
          <w:numId w:val="0"/>
        </w:numPr>
        <w:rPr>
          <w:rFonts w:ascii="Times New Roman" w:hAnsi="Times New Roman" w:eastAsia="仿宋"/>
          <w:color w:val="auto"/>
          <w:kern w:val="0"/>
          <w:sz w:val="32"/>
          <w:szCs w:val="32"/>
          <w:highlight w:val="none"/>
        </w:rPr>
      </w:pPr>
      <w:r>
        <w:rPr>
          <w:rFonts w:hint="eastAsia" w:ascii="仿宋" w:hAnsi="仿宋" w:eastAsia="仿宋" w:cs="仿宋"/>
          <w:sz w:val="32"/>
          <w:szCs w:val="32"/>
        </w:rPr>
        <w:t>行政部门交办的其他稽核事项。</w:t>
      </w:r>
      <w:r>
        <w:rPr>
          <w:rFonts w:ascii="Times New Roman" w:hAnsi="Times New Roman" w:eastAsia="仿宋"/>
          <w:color w:val="auto"/>
          <w:sz w:val="32"/>
          <w:szCs w:val="32"/>
          <w:highlight w:val="none"/>
        </w:rPr>
        <w:br w:type="page"/>
      </w:r>
    </w:p>
    <w:p w14:paraId="61D31190">
      <w:pPr>
        <w:pStyle w:val="3"/>
        <w:jc w:val="center"/>
        <w:rPr>
          <w:rFonts w:hint="eastAsia" w:ascii="Times New Roman" w:hAnsi="Times New Roman" w:eastAsia="方正小标宋简体" w:cs="方正小标宋简体"/>
          <w:b w:val="0"/>
          <w:color w:val="auto"/>
          <w:highlight w:val="none"/>
        </w:rPr>
      </w:pPr>
      <w:bookmarkStart w:id="8" w:name="_Toc15396602"/>
      <w:bookmarkStart w:id="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14:paraId="25738018">
      <w:pPr>
        <w:rPr>
          <w:rFonts w:ascii="Times New Roman" w:hAnsi="Times New Roman"/>
          <w:color w:val="auto"/>
          <w:highlight w:val="none"/>
        </w:rPr>
      </w:pPr>
    </w:p>
    <w:p w14:paraId="001F41E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0" w:name="_Toc15377205"/>
      <w:bookmarkStart w:id="1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0"/>
      <w:bookmarkEnd w:id="11"/>
    </w:p>
    <w:p w14:paraId="0F03B704">
      <w:pPr>
        <w:pStyle w:val="16"/>
        <w:spacing w:beforeAutospacing="0" w:afterAutospacing="0" w:line="520" w:lineRule="atLeast"/>
        <w:ind w:firstLine="480"/>
        <w:rPr>
          <w:rFonts w:hint="eastAsia" w:ascii="仿宋_GB2312" w:hAnsi="仿宋_GB2312" w:eastAsia="仿宋_GB2312" w:cs="仿宋_GB2312"/>
          <w:color w:val="auto"/>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306.95万元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29.92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9.75</w:t>
      </w:r>
      <w:r>
        <w:rPr>
          <w:rFonts w:hint="eastAsia" w:ascii="Times New Roman" w:hAnsi="Times New Roman" w:eastAsia="仿宋_GB2312" w:cs="仿宋_GB2312"/>
          <w:color w:val="auto"/>
          <w:sz w:val="32"/>
          <w:szCs w:val="32"/>
          <w:highlight w:val="none"/>
        </w:rPr>
        <w:t>%。主要变动原因是</w:t>
      </w:r>
      <w:bookmarkStart w:id="12" w:name="_Toc15396604"/>
      <w:bookmarkStart w:id="13" w:name="_Toc15377206"/>
      <w:r>
        <w:rPr>
          <w:rFonts w:hint="eastAsia" w:ascii="仿宋_GB2312" w:hAnsi="仿宋_GB2312" w:eastAsia="仿宋_GB2312" w:cs="仿宋_GB2312"/>
          <w:color w:val="auto"/>
          <w:sz w:val="32"/>
          <w:szCs w:val="32"/>
          <w:lang w:val="en-US" w:eastAsia="zh-CN"/>
        </w:rPr>
        <w:t>增加了部分职工基本工资、高海拔等。</w:t>
      </w:r>
    </w:p>
    <w:p w14:paraId="390A46D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2"/>
      <w:bookmarkEnd w:id="13"/>
    </w:p>
    <w:p w14:paraId="1DAA6D3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507116F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4" w:name="_Toc15396605"/>
      <w:bookmarkStart w:id="1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4"/>
      <w:bookmarkEnd w:id="15"/>
    </w:p>
    <w:p w14:paraId="63AD87C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316.42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93.92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20.45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6.0</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14B1638">
      <w:pPr>
        <w:spacing w:line="600" w:lineRule="exact"/>
        <w:ind w:firstLine="640" w:firstLineChars="200"/>
        <w:outlineLvl w:val="1"/>
        <w:rPr>
          <w:rStyle w:val="31"/>
          <w:rFonts w:ascii="Times New Roman" w:hAnsi="Times New Roman" w:eastAsia="黑体"/>
          <w:b w:val="0"/>
          <w:color w:val="auto"/>
          <w:highlight w:val="none"/>
        </w:rPr>
      </w:pPr>
      <w:bookmarkStart w:id="16" w:name="_Toc15377208"/>
      <w:bookmarkStart w:id="17"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16"/>
      <w:bookmarkEnd w:id="17"/>
    </w:p>
    <w:p w14:paraId="33A71CD5">
      <w:pPr>
        <w:pStyle w:val="16"/>
        <w:spacing w:beforeAutospacing="0" w:afterAutospacing="0" w:line="520" w:lineRule="atLeast"/>
        <w:ind w:firstLine="480"/>
        <w:rPr>
          <w:rFonts w:hint="eastAsia" w:ascii="仿宋_GB2312" w:hAnsi="仿宋_GB2312" w:eastAsia="仿宋_GB2312" w:cs="仿宋_GB2312"/>
          <w:color w:val="auto"/>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29.92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9.75</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lang w:val="en-US" w:eastAsia="zh-CN"/>
        </w:rPr>
        <w:t>增加了部分职工基本工资、高海拔等。</w:t>
      </w:r>
    </w:p>
    <w:p w14:paraId="11F22482">
      <w:pPr>
        <w:spacing w:line="600" w:lineRule="exact"/>
        <w:ind w:firstLine="640" w:firstLineChars="200"/>
        <w:outlineLvl w:val="1"/>
        <w:rPr>
          <w:rStyle w:val="31"/>
          <w:rFonts w:ascii="Times New Roman" w:hAnsi="Times New Roman" w:eastAsia="黑体"/>
          <w:b w:val="0"/>
          <w:color w:val="auto"/>
          <w:highlight w:val="none"/>
        </w:rPr>
      </w:pPr>
      <w:bookmarkStart w:id="18" w:name="_Toc15377209"/>
      <w:bookmarkStart w:id="1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18"/>
      <w:bookmarkEnd w:id="19"/>
    </w:p>
    <w:p w14:paraId="4F8B731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14:paraId="4D74D02A">
      <w:pPr>
        <w:pStyle w:val="16"/>
        <w:spacing w:beforeAutospacing="0" w:afterAutospacing="0" w:line="520" w:lineRule="atLeast"/>
        <w:ind w:firstLine="480"/>
        <w:rPr>
          <w:rFonts w:hint="eastAsia" w:ascii="仿宋_GB2312" w:hAnsi="仿宋_GB2312" w:eastAsia="仿宋_GB2312" w:cs="仿宋_GB2312"/>
          <w:color w:val="auto"/>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eastAsia="仿宋_GB2312" w:cs="仿宋_GB2312"/>
          <w:color w:val="auto"/>
          <w:kern w:val="2"/>
          <w:sz w:val="32"/>
          <w:szCs w:val="32"/>
          <w:highlight w:val="none"/>
          <w:lang w:val="en-US" w:eastAsia="zh-CN" w:bidi="ar-SA"/>
        </w:rPr>
        <w:t>327.06万元</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9.81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sz w:val="32"/>
          <w:szCs w:val="32"/>
          <w:lang w:val="en-US" w:eastAsia="zh-CN"/>
        </w:rPr>
        <w:t>增加了部分职工基本工资、高海拔等。</w:t>
      </w:r>
    </w:p>
    <w:p w14:paraId="31BAA79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1"/>
    </w:p>
    <w:p w14:paraId="45EDD4B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298.54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88.62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15.83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31BA29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2"/>
    </w:p>
    <w:p w14:paraId="359C22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3" w:name="_Toc15377213"/>
      <w:bookmarkStart w:id="24" w:name="_Toc15377444"/>
      <w:bookmarkStart w:id="2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336.87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103</w:t>
      </w:r>
      <w:r>
        <w:rPr>
          <w:rFonts w:hint="eastAsia" w:ascii="Times New Roman" w:hAnsi="Times New Roman" w:eastAsia="仿宋_GB2312" w:cs="仿宋_GB2312"/>
          <w:color w:val="auto"/>
          <w:kern w:val="2"/>
          <w:sz w:val="32"/>
          <w:szCs w:val="32"/>
          <w:highlight w:val="none"/>
          <w:lang w:val="en-US" w:eastAsia="zh-CN" w:bidi="ar-SA"/>
        </w:rPr>
        <w:t>%。其中：</w:t>
      </w:r>
      <w:bookmarkEnd w:id="23"/>
      <w:bookmarkEnd w:id="24"/>
      <w:bookmarkEnd w:id="25"/>
    </w:p>
    <w:p w14:paraId="30AF444A">
      <w:pPr>
        <w:pStyle w:val="16"/>
        <w:spacing w:beforeAutospacing="0" w:afterAutospacing="0" w:line="520" w:lineRule="atLeast"/>
        <w:ind w:firstLine="480"/>
        <w:rPr>
          <w:rFonts w:hint="eastAsia" w:ascii="仿宋_GB2312" w:hAnsi="仿宋_GB2312" w:eastAsia="仿宋_GB2312" w:cs="仿宋_GB2312"/>
          <w:color w:val="auto"/>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社会保障和就业208（类）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298.54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104.2</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大于</w:t>
      </w:r>
      <w:r>
        <w:rPr>
          <w:rFonts w:hint="eastAsia" w:ascii="Times New Roman" w:hAnsi="Times New Roman" w:eastAsia="仿宋_GB2312" w:cs="仿宋_GB2312"/>
          <w:color w:val="auto"/>
          <w:kern w:val="2"/>
          <w:sz w:val="32"/>
          <w:szCs w:val="32"/>
          <w:highlight w:val="none"/>
          <w:lang w:val="en-US" w:eastAsia="zh-CN" w:bidi="ar-SA"/>
        </w:rPr>
        <w:t>预算数的主要原因是</w:t>
      </w:r>
      <w:r>
        <w:rPr>
          <w:rFonts w:hint="eastAsia" w:ascii="仿宋_GB2312" w:hAnsi="仿宋_GB2312" w:eastAsia="仿宋_GB2312" w:cs="仿宋_GB2312"/>
          <w:color w:val="auto"/>
          <w:sz w:val="32"/>
          <w:szCs w:val="32"/>
          <w:lang w:val="en-US" w:eastAsia="zh-CN"/>
        </w:rPr>
        <w:t>增加了部分职工基本工资、高海拔等。</w:t>
      </w:r>
    </w:p>
    <w:p w14:paraId="6DEF2D5C">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91.61</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医疗保险调整基数减少。</w:t>
      </w:r>
    </w:p>
    <w:p w14:paraId="28C9A47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681706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E9A0DC">
      <w:pPr>
        <w:tabs>
          <w:tab w:val="right" w:pos="8306"/>
        </w:tabs>
        <w:spacing w:line="600" w:lineRule="exact"/>
        <w:ind w:firstLine="640"/>
        <w:outlineLvl w:val="1"/>
        <w:rPr>
          <w:rStyle w:val="31"/>
          <w:rFonts w:ascii="Times New Roman" w:hAnsi="Times New Roman"/>
          <w:color w:val="auto"/>
          <w:highlight w:val="none"/>
        </w:rPr>
      </w:pPr>
      <w:bookmarkStart w:id="26" w:name="_Toc15396608"/>
      <w:bookmarkStart w:id="2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26"/>
      <w:bookmarkEnd w:id="27"/>
      <w:r>
        <w:rPr>
          <w:rStyle w:val="31"/>
          <w:rFonts w:ascii="Times New Roman" w:hAnsi="Times New Roman" w:eastAsia="黑体"/>
          <w:b w:val="0"/>
          <w:color w:val="auto"/>
          <w:highlight w:val="none"/>
        </w:rPr>
        <w:tab/>
      </w:r>
    </w:p>
    <w:p w14:paraId="1A8F6C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316.42</w:t>
      </w:r>
      <w:r>
        <w:rPr>
          <w:rFonts w:hint="eastAsia" w:ascii="Times New Roman" w:hAnsi="Times New Roman" w:eastAsia="仿宋_GB2312" w:cs="仿宋_GB2312"/>
          <w:color w:val="auto"/>
          <w:kern w:val="2"/>
          <w:sz w:val="32"/>
          <w:szCs w:val="32"/>
          <w:highlight w:val="none"/>
          <w:lang w:val="en-US" w:eastAsia="zh-CN" w:bidi="ar-SA"/>
        </w:rPr>
        <w:t>万元，其中：</w:t>
      </w:r>
    </w:p>
    <w:p w14:paraId="172F0B39">
      <w:pPr>
        <w:spacing w:line="60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299.12</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 w:hAnsi="仿宋" w:eastAsia="仿宋"/>
          <w:sz w:val="32"/>
          <w:szCs w:val="32"/>
        </w:rPr>
        <w:t>基本工资、津贴补贴、奖金、机关事业单位基本养老保险缴费、职业年金缴费、其他社会保障缴费、离休费、退休费、抚恤金、生活补助、医疗费补助、住房公积金、其他对个人和家庭的补助支出等</w:t>
      </w:r>
      <w:r>
        <w:rPr>
          <w:rFonts w:hint="eastAsia" w:ascii="仿宋" w:hAnsi="仿宋" w:eastAsia="仿宋"/>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17.3</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 w:hAnsi="仿宋" w:eastAsia="仿宋"/>
          <w:sz w:val="32"/>
          <w:szCs w:val="32"/>
        </w:rPr>
        <w:t>办公费、水费、电费、邮电费、差旅费、培训费、工会经费支出等。</w:t>
      </w:r>
    </w:p>
    <w:p w14:paraId="378A12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2A70EEE">
      <w:pPr>
        <w:spacing w:line="600" w:lineRule="exact"/>
        <w:ind w:firstLine="640"/>
        <w:outlineLvl w:val="1"/>
        <w:rPr>
          <w:rStyle w:val="31"/>
          <w:rFonts w:ascii="Times New Roman" w:hAnsi="Times New Roman" w:eastAsia="黑体"/>
          <w:b w:val="0"/>
          <w:color w:val="auto"/>
          <w:highlight w:val="none"/>
        </w:rPr>
      </w:pPr>
      <w:bookmarkStart w:id="28" w:name="_Toc15377215"/>
      <w:bookmarkStart w:id="29"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28"/>
      <w:bookmarkEnd w:id="29"/>
    </w:p>
    <w:p w14:paraId="62F0F52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0"/>
    </w:p>
    <w:p w14:paraId="1C06F53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31F55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1"/>
    </w:p>
    <w:p w14:paraId="0E0A49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C1715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962D8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57362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25144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083C2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F410D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2" w:name="_Toc15396610"/>
      <w:bookmarkStart w:id="33" w:name="_Toc15377218"/>
    </w:p>
    <w:p w14:paraId="33085B33">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2"/>
      <w:bookmarkEnd w:id="33"/>
    </w:p>
    <w:p w14:paraId="4D2FE7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9A8B6F9">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34" w:name="_Toc15377219"/>
      <w:bookmarkStart w:id="35"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4"/>
      <w:bookmarkEnd w:id="35"/>
    </w:p>
    <w:p w14:paraId="4F640B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F37271D">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36" w:name="_Toc15377221"/>
      <w:bookmarkStart w:id="37"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36"/>
      <w:bookmarkEnd w:id="37"/>
    </w:p>
    <w:p w14:paraId="64AD53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22"/>
      <w:r>
        <w:rPr>
          <w:rFonts w:hint="eastAsia" w:ascii="Times New Roman" w:hAnsi="Times New Roman" w:eastAsia="楷体_GB2312" w:cs="楷体_GB2312"/>
          <w:b/>
          <w:color w:val="auto"/>
          <w:sz w:val="32"/>
          <w:szCs w:val="32"/>
          <w:highlight w:val="none"/>
        </w:rPr>
        <w:t>（一）机关运行经费支出情况</w:t>
      </w:r>
      <w:bookmarkEnd w:id="38"/>
    </w:p>
    <w:p w14:paraId="201B1C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松潘县社会保险事务中心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17.3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17.28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取暖费。</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3CF75C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23"/>
      <w:r>
        <w:rPr>
          <w:rFonts w:hint="eastAsia" w:ascii="Times New Roman" w:hAnsi="Times New Roman" w:eastAsia="楷体_GB2312" w:cs="楷体_GB2312"/>
          <w:b/>
          <w:color w:val="auto"/>
          <w:sz w:val="32"/>
          <w:szCs w:val="32"/>
          <w:highlight w:val="none"/>
        </w:rPr>
        <w:t>（二）政府采购支出情况</w:t>
      </w:r>
      <w:bookmarkEnd w:id="39"/>
    </w:p>
    <w:p w14:paraId="22D424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松潘县社会保险事务中心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EE847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4"/>
      <w:r>
        <w:rPr>
          <w:rFonts w:hint="eastAsia" w:ascii="Times New Roman" w:hAnsi="Times New Roman" w:eastAsia="楷体_GB2312" w:cs="楷体_GB2312"/>
          <w:b/>
          <w:color w:val="auto"/>
          <w:sz w:val="32"/>
          <w:szCs w:val="32"/>
          <w:highlight w:val="none"/>
        </w:rPr>
        <w:t>（三）国有资产占有使用情况</w:t>
      </w:r>
      <w:bookmarkEnd w:id="40"/>
    </w:p>
    <w:p w14:paraId="0A16FB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松潘县社会保险事务中心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p>
    <w:p w14:paraId="5B63E21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38BCC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在2025年度，预算编制阶段，组织对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4BF8A6E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1" w:name="_Toc15396613"/>
      <w:bookmarkStart w:id="42" w:name="_Toc15377225"/>
    </w:p>
    <w:p w14:paraId="4018610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1E6D07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123753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FE8B68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B9F94B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43A1F2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073A26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1798554">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5DF5A2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F56481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BB52B1D">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EB29DA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A04950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83B40A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269458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41DFE5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C44428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C609937">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1"/>
      <w:bookmarkEnd w:id="42"/>
    </w:p>
    <w:p w14:paraId="1AC118B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9E644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2.事业收入：指事业单位开展专业业务活动及辅助活动取得的收入。（二级预算单位事业收入情况）等。</w:t>
      </w:r>
    </w:p>
    <w:p w14:paraId="18B66E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3.经营收入：指事业单位在专业业务活动及其辅助活动之外开展非独立核算经营活动取得的收入。（二级预算单位经营收入情况）等。</w:t>
      </w:r>
    </w:p>
    <w:p w14:paraId="39E9E0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58E8F7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4A76C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870F3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63BA5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DC8A7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（项）：指社会保障和就业</w:t>
      </w:r>
      <w:r>
        <w:rPr>
          <w:rFonts w:hint="eastAsia" w:eastAsia="仿宋_GB2312" w:cs="仿宋_GB2312"/>
          <w:color w:val="auto"/>
          <w:kern w:val="2"/>
          <w:sz w:val="32"/>
          <w:szCs w:val="32"/>
          <w:highlight w:val="none"/>
          <w:lang w:val="en-US" w:eastAsia="zh-CN" w:bidi="ar-SA"/>
        </w:rPr>
        <w:t>收入、支出。</w:t>
      </w:r>
    </w:p>
    <w:p w14:paraId="5C5DFF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（项）：指卫生健康</w:t>
      </w:r>
      <w:r>
        <w:rPr>
          <w:rFonts w:hint="eastAsia" w:eastAsia="仿宋_GB2312" w:cs="仿宋_GB2312"/>
          <w:color w:val="auto"/>
          <w:kern w:val="2"/>
          <w:sz w:val="32"/>
          <w:szCs w:val="32"/>
          <w:highlight w:val="none"/>
          <w:lang w:val="en-US" w:eastAsia="zh-CN" w:bidi="ar-SA"/>
        </w:rPr>
        <w:t>收入、支出。</w:t>
      </w:r>
    </w:p>
    <w:p w14:paraId="10E6DC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（项）：指住房保障</w:t>
      </w:r>
      <w:r>
        <w:rPr>
          <w:rFonts w:hint="eastAsia" w:eastAsia="仿宋_GB2312" w:cs="仿宋_GB2312"/>
          <w:color w:val="auto"/>
          <w:kern w:val="2"/>
          <w:sz w:val="32"/>
          <w:szCs w:val="32"/>
          <w:highlight w:val="none"/>
          <w:lang w:val="en-US" w:eastAsia="zh-CN" w:bidi="ar-SA"/>
        </w:rPr>
        <w:t>收入、支出。</w:t>
      </w:r>
    </w:p>
    <w:p w14:paraId="5FFC0A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2C5FB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F5CE1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2D246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496F7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346C06">
      <w:pPr>
        <w:spacing w:line="600" w:lineRule="exact"/>
        <w:ind w:firstLine="64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bookmarkStart w:id="43" w:name="_Toc15377226"/>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page"/>
      </w:r>
      <w:bookmarkStart w:id="44" w:name="_Toc15396618"/>
    </w:p>
    <w:p w14:paraId="7B428D85">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30"/>
          <w:rFonts w:hint="eastAsia" w:ascii="Times New Roman" w:hAnsi="Times New Roman" w:eastAsia="黑体"/>
          <w:b w:val="0"/>
          <w:color w:val="auto"/>
          <w:highlight w:val="none"/>
        </w:rPr>
        <w:t>部分 附表</w:t>
      </w:r>
      <w:bookmarkEnd w:id="43"/>
      <w:bookmarkEnd w:id="44"/>
      <w:bookmarkStart w:id="45" w:name="_Toc15396619"/>
    </w:p>
    <w:p w14:paraId="09EB510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E6E61A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5"/>
    </w:p>
    <w:p w14:paraId="11E1E82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6" w:name="_Toc15396620"/>
      <w:r>
        <w:rPr>
          <w:rFonts w:hint="eastAsia" w:ascii="Times New Roman" w:hAnsi="Times New Roman" w:eastAsia="仿宋_GB2312" w:cs="仿宋_GB2312"/>
          <w:color w:val="auto"/>
          <w:sz w:val="32"/>
          <w:szCs w:val="32"/>
          <w:highlight w:val="none"/>
        </w:rPr>
        <w:t>二、收入决算表</w:t>
      </w:r>
      <w:bookmarkEnd w:id="46"/>
    </w:p>
    <w:p w14:paraId="33068D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7" w:name="_Toc15396621"/>
      <w:r>
        <w:rPr>
          <w:rFonts w:hint="eastAsia" w:ascii="Times New Roman" w:hAnsi="Times New Roman" w:eastAsia="仿宋_GB2312" w:cs="仿宋_GB2312"/>
          <w:color w:val="auto"/>
          <w:sz w:val="32"/>
          <w:szCs w:val="32"/>
          <w:highlight w:val="none"/>
        </w:rPr>
        <w:t>三、支出决算表</w:t>
      </w:r>
      <w:bookmarkEnd w:id="47"/>
    </w:p>
    <w:p w14:paraId="4BE2D54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2"/>
      <w:r>
        <w:rPr>
          <w:rFonts w:hint="eastAsia" w:ascii="Times New Roman" w:hAnsi="Times New Roman" w:eastAsia="仿宋_GB2312" w:cs="仿宋_GB2312"/>
          <w:color w:val="auto"/>
          <w:sz w:val="32"/>
          <w:szCs w:val="32"/>
          <w:highlight w:val="none"/>
        </w:rPr>
        <w:t>四、财政拨款收入支出决算总表</w:t>
      </w:r>
      <w:bookmarkEnd w:id="48"/>
    </w:p>
    <w:p w14:paraId="0075FDE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3"/>
      <w:r>
        <w:rPr>
          <w:rFonts w:hint="eastAsia" w:ascii="Times New Roman" w:hAnsi="Times New Roman" w:eastAsia="仿宋_GB2312" w:cs="仿宋_GB2312"/>
          <w:color w:val="auto"/>
          <w:sz w:val="32"/>
          <w:szCs w:val="32"/>
          <w:highlight w:val="none"/>
        </w:rPr>
        <w:t>五、财政拨款支出决算明细表</w:t>
      </w:r>
      <w:bookmarkEnd w:id="49"/>
      <w:bookmarkStart w:id="50" w:name="_Toc15396624"/>
    </w:p>
    <w:p w14:paraId="33262B0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0"/>
    </w:p>
    <w:p w14:paraId="4B92A44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5"/>
      <w:r>
        <w:rPr>
          <w:rFonts w:hint="eastAsia" w:ascii="Times New Roman" w:hAnsi="Times New Roman" w:eastAsia="仿宋_GB2312" w:cs="仿宋_GB2312"/>
          <w:color w:val="auto"/>
          <w:sz w:val="32"/>
          <w:szCs w:val="32"/>
          <w:highlight w:val="none"/>
        </w:rPr>
        <w:t>七、一般公共预算财政拨款支出决算明细表</w:t>
      </w:r>
      <w:bookmarkEnd w:id="51"/>
    </w:p>
    <w:p w14:paraId="20503FC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6"/>
      <w:r>
        <w:rPr>
          <w:rFonts w:hint="eastAsia" w:ascii="Times New Roman" w:hAnsi="Times New Roman" w:eastAsia="仿宋_GB2312" w:cs="仿宋_GB2312"/>
          <w:color w:val="auto"/>
          <w:sz w:val="32"/>
          <w:szCs w:val="32"/>
          <w:highlight w:val="none"/>
        </w:rPr>
        <w:t>八、一般公共预算财政拨款基本支出决算表</w:t>
      </w:r>
      <w:bookmarkEnd w:id="52"/>
    </w:p>
    <w:p w14:paraId="47F305B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7"/>
      <w:r>
        <w:rPr>
          <w:rFonts w:hint="eastAsia" w:ascii="Times New Roman" w:hAnsi="Times New Roman" w:eastAsia="仿宋_GB2312" w:cs="仿宋_GB2312"/>
          <w:color w:val="auto"/>
          <w:sz w:val="32"/>
          <w:szCs w:val="32"/>
          <w:highlight w:val="none"/>
        </w:rPr>
        <w:t>九、一般公共预算财政拨款项目支出决算表</w:t>
      </w:r>
      <w:bookmarkEnd w:id="53"/>
    </w:p>
    <w:p w14:paraId="71982B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8"/>
      <w:r>
        <w:rPr>
          <w:rFonts w:hint="eastAsia" w:ascii="Times New Roman" w:hAnsi="Times New Roman" w:eastAsia="仿宋_GB2312" w:cs="仿宋_GB2312"/>
          <w:color w:val="auto"/>
          <w:sz w:val="32"/>
          <w:szCs w:val="32"/>
          <w:highlight w:val="none"/>
        </w:rPr>
        <w:t>十、</w:t>
      </w:r>
      <w:bookmarkEnd w:id="54"/>
      <w:r>
        <w:rPr>
          <w:rFonts w:hint="eastAsia" w:ascii="Times New Roman" w:hAnsi="Times New Roman" w:eastAsia="仿宋_GB2312" w:cs="仿宋_GB2312"/>
          <w:color w:val="auto"/>
          <w:sz w:val="32"/>
          <w:szCs w:val="32"/>
          <w:highlight w:val="none"/>
        </w:rPr>
        <w:t>政府性基金预算财政拨款收入支出决算表</w:t>
      </w:r>
    </w:p>
    <w:p w14:paraId="6E1CC58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9"/>
      <w:r>
        <w:rPr>
          <w:rFonts w:hint="eastAsia" w:ascii="Times New Roman" w:hAnsi="Times New Roman" w:eastAsia="仿宋_GB2312" w:cs="仿宋_GB2312"/>
          <w:color w:val="auto"/>
          <w:sz w:val="32"/>
          <w:szCs w:val="32"/>
          <w:highlight w:val="none"/>
        </w:rPr>
        <w:t>十一、</w:t>
      </w:r>
      <w:bookmarkEnd w:id="5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5CBFDE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30"/>
      <w:r>
        <w:rPr>
          <w:rFonts w:hint="eastAsia" w:ascii="Times New Roman" w:hAnsi="Times New Roman" w:eastAsia="仿宋_GB2312" w:cs="仿宋_GB2312"/>
          <w:color w:val="auto"/>
          <w:sz w:val="32"/>
          <w:szCs w:val="32"/>
          <w:highlight w:val="none"/>
        </w:rPr>
        <w:t>十二、</w:t>
      </w:r>
      <w:bookmarkEnd w:id="56"/>
      <w:r>
        <w:rPr>
          <w:rFonts w:hint="eastAsia" w:ascii="Times New Roman" w:hAnsi="Times New Roman" w:eastAsia="仿宋_GB2312" w:cs="仿宋_GB2312"/>
          <w:color w:val="auto"/>
          <w:sz w:val="32"/>
          <w:szCs w:val="32"/>
          <w:highlight w:val="none"/>
          <w:lang w:eastAsia="zh-CN"/>
        </w:rPr>
        <w:t>国有资本经营预算财政拨款支出决算表</w:t>
      </w:r>
    </w:p>
    <w:p w14:paraId="3CFADA2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7" w:name="_Toc15396631"/>
      <w:r>
        <w:rPr>
          <w:rFonts w:hint="eastAsia" w:ascii="Times New Roman" w:hAnsi="Times New Roman" w:eastAsia="仿宋_GB2312" w:cs="仿宋_GB2312"/>
          <w:color w:val="auto"/>
          <w:sz w:val="32"/>
          <w:szCs w:val="32"/>
          <w:highlight w:val="none"/>
        </w:rPr>
        <w:t>十三、</w:t>
      </w:r>
      <w:bookmarkEnd w:id="57"/>
      <w:r>
        <w:rPr>
          <w:rFonts w:hint="eastAsia" w:ascii="Times New Roman" w:hAnsi="Times New Roman" w:eastAsia="仿宋_GB2312" w:cs="仿宋_GB2312"/>
          <w:color w:val="auto"/>
          <w:sz w:val="32"/>
          <w:szCs w:val="32"/>
          <w:highlight w:val="none"/>
          <w:lang w:eastAsia="zh-CN"/>
        </w:rPr>
        <w:t>财政拨款“三公”经费支出决算表</w:t>
      </w:r>
    </w:p>
    <w:p w14:paraId="7256EEE2">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9AE81F-5B91-4D2D-880F-90C6D23C1E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3C58E1A-E4DB-4C16-B07E-983BE5C5028F}"/>
  </w:font>
  <w:font w:name="仿宋">
    <w:panose1 w:val="02010609060101010101"/>
    <w:charset w:val="86"/>
    <w:family w:val="modern"/>
    <w:pitch w:val="default"/>
    <w:sig w:usb0="800002BF" w:usb1="38CF7CFA" w:usb2="00000016" w:usb3="00000000" w:csb0="00040001" w:csb1="00000000"/>
    <w:embedRegular r:id="rId3" w:fontKey="{8F49BF58-F9C3-4794-A232-43DB7B2AED8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FCC34D97-28A6-4595-8595-226706FED1F8}"/>
  </w:font>
  <w:font w:name="楷体_GB2312">
    <w:panose1 w:val="02010609030101010101"/>
    <w:charset w:val="86"/>
    <w:family w:val="auto"/>
    <w:pitch w:val="default"/>
    <w:sig w:usb0="00000001" w:usb1="080E0000" w:usb2="00000000" w:usb3="00000000" w:csb0="00040000" w:csb1="00000000"/>
    <w:embedRegular r:id="rId5" w:fontKey="{631D6616-D713-4B61-AA0B-EE528E7E42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02018">
    <w:pPr>
      <w:pStyle w:val="10"/>
      <w:jc w:val="center"/>
    </w:pPr>
  </w:p>
  <w:p w14:paraId="66DD8F11">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90D43">
    <w:pPr>
      <w:pStyle w:val="10"/>
      <w:jc w:val="center"/>
    </w:pPr>
  </w:p>
  <w:p w14:paraId="5B33BDE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1806E">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A784B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BA784B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67B88">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8C003B"/>
    <w:multiLevelType w:val="singleLevel"/>
    <w:tmpl w:val="A98C003B"/>
    <w:lvl w:ilvl="0" w:tentative="0">
      <w:start w:val="5"/>
      <w:numFmt w:val="chineseCounting"/>
      <w:suff w:val="nothing"/>
      <w:lvlText w:val="（%1）"/>
      <w:lvlJc w:val="left"/>
      <w:rPr>
        <w:rFonts w:hint="eastAsia"/>
      </w:rPr>
    </w:lvl>
  </w:abstractNum>
  <w:abstractNum w:abstractNumId="1">
    <w:nsid w:val="FA2B74C8"/>
    <w:multiLevelType w:val="singleLevel"/>
    <w:tmpl w:val="FA2B74C8"/>
    <w:lvl w:ilvl="0" w:tentative="0">
      <w:start w:val="1"/>
      <w:numFmt w:val="decimal"/>
      <w:lvlText w:val="%1."/>
      <w:lvlJc w:val="left"/>
      <w:pPr>
        <w:tabs>
          <w:tab w:val="left" w:pos="312"/>
        </w:tabs>
      </w:pPr>
    </w:lvl>
  </w:abstractNum>
  <w:abstractNum w:abstractNumId="2">
    <w:nsid w:val="38E24FC1"/>
    <w:multiLevelType w:val="singleLevel"/>
    <w:tmpl w:val="38E24FC1"/>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225964"/>
    <w:rsid w:val="13957196"/>
    <w:rsid w:val="13A51B3A"/>
    <w:rsid w:val="13D50BC4"/>
    <w:rsid w:val="14022904"/>
    <w:rsid w:val="152F2A07"/>
    <w:rsid w:val="165E0673"/>
    <w:rsid w:val="16BB723D"/>
    <w:rsid w:val="16F13FCB"/>
    <w:rsid w:val="186504BB"/>
    <w:rsid w:val="1938089F"/>
    <w:rsid w:val="19A445FC"/>
    <w:rsid w:val="1B117CF8"/>
    <w:rsid w:val="1B7D550C"/>
    <w:rsid w:val="1BE8440E"/>
    <w:rsid w:val="1D155CEE"/>
    <w:rsid w:val="1DE178F3"/>
    <w:rsid w:val="1E740ACF"/>
    <w:rsid w:val="1FF35744"/>
    <w:rsid w:val="1FF6BC77"/>
    <w:rsid w:val="21962A9E"/>
    <w:rsid w:val="21AE7C77"/>
    <w:rsid w:val="22910410"/>
    <w:rsid w:val="22BC3C41"/>
    <w:rsid w:val="23105976"/>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AB10BC"/>
    <w:rsid w:val="34281836"/>
    <w:rsid w:val="3463387F"/>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3A6FE6"/>
    <w:rsid w:val="3D98207C"/>
    <w:rsid w:val="3D9B0D99"/>
    <w:rsid w:val="3DEE7CF3"/>
    <w:rsid w:val="3DF02244"/>
    <w:rsid w:val="3E78745D"/>
    <w:rsid w:val="3E99004D"/>
    <w:rsid w:val="3FF4CAE0"/>
    <w:rsid w:val="3FF7B227"/>
    <w:rsid w:val="40B8532E"/>
    <w:rsid w:val="40E54C45"/>
    <w:rsid w:val="41313393"/>
    <w:rsid w:val="43A407DF"/>
    <w:rsid w:val="44515BEA"/>
    <w:rsid w:val="44E268DA"/>
    <w:rsid w:val="45287844"/>
    <w:rsid w:val="453F7E5B"/>
    <w:rsid w:val="45E806F2"/>
    <w:rsid w:val="486A6C7A"/>
    <w:rsid w:val="49176D9B"/>
    <w:rsid w:val="494006BD"/>
    <w:rsid w:val="4A627F82"/>
    <w:rsid w:val="4B0E749A"/>
    <w:rsid w:val="4B4F25DA"/>
    <w:rsid w:val="4BDA0CFB"/>
    <w:rsid w:val="4BE068DB"/>
    <w:rsid w:val="4D0C0511"/>
    <w:rsid w:val="4D3C0CCC"/>
    <w:rsid w:val="4D577224"/>
    <w:rsid w:val="4DBF1CEB"/>
    <w:rsid w:val="4EAB630A"/>
    <w:rsid w:val="4ECE2238"/>
    <w:rsid w:val="4F833267"/>
    <w:rsid w:val="4FE9BD67"/>
    <w:rsid w:val="4FFB052F"/>
    <w:rsid w:val="51555CB1"/>
    <w:rsid w:val="53083A92"/>
    <w:rsid w:val="537E6D0A"/>
    <w:rsid w:val="53AF27A2"/>
    <w:rsid w:val="53F74C96"/>
    <w:rsid w:val="564051A4"/>
    <w:rsid w:val="56E47B74"/>
    <w:rsid w:val="572E1597"/>
    <w:rsid w:val="57BD3DD4"/>
    <w:rsid w:val="5AF92295"/>
    <w:rsid w:val="5BDD79E6"/>
    <w:rsid w:val="5BF561CA"/>
    <w:rsid w:val="5BFF5DFC"/>
    <w:rsid w:val="5CD71FC4"/>
    <w:rsid w:val="5D1F11B5"/>
    <w:rsid w:val="5DAE1B18"/>
    <w:rsid w:val="5DE7D9E5"/>
    <w:rsid w:val="5E05127B"/>
    <w:rsid w:val="5ECEC941"/>
    <w:rsid w:val="5F003FA4"/>
    <w:rsid w:val="5F493CB7"/>
    <w:rsid w:val="5FBF9FF3"/>
    <w:rsid w:val="5FCD4E2C"/>
    <w:rsid w:val="5FD15F49"/>
    <w:rsid w:val="5FEF394A"/>
    <w:rsid w:val="5FF67715"/>
    <w:rsid w:val="60B61E73"/>
    <w:rsid w:val="62BF3928"/>
    <w:rsid w:val="647F5392"/>
    <w:rsid w:val="664B1D71"/>
    <w:rsid w:val="67AA3209"/>
    <w:rsid w:val="67CE2B2F"/>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766492"/>
    <w:rsid w:val="75DEEEC2"/>
    <w:rsid w:val="76365273"/>
    <w:rsid w:val="76E3355F"/>
    <w:rsid w:val="76FF5125"/>
    <w:rsid w:val="77660C7B"/>
    <w:rsid w:val="776F6FFA"/>
    <w:rsid w:val="778769C8"/>
    <w:rsid w:val="77C9755E"/>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able of figures"/>
    <w:basedOn w:val="1"/>
    <w:next w:val="1"/>
    <w:qFormat/>
    <w:uiPriority w:val="0"/>
    <w:pPr>
      <w:ind w:left="2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0" w:beforeAutospacing="1" w:after="0" w:afterAutospacing="1"/>
      <w:ind w:left="0" w:right="0"/>
      <w:jc w:val="left"/>
    </w:pPr>
    <w:rPr>
      <w:rFonts w:hint="default" w:ascii="宋体" w:hAnsi="宋体" w:eastAsia="宋体" w:cs="宋体"/>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d87ffa29-b61a-4d00-b317-f8fcd036c628</errorID>
      <errorWord>(</errorWord>
      <group>L1_Format</group>
      <groupName>格式问题</groupName>
      <ability>L2_HalfPunc_CN</ability>
      <abilityName>全半角问题</abilityName>
      <candidateList>
        <item>（</item>
      </candidateList>
      <explain>文本全半角错误。</explain>
      <paraID>69A5311A</paraID>
      <start>0</start>
      <end>1</end>
      <status>modified</status>
      <modifiedWord>（</modifiedWord>
      <trackRevisions>false</trackRevisions>
    </reviewItem>
    <reviewItem>
      <errorID>838fe8a1-810e-4b49-bfee-d67182435151</errorID>
      <errorWord>)</errorWord>
      <group>L1_Format</group>
      <groupName>格式问题</groupName>
      <ability>L2_HalfPunc_CN</ability>
      <abilityName>全半角问题</abilityName>
      <candidateList>
        <item>）</item>
      </candidateList>
      <explain>文本全半角错误。</explain>
      <paraID>69A5311A</paraID>
      <start>5</start>
      <end>6</end>
      <status>modified</status>
      <modifiedWord>）</modifiedWord>
      <trackRevisions>false</trackRevisions>
    </reviewItem>
    <reviewItem>
      <errorID>5101220d-2193-4bd0-8527-2ca044465a72</errorID>
      <errorWord>法律、法规</errorWord>
      <group>L1_Word</group>
      <groupName>字词问题</groupName>
      <ability>L2_Typo</ability>
      <abilityName>字词错误</abilityName>
      <candidateList>
        <item>法律法规</item>
      </candidateList>
      <explain/>
      <paraID> 3644C82</paraID>
      <start>41</start>
      <end>45</end>
      <status>modified</status>
      <modifiedWord>法律法规</modifiedWord>
      <trackRevisions>false</trackRevisions>
    </reviewItem>
    <reviewItem>
      <errorID>ccfa636b-db18-4a3a-bedb-1e2ba8465c3b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1BC5B274</paraID>
      <start>0</start>
      <end>2</end>
      <status>modified</status>
      <modifiedWord>1.</modifiedWord>
      <trackRevisions>false</trackRevisions>
    </reviewItem>
    <reviewItem>
      <errorID>b0ee767e-615c-45ab-a9d4-ae1c29e0fee2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66BD4573</paraID>
      <start>0</start>
      <end>2</end>
      <status>modified</status>
      <modifiedWord>2.</modifiedWord>
      <trackRevisions>false</trackRevisions>
    </reviewItem>
    <reviewItem>
      <errorID>10708786-04e2-45c1-9ac0-e20e2a178e91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25C7DA62</paraID>
      <start>0</start>
      <end>2</end>
      <status>modified</status>
      <modifiedWord>3.</modifiedWord>
      <trackRevisions>false</trackRevisions>
    </reviewItem>
    <reviewItem>
      <errorID>53b46082-97e5-4867-af67-33743165ef63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2C9EF2D6</paraID>
      <start>0</start>
      <end>2</end>
      <status>modified</status>
      <modifiedWord>4.</modifiedWord>
      <trackRevisions>false</trackRevisions>
    </reviewItem>
    <reviewItem>
      <errorID>59fb5ac6-7dce-4994-b745-20766aa23402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7046C3C3</paraID>
      <start>0</start>
      <end>2</end>
      <status>modified</status>
      <modifiedWord>1.</modifiedWord>
      <trackRevisions>false</trackRevisions>
    </reviewItem>
    <reviewItem>
      <errorID>693e3f7f-88e5-49b1-988b-9f524003017f</errorID>
      <errorWord>法律、法规</errorWord>
      <group>L1_Word</group>
      <groupName>字词问题</groupName>
      <ability>L2_Typo</ability>
      <abilityName>字词错误</abilityName>
      <candidateList>
        <item>法律法规</item>
      </candidateList>
      <explain/>
      <paraID>7046C3C3</paraID>
      <start>22</start>
      <end>26</end>
      <status>modified</status>
      <modifiedWord>法律法规</modifiedWord>
      <trackRevisions>false</trackRevisions>
    </reviewItem>
    <reviewItem>
      <errorID>45d041d3-5264-4d0f-84d3-66d0b265cdad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1E9A1C2</paraID>
      <start>0</start>
      <end>2</end>
      <status>modified</status>
      <modifiedWord>2.</modifiedWord>
      <trackRevisions>false</trackRevisions>
    </reviewItem>
    <reviewItem>
      <errorID>21df11b0-f416-4cf7-89ec-c5497b13159b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76D88E1A</paraID>
      <start>0</start>
      <end>2</end>
      <status>modified</status>
      <modifiedWord>3.</modifiedWord>
      <trackRevisions>false</trackRevisions>
    </reviewItem>
    <reviewItem>
      <errorID>3147b9ae-7f06-4191-9aa9-f80948452748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49DBABCC</paraID>
      <start>0</start>
      <end>2</end>
      <status>modified</status>
      <modifiedWord>4.</modifiedWord>
      <trackRevisions>false</trackRevisions>
    </reviewItem>
    <reviewItem>
      <errorID>c2ada4ce-f809-4215-b0d4-8e6f6a4bf6fc</errorID>
      <errorWord>帐务处理</errorWord>
      <group>L1_Word</group>
      <groupName>字词问题</groupName>
      <ability>L2_Alias</ability>
      <abilityName>也作/曾用词</abilityName>
      <candidateList>
        <item>账务处理</item>
      </candidateList>
      <explain>词汇[帐务处理]为不规范表述或旧称，其规范书面表述为[账务处理]。</explain>
      <paraID>49DBABCC</paraID>
      <start>15</start>
      <end>19</end>
      <status>modified</status>
      <modifiedWord>账务处理</modifiedWord>
      <trackRevisions>false</trackRevisions>
    </reviewItem>
    <reviewItem>
      <errorID>1d2dc815-e2da-41b0-b53d-613093d77aa0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693D50BC</paraID>
      <start>0</start>
      <end>2</end>
      <status>modified</status>
      <modifiedWord>5.</modifiedWord>
      <trackRevisions>false</trackRevisions>
    </reviewItem>
    <reviewItem>
      <errorID>2635ddc3-e0cb-404e-9f18-1b1b3091411a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61BB0A65</paraID>
      <start>0</start>
      <end>2</end>
      <status>modified</status>
      <modifiedWord>6.</modifiedWord>
      <trackRevisions>false</trackRevisions>
    </reviewItem>
    <reviewItem>
      <errorID>49076838-afc9-41c6-94fc-5fa4dd6847b8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24471EAD</paraID>
      <start>0</start>
      <end>2</end>
      <status>modified</status>
      <modifiedWord>7.</modifiedWord>
      <trackRevisions>false</trackRevisions>
    </reviewItem>
    <reviewItem>
      <errorID>0c963777-35cc-472b-b536-045557c81309</errorID>
      <errorWord>法律、法规</errorWord>
      <group>L1_Word</group>
      <groupName>字词问题</groupName>
      <ability>L2_Typo</ability>
      <abilityName>字词错误</abilityName>
      <candidateList>
        <item>法律法规</item>
      </candidateList>
      <explain/>
      <paraID> F2AC1FB</paraID>
      <start>28</start>
      <end>32</end>
      <status>modified</status>
      <modifiedWord>法律法规</modifiedWord>
      <trackRevisions>false</trackRevisions>
    </reviewItem>
    <reviewItem>
      <errorID>b2f5ba72-6166-4fce-9f2a-1cdf93ae3905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20CC9FF9</paraID>
      <start>0</start>
      <end>2</end>
      <status>modified</status>
      <modifiedWord>2.</modifiedWord>
      <trackRevisions>false</trackRevisions>
    </reviewItem>
    <reviewItem>
      <errorID>58a411df-46b1-4481-87ae-acbfa92e5fa0</errorID>
      <errorWord>拟定</errorWord>
      <group>L1_Word</group>
      <groupName>字词问题</groupName>
      <ability>L2_Typo</ability>
      <abilityName>字词错误</abilityName>
      <candidateList>
        <item>拟订</item>
      </candidateList>
      <explain>存在发音相同字词的误用。</explain>
      <paraID>20CC9FF9</paraID>
      <start>36</start>
      <end>38</end>
      <status>modified</status>
      <modifiedWord>拟订</modifiedWord>
      <trackRevisions>false</trackRevisions>
    </reviewItem>
    <reviewItem>
      <errorID>aa66938c-e7bd-49a8-b3f5-bb8445ce4f9f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61DEC246</paraID>
      <start>0</start>
      <end>2</end>
      <status>modified</status>
      <modifiedWord>3.</modifiedWord>
      <trackRevisions>false</trackRevisions>
    </reviewItem>
    <reviewItem>
      <errorID>f150bc9b-d3ad-44ab-bb9a-bcb9940c3b62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3A4F9CFC</paraID>
      <start>0</start>
      <end>2</end>
      <status>modified</status>
      <modifiedWord>4.</modifiedWord>
      <trackRevisions>false</trackRevisions>
    </reviewItem>
    <reviewItem>
      <errorID>9a954d5a-398a-4345-960c-ab324851141c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3EE42DEE</paraID>
      <start>0</start>
      <end>2</end>
      <status>modified</status>
      <modifiedWord>5.</modifiedWord>
      <trackRevisions>false</trackRevisions>
    </reviewItem>
    <reviewItem>
      <errorID>6efff0d4-09de-403a-a9d8-296138b6473d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56A499A7</paraID>
      <start>0</start>
      <end>2</end>
      <status>modified</status>
      <modifiedWord>6.</modifiedWord>
      <trackRevisions>false</trackRevisions>
    </reviewItem>
    <reviewItem>
      <errorID>0de37891-7aa3-4777-a75d-a1a5b237f1ce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4B1C4863</paraID>
      <start>0</start>
      <end>2</end>
      <status>modified</status>
      <modifiedWord>7.</modifiedWord>
      <trackRevisions>false</trackRevisions>
    </reviewItem>
    <reviewItem>
      <errorID>e485f8e0-8dde-4737-88d3-8513cae7656e</errorID>
      <errorWord>个人帐户的</errorWord>
      <group>L1_Word</group>
      <groupName>字词问题</groupName>
      <ability>L2_Alias</ability>
      <abilityName>也作/曾用词</abilityName>
      <candidateList>
        <item>个人账户的</item>
      </candidateList>
      <explain>词汇[个人帐户的]为不规范表述或旧称，其规范书面表述为[个人账户的]。</explain>
      <paraID>4B1C4863</paraID>
      <start>8</start>
      <end>13</end>
      <status>modified</status>
      <modifiedWord>个人账户的</modifiedWord>
      <trackRevisions>false</trackRevisions>
    </reviewItem>
    <reviewItem>
      <errorID>0bcd208e-78ca-4944-97b0-49d792dbbcc1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1CB94F6C</paraID>
      <start>0</start>
      <end>2</end>
      <status>modified</status>
      <modifiedWord>8.</modifiedWord>
      <trackRevisions>false</trackRevisions>
    </reviewItem>
    <reviewItem>
      <errorID>69d820f2-e89a-42a9-ac65-6d79606b7411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1ACE1263</paraID>
      <start>0</start>
      <end>2</end>
      <status>modified</status>
      <modifiedWord>9.</modifiedWord>
      <trackRevisions>false</trackRevisions>
    </reviewItem>
    <reviewItem>
      <errorID>47b43b85-ce4b-4333-8790-4e898f80d078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767264A</paraID>
      <start>0</start>
      <end>3</end>
      <status>modified</status>
      <modifiedWord>10.</modifiedWord>
      <trackRevisions>false</trackRevisions>
    </reviewItem>
    <reviewItem>
      <errorID>7290da1e-e64a-4205-9f09-0bbdaa8361ea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16E8D634</paraID>
      <start>0</start>
      <end>3</end>
      <status>modified</status>
      <modifiedWord>11.</modifiedWord>
      <trackRevisions>false</trackRevisions>
    </reviewItem>
    <reviewItem>
      <errorID>e50d305b-3bbb-4510-9634-06df03a4bb8c</errorID>
      <errorWord>企业职工养老保险</errorWord>
      <group>L1_Political</group>
      <groupName>政治性问题</groupName>
      <ability>L2_Keyword</ability>
      <abilityName>固定表述</abilityName>
      <candidateList>
        <item>企业职工基本养老保险</item>
      </candidateList>
      <explain>词汇“企业职工基本养老保险”在特定场景下为固定表述形式，请确认此处的“企业职工养老保险”是否存在不当。</explain>
      <paraID>16E8D634</paraID>
      <start>5</start>
      <end>15</end>
      <status>modified</status>
      <modifiedWord>企业职工基本养老保险</modifiedWord>
      <trackRevisions>false</trackRevisions>
    </reviewItem>
    <reviewItem>
      <errorID>c3ba39f6-66f9-4c25-b874-c2e5542a6ef2</errorID>
      <errorWord>和个人帐户</errorWord>
      <group>L1_Word</group>
      <groupName>字词问题</groupName>
      <ability>L2_Alias</ability>
      <abilityName>也作/曾用词</abilityName>
      <candidateList>
        <item>和个人账户</item>
      </candidateList>
      <explain>词汇[和个人帐户]为不规范表述或旧称，其规范书面表述为[和个人账户]。</explain>
      <paraID>3E948295</paraID>
      <start>125</start>
      <end>130</end>
      <status>modified</status>
      <modifiedWord>和个人账户</modifiedWord>
      <trackRevisions>false</trackRevisions>
    </reviewItem>
    <reviewItem>
      <errorID>36d24692-2b57-443d-bc51-b703226bff23</errorID>
      <errorWord>拟定</errorWord>
      <group>L1_Word</group>
      <groupName>字词问题</groupName>
      <ability>L2_Typo</ability>
      <abilityName>字词错误</abilityName>
      <candidateList>
        <item>拟订</item>
      </candidateList>
      <explain>存在发音相同字词的误用。</explain>
      <paraID>70019A31</paraID>
      <start>11</start>
      <end>13</end>
      <status>modified</status>
      <modifiedWord>拟订</modifiedWord>
      <trackRevisions>false</trackRevisions>
    </reviewItem>
    <reviewItem>
      <errorID>d1c7e73d-52ef-496b-ae57-d544699b7fb1</errorID>
      <errorWord>&lt;</errorWord>
      <group>L1_Format</group>
      <groupName>格式问题</groupName>
      <ability>L2_HalfPunc_CN</ability>
      <abilityName>全半角问题</abilityName>
      <candidateList>
        <item>〈</item>
      </candidateList>
      <explain>文本全半角错误。</explain>
      <paraID>28C9A470</paraID>
      <start>50</start>
      <end>51</end>
      <status>modified</status>
      <modifiedWord>〈</modifiedWord>
      <trackRevisions>false</trackRevisions>
    </reviewItem>
    <reviewItem>
      <errorID>0f43e7a5-5840-40b8-9dfb-8077567b0131</errorID>
      <errorWord>&gt;</errorWord>
      <group>L1_Format</group>
      <groupName>格式问题</groupName>
      <ability>L2_HalfPunc_CN</ability>
      <abilityName>全半角问题</abilityName>
      <candidateList>
        <item>〉</item>
      </candidateList>
      <explain>文本全半角错误。</explain>
      <paraID>28C9A470</paraID>
      <start>53</start>
      <end>54</end>
      <status>modified</status>
      <modifiedWord>〉</modifiedWord>
      <trackRevisions>false</trackRevisions>
    </reviewItem>
    <reviewItem>
      <errorID>7f13f786-4076-4a36-a1c1-37d08418eecd</errorID>
      <errorWord>&lt;</errorWord>
      <group>L1_Format</group>
      <groupName>格式问题</groupName>
      <ability>L2_HalfPunc_CN</ability>
      <abilityName>全半角问题</abilityName>
      <candidateList>
        <item>〈</item>
      </candidateList>
      <explain>文本全半角错误。</explain>
      <paraID>28C9A470</paraID>
      <start>60</start>
      <end>61</end>
      <status>modified</status>
      <modifiedWord>〈</modifiedWord>
      <trackRevisions>false</trackRevisions>
    </reviewItem>
    <reviewItem>
      <errorID>e5ce7e08-80b9-4fbb-96d9-fc3cbfc61c57</errorID>
      <errorWord>&gt;</errorWord>
      <group>L1_Format</group>
      <groupName>格式问题</groupName>
      <ability>L2_HalfPunc_CN</ability>
      <abilityName>全半角问题</abilityName>
      <candidateList>
        <item>〉</item>
      </candidateList>
      <explain>文本全半角错误。</explain>
      <paraID>28C9A470</paraID>
      <start>63</start>
      <end>64</end>
      <status>modified</status>
      <modifiedWord>〉</modifiedWord>
      <trackRevisions>false</trackRevisions>
    </reviewItem>
    <reviewItem>
      <errorID>3a3a95b0-94c7-455e-888a-d993692751ad</errorID>
      <errorWord>。。</errorWord>
      <group>L1_Punc</group>
      <groupName>标点问题</groupName>
      <ability>L2_Punc_CN</ability>
      <abilityName>标点符号问题</abilityName>
      <candidateList>
        <item>。</item>
      </candidateList>
      <explain/>
      <paraID>172F0B39</paraID>
      <start>105</start>
      <end>106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663f47-b66e-4fec-8300-38e35267f4d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5770</Words>
  <Characters>6068</Characters>
  <Lines>61</Lines>
  <Paragraphs>17</Paragraphs>
  <TotalTime>68</TotalTime>
  <ScaleCrop>false</ScaleCrop>
  <LinksUpToDate>false</LinksUpToDate>
  <CharactersWithSpaces>6090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2026-10-13T08:16:06Z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