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48173">
      <w:pPr>
        <w:rPr>
          <w:rFonts w:ascii="Times New Roman" w:hAnsi="Times New Roman"/>
        </w:rPr>
      </w:pPr>
      <w:bookmarkStart w:id="0" w:name="_Toc15377425"/>
      <w:bookmarkStart w:id="1" w:name="_Toc15396597"/>
      <w:bookmarkStart w:id="2" w:name="_Toc15396475"/>
      <w:bookmarkStart w:id="3" w:name="_Toc15378441"/>
      <w:bookmarkStart w:id="4" w:name="_Toc15306267"/>
      <w:bookmarkStart w:id="5" w:name="_Toc15377193"/>
    </w:p>
    <w:p w14:paraId="26F66BD6">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ABB1FF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005A7AD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DBB684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6F7E5901">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43E4D811">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eastAsia="zh-CN"/>
        </w:rPr>
        <w:t>阿坝州松潘县</w:t>
      </w:r>
    </w:p>
    <w:p w14:paraId="120934EF">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机关事业养老保险</w:t>
      </w:r>
      <w:r>
        <w:rPr>
          <w:rFonts w:hint="eastAsia" w:ascii="方正小标宋简体" w:hAnsi="方正小标宋简体" w:eastAsia="方正小标宋简体" w:cs="方正小标宋简体"/>
          <w:sz w:val="72"/>
          <w:szCs w:val="72"/>
          <w:lang w:eastAsia="zh-CN"/>
        </w:rPr>
        <w:t>中心</w:t>
      </w:r>
    </w:p>
    <w:p w14:paraId="3E346B45">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单位决算</w:t>
      </w:r>
    </w:p>
    <w:p w14:paraId="4DC709D2">
      <w:pPr>
        <w:adjustRightInd w:val="0"/>
        <w:snapToGrid w:val="0"/>
        <w:spacing w:line="360" w:lineRule="auto"/>
        <w:jc w:val="center"/>
        <w:outlineLvl w:val="0"/>
        <w:rPr>
          <w:rFonts w:hint="eastAsia" w:ascii="Times New Roman" w:hAnsi="Times New Roman" w:eastAsia="方正小标宋简体"/>
          <w:lang w:eastAsia="zh-C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bookmarkStart w:id="58" w:name="_GoBack"/>
      <w:r>
        <w:rPr>
          <w:rFonts w:hint="eastAsia" w:ascii="方正小标宋简体" w:hAnsi="宋体" w:eastAsia="方正小标宋简体"/>
          <w:sz w:val="52"/>
          <w:szCs w:val="52"/>
          <w:lang w:eastAsia="zh-CN"/>
        </w:rPr>
        <w:t>（</w:t>
      </w:r>
      <w:bookmarkEnd w:id="58"/>
      <w:r>
        <w:rPr>
          <w:rFonts w:hint="eastAsia" w:ascii="方正小标宋简体" w:hAnsi="宋体" w:eastAsia="方正小标宋简体"/>
          <w:sz w:val="52"/>
          <w:szCs w:val="52"/>
        </w:rPr>
        <w:t>单位公开</w:t>
      </w:r>
      <w:r>
        <w:rPr>
          <w:rFonts w:hint="eastAsia" w:ascii="方正小标宋简体" w:hAnsi="宋体" w:eastAsia="方正小标宋简体"/>
          <w:sz w:val="52"/>
          <w:szCs w:val="52"/>
          <w:lang w:eastAsia="zh-CN"/>
        </w:rPr>
        <w:t>）</w:t>
      </w:r>
    </w:p>
    <w:p w14:paraId="523EE659">
      <w:pPr>
        <w:widowControl/>
        <w:ind w:firstLine="2880" w:firstLineChars="6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2DD939C">
      <w:pPr>
        <w:widowControl/>
        <w:jc w:val="center"/>
        <w:rPr>
          <w:rFonts w:ascii="Times New Roman" w:hAnsi="Times New Roman" w:eastAsia="黑体" w:cstheme="minorBidi"/>
          <w:color w:val="auto"/>
          <w:sz w:val="28"/>
          <w:szCs w:val="28"/>
          <w:highlight w:val="none"/>
        </w:rPr>
      </w:pPr>
    </w:p>
    <w:p w14:paraId="04AA898C">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13</w:t>
      </w:r>
      <w:r>
        <w:rPr>
          <w:rFonts w:hint="eastAsia" w:ascii="Times New Roman" w:hAnsi="Times New Roman" w:eastAsia="仿宋_GB2312" w:cs="仿宋_GB2312"/>
          <w:color w:val="auto"/>
          <w:sz w:val="32"/>
          <w:szCs w:val="32"/>
          <w:highlight w:val="none"/>
        </w:rPr>
        <w:t>日</w:t>
      </w:r>
    </w:p>
    <w:p w14:paraId="5574C71B">
      <w:pPr>
        <w:rPr>
          <w:rFonts w:ascii="Times New Roman" w:hAnsi="Times New Roman"/>
          <w:color w:val="auto"/>
          <w:highlight w:val="none"/>
        </w:rPr>
      </w:pPr>
    </w:p>
    <w:p w14:paraId="26E34E9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9E7C6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5DC46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C88427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FE2774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D0DE4B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C29AAD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82C93F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4FB23B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42A6284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F3CF46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7E1DA67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7E2C7C8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2F79A8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6A5CBD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DF94AB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四</w:t>
      </w:r>
      <w:r>
        <w:rPr>
          <w:rFonts w:hint="eastAsia" w:ascii="Times New Roman" w:hAnsi="Times New Roman" w:eastAsia="黑体" w:cs="黑体"/>
          <w:color w:val="auto"/>
          <w:sz w:val="32"/>
          <w:szCs w:val="32"/>
          <w:highlight w:val="none"/>
        </w:rPr>
        <w:t>部分 附表</w:t>
      </w:r>
    </w:p>
    <w:p w14:paraId="325FE20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5E6AB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A0DD85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0BB5ED2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784CBA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7ACC8E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0E9869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C26358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FBDDAF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3797EA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1DD62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70C1D42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98BCD3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A12112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1BDD57CC">
      <w:pPr>
        <w:pStyle w:val="5"/>
        <w:numPr>
          <w:ilvl w:val="0"/>
          <w:numId w:val="1"/>
        </w:numPr>
        <w:jc w:val="center"/>
        <w:rPr>
          <w:rStyle w:val="31"/>
          <w:rFonts w:hint="eastAsia" w:ascii="Times New Roman" w:hAnsi="Times New Roman" w:eastAsia="方正小标宋简体" w:cs="方正小标宋简体"/>
          <w:b w:val="0"/>
          <w:bCs w:val="0"/>
          <w:color w:val="auto"/>
          <w:highlight w:val="none"/>
        </w:rPr>
      </w:pP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14:paraId="53E8F1BC">
      <w:pPr>
        <w:pStyle w:val="5"/>
        <w:numPr>
          <w:ilvl w:val="0"/>
          <w:numId w:val="0"/>
        </w:numPr>
        <w:jc w:val="both"/>
        <w:rPr>
          <w:rFonts w:hint="default"/>
          <w:lang w:val="en-US" w:eastAsia="zh-CN"/>
        </w:rPr>
      </w:pPr>
      <w:r>
        <w:rPr>
          <w:rFonts w:hint="eastAsia" w:eastAsia="黑体"/>
          <w:b w:val="0"/>
          <w:color w:val="auto"/>
          <w:highlight w:val="none"/>
          <w:lang w:eastAsia="zh-CN"/>
        </w:rPr>
        <w:t>一、</w:t>
      </w:r>
      <w:r>
        <w:rPr>
          <w:rFonts w:hint="eastAsia" w:ascii="Times New Roman" w:hAnsi="Times New Roman" w:eastAsia="黑体"/>
          <w:b w:val="0"/>
          <w:color w:val="auto"/>
          <w:highlight w:val="none"/>
          <w:lang w:eastAsia="zh-CN"/>
        </w:rPr>
        <w:t>部门职责</w:t>
      </w:r>
    </w:p>
    <w:p w14:paraId="2964BF04">
      <w:pPr>
        <w:pStyle w:val="16"/>
        <w:keepNext w:val="0"/>
        <w:keepLines w:val="0"/>
        <w:widowControl/>
        <w:suppressLineNumbers w:val="0"/>
        <w:ind w:firstLine="480" w:firstLineChars="200"/>
        <w:rPr>
          <w:rFonts w:hint="default" w:ascii="仿宋_GB2312" w:hAnsi="仿宋_GB2312" w:eastAsia="仿宋_GB2312" w:cs="仿宋_GB2312"/>
          <w:color w:val="auto"/>
          <w:sz w:val="32"/>
          <w:szCs w:val="32"/>
          <w:highlight w:val="none"/>
          <w:lang w:val="en-US" w:eastAsia="zh-CN"/>
        </w:rPr>
      </w:pPr>
      <w:r>
        <w:rPr>
          <w:rFonts w:hint="eastAsia" w:eastAsia="黑体"/>
          <w:b w:val="0"/>
          <w:color w:val="auto"/>
          <w:highlight w:val="none"/>
          <w:lang w:val="en-US" w:eastAsia="zh-CN"/>
        </w:rPr>
        <w:t xml:space="preserve">    </w:t>
      </w:r>
      <w:r>
        <w:rPr>
          <w:rFonts w:hint="eastAsia" w:ascii="仿宋_GB2312" w:hAnsi="仿宋_GB2312" w:eastAsia="仿宋_GB2312" w:cs="仿宋_GB2312"/>
          <w:color w:val="auto"/>
          <w:sz w:val="32"/>
          <w:szCs w:val="32"/>
          <w:highlight w:val="none"/>
        </w:rPr>
        <w:t>宣传、贯彻、执行党和国家有关</w:t>
      </w:r>
      <w:r>
        <w:rPr>
          <w:rFonts w:hint="eastAsia" w:ascii="仿宋_GB2312" w:hAnsi="仿宋_GB2312" w:eastAsia="仿宋_GB2312" w:cs="仿宋_GB2312"/>
          <w:color w:val="auto"/>
          <w:sz w:val="32"/>
          <w:szCs w:val="32"/>
          <w:highlight w:val="none"/>
          <w:lang w:eastAsia="zh-CN"/>
        </w:rPr>
        <w:t>机关事业</w:t>
      </w:r>
      <w:r>
        <w:rPr>
          <w:rFonts w:hint="eastAsia" w:ascii="仿宋_GB2312" w:hAnsi="仿宋_GB2312" w:eastAsia="仿宋_GB2312" w:cs="仿宋_GB2312"/>
          <w:color w:val="auto"/>
          <w:sz w:val="32"/>
          <w:szCs w:val="32"/>
          <w:highlight w:val="none"/>
        </w:rPr>
        <w:t>职工基本养老、</w:t>
      </w:r>
      <w:r>
        <w:rPr>
          <w:rFonts w:hint="eastAsia" w:ascii="仿宋_GB2312" w:hAnsi="仿宋_GB2312" w:eastAsia="仿宋_GB2312" w:cs="仿宋_GB2312"/>
          <w:color w:val="auto"/>
          <w:sz w:val="32"/>
          <w:szCs w:val="32"/>
          <w:highlight w:val="none"/>
          <w:lang w:eastAsia="zh-CN"/>
        </w:rPr>
        <w:t>职业年金</w:t>
      </w:r>
      <w:r>
        <w:rPr>
          <w:rFonts w:hint="eastAsia" w:ascii="仿宋_GB2312" w:hAnsi="仿宋_GB2312" w:eastAsia="仿宋_GB2312" w:cs="仿宋_GB2312"/>
          <w:color w:val="auto"/>
          <w:sz w:val="32"/>
          <w:szCs w:val="32"/>
          <w:highlight w:val="none"/>
        </w:rPr>
        <w:t>的方针、政策、</w:t>
      </w:r>
      <w:r>
        <w:rPr>
          <w:rFonts w:hint="eastAsia" w:ascii="仿宋_GB2312" w:hAnsi="仿宋_GB2312" w:eastAsia="仿宋_GB2312" w:cs="仿宋_GB2312"/>
          <w:color w:val="auto"/>
          <w:sz w:val="32"/>
          <w:szCs w:val="32"/>
          <w:highlight w:val="none"/>
          <w:lang w:eastAsia="zh-CN"/>
        </w:rPr>
        <w:t>法律法规</w:t>
      </w:r>
      <w:r>
        <w:rPr>
          <w:rFonts w:hint="eastAsia" w:ascii="仿宋_GB2312" w:hAnsi="仿宋_GB2312" w:eastAsia="仿宋_GB2312" w:cs="仿宋_GB2312"/>
          <w:color w:val="auto"/>
          <w:sz w:val="32"/>
          <w:szCs w:val="32"/>
          <w:highlight w:val="none"/>
        </w:rPr>
        <w:t>和上级指示精神；经办</w:t>
      </w:r>
      <w:r>
        <w:rPr>
          <w:rFonts w:hint="eastAsia" w:ascii="仿宋_GB2312" w:hAnsi="仿宋_GB2312" w:eastAsia="仿宋_GB2312" w:cs="仿宋_GB2312"/>
          <w:color w:val="auto"/>
          <w:sz w:val="32"/>
          <w:szCs w:val="32"/>
          <w:highlight w:val="none"/>
          <w:lang w:eastAsia="zh-CN"/>
        </w:rPr>
        <w:t>机关事业</w:t>
      </w:r>
      <w:r>
        <w:rPr>
          <w:rFonts w:hint="eastAsia" w:ascii="仿宋_GB2312" w:hAnsi="仿宋_GB2312" w:eastAsia="仿宋_GB2312" w:cs="仿宋_GB2312"/>
          <w:color w:val="auto"/>
          <w:sz w:val="32"/>
          <w:szCs w:val="32"/>
          <w:highlight w:val="none"/>
        </w:rPr>
        <w:t>职工养老保险业务。即：办理参加养老保险的登记，受理缴费申报；核定养老保险参保单位、个人缴费基数；征收养老保险费和支付离退休人员基本养老金；办理养老保险关系转移、变更、续保手续；负责离退休条件审核、待遇计算，按时足额拨付离退休人员基本养老金</w:t>
      </w:r>
      <w:r>
        <w:rPr>
          <w:rFonts w:hint="eastAsia" w:ascii="仿宋_GB2312" w:hAnsi="仿宋_GB2312" w:eastAsia="仿宋_GB2312" w:cs="仿宋_GB2312"/>
          <w:color w:val="auto"/>
          <w:sz w:val="32"/>
          <w:szCs w:val="32"/>
          <w:highlight w:val="none"/>
          <w:lang w:eastAsia="zh-CN"/>
        </w:rPr>
        <w:t>。</w:t>
      </w:r>
    </w:p>
    <w:p w14:paraId="73FC586B">
      <w:pPr>
        <w:pStyle w:val="6"/>
        <w:rPr>
          <w:rStyle w:val="32"/>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p>
    <w:p w14:paraId="350C3879">
      <w:pPr>
        <w:pStyle w:val="16"/>
        <w:keepNext w:val="0"/>
        <w:keepLines w:val="0"/>
        <w:widowControl/>
        <w:suppressLineNumbers w:val="0"/>
        <w:ind w:firstLine="640" w:firstLineChars="200"/>
      </w:pPr>
      <w:r>
        <w:rPr>
          <w:rFonts w:hint="eastAsia" w:ascii="仿宋_GB2312" w:hAnsi="仿宋_GB2312" w:eastAsia="仿宋_GB2312" w:cs="仿宋_GB2312"/>
          <w:color w:val="auto"/>
          <w:sz w:val="32"/>
          <w:szCs w:val="32"/>
          <w:highlight w:val="none"/>
        </w:rPr>
        <w:t>阿坝州松潘县机关事业养老保险中心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ascii="Times New Roman" w:hAnsi="Times New Roman" w:eastAsia="仿宋_GB2312" w:cs="仿宋_GB2312"/>
          <w:color w:val="auto"/>
          <w:sz w:val="32"/>
          <w:szCs w:val="32"/>
          <w:highlight w:val="none"/>
          <w:lang w:eastAsia="zh-CN"/>
        </w:rPr>
        <w:t>，</w:t>
      </w:r>
      <w:r>
        <w:rPr>
          <w:rFonts w:ascii="仿宋_GB2312" w:eastAsia="仿宋_GB2312" w:cs="仿宋_GB2312"/>
          <w:color w:val="000000"/>
          <w:sz w:val="31"/>
          <w:szCs w:val="31"/>
        </w:rPr>
        <w:t>为县社保</w:t>
      </w:r>
      <w:r>
        <w:rPr>
          <w:rFonts w:hint="eastAsia" w:ascii="仿宋_GB2312" w:eastAsia="仿宋_GB2312" w:cs="仿宋_GB2312"/>
          <w:color w:val="000000"/>
          <w:sz w:val="31"/>
          <w:szCs w:val="31"/>
          <w:lang w:val="en-US" w:eastAsia="zh-CN"/>
        </w:rPr>
        <w:t>中心</w:t>
      </w:r>
      <w:r>
        <w:rPr>
          <w:rFonts w:ascii="仿宋_GB2312" w:eastAsia="仿宋_GB2312" w:cs="仿宋_GB2312"/>
          <w:color w:val="000000"/>
          <w:sz w:val="31"/>
          <w:szCs w:val="31"/>
        </w:rPr>
        <w:t>管理的股级</w:t>
      </w:r>
      <w:r>
        <w:rPr>
          <w:rFonts w:hint="eastAsia" w:ascii="仿宋_GB2312" w:eastAsia="仿宋_GB2312" w:cs="仿宋_GB2312"/>
          <w:color w:val="000000"/>
          <w:sz w:val="31"/>
          <w:szCs w:val="31"/>
        </w:rPr>
        <w:t>公益一类事业单位。负责建立参加机关事业单位养老保险单位和个人资料的基础档案及个人账户；审核、调整、支付机关事业单位参保离退休人员养老金待遇；建立参加机关事业单位职业年金单位和个人资料的基础档案及个人账户；审核、调整、支付机关事业单位参保离退休人员职业年金待遇。</w:t>
      </w:r>
    </w:p>
    <w:p w14:paraId="4FB4F47D">
      <w:pPr>
        <w:rPr>
          <w:rFonts w:hint="default"/>
          <w:lang w:val="en-US" w:eastAsia="zh-CN"/>
        </w:rPr>
      </w:pPr>
    </w:p>
    <w:p w14:paraId="3F4235F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25ED10D">
      <w:pPr>
        <w:pStyle w:val="5"/>
        <w:jc w:val="center"/>
        <w:rPr>
          <w:rFonts w:hint="eastAsia" w:ascii="Times New Roman" w:hAnsi="Times New Roman" w:eastAsia="方正小标宋简体" w:cs="方正小标宋简体"/>
          <w:b w:val="0"/>
          <w:color w:val="auto"/>
          <w:highlight w:val="none"/>
        </w:rPr>
      </w:pPr>
      <w:bookmarkStart w:id="8" w:name="_Toc15396602"/>
      <w:bookmarkStart w:id="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14:paraId="77958771">
      <w:pPr>
        <w:rPr>
          <w:rFonts w:ascii="Times New Roman" w:hAnsi="Times New Roman"/>
          <w:color w:val="auto"/>
          <w:highlight w:val="none"/>
        </w:rPr>
      </w:pPr>
    </w:p>
    <w:p w14:paraId="141CD33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0" w:name="_Toc15396603"/>
      <w:bookmarkStart w:id="1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0"/>
      <w:bookmarkEnd w:id="11"/>
    </w:p>
    <w:p w14:paraId="6938B23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102.82万元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3.95</w:t>
      </w:r>
      <w:r>
        <w:rPr>
          <w:rFonts w:hint="eastAsia" w:ascii="Times New Roman" w:hAnsi="Times New Roman" w:eastAsia="仿宋_GB2312" w:cs="仿宋_GB2312"/>
          <w:color w:val="auto"/>
          <w:sz w:val="32"/>
          <w:szCs w:val="32"/>
          <w:highlight w:val="none"/>
        </w:rPr>
        <w:t>%。主要变动原因是</w:t>
      </w:r>
      <w:r>
        <w:rPr>
          <w:rStyle w:val="38"/>
          <w:rFonts w:hint="eastAsia" w:ascii="仿宋_GB2312" w:hAnsi="仿宋_GB2312" w:eastAsia="仿宋_GB2312" w:cs="仿宋_GB2312"/>
          <w:b w:val="0"/>
          <w:bCs/>
          <w:sz w:val="32"/>
          <w:szCs w:val="32"/>
          <w:shd w:val="clear" w:color="auto" w:fill="FFFFFF"/>
          <w:lang w:val="en-US" w:eastAsia="zh-CN" w:bidi="ar"/>
        </w:rPr>
        <w:t>增加基础绩效奖金及人员工资调整增加</w:t>
      </w:r>
      <w:r>
        <w:rPr>
          <w:rFonts w:hint="eastAsia" w:ascii="Times New Roman" w:hAnsi="Times New Roman" w:eastAsia="仿宋_GB2312" w:cs="仿宋_GB2312"/>
          <w:color w:val="auto"/>
          <w:sz w:val="32"/>
          <w:szCs w:val="32"/>
          <w:highlight w:val="none"/>
        </w:rPr>
        <w:t>。</w:t>
      </w:r>
    </w:p>
    <w:p w14:paraId="7DC5581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2" w:name="_Toc15377206"/>
      <w:bookmarkStart w:id="13" w:name="_Toc15396604"/>
      <w:r>
        <w:rPr>
          <w:rFonts w:hint="eastAsia" w:ascii="Times New Roman" w:hAnsi="Times New Roman" w:eastAsia="黑体"/>
          <w:color w:val="auto"/>
          <w:sz w:val="32"/>
          <w:szCs w:val="32"/>
          <w:highlight w:val="none"/>
          <w:lang w:eastAsia="zh-CN"/>
        </w:rPr>
        <w:t>二、收入决算情况说明</w:t>
      </w:r>
      <w:bookmarkEnd w:id="12"/>
      <w:bookmarkEnd w:id="13"/>
    </w:p>
    <w:p w14:paraId="5288F45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06635C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4" w:name="_Toc15396605"/>
      <w:bookmarkStart w:id="1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4"/>
      <w:bookmarkEnd w:id="15"/>
    </w:p>
    <w:p w14:paraId="692DB4C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EAF7608">
      <w:pPr>
        <w:spacing w:line="600" w:lineRule="exact"/>
        <w:ind w:firstLine="640" w:firstLineChars="200"/>
        <w:outlineLvl w:val="1"/>
        <w:rPr>
          <w:rStyle w:val="32"/>
          <w:rFonts w:ascii="Times New Roman" w:hAnsi="Times New Roman" w:eastAsia="黑体"/>
          <w:b w:val="0"/>
          <w:color w:val="auto"/>
          <w:highlight w:val="none"/>
        </w:rPr>
      </w:pPr>
      <w:bookmarkStart w:id="16" w:name="_Toc15396606"/>
      <w:bookmarkStart w:id="17" w:name="_Toc15377208"/>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16"/>
      <w:bookmarkEnd w:id="17"/>
    </w:p>
    <w:p w14:paraId="0BA3E2D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3.95</w:t>
      </w:r>
      <w:r>
        <w:rPr>
          <w:rFonts w:hint="eastAsia" w:ascii="Times New Roman" w:hAnsi="Times New Roman" w:eastAsia="仿宋_GB2312" w:cs="仿宋_GB2312"/>
          <w:color w:val="auto"/>
          <w:kern w:val="2"/>
          <w:sz w:val="32"/>
          <w:szCs w:val="32"/>
          <w:highlight w:val="none"/>
          <w:lang w:val="en-US" w:eastAsia="zh-CN" w:bidi="ar-SA"/>
        </w:rPr>
        <w:t>%。主要变动原因是</w:t>
      </w:r>
      <w:r>
        <w:rPr>
          <w:rStyle w:val="38"/>
          <w:rFonts w:hint="eastAsia" w:ascii="仿宋_GB2312" w:hAnsi="仿宋_GB2312" w:eastAsia="仿宋_GB2312" w:cs="仿宋_GB2312"/>
          <w:b w:val="0"/>
          <w:bCs/>
          <w:sz w:val="32"/>
          <w:szCs w:val="32"/>
          <w:shd w:val="clear" w:color="auto" w:fill="FFFFFF"/>
          <w:lang w:val="en-US" w:eastAsia="zh-CN" w:bidi="ar"/>
        </w:rPr>
        <w:t>增加基础绩效奖金及人员工资调整增加</w:t>
      </w:r>
      <w:r>
        <w:rPr>
          <w:rFonts w:hint="eastAsia" w:ascii="Times New Roman" w:hAnsi="Times New Roman" w:eastAsia="仿宋_GB2312" w:cs="仿宋_GB2312"/>
          <w:color w:val="auto"/>
          <w:sz w:val="32"/>
          <w:szCs w:val="32"/>
          <w:highlight w:val="none"/>
        </w:rPr>
        <w:t>。</w:t>
      </w:r>
    </w:p>
    <w:p w14:paraId="706C0417">
      <w:pPr>
        <w:spacing w:line="600" w:lineRule="exact"/>
        <w:ind w:firstLine="640" w:firstLineChars="200"/>
        <w:outlineLvl w:val="1"/>
        <w:rPr>
          <w:rStyle w:val="32"/>
          <w:rFonts w:ascii="Times New Roman" w:hAnsi="Times New Roman" w:eastAsia="黑体"/>
          <w:b w:val="0"/>
          <w:color w:val="auto"/>
          <w:highlight w:val="none"/>
        </w:rPr>
      </w:pPr>
      <w:bookmarkStart w:id="18" w:name="_Toc15377209"/>
      <w:bookmarkStart w:id="1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18"/>
      <w:bookmarkEnd w:id="19"/>
    </w:p>
    <w:p w14:paraId="137331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14:paraId="66125BB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3.95</w:t>
      </w:r>
      <w:r>
        <w:rPr>
          <w:rFonts w:hint="eastAsia" w:ascii="Times New Roman" w:hAnsi="Times New Roman" w:eastAsia="仿宋_GB2312" w:cs="仿宋_GB2312"/>
          <w:color w:val="auto"/>
          <w:kern w:val="2"/>
          <w:sz w:val="32"/>
          <w:szCs w:val="32"/>
          <w:highlight w:val="none"/>
          <w:lang w:val="en-US" w:eastAsia="zh-CN" w:bidi="ar-SA"/>
        </w:rPr>
        <w:t>%。主要变动原因是</w:t>
      </w:r>
      <w:r>
        <w:rPr>
          <w:rStyle w:val="38"/>
          <w:rFonts w:hint="eastAsia" w:ascii="仿宋_GB2312" w:hAnsi="仿宋_GB2312" w:eastAsia="仿宋_GB2312" w:cs="仿宋_GB2312"/>
          <w:b w:val="0"/>
          <w:bCs/>
          <w:sz w:val="32"/>
          <w:szCs w:val="32"/>
          <w:shd w:val="clear" w:color="auto" w:fill="FFFFFF"/>
          <w:lang w:val="en-US" w:eastAsia="zh-CN" w:bidi="ar"/>
        </w:rPr>
        <w:t>增加基础绩效奖金及人员工资调整增加</w:t>
      </w:r>
      <w:r>
        <w:rPr>
          <w:rFonts w:hint="eastAsia" w:ascii="Times New Roman" w:hAnsi="Times New Roman" w:eastAsia="仿宋_GB2312" w:cs="仿宋_GB2312"/>
          <w:color w:val="auto"/>
          <w:sz w:val="32"/>
          <w:szCs w:val="32"/>
          <w:highlight w:val="none"/>
        </w:rPr>
        <w:t>。</w:t>
      </w:r>
    </w:p>
    <w:p w14:paraId="7060952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1"/>
    </w:p>
    <w:p w14:paraId="47A30F3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92.98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86.91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5.72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8.18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52A12AB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2"/>
    </w:p>
    <w:p w14:paraId="3E0F7B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3" w:name="_Toc15378460"/>
      <w:bookmarkStart w:id="24" w:name="_Toc15377444"/>
      <w:bookmarkStart w:id="25"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113.57</w:t>
      </w:r>
      <w:r>
        <w:rPr>
          <w:rFonts w:hint="eastAsia" w:ascii="Times New Roman" w:hAnsi="Times New Roman" w:eastAsia="仿宋_GB2312" w:cs="仿宋_GB2312"/>
          <w:color w:val="auto"/>
          <w:kern w:val="2"/>
          <w:sz w:val="32"/>
          <w:szCs w:val="32"/>
          <w:highlight w:val="none"/>
          <w:lang w:val="en-US" w:eastAsia="zh-CN" w:bidi="ar-SA"/>
        </w:rPr>
        <w:t>%。其中：</w:t>
      </w:r>
      <w:bookmarkEnd w:id="23"/>
      <w:bookmarkEnd w:id="24"/>
      <w:bookmarkEnd w:id="25"/>
    </w:p>
    <w:p w14:paraId="00C88209">
      <w:pPr>
        <w:numPr>
          <w:ilvl w:val="0"/>
          <w:numId w:val="2"/>
        </w:numPr>
        <w:spacing w:line="600" w:lineRule="exact"/>
        <w:ind w:firstLine="640"/>
        <w:rPr>
          <w:rStyle w:val="20"/>
          <w:rFonts w:hint="eastAsia" w:ascii="仿宋" w:hAnsi="仿宋" w:eastAsia="仿宋"/>
          <w:b w:val="0"/>
          <w:bCs/>
          <w:sz w:val="32"/>
          <w:szCs w:val="32"/>
        </w:rPr>
      </w:pP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92.98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115.88</w:t>
      </w:r>
      <w:r>
        <w:rPr>
          <w:rFonts w:hint="eastAsia" w:ascii="Times New Roman" w:hAnsi="Times New Roman" w:eastAsia="仿宋_GB2312" w:cs="仿宋_GB2312"/>
          <w:color w:val="auto"/>
          <w:kern w:val="2"/>
          <w:sz w:val="32"/>
          <w:szCs w:val="32"/>
          <w:highlight w:val="none"/>
          <w:lang w:val="en-US" w:eastAsia="zh-CN" w:bidi="ar-SA"/>
        </w:rPr>
        <w:t>%，</w:t>
      </w:r>
      <w:r>
        <w:rPr>
          <w:rStyle w:val="20"/>
          <w:rFonts w:hint="eastAsia" w:ascii="仿宋" w:hAnsi="仿宋" w:eastAsia="仿宋"/>
          <w:b w:val="0"/>
          <w:bCs/>
          <w:sz w:val="32"/>
          <w:szCs w:val="32"/>
        </w:rPr>
        <w:t>决算数</w:t>
      </w:r>
      <w:r>
        <w:rPr>
          <w:rStyle w:val="20"/>
          <w:rFonts w:hint="eastAsia" w:ascii="仿宋" w:hAnsi="仿宋" w:eastAsia="仿宋"/>
          <w:b w:val="0"/>
          <w:bCs/>
          <w:sz w:val="32"/>
          <w:szCs w:val="32"/>
          <w:lang w:eastAsia="zh-CN"/>
        </w:rPr>
        <w:t>大于</w:t>
      </w:r>
      <w:r>
        <w:rPr>
          <w:rStyle w:val="20"/>
          <w:rFonts w:hint="eastAsia" w:ascii="仿宋" w:hAnsi="仿宋" w:eastAsia="仿宋"/>
          <w:b w:val="0"/>
          <w:bCs/>
          <w:sz w:val="32"/>
          <w:szCs w:val="32"/>
        </w:rPr>
        <w:t>预算数的主要原因是</w:t>
      </w:r>
      <w:r>
        <w:rPr>
          <w:rFonts w:hint="eastAsia" w:ascii="仿宋" w:hAnsi="仿宋" w:eastAsia="仿宋" w:cs="仿宋"/>
          <w:color w:val="auto"/>
          <w:kern w:val="0"/>
          <w:sz w:val="32"/>
          <w:szCs w:val="32"/>
          <w:shd w:val="clear" w:color="auto" w:fill="FFFFFF"/>
          <w:lang w:val="en-US" w:eastAsia="zh-CN" w:bidi="ar"/>
        </w:rPr>
        <w:t>本单位本年度收入的年初预算数为</w:t>
      </w:r>
      <w:r>
        <w:rPr>
          <w:rFonts w:hint="eastAsia" w:ascii="仿宋" w:hAnsi="仿宋" w:eastAsia="仿宋" w:cs="仿宋"/>
          <w:color w:val="auto"/>
          <w:sz w:val="32"/>
          <w:szCs w:val="32"/>
          <w:lang w:val="en-US" w:eastAsia="zh-CN"/>
        </w:rPr>
        <w:t>80.24万</w:t>
      </w:r>
      <w:r>
        <w:rPr>
          <w:rFonts w:hint="eastAsia" w:ascii="仿宋" w:hAnsi="仿宋" w:eastAsia="仿宋" w:cs="仿宋"/>
          <w:color w:val="auto"/>
          <w:sz w:val="32"/>
          <w:szCs w:val="32"/>
        </w:rPr>
        <w:t>元</w:t>
      </w:r>
      <w:r>
        <w:rPr>
          <w:rFonts w:hint="eastAsia" w:ascii="仿宋" w:hAnsi="仿宋" w:eastAsia="仿宋" w:cs="仿宋"/>
          <w:color w:val="auto"/>
          <w:kern w:val="0"/>
          <w:sz w:val="32"/>
          <w:szCs w:val="32"/>
          <w:shd w:val="clear" w:color="auto" w:fill="FFFFFF"/>
          <w:lang w:val="en-US" w:eastAsia="zh-CN" w:bidi="ar"/>
        </w:rPr>
        <w:t>，增加原因主要是</w:t>
      </w:r>
      <w:r>
        <w:rPr>
          <w:rStyle w:val="38"/>
          <w:rFonts w:hint="eastAsia" w:ascii="仿宋" w:hAnsi="仿宋" w:eastAsia="仿宋" w:cs="仿宋"/>
          <w:b w:val="0"/>
          <w:bCs/>
          <w:color w:val="auto"/>
          <w:sz w:val="32"/>
          <w:szCs w:val="32"/>
          <w:shd w:val="clear" w:color="auto" w:fill="FFFFFF"/>
          <w:lang w:val="en-US" w:eastAsia="zh-CN" w:bidi="ar"/>
        </w:rPr>
        <w:t>增加了基础绩效奖金及人员工资调整增加</w:t>
      </w:r>
      <w:r>
        <w:rPr>
          <w:rStyle w:val="20"/>
          <w:rFonts w:hint="eastAsia" w:ascii="仿宋" w:hAnsi="仿宋" w:eastAsia="仿宋"/>
          <w:b w:val="0"/>
          <w:bCs/>
          <w:sz w:val="32"/>
          <w:szCs w:val="32"/>
        </w:rPr>
        <w:t>。</w:t>
      </w:r>
    </w:p>
    <w:p w14:paraId="0E88C2EC">
      <w:pPr>
        <w:pStyle w:val="17"/>
        <w:shd w:val="clear" w:color="auto" w:fill="FFFFFF"/>
        <w:spacing w:before="0" w:beforeAutospacing="0" w:after="0" w:afterAutospacing="0" w:line="580" w:lineRule="exact"/>
        <w:ind w:firstLine="640" w:firstLineChars="200"/>
        <w:rPr>
          <w:rFonts w:ascii="仿宋" w:hAnsi="仿宋" w:eastAsia="仿宋"/>
          <w:b/>
          <w:sz w:val="32"/>
          <w:szCs w:val="32"/>
        </w:rPr>
      </w:pPr>
      <w:r>
        <w:rPr>
          <w:rFonts w:hint="eastAsia" w:ascii="Times New Roman" w:hAnsi="Times New Roman" w:eastAsia="仿宋_GB2312" w:cs="仿宋_GB2312"/>
          <w:color w:val="auto"/>
          <w:kern w:val="2"/>
          <w:sz w:val="32"/>
          <w:szCs w:val="32"/>
          <w:highlight w:val="none"/>
          <w:lang w:val="en-US" w:eastAsia="zh-CN" w:bidi="ar-SA"/>
        </w:rPr>
        <w:t>卫生健康201（类）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98.45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 w:eastAsia="仿宋_GB2312" w:cs="仿宋"/>
          <w:color w:val="333333"/>
          <w:sz w:val="32"/>
          <w:szCs w:val="32"/>
        </w:rPr>
        <w:t>卫生和健康</w:t>
      </w:r>
      <w:r>
        <w:rPr>
          <w:rFonts w:hint="eastAsia" w:ascii="仿宋_GB2312" w:hAnsi="仿宋" w:eastAsia="仿宋_GB2312" w:cs="仿宋"/>
          <w:color w:val="333333"/>
          <w:sz w:val="32"/>
          <w:szCs w:val="32"/>
          <w:lang w:eastAsia="zh-CN"/>
        </w:rPr>
        <w:t>预算数</w:t>
      </w:r>
      <w:r>
        <w:rPr>
          <w:rFonts w:hint="eastAsia" w:ascii="仿宋_GB2312" w:hAnsi="仿宋" w:eastAsia="仿宋_GB2312" w:cs="仿宋"/>
          <w:color w:val="333333"/>
          <w:sz w:val="32"/>
          <w:szCs w:val="32"/>
          <w:lang w:val="en-US" w:eastAsia="zh-CN"/>
        </w:rPr>
        <w:t>5.81</w:t>
      </w:r>
      <w:r>
        <w:rPr>
          <w:rFonts w:hint="eastAsia" w:ascii="仿宋_GB2312" w:hAnsi="仿宋" w:eastAsia="仿宋_GB2312" w:cs="仿宋"/>
          <w:color w:val="333333"/>
          <w:sz w:val="32"/>
          <w:szCs w:val="32"/>
        </w:rPr>
        <w:t>万元，</w:t>
      </w:r>
      <w:r>
        <w:rPr>
          <w:rFonts w:hint="eastAsia" w:ascii="仿宋" w:hAnsi="仿宋" w:eastAsia="仿宋" w:cs="仿宋"/>
          <w:color w:val="000000"/>
          <w:sz w:val="32"/>
          <w:szCs w:val="32"/>
          <w:lang w:val="en-US" w:eastAsia="zh-CN"/>
        </w:rPr>
        <w:t>本年卫生健康支出决算数5.72元，</w:t>
      </w:r>
      <w:r>
        <w:rPr>
          <w:rFonts w:hint="eastAsia" w:ascii="仿宋" w:hAnsi="仿宋" w:eastAsia="仿宋" w:cs="仿宋"/>
          <w:kern w:val="0"/>
          <w:sz w:val="32"/>
          <w:szCs w:val="32"/>
          <w:shd w:val="clear" w:color="auto" w:fill="FFFFFF"/>
          <w:lang w:val="en-US" w:eastAsia="zh-CN" w:bidi="ar"/>
        </w:rPr>
        <w:t>比预算数0.09万元，减少原因主要是缴费基数调整减少</w:t>
      </w:r>
      <w:r>
        <w:rPr>
          <w:rFonts w:hint="eastAsia" w:ascii="仿宋_GB2312" w:hAnsi="仿宋" w:eastAsia="仿宋_GB2312" w:cs="仿宋"/>
          <w:color w:val="333333"/>
          <w:sz w:val="32"/>
          <w:szCs w:val="32"/>
        </w:rPr>
        <w:t>。</w:t>
      </w:r>
      <w:r>
        <w:rPr>
          <w:rFonts w:hint="eastAsia" w:ascii="仿宋" w:hAnsi="仿宋" w:eastAsia="仿宋_GB2312" w:cs="仿宋"/>
          <w:color w:val="333333"/>
          <w:sz w:val="32"/>
          <w:szCs w:val="32"/>
        </w:rPr>
        <w:t> </w:t>
      </w:r>
    </w:p>
    <w:p w14:paraId="617E88EF">
      <w:p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725805E8">
      <w:pPr>
        <w:tabs>
          <w:tab w:val="right" w:pos="8306"/>
        </w:tabs>
        <w:spacing w:line="600" w:lineRule="exact"/>
        <w:ind w:firstLine="640" w:firstLineChars="200"/>
        <w:outlineLvl w:val="1"/>
        <w:rPr>
          <w:rStyle w:val="32"/>
          <w:rFonts w:ascii="Times New Roman" w:hAnsi="Times New Roman"/>
          <w:color w:val="auto"/>
          <w:highlight w:val="none"/>
        </w:rPr>
      </w:pPr>
      <w:bookmarkStart w:id="26" w:name="_Toc15377214"/>
      <w:bookmarkStart w:id="2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26"/>
      <w:bookmarkEnd w:id="27"/>
      <w:r>
        <w:rPr>
          <w:rStyle w:val="32"/>
          <w:rFonts w:ascii="Times New Roman" w:hAnsi="Times New Roman" w:eastAsia="黑体"/>
          <w:b w:val="0"/>
          <w:color w:val="auto"/>
          <w:highlight w:val="none"/>
        </w:rPr>
        <w:tab/>
      </w:r>
    </w:p>
    <w:p w14:paraId="1BD958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106.88</w:t>
      </w:r>
      <w:r>
        <w:rPr>
          <w:rFonts w:hint="eastAsia" w:ascii="Times New Roman" w:hAnsi="Times New Roman" w:eastAsia="仿宋_GB2312" w:cs="仿宋_GB2312"/>
          <w:color w:val="auto"/>
          <w:kern w:val="2"/>
          <w:sz w:val="32"/>
          <w:szCs w:val="32"/>
          <w:highlight w:val="none"/>
          <w:lang w:val="en-US" w:eastAsia="zh-CN" w:bidi="ar-SA"/>
        </w:rPr>
        <w:t>万元，其中：</w:t>
      </w:r>
    </w:p>
    <w:p w14:paraId="6D8465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102.66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4.22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FD4A39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008DD2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BCEB32">
      <w:pPr>
        <w:spacing w:line="600" w:lineRule="exact"/>
        <w:ind w:firstLine="640"/>
        <w:outlineLvl w:val="1"/>
        <w:rPr>
          <w:rStyle w:val="32"/>
          <w:rFonts w:ascii="Times New Roman" w:hAnsi="Times New Roman" w:eastAsia="黑体"/>
          <w:b w:val="0"/>
          <w:color w:val="auto"/>
          <w:highlight w:val="none"/>
        </w:rPr>
      </w:pPr>
      <w:bookmarkStart w:id="28" w:name="_Toc15377215"/>
      <w:bookmarkStart w:id="29" w:name="_Toc15396609"/>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28"/>
      <w:bookmarkEnd w:id="29"/>
    </w:p>
    <w:p w14:paraId="26CC2F4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0"/>
    </w:p>
    <w:p w14:paraId="6423ACB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1C61084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1"/>
    </w:p>
    <w:p w14:paraId="11E4B2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65843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08A37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05419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38CF0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DBE70B9">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2895DDE">
      <w:pPr>
        <w:numPr>
          <w:ilvl w:val="0"/>
          <w:numId w:val="2"/>
        </w:numPr>
        <w:spacing w:line="600" w:lineRule="exact"/>
        <w:ind w:left="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830D1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68B58E9">
      <w:pPr>
        <w:spacing w:line="600" w:lineRule="exact"/>
        <w:ind w:firstLine="640" w:firstLineChars="200"/>
        <w:outlineLvl w:val="1"/>
        <w:rPr>
          <w:rStyle w:val="32"/>
          <w:rFonts w:ascii="Times New Roman" w:hAnsi="Times New Roman" w:eastAsia="黑体"/>
          <w:color w:val="auto"/>
          <w:highlight w:val="none"/>
        </w:rPr>
      </w:pPr>
      <w:bookmarkStart w:id="32" w:name="_Toc15377218"/>
      <w:bookmarkStart w:id="33" w:name="_Toc15396610"/>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2"/>
      <w:bookmarkEnd w:id="33"/>
    </w:p>
    <w:p w14:paraId="052C741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DC9BDC9">
      <w:pPr>
        <w:numPr>
          <w:ilvl w:val="0"/>
          <w:numId w:val="0"/>
        </w:numPr>
        <w:spacing w:line="600" w:lineRule="exact"/>
        <w:ind w:firstLine="640" w:firstLineChars="200"/>
        <w:outlineLvl w:val="1"/>
        <w:rPr>
          <w:rStyle w:val="32"/>
          <w:rFonts w:ascii="Times New Roman" w:hAnsi="Times New Roman" w:eastAsia="黑体"/>
          <w:b w:val="0"/>
          <w:color w:val="auto"/>
          <w:highlight w:val="none"/>
        </w:rPr>
      </w:pPr>
      <w:bookmarkStart w:id="34" w:name="_Toc15377219"/>
      <w:bookmarkStart w:id="35" w:name="_Toc15396611"/>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4"/>
      <w:bookmarkEnd w:id="35"/>
    </w:p>
    <w:p w14:paraId="0DE364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8C83AC4">
      <w:pPr>
        <w:numPr>
          <w:ilvl w:val="0"/>
          <w:numId w:val="0"/>
        </w:numPr>
        <w:spacing w:line="600" w:lineRule="exact"/>
        <w:ind w:firstLine="640" w:firstLineChars="200"/>
        <w:outlineLvl w:val="1"/>
        <w:rPr>
          <w:rStyle w:val="32"/>
          <w:rFonts w:hint="eastAsia" w:ascii="Times New Roman" w:hAnsi="Times New Roman" w:eastAsia="黑体"/>
          <w:b w:val="0"/>
          <w:color w:val="auto"/>
          <w:highlight w:val="none"/>
        </w:rPr>
      </w:pPr>
      <w:bookmarkStart w:id="36" w:name="_Toc15396612"/>
      <w:bookmarkStart w:id="37"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36"/>
      <w:bookmarkEnd w:id="37"/>
    </w:p>
    <w:p w14:paraId="4F737AA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22"/>
      <w:r>
        <w:rPr>
          <w:rFonts w:hint="eastAsia" w:ascii="Times New Roman" w:hAnsi="Times New Roman" w:eastAsia="楷体_GB2312" w:cs="楷体_GB2312"/>
          <w:b/>
          <w:color w:val="auto"/>
          <w:sz w:val="32"/>
          <w:szCs w:val="32"/>
          <w:highlight w:val="none"/>
        </w:rPr>
        <w:t>（一）机关运行经费支出情况</w:t>
      </w:r>
      <w:bookmarkEnd w:id="38"/>
    </w:p>
    <w:p w14:paraId="461353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松潘县机关事业养老保险中心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33EFD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23"/>
      <w:r>
        <w:rPr>
          <w:rFonts w:hint="eastAsia" w:ascii="Times New Roman" w:hAnsi="Times New Roman" w:eastAsia="楷体_GB2312" w:cs="楷体_GB2312"/>
          <w:b/>
          <w:color w:val="auto"/>
          <w:sz w:val="32"/>
          <w:szCs w:val="32"/>
          <w:highlight w:val="none"/>
        </w:rPr>
        <w:t>（二）政府采购支出情况</w:t>
      </w:r>
      <w:bookmarkEnd w:id="39"/>
    </w:p>
    <w:p w14:paraId="412333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松潘县机关事业养老保险中心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380C42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4"/>
      <w:r>
        <w:rPr>
          <w:rFonts w:hint="eastAsia" w:ascii="Times New Roman" w:hAnsi="Times New Roman" w:eastAsia="楷体_GB2312" w:cs="楷体_GB2312"/>
          <w:b/>
          <w:color w:val="auto"/>
          <w:sz w:val="32"/>
          <w:szCs w:val="32"/>
          <w:highlight w:val="none"/>
        </w:rPr>
        <w:t>（三）国有资产占有使用情况</w:t>
      </w:r>
      <w:bookmarkEnd w:id="40"/>
    </w:p>
    <w:p w14:paraId="4AA27E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松潘县机关事业养老保险中心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p>
    <w:p w14:paraId="1E0D1B7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F1A19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在2025年度，组织对（项目名称）等</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F8381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D64C55">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1" w:name="_Toc15396613"/>
      <w:bookmarkStart w:id="42" w:name="_Toc15377225"/>
    </w:p>
    <w:p w14:paraId="26ACC88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55C3E0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CC6947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1"/>
      <w:bookmarkEnd w:id="42"/>
    </w:p>
    <w:p w14:paraId="42ABF47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32A3F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2.事业收入：指事业单位开展专业业务活动及辅助活动取得的收入。（二级预算单位事业收入情况）等。</w:t>
      </w:r>
    </w:p>
    <w:p w14:paraId="71B134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3.经营收入：指事业单位在专业业务活动及其辅助活动之外开展非独立核算经营活动取得的收入。（二级预算单位经营收入情况）等。</w:t>
      </w:r>
    </w:p>
    <w:p w14:paraId="3F194B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13F082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27CCE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739AD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40B6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DC8A7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（项）：指社会保障和就业</w:t>
      </w:r>
      <w:r>
        <w:rPr>
          <w:rFonts w:hint="eastAsia" w:eastAsia="仿宋_GB2312" w:cs="仿宋_GB2312"/>
          <w:color w:val="auto"/>
          <w:kern w:val="2"/>
          <w:sz w:val="32"/>
          <w:szCs w:val="32"/>
          <w:highlight w:val="none"/>
          <w:lang w:val="en-US" w:eastAsia="zh-CN" w:bidi="ar-SA"/>
        </w:rPr>
        <w:t>收入、支出。</w:t>
      </w:r>
    </w:p>
    <w:p w14:paraId="5C5DFF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（项）：指卫生健康</w:t>
      </w:r>
      <w:r>
        <w:rPr>
          <w:rFonts w:hint="eastAsia" w:eastAsia="仿宋_GB2312" w:cs="仿宋_GB2312"/>
          <w:color w:val="auto"/>
          <w:kern w:val="2"/>
          <w:sz w:val="32"/>
          <w:szCs w:val="32"/>
          <w:highlight w:val="none"/>
          <w:lang w:val="en-US" w:eastAsia="zh-CN" w:bidi="ar-SA"/>
        </w:rPr>
        <w:t>收入、支出。</w:t>
      </w:r>
    </w:p>
    <w:p w14:paraId="10E6DC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（项）：指住房保障</w:t>
      </w:r>
      <w:r>
        <w:rPr>
          <w:rFonts w:hint="eastAsia" w:eastAsia="仿宋_GB2312" w:cs="仿宋_GB2312"/>
          <w:color w:val="auto"/>
          <w:kern w:val="2"/>
          <w:sz w:val="32"/>
          <w:szCs w:val="32"/>
          <w:highlight w:val="none"/>
          <w:lang w:val="en-US" w:eastAsia="zh-CN" w:bidi="ar-SA"/>
        </w:rPr>
        <w:t>收入、支出。</w:t>
      </w:r>
    </w:p>
    <w:p w14:paraId="5FFC0A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2C5FB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F5CE1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2D246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496F7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4A2A6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2217801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4" w:name="_Toc15396618"/>
    </w:p>
    <w:p w14:paraId="277FC92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31"/>
          <w:rFonts w:hint="eastAsia" w:ascii="Times New Roman" w:hAnsi="Times New Roman" w:eastAsia="黑体"/>
          <w:b w:val="0"/>
          <w:color w:val="auto"/>
          <w:highlight w:val="none"/>
        </w:rPr>
        <w:t>部分 附表</w:t>
      </w:r>
      <w:bookmarkEnd w:id="43"/>
      <w:bookmarkEnd w:id="44"/>
      <w:bookmarkStart w:id="45" w:name="_Toc15396619"/>
    </w:p>
    <w:p w14:paraId="10A383A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8D504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5"/>
    </w:p>
    <w:p w14:paraId="08A8062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6" w:name="_Toc15396620"/>
      <w:r>
        <w:rPr>
          <w:rFonts w:hint="eastAsia" w:ascii="Times New Roman" w:hAnsi="Times New Roman" w:eastAsia="仿宋_GB2312" w:cs="仿宋_GB2312"/>
          <w:color w:val="auto"/>
          <w:sz w:val="32"/>
          <w:szCs w:val="32"/>
          <w:highlight w:val="none"/>
        </w:rPr>
        <w:t>二、收入决算表</w:t>
      </w:r>
      <w:bookmarkEnd w:id="46"/>
    </w:p>
    <w:p w14:paraId="7DEB713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7" w:name="_Toc15396621"/>
      <w:r>
        <w:rPr>
          <w:rFonts w:hint="eastAsia" w:ascii="Times New Roman" w:hAnsi="Times New Roman" w:eastAsia="仿宋_GB2312" w:cs="仿宋_GB2312"/>
          <w:color w:val="auto"/>
          <w:sz w:val="32"/>
          <w:szCs w:val="32"/>
          <w:highlight w:val="none"/>
        </w:rPr>
        <w:t>三、支出决算表</w:t>
      </w:r>
      <w:bookmarkEnd w:id="47"/>
    </w:p>
    <w:p w14:paraId="6DB03C2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2"/>
      <w:r>
        <w:rPr>
          <w:rFonts w:hint="eastAsia" w:ascii="Times New Roman" w:hAnsi="Times New Roman" w:eastAsia="仿宋_GB2312" w:cs="仿宋_GB2312"/>
          <w:color w:val="auto"/>
          <w:sz w:val="32"/>
          <w:szCs w:val="32"/>
          <w:highlight w:val="none"/>
        </w:rPr>
        <w:t>四、财政拨款收入支出决算总表</w:t>
      </w:r>
      <w:bookmarkEnd w:id="48"/>
    </w:p>
    <w:p w14:paraId="57321E3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3"/>
      <w:r>
        <w:rPr>
          <w:rFonts w:hint="eastAsia" w:ascii="Times New Roman" w:hAnsi="Times New Roman" w:eastAsia="仿宋_GB2312" w:cs="仿宋_GB2312"/>
          <w:color w:val="auto"/>
          <w:sz w:val="32"/>
          <w:szCs w:val="32"/>
          <w:highlight w:val="none"/>
        </w:rPr>
        <w:t>五、财政拨款支出决算明细表</w:t>
      </w:r>
      <w:bookmarkEnd w:id="49"/>
      <w:bookmarkStart w:id="50" w:name="_Toc15396624"/>
    </w:p>
    <w:p w14:paraId="5184FED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0"/>
    </w:p>
    <w:p w14:paraId="2128693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5"/>
      <w:r>
        <w:rPr>
          <w:rFonts w:hint="eastAsia" w:ascii="Times New Roman" w:hAnsi="Times New Roman" w:eastAsia="仿宋_GB2312" w:cs="仿宋_GB2312"/>
          <w:color w:val="auto"/>
          <w:sz w:val="32"/>
          <w:szCs w:val="32"/>
          <w:highlight w:val="none"/>
        </w:rPr>
        <w:t>七、一般公共预算财政拨款支出决算明细表</w:t>
      </w:r>
      <w:bookmarkEnd w:id="51"/>
    </w:p>
    <w:p w14:paraId="24F9EE0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6"/>
      <w:r>
        <w:rPr>
          <w:rFonts w:hint="eastAsia" w:ascii="Times New Roman" w:hAnsi="Times New Roman" w:eastAsia="仿宋_GB2312" w:cs="仿宋_GB2312"/>
          <w:color w:val="auto"/>
          <w:sz w:val="32"/>
          <w:szCs w:val="32"/>
          <w:highlight w:val="none"/>
        </w:rPr>
        <w:t>八、一般公共预算财政拨款基本支出决算表</w:t>
      </w:r>
      <w:bookmarkEnd w:id="52"/>
    </w:p>
    <w:p w14:paraId="7F3B83D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7"/>
      <w:r>
        <w:rPr>
          <w:rFonts w:hint="eastAsia" w:ascii="Times New Roman" w:hAnsi="Times New Roman" w:eastAsia="仿宋_GB2312" w:cs="仿宋_GB2312"/>
          <w:color w:val="auto"/>
          <w:sz w:val="32"/>
          <w:szCs w:val="32"/>
          <w:highlight w:val="none"/>
        </w:rPr>
        <w:t>九、一般公共预算财政拨款项目支出决算表</w:t>
      </w:r>
      <w:bookmarkEnd w:id="53"/>
    </w:p>
    <w:p w14:paraId="50FEFBF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8"/>
      <w:r>
        <w:rPr>
          <w:rFonts w:hint="eastAsia" w:ascii="Times New Roman" w:hAnsi="Times New Roman" w:eastAsia="仿宋_GB2312" w:cs="仿宋_GB2312"/>
          <w:color w:val="auto"/>
          <w:sz w:val="32"/>
          <w:szCs w:val="32"/>
          <w:highlight w:val="none"/>
        </w:rPr>
        <w:t>十、</w:t>
      </w:r>
      <w:bookmarkEnd w:id="54"/>
      <w:r>
        <w:rPr>
          <w:rFonts w:hint="eastAsia" w:ascii="Times New Roman" w:hAnsi="Times New Roman" w:eastAsia="仿宋_GB2312" w:cs="仿宋_GB2312"/>
          <w:color w:val="auto"/>
          <w:sz w:val="32"/>
          <w:szCs w:val="32"/>
          <w:highlight w:val="none"/>
        </w:rPr>
        <w:t>政府性基金预算财政拨款收入支出决算表</w:t>
      </w:r>
    </w:p>
    <w:p w14:paraId="75F127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9"/>
      <w:r>
        <w:rPr>
          <w:rFonts w:hint="eastAsia" w:ascii="Times New Roman" w:hAnsi="Times New Roman" w:eastAsia="仿宋_GB2312" w:cs="仿宋_GB2312"/>
          <w:color w:val="auto"/>
          <w:sz w:val="32"/>
          <w:szCs w:val="32"/>
          <w:highlight w:val="none"/>
        </w:rPr>
        <w:t>十一、</w:t>
      </w:r>
      <w:bookmarkEnd w:id="5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D9808A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30"/>
      <w:r>
        <w:rPr>
          <w:rFonts w:hint="eastAsia" w:ascii="Times New Roman" w:hAnsi="Times New Roman" w:eastAsia="仿宋_GB2312" w:cs="仿宋_GB2312"/>
          <w:color w:val="auto"/>
          <w:sz w:val="32"/>
          <w:szCs w:val="32"/>
          <w:highlight w:val="none"/>
        </w:rPr>
        <w:t>十二、</w:t>
      </w:r>
      <w:bookmarkEnd w:id="56"/>
      <w:r>
        <w:rPr>
          <w:rFonts w:hint="eastAsia" w:ascii="Times New Roman" w:hAnsi="Times New Roman" w:eastAsia="仿宋_GB2312" w:cs="仿宋_GB2312"/>
          <w:color w:val="auto"/>
          <w:sz w:val="32"/>
          <w:szCs w:val="32"/>
          <w:highlight w:val="none"/>
          <w:lang w:eastAsia="zh-CN"/>
        </w:rPr>
        <w:t>国有资本经营预算财政拨款支出决算表</w:t>
      </w:r>
    </w:p>
    <w:p w14:paraId="06D1C47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7" w:name="_Toc15396631"/>
      <w:r>
        <w:rPr>
          <w:rFonts w:hint="eastAsia" w:ascii="Times New Roman" w:hAnsi="Times New Roman" w:eastAsia="仿宋_GB2312" w:cs="仿宋_GB2312"/>
          <w:color w:val="auto"/>
          <w:sz w:val="32"/>
          <w:szCs w:val="32"/>
          <w:highlight w:val="none"/>
        </w:rPr>
        <w:t>十三、</w:t>
      </w:r>
      <w:bookmarkEnd w:id="57"/>
      <w:r>
        <w:rPr>
          <w:rFonts w:hint="eastAsia" w:ascii="Times New Roman" w:hAnsi="Times New Roman" w:eastAsia="仿宋_GB2312" w:cs="仿宋_GB2312"/>
          <w:color w:val="auto"/>
          <w:sz w:val="32"/>
          <w:szCs w:val="32"/>
          <w:highlight w:val="none"/>
          <w:lang w:eastAsia="zh-CN"/>
        </w:rPr>
        <w:t>财政拨款“三公”经费支出决算表</w:t>
      </w:r>
    </w:p>
    <w:p w14:paraId="337E8071">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420E5D-64BE-419F-B740-8DEE01D97E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6283AB4-53EC-49F6-A206-78801EA8AE50}"/>
  </w:font>
  <w:font w:name="仿宋">
    <w:panose1 w:val="02010609060101010101"/>
    <w:charset w:val="86"/>
    <w:family w:val="modern"/>
    <w:pitch w:val="default"/>
    <w:sig w:usb0="800002BF" w:usb1="38CF7CFA" w:usb2="00000016" w:usb3="00000000" w:csb0="00040001" w:csb1="00000000"/>
    <w:embedRegular r:id="rId3" w:fontKey="{DAE290F5-9E18-45E4-A73A-9E62CD88453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B812FD0D-DA15-4736-A285-0BD85816C2DE}"/>
  </w:font>
  <w:font w:name="楷体_GB2312">
    <w:panose1 w:val="02010609030101010101"/>
    <w:charset w:val="86"/>
    <w:family w:val="auto"/>
    <w:pitch w:val="default"/>
    <w:sig w:usb0="00000001" w:usb1="080E0000" w:usb2="00000000" w:usb3="00000000" w:csb0="00040000" w:csb1="00000000"/>
    <w:embedRegular r:id="rId5" w:fontKey="{90F29FBD-1A6F-49B1-A41C-D286B075BB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92E2">
    <w:pPr>
      <w:pStyle w:val="11"/>
      <w:jc w:val="center"/>
    </w:pPr>
  </w:p>
  <w:p w14:paraId="4F425AB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32C49">
    <w:pPr>
      <w:pStyle w:val="11"/>
      <w:jc w:val="center"/>
    </w:pPr>
  </w:p>
  <w:p w14:paraId="02016E37">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9B600">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4954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1F4954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8C49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5A1CF"/>
    <w:multiLevelType w:val="singleLevel"/>
    <w:tmpl w:val="CB05A1CF"/>
    <w:lvl w:ilvl="0" w:tentative="0">
      <w:start w:val="1"/>
      <w:numFmt w:val="decimal"/>
      <w:lvlText w:val="%1."/>
      <w:lvlJc w:val="left"/>
      <w:pPr>
        <w:tabs>
          <w:tab w:val="left" w:pos="312"/>
        </w:tabs>
      </w:pPr>
    </w:lvl>
  </w:abstractNum>
  <w:abstractNum w:abstractNumId="1">
    <w:nsid w:val="5F690A68"/>
    <w:multiLevelType w:val="singleLevel"/>
    <w:tmpl w:val="5F690A68"/>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EDD3C6F"/>
    <w:rsid w:val="0F98263C"/>
    <w:rsid w:val="1006606A"/>
    <w:rsid w:val="101860EC"/>
    <w:rsid w:val="10C055FF"/>
    <w:rsid w:val="11772AA4"/>
    <w:rsid w:val="118107EC"/>
    <w:rsid w:val="11A227BD"/>
    <w:rsid w:val="13957196"/>
    <w:rsid w:val="13D50BC4"/>
    <w:rsid w:val="14022904"/>
    <w:rsid w:val="14EF5470"/>
    <w:rsid w:val="152F2A07"/>
    <w:rsid w:val="165E0673"/>
    <w:rsid w:val="16BB723D"/>
    <w:rsid w:val="16F13FCB"/>
    <w:rsid w:val="186504BB"/>
    <w:rsid w:val="1938089F"/>
    <w:rsid w:val="19A445FC"/>
    <w:rsid w:val="1B7D550C"/>
    <w:rsid w:val="1BE8440E"/>
    <w:rsid w:val="1D155CEE"/>
    <w:rsid w:val="1DE178F3"/>
    <w:rsid w:val="1E740ACF"/>
    <w:rsid w:val="1FF35744"/>
    <w:rsid w:val="1FF6BC77"/>
    <w:rsid w:val="20C0120F"/>
    <w:rsid w:val="21962A9E"/>
    <w:rsid w:val="21AE7C77"/>
    <w:rsid w:val="21D12193"/>
    <w:rsid w:val="22873935"/>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0F94EA9"/>
    <w:rsid w:val="319F7F4E"/>
    <w:rsid w:val="32032408"/>
    <w:rsid w:val="321B2544"/>
    <w:rsid w:val="3304709D"/>
    <w:rsid w:val="3421180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9C033DA"/>
    <w:rsid w:val="3AB79AF3"/>
    <w:rsid w:val="3ACB16B3"/>
    <w:rsid w:val="3B7EF35A"/>
    <w:rsid w:val="3B9FDB6C"/>
    <w:rsid w:val="3BF5BC2F"/>
    <w:rsid w:val="3CEBA265"/>
    <w:rsid w:val="3D98207C"/>
    <w:rsid w:val="3D9B0D99"/>
    <w:rsid w:val="3DEE7CF3"/>
    <w:rsid w:val="3DF02244"/>
    <w:rsid w:val="3E78745D"/>
    <w:rsid w:val="3FF4CAE0"/>
    <w:rsid w:val="3FF7B227"/>
    <w:rsid w:val="40E54C45"/>
    <w:rsid w:val="41313393"/>
    <w:rsid w:val="428E62C2"/>
    <w:rsid w:val="43626DA6"/>
    <w:rsid w:val="43A407DF"/>
    <w:rsid w:val="44515BEA"/>
    <w:rsid w:val="44BC3585"/>
    <w:rsid w:val="44E268DA"/>
    <w:rsid w:val="453F7E5B"/>
    <w:rsid w:val="461874C8"/>
    <w:rsid w:val="486A6C7A"/>
    <w:rsid w:val="489C38B5"/>
    <w:rsid w:val="49176D9B"/>
    <w:rsid w:val="494006BD"/>
    <w:rsid w:val="4A627F82"/>
    <w:rsid w:val="4B0E749A"/>
    <w:rsid w:val="4B3A55EB"/>
    <w:rsid w:val="4B4F25DA"/>
    <w:rsid w:val="4BDA0CFB"/>
    <w:rsid w:val="4BE068DB"/>
    <w:rsid w:val="4D3C0CCC"/>
    <w:rsid w:val="4D4C4DB0"/>
    <w:rsid w:val="4D577224"/>
    <w:rsid w:val="4DBF1CEB"/>
    <w:rsid w:val="4EAB630A"/>
    <w:rsid w:val="4ECE2238"/>
    <w:rsid w:val="4F833267"/>
    <w:rsid w:val="4FA90414"/>
    <w:rsid w:val="4FE9BD67"/>
    <w:rsid w:val="4FFB052F"/>
    <w:rsid w:val="53083A92"/>
    <w:rsid w:val="537E6D0A"/>
    <w:rsid w:val="53AF27A2"/>
    <w:rsid w:val="53F74C96"/>
    <w:rsid w:val="55324458"/>
    <w:rsid w:val="55BC4F4F"/>
    <w:rsid w:val="56E47B74"/>
    <w:rsid w:val="57BD3DD4"/>
    <w:rsid w:val="5A737E20"/>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867B3B"/>
    <w:rsid w:val="62BF3928"/>
    <w:rsid w:val="647F5392"/>
    <w:rsid w:val="664B1D71"/>
    <w:rsid w:val="67AA3209"/>
    <w:rsid w:val="67F24A7A"/>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E37655"/>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3875E3"/>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8"/>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ind w:left="2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0"/>
    <w:pPr>
      <w:adjustRightInd/>
      <w:snapToGrid/>
      <w:spacing w:before="100" w:beforeLines="0" w:beforeAutospacing="1" w:after="100" w:afterLines="0" w:afterAutospacing="1"/>
    </w:pPr>
    <w:rPr>
      <w:rFonts w:ascii="宋体" w:hAnsi="宋体" w:eastAsia="宋体" w:cs="宋体"/>
      <w:sz w:val="24"/>
      <w:szCs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8"/>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5"/>
    <w:qFormat/>
    <w:uiPriority w:val="9"/>
    <w:rPr>
      <w:rFonts w:ascii="Times New Roman" w:hAnsi="Times New Roman"/>
      <w:b/>
      <w:bCs/>
      <w:kern w:val="44"/>
      <w:sz w:val="44"/>
      <w:szCs w:val="44"/>
    </w:rPr>
  </w:style>
  <w:style w:type="character" w:customStyle="1" w:styleId="32">
    <w:name w:val="标题 2 Char"/>
    <w:basedOn w:val="19"/>
    <w:link w:val="6"/>
    <w:qFormat/>
    <w:uiPriority w:val="9"/>
    <w:rPr>
      <w:rFonts w:asciiTheme="majorHAnsi" w:hAnsiTheme="majorHAnsi" w:eastAsiaTheme="majorEastAsia" w:cstheme="majorBidi"/>
      <w:b/>
      <w:bCs/>
      <w:kern w:val="2"/>
      <w:sz w:val="32"/>
      <w:szCs w:val="32"/>
    </w:rPr>
  </w:style>
  <w:style w:type="paragraph" w:customStyle="1" w:styleId="33">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7"/>
    <w:qFormat/>
    <w:uiPriority w:val="9"/>
    <w:rPr>
      <w:rFonts w:ascii="Times New Roman" w:hAnsi="Times New Roman"/>
      <w:b/>
      <w:bCs/>
      <w:kern w:val="2"/>
      <w:sz w:val="32"/>
      <w:szCs w:val="32"/>
    </w:rPr>
  </w:style>
  <w:style w:type="paragraph" w:customStyle="1" w:styleId="36">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15"/>
    <w:basedOn w:val="19"/>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57e7fd47-2266-4a47-a1da-da7d1e38c550</errorID>
      <errorWord>(</errorWord>
      <group>L1_Format</group>
      <groupName>格式问题</groupName>
      <ability>L2_HalfPunc_CN</ability>
      <abilityName>全半角问题</abilityName>
      <candidateList>
        <item>（</item>
      </candidateList>
      <explain>文本全半角错误。</explain>
      <paraID>4DC709D2</paraID>
      <start>0</start>
      <end>1</end>
      <status>modified</status>
      <modifiedWord>（</modifiedWord>
      <trackRevisions>false</trackRevisions>
    </reviewItem>
    <reviewItem>
      <errorID>51476c97-4605-469c-895d-ed7b72765b44</errorID>
      <errorWord>法律、法规</errorWord>
      <group>L1_Word</group>
      <groupName>字词问题</groupName>
      <ability>L2_Typo</ability>
      <abilityName>字词错误</abilityName>
      <candidateList>
        <item>法律法规</item>
      </candidateList>
      <explain/>
      <paraID>2964BF04</paraID>
      <start>40</start>
      <end>44</end>
      <status>modified</status>
      <modifiedWord>法律法规</modifiedWord>
      <trackRevisions>false</trackRevisions>
    </reviewItem>
    <reviewItem>
      <errorID>c3cf5b68-c86d-471e-8fff-09903a3c578b</errorID>
      <errorWord>&lt;</errorWord>
      <group>L1_Format</group>
      <groupName>格式问题</groupName>
      <ability>L2_HalfPunc_CN</ability>
      <abilityName>全半角问题</abilityName>
      <candidateList>
        <item>〈</item>
      </candidateList>
      <explain>文本全半角错误。</explain>
      <paraID>617E88EF</paraID>
      <start>50</start>
      <end>51</end>
      <status>modified</status>
      <modifiedWord>〈</modifiedWord>
      <trackRevisions>false</trackRevisions>
    </reviewItem>
    <reviewItem>
      <errorID>4ac7e284-3084-4329-9160-1503c8253fcb</errorID>
      <errorWord>&gt;</errorWord>
      <group>L1_Format</group>
      <groupName>格式问题</groupName>
      <ability>L2_HalfPunc_CN</ability>
      <abilityName>全半角问题</abilityName>
      <candidateList>
        <item>〉</item>
      </candidateList>
      <explain>文本全半角错误。</explain>
      <paraID>617E88EF</paraID>
      <start>53</start>
      <end>54</end>
      <status>modified</status>
      <modifiedWord>〉</modifiedWord>
      <trackRevisions>false</trackRevisions>
    </reviewItem>
    <reviewItem>
      <errorID>68cb1334-7f6f-4341-9c42-550e114e4405</errorID>
      <errorWord>&lt;</errorWord>
      <group>L1_Format</group>
      <groupName>格式问题</groupName>
      <ability>L2_HalfPunc_CN</ability>
      <abilityName>全半角问题</abilityName>
      <candidateList>
        <item>〈</item>
      </candidateList>
      <explain>文本全半角错误。</explain>
      <paraID>617E88EF</paraID>
      <start>60</start>
      <end>61</end>
      <status>modified</status>
      <modifiedWord>〈</modifiedWord>
      <trackRevisions>false</trackRevisions>
    </reviewItem>
    <reviewItem>
      <errorID>3a311729-1c96-47ea-8e85-1d16cfe3b6cd</errorID>
      <errorWord>&gt;</errorWord>
      <group>L1_Format</group>
      <groupName>格式问题</groupName>
      <ability>L2_HalfPunc_CN</ability>
      <abilityName>全半角问题</abilityName>
      <candidateList>
        <item>〉</item>
      </candidateList>
      <explain>文本全半角错误。</explain>
      <paraID>617E88EF</paraID>
      <start>63</start>
      <end>64</end>
      <status>modified</status>
      <modifiedWord>〉</modifiedWord>
      <trackRevisions>false</trackRevisions>
    </reviewItem>
    <reviewItem>
      <errorID>f804bf36-2fd9-49ac-9763-906b2caa7071</errorID>
      <errorWord>，</errorWord>
      <group>L1_Word</group>
      <groupName>字词问题</groupName>
      <ability>L2_Typo</ability>
      <abilityName>字词错误</abilityName>
      <candidateList>
        <item>，在</item>
      </candidateList>
      <explain/>
      <paraID>6F1A1942</paraID>
      <start>65</start>
      <end>67</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69c940-a0a0-4094-be99-40723dde70a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Words>4647</Words>
  <Characters>4944</Characters>
  <Lines>61</Lines>
  <Paragraphs>17</Paragraphs>
  <TotalTime>13</TotalTime>
  <ScaleCrop>false</ScaleCrop>
  <LinksUpToDate>false</LinksUpToDate>
  <CharactersWithSpaces>4970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2026-10-13T06:59:00Z</cp:lastPrinted>
  <dcterms:modified xsi:type="dcterms:W3CDTF">2026-10-13T08:15:44Z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