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C009D">
      <w:pPr>
        <w:pStyle w:val="5"/>
        <w:rPr>
          <w:rFonts w:hint="eastAsia" w:ascii="黑体" w:hAnsi="黑体" w:eastAsia="黑体" w:cs="黑体"/>
          <w:color w:val="auto"/>
          <w:kern w:val="2"/>
          <w:sz w:val="32"/>
          <w:szCs w:val="32"/>
          <w:highlight w:val="none"/>
          <w:lang w:val="en-US" w:eastAsia="zh-CN" w:bidi="ar-SA"/>
        </w:rPr>
      </w:pPr>
      <w:bookmarkStart w:id="0" w:name="_Toc15396475"/>
      <w:bookmarkStart w:id="1" w:name="_Toc15377193"/>
      <w:bookmarkStart w:id="2" w:name="_Toc15378441"/>
      <w:bookmarkStart w:id="3" w:name="_Toc15377425"/>
      <w:bookmarkStart w:id="4" w:name="_Toc15396597"/>
      <w:bookmarkStart w:id="5" w:name="_Toc15306267"/>
      <w:r>
        <w:rPr>
          <w:rFonts w:hint="eastAsia" w:ascii="黑体" w:hAnsi="黑体" w:eastAsia="黑体" w:cs="黑体"/>
          <w:color w:val="auto"/>
          <w:kern w:val="2"/>
          <w:sz w:val="32"/>
          <w:szCs w:val="32"/>
          <w:highlight w:val="none"/>
          <w:lang w:val="en-US" w:eastAsia="zh-CN" w:bidi="ar-SA"/>
        </w:rPr>
        <w:t>附件4</w:t>
      </w:r>
    </w:p>
    <w:p w14:paraId="7580D10B">
      <w:pPr>
        <w:pStyle w:val="5"/>
        <w:rPr>
          <w:rFonts w:hint="eastAsia" w:ascii="Times New Roman" w:hAnsi="Times New Roman" w:eastAsia="方正小标宋简体" w:cs="Times New Roman"/>
          <w:color w:val="auto"/>
          <w:kern w:val="2"/>
          <w:sz w:val="72"/>
          <w:szCs w:val="72"/>
          <w:highlight w:val="none"/>
          <w:lang w:val="en-US" w:eastAsia="zh-CN" w:bidi="ar-SA"/>
        </w:rPr>
      </w:pPr>
    </w:p>
    <w:p w14:paraId="403FAA03">
      <w:pPr>
        <w:pStyle w:val="5"/>
        <w:rPr>
          <w:rFonts w:hint="eastAsia" w:ascii="Times New Roman" w:hAnsi="Times New Roman" w:eastAsia="方正小标宋简体" w:cs="Times New Roman"/>
          <w:color w:val="auto"/>
          <w:kern w:val="2"/>
          <w:sz w:val="72"/>
          <w:szCs w:val="72"/>
          <w:highlight w:val="none"/>
          <w:lang w:val="en-US" w:eastAsia="zh-CN" w:bidi="ar-SA"/>
        </w:rPr>
      </w:pPr>
    </w:p>
    <w:p w14:paraId="757F5170">
      <w:pPr>
        <w:pStyle w:val="5"/>
        <w:rPr>
          <w:rFonts w:hint="eastAsia" w:ascii="Times New Roman" w:hAnsi="Times New Roman" w:eastAsia="方正小标宋简体" w:cs="Times New Roman"/>
          <w:color w:val="auto"/>
          <w:kern w:val="2"/>
          <w:sz w:val="72"/>
          <w:szCs w:val="72"/>
          <w:highlight w:val="none"/>
          <w:lang w:val="en-US" w:eastAsia="zh-CN" w:bidi="ar-SA"/>
        </w:rPr>
      </w:pPr>
    </w:p>
    <w:p w14:paraId="155729EB">
      <w:pPr>
        <w:pStyle w:val="5"/>
        <w:rPr>
          <w:rFonts w:hint="eastAsia" w:ascii="Times New Roman" w:hAnsi="Times New Roman" w:eastAsia="方正小标宋简体" w:cs="Times New Roman"/>
          <w:color w:val="auto"/>
          <w:kern w:val="2"/>
          <w:sz w:val="72"/>
          <w:szCs w:val="72"/>
          <w:highlight w:val="none"/>
          <w:lang w:val="en-US" w:eastAsia="zh-CN" w:bidi="ar-SA"/>
        </w:rPr>
      </w:pPr>
    </w:p>
    <w:p w14:paraId="07534542">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省级部门（单位）决算</w:t>
      </w:r>
    </w:p>
    <w:p w14:paraId="68201601">
      <w:pPr>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p>
    <w:p w14:paraId="2B8523D5">
      <w:pPr>
        <w:rPr>
          <w:rFonts w:hint="eastAsia" w:ascii="Times New Roman" w:hAnsi="Times New Roman" w:eastAsia="方正小标宋简体" w:cs="Times New Roman"/>
          <w:color w:val="auto"/>
          <w:kern w:val="2"/>
          <w:sz w:val="44"/>
          <w:szCs w:val="44"/>
          <w:highlight w:val="none"/>
          <w:lang w:val="en-US" w:eastAsia="zh-CN" w:bidi="ar-SA"/>
        </w:rPr>
      </w:pPr>
    </w:p>
    <w:p w14:paraId="579208EA">
      <w:pPr>
        <w:rPr>
          <w:rFonts w:hint="eastAsia" w:ascii="Times New Roman" w:hAnsi="Times New Roman" w:eastAsia="方正小标宋简体" w:cs="Times New Roman"/>
          <w:color w:val="auto"/>
          <w:kern w:val="2"/>
          <w:sz w:val="44"/>
          <w:szCs w:val="44"/>
          <w:highlight w:val="none"/>
          <w:lang w:val="en-US" w:eastAsia="zh-CN" w:bidi="ar-SA"/>
        </w:rPr>
      </w:pPr>
    </w:p>
    <w:p w14:paraId="6B441639">
      <w:pPr>
        <w:rPr>
          <w:rFonts w:hint="eastAsia" w:ascii="Times New Roman" w:hAnsi="Times New Roman" w:eastAsia="方正小标宋简体" w:cs="Times New Roman"/>
          <w:color w:val="auto"/>
          <w:kern w:val="2"/>
          <w:sz w:val="44"/>
          <w:szCs w:val="44"/>
          <w:highlight w:val="none"/>
          <w:lang w:val="en-US" w:eastAsia="zh-CN" w:bidi="ar-SA"/>
        </w:rPr>
      </w:pPr>
    </w:p>
    <w:p w14:paraId="66C67919">
      <w:pPr>
        <w:rPr>
          <w:rFonts w:hint="eastAsia" w:ascii="Times New Roman" w:hAnsi="Times New Roman" w:eastAsia="方正小标宋简体" w:cs="Times New Roman"/>
          <w:color w:val="auto"/>
          <w:kern w:val="2"/>
          <w:sz w:val="44"/>
          <w:szCs w:val="44"/>
          <w:highlight w:val="none"/>
          <w:lang w:val="en-US" w:eastAsia="zh-CN" w:bidi="ar-SA"/>
        </w:rPr>
      </w:pPr>
    </w:p>
    <w:p w14:paraId="22985408">
      <w:pPr>
        <w:rPr>
          <w:rFonts w:hint="eastAsia" w:ascii="Times New Roman" w:hAnsi="Times New Roman" w:eastAsia="方正小标宋简体" w:cs="Times New Roman"/>
          <w:color w:val="auto"/>
          <w:kern w:val="2"/>
          <w:sz w:val="44"/>
          <w:szCs w:val="44"/>
          <w:highlight w:val="none"/>
          <w:lang w:val="en-US" w:eastAsia="zh-CN" w:bidi="ar-SA"/>
        </w:rPr>
      </w:pPr>
    </w:p>
    <w:p w14:paraId="0EADB869">
      <w:pPr>
        <w:rPr>
          <w:rFonts w:hint="eastAsia" w:ascii="Times New Roman" w:hAnsi="Times New Roman" w:eastAsia="方正小标宋简体" w:cs="Times New Roman"/>
          <w:color w:val="auto"/>
          <w:kern w:val="2"/>
          <w:sz w:val="44"/>
          <w:szCs w:val="44"/>
          <w:highlight w:val="none"/>
          <w:lang w:val="en-US" w:eastAsia="zh-CN" w:bidi="ar-SA"/>
        </w:rPr>
      </w:pPr>
    </w:p>
    <w:p w14:paraId="00B1F6B4">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471A8128">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2F754D05">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183F2944">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09F57A4C">
      <w:pPr>
        <w:pStyle w:val="5"/>
        <w:jc w:val="center"/>
        <w:rPr>
          <w:rFonts w:hint="eastAsia" w:ascii="方正小标宋简体" w:hAnsi="方正小标宋简体" w:eastAsia="方正小标宋简体" w:cs="方正小标宋简体"/>
          <w:color w:val="auto"/>
          <w:kern w:val="2"/>
          <w:sz w:val="44"/>
          <w:szCs w:val="44"/>
          <w:highlight w:val="none"/>
          <w:lang w:val="en-US" w:eastAsia="zh-CN" w:bidi="ar-SA"/>
        </w:rPr>
      </w:pPr>
      <w:bookmarkStart w:id="6" w:name="_Toc15396476"/>
      <w:bookmarkStart w:id="7" w:name="_Toc15396598"/>
      <w:bookmarkStart w:id="8" w:name="_Toc15377426"/>
      <w:bookmarkStart w:id="9" w:name="_Toc15377194"/>
      <w:bookmarkStart w:id="10" w:name="_Toc15378442"/>
      <w:r>
        <w:rPr>
          <w:rFonts w:hint="eastAsia" w:ascii="方正小标宋简体" w:hAnsi="方正小标宋简体" w:eastAsia="方正小标宋简体" w:cs="方正小标宋简体"/>
          <w:color w:val="auto"/>
          <w:kern w:val="2"/>
          <w:sz w:val="44"/>
          <w:szCs w:val="44"/>
          <w:highlight w:val="none"/>
          <w:lang w:val="en-US" w:eastAsia="zh-CN" w:bidi="ar-SA"/>
        </w:rPr>
        <w:t>2025年度四川省</w:t>
      </w:r>
      <w:bookmarkEnd w:id="5"/>
      <w:bookmarkStart w:id="11" w:name="_Toc15306268"/>
      <w:r>
        <w:rPr>
          <w:rFonts w:hint="eastAsia" w:ascii="方正小标宋简体" w:hAnsi="方正小标宋简体" w:eastAsia="方正小标宋简体" w:cs="方正小标宋简体"/>
          <w:color w:val="auto"/>
          <w:kern w:val="2"/>
          <w:sz w:val="44"/>
          <w:szCs w:val="44"/>
          <w:highlight w:val="none"/>
          <w:lang w:val="en-US" w:eastAsia="zh-CN" w:bidi="ar-SA"/>
        </w:rPr>
        <w:t>阿坝州松潘县供销社</w:t>
      </w:r>
    </w:p>
    <w:p w14:paraId="16888EC7">
      <w:pPr>
        <w:pStyle w:val="5"/>
        <w:jc w:val="cente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部门决算</w:t>
      </w:r>
      <w:bookmarkEnd w:id="6"/>
      <w:bookmarkEnd w:id="7"/>
      <w:bookmarkEnd w:id="8"/>
      <w:bookmarkEnd w:id="9"/>
      <w:bookmarkEnd w:id="10"/>
      <w:bookmarkEnd w:id="11"/>
    </w:p>
    <w:p w14:paraId="4BB8C7B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以下为部门公开范本。单位公开内容应参照部门公开内容和报表格式，并与部门公开内容做好衔接）</w:t>
      </w:r>
    </w:p>
    <w:p w14:paraId="51C1CD3D">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52D0CA77">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1A26DD6">
      <w:pPr>
        <w:widowControl/>
        <w:jc w:val="center"/>
        <w:rPr>
          <w:rFonts w:ascii="Times New Roman" w:hAnsi="Times New Roman" w:eastAsia="黑体" w:cstheme="minorBidi"/>
          <w:color w:val="auto"/>
          <w:sz w:val="28"/>
          <w:szCs w:val="28"/>
          <w:highlight w:val="none"/>
        </w:rPr>
      </w:pPr>
    </w:p>
    <w:p w14:paraId="7C6D4A78">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13</w:t>
      </w:r>
      <w:r>
        <w:rPr>
          <w:rFonts w:hint="eastAsia" w:ascii="Times New Roman" w:hAnsi="Times New Roman" w:eastAsia="仿宋_GB2312" w:cs="仿宋_GB2312"/>
          <w:color w:val="auto"/>
          <w:sz w:val="32"/>
          <w:szCs w:val="32"/>
          <w:highlight w:val="none"/>
        </w:rPr>
        <w:t>日</w:t>
      </w:r>
    </w:p>
    <w:p w14:paraId="2F7E0F8B">
      <w:pPr>
        <w:rPr>
          <w:rFonts w:ascii="Times New Roman" w:hAnsi="Times New Roman"/>
          <w:color w:val="auto"/>
          <w:highlight w:val="none"/>
        </w:rPr>
      </w:pPr>
    </w:p>
    <w:p w14:paraId="777684DB">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275616A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3129B2E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0078379F">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0DBDC22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4E7E814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851BA2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34DF1F1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309A5A4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0C2FA50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2B2039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2DB6B5A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116DB6F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3224413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7288768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96F392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4CE07FCC">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51118B4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1CA2A23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125634E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27CA5E3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23BE366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0936370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1CB1481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42B44B8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2892835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3C5C79A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5315FDF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6ED52B1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6A3CD25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6E37773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185A09D6">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04B236CA">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7F5AE9FE">
      <w:pPr>
        <w:widowControl/>
        <w:jc w:val="left"/>
        <w:rPr>
          <w:rFonts w:ascii="Times New Roman" w:hAnsi="Times New Roman" w:eastAsia="黑体"/>
          <w:color w:val="auto"/>
          <w:sz w:val="32"/>
          <w:szCs w:val="32"/>
          <w:highlight w:val="none"/>
        </w:rPr>
      </w:pPr>
    </w:p>
    <w:p w14:paraId="0E039128">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3AB17B2E">
      <w:pPr>
        <w:keepNext w:val="0"/>
        <w:keepLines w:val="0"/>
        <w:widowControl/>
        <w:suppressLineNumbers w:val="0"/>
        <w:ind w:left="0" w:firstLine="640" w:firstLineChars="20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1.宣传贯彻党中央、国务院、省委、省政府和州委、州政府和县委、县政府有关农业、农村经济工作和社会发展的方针、政策。</w:t>
      </w:r>
    </w:p>
    <w:p w14:paraId="2642B003">
      <w:pPr>
        <w:keepNext w:val="0"/>
        <w:keepLines w:val="0"/>
        <w:widowControl/>
        <w:suppressLineNumbers w:val="0"/>
        <w:ind w:left="0" w:firstLine="640" w:firstLineChars="20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2.研究制定县供销合作社发展规划。</w:t>
      </w:r>
    </w:p>
    <w:p w14:paraId="28026DAF">
      <w:pPr>
        <w:keepNext w:val="0"/>
        <w:keepLines w:val="0"/>
        <w:widowControl/>
        <w:suppressLineNumbers w:val="0"/>
        <w:ind w:left="0" w:firstLine="640" w:firstLineChars="20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3.受政府委托，负责对重要农业生产资料、重要农畜产品和政策性商品经营资格审定、质量监督和行业管理及有关救灾物资的组织、储备、调运工作。</w:t>
      </w:r>
    </w:p>
    <w:p w14:paraId="6A3F5F33">
      <w:pPr>
        <w:keepNext w:val="0"/>
        <w:keepLines w:val="0"/>
        <w:widowControl/>
        <w:suppressLineNumbers w:val="0"/>
        <w:ind w:left="0" w:firstLine="640" w:firstLineChars="20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4.协调同政府有关部门、社会组织的关系，研究供销合作经济运行中的重大问题；了解、反映供销合作社系统和农牧民群众的意见和要求，维护合作经济组织的合法权益。</w:t>
      </w:r>
    </w:p>
    <w:p w14:paraId="0FDE0F12">
      <w:pPr>
        <w:keepNext w:val="0"/>
        <w:keepLines w:val="0"/>
        <w:widowControl/>
        <w:suppressLineNumbers w:val="0"/>
        <w:ind w:left="0" w:firstLine="640" w:firstLineChars="20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5.组织县供销社系统参与和推进农业产业化经营。</w:t>
      </w:r>
    </w:p>
    <w:p w14:paraId="7CD5B566">
      <w:pPr>
        <w:keepNext w:val="0"/>
        <w:keepLines w:val="0"/>
        <w:widowControl/>
        <w:suppressLineNumbers w:val="0"/>
        <w:ind w:left="0" w:firstLine="640" w:firstLineChars="20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6.指导</w:t>
      </w:r>
      <w:r>
        <w:rPr>
          <w:rFonts w:hint="eastAsia" w:ascii="仿宋_GB2312" w:hAnsi="宋体" w:eastAsia="仿宋_GB2312" w:cs="仿宋_GB2312"/>
          <w:kern w:val="0"/>
          <w:sz w:val="32"/>
          <w:szCs w:val="32"/>
          <w:lang w:eastAsia="zh-CN"/>
        </w:rPr>
        <w:t>农业社会化服务体系</w:t>
      </w:r>
      <w:r>
        <w:rPr>
          <w:rFonts w:hint="eastAsia" w:ascii="仿宋_GB2312" w:hAnsi="宋体" w:eastAsia="仿宋_GB2312" w:cs="仿宋_GB2312"/>
          <w:kern w:val="0"/>
          <w:sz w:val="32"/>
          <w:szCs w:val="32"/>
        </w:rPr>
        <w:t>建设，推进建立现代流通体系和现代营销方式，发展社区性、综合性、便民性社区综合服务社，满足农牧民生产、生活等社会化服务的需要。</w:t>
      </w:r>
    </w:p>
    <w:p w14:paraId="6F9C3907">
      <w:pPr>
        <w:keepNext w:val="0"/>
        <w:keepLines w:val="0"/>
        <w:widowControl/>
        <w:suppressLineNumbers w:val="0"/>
        <w:ind w:left="0" w:firstLine="640" w:firstLineChars="20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7.监督和管理社有资产，确保社有资产的保值、增值，对直属企业行使出资人的职权，依法享有资产受益、重大决策和选择经营管理者等权利。</w:t>
      </w:r>
    </w:p>
    <w:p w14:paraId="16A63794">
      <w:pPr>
        <w:keepNext w:val="0"/>
        <w:keepLines w:val="0"/>
        <w:widowControl/>
        <w:suppressLineNumbers w:val="0"/>
        <w:ind w:left="0" w:firstLine="640" w:firstLineChars="20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8.积极参与供销合作社经济对外交流活动。</w:t>
      </w:r>
    </w:p>
    <w:p w14:paraId="077E8317">
      <w:pPr>
        <w:ind w:firstLine="640" w:firstLineChars="200"/>
        <w:rPr>
          <w:rFonts w:hint="eastAsia"/>
          <w:lang w:eastAsia="zh-CN"/>
        </w:rPr>
      </w:pPr>
      <w:r>
        <w:rPr>
          <w:rFonts w:hint="eastAsia" w:ascii="仿宋_GB2312" w:hAnsi="宋体" w:eastAsia="仿宋_GB2312" w:cs="仿宋_GB2312"/>
          <w:kern w:val="0"/>
          <w:sz w:val="32"/>
          <w:szCs w:val="32"/>
        </w:rPr>
        <w:t>9.承担县委、县政府交办的其他事项。</w:t>
      </w:r>
    </w:p>
    <w:p w14:paraId="6274C5F9">
      <w:pPr>
        <w:pStyle w:val="3"/>
        <w:ind w:firstLine="640" w:firstLineChars="200"/>
        <w:rPr>
          <w:rStyle w:val="29"/>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14:paraId="7D374FA1">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松潘县供销合作社联合社</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C0504D" w:themeColor="accent2"/>
          <w:sz w:val="32"/>
          <w:szCs w:val="32"/>
          <w:highlight w:val="none"/>
          <w14:textFill>
            <w14:solidFill>
              <w14:schemeClr w14:val="accent2"/>
            </w14:solidFill>
          </w14:textFill>
        </w:rPr>
        <w:t>单位</w:t>
      </w:r>
      <w:r>
        <w:rPr>
          <w:rFonts w:hint="eastAsia" w:eastAsia="仿宋_GB2312" w:cs="仿宋_GB2312"/>
          <w:color w:val="C0504D" w:themeColor="accent2"/>
          <w:sz w:val="32"/>
          <w:szCs w:val="32"/>
          <w:highlight w:val="none"/>
          <w:lang w:val="en-US" w:eastAsia="zh-CN"/>
          <w14:textFill>
            <w14:solidFill>
              <w14:schemeClr w14:val="accent2"/>
            </w14:solidFill>
          </w14:textFill>
        </w:rPr>
        <w:t>1</w:t>
      </w:r>
      <w:r>
        <w:rPr>
          <w:rFonts w:hint="eastAsia" w:ascii="Times New Roman" w:hAnsi="Times New Roman" w:eastAsia="仿宋_GB2312" w:cs="仿宋_GB2312"/>
          <w:color w:val="C0504D" w:themeColor="accent2"/>
          <w:sz w:val="32"/>
          <w:szCs w:val="32"/>
          <w:highlight w:val="none"/>
          <w14:textFill>
            <w14:solidFill>
              <w14:schemeClr w14:val="accent2"/>
            </w14:solidFill>
          </w14:textFill>
        </w:rPr>
        <w:t>个</w:t>
      </w:r>
      <w:r>
        <w:rPr>
          <w:rFonts w:hint="eastAsia" w:ascii="Times New Roman" w:hAnsi="Times New Roman" w:eastAsia="仿宋_GB2312" w:cs="仿宋_GB2312"/>
          <w:color w:val="auto"/>
          <w:sz w:val="32"/>
          <w:szCs w:val="32"/>
          <w:highlight w:val="none"/>
        </w:rPr>
        <w:t>，参照公务员法管理的事业单位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306B9B26">
      <w:pPr>
        <w:pStyle w:val="5"/>
        <w:adjustRightInd w:val="0"/>
        <w:snapToGrid w:val="0"/>
        <w:spacing w:before="93" w:line="600" w:lineRule="exact"/>
        <w:ind w:firstLine="672" w:firstLineChars="210"/>
        <w:rPr>
          <w:rFonts w:ascii="Times New Roman" w:hAnsi="Times New Roman" w:eastAsia="仿宋"/>
          <w:color w:val="auto"/>
          <w:kern w:val="0"/>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松潘县供销合作社联合社</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r>
        <w:rPr>
          <w:rFonts w:hint="eastAsia" w:ascii="仿宋_GB2312" w:hAnsi="宋体" w:eastAsia="仿宋_GB2312" w:cs="仿宋_GB2312"/>
          <w:kern w:val="0"/>
          <w:sz w:val="32"/>
          <w:szCs w:val="32"/>
        </w:rPr>
        <w:t>松潘县供销合作社联合社</w:t>
      </w:r>
      <w:r>
        <w:rPr>
          <w:rFonts w:hint="eastAsia" w:ascii="仿宋_GB2312" w:hAnsi="宋体" w:eastAsia="仿宋_GB2312" w:cs="仿宋_GB2312"/>
          <w:kern w:val="0"/>
          <w:sz w:val="32"/>
          <w:szCs w:val="32"/>
          <w:lang w:eastAsia="zh-CN"/>
        </w:rPr>
        <w:t>。</w:t>
      </w:r>
    </w:p>
    <w:p w14:paraId="51904B9B">
      <w:pPr>
        <w:pStyle w:val="2"/>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23654B79">
      <w:pPr>
        <w:rPr>
          <w:rFonts w:ascii="Times New Roman" w:hAnsi="Times New Roman"/>
          <w:color w:val="auto"/>
          <w:highlight w:val="none"/>
        </w:rPr>
      </w:pPr>
    </w:p>
    <w:p w14:paraId="0205604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3D2DAE1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176.28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37.70</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38</w:t>
      </w:r>
      <w:r>
        <w:rPr>
          <w:rFonts w:hint="eastAsia" w:ascii="Times New Roman" w:hAnsi="Times New Roman" w:eastAsia="仿宋_GB2312" w:cs="仿宋_GB2312"/>
          <w:color w:val="auto"/>
          <w:sz w:val="32"/>
          <w:szCs w:val="32"/>
          <w:highlight w:val="none"/>
        </w:rPr>
        <w:t>*%。主要</w:t>
      </w:r>
      <w:r>
        <w:rPr>
          <w:rFonts w:hint="eastAsia" w:ascii="Times New Roman" w:hAnsi="Times New Roman" w:eastAsia="仿宋_GB2312" w:cs="仿宋_GB2312"/>
          <w:color w:val="C0504D" w:themeColor="accent2"/>
          <w:sz w:val="32"/>
          <w:szCs w:val="32"/>
          <w:highlight w:val="none"/>
          <w14:textFill>
            <w14:solidFill>
              <w14:schemeClr w14:val="accent2"/>
            </w14:solidFill>
          </w14:textFill>
        </w:rPr>
        <w:t>变动原因</w:t>
      </w:r>
      <w:r>
        <w:rPr>
          <w:rFonts w:hint="eastAsia" w:eastAsia="仿宋_GB2312" w:cs="仿宋_GB2312"/>
          <w:color w:val="C0504D" w:themeColor="accent2"/>
          <w:sz w:val="32"/>
          <w:szCs w:val="32"/>
          <w:highlight w:val="none"/>
          <w:lang w:eastAsia="zh-CN"/>
          <w14:textFill>
            <w14:solidFill>
              <w14:schemeClr w14:val="accent2"/>
            </w14:solidFill>
          </w14:textFill>
        </w:rPr>
        <w:t>是人员增加。</w:t>
      </w:r>
    </w:p>
    <w:p w14:paraId="01537BB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4D939B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13F30BC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0D64673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176.28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176.28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206353E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40B610B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1F83B87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176.28</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166.28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94.32</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5.67</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2DC4FC8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450783DA">
      <w:pPr>
        <w:spacing w:line="600" w:lineRule="exact"/>
        <w:ind w:firstLine="640" w:firstLineChars="200"/>
        <w:outlineLvl w:val="1"/>
        <w:rPr>
          <w:rStyle w:val="29"/>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6AADF5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176.28</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37.7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32</w:t>
      </w:r>
      <w:r>
        <w:rPr>
          <w:rFonts w:hint="eastAsia" w:ascii="Times New Roman" w:hAnsi="Times New Roman" w:eastAsia="仿宋_GB2312" w:cs="仿宋_GB2312"/>
          <w:color w:val="auto"/>
          <w:kern w:val="2"/>
          <w:sz w:val="32"/>
          <w:szCs w:val="32"/>
          <w:highlight w:val="none"/>
          <w:lang w:val="en-US" w:eastAsia="zh-CN" w:bidi="ar-SA"/>
        </w:rPr>
        <w:t>%。主</w:t>
      </w:r>
      <w:bookmarkStart w:id="67" w:name="_GoBack"/>
      <w:r>
        <w:rPr>
          <w:rFonts w:hint="eastAsia" w:ascii="Times New Roman" w:hAnsi="Times New Roman" w:eastAsia="仿宋_GB2312" w:cs="仿宋_GB2312"/>
          <w:color w:val="auto"/>
          <w:kern w:val="2"/>
          <w:sz w:val="32"/>
          <w:szCs w:val="32"/>
          <w:highlight w:val="none"/>
          <w:lang w:val="en-US" w:eastAsia="zh-CN" w:bidi="ar-SA"/>
        </w:rPr>
        <w:t>要变动原因</w:t>
      </w:r>
      <w:r>
        <w:rPr>
          <w:rFonts w:hint="eastAsia" w:eastAsia="仿宋_GB2312" w:cs="仿宋_GB2312"/>
          <w:color w:val="auto"/>
          <w:kern w:val="2"/>
          <w:sz w:val="32"/>
          <w:szCs w:val="32"/>
          <w:highlight w:val="none"/>
          <w:lang w:val="en-US" w:eastAsia="zh-CN" w:bidi="ar-SA"/>
        </w:rPr>
        <w:t>是人员增加。</w:t>
      </w:r>
    </w:p>
    <w:bookmarkEnd w:id="67"/>
    <w:p w14:paraId="16D071A1">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028342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74B0FB7">
      <w:pPr>
        <w:spacing w:line="600" w:lineRule="exact"/>
        <w:ind w:firstLine="640" w:firstLineChars="200"/>
        <w:outlineLvl w:val="1"/>
        <w:rPr>
          <w:rStyle w:val="29"/>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556807A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7A3D81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176.28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37.7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人员增加。</w:t>
      </w:r>
    </w:p>
    <w:p w14:paraId="24F10D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1BD44C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40615B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150FD34E">
      <w:pPr>
        <w:spacing w:line="600" w:lineRule="exact"/>
        <w:ind w:firstLine="640"/>
        <w:rPr>
          <w:rFonts w:hint="eastAsia" w:eastAsia="仿宋_GB2312" w:cs="仿宋_GB2312"/>
          <w:color w:val="C0504D" w:themeColor="accent2"/>
          <w:kern w:val="2"/>
          <w:sz w:val="32"/>
          <w:szCs w:val="32"/>
          <w:highlight w:val="none"/>
          <w:lang w:val="en-US" w:eastAsia="zh-CN" w:bidi="ar-SA"/>
          <w14:textFill>
            <w14:solidFill>
              <w14:schemeClr w14:val="accent2"/>
            </w14:solidFill>
          </w14:textFill>
        </w:rPr>
      </w:pPr>
      <w:r>
        <w:rPr>
          <w:rFonts w:hint="eastAsia" w:eastAsia="仿宋_GB2312" w:cs="仿宋_GB2312"/>
          <w:color w:val="C0504D" w:themeColor="accent2"/>
          <w:kern w:val="2"/>
          <w:sz w:val="32"/>
          <w:szCs w:val="32"/>
          <w:highlight w:val="none"/>
          <w:lang w:val="en-US" w:eastAsia="zh-CN" w:bidi="ar-SA"/>
          <w14:textFill>
            <w14:solidFill>
              <w14:schemeClr w14:val="accent2"/>
            </w14:solidFill>
          </w14:textFill>
        </w:rPr>
        <w:t>2025年度</w:t>
      </w:r>
      <w:r>
        <w:rPr>
          <w:rFonts w:hint="eastAsia" w:ascii="Times New Roman" w:hAnsi="Times New Roman" w:eastAsia="仿宋_GB2312" w:cs="仿宋_GB2312"/>
          <w:color w:val="C0504D" w:themeColor="accent2"/>
          <w:kern w:val="2"/>
          <w:sz w:val="32"/>
          <w:szCs w:val="32"/>
          <w:highlight w:val="none"/>
          <w:lang w:val="en-US" w:eastAsia="zh-CN" w:bidi="ar-SA"/>
          <w14:textFill>
            <w14:solidFill>
              <w14:schemeClr w14:val="accent2"/>
            </w14:solidFill>
          </w14:textFill>
        </w:rPr>
        <w:t>一般公共预算财政拨款支出</w:t>
      </w:r>
      <w:r>
        <w:rPr>
          <w:rFonts w:hint="eastAsia" w:ascii="仿宋_GB2312" w:hAnsi="仿宋_GB2312" w:eastAsia="仿宋_GB2312" w:cs="仿宋_GB2312"/>
          <w:color w:val="C0504D" w:themeColor="accent2"/>
          <w:sz w:val="32"/>
          <w:szCs w:val="32"/>
          <w14:textFill>
            <w14:solidFill>
              <w14:schemeClr w14:val="accent2"/>
            </w14:solidFill>
          </w14:textFill>
        </w:rPr>
        <w:t>176.28</w:t>
      </w:r>
      <w:r>
        <w:rPr>
          <w:rFonts w:hint="eastAsia" w:ascii="Times New Roman" w:hAnsi="Times New Roman" w:eastAsia="仿宋_GB2312" w:cs="仿宋_GB2312"/>
          <w:color w:val="C0504D" w:themeColor="accent2"/>
          <w:kern w:val="2"/>
          <w:sz w:val="32"/>
          <w:szCs w:val="32"/>
          <w:highlight w:val="none"/>
          <w:lang w:val="en-US" w:eastAsia="zh-CN" w:bidi="ar-SA"/>
          <w14:textFill>
            <w14:solidFill>
              <w14:schemeClr w14:val="accent2"/>
            </w14:solidFill>
          </w14:textFill>
        </w:rPr>
        <w:t>万元，主要用于以下方面</w:t>
      </w:r>
      <w:r>
        <w:rPr>
          <w:rFonts w:hint="eastAsia" w:eastAsia="仿宋_GB2312" w:cs="仿宋_GB2312"/>
          <w:color w:val="C0504D" w:themeColor="accent2"/>
          <w:kern w:val="2"/>
          <w:sz w:val="32"/>
          <w:szCs w:val="32"/>
          <w:highlight w:val="none"/>
          <w:lang w:val="en-US" w:eastAsia="zh-CN" w:bidi="ar-SA"/>
          <w14:textFill>
            <w14:solidFill>
              <w14:schemeClr w14:val="accent2"/>
            </w14:solidFill>
          </w14:textFill>
        </w:rPr>
        <w:t>：农林水</w:t>
      </w:r>
      <w:r>
        <w:rPr>
          <w:rFonts w:hint="eastAsia" w:ascii="Times New Roman" w:hAnsi="Times New Roman" w:eastAsia="仿宋_GB2312" w:cs="仿宋_GB2312"/>
          <w:color w:val="C0504D" w:themeColor="accent2"/>
          <w:kern w:val="2"/>
          <w:sz w:val="32"/>
          <w:szCs w:val="32"/>
          <w:highlight w:val="none"/>
          <w:lang w:val="en-US" w:eastAsia="zh-CN" w:bidi="ar-SA"/>
          <w14:textFill>
            <w14:solidFill>
              <w14:schemeClr w14:val="accent2"/>
            </w14:solidFill>
          </w14:textFill>
        </w:rPr>
        <w:t>支出</w:t>
      </w:r>
      <w:r>
        <w:rPr>
          <w:rFonts w:hint="eastAsia" w:eastAsia="仿宋_GB2312" w:cs="仿宋_GB2312"/>
          <w:color w:val="C0504D" w:themeColor="accent2"/>
          <w:kern w:val="2"/>
          <w:sz w:val="32"/>
          <w:szCs w:val="32"/>
          <w:highlight w:val="none"/>
          <w:lang w:val="en-US" w:eastAsia="zh-CN" w:bidi="ar-SA"/>
          <w14:textFill>
            <w14:solidFill>
              <w14:schemeClr w14:val="accent2"/>
            </w14:solidFill>
          </w14:textFill>
        </w:rPr>
        <w:t>10</w:t>
      </w:r>
      <w:r>
        <w:rPr>
          <w:rFonts w:hint="eastAsia" w:ascii="Times New Roman" w:hAnsi="Times New Roman" w:eastAsia="仿宋_GB2312" w:cs="仿宋_GB2312"/>
          <w:color w:val="C0504D" w:themeColor="accent2"/>
          <w:kern w:val="2"/>
          <w:sz w:val="32"/>
          <w:szCs w:val="32"/>
          <w:highlight w:val="none"/>
          <w:lang w:val="en-US" w:eastAsia="zh-CN" w:bidi="ar-SA"/>
          <w14:textFill>
            <w14:solidFill>
              <w14:schemeClr w14:val="accent2"/>
            </w14:solidFill>
          </w14:textFill>
        </w:rPr>
        <w:t>万元，占</w:t>
      </w:r>
      <w:r>
        <w:rPr>
          <w:rFonts w:hint="eastAsia" w:eastAsia="仿宋_GB2312" w:cs="仿宋_GB2312"/>
          <w:color w:val="C0504D" w:themeColor="accent2"/>
          <w:kern w:val="2"/>
          <w:sz w:val="32"/>
          <w:szCs w:val="32"/>
          <w:highlight w:val="none"/>
          <w:lang w:val="en-US" w:eastAsia="zh-CN" w:bidi="ar-SA"/>
          <w14:textFill>
            <w14:solidFill>
              <w14:schemeClr w14:val="accent2"/>
            </w14:solidFill>
          </w14:textFill>
        </w:rPr>
        <w:t>6</w:t>
      </w:r>
      <w:r>
        <w:rPr>
          <w:rFonts w:hint="eastAsia" w:ascii="Times New Roman" w:hAnsi="Times New Roman" w:eastAsia="仿宋_GB2312" w:cs="仿宋_GB2312"/>
          <w:color w:val="C0504D" w:themeColor="accent2"/>
          <w:kern w:val="2"/>
          <w:sz w:val="32"/>
          <w:szCs w:val="32"/>
          <w:highlight w:val="none"/>
          <w:lang w:val="en-US" w:eastAsia="zh-CN" w:bidi="ar-SA"/>
          <w14:textFill>
            <w14:solidFill>
              <w14:schemeClr w14:val="accent2"/>
            </w14:solidFill>
          </w14:textFill>
        </w:rPr>
        <w:t>%；社会保障和就业支出</w:t>
      </w:r>
      <w:r>
        <w:rPr>
          <w:rFonts w:hint="eastAsia" w:eastAsia="仿宋_GB2312" w:cs="仿宋_GB2312"/>
          <w:color w:val="C0504D" w:themeColor="accent2"/>
          <w:kern w:val="2"/>
          <w:sz w:val="32"/>
          <w:szCs w:val="32"/>
          <w:highlight w:val="none"/>
          <w:lang w:val="en-US" w:eastAsia="zh-CN" w:bidi="ar-SA"/>
          <w14:textFill>
            <w14:solidFill>
              <w14:schemeClr w14:val="accent2"/>
            </w14:solidFill>
          </w14:textFill>
        </w:rPr>
        <w:t>22.13</w:t>
      </w:r>
      <w:r>
        <w:rPr>
          <w:rFonts w:hint="eastAsia" w:ascii="Times New Roman" w:hAnsi="Times New Roman" w:eastAsia="仿宋_GB2312" w:cs="仿宋_GB2312"/>
          <w:color w:val="C0504D" w:themeColor="accent2"/>
          <w:kern w:val="2"/>
          <w:sz w:val="32"/>
          <w:szCs w:val="32"/>
          <w:highlight w:val="none"/>
          <w:lang w:val="en-US" w:eastAsia="zh-CN" w:bidi="ar-SA"/>
          <w14:textFill>
            <w14:solidFill>
              <w14:schemeClr w14:val="accent2"/>
            </w14:solidFill>
          </w14:textFill>
        </w:rPr>
        <w:t>万元，占</w:t>
      </w:r>
      <w:r>
        <w:rPr>
          <w:rFonts w:hint="eastAsia" w:eastAsia="仿宋_GB2312" w:cs="仿宋_GB2312"/>
          <w:color w:val="C0504D" w:themeColor="accent2"/>
          <w:kern w:val="2"/>
          <w:sz w:val="32"/>
          <w:szCs w:val="32"/>
          <w:highlight w:val="none"/>
          <w:lang w:val="en-US" w:eastAsia="zh-CN" w:bidi="ar-SA"/>
          <w14:textFill>
            <w14:solidFill>
              <w14:schemeClr w14:val="accent2"/>
            </w14:solidFill>
          </w14:textFill>
        </w:rPr>
        <w:t>13</w:t>
      </w:r>
      <w:r>
        <w:rPr>
          <w:rFonts w:hint="eastAsia" w:ascii="Times New Roman" w:hAnsi="Times New Roman" w:eastAsia="仿宋_GB2312" w:cs="仿宋_GB2312"/>
          <w:color w:val="C0504D" w:themeColor="accent2"/>
          <w:kern w:val="2"/>
          <w:sz w:val="32"/>
          <w:szCs w:val="32"/>
          <w:highlight w:val="none"/>
          <w:lang w:val="en-US" w:eastAsia="zh-CN" w:bidi="ar-SA"/>
          <w14:textFill>
            <w14:solidFill>
              <w14:schemeClr w14:val="accent2"/>
            </w14:solidFill>
          </w14:textFill>
        </w:rPr>
        <w:t>%；卫生健康支出</w:t>
      </w:r>
      <w:r>
        <w:rPr>
          <w:rFonts w:hint="eastAsia" w:eastAsia="仿宋_GB2312" w:cs="仿宋_GB2312"/>
          <w:color w:val="C0504D" w:themeColor="accent2"/>
          <w:kern w:val="2"/>
          <w:sz w:val="32"/>
          <w:szCs w:val="32"/>
          <w:highlight w:val="none"/>
          <w:lang w:val="en-US" w:eastAsia="zh-CN" w:bidi="ar-SA"/>
          <w14:textFill>
            <w14:solidFill>
              <w14:schemeClr w14:val="accent2"/>
            </w14:solidFill>
          </w14:textFill>
        </w:rPr>
        <w:t>8</w:t>
      </w:r>
      <w:r>
        <w:rPr>
          <w:rFonts w:hint="eastAsia" w:ascii="Times New Roman" w:hAnsi="Times New Roman" w:eastAsia="仿宋_GB2312" w:cs="仿宋_GB2312"/>
          <w:color w:val="C0504D" w:themeColor="accent2"/>
          <w:kern w:val="2"/>
          <w:sz w:val="32"/>
          <w:szCs w:val="32"/>
          <w:highlight w:val="none"/>
          <w:lang w:val="en-US" w:eastAsia="zh-CN" w:bidi="ar-SA"/>
          <w14:textFill>
            <w14:solidFill>
              <w14:schemeClr w14:val="accent2"/>
            </w14:solidFill>
          </w14:textFill>
        </w:rPr>
        <w:t>万元，占</w:t>
      </w:r>
      <w:r>
        <w:rPr>
          <w:rFonts w:hint="eastAsia" w:eastAsia="仿宋_GB2312" w:cs="仿宋_GB2312"/>
          <w:color w:val="C0504D" w:themeColor="accent2"/>
          <w:kern w:val="2"/>
          <w:sz w:val="32"/>
          <w:szCs w:val="32"/>
          <w:highlight w:val="none"/>
          <w:lang w:val="en-US" w:eastAsia="zh-CN" w:bidi="ar-SA"/>
          <w14:textFill>
            <w14:solidFill>
              <w14:schemeClr w14:val="accent2"/>
            </w14:solidFill>
          </w14:textFill>
        </w:rPr>
        <w:t>5</w:t>
      </w:r>
      <w:r>
        <w:rPr>
          <w:rFonts w:hint="eastAsia" w:ascii="Times New Roman" w:hAnsi="Times New Roman" w:eastAsia="仿宋_GB2312" w:cs="仿宋_GB2312"/>
          <w:color w:val="C0504D" w:themeColor="accent2"/>
          <w:kern w:val="2"/>
          <w:sz w:val="32"/>
          <w:szCs w:val="32"/>
          <w:highlight w:val="none"/>
          <w:lang w:val="en-US" w:eastAsia="zh-CN" w:bidi="ar-SA"/>
          <w14:textFill>
            <w14:solidFill>
              <w14:schemeClr w14:val="accent2"/>
            </w14:solidFill>
          </w14:textFill>
        </w:rPr>
        <w:t>%；住房保障支出</w:t>
      </w:r>
      <w:r>
        <w:rPr>
          <w:rFonts w:hint="eastAsia" w:eastAsia="仿宋_GB2312" w:cs="仿宋_GB2312"/>
          <w:color w:val="C0504D" w:themeColor="accent2"/>
          <w:kern w:val="2"/>
          <w:sz w:val="32"/>
          <w:szCs w:val="32"/>
          <w:highlight w:val="none"/>
          <w:lang w:val="en-US" w:eastAsia="zh-CN" w:bidi="ar-SA"/>
          <w14:textFill>
            <w14:solidFill>
              <w14:schemeClr w14:val="accent2"/>
            </w14:solidFill>
          </w14:textFill>
        </w:rPr>
        <w:t>12.44</w:t>
      </w:r>
      <w:r>
        <w:rPr>
          <w:rFonts w:hint="eastAsia" w:ascii="Times New Roman" w:hAnsi="Times New Roman" w:eastAsia="仿宋_GB2312" w:cs="仿宋_GB2312"/>
          <w:color w:val="C0504D" w:themeColor="accent2"/>
          <w:kern w:val="2"/>
          <w:sz w:val="32"/>
          <w:szCs w:val="32"/>
          <w:highlight w:val="none"/>
          <w:lang w:val="en-US" w:eastAsia="zh-CN" w:bidi="ar-SA"/>
          <w14:textFill>
            <w14:solidFill>
              <w14:schemeClr w14:val="accent2"/>
            </w14:solidFill>
          </w14:textFill>
        </w:rPr>
        <w:t>万元，占</w:t>
      </w:r>
      <w:r>
        <w:rPr>
          <w:rFonts w:hint="eastAsia" w:eastAsia="仿宋_GB2312" w:cs="仿宋_GB2312"/>
          <w:color w:val="C0504D" w:themeColor="accent2"/>
          <w:kern w:val="2"/>
          <w:sz w:val="32"/>
          <w:szCs w:val="32"/>
          <w:highlight w:val="none"/>
          <w:lang w:val="en-US" w:eastAsia="zh-CN" w:bidi="ar-SA"/>
          <w14:textFill>
            <w14:solidFill>
              <w14:schemeClr w14:val="accent2"/>
            </w14:solidFill>
          </w14:textFill>
        </w:rPr>
        <w:t>7</w:t>
      </w:r>
      <w:r>
        <w:rPr>
          <w:rFonts w:hint="eastAsia" w:ascii="Times New Roman" w:hAnsi="Times New Roman" w:eastAsia="仿宋_GB2312" w:cs="仿宋_GB2312"/>
          <w:color w:val="C0504D" w:themeColor="accent2"/>
          <w:kern w:val="2"/>
          <w:sz w:val="32"/>
          <w:szCs w:val="32"/>
          <w:highlight w:val="none"/>
          <w:lang w:val="en-US" w:eastAsia="zh-CN" w:bidi="ar-SA"/>
          <w14:textFill>
            <w14:solidFill>
              <w14:schemeClr w14:val="accent2"/>
            </w14:solidFill>
          </w14:textFill>
        </w:rPr>
        <w:t>%；</w:t>
      </w:r>
      <w:r>
        <w:rPr>
          <w:rFonts w:hint="eastAsia" w:eastAsia="仿宋_GB2312" w:cs="仿宋_GB2312"/>
          <w:color w:val="C0504D" w:themeColor="accent2"/>
          <w:kern w:val="2"/>
          <w:sz w:val="32"/>
          <w:szCs w:val="32"/>
          <w:highlight w:val="none"/>
          <w:lang w:val="en-US" w:eastAsia="zh-CN" w:bidi="ar-SA"/>
          <w14:textFill>
            <w14:solidFill>
              <w14:schemeClr w14:val="accent2"/>
            </w14:solidFill>
          </w14:textFill>
        </w:rPr>
        <w:t>商业服务业等支出123.71，占70%。</w:t>
      </w:r>
    </w:p>
    <w:p w14:paraId="79F324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788CAB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53EE34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05073D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8460"/>
      <w:bookmarkStart w:id="32" w:name="_Toc15377213"/>
      <w:bookmarkStart w:id="3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176.28</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5DE8A160">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1.社会保障和就业支出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22.13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F456F86">
      <w:pPr>
        <w:numPr>
          <w:ilvl w:val="0"/>
          <w:numId w:val="0"/>
        </w:num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2.卫生健康支出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4E7FD0C">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213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2D9BF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en-US" w:eastAsia="zh-CN" w:bidi="ar-SA"/>
        </w:rPr>
        <w:t>商业服务业等支出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216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123.71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C5E21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en-US" w:eastAsia="zh-CN" w:bidi="ar-SA"/>
        </w:rPr>
        <w:t>住房保障支出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12.44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A77A315">
      <w:pPr>
        <w:tabs>
          <w:tab w:val="right" w:pos="8306"/>
        </w:tabs>
        <w:spacing w:line="600" w:lineRule="exact"/>
        <w:ind w:firstLine="640" w:firstLineChars="200"/>
        <w:outlineLvl w:val="1"/>
        <w:rPr>
          <w:rStyle w:val="29"/>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14:paraId="482665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166.28</w:t>
      </w:r>
      <w:r>
        <w:rPr>
          <w:rFonts w:hint="eastAsia" w:ascii="Times New Roman" w:hAnsi="Times New Roman" w:eastAsia="仿宋_GB2312" w:cs="仿宋_GB2312"/>
          <w:color w:val="auto"/>
          <w:kern w:val="2"/>
          <w:sz w:val="32"/>
          <w:szCs w:val="32"/>
          <w:highlight w:val="none"/>
          <w:lang w:val="en-US" w:eastAsia="zh-CN" w:bidi="ar-SA"/>
        </w:rPr>
        <w:t>万元，其中：</w:t>
      </w:r>
    </w:p>
    <w:p w14:paraId="7179AC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160.27</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6</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8AF435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509D9958">
      <w:pPr>
        <w:spacing w:line="600" w:lineRule="exact"/>
        <w:ind w:firstLine="640" w:firstLineChars="200"/>
        <w:outlineLvl w:val="1"/>
        <w:rPr>
          <w:rStyle w:val="29"/>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14:paraId="64B8558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38A0E7A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较上年度与2023年持平。</w:t>
      </w:r>
    </w:p>
    <w:p w14:paraId="08E133F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6BFCCC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6BBC72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649ECEC0">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与2023年度持平。</w:t>
      </w:r>
    </w:p>
    <w:p w14:paraId="55D8079F">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预2023年度持平。</w:t>
      </w:r>
    </w:p>
    <w:p w14:paraId="204239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2B170FD1">
      <w:pPr>
        <w:numPr>
          <w:ilvl w:val="0"/>
          <w:numId w:val="0"/>
        </w:numPr>
        <w:spacing w:line="600" w:lineRule="exact"/>
        <w:ind w:firstLine="643" w:firstLineChars="200"/>
        <w:rPr>
          <w:rFonts w:hint="eastAsia"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与2023年度持平。</w:t>
      </w:r>
    </w:p>
    <w:p w14:paraId="58D81F5C">
      <w:pPr>
        <w:spacing w:line="600" w:lineRule="exact"/>
        <w:ind w:firstLine="640" w:firstLineChars="200"/>
        <w:outlineLvl w:val="1"/>
        <w:rPr>
          <w:rStyle w:val="29"/>
          <w:rFonts w:ascii="Times New Roman" w:hAnsi="Times New Roman" w:eastAsia="黑体"/>
          <w:color w:val="auto"/>
          <w:highlight w:val="none"/>
        </w:rPr>
      </w:pPr>
      <w:bookmarkStart w:id="40" w:name="_Toc15377218"/>
      <w:bookmarkStart w:id="41" w:name="_Toc15396610"/>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14:paraId="5516987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%。政府性基金预算财政拨款支出与</w:t>
      </w:r>
      <w:r>
        <w:rPr>
          <w:rFonts w:hint="eastAsia" w:eastAsia="仿宋_GB2312" w:cs="仿宋_GB2312"/>
          <w:color w:val="auto"/>
          <w:kern w:val="2"/>
          <w:sz w:val="32"/>
          <w:szCs w:val="32"/>
          <w:highlight w:val="none"/>
          <w:lang w:val="en-US" w:eastAsia="zh-CN" w:bidi="ar-SA"/>
        </w:rPr>
        <w:t>2023年持平</w:t>
      </w:r>
    </w:p>
    <w:p w14:paraId="087F95D5">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2" w:name="_Toc15396611"/>
      <w:bookmarkStart w:id="43"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14:paraId="705671E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与2023年持平。</w:t>
      </w:r>
    </w:p>
    <w:p w14:paraId="3D86269F">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4" w:name="_Toc15377221"/>
      <w:bookmarkStart w:id="45"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14:paraId="1DF20A1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5601C8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松潘县供销合作社联合社</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6</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2.03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51</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松潘县供销合作社联合社办公费增加</w:t>
      </w:r>
      <w:r>
        <w:rPr>
          <w:rFonts w:hint="eastAsia" w:eastAsia="仿宋_GB2312" w:cs="仿宋_GB2312"/>
          <w:b/>
          <w:bCs/>
          <w:color w:val="auto"/>
          <w:kern w:val="2"/>
          <w:sz w:val="32"/>
          <w:szCs w:val="32"/>
          <w:highlight w:val="none"/>
          <w:lang w:val="en-US" w:eastAsia="zh-CN" w:bidi="ar-SA"/>
        </w:rPr>
        <w:t>。</w:t>
      </w:r>
    </w:p>
    <w:p w14:paraId="4F0BCDC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4108FD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松潘县供销合作社联合社</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036E316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0D81D2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松潘县供销合作社联合社</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3D3E92F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5EAE9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供销社</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2024年农资储备和价格补贴项目等1</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480660A8">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w:t>
      </w:r>
      <w:r>
        <w:rPr>
          <w:rFonts w:hint="eastAsia" w:ascii="仿宋_GB2312" w:hAnsi="仿宋_GB2312" w:eastAsia="仿宋_GB2312" w:cs="仿宋_GB2312"/>
          <w:sz w:val="32"/>
          <w:szCs w:val="32"/>
        </w:rPr>
        <w:t>形成松潘县供销合作社联合社202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年整体支出绩效评价报告、</w:t>
      </w:r>
      <w:r>
        <w:rPr>
          <w:rFonts w:hint="eastAsia" w:ascii="仿宋_GB2312" w:eastAsia="仿宋_GB2312"/>
          <w:sz w:val="32"/>
          <w:szCs w:val="32"/>
        </w:rPr>
        <w:t>20</w:t>
      </w:r>
      <w:r>
        <w:rPr>
          <w:rFonts w:hint="eastAsia" w:ascii="仿宋_GB2312" w:eastAsia="仿宋_GB2312"/>
          <w:sz w:val="32"/>
          <w:szCs w:val="32"/>
          <w:lang w:val="en-US" w:eastAsia="zh-CN"/>
        </w:rPr>
        <w:t>24</w:t>
      </w:r>
      <w:r>
        <w:rPr>
          <w:rFonts w:hint="eastAsia" w:ascii="仿宋_GB2312" w:eastAsia="仿宋_GB2312"/>
          <w:sz w:val="32"/>
          <w:szCs w:val="32"/>
        </w:rPr>
        <w:t>年农资储备和价格补贴项目</w:t>
      </w:r>
      <w:r>
        <w:rPr>
          <w:rFonts w:hint="eastAsia" w:ascii="仿宋_GB2312" w:hAnsi="仿宋_GB2312" w:eastAsia="仿宋_GB2312" w:cs="仿宋_GB2312"/>
          <w:sz w:val="32"/>
          <w:szCs w:val="32"/>
        </w:rPr>
        <w:t>等专项预算项目绩效自评报告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年整体支出绩效自评得分为</w:t>
      </w:r>
      <w:r>
        <w:rPr>
          <w:rFonts w:hint="eastAsia" w:ascii="仿宋_GB2312" w:hAnsi="仿宋_GB2312" w:cs="仿宋_GB2312"/>
          <w:sz w:val="32"/>
          <w:szCs w:val="32"/>
          <w:lang w:val="en-US" w:eastAsia="zh-CN"/>
        </w:rPr>
        <w:t>92.44</w:t>
      </w:r>
      <w:r>
        <w:rPr>
          <w:rFonts w:hint="eastAsia" w:ascii="仿宋_GB2312" w:hAnsi="仿宋_GB2312" w:eastAsia="仿宋_GB2312" w:cs="仿宋_GB2312"/>
          <w:sz w:val="32"/>
          <w:szCs w:val="32"/>
        </w:rPr>
        <w:t>分，</w:t>
      </w:r>
      <w:r>
        <w:rPr>
          <w:rFonts w:hint="eastAsia" w:ascii="仿宋_GB2312" w:hAnsi="宋体" w:eastAsia="仿宋_GB2312" w:cs="仿宋_GB2312"/>
          <w:kern w:val="0"/>
          <w:sz w:val="32"/>
          <w:szCs w:val="32"/>
          <w:shd w:val="clear" w:color="auto" w:fill="FFFFFF"/>
        </w:rPr>
        <w:t>从评价情况来看</w:t>
      </w:r>
      <w:r>
        <w:rPr>
          <w:rFonts w:hint="eastAsia" w:ascii="仿宋_GB2312" w:hAnsi="宋体" w:eastAsia="仿宋_GB2312" w:cs="仿宋_GB2312"/>
          <w:kern w:val="0"/>
          <w:sz w:val="32"/>
          <w:szCs w:val="32"/>
          <w:shd w:val="clear" w:color="auto" w:fill="FFFFFF"/>
          <w:lang w:eastAsia="zh-CN"/>
        </w:rPr>
        <w:t>，</w:t>
      </w:r>
      <w:r>
        <w:rPr>
          <w:rFonts w:hint="eastAsia" w:ascii="仿宋_GB2312" w:hAnsi="宋体" w:eastAsia="仿宋_GB2312" w:cs="仿宋_GB2312"/>
          <w:kern w:val="0"/>
          <w:sz w:val="32"/>
          <w:szCs w:val="32"/>
          <w:shd w:val="clear" w:color="auto" w:fill="FFFFFF"/>
        </w:rPr>
        <w:t>严格按要求进行预算管理要求</w:t>
      </w:r>
      <w:r>
        <w:rPr>
          <w:rFonts w:hint="eastAsia" w:ascii="仿宋_GB2312" w:hAnsi="宋体" w:eastAsia="仿宋_GB2312" w:cs="仿宋_GB2312"/>
          <w:kern w:val="0"/>
          <w:sz w:val="32"/>
          <w:szCs w:val="32"/>
          <w:shd w:val="clear" w:color="auto" w:fill="FFFFFF"/>
          <w:lang w:eastAsia="zh-CN"/>
        </w:rPr>
        <w:t>，</w:t>
      </w:r>
      <w:r>
        <w:rPr>
          <w:rFonts w:hint="eastAsia" w:ascii="仿宋_GB2312" w:hAnsi="宋体" w:eastAsia="仿宋_GB2312" w:cs="仿宋_GB2312"/>
          <w:kern w:val="0"/>
          <w:sz w:val="32"/>
          <w:szCs w:val="32"/>
          <w:shd w:val="clear" w:color="auto" w:fill="FFFFFF"/>
        </w:rPr>
        <w:t>对日常公用经费、项目支出严格按程序进行</w:t>
      </w:r>
      <w:r>
        <w:rPr>
          <w:rFonts w:hint="eastAsia" w:ascii="仿宋_GB2312" w:hAnsi="宋体" w:eastAsia="仿宋_GB2312" w:cs="仿宋_GB2312"/>
          <w:kern w:val="0"/>
          <w:sz w:val="32"/>
          <w:szCs w:val="32"/>
          <w:shd w:val="clear" w:color="auto" w:fill="FFFFFF"/>
          <w:lang w:eastAsia="zh-CN"/>
        </w:rPr>
        <w:t>，</w:t>
      </w:r>
      <w:r>
        <w:rPr>
          <w:rFonts w:hint="eastAsia" w:ascii="仿宋_GB2312" w:hAnsi="宋体" w:eastAsia="仿宋_GB2312" w:cs="仿宋_GB2312"/>
          <w:kern w:val="0"/>
          <w:sz w:val="32"/>
          <w:szCs w:val="32"/>
          <w:shd w:val="clear" w:color="auto" w:fill="FFFFFF"/>
        </w:rPr>
        <w:t>预算收入基本等于支出</w:t>
      </w:r>
      <w:r>
        <w:rPr>
          <w:rFonts w:hint="eastAsia" w:ascii="仿宋_GB2312" w:hAnsi="仿宋_GB2312" w:eastAsia="仿宋_GB2312" w:cs="仿宋_GB2312"/>
          <w:sz w:val="32"/>
          <w:szCs w:val="32"/>
        </w:rPr>
        <w:t>；</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年农资储备和价格补贴</w:t>
      </w:r>
      <w:r>
        <w:rPr>
          <w:rFonts w:hint="eastAsia" w:ascii="仿宋_GB2312" w:hAnsi="仿宋_GB2312" w:eastAsia="仿宋_GB2312" w:cs="仿宋_GB2312"/>
          <w:sz w:val="32"/>
          <w:szCs w:val="32"/>
        </w:rPr>
        <w:t>专项预算项目绩效自评得分为</w:t>
      </w:r>
      <w:r>
        <w:rPr>
          <w:rFonts w:hint="eastAsia" w:ascii="仿宋_GB2312" w:hAnsi="仿宋_GB2312" w:eastAsia="仿宋_GB2312" w:cs="仿宋_GB2312"/>
          <w:sz w:val="32"/>
          <w:szCs w:val="32"/>
          <w:lang w:val="en-US" w:eastAsia="zh-CN"/>
        </w:rPr>
        <w:t>95</w:t>
      </w:r>
      <w:r>
        <w:rPr>
          <w:rFonts w:hint="eastAsia" w:ascii="仿宋_GB2312" w:hAnsi="仿宋_GB2312" w:eastAsia="仿宋_GB2312" w:cs="仿宋_GB2312"/>
          <w:sz w:val="32"/>
          <w:szCs w:val="32"/>
        </w:rPr>
        <w:t>分，绩效自评综述：</w:t>
      </w:r>
      <w:r>
        <w:rPr>
          <w:rFonts w:hint="eastAsia" w:ascii="仿宋_GB2312" w:hAnsi="宋体" w:eastAsia="仿宋_GB2312" w:cs="仿宋_GB2312"/>
          <w:kern w:val="0"/>
          <w:sz w:val="32"/>
          <w:szCs w:val="32"/>
          <w:shd w:val="clear" w:color="auto" w:fill="FFFFFF"/>
        </w:rPr>
        <w:t>项目资金由下达</w:t>
      </w:r>
      <w:r>
        <w:rPr>
          <w:rFonts w:hint="eastAsia" w:ascii="仿宋_GB2312" w:eastAsia="仿宋_GB2312" w:cs="仿宋_GB2312"/>
          <w:kern w:val="0"/>
          <w:sz w:val="32"/>
          <w:szCs w:val="32"/>
          <w:shd w:val="clear" w:color="auto" w:fill="FFFFFF"/>
          <w:lang w:val="en-US" w:eastAsia="zh-CN"/>
        </w:rPr>
        <w:t>10</w:t>
      </w:r>
      <w:r>
        <w:rPr>
          <w:rFonts w:hint="eastAsia" w:ascii="仿宋_GB2312" w:hAnsi="宋体" w:eastAsia="仿宋_GB2312" w:cs="仿宋_GB2312"/>
          <w:kern w:val="0"/>
          <w:sz w:val="32"/>
          <w:szCs w:val="32"/>
          <w:shd w:val="clear" w:color="auto" w:fill="FFFFFF"/>
        </w:rPr>
        <w:t>万元，执行数为</w:t>
      </w:r>
      <w:r>
        <w:rPr>
          <w:rFonts w:hint="eastAsia" w:ascii="仿宋_GB2312" w:eastAsia="仿宋_GB2312" w:cs="仿宋_GB2312"/>
          <w:kern w:val="0"/>
          <w:sz w:val="32"/>
          <w:szCs w:val="32"/>
          <w:shd w:val="clear" w:color="auto" w:fill="FFFFFF"/>
          <w:lang w:val="en-US" w:eastAsia="zh-CN"/>
        </w:rPr>
        <w:t>10</w:t>
      </w:r>
      <w:r>
        <w:rPr>
          <w:rFonts w:hint="eastAsia" w:ascii="仿宋_GB2312" w:hAnsi="宋体" w:eastAsia="仿宋_GB2312" w:cs="仿宋_GB2312"/>
          <w:kern w:val="0"/>
          <w:sz w:val="32"/>
          <w:szCs w:val="32"/>
          <w:shd w:val="clear" w:color="auto" w:fill="FFFFFF"/>
        </w:rPr>
        <w:t>万元，完成预算的100%。通过项目实施，</w:t>
      </w:r>
      <w:r>
        <w:rPr>
          <w:rFonts w:hint="eastAsia" w:ascii="仿宋_GB2312" w:hAnsi="仿宋_GB2312" w:eastAsia="仿宋_GB2312" w:cs="仿宋_GB2312"/>
          <w:sz w:val="32"/>
          <w:szCs w:val="32"/>
        </w:rPr>
        <w:t>有效控制农资市场价格，切实保障我县农业生产需要，促进农民增产增收，引导广大农民群众使用配方肥料和有机肥，降低土地面源污染，推动我县绿色，生态农业发展</w:t>
      </w:r>
      <w:r>
        <w:rPr>
          <w:rFonts w:hint="eastAsia" w:ascii="仿宋_GB2312" w:hAnsi="仿宋_GB2312" w:eastAsia="仿宋_GB2312" w:cs="仿宋_GB2312"/>
          <w:sz w:val="32"/>
          <w:szCs w:val="32"/>
          <w:lang w:eastAsia="zh-CN"/>
        </w:rPr>
        <w:t>。</w:t>
      </w:r>
    </w:p>
    <w:p w14:paraId="206D09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E27888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6D2E0935">
      <w:pPr>
        <w:spacing w:line="600" w:lineRule="exact"/>
        <w:jc w:val="left"/>
        <w:rPr>
          <w:rFonts w:ascii="Times New Roman" w:hAnsi="Times New Roman"/>
          <w:b/>
          <w:color w:val="auto"/>
          <w:sz w:val="44"/>
          <w:szCs w:val="44"/>
          <w:highlight w:val="none"/>
        </w:rPr>
      </w:pPr>
    </w:p>
    <w:p w14:paraId="448073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52CA07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48CF45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604E78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14:paraId="12E385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27DF7E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1A5272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0D82F0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3DF14507">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9.商业服务业等支出</w:t>
      </w:r>
      <w:r>
        <w:rPr>
          <w:rFonts w:hint="eastAsia" w:ascii="仿宋_GB2312" w:eastAsia="仿宋_GB2312"/>
          <w:sz w:val="32"/>
          <w:szCs w:val="32"/>
          <w:lang w:eastAsia="zh-CN"/>
        </w:rPr>
        <w:t>（类）</w:t>
      </w:r>
      <w:r>
        <w:rPr>
          <w:rFonts w:hint="eastAsia" w:ascii="仿宋_GB2312" w:eastAsia="仿宋_GB2312"/>
          <w:sz w:val="32"/>
          <w:szCs w:val="32"/>
        </w:rPr>
        <w:t>：指2160201行政运行、2160201政府相关行政运行、2160201一般行政管理事务。</w:t>
      </w:r>
    </w:p>
    <w:p w14:paraId="0BC070A6">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10.社会保障和就业（类）：指2080505机关事业单位养老保险缴费支出，2080506机关事业职业年金缴费支出。</w:t>
      </w:r>
    </w:p>
    <w:p w14:paraId="2BD5E2F9">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11.卫生健康支出：2101101指行政单位医疗；2101103指公务员医疗补助</w:t>
      </w:r>
    </w:p>
    <w:p w14:paraId="0D485940">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12</w:t>
      </w:r>
      <w:r>
        <w:rPr>
          <w:rFonts w:hint="eastAsia" w:ascii="仿宋_GB2312" w:eastAsia="仿宋_GB2312"/>
          <w:sz w:val="32"/>
          <w:szCs w:val="32"/>
          <w:lang w:eastAsia="zh-CN"/>
        </w:rPr>
        <w:t>.</w:t>
      </w:r>
      <w:r>
        <w:rPr>
          <w:rFonts w:hint="eastAsia" w:ascii="仿宋_GB2312" w:eastAsia="仿宋_GB2312"/>
          <w:sz w:val="32"/>
          <w:szCs w:val="32"/>
        </w:rPr>
        <w:t>农林水（类）：指2130199其他农业农村支出13、</w:t>
      </w:r>
      <w:r>
        <w:rPr>
          <w:rFonts w:hint="eastAsia" w:ascii="仿宋_GB2312" w:eastAsia="仿宋_GB2312"/>
          <w:sz w:val="32"/>
          <w:szCs w:val="32"/>
          <w:lang w:val="en-US" w:eastAsia="zh-CN"/>
        </w:rPr>
        <w:t>13.</w:t>
      </w:r>
      <w:r>
        <w:rPr>
          <w:rFonts w:hint="eastAsia" w:ascii="仿宋_GB2312" w:eastAsia="仿宋_GB2312"/>
          <w:sz w:val="32"/>
          <w:szCs w:val="32"/>
        </w:rPr>
        <w:t>住房保障支出（类）：指2210201住房公积金支出。</w:t>
      </w:r>
    </w:p>
    <w:p w14:paraId="13D1B29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.住房保障（类）</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2210201住房公积金</w:t>
      </w:r>
    </w:p>
    <w:p w14:paraId="424C69B1">
      <w:pPr>
        <w:spacing w:line="600" w:lineRule="exact"/>
        <w:ind w:firstLine="640" w:firstLineChars="200"/>
        <w:rPr>
          <w:rFonts w:hint="eastAsia" w:ascii="仿宋_GB2312" w:eastAsia="仿宋_GB2312"/>
          <w:sz w:val="32"/>
          <w:szCs w:val="32"/>
        </w:rPr>
      </w:pPr>
      <w:bookmarkStart w:id="51" w:name="_Toc15396614"/>
      <w:bookmarkStart w:id="52" w:name="_Toc15377226"/>
      <w:r>
        <w:rPr>
          <w:rFonts w:hint="eastAsia" w:ascii="仿宋_GB2312" w:eastAsia="仿宋_GB2312"/>
          <w:sz w:val="32"/>
          <w:szCs w:val="32"/>
          <w:lang w:val="en-US" w:eastAsia="zh-CN"/>
        </w:rPr>
        <w:t>14</w:t>
      </w:r>
      <w:r>
        <w:rPr>
          <w:rFonts w:hint="eastAsia" w:ascii="仿宋_GB2312" w:eastAsia="仿宋_GB2312"/>
          <w:sz w:val="32"/>
          <w:szCs w:val="32"/>
        </w:rPr>
        <w:t>.基本支出：指为保障机构正常运转、完成日常工作任务而发生的人员支出和公用支出。</w:t>
      </w:r>
    </w:p>
    <w:p w14:paraId="791C36D5">
      <w:pPr>
        <w:spacing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15</w:t>
      </w:r>
      <w:r>
        <w:rPr>
          <w:rFonts w:hint="eastAsia" w:ascii="仿宋_GB2312" w:eastAsia="仿宋_GB2312"/>
          <w:sz w:val="32"/>
          <w:szCs w:val="32"/>
        </w:rPr>
        <w:t xml:space="preserve">.项目支出：指在基本支出之外为完成特定行政任务和事业发展目标所发生的支出。 </w:t>
      </w:r>
    </w:p>
    <w:p w14:paraId="737EAEC3">
      <w:pPr>
        <w:spacing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16</w:t>
      </w:r>
      <w:r>
        <w:rPr>
          <w:rFonts w:hint="eastAsia" w:ascii="仿宋_GB2312" w:eastAsia="仿宋_GB2312"/>
          <w:sz w:val="32"/>
          <w:szCs w:val="32"/>
        </w:rPr>
        <w:t>.经营支出：指事业单位在专业业务活动及其辅助活动之外开展非独立核算经营活动发生的支出。</w:t>
      </w:r>
    </w:p>
    <w:p w14:paraId="680172EC">
      <w:pPr>
        <w:spacing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17</w:t>
      </w:r>
      <w:r>
        <w:rPr>
          <w:rFonts w:hint="eastAsia" w:ascii="仿宋_GB2312" w:eastAsia="仿宋_GB2312"/>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C5662CA">
      <w:pPr>
        <w:spacing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18</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90BA084">
      <w:pPr>
        <w:ind w:firstLine="643" w:firstLineChars="200"/>
        <w:rPr>
          <w:rFonts w:ascii="仿宋" w:hAnsi="仿宋" w:eastAsia="仿宋"/>
          <w:b/>
          <w:sz w:val="32"/>
          <w:szCs w:val="32"/>
        </w:rPr>
      </w:pPr>
    </w:p>
    <w:p w14:paraId="53D3E6A4">
      <w:pPr>
        <w:ind w:firstLine="643" w:firstLineChars="200"/>
        <w:rPr>
          <w:rFonts w:ascii="仿宋" w:hAnsi="仿宋" w:eastAsia="仿宋"/>
          <w:b/>
          <w:sz w:val="32"/>
          <w:szCs w:val="32"/>
        </w:rPr>
      </w:pPr>
    </w:p>
    <w:p w14:paraId="40089EAB">
      <w:pPr>
        <w:ind w:firstLine="643" w:firstLineChars="200"/>
        <w:rPr>
          <w:rFonts w:ascii="仿宋" w:hAnsi="仿宋" w:eastAsia="仿宋"/>
          <w:b/>
          <w:sz w:val="32"/>
          <w:szCs w:val="32"/>
        </w:rPr>
      </w:pPr>
    </w:p>
    <w:p w14:paraId="25EA46BE">
      <w:pPr>
        <w:ind w:firstLine="643" w:firstLineChars="200"/>
        <w:rPr>
          <w:rFonts w:ascii="仿宋" w:hAnsi="仿宋" w:eastAsia="仿宋"/>
          <w:b/>
          <w:sz w:val="32"/>
          <w:szCs w:val="32"/>
        </w:rPr>
      </w:pPr>
    </w:p>
    <w:p w14:paraId="4A3B3EF7">
      <w:pPr>
        <w:ind w:firstLine="643" w:firstLineChars="200"/>
        <w:rPr>
          <w:rFonts w:ascii="仿宋" w:hAnsi="仿宋" w:eastAsia="仿宋"/>
          <w:b/>
          <w:sz w:val="32"/>
          <w:szCs w:val="32"/>
        </w:rPr>
      </w:pPr>
    </w:p>
    <w:p w14:paraId="4004960C">
      <w:pPr>
        <w:spacing w:line="600" w:lineRule="exact"/>
        <w:jc w:val="center"/>
        <w:rPr>
          <w:rFonts w:hint="eastAsia" w:ascii="Times New Roman" w:hAnsi="Times New Roman" w:eastAsia="黑体"/>
          <w:color w:val="auto"/>
          <w:sz w:val="44"/>
          <w:szCs w:val="44"/>
          <w:highlight w:val="none"/>
        </w:rPr>
      </w:pPr>
    </w:p>
    <w:p w14:paraId="1ACCAD35">
      <w:pPr>
        <w:spacing w:line="600" w:lineRule="exact"/>
        <w:jc w:val="center"/>
        <w:rPr>
          <w:rFonts w:hint="eastAsia" w:ascii="Times New Roman" w:hAnsi="Times New Roman" w:eastAsia="黑体"/>
          <w:color w:val="auto"/>
          <w:sz w:val="44"/>
          <w:szCs w:val="44"/>
          <w:highlight w:val="none"/>
        </w:rPr>
      </w:pPr>
    </w:p>
    <w:p w14:paraId="7143665F">
      <w:pPr>
        <w:spacing w:line="600" w:lineRule="exact"/>
        <w:jc w:val="center"/>
        <w:rPr>
          <w:rFonts w:hint="eastAsia" w:ascii="Times New Roman" w:hAnsi="Times New Roman" w:eastAsia="黑体"/>
          <w:color w:val="auto"/>
          <w:sz w:val="44"/>
          <w:szCs w:val="44"/>
          <w:highlight w:val="none"/>
        </w:rPr>
      </w:pPr>
    </w:p>
    <w:p w14:paraId="031D44A5">
      <w:pPr>
        <w:spacing w:line="600" w:lineRule="exact"/>
        <w:jc w:val="center"/>
        <w:rPr>
          <w:rFonts w:hint="eastAsia" w:ascii="Times New Roman" w:hAnsi="Times New Roman" w:eastAsia="黑体"/>
          <w:color w:val="auto"/>
          <w:sz w:val="44"/>
          <w:szCs w:val="44"/>
          <w:highlight w:val="none"/>
        </w:rPr>
      </w:pPr>
    </w:p>
    <w:p w14:paraId="3E1877D7">
      <w:pPr>
        <w:spacing w:line="600" w:lineRule="exact"/>
        <w:jc w:val="center"/>
        <w:rPr>
          <w:rFonts w:hint="eastAsia" w:ascii="Times New Roman" w:hAnsi="Times New Roman" w:eastAsia="黑体"/>
          <w:color w:val="auto"/>
          <w:sz w:val="44"/>
          <w:szCs w:val="44"/>
          <w:highlight w:val="none"/>
        </w:rPr>
      </w:pPr>
    </w:p>
    <w:p w14:paraId="401B035D">
      <w:pPr>
        <w:spacing w:line="600" w:lineRule="exact"/>
        <w:jc w:val="center"/>
        <w:rPr>
          <w:rFonts w:hint="eastAsia" w:ascii="Times New Roman" w:hAnsi="Times New Roman" w:eastAsia="黑体"/>
          <w:color w:val="auto"/>
          <w:sz w:val="44"/>
          <w:szCs w:val="44"/>
          <w:highlight w:val="none"/>
        </w:rPr>
      </w:pPr>
    </w:p>
    <w:p w14:paraId="480AB27E">
      <w:pPr>
        <w:spacing w:line="600" w:lineRule="exact"/>
        <w:jc w:val="center"/>
        <w:rPr>
          <w:rFonts w:hint="eastAsia" w:ascii="Times New Roman" w:hAnsi="Times New Roman" w:eastAsia="黑体"/>
          <w:color w:val="auto"/>
          <w:sz w:val="44"/>
          <w:szCs w:val="44"/>
          <w:highlight w:val="none"/>
        </w:rPr>
      </w:pPr>
    </w:p>
    <w:p w14:paraId="7AF4F1EF">
      <w:pPr>
        <w:spacing w:line="600" w:lineRule="exact"/>
        <w:jc w:val="center"/>
        <w:rPr>
          <w:rFonts w:hint="eastAsia" w:ascii="Times New Roman" w:hAnsi="Times New Roman" w:eastAsia="黑体"/>
          <w:color w:val="auto"/>
          <w:sz w:val="44"/>
          <w:szCs w:val="44"/>
          <w:highlight w:val="none"/>
        </w:rPr>
      </w:pPr>
    </w:p>
    <w:bookmarkEnd w:id="51"/>
    <w:p w14:paraId="465EDF1F">
      <w:pPr>
        <w:widowControl/>
        <w:jc w:val="center"/>
        <w:rPr>
          <w:rFonts w:hint="eastAsia" w:ascii="Times New Roman" w:hAnsi="Times New Roman" w:eastAsia="仿宋"/>
          <w:b w:val="0"/>
          <w:color w:val="auto"/>
          <w:highlight w:val="none"/>
        </w:rPr>
      </w:pPr>
      <w:bookmarkStart w:id="53" w:name="_Toc15396618"/>
      <w:r>
        <w:rPr>
          <w:rFonts w:hint="eastAsia" w:ascii="Times New Roman" w:hAnsi="Times New Roman" w:eastAsia="黑体"/>
          <w:color w:val="auto"/>
          <w:sz w:val="44"/>
          <w:szCs w:val="44"/>
          <w:highlight w:val="none"/>
        </w:rPr>
        <w:t>第</w:t>
      </w:r>
      <w:r>
        <w:rPr>
          <w:rStyle w:val="28"/>
          <w:rFonts w:hint="eastAsia" w:eastAsia="黑体"/>
          <w:b w:val="0"/>
          <w:color w:val="auto"/>
          <w:highlight w:val="none"/>
          <w:lang w:eastAsia="zh-CN"/>
        </w:rPr>
        <w:t>四</w:t>
      </w:r>
      <w:r>
        <w:rPr>
          <w:rStyle w:val="28"/>
          <w:rFonts w:hint="eastAsia" w:ascii="Times New Roman" w:hAnsi="Times New Roman" w:eastAsia="黑体"/>
          <w:b w:val="0"/>
          <w:color w:val="auto"/>
          <w:highlight w:val="none"/>
        </w:rPr>
        <w:t>部分 附表</w:t>
      </w:r>
      <w:bookmarkEnd w:id="52"/>
      <w:bookmarkEnd w:id="53"/>
      <w:bookmarkStart w:id="54" w:name="_Toc15396619"/>
    </w:p>
    <w:p w14:paraId="033ED0C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F999CF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14:paraId="2BC562F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14:paraId="44311E3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14:paraId="102C911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14:paraId="3A610F7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14:paraId="15AB61B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14:paraId="6721B9E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14:paraId="29577B1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14:paraId="15FF8D3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p>
    <w:p w14:paraId="4E913B4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14:paraId="7207332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924825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p>
    <w:p w14:paraId="14A8EA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p>
    <w:p w14:paraId="41204E16">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44B38B8-E11E-4ED4-B2C2-7C286A8A23F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1CEFBC71-384F-4937-8A7E-10D681143EA8}"/>
  </w:font>
  <w:font w:name="仿宋">
    <w:panose1 w:val="02010609060101010101"/>
    <w:charset w:val="86"/>
    <w:family w:val="modern"/>
    <w:pitch w:val="default"/>
    <w:sig w:usb0="800002BF" w:usb1="38CF7CFA" w:usb2="00000016" w:usb3="00000000" w:csb0="00040001" w:csb1="00000000"/>
    <w:embedRegular r:id="rId3" w:fontKey="{BFB73F6F-63D2-41A7-B4BF-BF54B5B42E6D}"/>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A9C7EE0E-4AB8-48E2-947C-8B6309AAE093}"/>
  </w:font>
  <w:font w:name="楷体_GB2312">
    <w:panose1 w:val="02010609030101010101"/>
    <w:charset w:val="86"/>
    <w:family w:val="auto"/>
    <w:pitch w:val="default"/>
    <w:sig w:usb0="00000001" w:usb1="080E0000" w:usb2="00000000" w:usb3="00000000" w:csb0="00040000" w:csb1="00000000"/>
    <w:embedRegular r:id="rId5" w:fontKey="{D88AF825-7564-4B67-A76D-137F0C3D2C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9508B">
    <w:pPr>
      <w:pStyle w:val="10"/>
      <w:jc w:val="center"/>
    </w:pPr>
  </w:p>
  <w:p w14:paraId="0DF7C336">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14C3B">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60DCE">
    <w:pPr>
      <w:pStyle w:val="10"/>
      <w:jc w:val="center"/>
    </w:pPr>
  </w:p>
  <w:p w14:paraId="1D252D2D">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7F9C3">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E434A8">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7E434A8">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DDD98">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0B7915"/>
    <w:multiLevelType w:val="singleLevel"/>
    <w:tmpl w:val="A80B7915"/>
    <w:lvl w:ilvl="0" w:tentative="0">
      <w:start w:val="1"/>
      <w:numFmt w:val="chineseCounting"/>
      <w:suff w:val="nothing"/>
      <w:lvlText w:val="%1、"/>
      <w:lvlJc w:val="left"/>
      <w:rPr>
        <w:rFonts w:hint="eastAsia"/>
      </w:rPr>
    </w:lvl>
  </w:abstractNum>
  <w:abstractNum w:abstractNumId="1">
    <w:nsid w:val="3BF0862E"/>
    <w:multiLevelType w:val="singleLevel"/>
    <w:tmpl w:val="3BF0862E"/>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ECA37AB"/>
    <w:rsid w:val="0F98263C"/>
    <w:rsid w:val="101860EC"/>
    <w:rsid w:val="10C055FF"/>
    <w:rsid w:val="11772AA4"/>
    <w:rsid w:val="118107EC"/>
    <w:rsid w:val="13957196"/>
    <w:rsid w:val="13D50BC4"/>
    <w:rsid w:val="14022904"/>
    <w:rsid w:val="152F2A07"/>
    <w:rsid w:val="165E0673"/>
    <w:rsid w:val="16BB723D"/>
    <w:rsid w:val="16F13FCB"/>
    <w:rsid w:val="16F72C63"/>
    <w:rsid w:val="17910BF6"/>
    <w:rsid w:val="186504BB"/>
    <w:rsid w:val="1938089F"/>
    <w:rsid w:val="19A445FC"/>
    <w:rsid w:val="1B7D550C"/>
    <w:rsid w:val="1BE8440E"/>
    <w:rsid w:val="1D155CEE"/>
    <w:rsid w:val="1DE178F3"/>
    <w:rsid w:val="1E740ACF"/>
    <w:rsid w:val="1FF052E1"/>
    <w:rsid w:val="1FF35744"/>
    <w:rsid w:val="1FF6BC77"/>
    <w:rsid w:val="21962A9E"/>
    <w:rsid w:val="21AE7C77"/>
    <w:rsid w:val="22BC3C41"/>
    <w:rsid w:val="23860B96"/>
    <w:rsid w:val="240371BF"/>
    <w:rsid w:val="260F557C"/>
    <w:rsid w:val="281408E2"/>
    <w:rsid w:val="29FD04D3"/>
    <w:rsid w:val="2BA411B4"/>
    <w:rsid w:val="2BFF7BC6"/>
    <w:rsid w:val="2C8A61B5"/>
    <w:rsid w:val="2D2E01CF"/>
    <w:rsid w:val="2D59004C"/>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3C4CAD"/>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13AD5"/>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46724CF"/>
    <w:rsid w:val="55AC0AE1"/>
    <w:rsid w:val="55CD7B5A"/>
    <w:rsid w:val="56E47B74"/>
    <w:rsid w:val="57821CFA"/>
    <w:rsid w:val="57BD3DD4"/>
    <w:rsid w:val="5973794E"/>
    <w:rsid w:val="5AF92295"/>
    <w:rsid w:val="5BDD79E6"/>
    <w:rsid w:val="5BF561CA"/>
    <w:rsid w:val="5BFF5DFC"/>
    <w:rsid w:val="5CD71FC4"/>
    <w:rsid w:val="5D1F11B5"/>
    <w:rsid w:val="5DAE1B18"/>
    <w:rsid w:val="5DB8377A"/>
    <w:rsid w:val="5DE7D9E5"/>
    <w:rsid w:val="5ECEC941"/>
    <w:rsid w:val="5F493CB7"/>
    <w:rsid w:val="5FBF9FF3"/>
    <w:rsid w:val="5FCD4E2C"/>
    <w:rsid w:val="5FD15F49"/>
    <w:rsid w:val="5FEF394A"/>
    <w:rsid w:val="5FF67715"/>
    <w:rsid w:val="62BF3928"/>
    <w:rsid w:val="647F5392"/>
    <w:rsid w:val="664B1D71"/>
    <w:rsid w:val="66606CB0"/>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292CEB"/>
    <w:rsid w:val="7E8ADEBF"/>
    <w:rsid w:val="7EDE6C96"/>
    <w:rsid w:val="7EEF11D3"/>
    <w:rsid w:val="7F0971A6"/>
    <w:rsid w:val="7F2666F9"/>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p0"/>
    <w:basedOn w:val="1"/>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c9670aa2-c386-4400-857c-41c661236cd4</errorID>
      <errorWord>农村社会化服务体系</errorWord>
      <group>L1_Political</group>
      <groupName>政治性问题</groupName>
      <ability>L2_Keyword</ability>
      <abilityName>固定表述</abilityName>
      <candidateList>
        <item>农业社会化服务体系</item>
      </candidateList>
      <explain>词汇“农业社会化服务体系”在特定场景下为固定表述形式，请确认此处的“农村社会化服务体系”是否存在不当。</explain>
      <paraID>7CD5B566</paraID>
      <start>4</start>
      <end>13</end>
      <status>modified</status>
      <modifiedWord>农业社会化服务体系</modifiedWord>
      <trackRevisions>false</trackRevisions>
    </reviewItem>
    <reviewItem>
      <errorID>90b44598-8c04-430b-a803-bc2d5f2e2d99</errorID>
      <errorWord>是有</errorWord>
      <group>L1_Word</group>
      <groupName>字词问题</groupName>
      <ability>L2_Typo</ability>
      <abilityName>字词错误</abilityName>
      <candidateList>
        <item>是</item>
      </candidateList>
      <explain/>
      <paraID>3D2DAE11</paraID>
      <start>62</start>
      <end>63</end>
      <status>modified</status>
      <modifiedWord>是</modifiedWord>
      <trackRevisions>false</trackRevisions>
    </reviewItem>
    <reviewItem>
      <errorID>b92f1ea5-bbf4-4b2c-b461-ab5dc7bc060b</errorID>
      <errorWord>是有</errorWord>
      <group>L1_Word</group>
      <groupName>字词问题</groupName>
      <ability>L2_Typo</ability>
      <abilityName>字词错误</abilityName>
      <candidateList>
        <item>是</item>
      </candidateList>
      <explain/>
      <paraID>6AADF5B8</paraID>
      <start>68</start>
      <end>69</end>
      <status>modified</status>
      <modifiedWord>是</modifiedWord>
      <trackRevisions>false</trackRevisions>
    </reviewItem>
    <reviewItem>
      <errorID>ae559f03-34d8-4dd0-ad9a-d33a0aac5e68</errorID>
      <errorWord>:</errorWord>
      <group>L1_Format</group>
      <groupName>格式问题</groupName>
      <ability>L2_HalfPunc_CN</ability>
      <abilityName>全半角问题</abilityName>
      <candidateList>
        <item>：</item>
      </candidateList>
      <explain>文本全半角错误。</explain>
      <paraID>2F456F86</paraID>
      <start>22</start>
      <end>23</end>
      <status>modified</status>
      <modifiedWord>：</modifiedWord>
      <trackRevisions>false</trackRevisions>
    </reviewItem>
    <reviewItem>
      <errorID>4e939c25-6351-43b1-bae1-4daeda7f0fb8</errorID>
      <errorWord>，</errorWord>
      <group>L1_Word</group>
      <groupName>字词问题</groupName>
      <ability>L2_Typo</ability>
      <abilityName>字词错误</abilityName>
      <candidateList>
        <item>，在</item>
      </candidateList>
      <explain/>
      <paraID>35EAE909</paraID>
      <start>76</start>
      <end>78</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1808b0-6bf8-462f-9a7f-f1c5f97e239d}">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15</Pages>
  <Words>4844</Words>
  <Characters>5258</Characters>
  <Lines>61</Lines>
  <Paragraphs>17</Paragraphs>
  <TotalTime>29</TotalTime>
  <ScaleCrop>false</ScaleCrop>
  <LinksUpToDate>false</LinksUpToDate>
  <CharactersWithSpaces>5281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2026-10-13T07:45:28Z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