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97D484">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78441"/>
      <w:bookmarkStart w:id="1" w:name="_Toc15377193"/>
      <w:bookmarkStart w:id="2" w:name="_Toc15396475"/>
      <w:bookmarkStart w:id="3" w:name="_Toc15377425"/>
      <w:bookmarkStart w:id="4" w:name="_Toc15306267"/>
      <w:bookmarkStart w:id="5" w:name="_Toc15396597"/>
    </w:p>
    <w:p w14:paraId="27B2B83D">
      <w:pPr>
        <w:pStyle w:val="8"/>
        <w:rPr>
          <w:rFonts w:hint="eastAsia" w:ascii="Times New Roman" w:hAnsi="Times New Roman" w:eastAsia="方正小标宋简体" w:cs="Times New Roman"/>
          <w:color w:val="auto"/>
          <w:kern w:val="2"/>
          <w:sz w:val="72"/>
          <w:szCs w:val="72"/>
          <w:highlight w:val="none"/>
          <w:lang w:val="en-US" w:eastAsia="zh-CN" w:bidi="ar-SA"/>
        </w:rPr>
      </w:pPr>
    </w:p>
    <w:p w14:paraId="058A5992">
      <w:pPr>
        <w:pStyle w:val="8"/>
        <w:rPr>
          <w:rFonts w:hint="eastAsia" w:ascii="Times New Roman" w:hAnsi="Times New Roman" w:eastAsia="方正小标宋简体" w:cs="Times New Roman"/>
          <w:color w:val="auto"/>
          <w:kern w:val="2"/>
          <w:sz w:val="72"/>
          <w:szCs w:val="72"/>
          <w:highlight w:val="none"/>
          <w:lang w:val="en-US" w:eastAsia="zh-CN" w:bidi="ar-SA"/>
        </w:rPr>
      </w:pPr>
    </w:p>
    <w:p w14:paraId="776DFDE0">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6" w:name="_Toc2823"/>
      <w:bookmarkStart w:id="7" w:name="_Toc10479"/>
      <w:r>
        <w:rPr>
          <w:rFonts w:hint="eastAsia" w:ascii="方正小标宋简体" w:hAnsi="方正小标宋简体" w:eastAsia="方正小标宋简体" w:cs="方正小标宋简体"/>
          <w:sz w:val="72"/>
          <w:szCs w:val="72"/>
          <w:lang w:eastAsia="zh-CN"/>
        </w:rPr>
        <w:t>2025年</w:t>
      </w:r>
      <w:r>
        <w:rPr>
          <w:rFonts w:hint="eastAsia" w:ascii="方正小标宋简体" w:hAnsi="方正小标宋简体" w:eastAsia="方正小标宋简体" w:cs="方正小标宋简体"/>
          <w:sz w:val="72"/>
          <w:szCs w:val="72"/>
        </w:rPr>
        <w:t>度</w:t>
      </w:r>
      <w:bookmarkEnd w:id="6"/>
      <w:bookmarkEnd w:id="7"/>
    </w:p>
    <w:p w14:paraId="4B74CB46">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8" w:name="_Toc7289"/>
      <w:bookmarkStart w:id="9" w:name="_Toc29627"/>
      <w:r>
        <w:rPr>
          <w:rFonts w:hint="eastAsia" w:ascii="方正小标宋简体" w:hAnsi="方正小标宋简体" w:eastAsia="方正小标宋简体" w:cs="方正小标宋简体"/>
          <w:sz w:val="72"/>
          <w:szCs w:val="72"/>
        </w:rPr>
        <w:t>阿坝州松潘县就业局决算</w:t>
      </w:r>
      <w:bookmarkEnd w:id="8"/>
      <w:bookmarkEnd w:id="9"/>
    </w:p>
    <w:p w14:paraId="4490D00A">
      <w:pPr>
        <w:adjustRightInd w:val="0"/>
        <w:snapToGrid w:val="0"/>
        <w:spacing w:line="360" w:lineRule="auto"/>
        <w:jc w:val="center"/>
        <w:outlineLvl w:val="0"/>
        <w:rPr>
          <w:rFonts w:hint="default" w:ascii="方正小标宋简体" w:hAnsi="方正小标宋简体" w:eastAsia="方正小标宋简体" w:cs="方正小标宋简体"/>
          <w:sz w:val="72"/>
          <w:szCs w:val="72"/>
          <w:lang w:val="en-US" w:eastAsia="zh-CN"/>
        </w:rPr>
      </w:pPr>
    </w:p>
    <w:p w14:paraId="67FE3425">
      <w:pPr>
        <w:pStyle w:val="20"/>
        <w:rPr>
          <w:rFonts w:ascii="Times New Roman" w:hAnsi="Times New Roman"/>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p>
    <w:bookmarkEnd w:id="0"/>
    <w:bookmarkEnd w:id="1"/>
    <w:bookmarkEnd w:id="2"/>
    <w:bookmarkEnd w:id="3"/>
    <w:bookmarkEnd w:id="4"/>
    <w:bookmarkEnd w:id="5"/>
    <w:p w14:paraId="215A37C5">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39FE4A21">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13</w:t>
      </w:r>
      <w:r>
        <w:rPr>
          <w:rFonts w:hint="eastAsia" w:ascii="Times New Roman" w:hAnsi="Times New Roman" w:eastAsia="仿宋_GB2312" w:cs="仿宋_GB2312"/>
          <w:color w:val="auto"/>
          <w:sz w:val="32"/>
          <w:szCs w:val="32"/>
          <w:highlight w:val="none"/>
        </w:rPr>
        <w:t>日</w:t>
      </w:r>
    </w:p>
    <w:p w14:paraId="05778341">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74405"/>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6F7903A9">
          <w:pPr>
            <w:spacing w:before="0" w:beforeLines="0" w:after="0" w:afterLines="0" w:line="240" w:lineRule="auto"/>
            <w:ind w:left="0" w:leftChars="0" w:right="0" w:rightChars="0" w:firstLine="0" w:firstLineChars="0"/>
            <w:jc w:val="center"/>
          </w:pPr>
        </w:p>
        <w:p w14:paraId="31F56E9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fldChar w:fldCharType="begin"/>
          </w:r>
          <w:r>
            <w:instrText xml:space="preserve">TOC \o "1-2" \h \u </w:instrText>
          </w:r>
          <w:r>
            <w:fldChar w:fldCharType="separate"/>
          </w:r>
          <w:r>
            <w:rPr>
              <w:rFonts w:hint="eastAsia" w:ascii="Times New Roman" w:hAnsi="Times New Roman" w:eastAsia="仿宋_GB2312" w:cs="仿宋_GB2312"/>
              <w:b/>
              <w:bCs/>
              <w:color w:val="auto"/>
              <w:sz w:val="32"/>
              <w:szCs w:val="32"/>
              <w:highlight w:val="none"/>
            </w:rPr>
            <w:fldChar w:fldCharType="begin"/>
          </w:r>
          <w:r>
            <w:rPr>
              <w:rFonts w:hint="eastAsia" w:ascii="Times New Roman" w:hAnsi="Times New Roman" w:eastAsia="仿宋_GB2312" w:cs="仿宋_GB2312"/>
              <w:b/>
              <w:bCs/>
              <w:color w:val="auto"/>
              <w:sz w:val="32"/>
              <w:szCs w:val="32"/>
              <w:highlight w:val="none"/>
            </w:rPr>
            <w:instrText xml:space="preserve"> HYPERLINK \l _Toc28188 </w:instrText>
          </w:r>
          <w:r>
            <w:rPr>
              <w:rFonts w:hint="eastAsia" w:ascii="Times New Roman" w:hAnsi="Times New Roman" w:eastAsia="仿宋_GB2312" w:cs="仿宋_GB2312"/>
              <w:b/>
              <w:bCs/>
              <w:color w:val="auto"/>
              <w:sz w:val="32"/>
              <w:szCs w:val="32"/>
              <w:highlight w:val="none"/>
            </w:rPr>
            <w:fldChar w:fldCharType="separate"/>
          </w:r>
          <w:r>
            <w:rPr>
              <w:rFonts w:hint="eastAsia" w:ascii="Times New Roman" w:hAnsi="Times New Roman" w:eastAsia="仿宋_GB2312" w:cs="仿宋_GB2312"/>
              <w:b/>
              <w:bCs/>
              <w:color w:val="auto"/>
              <w:sz w:val="32"/>
              <w:szCs w:val="32"/>
              <w:highlight w:val="none"/>
            </w:rPr>
            <w:t>第一部分</w:t>
          </w:r>
          <w:r>
            <w:rPr>
              <w:rFonts w:hint="eastAsia" w:ascii="Times New Roman" w:hAnsi="Times New Roman" w:eastAsia="仿宋_GB2312" w:cs="仿宋_GB2312"/>
              <w:b/>
              <w:bCs/>
              <w:color w:val="auto"/>
              <w:sz w:val="32"/>
              <w:szCs w:val="32"/>
              <w:highlight w:val="none"/>
              <w:lang w:val="en-US" w:eastAsia="zh-CN"/>
            </w:rPr>
            <w:t xml:space="preserve"> </w:t>
          </w:r>
          <w:r>
            <w:rPr>
              <w:rFonts w:hint="eastAsia" w:ascii="Times New Roman" w:hAnsi="Times New Roman" w:eastAsia="仿宋_GB2312" w:cs="仿宋_GB2312"/>
              <w:b/>
              <w:bCs/>
              <w:color w:val="auto"/>
              <w:sz w:val="32"/>
              <w:szCs w:val="32"/>
              <w:highlight w:val="none"/>
            </w:rPr>
            <w:t xml:space="preserve"> 部门概况</w:t>
          </w:r>
          <w:r>
            <w:rPr>
              <w:rFonts w:hint="eastAsia" w:ascii="Times New Roman" w:hAnsi="Times New Roman" w:eastAsia="仿宋_GB2312" w:cs="仿宋_GB2312"/>
              <w:b/>
              <w:bCs/>
              <w:color w:val="auto"/>
              <w:sz w:val="32"/>
              <w:szCs w:val="32"/>
              <w:highlight w:val="none"/>
            </w:rPr>
            <w:tab/>
          </w:r>
          <w:r>
            <w:rPr>
              <w:rFonts w:hint="eastAsia" w:ascii="Times New Roman" w:hAnsi="Times New Roman" w:eastAsia="仿宋_GB2312" w:cs="仿宋_GB2312"/>
              <w:b/>
              <w:bCs/>
              <w:color w:val="auto"/>
              <w:sz w:val="32"/>
              <w:szCs w:val="32"/>
              <w:highlight w:val="none"/>
            </w:rPr>
            <w:fldChar w:fldCharType="begin"/>
          </w:r>
          <w:r>
            <w:rPr>
              <w:rFonts w:hint="eastAsia" w:ascii="Times New Roman" w:hAnsi="Times New Roman" w:eastAsia="仿宋_GB2312" w:cs="仿宋_GB2312"/>
              <w:b/>
              <w:bCs/>
              <w:color w:val="auto"/>
              <w:sz w:val="32"/>
              <w:szCs w:val="32"/>
              <w:highlight w:val="none"/>
            </w:rPr>
            <w:instrText xml:space="preserve"> PAGEREF _Toc28188 \h </w:instrText>
          </w:r>
          <w:r>
            <w:rPr>
              <w:rFonts w:hint="eastAsia" w:ascii="Times New Roman" w:hAnsi="Times New Roman" w:eastAsia="仿宋_GB2312" w:cs="仿宋_GB2312"/>
              <w:b/>
              <w:bCs/>
              <w:color w:val="auto"/>
              <w:sz w:val="32"/>
              <w:szCs w:val="32"/>
              <w:highlight w:val="none"/>
            </w:rPr>
            <w:fldChar w:fldCharType="separate"/>
          </w:r>
          <w:r>
            <w:rPr>
              <w:rFonts w:hint="eastAsia" w:ascii="Times New Roman" w:hAnsi="Times New Roman" w:eastAsia="仿宋_GB2312" w:cs="仿宋_GB2312"/>
              <w:b/>
              <w:bCs/>
              <w:color w:val="auto"/>
              <w:sz w:val="32"/>
              <w:szCs w:val="32"/>
              <w:highlight w:val="none"/>
            </w:rPr>
            <w:t>1</w:t>
          </w:r>
          <w:r>
            <w:rPr>
              <w:rFonts w:hint="eastAsia" w:ascii="Times New Roman" w:hAnsi="Times New Roman" w:eastAsia="仿宋_GB2312" w:cs="仿宋_GB2312"/>
              <w:b/>
              <w:bCs/>
              <w:color w:val="auto"/>
              <w:sz w:val="32"/>
              <w:szCs w:val="32"/>
              <w:highlight w:val="none"/>
            </w:rPr>
            <w:fldChar w:fldCharType="end"/>
          </w:r>
          <w:r>
            <w:rPr>
              <w:rFonts w:hint="eastAsia" w:ascii="Times New Roman" w:hAnsi="Times New Roman" w:eastAsia="仿宋_GB2312" w:cs="仿宋_GB2312"/>
              <w:b/>
              <w:bCs/>
              <w:color w:val="auto"/>
              <w:sz w:val="32"/>
              <w:szCs w:val="32"/>
              <w:highlight w:val="none"/>
            </w:rPr>
            <w:fldChar w:fldCharType="end"/>
          </w:r>
        </w:p>
        <w:p w14:paraId="48A7E20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_Toc348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_Toc348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B9F095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_Toc18535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二、机构设置</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_Toc18535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2</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407189A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b/>
              <w:bCs/>
              <w:color w:val="auto"/>
              <w:sz w:val="32"/>
              <w:szCs w:val="32"/>
              <w:highlight w:val="none"/>
            </w:rPr>
          </w:pPr>
          <w:r>
            <w:rPr>
              <w:rFonts w:hint="eastAsia" w:ascii="Times New Roman" w:hAnsi="Times New Roman" w:eastAsia="仿宋_GB2312" w:cs="仿宋_GB2312"/>
              <w:b/>
              <w:bCs/>
              <w:color w:val="auto"/>
              <w:sz w:val="32"/>
              <w:szCs w:val="32"/>
              <w:highlight w:val="none"/>
            </w:rPr>
            <w:fldChar w:fldCharType="begin"/>
          </w:r>
          <w:r>
            <w:rPr>
              <w:rFonts w:hint="eastAsia" w:ascii="Times New Roman" w:hAnsi="Times New Roman" w:eastAsia="仿宋_GB2312" w:cs="仿宋_GB2312"/>
              <w:b/>
              <w:bCs/>
              <w:color w:val="auto"/>
              <w:sz w:val="32"/>
              <w:szCs w:val="32"/>
              <w:highlight w:val="none"/>
            </w:rPr>
            <w:instrText xml:space="preserve"> HYPERLINK \l _Toc6416 </w:instrText>
          </w:r>
          <w:r>
            <w:rPr>
              <w:rFonts w:hint="eastAsia" w:ascii="Times New Roman" w:hAnsi="Times New Roman" w:eastAsia="仿宋_GB2312" w:cs="仿宋_GB2312"/>
              <w:b/>
              <w:bCs/>
              <w:color w:val="auto"/>
              <w:sz w:val="32"/>
              <w:szCs w:val="32"/>
              <w:highlight w:val="none"/>
            </w:rPr>
            <w:fldChar w:fldCharType="separate"/>
          </w:r>
          <w:r>
            <w:rPr>
              <w:rFonts w:hint="eastAsia" w:ascii="Times New Roman" w:hAnsi="Times New Roman" w:eastAsia="仿宋_GB2312" w:cs="仿宋_GB2312"/>
              <w:b/>
              <w:bCs/>
              <w:color w:val="auto"/>
              <w:sz w:val="32"/>
              <w:szCs w:val="32"/>
              <w:highlight w:val="none"/>
            </w:rPr>
            <w:t>第二部分</w:t>
          </w:r>
          <w:r>
            <w:rPr>
              <w:rFonts w:hint="eastAsia" w:ascii="Times New Roman" w:hAnsi="Times New Roman" w:eastAsia="仿宋_GB2312" w:cs="仿宋_GB2312"/>
              <w:b/>
              <w:bCs/>
              <w:color w:val="auto"/>
              <w:sz w:val="32"/>
              <w:szCs w:val="32"/>
              <w:highlight w:val="none"/>
              <w:lang w:val="en-US" w:eastAsia="zh-CN"/>
            </w:rPr>
            <w:t xml:space="preserve"> </w:t>
          </w:r>
          <w:r>
            <w:rPr>
              <w:rFonts w:hint="eastAsia" w:ascii="Times New Roman" w:hAnsi="Times New Roman" w:eastAsia="仿宋_GB2312" w:cs="仿宋_GB2312"/>
              <w:b/>
              <w:bCs/>
              <w:color w:val="auto"/>
              <w:sz w:val="32"/>
              <w:szCs w:val="32"/>
              <w:highlight w:val="none"/>
            </w:rPr>
            <w:t xml:space="preserve"> </w:t>
          </w:r>
          <w:r>
            <w:rPr>
              <w:rFonts w:hint="eastAsia" w:eastAsia="仿宋_GB2312" w:cs="仿宋_GB2312"/>
              <w:b/>
              <w:bCs/>
              <w:color w:val="auto"/>
              <w:sz w:val="32"/>
              <w:szCs w:val="32"/>
              <w:highlight w:val="none"/>
              <w:lang w:val="en-US" w:eastAsia="zh-CN"/>
            </w:rPr>
            <w:t>2025年</w:t>
          </w:r>
          <w:r>
            <w:rPr>
              <w:rFonts w:hint="eastAsia" w:ascii="Times New Roman" w:hAnsi="Times New Roman" w:eastAsia="仿宋_GB2312" w:cs="仿宋_GB2312"/>
              <w:b/>
              <w:bCs/>
              <w:color w:val="auto"/>
              <w:sz w:val="32"/>
              <w:szCs w:val="32"/>
              <w:highlight w:val="none"/>
              <w:lang w:val="en-US" w:eastAsia="zh-CN"/>
            </w:rPr>
            <w:t>度</w:t>
          </w:r>
          <w:r>
            <w:rPr>
              <w:rFonts w:hint="eastAsia" w:ascii="Times New Roman" w:hAnsi="Times New Roman" w:eastAsia="仿宋_GB2312" w:cs="仿宋_GB2312"/>
              <w:b/>
              <w:bCs/>
              <w:color w:val="auto"/>
              <w:sz w:val="32"/>
              <w:szCs w:val="32"/>
              <w:highlight w:val="none"/>
            </w:rPr>
            <w:t>部门决算情况说明</w:t>
          </w:r>
          <w:r>
            <w:rPr>
              <w:rFonts w:hint="eastAsia" w:ascii="Times New Roman" w:hAnsi="Times New Roman" w:eastAsia="仿宋_GB2312" w:cs="仿宋_GB2312"/>
              <w:b/>
              <w:bCs/>
              <w:color w:val="auto"/>
              <w:sz w:val="32"/>
              <w:szCs w:val="32"/>
              <w:highlight w:val="none"/>
            </w:rPr>
            <w:tab/>
          </w:r>
          <w:r>
            <w:rPr>
              <w:rFonts w:hint="eastAsia" w:ascii="Times New Roman" w:hAnsi="Times New Roman" w:eastAsia="仿宋_GB2312" w:cs="仿宋_GB2312"/>
              <w:b/>
              <w:bCs/>
              <w:color w:val="auto"/>
              <w:sz w:val="32"/>
              <w:szCs w:val="32"/>
              <w:highlight w:val="none"/>
            </w:rPr>
            <w:fldChar w:fldCharType="begin"/>
          </w:r>
          <w:r>
            <w:rPr>
              <w:rFonts w:hint="eastAsia" w:ascii="Times New Roman" w:hAnsi="Times New Roman" w:eastAsia="仿宋_GB2312" w:cs="仿宋_GB2312"/>
              <w:b/>
              <w:bCs/>
              <w:color w:val="auto"/>
              <w:sz w:val="32"/>
              <w:szCs w:val="32"/>
              <w:highlight w:val="none"/>
            </w:rPr>
            <w:instrText xml:space="preserve"> PAGEREF _Toc6416 \h </w:instrText>
          </w:r>
          <w:r>
            <w:rPr>
              <w:rFonts w:hint="eastAsia" w:ascii="Times New Roman" w:hAnsi="Times New Roman" w:eastAsia="仿宋_GB2312" w:cs="仿宋_GB2312"/>
              <w:b/>
              <w:bCs/>
              <w:color w:val="auto"/>
              <w:sz w:val="32"/>
              <w:szCs w:val="32"/>
              <w:highlight w:val="none"/>
            </w:rPr>
            <w:fldChar w:fldCharType="separate"/>
          </w:r>
          <w:r>
            <w:rPr>
              <w:rFonts w:hint="eastAsia" w:ascii="Times New Roman" w:hAnsi="Times New Roman" w:eastAsia="仿宋_GB2312" w:cs="仿宋_GB2312"/>
              <w:b/>
              <w:bCs/>
              <w:color w:val="auto"/>
              <w:sz w:val="32"/>
              <w:szCs w:val="32"/>
              <w:highlight w:val="none"/>
            </w:rPr>
            <w:t>3</w:t>
          </w:r>
          <w:r>
            <w:rPr>
              <w:rFonts w:hint="eastAsia" w:ascii="Times New Roman" w:hAnsi="Times New Roman" w:eastAsia="仿宋_GB2312" w:cs="仿宋_GB2312"/>
              <w:b/>
              <w:bCs/>
              <w:color w:val="auto"/>
              <w:sz w:val="32"/>
              <w:szCs w:val="32"/>
              <w:highlight w:val="none"/>
            </w:rPr>
            <w:fldChar w:fldCharType="end"/>
          </w:r>
          <w:r>
            <w:rPr>
              <w:rFonts w:hint="eastAsia" w:ascii="Times New Roman" w:hAnsi="Times New Roman" w:eastAsia="仿宋_GB2312" w:cs="仿宋_GB2312"/>
              <w:b/>
              <w:bCs/>
              <w:color w:val="auto"/>
              <w:sz w:val="32"/>
              <w:szCs w:val="32"/>
              <w:highlight w:val="none"/>
            </w:rPr>
            <w:fldChar w:fldCharType="end"/>
          </w:r>
        </w:p>
        <w:p w14:paraId="7C77E4D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_Toc32036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一、</w:t>
          </w:r>
          <w:r>
            <w:rPr>
              <w:rFonts w:hint="eastAsia" w:ascii="Times New Roman" w:hAnsi="Times New Roman" w:eastAsia="仿宋_GB2312" w:cs="仿宋_GB2312"/>
              <w:color w:val="auto"/>
              <w:sz w:val="32"/>
              <w:szCs w:val="32"/>
              <w:highlight w:val="none"/>
            </w:rPr>
            <w:t>收入支出决算总体情况说明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_Toc32036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4A2B430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_Toc21853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二、收入决算情况说明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_Toc21853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EE669B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_Toc7810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三、</w:t>
          </w:r>
          <w:r>
            <w:rPr>
              <w:rFonts w:hint="eastAsia" w:ascii="Times New Roman" w:hAnsi="Times New Roman" w:eastAsia="仿宋_GB2312" w:cs="仿宋_GB2312"/>
              <w:color w:val="auto"/>
              <w:sz w:val="32"/>
              <w:szCs w:val="32"/>
              <w:highlight w:val="none"/>
            </w:rPr>
            <w:t>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_Toc7810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A631B6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_Toc7375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四、财政拨款收入支出决算总体情况说明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_Toc7375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08FF7E5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_Toc26249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五、一般公共预算财政拨款支出决算情况说明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_Toc26249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4E58E14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_Toc12201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_Toc12201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8</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4BC713B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_Toc9595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七、财政拨款“三公”经费支出决算情况说明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_Toc9595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9</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112712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_Toc2743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八、政府性基金预算支出决算情况说明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_Toc2743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10</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44A1193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_Toc2842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九、</w:t>
          </w:r>
          <w:r>
            <w:rPr>
              <w:rFonts w:hint="eastAsia" w:ascii="Times New Roman" w:hAnsi="Times New Roman" w:eastAsia="仿宋_GB2312" w:cs="仿宋_GB2312"/>
              <w:color w:val="auto"/>
              <w:sz w:val="32"/>
              <w:szCs w:val="32"/>
              <w:highlight w:val="none"/>
            </w:rPr>
            <w:t>国有资本经营预算支出决算情况说明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_Toc2842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10</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087A559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_Toc11549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_Toc11549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11</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3B88243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b/>
              <w:bCs/>
              <w:color w:val="auto"/>
              <w:sz w:val="32"/>
              <w:szCs w:val="32"/>
              <w:highlight w:val="none"/>
            </w:rPr>
          </w:pPr>
          <w:r>
            <w:rPr>
              <w:rFonts w:hint="eastAsia" w:ascii="Times New Roman" w:hAnsi="Times New Roman" w:eastAsia="仿宋_GB2312" w:cs="仿宋_GB2312"/>
              <w:b/>
              <w:bCs/>
              <w:color w:val="auto"/>
              <w:sz w:val="32"/>
              <w:szCs w:val="32"/>
              <w:highlight w:val="none"/>
            </w:rPr>
            <w:fldChar w:fldCharType="begin"/>
          </w:r>
          <w:r>
            <w:rPr>
              <w:rFonts w:hint="eastAsia" w:ascii="Times New Roman" w:hAnsi="Times New Roman" w:eastAsia="仿宋_GB2312" w:cs="仿宋_GB2312"/>
              <w:b/>
              <w:bCs/>
              <w:color w:val="auto"/>
              <w:sz w:val="32"/>
              <w:szCs w:val="32"/>
              <w:highlight w:val="none"/>
            </w:rPr>
            <w:instrText xml:space="preserve"> HYPERLINK \l _Toc828 </w:instrText>
          </w:r>
          <w:r>
            <w:rPr>
              <w:rFonts w:hint="eastAsia" w:ascii="Times New Roman" w:hAnsi="Times New Roman" w:eastAsia="仿宋_GB2312" w:cs="仿宋_GB2312"/>
              <w:b/>
              <w:bCs/>
              <w:color w:val="auto"/>
              <w:sz w:val="32"/>
              <w:szCs w:val="32"/>
              <w:highlight w:val="none"/>
            </w:rPr>
            <w:fldChar w:fldCharType="separate"/>
          </w:r>
          <w:r>
            <w:rPr>
              <w:rFonts w:hint="eastAsia" w:ascii="Times New Roman" w:hAnsi="Times New Roman" w:eastAsia="仿宋_GB2312" w:cs="仿宋_GB2312"/>
              <w:b/>
              <w:bCs/>
              <w:color w:val="auto"/>
              <w:sz w:val="32"/>
              <w:szCs w:val="32"/>
              <w:highlight w:val="none"/>
            </w:rPr>
            <w:t>第</w:t>
          </w:r>
          <w:r>
            <w:rPr>
              <w:rFonts w:hint="eastAsia" w:ascii="Times New Roman" w:hAnsi="Times New Roman" w:eastAsia="仿宋_GB2312" w:cs="仿宋_GB2312"/>
              <w:b/>
              <w:bCs/>
              <w:color w:val="auto"/>
              <w:sz w:val="32"/>
              <w:szCs w:val="32"/>
              <w:highlight w:val="none"/>
              <w:lang w:eastAsia="zh-CN"/>
            </w:rPr>
            <w:t>三</w:t>
          </w:r>
          <w:r>
            <w:rPr>
              <w:rFonts w:hint="eastAsia" w:ascii="Times New Roman" w:hAnsi="Times New Roman" w:eastAsia="仿宋_GB2312" w:cs="仿宋_GB2312"/>
              <w:b/>
              <w:bCs/>
              <w:color w:val="auto"/>
              <w:sz w:val="32"/>
              <w:szCs w:val="32"/>
              <w:highlight w:val="none"/>
            </w:rPr>
            <w:t>部分</w:t>
          </w:r>
          <w:r>
            <w:rPr>
              <w:rFonts w:hint="eastAsia" w:ascii="Times New Roman" w:hAnsi="Times New Roman" w:eastAsia="仿宋_GB2312" w:cs="仿宋_GB2312"/>
              <w:b/>
              <w:bCs/>
              <w:color w:val="auto"/>
              <w:sz w:val="32"/>
              <w:szCs w:val="32"/>
              <w:highlight w:val="none"/>
              <w:lang w:val="en-US" w:eastAsia="zh-CN"/>
            </w:rPr>
            <w:t xml:space="preserve">  </w:t>
          </w:r>
          <w:r>
            <w:rPr>
              <w:rFonts w:hint="eastAsia" w:ascii="Times New Roman" w:hAnsi="Times New Roman" w:eastAsia="仿宋_GB2312" w:cs="仿宋_GB2312"/>
              <w:b/>
              <w:bCs/>
              <w:color w:val="auto"/>
              <w:sz w:val="32"/>
              <w:szCs w:val="32"/>
              <w:highlight w:val="none"/>
            </w:rPr>
            <w:t>名词解释</w:t>
          </w:r>
          <w:r>
            <w:rPr>
              <w:rFonts w:hint="eastAsia" w:ascii="Times New Roman" w:hAnsi="Times New Roman" w:eastAsia="仿宋_GB2312" w:cs="仿宋_GB2312"/>
              <w:b/>
              <w:bCs/>
              <w:color w:val="auto"/>
              <w:sz w:val="32"/>
              <w:szCs w:val="32"/>
              <w:highlight w:val="none"/>
            </w:rPr>
            <w:tab/>
          </w:r>
          <w:r>
            <w:rPr>
              <w:rFonts w:hint="eastAsia" w:ascii="Times New Roman" w:hAnsi="Times New Roman" w:eastAsia="仿宋_GB2312" w:cs="仿宋_GB2312"/>
              <w:b/>
              <w:bCs/>
              <w:color w:val="auto"/>
              <w:sz w:val="32"/>
              <w:szCs w:val="32"/>
              <w:highlight w:val="none"/>
            </w:rPr>
            <w:fldChar w:fldCharType="begin"/>
          </w:r>
          <w:r>
            <w:rPr>
              <w:rFonts w:hint="eastAsia" w:ascii="Times New Roman" w:hAnsi="Times New Roman" w:eastAsia="仿宋_GB2312" w:cs="仿宋_GB2312"/>
              <w:b/>
              <w:bCs/>
              <w:color w:val="auto"/>
              <w:sz w:val="32"/>
              <w:szCs w:val="32"/>
              <w:highlight w:val="none"/>
            </w:rPr>
            <w:instrText xml:space="preserve"> PAGEREF _Toc828 \h </w:instrText>
          </w:r>
          <w:r>
            <w:rPr>
              <w:rFonts w:hint="eastAsia" w:ascii="Times New Roman" w:hAnsi="Times New Roman" w:eastAsia="仿宋_GB2312" w:cs="仿宋_GB2312"/>
              <w:b/>
              <w:bCs/>
              <w:color w:val="auto"/>
              <w:sz w:val="32"/>
              <w:szCs w:val="32"/>
              <w:highlight w:val="none"/>
            </w:rPr>
            <w:fldChar w:fldCharType="separate"/>
          </w:r>
          <w:r>
            <w:rPr>
              <w:rFonts w:hint="eastAsia" w:ascii="Times New Roman" w:hAnsi="Times New Roman" w:eastAsia="仿宋_GB2312" w:cs="仿宋_GB2312"/>
              <w:b/>
              <w:bCs/>
              <w:color w:val="auto"/>
              <w:sz w:val="32"/>
              <w:szCs w:val="32"/>
              <w:highlight w:val="none"/>
            </w:rPr>
            <w:t>13</w:t>
          </w:r>
          <w:r>
            <w:rPr>
              <w:rFonts w:hint="eastAsia" w:ascii="Times New Roman" w:hAnsi="Times New Roman" w:eastAsia="仿宋_GB2312" w:cs="仿宋_GB2312"/>
              <w:b/>
              <w:bCs/>
              <w:color w:val="auto"/>
              <w:sz w:val="32"/>
              <w:szCs w:val="32"/>
              <w:highlight w:val="none"/>
            </w:rPr>
            <w:fldChar w:fldCharType="end"/>
          </w:r>
          <w:r>
            <w:rPr>
              <w:rFonts w:hint="eastAsia" w:ascii="Times New Roman" w:hAnsi="Times New Roman" w:eastAsia="仿宋_GB2312" w:cs="仿宋_GB2312"/>
              <w:b/>
              <w:bCs/>
              <w:color w:val="auto"/>
              <w:sz w:val="32"/>
              <w:szCs w:val="32"/>
              <w:highlight w:val="none"/>
            </w:rPr>
            <w:fldChar w:fldCharType="end"/>
          </w:r>
        </w:p>
        <w:p w14:paraId="5F23F99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b/>
              <w:bCs/>
              <w:color w:val="auto"/>
              <w:sz w:val="32"/>
              <w:szCs w:val="32"/>
              <w:highlight w:val="none"/>
            </w:rPr>
          </w:pPr>
          <w:r>
            <w:rPr>
              <w:rFonts w:hint="eastAsia" w:ascii="Times New Roman" w:hAnsi="Times New Roman" w:eastAsia="仿宋_GB2312" w:cs="仿宋_GB2312"/>
              <w:b/>
              <w:bCs/>
              <w:color w:val="auto"/>
              <w:sz w:val="32"/>
              <w:szCs w:val="32"/>
              <w:highlight w:val="none"/>
            </w:rPr>
            <w:fldChar w:fldCharType="begin"/>
          </w:r>
          <w:r>
            <w:rPr>
              <w:rFonts w:hint="eastAsia" w:ascii="Times New Roman" w:hAnsi="Times New Roman" w:eastAsia="仿宋_GB2312" w:cs="仿宋_GB2312"/>
              <w:b/>
              <w:bCs/>
              <w:color w:val="auto"/>
              <w:sz w:val="32"/>
              <w:szCs w:val="32"/>
              <w:highlight w:val="none"/>
            </w:rPr>
            <w:instrText xml:space="preserve"> HYPERLINK \l _Toc24508 </w:instrText>
          </w:r>
          <w:r>
            <w:rPr>
              <w:rFonts w:hint="eastAsia" w:ascii="Times New Roman" w:hAnsi="Times New Roman" w:eastAsia="仿宋_GB2312" w:cs="仿宋_GB2312"/>
              <w:b/>
              <w:bCs/>
              <w:color w:val="auto"/>
              <w:sz w:val="32"/>
              <w:szCs w:val="32"/>
              <w:highlight w:val="none"/>
            </w:rPr>
            <w:fldChar w:fldCharType="separate"/>
          </w:r>
          <w:r>
            <w:rPr>
              <w:rFonts w:hint="eastAsia" w:ascii="Times New Roman" w:hAnsi="Times New Roman" w:eastAsia="仿宋_GB2312" w:cs="仿宋_GB2312"/>
              <w:b/>
              <w:bCs/>
              <w:color w:val="auto"/>
              <w:sz w:val="32"/>
              <w:szCs w:val="32"/>
              <w:highlight w:val="none"/>
            </w:rPr>
            <w:t>第四部分</w:t>
          </w:r>
          <w:r>
            <w:rPr>
              <w:rFonts w:hint="eastAsia" w:ascii="Times New Roman" w:hAnsi="Times New Roman" w:eastAsia="仿宋_GB2312" w:cs="仿宋_GB2312"/>
              <w:b/>
              <w:bCs/>
              <w:color w:val="auto"/>
              <w:sz w:val="32"/>
              <w:szCs w:val="32"/>
              <w:highlight w:val="none"/>
              <w:lang w:val="en-US" w:eastAsia="zh-CN"/>
            </w:rPr>
            <w:t xml:space="preserve"> </w:t>
          </w:r>
          <w:r>
            <w:rPr>
              <w:rFonts w:hint="eastAsia" w:ascii="Times New Roman" w:hAnsi="Times New Roman" w:eastAsia="仿宋_GB2312" w:cs="仿宋_GB2312"/>
              <w:b/>
              <w:bCs/>
              <w:color w:val="auto"/>
              <w:sz w:val="32"/>
              <w:szCs w:val="32"/>
              <w:highlight w:val="none"/>
            </w:rPr>
            <w:t xml:space="preserve"> 附件</w:t>
          </w:r>
          <w:r>
            <w:rPr>
              <w:rFonts w:hint="eastAsia" w:ascii="Times New Roman" w:hAnsi="Times New Roman" w:eastAsia="仿宋_GB2312" w:cs="仿宋_GB2312"/>
              <w:b/>
              <w:bCs/>
              <w:color w:val="auto"/>
              <w:sz w:val="32"/>
              <w:szCs w:val="32"/>
              <w:highlight w:val="none"/>
            </w:rPr>
            <w:tab/>
          </w:r>
          <w:r>
            <w:rPr>
              <w:rFonts w:hint="eastAsia" w:ascii="Times New Roman" w:hAnsi="Times New Roman" w:eastAsia="仿宋_GB2312" w:cs="仿宋_GB2312"/>
              <w:b/>
              <w:bCs/>
              <w:color w:val="auto"/>
              <w:sz w:val="32"/>
              <w:szCs w:val="32"/>
              <w:highlight w:val="none"/>
            </w:rPr>
            <w:fldChar w:fldCharType="begin"/>
          </w:r>
          <w:r>
            <w:rPr>
              <w:rFonts w:hint="eastAsia" w:ascii="Times New Roman" w:hAnsi="Times New Roman" w:eastAsia="仿宋_GB2312" w:cs="仿宋_GB2312"/>
              <w:b/>
              <w:bCs/>
              <w:color w:val="auto"/>
              <w:sz w:val="32"/>
              <w:szCs w:val="32"/>
              <w:highlight w:val="none"/>
            </w:rPr>
            <w:instrText xml:space="preserve"> PAGEREF _Toc24508 \h </w:instrText>
          </w:r>
          <w:r>
            <w:rPr>
              <w:rFonts w:hint="eastAsia" w:ascii="Times New Roman" w:hAnsi="Times New Roman" w:eastAsia="仿宋_GB2312" w:cs="仿宋_GB2312"/>
              <w:b/>
              <w:bCs/>
              <w:color w:val="auto"/>
              <w:sz w:val="32"/>
              <w:szCs w:val="32"/>
              <w:highlight w:val="none"/>
            </w:rPr>
            <w:fldChar w:fldCharType="separate"/>
          </w:r>
          <w:r>
            <w:rPr>
              <w:rFonts w:hint="eastAsia" w:ascii="Times New Roman" w:hAnsi="Times New Roman" w:eastAsia="仿宋_GB2312" w:cs="仿宋_GB2312"/>
              <w:b/>
              <w:bCs/>
              <w:color w:val="auto"/>
              <w:sz w:val="32"/>
              <w:szCs w:val="32"/>
              <w:highlight w:val="none"/>
            </w:rPr>
            <w:t>17</w:t>
          </w:r>
          <w:r>
            <w:rPr>
              <w:rFonts w:hint="eastAsia" w:ascii="Times New Roman" w:hAnsi="Times New Roman" w:eastAsia="仿宋_GB2312" w:cs="仿宋_GB2312"/>
              <w:b/>
              <w:bCs/>
              <w:color w:val="auto"/>
              <w:sz w:val="32"/>
              <w:szCs w:val="32"/>
              <w:highlight w:val="none"/>
            </w:rPr>
            <w:fldChar w:fldCharType="end"/>
          </w:r>
          <w:r>
            <w:rPr>
              <w:rFonts w:hint="eastAsia" w:ascii="Times New Roman" w:hAnsi="Times New Roman" w:eastAsia="仿宋_GB2312" w:cs="仿宋_GB2312"/>
              <w:b/>
              <w:bCs/>
              <w:color w:val="auto"/>
              <w:sz w:val="32"/>
              <w:szCs w:val="32"/>
              <w:highlight w:val="none"/>
            </w:rPr>
            <w:fldChar w:fldCharType="end"/>
          </w:r>
        </w:p>
        <w:p w14:paraId="50518D7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pPr>
          <w:r>
            <w:rPr>
              <w:rFonts w:hint="eastAsia" w:ascii="Times New Roman" w:hAnsi="Times New Roman" w:eastAsia="仿宋_GB2312" w:cs="仿宋_GB2312"/>
              <w:b/>
              <w:bCs/>
              <w:color w:val="auto"/>
              <w:sz w:val="32"/>
              <w:szCs w:val="32"/>
              <w:highlight w:val="none"/>
            </w:rPr>
            <w:fldChar w:fldCharType="begin"/>
          </w:r>
          <w:r>
            <w:rPr>
              <w:rFonts w:hint="eastAsia" w:ascii="Times New Roman" w:hAnsi="Times New Roman" w:eastAsia="仿宋_GB2312" w:cs="仿宋_GB2312"/>
              <w:b/>
              <w:bCs/>
              <w:color w:val="auto"/>
              <w:sz w:val="32"/>
              <w:szCs w:val="32"/>
              <w:highlight w:val="none"/>
            </w:rPr>
            <w:instrText xml:space="preserve"> HYPERLINK \l _Toc26651 </w:instrText>
          </w:r>
          <w:r>
            <w:rPr>
              <w:rFonts w:hint="eastAsia" w:ascii="Times New Roman" w:hAnsi="Times New Roman" w:eastAsia="仿宋_GB2312" w:cs="仿宋_GB2312"/>
              <w:b/>
              <w:bCs/>
              <w:color w:val="auto"/>
              <w:sz w:val="32"/>
              <w:szCs w:val="32"/>
              <w:highlight w:val="none"/>
            </w:rPr>
            <w:fldChar w:fldCharType="separate"/>
          </w:r>
          <w:r>
            <w:rPr>
              <w:rFonts w:hint="eastAsia" w:ascii="Times New Roman" w:hAnsi="Times New Roman" w:eastAsia="仿宋_GB2312" w:cs="仿宋_GB2312"/>
              <w:b/>
              <w:bCs/>
              <w:color w:val="auto"/>
              <w:sz w:val="32"/>
              <w:szCs w:val="32"/>
              <w:highlight w:val="none"/>
            </w:rPr>
            <w:t>第五部分 附表</w:t>
          </w:r>
          <w:r>
            <w:rPr>
              <w:rFonts w:hint="eastAsia" w:ascii="Times New Roman" w:hAnsi="Times New Roman" w:eastAsia="仿宋_GB2312" w:cs="仿宋_GB2312"/>
              <w:b/>
              <w:bCs/>
              <w:color w:val="auto"/>
              <w:sz w:val="32"/>
              <w:szCs w:val="32"/>
              <w:highlight w:val="none"/>
            </w:rPr>
            <w:tab/>
          </w:r>
          <w:r>
            <w:rPr>
              <w:rFonts w:hint="eastAsia" w:ascii="Times New Roman" w:hAnsi="Times New Roman" w:eastAsia="仿宋_GB2312" w:cs="仿宋_GB2312"/>
              <w:b/>
              <w:bCs/>
              <w:color w:val="auto"/>
              <w:sz w:val="32"/>
              <w:szCs w:val="32"/>
              <w:highlight w:val="none"/>
            </w:rPr>
            <w:fldChar w:fldCharType="begin"/>
          </w:r>
          <w:r>
            <w:rPr>
              <w:rFonts w:hint="eastAsia" w:ascii="Times New Roman" w:hAnsi="Times New Roman" w:eastAsia="仿宋_GB2312" w:cs="仿宋_GB2312"/>
              <w:b/>
              <w:bCs/>
              <w:color w:val="auto"/>
              <w:sz w:val="32"/>
              <w:szCs w:val="32"/>
              <w:highlight w:val="none"/>
            </w:rPr>
            <w:instrText xml:space="preserve"> PAGEREF _Toc26651 \h </w:instrText>
          </w:r>
          <w:r>
            <w:rPr>
              <w:rFonts w:hint="eastAsia" w:ascii="Times New Roman" w:hAnsi="Times New Roman" w:eastAsia="仿宋_GB2312" w:cs="仿宋_GB2312"/>
              <w:b/>
              <w:bCs/>
              <w:color w:val="auto"/>
              <w:sz w:val="32"/>
              <w:szCs w:val="32"/>
              <w:highlight w:val="none"/>
            </w:rPr>
            <w:fldChar w:fldCharType="separate"/>
          </w:r>
          <w:r>
            <w:rPr>
              <w:rFonts w:hint="eastAsia" w:ascii="Times New Roman" w:hAnsi="Times New Roman" w:eastAsia="仿宋_GB2312" w:cs="仿宋_GB2312"/>
              <w:b/>
              <w:bCs/>
              <w:color w:val="auto"/>
              <w:sz w:val="32"/>
              <w:szCs w:val="32"/>
              <w:highlight w:val="none"/>
            </w:rPr>
            <w:t>18</w:t>
          </w:r>
          <w:r>
            <w:rPr>
              <w:rFonts w:hint="eastAsia" w:ascii="Times New Roman" w:hAnsi="Times New Roman" w:eastAsia="仿宋_GB2312" w:cs="仿宋_GB2312"/>
              <w:b/>
              <w:bCs/>
              <w:color w:val="auto"/>
              <w:sz w:val="32"/>
              <w:szCs w:val="32"/>
              <w:highlight w:val="none"/>
            </w:rPr>
            <w:fldChar w:fldCharType="end"/>
          </w:r>
          <w:r>
            <w:rPr>
              <w:rFonts w:hint="eastAsia" w:ascii="Times New Roman" w:hAnsi="Times New Roman" w:eastAsia="仿宋_GB2312" w:cs="仿宋_GB2312"/>
              <w:b/>
              <w:bCs/>
              <w:color w:val="auto"/>
              <w:sz w:val="32"/>
              <w:szCs w:val="32"/>
              <w:highlight w:val="none"/>
            </w:rPr>
            <w:fldChar w:fldCharType="end"/>
          </w:r>
        </w:p>
        <w:p w14:paraId="7AF362CC">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fldChar w:fldCharType="end"/>
          </w:r>
        </w:p>
      </w:sdtContent>
    </w:sdt>
    <w:p w14:paraId="463D3B3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5BF0DF5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2FE5CCD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27A7CCA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129AD6C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362F77A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6C36EC9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788653D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714F24D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42231DE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2295AEA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2B6A017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2B7C8D5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0E447D44">
      <w:pPr>
        <w:pStyle w:val="5"/>
        <w:jc w:val="center"/>
        <w:rPr>
          <w:rFonts w:hint="eastAsia" w:ascii="Times New Roman" w:hAnsi="Times New Roman" w:eastAsia="方正小标宋简体" w:cs="方正小标宋简体"/>
          <w:b w:val="0"/>
          <w:color w:val="auto"/>
          <w:highlight w:val="none"/>
        </w:rPr>
        <w:sectPr>
          <w:footerReference r:id="rId6" w:type="first"/>
          <w:footerReference r:id="rId5" w:type="default"/>
          <w:pgSz w:w="11906" w:h="16838"/>
          <w:pgMar w:top="1440" w:right="1800" w:bottom="1440" w:left="1800" w:header="851" w:footer="992" w:gutter="0"/>
          <w:pgNumType w:fmt="numberInDash" w:start="1"/>
          <w:cols w:space="425" w:num="1"/>
          <w:titlePg/>
          <w:docGrid w:type="lines" w:linePitch="312" w:charSpace="0"/>
        </w:sectPr>
      </w:pPr>
      <w:bookmarkStart w:id="10" w:name="_Toc15396599"/>
      <w:bookmarkStart w:id="11" w:name="_Toc15377196"/>
      <w:bookmarkStart w:id="12" w:name="_Toc28188"/>
    </w:p>
    <w:p w14:paraId="627F24A1">
      <w:pPr>
        <w:pStyle w:val="5"/>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10"/>
      <w:bookmarkEnd w:id="11"/>
      <w:bookmarkEnd w:id="12"/>
    </w:p>
    <w:p w14:paraId="622B9F4A">
      <w:pPr>
        <w:pStyle w:val="6"/>
        <w:rPr>
          <w:rFonts w:hint="eastAsia" w:ascii="Times New Roman" w:hAnsi="Times New Roman" w:eastAsia="黑体"/>
          <w:b w:val="0"/>
          <w:color w:val="auto"/>
          <w:highlight w:val="none"/>
          <w:lang w:eastAsia="zh-CN"/>
        </w:rPr>
      </w:pPr>
      <w:bookmarkStart w:id="13" w:name="_Toc15377197"/>
      <w:bookmarkStart w:id="14" w:name="_Toc15396600"/>
      <w:bookmarkStart w:id="15" w:name="_Toc348"/>
      <w:r>
        <w:rPr>
          <w:rFonts w:hint="eastAsia" w:ascii="Times New Roman" w:hAnsi="Times New Roman" w:eastAsia="黑体"/>
          <w:b w:val="0"/>
          <w:color w:val="auto"/>
          <w:highlight w:val="none"/>
        </w:rPr>
        <w:t>一、</w:t>
      </w:r>
      <w:bookmarkEnd w:id="13"/>
      <w:bookmarkEnd w:id="14"/>
      <w:r>
        <w:rPr>
          <w:rFonts w:hint="eastAsia" w:ascii="Times New Roman" w:hAnsi="Times New Roman" w:eastAsia="黑体"/>
          <w:b w:val="0"/>
          <w:color w:val="auto"/>
          <w:highlight w:val="none"/>
          <w:lang w:eastAsia="zh-CN"/>
        </w:rPr>
        <w:t>部门职责</w:t>
      </w:r>
      <w:bookmarkEnd w:id="15"/>
    </w:p>
    <w:p w14:paraId="5FC54312">
      <w:pPr>
        <w:widowControl/>
        <w:ind w:firstLine="640" w:firstLineChars="200"/>
        <w:jc w:val="left"/>
        <w:rPr>
          <w:rFonts w:hint="eastAsia" w:ascii="仿宋" w:hAnsi="仿宋" w:eastAsia="仿宋" w:cs="Times New Roman"/>
          <w:color w:val="000000"/>
          <w:sz w:val="32"/>
          <w:szCs w:val="32"/>
        </w:rPr>
      </w:pPr>
      <w:bookmarkStart w:id="16" w:name="_Toc15396601"/>
      <w:bookmarkStart w:id="17" w:name="_Toc15377200"/>
      <w:r>
        <w:rPr>
          <w:rFonts w:hint="eastAsia" w:ascii="仿宋" w:hAnsi="仿宋" w:eastAsia="仿宋" w:cs="Times New Roman"/>
          <w:color w:val="000000"/>
          <w:sz w:val="32"/>
          <w:szCs w:val="32"/>
          <w:lang w:eastAsia="zh-CN"/>
        </w:rPr>
        <w:t>（</w:t>
      </w:r>
      <w:r>
        <w:rPr>
          <w:rFonts w:hint="eastAsia" w:ascii="仿宋" w:hAnsi="仿宋" w:eastAsia="仿宋" w:cs="Times New Roman"/>
          <w:color w:val="000000"/>
          <w:sz w:val="32"/>
          <w:szCs w:val="32"/>
          <w:lang w:val="en-US" w:eastAsia="zh-CN"/>
        </w:rPr>
        <w:t>1</w:t>
      </w:r>
      <w:r>
        <w:rPr>
          <w:rFonts w:hint="eastAsia" w:ascii="仿宋" w:hAnsi="仿宋" w:eastAsia="仿宋" w:cs="Times New Roman"/>
          <w:color w:val="000000"/>
          <w:sz w:val="32"/>
          <w:szCs w:val="32"/>
          <w:lang w:eastAsia="zh-CN"/>
        </w:rPr>
        <w:t>）</w:t>
      </w:r>
      <w:r>
        <w:rPr>
          <w:rFonts w:hint="eastAsia" w:ascii="仿宋" w:hAnsi="仿宋" w:eastAsia="仿宋" w:cs="Times New Roman"/>
          <w:color w:val="000000"/>
          <w:sz w:val="32"/>
          <w:szCs w:val="32"/>
        </w:rPr>
        <w:t>贯彻执行就业再就业方针政策和法律法规，认真做好就业再就业工作。</w:t>
      </w:r>
    </w:p>
    <w:p w14:paraId="6F0C4C85">
      <w:pPr>
        <w:widowControl/>
        <w:ind w:firstLine="640" w:firstLineChars="200"/>
        <w:jc w:val="left"/>
        <w:rPr>
          <w:rFonts w:hint="eastAsia" w:ascii="仿宋" w:hAnsi="仿宋" w:eastAsia="仿宋" w:cs="Times New Roman"/>
          <w:color w:val="000000"/>
          <w:sz w:val="32"/>
          <w:szCs w:val="32"/>
        </w:rPr>
      </w:pPr>
      <w:r>
        <w:rPr>
          <w:rFonts w:hint="eastAsia" w:ascii="仿宋" w:hAnsi="仿宋" w:eastAsia="仿宋" w:cs="Times New Roman"/>
          <w:color w:val="000000"/>
          <w:sz w:val="32"/>
          <w:szCs w:val="32"/>
          <w:lang w:eastAsia="zh-CN"/>
        </w:rPr>
        <w:t>（</w:t>
      </w:r>
      <w:r>
        <w:rPr>
          <w:rFonts w:hint="eastAsia" w:ascii="仿宋" w:hAnsi="仿宋" w:eastAsia="仿宋" w:cs="Times New Roman"/>
          <w:color w:val="000000"/>
          <w:sz w:val="32"/>
          <w:szCs w:val="32"/>
          <w:lang w:val="en-US" w:eastAsia="zh-CN"/>
        </w:rPr>
        <w:t>2</w:t>
      </w:r>
      <w:r>
        <w:rPr>
          <w:rFonts w:hint="eastAsia" w:ascii="仿宋" w:hAnsi="仿宋" w:eastAsia="仿宋" w:cs="Times New Roman"/>
          <w:color w:val="000000"/>
          <w:sz w:val="32"/>
          <w:szCs w:val="32"/>
          <w:lang w:eastAsia="zh-CN"/>
        </w:rPr>
        <w:t>）</w:t>
      </w:r>
      <w:r>
        <w:rPr>
          <w:rFonts w:hint="eastAsia" w:ascii="仿宋" w:hAnsi="仿宋" w:eastAsia="仿宋" w:cs="Times New Roman"/>
          <w:color w:val="000000"/>
          <w:sz w:val="32"/>
          <w:szCs w:val="32"/>
        </w:rPr>
        <w:t>根据全区城镇失业人员、下岗人员及农村劳动力等人力资源和企事业单位用工需求情况，制定并组织实施全区劳动就业工作年度计划和长远规划。</w:t>
      </w:r>
    </w:p>
    <w:p w14:paraId="01CA75A5">
      <w:pPr>
        <w:widowControl/>
        <w:ind w:firstLine="640" w:firstLineChars="200"/>
        <w:jc w:val="left"/>
        <w:rPr>
          <w:rFonts w:hint="eastAsia" w:ascii="仿宋" w:hAnsi="仿宋" w:eastAsia="仿宋" w:cs="Times New Roman"/>
          <w:color w:val="000000"/>
          <w:sz w:val="32"/>
          <w:szCs w:val="32"/>
        </w:rPr>
      </w:pPr>
      <w:r>
        <w:rPr>
          <w:rFonts w:hint="eastAsia" w:ascii="仿宋" w:hAnsi="仿宋" w:eastAsia="仿宋" w:cs="Times New Roman"/>
          <w:color w:val="000000"/>
          <w:sz w:val="32"/>
          <w:szCs w:val="32"/>
          <w:lang w:eastAsia="zh-CN"/>
        </w:rPr>
        <w:t>（</w:t>
      </w:r>
      <w:r>
        <w:rPr>
          <w:rFonts w:hint="eastAsia" w:ascii="仿宋" w:hAnsi="仿宋" w:eastAsia="仿宋" w:cs="Times New Roman"/>
          <w:color w:val="000000"/>
          <w:sz w:val="32"/>
          <w:szCs w:val="32"/>
          <w:lang w:val="en-US" w:eastAsia="zh-CN"/>
        </w:rPr>
        <w:t>3</w:t>
      </w:r>
      <w:r>
        <w:rPr>
          <w:rFonts w:hint="eastAsia" w:ascii="仿宋" w:hAnsi="仿宋" w:eastAsia="仿宋" w:cs="Times New Roman"/>
          <w:color w:val="000000"/>
          <w:sz w:val="32"/>
          <w:szCs w:val="32"/>
          <w:lang w:eastAsia="zh-CN"/>
        </w:rPr>
        <w:t>）</w:t>
      </w:r>
      <w:r>
        <w:rPr>
          <w:rFonts w:hint="eastAsia" w:ascii="仿宋" w:hAnsi="仿宋" w:eastAsia="仿宋" w:cs="Times New Roman"/>
          <w:color w:val="000000"/>
          <w:sz w:val="32"/>
          <w:szCs w:val="32"/>
        </w:rPr>
        <w:t>负责人力资源市场建设管理工作；开展劳务交流、劳动就业政策咨询、宣传和就业指导工作；指导、管理全区基层劳动保障所和职业介绍机构落实就业再就业政策工作。</w:t>
      </w:r>
    </w:p>
    <w:p w14:paraId="6D2D199B">
      <w:pPr>
        <w:widowControl/>
        <w:ind w:firstLine="640" w:firstLineChars="200"/>
        <w:jc w:val="left"/>
        <w:rPr>
          <w:rFonts w:hint="eastAsia" w:ascii="仿宋" w:hAnsi="仿宋" w:eastAsia="仿宋" w:cs="Times New Roman"/>
          <w:color w:val="000000"/>
          <w:sz w:val="32"/>
          <w:szCs w:val="32"/>
        </w:rPr>
      </w:pPr>
      <w:r>
        <w:rPr>
          <w:rFonts w:hint="eastAsia" w:ascii="仿宋" w:hAnsi="仿宋" w:eastAsia="仿宋" w:cs="Times New Roman"/>
          <w:color w:val="000000"/>
          <w:sz w:val="32"/>
          <w:szCs w:val="32"/>
          <w:lang w:eastAsia="zh-CN"/>
        </w:rPr>
        <w:t>（</w:t>
      </w:r>
      <w:r>
        <w:rPr>
          <w:rFonts w:hint="eastAsia" w:ascii="仿宋" w:hAnsi="仿宋" w:eastAsia="仿宋" w:cs="Times New Roman"/>
          <w:color w:val="000000"/>
          <w:sz w:val="32"/>
          <w:szCs w:val="32"/>
          <w:lang w:val="en-US" w:eastAsia="zh-CN"/>
        </w:rPr>
        <w:t>4</w:t>
      </w:r>
      <w:r>
        <w:rPr>
          <w:rFonts w:hint="eastAsia" w:ascii="仿宋" w:hAnsi="仿宋" w:eastAsia="仿宋" w:cs="Times New Roman"/>
          <w:color w:val="000000"/>
          <w:sz w:val="32"/>
          <w:szCs w:val="32"/>
          <w:lang w:eastAsia="zh-CN"/>
        </w:rPr>
        <w:t>）</w:t>
      </w:r>
      <w:r>
        <w:rPr>
          <w:rFonts w:hint="eastAsia" w:ascii="仿宋" w:hAnsi="仿宋" w:eastAsia="仿宋" w:cs="Times New Roman"/>
          <w:color w:val="000000"/>
          <w:sz w:val="32"/>
          <w:szCs w:val="32"/>
        </w:rPr>
        <w:t>负责制订就业培训计划，监督管理城镇失业人员、下岗失业人员等就业困难人员和农村劳动力职业技能等培训工作。</w:t>
      </w:r>
    </w:p>
    <w:p w14:paraId="095D25F7">
      <w:pPr>
        <w:widowControl/>
        <w:ind w:firstLine="640" w:firstLineChars="200"/>
        <w:jc w:val="left"/>
        <w:rPr>
          <w:rFonts w:hint="eastAsia" w:ascii="仿宋" w:hAnsi="仿宋" w:eastAsia="仿宋" w:cs="Times New Roman"/>
          <w:color w:val="000000"/>
          <w:sz w:val="32"/>
          <w:szCs w:val="32"/>
        </w:rPr>
      </w:pPr>
      <w:r>
        <w:rPr>
          <w:rFonts w:hint="eastAsia" w:ascii="仿宋" w:hAnsi="仿宋" w:eastAsia="仿宋" w:cs="Times New Roman"/>
          <w:color w:val="000000"/>
          <w:sz w:val="32"/>
          <w:szCs w:val="32"/>
          <w:lang w:eastAsia="zh-CN"/>
        </w:rPr>
        <w:t>（</w:t>
      </w:r>
      <w:r>
        <w:rPr>
          <w:rFonts w:hint="eastAsia" w:ascii="仿宋" w:hAnsi="仿宋" w:eastAsia="仿宋" w:cs="Times New Roman"/>
          <w:color w:val="000000"/>
          <w:sz w:val="32"/>
          <w:szCs w:val="32"/>
          <w:lang w:val="en-US" w:eastAsia="zh-CN"/>
        </w:rPr>
        <w:t>5</w:t>
      </w:r>
      <w:r>
        <w:rPr>
          <w:rFonts w:hint="eastAsia" w:ascii="仿宋" w:hAnsi="仿宋" w:eastAsia="仿宋" w:cs="Times New Roman"/>
          <w:color w:val="000000"/>
          <w:sz w:val="32"/>
          <w:szCs w:val="32"/>
          <w:lang w:eastAsia="zh-CN"/>
        </w:rPr>
        <w:t>）</w:t>
      </w:r>
      <w:r>
        <w:rPr>
          <w:rFonts w:hint="eastAsia" w:ascii="仿宋" w:hAnsi="仿宋" w:eastAsia="仿宋" w:cs="Times New Roman"/>
          <w:color w:val="000000"/>
          <w:sz w:val="32"/>
          <w:szCs w:val="32"/>
        </w:rPr>
        <w:t>认真做好职业资格证书制度推行工作。负责组织初级职业技能考核鉴定工作和中、高级职业技能鉴定的申报工作。</w:t>
      </w:r>
    </w:p>
    <w:p w14:paraId="797B5ADE">
      <w:pPr>
        <w:widowControl/>
        <w:ind w:firstLine="640" w:firstLineChars="200"/>
        <w:jc w:val="left"/>
        <w:rPr>
          <w:rFonts w:hint="eastAsia" w:ascii="仿宋" w:hAnsi="仿宋" w:eastAsia="仿宋" w:cs="Times New Roman"/>
          <w:color w:val="000000"/>
          <w:sz w:val="32"/>
          <w:szCs w:val="32"/>
        </w:rPr>
      </w:pPr>
      <w:r>
        <w:rPr>
          <w:rFonts w:hint="eastAsia" w:ascii="仿宋" w:hAnsi="仿宋" w:eastAsia="仿宋" w:cs="Times New Roman"/>
          <w:color w:val="000000"/>
          <w:sz w:val="32"/>
          <w:szCs w:val="32"/>
          <w:lang w:eastAsia="zh-CN"/>
        </w:rPr>
        <w:t>（</w:t>
      </w:r>
      <w:r>
        <w:rPr>
          <w:rFonts w:hint="eastAsia" w:ascii="仿宋" w:hAnsi="仿宋" w:eastAsia="仿宋" w:cs="Times New Roman"/>
          <w:color w:val="000000"/>
          <w:sz w:val="32"/>
          <w:szCs w:val="32"/>
          <w:lang w:val="en-US" w:eastAsia="zh-CN"/>
        </w:rPr>
        <w:t>6</w:t>
      </w:r>
      <w:r>
        <w:rPr>
          <w:rFonts w:hint="eastAsia" w:ascii="仿宋" w:hAnsi="仿宋" w:eastAsia="仿宋" w:cs="Times New Roman"/>
          <w:color w:val="000000"/>
          <w:sz w:val="32"/>
          <w:szCs w:val="32"/>
          <w:lang w:eastAsia="zh-CN"/>
        </w:rPr>
        <w:t>）</w:t>
      </w:r>
      <w:r>
        <w:rPr>
          <w:rFonts w:hint="eastAsia" w:ascii="仿宋" w:hAnsi="仿宋" w:eastAsia="仿宋" w:cs="Times New Roman"/>
          <w:color w:val="000000"/>
          <w:sz w:val="32"/>
          <w:szCs w:val="32"/>
        </w:rPr>
        <w:t>负责失业保险金申领审核及档案托管工作；指导和管理就业证、失业证、外出务工卡、再就业优惠证的办理工作。</w:t>
      </w:r>
    </w:p>
    <w:p w14:paraId="43FBFCC3">
      <w:pPr>
        <w:widowControl/>
        <w:ind w:firstLine="640" w:firstLineChars="200"/>
        <w:jc w:val="left"/>
        <w:rPr>
          <w:rFonts w:hint="eastAsia" w:ascii="仿宋" w:hAnsi="仿宋" w:eastAsia="仿宋" w:cs="Times New Roman"/>
          <w:color w:val="000000"/>
          <w:sz w:val="32"/>
          <w:szCs w:val="32"/>
        </w:rPr>
      </w:pPr>
      <w:r>
        <w:rPr>
          <w:rFonts w:hint="eastAsia" w:ascii="仿宋" w:hAnsi="仿宋" w:eastAsia="仿宋" w:cs="Times New Roman"/>
          <w:color w:val="000000"/>
          <w:sz w:val="32"/>
          <w:szCs w:val="32"/>
          <w:lang w:eastAsia="zh-CN"/>
        </w:rPr>
        <w:t>（</w:t>
      </w:r>
      <w:r>
        <w:rPr>
          <w:rFonts w:hint="eastAsia" w:ascii="仿宋" w:hAnsi="仿宋" w:eastAsia="仿宋" w:cs="Times New Roman"/>
          <w:color w:val="000000"/>
          <w:sz w:val="32"/>
          <w:szCs w:val="32"/>
          <w:lang w:val="en-US" w:eastAsia="zh-CN"/>
        </w:rPr>
        <w:t>7</w:t>
      </w:r>
      <w:r>
        <w:rPr>
          <w:rFonts w:hint="eastAsia" w:ascii="仿宋" w:hAnsi="仿宋" w:eastAsia="仿宋" w:cs="Times New Roman"/>
          <w:color w:val="000000"/>
          <w:sz w:val="32"/>
          <w:szCs w:val="32"/>
          <w:lang w:eastAsia="zh-CN"/>
        </w:rPr>
        <w:t>）</w:t>
      </w:r>
      <w:r>
        <w:rPr>
          <w:rFonts w:hint="eastAsia" w:ascii="仿宋" w:hAnsi="仿宋" w:eastAsia="仿宋" w:cs="Times New Roman"/>
          <w:color w:val="000000"/>
          <w:sz w:val="32"/>
          <w:szCs w:val="32"/>
        </w:rPr>
        <w:t>负责办理小额担保贷款初审和社保补贴、公益性岗位认定及补贴、职业介绍补贴、培训补贴的审核及就业再就业政策的落实工作。</w:t>
      </w:r>
    </w:p>
    <w:p w14:paraId="6562824E">
      <w:pPr>
        <w:widowControl/>
        <w:ind w:firstLine="640" w:firstLineChars="200"/>
        <w:jc w:val="left"/>
        <w:rPr>
          <w:rFonts w:hint="eastAsia" w:ascii="仿宋" w:hAnsi="仿宋" w:eastAsia="仿宋" w:cs="Times New Roman"/>
          <w:color w:val="000000"/>
          <w:sz w:val="32"/>
          <w:szCs w:val="32"/>
        </w:rPr>
      </w:pPr>
      <w:r>
        <w:rPr>
          <w:rFonts w:hint="eastAsia" w:ascii="仿宋" w:hAnsi="仿宋" w:eastAsia="仿宋" w:cs="Times New Roman"/>
          <w:color w:val="000000"/>
          <w:sz w:val="32"/>
          <w:szCs w:val="32"/>
          <w:lang w:eastAsia="zh-CN"/>
        </w:rPr>
        <w:t>（</w:t>
      </w:r>
      <w:r>
        <w:rPr>
          <w:rFonts w:hint="eastAsia" w:ascii="仿宋" w:hAnsi="仿宋" w:eastAsia="仿宋" w:cs="Times New Roman"/>
          <w:color w:val="000000"/>
          <w:sz w:val="32"/>
          <w:szCs w:val="32"/>
          <w:lang w:val="en-US" w:eastAsia="zh-CN"/>
        </w:rPr>
        <w:t>8</w:t>
      </w:r>
      <w:r>
        <w:rPr>
          <w:rFonts w:hint="eastAsia" w:ascii="仿宋" w:hAnsi="仿宋" w:eastAsia="仿宋" w:cs="Times New Roman"/>
          <w:color w:val="000000"/>
          <w:sz w:val="32"/>
          <w:szCs w:val="32"/>
          <w:lang w:eastAsia="zh-CN"/>
        </w:rPr>
        <w:t>）</w:t>
      </w:r>
      <w:r>
        <w:rPr>
          <w:rFonts w:hint="eastAsia" w:ascii="仿宋" w:hAnsi="仿宋" w:eastAsia="仿宋" w:cs="Times New Roman"/>
          <w:color w:val="000000"/>
          <w:sz w:val="32"/>
          <w:szCs w:val="32"/>
        </w:rPr>
        <w:t>负责对享受就业再就业优惠政策企业的认定及相关管理工作。</w:t>
      </w:r>
    </w:p>
    <w:p w14:paraId="2179C10A">
      <w:pPr>
        <w:widowControl/>
        <w:ind w:firstLine="640" w:firstLineChars="200"/>
        <w:jc w:val="left"/>
        <w:rPr>
          <w:rFonts w:hint="eastAsia" w:ascii="仿宋" w:hAnsi="仿宋" w:eastAsia="仿宋" w:cs="Times New Roman"/>
          <w:color w:val="000000"/>
          <w:sz w:val="32"/>
          <w:szCs w:val="32"/>
        </w:rPr>
      </w:pPr>
      <w:r>
        <w:rPr>
          <w:rFonts w:hint="eastAsia" w:ascii="仿宋" w:hAnsi="仿宋" w:eastAsia="仿宋" w:cs="Times New Roman"/>
          <w:color w:val="000000"/>
          <w:sz w:val="32"/>
          <w:szCs w:val="32"/>
          <w:lang w:eastAsia="zh-CN"/>
        </w:rPr>
        <w:t>（</w:t>
      </w:r>
      <w:r>
        <w:rPr>
          <w:rFonts w:hint="eastAsia" w:ascii="仿宋" w:hAnsi="仿宋" w:eastAsia="仿宋" w:cs="Times New Roman"/>
          <w:color w:val="000000"/>
          <w:sz w:val="32"/>
          <w:szCs w:val="32"/>
          <w:lang w:val="en-US" w:eastAsia="zh-CN"/>
        </w:rPr>
        <w:t>9</w:t>
      </w:r>
      <w:r>
        <w:rPr>
          <w:rFonts w:hint="eastAsia" w:ascii="仿宋" w:hAnsi="仿宋" w:eastAsia="仿宋" w:cs="Times New Roman"/>
          <w:color w:val="000000"/>
          <w:sz w:val="32"/>
          <w:szCs w:val="32"/>
          <w:lang w:eastAsia="zh-CN"/>
        </w:rPr>
        <w:t>）</w:t>
      </w:r>
      <w:r>
        <w:rPr>
          <w:rFonts w:hint="eastAsia" w:ascii="仿宋" w:hAnsi="仿宋" w:eastAsia="仿宋" w:cs="Times New Roman"/>
          <w:color w:val="000000"/>
          <w:sz w:val="32"/>
          <w:szCs w:val="32"/>
        </w:rPr>
        <w:t>负责全区就业再就业统计工作。</w:t>
      </w:r>
    </w:p>
    <w:p w14:paraId="171395E6">
      <w:pPr>
        <w:widowControl/>
        <w:ind w:firstLine="640" w:firstLineChars="200"/>
        <w:jc w:val="left"/>
        <w:rPr>
          <w:rFonts w:hint="eastAsia" w:ascii="仿宋" w:hAnsi="仿宋" w:eastAsia="仿宋" w:cs="Times New Roman"/>
          <w:color w:val="000000"/>
          <w:sz w:val="32"/>
          <w:szCs w:val="32"/>
        </w:rPr>
      </w:pPr>
      <w:r>
        <w:rPr>
          <w:rFonts w:hint="eastAsia" w:ascii="仿宋" w:hAnsi="仿宋" w:eastAsia="仿宋" w:cs="Times New Roman"/>
          <w:color w:val="000000"/>
          <w:sz w:val="32"/>
          <w:szCs w:val="32"/>
          <w:lang w:eastAsia="zh-CN"/>
        </w:rPr>
        <w:t>（</w:t>
      </w:r>
      <w:r>
        <w:rPr>
          <w:rFonts w:hint="eastAsia" w:ascii="仿宋" w:hAnsi="仿宋" w:eastAsia="仿宋" w:cs="Times New Roman"/>
          <w:color w:val="000000"/>
          <w:sz w:val="32"/>
          <w:szCs w:val="32"/>
          <w:lang w:val="en-US" w:eastAsia="zh-CN"/>
        </w:rPr>
        <w:t>10</w:t>
      </w:r>
      <w:r>
        <w:rPr>
          <w:rFonts w:hint="eastAsia" w:ascii="仿宋" w:hAnsi="仿宋" w:eastAsia="仿宋" w:cs="Times New Roman"/>
          <w:color w:val="000000"/>
          <w:sz w:val="32"/>
          <w:szCs w:val="32"/>
          <w:lang w:eastAsia="zh-CN"/>
        </w:rPr>
        <w:t>）</w:t>
      </w:r>
      <w:r>
        <w:rPr>
          <w:rFonts w:hint="eastAsia" w:ascii="仿宋" w:hAnsi="仿宋" w:eastAsia="仿宋" w:cs="Times New Roman"/>
          <w:color w:val="000000"/>
          <w:sz w:val="32"/>
          <w:szCs w:val="32"/>
        </w:rPr>
        <w:t>完成领导交办的其他工作任务。</w:t>
      </w:r>
    </w:p>
    <w:p w14:paraId="19A5F43B">
      <w:pPr>
        <w:pStyle w:val="6"/>
        <w:rPr>
          <w:rStyle w:val="30"/>
          <w:rFonts w:ascii="Times New Roman" w:hAnsi="Times New Roman"/>
          <w:b w:val="0"/>
          <w:bCs w:val="0"/>
          <w:color w:val="auto"/>
          <w:highlight w:val="none"/>
        </w:rPr>
      </w:pPr>
      <w:bookmarkStart w:id="18" w:name="_Toc18535"/>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6"/>
      <w:bookmarkEnd w:id="17"/>
      <w:bookmarkEnd w:id="18"/>
    </w:p>
    <w:p w14:paraId="134DF6E3">
      <w:pPr>
        <w:widowControl/>
        <w:ind w:firstLine="640" w:firstLineChars="200"/>
        <w:jc w:val="left"/>
        <w:rPr>
          <w:rFonts w:ascii="Times New Roman" w:hAnsi="Times New Roman" w:eastAsia="仿宋"/>
          <w:color w:val="auto"/>
          <w:kern w:val="0"/>
          <w:sz w:val="32"/>
          <w:szCs w:val="32"/>
          <w:highlight w:val="none"/>
        </w:rPr>
      </w:pPr>
      <w:r>
        <w:rPr>
          <w:rFonts w:hint="eastAsia" w:ascii="仿宋" w:hAnsi="仿宋" w:eastAsia="仿宋"/>
          <w:color w:val="000000"/>
          <w:sz w:val="32"/>
          <w:szCs w:val="32"/>
        </w:rPr>
        <w:t>阿坝州松潘县就业局</w:t>
      </w:r>
      <w:r>
        <w:rPr>
          <w:rFonts w:ascii="仿宋" w:hAnsi="仿宋" w:eastAsia="仿宋"/>
          <w:color w:val="000000"/>
          <w:sz w:val="32"/>
          <w:szCs w:val="32"/>
        </w:rPr>
        <w:t>成立于1986年，</w:t>
      </w:r>
      <w:r>
        <w:rPr>
          <w:rFonts w:hint="eastAsia" w:ascii="仿宋" w:hAnsi="仿宋" w:eastAsia="仿宋"/>
          <w:color w:val="000000"/>
          <w:sz w:val="32"/>
          <w:szCs w:val="32"/>
          <w:lang w:eastAsia="zh-CN"/>
        </w:rPr>
        <w:t>属于</w:t>
      </w:r>
      <w:r>
        <w:rPr>
          <w:rFonts w:ascii="仿宋" w:hAnsi="仿宋" w:eastAsia="仿宋"/>
          <w:color w:val="000000"/>
          <w:sz w:val="32"/>
          <w:szCs w:val="32"/>
        </w:rPr>
        <w:t>参照公务员法管理的事业单位，现有人员</w:t>
      </w:r>
      <w:r>
        <w:rPr>
          <w:rFonts w:hint="eastAsia" w:ascii="仿宋" w:hAnsi="仿宋" w:eastAsia="仿宋"/>
          <w:color w:val="000000"/>
          <w:sz w:val="32"/>
          <w:szCs w:val="32"/>
          <w:lang w:val="en-US" w:eastAsia="zh-CN"/>
        </w:rPr>
        <w:t>11</w:t>
      </w:r>
      <w:r>
        <w:rPr>
          <w:rFonts w:ascii="仿宋" w:hAnsi="仿宋" w:eastAsia="仿宋"/>
          <w:color w:val="000000"/>
          <w:sz w:val="32"/>
          <w:szCs w:val="32"/>
        </w:rPr>
        <w:t>人，其中在职</w:t>
      </w:r>
      <w:r>
        <w:rPr>
          <w:rFonts w:hint="eastAsia" w:ascii="仿宋" w:hAnsi="仿宋" w:eastAsia="仿宋"/>
          <w:color w:val="000000"/>
          <w:sz w:val="32"/>
          <w:szCs w:val="32"/>
          <w:lang w:val="en-US" w:eastAsia="zh-CN"/>
        </w:rPr>
        <w:t>11</w:t>
      </w:r>
      <w:r>
        <w:rPr>
          <w:rFonts w:ascii="仿宋" w:hAnsi="仿宋" w:eastAsia="仿宋"/>
          <w:color w:val="000000"/>
          <w:sz w:val="32"/>
          <w:szCs w:val="32"/>
        </w:rPr>
        <w:t>人，退休2人。局内</w:t>
      </w:r>
      <w:r>
        <w:rPr>
          <w:rFonts w:hint="eastAsia" w:ascii="仿宋" w:hAnsi="仿宋" w:eastAsia="仿宋"/>
          <w:color w:val="000000"/>
          <w:sz w:val="32"/>
          <w:szCs w:val="32"/>
          <w:lang w:eastAsia="zh-CN"/>
        </w:rPr>
        <w:t>设有</w:t>
      </w:r>
      <w:r>
        <w:rPr>
          <w:rFonts w:ascii="仿宋" w:hAnsi="仿宋" w:eastAsia="仿宋"/>
          <w:color w:val="000000"/>
          <w:sz w:val="32"/>
          <w:szCs w:val="32"/>
        </w:rPr>
        <w:t>办公室、失业保险股、就业指导股、劳动就业服务企业管理股、培训股。</w:t>
      </w:r>
      <w:r>
        <w:rPr>
          <w:rFonts w:ascii="Times New Roman" w:hAnsi="Times New Roman" w:eastAsia="仿宋"/>
          <w:color w:val="auto"/>
          <w:sz w:val="32"/>
          <w:szCs w:val="32"/>
          <w:highlight w:val="none"/>
        </w:rPr>
        <w:br w:type="page"/>
      </w:r>
    </w:p>
    <w:p w14:paraId="6F6854B4">
      <w:pPr>
        <w:pStyle w:val="5"/>
        <w:jc w:val="center"/>
        <w:rPr>
          <w:rFonts w:hint="eastAsia" w:ascii="Times New Roman" w:hAnsi="Times New Roman" w:eastAsia="方正小标宋简体" w:cs="方正小标宋简体"/>
          <w:b w:val="0"/>
          <w:color w:val="auto"/>
          <w:highlight w:val="none"/>
        </w:rPr>
      </w:pPr>
      <w:bookmarkStart w:id="19" w:name="_Toc15377204"/>
      <w:bookmarkStart w:id="20" w:name="_Toc15396602"/>
      <w:bookmarkStart w:id="21" w:name="_Toc6416"/>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w:t>
      </w:r>
      <w:r>
        <w:rPr>
          <w:rFonts w:hint="eastAsia" w:ascii="Times New Roman" w:hAnsi="Times New Roman" w:eastAsia="方正小标宋简体" w:cs="方正小标宋简体"/>
          <w:b w:val="0"/>
          <w:color w:val="auto"/>
          <w:highlight w:val="none"/>
          <w:lang w:val="en-US" w:eastAsia="zh-CN"/>
        </w:rPr>
        <w:t>度</w:t>
      </w:r>
      <w:r>
        <w:rPr>
          <w:rFonts w:hint="eastAsia" w:ascii="Times New Roman" w:hAnsi="Times New Roman" w:eastAsia="方正小标宋简体" w:cs="方正小标宋简体"/>
          <w:b w:val="0"/>
          <w:color w:val="auto"/>
          <w:highlight w:val="none"/>
        </w:rPr>
        <w:t>部门决算情况说明</w:t>
      </w:r>
      <w:bookmarkEnd w:id="19"/>
      <w:bookmarkEnd w:id="20"/>
      <w:bookmarkEnd w:id="21"/>
    </w:p>
    <w:p w14:paraId="5F62E21A">
      <w:pPr>
        <w:rPr>
          <w:rFonts w:ascii="Times New Roman" w:hAnsi="Times New Roman"/>
          <w:color w:val="auto"/>
          <w:highlight w:val="none"/>
        </w:rPr>
      </w:pPr>
    </w:p>
    <w:p w14:paraId="4224A62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2" w:name="_Toc15396603"/>
      <w:bookmarkStart w:id="23" w:name="_Toc32036"/>
      <w:bookmarkStart w:id="24"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22"/>
      <w:bookmarkEnd w:id="23"/>
      <w:bookmarkEnd w:id="24"/>
    </w:p>
    <w:p w14:paraId="561A269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bookmarkStart w:id="25" w:name="_Toc21238"/>
      <w:bookmarkStart w:id="26" w:name="_Toc2168"/>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1168.72</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总计增加201</w:t>
      </w:r>
      <w:r>
        <w:rPr>
          <w:rFonts w:hint="eastAsia" w:eastAsia="仿宋_GB2312" w:cs="仿宋_GB2312"/>
          <w:color w:val="auto"/>
          <w:sz w:val="32"/>
          <w:szCs w:val="32"/>
          <w:highlight w:val="none"/>
          <w:lang w:val="en-US" w:eastAsia="zh-CN"/>
        </w:rPr>
        <w:t>.</w:t>
      </w:r>
      <w:r>
        <w:rPr>
          <w:rFonts w:hint="eastAsia" w:ascii="Times New Roman" w:hAnsi="Times New Roman" w:eastAsia="仿宋_GB2312" w:cs="仿宋_GB2312"/>
          <w:color w:val="auto"/>
          <w:sz w:val="32"/>
          <w:szCs w:val="32"/>
          <w:highlight w:val="none"/>
        </w:rPr>
        <w:t>74万元，增长20.86%</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本年度项目资金增加；支出</w:t>
      </w:r>
      <w:r>
        <w:rPr>
          <w:rFonts w:hint="eastAsia" w:ascii="Times New Roman" w:hAnsi="Times New Roman" w:eastAsia="仿宋_GB2312" w:cs="仿宋_GB2312"/>
          <w:color w:val="auto"/>
          <w:sz w:val="32"/>
          <w:szCs w:val="32"/>
          <w:highlight w:val="none"/>
        </w:rPr>
        <w:t>总计增加191</w:t>
      </w:r>
      <w:r>
        <w:rPr>
          <w:rFonts w:hint="eastAsia" w:eastAsia="仿宋_GB2312" w:cs="仿宋_GB2312"/>
          <w:color w:val="auto"/>
          <w:sz w:val="32"/>
          <w:szCs w:val="32"/>
          <w:highlight w:val="none"/>
          <w:lang w:val="en-US" w:eastAsia="zh-CN"/>
        </w:rPr>
        <w:t>.</w:t>
      </w:r>
      <w:r>
        <w:rPr>
          <w:rFonts w:hint="eastAsia" w:ascii="Times New Roman" w:hAnsi="Times New Roman" w:eastAsia="仿宋_GB2312" w:cs="仿宋_GB2312"/>
          <w:color w:val="auto"/>
          <w:sz w:val="32"/>
          <w:szCs w:val="32"/>
          <w:highlight w:val="none"/>
        </w:rPr>
        <w:t>74万元，增长19.63%</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本年度项目资金增加。</w:t>
      </w:r>
    </w:p>
    <w:p w14:paraId="67A34D0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rPr>
      </w:pPr>
      <w:r>
        <w:drawing>
          <wp:anchor distT="0" distB="0" distL="114300" distR="114300" simplePos="0" relativeHeight="251663360" behindDoc="0" locked="0" layoutInCell="1" allowOverlap="1">
            <wp:simplePos x="0" y="0"/>
            <wp:positionH relativeFrom="column">
              <wp:posOffset>415290</wp:posOffset>
            </wp:positionH>
            <wp:positionV relativeFrom="paragraph">
              <wp:posOffset>210185</wp:posOffset>
            </wp:positionV>
            <wp:extent cx="4826000" cy="2846070"/>
            <wp:effectExtent l="4445" t="4445" r="15875" b="14605"/>
            <wp:wrapTopAndBottom/>
            <wp:docPr id="103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bookmarkEnd w:id="25"/>
      <w:bookmarkEnd w:id="26"/>
    </w:p>
    <w:p w14:paraId="365CCCE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62E11E0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7" w:name="_Toc15396604"/>
      <w:bookmarkStart w:id="28" w:name="_Toc15377206"/>
      <w:bookmarkStart w:id="29" w:name="_Toc21853"/>
      <w:r>
        <w:rPr>
          <w:rFonts w:hint="eastAsia" w:ascii="Times New Roman" w:hAnsi="Times New Roman" w:eastAsia="黑体"/>
          <w:color w:val="auto"/>
          <w:sz w:val="32"/>
          <w:szCs w:val="32"/>
          <w:highlight w:val="none"/>
          <w:lang w:eastAsia="zh-CN"/>
        </w:rPr>
        <w:t>二、收入决算情况说明</w:t>
      </w:r>
      <w:bookmarkEnd w:id="27"/>
      <w:bookmarkEnd w:id="28"/>
      <w:bookmarkEnd w:id="29"/>
    </w:p>
    <w:p w14:paraId="745219E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bookmarkStart w:id="30" w:name="_Toc14688"/>
      <w:bookmarkStart w:id="31" w:name="_Toc29325"/>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1168.72</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1168.72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CN"/>
        </w:rPr>
        <w:t>。</w:t>
      </w:r>
      <w:bookmarkEnd w:id="30"/>
      <w:bookmarkEnd w:id="31"/>
    </w:p>
    <w:p w14:paraId="340FB4A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2336" behindDoc="0" locked="0" layoutInCell="1" allowOverlap="1">
            <wp:simplePos x="0" y="0"/>
            <wp:positionH relativeFrom="column">
              <wp:posOffset>577850</wp:posOffset>
            </wp:positionH>
            <wp:positionV relativeFrom="paragraph">
              <wp:posOffset>311150</wp:posOffset>
            </wp:positionV>
            <wp:extent cx="4826000" cy="2261235"/>
            <wp:effectExtent l="4445" t="4445" r="15875" b="5080"/>
            <wp:wrapTopAndBottom/>
            <wp:docPr id="205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sz w:val="32"/>
          <w:szCs w:val="32"/>
          <w:highlight w:val="none"/>
          <w:lang w:eastAsia="zh-CN"/>
        </w:rPr>
        <w:t>（图2：收入决算结构图）（饼状图）</w:t>
      </w:r>
    </w:p>
    <w:p w14:paraId="240168F3">
      <w:pPr>
        <w:ind w:firstLine="800" w:firstLineChars="250"/>
        <w:rPr>
          <w:rFonts w:hint="eastAsia" w:ascii="Times New Roman" w:hAnsi="Times New Roman" w:eastAsia="仿宋_GB2312" w:cs="仿宋_GB2312"/>
          <w:color w:val="auto"/>
          <w:sz w:val="32"/>
          <w:szCs w:val="32"/>
          <w:highlight w:val="none"/>
          <w:lang w:eastAsia="zh-CN"/>
        </w:rPr>
      </w:pPr>
    </w:p>
    <w:p w14:paraId="27F8E7B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32" w:name="_Toc15396605"/>
      <w:bookmarkStart w:id="33" w:name="_Toc15377207"/>
      <w:bookmarkStart w:id="34" w:name="_Toc7810"/>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32"/>
      <w:bookmarkEnd w:id="33"/>
      <w:bookmarkEnd w:id="34"/>
    </w:p>
    <w:p w14:paraId="439340A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bookmarkStart w:id="35" w:name="_Toc13424"/>
      <w:bookmarkStart w:id="36" w:name="_Toc32266"/>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025年度本年支出合计1168.72万元，其中：基本支出240.56万元，占20.58%；项目支出928.17万元，占79.4</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bookmarkEnd w:id="35"/>
      <w:bookmarkEnd w:id="36"/>
    </w:p>
    <w:p w14:paraId="23E394B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bookmarkStart w:id="37" w:name="_Toc13336"/>
      <w:bookmarkStart w:id="38" w:name="_Toc11114"/>
      <w:r>
        <w:drawing>
          <wp:anchor distT="0" distB="0" distL="114300" distR="114300" simplePos="0" relativeHeight="251664384" behindDoc="0" locked="0" layoutInCell="1" allowOverlap="1">
            <wp:simplePos x="0" y="0"/>
            <wp:positionH relativeFrom="column">
              <wp:posOffset>428625</wp:posOffset>
            </wp:positionH>
            <wp:positionV relativeFrom="paragraph">
              <wp:posOffset>239395</wp:posOffset>
            </wp:positionV>
            <wp:extent cx="4826000" cy="2366645"/>
            <wp:effectExtent l="5080" t="4445" r="15240" b="6350"/>
            <wp:wrapTopAndBottom/>
            <wp:docPr id="205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sz w:val="32"/>
          <w:szCs w:val="32"/>
          <w:highlight w:val="none"/>
          <w:lang w:eastAsia="zh-CN"/>
        </w:rPr>
        <w:t>（图3：支出决算结构图）（饼状图）</w:t>
      </w:r>
      <w:bookmarkEnd w:id="37"/>
      <w:bookmarkEnd w:id="38"/>
    </w:p>
    <w:p w14:paraId="7C361EE5">
      <w:pPr>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br w:type="page"/>
      </w:r>
    </w:p>
    <w:p w14:paraId="1D9FC4FA">
      <w:pPr>
        <w:spacing w:line="600" w:lineRule="exact"/>
        <w:ind w:firstLine="640" w:firstLineChars="200"/>
        <w:outlineLvl w:val="1"/>
        <w:rPr>
          <w:rStyle w:val="30"/>
          <w:rFonts w:ascii="Times New Roman" w:hAnsi="Times New Roman" w:eastAsia="黑体"/>
          <w:b w:val="0"/>
          <w:color w:val="auto"/>
          <w:highlight w:val="none"/>
        </w:rPr>
      </w:pPr>
      <w:bookmarkStart w:id="39" w:name="_Toc15396606"/>
      <w:bookmarkStart w:id="40" w:name="_Toc7375"/>
      <w:bookmarkStart w:id="41"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39"/>
      <w:bookmarkEnd w:id="40"/>
      <w:bookmarkEnd w:id="41"/>
    </w:p>
    <w:p w14:paraId="193C5FE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2025年度财政拨款收入、支出总计均为1168.72万元。与上年度相比，财政拨款收入</w:t>
      </w:r>
      <w:r>
        <w:rPr>
          <w:rFonts w:hint="eastAsia" w:ascii="Times New Roman" w:hAnsi="Times New Roman" w:eastAsia="仿宋_GB2312" w:cs="仿宋_GB2312"/>
          <w:color w:val="auto"/>
          <w:sz w:val="32"/>
          <w:szCs w:val="32"/>
          <w:highlight w:val="none"/>
        </w:rPr>
        <w:t>总计增加201</w:t>
      </w:r>
      <w:r>
        <w:rPr>
          <w:rFonts w:hint="eastAsia" w:eastAsia="仿宋_GB2312" w:cs="仿宋_GB2312"/>
          <w:color w:val="auto"/>
          <w:sz w:val="32"/>
          <w:szCs w:val="32"/>
          <w:highlight w:val="none"/>
          <w:lang w:val="en-US" w:eastAsia="zh-CN"/>
        </w:rPr>
        <w:t>.</w:t>
      </w:r>
      <w:r>
        <w:rPr>
          <w:rFonts w:hint="eastAsia" w:ascii="Times New Roman" w:hAnsi="Times New Roman" w:eastAsia="仿宋_GB2312" w:cs="仿宋_GB2312"/>
          <w:color w:val="auto"/>
          <w:sz w:val="32"/>
          <w:szCs w:val="32"/>
          <w:highlight w:val="none"/>
        </w:rPr>
        <w:t>74万元，增长20.86%</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本年度项目资金增加；</w:t>
      </w:r>
      <w:r>
        <w:rPr>
          <w:rFonts w:hint="eastAsia" w:eastAsia="仿宋_GB2312" w:cs="仿宋_GB2312"/>
          <w:color w:val="auto"/>
          <w:kern w:val="2"/>
          <w:sz w:val="32"/>
          <w:szCs w:val="32"/>
          <w:highlight w:val="none"/>
          <w:lang w:val="en-US" w:eastAsia="zh-CN" w:bidi="ar-SA"/>
        </w:rPr>
        <w:t>财政拨款</w:t>
      </w:r>
      <w:r>
        <w:rPr>
          <w:rFonts w:hint="eastAsia" w:eastAsia="仿宋_GB2312" w:cs="仿宋_GB2312"/>
          <w:color w:val="auto"/>
          <w:sz w:val="32"/>
          <w:szCs w:val="32"/>
          <w:highlight w:val="none"/>
          <w:lang w:val="en-US" w:eastAsia="zh-CN"/>
        </w:rPr>
        <w:t>支出</w:t>
      </w:r>
      <w:r>
        <w:rPr>
          <w:rFonts w:hint="eastAsia" w:ascii="Times New Roman" w:hAnsi="Times New Roman" w:eastAsia="仿宋_GB2312" w:cs="仿宋_GB2312"/>
          <w:color w:val="auto"/>
          <w:sz w:val="32"/>
          <w:szCs w:val="32"/>
          <w:highlight w:val="none"/>
        </w:rPr>
        <w:t>总计增加191</w:t>
      </w:r>
      <w:r>
        <w:rPr>
          <w:rFonts w:hint="eastAsia" w:eastAsia="仿宋_GB2312" w:cs="仿宋_GB2312"/>
          <w:color w:val="auto"/>
          <w:sz w:val="32"/>
          <w:szCs w:val="32"/>
          <w:highlight w:val="none"/>
          <w:lang w:val="en-US" w:eastAsia="zh-CN"/>
        </w:rPr>
        <w:t>.</w:t>
      </w:r>
      <w:r>
        <w:rPr>
          <w:rFonts w:hint="eastAsia" w:ascii="Times New Roman" w:hAnsi="Times New Roman" w:eastAsia="仿宋_GB2312" w:cs="仿宋_GB2312"/>
          <w:color w:val="auto"/>
          <w:sz w:val="32"/>
          <w:szCs w:val="32"/>
          <w:highlight w:val="none"/>
        </w:rPr>
        <w:t>74万元，增长19.63%</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本年度项目资金增加。</w:t>
      </w:r>
    </w:p>
    <w:p w14:paraId="621C1022">
      <w:pPr>
        <w:spacing w:line="600" w:lineRule="exact"/>
        <w:ind w:firstLine="420" w:firstLineChars="20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5408" behindDoc="0" locked="0" layoutInCell="1" allowOverlap="1">
            <wp:simplePos x="0" y="0"/>
            <wp:positionH relativeFrom="column">
              <wp:posOffset>367030</wp:posOffset>
            </wp:positionH>
            <wp:positionV relativeFrom="paragraph">
              <wp:posOffset>171450</wp:posOffset>
            </wp:positionV>
            <wp:extent cx="4825365" cy="2577465"/>
            <wp:effectExtent l="4445" t="4445" r="16510" b="8890"/>
            <wp:wrapTopAndBottom/>
            <wp:docPr id="307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695BE7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D88F888">
      <w:pPr>
        <w:spacing w:line="600" w:lineRule="exact"/>
        <w:ind w:firstLine="640" w:firstLineChars="200"/>
        <w:outlineLvl w:val="1"/>
        <w:rPr>
          <w:rStyle w:val="30"/>
          <w:rFonts w:ascii="Times New Roman" w:hAnsi="Times New Roman" w:eastAsia="黑体"/>
          <w:b w:val="0"/>
          <w:color w:val="auto"/>
          <w:highlight w:val="none"/>
        </w:rPr>
      </w:pPr>
      <w:bookmarkStart w:id="42" w:name="_Toc26249"/>
      <w:bookmarkStart w:id="43" w:name="_Toc15377209"/>
      <w:bookmarkStart w:id="44"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42"/>
      <w:bookmarkEnd w:id="43"/>
      <w:bookmarkEnd w:id="44"/>
    </w:p>
    <w:p w14:paraId="0CB9401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5"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45"/>
    </w:p>
    <w:p w14:paraId="2BBA344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2025年度一般公共预算财政拨款支出1168.72万元，占本年支出合计的100%。与上年度相比，一般公共预算财政拨款支出</w:t>
      </w:r>
      <w:r>
        <w:rPr>
          <w:rFonts w:hint="eastAsia" w:ascii="Times New Roman" w:hAnsi="Times New Roman" w:eastAsia="仿宋_GB2312" w:cs="仿宋_GB2312"/>
          <w:color w:val="auto"/>
          <w:sz w:val="32"/>
          <w:szCs w:val="32"/>
          <w:highlight w:val="none"/>
        </w:rPr>
        <w:t>增加191</w:t>
      </w:r>
      <w:r>
        <w:rPr>
          <w:rFonts w:hint="eastAsia" w:eastAsia="仿宋_GB2312" w:cs="仿宋_GB2312"/>
          <w:color w:val="auto"/>
          <w:sz w:val="32"/>
          <w:szCs w:val="32"/>
          <w:highlight w:val="none"/>
          <w:lang w:val="en-US" w:eastAsia="zh-CN"/>
        </w:rPr>
        <w:t>.</w:t>
      </w:r>
      <w:r>
        <w:rPr>
          <w:rFonts w:hint="eastAsia" w:ascii="Times New Roman" w:hAnsi="Times New Roman" w:eastAsia="仿宋_GB2312" w:cs="仿宋_GB2312"/>
          <w:color w:val="auto"/>
          <w:sz w:val="32"/>
          <w:szCs w:val="32"/>
          <w:highlight w:val="none"/>
        </w:rPr>
        <w:t>74万元，增长19.63%</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本年度项目资金增加。</w:t>
      </w:r>
    </w:p>
    <w:p w14:paraId="2C5E986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355C9D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6432" behindDoc="0" locked="0" layoutInCell="1" allowOverlap="1">
            <wp:simplePos x="0" y="0"/>
            <wp:positionH relativeFrom="column">
              <wp:posOffset>573405</wp:posOffset>
            </wp:positionH>
            <wp:positionV relativeFrom="paragraph">
              <wp:posOffset>-54610</wp:posOffset>
            </wp:positionV>
            <wp:extent cx="4822190" cy="2298065"/>
            <wp:effectExtent l="4445" t="4445" r="19685" b="13970"/>
            <wp:wrapTopAndBottom/>
            <wp:docPr id="410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5A0DDAA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4CFF73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6"/>
    </w:p>
    <w:p w14:paraId="75201555">
      <w:pPr>
        <w:spacing w:line="600" w:lineRule="exact"/>
        <w:ind w:firstLine="640"/>
        <w:rPr>
          <w:rFonts w:hint="eastAsia" w:eastAsia="仿宋_GB2312" w:cs="仿宋_GB2312"/>
          <w:color w:val="auto"/>
          <w:kern w:val="2"/>
          <w:sz w:val="32"/>
          <w:szCs w:val="32"/>
          <w:highlight w:val="yellow"/>
          <w:lang w:val="en-US" w:eastAsia="zh-CN" w:bidi="ar-SA"/>
        </w:rPr>
      </w:pPr>
      <w:r>
        <w:rPr>
          <w:rFonts w:hint="eastAsia" w:eastAsia="仿宋_GB2312" w:cs="仿宋_GB2312"/>
          <w:color w:val="auto"/>
          <w:kern w:val="2"/>
          <w:sz w:val="32"/>
          <w:szCs w:val="32"/>
          <w:highlight w:val="none"/>
          <w:lang w:val="en-US" w:eastAsia="zh-CN" w:bidi="ar-SA"/>
        </w:rPr>
        <w:t>2025年度一般公共</w:t>
      </w:r>
      <w:r>
        <w:rPr>
          <w:rFonts w:hint="eastAsia" w:ascii="Times New Roman" w:hAnsi="Times New Roman" w:eastAsia="仿宋_GB2312" w:cs="仿宋_GB2312"/>
          <w:color w:val="auto"/>
          <w:kern w:val="2"/>
          <w:sz w:val="32"/>
          <w:szCs w:val="32"/>
          <w:highlight w:val="none"/>
          <w:lang w:val="en-US" w:eastAsia="zh-CN" w:bidi="ar-SA"/>
        </w:rPr>
        <w:t>预算财政拨款支出1168.72万元，主要用于以下方面：教育支出186.32万元，占15.94%；社会保障和就业支出951.93万元，占81.45%；卫生健康支出12.47万元，占1.07%；住房保障支出18.01万元，占1.54%。</w:t>
      </w:r>
    </w:p>
    <w:p w14:paraId="169E640E">
      <w:pPr>
        <w:pStyle w:val="14"/>
        <w:jc w:val="center"/>
        <w:rPr>
          <w:rFonts w:hint="eastAsia"/>
          <w:lang w:val="en-US" w:eastAsia="zh-CN"/>
        </w:rPr>
      </w:pPr>
      <w:r>
        <w:drawing>
          <wp:inline distT="0" distB="0" distL="114300" distR="114300">
            <wp:extent cx="4227830" cy="2277110"/>
            <wp:effectExtent l="4445" t="5080" r="19685" b="19050"/>
            <wp:docPr id="512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CC97E6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2050CDD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47"/>
    </w:p>
    <w:p w14:paraId="7D49A2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8" w:name="_Toc15377213"/>
      <w:bookmarkStart w:id="49" w:name="_Toc15378460"/>
      <w:bookmarkStart w:id="50" w:name="_Toc15377444"/>
      <w:r>
        <w:rPr>
          <w:rFonts w:hint="eastAsia" w:eastAsia="仿宋_GB2312" w:cs="仿宋_GB2312"/>
          <w:color w:val="auto"/>
          <w:kern w:val="2"/>
          <w:sz w:val="32"/>
          <w:szCs w:val="32"/>
          <w:highlight w:val="none"/>
          <w:lang w:val="en-US" w:eastAsia="zh-CN" w:bidi="ar-SA"/>
        </w:rPr>
        <w:t>2025年度一般公共预算支出决算数为1168.72</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8"/>
      <w:bookmarkEnd w:id="49"/>
      <w:bookmarkEnd w:id="50"/>
    </w:p>
    <w:p w14:paraId="4857879B">
      <w:pPr>
        <w:spacing w:line="600" w:lineRule="exact"/>
        <w:ind w:firstLine="643" w:firstLineChars="200"/>
        <w:rPr>
          <w:rStyle w:val="18"/>
          <w:rFonts w:hint="eastAsia" w:ascii="仿宋" w:hAnsi="仿宋" w:eastAsia="仿宋"/>
          <w:b w:val="0"/>
          <w:bCs/>
          <w:color w:val="auto"/>
          <w:sz w:val="32"/>
          <w:szCs w:val="32"/>
          <w:highlight w:val="none"/>
        </w:rPr>
      </w:pPr>
      <w:r>
        <w:rPr>
          <w:rStyle w:val="18"/>
          <w:rFonts w:ascii="仿宋" w:hAnsi="仿宋" w:eastAsia="仿宋"/>
          <w:bCs/>
          <w:sz w:val="32"/>
          <w:szCs w:val="32"/>
        </w:rPr>
        <w:t>1.</w:t>
      </w:r>
      <w:r>
        <w:rPr>
          <w:rStyle w:val="18"/>
          <w:rFonts w:hint="eastAsia" w:ascii="仿宋" w:hAnsi="仿宋" w:eastAsia="仿宋"/>
          <w:bCs/>
          <w:sz w:val="32"/>
          <w:szCs w:val="32"/>
        </w:rPr>
        <w:t>教育支出（类）普通教育（款）中等职业教育（项）</w:t>
      </w:r>
      <w:r>
        <w:rPr>
          <w:rStyle w:val="18"/>
          <w:rFonts w:hint="eastAsia" w:ascii="仿宋" w:hAnsi="仿宋" w:eastAsia="仿宋"/>
          <w:bCs/>
          <w:sz w:val="32"/>
          <w:szCs w:val="32"/>
          <w:lang w:eastAsia="zh-CN"/>
        </w:rPr>
        <w:t>：</w:t>
      </w:r>
      <w:r>
        <w:rPr>
          <w:rStyle w:val="18"/>
          <w:rFonts w:hint="eastAsia" w:ascii="仿宋" w:hAnsi="仿宋" w:eastAsia="仿宋"/>
          <w:b w:val="0"/>
          <w:bCs/>
          <w:sz w:val="32"/>
          <w:szCs w:val="32"/>
        </w:rPr>
        <w:t>支出决算为40.63万元，完成预算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r>
        <w:rPr>
          <w:rStyle w:val="18"/>
          <w:rFonts w:hint="eastAsia" w:ascii="仿宋" w:hAnsi="仿宋" w:eastAsia="仿宋"/>
          <w:b w:val="0"/>
          <w:bCs/>
          <w:color w:val="auto"/>
          <w:sz w:val="32"/>
          <w:szCs w:val="32"/>
          <w:highlight w:val="none"/>
        </w:rPr>
        <w:t>决算数等于预算数。</w:t>
      </w:r>
    </w:p>
    <w:p w14:paraId="65DEEC25">
      <w:pPr>
        <w:spacing w:line="600" w:lineRule="exact"/>
        <w:ind w:firstLine="643" w:firstLineChars="200"/>
        <w:rPr>
          <w:rStyle w:val="18"/>
          <w:rFonts w:hint="eastAsia" w:ascii="仿宋" w:hAnsi="仿宋" w:eastAsia="仿宋"/>
          <w:b w:val="0"/>
          <w:bCs/>
          <w:color w:val="auto"/>
          <w:sz w:val="32"/>
          <w:szCs w:val="32"/>
          <w:highlight w:val="none"/>
        </w:rPr>
      </w:pPr>
      <w:r>
        <w:rPr>
          <w:rStyle w:val="18"/>
          <w:rFonts w:hint="eastAsia" w:ascii="仿宋" w:hAnsi="仿宋" w:eastAsia="仿宋"/>
          <w:bCs/>
          <w:sz w:val="32"/>
          <w:szCs w:val="32"/>
          <w:lang w:val="en-US" w:eastAsia="zh-CN"/>
        </w:rPr>
        <w:t>2.</w:t>
      </w:r>
      <w:r>
        <w:rPr>
          <w:rStyle w:val="18"/>
          <w:rFonts w:hint="eastAsia" w:ascii="仿宋" w:hAnsi="仿宋" w:eastAsia="仿宋"/>
          <w:bCs/>
          <w:sz w:val="32"/>
          <w:szCs w:val="32"/>
        </w:rPr>
        <w:t>教育支出（类）进修及培训（款）培训支出（项）</w:t>
      </w:r>
      <w:r>
        <w:rPr>
          <w:rStyle w:val="18"/>
          <w:rFonts w:hint="eastAsia" w:ascii="仿宋" w:hAnsi="仿宋" w:eastAsia="仿宋"/>
          <w:bCs/>
          <w:sz w:val="32"/>
          <w:szCs w:val="32"/>
          <w:lang w:eastAsia="zh-CN"/>
        </w:rPr>
        <w:t>：</w:t>
      </w:r>
      <w:r>
        <w:rPr>
          <w:rStyle w:val="18"/>
          <w:rFonts w:hint="eastAsia" w:ascii="仿宋" w:hAnsi="仿宋" w:eastAsia="仿宋"/>
          <w:b w:val="0"/>
          <w:bCs/>
          <w:sz w:val="32"/>
          <w:szCs w:val="32"/>
        </w:rPr>
        <w:t>支出决算为140万元，完成预算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r>
        <w:rPr>
          <w:rStyle w:val="18"/>
          <w:rFonts w:hint="eastAsia" w:ascii="仿宋" w:hAnsi="仿宋" w:eastAsia="仿宋"/>
          <w:b w:val="0"/>
          <w:bCs/>
          <w:color w:val="auto"/>
          <w:sz w:val="32"/>
          <w:szCs w:val="32"/>
          <w:highlight w:val="none"/>
        </w:rPr>
        <w:t>决算数等于预算数。</w:t>
      </w:r>
    </w:p>
    <w:p w14:paraId="244272F4">
      <w:pPr>
        <w:spacing w:line="600" w:lineRule="exact"/>
        <w:ind w:firstLine="643" w:firstLineChars="200"/>
        <w:rPr>
          <w:rStyle w:val="18"/>
          <w:rFonts w:hint="eastAsia" w:ascii="仿宋" w:hAnsi="仿宋" w:eastAsia="仿宋"/>
          <w:b w:val="0"/>
          <w:bCs/>
          <w:color w:val="auto"/>
          <w:sz w:val="32"/>
          <w:szCs w:val="32"/>
          <w:highlight w:val="none"/>
        </w:rPr>
      </w:pPr>
      <w:r>
        <w:rPr>
          <w:rStyle w:val="18"/>
          <w:rFonts w:hint="eastAsia" w:ascii="仿宋" w:hAnsi="仿宋" w:eastAsia="仿宋"/>
          <w:bCs/>
          <w:sz w:val="32"/>
          <w:szCs w:val="32"/>
          <w:lang w:val="en-US" w:eastAsia="zh-CN"/>
        </w:rPr>
        <w:t>3.</w:t>
      </w:r>
      <w:r>
        <w:rPr>
          <w:rStyle w:val="18"/>
          <w:rFonts w:hint="eastAsia" w:ascii="仿宋" w:hAnsi="仿宋" w:eastAsia="仿宋"/>
          <w:bCs/>
          <w:sz w:val="32"/>
          <w:szCs w:val="32"/>
        </w:rPr>
        <w:t>教育支出（类）其他教育支出（款）其他教育支出（项）</w:t>
      </w:r>
      <w:r>
        <w:rPr>
          <w:rStyle w:val="18"/>
          <w:rFonts w:hint="eastAsia" w:ascii="仿宋" w:hAnsi="仿宋" w:eastAsia="仿宋"/>
          <w:bCs/>
          <w:sz w:val="32"/>
          <w:szCs w:val="32"/>
          <w:lang w:eastAsia="zh-CN"/>
        </w:rPr>
        <w:t>：</w:t>
      </w:r>
      <w:r>
        <w:rPr>
          <w:rStyle w:val="18"/>
          <w:rFonts w:hint="eastAsia" w:ascii="仿宋" w:hAnsi="仿宋" w:eastAsia="仿宋"/>
          <w:b w:val="0"/>
          <w:bCs/>
          <w:sz w:val="32"/>
          <w:szCs w:val="32"/>
        </w:rPr>
        <w:t>支出决算为5.7万元，完成预算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r>
        <w:rPr>
          <w:rStyle w:val="18"/>
          <w:rFonts w:hint="eastAsia" w:ascii="仿宋" w:hAnsi="仿宋" w:eastAsia="仿宋"/>
          <w:b w:val="0"/>
          <w:bCs/>
          <w:color w:val="auto"/>
          <w:sz w:val="32"/>
          <w:szCs w:val="32"/>
          <w:highlight w:val="none"/>
        </w:rPr>
        <w:t>决算数等于预算数。</w:t>
      </w:r>
    </w:p>
    <w:p w14:paraId="13555EBA">
      <w:pPr>
        <w:spacing w:line="600" w:lineRule="exact"/>
        <w:ind w:firstLine="643" w:firstLineChars="200"/>
        <w:rPr>
          <w:rStyle w:val="18"/>
          <w:rFonts w:hint="eastAsia" w:ascii="仿宋" w:hAnsi="仿宋" w:eastAsia="仿宋"/>
          <w:b w:val="0"/>
          <w:bCs/>
          <w:color w:val="auto"/>
          <w:sz w:val="32"/>
          <w:szCs w:val="32"/>
          <w:highlight w:val="none"/>
        </w:rPr>
      </w:pPr>
      <w:r>
        <w:rPr>
          <w:rStyle w:val="18"/>
          <w:rFonts w:hint="eastAsia" w:ascii="仿宋" w:hAnsi="仿宋" w:eastAsia="仿宋"/>
          <w:bCs/>
          <w:sz w:val="32"/>
          <w:szCs w:val="32"/>
          <w:lang w:val="en-US" w:eastAsia="zh-CN"/>
        </w:rPr>
        <w:t>4.</w:t>
      </w:r>
      <w:r>
        <w:rPr>
          <w:rStyle w:val="18"/>
          <w:rFonts w:hint="eastAsia" w:ascii="仿宋" w:hAnsi="仿宋" w:eastAsia="仿宋"/>
          <w:bCs/>
          <w:sz w:val="32"/>
          <w:szCs w:val="32"/>
        </w:rPr>
        <w:t>社会保障和就业支出（类）人力资源和社会保障管理事务（款）就业管理事务（项）</w:t>
      </w:r>
      <w:r>
        <w:rPr>
          <w:rStyle w:val="18"/>
          <w:rFonts w:hint="eastAsia" w:ascii="仿宋" w:hAnsi="仿宋" w:eastAsia="仿宋"/>
          <w:bCs/>
          <w:sz w:val="32"/>
          <w:szCs w:val="32"/>
          <w:lang w:eastAsia="zh-CN"/>
        </w:rPr>
        <w:t>：</w:t>
      </w:r>
      <w:r>
        <w:rPr>
          <w:rStyle w:val="18"/>
          <w:rFonts w:hint="eastAsia" w:ascii="仿宋" w:hAnsi="仿宋" w:eastAsia="仿宋"/>
          <w:b w:val="0"/>
          <w:bCs/>
          <w:sz w:val="32"/>
          <w:szCs w:val="32"/>
        </w:rPr>
        <w:t>支出决算为197.15万元，完成预算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r>
        <w:rPr>
          <w:rStyle w:val="18"/>
          <w:rFonts w:hint="eastAsia" w:ascii="仿宋" w:hAnsi="仿宋" w:eastAsia="仿宋"/>
          <w:b w:val="0"/>
          <w:bCs/>
          <w:color w:val="auto"/>
          <w:sz w:val="32"/>
          <w:szCs w:val="32"/>
          <w:highlight w:val="none"/>
        </w:rPr>
        <w:t>决算数等于预算数。</w:t>
      </w:r>
    </w:p>
    <w:p w14:paraId="5129D024">
      <w:pPr>
        <w:spacing w:line="600" w:lineRule="exact"/>
        <w:ind w:firstLine="643" w:firstLineChars="200"/>
        <w:rPr>
          <w:rStyle w:val="18"/>
          <w:rFonts w:hint="eastAsia" w:ascii="仿宋" w:hAnsi="仿宋" w:eastAsia="仿宋"/>
          <w:b w:val="0"/>
          <w:bCs/>
          <w:color w:val="auto"/>
          <w:sz w:val="32"/>
          <w:szCs w:val="32"/>
          <w:highlight w:val="none"/>
        </w:rPr>
      </w:pPr>
      <w:r>
        <w:rPr>
          <w:rStyle w:val="18"/>
          <w:rFonts w:hint="eastAsia" w:ascii="仿宋" w:hAnsi="仿宋" w:eastAsia="仿宋"/>
          <w:bCs/>
          <w:sz w:val="32"/>
          <w:szCs w:val="32"/>
          <w:lang w:val="en-US" w:eastAsia="zh-CN"/>
        </w:rPr>
        <w:t>5.</w:t>
      </w:r>
      <w:r>
        <w:rPr>
          <w:rStyle w:val="18"/>
          <w:rFonts w:hint="eastAsia" w:ascii="仿宋" w:hAnsi="仿宋" w:eastAsia="仿宋"/>
          <w:bCs/>
          <w:sz w:val="32"/>
          <w:szCs w:val="32"/>
        </w:rPr>
        <w:t>社会保障和就业支出（类）行政事业单位养老支出（款）机关事业单位基本养老保险缴费支出（项）</w:t>
      </w:r>
      <w:r>
        <w:rPr>
          <w:rStyle w:val="18"/>
          <w:rFonts w:hint="eastAsia" w:ascii="仿宋" w:hAnsi="仿宋" w:eastAsia="仿宋"/>
          <w:bCs/>
          <w:sz w:val="32"/>
          <w:szCs w:val="32"/>
          <w:lang w:eastAsia="zh-CN"/>
        </w:rPr>
        <w:t>：</w:t>
      </w:r>
      <w:r>
        <w:rPr>
          <w:rStyle w:val="18"/>
          <w:rFonts w:hint="eastAsia" w:ascii="仿宋" w:hAnsi="仿宋" w:eastAsia="仿宋"/>
          <w:b w:val="0"/>
          <w:bCs/>
          <w:sz w:val="32"/>
          <w:szCs w:val="32"/>
        </w:rPr>
        <w:t>支出决算为22.16万元，完成预算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r>
        <w:rPr>
          <w:rStyle w:val="18"/>
          <w:rFonts w:hint="eastAsia" w:ascii="仿宋" w:hAnsi="仿宋" w:eastAsia="仿宋"/>
          <w:b w:val="0"/>
          <w:bCs/>
          <w:color w:val="auto"/>
          <w:sz w:val="32"/>
          <w:szCs w:val="32"/>
          <w:highlight w:val="none"/>
        </w:rPr>
        <w:t>决算数等于预算数。</w:t>
      </w:r>
    </w:p>
    <w:p w14:paraId="3AEADD25">
      <w:pPr>
        <w:spacing w:line="600" w:lineRule="exact"/>
        <w:ind w:firstLine="643" w:firstLineChars="200"/>
        <w:rPr>
          <w:rStyle w:val="18"/>
          <w:rFonts w:hint="eastAsia" w:ascii="仿宋" w:hAnsi="仿宋" w:eastAsia="仿宋"/>
          <w:b w:val="0"/>
          <w:bCs/>
          <w:color w:val="auto"/>
          <w:sz w:val="32"/>
          <w:szCs w:val="32"/>
          <w:highlight w:val="none"/>
        </w:rPr>
      </w:pPr>
      <w:r>
        <w:rPr>
          <w:rStyle w:val="18"/>
          <w:rFonts w:hint="eastAsia" w:ascii="仿宋" w:hAnsi="仿宋" w:eastAsia="仿宋"/>
          <w:bCs/>
          <w:sz w:val="32"/>
          <w:szCs w:val="32"/>
          <w:lang w:val="en-US" w:eastAsia="zh-CN"/>
        </w:rPr>
        <w:t>6</w:t>
      </w:r>
      <w:r>
        <w:rPr>
          <w:rStyle w:val="18"/>
          <w:rFonts w:ascii="仿宋" w:hAnsi="仿宋" w:eastAsia="仿宋"/>
          <w:bCs/>
          <w:sz w:val="32"/>
          <w:szCs w:val="32"/>
        </w:rPr>
        <w:t>.</w:t>
      </w:r>
      <w:r>
        <w:rPr>
          <w:rStyle w:val="18"/>
          <w:rFonts w:hint="eastAsia" w:ascii="仿宋" w:hAnsi="仿宋" w:eastAsia="仿宋"/>
          <w:bCs/>
          <w:sz w:val="32"/>
          <w:szCs w:val="32"/>
        </w:rPr>
        <w:t>社会保障和就业支出（类）行政事业单位养老支出（款）机关事业单位职业年金缴费支出（项）</w:t>
      </w:r>
      <w:r>
        <w:rPr>
          <w:rStyle w:val="18"/>
          <w:rFonts w:hint="eastAsia" w:ascii="仿宋" w:hAnsi="仿宋" w:eastAsia="仿宋"/>
          <w:bCs/>
          <w:sz w:val="32"/>
          <w:szCs w:val="32"/>
          <w:lang w:eastAsia="zh-CN"/>
        </w:rPr>
        <w:t>：</w:t>
      </w:r>
      <w:r>
        <w:rPr>
          <w:rStyle w:val="18"/>
          <w:rFonts w:hint="eastAsia" w:ascii="仿宋" w:hAnsi="仿宋" w:eastAsia="仿宋"/>
          <w:b w:val="0"/>
          <w:bCs/>
          <w:sz w:val="32"/>
          <w:szCs w:val="32"/>
        </w:rPr>
        <w:t>支出决算为11.08万元，完成预算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r>
        <w:rPr>
          <w:rStyle w:val="18"/>
          <w:rFonts w:hint="eastAsia" w:ascii="仿宋" w:hAnsi="仿宋" w:eastAsia="仿宋"/>
          <w:b w:val="0"/>
          <w:bCs/>
          <w:color w:val="auto"/>
          <w:sz w:val="32"/>
          <w:szCs w:val="32"/>
          <w:highlight w:val="none"/>
        </w:rPr>
        <w:t>决算数等于预算数。</w:t>
      </w:r>
    </w:p>
    <w:p w14:paraId="26EEE8E9">
      <w:pPr>
        <w:spacing w:line="600" w:lineRule="exact"/>
        <w:ind w:firstLine="643" w:firstLineChars="200"/>
        <w:rPr>
          <w:rStyle w:val="18"/>
          <w:rFonts w:hint="eastAsia" w:ascii="仿宋" w:hAnsi="仿宋" w:eastAsia="仿宋"/>
          <w:b w:val="0"/>
          <w:bCs/>
          <w:color w:val="auto"/>
          <w:sz w:val="32"/>
          <w:szCs w:val="32"/>
          <w:highlight w:val="none"/>
        </w:rPr>
      </w:pPr>
      <w:r>
        <w:rPr>
          <w:rStyle w:val="18"/>
          <w:rFonts w:hint="eastAsia" w:ascii="仿宋" w:hAnsi="仿宋" w:eastAsia="仿宋"/>
          <w:bCs/>
          <w:sz w:val="32"/>
          <w:szCs w:val="32"/>
          <w:lang w:val="en-US" w:eastAsia="zh-CN"/>
        </w:rPr>
        <w:t>7</w:t>
      </w:r>
      <w:r>
        <w:rPr>
          <w:rStyle w:val="18"/>
          <w:rFonts w:ascii="仿宋" w:hAnsi="仿宋" w:eastAsia="仿宋"/>
          <w:bCs/>
          <w:sz w:val="32"/>
          <w:szCs w:val="32"/>
        </w:rPr>
        <w:t>.</w:t>
      </w:r>
      <w:r>
        <w:rPr>
          <w:rStyle w:val="18"/>
          <w:rFonts w:hint="eastAsia" w:ascii="仿宋" w:hAnsi="仿宋" w:eastAsia="仿宋"/>
          <w:bCs/>
          <w:sz w:val="32"/>
          <w:szCs w:val="32"/>
        </w:rPr>
        <w:t>社会保障和就业支出（类）就业补助（款）就业创业服务补贴（项）</w:t>
      </w:r>
      <w:r>
        <w:rPr>
          <w:rStyle w:val="18"/>
          <w:rFonts w:hint="eastAsia" w:ascii="仿宋" w:hAnsi="仿宋" w:eastAsia="仿宋"/>
          <w:bCs/>
          <w:sz w:val="32"/>
          <w:szCs w:val="32"/>
          <w:lang w:eastAsia="zh-CN"/>
        </w:rPr>
        <w:t>：</w:t>
      </w:r>
      <w:r>
        <w:rPr>
          <w:rStyle w:val="18"/>
          <w:rFonts w:hint="eastAsia" w:ascii="仿宋" w:hAnsi="仿宋" w:eastAsia="仿宋"/>
          <w:b w:val="0"/>
          <w:bCs/>
          <w:sz w:val="32"/>
          <w:szCs w:val="32"/>
        </w:rPr>
        <w:t>支出决算为634.73万元，完成预算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r>
        <w:rPr>
          <w:rStyle w:val="18"/>
          <w:rFonts w:hint="eastAsia" w:ascii="仿宋" w:hAnsi="仿宋" w:eastAsia="仿宋"/>
          <w:b w:val="0"/>
          <w:bCs/>
          <w:color w:val="auto"/>
          <w:sz w:val="32"/>
          <w:szCs w:val="32"/>
          <w:highlight w:val="none"/>
        </w:rPr>
        <w:t>决算数等于预算数。</w:t>
      </w:r>
    </w:p>
    <w:p w14:paraId="549967FE">
      <w:pPr>
        <w:spacing w:line="600" w:lineRule="exact"/>
        <w:ind w:firstLine="643" w:firstLineChars="200"/>
        <w:rPr>
          <w:rStyle w:val="18"/>
          <w:rFonts w:hint="eastAsia" w:ascii="仿宋" w:hAnsi="仿宋" w:eastAsia="仿宋"/>
          <w:b w:val="0"/>
          <w:bCs/>
          <w:color w:val="auto"/>
          <w:sz w:val="32"/>
          <w:szCs w:val="32"/>
          <w:highlight w:val="none"/>
        </w:rPr>
      </w:pPr>
      <w:r>
        <w:rPr>
          <w:rStyle w:val="18"/>
          <w:rFonts w:hint="eastAsia" w:ascii="仿宋" w:hAnsi="仿宋" w:eastAsia="仿宋"/>
          <w:bCs/>
          <w:sz w:val="32"/>
          <w:szCs w:val="32"/>
          <w:lang w:val="en-US" w:eastAsia="zh-CN"/>
        </w:rPr>
        <w:t>8</w:t>
      </w:r>
      <w:r>
        <w:rPr>
          <w:rStyle w:val="18"/>
          <w:rFonts w:ascii="仿宋" w:hAnsi="仿宋" w:eastAsia="仿宋"/>
          <w:bCs/>
          <w:sz w:val="32"/>
          <w:szCs w:val="32"/>
        </w:rPr>
        <w:t>.</w:t>
      </w:r>
      <w:r>
        <w:rPr>
          <w:rStyle w:val="18"/>
          <w:rFonts w:hint="eastAsia" w:ascii="仿宋" w:hAnsi="仿宋" w:eastAsia="仿宋"/>
          <w:bCs/>
          <w:sz w:val="32"/>
          <w:szCs w:val="32"/>
        </w:rPr>
        <w:t>社会保障和就业（类）就业补助（款）其他就业补助支出（项）</w:t>
      </w:r>
      <w:r>
        <w:rPr>
          <w:rStyle w:val="18"/>
          <w:rFonts w:hint="eastAsia" w:ascii="仿宋" w:hAnsi="仿宋" w:eastAsia="仿宋"/>
          <w:bCs/>
          <w:sz w:val="32"/>
          <w:szCs w:val="32"/>
          <w:lang w:eastAsia="zh-CN"/>
        </w:rPr>
        <w:t>：</w:t>
      </w:r>
      <w:r>
        <w:rPr>
          <w:rStyle w:val="18"/>
          <w:rFonts w:hint="eastAsia" w:ascii="仿宋" w:hAnsi="仿宋" w:eastAsia="仿宋"/>
          <w:b w:val="0"/>
          <w:bCs/>
          <w:sz w:val="32"/>
          <w:szCs w:val="32"/>
        </w:rPr>
        <w:t>支出决算为86.8万元，完成预算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r>
        <w:rPr>
          <w:rStyle w:val="18"/>
          <w:rFonts w:hint="eastAsia" w:ascii="仿宋" w:hAnsi="仿宋" w:eastAsia="仿宋"/>
          <w:b w:val="0"/>
          <w:bCs/>
          <w:color w:val="auto"/>
          <w:sz w:val="32"/>
          <w:szCs w:val="32"/>
          <w:highlight w:val="none"/>
        </w:rPr>
        <w:t>决算数等于预算数。</w:t>
      </w:r>
    </w:p>
    <w:p w14:paraId="63BA0567">
      <w:pPr>
        <w:spacing w:line="600" w:lineRule="exact"/>
        <w:ind w:firstLine="643" w:firstLineChars="200"/>
        <w:rPr>
          <w:rStyle w:val="18"/>
          <w:rFonts w:hint="eastAsia" w:ascii="仿宋" w:hAnsi="仿宋" w:eastAsia="仿宋"/>
          <w:b w:val="0"/>
          <w:bCs/>
          <w:color w:val="auto"/>
          <w:sz w:val="32"/>
          <w:szCs w:val="32"/>
          <w:highlight w:val="none"/>
        </w:rPr>
      </w:pPr>
      <w:r>
        <w:rPr>
          <w:rStyle w:val="18"/>
          <w:rFonts w:hint="eastAsia" w:ascii="仿宋" w:hAnsi="仿宋" w:eastAsia="仿宋"/>
          <w:bCs/>
          <w:sz w:val="32"/>
          <w:szCs w:val="32"/>
          <w:lang w:val="en-US" w:eastAsia="zh-CN"/>
        </w:rPr>
        <w:t>9</w:t>
      </w:r>
      <w:r>
        <w:rPr>
          <w:rStyle w:val="18"/>
          <w:rFonts w:ascii="仿宋" w:hAnsi="仿宋" w:eastAsia="仿宋"/>
          <w:bCs/>
          <w:sz w:val="32"/>
          <w:szCs w:val="32"/>
        </w:rPr>
        <w:t>.</w:t>
      </w:r>
      <w:r>
        <w:rPr>
          <w:rFonts w:hint="eastAsia" w:ascii="仿宋" w:hAnsi="仿宋" w:eastAsia="仿宋"/>
          <w:b/>
          <w:bCs/>
          <w:sz w:val="32"/>
          <w:szCs w:val="32"/>
        </w:rPr>
        <w:t>卫生健康</w:t>
      </w:r>
      <w:r>
        <w:rPr>
          <w:rStyle w:val="18"/>
          <w:rFonts w:hint="eastAsia" w:ascii="仿宋" w:hAnsi="仿宋" w:eastAsia="仿宋"/>
          <w:bCs/>
          <w:sz w:val="32"/>
          <w:szCs w:val="32"/>
        </w:rPr>
        <w:t>（类）行政事业单位医疗（款）行政单位医疗（项）</w:t>
      </w:r>
      <w:r>
        <w:rPr>
          <w:rStyle w:val="18"/>
          <w:rFonts w:hint="eastAsia" w:ascii="仿宋" w:hAnsi="仿宋" w:eastAsia="仿宋"/>
          <w:bCs/>
          <w:sz w:val="32"/>
          <w:szCs w:val="32"/>
          <w:lang w:eastAsia="zh-CN"/>
        </w:rPr>
        <w:t>：</w:t>
      </w:r>
      <w:r>
        <w:rPr>
          <w:rStyle w:val="18"/>
          <w:rFonts w:hint="eastAsia" w:ascii="仿宋" w:hAnsi="仿宋" w:eastAsia="仿宋"/>
          <w:b w:val="0"/>
          <w:bCs/>
          <w:sz w:val="32"/>
          <w:szCs w:val="32"/>
        </w:rPr>
        <w:t>支出决算为10.45万元，完成预算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r>
        <w:rPr>
          <w:rStyle w:val="18"/>
          <w:rFonts w:hint="eastAsia" w:ascii="仿宋" w:hAnsi="仿宋" w:eastAsia="仿宋"/>
          <w:b w:val="0"/>
          <w:bCs/>
          <w:color w:val="auto"/>
          <w:sz w:val="32"/>
          <w:szCs w:val="32"/>
          <w:highlight w:val="none"/>
        </w:rPr>
        <w:t>决算数等于预算数。</w:t>
      </w:r>
    </w:p>
    <w:p w14:paraId="3B0077F9">
      <w:pPr>
        <w:spacing w:line="600" w:lineRule="exact"/>
        <w:ind w:firstLine="643" w:firstLineChars="200"/>
        <w:rPr>
          <w:rStyle w:val="18"/>
          <w:rFonts w:hint="eastAsia" w:ascii="仿宋" w:hAnsi="仿宋" w:eastAsia="仿宋"/>
          <w:b w:val="0"/>
          <w:bCs/>
          <w:color w:val="auto"/>
          <w:sz w:val="32"/>
          <w:szCs w:val="32"/>
          <w:highlight w:val="none"/>
        </w:rPr>
      </w:pPr>
      <w:r>
        <w:rPr>
          <w:rFonts w:hint="eastAsia" w:ascii="仿宋" w:hAnsi="仿宋" w:eastAsia="仿宋"/>
          <w:b/>
          <w:bCs/>
          <w:sz w:val="32"/>
          <w:szCs w:val="32"/>
          <w:lang w:val="en-US" w:eastAsia="zh-CN"/>
        </w:rPr>
        <w:t>10.</w:t>
      </w:r>
      <w:r>
        <w:rPr>
          <w:rFonts w:hint="eastAsia" w:ascii="仿宋" w:hAnsi="仿宋" w:eastAsia="仿宋"/>
          <w:b/>
          <w:bCs/>
          <w:sz w:val="32"/>
          <w:szCs w:val="32"/>
        </w:rPr>
        <w:t>卫生健康</w:t>
      </w:r>
      <w:r>
        <w:rPr>
          <w:rStyle w:val="18"/>
          <w:rFonts w:hint="eastAsia" w:ascii="仿宋" w:hAnsi="仿宋" w:eastAsia="仿宋"/>
          <w:bCs/>
          <w:sz w:val="32"/>
          <w:szCs w:val="32"/>
        </w:rPr>
        <w:t>（类）行政事业单位医疗（款）公务员医疗补助（项）</w:t>
      </w:r>
      <w:r>
        <w:rPr>
          <w:rStyle w:val="18"/>
          <w:rFonts w:hint="eastAsia" w:ascii="仿宋" w:hAnsi="仿宋" w:eastAsia="仿宋"/>
          <w:bCs/>
          <w:sz w:val="32"/>
          <w:szCs w:val="32"/>
          <w:lang w:eastAsia="zh-CN"/>
        </w:rPr>
        <w:t>：</w:t>
      </w:r>
      <w:r>
        <w:rPr>
          <w:rStyle w:val="18"/>
          <w:rFonts w:hint="eastAsia" w:ascii="仿宋" w:hAnsi="仿宋" w:eastAsia="仿宋"/>
          <w:b w:val="0"/>
          <w:bCs/>
          <w:sz w:val="32"/>
          <w:szCs w:val="32"/>
        </w:rPr>
        <w:t>支出决算为2.02万元，完成预算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r>
        <w:rPr>
          <w:rStyle w:val="18"/>
          <w:rFonts w:hint="eastAsia" w:ascii="仿宋" w:hAnsi="仿宋" w:eastAsia="仿宋"/>
          <w:b w:val="0"/>
          <w:bCs/>
          <w:color w:val="auto"/>
          <w:sz w:val="32"/>
          <w:szCs w:val="32"/>
          <w:highlight w:val="none"/>
        </w:rPr>
        <w:t>决算数等于预算数。</w:t>
      </w:r>
    </w:p>
    <w:p w14:paraId="49BB06CC">
      <w:pPr>
        <w:spacing w:line="600" w:lineRule="exact"/>
        <w:ind w:firstLine="643" w:firstLineChars="200"/>
        <w:rPr>
          <w:rStyle w:val="18"/>
          <w:rFonts w:hint="eastAsia" w:ascii="仿宋" w:hAnsi="仿宋" w:eastAsia="仿宋" w:cs="Times New Roman"/>
          <w:b w:val="0"/>
          <w:bCs/>
          <w:color w:val="auto"/>
          <w:sz w:val="32"/>
          <w:szCs w:val="32"/>
          <w:highlight w:val="none"/>
          <w:lang w:val="en-US" w:eastAsia="zh-CN"/>
        </w:rPr>
      </w:pPr>
      <w:r>
        <w:rPr>
          <w:rFonts w:hint="eastAsia" w:ascii="仿宋" w:hAnsi="仿宋" w:eastAsia="仿宋"/>
          <w:b/>
          <w:sz w:val="32"/>
          <w:szCs w:val="32"/>
          <w:lang w:val="en-US" w:eastAsia="zh-CN"/>
        </w:rPr>
        <w:t>11.</w:t>
      </w:r>
      <w:r>
        <w:rPr>
          <w:rStyle w:val="18"/>
          <w:rFonts w:hint="eastAsia" w:ascii="仿宋" w:hAnsi="仿宋" w:eastAsia="仿宋" w:cs="Times New Roman"/>
          <w:bCs/>
          <w:color w:val="auto"/>
          <w:sz w:val="32"/>
          <w:szCs w:val="32"/>
          <w:highlight w:val="none"/>
          <w:lang w:val="en-US" w:eastAsia="zh-CN"/>
        </w:rPr>
        <w:t>住房保障（类）住房改革支出（款）住房公积金（项）：</w:t>
      </w:r>
      <w:r>
        <w:rPr>
          <w:rStyle w:val="18"/>
          <w:rFonts w:hint="eastAsia" w:ascii="仿宋" w:hAnsi="仿宋" w:eastAsia="仿宋" w:cs="Times New Roman"/>
          <w:b w:val="0"/>
          <w:bCs/>
          <w:color w:val="auto"/>
          <w:sz w:val="32"/>
          <w:szCs w:val="32"/>
          <w:highlight w:val="none"/>
        </w:rPr>
        <w:t>支出决算为</w:t>
      </w:r>
      <w:r>
        <w:rPr>
          <w:rStyle w:val="18"/>
          <w:rFonts w:hint="eastAsia" w:ascii="仿宋" w:hAnsi="仿宋" w:eastAsia="仿宋" w:cs="Times New Roman"/>
          <w:b w:val="0"/>
          <w:bCs/>
          <w:color w:val="auto"/>
          <w:sz w:val="32"/>
          <w:szCs w:val="32"/>
          <w:highlight w:val="none"/>
          <w:lang w:val="en-US" w:eastAsia="zh-CN"/>
        </w:rPr>
        <w:t>18.01</w:t>
      </w:r>
      <w:r>
        <w:rPr>
          <w:rStyle w:val="18"/>
          <w:rFonts w:hint="eastAsia" w:ascii="仿宋" w:hAnsi="仿宋" w:eastAsia="仿宋" w:cs="Times New Roman"/>
          <w:b w:val="0"/>
          <w:bCs/>
          <w:color w:val="auto"/>
          <w:sz w:val="32"/>
          <w:szCs w:val="32"/>
          <w:highlight w:val="none"/>
        </w:rPr>
        <w:t>万元，完成预算</w:t>
      </w:r>
      <w:r>
        <w:rPr>
          <w:rStyle w:val="18"/>
          <w:rFonts w:hint="eastAsia" w:ascii="仿宋" w:hAnsi="仿宋" w:eastAsia="仿宋" w:cs="Times New Roman"/>
          <w:b w:val="0"/>
          <w:bCs/>
          <w:color w:val="auto"/>
          <w:sz w:val="32"/>
          <w:szCs w:val="32"/>
          <w:highlight w:val="none"/>
          <w:lang w:val="en-US" w:eastAsia="zh-CN"/>
        </w:rPr>
        <w:t>100</w:t>
      </w:r>
      <w:r>
        <w:rPr>
          <w:rStyle w:val="18"/>
          <w:rFonts w:hint="eastAsia" w:ascii="仿宋" w:hAnsi="仿宋" w:eastAsia="仿宋" w:cs="Times New Roman"/>
          <w:b w:val="0"/>
          <w:bCs/>
          <w:color w:val="auto"/>
          <w:sz w:val="32"/>
          <w:szCs w:val="32"/>
          <w:highlight w:val="none"/>
        </w:rPr>
        <w:t>%，决算数</w:t>
      </w:r>
      <w:r>
        <w:rPr>
          <w:rStyle w:val="18"/>
          <w:rFonts w:hint="eastAsia" w:ascii="仿宋" w:hAnsi="仿宋" w:eastAsia="仿宋" w:cs="Times New Roman"/>
          <w:b w:val="0"/>
          <w:bCs/>
          <w:color w:val="auto"/>
          <w:sz w:val="32"/>
          <w:szCs w:val="32"/>
          <w:highlight w:val="none"/>
          <w:lang w:eastAsia="zh-CN"/>
        </w:rPr>
        <w:t>与</w:t>
      </w:r>
      <w:r>
        <w:rPr>
          <w:rStyle w:val="18"/>
          <w:rFonts w:hint="eastAsia" w:ascii="仿宋" w:hAnsi="仿宋" w:eastAsia="仿宋" w:cs="Times New Roman"/>
          <w:b w:val="0"/>
          <w:bCs/>
          <w:color w:val="auto"/>
          <w:sz w:val="32"/>
          <w:szCs w:val="32"/>
          <w:highlight w:val="none"/>
        </w:rPr>
        <w:t>预算数</w:t>
      </w:r>
      <w:r>
        <w:rPr>
          <w:rStyle w:val="18"/>
          <w:rFonts w:hint="eastAsia" w:ascii="仿宋" w:hAnsi="仿宋" w:eastAsia="仿宋" w:cs="Times New Roman"/>
          <w:b w:val="0"/>
          <w:bCs/>
          <w:color w:val="auto"/>
          <w:sz w:val="32"/>
          <w:szCs w:val="32"/>
          <w:highlight w:val="none"/>
          <w:lang w:eastAsia="zh-CN"/>
        </w:rPr>
        <w:t>持平</w:t>
      </w:r>
      <w:r>
        <w:rPr>
          <w:rStyle w:val="18"/>
          <w:rFonts w:hint="eastAsia" w:ascii="仿宋" w:hAnsi="仿宋" w:eastAsia="仿宋" w:cs="Times New Roman"/>
          <w:b w:val="0"/>
          <w:bCs/>
          <w:color w:val="auto"/>
          <w:sz w:val="32"/>
          <w:szCs w:val="32"/>
          <w:highlight w:val="none"/>
        </w:rPr>
        <w:t>。</w:t>
      </w:r>
    </w:p>
    <w:p w14:paraId="2ADEA2A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3F61873">
      <w:pPr>
        <w:tabs>
          <w:tab w:val="right" w:pos="8306"/>
        </w:tabs>
        <w:spacing w:line="600" w:lineRule="exact"/>
        <w:ind w:firstLine="640"/>
        <w:outlineLvl w:val="1"/>
        <w:rPr>
          <w:rStyle w:val="30"/>
          <w:rFonts w:ascii="Times New Roman" w:hAnsi="Times New Roman"/>
          <w:color w:val="auto"/>
          <w:highlight w:val="none"/>
        </w:rPr>
      </w:pPr>
      <w:bookmarkStart w:id="51" w:name="_Toc12201"/>
      <w:bookmarkStart w:id="52" w:name="_Toc15377214"/>
      <w:bookmarkStart w:id="53"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51"/>
      <w:bookmarkEnd w:id="52"/>
      <w:bookmarkEnd w:id="53"/>
      <w:r>
        <w:rPr>
          <w:rStyle w:val="30"/>
          <w:rFonts w:ascii="Times New Roman" w:hAnsi="Times New Roman" w:eastAsia="黑体"/>
          <w:b w:val="0"/>
          <w:color w:val="auto"/>
          <w:highlight w:val="none"/>
        </w:rPr>
        <w:tab/>
      </w:r>
    </w:p>
    <w:p w14:paraId="2C6426FD">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2025年度一般公共预算财政拨款基本支出240.56万元，其中：</w:t>
      </w:r>
    </w:p>
    <w:p w14:paraId="799DBD4D">
      <w:pPr>
        <w:spacing w:line="600" w:lineRule="exact"/>
        <w:ind w:firstLine="640"/>
        <w:rPr>
          <w:rFonts w:hint="eastAsia" w:ascii="仿宋" w:hAnsi="仿宋" w:eastAsia="仿宋"/>
          <w:sz w:val="32"/>
          <w:szCs w:val="32"/>
        </w:rPr>
      </w:pPr>
      <w:r>
        <w:rPr>
          <w:rFonts w:hint="eastAsia" w:eastAsia="仿宋_GB2312" w:cs="仿宋_GB2312"/>
          <w:color w:val="auto"/>
          <w:kern w:val="2"/>
          <w:sz w:val="32"/>
          <w:szCs w:val="32"/>
          <w:highlight w:val="none"/>
          <w:lang w:val="en-US" w:eastAsia="zh-CN" w:bidi="ar-SA"/>
        </w:rPr>
        <w:t>人员经费227.35万元，</w:t>
      </w:r>
      <w:r>
        <w:rPr>
          <w:rFonts w:hint="eastAsia" w:ascii="Times New Roman" w:hAnsi="Times New Roman" w:eastAsia="仿宋_GB2312" w:cs="仿宋_GB2312"/>
          <w:color w:val="auto"/>
          <w:kern w:val="2"/>
          <w:sz w:val="32"/>
          <w:szCs w:val="32"/>
          <w:highlight w:val="none"/>
          <w:lang w:val="en-US" w:eastAsia="zh-CN" w:bidi="ar-SA"/>
        </w:rPr>
        <w:t>主要包括：</w:t>
      </w:r>
      <w:r>
        <w:rPr>
          <w:rFonts w:hint="eastAsia" w:ascii="仿宋" w:hAnsi="仿宋" w:eastAsia="仿宋"/>
          <w:sz w:val="32"/>
          <w:szCs w:val="32"/>
        </w:rPr>
        <w:t>基本工资、津贴补贴、奖金、机关事业单位基本养老保险缴费、职业年金缴费</w:t>
      </w:r>
      <w:r>
        <w:rPr>
          <w:rFonts w:hint="eastAsia" w:ascii="仿宋" w:hAnsi="仿宋" w:eastAsia="仿宋"/>
          <w:sz w:val="32"/>
          <w:szCs w:val="32"/>
          <w:lang w:eastAsia="zh-CN"/>
        </w:rPr>
        <w:t>、</w:t>
      </w:r>
      <w:r>
        <w:rPr>
          <w:rFonts w:hint="eastAsia" w:ascii="仿宋" w:hAnsi="仿宋" w:eastAsia="仿宋"/>
          <w:sz w:val="32"/>
          <w:szCs w:val="32"/>
        </w:rPr>
        <w:t>职工基本医疗保险缴费、公务员医疗补助缴费</w:t>
      </w:r>
      <w:r>
        <w:rPr>
          <w:rFonts w:hint="eastAsia" w:ascii="仿宋" w:hAnsi="仿宋" w:eastAsia="仿宋"/>
          <w:sz w:val="32"/>
          <w:szCs w:val="32"/>
          <w:lang w:eastAsia="zh-CN"/>
        </w:rPr>
        <w:t>、其他社会保障缴费</w:t>
      </w:r>
      <w:r>
        <w:rPr>
          <w:rFonts w:hint="eastAsia" w:ascii="仿宋" w:hAnsi="仿宋" w:eastAsia="仿宋"/>
          <w:sz w:val="32"/>
          <w:szCs w:val="32"/>
        </w:rPr>
        <w:t>、住房公积金、生活补助</w:t>
      </w:r>
      <w:r>
        <w:rPr>
          <w:rFonts w:hint="eastAsia" w:ascii="仿宋" w:hAnsi="仿宋" w:eastAsia="仿宋"/>
          <w:sz w:val="32"/>
          <w:szCs w:val="32"/>
          <w:lang w:eastAsia="zh-CN"/>
        </w:rPr>
        <w:t>、奖励金</w:t>
      </w:r>
      <w:r>
        <w:rPr>
          <w:rFonts w:hint="eastAsia" w:ascii="仿宋" w:hAnsi="仿宋" w:eastAsia="仿宋"/>
          <w:sz w:val="32"/>
          <w:szCs w:val="32"/>
        </w:rPr>
        <w:t>。</w:t>
      </w:r>
    </w:p>
    <w:p w14:paraId="7CFD9A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公用经费13.2万元，</w:t>
      </w:r>
      <w:r>
        <w:rPr>
          <w:rFonts w:hint="eastAsia" w:eastAsia="仿宋_GB2312" w:cs="仿宋_GB2312"/>
          <w:color w:val="auto"/>
          <w:kern w:val="2"/>
          <w:sz w:val="32"/>
          <w:szCs w:val="32"/>
          <w:highlight w:val="none"/>
          <w:lang w:val="en-US" w:eastAsia="zh-CN" w:bidi="ar-SA"/>
        </w:rPr>
        <w:t>包括办公费</w:t>
      </w:r>
      <w:r>
        <w:rPr>
          <w:rFonts w:hint="eastAsia" w:ascii="仿宋" w:hAnsi="仿宋" w:eastAsia="仿宋"/>
          <w:sz w:val="32"/>
          <w:szCs w:val="32"/>
        </w:rPr>
        <w:t>、电费、邮电费、差旅费、工会经费、公务用车运行维护费</w:t>
      </w:r>
      <w:r>
        <w:rPr>
          <w:rFonts w:hint="eastAsia" w:ascii="Times New Roman" w:hAnsi="Times New Roman" w:eastAsia="仿宋_GB2312" w:cs="仿宋_GB2312"/>
          <w:color w:val="auto"/>
          <w:kern w:val="2"/>
          <w:sz w:val="32"/>
          <w:szCs w:val="32"/>
          <w:highlight w:val="none"/>
          <w:lang w:val="en-US" w:eastAsia="zh-CN" w:bidi="ar-SA"/>
        </w:rPr>
        <w:t>等。</w:t>
      </w:r>
    </w:p>
    <w:p w14:paraId="049E9E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14E30C8">
      <w:pPr>
        <w:spacing w:line="600" w:lineRule="exact"/>
        <w:ind w:firstLine="640"/>
        <w:outlineLvl w:val="1"/>
        <w:rPr>
          <w:rStyle w:val="30"/>
          <w:rFonts w:ascii="Times New Roman" w:hAnsi="Times New Roman" w:eastAsia="黑体"/>
          <w:b w:val="0"/>
          <w:color w:val="auto"/>
          <w:highlight w:val="none"/>
        </w:rPr>
      </w:pPr>
      <w:bookmarkStart w:id="54" w:name="_Toc9595"/>
      <w:bookmarkStart w:id="55" w:name="_Toc15396609"/>
      <w:bookmarkStart w:id="56"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54"/>
      <w:bookmarkEnd w:id="55"/>
      <w:bookmarkEnd w:id="56"/>
    </w:p>
    <w:p w14:paraId="5B37CFF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7"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57"/>
    </w:p>
    <w:p w14:paraId="0E717E8F">
      <w:pPr>
        <w:spacing w:line="600" w:lineRule="exact"/>
        <w:ind w:firstLine="640" w:firstLineChars="200"/>
        <w:outlineLvl w:val="2"/>
        <w:rPr>
          <w:rFonts w:hint="eastAsia" w:eastAsia="仿宋_GB2312" w:cs="仿宋_GB2312"/>
          <w:color w:val="auto"/>
          <w:kern w:val="2"/>
          <w:sz w:val="32"/>
          <w:szCs w:val="32"/>
          <w:highlight w:val="none"/>
          <w:lang w:val="en-US" w:eastAsia="zh-CN" w:bidi="ar-SA"/>
        </w:rPr>
      </w:pPr>
      <w:bookmarkStart w:id="58" w:name="_Toc15377217"/>
      <w:r>
        <w:rPr>
          <w:rFonts w:hint="eastAsia" w:eastAsia="仿宋_GB2312" w:cs="仿宋_GB2312"/>
          <w:color w:val="auto"/>
          <w:kern w:val="2"/>
          <w:sz w:val="32"/>
          <w:szCs w:val="32"/>
          <w:highlight w:val="none"/>
          <w:lang w:val="en-US" w:eastAsia="zh-CN" w:bidi="ar-SA"/>
        </w:rPr>
        <w:t>2025年度财政拨款“三公”经费支出决算为1.68万元，完成预算100%，较上年度增加0.11万元，增长7.55%，基本持平。决算数与预算数持平。</w:t>
      </w:r>
    </w:p>
    <w:p w14:paraId="1C8B9EC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（二）“三公”经费财政拨款支出决算具体情况说明</w:t>
      </w:r>
      <w:bookmarkEnd w:id="58"/>
    </w:p>
    <w:p w14:paraId="49C1C0E4">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rPr>
        <w:t>1.68</w:t>
      </w:r>
      <w:r>
        <w:rPr>
          <w:rFonts w:hint="eastAsia" w:ascii="仿宋_GB2312" w:hAnsi="仿宋_GB2312" w:eastAsia="仿宋_GB2312" w:cs="仿宋_GB2312"/>
          <w:color w:val="auto"/>
          <w:kern w:val="2"/>
          <w:sz w:val="32"/>
          <w:szCs w:val="32"/>
          <w:highlight w:val="none"/>
          <w:lang w:val="en-US" w:eastAsia="zh-CN" w:bidi="ar-SA"/>
        </w:rPr>
        <w:t>万元，占100%；公务接待费支出决算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47C334A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1312" behindDoc="0" locked="0" layoutInCell="1" allowOverlap="1">
            <wp:simplePos x="0" y="0"/>
            <wp:positionH relativeFrom="column">
              <wp:posOffset>410845</wp:posOffset>
            </wp:positionH>
            <wp:positionV relativeFrom="paragraph">
              <wp:posOffset>210185</wp:posOffset>
            </wp:positionV>
            <wp:extent cx="4822190" cy="2459990"/>
            <wp:effectExtent l="4445" t="4445" r="19685" b="19685"/>
            <wp:wrapTopAndBottom/>
            <wp:docPr id="615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627D458C">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w:t>
      </w:r>
      <w:r>
        <w:rPr>
          <w:rFonts w:hint="eastAsia" w:eastAsia="仿宋_GB2312" w:cs="仿宋_GB2312"/>
          <w:color w:val="auto"/>
          <w:kern w:val="2"/>
          <w:sz w:val="32"/>
          <w:szCs w:val="32"/>
          <w:highlight w:val="none"/>
          <w:lang w:val="en-US" w:eastAsia="zh-CN" w:bidi="ar-SA"/>
        </w:rPr>
        <w:t>与2024年持平。</w:t>
      </w:r>
    </w:p>
    <w:p w14:paraId="5156825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1.68万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2024年</w:t>
      </w:r>
      <w:r>
        <w:rPr>
          <w:rFonts w:hint="eastAsia" w:ascii="Times New Roman" w:hAnsi="Times New Roman" w:eastAsia="仿宋_GB2312" w:cs="仿宋_GB2312"/>
          <w:color w:val="auto"/>
          <w:kern w:val="2"/>
          <w:sz w:val="32"/>
          <w:szCs w:val="32"/>
          <w:highlight w:val="none"/>
          <w:lang w:val="en-US" w:eastAsia="zh-CN" w:bidi="ar-SA"/>
        </w:rPr>
        <w:t>度</w:t>
      </w:r>
      <w:r>
        <w:rPr>
          <w:rFonts w:hint="eastAsia" w:ascii="仿宋_GB2312" w:hAnsi="仿宋" w:eastAsia="仿宋_GB2312" w:cs="仿宋"/>
          <w:color w:val="000000"/>
          <w:sz w:val="32"/>
          <w:szCs w:val="32"/>
          <w:highlight w:val="none"/>
          <w:lang w:val="en-US" w:eastAsia="zh-CN"/>
        </w:rPr>
        <w:t>增加0.11万元，</w:t>
      </w:r>
      <w:r>
        <w:rPr>
          <w:rFonts w:hint="eastAsia" w:eastAsia="仿宋_GB2312" w:cs="仿宋_GB2312"/>
          <w:color w:val="auto"/>
          <w:kern w:val="2"/>
          <w:sz w:val="32"/>
          <w:szCs w:val="32"/>
          <w:highlight w:val="none"/>
          <w:lang w:val="en-US" w:eastAsia="zh-CN" w:bidi="ar-SA"/>
        </w:rPr>
        <w:t>增长7.55%，基本持平</w:t>
      </w:r>
      <w:r>
        <w:rPr>
          <w:rFonts w:hint="eastAsia" w:ascii="仿宋_GB2312" w:hAnsi="仿宋" w:eastAsia="仿宋_GB2312" w:cs="仿宋"/>
          <w:color w:val="000000"/>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0辆</w:t>
      </w:r>
      <w:r>
        <w:rPr>
          <w:rFonts w:hint="eastAsia" w:ascii="Times New Roman" w:hAnsi="Times New Roman" w:eastAsia="仿宋_GB2312" w:cs="仿宋_GB2312"/>
          <w:color w:val="auto"/>
          <w:kern w:val="2"/>
          <w:sz w:val="32"/>
          <w:szCs w:val="32"/>
          <w:highlight w:val="none"/>
          <w:lang w:val="en-US" w:eastAsia="zh-CN" w:bidi="ar-SA"/>
        </w:rPr>
        <w:t>，其中：轿车</w:t>
      </w:r>
      <w:r>
        <w:rPr>
          <w:rFonts w:hint="eastAsia" w:eastAsia="仿宋_GB2312" w:cs="仿宋_GB2312"/>
          <w:color w:val="auto"/>
          <w:kern w:val="2"/>
          <w:sz w:val="32"/>
          <w:szCs w:val="32"/>
          <w:highlight w:val="none"/>
          <w:lang w:val="en-US" w:eastAsia="zh-CN" w:bidi="ar-SA"/>
        </w:rPr>
        <w:t>0辆</w:t>
      </w:r>
      <w:r>
        <w:rPr>
          <w:rFonts w:hint="eastAsia" w:ascii="Times New Roman" w:hAnsi="Times New Roman" w:eastAsia="仿宋_GB2312" w:cs="仿宋_GB2312"/>
          <w:color w:val="auto"/>
          <w:kern w:val="2"/>
          <w:sz w:val="32"/>
          <w:szCs w:val="32"/>
          <w:highlight w:val="none"/>
          <w:lang w:val="en-US" w:eastAsia="zh-CN" w:bidi="ar-SA"/>
        </w:rPr>
        <w:t>、金额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0辆</w:t>
      </w:r>
      <w:r>
        <w:rPr>
          <w:rFonts w:hint="eastAsia" w:ascii="Times New Roman" w:hAnsi="Times New Roman" w:eastAsia="仿宋_GB2312" w:cs="仿宋_GB2312"/>
          <w:color w:val="auto"/>
          <w:kern w:val="2"/>
          <w:sz w:val="32"/>
          <w:szCs w:val="32"/>
          <w:highlight w:val="none"/>
          <w:lang w:val="en-US" w:eastAsia="zh-CN" w:bidi="ar-SA"/>
        </w:rPr>
        <w:t>、金额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0辆</w:t>
      </w:r>
      <w:r>
        <w:rPr>
          <w:rFonts w:hint="eastAsia" w:ascii="Times New Roman" w:hAnsi="Times New Roman" w:eastAsia="仿宋_GB2312" w:cs="仿宋_GB2312"/>
          <w:color w:val="auto"/>
          <w:kern w:val="2"/>
          <w:sz w:val="32"/>
          <w:szCs w:val="32"/>
          <w:highlight w:val="none"/>
          <w:lang w:val="en-US" w:eastAsia="zh-CN" w:bidi="ar-SA"/>
        </w:rPr>
        <w:t>、金额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w:t>
      </w:r>
      <w:r>
        <w:rPr>
          <w:rFonts w:hint="eastAsia" w:eastAsia="仿宋_GB2312" w:cs="仿宋_GB2312"/>
          <w:color w:val="auto"/>
          <w:kern w:val="2"/>
          <w:sz w:val="32"/>
          <w:szCs w:val="32"/>
          <w:highlight w:val="none"/>
          <w:lang w:val="en-US" w:eastAsia="zh-CN" w:bidi="ar-SA"/>
        </w:rPr>
        <w:t>2025年</w:t>
      </w:r>
      <w:r>
        <w:rPr>
          <w:rFonts w:hint="eastAsia" w:ascii="Times New Roman" w:hAnsi="Times New Roman" w:eastAsia="仿宋_GB2312" w:cs="仿宋_GB2312"/>
          <w:color w:val="auto"/>
          <w:kern w:val="2"/>
          <w:sz w:val="32"/>
          <w:szCs w:val="32"/>
          <w:highlight w:val="none"/>
          <w:lang w:val="en-US" w:eastAsia="zh-CN" w:bidi="ar-SA"/>
        </w:rPr>
        <w:t>12月31日，单位共有公务用车</w:t>
      </w:r>
      <w:r>
        <w:rPr>
          <w:rFonts w:hint="eastAsia" w:eastAsia="仿宋_GB2312" w:cs="仿宋_GB2312"/>
          <w:color w:val="auto"/>
          <w:kern w:val="2"/>
          <w:sz w:val="32"/>
          <w:szCs w:val="32"/>
          <w:highlight w:val="none"/>
          <w:lang w:val="en-US" w:eastAsia="zh-CN" w:bidi="ar-SA"/>
        </w:rPr>
        <w:t>1辆</w:t>
      </w:r>
      <w:r>
        <w:rPr>
          <w:rFonts w:hint="eastAsia" w:ascii="Times New Roman" w:hAnsi="Times New Roman" w:eastAsia="仿宋_GB2312" w:cs="仿宋_GB2312"/>
          <w:color w:val="auto"/>
          <w:kern w:val="2"/>
          <w:sz w:val="32"/>
          <w:szCs w:val="32"/>
          <w:highlight w:val="none"/>
          <w:lang w:val="en-US" w:eastAsia="zh-CN" w:bidi="ar-SA"/>
        </w:rPr>
        <w:t>，其中：轿车</w:t>
      </w:r>
      <w:r>
        <w:rPr>
          <w:rFonts w:hint="eastAsia" w:eastAsia="仿宋_GB2312" w:cs="仿宋_GB2312"/>
          <w:color w:val="auto"/>
          <w:kern w:val="2"/>
          <w:sz w:val="32"/>
          <w:szCs w:val="32"/>
          <w:highlight w:val="none"/>
          <w:lang w:val="en-US" w:eastAsia="zh-CN" w:bidi="ar-SA"/>
        </w:rPr>
        <w:t>1辆</w:t>
      </w:r>
      <w:r>
        <w:rPr>
          <w:rFonts w:hint="eastAsia" w:ascii="Times New Roman" w:hAnsi="Times New Roman" w:eastAsia="仿宋_GB2312" w:cs="仿宋_GB2312"/>
          <w:color w:val="auto"/>
          <w:kern w:val="2"/>
          <w:sz w:val="32"/>
          <w:szCs w:val="32"/>
          <w:highlight w:val="none"/>
          <w:lang w:val="en-US" w:eastAsia="zh-CN" w:bidi="ar-SA"/>
        </w:rPr>
        <w:t>、越野车</w:t>
      </w:r>
      <w:r>
        <w:rPr>
          <w:rFonts w:hint="eastAsia" w:eastAsia="仿宋_GB2312" w:cs="仿宋_GB2312"/>
          <w:color w:val="auto"/>
          <w:kern w:val="2"/>
          <w:sz w:val="32"/>
          <w:szCs w:val="32"/>
          <w:highlight w:val="none"/>
          <w:lang w:val="en-US" w:eastAsia="zh-CN" w:bidi="ar-SA"/>
        </w:rPr>
        <w:t>0辆</w:t>
      </w:r>
      <w:r>
        <w:rPr>
          <w:rFonts w:hint="eastAsia" w:ascii="Times New Roman" w:hAnsi="Times New Roman" w:eastAsia="仿宋_GB2312" w:cs="仿宋_GB2312"/>
          <w:color w:val="auto"/>
          <w:kern w:val="2"/>
          <w:sz w:val="32"/>
          <w:szCs w:val="32"/>
          <w:highlight w:val="none"/>
          <w:lang w:val="en-US" w:eastAsia="zh-CN" w:bidi="ar-SA"/>
        </w:rPr>
        <w:t>、载客汽车</w:t>
      </w:r>
      <w:r>
        <w:rPr>
          <w:rFonts w:hint="eastAsia" w:eastAsia="仿宋_GB2312" w:cs="仿宋_GB2312"/>
          <w:color w:val="auto"/>
          <w:kern w:val="2"/>
          <w:sz w:val="32"/>
          <w:szCs w:val="32"/>
          <w:highlight w:val="none"/>
          <w:lang w:val="en-US" w:eastAsia="zh-CN" w:bidi="ar-SA"/>
        </w:rPr>
        <w:t>0辆</w:t>
      </w:r>
      <w:r>
        <w:rPr>
          <w:rFonts w:hint="eastAsia" w:ascii="Times New Roman" w:hAnsi="Times New Roman" w:eastAsia="仿宋_GB2312" w:cs="仿宋_GB2312"/>
          <w:color w:val="auto"/>
          <w:kern w:val="2"/>
          <w:sz w:val="32"/>
          <w:szCs w:val="32"/>
          <w:highlight w:val="none"/>
          <w:lang w:val="en-US" w:eastAsia="zh-CN" w:bidi="ar-SA"/>
        </w:rPr>
        <w:t>。</w:t>
      </w:r>
    </w:p>
    <w:p w14:paraId="7FF1C3E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1.68</w:t>
      </w:r>
      <w:r>
        <w:rPr>
          <w:rFonts w:hint="eastAsia" w:ascii="Times New Roman" w:hAnsi="Times New Roman" w:eastAsia="仿宋_GB2312" w:cs="仿宋_GB2312"/>
          <w:color w:val="auto"/>
          <w:kern w:val="2"/>
          <w:sz w:val="32"/>
          <w:szCs w:val="32"/>
          <w:highlight w:val="none"/>
          <w:lang w:val="en-US" w:eastAsia="zh-CN" w:bidi="ar-SA"/>
        </w:rPr>
        <w:t>万元。主要用于公务用车燃料费、维修费、过路过桥费、保险费等支出。</w:t>
      </w:r>
    </w:p>
    <w:p w14:paraId="1C64162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与2024年</w:t>
      </w:r>
      <w:r>
        <w:rPr>
          <w:rFonts w:hint="eastAsia" w:ascii="Times New Roman" w:hAnsi="Times New Roman" w:eastAsia="仿宋_GB2312" w:cs="仿宋_GB2312"/>
          <w:color w:val="auto"/>
          <w:kern w:val="2"/>
          <w:sz w:val="32"/>
          <w:szCs w:val="32"/>
          <w:highlight w:val="none"/>
          <w:lang w:val="en-US" w:eastAsia="zh-CN" w:bidi="ar-SA"/>
        </w:rPr>
        <w:t>度</w:t>
      </w:r>
      <w:r>
        <w:rPr>
          <w:rFonts w:hint="eastAsia" w:eastAsia="仿宋_GB2312" w:cs="仿宋_GB2312"/>
          <w:color w:val="auto"/>
          <w:kern w:val="2"/>
          <w:sz w:val="32"/>
          <w:szCs w:val="32"/>
          <w:highlight w:val="none"/>
          <w:lang w:val="en-US" w:eastAsia="zh-CN" w:bidi="ar-SA"/>
        </w:rPr>
        <w:t>持平。</w:t>
      </w:r>
    </w:p>
    <w:p w14:paraId="0FB6CE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58A06A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本年度我单位无</w:t>
      </w: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Times New Roman" w:hAnsi="Times New Roman" w:eastAsia="仿宋_GB2312" w:cs="仿宋_GB2312"/>
          <w:color w:val="auto"/>
          <w:kern w:val="2"/>
          <w:sz w:val="32"/>
          <w:szCs w:val="32"/>
          <w:highlight w:val="none"/>
          <w:lang w:val="en-US" w:eastAsia="zh-CN" w:bidi="ar-SA"/>
        </w:rPr>
        <w:t>。</w:t>
      </w:r>
    </w:p>
    <w:p w14:paraId="72CC67B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59" w:name="_Toc15396610"/>
      <w:bookmarkStart w:id="60" w:name="_Toc15377218"/>
    </w:p>
    <w:p w14:paraId="6B7D3A76">
      <w:pPr>
        <w:spacing w:line="600" w:lineRule="exact"/>
        <w:ind w:firstLine="640"/>
        <w:outlineLvl w:val="1"/>
        <w:rPr>
          <w:rStyle w:val="30"/>
          <w:rFonts w:ascii="Times New Roman" w:hAnsi="Times New Roman" w:eastAsia="黑体"/>
          <w:color w:val="auto"/>
          <w:highlight w:val="none"/>
        </w:rPr>
      </w:pPr>
      <w:bookmarkStart w:id="61" w:name="_Toc2743"/>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59"/>
      <w:bookmarkEnd w:id="60"/>
      <w:bookmarkEnd w:id="61"/>
    </w:p>
    <w:p w14:paraId="598723AC">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p>
    <w:p w14:paraId="5858EE9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1FFC7A6">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62" w:name="_Toc2842"/>
      <w:bookmarkStart w:id="63" w:name="_Toc15396611"/>
      <w:bookmarkStart w:id="64"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62"/>
      <w:bookmarkEnd w:id="63"/>
      <w:bookmarkEnd w:id="64"/>
    </w:p>
    <w:p w14:paraId="7DF07E2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w:t>
      </w:r>
      <w:r>
        <w:rPr>
          <w:rFonts w:hint="eastAsia" w:ascii="Times New Roman" w:hAnsi="Times New Roman" w:eastAsia="仿宋_GB2312" w:cs="仿宋_GB2312"/>
          <w:color w:val="auto"/>
          <w:kern w:val="2"/>
          <w:sz w:val="32"/>
          <w:szCs w:val="32"/>
          <w:highlight w:val="none"/>
          <w:lang w:val="en-US" w:eastAsia="zh-CN" w:bidi="ar-SA"/>
        </w:rPr>
        <w:t>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p>
    <w:p w14:paraId="15523D42">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65" w:name="_Toc15396612"/>
      <w:bookmarkStart w:id="66" w:name="_Toc11549"/>
      <w:bookmarkStart w:id="67"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65"/>
      <w:bookmarkEnd w:id="66"/>
      <w:bookmarkEnd w:id="67"/>
    </w:p>
    <w:p w14:paraId="5AA398C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8" w:name="_Toc15377222"/>
      <w:r>
        <w:rPr>
          <w:rFonts w:hint="eastAsia" w:ascii="Times New Roman" w:hAnsi="Times New Roman" w:eastAsia="楷体_GB2312" w:cs="楷体_GB2312"/>
          <w:b/>
          <w:color w:val="auto"/>
          <w:sz w:val="32"/>
          <w:szCs w:val="32"/>
          <w:highlight w:val="none"/>
        </w:rPr>
        <w:t>（一）机关运行经费支出情况</w:t>
      </w:r>
      <w:bookmarkEnd w:id="68"/>
    </w:p>
    <w:p w14:paraId="37F6C22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2025年度，松潘县就业服务中心机关运行经费支出13.2万元，</w:t>
      </w:r>
      <w:r>
        <w:rPr>
          <w:rFonts w:hint="eastAsia" w:ascii="Times New Roman" w:hAnsi="Times New Roman" w:eastAsia="仿宋_GB2312" w:cs="仿宋_GB2312"/>
          <w:color w:val="auto"/>
          <w:kern w:val="2"/>
          <w:sz w:val="32"/>
          <w:szCs w:val="32"/>
          <w:highlight w:val="none"/>
          <w:lang w:val="en-US" w:eastAsia="zh-CN" w:bidi="ar-SA"/>
        </w:rPr>
        <w:t>比</w:t>
      </w:r>
      <w:r>
        <w:rPr>
          <w:rFonts w:hint="eastAsia" w:eastAsia="仿宋_GB2312" w:cs="仿宋_GB2312"/>
          <w:color w:val="auto"/>
          <w:kern w:val="2"/>
          <w:sz w:val="32"/>
          <w:szCs w:val="32"/>
          <w:highlight w:val="none"/>
          <w:lang w:val="en-US" w:eastAsia="zh-CN" w:bidi="ar-SA"/>
        </w:rPr>
        <w:t>2024年</w:t>
      </w:r>
      <w:r>
        <w:rPr>
          <w:rFonts w:hint="eastAsia" w:ascii="Times New Roman" w:hAnsi="Times New Roman" w:eastAsia="仿宋_GB2312" w:cs="仿宋_GB2312"/>
          <w:color w:val="auto"/>
          <w:kern w:val="2"/>
          <w:sz w:val="32"/>
          <w:szCs w:val="32"/>
          <w:highlight w:val="none"/>
          <w:lang w:val="en-US" w:eastAsia="zh-CN" w:bidi="ar-SA"/>
        </w:rPr>
        <w:t>度增加</w:t>
      </w:r>
      <w:r>
        <w:rPr>
          <w:rFonts w:hint="eastAsia" w:eastAsia="仿宋_GB2312" w:cs="仿宋_GB2312"/>
          <w:color w:val="auto"/>
          <w:kern w:val="2"/>
          <w:sz w:val="32"/>
          <w:szCs w:val="32"/>
          <w:highlight w:val="none"/>
          <w:lang w:val="en-US" w:eastAsia="zh-CN" w:bidi="ar-SA"/>
        </w:rPr>
        <w:t>3.6</w:t>
      </w:r>
      <w:r>
        <w:rPr>
          <w:rFonts w:hint="eastAsia" w:ascii="Times New Roman" w:hAnsi="Times New Roman" w:eastAsia="仿宋_GB2312" w:cs="仿宋_GB2312"/>
          <w:color w:val="auto"/>
          <w:kern w:val="2"/>
          <w:sz w:val="32"/>
          <w:szCs w:val="32"/>
          <w:highlight w:val="none"/>
          <w:lang w:val="en-US" w:eastAsia="zh-CN" w:bidi="ar-SA"/>
        </w:rPr>
        <w:t>万元，增长37.52%。主要原因是</w:t>
      </w:r>
      <w:r>
        <w:rPr>
          <w:rFonts w:hint="eastAsia" w:eastAsia="仿宋_GB2312" w:cs="仿宋_GB2312"/>
          <w:color w:val="auto"/>
          <w:kern w:val="2"/>
          <w:sz w:val="32"/>
          <w:szCs w:val="32"/>
          <w:highlight w:val="none"/>
          <w:lang w:val="en-US" w:eastAsia="zh-CN" w:bidi="ar-SA"/>
        </w:rPr>
        <w:t>人员变动导致经费增加。</w:t>
      </w:r>
    </w:p>
    <w:p w14:paraId="5192FC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F26995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9" w:name="_Toc15377223"/>
      <w:r>
        <w:rPr>
          <w:rFonts w:hint="eastAsia" w:ascii="Times New Roman" w:hAnsi="Times New Roman" w:eastAsia="楷体_GB2312" w:cs="楷体_GB2312"/>
          <w:b/>
          <w:color w:val="auto"/>
          <w:sz w:val="32"/>
          <w:szCs w:val="32"/>
          <w:highlight w:val="none"/>
        </w:rPr>
        <w:t>（二）政府采购支出情况</w:t>
      </w:r>
      <w:bookmarkEnd w:id="69"/>
    </w:p>
    <w:p w14:paraId="7FC6F5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松潘县就业服务中心政府采购支出总额36.4万元，其中：政府采购货物支出0万元、政府采购工程支出0万元、政府采购服务支出36.4万元。主要用于就业技能培训。授予中小企业合同金额36.4万元，占政府采购支出总额的100%，其中：授予小微企业合同金额36.4万元，占政府采购支出总额的100%。</w:t>
      </w:r>
    </w:p>
    <w:p w14:paraId="5DFB8E5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0" w:name="_Toc15377224"/>
      <w:r>
        <w:rPr>
          <w:rFonts w:hint="eastAsia" w:ascii="Times New Roman" w:hAnsi="Times New Roman" w:eastAsia="楷体_GB2312" w:cs="楷体_GB2312"/>
          <w:b/>
          <w:color w:val="auto"/>
          <w:sz w:val="32"/>
          <w:szCs w:val="32"/>
          <w:highlight w:val="none"/>
        </w:rPr>
        <w:t>（三）国有资产占有使用情况</w:t>
      </w:r>
      <w:bookmarkEnd w:id="70"/>
    </w:p>
    <w:p w14:paraId="24D1AC4D">
      <w:pPr>
        <w:spacing w:line="60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截至2025年12月31日，</w:t>
      </w:r>
      <w:r>
        <w:rPr>
          <w:rFonts w:hint="eastAsia" w:ascii="仿宋_GB2312" w:hAnsi="仿宋_GB2312" w:eastAsia="仿宋_GB2312" w:cs="仿宋_GB2312"/>
          <w:sz w:val="32"/>
          <w:szCs w:val="32"/>
        </w:rPr>
        <w:t>阿坝州松潘县就业局</w:t>
      </w:r>
      <w:r>
        <w:rPr>
          <w:rFonts w:hint="eastAsia" w:ascii="仿宋_GB2312" w:hAnsi="仿宋_GB2312" w:eastAsia="仿宋_GB2312" w:cs="仿宋_GB2312"/>
          <w:sz w:val="32"/>
          <w:szCs w:val="32"/>
          <w:lang w:val="en-US" w:eastAsia="zh-CN"/>
        </w:rPr>
        <w:t>共有车辆</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辆、其他用车</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辆，</w:t>
      </w:r>
      <w:r>
        <w:rPr>
          <w:rFonts w:hint="eastAsia" w:ascii="仿宋_GB2312" w:hAnsi="仿宋_GB2312" w:eastAsia="仿宋_GB2312" w:cs="仿宋_GB2312"/>
          <w:sz w:val="32"/>
          <w:szCs w:val="32"/>
        </w:rPr>
        <w:t>其他用车</w:t>
      </w:r>
      <w:bookmarkStart w:id="100" w:name="_GoBack"/>
      <w:r>
        <w:rPr>
          <w:rFonts w:hint="eastAsia" w:ascii="仿宋_GB2312" w:hAnsi="仿宋_GB2312" w:eastAsia="仿宋_GB2312" w:cs="仿宋_GB2312"/>
          <w:sz w:val="32"/>
          <w:szCs w:val="32"/>
          <w:lang w:eastAsia="zh-CN"/>
        </w:rPr>
        <w:t>主要</w:t>
      </w:r>
      <w:bookmarkEnd w:id="100"/>
      <w:r>
        <w:rPr>
          <w:rFonts w:hint="eastAsia" w:ascii="仿宋_GB2312" w:hAnsi="仿宋_GB2312" w:eastAsia="仿宋_GB2312" w:cs="仿宋_GB2312"/>
          <w:sz w:val="32"/>
          <w:szCs w:val="32"/>
        </w:rPr>
        <w:t>用于</w:t>
      </w:r>
      <w:r>
        <w:rPr>
          <w:rFonts w:hint="eastAsia" w:ascii="仿宋_GB2312" w:hAnsi="仿宋_GB2312" w:eastAsia="仿宋_GB2312" w:cs="仿宋_GB2312"/>
          <w:sz w:val="32"/>
          <w:szCs w:val="32"/>
          <w:lang w:val="en-US" w:eastAsia="zh-CN"/>
        </w:rPr>
        <w:t>日常公务。单价100万元（含）以上设备（不含车辆）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台（套）。</w:t>
      </w:r>
    </w:p>
    <w:p w14:paraId="1BDF74C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DCC9D1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6C7BEEF2">
      <w:pPr>
        <w:spacing w:line="600" w:lineRule="exact"/>
        <w:rPr>
          <w:rFonts w:hint="eastAsia" w:ascii="仿宋_GB2312" w:eastAsia="仿宋_GB2312"/>
          <w:sz w:val="32"/>
          <w:szCs w:val="32"/>
          <w:highlight w:val="none"/>
        </w:rPr>
      </w:pPr>
      <w:r>
        <w:rPr>
          <w:rFonts w:hint="eastAsia" w:ascii="仿宋_GB2312" w:eastAsia="仿宋_GB2312"/>
          <w:sz w:val="32"/>
          <w:szCs w:val="32"/>
          <w:highlight w:val="none"/>
        </w:rPr>
        <w:t>根据预算绩效管理要求，本单位在</w:t>
      </w:r>
      <w:r>
        <w:rPr>
          <w:rFonts w:hint="eastAsia" w:ascii="仿宋_GB2312" w:eastAsia="仿宋_GB2312"/>
          <w:sz w:val="32"/>
          <w:szCs w:val="32"/>
          <w:highlight w:val="none"/>
          <w:lang w:eastAsia="zh-CN"/>
        </w:rPr>
        <w:t>2024年</w:t>
      </w:r>
      <w:r>
        <w:rPr>
          <w:rFonts w:hint="eastAsia" w:ascii="仿宋_GB2312" w:eastAsia="仿宋_GB2312"/>
          <w:sz w:val="32"/>
          <w:szCs w:val="32"/>
          <w:highlight w:val="none"/>
        </w:rPr>
        <w:t>度预算编制阶段，组织对</w:t>
      </w:r>
      <w:r>
        <w:rPr>
          <w:rFonts w:hint="eastAsia" w:ascii="仿宋_GB2312" w:eastAsia="仿宋_GB2312"/>
          <w:sz w:val="32"/>
          <w:szCs w:val="32"/>
          <w:highlight w:val="none"/>
          <w:lang w:val="en-US" w:eastAsia="zh-CN"/>
        </w:rPr>
        <w:t>12</w:t>
      </w:r>
      <w:r>
        <w:rPr>
          <w:rFonts w:hint="eastAsia" w:ascii="仿宋_GB2312" w:eastAsia="仿宋_GB2312"/>
          <w:sz w:val="32"/>
          <w:szCs w:val="32"/>
          <w:highlight w:val="none"/>
          <w:lang w:eastAsia="zh-CN"/>
        </w:rPr>
        <w:t>个项目</w:t>
      </w:r>
      <w:r>
        <w:rPr>
          <w:rFonts w:hint="eastAsia" w:ascii="仿宋_GB2312" w:eastAsia="仿宋_GB2312"/>
          <w:sz w:val="32"/>
          <w:szCs w:val="32"/>
          <w:highlight w:val="none"/>
        </w:rPr>
        <w:t>（职业教育就读学生费用、松潘县劳动力技能培训和转移就业、促进大中专毕业生就业创业工作会议经费、就业创业工作经费、农民工服务中心工作经费、</w:t>
      </w:r>
    </w:p>
    <w:p w14:paraId="71878B13">
      <w:pPr>
        <w:spacing w:line="600" w:lineRule="exact"/>
        <w:rPr>
          <w:rFonts w:hint="eastAsia" w:ascii="仿宋_GB2312" w:eastAsia="仿宋_GB2312"/>
          <w:sz w:val="32"/>
          <w:szCs w:val="32"/>
          <w:highlight w:val="none"/>
        </w:rPr>
      </w:pPr>
      <w:r>
        <w:rPr>
          <w:rFonts w:hint="eastAsia" w:ascii="仿宋_GB2312" w:eastAsia="仿宋_GB2312"/>
          <w:sz w:val="32"/>
          <w:szCs w:val="32"/>
          <w:highlight w:val="none"/>
        </w:rPr>
        <w:t>建立完善县三级劳务服务体系工作经费、招用新成长劳动力招工成本补贴、2025年就业创业补助资金、就业创业补助资金项目、2025年就业创业补助资金、家门口就业工坊补助、</w:t>
      </w:r>
    </w:p>
    <w:p w14:paraId="30E0B2D0">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sz w:val="32"/>
          <w:szCs w:val="32"/>
          <w:highlight w:val="none"/>
        </w:rPr>
        <w:t>招用新成长劳动力招工成本补贴）等</w:t>
      </w:r>
      <w:r>
        <w:rPr>
          <w:rFonts w:hint="eastAsia" w:ascii="仿宋_GB2312" w:eastAsia="仿宋_GB2312"/>
          <w:sz w:val="32"/>
          <w:szCs w:val="32"/>
          <w:highlight w:val="none"/>
          <w:lang w:val="en-US" w:eastAsia="zh-CN"/>
        </w:rPr>
        <w:t>12</w:t>
      </w:r>
      <w:r>
        <w:rPr>
          <w:rFonts w:hint="eastAsia" w:ascii="仿宋_GB2312" w:eastAsia="仿宋_GB2312"/>
          <w:sz w:val="32"/>
          <w:szCs w:val="32"/>
          <w:highlight w:val="none"/>
          <w:lang w:eastAsia="zh-CN"/>
        </w:rPr>
        <w:t>个项目</w:t>
      </w:r>
      <w:r>
        <w:rPr>
          <w:rFonts w:hint="eastAsia" w:ascii="仿宋_GB2312" w:eastAsia="仿宋_GB2312"/>
          <w:sz w:val="32"/>
          <w:szCs w:val="32"/>
          <w:highlight w:val="none"/>
        </w:rPr>
        <w:t>开展了预算事前绩效评估，对</w:t>
      </w:r>
      <w:r>
        <w:rPr>
          <w:rFonts w:hint="eastAsia" w:ascii="仿宋_GB2312" w:eastAsia="仿宋_GB2312"/>
          <w:sz w:val="32"/>
          <w:szCs w:val="32"/>
          <w:highlight w:val="none"/>
          <w:lang w:val="en-US" w:eastAsia="zh-CN"/>
        </w:rPr>
        <w:t>12</w:t>
      </w:r>
      <w:r>
        <w:rPr>
          <w:rFonts w:hint="eastAsia" w:ascii="仿宋_GB2312" w:eastAsia="仿宋_GB2312"/>
          <w:sz w:val="32"/>
          <w:szCs w:val="32"/>
          <w:highlight w:val="none"/>
          <w:lang w:eastAsia="zh-CN"/>
        </w:rPr>
        <w:t>个项目</w:t>
      </w:r>
      <w:r>
        <w:rPr>
          <w:rFonts w:hint="eastAsia" w:ascii="仿宋_GB2312" w:eastAsia="仿宋_GB2312"/>
          <w:sz w:val="32"/>
          <w:szCs w:val="32"/>
          <w:highlight w:val="none"/>
        </w:rPr>
        <w:t>编制了绩效目标</w:t>
      </w:r>
      <w:r>
        <w:rPr>
          <w:rFonts w:hint="eastAsia" w:ascii="仿宋_GB2312" w:eastAsia="仿宋_GB2312"/>
          <w:sz w:val="32"/>
          <w:szCs w:val="32"/>
          <w:highlight w:val="none"/>
          <w:lang w:eastAsia="zh-CN"/>
        </w:rPr>
        <w:t>，在</w:t>
      </w:r>
      <w:r>
        <w:rPr>
          <w:rFonts w:hint="eastAsia" w:ascii="仿宋_GB2312" w:eastAsia="仿宋_GB2312"/>
          <w:sz w:val="32"/>
          <w:szCs w:val="32"/>
          <w:highlight w:val="none"/>
        </w:rPr>
        <w:t>预算执行过程中，选取</w:t>
      </w:r>
      <w:r>
        <w:rPr>
          <w:rFonts w:hint="eastAsia" w:ascii="仿宋_GB2312" w:eastAsia="仿宋_GB2312"/>
          <w:sz w:val="32"/>
          <w:szCs w:val="32"/>
          <w:highlight w:val="none"/>
          <w:lang w:val="en-US" w:eastAsia="zh-CN"/>
        </w:rPr>
        <w:t>12</w:t>
      </w:r>
      <w:r>
        <w:rPr>
          <w:rFonts w:hint="eastAsia" w:ascii="仿宋_GB2312" w:eastAsia="仿宋_GB2312"/>
          <w:sz w:val="32"/>
          <w:szCs w:val="32"/>
          <w:highlight w:val="none"/>
          <w:lang w:eastAsia="zh-CN"/>
        </w:rPr>
        <w:t>个项目</w:t>
      </w:r>
      <w:r>
        <w:rPr>
          <w:rFonts w:hint="eastAsia" w:ascii="仿宋_GB2312" w:eastAsia="仿宋_GB2312"/>
          <w:sz w:val="32"/>
          <w:szCs w:val="32"/>
          <w:highlight w:val="none"/>
        </w:rPr>
        <w:t>开展绩效监控，组织对</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lang w:eastAsia="zh-CN"/>
        </w:rPr>
        <w:t>个项目</w:t>
      </w:r>
      <w:r>
        <w:rPr>
          <w:rFonts w:hint="eastAsia" w:ascii="仿宋_GB2312" w:eastAsia="仿宋_GB2312"/>
          <w:sz w:val="32"/>
          <w:szCs w:val="32"/>
          <w:highlight w:val="none"/>
        </w:rPr>
        <w:t>开展绩效自评，绩效自评表详见第四部分附件。</w:t>
      </w:r>
    </w:p>
    <w:p w14:paraId="0B477611">
      <w:pP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br w:type="page"/>
      </w:r>
    </w:p>
    <w:p w14:paraId="6B5AECFC">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71" w:name="_Toc15377225"/>
      <w:bookmarkStart w:id="72" w:name="_Toc15396613"/>
      <w:bookmarkStart w:id="73" w:name="_Toc828"/>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71"/>
      <w:bookmarkEnd w:id="72"/>
      <w:bookmarkEnd w:id="73"/>
    </w:p>
    <w:p w14:paraId="00542A71">
      <w:pPr>
        <w:spacing w:line="600" w:lineRule="exact"/>
        <w:jc w:val="left"/>
        <w:rPr>
          <w:rFonts w:ascii="Times New Roman" w:hAnsi="Times New Roman"/>
          <w:b/>
          <w:color w:val="auto"/>
          <w:sz w:val="44"/>
          <w:szCs w:val="44"/>
          <w:highlight w:val="none"/>
        </w:rPr>
      </w:pPr>
    </w:p>
    <w:p w14:paraId="28BA37CE">
      <w:pPr>
        <w:spacing w:line="600" w:lineRule="exact"/>
        <w:ind w:firstLine="640" w:firstLineChars="200"/>
        <w:outlineLvl w:val="1"/>
        <w:rPr>
          <w:rFonts w:hint="eastAsia" w:ascii="仿宋_GB2312" w:hAnsi="Times New Roman" w:eastAsia="仿宋_GB2312" w:cs="Times New Roman"/>
          <w:sz w:val="32"/>
          <w:szCs w:val="32"/>
        </w:rPr>
      </w:pPr>
      <w:bookmarkStart w:id="74" w:name="_Toc16240"/>
      <w:bookmarkStart w:id="75" w:name="_Toc7001"/>
      <w:bookmarkStart w:id="76" w:name="_Toc15723"/>
      <w:bookmarkStart w:id="77" w:name="_Toc15377226"/>
      <w:r>
        <w:rPr>
          <w:rFonts w:hint="eastAsia" w:ascii="仿宋_GB2312" w:hAnsi="Times New Roman" w:eastAsia="仿宋_GB2312" w:cs="Times New Roman"/>
          <w:sz w:val="32"/>
          <w:szCs w:val="32"/>
        </w:rPr>
        <w:t>1.财政拨款收入：指单位从同级财政部门取得的财政预算资金。</w:t>
      </w:r>
      <w:bookmarkEnd w:id="74"/>
      <w:bookmarkEnd w:id="75"/>
      <w:bookmarkEnd w:id="76"/>
    </w:p>
    <w:p w14:paraId="68A58FC5">
      <w:pPr>
        <w:spacing w:line="60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2.事业收入：指事业单位开展专业业务活动及辅助活动取得的收入。</w:t>
      </w:r>
    </w:p>
    <w:p w14:paraId="3F5F010E">
      <w:pPr>
        <w:spacing w:line="60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3.经营收入：指事业单位在专业业务活动及其辅助活动之外开展非独立核算经营活动取得的收入</w:t>
      </w:r>
    </w:p>
    <w:p w14:paraId="56F98EE0">
      <w:pPr>
        <w:spacing w:line="600" w:lineRule="exact"/>
        <w:ind w:firstLine="640" w:firstLineChars="200"/>
        <w:outlineLvl w:val="1"/>
        <w:rPr>
          <w:rFonts w:hint="eastAsia" w:ascii="仿宋_GB2312" w:hAnsi="Times New Roman" w:eastAsia="仿宋_GB2312" w:cs="Times New Roman"/>
          <w:sz w:val="32"/>
          <w:szCs w:val="32"/>
        </w:rPr>
      </w:pPr>
      <w:bookmarkStart w:id="78" w:name="_Toc22210"/>
      <w:bookmarkStart w:id="79" w:name="_Toc13966"/>
      <w:bookmarkStart w:id="80" w:name="_Toc30336"/>
      <w:r>
        <w:rPr>
          <w:rFonts w:hint="eastAsia" w:ascii="仿宋_GB2312" w:hAnsi="Times New Roman" w:eastAsia="仿宋_GB2312" w:cs="Times New Roman"/>
          <w:sz w:val="32"/>
          <w:szCs w:val="32"/>
        </w:rPr>
        <w:t>4.其他收入：指单位取得的除上述收入以外的各项收入。</w:t>
      </w:r>
      <w:bookmarkEnd w:id="78"/>
      <w:bookmarkEnd w:id="79"/>
      <w:bookmarkEnd w:id="80"/>
    </w:p>
    <w:p w14:paraId="1336381F">
      <w:pPr>
        <w:spacing w:line="60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xml:space="preserve">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14:paraId="2E290B65">
      <w:pPr>
        <w:spacing w:line="60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 xml:space="preserve">6.年初结转和结余：指以前年度尚未完成、结转到本年按有关规定继续使用的资金。 </w:t>
      </w:r>
    </w:p>
    <w:p w14:paraId="2E911348">
      <w:pPr>
        <w:spacing w:line="60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7.结余分配：指事业单位按照事业单位会计制度的规定从非财政补助结余中分配的事业基金和职工福利基金等。</w:t>
      </w:r>
    </w:p>
    <w:p w14:paraId="654226E1">
      <w:pPr>
        <w:spacing w:line="60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8.年末结转和结余：指单位按有关规定结转到下年或以后年度继续使用的资金。</w:t>
      </w:r>
    </w:p>
    <w:p w14:paraId="6654482C">
      <w:pPr>
        <w:spacing w:line="60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9.社会保障和就业支出（208）人力资源和社会保障管理事务（20801）社会保险经办机构（2080109）：反映社会保险经办机构开展业务工作的支出。</w:t>
      </w:r>
      <w:r>
        <w:rPr>
          <w:rFonts w:hint="eastAsia" w:ascii="仿宋_GB2312" w:hAnsi="Times New Roman" w:eastAsia="仿宋_GB2312" w:cs="Times New Roman"/>
          <w:sz w:val="32"/>
          <w:szCs w:val="32"/>
        </w:rPr>
        <w:cr/>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rPr>
        <w:t>10.社会保障和就业支出（208）行政事业单位养老支出（20805）机关事业单位基本养老保险缴费支出（2080505）：反映机关事业单位实施养老保险制度由单位缴纳的基本养老保险费支出。</w:t>
      </w:r>
      <w:r>
        <w:rPr>
          <w:rFonts w:hint="eastAsia" w:ascii="仿宋_GB2312" w:hAnsi="Times New Roman" w:eastAsia="仿宋_GB2312" w:cs="Times New Roman"/>
          <w:sz w:val="32"/>
          <w:szCs w:val="32"/>
        </w:rPr>
        <w:cr/>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rPr>
        <w:t>11.社会保障和就业支出（208）行政事业单位养老支出（20805）机关事业单位职业年金缴费支出（2080506）：反映机关事业单位实施养老保险制度由单位实际缴纳的职业年金支出。</w:t>
      </w:r>
      <w:r>
        <w:rPr>
          <w:rFonts w:hint="eastAsia" w:ascii="仿宋_GB2312" w:hAnsi="Times New Roman" w:eastAsia="仿宋_GB2312" w:cs="Times New Roman"/>
          <w:sz w:val="32"/>
          <w:szCs w:val="32"/>
        </w:rPr>
        <w:cr/>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rPr>
        <w:t>12.社会保障和就业支出（208）就业补助（20807）就业创业服务补贴（2080701）：反映财政用于支持加强公共就业服务机构提升创业服务能力和向社会力量购买就业创业服务成果的补助支出。</w:t>
      </w:r>
      <w:r>
        <w:rPr>
          <w:rFonts w:hint="eastAsia" w:ascii="仿宋_GB2312" w:hAnsi="Times New Roman" w:eastAsia="仿宋_GB2312" w:cs="Times New Roman"/>
          <w:sz w:val="32"/>
          <w:szCs w:val="32"/>
        </w:rPr>
        <w:cr/>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rPr>
        <w:t>1</w:t>
      </w:r>
      <w:r>
        <w:rPr>
          <w:rFonts w:hint="eastAsia" w:ascii="仿宋_GB2312" w:hAnsi="Times New Roman" w:eastAsia="仿宋_GB2312" w:cs="Times New Roman"/>
          <w:sz w:val="32"/>
          <w:szCs w:val="32"/>
          <w:lang w:val="en-US" w:eastAsia="zh-CN"/>
        </w:rPr>
        <w:t>3</w:t>
      </w:r>
      <w:r>
        <w:rPr>
          <w:rFonts w:hint="eastAsia" w:ascii="仿宋_GB2312" w:hAnsi="Times New Roman" w:eastAsia="仿宋_GB2312" w:cs="Times New Roman"/>
          <w:sz w:val="32"/>
          <w:szCs w:val="32"/>
        </w:rPr>
        <w:t>.社会保障和就业支出（208）就业补助（20807）其他就业补助支出（2080799）：反映除上述项目以外按规定确定的其他用于促进就业的补助支出。</w:t>
      </w:r>
      <w:r>
        <w:rPr>
          <w:rFonts w:hint="eastAsia" w:ascii="仿宋_GB2312" w:hAnsi="Times New Roman" w:eastAsia="仿宋_GB2312" w:cs="Times New Roman"/>
          <w:sz w:val="32"/>
          <w:szCs w:val="32"/>
        </w:rPr>
        <w:cr/>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rPr>
        <w:t>1</w:t>
      </w:r>
      <w:r>
        <w:rPr>
          <w:rFonts w:hint="eastAsia" w:ascii="仿宋_GB2312" w:hAnsi="Times New Roman" w:eastAsia="仿宋_GB2312" w:cs="Times New Roman"/>
          <w:sz w:val="32"/>
          <w:szCs w:val="32"/>
          <w:lang w:val="en-US" w:eastAsia="zh-CN"/>
        </w:rPr>
        <w:t>4</w:t>
      </w:r>
      <w:r>
        <w:rPr>
          <w:rFonts w:hint="eastAsia" w:ascii="仿宋_GB2312" w:hAnsi="Times New Roman" w:eastAsia="仿宋_GB2312" w:cs="Times New Roman"/>
          <w:sz w:val="32"/>
          <w:szCs w:val="32"/>
        </w:rPr>
        <w:t>.卫生健康支出（210）行政事业单位医疗（21011）行政单位医疗（2101101）：反映财政部门安排的行政单位（包括实行公务员管理的事业单位，下同）基本医疗保险缴费经费，未参加医疗保险的行政单位的公费医疗经费，按国家规定享受离休人员、红军老战士待遇人员的医疗经费。</w:t>
      </w:r>
      <w:r>
        <w:rPr>
          <w:rFonts w:hint="eastAsia" w:ascii="仿宋_GB2312" w:hAnsi="Times New Roman" w:eastAsia="仿宋_GB2312" w:cs="Times New Roman"/>
          <w:sz w:val="32"/>
          <w:szCs w:val="32"/>
        </w:rPr>
        <w:cr/>
      </w:r>
      <w:r>
        <w:rPr>
          <w:rFonts w:hint="eastAsia" w:ascii="仿宋_GB2312" w:hAnsi="Times New Roman" w:eastAsia="仿宋_GB2312" w:cs="Times New Roman"/>
          <w:sz w:val="32"/>
          <w:szCs w:val="32"/>
          <w:lang w:val="en-US" w:eastAsia="zh-CN"/>
        </w:rPr>
        <w:t xml:space="preserve">    15</w:t>
      </w:r>
      <w:r>
        <w:rPr>
          <w:rFonts w:hint="eastAsia" w:ascii="仿宋_GB2312" w:hAnsi="Times New Roman" w:eastAsia="仿宋_GB2312" w:cs="Times New Roman"/>
          <w:sz w:val="32"/>
          <w:szCs w:val="32"/>
        </w:rPr>
        <w:t>.卫生健康支出（210）行政事业单位医疗（21011）公务员医疗补助（2101103）：反映财政部门安排的公务员医疗补助经费。</w:t>
      </w:r>
    </w:p>
    <w:p w14:paraId="0C52CF68">
      <w:pPr>
        <w:spacing w:line="600" w:lineRule="exact"/>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 xml:space="preserve">    16</w:t>
      </w:r>
      <w:r>
        <w:rPr>
          <w:rFonts w:hint="eastAsia" w:ascii="仿宋_GB2312" w:hAnsi="Times New Roman" w:eastAsia="仿宋_GB2312" w:cs="Times New Roman"/>
          <w:sz w:val="32"/>
          <w:szCs w:val="32"/>
        </w:rPr>
        <w:t>.农林水支出（213）巩固脱贫衔接乡村振兴（21305）其他巩固脱贫衔接乡村振兴支出（2130599）：反映除上述项目以外其他用于扶贫方面的支出。</w:t>
      </w:r>
      <w:r>
        <w:rPr>
          <w:rFonts w:hint="eastAsia" w:ascii="仿宋_GB2312" w:hAnsi="Times New Roman" w:eastAsia="仿宋_GB2312" w:cs="Times New Roman"/>
          <w:sz w:val="32"/>
          <w:szCs w:val="32"/>
        </w:rPr>
        <w:cr/>
      </w:r>
      <w:r>
        <w:rPr>
          <w:rFonts w:hint="eastAsia" w:ascii="仿宋_GB2312" w:hAnsi="Times New Roman" w:eastAsia="仿宋_GB2312" w:cs="Times New Roman"/>
          <w:sz w:val="32"/>
          <w:szCs w:val="32"/>
          <w:lang w:val="en-US" w:eastAsia="zh-CN"/>
        </w:rPr>
        <w:t xml:space="preserve">    17</w:t>
      </w:r>
      <w:r>
        <w:rPr>
          <w:rFonts w:hint="eastAsia" w:ascii="仿宋_GB2312" w:hAnsi="Times New Roman" w:eastAsia="仿宋_GB2312" w:cs="Times New Roman"/>
          <w:sz w:val="32"/>
          <w:szCs w:val="32"/>
        </w:rPr>
        <w:t>.住房保障支出（221）住房改革支出（22102）住房公积金（2210201）：反映行政事业单位按人力资源和社会保障部、财政部规定的基本工资和津贴补贴以及规定比例为职工缴纳的住房公积金。</w:t>
      </w:r>
    </w:p>
    <w:p w14:paraId="0DEBB98F">
      <w:pPr>
        <w:spacing w:line="60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18</w:t>
      </w:r>
      <w:r>
        <w:rPr>
          <w:rFonts w:hint="eastAsia" w:ascii="仿宋_GB2312" w:hAnsi="Times New Roman" w:eastAsia="仿宋_GB2312" w:cs="Times New Roman"/>
          <w:sz w:val="32"/>
          <w:szCs w:val="32"/>
        </w:rPr>
        <w:t>.基本支出：指为保障机构正常运转、完成日常工作任务而发生的人员支出和公用支出。</w:t>
      </w:r>
    </w:p>
    <w:p w14:paraId="33A5DD55">
      <w:pPr>
        <w:spacing w:line="60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19</w:t>
      </w:r>
      <w:r>
        <w:rPr>
          <w:rFonts w:hint="eastAsia" w:ascii="仿宋_GB2312" w:hAnsi="Times New Roman" w:eastAsia="仿宋_GB2312" w:cs="Times New Roman"/>
          <w:sz w:val="32"/>
          <w:szCs w:val="32"/>
        </w:rPr>
        <w:t xml:space="preserve">.项目支出：指在基本支出之外为完成特定行政任务和事业发展目标所发生的支出。 </w:t>
      </w:r>
    </w:p>
    <w:p w14:paraId="00A4664B">
      <w:pPr>
        <w:spacing w:line="60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lang w:val="en-US" w:eastAsia="zh-CN"/>
        </w:rPr>
        <w:t>20</w:t>
      </w:r>
      <w:r>
        <w:rPr>
          <w:rFonts w:hint="eastAsia" w:ascii="仿宋_GB2312" w:hAnsi="Times New Roman" w:eastAsia="仿宋_GB2312" w:cs="Times New Roman"/>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2398528">
      <w:pPr>
        <w:spacing w:line="600" w:lineRule="exact"/>
        <w:ind w:firstLine="640" w:firstLineChars="20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2</w:t>
      </w:r>
      <w:r>
        <w:rPr>
          <w:rFonts w:hint="eastAsia" w:ascii="仿宋_GB2312" w:hAnsi="Times New Roman" w:eastAsia="仿宋_GB2312" w:cs="Times New Roman"/>
          <w:sz w:val="32"/>
          <w:szCs w:val="32"/>
          <w:lang w:val="en-US" w:eastAsia="zh-CN"/>
        </w:rPr>
        <w:t>1</w:t>
      </w:r>
      <w:r>
        <w:rPr>
          <w:rFonts w:hint="eastAsia" w:ascii="仿宋_GB2312" w:hAnsi="Times New Roman" w:eastAsia="仿宋_GB2312" w:cs="Times New Roman"/>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649BF95">
      <w:pPr>
        <w:numPr>
          <w:ilvl w:val="0"/>
          <w:numId w:val="0"/>
        </w:numPr>
        <w:spacing w:line="600" w:lineRule="exact"/>
        <w:jc w:val="center"/>
        <w:outlineLvl w:val="0"/>
        <w:rPr>
          <w:rStyle w:val="29"/>
          <w:rFonts w:hint="eastAsia" w:ascii="Times New Roman" w:hAnsi="Times New Roman" w:eastAsia="黑体"/>
          <w:b w:val="0"/>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81" w:name="_Toc24508"/>
      <w:bookmarkStart w:id="8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81"/>
      <w:bookmarkEnd w:id="82"/>
    </w:p>
    <w:p w14:paraId="6BCA17B2">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6086E285">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bookmarkStart w:id="83" w:name="_Toc32739"/>
      <w:bookmarkStart w:id="84" w:name="_Toc986"/>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83"/>
      <w:bookmarkEnd w:id="84"/>
    </w:p>
    <w:p w14:paraId="5C545376">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0DD38DEC">
      <w:pPr>
        <w:spacing w:line="600" w:lineRule="exact"/>
        <w:ind w:firstLine="640" w:firstLineChars="200"/>
        <w:rPr>
          <w:rFonts w:hint="eastAsia" w:ascii="Times New Roman" w:hAnsi="Times New Roman" w:eastAsia="仿宋_GB2312" w:cs="仿宋_GB2312"/>
          <w:b w:val="0"/>
          <w:bCs w:val="0"/>
          <w:kern w:val="0"/>
          <w:position w:val="0"/>
          <w:sz w:val="32"/>
          <w:szCs w:val="32"/>
          <w:highlight w:val="none"/>
          <w:lang w:val="en-US" w:eastAsia="zh-CN" w:bidi="ar-SA"/>
        </w:rPr>
      </w:pPr>
      <w:bookmarkStart w:id="85" w:name="_Toc15396618"/>
      <w:r>
        <w:rPr>
          <w:rFonts w:hint="eastAsia" w:ascii="仿宋_GB2312" w:eastAsia="仿宋_GB2312" w:cs="Times New Roman"/>
          <w:sz w:val="32"/>
          <w:szCs w:val="32"/>
          <w:lang w:val="en-US" w:eastAsia="zh-CN"/>
        </w:rPr>
        <w:t>本年度无此项。</w:t>
      </w:r>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1207E054">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86" w:name="_Toc26651"/>
      <w:r>
        <w:rPr>
          <w:rFonts w:hint="eastAsia" w:ascii="Times New Roman" w:hAnsi="Times New Roman" w:eastAsia="黑体"/>
          <w:color w:val="auto"/>
          <w:sz w:val="44"/>
          <w:szCs w:val="44"/>
          <w:highlight w:val="none"/>
        </w:rPr>
        <w:t>第五部分 附表</w:t>
      </w:r>
      <w:bookmarkEnd w:id="77"/>
      <w:bookmarkEnd w:id="85"/>
      <w:bookmarkEnd w:id="86"/>
      <w:bookmarkStart w:id="87" w:name="_Toc15396619"/>
    </w:p>
    <w:p w14:paraId="0CDAA21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3AA43BD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87"/>
    </w:p>
    <w:p w14:paraId="52BFB89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8" w:name="_Toc15396620"/>
      <w:r>
        <w:rPr>
          <w:rFonts w:hint="eastAsia" w:ascii="Times New Roman" w:hAnsi="Times New Roman" w:eastAsia="仿宋_GB2312" w:cs="仿宋_GB2312"/>
          <w:color w:val="auto"/>
          <w:sz w:val="32"/>
          <w:szCs w:val="32"/>
          <w:highlight w:val="none"/>
        </w:rPr>
        <w:t>二、收入决算表</w:t>
      </w:r>
      <w:bookmarkEnd w:id="88"/>
    </w:p>
    <w:p w14:paraId="795D735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9" w:name="_Toc15396621"/>
      <w:r>
        <w:rPr>
          <w:rFonts w:hint="eastAsia" w:ascii="Times New Roman" w:hAnsi="Times New Roman" w:eastAsia="仿宋_GB2312" w:cs="仿宋_GB2312"/>
          <w:color w:val="auto"/>
          <w:sz w:val="32"/>
          <w:szCs w:val="32"/>
          <w:highlight w:val="none"/>
        </w:rPr>
        <w:t>三、支出决算表</w:t>
      </w:r>
      <w:bookmarkEnd w:id="89"/>
    </w:p>
    <w:p w14:paraId="26C4722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0" w:name="_Toc15396622"/>
      <w:r>
        <w:rPr>
          <w:rFonts w:hint="eastAsia" w:ascii="Times New Roman" w:hAnsi="Times New Roman" w:eastAsia="仿宋_GB2312" w:cs="仿宋_GB2312"/>
          <w:color w:val="auto"/>
          <w:sz w:val="32"/>
          <w:szCs w:val="32"/>
          <w:highlight w:val="none"/>
        </w:rPr>
        <w:t>四、财政拨款收入支出决算总表</w:t>
      </w:r>
      <w:bookmarkEnd w:id="90"/>
    </w:p>
    <w:p w14:paraId="4A8638B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1" w:name="_Toc15396623"/>
      <w:r>
        <w:rPr>
          <w:rFonts w:hint="eastAsia" w:ascii="Times New Roman" w:hAnsi="Times New Roman" w:eastAsia="仿宋_GB2312" w:cs="仿宋_GB2312"/>
          <w:color w:val="auto"/>
          <w:sz w:val="32"/>
          <w:szCs w:val="32"/>
          <w:highlight w:val="none"/>
        </w:rPr>
        <w:t>五、财政拨款支出决算明细表</w:t>
      </w:r>
      <w:bookmarkEnd w:id="91"/>
      <w:bookmarkStart w:id="92" w:name="_Toc15396624"/>
    </w:p>
    <w:p w14:paraId="7FAF07C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92"/>
    </w:p>
    <w:p w14:paraId="3640856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3" w:name="_Toc15396625"/>
      <w:r>
        <w:rPr>
          <w:rFonts w:hint="eastAsia" w:ascii="Times New Roman" w:hAnsi="Times New Roman" w:eastAsia="仿宋_GB2312" w:cs="仿宋_GB2312"/>
          <w:color w:val="auto"/>
          <w:sz w:val="32"/>
          <w:szCs w:val="32"/>
          <w:highlight w:val="none"/>
        </w:rPr>
        <w:t>七、一般公共预算财政拨款支出决算明细表</w:t>
      </w:r>
      <w:bookmarkEnd w:id="93"/>
    </w:p>
    <w:p w14:paraId="470DB68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4" w:name="_Toc15396626"/>
      <w:r>
        <w:rPr>
          <w:rFonts w:hint="eastAsia" w:ascii="Times New Roman" w:hAnsi="Times New Roman" w:eastAsia="仿宋_GB2312" w:cs="仿宋_GB2312"/>
          <w:color w:val="auto"/>
          <w:sz w:val="32"/>
          <w:szCs w:val="32"/>
          <w:highlight w:val="none"/>
        </w:rPr>
        <w:t>八、一般公共预算财政拨款基本支出决算表</w:t>
      </w:r>
      <w:bookmarkEnd w:id="94"/>
    </w:p>
    <w:p w14:paraId="17DCBF8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5" w:name="_Toc15396627"/>
      <w:r>
        <w:rPr>
          <w:rFonts w:hint="eastAsia" w:ascii="Times New Roman" w:hAnsi="Times New Roman" w:eastAsia="仿宋_GB2312" w:cs="仿宋_GB2312"/>
          <w:color w:val="auto"/>
          <w:sz w:val="32"/>
          <w:szCs w:val="32"/>
          <w:highlight w:val="none"/>
        </w:rPr>
        <w:t>九、一般公共预算财政拨款项目支出决算表</w:t>
      </w:r>
      <w:bookmarkEnd w:id="95"/>
    </w:p>
    <w:p w14:paraId="2371B77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6" w:name="_Toc15396628"/>
      <w:r>
        <w:rPr>
          <w:rFonts w:hint="eastAsia" w:ascii="Times New Roman" w:hAnsi="Times New Roman" w:eastAsia="仿宋_GB2312" w:cs="仿宋_GB2312"/>
          <w:color w:val="auto"/>
          <w:sz w:val="32"/>
          <w:szCs w:val="32"/>
          <w:highlight w:val="none"/>
        </w:rPr>
        <w:t>十、</w:t>
      </w:r>
      <w:bookmarkEnd w:id="96"/>
      <w:r>
        <w:rPr>
          <w:rFonts w:hint="eastAsia" w:ascii="Times New Roman" w:hAnsi="Times New Roman" w:eastAsia="仿宋_GB2312" w:cs="仿宋_GB2312"/>
          <w:color w:val="auto"/>
          <w:sz w:val="32"/>
          <w:szCs w:val="32"/>
          <w:highlight w:val="none"/>
        </w:rPr>
        <w:t>政府性基金预算财政拨款收入支出决算表</w:t>
      </w:r>
    </w:p>
    <w:p w14:paraId="106386F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7" w:name="_Toc15396629"/>
      <w:r>
        <w:rPr>
          <w:rFonts w:hint="eastAsia" w:ascii="Times New Roman" w:hAnsi="Times New Roman" w:eastAsia="仿宋_GB2312" w:cs="仿宋_GB2312"/>
          <w:color w:val="auto"/>
          <w:sz w:val="32"/>
          <w:szCs w:val="32"/>
          <w:highlight w:val="none"/>
        </w:rPr>
        <w:t>十一、</w:t>
      </w:r>
      <w:bookmarkEnd w:id="97"/>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46EABC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8" w:name="_Toc15396630"/>
      <w:r>
        <w:rPr>
          <w:rFonts w:hint="eastAsia" w:ascii="Times New Roman" w:hAnsi="Times New Roman" w:eastAsia="仿宋_GB2312" w:cs="仿宋_GB2312"/>
          <w:color w:val="auto"/>
          <w:sz w:val="32"/>
          <w:szCs w:val="32"/>
          <w:highlight w:val="none"/>
        </w:rPr>
        <w:t>十二、</w:t>
      </w:r>
      <w:bookmarkEnd w:id="98"/>
      <w:r>
        <w:rPr>
          <w:rFonts w:hint="eastAsia" w:ascii="Times New Roman" w:hAnsi="Times New Roman" w:eastAsia="仿宋_GB2312" w:cs="仿宋_GB2312"/>
          <w:color w:val="auto"/>
          <w:sz w:val="32"/>
          <w:szCs w:val="32"/>
          <w:highlight w:val="none"/>
          <w:lang w:eastAsia="zh-CN"/>
        </w:rPr>
        <w:t>国有资本经营预算财政拨款支出决算表</w:t>
      </w:r>
    </w:p>
    <w:p w14:paraId="2F5EA68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99" w:name="_Toc15396631"/>
      <w:r>
        <w:rPr>
          <w:rFonts w:hint="eastAsia" w:ascii="Times New Roman" w:hAnsi="Times New Roman" w:eastAsia="仿宋_GB2312" w:cs="仿宋_GB2312"/>
          <w:color w:val="auto"/>
          <w:sz w:val="32"/>
          <w:szCs w:val="32"/>
          <w:highlight w:val="none"/>
        </w:rPr>
        <w:t>十三、</w:t>
      </w:r>
      <w:bookmarkEnd w:id="99"/>
      <w:r>
        <w:rPr>
          <w:rFonts w:hint="eastAsia" w:ascii="Times New Roman" w:hAnsi="Times New Roman" w:eastAsia="仿宋_GB2312" w:cs="仿宋_GB2312"/>
          <w:color w:val="auto"/>
          <w:sz w:val="32"/>
          <w:szCs w:val="32"/>
          <w:highlight w:val="none"/>
          <w:lang w:eastAsia="zh-CN"/>
        </w:rPr>
        <w:t>财政拨款“三公”经费支出决算表</w:t>
      </w:r>
    </w:p>
    <w:p w14:paraId="33587E1E">
      <w:pPr>
        <w:rPr>
          <w:rFonts w:hint="eastAsia" w:ascii="Times New Roman" w:hAnsi="Times New Roman"/>
          <w:lang w:eastAsia="zh-CN"/>
        </w:rPr>
      </w:pPr>
    </w:p>
    <w:sectPr>
      <w:footerReference r:id="rId8" w:type="first"/>
      <w:footerReference r:id="rId7" w:type="default"/>
      <w:pgSz w:w="11906" w:h="16838"/>
      <w:pgMar w:top="1440" w:right="1800" w:bottom="1440" w:left="1800" w:header="851" w:footer="992" w:gutter="0"/>
      <w:pgNumType w:fmt="decimal"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0B74C58-7B23-48F7-9067-29C33584A34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AA37D69B-C2AB-4956-B10E-DFF4B08F2AF1}"/>
  </w:font>
  <w:font w:name="仿宋">
    <w:panose1 w:val="02010609060101010101"/>
    <w:charset w:val="86"/>
    <w:family w:val="modern"/>
    <w:pitch w:val="default"/>
    <w:sig w:usb0="800002BF" w:usb1="38CF7CFA" w:usb2="00000016" w:usb3="00000000" w:csb0="00040001" w:csb1="00000000"/>
    <w:embedRegular r:id="rId3" w:fontKey="{95ECA03B-197E-497A-AD67-5BE380E454E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BFD824F2-BB62-495E-A8F2-EB8AD53A5736}"/>
  </w:font>
  <w:font w:name="楷体_GB2312">
    <w:panose1 w:val="02010609030101010101"/>
    <w:charset w:val="86"/>
    <w:family w:val="auto"/>
    <w:pitch w:val="default"/>
    <w:sig w:usb0="00000001" w:usb1="080E0000" w:usb2="00000000" w:usb3="00000000" w:csb0="00040000" w:csb1="00000000"/>
    <w:embedRegular r:id="rId5" w:fontKey="{81BB0968-F2B0-410C-AC15-7E67F2848B7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73A76">
    <w:pPr>
      <w:pStyle w:val="11"/>
      <w:jc w:val="center"/>
    </w:pPr>
  </w:p>
  <w:p w14:paraId="56B7FA6C">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B7EAC">
    <w:pPr>
      <w:pStyle w:val="11"/>
      <w:jc w:val="center"/>
    </w:pPr>
  </w:p>
  <w:p w14:paraId="40320675">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70580">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14A37">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409794">
                          <w:pPr>
                            <w:pStyle w:val="11"/>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8409794">
                    <w:pPr>
                      <w:pStyle w:val="11"/>
                    </w:pPr>
                    <w:r>
                      <w:fldChar w:fldCharType="begin"/>
                    </w:r>
                    <w:r>
                      <w:instrText xml:space="preserve"> PAGE  \* MERGEFORMAT </w:instrText>
                    </w:r>
                    <w:r>
                      <w:fldChar w:fldCharType="separate"/>
                    </w:r>
                    <w:r>
                      <w:t>- 2 -</w:t>
                    </w:r>
                    <w:r>
                      <w:fldChar w:fldCharType="end"/>
                    </w:r>
                  </w:p>
                </w:txbxContent>
              </v:textbox>
            </v:shape>
          </w:pict>
        </mc:Fallback>
      </mc:AlternateContent>
    </w:r>
  </w:p>
  <w:p w14:paraId="34867567">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F0D17">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196CE6">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0196CE6">
                    <w:pPr>
                      <w:pStyle w:val="11"/>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12694">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4993409"/>
    <w:rsid w:val="0541164E"/>
    <w:rsid w:val="061E35DE"/>
    <w:rsid w:val="066E0107"/>
    <w:rsid w:val="07996F6E"/>
    <w:rsid w:val="07DFD8BA"/>
    <w:rsid w:val="082500FC"/>
    <w:rsid w:val="083420ED"/>
    <w:rsid w:val="09867E8F"/>
    <w:rsid w:val="0A2032A3"/>
    <w:rsid w:val="0CA8290A"/>
    <w:rsid w:val="0D35B1ED"/>
    <w:rsid w:val="0E254B6B"/>
    <w:rsid w:val="0F98263C"/>
    <w:rsid w:val="101860EC"/>
    <w:rsid w:val="101F47CC"/>
    <w:rsid w:val="10C055FF"/>
    <w:rsid w:val="11694EBD"/>
    <w:rsid w:val="11772AA4"/>
    <w:rsid w:val="118107EC"/>
    <w:rsid w:val="119836EC"/>
    <w:rsid w:val="12092610"/>
    <w:rsid w:val="12E24EE2"/>
    <w:rsid w:val="13802F6B"/>
    <w:rsid w:val="13D50BC4"/>
    <w:rsid w:val="13F753F7"/>
    <w:rsid w:val="14B17F78"/>
    <w:rsid w:val="14CB3037"/>
    <w:rsid w:val="165E0673"/>
    <w:rsid w:val="169869DC"/>
    <w:rsid w:val="16B831D5"/>
    <w:rsid w:val="16BB723D"/>
    <w:rsid w:val="17D83E75"/>
    <w:rsid w:val="17E50567"/>
    <w:rsid w:val="186504BB"/>
    <w:rsid w:val="19A445FC"/>
    <w:rsid w:val="1A0538E9"/>
    <w:rsid w:val="1ABB07AC"/>
    <w:rsid w:val="1BE8440E"/>
    <w:rsid w:val="1BEE1939"/>
    <w:rsid w:val="1D155CEE"/>
    <w:rsid w:val="1D1638FE"/>
    <w:rsid w:val="1E312DEB"/>
    <w:rsid w:val="1E740ACF"/>
    <w:rsid w:val="1EB1403F"/>
    <w:rsid w:val="1F3E21E6"/>
    <w:rsid w:val="1FF35744"/>
    <w:rsid w:val="1FF6BC77"/>
    <w:rsid w:val="2112407F"/>
    <w:rsid w:val="2186353C"/>
    <w:rsid w:val="219C0FF9"/>
    <w:rsid w:val="22E542B8"/>
    <w:rsid w:val="23860B96"/>
    <w:rsid w:val="240371BF"/>
    <w:rsid w:val="244F3473"/>
    <w:rsid w:val="2460172E"/>
    <w:rsid w:val="24C97D99"/>
    <w:rsid w:val="25A718F0"/>
    <w:rsid w:val="25BB59F6"/>
    <w:rsid w:val="260F557C"/>
    <w:rsid w:val="26970054"/>
    <w:rsid w:val="273B094A"/>
    <w:rsid w:val="281408E2"/>
    <w:rsid w:val="29FD04D3"/>
    <w:rsid w:val="2BFF7BC6"/>
    <w:rsid w:val="2C5F237F"/>
    <w:rsid w:val="2C8A61B5"/>
    <w:rsid w:val="2DF04E50"/>
    <w:rsid w:val="2E586DFA"/>
    <w:rsid w:val="2F040D46"/>
    <w:rsid w:val="2F6B035B"/>
    <w:rsid w:val="2FAE5751"/>
    <w:rsid w:val="2FB1A395"/>
    <w:rsid w:val="2FD9A7D8"/>
    <w:rsid w:val="2FDBF714"/>
    <w:rsid w:val="303625F7"/>
    <w:rsid w:val="30AB6865"/>
    <w:rsid w:val="319F7F4E"/>
    <w:rsid w:val="32BD1EF1"/>
    <w:rsid w:val="3304709D"/>
    <w:rsid w:val="33A773CB"/>
    <w:rsid w:val="349D6851"/>
    <w:rsid w:val="34EC0B94"/>
    <w:rsid w:val="35026383"/>
    <w:rsid w:val="36AA5135"/>
    <w:rsid w:val="36BE0DA7"/>
    <w:rsid w:val="376B6AA6"/>
    <w:rsid w:val="376D39B2"/>
    <w:rsid w:val="37D0105C"/>
    <w:rsid w:val="37E16F03"/>
    <w:rsid w:val="37F53A3B"/>
    <w:rsid w:val="389B6C89"/>
    <w:rsid w:val="38D469F0"/>
    <w:rsid w:val="39627CCD"/>
    <w:rsid w:val="397BAF1F"/>
    <w:rsid w:val="3A2F369D"/>
    <w:rsid w:val="3AB79AF3"/>
    <w:rsid w:val="3AE834C0"/>
    <w:rsid w:val="3B7EF35A"/>
    <w:rsid w:val="3B9FDB6C"/>
    <w:rsid w:val="3BF5BC2F"/>
    <w:rsid w:val="3C504A40"/>
    <w:rsid w:val="3CEBA265"/>
    <w:rsid w:val="3D5017F3"/>
    <w:rsid w:val="3D98207C"/>
    <w:rsid w:val="3DEE7CF3"/>
    <w:rsid w:val="3E740A63"/>
    <w:rsid w:val="3E78745D"/>
    <w:rsid w:val="3EE17838"/>
    <w:rsid w:val="3F55381A"/>
    <w:rsid w:val="3F7F7599"/>
    <w:rsid w:val="3FF4CAE0"/>
    <w:rsid w:val="3FF7B227"/>
    <w:rsid w:val="40B27C77"/>
    <w:rsid w:val="44E268DA"/>
    <w:rsid w:val="450D13D7"/>
    <w:rsid w:val="45506656"/>
    <w:rsid w:val="455851E0"/>
    <w:rsid w:val="462A14EA"/>
    <w:rsid w:val="486A6C7A"/>
    <w:rsid w:val="4A627F82"/>
    <w:rsid w:val="4B0E749A"/>
    <w:rsid w:val="4B2477C4"/>
    <w:rsid w:val="4B4F25DA"/>
    <w:rsid w:val="4BE068DB"/>
    <w:rsid w:val="4D577224"/>
    <w:rsid w:val="4DBF1CEB"/>
    <w:rsid w:val="4DF0007C"/>
    <w:rsid w:val="4E067784"/>
    <w:rsid w:val="4EAB630A"/>
    <w:rsid w:val="4ECE2238"/>
    <w:rsid w:val="4F053468"/>
    <w:rsid w:val="4F833267"/>
    <w:rsid w:val="4FE9BD67"/>
    <w:rsid w:val="4FFB052F"/>
    <w:rsid w:val="503B5B3F"/>
    <w:rsid w:val="51A8199C"/>
    <w:rsid w:val="537E6D0A"/>
    <w:rsid w:val="53F74C96"/>
    <w:rsid w:val="540E1011"/>
    <w:rsid w:val="55170BA8"/>
    <w:rsid w:val="553218C9"/>
    <w:rsid w:val="567E1AA5"/>
    <w:rsid w:val="56E47B74"/>
    <w:rsid w:val="57175D52"/>
    <w:rsid w:val="57BD3DD4"/>
    <w:rsid w:val="5AF92295"/>
    <w:rsid w:val="5B250254"/>
    <w:rsid w:val="5BDD79E6"/>
    <w:rsid w:val="5BF561CA"/>
    <w:rsid w:val="5BFF5DFC"/>
    <w:rsid w:val="5C9806BB"/>
    <w:rsid w:val="5CD71FC4"/>
    <w:rsid w:val="5D1F11B5"/>
    <w:rsid w:val="5D695134"/>
    <w:rsid w:val="5DAE1B18"/>
    <w:rsid w:val="5DE7D9E5"/>
    <w:rsid w:val="5ECEC941"/>
    <w:rsid w:val="5F754D0E"/>
    <w:rsid w:val="5FBF9FF3"/>
    <w:rsid w:val="5FCD4E2C"/>
    <w:rsid w:val="5FEF394A"/>
    <w:rsid w:val="5FF67715"/>
    <w:rsid w:val="62BF3928"/>
    <w:rsid w:val="63B22CDB"/>
    <w:rsid w:val="63B3701E"/>
    <w:rsid w:val="647F5392"/>
    <w:rsid w:val="65E66580"/>
    <w:rsid w:val="66061E04"/>
    <w:rsid w:val="66301FB8"/>
    <w:rsid w:val="66330BC1"/>
    <w:rsid w:val="664B1D71"/>
    <w:rsid w:val="664B4E8E"/>
    <w:rsid w:val="67277B67"/>
    <w:rsid w:val="67AA3209"/>
    <w:rsid w:val="697F233D"/>
    <w:rsid w:val="698D0931"/>
    <w:rsid w:val="6A7FE5F3"/>
    <w:rsid w:val="6B053271"/>
    <w:rsid w:val="6BDD78B3"/>
    <w:rsid w:val="6C4A05C8"/>
    <w:rsid w:val="6C8742B8"/>
    <w:rsid w:val="6D8A7E75"/>
    <w:rsid w:val="6DBF5E93"/>
    <w:rsid w:val="6DFF077E"/>
    <w:rsid w:val="6E714EF0"/>
    <w:rsid w:val="6E7E3605"/>
    <w:rsid w:val="6E7FDCC7"/>
    <w:rsid w:val="6ED6A62E"/>
    <w:rsid w:val="6EE00B15"/>
    <w:rsid w:val="6F6FB3EB"/>
    <w:rsid w:val="6F8731EA"/>
    <w:rsid w:val="6FCE6052"/>
    <w:rsid w:val="6FD57C00"/>
    <w:rsid w:val="6FED1F6E"/>
    <w:rsid w:val="6FEFFFD8"/>
    <w:rsid w:val="6FF5CC65"/>
    <w:rsid w:val="6FFB47EC"/>
    <w:rsid w:val="6FFF034A"/>
    <w:rsid w:val="70484440"/>
    <w:rsid w:val="712A28F1"/>
    <w:rsid w:val="715C0E4B"/>
    <w:rsid w:val="71992E7C"/>
    <w:rsid w:val="72233669"/>
    <w:rsid w:val="725974A3"/>
    <w:rsid w:val="72734D90"/>
    <w:rsid w:val="72A21998"/>
    <w:rsid w:val="73160E6D"/>
    <w:rsid w:val="7332FE48"/>
    <w:rsid w:val="73AB61DA"/>
    <w:rsid w:val="73AD73D5"/>
    <w:rsid w:val="73B6EB34"/>
    <w:rsid w:val="73FA497D"/>
    <w:rsid w:val="744731E5"/>
    <w:rsid w:val="74BBD01D"/>
    <w:rsid w:val="74ED5379"/>
    <w:rsid w:val="75DEEEC2"/>
    <w:rsid w:val="75E32345"/>
    <w:rsid w:val="75FD19AF"/>
    <w:rsid w:val="76E3355F"/>
    <w:rsid w:val="76FF5125"/>
    <w:rsid w:val="776F6FFA"/>
    <w:rsid w:val="778769C8"/>
    <w:rsid w:val="77A75DCA"/>
    <w:rsid w:val="77DC22F5"/>
    <w:rsid w:val="783E271A"/>
    <w:rsid w:val="78616DE9"/>
    <w:rsid w:val="786C1733"/>
    <w:rsid w:val="78E875D7"/>
    <w:rsid w:val="79086DAD"/>
    <w:rsid w:val="79D7FD79"/>
    <w:rsid w:val="79EE5BA4"/>
    <w:rsid w:val="79F72B03"/>
    <w:rsid w:val="7A894339"/>
    <w:rsid w:val="7AD284E8"/>
    <w:rsid w:val="7AFF7572"/>
    <w:rsid w:val="7B6C7DFB"/>
    <w:rsid w:val="7BBFBED0"/>
    <w:rsid w:val="7BC3E394"/>
    <w:rsid w:val="7C1F3737"/>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6"/>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able of figures"/>
    <w:basedOn w:val="1"/>
    <w:next w:val="1"/>
    <w:qFormat/>
    <w:uiPriority w:val="0"/>
    <w:pPr>
      <w:spacing w:before="100" w:beforeAutospacing="1" w:after="100" w:afterAutospacing="1"/>
      <w:ind w:left="400" w:leftChars="200" w:hanging="200" w:hangingChars="200"/>
    </w:pPr>
    <w:rPr>
      <w:kern w:val="0"/>
      <w:sz w:val="20"/>
      <w:szCs w:val="21"/>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8"/>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file:///C:\Users\39077\Desktop\&#20309;-&#20889;&#20915;&#31639;&#20844;&#24320;&#25253;&#21578;2025\&#20915;&#31639;&#20844;&#24320;&#30011;&#2227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39077\Desktop\&#26494;&#28504;2024&#24180;&#20915;&#31639;&#20844;&#24320;&#36164;&#26009;\&#26032;&#24314;%20XLS%20&#24037;&#20316;&#349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39077\Desktop\&#20309;-&#20889;&#20915;&#31639;&#20844;&#24320;&#25253;&#21578;2025\&#20915;&#31639;&#20844;&#24320;&#30011;&#2227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39077\Desktop\&#20309;-&#20889;&#20915;&#31639;&#20844;&#24320;&#25253;&#21578;2025\&#20915;&#31639;&#20844;&#24320;&#30011;&#2227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39077\Desktop\&#20309;-&#20889;&#20915;&#31639;&#20844;&#24320;&#25253;&#21578;2025\&#20915;&#31639;&#20844;&#24320;&#30011;&#2227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39077\Desktop\&#20309;-&#20889;&#20915;&#31639;&#20844;&#24320;&#25253;&#21578;2025\&#20915;&#31639;&#20844;&#24320;&#30011;&#2227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39077\Desktop\&#26494;&#28504;2024&#24180;&#20915;&#31639;&#20844;&#24320;&#36164;&#26009;\&#26032;&#24314;%20XLS%20&#24037;&#20316;&#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收入支出决算总体情况</a:t>
            </a:r>
            <a:endParaRPr sz="1400" b="1" i="0" u="none" strike="noStrike" baseline="0">
              <a:solidFill>
                <a:srgbClr val="404040">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tx>
            <c:strRef>
              <c:f>[决算公开画图.xls]Sheet1!$A$2</c:f>
              <c:strCache>
                <c:ptCount val="1"/>
                <c:pt idx="0">
                  <c:v>收入</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[决算公开画图.xls]Sheet1!$B$1:$C$1</c:f>
              <c:strCache>
                <c:ptCount val="2"/>
                <c:pt idx="0">
                  <c:v>2025年</c:v>
                </c:pt>
                <c:pt idx="1">
                  <c:v>2024年</c:v>
                </c:pt>
              </c:strCache>
            </c:strRef>
          </c:cat>
          <c:val>
            <c:numRef>
              <c:f>[决算公开画图.xls]Sheet1!$B$2:$C$2</c:f>
              <c:numCache>
                <c:formatCode>#,##0.00</c:formatCode>
                <c:ptCount val="2"/>
                <c:pt idx="0">
                  <c:v>1168.72</c:v>
                </c:pt>
                <c:pt idx="1">
                  <c:v>966.98</c:v>
                </c:pt>
              </c:numCache>
            </c:numRef>
          </c:val>
        </c:ser>
        <c:ser>
          <c:idx val="1"/>
          <c:order val="1"/>
          <c:tx>
            <c:strRef>
              <c:f>[决算公开画图.xls]Sheet1!$A$3</c:f>
              <c:strCache>
                <c:ptCount val="1"/>
                <c:pt idx="0">
                  <c:v>支出</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[决算公开画图.xls]Sheet1!$B$1:$C$1</c:f>
              <c:strCache>
                <c:ptCount val="2"/>
                <c:pt idx="0">
                  <c:v>2025年</c:v>
                </c:pt>
                <c:pt idx="1">
                  <c:v>2024年</c:v>
                </c:pt>
              </c:strCache>
            </c:strRef>
          </c:cat>
          <c:val>
            <c:numRef>
              <c:f>[决算公开画图.xls]Sheet1!$B$3:$C$3</c:f>
              <c:numCache>
                <c:formatCode>#,##0.00</c:formatCode>
                <c:ptCount val="2"/>
                <c:pt idx="0">
                  <c:v>1168.72</c:v>
                </c:pt>
                <c:pt idx="1">
                  <c:v>976.98</c:v>
                </c:pt>
              </c:numCache>
            </c:numRef>
          </c:val>
        </c:ser>
        <c:dLbls>
          <c:showLegendKey val="0"/>
          <c:showVal val="0"/>
          <c:showCatName val="0"/>
          <c:showSerName val="0"/>
          <c:showPercent val="0"/>
          <c:showBubbleSize val="0"/>
        </c:dLbls>
        <c:gapWidth val="246"/>
        <c:overlap val="-28"/>
        <c:axId val="269506003"/>
        <c:axId val="913063429"/>
      </c:barChart>
      <c:catAx>
        <c:axId val="269506003"/>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3063429"/>
        <c:crosses val="autoZero"/>
        <c:auto val="1"/>
        <c:lblAlgn val="ctr"/>
        <c:lblOffset val="100"/>
        <c:noMultiLvlLbl val="0"/>
      </c:catAx>
      <c:valAx>
        <c:axId val="913063429"/>
        <c:scaling>
          <c:orientation val="minMax"/>
        </c:scaling>
        <c:delete val="0"/>
        <c:axPos val="l"/>
        <c:majorGridlines>
          <c:spPr>
            <a:ln w="9525" cap="flat" cmpd="sng" algn="ctr">
              <a:solidFill>
                <a:schemeClr val="lt1">
                  <a:lumMod val="90200"/>
                </a:schemeClr>
              </a:solidFill>
              <a:prstDash val="solid"/>
              <a:round/>
            </a:ln>
            <a:effectLst/>
          </c:spPr>
        </c:majorGridlines>
        <c:numFmt formatCode="#,##0.00"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950600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0bbc619-13ad-4eac-89cb-923d4883bdcc}"/>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spPr>
              <a:solidFill>
                <a:schemeClr val="accent1"/>
              </a:solidFill>
              <a:ln>
                <a:solidFill>
                  <a:schemeClr val="bg1"/>
                </a:solidFill>
              </a:ln>
              <a:effectLst/>
            </c:spPr>
          </c:dPt>
          <c:dPt>
            <c:idx val="1"/>
            <c:bubble3D val="0"/>
            <c:explosion val="0"/>
            <c:spPr>
              <a:solidFill>
                <a:schemeClr val="accent2"/>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'[新建 XLS 工作表.xls]Sheet2'!$A$1:$A$2</c:f>
              <c:strCache>
                <c:ptCount val="2"/>
                <c:pt idx="0">
                  <c:v>一般公共预算财政拨款收入</c:v>
                </c:pt>
              </c:strCache>
            </c:strRef>
          </c:cat>
          <c:val>
            <c:numRef>
              <c:f>'[新建 XLS 工作表.xls]Sheet2'!$B$1:$B$2</c:f>
              <c:numCache>
                <c:formatCode>0.00%</c:formatCode>
                <c:ptCount val="2"/>
                <c:pt idx="0">
                  <c:v>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03d579-5178-46c0-a25c-9446ec7b908a}"/>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支出决算情况</a:t>
            </a:r>
            <a:endParaRPr sz="1400" b="1" i="0" u="none" strike="noStrike" baseline="0">
              <a:solidFill>
                <a:srgbClr val="404040">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a:solidFill>
                  <a:schemeClr val="bg1"/>
                </a:solidFill>
              </a:ln>
              <a:effectLst/>
            </c:spPr>
          </c:dPt>
          <c:dPt>
            <c:idx val="1"/>
            <c:bubble3D val="0"/>
            <c:explosion val="0"/>
            <c:spPr>
              <a:solidFill>
                <a:schemeClr val="accent2"/>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[决算公开画图.xls]Sheet2!$A$1:$A$2</c:f>
              <c:strCache>
                <c:ptCount val="2"/>
                <c:pt idx="0">
                  <c:v>基本支出</c:v>
                </c:pt>
                <c:pt idx="1">
                  <c:v>项目支出</c:v>
                </c:pt>
              </c:strCache>
            </c:strRef>
          </c:cat>
          <c:val>
            <c:numRef>
              <c:f>[决算公开画图.xls]Sheet2!$B$1:$B$2</c:f>
              <c:numCache>
                <c:formatCode>0.00%</c:formatCode>
                <c:ptCount val="2"/>
                <c:pt idx="0">
                  <c:v>0.2058</c:v>
                </c:pt>
                <c:pt idx="1">
                  <c:v>0.7942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7dbfc9a-698d-479a-b023-c64fee1153b6}"/>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财政拨款收入支出决算总体情况</a:t>
            </a:r>
            <a:endParaRPr sz="1400" b="1" i="0" u="none" strike="noStrike" baseline="0">
              <a:solidFill>
                <a:srgbClr val="404040">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tx>
            <c:strRef>
              <c:f>[决算公开画图.xls]Sheet3!$A$2</c:f>
              <c:strCache>
                <c:ptCount val="1"/>
                <c:pt idx="0">
                  <c:v>财政拨款收入</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[决算公开画图.xls]Sheet3!$B$1:$C$1</c:f>
              <c:strCache>
                <c:ptCount val="2"/>
                <c:pt idx="0">
                  <c:v>2025年</c:v>
                </c:pt>
                <c:pt idx="1">
                  <c:v>2024年</c:v>
                </c:pt>
              </c:strCache>
            </c:strRef>
          </c:cat>
          <c:val>
            <c:numRef>
              <c:f>[决算公开画图.xls]Sheet3!$B$2:$C$2</c:f>
              <c:numCache>
                <c:formatCode>#,##0.00</c:formatCode>
                <c:ptCount val="2"/>
                <c:pt idx="0">
                  <c:v>1168.72</c:v>
                </c:pt>
                <c:pt idx="1">
                  <c:v>966.98</c:v>
                </c:pt>
              </c:numCache>
            </c:numRef>
          </c:val>
        </c:ser>
        <c:ser>
          <c:idx val="1"/>
          <c:order val="1"/>
          <c:tx>
            <c:strRef>
              <c:f>[决算公开画图.xls]Sheet3!$A$3</c:f>
              <c:strCache>
                <c:ptCount val="1"/>
                <c:pt idx="0">
                  <c:v>财政拨款支出</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[决算公开画图.xls]Sheet3!$B$1:$C$1</c:f>
              <c:strCache>
                <c:ptCount val="2"/>
                <c:pt idx="0">
                  <c:v>2025年</c:v>
                </c:pt>
                <c:pt idx="1">
                  <c:v>2024年</c:v>
                </c:pt>
              </c:strCache>
            </c:strRef>
          </c:cat>
          <c:val>
            <c:numRef>
              <c:f>[决算公开画图.xls]Sheet3!$B$3:$C$3</c:f>
              <c:numCache>
                <c:formatCode>#,##0.00</c:formatCode>
                <c:ptCount val="2"/>
                <c:pt idx="0">
                  <c:v>1168.72</c:v>
                </c:pt>
                <c:pt idx="1">
                  <c:v>976.98</c:v>
                </c:pt>
              </c:numCache>
            </c:numRef>
          </c:val>
        </c:ser>
        <c:dLbls>
          <c:showLegendKey val="0"/>
          <c:showVal val="0"/>
          <c:showCatName val="0"/>
          <c:showSerName val="0"/>
          <c:showPercent val="0"/>
          <c:showBubbleSize val="0"/>
        </c:dLbls>
        <c:gapWidth val="246"/>
        <c:overlap val="-28"/>
        <c:axId val="190470621"/>
        <c:axId val="603521633"/>
      </c:barChart>
      <c:catAx>
        <c:axId val="190470621"/>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3521633"/>
        <c:crosses val="autoZero"/>
        <c:auto val="1"/>
        <c:lblAlgn val="ctr"/>
        <c:lblOffset val="100"/>
        <c:noMultiLvlLbl val="0"/>
      </c:catAx>
      <c:valAx>
        <c:axId val="603521633"/>
        <c:scaling>
          <c:orientation val="minMax"/>
        </c:scaling>
        <c:delete val="0"/>
        <c:axPos val="l"/>
        <c:majorGridlines>
          <c:spPr>
            <a:ln w="9525" cap="flat" cmpd="sng" algn="ctr">
              <a:solidFill>
                <a:schemeClr val="lt1">
                  <a:lumMod val="90200"/>
                </a:schemeClr>
              </a:solidFill>
              <a:prstDash val="solid"/>
              <a:round/>
            </a:ln>
            <a:effectLst/>
          </c:spPr>
        </c:majorGridlines>
        <c:numFmt formatCode="#,##0.00"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047062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ca74ef7-700f-4f25-a255-149d587d7444}"/>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一般公共预算财政拨款支出情况</a:t>
            </a:r>
            <a:endParaRPr lang="en-US" altLang="zh-CN" sz="1400" b="1" i="0" u="none" strike="noStrike" baseline="0">
              <a:solidFill>
                <a:srgbClr val="404040">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tx>
            <c:strRef>
              <c:f>[决算公开画图.xls]Sheet4!$A$2</c:f>
              <c:strCache>
                <c:ptCount val="1"/>
                <c:pt idx="0">
                  <c:v>一般公共预算财政拨款支出</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[决算公开画图.xls]Sheet4!$B$1:$C$1</c:f>
              <c:strCache>
                <c:ptCount val="2"/>
                <c:pt idx="0">
                  <c:v>2025年</c:v>
                </c:pt>
                <c:pt idx="1">
                  <c:v>2024年</c:v>
                </c:pt>
              </c:strCache>
            </c:strRef>
          </c:cat>
          <c:val>
            <c:numRef>
              <c:f>[决算公开画图.xls]Sheet4!$B$2:$C$2</c:f>
              <c:numCache>
                <c:formatCode>#,##0.00</c:formatCode>
                <c:ptCount val="2"/>
                <c:pt idx="0">
                  <c:v>1168.72</c:v>
                </c:pt>
                <c:pt idx="1">
                  <c:v>976.98</c:v>
                </c:pt>
              </c:numCache>
            </c:numRef>
          </c:val>
        </c:ser>
        <c:dLbls>
          <c:showLegendKey val="0"/>
          <c:showVal val="0"/>
          <c:showCatName val="0"/>
          <c:showSerName val="0"/>
          <c:showPercent val="0"/>
          <c:showBubbleSize val="0"/>
        </c:dLbls>
        <c:gapWidth val="246"/>
        <c:overlap val="-28"/>
        <c:axId val="55595030"/>
        <c:axId val="71311875"/>
      </c:barChart>
      <c:catAx>
        <c:axId val="55595030"/>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311875"/>
        <c:crosses val="autoZero"/>
        <c:auto val="1"/>
        <c:lblAlgn val="ctr"/>
        <c:lblOffset val="100"/>
        <c:noMultiLvlLbl val="0"/>
      </c:catAx>
      <c:valAx>
        <c:axId val="71311875"/>
        <c:scaling>
          <c:orientation val="minMax"/>
        </c:scaling>
        <c:delete val="0"/>
        <c:axPos val="l"/>
        <c:majorGridlines>
          <c:spPr>
            <a:ln w="9525" cap="flat" cmpd="sng" algn="ctr">
              <a:solidFill>
                <a:schemeClr val="lt1">
                  <a:lumMod val="90200"/>
                </a:schemeClr>
              </a:solidFill>
              <a:prstDash val="solid"/>
              <a:round/>
            </a:ln>
            <a:effectLst/>
          </c:spPr>
        </c:majorGridlines>
        <c:numFmt formatCode="#,##0.00"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59503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35165e0-fa72-4d7d-98dc-03940b122c42}"/>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一般公共预算财政拨款支出决算结构情况</a:t>
            </a:r>
            <a:endParaRPr sz="1400" b="1" i="0" u="none" strike="noStrike" baseline="0">
              <a:solidFill>
                <a:srgbClr val="404040">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a:solidFill>
                  <a:schemeClr val="bg1"/>
                </a:solidFill>
              </a:ln>
              <a:effectLst/>
            </c:spPr>
          </c:dPt>
          <c:dPt>
            <c:idx val="1"/>
            <c:bubble3D val="0"/>
            <c:explosion val="0"/>
            <c:spPr>
              <a:solidFill>
                <a:schemeClr val="accent2"/>
              </a:solidFill>
              <a:ln>
                <a:solidFill>
                  <a:schemeClr val="bg1"/>
                </a:solidFill>
              </a:ln>
              <a:effectLst/>
            </c:spPr>
          </c:dPt>
          <c:dPt>
            <c:idx val="2"/>
            <c:bubble3D val="0"/>
            <c:explosion val="0"/>
            <c:spPr>
              <a:solidFill>
                <a:schemeClr val="accent3"/>
              </a:solidFill>
              <a:ln>
                <a:solidFill>
                  <a:schemeClr val="bg1"/>
                </a:solidFill>
              </a:ln>
              <a:effectLst/>
            </c:spPr>
          </c:dPt>
          <c:dPt>
            <c:idx val="3"/>
            <c:bubble3D val="0"/>
            <c:explosion val="0"/>
            <c:spPr>
              <a:solidFill>
                <a:schemeClr val="accent4"/>
              </a:solidFill>
              <a:ln>
                <a:solidFill>
                  <a:schemeClr val="bg1"/>
                </a:solidFill>
              </a:ln>
              <a:effectLst/>
            </c:spPr>
          </c:dPt>
          <c:dPt>
            <c:idx val="4"/>
            <c:bubble3D val="0"/>
            <c:explosion val="0"/>
          </c:dPt>
          <c:dPt>
            <c:idx val="5"/>
            <c:bubble3D val="0"/>
            <c:explosion val="0"/>
          </c:dPt>
          <c:dPt>
            <c:idx val="6"/>
            <c:bubble3D val="0"/>
            <c:explosion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19050" cap="flat" cmpd="sng" algn="ctr">
                      <a:solidFill>
                        <a:srgbClr val="000000">
                          <a:alpha val="100000"/>
                        </a:srgbClr>
                      </a:solidFill>
                      <a:prstDash val="solid"/>
                      <a:round/>
                    </a:ln>
                  </c:spPr>
                </c15:leaderLines>
              </c:ext>
            </c:extLst>
          </c:dLbls>
          <c:cat>
            <c:strRef>
              <c:f>[决算公开画图.xls]Sheet5!$A$1:$A$7</c:f>
              <c:strCache>
                <c:ptCount val="7"/>
                <c:pt idx="0">
                  <c:v>教育支出</c:v>
                </c:pt>
                <c:pt idx="1">
                  <c:v>社会保障和就业支出</c:v>
                </c:pt>
                <c:pt idx="2">
                  <c:v>卫生健康支出</c:v>
                </c:pt>
                <c:pt idx="3">
                  <c:v>住房保障支出</c:v>
                </c:pt>
              </c:strCache>
            </c:strRef>
          </c:cat>
          <c:val>
            <c:numRef>
              <c:f>[决算公开画图.xls]Sheet5!$B$1:$B$7</c:f>
              <c:numCache>
                <c:formatCode>0.00%</c:formatCode>
                <c:ptCount val="7"/>
                <c:pt idx="0">
                  <c:v>0.1594</c:v>
                </c:pt>
                <c:pt idx="1">
                  <c:v>0.8145</c:v>
                </c:pt>
                <c:pt idx="2">
                  <c:v>0.0107</c:v>
                </c:pt>
                <c:pt idx="3">
                  <c:v>0.0154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891d05d-cab9-4301-bb78-66349771ebeb}"/>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spPr>
              <a:solidFill>
                <a:schemeClr val="accent1"/>
              </a:solidFill>
              <a:ln>
                <a:solidFill>
                  <a:schemeClr val="bg1"/>
                </a:solidFill>
              </a:ln>
              <a:effectLst/>
            </c:spPr>
          </c:dPt>
          <c:dPt>
            <c:idx val="1"/>
            <c:bubble3D val="0"/>
            <c:explosion val="0"/>
            <c:spPr>
              <a:solidFill>
                <a:schemeClr val="accent2"/>
              </a:solidFill>
              <a:ln>
                <a:solidFill>
                  <a:schemeClr val="bg1"/>
                </a:solidFill>
              </a:ln>
              <a:effectLst/>
            </c:spPr>
          </c:dPt>
          <c:dPt>
            <c:idx val="2"/>
            <c:bubble3D val="0"/>
            <c:explosion val="0"/>
            <c:spPr>
              <a:solidFill>
                <a:schemeClr val="accent3"/>
              </a:solidFill>
              <a:ln>
                <a:solidFill>
                  <a:schemeClr val="bg1"/>
                </a:solidFill>
              </a:ln>
              <a:effectLst/>
            </c:spPr>
          </c:dPt>
          <c:dLbls>
            <c:dLbl>
              <c:idx val="2"/>
              <c:layout>
                <c:manualLayout>
                  <c:x val="0.0970924878305486"/>
                  <c:y val="0.0141236397314193"/>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'[新建 XLS 工作表.xls]Sheet6'!$A$1:$A$3</c:f>
              <c:strCache>
                <c:ptCount val="3"/>
                <c:pt idx="0">
                  <c:v>公务用车购置及运行维护费支出</c:v>
                </c:pt>
                <c:pt idx="1">
                  <c:v>公务接待费支出</c:v>
                </c:pt>
                <c:pt idx="2">
                  <c:v>因公出国（境）费支出</c:v>
                </c:pt>
              </c:strCache>
            </c:strRef>
          </c:cat>
          <c:val>
            <c:numRef>
              <c:f>'[新建 XLS 工作表.xls]Sheet6'!$B$1:$B$3</c:f>
              <c:numCache>
                <c:formatCode>0.00%</c:formatCode>
                <c:ptCount val="3"/>
                <c:pt idx="0">
                  <c:v>1</c:v>
                </c:pt>
                <c:pt idx="1">
                  <c:v>0</c:v>
                </c:pt>
                <c:pt idx="2" c:formatCode="0%">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bd3b568-33fe-48b1-b5f2-97a9cec3e7c4}"/>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734b22f8-700b-47f0-b2af-724d92805c2a</errorID>
      <errorWord>主要是</errorWord>
      <group>L1_Word</group>
      <groupName>字词问题</groupName>
      <ability>L2_Typo</ability>
      <abilityName>字词错误</abilityName>
      <candidateList>
        <item>主要</item>
      </candidateList>
      <explain/>
      <paraID>24D1AC4D</paraID>
      <start>72</start>
      <end>74</end>
      <status>modified</status>
      <modifiedWord>主要</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0db509d-ec98-4659-ac60-098dcca1f0c1}">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21</Pages>
  <Words>5522</Words>
  <Characters>6100</Characters>
  <Lines>61</Lines>
  <Paragraphs>17</Paragraphs>
  <TotalTime>4</TotalTime>
  <ScaleCrop>false</ScaleCrop>
  <LinksUpToDate>false</LinksUpToDate>
  <CharactersWithSpaces>6205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奕夕^_^</cp:lastModifiedBy>
  <cp:lastPrinted>2025-08-06T17:34:00Z</cp:lastPrinted>
  <dcterms:modified xsi:type="dcterms:W3CDTF">2026-10-13T08:13:21Z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FE08F524D07746C496B01E086B8A85B6_13</vt:lpwstr>
  </property>
  <property fmtid="{D5CDD505-2E9C-101B-9397-08002B2CF9AE}" pid="4" name="KSOTemplateDocerSaveRecord">
    <vt:lpwstr>eyJoZGlkIjoiNTU1MWNhN2ZmY2ZhZmY3ODhlYTg0MWU5OGMyY2QwZmUiLCJ1c2VySWQiOiI0MzQ2NTM0NzEifQ==</vt:lpwstr>
  </property>
</Properties>
</file>