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DEB06">
      <w:pPr>
        <w:spacing w:line="600" w:lineRule="exact"/>
        <w:jc w:val="center"/>
        <w:outlineLvl w:val="0"/>
        <w:rPr>
          <w:rFonts w:ascii="方正小标宋简体" w:hAnsi="宋体" w:eastAsia="方正小标宋简体"/>
          <w:color w:val="000000"/>
          <w:sz w:val="72"/>
          <w:szCs w:val="72"/>
        </w:rPr>
      </w:pPr>
      <w:bookmarkStart w:id="0" w:name="_Toc15306267"/>
    </w:p>
    <w:p w14:paraId="33CF4525">
      <w:pPr>
        <w:spacing w:line="600" w:lineRule="exact"/>
        <w:jc w:val="center"/>
        <w:outlineLvl w:val="0"/>
        <w:rPr>
          <w:rFonts w:ascii="方正小标宋简体" w:hAnsi="宋体" w:eastAsia="方正小标宋简体"/>
          <w:color w:val="000000"/>
          <w:sz w:val="72"/>
          <w:szCs w:val="72"/>
        </w:rPr>
      </w:pPr>
    </w:p>
    <w:p w14:paraId="2DE72673">
      <w:pPr>
        <w:spacing w:line="600" w:lineRule="exact"/>
        <w:jc w:val="center"/>
        <w:outlineLvl w:val="0"/>
        <w:rPr>
          <w:rFonts w:ascii="方正小标宋简体" w:hAnsi="宋体" w:eastAsia="方正小标宋简体"/>
          <w:color w:val="000000"/>
          <w:sz w:val="72"/>
          <w:szCs w:val="72"/>
        </w:rPr>
      </w:pPr>
    </w:p>
    <w:p w14:paraId="4531076A">
      <w:pPr>
        <w:spacing w:line="600" w:lineRule="exact"/>
        <w:jc w:val="center"/>
        <w:outlineLvl w:val="0"/>
        <w:rPr>
          <w:rFonts w:ascii="方正小标宋简体" w:hAnsi="宋体" w:eastAsia="方正小标宋简体"/>
          <w:color w:val="000000"/>
          <w:sz w:val="72"/>
          <w:szCs w:val="72"/>
        </w:rPr>
      </w:pPr>
    </w:p>
    <w:p w14:paraId="7B8335EB">
      <w:pPr>
        <w:adjustRightInd w:val="0"/>
        <w:snapToGrid w:val="0"/>
        <w:spacing w:line="360" w:lineRule="auto"/>
        <w:jc w:val="center"/>
        <w:outlineLvl w:val="0"/>
        <w:rPr>
          <w:rFonts w:ascii="黑体" w:hAnsi="黑体" w:eastAsia="黑体"/>
          <w:color w:val="000000"/>
          <w:sz w:val="72"/>
          <w:szCs w:val="72"/>
        </w:rPr>
      </w:pPr>
      <w:bookmarkStart w:id="1" w:name="_Toc15377193"/>
      <w:bookmarkStart w:id="2" w:name="_Toc15377425"/>
      <w:bookmarkStart w:id="3" w:name="_Toc15378441"/>
      <w:bookmarkStart w:id="4" w:name="_Toc15396475"/>
      <w:bookmarkStart w:id="5" w:name="_Toc15396597"/>
      <w:r>
        <w:rPr>
          <w:rFonts w:ascii="黑体" w:hAnsi="黑体" w:eastAsia="黑体"/>
          <w:color w:val="000000"/>
          <w:sz w:val="72"/>
          <w:szCs w:val="72"/>
        </w:rPr>
        <w:t>201</w:t>
      </w:r>
      <w:r>
        <w:rPr>
          <w:rFonts w:hint="eastAsia" w:ascii="黑体" w:hAnsi="黑体" w:eastAsia="黑体"/>
          <w:color w:val="000000"/>
          <w:sz w:val="72"/>
          <w:szCs w:val="72"/>
        </w:rPr>
        <w:t>8年度</w:t>
      </w:r>
      <w:bookmarkEnd w:id="1"/>
      <w:bookmarkEnd w:id="2"/>
      <w:bookmarkEnd w:id="3"/>
      <w:bookmarkEnd w:id="4"/>
      <w:bookmarkEnd w:id="5"/>
    </w:p>
    <w:p w14:paraId="04AD7397">
      <w:pPr>
        <w:adjustRightInd w:val="0"/>
        <w:snapToGrid w:val="0"/>
        <w:spacing w:line="360" w:lineRule="auto"/>
        <w:jc w:val="center"/>
        <w:outlineLvl w:val="0"/>
        <w:rPr>
          <w:rFonts w:ascii="黑体" w:hAnsi="黑体" w:eastAsia="黑体"/>
          <w:color w:val="000000"/>
          <w:sz w:val="72"/>
          <w:szCs w:val="72"/>
        </w:rPr>
      </w:pPr>
      <w:bookmarkStart w:id="6" w:name="_Toc15377194"/>
      <w:bookmarkStart w:id="7" w:name="_Toc15396476"/>
      <w:bookmarkStart w:id="8" w:name="_Toc15396598"/>
      <w:bookmarkStart w:id="9" w:name="_Toc15378442"/>
      <w:bookmarkStart w:id="10" w:name="_Toc15377426"/>
      <w:r>
        <w:rPr>
          <w:rFonts w:hint="eastAsia" w:ascii="黑体" w:hAnsi="黑体" w:eastAsia="黑体"/>
          <w:color w:val="000000"/>
          <w:sz w:val="72"/>
          <w:szCs w:val="72"/>
        </w:rPr>
        <w:t>四川省</w:t>
      </w:r>
      <w:bookmarkEnd w:id="0"/>
      <w:bookmarkStart w:id="11" w:name="_Toc15306268"/>
      <w:r>
        <w:rPr>
          <w:rFonts w:hint="eastAsia" w:ascii="黑体" w:hAnsi="黑体" w:eastAsia="黑体"/>
          <w:color w:val="000000"/>
          <w:sz w:val="72"/>
          <w:szCs w:val="72"/>
        </w:rPr>
        <w:t>红十字会部门决算</w:t>
      </w:r>
      <w:bookmarkEnd w:id="6"/>
      <w:bookmarkEnd w:id="7"/>
      <w:bookmarkEnd w:id="8"/>
      <w:bookmarkEnd w:id="9"/>
      <w:bookmarkEnd w:id="10"/>
      <w:bookmarkEnd w:id="11"/>
    </w:p>
    <w:p w14:paraId="490A262A">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6F36ED4C">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5F46A0AB">
      <w:pPr>
        <w:pStyle w:val="10"/>
      </w:pPr>
      <w:r>
        <w:rPr>
          <w:rFonts w:hint="eastAsia"/>
        </w:rPr>
        <w:t>公开时间：2019年9月10日</w:t>
      </w:r>
    </w:p>
    <w:p w14:paraId="0D7E4C57"/>
    <w:p w14:paraId="3813A0E1">
      <w:pPr>
        <w:pStyle w:val="10"/>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rPr>
          <w:rFonts w:hint="eastAsia"/>
        </w:rPr>
        <w:t>4</w:t>
      </w:r>
      <w:r>
        <w:rPr>
          <w:rFonts w:hint="eastAsia"/>
        </w:rPr>
        <w:fldChar w:fldCharType="end"/>
      </w:r>
    </w:p>
    <w:p w14:paraId="579C62C1">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4509FC74">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1CD1AA56">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4B37EBCC">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391ECF0D">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07826BE">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48A42263">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7F75F511">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5E5B4252">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5B2DF53D">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5E3E5ED3">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03414E9E">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3B721EB6">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7A313A98">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14:paraId="636744A6">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14:paraId="3384B1B4">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3073E922">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5399C7A6">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14:paraId="2BDCB7FE">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3D8DC00">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F860F73">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F52BF00">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F522043">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A0620F1">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CBE5E1D">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935DEB0">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B87A475">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0D53946">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E8756CD">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013647A">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A601283">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F93C968">
      <w:pPr>
        <w:widowControl/>
        <w:jc w:val="left"/>
        <w:rPr>
          <w:rFonts w:ascii="仿宋" w:hAnsi="仿宋" w:eastAsia="仿宋"/>
          <w:color w:val="000000"/>
          <w:sz w:val="24"/>
        </w:rPr>
      </w:pPr>
      <w:r>
        <w:rPr>
          <w:rFonts w:ascii="仿宋" w:hAnsi="仿宋" w:eastAsia="仿宋"/>
          <w:color w:val="000000"/>
          <w:sz w:val="24"/>
        </w:rPr>
        <w:fldChar w:fldCharType="end"/>
      </w:r>
    </w:p>
    <w:p w14:paraId="558CB3CC">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7BB81370">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14:paraId="1D1227C9">
      <w:pPr>
        <w:widowControl/>
        <w:jc w:val="left"/>
        <w:rPr>
          <w:rFonts w:ascii="黑体" w:eastAsia="黑体"/>
          <w:color w:val="000000"/>
          <w:sz w:val="32"/>
          <w:szCs w:val="32"/>
        </w:rPr>
      </w:pPr>
    </w:p>
    <w:p w14:paraId="7A92D97A">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14:paraId="5FE116E8">
      <w:pPr>
        <w:spacing w:line="360" w:lineRule="auto"/>
        <w:jc w:val="left"/>
        <w:rPr>
          <w:rFonts w:ascii="仿宋_GB2312" w:hAnsi="宋体" w:eastAsia="仿宋_GB2312"/>
          <w:sz w:val="32"/>
          <w:szCs w:val="32"/>
        </w:rPr>
      </w:pPr>
      <w:bookmarkStart w:id="16" w:name="_Toc15377199"/>
      <w:bookmarkStart w:id="17" w:name="_Toc15378446"/>
      <w:r>
        <w:rPr>
          <w:rFonts w:hint="eastAsia" w:ascii="仿宋_GB2312" w:hAnsi="宋体" w:eastAsia="仿宋_GB2312"/>
          <w:sz w:val="32"/>
          <w:szCs w:val="32"/>
        </w:rPr>
        <w:t>部门（单位）情况</w:t>
      </w:r>
    </w:p>
    <w:p w14:paraId="657AE31F">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一、基本职能及主要工作</w:t>
      </w:r>
    </w:p>
    <w:p w14:paraId="50084C83">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宣传和执行《中华人民共和国红十字会法》和《</w:t>
      </w:r>
      <w:r>
        <w:rPr>
          <w:rFonts w:hint="eastAsia" w:ascii="仿宋_GB2312" w:hAnsi="宋体" w:eastAsia="仿宋_GB2312"/>
          <w:sz w:val="32"/>
          <w:szCs w:val="32"/>
          <w:lang w:eastAsia="zh-CN"/>
        </w:rPr>
        <w:t>中华人民共和国红十字标志使用办法</w:t>
      </w:r>
      <w:r>
        <w:rPr>
          <w:rFonts w:hint="eastAsia" w:ascii="仿宋_GB2312" w:hAnsi="宋体" w:eastAsia="仿宋_GB2312"/>
          <w:sz w:val="32"/>
          <w:szCs w:val="32"/>
        </w:rPr>
        <w:t>》，纠正滥用红十字标志现象。</w:t>
      </w:r>
    </w:p>
    <w:p w14:paraId="534C467E">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开展救灾的准备工作，建设和管理救灾设施；在自然灾害和突发事件中，开展救护和救助工作；根据自然灾害和突发事件的具体情况，在辖区内发出呼吁，依法接受</w:t>
      </w:r>
      <w:r>
        <w:rPr>
          <w:rFonts w:hint="eastAsia" w:ascii="仿宋_GB2312" w:hAnsi="宋体" w:eastAsia="仿宋_GB2312"/>
          <w:sz w:val="32"/>
          <w:szCs w:val="32"/>
          <w:lang w:eastAsia="zh-CN"/>
        </w:rPr>
        <w:t>国内外</w:t>
      </w:r>
      <w:r>
        <w:rPr>
          <w:rFonts w:hint="eastAsia" w:ascii="仿宋_GB2312" w:hAnsi="宋体" w:eastAsia="仿宋_GB2312"/>
          <w:sz w:val="32"/>
          <w:szCs w:val="32"/>
        </w:rPr>
        <w:t>组织和个人的捐赠，及时向灾区群众和受难者提供急需的人道主义援助。</w:t>
      </w:r>
    </w:p>
    <w:p w14:paraId="3A7C6459">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3.</w:t>
      </w:r>
      <w:r>
        <w:rPr>
          <w:rFonts w:hint="eastAsia" w:ascii="仿宋_GB2312" w:hAnsi="宋体" w:eastAsia="仿宋_GB2312"/>
          <w:sz w:val="32"/>
          <w:szCs w:val="32"/>
        </w:rPr>
        <w:t>开展卫生救护和防病知识的宣传普及；在易发生意外伤害的行业和基层组织开展初级卫生救护培训，组织群众参加意外伤害和自然灾害的现场救护。</w:t>
      </w:r>
    </w:p>
    <w:p w14:paraId="42733BB7">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4.</w:t>
      </w:r>
      <w:r>
        <w:rPr>
          <w:rFonts w:hint="eastAsia" w:ascii="仿宋_GB2312" w:hAnsi="宋体" w:eastAsia="仿宋_GB2312"/>
          <w:sz w:val="32"/>
          <w:szCs w:val="32"/>
        </w:rPr>
        <w:t>协助县人民政府开展无偿献血的宣传推动工作。并与县人民政府共同对先进单位和个人进行表彰奖励。</w:t>
      </w:r>
    </w:p>
    <w:p w14:paraId="655A0729">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5.</w:t>
      </w:r>
      <w:r>
        <w:rPr>
          <w:rFonts w:hint="eastAsia" w:ascii="仿宋_GB2312" w:hAnsi="宋体" w:eastAsia="仿宋_GB2312"/>
          <w:sz w:val="32"/>
          <w:szCs w:val="32"/>
        </w:rPr>
        <w:t>开展社会服务及社区红十字服务工作；组织会员、志愿工作者在社区开展社会服务、宣传培训、募捐救助活动。</w:t>
      </w:r>
    </w:p>
    <w:p w14:paraId="7179B1B2">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6.</w:t>
      </w:r>
      <w:r>
        <w:rPr>
          <w:rFonts w:hint="eastAsia" w:ascii="仿宋_GB2312" w:hAnsi="宋体" w:eastAsia="仿宋_GB2312"/>
          <w:sz w:val="32"/>
          <w:szCs w:val="32"/>
        </w:rPr>
        <w:t>推动遗体（器官）捐献工作；开展预防控制艾滋病宣传和健康教育、关心爱护艾滋病病毒感染者、患者及其他救助工作；开展其他人道救助工作。</w:t>
      </w:r>
    </w:p>
    <w:p w14:paraId="7736C3F9">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7.</w:t>
      </w:r>
      <w:r>
        <w:rPr>
          <w:rFonts w:hint="eastAsia" w:ascii="仿宋_GB2312" w:hAnsi="宋体" w:eastAsia="仿宋_GB2312"/>
          <w:sz w:val="32"/>
          <w:szCs w:val="32"/>
        </w:rPr>
        <w:t>开展有益于青少年身心健康的红十字青少年活动。</w:t>
      </w:r>
    </w:p>
    <w:p w14:paraId="12C3BC7B">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8.</w:t>
      </w:r>
      <w:r>
        <w:rPr>
          <w:rFonts w:hint="eastAsia" w:ascii="仿宋_GB2312" w:hAnsi="宋体" w:eastAsia="仿宋_GB2312"/>
          <w:sz w:val="32"/>
          <w:szCs w:val="32"/>
        </w:rPr>
        <w:t>宣传日内瓦公约及其附加议定书、红十字与红新月运动七项基本原则。</w:t>
      </w:r>
    </w:p>
    <w:p w14:paraId="52266CA6">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9.</w:t>
      </w:r>
      <w:r>
        <w:rPr>
          <w:rFonts w:hint="eastAsia" w:ascii="仿宋_GB2312" w:hAnsi="宋体" w:eastAsia="仿宋_GB2312"/>
          <w:sz w:val="32"/>
          <w:szCs w:val="32"/>
        </w:rPr>
        <w:t>开展捐献造血干细胞的宣传动员、组织工作。</w:t>
      </w:r>
    </w:p>
    <w:p w14:paraId="273849BB">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10.</w:t>
      </w:r>
      <w:r>
        <w:rPr>
          <w:rFonts w:hint="eastAsia" w:ascii="仿宋_GB2312" w:hAnsi="宋体" w:eastAsia="仿宋_GB2312"/>
          <w:sz w:val="32"/>
          <w:szCs w:val="32"/>
        </w:rPr>
        <w:t>依法开展募捐活动； 在公共场所设置红十字募捐箱并进行管理；依照法律法规自主处分募捐款物。</w:t>
      </w:r>
    </w:p>
    <w:p w14:paraId="68061609">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11.</w:t>
      </w:r>
      <w:r>
        <w:rPr>
          <w:rFonts w:hint="eastAsia" w:ascii="仿宋_GB2312" w:hAnsi="宋体" w:eastAsia="仿宋_GB2312"/>
          <w:sz w:val="32"/>
          <w:szCs w:val="32"/>
        </w:rPr>
        <w:t>举办符合红十字会宗旨的社会福利事业。</w:t>
      </w:r>
    </w:p>
    <w:p w14:paraId="76924AAF">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12.</w:t>
      </w:r>
      <w:r>
        <w:rPr>
          <w:rFonts w:hint="eastAsia" w:ascii="仿宋_GB2312" w:hAnsi="宋体" w:eastAsia="仿宋_GB2312"/>
          <w:sz w:val="32"/>
          <w:szCs w:val="32"/>
        </w:rPr>
        <w:t>参加人道主义救援工作。</w:t>
      </w:r>
    </w:p>
    <w:p w14:paraId="6FF05B84">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13.</w:t>
      </w:r>
      <w:r>
        <w:rPr>
          <w:rFonts w:hint="eastAsia" w:ascii="仿宋_GB2312" w:hAnsi="宋体" w:eastAsia="仿宋_GB2312"/>
          <w:sz w:val="32"/>
          <w:szCs w:val="32"/>
        </w:rPr>
        <w:t>完成县人民政府委托事宜。</w:t>
      </w:r>
    </w:p>
    <w:p w14:paraId="53C9F539">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6"/>
      <w:bookmarkEnd w:id="17"/>
    </w:p>
    <w:p w14:paraId="7BA4FC03">
      <w:pPr>
        <w:spacing w:line="566" w:lineRule="exact"/>
        <w:ind w:firstLine="276" w:firstLineChars="131"/>
        <w:rPr>
          <w:rFonts w:ascii="仿宋" w:hAnsi="仿宋" w:eastAsia="仿宋"/>
          <w:sz w:val="32"/>
          <w:szCs w:val="32"/>
        </w:rPr>
      </w:pPr>
      <w:r>
        <w:rPr>
          <w:rFonts w:hint="eastAsia" w:ascii="宋体" w:hAnsi="宋体" w:cs="仿宋_GB2312"/>
          <w:b/>
          <w:bCs/>
        </w:rPr>
        <w:t>（一）</w:t>
      </w:r>
      <w:r>
        <w:rPr>
          <w:rFonts w:hint="eastAsia" w:ascii="仿宋" w:hAnsi="仿宋" w:eastAsia="仿宋"/>
          <w:b/>
          <w:bCs/>
          <w:sz w:val="32"/>
          <w:szCs w:val="32"/>
        </w:rPr>
        <w:t>拓宽筹资渠道，加大人道救助力度，助力脱贫攻坚工作</w:t>
      </w:r>
      <w:r>
        <w:rPr>
          <w:rFonts w:hint="eastAsia" w:ascii="宋体" w:hAnsi="宋体" w:cs="仿宋_GB2312"/>
        </w:rPr>
        <w:t>。</w:t>
      </w:r>
      <w:r>
        <w:rPr>
          <w:rFonts w:hint="eastAsia" w:ascii="仿宋" w:hAnsi="仿宋" w:eastAsia="仿宋"/>
          <w:sz w:val="32"/>
          <w:szCs w:val="32"/>
        </w:rPr>
        <w:t>松潘县红十字会采取向上、向内、向外的方式多方筹措资金，加大人道救助力度，深入开展救灾、救护、救助活动，助力我县脱贫攻坚工作。</w:t>
      </w:r>
    </w:p>
    <w:p w14:paraId="10BA6C16">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一是“向上”即向上级红十字会争取资金物资，争取四川省红十字会家庭博爱箱130个、袜子6500双，总价值71500元，在上八寨乡、小河乡、施家堡乡、黄龙乡等地开展“红十字博爱送万家、走基层、惠民生”活动，慰问了建档立卡贫困户及特殊困难户共430余户。6月26日</w:t>
      </w:r>
      <w:r>
        <w:rPr>
          <w:rFonts w:hint="eastAsia" w:ascii="仿宋" w:hAnsi="仿宋" w:eastAsia="仿宋"/>
          <w:sz w:val="32"/>
          <w:szCs w:val="32"/>
          <w:lang w:eastAsia="zh-CN"/>
        </w:rPr>
        <w:t>—</w:t>
      </w:r>
      <w:r>
        <w:rPr>
          <w:rFonts w:hint="eastAsia" w:ascii="仿宋" w:hAnsi="仿宋" w:eastAsia="仿宋"/>
          <w:sz w:val="32"/>
          <w:szCs w:val="32"/>
        </w:rPr>
        <w:t>6月29日，松潘县红十字会会同中国红十字基金会四川定点医院---成都心血管病医院的专家组，</w:t>
      </w:r>
      <w:r>
        <w:rPr>
          <w:rFonts w:hint="eastAsia" w:ascii="仿宋" w:hAnsi="仿宋" w:eastAsia="仿宋"/>
          <w:sz w:val="32"/>
          <w:szCs w:val="32"/>
          <w:lang w:eastAsia="zh-CN"/>
        </w:rPr>
        <w:t>深入</w:t>
      </w:r>
      <w:r>
        <w:rPr>
          <w:rFonts w:hint="eastAsia" w:ascii="仿宋" w:hAnsi="仿宋" w:eastAsia="仿宋"/>
          <w:sz w:val="32"/>
          <w:szCs w:val="32"/>
        </w:rPr>
        <w:t>松潘县毛尔盖片区、热务片区等21个乡镇，对0—14周岁儿童进行先天性心脏病筛查，此次筛查了21个乡镇的24所学校5492名学生，共筛查出13名符合手术指征的</w:t>
      </w:r>
      <w:r>
        <w:rPr>
          <w:rFonts w:hint="eastAsia" w:ascii="仿宋" w:hAnsi="仿宋" w:eastAsia="仿宋"/>
          <w:sz w:val="32"/>
          <w:szCs w:val="32"/>
          <w:lang w:eastAsia="zh-CN"/>
        </w:rPr>
        <w:t>先天性心血管病</w:t>
      </w:r>
      <w:r>
        <w:rPr>
          <w:rFonts w:hint="eastAsia" w:ascii="仿宋" w:hAnsi="仿宋" w:eastAsia="仿宋"/>
          <w:sz w:val="32"/>
          <w:szCs w:val="32"/>
        </w:rPr>
        <w:t>儿童患者。确诊且符合手术指征的贫困患儿手术后，在享受政府医保（新农合）报销后剩余医疗费用由中国红十字基金会“天使阳光基金”全额补偿，患儿家庭零负担住院手术治疗，切实解决部分</w:t>
      </w:r>
      <w:r>
        <w:rPr>
          <w:rFonts w:hint="eastAsia" w:ascii="仿宋" w:hAnsi="仿宋" w:eastAsia="仿宋"/>
          <w:sz w:val="32"/>
          <w:szCs w:val="32"/>
          <w:lang w:eastAsia="zh-CN"/>
        </w:rPr>
        <w:t>先天性心血管病</w:t>
      </w:r>
      <w:r>
        <w:rPr>
          <w:rFonts w:hint="eastAsia" w:ascii="仿宋" w:hAnsi="仿宋" w:eastAsia="仿宋"/>
          <w:sz w:val="32"/>
          <w:szCs w:val="32"/>
        </w:rPr>
        <w:t>贫困家庭“因病致贫、因病返贫”的</w:t>
      </w:r>
      <w:r>
        <w:rPr>
          <w:rFonts w:hint="eastAsia" w:ascii="仿宋" w:hAnsi="仿宋" w:eastAsia="仿宋"/>
          <w:sz w:val="32"/>
          <w:szCs w:val="32"/>
          <w:lang w:eastAsia="zh-CN"/>
        </w:rPr>
        <w:t>问题</w:t>
      </w:r>
      <w:r>
        <w:rPr>
          <w:rFonts w:hint="eastAsia" w:ascii="仿宋" w:hAnsi="仿宋" w:eastAsia="仿宋"/>
          <w:sz w:val="32"/>
          <w:szCs w:val="32"/>
        </w:rPr>
        <w:t>。我会还积极向州红十字会大病救助项目争取到资金8500元，救助了6名大病患者。争取到贫困大学新生援助资金4000元，援助了2名大学贫困新生。通过以上活动，县红十字会把党和政府的关怀送到困难群众手中，进一步发挥了红十字会作为党和政府在人道领域联系群众的桥梁和纽带作用。</w:t>
      </w:r>
    </w:p>
    <w:p w14:paraId="2E2E49AF">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二是“向内”即在县内开展筹资活动，筹集资金63700元，在县内开展了“红十字关爱进社区”、大病救助、贫困救助活动，全年共救助了43人，通过救助活动，大力弘扬了“人道 博爱 奉献”的红十字精神，让他们感受到了党和政府、红十字会的关怀。</w:t>
      </w:r>
    </w:p>
    <w:p w14:paraId="02A6DF4E">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三是“向外” 即向州外的相关机构合作，为松潘县筹措资金。我会通过大邑县红十字会、成都市天府新区小云公益社会服务中心等筹措到捐赠资金82.7万元，改善我县20个贫困村的公益基础设施。争取浙江省红十字会援助36万元建设松潘县川主寺镇八十沟村博爱家园。</w:t>
      </w:r>
      <w:r>
        <w:rPr>
          <w:rFonts w:hint="eastAsia" w:ascii="仿宋" w:hAnsi="仿宋" w:eastAsia="仿宋"/>
          <w:sz w:val="32"/>
          <w:szCs w:val="32"/>
          <w:lang w:eastAsia="zh-CN"/>
        </w:rPr>
        <w:t>以上</w:t>
      </w:r>
      <w:r>
        <w:rPr>
          <w:rFonts w:hint="eastAsia" w:ascii="仿宋" w:hAnsi="仿宋" w:eastAsia="仿宋"/>
          <w:sz w:val="32"/>
          <w:szCs w:val="32"/>
        </w:rPr>
        <w:t>活动，进一步动员社会各界关注弱势群体，鼓励社会各界人士积极投身“人道主义救助行动”起到了重要的推动作用。松潘县红十字会积极参与阿坝州红十字会发起的“高原贫困母亲爱心包”捐款活动，动员了395位爱心人士参与捐款活动，捐款额名列全州13县第一名。</w:t>
      </w:r>
    </w:p>
    <w:p w14:paraId="5AC14339">
      <w:pPr>
        <w:spacing w:line="540" w:lineRule="exact"/>
        <w:ind w:firstLine="422" w:firstLineChars="200"/>
        <w:rPr>
          <w:rFonts w:hint="eastAsia" w:ascii="仿宋" w:hAnsi="仿宋" w:eastAsia="仿宋"/>
          <w:b/>
          <w:bCs/>
          <w:sz w:val="32"/>
          <w:szCs w:val="32"/>
        </w:rPr>
      </w:pPr>
      <w:r>
        <w:rPr>
          <w:rFonts w:hint="eastAsia" w:ascii="宋体" w:hAnsi="宋体"/>
          <w:b/>
          <w:bCs/>
        </w:rPr>
        <w:t>（二）</w:t>
      </w:r>
      <w:r>
        <w:rPr>
          <w:rFonts w:hint="eastAsia" w:ascii="仿宋" w:hAnsi="仿宋" w:eastAsia="仿宋"/>
          <w:b/>
          <w:bCs/>
          <w:sz w:val="32"/>
          <w:szCs w:val="32"/>
        </w:rPr>
        <w:t xml:space="preserve">宣传工作取得新突破，红十字事业不断深入人心 </w:t>
      </w:r>
    </w:p>
    <w:p w14:paraId="3E92EED8">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为切实提高红</w:t>
      </w:r>
      <w:r>
        <w:rPr>
          <w:rFonts w:hint="eastAsia" w:ascii="仿宋" w:hAnsi="仿宋" w:eastAsia="仿宋"/>
          <w:sz w:val="32"/>
          <w:szCs w:val="32"/>
          <w:lang w:eastAsia="zh-CN"/>
        </w:rPr>
        <w:t>十字</w:t>
      </w:r>
      <w:r>
        <w:rPr>
          <w:rFonts w:hint="eastAsia" w:ascii="仿宋" w:hAnsi="仿宋" w:eastAsia="仿宋"/>
          <w:sz w:val="32"/>
          <w:szCs w:val="32"/>
        </w:rPr>
        <w:t>会的社会知晓率和认知度，进一步提高全民参与红十字事业的自觉性和积极性，凝聚更多人道力量，我会采取多种形式，全力推进宣传工作。</w:t>
      </w:r>
    </w:p>
    <w:p w14:paraId="204E557D">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一是扎实开展各种宣传日活动。利用“世界防治麻风病日</w:t>
      </w:r>
      <w:r>
        <w:rPr>
          <w:rFonts w:hint="eastAsia" w:ascii="仿宋" w:hAnsi="仿宋" w:eastAsia="仿宋"/>
          <w:sz w:val="32"/>
          <w:szCs w:val="32"/>
          <w:lang w:eastAsia="zh-CN"/>
        </w:rPr>
        <w:t>”“</w:t>
      </w:r>
      <w:r>
        <w:rPr>
          <w:rFonts w:hint="eastAsia" w:ascii="仿宋" w:hAnsi="仿宋" w:eastAsia="仿宋"/>
          <w:sz w:val="32"/>
          <w:szCs w:val="32"/>
        </w:rPr>
        <w:t>5.8 红十字博爱周”、6.26禁毒日、急救日等宣传日，在县城区和乡镇繁华地段，先后开展了以发放宣传资料、摆放红十字知识展板、培训等为内容的宣传10次，发放《中华人民共和国红十字会法</w:t>
      </w:r>
      <w:r>
        <w:rPr>
          <w:rFonts w:hint="eastAsia" w:ascii="仿宋" w:hAnsi="仿宋" w:eastAsia="仿宋"/>
          <w:sz w:val="32"/>
          <w:szCs w:val="32"/>
          <w:lang w:eastAsia="zh-CN"/>
        </w:rPr>
        <w:t>》《</w:t>
      </w:r>
      <w:r>
        <w:rPr>
          <w:rFonts w:hint="eastAsia" w:ascii="仿宋" w:hAnsi="仿宋" w:eastAsia="仿宋"/>
          <w:sz w:val="32"/>
          <w:szCs w:val="32"/>
        </w:rPr>
        <w:t>中国红十字会章程</w:t>
      </w:r>
      <w:r>
        <w:rPr>
          <w:rFonts w:hint="eastAsia" w:ascii="仿宋" w:hAnsi="仿宋" w:eastAsia="仿宋"/>
          <w:sz w:val="32"/>
          <w:szCs w:val="32"/>
          <w:lang w:eastAsia="zh-CN"/>
        </w:rPr>
        <w:t>》《</w:t>
      </w:r>
      <w:r>
        <w:rPr>
          <w:rFonts w:hint="eastAsia" w:ascii="仿宋" w:hAnsi="仿宋" w:eastAsia="仿宋"/>
          <w:sz w:val="32"/>
          <w:szCs w:val="32"/>
        </w:rPr>
        <w:t>红十字会运动基本知识</w:t>
      </w:r>
      <w:r>
        <w:rPr>
          <w:rFonts w:hint="eastAsia" w:ascii="仿宋" w:hAnsi="仿宋" w:eastAsia="仿宋"/>
          <w:sz w:val="32"/>
          <w:szCs w:val="32"/>
          <w:lang w:eastAsia="zh-CN"/>
        </w:rPr>
        <w:t>》《</w:t>
      </w:r>
      <w:r>
        <w:rPr>
          <w:rFonts w:hint="eastAsia" w:ascii="仿宋" w:hAnsi="仿宋" w:eastAsia="仿宋"/>
          <w:sz w:val="32"/>
          <w:szCs w:val="32"/>
        </w:rPr>
        <w:t>艾滋病防治知识手册</w:t>
      </w:r>
      <w:r>
        <w:rPr>
          <w:rFonts w:hint="eastAsia" w:ascii="仿宋" w:hAnsi="仿宋" w:eastAsia="仿宋"/>
          <w:sz w:val="32"/>
          <w:szCs w:val="32"/>
          <w:lang w:eastAsia="zh-CN"/>
        </w:rPr>
        <w:t>》《</w:t>
      </w:r>
      <w:r>
        <w:rPr>
          <w:rFonts w:hint="eastAsia" w:ascii="仿宋" w:hAnsi="仿宋" w:eastAsia="仿宋"/>
          <w:sz w:val="32"/>
          <w:szCs w:val="32"/>
        </w:rPr>
        <w:t>红十字急救常识</w:t>
      </w:r>
      <w:r>
        <w:rPr>
          <w:rFonts w:hint="eastAsia" w:ascii="仿宋" w:hAnsi="仿宋" w:eastAsia="仿宋"/>
          <w:sz w:val="32"/>
          <w:szCs w:val="32"/>
          <w:lang w:eastAsia="zh-CN"/>
        </w:rPr>
        <w:t>》《</w:t>
      </w:r>
      <w:r>
        <w:rPr>
          <w:rFonts w:hint="eastAsia" w:ascii="仿宋" w:hAnsi="仿宋" w:eastAsia="仿宋"/>
          <w:sz w:val="32"/>
          <w:szCs w:val="32"/>
        </w:rPr>
        <w:t xml:space="preserve">红十字救护知识读本》等4200余份。 </w:t>
      </w:r>
    </w:p>
    <w:p w14:paraId="05BA3754">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二是以各种媒体为平台，大力营造舆论氛围。我会与州县电视台、新闻记者等建立良好的合作关系，加大红十字会工作的宣传报道力度，今年我会新闻宣传报道情况如下：西南商报3条，天天快报2条，网易新闻2条，阿坝新闻联播2条，阿坝报1条，州红十字会网站6条，松潘新闻联播8条，微松潘2条，松潘政务2篇。通过一系列的宣传，取得了良好的社会效果， 提高了广大公众对红十字会的认知度。</w:t>
      </w:r>
    </w:p>
    <w:p w14:paraId="334ED667">
      <w:pPr>
        <w:spacing w:line="566" w:lineRule="exact"/>
        <w:ind w:firstLine="419" w:firstLineChars="131"/>
        <w:rPr>
          <w:rFonts w:hint="eastAsia" w:ascii="仿宋_GB2312" w:hAnsi="仿宋"/>
          <w:szCs w:val="21"/>
        </w:rPr>
      </w:pPr>
      <w:r>
        <w:rPr>
          <w:rFonts w:hint="eastAsia" w:ascii="仿宋" w:hAnsi="仿宋" w:eastAsia="仿宋"/>
          <w:sz w:val="32"/>
          <w:szCs w:val="32"/>
        </w:rPr>
        <w:t>三是大力开展红十字青少年活动。松潘县红十字会深入毛尔盖片区、热务片区、镇江片区、松城片区和川主寺片区的24所学校开展了以弘扬“人道、博爱、奉献”精神为主题的红十字青少年宣传活动，活动主要内容包括：红十字知识宣传和应急救护知识普及，此次活动共发放《阿坝州红十字青少年防灾避险知识读本</w:t>
      </w:r>
      <w:r>
        <w:rPr>
          <w:rFonts w:hint="eastAsia" w:ascii="仿宋" w:hAnsi="仿宋" w:eastAsia="仿宋"/>
          <w:sz w:val="32"/>
          <w:szCs w:val="32"/>
          <w:lang w:eastAsia="zh-CN"/>
        </w:rPr>
        <w:t>》《</w:t>
      </w:r>
      <w:r>
        <w:rPr>
          <w:rFonts w:hint="eastAsia" w:ascii="仿宋" w:hAnsi="仿宋" w:eastAsia="仿宋"/>
          <w:sz w:val="32"/>
          <w:szCs w:val="32"/>
        </w:rPr>
        <w:t>家庭急救指导手册》等宣传资料4000余份，受训学生总人数5400余名，通过活动进一步激发红十字青少年热情，推动防震减灾知识在青少年中普及，增强青少年的自救互救意识，提高青少年的自救互救能力</w:t>
      </w:r>
      <w:r>
        <w:rPr>
          <w:rFonts w:hint="eastAsia" w:ascii="宋体" w:hAnsi="宋体"/>
          <w:color w:val="000000"/>
        </w:rPr>
        <w:t>。</w:t>
      </w:r>
    </w:p>
    <w:p w14:paraId="036FC14B">
      <w:pPr>
        <w:spacing w:line="540" w:lineRule="exact"/>
        <w:ind w:firstLine="474" w:firstLineChars="225"/>
        <w:rPr>
          <w:rFonts w:hint="eastAsia" w:ascii="仿宋_GB2312" w:hAnsi="仿宋"/>
          <w:b/>
          <w:bCs/>
        </w:rPr>
      </w:pPr>
      <w:r>
        <w:rPr>
          <w:rFonts w:hint="eastAsia" w:ascii="宋体" w:hAnsi="宋体"/>
          <w:b/>
          <w:bCs/>
        </w:rPr>
        <w:t>（三）</w:t>
      </w:r>
      <w:r>
        <w:rPr>
          <w:rFonts w:hint="eastAsia" w:ascii="仿宋" w:hAnsi="仿宋" w:eastAsia="仿宋"/>
          <w:b/>
          <w:bCs/>
          <w:sz w:val="32"/>
          <w:szCs w:val="32"/>
        </w:rPr>
        <w:t>积极开展救护普及培训和急救员培训，提高公民自救、互救能力</w:t>
      </w:r>
      <w:r>
        <w:rPr>
          <w:rFonts w:hint="eastAsia" w:ascii="仿宋_GB2312" w:hAnsi="仿宋"/>
          <w:b/>
          <w:bCs/>
        </w:rPr>
        <w:t xml:space="preserve"> </w:t>
      </w:r>
    </w:p>
    <w:p w14:paraId="1609A972">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松潘县红十字会深入乡村、机关和景区开展应急救护普及培训和救护员培训，针对不同人群分别开展了心肺复苏、创伤急救、止血包扎、急性中毒、气道异物梗阻、紧急外伤的现场急救等培训，提高了相关从业人员的自救互救能力，降低了灾害和事故的死亡率、致残率。深入红扎乡、大寨乡、白羊乡、牟尼沟风景名胜区管理处、松潘县旅游市场综合执法局等举办了“红十字会救护员”培训班8期，由取得救护师资证书的人员为他们授课，并进行了救护操作演练，经过培训、考试、考核，共有230人取得了救护员资格证书。我会深入十里乡、镇坪乡、白羊乡等单位开展了7期救护普及培训班，普及培训1110人。</w:t>
      </w:r>
    </w:p>
    <w:p w14:paraId="5952863E">
      <w:pPr>
        <w:spacing w:line="540" w:lineRule="exact"/>
        <w:ind w:firstLine="474" w:firstLineChars="225"/>
        <w:rPr>
          <w:rFonts w:hint="eastAsia" w:ascii="仿宋" w:hAnsi="仿宋" w:eastAsia="仿宋"/>
          <w:b/>
          <w:bCs/>
          <w:sz w:val="32"/>
          <w:szCs w:val="32"/>
        </w:rPr>
      </w:pPr>
      <w:r>
        <w:rPr>
          <w:rFonts w:hint="eastAsia" w:ascii="宋体" w:hAnsi="宋体"/>
          <w:b/>
          <w:bCs/>
        </w:rPr>
        <w:t>（四）</w:t>
      </w:r>
      <w:r>
        <w:rPr>
          <w:rFonts w:hint="eastAsia" w:ascii="仿宋" w:hAnsi="仿宋" w:eastAsia="仿宋"/>
          <w:b/>
          <w:bCs/>
          <w:sz w:val="32"/>
          <w:szCs w:val="32"/>
        </w:rPr>
        <w:t>弘扬博爱精神，积极推动无偿捐献</w:t>
      </w:r>
    </w:p>
    <w:p w14:paraId="6535027F">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我会始终把宣传《中华人民共和国献血法》，普及献血知识，推动捐献造血干细胞和遗体捐献工作作为精神文明建设的重要内容，积极开展多种形式的宣传活动，动员和组织红十字会基层组织和广大会员、志愿者带头参与， 形成良好的社会氛围，无偿献血、捐献遗体</w:t>
      </w:r>
      <w:r>
        <w:rPr>
          <w:rFonts w:hint="eastAsia" w:ascii="仿宋" w:hAnsi="仿宋" w:eastAsia="仿宋"/>
          <w:sz w:val="32"/>
          <w:szCs w:val="32"/>
          <w:lang w:eastAsia="zh-CN"/>
        </w:rPr>
        <w:t>（</w:t>
      </w:r>
      <w:r>
        <w:rPr>
          <w:rFonts w:hint="eastAsia" w:ascii="仿宋" w:hAnsi="仿宋" w:eastAsia="仿宋"/>
          <w:sz w:val="32"/>
          <w:szCs w:val="32"/>
        </w:rPr>
        <w:t>器官</w:t>
      </w:r>
      <w:r>
        <w:rPr>
          <w:rFonts w:hint="eastAsia" w:ascii="仿宋" w:hAnsi="仿宋" w:eastAsia="仿宋"/>
          <w:sz w:val="32"/>
          <w:szCs w:val="32"/>
          <w:lang w:eastAsia="zh-CN"/>
        </w:rPr>
        <w:t>）</w:t>
      </w:r>
      <w:r>
        <w:rPr>
          <w:rFonts w:hint="eastAsia" w:ascii="仿宋" w:hAnsi="仿宋" w:eastAsia="仿宋"/>
          <w:sz w:val="32"/>
          <w:szCs w:val="32"/>
        </w:rPr>
        <w:t>工作有了新的起色，今年有144人无偿献血35600毫升，为全州临床用血提供了保障。</w:t>
      </w:r>
    </w:p>
    <w:p w14:paraId="21EA7C33">
      <w:pPr>
        <w:spacing w:line="540" w:lineRule="exact"/>
        <w:ind w:firstLine="474" w:firstLineChars="225"/>
        <w:rPr>
          <w:rFonts w:hint="eastAsia" w:ascii="仿宋" w:hAnsi="仿宋" w:eastAsia="仿宋"/>
          <w:b/>
          <w:bCs/>
          <w:sz w:val="32"/>
          <w:szCs w:val="32"/>
        </w:rPr>
      </w:pPr>
      <w:r>
        <w:rPr>
          <w:rFonts w:hint="eastAsia" w:ascii="宋体" w:hAnsi="宋体"/>
          <w:b/>
          <w:bCs/>
        </w:rPr>
        <w:t>（五）</w:t>
      </w:r>
      <w:r>
        <w:rPr>
          <w:rFonts w:hint="eastAsia" w:ascii="仿宋" w:hAnsi="仿宋" w:eastAsia="仿宋"/>
          <w:b/>
          <w:bCs/>
          <w:sz w:val="32"/>
          <w:szCs w:val="32"/>
        </w:rPr>
        <w:t>红十字会基层组织不断发展壮大</w:t>
      </w:r>
    </w:p>
    <w:p w14:paraId="2B456881">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我会严格按“六有”标准发展乡镇、村（社区）红十字基层组织，今年发展红十字会基层组织9个，发展</w:t>
      </w:r>
      <w:r>
        <w:rPr>
          <w:rFonts w:hint="eastAsia" w:ascii="仿宋" w:hAnsi="仿宋" w:eastAsia="仿宋"/>
          <w:sz w:val="32"/>
          <w:szCs w:val="32"/>
          <w:lang w:eastAsia="zh-CN"/>
        </w:rPr>
        <w:t>红十字会会员</w:t>
      </w:r>
      <w:r>
        <w:rPr>
          <w:rFonts w:hint="eastAsia" w:ascii="仿宋" w:hAnsi="仿宋" w:eastAsia="仿宋"/>
          <w:sz w:val="32"/>
          <w:szCs w:val="32"/>
        </w:rPr>
        <w:t>15人，红十字志愿者15人。</w:t>
      </w:r>
    </w:p>
    <w:p w14:paraId="7A2BA971">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为不断提高红十字会干部队伍的业务素质，我会利用每周的学习时间，组织职工学习业务知识，先后派出6人次参加省州红十字会理论、业务培训。</w:t>
      </w:r>
    </w:p>
    <w:p w14:paraId="0F40D4F9">
      <w:pPr>
        <w:spacing w:line="540" w:lineRule="exact"/>
        <w:ind w:firstLine="474" w:firstLineChars="225"/>
        <w:rPr>
          <w:rFonts w:hint="eastAsia" w:ascii="仿宋" w:hAnsi="仿宋" w:eastAsia="仿宋"/>
          <w:b/>
          <w:bCs/>
          <w:sz w:val="32"/>
          <w:szCs w:val="32"/>
        </w:rPr>
      </w:pPr>
      <w:r>
        <w:rPr>
          <w:rFonts w:hint="eastAsia" w:ascii="宋体" w:hAnsi="宋体"/>
          <w:b/>
          <w:bCs/>
        </w:rPr>
        <w:t>（六）</w:t>
      </w:r>
      <w:r>
        <w:rPr>
          <w:rFonts w:hint="eastAsia" w:ascii="仿宋" w:hAnsi="仿宋" w:eastAsia="仿宋"/>
          <w:b/>
          <w:bCs/>
          <w:sz w:val="32"/>
          <w:szCs w:val="32"/>
        </w:rPr>
        <w:t>加强救灾备灾工作，提高应急救援能力</w:t>
      </w:r>
    </w:p>
    <w:p w14:paraId="44C45E2E">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制定自然灾害救灾备灾预案，完善措施。按照中国红十字会法赋予的职能， 我们把强化防灾救灾的意识，作为我会工作的一件大事来抓。在</w:t>
      </w:r>
      <w:bookmarkStart w:id="73" w:name="_GoBack"/>
      <w:r>
        <w:rPr>
          <w:rFonts w:hint="eastAsia" w:ascii="仿宋" w:hAnsi="仿宋" w:eastAsia="仿宋"/>
          <w:sz w:val="32"/>
          <w:szCs w:val="32"/>
          <w:lang w:eastAsia="zh-CN"/>
        </w:rPr>
        <w:t>“5·12”</w:t>
      </w:r>
      <w:bookmarkEnd w:id="73"/>
      <w:r>
        <w:rPr>
          <w:rFonts w:hint="eastAsia" w:ascii="仿宋" w:hAnsi="仿宋" w:eastAsia="仿宋"/>
          <w:sz w:val="32"/>
          <w:szCs w:val="32"/>
        </w:rPr>
        <w:t>地震10周年之际</w:t>
      </w:r>
      <w:r>
        <w:rPr>
          <w:rFonts w:hint="eastAsia" w:ascii="仿宋" w:hAnsi="仿宋" w:eastAsia="仿宋"/>
          <w:sz w:val="32"/>
          <w:szCs w:val="32"/>
          <w:lang w:eastAsia="zh-CN"/>
        </w:rPr>
        <w:t>，</w:t>
      </w:r>
      <w:r>
        <w:rPr>
          <w:rFonts w:hint="eastAsia" w:ascii="仿宋" w:hAnsi="仿宋" w:eastAsia="仿宋"/>
          <w:sz w:val="32"/>
          <w:szCs w:val="32"/>
        </w:rPr>
        <w:t>我会与县应急办、县卫计局等部门开展了“自然灾害应急大演练”， 增强有效处置各种自然灾害的能力。积极争取县财政支持，提高救灾备灾水平，每年争取县财政预算资金15万元用于松潘县红十字会救灾备灾应急救护中心日常运行，确保了救灾</w:t>
      </w:r>
      <w:r>
        <w:rPr>
          <w:rFonts w:hint="eastAsia" w:ascii="仿宋" w:hAnsi="仿宋" w:eastAsia="仿宋"/>
          <w:sz w:val="32"/>
          <w:szCs w:val="32"/>
          <w:lang w:eastAsia="zh-CN"/>
        </w:rPr>
        <w:t>储备</w:t>
      </w:r>
      <w:r>
        <w:rPr>
          <w:rFonts w:hint="eastAsia" w:ascii="仿宋" w:hAnsi="仿宋" w:eastAsia="仿宋"/>
          <w:sz w:val="32"/>
          <w:szCs w:val="32"/>
        </w:rPr>
        <w:t>物资的安全，提高了我会救灾备灾水平。</w:t>
      </w:r>
    </w:p>
    <w:p w14:paraId="580244A8">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6月25日至6月26日，7月8日</w:t>
      </w:r>
      <w:r>
        <w:rPr>
          <w:rFonts w:hint="eastAsia" w:ascii="仿宋" w:hAnsi="仿宋" w:eastAsia="仿宋"/>
          <w:sz w:val="32"/>
          <w:szCs w:val="32"/>
          <w:lang w:eastAsia="zh-CN"/>
        </w:rPr>
        <w:t>—</w:t>
      </w:r>
      <w:r>
        <w:rPr>
          <w:rFonts w:hint="eastAsia" w:ascii="仿宋" w:hAnsi="仿宋" w:eastAsia="仿宋"/>
          <w:sz w:val="32"/>
          <w:szCs w:val="32"/>
        </w:rPr>
        <w:t>7月12日，我县连续降雨，导致河道水位上涨，发生洪涝灾害，全县不同程度受灾，松潘县红十字会积极主动与县民政局配合做好灾情统计工作，并通过红十字会灾情直报系统及时上报灾情，争取上级红会的救灾物资。通过县红会的努力，争取到省州红十字会调拨的救灾物资：赈济家庭箱100个，运动服2000件，袜子900双，并根据乡镇的灾情及时将救灾物资发放到灾民手中。</w:t>
      </w:r>
    </w:p>
    <w:p w14:paraId="4A44B9F1">
      <w:pPr>
        <w:pStyle w:val="12"/>
        <w:spacing w:line="540" w:lineRule="exact"/>
        <w:ind w:firstLine="643" w:firstLineChars="200"/>
        <w:rPr>
          <w:rFonts w:hint="eastAsia" w:ascii="仿宋_GB2312" w:hAnsi="仿宋" w:eastAsia="仿宋_GB2312" w:cs="Times New Roman"/>
          <w:b/>
          <w:bCs/>
          <w:sz w:val="32"/>
          <w:szCs w:val="32"/>
        </w:rPr>
      </w:pPr>
      <w:r>
        <w:rPr>
          <w:rFonts w:hint="eastAsia" w:ascii="仿宋_GB2312" w:hAnsi="仿宋" w:eastAsia="仿宋_GB2312" w:cs="Times New Roman"/>
          <w:b/>
          <w:bCs/>
          <w:sz w:val="32"/>
          <w:szCs w:val="32"/>
        </w:rPr>
        <w:t>（七）加强捐赠资金的管理，提高捐赠资金使用效率</w:t>
      </w:r>
    </w:p>
    <w:p w14:paraId="18DE0156">
      <w:pPr>
        <w:spacing w:line="566" w:lineRule="exact"/>
        <w:ind w:firstLine="419" w:firstLineChars="131"/>
        <w:rPr>
          <w:rFonts w:hint="eastAsia" w:ascii="仿宋" w:hAnsi="仿宋" w:eastAsia="仿宋" w:cs="黑体"/>
          <w:sz w:val="32"/>
          <w:szCs w:val="32"/>
        </w:rPr>
      </w:pPr>
      <w:r>
        <w:rPr>
          <w:rFonts w:hint="eastAsia" w:ascii="仿宋" w:hAnsi="仿宋" w:eastAsia="仿宋"/>
          <w:sz w:val="32"/>
          <w:szCs w:val="32"/>
        </w:rPr>
        <w:t>松潘县红十字会的捐赠资金实行专人管理，专</w:t>
      </w:r>
      <w:r>
        <w:rPr>
          <w:rFonts w:hint="eastAsia" w:ascii="仿宋" w:hAnsi="仿宋" w:eastAsia="仿宋"/>
          <w:sz w:val="32"/>
          <w:szCs w:val="32"/>
          <w:lang w:eastAsia="zh-CN"/>
        </w:rPr>
        <w:t>账核算</w:t>
      </w:r>
      <w:r>
        <w:rPr>
          <w:rFonts w:hint="eastAsia" w:ascii="仿宋" w:hAnsi="仿宋" w:eastAsia="仿宋"/>
          <w:sz w:val="32"/>
          <w:szCs w:val="32"/>
        </w:rPr>
        <w:t>，向捐款人开具专用捐赠收据。对定向捐赠资金严格按捐赠人的意愿使用，先由定向捐赠资金使用方按捐赠人的意愿制定实施方案，方案分别报捐赠人、县红十字会审查，经审查均无意见后，资金才能使用，资金使用完毕，定向捐赠资金使用方分别向捐赠人、县红十字会上报资金使用结果。对非定向捐款，按要求上缴州红十字会。对所有的捐赠资金在县红十字会政务公开栏和松潘县政务网站做好接收公示、使用公示，接受群众监督，同时接受财政、纪检、审计部门的监督检查，确保捐赠资金专款专用，无截留、挤占、挪用、贪污和私自改变用途的情况。</w:t>
      </w:r>
    </w:p>
    <w:p w14:paraId="5C9E9DFD">
      <w:pPr>
        <w:spacing w:line="540" w:lineRule="exact"/>
        <w:ind w:firstLine="474" w:firstLineChars="225"/>
        <w:rPr>
          <w:rFonts w:hint="eastAsia" w:ascii="仿宋" w:hAnsi="仿宋" w:eastAsia="仿宋"/>
          <w:b/>
          <w:bCs/>
          <w:sz w:val="32"/>
          <w:szCs w:val="32"/>
        </w:rPr>
      </w:pPr>
      <w:r>
        <w:rPr>
          <w:rFonts w:hint="eastAsia" w:ascii="宋体" w:hAnsi="宋体"/>
          <w:b/>
          <w:bCs/>
        </w:rPr>
        <w:t>（八）</w:t>
      </w:r>
      <w:r>
        <w:rPr>
          <w:rFonts w:hint="eastAsia" w:ascii="仿宋" w:hAnsi="仿宋" w:eastAsia="仿宋"/>
          <w:b/>
          <w:bCs/>
          <w:sz w:val="32"/>
          <w:szCs w:val="32"/>
        </w:rPr>
        <w:t>2018年博爱家园项目顺利实施</w:t>
      </w:r>
    </w:p>
    <w:p w14:paraId="64E13AB6">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县红十字会争取到浙江省红十字会对口援助资金36万元，实施川主寺镇八十沟村博爱家园项目，该项目主要建设内容为新建救灾避险广场1200平方米、红十字博爱小屋40平方米、生计项目1 个。</w:t>
      </w:r>
    </w:p>
    <w:p w14:paraId="5F3F6356">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4月，县红十字会在川主寺镇八十沟村召开项目启动会后，博爱家园项目正式启动，建设地点位于八十沟村综合服务站，位于雪山梁路旁，是去往黄龙的开端也是必经之路。博爱家园项目与村集体经济建设项目进行统一管理，一并实施。红十字博爱小屋已于10月上旬完工，救灾避险广场将于10月底完成。</w:t>
      </w:r>
    </w:p>
    <w:p w14:paraId="70DDBDB6">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为了更好</w:t>
      </w:r>
      <w:r>
        <w:rPr>
          <w:rFonts w:hint="eastAsia" w:ascii="仿宋" w:hAnsi="仿宋" w:eastAsia="仿宋"/>
          <w:sz w:val="32"/>
          <w:szCs w:val="32"/>
          <w:lang w:eastAsia="zh-CN"/>
        </w:rPr>
        <w:t>地</w:t>
      </w:r>
      <w:r>
        <w:rPr>
          <w:rFonts w:hint="eastAsia" w:ascii="仿宋" w:hAnsi="仿宋" w:eastAsia="仿宋"/>
          <w:sz w:val="32"/>
          <w:szCs w:val="32"/>
        </w:rPr>
        <w:t>开展博爱家园项目各项工作，八十沟村在村活动室专门设立村红十字会办公室，制度上墙、宣传画上墙、读物上柜。积极号召热心公益的青年20人成立村红十字会志愿服务队，13人申请加入红十字会会员。开展2次应急救护培训班，培训救护员15人，普及培训230人次，开展宣传活动4次，发放宣传资料260余份，在群众中反应较好。</w:t>
      </w:r>
    </w:p>
    <w:p w14:paraId="51161E2F">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机关建设稳步推进，做好了联乡帮村及“户户访 人人忙”工作、民主法制建设、党的建设、思想文化建设、党风廉政建设、民宗统战、社会治理、群团工作、群众工作、公共安全、保密、统计等工作，认真做好</w:t>
      </w:r>
      <w:r>
        <w:rPr>
          <w:rFonts w:hint="eastAsia" w:ascii="仿宋" w:hAnsi="仿宋" w:eastAsia="仿宋"/>
          <w:sz w:val="32"/>
          <w:szCs w:val="32"/>
          <w:lang w:eastAsia="zh-CN"/>
        </w:rPr>
        <w:t>县委、县政府</w:t>
      </w:r>
      <w:r>
        <w:rPr>
          <w:rFonts w:hint="eastAsia" w:ascii="仿宋" w:hAnsi="仿宋" w:eastAsia="仿宋"/>
          <w:sz w:val="32"/>
          <w:szCs w:val="32"/>
        </w:rPr>
        <w:t>交办的其他工作。</w:t>
      </w:r>
    </w:p>
    <w:p w14:paraId="28A4E60D">
      <w:pPr>
        <w:pStyle w:val="5"/>
        <w:adjustRightInd w:val="0"/>
        <w:snapToGrid w:val="0"/>
        <w:spacing w:before="93" w:line="600" w:lineRule="exact"/>
        <w:ind w:firstLine="672" w:firstLineChars="210"/>
        <w:outlineLvl w:val="2"/>
        <w:rPr>
          <w:rFonts w:ascii="仿宋" w:hAnsi="仿宋" w:eastAsia="仿宋"/>
          <w:bCs/>
          <w:color w:val="000000"/>
          <w:sz w:val="32"/>
          <w:szCs w:val="32"/>
        </w:rPr>
      </w:pPr>
    </w:p>
    <w:p w14:paraId="0676AE67">
      <w:pPr>
        <w:pStyle w:val="3"/>
        <w:rPr>
          <w:rStyle w:val="26"/>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18"/>
      <w:bookmarkEnd w:id="19"/>
    </w:p>
    <w:p w14:paraId="7C27665F">
      <w:pPr>
        <w:spacing w:line="360" w:lineRule="auto"/>
        <w:jc w:val="left"/>
        <w:rPr>
          <w:rFonts w:hint="eastAsia" w:ascii="仿宋_GB2312" w:hAnsi="宋体" w:eastAsia="仿宋_GB2312"/>
          <w:sz w:val="32"/>
          <w:szCs w:val="32"/>
        </w:rPr>
      </w:pPr>
      <w:bookmarkStart w:id="20" w:name="_Toc15377204"/>
      <w:bookmarkStart w:id="21" w:name="_Toc15396602"/>
      <w:r>
        <w:rPr>
          <w:rFonts w:hint="eastAsia" w:ascii="仿宋_GB2312" w:hAnsi="宋体" w:eastAsia="仿宋_GB2312"/>
          <w:sz w:val="32"/>
          <w:szCs w:val="32"/>
        </w:rPr>
        <w:t>松潘县红十字会设立内设2个股室。</w:t>
      </w:r>
    </w:p>
    <w:p w14:paraId="2D0AF8AB">
      <w:pPr>
        <w:spacing w:line="360" w:lineRule="auto"/>
        <w:jc w:val="left"/>
        <w:rPr>
          <w:rFonts w:hint="eastAsia" w:ascii="仿宋_GB2312" w:hAnsi="宋体" w:eastAsia="仿宋_GB2312"/>
          <w:sz w:val="32"/>
          <w:szCs w:val="32"/>
        </w:rPr>
      </w:pPr>
      <w:r>
        <w:rPr>
          <w:rFonts w:hint="eastAsia" w:ascii="仿宋_GB2312" w:hAnsi="宋体" w:eastAsia="仿宋_GB2312"/>
          <w:sz w:val="32"/>
          <w:szCs w:val="32"/>
        </w:rPr>
        <w:t>综合办公室</w:t>
      </w:r>
    </w:p>
    <w:p w14:paraId="6CE74C24">
      <w:pPr>
        <w:spacing w:line="360" w:lineRule="auto"/>
        <w:ind w:firstLine="480" w:firstLineChars="150"/>
        <w:jc w:val="left"/>
        <w:rPr>
          <w:rFonts w:hint="eastAsia" w:ascii="仿宋_GB2312" w:hAnsi="宋体" w:eastAsia="仿宋_GB2312"/>
          <w:sz w:val="32"/>
          <w:szCs w:val="32"/>
        </w:rPr>
      </w:pPr>
      <w:r>
        <w:rPr>
          <w:rFonts w:hint="eastAsia" w:ascii="仿宋_GB2312" w:hAnsi="宋体" w:eastAsia="仿宋_GB2312"/>
          <w:sz w:val="32"/>
          <w:szCs w:val="32"/>
        </w:rPr>
        <w:t>普及卫生救护和防病知识，进行初级卫生救护培训，组织群众参加现场救护；开展其他人道主义服务活动。在自然灾害和突发事件中，对伤病人员和其他</w:t>
      </w:r>
      <w:r>
        <w:rPr>
          <w:rFonts w:hint="eastAsia" w:ascii="仿宋_GB2312" w:hAnsi="宋体" w:eastAsia="仿宋_GB2312"/>
          <w:sz w:val="32"/>
          <w:szCs w:val="32"/>
          <w:lang w:eastAsia="zh-CN"/>
        </w:rPr>
        <w:t>受害者</w:t>
      </w:r>
      <w:r>
        <w:rPr>
          <w:rFonts w:hint="eastAsia" w:ascii="仿宋_GB2312" w:hAnsi="宋体" w:eastAsia="仿宋_GB2312"/>
          <w:sz w:val="32"/>
          <w:szCs w:val="32"/>
        </w:rPr>
        <w:t>进行救助；负责全县红十字会的组织发展和建设；宣传国际人道法和红十字运动基本知识；宣传《中华人民共和国红十字会法》，倡导人道、博爱、奉献的红十字精神；组织开展红十字青少年活动；组织参加国际人道主义救援工作。</w:t>
      </w:r>
    </w:p>
    <w:p w14:paraId="7B8E7210">
      <w:pPr>
        <w:spacing w:line="360" w:lineRule="auto"/>
        <w:jc w:val="left"/>
        <w:rPr>
          <w:rFonts w:hint="eastAsia" w:ascii="仿宋_GB2312" w:hAnsi="宋体" w:eastAsia="仿宋_GB2312"/>
          <w:sz w:val="32"/>
          <w:szCs w:val="32"/>
        </w:rPr>
      </w:pPr>
      <w:r>
        <w:rPr>
          <w:rFonts w:hint="eastAsia" w:ascii="仿宋_GB2312" w:hAnsi="宋体" w:eastAsia="仿宋_GB2312"/>
          <w:sz w:val="32"/>
          <w:szCs w:val="32"/>
        </w:rPr>
        <w:t>赈济股</w:t>
      </w:r>
    </w:p>
    <w:p w14:paraId="0AE7C4A2">
      <w:pPr>
        <w:spacing w:line="36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负责备灾救灾工作，制定救灾预案；负责开展社会募捐和接受境内、</w:t>
      </w:r>
      <w:r>
        <w:rPr>
          <w:rFonts w:hint="eastAsia" w:ascii="仿宋_GB2312" w:hAnsi="宋体" w:eastAsia="仿宋_GB2312"/>
          <w:sz w:val="32"/>
          <w:szCs w:val="32"/>
          <w:lang w:eastAsia="zh-CN"/>
        </w:rPr>
        <w:t>外</w:t>
      </w:r>
      <w:r>
        <w:rPr>
          <w:rFonts w:hint="eastAsia" w:ascii="仿宋_GB2312" w:hAnsi="宋体" w:eastAsia="仿宋_GB2312"/>
          <w:sz w:val="32"/>
          <w:szCs w:val="32"/>
        </w:rPr>
        <w:t>捐助，做好救灾物资储备工作，负责组织开展人道领域内的社会服务工作。</w:t>
      </w:r>
    </w:p>
    <w:p w14:paraId="5D00A7BC">
      <w:pPr>
        <w:pStyle w:val="2"/>
        <w:ind w:right="440"/>
        <w:jc w:val="right"/>
        <w:rPr>
          <w:rStyle w:val="25"/>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0"/>
      <w:bookmarkEnd w:id="21"/>
    </w:p>
    <w:p w14:paraId="60300C48"/>
    <w:p w14:paraId="359F423B">
      <w:pPr>
        <w:pStyle w:val="24"/>
        <w:numPr>
          <w:ilvl w:val="0"/>
          <w:numId w:val="1"/>
        </w:numPr>
        <w:spacing w:line="600" w:lineRule="exact"/>
        <w:ind w:firstLineChars="0"/>
        <w:outlineLvl w:val="1"/>
        <w:rPr>
          <w:rStyle w:val="26"/>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2"/>
      <w:bookmarkEnd w:id="23"/>
    </w:p>
    <w:p w14:paraId="7DF5B399">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2018年度收、支总计87.44万元。与2017年相比，收、支总计各减少11.52万元，增长15.17</w:t>
      </w:r>
      <w:r>
        <w:rPr>
          <w:rFonts w:ascii="仿宋" w:hAnsi="仿宋" w:eastAsia="仿宋"/>
          <w:color w:val="000000"/>
          <w:sz w:val="32"/>
          <w:szCs w:val="32"/>
        </w:rPr>
        <w:t>%</w:t>
      </w:r>
      <w:r>
        <w:rPr>
          <w:rFonts w:hint="eastAsia" w:ascii="仿宋" w:hAnsi="仿宋" w:eastAsia="仿宋"/>
          <w:color w:val="000000"/>
          <w:sz w:val="32"/>
          <w:szCs w:val="32"/>
        </w:rPr>
        <w:t>。主要变动原因是日常增加工作。</w:t>
      </w:r>
    </w:p>
    <w:p w14:paraId="0012A7A8">
      <w:pPr>
        <w:spacing w:line="600" w:lineRule="exact"/>
        <w:ind w:firstLine="640" w:firstLineChars="200"/>
        <w:jc w:val="left"/>
        <w:rPr>
          <w:rFonts w:ascii="仿宋_GB2312" w:eastAsia="仿宋_GB2312"/>
          <w:color w:val="000000"/>
          <w:sz w:val="32"/>
          <w:szCs w:val="32"/>
        </w:rPr>
      </w:pPr>
    </w:p>
    <w:p w14:paraId="28D93629">
      <w:pPr>
        <w:pStyle w:val="24"/>
        <w:numPr>
          <w:ilvl w:val="0"/>
          <w:numId w:val="1"/>
        </w:numPr>
        <w:spacing w:line="600" w:lineRule="exact"/>
        <w:ind w:firstLineChars="0"/>
        <w:outlineLvl w:val="1"/>
        <w:rPr>
          <w:rStyle w:val="26"/>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4"/>
      <w:bookmarkEnd w:id="25"/>
    </w:p>
    <w:p w14:paraId="723362BB">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8年本年收入合计87.44万元，其中：一般公共预算财政拨款收入87.44万元，占100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4BC64252">
      <w:pPr>
        <w:spacing w:line="600" w:lineRule="exact"/>
        <w:ind w:firstLine="640" w:firstLineChars="200"/>
        <w:rPr>
          <w:rFonts w:ascii="仿宋_GB2312" w:eastAsia="仿宋_GB2312"/>
          <w:color w:val="FF0000"/>
          <w:sz w:val="32"/>
          <w:szCs w:val="32"/>
        </w:rPr>
      </w:pPr>
    </w:p>
    <w:p w14:paraId="18BC6353">
      <w:pPr>
        <w:pStyle w:val="24"/>
        <w:numPr>
          <w:ilvl w:val="0"/>
          <w:numId w:val="1"/>
        </w:numPr>
        <w:spacing w:line="600" w:lineRule="exact"/>
        <w:ind w:firstLineChars="0"/>
        <w:outlineLvl w:val="1"/>
        <w:rPr>
          <w:rStyle w:val="26"/>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6"/>
      <w:bookmarkEnd w:id="27"/>
    </w:p>
    <w:p w14:paraId="5D60C21A">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8年本年支出合计87.44万元，其中：基本支出87.44万元，占100</w:t>
      </w:r>
      <w:r>
        <w:rPr>
          <w:rFonts w:ascii="仿宋" w:hAnsi="仿宋" w:eastAsia="仿宋"/>
          <w:color w:val="000000"/>
          <w:sz w:val="32"/>
          <w:szCs w:val="32"/>
        </w:rPr>
        <w:t>%</w:t>
      </w:r>
      <w:r>
        <w:rPr>
          <w:rFonts w:hint="eastAsia" w:ascii="仿宋" w:hAnsi="仿宋" w:eastAsia="仿宋"/>
          <w:color w:val="000000"/>
          <w:sz w:val="32"/>
          <w:szCs w:val="32"/>
        </w:rPr>
        <w:t>；项目支出0万元，占0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3739D323">
      <w:pPr>
        <w:spacing w:line="600" w:lineRule="exact"/>
        <w:rPr>
          <w:rFonts w:ascii="仿宋_GB2312" w:eastAsia="仿宋_GB2312"/>
          <w:color w:val="FF0000"/>
          <w:sz w:val="32"/>
          <w:szCs w:val="32"/>
        </w:rPr>
      </w:pPr>
    </w:p>
    <w:p w14:paraId="25122EFF">
      <w:pPr>
        <w:spacing w:line="600" w:lineRule="exact"/>
        <w:ind w:firstLine="640" w:firstLineChars="200"/>
        <w:outlineLvl w:val="1"/>
        <w:rPr>
          <w:rStyle w:val="26"/>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8"/>
      <w:bookmarkEnd w:id="29"/>
    </w:p>
    <w:p w14:paraId="26641B90">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8年财政拨款收、支总计87.44万元。与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7年相比，财政拨款收、支总计各增加11.52万元，增长15.17</w:t>
      </w:r>
      <w:r>
        <w:rPr>
          <w:rFonts w:ascii="仿宋" w:hAnsi="仿宋" w:eastAsia="仿宋"/>
          <w:color w:val="000000"/>
          <w:sz w:val="32"/>
          <w:szCs w:val="32"/>
        </w:rPr>
        <w:t>%</w:t>
      </w:r>
      <w:r>
        <w:rPr>
          <w:rFonts w:hint="eastAsia" w:ascii="仿宋" w:hAnsi="仿宋" w:eastAsia="仿宋"/>
          <w:color w:val="000000"/>
          <w:sz w:val="32"/>
          <w:szCs w:val="32"/>
        </w:rPr>
        <w:t>。主要变动原因是日常增加工作。</w:t>
      </w:r>
    </w:p>
    <w:p w14:paraId="3853DD57">
      <w:pPr>
        <w:spacing w:line="600" w:lineRule="exact"/>
        <w:ind w:firstLine="640"/>
        <w:rPr>
          <w:rFonts w:ascii="仿宋" w:hAnsi="仿宋" w:eastAsia="仿宋"/>
          <w:b/>
          <w:color w:val="00B050"/>
          <w:sz w:val="32"/>
          <w:szCs w:val="32"/>
        </w:rPr>
      </w:pPr>
    </w:p>
    <w:p w14:paraId="432626E9">
      <w:pPr>
        <w:spacing w:line="600" w:lineRule="exact"/>
        <w:ind w:firstLine="640" w:firstLineChars="200"/>
        <w:outlineLvl w:val="1"/>
        <w:rPr>
          <w:rStyle w:val="26"/>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0"/>
      <w:bookmarkEnd w:id="31"/>
    </w:p>
    <w:p w14:paraId="7C7D24EE">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14:paraId="1D355A9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8年一般公共预算财政拨款支出87.44万元，占本年支出合计的100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7年相比，一般公共预算财政拨款增加11.52万元，增长15.17</w:t>
      </w:r>
      <w:r>
        <w:rPr>
          <w:rFonts w:ascii="仿宋" w:hAnsi="仿宋" w:eastAsia="仿宋"/>
          <w:color w:val="000000"/>
          <w:sz w:val="32"/>
          <w:szCs w:val="32"/>
        </w:rPr>
        <w:t>%</w:t>
      </w:r>
      <w:r>
        <w:rPr>
          <w:rFonts w:hint="eastAsia" w:ascii="仿宋" w:hAnsi="仿宋" w:eastAsia="仿宋"/>
          <w:color w:val="000000"/>
          <w:sz w:val="32"/>
          <w:szCs w:val="32"/>
        </w:rPr>
        <w:t>。主要变动原因是日常增加工作。</w:t>
      </w:r>
    </w:p>
    <w:p w14:paraId="2A43A9EC">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14:paraId="12D3886E">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政拨款支出87.44万元，主要用于以下方面</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支出80.12万元，占91.63</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；医疗卫生支出2.29万元，占2.62</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；住房保障支出5.03万元，占5.75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14:paraId="36DACC5D">
      <w:pPr>
        <w:spacing w:line="600" w:lineRule="exact"/>
        <w:ind w:firstLine="640" w:firstLineChars="200"/>
        <w:rPr>
          <w:rFonts w:ascii="仿宋" w:hAnsi="仿宋" w:eastAsia="仿宋"/>
          <w:color w:val="000000"/>
          <w:sz w:val="32"/>
          <w:szCs w:val="32"/>
        </w:rPr>
      </w:pPr>
    </w:p>
    <w:p w14:paraId="221872C5">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14:paraId="4517377F">
      <w:pPr>
        <w:spacing w:line="600" w:lineRule="exact"/>
        <w:ind w:firstLine="643" w:firstLineChars="200"/>
        <w:outlineLvl w:val="2"/>
        <w:rPr>
          <w:rStyle w:val="15"/>
          <w:rFonts w:hint="eastAsia" w:ascii="仿宋" w:hAnsi="仿宋" w:eastAsia="仿宋"/>
          <w:bCs/>
          <w:color w:val="000000"/>
          <w:sz w:val="32"/>
          <w:szCs w:val="32"/>
        </w:rPr>
      </w:pPr>
      <w:bookmarkStart w:id="35" w:name="_Toc15377444"/>
      <w:bookmarkStart w:id="36" w:name="_Toc15378460"/>
      <w:bookmarkStart w:id="37" w:name="_Toc15377213"/>
      <w:r>
        <w:rPr>
          <w:rFonts w:hint="eastAsia" w:ascii="仿宋" w:hAnsi="仿宋" w:eastAsia="仿宋"/>
          <w:b/>
          <w:color w:val="000000" w:themeColor="text1"/>
          <w:sz w:val="32"/>
          <w:szCs w:val="32"/>
        </w:rPr>
        <w:t>2018</w:t>
      </w:r>
      <w:r>
        <w:rPr>
          <w:rFonts w:hint="eastAsia" w:ascii="仿宋" w:hAnsi="仿宋" w:eastAsia="仿宋"/>
          <w:b/>
          <w:color w:val="000000" w:themeColor="text1"/>
          <w:sz w:val="32"/>
          <w:szCs w:val="32"/>
          <w:lang w:eastAsia="zh-CN"/>
        </w:rPr>
        <w:t>年一</w:t>
      </w:r>
      <w:r>
        <w:rPr>
          <w:rFonts w:hint="eastAsia" w:ascii="仿宋" w:hAnsi="仿宋" w:eastAsia="仿宋"/>
          <w:b/>
          <w:color w:val="000000" w:themeColor="text1"/>
          <w:sz w:val="32"/>
          <w:szCs w:val="32"/>
        </w:rPr>
        <w:t>般公共预算支出决算数为87.44</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5"/>
      <w:bookmarkEnd w:id="36"/>
      <w:bookmarkEnd w:id="37"/>
    </w:p>
    <w:p w14:paraId="7B71A8BA">
      <w:pPr>
        <w:spacing w:line="600" w:lineRule="exact"/>
        <w:ind w:firstLine="161" w:firstLineChars="50"/>
        <w:jc w:val="left"/>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社会保障和就业</w:t>
      </w:r>
    </w:p>
    <w:p w14:paraId="179AEDCE">
      <w:pPr>
        <w:spacing w:line="600" w:lineRule="exact"/>
        <w:ind w:firstLine="643" w:firstLineChars="200"/>
        <w:jc w:val="left"/>
        <w:rPr>
          <w:rStyle w:val="15"/>
          <w:rFonts w:hint="eastAsia" w:ascii="仿宋" w:hAnsi="仿宋" w:eastAsia="仿宋"/>
          <w:b w:val="0"/>
          <w:bCs/>
          <w:color w:val="000000"/>
          <w:sz w:val="32"/>
          <w:szCs w:val="32"/>
        </w:rPr>
      </w:pPr>
      <w:r>
        <w:rPr>
          <w:rStyle w:val="15"/>
          <w:rFonts w:ascii="仿宋" w:hAnsi="仿宋" w:eastAsia="仿宋"/>
          <w:bCs/>
          <w:color w:val="000000"/>
          <w:sz w:val="32"/>
          <w:szCs w:val="32"/>
        </w:rPr>
        <w:t>2080505</w:t>
      </w:r>
      <w:r>
        <w:rPr>
          <w:rStyle w:val="15"/>
          <w:rFonts w:hint="eastAsia" w:ascii="仿宋" w:hAnsi="仿宋" w:eastAsia="仿宋"/>
          <w:bCs/>
          <w:color w:val="000000"/>
          <w:sz w:val="32"/>
          <w:szCs w:val="32"/>
        </w:rPr>
        <w:t>机关事业单位基本养老保险缴费支出</w:t>
      </w:r>
      <w:r>
        <w:rPr>
          <w:rStyle w:val="15"/>
          <w:rFonts w:hint="eastAsia" w:ascii="仿宋" w:hAnsi="仿宋" w:eastAsia="仿宋"/>
          <w:bCs/>
          <w:color w:val="000000"/>
          <w:sz w:val="32"/>
          <w:szCs w:val="32"/>
          <w:lang w:eastAsia="zh-CN"/>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6.7</w:t>
      </w:r>
      <w:r>
        <w:rPr>
          <w:rStyle w:val="15"/>
          <w:rFonts w:hint="eastAsia" w:ascii="仿宋" w:hAnsi="仿宋" w:eastAsia="仿宋"/>
          <w:b w:val="0"/>
          <w:bCs/>
          <w:color w:val="000000"/>
          <w:sz w:val="32"/>
          <w:szCs w:val="32"/>
        </w:rPr>
        <w:t>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5820EF8A">
      <w:pPr>
        <w:spacing w:line="600" w:lineRule="exact"/>
        <w:ind w:firstLine="643" w:firstLineChars="200"/>
        <w:jc w:val="left"/>
        <w:rPr>
          <w:rStyle w:val="15"/>
          <w:rFonts w:hint="eastAsia" w:ascii="仿宋" w:hAnsi="仿宋" w:eastAsia="仿宋"/>
          <w:b w:val="0"/>
          <w:bCs/>
          <w:color w:val="000000"/>
          <w:sz w:val="32"/>
          <w:szCs w:val="32"/>
        </w:rPr>
      </w:pPr>
      <w:r>
        <w:rPr>
          <w:rFonts w:ascii="仿宋" w:hAnsi="仿宋" w:eastAsia="仿宋"/>
          <w:b/>
          <w:bCs/>
          <w:color w:val="000000"/>
          <w:sz w:val="32"/>
          <w:szCs w:val="32"/>
        </w:rPr>
        <w:t>2080506</w:t>
      </w:r>
      <w:r>
        <w:rPr>
          <w:rFonts w:hint="eastAsia" w:ascii="仿宋" w:hAnsi="仿宋" w:eastAsia="仿宋"/>
          <w:b/>
          <w:bCs/>
          <w:color w:val="000000"/>
          <w:sz w:val="32"/>
          <w:szCs w:val="32"/>
        </w:rPr>
        <w:t>机关事业单位职业年金缴费支出：</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1</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7C5891B4">
      <w:pPr>
        <w:spacing w:line="600" w:lineRule="exact"/>
        <w:ind w:firstLine="643" w:firstLineChars="200"/>
        <w:jc w:val="left"/>
        <w:rPr>
          <w:rFonts w:ascii="仿宋" w:hAnsi="仿宋" w:eastAsia="仿宋"/>
          <w:bCs/>
          <w:color w:val="000000"/>
          <w:sz w:val="32"/>
          <w:szCs w:val="32"/>
        </w:rPr>
      </w:pPr>
      <w:r>
        <w:rPr>
          <w:rFonts w:ascii="仿宋" w:hAnsi="仿宋" w:eastAsia="仿宋"/>
          <w:b/>
          <w:bCs/>
          <w:color w:val="000000"/>
          <w:sz w:val="32"/>
          <w:szCs w:val="32"/>
        </w:rPr>
        <w:t>2081601</w:t>
      </w:r>
      <w:r>
        <w:rPr>
          <w:rFonts w:hint="eastAsia" w:ascii="仿宋" w:hAnsi="仿宋" w:eastAsia="仿宋"/>
          <w:b/>
          <w:bCs/>
          <w:color w:val="000000"/>
          <w:sz w:val="32"/>
          <w:szCs w:val="32"/>
        </w:rPr>
        <w:t>行政运行：</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72.34</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6D0F1957">
      <w:pPr>
        <w:spacing w:line="600" w:lineRule="exact"/>
        <w:ind w:firstLine="161" w:firstLineChars="50"/>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医疗卫生与计划生育</w:t>
      </w:r>
    </w:p>
    <w:p w14:paraId="51EA8696">
      <w:pPr>
        <w:spacing w:line="600" w:lineRule="exact"/>
        <w:ind w:firstLine="643" w:firstLineChars="200"/>
        <w:rPr>
          <w:rStyle w:val="15"/>
          <w:rFonts w:hint="eastAsia" w:ascii="仿宋" w:hAnsi="仿宋" w:eastAsia="仿宋"/>
          <w:b w:val="0"/>
          <w:bCs/>
          <w:color w:val="000000"/>
          <w:sz w:val="32"/>
          <w:szCs w:val="32"/>
        </w:rPr>
      </w:pPr>
      <w:r>
        <w:rPr>
          <w:rStyle w:val="15"/>
          <w:rFonts w:ascii="仿宋" w:hAnsi="仿宋" w:eastAsia="仿宋"/>
          <w:bCs/>
          <w:color w:val="000000"/>
          <w:sz w:val="32"/>
          <w:szCs w:val="32"/>
        </w:rPr>
        <w:t>2101101</w:t>
      </w:r>
      <w:r>
        <w:rPr>
          <w:rStyle w:val="15"/>
          <w:rFonts w:hint="eastAsia" w:ascii="仿宋" w:hAnsi="仿宋" w:eastAsia="仿宋"/>
          <w:bCs/>
          <w:color w:val="000000"/>
          <w:sz w:val="32"/>
          <w:szCs w:val="32"/>
        </w:rPr>
        <w:t>行政单位医疗</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2.29</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17AF90F7">
      <w:pPr>
        <w:spacing w:line="600" w:lineRule="exact"/>
        <w:ind w:firstLine="643" w:firstLineChars="200"/>
        <w:rPr>
          <w:rFonts w:hint="eastAsia" w:ascii="仿宋" w:hAnsi="仿宋" w:eastAsia="仿宋"/>
          <w:b/>
          <w:color w:val="000000"/>
          <w:sz w:val="32"/>
          <w:szCs w:val="32"/>
        </w:rPr>
      </w:pPr>
      <w:r>
        <w:rPr>
          <w:rFonts w:hint="eastAsia" w:ascii="仿宋" w:hAnsi="仿宋" w:eastAsia="仿宋"/>
          <w:b/>
          <w:color w:val="000000"/>
          <w:sz w:val="32"/>
          <w:szCs w:val="32"/>
        </w:rPr>
        <w:t>住房保障支出</w:t>
      </w:r>
    </w:p>
    <w:p w14:paraId="53E54F88">
      <w:pPr>
        <w:spacing w:line="600" w:lineRule="exact"/>
        <w:ind w:firstLine="643" w:firstLineChars="200"/>
        <w:rPr>
          <w:rStyle w:val="15"/>
          <w:rFonts w:hint="eastAsia" w:ascii="仿宋" w:hAnsi="仿宋" w:eastAsia="仿宋"/>
          <w:b w:val="0"/>
          <w:bCs/>
          <w:color w:val="000000"/>
          <w:sz w:val="32"/>
          <w:szCs w:val="32"/>
        </w:rPr>
      </w:pPr>
      <w:r>
        <w:rPr>
          <w:rFonts w:ascii="仿宋" w:hAnsi="仿宋" w:eastAsia="仿宋"/>
          <w:b/>
          <w:color w:val="000000"/>
          <w:sz w:val="32"/>
          <w:szCs w:val="32"/>
        </w:rPr>
        <w:t>2210201</w:t>
      </w:r>
      <w:r>
        <w:rPr>
          <w:rFonts w:hint="eastAsia" w:ascii="仿宋" w:hAnsi="仿宋" w:eastAsia="仿宋"/>
          <w:b/>
          <w:color w:val="000000"/>
          <w:sz w:val="32"/>
          <w:szCs w:val="32"/>
        </w:rPr>
        <w:t>住房公积金：</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5.03</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5729E4AA">
      <w:pPr>
        <w:spacing w:line="600" w:lineRule="exact"/>
        <w:ind w:firstLine="640"/>
        <w:rPr>
          <w:rFonts w:ascii="仿宋" w:hAnsi="仿宋" w:eastAsia="仿宋"/>
          <w:b/>
          <w:color w:val="000000"/>
          <w:sz w:val="32"/>
          <w:szCs w:val="32"/>
        </w:rPr>
      </w:pPr>
    </w:p>
    <w:p w14:paraId="1FA9444E">
      <w:pPr>
        <w:tabs>
          <w:tab w:val="right" w:pos="8306"/>
        </w:tabs>
        <w:spacing w:line="600" w:lineRule="exact"/>
        <w:ind w:firstLine="640"/>
        <w:outlineLvl w:val="1"/>
        <w:rPr>
          <w:rStyle w:val="26"/>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8"/>
      <w:bookmarkEnd w:id="39"/>
      <w:r>
        <w:rPr>
          <w:rStyle w:val="26"/>
          <w:rFonts w:ascii="黑体" w:hAnsi="黑体" w:eastAsia="黑体"/>
          <w:b w:val="0"/>
        </w:rPr>
        <w:tab/>
      </w:r>
    </w:p>
    <w:p w14:paraId="7305DA6A">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8年一般公共预算财政拨款基本支出87.44万元，其中：</w:t>
      </w:r>
    </w:p>
    <w:p w14:paraId="4EB5A96D">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63.95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23.49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883EA62">
      <w:pPr>
        <w:spacing w:line="600" w:lineRule="exact"/>
        <w:ind w:firstLine="640"/>
        <w:rPr>
          <w:rFonts w:ascii="仿宋" w:hAnsi="仿宋" w:eastAsia="仿宋"/>
          <w:b/>
          <w:color w:val="FF0000"/>
          <w:sz w:val="32"/>
          <w:szCs w:val="32"/>
        </w:rPr>
      </w:pPr>
    </w:p>
    <w:p w14:paraId="2DFEF795">
      <w:pPr>
        <w:spacing w:line="600" w:lineRule="exact"/>
        <w:ind w:firstLine="640"/>
        <w:outlineLvl w:val="1"/>
        <w:rPr>
          <w:rStyle w:val="26"/>
          <w:rFonts w:ascii="黑体" w:hAnsi="黑体" w:eastAsia="黑体"/>
          <w:b w:val="0"/>
        </w:rPr>
      </w:pPr>
      <w:bookmarkStart w:id="40" w:name="_Toc15396609"/>
      <w:bookmarkStart w:id="41"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0"/>
      <w:bookmarkEnd w:id="41"/>
    </w:p>
    <w:p w14:paraId="48AE10CB">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14:paraId="6FB01A5E">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8年“三公”经费财政拨款支出决算为0.72万元，完成预算100</w:t>
      </w:r>
      <w:r>
        <w:rPr>
          <w:rFonts w:ascii="仿宋" w:hAnsi="仿宋" w:eastAsia="仿宋"/>
          <w:color w:val="000000"/>
          <w:sz w:val="32"/>
          <w:szCs w:val="32"/>
        </w:rPr>
        <w:t>%</w:t>
      </w:r>
      <w:r>
        <w:rPr>
          <w:rFonts w:hint="eastAsia" w:ascii="仿宋" w:hAnsi="仿宋" w:eastAsia="仿宋"/>
          <w:color w:val="000000"/>
          <w:sz w:val="32"/>
          <w:szCs w:val="32"/>
        </w:rPr>
        <w:t>，与预算数持平。</w:t>
      </w:r>
    </w:p>
    <w:p w14:paraId="4686E10B">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14:paraId="1DA019BA">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；公务用车购置及运行维护费支出决算0.72万元，占100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3703280E">
      <w:pPr>
        <w:spacing w:line="600" w:lineRule="exact"/>
        <w:ind w:firstLine="640"/>
        <w:rPr>
          <w:rFonts w:hint="eastAsia"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384F9A4C">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0.72万元</w:t>
      </w:r>
      <w:r>
        <w:rPr>
          <w:rFonts w:hint="eastAsia" w:ascii="仿宋_GB2312" w:eastAsia="仿宋_GB2312"/>
          <w:color w:val="000000"/>
          <w:sz w:val="32"/>
          <w:szCs w:val="32"/>
          <w:lang w:eastAsia="zh-CN"/>
        </w:rPr>
        <w:t>，</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7年减少0.28万元，下降28</w:t>
      </w:r>
      <w:r>
        <w:rPr>
          <w:rFonts w:ascii="仿宋_GB2312" w:eastAsia="仿宋_GB2312"/>
          <w:color w:val="000000"/>
          <w:sz w:val="32"/>
          <w:szCs w:val="32"/>
        </w:rPr>
        <w:t>%</w:t>
      </w:r>
      <w:r>
        <w:rPr>
          <w:rFonts w:hint="eastAsia" w:ascii="仿宋_GB2312" w:eastAsia="仿宋_GB2312"/>
          <w:color w:val="000000"/>
          <w:sz w:val="32"/>
          <w:szCs w:val="32"/>
        </w:rPr>
        <w:t>。主要原因是严格执行</w:t>
      </w:r>
      <w:r>
        <w:rPr>
          <w:rFonts w:hint="eastAsia" w:ascii="仿宋_GB2312" w:eastAsia="仿宋_GB2312"/>
          <w:color w:val="000000"/>
          <w:sz w:val="32"/>
          <w:szCs w:val="32"/>
          <w:lang w:eastAsia="zh-CN"/>
        </w:rPr>
        <w:t>中央八项规定</w:t>
      </w:r>
      <w:r>
        <w:rPr>
          <w:rFonts w:hint="eastAsia" w:ascii="仿宋_GB2312" w:eastAsia="仿宋_GB2312"/>
          <w:color w:val="000000"/>
          <w:sz w:val="32"/>
          <w:szCs w:val="32"/>
        </w:rPr>
        <w:t>。</w:t>
      </w:r>
    </w:p>
    <w:p w14:paraId="6E0331D1">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月底，单位共有公务用车1辆，其中：轿车1辆、越野车0辆、载客汽车0辆。</w:t>
      </w:r>
    </w:p>
    <w:p w14:paraId="54EF892F">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0.72万元。主要用于日常下乡出差所需的公务用车燃料费、维修费、过路过桥费、保险费等支出。</w:t>
      </w:r>
    </w:p>
    <w:p w14:paraId="22B4785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7年减少0.092万元，下降100</w:t>
      </w:r>
      <w:r>
        <w:rPr>
          <w:rFonts w:ascii="仿宋_GB2312" w:eastAsia="仿宋_GB2312"/>
          <w:color w:val="000000"/>
          <w:sz w:val="32"/>
          <w:szCs w:val="32"/>
        </w:rPr>
        <w:t>%</w:t>
      </w:r>
      <w:r>
        <w:rPr>
          <w:rFonts w:hint="eastAsia" w:ascii="仿宋_GB2312" w:eastAsia="仿宋_GB2312"/>
          <w:color w:val="000000"/>
          <w:sz w:val="32"/>
          <w:szCs w:val="32"/>
        </w:rPr>
        <w:t>。主要原因是严格执行</w:t>
      </w:r>
      <w:r>
        <w:rPr>
          <w:rFonts w:hint="eastAsia" w:ascii="仿宋_GB2312" w:eastAsia="仿宋_GB2312"/>
          <w:color w:val="000000"/>
          <w:sz w:val="32"/>
          <w:szCs w:val="32"/>
          <w:lang w:eastAsia="zh-CN"/>
        </w:rPr>
        <w:t>中央八项规定</w:t>
      </w:r>
      <w:r>
        <w:rPr>
          <w:rFonts w:hint="eastAsia" w:ascii="仿宋_GB2312" w:eastAsia="仿宋_GB2312"/>
          <w:color w:val="000000"/>
          <w:sz w:val="32"/>
          <w:szCs w:val="32"/>
        </w:rPr>
        <w:t>。</w:t>
      </w:r>
    </w:p>
    <w:p w14:paraId="1D186606">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主要用于执行公务、开展业务活动开支的交通费、住宿费、用餐费等。国内公务接待0批次，0人次（不包括陪同人员），共计支出0万元。其中：</w:t>
      </w:r>
    </w:p>
    <w:p w14:paraId="01C278EE">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p>
    <w:p w14:paraId="19EE78A9">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0BDD531D">
      <w:pPr>
        <w:spacing w:line="600" w:lineRule="exact"/>
        <w:ind w:firstLine="640"/>
        <w:outlineLvl w:val="1"/>
        <w:rPr>
          <w:rFonts w:ascii="黑体" w:eastAsia="黑体"/>
          <w:color w:val="000000"/>
          <w:sz w:val="32"/>
          <w:szCs w:val="32"/>
        </w:rPr>
      </w:pPr>
      <w:bookmarkStart w:id="44" w:name="_Toc15377218"/>
      <w:bookmarkStart w:id="45" w:name="_Toc15396610"/>
    </w:p>
    <w:p w14:paraId="78718D93">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4"/>
      <w:bookmarkEnd w:id="45"/>
    </w:p>
    <w:p w14:paraId="7539C528">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747206A8">
      <w:pPr>
        <w:spacing w:line="600" w:lineRule="exact"/>
        <w:ind w:firstLine="640"/>
        <w:rPr>
          <w:rFonts w:ascii="仿宋_GB2312" w:eastAsia="仿宋_GB2312"/>
          <w:color w:val="000000"/>
          <w:sz w:val="32"/>
          <w:szCs w:val="32"/>
        </w:rPr>
      </w:pPr>
    </w:p>
    <w:p w14:paraId="2CDE9777">
      <w:pPr>
        <w:numPr>
          <w:ilvl w:val="0"/>
          <w:numId w:val="2"/>
        </w:numPr>
        <w:spacing w:line="600" w:lineRule="exact"/>
        <w:ind w:firstLine="640"/>
        <w:outlineLvl w:val="1"/>
        <w:rPr>
          <w:rStyle w:val="26"/>
          <w:rFonts w:ascii="黑体" w:hAnsi="黑体" w:eastAsia="黑体"/>
          <w:b w:val="0"/>
        </w:rPr>
      </w:pPr>
      <w:bookmarkStart w:id="46" w:name="_Toc15377219"/>
      <w:bookmarkStart w:id="47" w:name="_Toc15396611"/>
      <w:r>
        <w:rPr>
          <w:rStyle w:val="26"/>
          <w:rFonts w:hint="eastAsia" w:ascii="黑体" w:hAnsi="黑体" w:eastAsia="黑体"/>
          <w:b w:val="0"/>
        </w:rPr>
        <w:t>国有资本经营预算支出决算情况说明</w:t>
      </w:r>
      <w:bookmarkEnd w:id="46"/>
      <w:bookmarkEnd w:id="47"/>
    </w:p>
    <w:p w14:paraId="3A43692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17CDA3AA">
      <w:pPr>
        <w:pStyle w:val="24"/>
        <w:numPr>
          <w:ilvl w:val="0"/>
          <w:numId w:val="3"/>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14:paraId="0E73C8A9">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4D58941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根据预算绩效管理要求，本部门（单位）在年初预算编制阶段，组织对救灾、备灾、应急救护项目开展了预算事前绩效评估，对此项目编制了绩效目标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预算执行过程中，选取此项目开展绩效监控，年终执行完毕后，对此项目开展了绩效目标完成情况梳理填报。</w:t>
      </w:r>
    </w:p>
    <w:p w14:paraId="42BFE69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本会项目完成情况达到99%以上。本部门还自行组织了此项目绩效评价，从评价情况来看本次项目达到了应当带来的效益，给整体民众带来了良好的帮助。</w:t>
      </w:r>
    </w:p>
    <w:p w14:paraId="55C3F0CE">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救灾、备灾、应急救护项目绩效目标实际完成情况。（本单位部门项目绩效目标个数在5个以上的，选取5个项目进行公开，目标个数在5个以下的，全部进行公开，公开内容包括完成情况综述和完成情况表）。</w:t>
      </w:r>
    </w:p>
    <w:p w14:paraId="46859520">
      <w:pPr>
        <w:spacing w:line="566" w:lineRule="exact"/>
        <w:ind w:firstLine="419" w:firstLineChars="13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救灾、备灾、应急救护项目绩效目标完成情况综述。项目全年预算数</w:t>
      </w:r>
      <w:r>
        <w:rPr>
          <w:rFonts w:ascii="仿宋_GB2312" w:hAnsi="仿宋_GB2312" w:eastAsia="仿宋_GB2312" w:cs="仿宋_GB2312"/>
          <w:sz w:val="32"/>
          <w:szCs w:val="32"/>
        </w:rPr>
        <w:t>53456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53456</w:t>
      </w:r>
      <w:r>
        <w:rPr>
          <w:rFonts w:hint="eastAsia" w:ascii="仿宋_GB2312" w:hAnsi="仿宋_GB2312" w:eastAsia="仿宋_GB2312" w:cs="仿宋_GB2312"/>
          <w:sz w:val="32"/>
          <w:szCs w:val="32"/>
        </w:rPr>
        <w:t>万元，完成预算的100%。通过项目实施共有230人取得了救护员资格证书。我会深入十里乡、镇坪乡、白羊乡等单位开展了7期救护普及培训班，普及培训1110人。目前监管机制较为完善，资金的申请、拨付、使用把关较严，但是事后监管乏力，后续配套措施有提升空间，绩效评价仍有较大的提升空间。我会将做好资金拨付力度，做好项目的后续管理，保证使用的资金发挥出最大的社会效益。</w:t>
      </w:r>
    </w:p>
    <w:p w14:paraId="79B5A029">
      <w:pPr>
        <w:tabs>
          <w:tab w:val="left" w:pos="312"/>
        </w:tabs>
        <w:spacing w:line="580" w:lineRule="exact"/>
        <w:ind w:firstLine="320" w:firstLineChars="100"/>
        <w:rPr>
          <w:rFonts w:ascii="仿宋_GB2312" w:hAnsi="仿宋_GB2312" w:eastAsia="仿宋_GB2312" w:cs="仿宋_GB2312"/>
          <w:sz w:val="32"/>
          <w:szCs w:val="32"/>
        </w:rPr>
      </w:pPr>
    </w:p>
    <w:tbl>
      <w:tblPr>
        <w:tblStyle w:val="13"/>
        <w:tblW w:w="7860" w:type="dxa"/>
        <w:tblInd w:w="93" w:type="dxa"/>
        <w:tblLayout w:type="fixed"/>
        <w:tblCellMar>
          <w:top w:w="15" w:type="dxa"/>
          <w:left w:w="15" w:type="dxa"/>
          <w:bottom w:w="15" w:type="dxa"/>
          <w:right w:w="15" w:type="dxa"/>
        </w:tblCellMar>
      </w:tblPr>
      <w:tblGrid>
        <w:gridCol w:w="489"/>
        <w:gridCol w:w="428"/>
        <w:gridCol w:w="414"/>
        <w:gridCol w:w="381"/>
        <w:gridCol w:w="515"/>
        <w:gridCol w:w="308"/>
        <w:gridCol w:w="1531"/>
        <w:gridCol w:w="1206"/>
        <w:gridCol w:w="297"/>
        <w:gridCol w:w="660"/>
        <w:gridCol w:w="229"/>
        <w:gridCol w:w="416"/>
        <w:gridCol w:w="184"/>
        <w:gridCol w:w="802"/>
      </w:tblGrid>
      <w:tr w14:paraId="3F0B63BE">
        <w:tblPrEx>
          <w:tblCellMar>
            <w:top w:w="15" w:type="dxa"/>
            <w:left w:w="15" w:type="dxa"/>
            <w:bottom w:w="15" w:type="dxa"/>
            <w:right w:w="15" w:type="dxa"/>
          </w:tblCellMar>
        </w:tblPrEx>
        <w:trPr>
          <w:trHeight w:val="465" w:hRule="atLeast"/>
        </w:trPr>
        <w:tc>
          <w:tcPr>
            <w:tcW w:w="7860" w:type="dxa"/>
            <w:gridSpan w:val="14"/>
            <w:vAlign w:val="center"/>
          </w:tcPr>
          <w:p w14:paraId="2DD03052">
            <w:pPr>
              <w:widowControl/>
              <w:jc w:val="center"/>
              <w:textAlignment w:val="center"/>
              <w:rPr>
                <w:rFonts w:ascii="宋体" w:hAnsi="宋体"/>
                <w:b/>
                <w:bCs/>
                <w:color w:val="000000"/>
                <w:sz w:val="32"/>
                <w:szCs w:val="32"/>
              </w:rPr>
            </w:pPr>
            <w:r>
              <w:rPr>
                <w:rFonts w:hint="eastAsia" w:ascii="宋体" w:hAnsi="宋体"/>
                <w:b/>
                <w:bCs/>
                <w:color w:val="000000"/>
                <w:kern w:val="0"/>
                <w:sz w:val="32"/>
                <w:szCs w:val="32"/>
              </w:rPr>
              <w:t>部门整体支出绩效目标申报表</w:t>
            </w:r>
          </w:p>
        </w:tc>
      </w:tr>
      <w:tr w14:paraId="2951BAE7">
        <w:tblPrEx>
          <w:tblCellMar>
            <w:top w:w="15" w:type="dxa"/>
            <w:left w:w="15" w:type="dxa"/>
            <w:bottom w:w="15" w:type="dxa"/>
            <w:right w:w="15" w:type="dxa"/>
          </w:tblCellMar>
        </w:tblPrEx>
        <w:trPr>
          <w:trHeight w:val="285" w:hRule="atLeast"/>
        </w:trPr>
        <w:tc>
          <w:tcPr>
            <w:tcW w:w="7860" w:type="dxa"/>
            <w:gridSpan w:val="14"/>
            <w:vAlign w:val="center"/>
          </w:tcPr>
          <w:p w14:paraId="622099FC">
            <w:pPr>
              <w:widowControl/>
              <w:jc w:val="center"/>
              <w:textAlignment w:val="center"/>
              <w:rPr>
                <w:rFonts w:ascii="宋体" w:hAnsi="宋体"/>
                <w:color w:val="000000"/>
                <w:sz w:val="22"/>
                <w:szCs w:val="22"/>
              </w:rPr>
            </w:pPr>
            <w:r>
              <w:rPr>
                <w:rFonts w:hint="eastAsia" w:ascii="宋体" w:hAnsi="宋体"/>
                <w:color w:val="000000"/>
                <w:kern w:val="0"/>
                <w:sz w:val="22"/>
                <w:szCs w:val="22"/>
              </w:rPr>
              <w:t>（2019年度）</w:t>
            </w:r>
          </w:p>
        </w:tc>
      </w:tr>
      <w:tr w14:paraId="6587BBA2">
        <w:tblPrEx>
          <w:tblCellMar>
            <w:top w:w="15" w:type="dxa"/>
            <w:left w:w="15" w:type="dxa"/>
            <w:bottom w:w="15" w:type="dxa"/>
            <w:right w:w="15" w:type="dxa"/>
          </w:tblCellMar>
        </w:tblPrEx>
        <w:trPr>
          <w:trHeight w:val="285" w:hRule="atLeast"/>
        </w:trPr>
        <w:tc>
          <w:tcPr>
            <w:tcW w:w="1331" w:type="dxa"/>
            <w:gridSpan w:val="3"/>
            <w:tcBorders>
              <w:top w:val="single" w:color="000000" w:sz="4" w:space="0"/>
              <w:left w:val="single" w:color="000000" w:sz="4" w:space="0"/>
              <w:bottom w:val="single" w:color="000000" w:sz="4" w:space="0"/>
              <w:right w:val="single" w:color="000000" w:sz="4" w:space="0"/>
            </w:tcBorders>
            <w:vAlign w:val="center"/>
          </w:tcPr>
          <w:p w14:paraId="1E8B90CA">
            <w:pPr>
              <w:widowControl/>
              <w:jc w:val="center"/>
              <w:textAlignment w:val="center"/>
              <w:rPr>
                <w:rFonts w:ascii="宋体" w:hAnsi="宋体"/>
                <w:color w:val="000000"/>
                <w:sz w:val="18"/>
                <w:szCs w:val="18"/>
              </w:rPr>
            </w:pPr>
            <w:r>
              <w:rPr>
                <w:rFonts w:hint="eastAsia" w:ascii="宋体" w:hAnsi="宋体"/>
                <w:color w:val="000000"/>
                <w:kern w:val="0"/>
                <w:sz w:val="18"/>
                <w:szCs w:val="18"/>
              </w:rPr>
              <w:t>单位名称</w:t>
            </w:r>
          </w:p>
        </w:tc>
        <w:tc>
          <w:tcPr>
            <w:tcW w:w="6529" w:type="dxa"/>
            <w:gridSpan w:val="11"/>
            <w:tcBorders>
              <w:top w:val="single" w:color="000000" w:sz="4" w:space="0"/>
              <w:left w:val="nil"/>
              <w:bottom w:val="single" w:color="000000" w:sz="4" w:space="0"/>
              <w:right w:val="single" w:color="000000" w:sz="4" w:space="0"/>
            </w:tcBorders>
            <w:vAlign w:val="center"/>
          </w:tcPr>
          <w:p w14:paraId="01CFBCBB">
            <w:pPr>
              <w:widowControl/>
              <w:jc w:val="left"/>
              <w:textAlignment w:val="center"/>
              <w:rPr>
                <w:rFonts w:ascii="宋体" w:hAnsi="宋体"/>
                <w:color w:val="000000"/>
                <w:sz w:val="18"/>
                <w:szCs w:val="18"/>
              </w:rPr>
            </w:pPr>
            <w:r>
              <w:rPr>
                <w:rFonts w:hint="eastAsia" w:ascii="宋体" w:hAnsi="宋体"/>
                <w:color w:val="000000"/>
                <w:kern w:val="0"/>
                <w:sz w:val="18"/>
                <w:szCs w:val="18"/>
              </w:rPr>
              <w:t>单位名称：松潘县红十字会</w:t>
            </w:r>
          </w:p>
        </w:tc>
      </w:tr>
      <w:tr w14:paraId="1A8AC398">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37104640">
            <w:pPr>
              <w:widowControl/>
              <w:jc w:val="center"/>
              <w:textAlignment w:val="center"/>
              <w:rPr>
                <w:rFonts w:ascii="宋体" w:hAnsi="宋体"/>
                <w:color w:val="000000"/>
                <w:sz w:val="18"/>
                <w:szCs w:val="18"/>
              </w:rPr>
            </w:pPr>
            <w:r>
              <w:rPr>
                <w:rFonts w:hint="eastAsia" w:ascii="宋体" w:hAnsi="宋体"/>
                <w:color w:val="000000"/>
                <w:kern w:val="0"/>
                <w:sz w:val="18"/>
                <w:szCs w:val="18"/>
              </w:rPr>
              <w:t>年度</w:t>
            </w:r>
            <w:r>
              <w:rPr>
                <w:rFonts w:hint="eastAsia" w:ascii="宋体" w:hAnsi="宋体"/>
                <w:color w:val="000000"/>
                <w:kern w:val="0"/>
                <w:sz w:val="18"/>
                <w:szCs w:val="18"/>
              </w:rPr>
              <w:br w:type="textWrapping"/>
            </w:r>
            <w:r>
              <w:rPr>
                <w:rFonts w:hint="eastAsia" w:ascii="宋体" w:hAnsi="宋体"/>
                <w:color w:val="000000"/>
                <w:kern w:val="0"/>
                <w:sz w:val="18"/>
                <w:szCs w:val="18"/>
              </w:rPr>
              <w:t>主要</w:t>
            </w:r>
            <w:r>
              <w:rPr>
                <w:rFonts w:hint="eastAsia" w:ascii="宋体" w:hAnsi="宋体"/>
                <w:color w:val="000000"/>
                <w:kern w:val="0"/>
                <w:sz w:val="18"/>
                <w:szCs w:val="18"/>
              </w:rPr>
              <w:br w:type="textWrapping"/>
            </w:r>
            <w:r>
              <w:rPr>
                <w:rFonts w:hint="eastAsia" w:ascii="宋体" w:hAnsi="宋体"/>
                <w:color w:val="000000"/>
                <w:kern w:val="0"/>
                <w:sz w:val="18"/>
                <w:szCs w:val="18"/>
              </w:rPr>
              <w:t>任务</w:t>
            </w: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5024A174">
            <w:pPr>
              <w:widowControl/>
              <w:jc w:val="center"/>
              <w:textAlignment w:val="center"/>
              <w:rPr>
                <w:rFonts w:ascii="宋体" w:hAnsi="宋体"/>
                <w:color w:val="000000"/>
                <w:sz w:val="18"/>
                <w:szCs w:val="18"/>
              </w:rPr>
            </w:pPr>
            <w:r>
              <w:rPr>
                <w:rFonts w:hint="eastAsia" w:ascii="宋体" w:hAnsi="宋体"/>
                <w:color w:val="000000"/>
                <w:kern w:val="0"/>
                <w:sz w:val="18"/>
                <w:szCs w:val="18"/>
              </w:rPr>
              <w:t>任务名称</w:t>
            </w:r>
          </w:p>
        </w:tc>
        <w:tc>
          <w:tcPr>
            <w:tcW w:w="2735" w:type="dxa"/>
            <w:gridSpan w:val="4"/>
            <w:tcBorders>
              <w:top w:val="single" w:color="000000" w:sz="4" w:space="0"/>
              <w:left w:val="nil"/>
              <w:bottom w:val="single" w:color="000000" w:sz="4" w:space="0"/>
              <w:right w:val="single" w:color="000000" w:sz="4" w:space="0"/>
            </w:tcBorders>
            <w:vAlign w:val="center"/>
          </w:tcPr>
          <w:p w14:paraId="4607B115">
            <w:pPr>
              <w:widowControl/>
              <w:jc w:val="center"/>
              <w:textAlignment w:val="center"/>
              <w:rPr>
                <w:rFonts w:ascii="宋体" w:hAnsi="宋体"/>
                <w:color w:val="000000"/>
                <w:sz w:val="18"/>
                <w:szCs w:val="18"/>
              </w:rPr>
            </w:pPr>
            <w:r>
              <w:rPr>
                <w:rFonts w:hint="eastAsia" w:ascii="宋体" w:hAnsi="宋体"/>
                <w:color w:val="000000"/>
                <w:kern w:val="0"/>
                <w:sz w:val="18"/>
                <w:szCs w:val="18"/>
              </w:rPr>
              <w:t>主要内容</w:t>
            </w:r>
          </w:p>
        </w:tc>
        <w:tc>
          <w:tcPr>
            <w:tcW w:w="3794" w:type="dxa"/>
            <w:gridSpan w:val="7"/>
            <w:tcBorders>
              <w:top w:val="single" w:color="000000" w:sz="4" w:space="0"/>
              <w:bottom w:val="single" w:color="000000" w:sz="4" w:space="0"/>
              <w:right w:val="single" w:color="000000" w:sz="4" w:space="0"/>
            </w:tcBorders>
            <w:vAlign w:val="center"/>
          </w:tcPr>
          <w:p w14:paraId="6569466C">
            <w:pPr>
              <w:widowControl/>
              <w:jc w:val="center"/>
              <w:textAlignment w:val="center"/>
              <w:rPr>
                <w:rFonts w:ascii="宋体" w:hAnsi="宋体"/>
                <w:color w:val="000000"/>
                <w:sz w:val="18"/>
                <w:szCs w:val="18"/>
              </w:rPr>
            </w:pPr>
            <w:r>
              <w:rPr>
                <w:rFonts w:hint="eastAsia" w:ascii="宋体" w:hAnsi="宋体"/>
                <w:color w:val="000000"/>
                <w:kern w:val="0"/>
                <w:sz w:val="18"/>
                <w:szCs w:val="18"/>
              </w:rPr>
              <w:t>预算金额</w:t>
            </w:r>
          </w:p>
        </w:tc>
      </w:tr>
      <w:tr w14:paraId="6025D6AF">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662E9185">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44C79D5F">
            <w:pPr>
              <w:jc w:val="center"/>
              <w:rPr>
                <w:rFonts w:ascii="宋体" w:hAnsi="宋体"/>
                <w:color w:val="000000"/>
                <w:sz w:val="18"/>
                <w:szCs w:val="18"/>
              </w:rPr>
            </w:pPr>
          </w:p>
        </w:tc>
        <w:tc>
          <w:tcPr>
            <w:tcW w:w="2735" w:type="dxa"/>
            <w:gridSpan w:val="4"/>
            <w:tcBorders>
              <w:top w:val="single" w:color="000000" w:sz="4" w:space="0"/>
              <w:left w:val="nil"/>
              <w:bottom w:val="single" w:color="000000" w:sz="4" w:space="0"/>
              <w:right w:val="single" w:color="000000" w:sz="4" w:space="0"/>
            </w:tcBorders>
            <w:vAlign w:val="center"/>
          </w:tcPr>
          <w:p w14:paraId="4344C850">
            <w:pPr>
              <w:jc w:val="center"/>
              <w:rPr>
                <w:rFonts w:ascii="宋体" w:hAnsi="宋体"/>
                <w:color w:val="000000"/>
                <w:sz w:val="18"/>
                <w:szCs w:val="18"/>
              </w:rPr>
            </w:pPr>
          </w:p>
        </w:tc>
        <w:tc>
          <w:tcPr>
            <w:tcW w:w="1503" w:type="dxa"/>
            <w:gridSpan w:val="2"/>
            <w:tcBorders>
              <w:right w:val="single" w:color="000000" w:sz="4" w:space="0"/>
            </w:tcBorders>
            <w:vAlign w:val="center"/>
          </w:tcPr>
          <w:p w14:paraId="4EE10089">
            <w:pPr>
              <w:widowControl/>
              <w:jc w:val="center"/>
              <w:textAlignment w:val="center"/>
              <w:rPr>
                <w:rFonts w:ascii="宋体" w:hAnsi="宋体"/>
                <w:color w:val="000000"/>
                <w:sz w:val="18"/>
                <w:szCs w:val="18"/>
              </w:rPr>
            </w:pPr>
            <w:r>
              <w:rPr>
                <w:rFonts w:hint="eastAsia" w:ascii="宋体" w:hAnsi="宋体"/>
                <w:color w:val="000000"/>
                <w:kern w:val="0"/>
                <w:sz w:val="18"/>
                <w:szCs w:val="18"/>
              </w:rPr>
              <w:t>总额</w:t>
            </w:r>
          </w:p>
        </w:tc>
        <w:tc>
          <w:tcPr>
            <w:tcW w:w="1489" w:type="dxa"/>
            <w:gridSpan w:val="4"/>
            <w:tcBorders>
              <w:left w:val="nil"/>
              <w:right w:val="single" w:color="000000" w:sz="4" w:space="0"/>
            </w:tcBorders>
            <w:vAlign w:val="center"/>
          </w:tcPr>
          <w:p w14:paraId="6AFBE317">
            <w:pPr>
              <w:widowControl/>
              <w:jc w:val="center"/>
              <w:textAlignment w:val="center"/>
              <w:rPr>
                <w:rFonts w:ascii="宋体" w:hAnsi="宋体"/>
                <w:color w:val="000000"/>
                <w:sz w:val="18"/>
                <w:szCs w:val="18"/>
              </w:rPr>
            </w:pPr>
            <w:r>
              <w:rPr>
                <w:rFonts w:hint="eastAsia" w:ascii="宋体" w:hAnsi="宋体"/>
                <w:color w:val="000000"/>
                <w:kern w:val="0"/>
                <w:sz w:val="18"/>
                <w:szCs w:val="18"/>
              </w:rPr>
              <w:t>财政拨款</w:t>
            </w:r>
          </w:p>
        </w:tc>
        <w:tc>
          <w:tcPr>
            <w:tcW w:w="802" w:type="dxa"/>
            <w:tcBorders>
              <w:left w:val="nil"/>
              <w:right w:val="single" w:color="000000" w:sz="4" w:space="0"/>
            </w:tcBorders>
            <w:vAlign w:val="center"/>
          </w:tcPr>
          <w:p w14:paraId="4DA44AD6">
            <w:pPr>
              <w:widowControl/>
              <w:jc w:val="center"/>
              <w:textAlignment w:val="center"/>
              <w:rPr>
                <w:rFonts w:ascii="宋体" w:hAnsi="宋体"/>
                <w:color w:val="000000"/>
                <w:sz w:val="18"/>
                <w:szCs w:val="18"/>
              </w:rPr>
            </w:pPr>
            <w:r>
              <w:rPr>
                <w:rFonts w:hint="eastAsia" w:ascii="宋体" w:hAnsi="宋体"/>
                <w:color w:val="000000"/>
                <w:kern w:val="0"/>
                <w:sz w:val="18"/>
                <w:szCs w:val="18"/>
              </w:rPr>
              <w:t>其他资金</w:t>
            </w:r>
          </w:p>
        </w:tc>
      </w:tr>
      <w:tr w14:paraId="54303EF5">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6E5BC851">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22690E45">
            <w:pPr>
              <w:widowControl/>
              <w:jc w:val="center"/>
              <w:textAlignment w:val="center"/>
              <w:rPr>
                <w:rFonts w:ascii="宋体" w:hAnsi="宋体"/>
                <w:color w:val="000000"/>
                <w:sz w:val="18"/>
                <w:szCs w:val="18"/>
              </w:rPr>
            </w:pPr>
            <w:r>
              <w:rPr>
                <w:rFonts w:hint="eastAsia" w:ascii="宋体" w:hAnsi="宋体"/>
                <w:color w:val="000000"/>
                <w:kern w:val="0"/>
                <w:sz w:val="18"/>
                <w:szCs w:val="18"/>
              </w:rPr>
              <w:t>任务1</w:t>
            </w:r>
          </w:p>
        </w:tc>
        <w:tc>
          <w:tcPr>
            <w:tcW w:w="2735" w:type="dxa"/>
            <w:gridSpan w:val="4"/>
            <w:tcBorders>
              <w:top w:val="single" w:color="000000" w:sz="4" w:space="0"/>
              <w:left w:val="nil"/>
              <w:bottom w:val="single" w:color="000000" w:sz="4" w:space="0"/>
              <w:right w:val="single" w:color="000000" w:sz="4" w:space="0"/>
            </w:tcBorders>
            <w:vAlign w:val="center"/>
          </w:tcPr>
          <w:p w14:paraId="379BC9A1">
            <w:pPr>
              <w:widowControl/>
              <w:jc w:val="left"/>
              <w:textAlignment w:val="center"/>
              <w:rPr>
                <w:rFonts w:ascii="宋体" w:hAnsi="宋体"/>
                <w:color w:val="000000"/>
                <w:sz w:val="18"/>
                <w:szCs w:val="18"/>
              </w:rPr>
            </w:pPr>
            <w:r>
              <w:rPr>
                <w:rFonts w:hint="eastAsia" w:ascii="宋体" w:hAnsi="宋体"/>
                <w:color w:val="000000"/>
                <w:kern w:val="0"/>
                <w:sz w:val="18"/>
                <w:szCs w:val="18"/>
              </w:rPr>
              <w:t>保障本单位在职职工4人的薪酬</w:t>
            </w:r>
          </w:p>
        </w:tc>
        <w:tc>
          <w:tcPr>
            <w:tcW w:w="1503" w:type="dxa"/>
            <w:gridSpan w:val="2"/>
            <w:tcBorders>
              <w:top w:val="single" w:color="000000" w:sz="4" w:space="0"/>
              <w:left w:val="nil"/>
              <w:bottom w:val="single" w:color="000000" w:sz="4" w:space="0"/>
              <w:right w:val="single" w:color="000000" w:sz="4" w:space="0"/>
            </w:tcBorders>
            <w:vAlign w:val="center"/>
          </w:tcPr>
          <w:p w14:paraId="47F10F20">
            <w:pPr>
              <w:widowControl/>
              <w:jc w:val="left"/>
              <w:textAlignment w:val="center"/>
              <w:rPr>
                <w:rFonts w:ascii="宋体" w:hAnsi="宋体"/>
                <w:color w:val="000000"/>
                <w:sz w:val="18"/>
                <w:szCs w:val="18"/>
              </w:rPr>
            </w:pPr>
            <w:r>
              <w:rPr>
                <w:rFonts w:hint="eastAsia" w:ascii="宋体" w:hAnsi="宋体"/>
                <w:color w:val="000000"/>
                <w:kern w:val="0"/>
                <w:sz w:val="18"/>
                <w:szCs w:val="18"/>
              </w:rPr>
              <w:t>382,929.00</w:t>
            </w:r>
          </w:p>
        </w:tc>
        <w:tc>
          <w:tcPr>
            <w:tcW w:w="1489" w:type="dxa"/>
            <w:gridSpan w:val="4"/>
            <w:tcBorders>
              <w:top w:val="single" w:color="000000" w:sz="4" w:space="0"/>
              <w:left w:val="nil"/>
              <w:bottom w:val="single" w:color="000000" w:sz="4" w:space="0"/>
              <w:right w:val="single" w:color="000000" w:sz="4" w:space="0"/>
            </w:tcBorders>
            <w:vAlign w:val="center"/>
          </w:tcPr>
          <w:p w14:paraId="0974255D">
            <w:pPr>
              <w:widowControl/>
              <w:jc w:val="left"/>
              <w:textAlignment w:val="center"/>
              <w:rPr>
                <w:rFonts w:ascii="宋体" w:hAnsi="宋体"/>
                <w:color w:val="000000"/>
                <w:sz w:val="18"/>
                <w:szCs w:val="18"/>
              </w:rPr>
            </w:pPr>
            <w:r>
              <w:rPr>
                <w:rFonts w:hint="eastAsia" w:ascii="宋体" w:hAnsi="宋体"/>
                <w:color w:val="000000"/>
                <w:kern w:val="0"/>
                <w:sz w:val="18"/>
                <w:szCs w:val="18"/>
              </w:rPr>
              <w:t>382,929.00</w:t>
            </w:r>
          </w:p>
        </w:tc>
        <w:tc>
          <w:tcPr>
            <w:tcW w:w="802" w:type="dxa"/>
            <w:tcBorders>
              <w:top w:val="single" w:color="000000" w:sz="4" w:space="0"/>
              <w:left w:val="nil"/>
              <w:bottom w:val="single" w:color="000000" w:sz="4" w:space="0"/>
              <w:right w:val="single" w:color="000000" w:sz="4" w:space="0"/>
            </w:tcBorders>
            <w:vAlign w:val="center"/>
          </w:tcPr>
          <w:p w14:paraId="69C5B57D">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288BE34F">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3387A42B">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17E045EE">
            <w:pPr>
              <w:widowControl/>
              <w:jc w:val="center"/>
              <w:textAlignment w:val="center"/>
              <w:rPr>
                <w:rFonts w:ascii="宋体" w:hAnsi="宋体"/>
                <w:color w:val="000000"/>
                <w:sz w:val="18"/>
                <w:szCs w:val="18"/>
              </w:rPr>
            </w:pPr>
            <w:r>
              <w:rPr>
                <w:rFonts w:hint="eastAsia" w:ascii="宋体" w:hAnsi="宋体"/>
                <w:color w:val="000000"/>
                <w:kern w:val="0"/>
                <w:sz w:val="18"/>
                <w:szCs w:val="18"/>
              </w:rPr>
              <w:t>任务2</w:t>
            </w:r>
          </w:p>
        </w:tc>
        <w:tc>
          <w:tcPr>
            <w:tcW w:w="2735" w:type="dxa"/>
            <w:gridSpan w:val="4"/>
            <w:tcBorders>
              <w:top w:val="single" w:color="000000" w:sz="4" w:space="0"/>
              <w:left w:val="nil"/>
              <w:bottom w:val="single" w:color="000000" w:sz="4" w:space="0"/>
              <w:right w:val="single" w:color="000000" w:sz="4" w:space="0"/>
            </w:tcBorders>
            <w:vAlign w:val="center"/>
          </w:tcPr>
          <w:p w14:paraId="70897CB1">
            <w:pPr>
              <w:widowControl/>
              <w:jc w:val="left"/>
              <w:textAlignment w:val="center"/>
              <w:rPr>
                <w:rFonts w:ascii="宋体" w:hAnsi="宋体"/>
                <w:color w:val="000000"/>
                <w:sz w:val="18"/>
                <w:szCs w:val="18"/>
              </w:rPr>
            </w:pPr>
            <w:r>
              <w:rPr>
                <w:rFonts w:hint="eastAsia" w:ascii="宋体" w:hAnsi="宋体"/>
                <w:color w:val="000000"/>
                <w:kern w:val="0"/>
                <w:sz w:val="18"/>
                <w:szCs w:val="18"/>
              </w:rPr>
              <w:t>保障本单位开展日常工作所需的办公经费等费用的开支</w:t>
            </w:r>
          </w:p>
        </w:tc>
        <w:tc>
          <w:tcPr>
            <w:tcW w:w="1503" w:type="dxa"/>
            <w:gridSpan w:val="2"/>
            <w:tcBorders>
              <w:top w:val="single" w:color="000000" w:sz="4" w:space="0"/>
              <w:left w:val="nil"/>
              <w:bottom w:val="single" w:color="000000" w:sz="4" w:space="0"/>
              <w:right w:val="single" w:color="000000" w:sz="4" w:space="0"/>
            </w:tcBorders>
            <w:vAlign w:val="center"/>
          </w:tcPr>
          <w:p w14:paraId="2AA433E0">
            <w:pPr>
              <w:widowControl/>
              <w:jc w:val="left"/>
              <w:textAlignment w:val="center"/>
              <w:rPr>
                <w:rFonts w:ascii="宋体" w:hAnsi="宋体"/>
                <w:color w:val="000000"/>
                <w:sz w:val="18"/>
                <w:szCs w:val="18"/>
              </w:rPr>
            </w:pPr>
            <w:r>
              <w:rPr>
                <w:rFonts w:hint="eastAsia" w:ascii="宋体" w:hAnsi="宋体"/>
                <w:color w:val="000000"/>
                <w:kern w:val="0"/>
                <w:sz w:val="18"/>
                <w:szCs w:val="18"/>
              </w:rPr>
              <w:t>46,817.00</w:t>
            </w:r>
          </w:p>
        </w:tc>
        <w:tc>
          <w:tcPr>
            <w:tcW w:w="1489" w:type="dxa"/>
            <w:gridSpan w:val="4"/>
            <w:tcBorders>
              <w:top w:val="single" w:color="000000" w:sz="4" w:space="0"/>
              <w:left w:val="nil"/>
              <w:bottom w:val="single" w:color="000000" w:sz="4" w:space="0"/>
              <w:right w:val="single" w:color="000000" w:sz="4" w:space="0"/>
            </w:tcBorders>
            <w:vAlign w:val="center"/>
          </w:tcPr>
          <w:p w14:paraId="4AC5A8C6">
            <w:pPr>
              <w:widowControl/>
              <w:jc w:val="left"/>
              <w:textAlignment w:val="center"/>
              <w:rPr>
                <w:rFonts w:ascii="宋体" w:hAnsi="宋体"/>
                <w:color w:val="000000"/>
                <w:sz w:val="18"/>
                <w:szCs w:val="18"/>
              </w:rPr>
            </w:pPr>
            <w:r>
              <w:rPr>
                <w:rFonts w:hint="eastAsia" w:ascii="宋体" w:hAnsi="宋体"/>
                <w:color w:val="000000"/>
                <w:kern w:val="0"/>
                <w:sz w:val="18"/>
                <w:szCs w:val="18"/>
              </w:rPr>
              <w:t>46,817.00</w:t>
            </w:r>
          </w:p>
        </w:tc>
        <w:tc>
          <w:tcPr>
            <w:tcW w:w="802" w:type="dxa"/>
            <w:tcBorders>
              <w:top w:val="single" w:color="000000" w:sz="4" w:space="0"/>
              <w:left w:val="nil"/>
              <w:bottom w:val="single" w:color="000000" w:sz="4" w:space="0"/>
              <w:right w:val="single" w:color="000000" w:sz="4" w:space="0"/>
            </w:tcBorders>
            <w:vAlign w:val="center"/>
          </w:tcPr>
          <w:p w14:paraId="1FA0DF25">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119BE4E6">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393E5EC6">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530EA331">
            <w:pPr>
              <w:widowControl/>
              <w:jc w:val="center"/>
              <w:textAlignment w:val="center"/>
              <w:rPr>
                <w:rFonts w:ascii="宋体" w:hAnsi="宋体"/>
                <w:color w:val="000000"/>
                <w:sz w:val="18"/>
                <w:szCs w:val="18"/>
              </w:rPr>
            </w:pPr>
            <w:r>
              <w:rPr>
                <w:rFonts w:hint="eastAsia" w:ascii="宋体" w:hAnsi="宋体"/>
                <w:color w:val="000000"/>
                <w:kern w:val="0"/>
                <w:sz w:val="18"/>
                <w:szCs w:val="18"/>
              </w:rPr>
              <w:t>任务3</w:t>
            </w:r>
          </w:p>
        </w:tc>
        <w:tc>
          <w:tcPr>
            <w:tcW w:w="2735" w:type="dxa"/>
            <w:gridSpan w:val="4"/>
            <w:tcBorders>
              <w:top w:val="single" w:color="000000" w:sz="4" w:space="0"/>
              <w:left w:val="nil"/>
              <w:bottom w:val="single" w:color="000000" w:sz="4" w:space="0"/>
              <w:right w:val="single" w:color="000000" w:sz="4" w:space="0"/>
            </w:tcBorders>
            <w:vAlign w:val="center"/>
          </w:tcPr>
          <w:p w14:paraId="4DE2E38F">
            <w:pPr>
              <w:widowControl/>
              <w:jc w:val="left"/>
              <w:textAlignment w:val="center"/>
              <w:rPr>
                <w:rFonts w:ascii="宋体" w:hAnsi="宋体"/>
                <w:color w:val="000000"/>
                <w:sz w:val="18"/>
                <w:szCs w:val="18"/>
              </w:rPr>
            </w:pPr>
            <w:r>
              <w:rPr>
                <w:rFonts w:hint="eastAsia" w:ascii="宋体" w:hAnsi="宋体"/>
                <w:color w:val="000000"/>
                <w:kern w:val="0"/>
                <w:sz w:val="18"/>
                <w:szCs w:val="18"/>
              </w:rPr>
              <w:t>救灾、备灾、应急救护中心管理运行项目</w:t>
            </w:r>
          </w:p>
        </w:tc>
        <w:tc>
          <w:tcPr>
            <w:tcW w:w="1503" w:type="dxa"/>
            <w:gridSpan w:val="2"/>
            <w:tcBorders>
              <w:top w:val="single" w:color="000000" w:sz="4" w:space="0"/>
              <w:left w:val="nil"/>
              <w:bottom w:val="single" w:color="000000" w:sz="4" w:space="0"/>
              <w:right w:val="single" w:color="000000" w:sz="4" w:space="0"/>
            </w:tcBorders>
            <w:vAlign w:val="center"/>
          </w:tcPr>
          <w:p w14:paraId="63292781">
            <w:pPr>
              <w:widowControl/>
              <w:jc w:val="left"/>
              <w:textAlignment w:val="center"/>
              <w:rPr>
                <w:rFonts w:ascii="宋体" w:hAnsi="宋体"/>
                <w:color w:val="000000"/>
                <w:sz w:val="18"/>
                <w:szCs w:val="18"/>
              </w:rPr>
            </w:pPr>
            <w:r>
              <w:rPr>
                <w:rFonts w:hint="eastAsia" w:ascii="宋体" w:hAnsi="宋体"/>
                <w:color w:val="000000"/>
                <w:kern w:val="0"/>
                <w:sz w:val="18"/>
                <w:szCs w:val="18"/>
              </w:rPr>
              <w:t>53,456.00</w:t>
            </w:r>
          </w:p>
        </w:tc>
        <w:tc>
          <w:tcPr>
            <w:tcW w:w="1489" w:type="dxa"/>
            <w:gridSpan w:val="4"/>
            <w:tcBorders>
              <w:top w:val="single" w:color="000000" w:sz="4" w:space="0"/>
              <w:left w:val="nil"/>
              <w:bottom w:val="single" w:color="000000" w:sz="4" w:space="0"/>
              <w:right w:val="single" w:color="000000" w:sz="4" w:space="0"/>
            </w:tcBorders>
            <w:vAlign w:val="center"/>
          </w:tcPr>
          <w:p w14:paraId="0BD54470">
            <w:pPr>
              <w:widowControl/>
              <w:jc w:val="left"/>
              <w:textAlignment w:val="center"/>
              <w:rPr>
                <w:rFonts w:ascii="宋体" w:hAnsi="宋体"/>
                <w:color w:val="000000"/>
                <w:sz w:val="18"/>
                <w:szCs w:val="18"/>
              </w:rPr>
            </w:pPr>
            <w:r>
              <w:rPr>
                <w:rFonts w:hint="eastAsia" w:ascii="宋体" w:hAnsi="宋体"/>
                <w:color w:val="000000"/>
                <w:kern w:val="0"/>
                <w:sz w:val="18"/>
                <w:szCs w:val="18"/>
              </w:rPr>
              <w:t>53,456.00</w:t>
            </w:r>
          </w:p>
        </w:tc>
        <w:tc>
          <w:tcPr>
            <w:tcW w:w="802" w:type="dxa"/>
            <w:tcBorders>
              <w:top w:val="single" w:color="000000" w:sz="4" w:space="0"/>
              <w:left w:val="nil"/>
              <w:bottom w:val="single" w:color="000000" w:sz="4" w:space="0"/>
              <w:right w:val="single" w:color="000000" w:sz="4" w:space="0"/>
            </w:tcBorders>
            <w:vAlign w:val="center"/>
          </w:tcPr>
          <w:p w14:paraId="36AC074B">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633B33C8">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755261F5">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4C3986DE">
            <w:pPr>
              <w:widowControl/>
              <w:jc w:val="center"/>
              <w:textAlignment w:val="center"/>
              <w:rPr>
                <w:rFonts w:ascii="宋体" w:hAnsi="宋体"/>
                <w:color w:val="000000"/>
                <w:sz w:val="18"/>
                <w:szCs w:val="18"/>
              </w:rPr>
            </w:pPr>
            <w:r>
              <w:rPr>
                <w:rFonts w:hint="eastAsia" w:ascii="宋体" w:hAnsi="宋体"/>
                <w:color w:val="000000"/>
                <w:kern w:val="0"/>
                <w:sz w:val="18"/>
                <w:szCs w:val="18"/>
              </w:rPr>
              <w:t>任务4</w:t>
            </w:r>
          </w:p>
        </w:tc>
        <w:tc>
          <w:tcPr>
            <w:tcW w:w="2735" w:type="dxa"/>
            <w:gridSpan w:val="4"/>
            <w:tcBorders>
              <w:top w:val="single" w:color="000000" w:sz="4" w:space="0"/>
              <w:left w:val="nil"/>
              <w:bottom w:val="single" w:color="000000" w:sz="4" w:space="0"/>
              <w:right w:val="single" w:color="000000" w:sz="4" w:space="0"/>
            </w:tcBorders>
            <w:vAlign w:val="center"/>
          </w:tcPr>
          <w:p w14:paraId="064B9721">
            <w:pPr>
              <w:widowControl/>
              <w:jc w:val="left"/>
              <w:textAlignment w:val="center"/>
              <w:rPr>
                <w:rFonts w:ascii="宋体" w:hAnsi="宋体"/>
                <w:color w:val="000000"/>
                <w:sz w:val="18"/>
                <w:szCs w:val="18"/>
              </w:rPr>
            </w:pPr>
            <w:r>
              <w:rPr>
                <w:rFonts w:hint="eastAsia" w:ascii="宋体" w:hAnsi="宋体"/>
                <w:color w:val="000000"/>
                <w:kern w:val="0"/>
                <w:sz w:val="18"/>
                <w:szCs w:val="18"/>
              </w:rPr>
              <w:t>救灾、备灾、应急救护中心日常维护费</w:t>
            </w:r>
          </w:p>
        </w:tc>
        <w:tc>
          <w:tcPr>
            <w:tcW w:w="1503" w:type="dxa"/>
            <w:gridSpan w:val="2"/>
            <w:tcBorders>
              <w:top w:val="single" w:color="000000" w:sz="4" w:space="0"/>
              <w:left w:val="nil"/>
              <w:bottom w:val="single" w:color="000000" w:sz="4" w:space="0"/>
              <w:right w:val="single" w:color="000000" w:sz="4" w:space="0"/>
            </w:tcBorders>
            <w:vAlign w:val="center"/>
          </w:tcPr>
          <w:p w14:paraId="792E30C5">
            <w:pPr>
              <w:widowControl/>
              <w:jc w:val="left"/>
              <w:textAlignment w:val="center"/>
              <w:rPr>
                <w:rFonts w:ascii="宋体" w:hAnsi="宋体"/>
                <w:color w:val="000000"/>
                <w:sz w:val="18"/>
                <w:szCs w:val="18"/>
              </w:rPr>
            </w:pPr>
            <w:r>
              <w:rPr>
                <w:rFonts w:hint="eastAsia" w:ascii="宋体" w:hAnsi="宋体"/>
                <w:color w:val="000000"/>
                <w:kern w:val="0"/>
                <w:sz w:val="18"/>
                <w:szCs w:val="18"/>
              </w:rPr>
              <w:t>25,000.00</w:t>
            </w:r>
          </w:p>
        </w:tc>
        <w:tc>
          <w:tcPr>
            <w:tcW w:w="1489" w:type="dxa"/>
            <w:gridSpan w:val="4"/>
            <w:tcBorders>
              <w:top w:val="single" w:color="000000" w:sz="4" w:space="0"/>
              <w:left w:val="nil"/>
              <w:bottom w:val="single" w:color="000000" w:sz="4" w:space="0"/>
              <w:right w:val="single" w:color="000000" w:sz="4" w:space="0"/>
            </w:tcBorders>
            <w:vAlign w:val="center"/>
          </w:tcPr>
          <w:p w14:paraId="68FEC3E0">
            <w:pPr>
              <w:widowControl/>
              <w:jc w:val="left"/>
              <w:textAlignment w:val="center"/>
              <w:rPr>
                <w:rFonts w:ascii="宋体" w:hAnsi="宋体"/>
                <w:color w:val="000000"/>
                <w:sz w:val="18"/>
                <w:szCs w:val="18"/>
              </w:rPr>
            </w:pPr>
            <w:r>
              <w:rPr>
                <w:rFonts w:hint="eastAsia" w:ascii="宋体" w:hAnsi="宋体"/>
                <w:color w:val="000000"/>
                <w:kern w:val="0"/>
                <w:sz w:val="18"/>
                <w:szCs w:val="18"/>
              </w:rPr>
              <w:t>25,000.00</w:t>
            </w:r>
          </w:p>
        </w:tc>
        <w:tc>
          <w:tcPr>
            <w:tcW w:w="802" w:type="dxa"/>
            <w:tcBorders>
              <w:top w:val="single" w:color="000000" w:sz="4" w:space="0"/>
              <w:left w:val="nil"/>
              <w:bottom w:val="single" w:color="000000" w:sz="4" w:space="0"/>
              <w:right w:val="single" w:color="000000" w:sz="4" w:space="0"/>
            </w:tcBorders>
            <w:vAlign w:val="center"/>
          </w:tcPr>
          <w:p w14:paraId="52C946C2">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103D84C2">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10E7AF7A">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5902E29A">
            <w:pPr>
              <w:widowControl/>
              <w:jc w:val="center"/>
              <w:textAlignment w:val="center"/>
              <w:rPr>
                <w:rFonts w:ascii="宋体" w:hAnsi="宋体"/>
                <w:color w:val="000000"/>
                <w:sz w:val="18"/>
                <w:szCs w:val="18"/>
              </w:rPr>
            </w:pPr>
            <w:r>
              <w:rPr>
                <w:rFonts w:hint="eastAsia" w:ascii="宋体" w:hAnsi="宋体"/>
                <w:color w:val="000000"/>
                <w:kern w:val="0"/>
                <w:sz w:val="18"/>
                <w:szCs w:val="18"/>
              </w:rPr>
              <w:t>任务5</w:t>
            </w:r>
          </w:p>
        </w:tc>
        <w:tc>
          <w:tcPr>
            <w:tcW w:w="2735" w:type="dxa"/>
            <w:gridSpan w:val="4"/>
            <w:tcBorders>
              <w:top w:val="single" w:color="000000" w:sz="4" w:space="0"/>
              <w:left w:val="nil"/>
              <w:bottom w:val="single" w:color="000000" w:sz="4" w:space="0"/>
              <w:right w:val="single" w:color="000000" w:sz="4" w:space="0"/>
            </w:tcBorders>
            <w:vAlign w:val="center"/>
          </w:tcPr>
          <w:p w14:paraId="61343889">
            <w:pPr>
              <w:widowControl/>
              <w:jc w:val="left"/>
              <w:textAlignment w:val="center"/>
              <w:rPr>
                <w:rFonts w:ascii="宋体" w:hAnsi="宋体"/>
                <w:color w:val="000000"/>
                <w:sz w:val="18"/>
                <w:szCs w:val="18"/>
              </w:rPr>
            </w:pPr>
            <w:r>
              <w:rPr>
                <w:rFonts w:hint="eastAsia" w:ascii="宋体" w:hAnsi="宋体"/>
                <w:color w:val="000000"/>
                <w:kern w:val="0"/>
                <w:sz w:val="18"/>
                <w:szCs w:val="18"/>
              </w:rPr>
              <w:t>在职职工五险一金保障</w:t>
            </w:r>
          </w:p>
        </w:tc>
        <w:tc>
          <w:tcPr>
            <w:tcW w:w="1503" w:type="dxa"/>
            <w:gridSpan w:val="2"/>
            <w:tcBorders>
              <w:top w:val="single" w:color="000000" w:sz="4" w:space="0"/>
              <w:left w:val="nil"/>
              <w:bottom w:val="single" w:color="000000" w:sz="4" w:space="0"/>
              <w:right w:val="single" w:color="000000" w:sz="4" w:space="0"/>
            </w:tcBorders>
            <w:vAlign w:val="center"/>
          </w:tcPr>
          <w:p w14:paraId="76CFB285">
            <w:pPr>
              <w:widowControl/>
              <w:jc w:val="left"/>
              <w:textAlignment w:val="center"/>
              <w:rPr>
                <w:rFonts w:ascii="宋体" w:hAnsi="宋体"/>
                <w:color w:val="000000"/>
                <w:sz w:val="18"/>
                <w:szCs w:val="18"/>
              </w:rPr>
            </w:pPr>
            <w:r>
              <w:rPr>
                <w:rFonts w:hint="eastAsia" w:ascii="宋体" w:hAnsi="宋体"/>
                <w:color w:val="000000"/>
                <w:kern w:val="0"/>
                <w:sz w:val="18"/>
                <w:szCs w:val="18"/>
              </w:rPr>
              <w:t>150,364.00</w:t>
            </w:r>
          </w:p>
        </w:tc>
        <w:tc>
          <w:tcPr>
            <w:tcW w:w="1489" w:type="dxa"/>
            <w:gridSpan w:val="4"/>
            <w:tcBorders>
              <w:top w:val="single" w:color="000000" w:sz="4" w:space="0"/>
              <w:left w:val="nil"/>
              <w:bottom w:val="single" w:color="000000" w:sz="4" w:space="0"/>
              <w:right w:val="single" w:color="000000" w:sz="4" w:space="0"/>
            </w:tcBorders>
            <w:vAlign w:val="center"/>
          </w:tcPr>
          <w:p w14:paraId="59445892">
            <w:pPr>
              <w:widowControl/>
              <w:jc w:val="left"/>
              <w:textAlignment w:val="center"/>
              <w:rPr>
                <w:rFonts w:ascii="宋体" w:hAnsi="宋体"/>
                <w:color w:val="000000"/>
                <w:sz w:val="18"/>
                <w:szCs w:val="18"/>
              </w:rPr>
            </w:pPr>
            <w:r>
              <w:rPr>
                <w:rFonts w:hint="eastAsia" w:ascii="宋体" w:hAnsi="宋体"/>
                <w:color w:val="000000"/>
                <w:kern w:val="0"/>
                <w:sz w:val="18"/>
                <w:szCs w:val="18"/>
              </w:rPr>
              <w:t>150,365.00</w:t>
            </w:r>
          </w:p>
        </w:tc>
        <w:tc>
          <w:tcPr>
            <w:tcW w:w="802" w:type="dxa"/>
            <w:tcBorders>
              <w:top w:val="single" w:color="000000" w:sz="4" w:space="0"/>
              <w:left w:val="nil"/>
              <w:bottom w:val="single" w:color="000000" w:sz="4" w:space="0"/>
              <w:right w:val="single" w:color="000000" w:sz="4" w:space="0"/>
            </w:tcBorders>
            <w:vAlign w:val="center"/>
          </w:tcPr>
          <w:p w14:paraId="57B845A6">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6C199861">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1E620C0C">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43D33A30">
            <w:pPr>
              <w:widowControl/>
              <w:jc w:val="center"/>
              <w:textAlignment w:val="center"/>
              <w:rPr>
                <w:rFonts w:ascii="宋体" w:hAnsi="宋体"/>
                <w:color w:val="000000"/>
                <w:sz w:val="18"/>
                <w:szCs w:val="18"/>
              </w:rPr>
            </w:pPr>
            <w:r>
              <w:rPr>
                <w:rFonts w:hint="eastAsia" w:ascii="宋体" w:hAnsi="宋体"/>
                <w:color w:val="000000"/>
                <w:kern w:val="0"/>
                <w:sz w:val="18"/>
                <w:szCs w:val="18"/>
              </w:rPr>
              <w:t>任务6</w:t>
            </w:r>
          </w:p>
        </w:tc>
        <w:tc>
          <w:tcPr>
            <w:tcW w:w="2735" w:type="dxa"/>
            <w:gridSpan w:val="4"/>
            <w:tcBorders>
              <w:top w:val="single" w:color="000000" w:sz="4" w:space="0"/>
              <w:left w:val="nil"/>
              <w:bottom w:val="single" w:color="000000" w:sz="4" w:space="0"/>
              <w:right w:val="single" w:color="000000" w:sz="4" w:space="0"/>
            </w:tcBorders>
            <w:vAlign w:val="center"/>
          </w:tcPr>
          <w:p w14:paraId="6CA72F27">
            <w:pPr>
              <w:jc w:val="left"/>
              <w:rPr>
                <w:rFonts w:ascii="宋体" w:hAnsi="宋体"/>
                <w:color w:val="000000"/>
                <w:sz w:val="18"/>
                <w:szCs w:val="18"/>
              </w:rPr>
            </w:pPr>
          </w:p>
        </w:tc>
        <w:tc>
          <w:tcPr>
            <w:tcW w:w="1503" w:type="dxa"/>
            <w:gridSpan w:val="2"/>
            <w:tcBorders>
              <w:top w:val="single" w:color="000000" w:sz="4" w:space="0"/>
              <w:left w:val="nil"/>
              <w:bottom w:val="single" w:color="000000" w:sz="4" w:space="0"/>
              <w:right w:val="single" w:color="000000" w:sz="4" w:space="0"/>
            </w:tcBorders>
            <w:vAlign w:val="center"/>
          </w:tcPr>
          <w:p w14:paraId="19471407">
            <w:pPr>
              <w:jc w:val="left"/>
              <w:rPr>
                <w:rFonts w:ascii="宋体" w:hAnsi="宋体"/>
                <w:color w:val="000000"/>
                <w:sz w:val="18"/>
                <w:szCs w:val="18"/>
              </w:rPr>
            </w:pPr>
          </w:p>
        </w:tc>
        <w:tc>
          <w:tcPr>
            <w:tcW w:w="1489" w:type="dxa"/>
            <w:gridSpan w:val="4"/>
            <w:tcBorders>
              <w:top w:val="single" w:color="000000" w:sz="4" w:space="0"/>
              <w:left w:val="nil"/>
              <w:bottom w:val="single" w:color="000000" w:sz="4" w:space="0"/>
              <w:right w:val="single" w:color="000000" w:sz="4" w:space="0"/>
            </w:tcBorders>
            <w:vAlign w:val="center"/>
          </w:tcPr>
          <w:p w14:paraId="2F23118C">
            <w:pPr>
              <w:jc w:val="left"/>
              <w:rPr>
                <w:rFonts w:ascii="宋体" w:hAnsi="宋体"/>
                <w:color w:val="000000"/>
                <w:sz w:val="18"/>
                <w:szCs w:val="18"/>
              </w:rPr>
            </w:pPr>
          </w:p>
        </w:tc>
        <w:tc>
          <w:tcPr>
            <w:tcW w:w="802" w:type="dxa"/>
            <w:tcBorders>
              <w:top w:val="single" w:color="000000" w:sz="4" w:space="0"/>
              <w:left w:val="nil"/>
              <w:bottom w:val="single" w:color="000000" w:sz="4" w:space="0"/>
              <w:right w:val="single" w:color="000000" w:sz="4" w:space="0"/>
            </w:tcBorders>
            <w:vAlign w:val="center"/>
          </w:tcPr>
          <w:p w14:paraId="73332510">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32E45012">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036E2BCC">
            <w:pPr>
              <w:jc w:val="center"/>
              <w:rPr>
                <w:rFonts w:ascii="宋体" w:hAnsi="宋体"/>
                <w:color w:val="000000"/>
                <w:sz w:val="18"/>
                <w:szCs w:val="18"/>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14:paraId="27CB1CCD">
            <w:pPr>
              <w:widowControl/>
              <w:jc w:val="center"/>
              <w:textAlignment w:val="center"/>
              <w:rPr>
                <w:rFonts w:ascii="宋体" w:hAnsi="宋体"/>
                <w:color w:val="000000"/>
                <w:sz w:val="18"/>
                <w:szCs w:val="18"/>
              </w:rPr>
            </w:pPr>
            <w:r>
              <w:rPr>
                <w:rFonts w:hint="eastAsia" w:ascii="宋体" w:hAnsi="宋体"/>
                <w:color w:val="000000"/>
                <w:kern w:val="0"/>
                <w:sz w:val="18"/>
                <w:szCs w:val="18"/>
              </w:rPr>
              <w:t>任务7</w:t>
            </w:r>
          </w:p>
        </w:tc>
        <w:tc>
          <w:tcPr>
            <w:tcW w:w="2735" w:type="dxa"/>
            <w:gridSpan w:val="4"/>
            <w:tcBorders>
              <w:top w:val="single" w:color="000000" w:sz="4" w:space="0"/>
              <w:left w:val="nil"/>
              <w:bottom w:val="single" w:color="000000" w:sz="4" w:space="0"/>
              <w:right w:val="single" w:color="000000" w:sz="4" w:space="0"/>
            </w:tcBorders>
            <w:vAlign w:val="center"/>
          </w:tcPr>
          <w:p w14:paraId="759B1FFF">
            <w:pPr>
              <w:jc w:val="left"/>
              <w:rPr>
                <w:rFonts w:ascii="宋体" w:hAnsi="宋体"/>
                <w:color w:val="000000"/>
                <w:sz w:val="18"/>
                <w:szCs w:val="18"/>
              </w:rPr>
            </w:pPr>
          </w:p>
        </w:tc>
        <w:tc>
          <w:tcPr>
            <w:tcW w:w="1503" w:type="dxa"/>
            <w:gridSpan w:val="2"/>
            <w:tcBorders>
              <w:top w:val="single" w:color="000000" w:sz="4" w:space="0"/>
              <w:left w:val="nil"/>
              <w:bottom w:val="single" w:color="000000" w:sz="4" w:space="0"/>
              <w:right w:val="single" w:color="000000" w:sz="4" w:space="0"/>
            </w:tcBorders>
            <w:vAlign w:val="center"/>
          </w:tcPr>
          <w:p w14:paraId="169A5C25">
            <w:pPr>
              <w:jc w:val="left"/>
              <w:rPr>
                <w:rFonts w:ascii="宋体" w:hAnsi="宋体"/>
                <w:color w:val="000000"/>
                <w:sz w:val="18"/>
                <w:szCs w:val="18"/>
              </w:rPr>
            </w:pPr>
          </w:p>
        </w:tc>
        <w:tc>
          <w:tcPr>
            <w:tcW w:w="1489" w:type="dxa"/>
            <w:gridSpan w:val="4"/>
            <w:tcBorders>
              <w:top w:val="single" w:color="000000" w:sz="4" w:space="0"/>
              <w:left w:val="nil"/>
              <w:bottom w:val="single" w:color="000000" w:sz="4" w:space="0"/>
              <w:right w:val="single" w:color="000000" w:sz="4" w:space="0"/>
            </w:tcBorders>
            <w:vAlign w:val="center"/>
          </w:tcPr>
          <w:p w14:paraId="011F1B11">
            <w:pPr>
              <w:jc w:val="left"/>
              <w:rPr>
                <w:rFonts w:ascii="宋体" w:hAnsi="宋体"/>
                <w:color w:val="000000"/>
                <w:sz w:val="18"/>
                <w:szCs w:val="18"/>
              </w:rPr>
            </w:pPr>
          </w:p>
        </w:tc>
        <w:tc>
          <w:tcPr>
            <w:tcW w:w="802" w:type="dxa"/>
            <w:tcBorders>
              <w:top w:val="single" w:color="000000" w:sz="4" w:space="0"/>
              <w:left w:val="nil"/>
              <w:bottom w:val="single" w:color="000000" w:sz="4" w:space="0"/>
              <w:right w:val="single" w:color="000000" w:sz="4" w:space="0"/>
            </w:tcBorders>
            <w:vAlign w:val="center"/>
          </w:tcPr>
          <w:p w14:paraId="5C4E3935">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22B50DC8">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75A416F8">
            <w:pPr>
              <w:jc w:val="center"/>
              <w:rPr>
                <w:rFonts w:ascii="宋体" w:hAnsi="宋体"/>
                <w:color w:val="000000"/>
                <w:sz w:val="18"/>
                <w:szCs w:val="18"/>
              </w:rPr>
            </w:pPr>
          </w:p>
        </w:tc>
        <w:tc>
          <w:tcPr>
            <w:tcW w:w="842" w:type="dxa"/>
            <w:gridSpan w:val="2"/>
            <w:tcBorders>
              <w:top w:val="single" w:color="000000" w:sz="4" w:space="0"/>
              <w:left w:val="single" w:color="000000" w:sz="4" w:space="0"/>
              <w:right w:val="single" w:color="000000" w:sz="4" w:space="0"/>
            </w:tcBorders>
            <w:vAlign w:val="center"/>
          </w:tcPr>
          <w:p w14:paraId="42006BE0">
            <w:pPr>
              <w:widowControl/>
              <w:jc w:val="center"/>
              <w:textAlignment w:val="center"/>
              <w:rPr>
                <w:rFonts w:ascii="宋体" w:hAnsi="宋体"/>
                <w:color w:val="000000"/>
                <w:sz w:val="18"/>
                <w:szCs w:val="18"/>
              </w:rPr>
            </w:pPr>
            <w:r>
              <w:rPr>
                <w:rFonts w:hint="eastAsia" w:ascii="宋体" w:hAnsi="宋体"/>
                <w:color w:val="000000"/>
                <w:kern w:val="0"/>
                <w:sz w:val="18"/>
                <w:szCs w:val="18"/>
              </w:rPr>
              <w:t>任务8</w:t>
            </w:r>
          </w:p>
        </w:tc>
        <w:tc>
          <w:tcPr>
            <w:tcW w:w="2735" w:type="dxa"/>
            <w:gridSpan w:val="4"/>
            <w:tcBorders>
              <w:top w:val="single" w:color="000000" w:sz="4" w:space="0"/>
              <w:left w:val="nil"/>
              <w:bottom w:val="single" w:color="000000" w:sz="4" w:space="0"/>
              <w:right w:val="single" w:color="000000" w:sz="4" w:space="0"/>
            </w:tcBorders>
            <w:vAlign w:val="center"/>
          </w:tcPr>
          <w:p w14:paraId="1A34FADD">
            <w:pPr>
              <w:jc w:val="left"/>
              <w:rPr>
                <w:rFonts w:ascii="宋体" w:hAnsi="宋体"/>
                <w:color w:val="000000"/>
                <w:sz w:val="18"/>
                <w:szCs w:val="18"/>
              </w:rPr>
            </w:pPr>
          </w:p>
        </w:tc>
        <w:tc>
          <w:tcPr>
            <w:tcW w:w="1503" w:type="dxa"/>
            <w:gridSpan w:val="2"/>
            <w:tcBorders>
              <w:top w:val="single" w:color="000000" w:sz="4" w:space="0"/>
              <w:left w:val="nil"/>
              <w:bottom w:val="single" w:color="000000" w:sz="4" w:space="0"/>
              <w:right w:val="single" w:color="000000" w:sz="4" w:space="0"/>
            </w:tcBorders>
            <w:vAlign w:val="center"/>
          </w:tcPr>
          <w:p w14:paraId="7E5AC80C">
            <w:pPr>
              <w:jc w:val="left"/>
              <w:rPr>
                <w:rFonts w:ascii="宋体" w:hAnsi="宋体"/>
                <w:color w:val="000000"/>
                <w:sz w:val="18"/>
                <w:szCs w:val="18"/>
              </w:rPr>
            </w:pPr>
          </w:p>
        </w:tc>
        <w:tc>
          <w:tcPr>
            <w:tcW w:w="1489" w:type="dxa"/>
            <w:gridSpan w:val="4"/>
            <w:tcBorders>
              <w:top w:val="single" w:color="000000" w:sz="4" w:space="0"/>
              <w:left w:val="nil"/>
              <w:right w:val="single" w:color="000000" w:sz="4" w:space="0"/>
            </w:tcBorders>
            <w:vAlign w:val="center"/>
          </w:tcPr>
          <w:p w14:paraId="483C16F7">
            <w:pPr>
              <w:jc w:val="left"/>
              <w:rPr>
                <w:rFonts w:ascii="宋体" w:hAnsi="宋体"/>
                <w:color w:val="000000"/>
                <w:sz w:val="18"/>
                <w:szCs w:val="18"/>
              </w:rPr>
            </w:pPr>
          </w:p>
        </w:tc>
        <w:tc>
          <w:tcPr>
            <w:tcW w:w="802" w:type="dxa"/>
            <w:tcBorders>
              <w:top w:val="single" w:color="000000" w:sz="4" w:space="0"/>
              <w:left w:val="nil"/>
              <w:right w:val="single" w:color="000000" w:sz="4" w:space="0"/>
            </w:tcBorders>
            <w:vAlign w:val="center"/>
          </w:tcPr>
          <w:p w14:paraId="3ACB9D56">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78D6A2A9">
        <w:tblPrEx>
          <w:tblCellMar>
            <w:top w:w="15" w:type="dxa"/>
            <w:left w:w="15" w:type="dxa"/>
            <w:bottom w:w="15" w:type="dxa"/>
            <w:right w:w="15" w:type="dxa"/>
          </w:tblCellMar>
        </w:tblPrEx>
        <w:trPr>
          <w:trHeight w:val="285" w:hRule="atLeast"/>
        </w:trPr>
        <w:tc>
          <w:tcPr>
            <w:tcW w:w="489" w:type="dxa"/>
            <w:tcBorders>
              <w:left w:val="single" w:color="000000" w:sz="4" w:space="0"/>
              <w:bottom w:val="single" w:color="000000" w:sz="4" w:space="0"/>
            </w:tcBorders>
            <w:vAlign w:val="center"/>
          </w:tcPr>
          <w:p w14:paraId="3EEA5097">
            <w:pPr>
              <w:jc w:val="center"/>
              <w:rPr>
                <w:rFonts w:ascii="宋体" w:hAnsi="宋体"/>
                <w:color w:val="000000"/>
                <w:sz w:val="18"/>
                <w:szCs w:val="18"/>
              </w:rPr>
            </w:pPr>
          </w:p>
        </w:tc>
        <w:tc>
          <w:tcPr>
            <w:tcW w:w="3577" w:type="dxa"/>
            <w:gridSpan w:val="6"/>
            <w:tcBorders>
              <w:top w:val="single" w:color="000000" w:sz="4" w:space="0"/>
              <w:left w:val="single" w:color="000000" w:sz="4" w:space="0"/>
              <w:bottom w:val="single" w:color="000000" w:sz="4" w:space="0"/>
              <w:right w:val="single" w:color="000000" w:sz="4" w:space="0"/>
            </w:tcBorders>
            <w:vAlign w:val="center"/>
          </w:tcPr>
          <w:p w14:paraId="1DBB6037">
            <w:pPr>
              <w:widowControl/>
              <w:jc w:val="center"/>
              <w:textAlignment w:val="center"/>
              <w:rPr>
                <w:rFonts w:ascii="宋体" w:hAnsi="宋体"/>
                <w:color w:val="000000"/>
                <w:sz w:val="18"/>
                <w:szCs w:val="18"/>
              </w:rPr>
            </w:pPr>
            <w:r>
              <w:rPr>
                <w:rFonts w:hint="eastAsia" w:ascii="宋体" w:hAnsi="宋体"/>
                <w:color w:val="000000"/>
                <w:kern w:val="0"/>
                <w:sz w:val="18"/>
                <w:szCs w:val="18"/>
              </w:rPr>
              <w:t>金额合计</w:t>
            </w:r>
          </w:p>
        </w:tc>
        <w:tc>
          <w:tcPr>
            <w:tcW w:w="1503" w:type="dxa"/>
            <w:gridSpan w:val="2"/>
            <w:tcBorders>
              <w:top w:val="single" w:color="000000" w:sz="4" w:space="0"/>
              <w:left w:val="nil"/>
              <w:bottom w:val="single" w:color="000000" w:sz="4" w:space="0"/>
              <w:right w:val="single" w:color="000000" w:sz="4" w:space="0"/>
            </w:tcBorders>
            <w:vAlign w:val="center"/>
          </w:tcPr>
          <w:p w14:paraId="310C6B5B">
            <w:pPr>
              <w:widowControl/>
              <w:jc w:val="left"/>
              <w:textAlignment w:val="center"/>
              <w:rPr>
                <w:rFonts w:ascii="宋体" w:hAnsi="宋体"/>
                <w:color w:val="000000"/>
                <w:sz w:val="18"/>
                <w:szCs w:val="18"/>
              </w:rPr>
            </w:pPr>
            <w:r>
              <w:rPr>
                <w:rFonts w:hint="eastAsia" w:ascii="宋体" w:hAnsi="宋体"/>
                <w:color w:val="000000"/>
                <w:kern w:val="0"/>
                <w:sz w:val="18"/>
                <w:szCs w:val="18"/>
              </w:rPr>
              <w:t>658,567.00</w:t>
            </w:r>
          </w:p>
        </w:tc>
        <w:tc>
          <w:tcPr>
            <w:tcW w:w="1489" w:type="dxa"/>
            <w:gridSpan w:val="4"/>
            <w:tcBorders>
              <w:top w:val="single" w:color="000000" w:sz="4" w:space="0"/>
              <w:left w:val="nil"/>
              <w:bottom w:val="single" w:color="000000" w:sz="4" w:space="0"/>
              <w:right w:val="single" w:color="000000" w:sz="4" w:space="0"/>
            </w:tcBorders>
            <w:vAlign w:val="center"/>
          </w:tcPr>
          <w:p w14:paraId="42A7674B">
            <w:pPr>
              <w:widowControl/>
              <w:jc w:val="left"/>
              <w:textAlignment w:val="center"/>
              <w:rPr>
                <w:rFonts w:ascii="宋体" w:hAnsi="宋体"/>
                <w:color w:val="000000"/>
                <w:sz w:val="18"/>
                <w:szCs w:val="18"/>
              </w:rPr>
            </w:pPr>
            <w:r>
              <w:rPr>
                <w:rFonts w:hint="eastAsia" w:ascii="宋体" w:hAnsi="宋体"/>
                <w:color w:val="000000"/>
                <w:kern w:val="0"/>
                <w:sz w:val="18"/>
                <w:szCs w:val="18"/>
              </w:rPr>
              <w:t>658,567.00</w:t>
            </w:r>
          </w:p>
        </w:tc>
        <w:tc>
          <w:tcPr>
            <w:tcW w:w="802" w:type="dxa"/>
            <w:tcBorders>
              <w:top w:val="single" w:color="000000" w:sz="4" w:space="0"/>
              <w:left w:val="nil"/>
              <w:bottom w:val="single" w:color="000000" w:sz="4" w:space="0"/>
              <w:right w:val="single" w:color="000000" w:sz="4" w:space="0"/>
            </w:tcBorders>
            <w:vAlign w:val="center"/>
          </w:tcPr>
          <w:p w14:paraId="0CC3850E">
            <w:pPr>
              <w:widowControl/>
              <w:jc w:val="left"/>
              <w:textAlignment w:val="center"/>
              <w:rPr>
                <w:rFonts w:ascii="宋体" w:hAnsi="宋体"/>
                <w:color w:val="000000"/>
                <w:sz w:val="18"/>
                <w:szCs w:val="18"/>
              </w:rPr>
            </w:pPr>
            <w:r>
              <w:rPr>
                <w:rFonts w:hint="eastAsia" w:ascii="宋体" w:hAnsi="宋体"/>
                <w:color w:val="000000"/>
                <w:kern w:val="0"/>
                <w:sz w:val="18"/>
                <w:szCs w:val="18"/>
              </w:rPr>
              <w:t>0.00</w:t>
            </w:r>
          </w:p>
        </w:tc>
      </w:tr>
      <w:tr w14:paraId="1020B915">
        <w:tblPrEx>
          <w:tblCellMar>
            <w:top w:w="15" w:type="dxa"/>
            <w:left w:w="15" w:type="dxa"/>
            <w:bottom w:w="15" w:type="dxa"/>
            <w:right w:w="15" w:type="dxa"/>
          </w:tblCellMar>
        </w:tblPrEx>
        <w:trPr>
          <w:trHeight w:val="675" w:hRule="atLeast"/>
        </w:trPr>
        <w:tc>
          <w:tcPr>
            <w:tcW w:w="489" w:type="dxa"/>
            <w:tcBorders>
              <w:left w:val="single" w:color="000000" w:sz="4" w:space="0"/>
              <w:bottom w:val="single" w:color="000000" w:sz="4" w:space="0"/>
            </w:tcBorders>
            <w:vAlign w:val="center"/>
          </w:tcPr>
          <w:p w14:paraId="4ACBBF11">
            <w:pPr>
              <w:widowControl/>
              <w:jc w:val="center"/>
              <w:textAlignment w:val="center"/>
              <w:rPr>
                <w:rFonts w:ascii="宋体" w:hAnsi="宋体"/>
                <w:color w:val="000000"/>
                <w:sz w:val="18"/>
                <w:szCs w:val="18"/>
              </w:rPr>
            </w:pPr>
            <w:r>
              <w:rPr>
                <w:rFonts w:hint="eastAsia" w:ascii="宋体" w:hAnsi="宋体"/>
                <w:color w:val="000000"/>
                <w:kern w:val="0"/>
                <w:sz w:val="18"/>
                <w:szCs w:val="18"/>
              </w:rPr>
              <w:t>年度</w:t>
            </w:r>
            <w:r>
              <w:rPr>
                <w:rFonts w:hint="eastAsia" w:ascii="宋体" w:hAnsi="宋体"/>
                <w:color w:val="000000"/>
                <w:kern w:val="0"/>
                <w:sz w:val="18"/>
                <w:szCs w:val="18"/>
              </w:rPr>
              <w:br w:type="textWrapping"/>
            </w:r>
            <w:r>
              <w:rPr>
                <w:rFonts w:hint="eastAsia" w:ascii="宋体" w:hAnsi="宋体"/>
                <w:color w:val="000000"/>
                <w:kern w:val="0"/>
                <w:sz w:val="18"/>
                <w:szCs w:val="18"/>
              </w:rPr>
              <w:t>总体</w:t>
            </w:r>
            <w:r>
              <w:rPr>
                <w:rFonts w:hint="eastAsia" w:ascii="宋体" w:hAnsi="宋体"/>
                <w:color w:val="000000"/>
                <w:kern w:val="0"/>
                <w:sz w:val="18"/>
                <w:szCs w:val="18"/>
              </w:rPr>
              <w:br w:type="textWrapping"/>
            </w:r>
            <w:r>
              <w:rPr>
                <w:rFonts w:hint="eastAsia" w:ascii="宋体" w:hAnsi="宋体"/>
                <w:color w:val="000000"/>
                <w:kern w:val="0"/>
                <w:sz w:val="18"/>
                <w:szCs w:val="18"/>
              </w:rPr>
              <w:t>目标</w:t>
            </w:r>
          </w:p>
        </w:tc>
        <w:tc>
          <w:tcPr>
            <w:tcW w:w="7371" w:type="dxa"/>
            <w:gridSpan w:val="13"/>
            <w:tcBorders>
              <w:top w:val="single" w:color="000000" w:sz="4" w:space="0"/>
              <w:left w:val="single" w:color="000000" w:sz="4" w:space="0"/>
              <w:bottom w:val="single" w:color="000000" w:sz="4" w:space="0"/>
              <w:right w:val="single" w:color="000000" w:sz="4" w:space="0"/>
            </w:tcBorders>
            <w:vAlign w:val="center"/>
          </w:tcPr>
          <w:p w14:paraId="3AB0DC47">
            <w:pPr>
              <w:widowControl/>
              <w:jc w:val="left"/>
              <w:textAlignment w:val="center"/>
              <w:rPr>
                <w:rFonts w:ascii="宋体" w:hAnsi="宋体"/>
                <w:color w:val="000000"/>
                <w:sz w:val="18"/>
                <w:szCs w:val="18"/>
              </w:rPr>
            </w:pPr>
            <w:r>
              <w:rPr>
                <w:rFonts w:hint="eastAsia" w:ascii="宋体" w:hAnsi="宋体"/>
                <w:color w:val="000000"/>
                <w:kern w:val="0"/>
                <w:sz w:val="18"/>
                <w:szCs w:val="18"/>
              </w:rPr>
              <w:t>松潘县红十字会认真履行红十字会各项职责，加强组织建设，加大宣传力度，深入开展救灾、救助、救护工作，建立红十字特色救助项目，强化初级卫生救护培训，抓好红十字青少年工作，积极发展基层红十字会组织，发展红</w:t>
            </w:r>
            <w:r>
              <w:rPr>
                <w:rFonts w:hint="eastAsia" w:ascii="宋体" w:hAnsi="宋体"/>
                <w:color w:val="000000"/>
                <w:kern w:val="0"/>
                <w:sz w:val="18"/>
                <w:szCs w:val="18"/>
                <w:lang w:eastAsia="zh-CN"/>
              </w:rPr>
              <w:t>十字</w:t>
            </w:r>
            <w:r>
              <w:rPr>
                <w:rFonts w:hint="eastAsia" w:ascii="宋体" w:hAnsi="宋体"/>
                <w:color w:val="000000"/>
                <w:kern w:val="0"/>
                <w:sz w:val="18"/>
                <w:szCs w:val="18"/>
              </w:rPr>
              <w:t>会会员，成立志愿者队伍，我县红十字事业有了较大的发展，为加快建设“一城两心三地”做出积极贡献</w:t>
            </w:r>
          </w:p>
        </w:tc>
      </w:tr>
      <w:tr w14:paraId="7D583801">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579C8EEC">
            <w:pPr>
              <w:widowControl/>
              <w:jc w:val="center"/>
              <w:textAlignment w:val="center"/>
              <w:rPr>
                <w:rFonts w:ascii="宋体" w:hAnsi="宋体"/>
                <w:color w:val="000000"/>
                <w:sz w:val="18"/>
                <w:szCs w:val="18"/>
              </w:rPr>
            </w:pPr>
            <w:r>
              <w:rPr>
                <w:rFonts w:hint="eastAsia" w:ascii="宋体" w:hAnsi="宋体"/>
                <w:color w:val="000000"/>
                <w:kern w:val="0"/>
                <w:sz w:val="18"/>
                <w:szCs w:val="18"/>
              </w:rPr>
              <w:t>年</w:t>
            </w:r>
            <w:r>
              <w:rPr>
                <w:rFonts w:hint="eastAsia" w:ascii="宋体" w:hAnsi="宋体"/>
                <w:color w:val="000000"/>
                <w:kern w:val="0"/>
                <w:sz w:val="18"/>
                <w:szCs w:val="18"/>
              </w:rPr>
              <w:br w:type="textWrapping"/>
            </w:r>
            <w:r>
              <w:rPr>
                <w:rFonts w:hint="eastAsia" w:ascii="宋体" w:hAnsi="宋体"/>
                <w:color w:val="000000"/>
                <w:kern w:val="0"/>
                <w:sz w:val="18"/>
                <w:szCs w:val="18"/>
              </w:rPr>
              <w:t>度</w:t>
            </w:r>
            <w:r>
              <w:rPr>
                <w:rFonts w:hint="eastAsia" w:ascii="宋体" w:hAnsi="宋体"/>
                <w:color w:val="000000"/>
                <w:kern w:val="0"/>
                <w:sz w:val="18"/>
                <w:szCs w:val="18"/>
              </w:rPr>
              <w:br w:type="textWrapping"/>
            </w:r>
            <w:r>
              <w:rPr>
                <w:rFonts w:hint="eastAsia" w:ascii="宋体" w:hAnsi="宋体"/>
                <w:color w:val="000000"/>
                <w:kern w:val="0"/>
                <w:sz w:val="18"/>
                <w:szCs w:val="18"/>
              </w:rPr>
              <w:t>绩</w:t>
            </w:r>
            <w:r>
              <w:rPr>
                <w:rFonts w:hint="eastAsia" w:ascii="宋体" w:hAnsi="宋体"/>
                <w:color w:val="000000"/>
                <w:kern w:val="0"/>
                <w:sz w:val="18"/>
                <w:szCs w:val="18"/>
              </w:rPr>
              <w:br w:type="textWrapping"/>
            </w:r>
            <w:r>
              <w:rPr>
                <w:rFonts w:hint="eastAsia" w:ascii="宋体" w:hAnsi="宋体"/>
                <w:color w:val="000000"/>
                <w:kern w:val="0"/>
                <w:sz w:val="18"/>
                <w:szCs w:val="18"/>
              </w:rPr>
              <w:t>效</w:t>
            </w:r>
            <w:r>
              <w:rPr>
                <w:rFonts w:hint="eastAsia" w:ascii="宋体" w:hAnsi="宋体"/>
                <w:color w:val="000000"/>
                <w:kern w:val="0"/>
                <w:sz w:val="18"/>
                <w:szCs w:val="18"/>
              </w:rPr>
              <w:br w:type="textWrapping"/>
            </w:r>
            <w:r>
              <w:rPr>
                <w:rFonts w:hint="eastAsia" w:ascii="宋体" w:hAnsi="宋体"/>
                <w:color w:val="000000"/>
                <w:kern w:val="0"/>
                <w:sz w:val="18"/>
                <w:szCs w:val="18"/>
              </w:rPr>
              <w:t>指</w:t>
            </w:r>
            <w:r>
              <w:rPr>
                <w:rFonts w:hint="eastAsia" w:ascii="宋体" w:hAnsi="宋体"/>
                <w:color w:val="000000"/>
                <w:kern w:val="0"/>
                <w:sz w:val="18"/>
                <w:szCs w:val="18"/>
              </w:rPr>
              <w:br w:type="textWrapping"/>
            </w:r>
            <w:r>
              <w:rPr>
                <w:rFonts w:hint="eastAsia" w:ascii="宋体" w:hAnsi="宋体"/>
                <w:color w:val="000000"/>
                <w:kern w:val="0"/>
                <w:sz w:val="18"/>
                <w:szCs w:val="18"/>
              </w:rPr>
              <w:t>标</w:t>
            </w:r>
          </w:p>
        </w:tc>
        <w:tc>
          <w:tcPr>
            <w:tcW w:w="842" w:type="dxa"/>
            <w:gridSpan w:val="2"/>
            <w:tcBorders>
              <w:left w:val="nil"/>
              <w:bottom w:val="single" w:color="000000" w:sz="4" w:space="0"/>
              <w:right w:val="single" w:color="000000" w:sz="4" w:space="0"/>
            </w:tcBorders>
            <w:vAlign w:val="center"/>
          </w:tcPr>
          <w:p w14:paraId="78CE0986">
            <w:pPr>
              <w:widowControl/>
              <w:jc w:val="center"/>
              <w:textAlignment w:val="center"/>
              <w:rPr>
                <w:rFonts w:ascii="宋体" w:hAnsi="宋体"/>
                <w:color w:val="000000"/>
                <w:sz w:val="18"/>
                <w:szCs w:val="18"/>
              </w:rPr>
            </w:pPr>
            <w:r>
              <w:rPr>
                <w:rFonts w:hint="eastAsia" w:ascii="宋体" w:hAnsi="宋体"/>
                <w:color w:val="000000"/>
                <w:kern w:val="0"/>
                <w:sz w:val="18"/>
                <w:szCs w:val="18"/>
              </w:rPr>
              <w:t>一级指标</w:t>
            </w:r>
          </w:p>
        </w:tc>
        <w:tc>
          <w:tcPr>
            <w:tcW w:w="896" w:type="dxa"/>
            <w:gridSpan w:val="2"/>
            <w:tcBorders>
              <w:left w:val="nil"/>
              <w:bottom w:val="single" w:color="000000" w:sz="4" w:space="0"/>
            </w:tcBorders>
            <w:vAlign w:val="center"/>
          </w:tcPr>
          <w:p w14:paraId="43D92B96">
            <w:pPr>
              <w:widowControl/>
              <w:jc w:val="center"/>
              <w:textAlignment w:val="center"/>
              <w:rPr>
                <w:rFonts w:ascii="宋体" w:hAnsi="宋体"/>
                <w:color w:val="000000"/>
                <w:sz w:val="18"/>
                <w:szCs w:val="18"/>
              </w:rPr>
            </w:pPr>
            <w:r>
              <w:rPr>
                <w:rFonts w:hint="eastAsia" w:ascii="宋体" w:hAnsi="宋体"/>
                <w:color w:val="000000"/>
                <w:kern w:val="0"/>
                <w:sz w:val="18"/>
                <w:szCs w:val="18"/>
              </w:rPr>
              <w:t>二级指标</w:t>
            </w:r>
          </w:p>
        </w:tc>
        <w:tc>
          <w:tcPr>
            <w:tcW w:w="1839" w:type="dxa"/>
            <w:gridSpan w:val="2"/>
            <w:tcBorders>
              <w:top w:val="single" w:color="000000" w:sz="4" w:space="0"/>
              <w:left w:val="single" w:color="000000" w:sz="4" w:space="0"/>
              <w:bottom w:val="single" w:color="000000" w:sz="4" w:space="0"/>
            </w:tcBorders>
            <w:vAlign w:val="center"/>
          </w:tcPr>
          <w:p w14:paraId="5228F1F2">
            <w:pPr>
              <w:widowControl/>
              <w:jc w:val="center"/>
              <w:textAlignment w:val="center"/>
              <w:rPr>
                <w:rFonts w:ascii="宋体" w:hAnsi="宋体"/>
                <w:color w:val="000000"/>
                <w:sz w:val="18"/>
                <w:szCs w:val="18"/>
              </w:rPr>
            </w:pPr>
            <w:r>
              <w:rPr>
                <w:rFonts w:hint="eastAsia" w:ascii="宋体" w:hAnsi="宋体"/>
                <w:color w:val="000000"/>
                <w:kern w:val="0"/>
                <w:sz w:val="18"/>
                <w:szCs w:val="18"/>
              </w:rPr>
              <w:t>三级指标</w:t>
            </w: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10295E7C">
            <w:pPr>
              <w:widowControl/>
              <w:jc w:val="center"/>
              <w:textAlignment w:val="center"/>
              <w:rPr>
                <w:rFonts w:ascii="宋体" w:hAnsi="宋体"/>
                <w:color w:val="000000"/>
                <w:sz w:val="18"/>
                <w:szCs w:val="18"/>
              </w:rPr>
            </w:pPr>
            <w:r>
              <w:rPr>
                <w:rFonts w:hint="eastAsia" w:ascii="宋体" w:hAnsi="宋体"/>
                <w:color w:val="000000"/>
                <w:kern w:val="0"/>
                <w:sz w:val="18"/>
                <w:szCs w:val="18"/>
              </w:rPr>
              <w:t>指标值（包含数字及文字描述）</w:t>
            </w:r>
          </w:p>
        </w:tc>
      </w:tr>
      <w:tr w14:paraId="57EE4450">
        <w:tblPrEx>
          <w:tblCellMar>
            <w:top w:w="15" w:type="dxa"/>
            <w:left w:w="15" w:type="dxa"/>
            <w:bottom w:w="15" w:type="dxa"/>
            <w:right w:w="15" w:type="dxa"/>
          </w:tblCellMar>
        </w:tblPrEx>
        <w:trPr>
          <w:trHeight w:val="1590"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547D66FC">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09A4DE65">
            <w:pPr>
              <w:widowControl/>
              <w:jc w:val="center"/>
              <w:textAlignment w:val="center"/>
              <w:rPr>
                <w:rFonts w:ascii="宋体" w:hAnsi="宋体"/>
                <w:color w:val="000000"/>
                <w:sz w:val="18"/>
                <w:szCs w:val="18"/>
              </w:rPr>
            </w:pPr>
            <w:r>
              <w:rPr>
                <w:rFonts w:hint="eastAsia" w:ascii="宋体" w:hAnsi="宋体"/>
                <w:color w:val="000000"/>
                <w:kern w:val="0"/>
                <w:sz w:val="18"/>
                <w:szCs w:val="18"/>
              </w:rPr>
              <w:t>0</w:t>
            </w:r>
          </w:p>
        </w:tc>
        <w:tc>
          <w:tcPr>
            <w:tcW w:w="795" w:type="dxa"/>
            <w:gridSpan w:val="2"/>
            <w:tcBorders>
              <w:top w:val="single" w:color="000000" w:sz="4" w:space="0"/>
              <w:left w:val="nil"/>
              <w:bottom w:val="single" w:color="000000" w:sz="4" w:space="0"/>
            </w:tcBorders>
            <w:vAlign w:val="center"/>
          </w:tcPr>
          <w:p w14:paraId="5997601D">
            <w:pPr>
              <w:widowControl/>
              <w:jc w:val="center"/>
              <w:textAlignment w:val="center"/>
              <w:rPr>
                <w:rFonts w:ascii="宋体" w:hAnsi="宋体"/>
                <w:color w:val="000000"/>
                <w:sz w:val="18"/>
                <w:szCs w:val="18"/>
              </w:rPr>
            </w:pPr>
            <w:r>
              <w:rPr>
                <w:rFonts w:hint="eastAsia" w:ascii="宋体" w:hAnsi="宋体"/>
                <w:color w:val="000000"/>
                <w:kern w:val="0"/>
                <w:sz w:val="18"/>
                <w:szCs w:val="18"/>
              </w:rPr>
              <w:t>数量指标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0ACD390F">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left w:val="nil"/>
              <w:bottom w:val="single" w:color="000000" w:sz="4" w:space="0"/>
              <w:right w:val="single" w:color="000000" w:sz="4" w:space="0"/>
            </w:tcBorders>
            <w:vAlign w:val="center"/>
          </w:tcPr>
          <w:p w14:paraId="02A9F99F">
            <w:pPr>
              <w:widowControl/>
              <w:jc w:val="left"/>
              <w:textAlignment w:val="center"/>
              <w:rPr>
                <w:rFonts w:ascii="宋体" w:hAnsi="宋体"/>
                <w:color w:val="000000"/>
                <w:sz w:val="18"/>
                <w:szCs w:val="18"/>
              </w:rPr>
            </w:pPr>
            <w:r>
              <w:rPr>
                <w:rFonts w:hint="eastAsia" w:ascii="宋体" w:hAnsi="宋体"/>
                <w:color w:val="000000"/>
                <w:kern w:val="0"/>
                <w:sz w:val="18"/>
                <w:szCs w:val="18"/>
              </w:rPr>
              <w:t>加强红十字会的宣传和救护培训工作，不断提高各类人群的自救互救能力。</w:t>
            </w:r>
          </w:p>
        </w:tc>
        <w:tc>
          <w:tcPr>
            <w:tcW w:w="3794" w:type="dxa"/>
            <w:gridSpan w:val="7"/>
            <w:tcBorders>
              <w:top w:val="single" w:color="000000" w:sz="4" w:space="0"/>
              <w:left w:val="nil"/>
              <w:bottom w:val="single" w:color="000000" w:sz="4" w:space="0"/>
              <w:right w:val="single" w:color="000000" w:sz="4" w:space="0"/>
            </w:tcBorders>
            <w:vAlign w:val="center"/>
          </w:tcPr>
          <w:p w14:paraId="0DC09BB6">
            <w:pPr>
              <w:widowControl/>
              <w:jc w:val="left"/>
              <w:textAlignment w:val="center"/>
              <w:rPr>
                <w:rFonts w:ascii="宋体" w:hAnsi="宋体"/>
                <w:color w:val="000000"/>
                <w:sz w:val="18"/>
                <w:szCs w:val="18"/>
              </w:rPr>
            </w:pPr>
            <w:r>
              <w:rPr>
                <w:rFonts w:hint="eastAsia" w:ascii="宋体" w:hAnsi="宋体"/>
                <w:color w:val="000000"/>
                <w:kern w:val="0"/>
                <w:sz w:val="18"/>
                <w:szCs w:val="18"/>
              </w:rPr>
              <w:t>利用“世界防治麻风病日</w:t>
            </w:r>
            <w:r>
              <w:rPr>
                <w:rFonts w:hint="eastAsia" w:ascii="宋体" w:hAnsi="宋体"/>
                <w:color w:val="000000"/>
                <w:kern w:val="0"/>
                <w:sz w:val="18"/>
                <w:szCs w:val="18"/>
                <w:lang w:eastAsia="zh-CN"/>
              </w:rPr>
              <w:t>”“</w:t>
            </w:r>
            <w:r>
              <w:rPr>
                <w:rFonts w:hint="eastAsia" w:ascii="宋体" w:hAnsi="宋体"/>
                <w:color w:val="000000"/>
                <w:kern w:val="0"/>
                <w:sz w:val="18"/>
                <w:szCs w:val="18"/>
              </w:rPr>
              <w:t>5.8 红十字博爱周”、6.26禁毒日、急救日等宣传日，开展发放宣传资料、摆放红十字知识展板、培训</w:t>
            </w:r>
            <w:r>
              <w:rPr>
                <w:rFonts w:hint="eastAsia" w:ascii="宋体" w:hAnsi="宋体"/>
                <w:color w:val="000000"/>
                <w:kern w:val="0"/>
                <w:sz w:val="18"/>
                <w:szCs w:val="18"/>
                <w:lang w:eastAsia="zh-CN"/>
              </w:rPr>
              <w:t>等</w:t>
            </w:r>
            <w:r>
              <w:rPr>
                <w:rFonts w:hint="eastAsia" w:ascii="宋体" w:hAnsi="宋体"/>
                <w:color w:val="000000"/>
                <w:kern w:val="0"/>
                <w:sz w:val="18"/>
                <w:szCs w:val="18"/>
              </w:rPr>
              <w:t>内容的宣传10次，深入乡村、机关和景区开展应急救护普及培训和救护员培训，举办“红十字会救护员”培训班</w:t>
            </w:r>
            <w:r>
              <w:rPr>
                <w:rStyle w:val="32"/>
                <w:rFonts w:hint="default"/>
              </w:rPr>
              <w:t>8期，由取得救护师资证书的人员为他们授课，并进行了救护操作演练。深入乡镇单位开展7期救护普及培训班，普及培训不少于1000人。</w:t>
            </w:r>
          </w:p>
        </w:tc>
      </w:tr>
      <w:tr w14:paraId="1AD6E86B">
        <w:tblPrEx>
          <w:tblCellMar>
            <w:top w:w="15" w:type="dxa"/>
            <w:left w:w="15" w:type="dxa"/>
            <w:bottom w:w="15" w:type="dxa"/>
            <w:right w:w="15" w:type="dxa"/>
          </w:tblCellMar>
        </w:tblPrEx>
        <w:trPr>
          <w:trHeight w:val="133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64A9A429">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7E52DF32">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48E75898">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2C22F108">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tcBorders>
            <w:vAlign w:val="center"/>
          </w:tcPr>
          <w:p w14:paraId="64365E9A">
            <w:pPr>
              <w:widowControl/>
              <w:jc w:val="left"/>
              <w:textAlignment w:val="center"/>
              <w:rPr>
                <w:rFonts w:ascii="宋体" w:hAnsi="宋体"/>
                <w:color w:val="000000"/>
                <w:sz w:val="18"/>
                <w:szCs w:val="18"/>
              </w:rPr>
            </w:pPr>
            <w:r>
              <w:rPr>
                <w:rFonts w:hint="eastAsia" w:ascii="宋体" w:hAnsi="宋体"/>
                <w:color w:val="000000"/>
                <w:kern w:val="0"/>
                <w:sz w:val="18"/>
                <w:szCs w:val="18"/>
              </w:rPr>
              <w:t>发展和壮大红十字志愿者队伍，开展“人道、博爱、奉献”的人道主义精神活动，逐步建立社区救助基金，强化公益设施建设，增强农村社区的软实力。</w:t>
            </w:r>
          </w:p>
        </w:tc>
        <w:tc>
          <w:tcPr>
            <w:tcW w:w="3794" w:type="dxa"/>
            <w:gridSpan w:val="7"/>
            <w:tcBorders>
              <w:top w:val="single" w:color="000000" w:sz="4" w:space="0"/>
              <w:left w:val="single" w:color="000000" w:sz="4" w:space="0"/>
              <w:right w:val="single" w:color="000000" w:sz="4" w:space="0"/>
            </w:tcBorders>
            <w:vAlign w:val="center"/>
          </w:tcPr>
          <w:p w14:paraId="0C0DC675">
            <w:pPr>
              <w:widowControl/>
              <w:jc w:val="left"/>
              <w:textAlignment w:val="center"/>
              <w:rPr>
                <w:rFonts w:ascii="宋体" w:hAnsi="宋体"/>
                <w:color w:val="000000"/>
                <w:sz w:val="18"/>
                <w:szCs w:val="18"/>
              </w:rPr>
            </w:pPr>
            <w:r>
              <w:rPr>
                <w:rFonts w:hint="eastAsia" w:ascii="宋体" w:hAnsi="宋体"/>
                <w:color w:val="000000"/>
                <w:kern w:val="0"/>
                <w:sz w:val="18"/>
                <w:szCs w:val="18"/>
              </w:rPr>
              <w:t>严格按“六有”标准发展乡镇、村（社区）红十字基层组织，预计今年发展红十字会基层组织8个，发展</w:t>
            </w:r>
            <w:r>
              <w:rPr>
                <w:rFonts w:hint="eastAsia" w:ascii="宋体" w:hAnsi="宋体"/>
                <w:color w:val="000000"/>
                <w:kern w:val="0"/>
                <w:sz w:val="18"/>
                <w:szCs w:val="18"/>
                <w:lang w:eastAsia="zh-CN"/>
              </w:rPr>
              <w:t>红十字会会员</w:t>
            </w:r>
            <w:r>
              <w:rPr>
                <w:rFonts w:hint="eastAsia" w:ascii="宋体" w:hAnsi="宋体"/>
                <w:color w:val="000000"/>
                <w:kern w:val="0"/>
                <w:sz w:val="18"/>
                <w:szCs w:val="18"/>
              </w:rPr>
              <w:t>10人，红十字志愿者10人。</w:t>
            </w:r>
          </w:p>
        </w:tc>
      </w:tr>
      <w:tr w14:paraId="4D4CAF29">
        <w:tblPrEx>
          <w:tblCellMar>
            <w:top w:w="15" w:type="dxa"/>
            <w:left w:w="15" w:type="dxa"/>
            <w:bottom w:w="15" w:type="dxa"/>
            <w:right w:w="15" w:type="dxa"/>
          </w:tblCellMar>
        </w:tblPrEx>
        <w:trPr>
          <w:trHeight w:val="960"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7BC468F1">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076531CD">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111672AD">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49B23388">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left w:val="nil"/>
              <w:bottom w:val="single" w:color="000000" w:sz="4" w:space="0"/>
              <w:right w:val="single" w:color="000000" w:sz="4" w:space="0"/>
            </w:tcBorders>
            <w:vAlign w:val="bottom"/>
          </w:tcPr>
          <w:p w14:paraId="4CDDD4B0">
            <w:pPr>
              <w:rPr>
                <w:rFonts w:ascii="Calibri" w:hAnsi="Calibri" w:cs="Calibri"/>
                <w:color w:val="000000"/>
                <w:sz w:val="22"/>
                <w:szCs w:val="22"/>
              </w:rPr>
            </w:pPr>
          </w:p>
        </w:tc>
        <w:tc>
          <w:tcPr>
            <w:tcW w:w="1206" w:type="dxa"/>
            <w:tcBorders>
              <w:top w:val="single" w:color="000000" w:sz="4" w:space="0"/>
              <w:left w:val="nil"/>
              <w:bottom w:val="single" w:color="000000" w:sz="4" w:space="0"/>
              <w:right w:val="single" w:color="000000" w:sz="4" w:space="0"/>
            </w:tcBorders>
            <w:vAlign w:val="bottom"/>
          </w:tcPr>
          <w:p w14:paraId="5593F899">
            <w:pPr>
              <w:rPr>
                <w:rFonts w:ascii="Calibri" w:hAnsi="Calibri"/>
                <w:color w:val="000000"/>
                <w:sz w:val="22"/>
                <w:szCs w:val="22"/>
              </w:rPr>
            </w:pPr>
          </w:p>
        </w:tc>
        <w:tc>
          <w:tcPr>
            <w:tcW w:w="1602" w:type="dxa"/>
            <w:gridSpan w:val="4"/>
            <w:tcBorders>
              <w:top w:val="single" w:color="000000" w:sz="4" w:space="0"/>
              <w:left w:val="nil"/>
              <w:bottom w:val="single" w:color="000000" w:sz="4" w:space="0"/>
              <w:right w:val="single" w:color="000000" w:sz="4" w:space="0"/>
            </w:tcBorders>
            <w:vAlign w:val="bottom"/>
          </w:tcPr>
          <w:p w14:paraId="65FB3CAC">
            <w:pPr>
              <w:rPr>
                <w:rFonts w:ascii="Calibri" w:hAnsi="Calibri"/>
                <w:color w:val="000000"/>
                <w:sz w:val="22"/>
                <w:szCs w:val="22"/>
              </w:rPr>
            </w:pPr>
          </w:p>
        </w:tc>
        <w:tc>
          <w:tcPr>
            <w:tcW w:w="986" w:type="dxa"/>
            <w:gridSpan w:val="2"/>
            <w:tcBorders>
              <w:top w:val="single" w:color="000000" w:sz="4" w:space="0"/>
              <w:left w:val="nil"/>
              <w:bottom w:val="single" w:color="000000" w:sz="4" w:space="0"/>
              <w:right w:val="single" w:color="000000" w:sz="4" w:space="0"/>
            </w:tcBorders>
            <w:vAlign w:val="bottom"/>
          </w:tcPr>
          <w:p w14:paraId="54FF5D8F">
            <w:pPr>
              <w:rPr>
                <w:rFonts w:ascii="Calibri" w:hAnsi="Calibri"/>
                <w:color w:val="000000"/>
                <w:sz w:val="22"/>
                <w:szCs w:val="22"/>
              </w:rPr>
            </w:pPr>
          </w:p>
        </w:tc>
      </w:tr>
      <w:tr w14:paraId="62EDFBEC">
        <w:tblPrEx>
          <w:tblCellMar>
            <w:top w:w="15" w:type="dxa"/>
            <w:left w:w="15" w:type="dxa"/>
            <w:bottom w:w="15" w:type="dxa"/>
            <w:right w:w="15" w:type="dxa"/>
          </w:tblCellMar>
        </w:tblPrEx>
        <w:trPr>
          <w:trHeight w:val="67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106EB10D">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3A3F09F3">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113E0D14">
            <w:pPr>
              <w:widowControl/>
              <w:jc w:val="center"/>
              <w:textAlignment w:val="center"/>
              <w:rPr>
                <w:rFonts w:ascii="宋体" w:hAnsi="宋体"/>
                <w:color w:val="000000"/>
                <w:sz w:val="18"/>
                <w:szCs w:val="18"/>
              </w:rPr>
            </w:pPr>
            <w:r>
              <w:rPr>
                <w:rFonts w:hint="eastAsia" w:ascii="宋体" w:hAnsi="宋体"/>
                <w:color w:val="000000"/>
                <w:kern w:val="0"/>
                <w:sz w:val="18"/>
                <w:szCs w:val="18"/>
              </w:rPr>
              <w:t>质量指标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37AA4AF2">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left w:val="nil"/>
              <w:bottom w:val="single" w:color="000000" w:sz="4" w:space="0"/>
              <w:right w:val="single" w:color="000000" w:sz="4" w:space="0"/>
            </w:tcBorders>
            <w:vAlign w:val="center"/>
          </w:tcPr>
          <w:p w14:paraId="357EBA37">
            <w:pPr>
              <w:widowControl/>
              <w:jc w:val="left"/>
              <w:textAlignment w:val="center"/>
              <w:rPr>
                <w:rFonts w:ascii="宋体" w:hAnsi="宋体"/>
                <w:color w:val="000000"/>
                <w:sz w:val="18"/>
                <w:szCs w:val="18"/>
              </w:rPr>
            </w:pPr>
            <w:r>
              <w:rPr>
                <w:rFonts w:hint="eastAsia" w:ascii="宋体" w:hAnsi="宋体"/>
                <w:color w:val="000000"/>
                <w:kern w:val="0"/>
                <w:sz w:val="18"/>
                <w:szCs w:val="18"/>
              </w:rPr>
              <w:t>利用“世界防治麻风病日</w:t>
            </w:r>
            <w:r>
              <w:rPr>
                <w:rFonts w:hint="eastAsia" w:ascii="宋体" w:hAnsi="宋体"/>
                <w:color w:val="000000"/>
                <w:kern w:val="0"/>
                <w:sz w:val="18"/>
                <w:szCs w:val="18"/>
                <w:lang w:eastAsia="zh-CN"/>
              </w:rPr>
              <w:t>”“</w:t>
            </w:r>
            <w:r>
              <w:rPr>
                <w:rFonts w:hint="eastAsia" w:ascii="宋体" w:hAnsi="宋体"/>
                <w:color w:val="000000"/>
                <w:kern w:val="0"/>
                <w:sz w:val="18"/>
                <w:szCs w:val="18"/>
              </w:rPr>
              <w:t>5.8 红十字博爱周”、6.26禁毒日、急救日等宣传日，开展发放宣传资料、摆放红十字知识展板，开展宣传活动</w:t>
            </w:r>
          </w:p>
        </w:tc>
        <w:tc>
          <w:tcPr>
            <w:tcW w:w="3794" w:type="dxa"/>
            <w:gridSpan w:val="7"/>
            <w:tcBorders>
              <w:top w:val="single" w:color="000000" w:sz="4" w:space="0"/>
              <w:left w:val="nil"/>
              <w:bottom w:val="single" w:color="000000" w:sz="4" w:space="0"/>
              <w:right w:val="single" w:color="000000" w:sz="4" w:space="0"/>
            </w:tcBorders>
            <w:vAlign w:val="center"/>
          </w:tcPr>
          <w:p w14:paraId="074C9B31">
            <w:pPr>
              <w:widowControl/>
              <w:jc w:val="left"/>
              <w:textAlignment w:val="center"/>
              <w:rPr>
                <w:rFonts w:ascii="宋体" w:hAnsi="宋体"/>
                <w:color w:val="000000"/>
                <w:sz w:val="18"/>
                <w:szCs w:val="18"/>
              </w:rPr>
            </w:pPr>
            <w:r>
              <w:rPr>
                <w:rFonts w:hint="eastAsia" w:ascii="宋体" w:hAnsi="宋体"/>
                <w:color w:val="000000"/>
                <w:kern w:val="0"/>
                <w:sz w:val="18"/>
                <w:szCs w:val="18"/>
              </w:rPr>
              <w:t>全县全年开展宣传对象参与率大于等于90%以上</w:t>
            </w:r>
          </w:p>
        </w:tc>
      </w:tr>
      <w:tr w14:paraId="542DDB6C">
        <w:tblPrEx>
          <w:tblCellMar>
            <w:top w:w="15" w:type="dxa"/>
            <w:left w:w="15" w:type="dxa"/>
            <w:bottom w:w="15" w:type="dxa"/>
            <w:right w:w="15" w:type="dxa"/>
          </w:tblCellMar>
        </w:tblPrEx>
        <w:trPr>
          <w:trHeight w:val="61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15C1DC39">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183AE95A">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74CF8E4A">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6EEAD243">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left w:val="nil"/>
              <w:bottom w:val="single" w:color="000000" w:sz="4" w:space="0"/>
              <w:right w:val="single" w:color="000000" w:sz="4" w:space="0"/>
            </w:tcBorders>
            <w:vAlign w:val="center"/>
          </w:tcPr>
          <w:p w14:paraId="0FADB7D9">
            <w:pPr>
              <w:widowControl/>
              <w:jc w:val="left"/>
              <w:textAlignment w:val="center"/>
              <w:rPr>
                <w:rFonts w:ascii="宋体" w:hAnsi="宋体"/>
                <w:color w:val="000000"/>
                <w:sz w:val="18"/>
                <w:szCs w:val="18"/>
              </w:rPr>
            </w:pPr>
            <w:r>
              <w:rPr>
                <w:rFonts w:hint="eastAsia" w:ascii="宋体" w:hAnsi="宋体"/>
                <w:color w:val="000000"/>
                <w:kern w:val="0"/>
                <w:sz w:val="18"/>
                <w:szCs w:val="18"/>
              </w:rPr>
              <w:t>开展“人道、博爱、奉献”的人道主义精神活动，逐步建立社区救助基金，强化公益设施建设，增强农村社区的软实力。</w:t>
            </w:r>
          </w:p>
        </w:tc>
        <w:tc>
          <w:tcPr>
            <w:tcW w:w="3794" w:type="dxa"/>
            <w:gridSpan w:val="7"/>
            <w:tcBorders>
              <w:left w:val="nil"/>
              <w:bottom w:val="single" w:color="000000" w:sz="4" w:space="0"/>
              <w:right w:val="single" w:color="000000" w:sz="4" w:space="0"/>
            </w:tcBorders>
            <w:vAlign w:val="center"/>
          </w:tcPr>
          <w:p w14:paraId="69694E81">
            <w:pPr>
              <w:widowControl/>
              <w:jc w:val="left"/>
              <w:textAlignment w:val="center"/>
              <w:rPr>
                <w:rFonts w:ascii="宋体" w:hAnsi="宋体"/>
                <w:color w:val="000000"/>
                <w:sz w:val="18"/>
                <w:szCs w:val="18"/>
              </w:rPr>
            </w:pPr>
            <w:r>
              <w:rPr>
                <w:rFonts w:hint="eastAsia" w:ascii="宋体" w:hAnsi="宋体"/>
                <w:color w:val="000000"/>
                <w:kern w:val="0"/>
                <w:sz w:val="18"/>
                <w:szCs w:val="18"/>
              </w:rPr>
              <w:t>预计今年发展红十字会基层组织8个，发展</w:t>
            </w:r>
            <w:r>
              <w:rPr>
                <w:rFonts w:hint="eastAsia" w:ascii="宋体" w:hAnsi="宋体"/>
                <w:color w:val="000000"/>
                <w:kern w:val="0"/>
                <w:sz w:val="18"/>
                <w:szCs w:val="18"/>
                <w:lang w:eastAsia="zh-CN"/>
              </w:rPr>
              <w:t>红十字会会员</w:t>
            </w:r>
            <w:r>
              <w:rPr>
                <w:rFonts w:hint="eastAsia" w:ascii="宋体" w:hAnsi="宋体"/>
                <w:color w:val="000000"/>
                <w:kern w:val="0"/>
                <w:sz w:val="18"/>
                <w:szCs w:val="18"/>
              </w:rPr>
              <w:t>10人，红十字志愿者10人。</w:t>
            </w:r>
          </w:p>
        </w:tc>
      </w:tr>
      <w:tr w14:paraId="496285B1">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05773D3E">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05D1FD51">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33C26BEF">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150D7234">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5549A8C1">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1B3BD37D">
            <w:pPr>
              <w:jc w:val="left"/>
              <w:rPr>
                <w:rFonts w:ascii="宋体" w:hAnsi="宋体"/>
                <w:color w:val="000000"/>
                <w:sz w:val="18"/>
                <w:szCs w:val="18"/>
              </w:rPr>
            </w:pPr>
          </w:p>
        </w:tc>
      </w:tr>
      <w:tr w14:paraId="3EE27554">
        <w:tblPrEx>
          <w:tblCellMar>
            <w:top w:w="15" w:type="dxa"/>
            <w:left w:w="15" w:type="dxa"/>
            <w:bottom w:w="15" w:type="dxa"/>
            <w:right w:w="15" w:type="dxa"/>
          </w:tblCellMar>
        </w:tblPrEx>
        <w:trPr>
          <w:trHeight w:val="133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7D217413">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661BA82C">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6910F8F3">
            <w:pPr>
              <w:widowControl/>
              <w:jc w:val="center"/>
              <w:textAlignment w:val="center"/>
              <w:rPr>
                <w:rFonts w:ascii="宋体" w:hAnsi="宋体"/>
                <w:color w:val="000000"/>
                <w:sz w:val="18"/>
                <w:szCs w:val="18"/>
              </w:rPr>
            </w:pPr>
            <w:r>
              <w:rPr>
                <w:rFonts w:hint="eastAsia" w:ascii="宋体" w:hAnsi="宋体"/>
                <w:color w:val="000000"/>
                <w:kern w:val="0"/>
                <w:sz w:val="18"/>
                <w:szCs w:val="18"/>
              </w:rPr>
              <w:t>时效指标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51D94730">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bottom w:val="single" w:color="000000" w:sz="4" w:space="0"/>
            </w:tcBorders>
            <w:vAlign w:val="center"/>
          </w:tcPr>
          <w:p w14:paraId="5F9F6BC1">
            <w:pPr>
              <w:widowControl/>
              <w:jc w:val="left"/>
              <w:textAlignment w:val="center"/>
              <w:rPr>
                <w:rFonts w:ascii="宋体" w:hAnsi="宋体"/>
                <w:color w:val="000000"/>
                <w:sz w:val="18"/>
                <w:szCs w:val="18"/>
              </w:rPr>
            </w:pPr>
            <w:r>
              <w:rPr>
                <w:rFonts w:hint="eastAsia" w:ascii="宋体" w:hAnsi="宋体"/>
                <w:color w:val="000000"/>
                <w:kern w:val="0"/>
                <w:sz w:val="18"/>
                <w:szCs w:val="18"/>
              </w:rPr>
              <w:t>深入广大群众生活当中，获得相关救灾、救助、救护知识，为加快建设“一城两心三地”做出积极贡献</w:t>
            </w: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62B871BB">
            <w:pPr>
              <w:widowControl/>
              <w:jc w:val="left"/>
              <w:textAlignment w:val="center"/>
              <w:rPr>
                <w:rFonts w:ascii="宋体" w:hAnsi="宋体"/>
                <w:color w:val="000000"/>
                <w:sz w:val="18"/>
                <w:szCs w:val="18"/>
              </w:rPr>
            </w:pPr>
            <w:r>
              <w:rPr>
                <w:rFonts w:hint="eastAsia" w:ascii="宋体" w:hAnsi="宋体"/>
                <w:color w:val="000000"/>
                <w:kern w:val="0"/>
                <w:sz w:val="18"/>
                <w:szCs w:val="18"/>
              </w:rPr>
              <w:t>2019年12月</w:t>
            </w:r>
          </w:p>
        </w:tc>
      </w:tr>
      <w:tr w14:paraId="603E9E15">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5FD4DC7F">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12835F3A">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79F0CD9C">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4FE898BD">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bottom w:val="single" w:color="000000" w:sz="4" w:space="0"/>
            </w:tcBorders>
            <w:vAlign w:val="center"/>
          </w:tcPr>
          <w:p w14:paraId="5F62E681">
            <w:pPr>
              <w:widowControl/>
              <w:jc w:val="left"/>
              <w:textAlignment w:val="center"/>
              <w:rPr>
                <w:rFonts w:ascii="宋体" w:hAnsi="宋体"/>
                <w:color w:val="000000"/>
                <w:sz w:val="18"/>
                <w:szCs w:val="18"/>
              </w:rPr>
            </w:pPr>
            <w:r>
              <w:rPr>
                <w:rFonts w:hint="eastAsia" w:ascii="宋体" w:hAnsi="宋体"/>
                <w:color w:val="000000"/>
                <w:kern w:val="0"/>
                <w:sz w:val="18"/>
                <w:szCs w:val="18"/>
              </w:rPr>
              <w:t>建立社区救助基金，强化公益设施建设，增强农村社区的软实力。</w:t>
            </w: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4AEDB60A">
            <w:pPr>
              <w:widowControl/>
              <w:jc w:val="left"/>
              <w:textAlignment w:val="center"/>
              <w:rPr>
                <w:rFonts w:ascii="宋体" w:hAnsi="宋体"/>
                <w:color w:val="000000"/>
                <w:sz w:val="18"/>
                <w:szCs w:val="18"/>
              </w:rPr>
            </w:pPr>
            <w:r>
              <w:rPr>
                <w:rFonts w:hint="eastAsia" w:ascii="宋体" w:hAnsi="宋体"/>
                <w:color w:val="000000"/>
                <w:kern w:val="0"/>
                <w:sz w:val="18"/>
                <w:szCs w:val="18"/>
              </w:rPr>
              <w:t>2019年12月</w:t>
            </w:r>
          </w:p>
        </w:tc>
      </w:tr>
      <w:tr w14:paraId="291D19D9">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6FA11D26">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1A9F82BD">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0089B4F3">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587D8773">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1860B0D9">
            <w:pPr>
              <w:widowControl/>
              <w:jc w:val="left"/>
              <w:textAlignment w:val="center"/>
              <w:rPr>
                <w:rFonts w:ascii="宋体" w:hAnsi="宋体"/>
                <w:color w:val="000000"/>
                <w:sz w:val="18"/>
                <w:szCs w:val="18"/>
              </w:rPr>
            </w:pPr>
            <w:r>
              <w:rPr>
                <w:rFonts w:hint="eastAsia" w:ascii="宋体" w:hAnsi="宋体"/>
                <w:color w:val="000000"/>
                <w:kern w:val="0"/>
                <w:sz w:val="18"/>
                <w:szCs w:val="18"/>
              </w:rPr>
              <w:t>完成时间</w:t>
            </w: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4765C459">
            <w:pPr>
              <w:widowControl/>
              <w:jc w:val="left"/>
              <w:textAlignment w:val="center"/>
              <w:rPr>
                <w:rFonts w:ascii="宋体" w:hAnsi="宋体"/>
                <w:color w:val="000000"/>
                <w:sz w:val="18"/>
                <w:szCs w:val="18"/>
              </w:rPr>
            </w:pPr>
            <w:r>
              <w:rPr>
                <w:rFonts w:hint="eastAsia" w:ascii="宋体" w:hAnsi="宋体"/>
                <w:color w:val="000000"/>
                <w:kern w:val="0"/>
                <w:sz w:val="18"/>
                <w:szCs w:val="18"/>
              </w:rPr>
              <w:t>2019年12月</w:t>
            </w:r>
          </w:p>
        </w:tc>
      </w:tr>
      <w:tr w14:paraId="0F3BC67C">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280D902F">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47E86349">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26CBBD35">
            <w:pPr>
              <w:widowControl/>
              <w:jc w:val="center"/>
              <w:textAlignment w:val="center"/>
              <w:rPr>
                <w:rFonts w:ascii="宋体" w:hAnsi="宋体"/>
                <w:color w:val="000000"/>
                <w:sz w:val="18"/>
                <w:szCs w:val="18"/>
              </w:rPr>
            </w:pPr>
            <w:r>
              <w:rPr>
                <w:rFonts w:hint="eastAsia" w:ascii="宋体" w:hAnsi="宋体"/>
                <w:color w:val="000000"/>
                <w:kern w:val="0"/>
                <w:sz w:val="18"/>
                <w:szCs w:val="18"/>
              </w:rPr>
              <w:t>成本指标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0B34DF92">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bottom w:val="single" w:color="000000" w:sz="4" w:space="0"/>
            </w:tcBorders>
            <w:vAlign w:val="center"/>
          </w:tcPr>
          <w:p w14:paraId="77A86872">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6B50A580">
            <w:pPr>
              <w:jc w:val="left"/>
              <w:rPr>
                <w:rFonts w:ascii="宋体" w:hAnsi="宋体"/>
                <w:color w:val="000000"/>
                <w:sz w:val="18"/>
                <w:szCs w:val="18"/>
              </w:rPr>
            </w:pPr>
          </w:p>
        </w:tc>
      </w:tr>
      <w:tr w14:paraId="712AF77F">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40E4A766">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6FCED40A">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7EFA1BFC">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087CB6B4">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bottom w:val="single" w:color="000000" w:sz="4" w:space="0"/>
            </w:tcBorders>
            <w:vAlign w:val="center"/>
          </w:tcPr>
          <w:p w14:paraId="3C52D2D9">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5FBBAE65">
            <w:pPr>
              <w:jc w:val="left"/>
              <w:rPr>
                <w:rFonts w:ascii="宋体" w:hAnsi="宋体"/>
                <w:color w:val="000000"/>
                <w:sz w:val="18"/>
                <w:szCs w:val="18"/>
              </w:rPr>
            </w:pPr>
          </w:p>
        </w:tc>
      </w:tr>
      <w:tr w14:paraId="0969F8FB">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16E7D6AB">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27CBDEBC">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117BB89A">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0A1F75C7">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705C046F">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0F99E5E1">
            <w:pPr>
              <w:jc w:val="left"/>
              <w:rPr>
                <w:rFonts w:ascii="宋体" w:hAnsi="宋体"/>
                <w:color w:val="000000"/>
                <w:sz w:val="18"/>
                <w:szCs w:val="18"/>
              </w:rPr>
            </w:pPr>
          </w:p>
        </w:tc>
      </w:tr>
      <w:tr w14:paraId="2C990FB2">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0D4D0FBA">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6D23F802">
            <w:pPr>
              <w:widowControl/>
              <w:jc w:val="center"/>
              <w:textAlignment w:val="center"/>
              <w:rPr>
                <w:rFonts w:ascii="宋体" w:hAnsi="宋体"/>
                <w:color w:val="000000"/>
                <w:sz w:val="18"/>
                <w:szCs w:val="18"/>
              </w:rPr>
            </w:pPr>
            <w:r>
              <w:rPr>
                <w:rFonts w:hint="eastAsia" w:ascii="宋体" w:hAnsi="宋体"/>
                <w:color w:val="000000"/>
                <w:kern w:val="0"/>
                <w:sz w:val="18"/>
                <w:szCs w:val="18"/>
              </w:rPr>
              <w:t>效益指标</w:t>
            </w:r>
          </w:p>
        </w:tc>
        <w:tc>
          <w:tcPr>
            <w:tcW w:w="795" w:type="dxa"/>
            <w:gridSpan w:val="2"/>
            <w:tcBorders>
              <w:top w:val="single" w:color="000000" w:sz="4" w:space="0"/>
              <w:left w:val="nil"/>
              <w:bottom w:val="single" w:color="000000" w:sz="4" w:space="0"/>
            </w:tcBorders>
            <w:vAlign w:val="center"/>
          </w:tcPr>
          <w:p w14:paraId="32BAB5B3">
            <w:pPr>
              <w:widowControl/>
              <w:jc w:val="center"/>
              <w:textAlignment w:val="center"/>
              <w:rPr>
                <w:rFonts w:ascii="宋体" w:hAnsi="宋体"/>
                <w:color w:val="000000"/>
                <w:sz w:val="18"/>
                <w:szCs w:val="18"/>
              </w:rPr>
            </w:pPr>
            <w:r>
              <w:rPr>
                <w:rFonts w:hint="eastAsia" w:ascii="宋体" w:hAnsi="宋体"/>
                <w:color w:val="000000"/>
                <w:kern w:val="0"/>
                <w:sz w:val="18"/>
                <w:szCs w:val="18"/>
              </w:rPr>
              <w:t>经济效益</w:t>
            </w:r>
            <w:r>
              <w:rPr>
                <w:rFonts w:hint="eastAsia" w:ascii="宋体" w:hAnsi="宋体"/>
                <w:color w:val="000000"/>
                <w:kern w:val="0"/>
                <w:sz w:val="18"/>
                <w:szCs w:val="18"/>
              </w:rPr>
              <w:br w:type="textWrapping"/>
            </w:r>
            <w:r>
              <w:rPr>
                <w:rFonts w:hint="eastAsia" w:ascii="宋体" w:hAnsi="宋体"/>
                <w:color w:val="000000"/>
                <w:kern w:val="0"/>
                <w:sz w:val="18"/>
                <w:szCs w:val="18"/>
              </w:rPr>
              <w:t>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74CC1E12">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bottom w:val="single" w:color="000000" w:sz="4" w:space="0"/>
            </w:tcBorders>
            <w:vAlign w:val="center"/>
          </w:tcPr>
          <w:p w14:paraId="534DCBD9">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19041180">
            <w:pPr>
              <w:jc w:val="left"/>
              <w:rPr>
                <w:rFonts w:ascii="宋体" w:hAnsi="宋体"/>
                <w:color w:val="000000"/>
                <w:sz w:val="18"/>
                <w:szCs w:val="18"/>
              </w:rPr>
            </w:pPr>
          </w:p>
        </w:tc>
      </w:tr>
      <w:tr w14:paraId="0B47E624">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02CB7349">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37D5F2F4">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2D028DA3">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1498350A">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bottom w:val="single" w:color="000000" w:sz="4" w:space="0"/>
            </w:tcBorders>
            <w:vAlign w:val="center"/>
          </w:tcPr>
          <w:p w14:paraId="124E4218">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18A810B4">
            <w:pPr>
              <w:jc w:val="left"/>
              <w:rPr>
                <w:rFonts w:ascii="宋体" w:hAnsi="宋体"/>
                <w:color w:val="000000"/>
                <w:sz w:val="18"/>
                <w:szCs w:val="18"/>
              </w:rPr>
            </w:pPr>
          </w:p>
        </w:tc>
      </w:tr>
      <w:tr w14:paraId="47605CAA">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53C271CD">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23C3EDE2">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39C6299C">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044715DA">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6D7710CA">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5C80A46D">
            <w:pPr>
              <w:jc w:val="left"/>
              <w:rPr>
                <w:rFonts w:ascii="宋体" w:hAnsi="宋体"/>
                <w:color w:val="000000"/>
                <w:sz w:val="18"/>
                <w:szCs w:val="18"/>
              </w:rPr>
            </w:pPr>
          </w:p>
        </w:tc>
      </w:tr>
      <w:tr w14:paraId="2FADC148">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4310E67C">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1CE8C6B9">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311BC8C1">
            <w:pPr>
              <w:widowControl/>
              <w:jc w:val="center"/>
              <w:textAlignment w:val="center"/>
              <w:rPr>
                <w:rFonts w:ascii="宋体" w:hAnsi="宋体"/>
                <w:color w:val="000000"/>
                <w:sz w:val="18"/>
                <w:szCs w:val="18"/>
              </w:rPr>
            </w:pPr>
            <w:r>
              <w:rPr>
                <w:rFonts w:hint="eastAsia" w:ascii="宋体" w:hAnsi="宋体"/>
                <w:color w:val="000000"/>
                <w:kern w:val="0"/>
                <w:sz w:val="18"/>
                <w:szCs w:val="18"/>
              </w:rPr>
              <w:t>社会效益</w:t>
            </w:r>
            <w:r>
              <w:rPr>
                <w:rFonts w:hint="eastAsia" w:ascii="宋体" w:hAnsi="宋体"/>
                <w:color w:val="000000"/>
                <w:kern w:val="0"/>
                <w:sz w:val="18"/>
                <w:szCs w:val="18"/>
              </w:rPr>
              <w:br w:type="textWrapping"/>
            </w:r>
            <w:r>
              <w:rPr>
                <w:rFonts w:hint="eastAsia" w:ascii="宋体" w:hAnsi="宋体"/>
                <w:color w:val="000000"/>
                <w:kern w:val="0"/>
                <w:sz w:val="18"/>
                <w:szCs w:val="18"/>
              </w:rPr>
              <w:t>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4E88409A">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bottom w:val="single" w:color="000000" w:sz="4" w:space="0"/>
            </w:tcBorders>
            <w:vAlign w:val="center"/>
          </w:tcPr>
          <w:p w14:paraId="42AD0B15">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0A608B83">
            <w:pPr>
              <w:jc w:val="left"/>
              <w:rPr>
                <w:rFonts w:ascii="宋体" w:hAnsi="宋体"/>
                <w:color w:val="000000"/>
                <w:sz w:val="18"/>
                <w:szCs w:val="18"/>
              </w:rPr>
            </w:pPr>
          </w:p>
        </w:tc>
      </w:tr>
      <w:tr w14:paraId="78A39591">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1EDB68A9">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41C6DAAF">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4EBFB40F">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2BCE6748">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bottom w:val="single" w:color="000000" w:sz="4" w:space="0"/>
            </w:tcBorders>
            <w:vAlign w:val="center"/>
          </w:tcPr>
          <w:p w14:paraId="17CCD541">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18DB22E7">
            <w:pPr>
              <w:jc w:val="left"/>
              <w:rPr>
                <w:rFonts w:ascii="宋体" w:hAnsi="宋体"/>
                <w:color w:val="000000"/>
                <w:sz w:val="18"/>
                <w:szCs w:val="18"/>
              </w:rPr>
            </w:pPr>
          </w:p>
        </w:tc>
      </w:tr>
      <w:tr w14:paraId="589DEE57">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5030F3D6">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6A66FDD8">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085469B6">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6BD7F031">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483DDC89">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02FBD66D">
            <w:pPr>
              <w:jc w:val="left"/>
              <w:rPr>
                <w:rFonts w:ascii="宋体" w:hAnsi="宋体"/>
                <w:color w:val="000000"/>
                <w:sz w:val="18"/>
                <w:szCs w:val="18"/>
              </w:rPr>
            </w:pPr>
          </w:p>
        </w:tc>
      </w:tr>
      <w:tr w14:paraId="00128CC6">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5CCBD531">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7ECFE600">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0751CDF9">
            <w:pPr>
              <w:widowControl/>
              <w:jc w:val="center"/>
              <w:textAlignment w:val="center"/>
              <w:rPr>
                <w:rFonts w:ascii="宋体" w:hAnsi="宋体"/>
                <w:color w:val="000000"/>
                <w:sz w:val="18"/>
                <w:szCs w:val="18"/>
              </w:rPr>
            </w:pPr>
            <w:r>
              <w:rPr>
                <w:rFonts w:hint="eastAsia" w:ascii="宋体" w:hAnsi="宋体"/>
                <w:color w:val="000000"/>
                <w:kern w:val="0"/>
                <w:sz w:val="18"/>
                <w:szCs w:val="18"/>
              </w:rPr>
              <w:t>生态效益</w:t>
            </w:r>
            <w:r>
              <w:rPr>
                <w:rFonts w:hint="eastAsia" w:ascii="宋体" w:hAnsi="宋体"/>
                <w:color w:val="000000"/>
                <w:kern w:val="0"/>
                <w:sz w:val="18"/>
                <w:szCs w:val="18"/>
              </w:rPr>
              <w:br w:type="textWrapping"/>
            </w:r>
            <w:r>
              <w:rPr>
                <w:rFonts w:hint="eastAsia" w:ascii="宋体" w:hAnsi="宋体"/>
                <w:color w:val="000000"/>
                <w:kern w:val="0"/>
                <w:sz w:val="18"/>
                <w:szCs w:val="18"/>
              </w:rPr>
              <w:t>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0D5EE1EE">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3694" w:type="dxa"/>
            <w:gridSpan w:val="4"/>
            <w:vAlign w:val="bottom"/>
          </w:tcPr>
          <w:p w14:paraId="193A1166">
            <w:pPr>
              <w:rPr>
                <w:rFonts w:ascii="Calibri" w:hAnsi="Calibri"/>
                <w:color w:val="000000"/>
                <w:sz w:val="18"/>
                <w:szCs w:val="18"/>
              </w:rPr>
            </w:pPr>
          </w:p>
        </w:tc>
        <w:tc>
          <w:tcPr>
            <w:tcW w:w="229" w:type="dxa"/>
            <w:tcBorders>
              <w:bottom w:val="single" w:color="000000" w:sz="4" w:space="0"/>
            </w:tcBorders>
            <w:vAlign w:val="bottom"/>
          </w:tcPr>
          <w:p w14:paraId="22214E7B">
            <w:pPr>
              <w:rPr>
                <w:rFonts w:ascii="Calibri" w:hAnsi="Calibri"/>
                <w:color w:val="000000"/>
                <w:sz w:val="18"/>
                <w:szCs w:val="18"/>
              </w:rPr>
            </w:pPr>
          </w:p>
        </w:tc>
        <w:tc>
          <w:tcPr>
            <w:tcW w:w="1402" w:type="dxa"/>
            <w:gridSpan w:val="3"/>
            <w:tcBorders>
              <w:top w:val="single" w:color="000000" w:sz="4" w:space="0"/>
              <w:left w:val="single" w:color="000000" w:sz="4" w:space="0"/>
              <w:bottom w:val="single" w:color="000000" w:sz="4" w:space="0"/>
              <w:right w:val="single" w:color="000000" w:sz="4" w:space="0"/>
            </w:tcBorders>
            <w:vAlign w:val="center"/>
          </w:tcPr>
          <w:p w14:paraId="0890B357">
            <w:pPr>
              <w:jc w:val="left"/>
              <w:rPr>
                <w:rFonts w:ascii="宋体" w:hAnsi="宋体"/>
                <w:color w:val="000000"/>
                <w:sz w:val="18"/>
                <w:szCs w:val="18"/>
              </w:rPr>
            </w:pPr>
          </w:p>
        </w:tc>
      </w:tr>
      <w:tr w14:paraId="2EE9D751">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599809DE">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7E75D523">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10A50F38">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5A72D30B">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bottom w:val="single" w:color="000000" w:sz="4" w:space="0"/>
            </w:tcBorders>
            <w:vAlign w:val="center"/>
          </w:tcPr>
          <w:p w14:paraId="1DCC78E0">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3A9E4385">
            <w:pPr>
              <w:jc w:val="left"/>
              <w:rPr>
                <w:rFonts w:ascii="宋体" w:hAnsi="宋体"/>
                <w:color w:val="000000"/>
                <w:sz w:val="18"/>
                <w:szCs w:val="18"/>
              </w:rPr>
            </w:pPr>
          </w:p>
        </w:tc>
      </w:tr>
      <w:tr w14:paraId="5B477D6E">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167A6814">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09B55D8E">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2D3CF2CF">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30352211">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340AEA4E">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555C4E0A">
            <w:pPr>
              <w:jc w:val="left"/>
              <w:rPr>
                <w:rFonts w:ascii="宋体" w:hAnsi="宋体"/>
                <w:color w:val="000000"/>
                <w:sz w:val="18"/>
                <w:szCs w:val="18"/>
              </w:rPr>
            </w:pPr>
          </w:p>
        </w:tc>
      </w:tr>
      <w:tr w14:paraId="1A80D278">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7F04C65F">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5A291560">
            <w:pPr>
              <w:jc w:val="center"/>
              <w:rPr>
                <w:rFonts w:ascii="宋体" w:hAnsi="宋体"/>
                <w:color w:val="000000"/>
                <w:sz w:val="18"/>
                <w:szCs w:val="18"/>
              </w:rPr>
            </w:pPr>
          </w:p>
        </w:tc>
        <w:tc>
          <w:tcPr>
            <w:tcW w:w="795" w:type="dxa"/>
            <w:gridSpan w:val="2"/>
            <w:tcBorders>
              <w:top w:val="single" w:color="000000" w:sz="4" w:space="0"/>
              <w:left w:val="nil"/>
            </w:tcBorders>
            <w:vAlign w:val="center"/>
          </w:tcPr>
          <w:p w14:paraId="33825F08">
            <w:pPr>
              <w:widowControl/>
              <w:jc w:val="center"/>
              <w:textAlignment w:val="center"/>
              <w:rPr>
                <w:rFonts w:ascii="宋体" w:hAnsi="宋体"/>
                <w:color w:val="000000"/>
                <w:sz w:val="18"/>
                <w:szCs w:val="18"/>
              </w:rPr>
            </w:pPr>
            <w:r>
              <w:rPr>
                <w:rFonts w:hint="eastAsia" w:ascii="宋体" w:hAnsi="宋体"/>
                <w:color w:val="000000"/>
                <w:kern w:val="0"/>
                <w:sz w:val="18"/>
                <w:szCs w:val="18"/>
              </w:rPr>
              <w:t>可持续影响</w:t>
            </w:r>
            <w:r>
              <w:rPr>
                <w:rFonts w:hint="eastAsia" w:ascii="宋体" w:hAnsi="宋体"/>
                <w:color w:val="000000"/>
                <w:kern w:val="0"/>
                <w:sz w:val="18"/>
                <w:szCs w:val="18"/>
              </w:rPr>
              <w:br w:type="textWrapping"/>
            </w:r>
            <w:r>
              <w:rPr>
                <w:rFonts w:hint="eastAsia" w:ascii="宋体" w:hAnsi="宋体"/>
                <w:color w:val="000000"/>
                <w:kern w:val="0"/>
                <w:sz w:val="18"/>
                <w:szCs w:val="18"/>
              </w:rPr>
              <w:t>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3E7F45A7">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bottom w:val="single" w:color="000000" w:sz="4" w:space="0"/>
            </w:tcBorders>
            <w:vAlign w:val="center"/>
          </w:tcPr>
          <w:p w14:paraId="4E7F5C4C">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7BD2EC37">
            <w:pPr>
              <w:jc w:val="left"/>
              <w:rPr>
                <w:rFonts w:ascii="宋体" w:hAnsi="宋体"/>
                <w:color w:val="000000"/>
                <w:sz w:val="18"/>
                <w:szCs w:val="18"/>
              </w:rPr>
            </w:pPr>
          </w:p>
        </w:tc>
      </w:tr>
      <w:tr w14:paraId="7D9FA027">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199E1640">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09B4A04C">
            <w:pPr>
              <w:jc w:val="center"/>
              <w:rPr>
                <w:rFonts w:ascii="宋体" w:hAnsi="宋体"/>
                <w:color w:val="000000"/>
                <w:sz w:val="18"/>
                <w:szCs w:val="18"/>
              </w:rPr>
            </w:pPr>
          </w:p>
        </w:tc>
        <w:tc>
          <w:tcPr>
            <w:tcW w:w="795" w:type="dxa"/>
            <w:gridSpan w:val="2"/>
            <w:tcBorders>
              <w:top w:val="single" w:color="000000" w:sz="4" w:space="0"/>
              <w:left w:val="nil"/>
            </w:tcBorders>
            <w:vAlign w:val="center"/>
          </w:tcPr>
          <w:p w14:paraId="74094A5A">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7333B23F">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bottom w:val="single" w:color="000000" w:sz="4" w:space="0"/>
            </w:tcBorders>
            <w:vAlign w:val="center"/>
          </w:tcPr>
          <w:p w14:paraId="1B39F618">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354B28BA">
            <w:pPr>
              <w:jc w:val="left"/>
              <w:rPr>
                <w:rFonts w:ascii="宋体" w:hAnsi="宋体"/>
                <w:color w:val="000000"/>
                <w:sz w:val="18"/>
                <w:szCs w:val="18"/>
              </w:rPr>
            </w:pPr>
          </w:p>
        </w:tc>
      </w:tr>
      <w:tr w14:paraId="319E2EDD">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326F43D1">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16164E59">
            <w:pPr>
              <w:jc w:val="center"/>
              <w:rPr>
                <w:rFonts w:ascii="宋体" w:hAnsi="宋体"/>
                <w:color w:val="000000"/>
                <w:sz w:val="18"/>
                <w:szCs w:val="18"/>
              </w:rPr>
            </w:pPr>
          </w:p>
        </w:tc>
        <w:tc>
          <w:tcPr>
            <w:tcW w:w="795" w:type="dxa"/>
            <w:gridSpan w:val="2"/>
            <w:tcBorders>
              <w:top w:val="single" w:color="000000" w:sz="4" w:space="0"/>
              <w:left w:val="nil"/>
            </w:tcBorders>
            <w:vAlign w:val="center"/>
          </w:tcPr>
          <w:p w14:paraId="71CA8E8E">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612782A4">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25CBECEB">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2B02D82B">
            <w:pPr>
              <w:jc w:val="left"/>
              <w:rPr>
                <w:rFonts w:ascii="宋体" w:hAnsi="宋体"/>
                <w:color w:val="000000"/>
                <w:sz w:val="18"/>
                <w:szCs w:val="18"/>
              </w:rPr>
            </w:pPr>
          </w:p>
        </w:tc>
      </w:tr>
      <w:tr w14:paraId="11D05023">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34C81DC9">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60818D0A">
            <w:pPr>
              <w:widowControl/>
              <w:jc w:val="center"/>
              <w:textAlignment w:val="center"/>
              <w:rPr>
                <w:rFonts w:ascii="宋体" w:hAnsi="宋体"/>
                <w:color w:val="000000"/>
                <w:sz w:val="18"/>
                <w:szCs w:val="18"/>
              </w:rPr>
            </w:pPr>
            <w:r>
              <w:rPr>
                <w:rFonts w:hint="eastAsia" w:ascii="宋体" w:hAnsi="宋体"/>
                <w:color w:val="000000"/>
                <w:kern w:val="0"/>
                <w:sz w:val="18"/>
                <w:szCs w:val="18"/>
              </w:rPr>
              <w:t>满意度</w:t>
            </w:r>
            <w:r>
              <w:rPr>
                <w:rFonts w:hint="eastAsia" w:ascii="宋体" w:hAnsi="宋体"/>
                <w:color w:val="000000"/>
                <w:kern w:val="0"/>
                <w:sz w:val="18"/>
                <w:szCs w:val="18"/>
              </w:rPr>
              <w:br w:type="textWrapping"/>
            </w:r>
            <w:r>
              <w:rPr>
                <w:rFonts w:hint="eastAsia" w:ascii="宋体" w:hAnsi="宋体"/>
                <w:color w:val="000000"/>
                <w:kern w:val="0"/>
                <w:sz w:val="18"/>
                <w:szCs w:val="18"/>
              </w:rPr>
              <w:t>指标</w:t>
            </w:r>
          </w:p>
        </w:tc>
        <w:tc>
          <w:tcPr>
            <w:tcW w:w="795" w:type="dxa"/>
            <w:gridSpan w:val="2"/>
            <w:tcBorders>
              <w:top w:val="single" w:color="000000" w:sz="4" w:space="0"/>
              <w:left w:val="nil"/>
              <w:bottom w:val="single" w:color="000000" w:sz="4" w:space="0"/>
            </w:tcBorders>
            <w:vAlign w:val="center"/>
          </w:tcPr>
          <w:p w14:paraId="761A61FE">
            <w:pPr>
              <w:widowControl/>
              <w:jc w:val="center"/>
              <w:textAlignment w:val="center"/>
              <w:rPr>
                <w:rFonts w:ascii="宋体" w:hAnsi="宋体"/>
                <w:color w:val="000000"/>
                <w:sz w:val="18"/>
                <w:szCs w:val="18"/>
              </w:rPr>
            </w:pPr>
            <w:r>
              <w:rPr>
                <w:rFonts w:hint="eastAsia" w:ascii="宋体" w:hAnsi="宋体"/>
                <w:color w:val="000000"/>
                <w:kern w:val="0"/>
                <w:sz w:val="18"/>
                <w:szCs w:val="18"/>
              </w:rPr>
              <w:t>满意度指标</w:t>
            </w: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2B128F52">
            <w:pPr>
              <w:widowControl/>
              <w:jc w:val="center"/>
              <w:textAlignment w:val="center"/>
              <w:rPr>
                <w:rFonts w:ascii="宋体" w:hAnsi="宋体"/>
                <w:color w:val="000000"/>
                <w:sz w:val="18"/>
                <w:szCs w:val="18"/>
              </w:rPr>
            </w:pPr>
            <w:r>
              <w:rPr>
                <w:rFonts w:hint="eastAsia" w:ascii="宋体" w:hAnsi="宋体"/>
                <w:color w:val="000000"/>
                <w:kern w:val="0"/>
                <w:sz w:val="18"/>
                <w:szCs w:val="18"/>
              </w:rPr>
              <w:t>指标1；</w:t>
            </w:r>
          </w:p>
        </w:tc>
        <w:tc>
          <w:tcPr>
            <w:tcW w:w="1531" w:type="dxa"/>
            <w:tcBorders>
              <w:top w:val="single" w:color="000000" w:sz="4" w:space="0"/>
              <w:bottom w:val="single" w:color="000000" w:sz="4" w:space="0"/>
            </w:tcBorders>
            <w:vAlign w:val="center"/>
          </w:tcPr>
          <w:p w14:paraId="6D846ECE">
            <w:pPr>
              <w:widowControl/>
              <w:jc w:val="left"/>
              <w:textAlignment w:val="center"/>
              <w:rPr>
                <w:rFonts w:ascii="宋体" w:hAnsi="宋体"/>
                <w:color w:val="000000"/>
                <w:sz w:val="18"/>
                <w:szCs w:val="18"/>
              </w:rPr>
            </w:pPr>
            <w:r>
              <w:rPr>
                <w:rFonts w:hint="eastAsia" w:ascii="宋体" w:hAnsi="宋体"/>
                <w:color w:val="000000"/>
                <w:kern w:val="0"/>
                <w:sz w:val="18"/>
                <w:szCs w:val="18"/>
              </w:rPr>
              <w:t>广大群众满意度提高</w:t>
            </w: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2468CD14">
            <w:pPr>
              <w:widowControl/>
              <w:jc w:val="left"/>
              <w:textAlignment w:val="center"/>
              <w:rPr>
                <w:rFonts w:ascii="宋体" w:hAnsi="宋体"/>
                <w:color w:val="000000"/>
                <w:sz w:val="18"/>
                <w:szCs w:val="18"/>
              </w:rPr>
            </w:pPr>
            <w:r>
              <w:rPr>
                <w:rFonts w:hint="eastAsia" w:ascii="宋体" w:hAnsi="宋体"/>
                <w:color w:val="000000"/>
                <w:kern w:val="0"/>
                <w:sz w:val="18"/>
                <w:szCs w:val="18"/>
              </w:rPr>
              <w:t>95%以上</w:t>
            </w:r>
          </w:p>
        </w:tc>
      </w:tr>
      <w:tr w14:paraId="51F920A2">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17A4C6CA">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21479A2C">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1B52B780">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19AF5984">
            <w:pPr>
              <w:widowControl/>
              <w:jc w:val="center"/>
              <w:textAlignment w:val="center"/>
              <w:rPr>
                <w:rFonts w:ascii="宋体" w:hAnsi="宋体"/>
                <w:color w:val="000000"/>
                <w:sz w:val="18"/>
                <w:szCs w:val="18"/>
              </w:rPr>
            </w:pPr>
            <w:r>
              <w:rPr>
                <w:rFonts w:hint="eastAsia" w:ascii="宋体" w:hAnsi="宋体"/>
                <w:color w:val="000000"/>
                <w:kern w:val="0"/>
                <w:sz w:val="18"/>
                <w:szCs w:val="18"/>
              </w:rPr>
              <w:t>指标2；</w:t>
            </w:r>
          </w:p>
        </w:tc>
        <w:tc>
          <w:tcPr>
            <w:tcW w:w="1531" w:type="dxa"/>
            <w:tcBorders>
              <w:top w:val="single" w:color="000000" w:sz="4" w:space="0"/>
              <w:bottom w:val="single" w:color="000000" w:sz="4" w:space="0"/>
            </w:tcBorders>
            <w:vAlign w:val="center"/>
          </w:tcPr>
          <w:p w14:paraId="297CA5DA">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112DA34B">
            <w:pPr>
              <w:jc w:val="left"/>
              <w:rPr>
                <w:rFonts w:ascii="宋体" w:hAnsi="宋体"/>
                <w:color w:val="000000"/>
                <w:sz w:val="18"/>
                <w:szCs w:val="18"/>
              </w:rPr>
            </w:pPr>
          </w:p>
        </w:tc>
      </w:tr>
      <w:tr w14:paraId="2DD2A2A9">
        <w:tblPrEx>
          <w:tblCellMar>
            <w:top w:w="15" w:type="dxa"/>
            <w:left w:w="15" w:type="dxa"/>
            <w:bottom w:w="15" w:type="dxa"/>
            <w:right w:w="15" w:type="dxa"/>
          </w:tblCellMar>
        </w:tblPrEx>
        <w:trPr>
          <w:trHeight w:val="285" w:hRule="atLeast"/>
        </w:trPr>
        <w:tc>
          <w:tcPr>
            <w:tcW w:w="489" w:type="dxa"/>
            <w:tcBorders>
              <w:top w:val="single" w:color="000000" w:sz="4" w:space="0"/>
              <w:left w:val="single" w:color="000000" w:sz="4" w:space="0"/>
              <w:bottom w:val="single" w:color="000000" w:sz="4" w:space="0"/>
              <w:right w:val="single" w:color="000000" w:sz="4" w:space="0"/>
            </w:tcBorders>
            <w:vAlign w:val="center"/>
          </w:tcPr>
          <w:p w14:paraId="31DD81E0">
            <w:pPr>
              <w:jc w:val="center"/>
              <w:rPr>
                <w:rFonts w:ascii="宋体" w:hAnsi="宋体"/>
                <w:color w:val="000000"/>
                <w:sz w:val="18"/>
                <w:szCs w:val="18"/>
              </w:rPr>
            </w:pPr>
          </w:p>
        </w:tc>
        <w:tc>
          <w:tcPr>
            <w:tcW w:w="428" w:type="dxa"/>
            <w:tcBorders>
              <w:top w:val="single" w:color="000000" w:sz="4" w:space="0"/>
              <w:left w:val="nil"/>
              <w:bottom w:val="single" w:color="000000" w:sz="4" w:space="0"/>
              <w:right w:val="single" w:color="000000" w:sz="4" w:space="0"/>
            </w:tcBorders>
            <w:vAlign w:val="center"/>
          </w:tcPr>
          <w:p w14:paraId="04FCB5F4">
            <w:pPr>
              <w:jc w:val="center"/>
              <w:rPr>
                <w:rFonts w:ascii="宋体" w:hAnsi="宋体"/>
                <w:color w:val="000000"/>
                <w:sz w:val="18"/>
                <w:szCs w:val="18"/>
              </w:rPr>
            </w:pPr>
          </w:p>
        </w:tc>
        <w:tc>
          <w:tcPr>
            <w:tcW w:w="795" w:type="dxa"/>
            <w:gridSpan w:val="2"/>
            <w:tcBorders>
              <w:top w:val="single" w:color="000000" w:sz="4" w:space="0"/>
              <w:left w:val="nil"/>
              <w:bottom w:val="single" w:color="000000" w:sz="4" w:space="0"/>
            </w:tcBorders>
            <w:vAlign w:val="center"/>
          </w:tcPr>
          <w:p w14:paraId="214477D0">
            <w:pPr>
              <w:jc w:val="center"/>
              <w:rPr>
                <w:rFonts w:ascii="宋体" w:hAnsi="宋体"/>
                <w:color w:val="000000"/>
                <w:sz w:val="18"/>
                <w:szCs w:val="18"/>
              </w:rPr>
            </w:pPr>
          </w:p>
        </w:tc>
        <w:tc>
          <w:tcPr>
            <w:tcW w:w="823" w:type="dxa"/>
            <w:gridSpan w:val="2"/>
            <w:tcBorders>
              <w:top w:val="single" w:color="000000" w:sz="4" w:space="0"/>
              <w:left w:val="single" w:color="000000" w:sz="4" w:space="0"/>
              <w:bottom w:val="single" w:color="000000" w:sz="4" w:space="0"/>
              <w:right w:val="single" w:color="000000" w:sz="4" w:space="0"/>
            </w:tcBorders>
            <w:vAlign w:val="center"/>
          </w:tcPr>
          <w:p w14:paraId="073892BC">
            <w:pPr>
              <w:widowControl/>
              <w:jc w:val="center"/>
              <w:textAlignment w:val="center"/>
              <w:rPr>
                <w:rFonts w:ascii="宋体" w:hAnsi="宋体"/>
                <w:color w:val="000000"/>
                <w:sz w:val="18"/>
                <w:szCs w:val="18"/>
              </w:rPr>
            </w:pPr>
            <w:r>
              <w:rPr>
                <w:rFonts w:hint="eastAsia" w:ascii="宋体" w:hAnsi="宋体"/>
                <w:color w:val="000000"/>
                <w:kern w:val="0"/>
                <w:sz w:val="18"/>
                <w:szCs w:val="18"/>
              </w:rPr>
              <w:t>指标3；</w:t>
            </w:r>
          </w:p>
        </w:tc>
        <w:tc>
          <w:tcPr>
            <w:tcW w:w="1531" w:type="dxa"/>
            <w:tcBorders>
              <w:top w:val="single" w:color="000000" w:sz="4" w:space="0"/>
              <w:bottom w:val="single" w:color="000000" w:sz="4" w:space="0"/>
            </w:tcBorders>
            <w:vAlign w:val="center"/>
          </w:tcPr>
          <w:p w14:paraId="68E02588">
            <w:pPr>
              <w:jc w:val="left"/>
              <w:rPr>
                <w:rFonts w:ascii="宋体" w:hAnsi="宋体"/>
                <w:color w:val="000000"/>
                <w:sz w:val="18"/>
                <w:szCs w:val="18"/>
              </w:rPr>
            </w:pPr>
          </w:p>
        </w:tc>
        <w:tc>
          <w:tcPr>
            <w:tcW w:w="3794" w:type="dxa"/>
            <w:gridSpan w:val="7"/>
            <w:tcBorders>
              <w:top w:val="single" w:color="000000" w:sz="4" w:space="0"/>
              <w:left w:val="single" w:color="000000" w:sz="4" w:space="0"/>
              <w:bottom w:val="single" w:color="000000" w:sz="4" w:space="0"/>
              <w:right w:val="single" w:color="000000" w:sz="4" w:space="0"/>
            </w:tcBorders>
            <w:vAlign w:val="center"/>
          </w:tcPr>
          <w:p w14:paraId="2DAEED4B">
            <w:pPr>
              <w:jc w:val="left"/>
              <w:rPr>
                <w:rFonts w:ascii="宋体" w:hAnsi="宋体"/>
                <w:color w:val="000000"/>
                <w:sz w:val="18"/>
                <w:szCs w:val="18"/>
              </w:rPr>
            </w:pPr>
          </w:p>
        </w:tc>
      </w:tr>
    </w:tbl>
    <w:p w14:paraId="38E73FD7">
      <w:pPr>
        <w:tabs>
          <w:tab w:val="left" w:pos="312"/>
        </w:tabs>
        <w:spacing w:line="580" w:lineRule="exact"/>
        <w:rPr>
          <w:rFonts w:ascii="仿宋_GB2312" w:hAnsi="仿宋_GB2312" w:eastAsia="仿宋_GB2312" w:cs="仿宋_GB2312"/>
          <w:sz w:val="32"/>
          <w:szCs w:val="32"/>
        </w:rPr>
      </w:pPr>
    </w:p>
    <w:p w14:paraId="36F2D524">
      <w:pPr>
        <w:rPr>
          <w:rFonts w:ascii="Calibri" w:hAnsi="Calibri"/>
        </w:rPr>
      </w:pPr>
    </w:p>
    <w:p w14:paraId="2793A013">
      <w:pPr>
        <w:spacing w:line="580" w:lineRule="exact"/>
        <w:rPr>
          <w:rFonts w:ascii="仿宋_GB2312" w:hAnsi="仿宋_GB2312" w:eastAsia="仿宋_GB2312" w:cs="仿宋_GB2312"/>
          <w:sz w:val="32"/>
          <w:szCs w:val="32"/>
        </w:rPr>
      </w:pPr>
    </w:p>
    <w:p w14:paraId="7ED84478">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6505309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本部门按要求对2018年部门整体支出绩效评价情况开展自评，《松潘县红十字会2018年部门整体支出绩效评价报告》见附件。</w:t>
      </w:r>
    </w:p>
    <w:p w14:paraId="3B76B35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本部门自行组织对救灾、备灾、应急救护项目、救灾、备灾、应急救护项目开展了绩效评价，《救灾、备灾、应急救护项目2018年绩效评价报告》见附件。</w:t>
      </w:r>
    </w:p>
    <w:p w14:paraId="50A34E8C">
      <w:pPr>
        <w:spacing w:line="580" w:lineRule="exact"/>
        <w:jc w:val="center"/>
        <w:rPr>
          <w:rFonts w:ascii="方正小标宋简体" w:hAnsi="方正小标宋简体" w:eastAsia="方正小标宋简体" w:cs="方正小标宋简体"/>
          <w:sz w:val="44"/>
          <w:szCs w:val="44"/>
        </w:rPr>
      </w:pPr>
    </w:p>
    <w:p w14:paraId="783F7A6B">
      <w:pPr>
        <w:spacing w:line="600" w:lineRule="exact"/>
        <w:ind w:firstLine="800" w:firstLineChars="250"/>
        <w:outlineLvl w:val="1"/>
        <w:rPr>
          <w:rStyle w:val="26"/>
          <w:rFonts w:ascii="黑体" w:hAnsi="黑体" w:eastAsia="黑体"/>
        </w:rPr>
      </w:pPr>
      <w:bookmarkStart w:id="48" w:name="_Toc15377221"/>
      <w:bookmarkStart w:id="49"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48"/>
      <w:bookmarkEnd w:id="49"/>
    </w:p>
    <w:p w14:paraId="5382F555">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14:paraId="5EF93A11">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8年，红十字会机关运行经费支出23.49万元，比</w:t>
      </w:r>
      <w:r>
        <w:rPr>
          <w:rFonts w:ascii="仿宋_GB2312" w:eastAsia="仿宋_GB2312"/>
          <w:color w:val="000000"/>
          <w:sz w:val="32"/>
          <w:szCs w:val="32"/>
        </w:rPr>
        <w:t>201</w:t>
      </w:r>
      <w:r>
        <w:rPr>
          <w:rFonts w:hint="eastAsia" w:ascii="仿宋_GB2312" w:eastAsia="仿宋_GB2312"/>
          <w:color w:val="000000"/>
          <w:sz w:val="32"/>
          <w:szCs w:val="32"/>
        </w:rPr>
        <w:t>7年增加2.16万元，增长10.13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主要原因是单位日常工作增加。</w:t>
      </w:r>
    </w:p>
    <w:p w14:paraId="36A8A9E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14:paraId="1176A0EB">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8年，本单位政府采购支出总额0万元，其中：政府采购货物支出0万元、政府采购工程支出0万元、政府采购服务支出0万元。授予中小企业合同金额0万元，占政府采购支出总额的0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2FA01A7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14:paraId="6EED333C">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日，本单位共有车辆1辆，其中：部级领导干部用车0辆、一般公务用车1辆、一般执法执勤用车0辆、特种专业技术用车0辆、其他用车0辆，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14:paraId="175E959F">
      <w:pPr>
        <w:spacing w:line="600" w:lineRule="atLeast"/>
        <w:ind w:firstLine="643" w:firstLineChars="200"/>
        <w:rPr>
          <w:rFonts w:ascii="仿宋_GB2312" w:eastAsia="仿宋_GB2312"/>
          <w:b/>
          <w:color w:val="000000"/>
          <w:sz w:val="32"/>
          <w:szCs w:val="32"/>
        </w:rPr>
      </w:pPr>
    </w:p>
    <w:p w14:paraId="3E2332B0">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7BF5250">
      <w:pPr>
        <w:numPr>
          <w:ilvl w:val="0"/>
          <w:numId w:val="5"/>
        </w:numPr>
        <w:spacing w:line="600" w:lineRule="exact"/>
        <w:ind w:firstLine="663" w:firstLineChars="150"/>
        <w:jc w:val="center"/>
        <w:outlineLvl w:val="0"/>
        <w:rPr>
          <w:rStyle w:val="25"/>
          <w:rFonts w:ascii="黑体" w:hAnsi="黑体" w:eastAsia="黑体"/>
          <w:b w:val="0"/>
        </w:rPr>
      </w:pPr>
      <w:bookmarkStart w:id="53" w:name="_Toc15377225"/>
      <w:bookmarkStart w:id="54"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3"/>
      <w:bookmarkEnd w:id="54"/>
    </w:p>
    <w:p w14:paraId="21DEC830">
      <w:pPr>
        <w:spacing w:line="600" w:lineRule="exact"/>
        <w:jc w:val="left"/>
        <w:rPr>
          <w:rFonts w:ascii="宋体"/>
          <w:b/>
          <w:color w:val="000000"/>
          <w:sz w:val="44"/>
          <w:szCs w:val="44"/>
        </w:rPr>
      </w:pPr>
    </w:p>
    <w:p w14:paraId="09D68FA5">
      <w:pPr>
        <w:widowControl/>
        <w:shd w:val="clear" w:color="auto" w:fill="FBFBFB"/>
        <w:autoSpaceDE w:val="0"/>
        <w:spacing w:line="540" w:lineRule="exact"/>
        <w:ind w:firstLine="640"/>
        <w:jc w:val="left"/>
        <w:rPr>
          <w:rFonts w:ascii="仿宋" w:hAnsi="仿宋" w:eastAsia="仿宋"/>
          <w:kern w:val="0"/>
          <w:sz w:val="32"/>
          <w:szCs w:val="32"/>
        </w:rPr>
      </w:pPr>
      <w:r>
        <w:rPr>
          <w:rFonts w:hint="eastAsia" w:ascii="仿宋" w:hAnsi="仿宋" w:eastAsia="仿宋"/>
          <w:kern w:val="0"/>
          <w:sz w:val="32"/>
          <w:szCs w:val="32"/>
        </w:rPr>
        <w:t>1.财政拨款收入：指州级财政当年拨付的资金。</w:t>
      </w:r>
    </w:p>
    <w:p w14:paraId="3B8A2F1A">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2.事业收入：指事业单位开展专业业务活动及辅助活动所取得的收入。</w:t>
      </w:r>
    </w:p>
    <w:p w14:paraId="035F266F">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3.经营收入：指事业单位在专业业务活动及其辅助活动之外开展非独立核算经营活动取得的收入。</w:t>
      </w:r>
    </w:p>
    <w:p w14:paraId="2B20EA1C">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4.其他收入：指除上述“财政拨款收入</w:t>
      </w:r>
      <w:r>
        <w:rPr>
          <w:rFonts w:hint="eastAsia" w:ascii="仿宋" w:hAnsi="仿宋" w:eastAsia="仿宋"/>
          <w:kern w:val="0"/>
          <w:sz w:val="32"/>
          <w:szCs w:val="32"/>
          <w:lang w:eastAsia="zh-CN"/>
        </w:rPr>
        <w:t>”“</w:t>
      </w:r>
      <w:r>
        <w:rPr>
          <w:rFonts w:hint="eastAsia" w:ascii="仿宋" w:hAnsi="仿宋" w:eastAsia="仿宋"/>
          <w:kern w:val="0"/>
          <w:sz w:val="32"/>
          <w:szCs w:val="32"/>
        </w:rPr>
        <w:t>事业收入</w:t>
      </w:r>
      <w:r>
        <w:rPr>
          <w:rFonts w:hint="eastAsia" w:ascii="仿宋" w:hAnsi="仿宋" w:eastAsia="仿宋"/>
          <w:kern w:val="0"/>
          <w:sz w:val="32"/>
          <w:szCs w:val="32"/>
          <w:lang w:eastAsia="zh-CN"/>
        </w:rPr>
        <w:t>”“</w:t>
      </w:r>
      <w:r>
        <w:rPr>
          <w:rFonts w:hint="eastAsia" w:ascii="仿宋" w:hAnsi="仿宋" w:eastAsia="仿宋"/>
          <w:kern w:val="0"/>
          <w:sz w:val="32"/>
          <w:szCs w:val="32"/>
        </w:rPr>
        <w:t>经营收入”等以外的收入。</w:t>
      </w:r>
    </w:p>
    <w:p w14:paraId="23BA6CCC">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5.用事业基金弥补收支差额：指事业单位在当年的“财政拨款收入</w:t>
      </w:r>
      <w:r>
        <w:rPr>
          <w:rFonts w:hint="eastAsia" w:ascii="仿宋" w:hAnsi="仿宋" w:eastAsia="仿宋"/>
          <w:kern w:val="0"/>
          <w:sz w:val="32"/>
          <w:szCs w:val="32"/>
          <w:lang w:eastAsia="zh-CN"/>
        </w:rPr>
        <w:t>”“</w:t>
      </w:r>
      <w:r>
        <w:rPr>
          <w:rFonts w:hint="eastAsia" w:ascii="仿宋" w:hAnsi="仿宋" w:eastAsia="仿宋"/>
          <w:kern w:val="0"/>
          <w:sz w:val="32"/>
          <w:szCs w:val="32"/>
        </w:rPr>
        <w:t>事业收入</w:t>
      </w:r>
      <w:r>
        <w:rPr>
          <w:rFonts w:hint="eastAsia" w:ascii="仿宋" w:hAnsi="仿宋" w:eastAsia="仿宋"/>
          <w:kern w:val="0"/>
          <w:sz w:val="32"/>
          <w:szCs w:val="32"/>
          <w:lang w:eastAsia="zh-CN"/>
        </w:rPr>
        <w:t>”“</w:t>
      </w:r>
      <w:r>
        <w:rPr>
          <w:rFonts w:hint="eastAsia" w:ascii="仿宋" w:hAnsi="仿宋" w:eastAsia="仿宋"/>
          <w:kern w:val="0"/>
          <w:sz w:val="32"/>
          <w:szCs w:val="32"/>
        </w:rPr>
        <w:t>经营收入</w:t>
      </w:r>
      <w:r>
        <w:rPr>
          <w:rFonts w:hint="eastAsia" w:ascii="仿宋" w:hAnsi="仿宋" w:eastAsia="仿宋"/>
          <w:kern w:val="0"/>
          <w:sz w:val="32"/>
          <w:szCs w:val="32"/>
          <w:lang w:eastAsia="zh-CN"/>
        </w:rPr>
        <w:t>”“</w:t>
      </w:r>
      <w:r>
        <w:rPr>
          <w:rFonts w:hint="eastAsia" w:ascii="仿宋" w:hAnsi="仿宋" w:eastAsia="仿宋"/>
          <w:kern w:val="0"/>
          <w:sz w:val="32"/>
          <w:szCs w:val="32"/>
        </w:rPr>
        <w:t>其他收入”不足以安排当年支出的情况下，使用以前年度积累的事业基金（事业单位当年收支相抵后按国家规定提取、用于弥补以后年度收支差额的基金）弥补本年度收支缺口的资金。</w:t>
      </w:r>
    </w:p>
    <w:p w14:paraId="0B46662F">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6.年初结转和结余：指以前年度尚未完成、结转到本年按有关规定继续使用的资金。</w:t>
      </w:r>
    </w:p>
    <w:p w14:paraId="56045F30">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7.社会保障和就业2080101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14:paraId="20919BEB">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8.医疗卫生与计划生育2100501</w:t>
      </w:r>
      <w:r>
        <w:rPr>
          <w:rFonts w:hint="eastAsia" w:ascii="仿宋" w:hAnsi="仿宋" w:eastAsia="仿宋"/>
          <w:kern w:val="0"/>
          <w:sz w:val="32"/>
          <w:szCs w:val="32"/>
          <w:lang w:eastAsia="zh-CN"/>
        </w:rPr>
        <w:t>：</w:t>
      </w:r>
      <w:r>
        <w:rPr>
          <w:rFonts w:hint="eastAsia" w:ascii="仿宋" w:hAnsi="仿宋" w:eastAsia="仿宋"/>
          <w:kern w:val="0"/>
          <w:sz w:val="32"/>
          <w:szCs w:val="32"/>
        </w:rPr>
        <w:t>指职工的医疗保险。</w:t>
      </w:r>
    </w:p>
    <w:p w14:paraId="79D864C0">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9.住房保障支出2210201：指职工的住房公积金。</w:t>
      </w:r>
    </w:p>
    <w:p w14:paraId="7228BE43">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10.结余分配：指事业单位按规定提取的职工福利基金、事业基金和缴纳的所得税，以及建设单位按规定应交回的基本建设竣工项目结余资金。</w:t>
      </w:r>
    </w:p>
    <w:p w14:paraId="291B481E">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11.年末结转和结余：指本年度或以前年度预算安排、因客观条件发生变化无法按原计划实施，需延迟到以后年度按有关规定继续使用的资金。</w:t>
      </w:r>
    </w:p>
    <w:p w14:paraId="4837A2C9">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12.基本支出：指为保障机构正常运转、完成日常工作任务而发生的人员支出和公用支出。</w:t>
      </w:r>
    </w:p>
    <w:p w14:paraId="5CEB239D">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13.项目支出：指在基本支出之外为完成特定行政任务和事业发展目标所发生的支出。</w:t>
      </w:r>
    </w:p>
    <w:p w14:paraId="49450060">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14.经营支出：指事业单位在专业业务活动及其辅助活动之外开展非独立核算经营活动发生的支出。</w:t>
      </w:r>
    </w:p>
    <w:p w14:paraId="4BB62DE3">
      <w:pPr>
        <w:widowControl/>
        <w:shd w:val="clear" w:color="auto" w:fill="FBFBFB"/>
        <w:autoSpaceDE w:val="0"/>
        <w:spacing w:line="540" w:lineRule="exact"/>
        <w:ind w:firstLine="640"/>
        <w:jc w:val="left"/>
        <w:rPr>
          <w:rFonts w:hint="eastAsia" w:ascii="仿宋" w:hAnsi="仿宋" w:eastAsia="仿宋"/>
          <w:kern w:val="0"/>
          <w:sz w:val="32"/>
          <w:szCs w:val="32"/>
        </w:rPr>
      </w:pPr>
      <w:r>
        <w:rPr>
          <w:rFonts w:hint="eastAsia" w:ascii="仿宋" w:hAnsi="仿宋" w:eastAsia="仿宋"/>
          <w:kern w:val="0"/>
          <w:sz w:val="32"/>
          <w:szCs w:val="32"/>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7C5207E">
      <w:pPr>
        <w:widowControl/>
        <w:shd w:val="clear" w:color="auto" w:fill="FBFBFB"/>
        <w:autoSpaceDE w:val="0"/>
        <w:spacing w:line="540" w:lineRule="exact"/>
        <w:ind w:firstLine="640"/>
        <w:jc w:val="left"/>
        <w:rPr>
          <w:rFonts w:hint="eastAsia" w:ascii="仿宋" w:hAnsi="仿宋" w:eastAsia="仿宋"/>
          <w:sz w:val="32"/>
          <w:szCs w:val="32"/>
        </w:rPr>
      </w:pPr>
      <w:r>
        <w:rPr>
          <w:rFonts w:hint="eastAsia" w:ascii="仿宋" w:hAnsi="仿宋" w:eastAsia="仿宋"/>
          <w:kern w:val="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41CD15">
      <w:pPr>
        <w:spacing w:line="600" w:lineRule="exact"/>
        <w:jc w:val="center"/>
        <w:outlineLvl w:val="0"/>
        <w:rPr>
          <w:rStyle w:val="25"/>
          <w:rFonts w:ascii="黑体" w:hAnsi="黑体" w:eastAsia="黑体"/>
          <w:b w:val="0"/>
        </w:rPr>
      </w:pPr>
      <w:bookmarkStart w:id="55" w:name="_Toc15377226"/>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6"/>
    </w:p>
    <w:p w14:paraId="546CEDDF">
      <w:pPr>
        <w:spacing w:line="600" w:lineRule="exact"/>
        <w:jc w:val="center"/>
        <w:outlineLvl w:val="0"/>
        <w:rPr>
          <w:rStyle w:val="25"/>
        </w:rPr>
      </w:pPr>
    </w:p>
    <w:p w14:paraId="76AAC332">
      <w:pPr>
        <w:pStyle w:val="3"/>
        <w:rPr>
          <w:rStyle w:val="25"/>
          <w:rFonts w:ascii="仿宋" w:hAnsi="仿宋" w:eastAsia="仿宋"/>
          <w:b w:val="0"/>
          <w:bCs w:val="0"/>
          <w:sz w:val="32"/>
          <w:szCs w:val="32"/>
        </w:rPr>
      </w:pPr>
      <w:bookmarkStart w:id="57" w:name="_Toc15396615"/>
      <w:r>
        <w:rPr>
          <w:rStyle w:val="25"/>
          <w:rFonts w:hint="eastAsia" w:ascii="仿宋" w:hAnsi="仿宋" w:eastAsia="仿宋"/>
          <w:b w:val="0"/>
          <w:bCs w:val="0"/>
          <w:sz w:val="32"/>
          <w:szCs w:val="32"/>
        </w:rPr>
        <w:t>附件1</w:t>
      </w:r>
      <w:bookmarkEnd w:id="57"/>
    </w:p>
    <w:p w14:paraId="3E988886">
      <w:pPr>
        <w:jc w:val="center"/>
        <w:rPr>
          <w:rFonts w:ascii="方正小标宋简体" w:eastAsia="方正小标宋简体"/>
          <w:b/>
          <w:bCs/>
          <w:sz w:val="44"/>
          <w:szCs w:val="44"/>
        </w:rPr>
      </w:pPr>
      <w:r>
        <w:rPr>
          <w:rFonts w:hint="eastAsia" w:ascii="方正小标宋简体" w:eastAsia="方正小标宋简体"/>
          <w:b/>
          <w:bCs/>
          <w:sz w:val="44"/>
          <w:szCs w:val="44"/>
        </w:rPr>
        <w:t>松潘县红十字会</w:t>
      </w:r>
    </w:p>
    <w:p w14:paraId="59D3A142">
      <w:pPr>
        <w:jc w:val="center"/>
        <w:rPr>
          <w:rFonts w:hint="eastAsia" w:ascii="宋体"/>
          <w:b/>
          <w:bCs/>
          <w:sz w:val="32"/>
          <w:szCs w:val="32"/>
        </w:rPr>
      </w:pPr>
      <w:r>
        <w:rPr>
          <w:rFonts w:hint="eastAsia" w:ascii="方正小标宋简体" w:eastAsia="方正小标宋简体"/>
          <w:b/>
          <w:bCs/>
          <w:sz w:val="44"/>
          <w:szCs w:val="44"/>
        </w:rPr>
        <w:t>2018年度部门整体支出绩效自评报告</w:t>
      </w:r>
    </w:p>
    <w:p w14:paraId="20EAD804">
      <w:pPr>
        <w:rPr>
          <w:rFonts w:hint="eastAsia" w:ascii="仿宋_GB2312" w:hAnsi="宋体" w:eastAsia="仿宋_GB2312"/>
          <w:b/>
          <w:bCs/>
          <w:sz w:val="32"/>
          <w:szCs w:val="32"/>
        </w:rPr>
      </w:pPr>
      <w:r>
        <w:rPr>
          <w:rFonts w:hint="eastAsia" w:ascii="仿宋_GB2312" w:hAnsi="宋体" w:eastAsia="仿宋_GB2312"/>
          <w:b/>
          <w:bCs/>
          <w:sz w:val="32"/>
          <w:szCs w:val="32"/>
        </w:rPr>
        <w:t xml:space="preserve"> </w:t>
      </w:r>
    </w:p>
    <w:p w14:paraId="4FECDE17">
      <w:pPr>
        <w:numPr>
          <w:ilvl w:val="0"/>
          <w:numId w:val="6"/>
        </w:numPr>
        <w:ind w:firstLine="421" w:firstLineChars="131"/>
        <w:rPr>
          <w:rFonts w:hint="eastAsia" w:ascii="仿宋" w:hAnsi="仿宋" w:eastAsia="仿宋"/>
          <w:b/>
          <w:bCs/>
          <w:sz w:val="32"/>
          <w:szCs w:val="32"/>
        </w:rPr>
      </w:pPr>
      <w:r>
        <w:rPr>
          <w:rFonts w:hint="eastAsia" w:ascii="仿宋" w:hAnsi="仿宋" w:eastAsia="仿宋"/>
          <w:b/>
          <w:bCs/>
          <w:sz w:val="32"/>
          <w:szCs w:val="32"/>
        </w:rPr>
        <w:t>部门（单位）概况</w:t>
      </w:r>
    </w:p>
    <w:p w14:paraId="43887844">
      <w:pPr>
        <w:spacing w:line="360" w:lineRule="auto"/>
        <w:ind w:firstLine="643" w:firstLineChars="200"/>
        <w:jc w:val="left"/>
        <w:rPr>
          <w:rFonts w:hint="eastAsia" w:ascii="仿宋" w:hAnsi="仿宋" w:eastAsia="仿宋"/>
          <w:sz w:val="32"/>
          <w:szCs w:val="32"/>
        </w:rPr>
      </w:pPr>
      <w:r>
        <w:rPr>
          <w:rFonts w:hint="eastAsia" w:ascii="仿宋" w:hAnsi="仿宋" w:eastAsia="仿宋"/>
          <w:b/>
          <w:bCs/>
          <w:sz w:val="32"/>
          <w:szCs w:val="32"/>
        </w:rPr>
        <w:t>（一）机构组成。</w:t>
      </w:r>
      <w:r>
        <w:rPr>
          <w:rFonts w:hint="eastAsia" w:ascii="仿宋" w:hAnsi="仿宋" w:eastAsia="仿宋"/>
          <w:color w:val="000000"/>
          <w:sz w:val="32"/>
          <w:szCs w:val="32"/>
        </w:rPr>
        <w:t>松潘县红十字会为县政府领导直接联系的依法独立从事人道主义的社会救助团体。</w:t>
      </w:r>
      <w:r>
        <w:rPr>
          <w:rFonts w:hint="eastAsia" w:ascii="仿宋" w:hAnsi="仿宋" w:eastAsia="仿宋"/>
          <w:sz w:val="32"/>
          <w:szCs w:val="32"/>
        </w:rPr>
        <w:t>松潘县红十字会设立内设2个股室（综合办公室、赈济股），</w:t>
      </w:r>
      <w:r>
        <w:rPr>
          <w:rFonts w:hint="eastAsia" w:ascii="仿宋" w:hAnsi="仿宋" w:eastAsia="仿宋"/>
          <w:color w:val="000000"/>
          <w:sz w:val="32"/>
          <w:szCs w:val="32"/>
        </w:rPr>
        <w:t>机构级别为正科级，核定科级领导职数2名，人员编制4人。</w:t>
      </w:r>
    </w:p>
    <w:p w14:paraId="3EB6511F">
      <w:pPr>
        <w:ind w:firstLine="390"/>
        <w:rPr>
          <w:rFonts w:hint="eastAsia" w:ascii="仿宋" w:hAnsi="仿宋" w:eastAsia="仿宋"/>
          <w:color w:val="000000"/>
          <w:sz w:val="32"/>
          <w:szCs w:val="32"/>
        </w:rPr>
      </w:pPr>
      <w:r>
        <w:rPr>
          <w:rFonts w:hint="eastAsia" w:ascii="仿宋" w:hAnsi="仿宋" w:eastAsia="仿宋"/>
          <w:b/>
          <w:bCs/>
          <w:color w:val="000000"/>
          <w:kern w:val="0"/>
          <w:sz w:val="32"/>
          <w:szCs w:val="32"/>
        </w:rPr>
        <w:t>（二）红十字会主要工作职能</w:t>
      </w:r>
      <w:r>
        <w:rPr>
          <w:rFonts w:hint="eastAsia" w:ascii="仿宋" w:hAnsi="仿宋" w:eastAsia="仿宋"/>
          <w:color w:val="000000"/>
          <w:kern w:val="0"/>
          <w:sz w:val="32"/>
          <w:szCs w:val="32"/>
        </w:rPr>
        <w:t>。</w:t>
      </w:r>
      <w:r>
        <w:rPr>
          <w:rFonts w:hint="eastAsia" w:ascii="仿宋" w:hAnsi="仿宋" w:eastAsia="仿宋"/>
          <w:color w:val="000000"/>
          <w:sz w:val="32"/>
          <w:szCs w:val="32"/>
        </w:rPr>
        <w:t xml:space="preserve">1、宣传贯彻和执行各项红十字会法规、条例；依法指导本区域内乡镇、村（居）委会、学校等基层红十字会和企事业团体会员单位开展工作。2、负责本县红十字会的组织建设工作，依法发展会员、组建志愿工作者队伍。3、“三救”（救援、救护、救助）工作：开展救灾的准备工作，依法募集物资和款项，配合上级红十字会或协助政府实施赈灾救援；进行应急救护知识宣传、培训和应急救护演练，提高公民在突发事件和灾害中的自救互救能力；开展人道救助、帮助改善最易受损害群体的境况及开展人道领域内的社会服务。4、“三献”（ 无偿献血、造血干细胞捐献、遗体和人体器官捐献）工作：依法参与推动无偿献血；开展造血干细胞捐献宣传、发动、组织工作；开展自愿捐献遗体和人体器官宣传、组织、登记工作。5、宣传国际红十字和红新月运动的基本原则和日内瓦公约及其附加议定书。6、培养红十字青少年，开展红十字青少年活动。参与艾滋病防治宣传、教育和关怀艾滋病患者、感染者工作。7、承办县委、县政府和上级红十字会交办的其他事项。  </w:t>
      </w:r>
    </w:p>
    <w:p w14:paraId="683B0B13">
      <w:pPr>
        <w:shd w:val="clear" w:color="auto" w:fill="FFFFFF"/>
        <w:autoSpaceDN w:val="0"/>
        <w:spacing w:line="57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shd w:val="clear" w:color="auto" w:fill="FFFFFF"/>
          <w:lang w:eastAsia="zh-CN"/>
        </w:rPr>
        <w:t>（三）</w:t>
      </w:r>
      <w:r>
        <w:rPr>
          <w:rFonts w:hint="eastAsia" w:ascii="仿宋" w:hAnsi="仿宋" w:eastAsia="仿宋"/>
          <w:b/>
          <w:bCs/>
          <w:color w:val="000000"/>
          <w:sz w:val="32"/>
          <w:szCs w:val="32"/>
          <w:shd w:val="clear" w:color="auto" w:fill="FFFFFF"/>
        </w:rPr>
        <w:t>人员概况。</w:t>
      </w:r>
      <w:r>
        <w:rPr>
          <w:rFonts w:hint="eastAsia" w:ascii="仿宋" w:hAnsi="仿宋" w:eastAsia="仿宋"/>
          <w:color w:val="000000"/>
          <w:sz w:val="32"/>
          <w:szCs w:val="32"/>
        </w:rPr>
        <w:t>现有会长1人、副会长1人，共有干部职工4人，红十字会有编制4名，实有4人。</w:t>
      </w:r>
    </w:p>
    <w:p w14:paraId="49CEC4A4">
      <w:pPr>
        <w:ind w:firstLine="482" w:firstLineChars="150"/>
        <w:rPr>
          <w:rFonts w:hint="eastAsia" w:ascii="仿宋" w:hAnsi="仿宋" w:eastAsia="仿宋"/>
          <w:b/>
          <w:bCs/>
          <w:sz w:val="32"/>
          <w:szCs w:val="32"/>
        </w:rPr>
      </w:pPr>
      <w:r>
        <w:rPr>
          <w:rFonts w:hint="eastAsia" w:ascii="仿宋" w:hAnsi="仿宋" w:eastAsia="仿宋"/>
          <w:b/>
          <w:bCs/>
          <w:sz w:val="32"/>
          <w:szCs w:val="32"/>
        </w:rPr>
        <w:t>二、部门财政资金收支情况</w:t>
      </w:r>
    </w:p>
    <w:p w14:paraId="03A0819B">
      <w:pPr>
        <w:ind w:firstLine="480" w:firstLineChars="150"/>
        <w:rPr>
          <w:rFonts w:hint="eastAsia" w:ascii="仿宋" w:hAnsi="仿宋" w:eastAsia="仿宋"/>
          <w:sz w:val="32"/>
          <w:szCs w:val="32"/>
        </w:rPr>
      </w:pPr>
      <w:r>
        <w:rPr>
          <w:rFonts w:hint="eastAsia" w:ascii="仿宋" w:hAnsi="仿宋" w:eastAsia="仿宋"/>
          <w:sz w:val="32"/>
          <w:szCs w:val="32"/>
        </w:rPr>
        <w:t>（一）2018年度财政拨款收入情况总决算为87.44万元。其中2080506机关事业单位职业年金缴费为6.77万元，2080505机关事业单位基本养老保险缴费收入1万元，210医疗卫生与计划生育收入2.29万元，221住房保障收入5.03万元。</w:t>
      </w:r>
    </w:p>
    <w:p w14:paraId="46AAEC88">
      <w:pPr>
        <w:numPr>
          <w:ilvl w:val="0"/>
          <w:numId w:val="7"/>
        </w:numPr>
        <w:spacing w:line="566" w:lineRule="exact"/>
        <w:ind w:firstLine="419" w:firstLineChars="131"/>
        <w:rPr>
          <w:rFonts w:hint="eastAsia" w:ascii="黑体" w:hAnsi="黑体" w:eastAsia="黑体"/>
          <w:sz w:val="32"/>
          <w:szCs w:val="32"/>
        </w:rPr>
      </w:pPr>
      <w:r>
        <w:rPr>
          <w:rFonts w:hint="eastAsia" w:ascii="黑体" w:hAnsi="黑体" w:eastAsia="黑体"/>
          <w:sz w:val="32"/>
          <w:szCs w:val="32"/>
        </w:rPr>
        <w:t>部门财政支出管理情况</w:t>
      </w:r>
    </w:p>
    <w:p w14:paraId="0B1E1E8E">
      <w:pPr>
        <w:numPr>
          <w:ilvl w:val="0"/>
          <w:numId w:val="8"/>
        </w:numPr>
        <w:spacing w:line="566" w:lineRule="exact"/>
        <w:ind w:left="15" w:leftChars="7" w:firstLine="405" w:firstLineChars="126"/>
        <w:rPr>
          <w:rFonts w:hint="eastAsia" w:ascii="仿宋" w:hAnsi="仿宋" w:eastAsia="仿宋"/>
          <w:sz w:val="32"/>
          <w:szCs w:val="32"/>
        </w:rPr>
      </w:pPr>
      <w:r>
        <w:rPr>
          <w:rFonts w:hint="eastAsia" w:ascii="仿宋" w:hAnsi="仿宋" w:eastAsia="仿宋"/>
          <w:b/>
          <w:bCs/>
          <w:sz w:val="32"/>
          <w:szCs w:val="32"/>
        </w:rPr>
        <w:t>预算编制情况</w:t>
      </w:r>
    </w:p>
    <w:p w14:paraId="394B735F">
      <w:pPr>
        <w:ind w:firstLine="480" w:firstLineChars="150"/>
        <w:rPr>
          <w:rFonts w:hint="eastAsia" w:ascii="仿宋" w:hAnsi="仿宋" w:eastAsia="仿宋"/>
          <w:sz w:val="32"/>
          <w:szCs w:val="32"/>
        </w:rPr>
      </w:pPr>
      <w:r>
        <w:rPr>
          <w:rFonts w:hint="eastAsia" w:ascii="仿宋" w:hAnsi="仿宋" w:eastAsia="仿宋"/>
          <w:sz w:val="32"/>
          <w:szCs w:val="32"/>
        </w:rPr>
        <w:t>每年根据目标任务编制预算，按科学方法编制预算，确保预算合理有效、可执行。</w:t>
      </w:r>
    </w:p>
    <w:p w14:paraId="35AF0063">
      <w:pPr>
        <w:numPr>
          <w:ilvl w:val="0"/>
          <w:numId w:val="8"/>
        </w:numPr>
        <w:spacing w:line="566" w:lineRule="exact"/>
        <w:ind w:firstLine="421" w:firstLineChars="131"/>
        <w:rPr>
          <w:rFonts w:hint="eastAsia" w:ascii="仿宋" w:hAnsi="仿宋" w:eastAsia="仿宋"/>
          <w:sz w:val="32"/>
          <w:szCs w:val="32"/>
        </w:rPr>
      </w:pPr>
      <w:r>
        <w:rPr>
          <w:rFonts w:hint="eastAsia" w:ascii="仿宋" w:hAnsi="仿宋" w:eastAsia="仿宋"/>
          <w:b/>
          <w:bCs/>
          <w:sz w:val="32"/>
          <w:szCs w:val="32"/>
        </w:rPr>
        <w:t>执行管理情况</w:t>
      </w:r>
    </w:p>
    <w:p w14:paraId="33DB98AE">
      <w:pPr>
        <w:ind w:firstLine="480" w:firstLineChars="150"/>
        <w:rPr>
          <w:rFonts w:hint="eastAsia" w:ascii="仿宋" w:hAnsi="仿宋" w:eastAsia="仿宋"/>
          <w:sz w:val="32"/>
          <w:szCs w:val="32"/>
        </w:rPr>
      </w:pPr>
      <w:r>
        <w:rPr>
          <w:rFonts w:hint="eastAsia" w:ascii="仿宋" w:hAnsi="仿宋" w:eastAsia="仿宋"/>
          <w:sz w:val="32"/>
          <w:szCs w:val="32"/>
        </w:rPr>
        <w:t>我会领导高度重视预算执行情况。每个季度召开预算执行推进会，领导要求各职能股室要切实</w:t>
      </w:r>
      <w:r>
        <w:rPr>
          <w:rFonts w:hint="eastAsia" w:ascii="仿宋" w:hAnsi="仿宋" w:eastAsia="仿宋"/>
          <w:sz w:val="32"/>
          <w:szCs w:val="32"/>
          <w:lang w:eastAsia="zh-CN"/>
        </w:rPr>
        <w:t>担当</w:t>
      </w:r>
      <w:r>
        <w:rPr>
          <w:rFonts w:hint="eastAsia" w:ascii="仿宋" w:hAnsi="仿宋" w:eastAsia="仿宋"/>
          <w:sz w:val="32"/>
          <w:szCs w:val="32"/>
        </w:rPr>
        <w:t>，高度重视预算执行工作，采取切实有效措施加快预算执行进度。把握时间节点，各职能部门加强联系协调，相互配合，确保年底各项目预算执行进度达到90%以上。</w:t>
      </w:r>
    </w:p>
    <w:p w14:paraId="4D8546DB">
      <w:pPr>
        <w:ind w:firstLine="480" w:firstLineChars="150"/>
        <w:rPr>
          <w:rFonts w:hint="eastAsia" w:ascii="仿宋" w:hAnsi="仿宋" w:eastAsia="仿宋"/>
          <w:sz w:val="32"/>
          <w:szCs w:val="32"/>
        </w:rPr>
      </w:pPr>
      <w:r>
        <w:rPr>
          <w:rFonts w:hint="eastAsia" w:ascii="仿宋" w:hAnsi="仿宋" w:eastAsia="仿宋"/>
          <w:sz w:val="32"/>
          <w:szCs w:val="32"/>
        </w:rPr>
        <w:t>通过财政一体化平台，定期向县政府和相关上级部门上报执行进度。对于执行进度较慢的项目，各部</w:t>
      </w:r>
      <w:r>
        <w:rPr>
          <w:rFonts w:hint="eastAsia" w:ascii="仿宋" w:hAnsi="仿宋" w:eastAsia="仿宋"/>
          <w:sz w:val="32"/>
          <w:szCs w:val="32"/>
          <w:lang w:eastAsia="zh-CN"/>
        </w:rPr>
        <w:t>门要</w:t>
      </w:r>
      <w:r>
        <w:rPr>
          <w:rFonts w:hint="eastAsia" w:ascii="仿宋" w:hAnsi="仿宋" w:eastAsia="仿宋"/>
          <w:sz w:val="32"/>
          <w:szCs w:val="32"/>
        </w:rPr>
        <w:t>密切加强沟通和协调，查找影响政府采购进度的症结，及时采取相应对策，进一步加快政府采购预算执行力度和进度。</w:t>
      </w:r>
    </w:p>
    <w:p w14:paraId="654F9023">
      <w:pPr>
        <w:ind w:firstLine="480" w:firstLineChars="150"/>
        <w:rPr>
          <w:rFonts w:hint="eastAsia" w:ascii="仿宋" w:hAnsi="仿宋" w:eastAsia="仿宋"/>
          <w:sz w:val="32"/>
          <w:szCs w:val="32"/>
        </w:rPr>
      </w:pPr>
      <w:r>
        <w:rPr>
          <w:rFonts w:hint="eastAsia" w:ascii="仿宋" w:hAnsi="仿宋" w:eastAsia="仿宋"/>
          <w:sz w:val="32"/>
          <w:szCs w:val="32"/>
        </w:rPr>
        <w:t>相关职能部门主动对接，充分发挥多部门协调机制作用，积极推进免开资金、采购项目资金拨付进展。</w:t>
      </w:r>
    </w:p>
    <w:p w14:paraId="17F5165E">
      <w:pPr>
        <w:numPr>
          <w:ilvl w:val="0"/>
          <w:numId w:val="8"/>
        </w:numPr>
        <w:spacing w:line="566" w:lineRule="exact"/>
        <w:ind w:firstLine="421" w:firstLineChars="131"/>
        <w:rPr>
          <w:rFonts w:hint="eastAsia" w:ascii="仿宋" w:hAnsi="仿宋" w:eastAsia="仿宋"/>
          <w:b/>
          <w:bCs/>
          <w:sz w:val="32"/>
          <w:szCs w:val="32"/>
        </w:rPr>
      </w:pPr>
      <w:r>
        <w:rPr>
          <w:rFonts w:hint="eastAsia" w:ascii="仿宋" w:hAnsi="仿宋" w:eastAsia="仿宋"/>
          <w:b/>
          <w:bCs/>
          <w:sz w:val="32"/>
          <w:szCs w:val="32"/>
        </w:rPr>
        <w:t>综合管理情况</w:t>
      </w:r>
    </w:p>
    <w:p w14:paraId="65652CF2">
      <w:pPr>
        <w:ind w:firstLine="480" w:firstLineChars="150"/>
        <w:rPr>
          <w:rFonts w:hint="eastAsia" w:ascii="仿宋" w:hAnsi="仿宋" w:eastAsia="仿宋"/>
          <w:sz w:val="32"/>
          <w:szCs w:val="32"/>
        </w:rPr>
      </w:pPr>
      <w:r>
        <w:rPr>
          <w:rFonts w:hint="eastAsia" w:ascii="仿宋" w:hAnsi="仿宋" w:eastAsia="仿宋"/>
          <w:sz w:val="32"/>
          <w:szCs w:val="32"/>
        </w:rPr>
        <w:t>进一步加强财务管理，降低财务费用，控制各项开支，实行全面预算管理，合理安排，压缩不必要的或不急需的开支，做到全年工作开展、</w:t>
      </w:r>
      <w:r>
        <w:rPr>
          <w:rFonts w:hint="eastAsia" w:ascii="仿宋" w:hAnsi="仿宋" w:eastAsia="仿宋"/>
          <w:sz w:val="32"/>
          <w:szCs w:val="32"/>
          <w:lang w:eastAsia="zh-CN"/>
        </w:rPr>
        <w:t>开支</w:t>
      </w:r>
      <w:r>
        <w:rPr>
          <w:rFonts w:hint="eastAsia" w:ascii="仿宋" w:hAnsi="仿宋" w:eastAsia="仿宋"/>
          <w:sz w:val="32"/>
          <w:szCs w:val="32"/>
        </w:rPr>
        <w:t>有预算，有计划，</w:t>
      </w:r>
      <w:r>
        <w:rPr>
          <w:rFonts w:hint="eastAsia" w:ascii="仿宋" w:hAnsi="仿宋" w:eastAsia="仿宋"/>
          <w:sz w:val="32"/>
          <w:szCs w:val="32"/>
          <w:lang w:eastAsia="zh-CN"/>
        </w:rPr>
        <w:t>使</w:t>
      </w:r>
      <w:r>
        <w:rPr>
          <w:rFonts w:hint="eastAsia" w:ascii="仿宋" w:hAnsi="仿宋" w:eastAsia="仿宋"/>
          <w:sz w:val="32"/>
          <w:szCs w:val="32"/>
        </w:rPr>
        <w:t>资金得到有效合理</w:t>
      </w:r>
      <w:r>
        <w:rPr>
          <w:rFonts w:hint="eastAsia" w:ascii="仿宋" w:hAnsi="仿宋" w:eastAsia="仿宋"/>
          <w:sz w:val="32"/>
          <w:szCs w:val="32"/>
          <w:lang w:eastAsia="zh-CN"/>
        </w:rPr>
        <w:t>地</w:t>
      </w:r>
      <w:r>
        <w:rPr>
          <w:rFonts w:hint="eastAsia" w:ascii="仿宋" w:hAnsi="仿宋" w:eastAsia="仿宋"/>
          <w:sz w:val="32"/>
          <w:szCs w:val="32"/>
        </w:rPr>
        <w:t>发挥效益。同时财务工作计划中对于机关和各股室的费用，实行科学预算，包干使用，并纳入年底对各股室的考核，有效控制各项费用的不合理开支。</w:t>
      </w:r>
    </w:p>
    <w:p w14:paraId="60C8E39F">
      <w:pPr>
        <w:ind w:firstLine="480" w:firstLineChars="150"/>
        <w:rPr>
          <w:rFonts w:hint="eastAsia" w:ascii="仿宋" w:hAnsi="仿宋" w:eastAsia="仿宋"/>
          <w:sz w:val="32"/>
          <w:szCs w:val="32"/>
        </w:rPr>
      </w:pPr>
      <w:r>
        <w:rPr>
          <w:rFonts w:hint="eastAsia" w:ascii="仿宋" w:hAnsi="仿宋" w:eastAsia="仿宋"/>
          <w:sz w:val="32"/>
          <w:szCs w:val="32"/>
        </w:rPr>
        <w:t>业务招待管理费。对业务招待费的管理办法依然采取行政负责、包干使用、超支不补、节约归公的原则管好用好业务招待费。</w:t>
      </w:r>
    </w:p>
    <w:p w14:paraId="065F1C2E">
      <w:pPr>
        <w:ind w:firstLine="480" w:firstLineChars="150"/>
        <w:rPr>
          <w:rFonts w:hint="eastAsia" w:ascii="仿宋" w:hAnsi="仿宋" w:eastAsia="仿宋"/>
          <w:sz w:val="32"/>
          <w:szCs w:val="32"/>
        </w:rPr>
      </w:pPr>
      <w:r>
        <w:rPr>
          <w:rFonts w:hint="eastAsia" w:ascii="仿宋" w:hAnsi="仿宋" w:eastAsia="仿宋"/>
          <w:sz w:val="32"/>
          <w:szCs w:val="32"/>
        </w:rPr>
        <w:t>差旅费管理。严格规范差旅费报销程序和职工借款的还款时限，坚持按照</w:t>
      </w:r>
      <w:r>
        <w:rPr>
          <w:rFonts w:hint="eastAsia" w:ascii="仿宋" w:hAnsi="仿宋" w:eastAsia="仿宋"/>
          <w:sz w:val="32"/>
          <w:szCs w:val="32"/>
          <w:lang w:eastAsia="zh-CN"/>
        </w:rPr>
        <w:t>县委、县政府</w:t>
      </w:r>
      <w:r>
        <w:rPr>
          <w:rFonts w:hint="eastAsia" w:ascii="仿宋" w:hAnsi="仿宋" w:eastAsia="仿宋"/>
          <w:sz w:val="32"/>
          <w:szCs w:val="32"/>
        </w:rPr>
        <w:t>下发的《关于加强差旅费和职工借款管理的通知》的精神及其它财务管理制度执行。做到坚持原则，</w:t>
      </w:r>
      <w:r>
        <w:rPr>
          <w:rFonts w:hint="eastAsia" w:ascii="仿宋" w:hAnsi="仿宋" w:eastAsia="仿宋"/>
          <w:sz w:val="32"/>
          <w:szCs w:val="32"/>
          <w:lang w:eastAsia="zh-CN"/>
        </w:rPr>
        <w:t>一视同仁</w:t>
      </w:r>
      <w:r>
        <w:rPr>
          <w:rFonts w:hint="eastAsia" w:ascii="仿宋" w:hAnsi="仿宋" w:eastAsia="仿宋"/>
          <w:sz w:val="32"/>
          <w:szCs w:val="32"/>
        </w:rPr>
        <w:t>，杜绝虚假冒领，借款长期不还，占用挪用资金的现象发生。</w:t>
      </w:r>
    </w:p>
    <w:p w14:paraId="11E55203">
      <w:pPr>
        <w:ind w:firstLine="480" w:firstLineChars="150"/>
        <w:rPr>
          <w:rFonts w:hint="eastAsia" w:ascii="仿宋" w:hAnsi="仿宋" w:eastAsia="仿宋"/>
          <w:sz w:val="32"/>
          <w:szCs w:val="32"/>
        </w:rPr>
      </w:pPr>
      <w:r>
        <w:rPr>
          <w:rFonts w:hint="eastAsia" w:ascii="仿宋" w:hAnsi="仿宋" w:eastAsia="仿宋"/>
          <w:sz w:val="32"/>
          <w:szCs w:val="32"/>
        </w:rPr>
        <w:t>办公费管理。办公费管理要按照年初各股室列出计划，经领导审批后，局同意采购、保管，按计划领用的原则执行。</w:t>
      </w:r>
    </w:p>
    <w:p w14:paraId="22683042">
      <w:pPr>
        <w:ind w:firstLine="480" w:firstLineChars="150"/>
        <w:rPr>
          <w:rFonts w:hint="eastAsia" w:ascii="仿宋" w:hAnsi="仿宋" w:eastAsia="仿宋"/>
          <w:sz w:val="32"/>
          <w:szCs w:val="32"/>
        </w:rPr>
      </w:pPr>
      <w:r>
        <w:rPr>
          <w:rFonts w:hint="eastAsia" w:ascii="仿宋" w:hAnsi="仿宋" w:eastAsia="仿宋"/>
          <w:sz w:val="32"/>
          <w:szCs w:val="32"/>
        </w:rPr>
        <w:t>车辆费用管理。严格执行</w:t>
      </w:r>
      <w:r>
        <w:rPr>
          <w:rFonts w:hint="eastAsia" w:ascii="仿宋" w:hAnsi="仿宋" w:eastAsia="仿宋"/>
          <w:sz w:val="32"/>
          <w:szCs w:val="32"/>
          <w:lang w:eastAsia="zh-CN"/>
        </w:rPr>
        <w:t>县委、县政府</w:t>
      </w:r>
      <w:r>
        <w:rPr>
          <w:rFonts w:hint="eastAsia" w:ascii="仿宋" w:hAnsi="仿宋" w:eastAsia="仿宋"/>
          <w:sz w:val="32"/>
          <w:szCs w:val="32"/>
        </w:rPr>
        <w:t>制定的相关车辆费用管理办法，从严从细加强管理。车辆维修必须先有计划，经分管领导审核批准后进行维修；车辆用油由财务股负责采购、结算，做好保管、登记、领用，杜绝乱购、无计划领用。</w:t>
      </w:r>
    </w:p>
    <w:p w14:paraId="35F68C55">
      <w:pPr>
        <w:ind w:firstLine="480" w:firstLineChars="150"/>
        <w:rPr>
          <w:rFonts w:hint="eastAsia" w:ascii="仿宋" w:hAnsi="仿宋" w:eastAsia="仿宋"/>
          <w:sz w:val="32"/>
          <w:szCs w:val="32"/>
        </w:rPr>
      </w:pPr>
      <w:r>
        <w:rPr>
          <w:rFonts w:hint="eastAsia" w:ascii="仿宋" w:hAnsi="仿宋" w:eastAsia="仿宋"/>
          <w:sz w:val="32"/>
          <w:szCs w:val="32"/>
        </w:rPr>
        <w:t>做好项目管理工作。我台几乎每年都有项目，做好项目管理尤为重要。严格按照政府项目采购管理办法进行项目管理，资金按照验收合同进行拨付，做到手续齐全、证件齐备合法。</w:t>
      </w:r>
    </w:p>
    <w:p w14:paraId="2E50BF1D">
      <w:pPr>
        <w:ind w:firstLine="480" w:firstLineChars="150"/>
        <w:rPr>
          <w:rFonts w:hint="eastAsia" w:ascii="仿宋" w:hAnsi="仿宋" w:eastAsia="仿宋"/>
          <w:sz w:val="32"/>
          <w:szCs w:val="32"/>
        </w:rPr>
      </w:pPr>
      <w:r>
        <w:rPr>
          <w:rFonts w:hint="eastAsia" w:ascii="仿宋" w:hAnsi="仿宋" w:eastAsia="仿宋"/>
          <w:sz w:val="32"/>
          <w:szCs w:val="32"/>
        </w:rPr>
        <w:t>继续开展会计规范化管理工作，防范和化解操作风险。在去年会计工作规范管理的基础上，继续开展会计规范化管理工作，提高会计核算管理水平，防范和化解操作风险。具体从8个方面抓起：会计基本规定；会计核算质量；会计报表质量；计算机管理；</w:t>
      </w:r>
      <w:r>
        <w:rPr>
          <w:rFonts w:hint="eastAsia" w:ascii="仿宋" w:hAnsi="仿宋" w:eastAsia="仿宋"/>
          <w:sz w:val="32"/>
          <w:szCs w:val="32"/>
          <w:lang w:eastAsia="zh-CN"/>
        </w:rPr>
        <w:t>银行</w:t>
      </w:r>
      <w:r>
        <w:rPr>
          <w:rFonts w:hint="eastAsia" w:ascii="仿宋" w:hAnsi="仿宋" w:eastAsia="仿宋"/>
          <w:sz w:val="32"/>
          <w:szCs w:val="32"/>
        </w:rPr>
        <w:t>结算管理；会计档案管理；信用社网点管理及其它；会计经营管理。特别是会计档案管理历年来有所欠缺，每年的会计凭证虽然都归了档，但未按档案管理办法归类整理，需要进一步规范。</w:t>
      </w:r>
    </w:p>
    <w:p w14:paraId="60D11A0C">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（四）</w:t>
      </w:r>
      <w:r>
        <w:rPr>
          <w:rFonts w:hint="eastAsia" w:ascii="仿宋" w:hAnsi="仿宋" w:eastAsia="仿宋"/>
          <w:b/>
          <w:bCs/>
          <w:sz w:val="32"/>
          <w:szCs w:val="32"/>
        </w:rPr>
        <w:t>整体绩效</w:t>
      </w:r>
    </w:p>
    <w:p w14:paraId="113E11AF">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2018年重点工作完成情况</w:t>
      </w:r>
    </w:p>
    <w:p w14:paraId="688D05EC">
      <w:pPr>
        <w:spacing w:line="566" w:lineRule="exact"/>
        <w:ind w:firstLine="276" w:firstLineChars="131"/>
        <w:rPr>
          <w:rFonts w:hint="eastAsia" w:ascii="仿宋" w:hAnsi="仿宋" w:eastAsia="仿宋"/>
          <w:sz w:val="32"/>
          <w:szCs w:val="32"/>
        </w:rPr>
      </w:pPr>
      <w:r>
        <w:rPr>
          <w:rFonts w:hint="eastAsia" w:ascii="宋体" w:hAnsi="宋体" w:cs="仿宋_GB2312"/>
          <w:b/>
          <w:bCs/>
        </w:rPr>
        <w:t>（一）</w:t>
      </w:r>
      <w:r>
        <w:rPr>
          <w:rFonts w:hint="eastAsia" w:ascii="仿宋" w:hAnsi="仿宋" w:eastAsia="仿宋"/>
          <w:b/>
          <w:bCs/>
          <w:sz w:val="32"/>
          <w:szCs w:val="32"/>
        </w:rPr>
        <w:t>拓宽筹资渠道，加大人道救助力度，助力脱贫攻坚工作</w:t>
      </w:r>
      <w:r>
        <w:rPr>
          <w:rFonts w:hint="eastAsia" w:ascii="宋体" w:hAnsi="宋体" w:cs="仿宋_GB2312"/>
        </w:rPr>
        <w:t>。</w:t>
      </w:r>
      <w:r>
        <w:rPr>
          <w:rFonts w:hint="eastAsia" w:ascii="仿宋" w:hAnsi="仿宋" w:eastAsia="仿宋"/>
          <w:sz w:val="32"/>
          <w:szCs w:val="32"/>
        </w:rPr>
        <w:t>松潘县红十字会采取向上、向内、向外的方式多方筹措资金，加大人道救助力度，深入开展救灾、救护、救助活动，助力我县脱贫攻坚工作。</w:t>
      </w:r>
    </w:p>
    <w:p w14:paraId="109C26A6">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一是“向上”即向上级红十字会争取资金物资，争取四川省红十字会家庭博爱箱130个、袜子6500双，总价值71500元，在上八寨乡、小河乡、施家堡乡、黄龙乡等地开展“红十字博爱送万家、走基层、惠民生”活动，慰问了建档立卡贫困户及特殊困难户共430余户。6月26日</w:t>
      </w:r>
      <w:r>
        <w:rPr>
          <w:rFonts w:hint="eastAsia" w:ascii="仿宋" w:hAnsi="仿宋" w:eastAsia="仿宋"/>
          <w:sz w:val="32"/>
          <w:szCs w:val="32"/>
          <w:lang w:eastAsia="zh-CN"/>
        </w:rPr>
        <w:t>—</w:t>
      </w:r>
      <w:r>
        <w:rPr>
          <w:rFonts w:hint="eastAsia" w:ascii="仿宋" w:hAnsi="仿宋" w:eastAsia="仿宋"/>
          <w:sz w:val="32"/>
          <w:szCs w:val="32"/>
        </w:rPr>
        <w:t>6月29日，松潘县红十字会会同中国红十字基金会四川定点医院---成都心血管病医院的专家组，</w:t>
      </w:r>
      <w:r>
        <w:rPr>
          <w:rFonts w:hint="eastAsia" w:ascii="仿宋" w:hAnsi="仿宋" w:eastAsia="仿宋"/>
          <w:sz w:val="32"/>
          <w:szCs w:val="32"/>
          <w:lang w:eastAsia="zh-CN"/>
        </w:rPr>
        <w:t>深入</w:t>
      </w:r>
      <w:r>
        <w:rPr>
          <w:rFonts w:hint="eastAsia" w:ascii="仿宋" w:hAnsi="仿宋" w:eastAsia="仿宋"/>
          <w:sz w:val="32"/>
          <w:szCs w:val="32"/>
        </w:rPr>
        <w:t>松潘县毛尔盖片区、热务片区等21个乡镇，对0—14周岁儿童进行先天性心脏病筛查，此次筛查了21个乡镇的24所学校5492名学生，共筛查出13名符合手术指征的</w:t>
      </w:r>
      <w:r>
        <w:rPr>
          <w:rFonts w:hint="eastAsia" w:ascii="仿宋" w:hAnsi="仿宋" w:eastAsia="仿宋"/>
          <w:sz w:val="32"/>
          <w:szCs w:val="32"/>
          <w:lang w:eastAsia="zh-CN"/>
        </w:rPr>
        <w:t>先天性心血管病</w:t>
      </w:r>
      <w:r>
        <w:rPr>
          <w:rFonts w:hint="eastAsia" w:ascii="仿宋" w:hAnsi="仿宋" w:eastAsia="仿宋"/>
          <w:sz w:val="32"/>
          <w:szCs w:val="32"/>
        </w:rPr>
        <w:t>儿童患者。确诊且符合手术指征的贫困患儿手术后，在享受政府医保（新农合）报销后剩余医疗费用由中国红十字基金会“天使阳光基金”全额补偿，患儿家庭零负担住院手术治疗，切实解决部分</w:t>
      </w:r>
      <w:r>
        <w:rPr>
          <w:rFonts w:hint="eastAsia" w:ascii="仿宋" w:hAnsi="仿宋" w:eastAsia="仿宋"/>
          <w:sz w:val="32"/>
          <w:szCs w:val="32"/>
          <w:lang w:eastAsia="zh-CN"/>
        </w:rPr>
        <w:t>先天性心血管病</w:t>
      </w:r>
      <w:r>
        <w:rPr>
          <w:rFonts w:hint="eastAsia" w:ascii="仿宋" w:hAnsi="仿宋" w:eastAsia="仿宋"/>
          <w:sz w:val="32"/>
          <w:szCs w:val="32"/>
        </w:rPr>
        <w:t>贫困家庭“因病致贫、因病返贫”的现状。我会还积极向州红十字会大病救助项目争取到资金8500元，救助了6名大病患者。争取到贫困大学新生援助资金4000元，援助了2名大学贫困新生。通过以上活动，县红十字会把党和政府的关怀送到困难群众手中，进一步发挥了红十字会作为党和政府在人道领域联系群众的桥梁和纽带作用。</w:t>
      </w:r>
    </w:p>
    <w:p w14:paraId="70F9FBFB">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二是“向内”即在县内开展筹资活动，筹集资金63700元，在县内开展了“红十字关爱进社区”、大病救助、贫困救助活动，全年共救助了43人，通过救助活动，大力弘扬了“人道 博爱 奉献”的红十字精神，让他们感受到了党和政府、红十字会的关怀。</w:t>
      </w:r>
    </w:p>
    <w:p w14:paraId="05E9205A">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三是“向外” 即向州外的相关机构合作，为松潘县筹措资金。我会通过大邑县红十字会、成都市天府新区小云公益社会服务中心等筹措到捐赠资金82.7万元，改善我县20个贫困村的公益基础设施。争取浙江省红十字会援助36万元建设松潘县川主寺镇八十沟村博爱家园。通过以上活动，进一步动员社会各界关注弱势群体，鼓励社会各界人士积极投身“人道主义救助行动”起到了重要的推动作用。松潘县红十字会积极参与阿坝州红十字会发起的“高原贫困母亲爱心包”捐款活动，动员了395位爱心人士参与捐款活动，捐款额名列全州13县第一名。</w:t>
      </w:r>
    </w:p>
    <w:p w14:paraId="5C094864">
      <w:pPr>
        <w:spacing w:line="540" w:lineRule="exact"/>
        <w:ind w:firstLine="422" w:firstLineChars="200"/>
        <w:rPr>
          <w:rFonts w:hint="eastAsia" w:ascii="仿宋" w:hAnsi="仿宋" w:eastAsia="仿宋"/>
          <w:b/>
          <w:bCs/>
          <w:sz w:val="32"/>
          <w:szCs w:val="32"/>
        </w:rPr>
      </w:pPr>
      <w:r>
        <w:rPr>
          <w:rFonts w:hint="eastAsia" w:ascii="宋体" w:hAnsi="宋体"/>
          <w:b/>
          <w:bCs/>
        </w:rPr>
        <w:t>（二）</w:t>
      </w:r>
      <w:r>
        <w:rPr>
          <w:rFonts w:hint="eastAsia" w:ascii="仿宋" w:hAnsi="仿宋" w:eastAsia="仿宋"/>
          <w:b/>
          <w:bCs/>
          <w:sz w:val="32"/>
          <w:szCs w:val="32"/>
        </w:rPr>
        <w:t xml:space="preserve">宣传工作取得新突破，红十字事业不断深入人心 </w:t>
      </w:r>
    </w:p>
    <w:p w14:paraId="3B0D4D49">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为切实提高红</w:t>
      </w:r>
      <w:r>
        <w:rPr>
          <w:rFonts w:hint="eastAsia" w:ascii="仿宋" w:hAnsi="仿宋" w:eastAsia="仿宋"/>
          <w:sz w:val="32"/>
          <w:szCs w:val="32"/>
          <w:lang w:eastAsia="zh-CN"/>
        </w:rPr>
        <w:t>十字</w:t>
      </w:r>
      <w:r>
        <w:rPr>
          <w:rFonts w:hint="eastAsia" w:ascii="仿宋" w:hAnsi="仿宋" w:eastAsia="仿宋"/>
          <w:sz w:val="32"/>
          <w:szCs w:val="32"/>
        </w:rPr>
        <w:t>会的社会知晓率和认知度，进一步提高全民参与红十字事业的自觉性和积极性，凝聚更多人道力量，我会采取多种形式，全力推进宣传工作。</w:t>
      </w:r>
    </w:p>
    <w:p w14:paraId="5B72FD4F">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一是扎实开展各种宣传日活动。利用“世界防治麻风病日</w:t>
      </w:r>
      <w:r>
        <w:rPr>
          <w:rFonts w:hint="eastAsia" w:ascii="仿宋" w:hAnsi="仿宋" w:eastAsia="仿宋"/>
          <w:sz w:val="32"/>
          <w:szCs w:val="32"/>
          <w:lang w:eastAsia="zh-CN"/>
        </w:rPr>
        <w:t>”“</w:t>
      </w:r>
      <w:r>
        <w:rPr>
          <w:rFonts w:hint="eastAsia" w:ascii="仿宋" w:hAnsi="仿宋" w:eastAsia="仿宋"/>
          <w:sz w:val="32"/>
          <w:szCs w:val="32"/>
        </w:rPr>
        <w:t>5.8 红十字博爱周”、6.26禁毒日、急救日等宣传日，在县城区和乡镇繁华地段，先后开展了以发放宣传资料、摆放红十字知识展板、培训等为内容的宣传10次，发放《中华人民共和国红十字会法</w:t>
      </w:r>
      <w:r>
        <w:rPr>
          <w:rFonts w:hint="eastAsia" w:ascii="仿宋" w:hAnsi="仿宋" w:eastAsia="仿宋"/>
          <w:sz w:val="32"/>
          <w:szCs w:val="32"/>
          <w:lang w:eastAsia="zh-CN"/>
        </w:rPr>
        <w:t>》《</w:t>
      </w:r>
      <w:r>
        <w:rPr>
          <w:rFonts w:hint="eastAsia" w:ascii="仿宋" w:hAnsi="仿宋" w:eastAsia="仿宋"/>
          <w:sz w:val="32"/>
          <w:szCs w:val="32"/>
        </w:rPr>
        <w:t>中国红十字会章程</w:t>
      </w:r>
      <w:r>
        <w:rPr>
          <w:rFonts w:hint="eastAsia" w:ascii="仿宋" w:hAnsi="仿宋" w:eastAsia="仿宋"/>
          <w:sz w:val="32"/>
          <w:szCs w:val="32"/>
          <w:lang w:eastAsia="zh-CN"/>
        </w:rPr>
        <w:t>》《</w:t>
      </w:r>
      <w:r>
        <w:rPr>
          <w:rFonts w:hint="eastAsia" w:ascii="仿宋" w:hAnsi="仿宋" w:eastAsia="仿宋"/>
          <w:sz w:val="32"/>
          <w:szCs w:val="32"/>
        </w:rPr>
        <w:t>红十字会运动基本知识</w:t>
      </w:r>
      <w:r>
        <w:rPr>
          <w:rFonts w:hint="eastAsia" w:ascii="仿宋" w:hAnsi="仿宋" w:eastAsia="仿宋"/>
          <w:sz w:val="32"/>
          <w:szCs w:val="32"/>
          <w:lang w:eastAsia="zh-CN"/>
        </w:rPr>
        <w:t>》《</w:t>
      </w:r>
      <w:r>
        <w:rPr>
          <w:rFonts w:hint="eastAsia" w:ascii="仿宋" w:hAnsi="仿宋" w:eastAsia="仿宋"/>
          <w:sz w:val="32"/>
          <w:szCs w:val="32"/>
        </w:rPr>
        <w:t>艾滋病防治知识手册</w:t>
      </w:r>
      <w:r>
        <w:rPr>
          <w:rFonts w:hint="eastAsia" w:ascii="仿宋" w:hAnsi="仿宋" w:eastAsia="仿宋"/>
          <w:sz w:val="32"/>
          <w:szCs w:val="32"/>
          <w:lang w:eastAsia="zh-CN"/>
        </w:rPr>
        <w:t>》《</w:t>
      </w:r>
      <w:r>
        <w:rPr>
          <w:rFonts w:hint="eastAsia" w:ascii="仿宋" w:hAnsi="仿宋" w:eastAsia="仿宋"/>
          <w:sz w:val="32"/>
          <w:szCs w:val="32"/>
        </w:rPr>
        <w:t>红十字急救常识</w:t>
      </w:r>
      <w:r>
        <w:rPr>
          <w:rFonts w:hint="eastAsia" w:ascii="仿宋" w:hAnsi="仿宋" w:eastAsia="仿宋"/>
          <w:sz w:val="32"/>
          <w:szCs w:val="32"/>
          <w:lang w:eastAsia="zh-CN"/>
        </w:rPr>
        <w:t>》《</w:t>
      </w:r>
      <w:r>
        <w:rPr>
          <w:rFonts w:hint="eastAsia" w:ascii="仿宋" w:hAnsi="仿宋" w:eastAsia="仿宋"/>
          <w:sz w:val="32"/>
          <w:szCs w:val="32"/>
        </w:rPr>
        <w:t xml:space="preserve">红十字救护知识读本》等4200余份。 </w:t>
      </w:r>
    </w:p>
    <w:p w14:paraId="1597FB87">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二是以各种媒体为平台，大力营造舆论氛围。我会与州县电视台、新闻记者等建立良好的合作关系，加大红十字会工作的宣传报道力度，今年我会新闻宣传报道情况如下：西南商报3条，天天快报2条，网易新闻2条，阿坝新闻联播2条，阿坝报1条，州红十字会网站6条，松潘新闻联播8条，微松潘2条，松潘政务2篇。通过一系列的宣传，取得了良好的社会效果， 提高了广大公众对红十字会的认知度。</w:t>
      </w:r>
    </w:p>
    <w:p w14:paraId="7B70B867">
      <w:pPr>
        <w:spacing w:line="566" w:lineRule="exact"/>
        <w:ind w:firstLine="419" w:firstLineChars="131"/>
        <w:rPr>
          <w:rFonts w:hint="eastAsia" w:ascii="仿宋_GB2312" w:hAnsi="仿宋"/>
          <w:szCs w:val="21"/>
        </w:rPr>
      </w:pPr>
      <w:r>
        <w:rPr>
          <w:rFonts w:hint="eastAsia" w:ascii="仿宋" w:hAnsi="仿宋" w:eastAsia="仿宋"/>
          <w:sz w:val="32"/>
          <w:szCs w:val="32"/>
        </w:rPr>
        <w:t>三是大力开展红十字青少年活动。松潘县红十字会深入毛尔盖片区、热务片区、镇江片区、松城片区和川主寺片区的24所学校开展了以弘扬“人道、博爱、奉献”精神为主题的红十字青少年宣传活动，活动主要内容包括：红十字知识宣传和应急救护知识普及，此次活动共发放《阿坝州红十字青少年防灾避险知识读本</w:t>
      </w:r>
      <w:r>
        <w:rPr>
          <w:rFonts w:hint="eastAsia" w:ascii="仿宋" w:hAnsi="仿宋" w:eastAsia="仿宋"/>
          <w:sz w:val="32"/>
          <w:szCs w:val="32"/>
          <w:lang w:eastAsia="zh-CN"/>
        </w:rPr>
        <w:t>》《</w:t>
      </w:r>
      <w:r>
        <w:rPr>
          <w:rFonts w:hint="eastAsia" w:ascii="仿宋" w:hAnsi="仿宋" w:eastAsia="仿宋"/>
          <w:sz w:val="32"/>
          <w:szCs w:val="32"/>
        </w:rPr>
        <w:t>家庭急救指导手册》等宣传资料4000余份，受训学生总人数5400余名，通过活动进一步激发红十字青少年热情，推动防震减灾知识在青少年中普及，增强青少年的自救互救意识，提高青少年的自救互救能力</w:t>
      </w:r>
      <w:r>
        <w:rPr>
          <w:rFonts w:hint="eastAsia" w:ascii="宋体" w:hAnsi="宋体"/>
          <w:color w:val="000000"/>
        </w:rPr>
        <w:t>。</w:t>
      </w:r>
    </w:p>
    <w:p w14:paraId="689988C8">
      <w:pPr>
        <w:spacing w:line="540" w:lineRule="exact"/>
        <w:ind w:firstLine="474" w:firstLineChars="225"/>
        <w:rPr>
          <w:rFonts w:hint="eastAsia" w:ascii="仿宋_GB2312" w:hAnsi="仿宋"/>
          <w:b/>
          <w:bCs/>
        </w:rPr>
      </w:pPr>
      <w:r>
        <w:rPr>
          <w:rFonts w:hint="eastAsia" w:ascii="宋体" w:hAnsi="宋体"/>
          <w:b/>
          <w:bCs/>
        </w:rPr>
        <w:t>（三）</w:t>
      </w:r>
      <w:r>
        <w:rPr>
          <w:rFonts w:hint="eastAsia" w:ascii="仿宋" w:hAnsi="仿宋" w:eastAsia="仿宋"/>
          <w:b/>
          <w:bCs/>
          <w:sz w:val="32"/>
          <w:szCs w:val="32"/>
        </w:rPr>
        <w:t>积极开展救护普及培训和急救员培训，提高公民自救、互救能力</w:t>
      </w:r>
      <w:r>
        <w:rPr>
          <w:rFonts w:hint="eastAsia" w:ascii="仿宋_GB2312" w:hAnsi="仿宋"/>
          <w:b/>
          <w:bCs/>
        </w:rPr>
        <w:t xml:space="preserve"> </w:t>
      </w:r>
    </w:p>
    <w:p w14:paraId="0F3FFF5D">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松潘县红十字会深入乡村、机关和景区开展应急救护普及培训和救护员培训，针对不同人群分别开展了心肺复苏、创伤急救、止血包扎、急性中毒、气道异物梗阻、紧急外伤的现场急救等培训，提高了相关从业人员的自救互救能力，降低了灾害和事故的死亡率、致残率。深入红扎乡、大寨乡、白羊乡、牟尼沟风景名胜区管理处、松潘县旅游市场综合执法局等举办了“红十字会救护员”培训班8期，由取得救护师资证书的人员为他们授课，并进行了救护操作演练，经过培训、考试、考核，共有230人取得了救护员资格证书。我会深入十里乡、镇坪乡、白羊乡等单位开展了7期救护普及培训班，普及培训1110人。</w:t>
      </w:r>
    </w:p>
    <w:p w14:paraId="747C2E68">
      <w:pPr>
        <w:spacing w:line="540" w:lineRule="exact"/>
        <w:ind w:firstLine="474" w:firstLineChars="225"/>
        <w:rPr>
          <w:rFonts w:hint="eastAsia" w:ascii="仿宋" w:hAnsi="仿宋" w:eastAsia="仿宋"/>
          <w:b/>
          <w:bCs/>
          <w:sz w:val="32"/>
          <w:szCs w:val="32"/>
        </w:rPr>
      </w:pPr>
      <w:r>
        <w:rPr>
          <w:rFonts w:hint="eastAsia" w:ascii="宋体" w:hAnsi="宋体"/>
          <w:b/>
          <w:bCs/>
        </w:rPr>
        <w:t>（四）</w:t>
      </w:r>
      <w:r>
        <w:rPr>
          <w:rFonts w:hint="eastAsia" w:ascii="仿宋" w:hAnsi="仿宋" w:eastAsia="仿宋"/>
          <w:b/>
          <w:bCs/>
          <w:sz w:val="32"/>
          <w:szCs w:val="32"/>
        </w:rPr>
        <w:t>弘扬博爱精神，积极推动无偿捐献</w:t>
      </w:r>
    </w:p>
    <w:p w14:paraId="412ED393">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我会始终把宣传《中华人民共和国献血法》，普及献血知识，推动捐献造血干细胞和遗体捐献工作作为精神文明建设的重要内容，积极开展多种形式的宣传活动，动员和组织红十字会基层组织和广大会员、志愿者带头参与， 形成良好的社会氛围，无偿献血、捐献遗体</w:t>
      </w:r>
      <w:r>
        <w:rPr>
          <w:rFonts w:hint="eastAsia" w:ascii="仿宋" w:hAnsi="仿宋" w:eastAsia="仿宋"/>
          <w:sz w:val="32"/>
          <w:szCs w:val="32"/>
          <w:lang w:eastAsia="zh-CN"/>
        </w:rPr>
        <w:t>（</w:t>
      </w:r>
      <w:r>
        <w:rPr>
          <w:rFonts w:hint="eastAsia" w:ascii="仿宋" w:hAnsi="仿宋" w:eastAsia="仿宋"/>
          <w:sz w:val="32"/>
          <w:szCs w:val="32"/>
        </w:rPr>
        <w:t>器官</w:t>
      </w:r>
      <w:r>
        <w:rPr>
          <w:rFonts w:hint="eastAsia" w:ascii="仿宋" w:hAnsi="仿宋" w:eastAsia="仿宋"/>
          <w:sz w:val="32"/>
          <w:szCs w:val="32"/>
          <w:lang w:eastAsia="zh-CN"/>
        </w:rPr>
        <w:t>）</w:t>
      </w:r>
      <w:r>
        <w:rPr>
          <w:rFonts w:hint="eastAsia" w:ascii="仿宋" w:hAnsi="仿宋" w:eastAsia="仿宋"/>
          <w:sz w:val="32"/>
          <w:szCs w:val="32"/>
        </w:rPr>
        <w:t>工作有了新的起色，今年有144人无偿献血35600毫升，为全州临床用血提供了保障。</w:t>
      </w:r>
    </w:p>
    <w:p w14:paraId="723C912B">
      <w:pPr>
        <w:spacing w:line="540" w:lineRule="exact"/>
        <w:ind w:firstLine="474" w:firstLineChars="225"/>
        <w:rPr>
          <w:rFonts w:hint="eastAsia" w:ascii="仿宋" w:hAnsi="仿宋" w:eastAsia="仿宋"/>
          <w:b/>
          <w:bCs/>
          <w:sz w:val="32"/>
          <w:szCs w:val="32"/>
        </w:rPr>
      </w:pPr>
      <w:r>
        <w:rPr>
          <w:rFonts w:hint="eastAsia" w:ascii="宋体" w:hAnsi="宋体"/>
          <w:b/>
          <w:bCs/>
        </w:rPr>
        <w:t>（五）</w:t>
      </w:r>
      <w:r>
        <w:rPr>
          <w:rFonts w:hint="eastAsia" w:ascii="仿宋" w:hAnsi="仿宋" w:eastAsia="仿宋"/>
          <w:b/>
          <w:bCs/>
          <w:sz w:val="32"/>
          <w:szCs w:val="32"/>
        </w:rPr>
        <w:t>红十字会基层组织不断发展壮大</w:t>
      </w:r>
    </w:p>
    <w:p w14:paraId="2CBDC70A">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我会严格按“六有”标准发展乡镇、村（社区）红十字基层组织，今年发展红十字会基层组织9个，发展</w:t>
      </w:r>
      <w:r>
        <w:rPr>
          <w:rFonts w:hint="eastAsia" w:ascii="仿宋" w:hAnsi="仿宋" w:eastAsia="仿宋"/>
          <w:sz w:val="32"/>
          <w:szCs w:val="32"/>
          <w:lang w:eastAsia="zh-CN"/>
        </w:rPr>
        <w:t>红十字会会员</w:t>
      </w:r>
      <w:r>
        <w:rPr>
          <w:rFonts w:hint="eastAsia" w:ascii="仿宋" w:hAnsi="仿宋" w:eastAsia="仿宋"/>
          <w:sz w:val="32"/>
          <w:szCs w:val="32"/>
        </w:rPr>
        <w:t>15人，红十字志愿者15人。</w:t>
      </w:r>
    </w:p>
    <w:p w14:paraId="7BE57036">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为不断提高红十字会干部队伍的业务素质，我会利用每周的学习时间，组织职工学习业务知识，先后派出6人次参加省州红十字会理论、业务培训。</w:t>
      </w:r>
    </w:p>
    <w:p w14:paraId="4D5416B2">
      <w:pPr>
        <w:spacing w:line="540" w:lineRule="exact"/>
        <w:ind w:firstLine="474" w:firstLineChars="225"/>
        <w:rPr>
          <w:rFonts w:hint="eastAsia" w:ascii="仿宋" w:hAnsi="仿宋" w:eastAsia="仿宋"/>
          <w:b/>
          <w:bCs/>
          <w:sz w:val="32"/>
          <w:szCs w:val="32"/>
        </w:rPr>
      </w:pPr>
      <w:r>
        <w:rPr>
          <w:rFonts w:hint="eastAsia" w:ascii="宋体" w:hAnsi="宋体"/>
          <w:b/>
          <w:bCs/>
        </w:rPr>
        <w:t>（六）</w:t>
      </w:r>
      <w:r>
        <w:rPr>
          <w:rFonts w:hint="eastAsia" w:ascii="仿宋" w:hAnsi="仿宋" w:eastAsia="仿宋"/>
          <w:b/>
          <w:bCs/>
          <w:sz w:val="32"/>
          <w:szCs w:val="32"/>
        </w:rPr>
        <w:t>加强救灾备灾工作，提高应急救援能力</w:t>
      </w:r>
    </w:p>
    <w:p w14:paraId="088BA8BA">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制定自然灾害救灾备灾预案，完善措施。按照中国红十字会法赋予的职能， 我们把强化防灾救灾的意识，作为我会工作的一件大事来抓。在</w:t>
      </w:r>
      <w:r>
        <w:rPr>
          <w:rFonts w:hint="eastAsia" w:ascii="仿宋" w:hAnsi="仿宋" w:eastAsia="仿宋"/>
          <w:sz w:val="32"/>
          <w:szCs w:val="32"/>
          <w:lang w:eastAsia="zh-CN"/>
        </w:rPr>
        <w:t>“5·12”</w:t>
      </w:r>
      <w:r>
        <w:rPr>
          <w:rFonts w:hint="eastAsia" w:ascii="仿宋" w:hAnsi="仿宋" w:eastAsia="仿宋"/>
          <w:sz w:val="32"/>
          <w:szCs w:val="32"/>
        </w:rPr>
        <w:t>地震10周年之际</w:t>
      </w:r>
      <w:r>
        <w:rPr>
          <w:rFonts w:hint="eastAsia" w:ascii="仿宋" w:hAnsi="仿宋" w:eastAsia="仿宋"/>
          <w:sz w:val="32"/>
          <w:szCs w:val="32"/>
          <w:lang w:eastAsia="zh-CN"/>
        </w:rPr>
        <w:t>，</w:t>
      </w:r>
      <w:r>
        <w:rPr>
          <w:rFonts w:hint="eastAsia" w:ascii="仿宋" w:hAnsi="仿宋" w:eastAsia="仿宋"/>
          <w:sz w:val="32"/>
          <w:szCs w:val="32"/>
        </w:rPr>
        <w:t>我会与县应急办、县卫计局等部门开展了“自然灾害应急大演练”， 增强有效处置各种自然灾害的能力。积极争取县财政支持，提高救灾备灾水平，每年争取县财政预算资金15万元用于松潘县红十字会救灾备灾应急救护中心日常运行，确保了救灾</w:t>
      </w:r>
      <w:r>
        <w:rPr>
          <w:rFonts w:hint="eastAsia" w:ascii="仿宋" w:hAnsi="仿宋" w:eastAsia="仿宋"/>
          <w:sz w:val="32"/>
          <w:szCs w:val="32"/>
          <w:lang w:eastAsia="zh-CN"/>
        </w:rPr>
        <w:t>储备</w:t>
      </w:r>
      <w:r>
        <w:rPr>
          <w:rFonts w:hint="eastAsia" w:ascii="仿宋" w:hAnsi="仿宋" w:eastAsia="仿宋"/>
          <w:sz w:val="32"/>
          <w:szCs w:val="32"/>
        </w:rPr>
        <w:t>物资的安全，提高了我会救灾备灾水平。</w:t>
      </w:r>
    </w:p>
    <w:p w14:paraId="3281456E">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6月25日至6月26日，7月8日</w:t>
      </w:r>
      <w:r>
        <w:rPr>
          <w:rFonts w:hint="eastAsia" w:ascii="仿宋" w:hAnsi="仿宋" w:eastAsia="仿宋"/>
          <w:sz w:val="32"/>
          <w:szCs w:val="32"/>
          <w:lang w:eastAsia="zh-CN"/>
        </w:rPr>
        <w:t>—</w:t>
      </w:r>
      <w:r>
        <w:rPr>
          <w:rFonts w:hint="eastAsia" w:ascii="仿宋" w:hAnsi="仿宋" w:eastAsia="仿宋"/>
          <w:sz w:val="32"/>
          <w:szCs w:val="32"/>
        </w:rPr>
        <w:t>7月12日，我县连续降雨，导致河道水位上涨，发生洪涝灾害，全县不同程度受灾，松潘县红十字会积极主动与县民政局配合做好灾情统计工作，并通过红十字会灾情直报系统及时上报灾情，争取上级红会的救灾物资。通过县红会的努力，争取到省州红十字会调拨的救灾物资：赈济家庭箱100个，运动服2000件，袜子900双，并根据乡镇的灾情及时将救灾物资发放到灾民手中。</w:t>
      </w:r>
    </w:p>
    <w:p w14:paraId="3E57D96A">
      <w:pPr>
        <w:pStyle w:val="12"/>
        <w:spacing w:line="540" w:lineRule="exact"/>
        <w:ind w:firstLine="643" w:firstLineChars="200"/>
        <w:rPr>
          <w:rFonts w:hint="eastAsia" w:ascii="仿宋_GB2312" w:hAnsi="仿宋" w:eastAsia="仿宋_GB2312" w:cs="Times New Roman"/>
          <w:b/>
          <w:bCs/>
          <w:sz w:val="32"/>
          <w:szCs w:val="32"/>
        </w:rPr>
      </w:pPr>
      <w:r>
        <w:rPr>
          <w:rFonts w:hint="eastAsia" w:ascii="仿宋_GB2312" w:hAnsi="仿宋" w:eastAsia="仿宋_GB2312" w:cs="Times New Roman"/>
          <w:b/>
          <w:bCs/>
          <w:sz w:val="32"/>
          <w:szCs w:val="32"/>
        </w:rPr>
        <w:t>（七）加强捐赠资金的管理，提高捐赠资金使用效率</w:t>
      </w:r>
    </w:p>
    <w:p w14:paraId="2F08B018">
      <w:pPr>
        <w:spacing w:line="566" w:lineRule="exact"/>
        <w:ind w:firstLine="419" w:firstLineChars="131"/>
        <w:rPr>
          <w:rFonts w:hint="eastAsia" w:ascii="仿宋" w:hAnsi="仿宋" w:eastAsia="仿宋" w:cs="黑体"/>
          <w:sz w:val="32"/>
          <w:szCs w:val="32"/>
        </w:rPr>
      </w:pPr>
      <w:r>
        <w:rPr>
          <w:rFonts w:hint="eastAsia" w:ascii="仿宋" w:hAnsi="仿宋" w:eastAsia="仿宋"/>
          <w:sz w:val="32"/>
          <w:szCs w:val="32"/>
        </w:rPr>
        <w:t>松潘县红十字会的捐赠资金实行专人管理，专</w:t>
      </w:r>
      <w:r>
        <w:rPr>
          <w:rFonts w:hint="eastAsia" w:ascii="仿宋" w:hAnsi="仿宋" w:eastAsia="仿宋"/>
          <w:sz w:val="32"/>
          <w:szCs w:val="32"/>
          <w:lang w:eastAsia="zh-CN"/>
        </w:rPr>
        <w:t>账核算</w:t>
      </w:r>
      <w:r>
        <w:rPr>
          <w:rFonts w:hint="eastAsia" w:ascii="仿宋" w:hAnsi="仿宋" w:eastAsia="仿宋"/>
          <w:sz w:val="32"/>
          <w:szCs w:val="32"/>
        </w:rPr>
        <w:t>，向捐款人开具专用捐赠收据。对定向捐赠资金严格按捐赠人的意愿使用，先由定向捐赠资金使用方按捐赠人的意愿制定实施方案，方案分别报捐赠人、县红十字会审查，经审查均无意见后，资金才能使用，资金使用完毕，定向捐赠资金使用方分别向捐赠人、县红十字会上报资金使用结果。对非定向捐款，按要求上缴州红十字会。对所有的捐赠资金在县红十字会政务公开栏和松潘县政务网站做好接收公示、使用公示，接受群众监督，同时接受财政、纪检、审计部门的监督检查，确保捐赠资金专款专用，无截留、挤占、挪用、贪污和私自改变用途的情况。</w:t>
      </w:r>
    </w:p>
    <w:p w14:paraId="023E68F3">
      <w:pPr>
        <w:spacing w:line="540" w:lineRule="exact"/>
        <w:ind w:firstLine="474" w:firstLineChars="225"/>
        <w:rPr>
          <w:rFonts w:hint="eastAsia" w:ascii="仿宋" w:hAnsi="仿宋" w:eastAsia="仿宋"/>
          <w:b/>
          <w:bCs/>
          <w:sz w:val="32"/>
          <w:szCs w:val="32"/>
        </w:rPr>
      </w:pPr>
      <w:r>
        <w:rPr>
          <w:rFonts w:hint="eastAsia" w:ascii="宋体" w:hAnsi="宋体"/>
          <w:b/>
          <w:bCs/>
        </w:rPr>
        <w:t>（八）</w:t>
      </w:r>
      <w:r>
        <w:rPr>
          <w:rFonts w:hint="eastAsia" w:ascii="仿宋" w:hAnsi="仿宋" w:eastAsia="仿宋"/>
          <w:b/>
          <w:bCs/>
          <w:sz w:val="32"/>
          <w:szCs w:val="32"/>
        </w:rPr>
        <w:t>2018年博爱家园项目顺利实施</w:t>
      </w:r>
    </w:p>
    <w:p w14:paraId="3F7981E7">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县红十字会争取到浙江省红十字会对口援助资金36万元，实施川主寺镇八十沟村博爱家园项目，该项目主要建设内容为新建救灾避险广场1200平方米、红十字博爱小屋40平方米、生计项目1 个。</w:t>
      </w:r>
    </w:p>
    <w:p w14:paraId="43A7471E">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4月，县红十字会在川主寺镇八十沟村召开项目启动会后，博爱家园项目正式启动，建设地点位于八十沟村综合服务站，位于雪山梁路旁，是去往黄龙的开端也是必经之路。博爱家园项目与村集体经济建设项目进行统一管理，一并实施。红十字博爱小屋已于10月上旬完工，救灾避险广场将于10月底完成。</w:t>
      </w:r>
    </w:p>
    <w:p w14:paraId="0E37FF9A">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为了更好</w:t>
      </w:r>
      <w:r>
        <w:rPr>
          <w:rFonts w:hint="eastAsia" w:ascii="仿宋" w:hAnsi="仿宋" w:eastAsia="仿宋"/>
          <w:sz w:val="32"/>
          <w:szCs w:val="32"/>
          <w:lang w:eastAsia="zh-CN"/>
        </w:rPr>
        <w:t>地</w:t>
      </w:r>
      <w:r>
        <w:rPr>
          <w:rFonts w:hint="eastAsia" w:ascii="仿宋" w:hAnsi="仿宋" w:eastAsia="仿宋"/>
          <w:sz w:val="32"/>
          <w:szCs w:val="32"/>
        </w:rPr>
        <w:t>开展博爱家园项目各项工作，八十沟村在村活动室专门设立村红十字会办公室，制度上墙、宣传画上墙、读物上柜。积极号召热心公益的青年20人成立村红十字会志愿服务队，13人申请加入红十字会会员。开展2次应急救护培训班，培训救护员15人，普及培训230人次，开展宣传活动4次，发放宣传资料260余份，在群众中反应较好。</w:t>
      </w:r>
    </w:p>
    <w:p w14:paraId="31998C46">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机关建设稳步推进，做好了联乡帮村及“户户访 人人忙”工作、民主法制建设、党的建设、思想文化建设、党风廉政建设、民宗统战、社会治理、群团工作、群众工作、公共安全、保密、统计等工作，认真做好</w:t>
      </w:r>
      <w:r>
        <w:rPr>
          <w:rFonts w:hint="eastAsia" w:ascii="仿宋" w:hAnsi="仿宋" w:eastAsia="仿宋"/>
          <w:sz w:val="32"/>
          <w:szCs w:val="32"/>
          <w:lang w:eastAsia="zh-CN"/>
        </w:rPr>
        <w:t>县委、县政府</w:t>
      </w:r>
      <w:r>
        <w:rPr>
          <w:rFonts w:hint="eastAsia" w:ascii="仿宋" w:hAnsi="仿宋" w:eastAsia="仿宋"/>
          <w:sz w:val="32"/>
          <w:szCs w:val="32"/>
        </w:rPr>
        <w:t>交办的其他工作。</w:t>
      </w:r>
    </w:p>
    <w:p w14:paraId="0B918BE2">
      <w:pPr>
        <w:spacing w:line="576" w:lineRule="exact"/>
        <w:ind w:firstLine="419" w:firstLineChars="131"/>
        <w:rPr>
          <w:rFonts w:hint="eastAsia" w:ascii="仿宋" w:hAnsi="仿宋" w:eastAsia="仿宋"/>
          <w:sz w:val="32"/>
          <w:szCs w:val="32"/>
        </w:rPr>
      </w:pPr>
      <w:r>
        <w:rPr>
          <w:rFonts w:hint="eastAsia" w:ascii="黑体" w:hAnsi="黑体" w:eastAsia="黑体"/>
          <w:sz w:val="32"/>
          <w:szCs w:val="32"/>
        </w:rPr>
        <w:t>四、评价结论及建议</w:t>
      </w:r>
    </w:p>
    <w:p w14:paraId="0D2E4D11">
      <w:pPr>
        <w:spacing w:line="576" w:lineRule="exact"/>
        <w:ind w:firstLine="420"/>
        <w:rPr>
          <w:rFonts w:hint="eastAsia" w:ascii="仿宋" w:hAnsi="仿宋" w:eastAsia="仿宋"/>
          <w:sz w:val="32"/>
          <w:szCs w:val="32"/>
        </w:rPr>
      </w:pPr>
      <w:r>
        <w:rPr>
          <w:rFonts w:hint="eastAsia" w:ascii="仿宋" w:hAnsi="仿宋" w:eastAsia="仿宋"/>
          <w:b/>
          <w:bCs/>
          <w:sz w:val="32"/>
          <w:szCs w:val="32"/>
        </w:rPr>
        <w:t>（一）评价结论。</w:t>
      </w:r>
      <w:r>
        <w:rPr>
          <w:rFonts w:hint="eastAsia" w:ascii="仿宋" w:hAnsi="仿宋" w:eastAsia="仿宋"/>
          <w:sz w:val="32"/>
          <w:szCs w:val="32"/>
        </w:rPr>
        <w:t>2018年预算范围内，做到资金使用范围合理，达到开源节流，注重效益的目标。</w:t>
      </w:r>
    </w:p>
    <w:p w14:paraId="58F86B59">
      <w:pPr>
        <w:spacing w:line="576" w:lineRule="exact"/>
        <w:ind w:firstLine="420"/>
        <w:rPr>
          <w:rFonts w:hint="eastAsia" w:ascii="仿宋" w:hAnsi="仿宋" w:eastAsia="仿宋"/>
          <w:sz w:val="32"/>
          <w:szCs w:val="32"/>
        </w:rPr>
      </w:pPr>
      <w:r>
        <w:rPr>
          <w:rFonts w:hint="eastAsia" w:ascii="仿宋" w:hAnsi="仿宋" w:eastAsia="仿宋"/>
          <w:b/>
          <w:bCs/>
          <w:sz w:val="32"/>
          <w:szCs w:val="32"/>
        </w:rPr>
        <w:t>（二）存在问题。</w:t>
      </w:r>
      <w:r>
        <w:rPr>
          <w:rFonts w:hint="eastAsia" w:ascii="仿宋" w:hAnsi="仿宋" w:eastAsia="仿宋"/>
          <w:sz w:val="32"/>
          <w:szCs w:val="32"/>
        </w:rPr>
        <w:t>目前监管机制较为完善，资金的申请、拨付、使用把关较严，但是事后监管乏力，后续配套措施有提升空间，绩效评价仍有较大的提升空间。</w:t>
      </w:r>
    </w:p>
    <w:p w14:paraId="3D0898A2">
      <w:pPr>
        <w:spacing w:line="576" w:lineRule="exact"/>
        <w:ind w:firstLine="420"/>
        <w:rPr>
          <w:rFonts w:hint="eastAsia" w:ascii="仿宋" w:hAnsi="仿宋" w:eastAsia="仿宋"/>
          <w:sz w:val="32"/>
          <w:szCs w:val="32"/>
        </w:rPr>
      </w:pPr>
      <w:r>
        <w:rPr>
          <w:rFonts w:hint="eastAsia" w:ascii="仿宋" w:hAnsi="仿宋" w:eastAsia="仿宋"/>
          <w:b/>
          <w:bCs/>
          <w:sz w:val="32"/>
          <w:szCs w:val="32"/>
        </w:rPr>
        <w:t>（三）改进情况。</w:t>
      </w:r>
      <w:r>
        <w:rPr>
          <w:rFonts w:hint="eastAsia" w:ascii="仿宋" w:hAnsi="仿宋" w:eastAsia="仿宋"/>
          <w:sz w:val="32"/>
          <w:szCs w:val="32"/>
        </w:rPr>
        <w:t>做好资金拨付力度，做好项目的后续管理，保证使用的资金发挥出最大的社会效益。</w:t>
      </w:r>
    </w:p>
    <w:p w14:paraId="00EFB862">
      <w:pPr>
        <w:spacing w:line="576" w:lineRule="exact"/>
        <w:ind w:firstLine="640" w:firstLineChars="200"/>
        <w:rPr>
          <w:rFonts w:hint="eastAsia" w:ascii="仿宋" w:hAnsi="仿宋" w:eastAsia="仿宋"/>
          <w:sz w:val="32"/>
          <w:szCs w:val="32"/>
        </w:rPr>
      </w:pPr>
      <w:r>
        <w:rPr>
          <w:rFonts w:hint="eastAsia" w:ascii="仿宋" w:hAnsi="仿宋" w:eastAsia="仿宋"/>
          <w:sz w:val="32"/>
          <w:szCs w:val="32"/>
        </w:rPr>
        <w:t xml:space="preserve"> </w:t>
      </w:r>
    </w:p>
    <w:p w14:paraId="6E23905A">
      <w:pPr>
        <w:autoSpaceDE w:val="0"/>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 xml:space="preserve"> </w:t>
      </w:r>
    </w:p>
    <w:p w14:paraId="2065D9CC">
      <w:pPr>
        <w:autoSpaceDE w:val="0"/>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 xml:space="preserve">     </w:t>
      </w:r>
    </w:p>
    <w:p w14:paraId="320862AC">
      <w:pPr>
        <w:autoSpaceDE w:val="0"/>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 xml:space="preserve">                    </w:t>
      </w:r>
    </w:p>
    <w:p w14:paraId="58730706">
      <w:pPr>
        <w:spacing w:line="580" w:lineRule="exact"/>
        <w:ind w:firstLine="640" w:firstLineChars="200"/>
        <w:rPr>
          <w:rFonts w:ascii="仿宋_GB2312" w:hAnsi="仿宋_GB2312" w:eastAsia="仿宋_GB2312" w:cs="仿宋_GB2312"/>
          <w:sz w:val="32"/>
          <w:szCs w:val="32"/>
        </w:rPr>
      </w:pPr>
    </w:p>
    <w:p w14:paraId="1752C1D5">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16EAFBD">
      <w:pPr>
        <w:pStyle w:val="3"/>
        <w:rPr>
          <w:rStyle w:val="25"/>
          <w:rFonts w:ascii="仿宋" w:hAnsi="仿宋" w:eastAsia="仿宋"/>
          <w:b w:val="0"/>
          <w:bCs w:val="0"/>
          <w:sz w:val="32"/>
          <w:szCs w:val="32"/>
        </w:rPr>
      </w:pPr>
      <w:bookmarkStart w:id="58" w:name="_Toc15396617"/>
      <w:r>
        <w:rPr>
          <w:rStyle w:val="25"/>
          <w:rFonts w:hint="eastAsia" w:ascii="仿宋" w:hAnsi="仿宋" w:eastAsia="仿宋"/>
          <w:b w:val="0"/>
          <w:bCs w:val="0"/>
          <w:sz w:val="32"/>
          <w:szCs w:val="32"/>
        </w:rPr>
        <w:t>附件2</w:t>
      </w:r>
      <w:bookmarkEnd w:id="58"/>
    </w:p>
    <w:p w14:paraId="42085136">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2018年救灾、备灾、应急救护项目支出绩效评价报告</w:t>
      </w:r>
    </w:p>
    <w:p w14:paraId="22B9834A">
      <w:pPr>
        <w:spacing w:line="580" w:lineRule="exact"/>
        <w:ind w:firstLine="640" w:firstLineChars="200"/>
        <w:rPr>
          <w:rFonts w:ascii="仿宋_GB2312" w:hAnsi="仿宋_GB2312" w:eastAsia="仿宋_GB2312" w:cs="仿宋_GB2312"/>
          <w:sz w:val="32"/>
          <w:szCs w:val="32"/>
        </w:rPr>
      </w:pPr>
    </w:p>
    <w:p w14:paraId="2355828C">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67A43C5E">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救灾、备灾、应急救护中心管理运行</w:t>
      </w:r>
    </w:p>
    <w:p w14:paraId="7D3EC406">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14:paraId="33D91681">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01089FE3">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制定自然灾害救灾备灾预案，完善措施。按照中国红十字会法赋予的职能， 我们把强化防灾救灾的意识，作为我会工作的一件大事来抓。在</w:t>
      </w:r>
      <w:r>
        <w:rPr>
          <w:rFonts w:hint="eastAsia" w:ascii="仿宋" w:hAnsi="仿宋" w:eastAsia="仿宋"/>
          <w:sz w:val="32"/>
          <w:szCs w:val="32"/>
          <w:lang w:eastAsia="zh-CN"/>
        </w:rPr>
        <w:t>“5·12”</w:t>
      </w:r>
      <w:r>
        <w:rPr>
          <w:rFonts w:hint="eastAsia" w:ascii="仿宋" w:hAnsi="仿宋" w:eastAsia="仿宋"/>
          <w:sz w:val="32"/>
          <w:szCs w:val="32"/>
        </w:rPr>
        <w:t>地震10周年之际</w:t>
      </w:r>
      <w:r>
        <w:rPr>
          <w:rFonts w:hint="eastAsia" w:ascii="仿宋" w:hAnsi="仿宋" w:eastAsia="仿宋"/>
          <w:sz w:val="32"/>
          <w:szCs w:val="32"/>
          <w:lang w:eastAsia="zh-CN"/>
        </w:rPr>
        <w:t>，</w:t>
      </w:r>
      <w:r>
        <w:rPr>
          <w:rFonts w:hint="eastAsia" w:ascii="仿宋" w:hAnsi="仿宋" w:eastAsia="仿宋"/>
          <w:sz w:val="32"/>
          <w:szCs w:val="32"/>
        </w:rPr>
        <w:t>我会与县应急办、县卫计局等部门开展了“自然灾害应急大演练”， 增强有效处置各种自然灾害的能力。积极争取县财政支持，提高救灾备灾水平，每年争取县财政预算资金15万元用于松潘县红十字会救灾备灾应急救护中心日常运行，确保了救灾</w:t>
      </w:r>
      <w:r>
        <w:rPr>
          <w:rFonts w:hint="eastAsia" w:ascii="仿宋" w:hAnsi="仿宋" w:eastAsia="仿宋"/>
          <w:sz w:val="32"/>
          <w:szCs w:val="32"/>
          <w:lang w:eastAsia="zh-CN"/>
        </w:rPr>
        <w:t>储备</w:t>
      </w:r>
      <w:r>
        <w:rPr>
          <w:rFonts w:hint="eastAsia" w:ascii="仿宋" w:hAnsi="仿宋" w:eastAsia="仿宋"/>
          <w:sz w:val="32"/>
          <w:szCs w:val="32"/>
        </w:rPr>
        <w:t>物资的安全，提高了我会救灾备灾水平。</w:t>
      </w:r>
    </w:p>
    <w:p w14:paraId="64888837">
      <w:pPr>
        <w:spacing w:line="580" w:lineRule="exact"/>
        <w:ind w:firstLine="640" w:firstLineChars="200"/>
        <w:rPr>
          <w:rFonts w:ascii="仿宋" w:hAnsi="仿宋" w:eastAsia="仿宋" w:cs="仿宋_GB2312"/>
          <w:sz w:val="32"/>
          <w:szCs w:val="32"/>
        </w:rPr>
      </w:pPr>
    </w:p>
    <w:p w14:paraId="7D166B12">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14:paraId="2E5DA825">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1.</w:t>
      </w:r>
      <w:r>
        <w:rPr>
          <w:rFonts w:ascii="仿宋" w:hAnsi="仿宋" w:eastAsia="仿宋" w:cs="仿宋_GB2312"/>
          <w:sz w:val="32"/>
          <w:szCs w:val="32"/>
        </w:rPr>
        <w:t>项目决策</w:t>
      </w:r>
    </w:p>
    <w:p w14:paraId="3E097024">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为不断提高红十字会干部队伍的业务素质，我会利用每周的学习时间，组织职工学习业务知识，先后派出6人次参加省州红十字会理论、业务培训。</w:t>
      </w:r>
    </w:p>
    <w:p w14:paraId="1E9604CB">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2.</w:t>
      </w:r>
      <w:r>
        <w:rPr>
          <w:rFonts w:ascii="仿宋" w:hAnsi="仿宋" w:eastAsia="仿宋" w:cs="仿宋_GB2312"/>
          <w:sz w:val="32"/>
          <w:szCs w:val="32"/>
        </w:rPr>
        <w:t>项目管理</w:t>
      </w:r>
    </w:p>
    <w:p w14:paraId="542B4EA6">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项目下达</w:t>
      </w:r>
      <w:r>
        <w:rPr>
          <w:rFonts w:ascii="仿宋" w:hAnsi="仿宋" w:eastAsia="仿宋" w:cs="仿宋_GB2312"/>
          <w:sz w:val="32"/>
          <w:szCs w:val="32"/>
        </w:rPr>
        <w:t>53456</w:t>
      </w:r>
      <w:r>
        <w:rPr>
          <w:rFonts w:hint="eastAsia" w:ascii="仿宋" w:hAnsi="仿宋" w:eastAsia="仿宋" w:cs="仿宋_GB2312"/>
          <w:sz w:val="32"/>
          <w:szCs w:val="32"/>
        </w:rPr>
        <w:t>元，使用</w:t>
      </w:r>
      <w:r>
        <w:rPr>
          <w:rFonts w:ascii="仿宋" w:hAnsi="仿宋" w:eastAsia="仿宋" w:cs="仿宋_GB2312"/>
          <w:sz w:val="32"/>
          <w:szCs w:val="32"/>
        </w:rPr>
        <w:t>53456</w:t>
      </w:r>
      <w:r>
        <w:rPr>
          <w:rFonts w:hint="eastAsia" w:ascii="仿宋" w:hAnsi="仿宋" w:eastAsia="仿宋" w:cs="仿宋_GB2312"/>
          <w:sz w:val="32"/>
          <w:szCs w:val="32"/>
        </w:rPr>
        <w:t>元，完成预算100%</w:t>
      </w:r>
    </w:p>
    <w:p w14:paraId="6B0CBEAC">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3.</w:t>
      </w:r>
      <w:r>
        <w:rPr>
          <w:rFonts w:ascii="仿宋" w:hAnsi="仿宋" w:eastAsia="仿宋" w:cs="仿宋_GB2312"/>
          <w:sz w:val="32"/>
          <w:szCs w:val="32"/>
        </w:rPr>
        <w:t>项目绩效</w:t>
      </w:r>
    </w:p>
    <w:p w14:paraId="133DE31D">
      <w:pPr>
        <w:spacing w:line="566" w:lineRule="exact"/>
        <w:ind w:firstLine="419" w:firstLineChars="131"/>
        <w:rPr>
          <w:rFonts w:hint="eastAsia" w:ascii="仿宋" w:hAnsi="仿宋" w:eastAsia="仿宋"/>
          <w:sz w:val="32"/>
          <w:szCs w:val="32"/>
        </w:rPr>
      </w:pPr>
      <w:r>
        <w:rPr>
          <w:rFonts w:hint="eastAsia" w:ascii="仿宋" w:hAnsi="仿宋" w:eastAsia="仿宋"/>
          <w:sz w:val="32"/>
          <w:szCs w:val="32"/>
        </w:rPr>
        <w:t>经过培训、考试、考核，共有230人取得了救护员资格证书。我会深入十里乡、镇坪乡、白羊乡等单位开展了7期救护普及培训班，普及培训1110人。</w:t>
      </w:r>
    </w:p>
    <w:p w14:paraId="7FF1F7BE">
      <w:pPr>
        <w:pStyle w:val="30"/>
        <w:numPr>
          <w:ilvl w:val="0"/>
          <w:numId w:val="9"/>
        </w:numPr>
        <w:spacing w:line="580" w:lineRule="exact"/>
        <w:ind w:firstLineChars="0"/>
        <w:rPr>
          <w:rFonts w:hint="eastAsia" w:ascii="仿宋" w:hAnsi="仿宋" w:eastAsia="仿宋" w:cs="仿宋_GB2312"/>
          <w:sz w:val="32"/>
          <w:szCs w:val="32"/>
        </w:rPr>
      </w:pPr>
      <w:r>
        <w:rPr>
          <w:rFonts w:ascii="仿宋" w:hAnsi="仿宋" w:eastAsia="仿宋" w:cs="仿宋_GB2312"/>
          <w:sz w:val="32"/>
          <w:szCs w:val="32"/>
        </w:rPr>
        <w:t>存在主要问题</w:t>
      </w:r>
    </w:p>
    <w:p w14:paraId="5A3ED808">
      <w:pPr>
        <w:spacing w:line="580" w:lineRule="exact"/>
        <w:ind w:firstLine="320" w:firstLineChars="100"/>
        <w:rPr>
          <w:rFonts w:ascii="仿宋" w:hAnsi="仿宋" w:eastAsia="仿宋" w:cs="仿宋_GB2312"/>
          <w:sz w:val="32"/>
          <w:szCs w:val="32"/>
        </w:rPr>
      </w:pPr>
      <w:r>
        <w:rPr>
          <w:rFonts w:hint="eastAsia" w:ascii="仿宋" w:hAnsi="仿宋" w:eastAsia="仿宋"/>
          <w:sz w:val="32"/>
          <w:szCs w:val="32"/>
        </w:rPr>
        <w:t>目前监管机制较为完善，资金的申请、拨付、使用把关较严，但是事后监管乏力，后续配套措施有提升空间，绩效评价仍有较大的提升空间。</w:t>
      </w:r>
    </w:p>
    <w:p w14:paraId="045AC2C7">
      <w:pPr>
        <w:pStyle w:val="30"/>
        <w:numPr>
          <w:ilvl w:val="0"/>
          <w:numId w:val="9"/>
        </w:numPr>
        <w:spacing w:line="580" w:lineRule="exact"/>
        <w:ind w:firstLineChars="0"/>
        <w:rPr>
          <w:rFonts w:hint="eastAsia" w:ascii="仿宋" w:hAnsi="仿宋" w:eastAsia="仿宋" w:cs="仿宋_GB2312"/>
          <w:sz w:val="32"/>
          <w:szCs w:val="32"/>
        </w:rPr>
      </w:pPr>
      <w:r>
        <w:rPr>
          <w:rFonts w:ascii="仿宋" w:hAnsi="仿宋" w:eastAsia="仿宋" w:cs="仿宋_GB2312"/>
          <w:sz w:val="32"/>
          <w:szCs w:val="32"/>
        </w:rPr>
        <w:t>相关措施建议</w:t>
      </w:r>
    </w:p>
    <w:p w14:paraId="244905FB">
      <w:pPr>
        <w:spacing w:line="580" w:lineRule="exact"/>
        <w:ind w:firstLine="480" w:firstLineChars="150"/>
        <w:rPr>
          <w:rFonts w:hint="eastAsia" w:ascii="仿宋" w:hAnsi="仿宋" w:eastAsia="仿宋"/>
          <w:sz w:val="32"/>
          <w:szCs w:val="32"/>
        </w:rPr>
      </w:pPr>
      <w:r>
        <w:rPr>
          <w:rFonts w:hint="eastAsia" w:ascii="仿宋" w:hAnsi="仿宋" w:eastAsia="仿宋"/>
          <w:sz w:val="32"/>
          <w:szCs w:val="32"/>
        </w:rPr>
        <w:t>做好资金拨付力度，做好项目的后续管理，保证使用的资金发挥出最大的社会效益。</w:t>
      </w:r>
    </w:p>
    <w:p w14:paraId="3D7ACA78">
      <w:pPr>
        <w:spacing w:line="580" w:lineRule="exact"/>
        <w:ind w:firstLine="480" w:firstLineChars="150"/>
        <w:jc w:val="left"/>
        <w:rPr>
          <w:rStyle w:val="25"/>
          <w:rFonts w:ascii="仿宋" w:hAnsi="仿宋" w:eastAsia="仿宋" w:cs="仿宋_GB2312"/>
          <w:b w:val="0"/>
          <w:bCs w:val="0"/>
          <w:kern w:val="2"/>
          <w:sz w:val="32"/>
          <w:szCs w:val="32"/>
        </w:rPr>
      </w:pPr>
    </w:p>
    <w:p w14:paraId="3072B3B5">
      <w:pPr>
        <w:spacing w:line="600" w:lineRule="exact"/>
        <w:outlineLvl w:val="0"/>
        <w:rPr>
          <w:rFonts w:hint="eastAsia" w:ascii="黑体" w:hAnsi="黑体" w:eastAsia="黑体"/>
          <w:color w:val="000000"/>
          <w:sz w:val="44"/>
          <w:szCs w:val="44"/>
        </w:rPr>
      </w:pPr>
      <w:bookmarkStart w:id="59" w:name="_Toc15396618"/>
    </w:p>
    <w:p w14:paraId="21AEC14C">
      <w:pPr>
        <w:spacing w:line="600" w:lineRule="exact"/>
        <w:outlineLvl w:val="0"/>
        <w:rPr>
          <w:rFonts w:hint="eastAsia" w:ascii="黑体" w:hAnsi="黑体" w:eastAsia="黑体"/>
          <w:color w:val="000000"/>
          <w:sz w:val="44"/>
          <w:szCs w:val="44"/>
        </w:rPr>
      </w:pPr>
    </w:p>
    <w:p w14:paraId="12761181">
      <w:pPr>
        <w:spacing w:line="600" w:lineRule="exact"/>
        <w:outlineLvl w:val="0"/>
        <w:rPr>
          <w:rFonts w:hint="eastAsia" w:ascii="黑体" w:hAnsi="黑体" w:eastAsia="黑体"/>
          <w:color w:val="000000"/>
          <w:sz w:val="44"/>
          <w:szCs w:val="44"/>
        </w:rPr>
      </w:pPr>
    </w:p>
    <w:p w14:paraId="0F4CC077">
      <w:pPr>
        <w:spacing w:line="600" w:lineRule="exact"/>
        <w:outlineLvl w:val="0"/>
        <w:rPr>
          <w:rFonts w:hint="eastAsia" w:ascii="黑体" w:hAnsi="黑体" w:eastAsia="黑体"/>
          <w:color w:val="000000"/>
          <w:sz w:val="44"/>
          <w:szCs w:val="44"/>
        </w:rPr>
      </w:pPr>
    </w:p>
    <w:p w14:paraId="007FFF05">
      <w:pPr>
        <w:spacing w:line="600" w:lineRule="exact"/>
        <w:outlineLvl w:val="0"/>
        <w:rPr>
          <w:rFonts w:hint="eastAsia" w:ascii="黑体" w:hAnsi="黑体" w:eastAsia="黑体"/>
          <w:color w:val="000000"/>
          <w:sz w:val="44"/>
          <w:szCs w:val="44"/>
        </w:rPr>
      </w:pPr>
    </w:p>
    <w:p w14:paraId="068A59F0">
      <w:pPr>
        <w:spacing w:line="600" w:lineRule="exact"/>
        <w:outlineLvl w:val="0"/>
        <w:rPr>
          <w:rFonts w:hint="eastAsia" w:ascii="黑体" w:hAnsi="黑体" w:eastAsia="黑体"/>
          <w:color w:val="000000"/>
          <w:sz w:val="44"/>
          <w:szCs w:val="44"/>
        </w:rPr>
      </w:pPr>
    </w:p>
    <w:p w14:paraId="3FDD150D">
      <w:pPr>
        <w:spacing w:line="600" w:lineRule="exact"/>
        <w:outlineLvl w:val="0"/>
        <w:rPr>
          <w:rFonts w:hint="eastAsia" w:ascii="黑体" w:hAnsi="黑体" w:eastAsia="黑体"/>
          <w:color w:val="000000"/>
          <w:sz w:val="44"/>
          <w:szCs w:val="44"/>
        </w:rPr>
      </w:pPr>
    </w:p>
    <w:p w14:paraId="1CF79935">
      <w:pPr>
        <w:spacing w:line="600" w:lineRule="exact"/>
        <w:outlineLvl w:val="0"/>
        <w:rPr>
          <w:rFonts w:hint="eastAsia" w:ascii="黑体" w:hAnsi="黑体" w:eastAsia="黑体"/>
          <w:color w:val="000000"/>
          <w:sz w:val="44"/>
          <w:szCs w:val="44"/>
        </w:rPr>
      </w:pPr>
    </w:p>
    <w:p w14:paraId="5F307B7F">
      <w:pPr>
        <w:spacing w:line="600" w:lineRule="exact"/>
        <w:outlineLvl w:val="0"/>
        <w:rPr>
          <w:rFonts w:hint="eastAsia" w:ascii="黑体" w:hAnsi="黑体" w:eastAsia="黑体"/>
          <w:color w:val="000000"/>
          <w:sz w:val="44"/>
          <w:szCs w:val="44"/>
        </w:rPr>
      </w:pPr>
    </w:p>
    <w:p w14:paraId="6D66552B">
      <w:pPr>
        <w:spacing w:line="600" w:lineRule="exact"/>
        <w:outlineLvl w:val="0"/>
        <w:rPr>
          <w:rFonts w:hint="eastAsia" w:ascii="黑体" w:hAnsi="黑体" w:eastAsia="黑体"/>
          <w:color w:val="000000"/>
          <w:sz w:val="44"/>
          <w:szCs w:val="44"/>
        </w:rPr>
      </w:pPr>
    </w:p>
    <w:p w14:paraId="0ABCB31D">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5"/>
      <w:bookmarkEnd w:id="59"/>
    </w:p>
    <w:p w14:paraId="21E9C06B">
      <w:pPr>
        <w:spacing w:line="600" w:lineRule="exact"/>
        <w:jc w:val="center"/>
        <w:outlineLvl w:val="0"/>
        <w:rPr>
          <w:rFonts w:ascii="仿宋" w:hAnsi="仿宋" w:eastAsia="仿宋"/>
          <w:b/>
          <w:color w:val="000000"/>
          <w:sz w:val="44"/>
          <w:szCs w:val="44"/>
        </w:rPr>
      </w:pPr>
    </w:p>
    <w:p w14:paraId="2F088442">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14:paraId="39B521F0">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1"/>
    </w:p>
    <w:p w14:paraId="6FF5CD9D">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2"/>
    </w:p>
    <w:p w14:paraId="6B5EE642">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14:paraId="0E195848">
      <w:pPr>
        <w:pStyle w:val="3"/>
        <w:rPr>
          <w:rFonts w:ascii="仿宋" w:hAnsi="仿宋" w:eastAsia="仿宋"/>
          <w:color w:val="00000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4"/>
    </w:p>
    <w:p w14:paraId="6805CD5C">
      <w:pPr>
        <w:pStyle w:val="3"/>
        <w:rPr>
          <w:rFonts w:ascii="仿宋" w:hAnsi="仿宋" w:eastAsia="仿宋"/>
          <w:color w:val="000000"/>
        </w:rPr>
      </w:pPr>
      <w:bookmarkStart w:id="65"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14:paraId="47BF2943">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14:paraId="665A8888">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14:paraId="29D2E2BD">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14:paraId="2D7471DF">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14:paraId="39AB3B8D">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14:paraId="3288DED8">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14:paraId="3D030462">
      <w:pPr>
        <w:pStyle w:val="3"/>
        <w:rPr>
          <w:rFonts w:ascii="仿宋" w:hAnsi="仿宋" w:eastAsia="仿宋"/>
          <w:color w:val="000000" w:themeColor="text1"/>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D80023-8704-4600-970A-A71EC6920A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47C2F8B-AB84-491F-8A2C-4514AAAFB6EB}"/>
  </w:font>
  <w:font w:name="Cambria">
    <w:panose1 w:val="02040503050406030204"/>
    <w:charset w:val="00"/>
    <w:family w:val="roman"/>
    <w:pitch w:val="default"/>
    <w:sig w:usb0="E00006FF" w:usb1="420024FF" w:usb2="02000000" w:usb3="00000000" w:csb0="2000019F" w:csb1="00000000"/>
    <w:embedRegular r:id="rId3" w:fontKey="{5B7EAC92-EE62-4CB6-AC64-7E169BCDC523}"/>
  </w:font>
  <w:font w:name="仿宋_GB2312">
    <w:panose1 w:val="02010609030101010101"/>
    <w:charset w:val="86"/>
    <w:family w:val="modern"/>
    <w:pitch w:val="default"/>
    <w:sig w:usb0="00000001" w:usb1="080E0000" w:usb2="00000000" w:usb3="00000000" w:csb0="00040000" w:csb1="00000000"/>
    <w:embedRegular r:id="rId4" w:fontKey="{382CD909-C2EF-4979-BE9E-4E4876B84BE4}"/>
  </w:font>
  <w:font w:name="仿宋">
    <w:panose1 w:val="02010609060101010101"/>
    <w:charset w:val="86"/>
    <w:family w:val="modern"/>
    <w:pitch w:val="default"/>
    <w:sig w:usb0="800002BF" w:usb1="38CF7CFA" w:usb2="00000016" w:usb3="00000000" w:csb0="00040001" w:csb1="00000000"/>
    <w:embedRegular r:id="rId5" w:fontKey="{5E93BA2B-73D8-4C6F-B69A-59A444A76363}"/>
  </w:font>
  <w:font w:name="方正小标宋简体">
    <w:panose1 w:val="02010600010101010101"/>
    <w:charset w:val="86"/>
    <w:family w:val="auto"/>
    <w:pitch w:val="default"/>
    <w:sig w:usb0="00000001" w:usb1="080E0000" w:usb2="00000000" w:usb3="00000000" w:csb0="00040000" w:csb1="00000000"/>
    <w:embedRegular r:id="rId6" w:fontKey="{D7C8B6AF-CC42-447D-A0F2-B356794E3A5C}"/>
  </w:font>
  <w:font w:name="楷体_GB2312">
    <w:panose1 w:val="02010609030101010101"/>
    <w:charset w:val="86"/>
    <w:family w:val="auto"/>
    <w:pitch w:val="default"/>
    <w:sig w:usb0="00000001" w:usb1="080E0000" w:usb2="00000000" w:usb3="00000000" w:csb0="00040000" w:csb1="00000000"/>
    <w:embedRegular r:id="rId7" w:fontKey="{AB3CB006-FA50-470F-A18F-3102756CC2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05DB954">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14:paraId="6B9B8B66">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E948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32192759"/>
    <w:multiLevelType w:val="multilevel"/>
    <w:tmpl w:val="32192759"/>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2A70C15"/>
    <w:multiLevelType w:val="multilevel"/>
    <w:tmpl w:val="52A70C15"/>
    <w:lvl w:ilvl="0" w:tentative="0">
      <w:start w:val="3"/>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917220B"/>
    <w:multiLevelType w:val="multilevel"/>
    <w:tmpl w:val="5917220B"/>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2C55987"/>
    <w:multiLevelType w:val="multilevel"/>
    <w:tmpl w:val="62C55987"/>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4"/>
  </w:num>
  <w:num w:numId="4">
    <w:abstractNumId w:val="2"/>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1172"/>
    <w:rsid w:val="000222C6"/>
    <w:rsid w:val="0002549F"/>
    <w:rsid w:val="0006487A"/>
    <w:rsid w:val="00065F8F"/>
    <w:rsid w:val="000768F2"/>
    <w:rsid w:val="000807BC"/>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56730"/>
    <w:rsid w:val="00361893"/>
    <w:rsid w:val="0037013F"/>
    <w:rsid w:val="00380C92"/>
    <w:rsid w:val="003A484F"/>
    <w:rsid w:val="003B0BE0"/>
    <w:rsid w:val="003B0C1B"/>
    <w:rsid w:val="003B688C"/>
    <w:rsid w:val="003C0291"/>
    <w:rsid w:val="003C39AE"/>
    <w:rsid w:val="003C7B60"/>
    <w:rsid w:val="003D1FB2"/>
    <w:rsid w:val="003D66DA"/>
    <w:rsid w:val="003E1310"/>
    <w:rsid w:val="003E6F55"/>
    <w:rsid w:val="003F0337"/>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4946"/>
    <w:rsid w:val="00767B7E"/>
    <w:rsid w:val="007770C3"/>
    <w:rsid w:val="00784D24"/>
    <w:rsid w:val="00785FBA"/>
    <w:rsid w:val="00786E4A"/>
    <w:rsid w:val="007875EB"/>
    <w:rsid w:val="0079426B"/>
    <w:rsid w:val="007C330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B35"/>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0D5A"/>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706F9"/>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C00D5"/>
    <w:rsid w:val="00FD3CC1"/>
    <w:rsid w:val="00FF1E02"/>
    <w:rsid w:val="00FF30B4"/>
    <w:rsid w:val="10C055FF"/>
    <w:rsid w:val="15BA77F7"/>
    <w:rsid w:val="16BB723D"/>
    <w:rsid w:val="240371BF"/>
    <w:rsid w:val="29FD04D3"/>
    <w:rsid w:val="319F7F4E"/>
    <w:rsid w:val="4F7C71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rPr>
      <w:rFonts w:ascii="宋体" w:hAnsi="宋体" w:cs="宋体"/>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列出段落1"/>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styleId="30">
    <w:name w:val="List Paragraph"/>
    <w:basedOn w:val="1"/>
    <w:unhideWhenUsed/>
    <w:qFormat/>
    <w:uiPriority w:val="99"/>
    <w:pPr>
      <w:ind w:firstLine="420" w:firstLineChars="200"/>
    </w:pPr>
  </w:style>
  <w:style w:type="character" w:customStyle="1" w:styleId="31">
    <w:name w:val="font31"/>
    <w:basedOn w:val="14"/>
    <w:qFormat/>
    <w:uiPriority w:val="0"/>
    <w:rPr>
      <w:rFonts w:hint="eastAsia" w:ascii="宋体" w:hAnsi="宋体" w:eastAsia="宋体"/>
      <w:color w:val="000000"/>
      <w:sz w:val="18"/>
      <w:szCs w:val="18"/>
      <w:u w:val="none"/>
    </w:rPr>
  </w:style>
  <w:style w:type="character" w:customStyle="1" w:styleId="32">
    <w:name w:val="15"/>
    <w:basedOn w:val="14"/>
    <w:qFormat/>
    <w:uiPriority w:val="0"/>
    <w:rPr>
      <w:rFonts w:hint="eastAsia" w:ascii="宋体" w:hAnsi="宋体" w:eastAsia="宋体"/>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4941C-EDC0-42F5-AA9A-67809D65A1F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4514</Words>
  <Characters>4657</Characters>
  <Lines>28</Lines>
  <Paragraphs>39</Paragraphs>
  <TotalTime>95</TotalTime>
  <ScaleCrop>false</ScaleCrop>
  <LinksUpToDate>false</LinksUpToDate>
  <CharactersWithSpaces>4710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2019-09-10T01:14:00Z</dcterms:created>
  <dc:creator>张彬茜</dc:creator>
  <cp:lastModifiedBy>奕夕^_^</cp:lastModifiedBy>
  <cp:lastPrinted>2019-08-01T00:48:00Z</cp:lastPrinted>
  <dcterms:modified xsi:type="dcterms:W3CDTF">2026-07-22T08:23:32Z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5D797B5375E44091B2B737EAFA7FDA3A_12</vt:lpwstr>
  </property>
</Properties>
</file>