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F3FF23">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77425"/>
      <w:bookmarkStart w:id="2" w:name="_Toc15396597"/>
      <w:bookmarkStart w:id="3" w:name="_Toc15378441"/>
      <w:bookmarkStart w:id="4" w:name="_Toc15377193"/>
      <w:bookmarkStart w:id="5" w:name="_Toc15306267"/>
    </w:p>
    <w:p w14:paraId="679FEC8F">
      <w:pPr>
        <w:pStyle w:val="6"/>
        <w:rPr>
          <w:rFonts w:hint="eastAsia" w:ascii="Times New Roman" w:hAnsi="Times New Roman" w:eastAsia="方正小标宋简体" w:cs="Times New Roman"/>
          <w:color w:val="auto"/>
          <w:kern w:val="2"/>
          <w:sz w:val="72"/>
          <w:szCs w:val="72"/>
          <w:highlight w:val="none"/>
          <w:lang w:val="en-US" w:eastAsia="zh-CN" w:bidi="ar-SA"/>
        </w:rPr>
      </w:pPr>
    </w:p>
    <w:p w14:paraId="3E3CA3CE">
      <w:pPr>
        <w:pStyle w:val="6"/>
        <w:rPr>
          <w:rFonts w:hint="eastAsia" w:ascii="Times New Roman" w:hAnsi="Times New Roman" w:eastAsia="方正小标宋简体" w:cs="Times New Roman"/>
          <w:color w:val="auto"/>
          <w:kern w:val="2"/>
          <w:sz w:val="72"/>
          <w:szCs w:val="72"/>
          <w:highlight w:val="none"/>
          <w:lang w:val="en-US" w:eastAsia="zh-CN" w:bidi="ar-SA"/>
        </w:rPr>
      </w:pPr>
    </w:p>
    <w:p w14:paraId="1FC8ACEC">
      <w:pPr>
        <w:rPr>
          <w:rFonts w:ascii="Times New Roman" w:hAnsi="Times New Roman"/>
        </w:rPr>
      </w:pPr>
    </w:p>
    <w:p w14:paraId="3E4901F5">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1D389457">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63457796">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3F161C40">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2D099F80">
      <w:pPr>
        <w:pStyle w:val="6"/>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96476"/>
      <w:bookmarkStart w:id="7" w:name="_Toc15377426"/>
      <w:bookmarkStart w:id="8" w:name="_Toc15378442"/>
      <w:bookmarkStart w:id="9" w:name="_Toc15377194"/>
      <w:bookmarkStart w:id="10" w:name="_Toc15396598"/>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年度四川省</w:t>
      </w:r>
      <w:bookmarkEnd w:id="5"/>
      <w:bookmarkStart w:id="11" w:name="_Toc15306268"/>
    </w:p>
    <w:p w14:paraId="215252A2">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松潘县城乡居民养老保险事务中心</w:t>
      </w:r>
    </w:p>
    <w:p w14:paraId="674D567D">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14:paraId="7BFB1A21">
      <w:pPr>
        <w:widowControl/>
        <w:jc w:val="center"/>
        <w:rPr>
          <w:rFonts w:hint="eastAsia" w:ascii="Times New Roman" w:hAnsi="Times New Roman" w:eastAsia="黑体"/>
          <w:color w:val="auto"/>
          <w:sz w:val="48"/>
          <w:szCs w:val="48"/>
          <w:highlight w:val="none"/>
        </w:rPr>
      </w:pPr>
    </w:p>
    <w:p w14:paraId="30B308C4">
      <w:pPr>
        <w:widowControl/>
        <w:jc w:val="center"/>
        <w:rPr>
          <w:rFonts w:hint="eastAsia" w:ascii="Times New Roman" w:hAnsi="Times New Roman" w:eastAsia="黑体"/>
          <w:color w:val="auto"/>
          <w:sz w:val="48"/>
          <w:szCs w:val="48"/>
          <w:highlight w:val="none"/>
        </w:rPr>
      </w:pPr>
    </w:p>
    <w:p w14:paraId="198BAF15">
      <w:pPr>
        <w:widowControl/>
        <w:jc w:val="center"/>
        <w:rPr>
          <w:rFonts w:hint="eastAsia" w:ascii="Times New Roman" w:hAnsi="Times New Roman" w:eastAsia="黑体"/>
          <w:color w:val="auto"/>
          <w:sz w:val="48"/>
          <w:szCs w:val="48"/>
          <w:highlight w:val="none"/>
        </w:rPr>
      </w:pPr>
    </w:p>
    <w:p w14:paraId="28EAA6FE">
      <w:pPr>
        <w:widowControl/>
        <w:jc w:val="center"/>
        <w:rPr>
          <w:rFonts w:hint="eastAsia" w:ascii="Times New Roman" w:hAnsi="Times New Roman" w:eastAsia="黑体"/>
          <w:color w:val="auto"/>
          <w:sz w:val="48"/>
          <w:szCs w:val="48"/>
          <w:highlight w:val="none"/>
        </w:rPr>
      </w:pPr>
    </w:p>
    <w:p w14:paraId="59A53976">
      <w:pPr>
        <w:widowControl/>
        <w:jc w:val="center"/>
        <w:rPr>
          <w:rFonts w:hint="eastAsia" w:ascii="Times New Roman" w:hAnsi="Times New Roman" w:eastAsia="黑体"/>
          <w:color w:val="auto"/>
          <w:sz w:val="48"/>
          <w:szCs w:val="48"/>
          <w:highlight w:val="none"/>
        </w:rPr>
      </w:pPr>
    </w:p>
    <w:p w14:paraId="581395E2">
      <w:pPr>
        <w:widowControl/>
        <w:jc w:val="center"/>
        <w:rPr>
          <w:rFonts w:hint="eastAsia" w:ascii="Times New Roman" w:hAnsi="Times New Roman" w:eastAsia="黑体"/>
          <w:color w:val="auto"/>
          <w:sz w:val="48"/>
          <w:szCs w:val="48"/>
          <w:highlight w:val="none"/>
        </w:rPr>
      </w:pPr>
    </w:p>
    <w:p w14:paraId="62C45FCF">
      <w:pPr>
        <w:widowControl/>
        <w:jc w:val="center"/>
        <w:rPr>
          <w:rFonts w:hint="eastAsia" w:ascii="Times New Roman" w:hAnsi="Times New Roman" w:eastAsia="黑体"/>
          <w:color w:val="auto"/>
          <w:sz w:val="48"/>
          <w:szCs w:val="48"/>
          <w:highlight w:val="none"/>
        </w:rPr>
      </w:pPr>
    </w:p>
    <w:p w14:paraId="014B7CF2">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31CBA739">
      <w:pPr>
        <w:widowControl/>
        <w:jc w:val="center"/>
        <w:rPr>
          <w:rFonts w:ascii="Times New Roman" w:hAnsi="Times New Roman" w:eastAsia="黑体" w:cstheme="minorBidi"/>
          <w:color w:val="auto"/>
          <w:sz w:val="28"/>
          <w:szCs w:val="28"/>
          <w:highlight w:val="none"/>
        </w:rPr>
      </w:pPr>
    </w:p>
    <w:p w14:paraId="39ACECC5">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13</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281960322"/>
        <w:docPartObj>
          <w:docPartGallery w:val="Table of Contents"/>
          <w:docPartUnique/>
        </w:docPartObj>
      </w:sdtPr>
      <w:sdtEndPr>
        <w:rPr>
          <w:rFonts w:hint="eastAsia" w:ascii="Times New Roman" w:hAnsi="Times New Roman" w:eastAsia="仿宋_GB2312" w:cs="仿宋_GB2312"/>
          <w:color w:val="auto"/>
          <w:kern w:val="2"/>
          <w:sz w:val="32"/>
          <w:szCs w:val="32"/>
          <w:highlight w:val="none"/>
          <w:lang w:val="en-US" w:eastAsia="zh-CN" w:bidi="ar-SA"/>
        </w:rPr>
      </w:sdtEndPr>
      <w:sdtContent>
        <w:p w14:paraId="66668403">
          <w:pPr>
            <w:spacing w:before="0" w:beforeLines="0" w:after="0" w:afterLines="0" w:line="240" w:lineRule="auto"/>
            <w:ind w:left="0" w:leftChars="0" w:right="0" w:rightChars="0" w:firstLine="0" w:firstLineChars="0"/>
            <w:jc w:val="center"/>
          </w:pPr>
          <w:bookmarkStart w:id="12" w:name="_Toc28713_WPSOffice_Type2"/>
        </w:p>
        <w:p w14:paraId="3AFB4DE8">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_Toc27642_WPSOffice_Level1 </w:instrText>
          </w:r>
          <w:r>
            <w:rPr>
              <w:rFonts w:hint="eastAsia" w:ascii="Times New Roman" w:hAnsi="Times New Roman" w:eastAsia="黑体" w:cs="黑体"/>
              <w:color w:val="auto"/>
              <w:sz w:val="32"/>
              <w:szCs w:val="32"/>
              <w:highlight w:val="none"/>
            </w:rPr>
            <w:fldChar w:fldCharType="separate"/>
          </w:r>
          <w:sdt>
            <w:sdtPr>
              <w:rPr>
                <w:rFonts w:hint="eastAsia" w:ascii="Times New Roman" w:hAnsi="Times New Roman" w:eastAsia="黑体" w:cs="黑体"/>
                <w:color w:val="auto"/>
                <w:sz w:val="32"/>
                <w:szCs w:val="32"/>
                <w:highlight w:val="none"/>
                <w:lang w:val="en-US" w:eastAsia="zh-CN"/>
              </w:rPr>
              <w:id w:val="147455128"/>
              <w:placeholder>
                <w:docPart w:val="{b6115c4e-f6ad-45a2-9863-d1f03069c2f0}"/>
              </w:placeholder>
            </w:sdtPr>
            <w:sdtEndPr>
              <w:rPr>
                <w:rFonts w:hint="eastAsia" w:ascii="Times New Roman" w:hAnsi="Times New Roman" w:eastAsia="黑体" w:cs="黑体"/>
                <w:color w:val="auto"/>
                <w:sz w:val="32"/>
                <w:szCs w:val="32"/>
                <w:highlight w:val="none"/>
                <w:lang w:val="en-US" w:eastAsia="zh-CN"/>
              </w:rPr>
            </w:sdtEndPr>
            <w:sdtContent>
              <w:r>
                <w:rPr>
                  <w:rFonts w:hint="eastAsia" w:ascii="Times New Roman" w:hAnsi="Times New Roman" w:eastAsia="黑体" w:cs="黑体"/>
                  <w:color w:val="auto"/>
                  <w:sz w:val="32"/>
                  <w:szCs w:val="32"/>
                  <w:highlight w:val="none"/>
                </w:rPr>
                <w:t>第一部分  部门概况</w:t>
              </w:r>
            </w:sdtContent>
          </w:sdt>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4</w:t>
          </w:r>
          <w:r>
            <w:rPr>
              <w:rFonts w:hint="eastAsia" w:ascii="Times New Roman" w:hAnsi="Times New Roman" w:eastAsia="黑体" w:cs="黑体"/>
              <w:color w:val="auto"/>
              <w:sz w:val="32"/>
              <w:szCs w:val="32"/>
              <w:highlight w:val="none"/>
            </w:rPr>
            <w:fldChar w:fldCharType="end"/>
          </w:r>
        </w:p>
        <w:p w14:paraId="2239BF1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_Toc28713_WPSOffice_Level2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789874549"/>
              <w:placeholder>
                <w:docPart w:val="{65b9349d-7245-4577-8ad2-d3aac708df83}"/>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一、部门职责</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fldChar w:fldCharType="end"/>
          </w:r>
        </w:p>
        <w:p w14:paraId="1F4D4AA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_Toc25557_WPSOffice_Level2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213550894"/>
              <w:placeholder>
                <w:docPart w:val="{f31c7b5b-6d0b-4369-ac14-07105e374a03}"/>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二、机构设置</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fldChar w:fldCharType="end"/>
          </w:r>
        </w:p>
        <w:p w14:paraId="5D6B9F1B">
          <w:pPr>
            <w:pStyle w:val="38"/>
            <w:tabs>
              <w:tab w:val="right" w:leader="dot" w:pos="8306"/>
            </w:tabs>
          </w:pPr>
          <w:r>
            <w:rPr>
              <w:b/>
              <w:bCs/>
            </w:rPr>
            <w:fldChar w:fldCharType="begin"/>
          </w:r>
          <w:r>
            <w:instrText xml:space="preserve"> HYPERLINK \l _Toc28713_WPSOffice_Level1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986089499"/>
              <w:placeholder>
                <w:docPart w:val="{445a63a0-b687-45ff-9620-d7bab0015ca1}"/>
              </w:placeholder>
            </w:sdtPr>
            <w:sdtEndPr>
              <w:rPr>
                <w:rFonts w:hint="eastAsia" w:ascii="Times New Roman" w:hAnsi="Times New Roman" w:eastAsia="黑体" w:cs="黑体"/>
                <w:b/>
                <w:bCs/>
                <w:color w:val="auto"/>
                <w:kern w:val="2"/>
                <w:sz w:val="32"/>
                <w:szCs w:val="32"/>
                <w:highlight w:val="none"/>
                <w:lang w:val="en-US" w:eastAsia="zh-CN" w:bidi="ar-SA"/>
              </w:rPr>
            </w:sdtEndPr>
            <w:sdtContent>
              <w:r>
                <w:rPr>
                  <w:rFonts w:hint="eastAsia" w:ascii="Times New Roman" w:hAnsi="Times New Roman" w:eastAsia="黑体" w:cs="黑体"/>
                  <w:color w:val="auto"/>
                  <w:kern w:val="2"/>
                  <w:sz w:val="32"/>
                  <w:szCs w:val="32"/>
                  <w:highlight w:val="none"/>
                  <w:lang w:val="en-US" w:eastAsia="zh-CN" w:bidi="ar-SA"/>
                </w:rPr>
                <w:t>第二部分  2025年度部门决算情况说明</w:t>
              </w:r>
            </w:sdtContent>
          </w:sdt>
          <w:r>
            <w:rPr>
              <w:rFonts w:hint="eastAsia" w:ascii="Times New Roman" w:hAnsi="Times New Roman" w:eastAsia="黑体" w:cs="黑体"/>
              <w:color w:val="auto"/>
              <w:kern w:val="2"/>
              <w:sz w:val="32"/>
              <w:szCs w:val="32"/>
              <w:highlight w:val="none"/>
              <w:lang w:val="en-US" w:eastAsia="zh-CN" w:bidi="ar-SA"/>
            </w:rPr>
            <w:tab/>
          </w:r>
          <w:r>
            <w:rPr>
              <w:rFonts w:hint="eastAsia" w:ascii="Times New Roman" w:hAnsi="Times New Roman" w:eastAsia="黑体" w:cs="黑体"/>
              <w:color w:val="auto"/>
              <w:kern w:val="2"/>
              <w:sz w:val="32"/>
              <w:szCs w:val="32"/>
              <w:highlight w:val="none"/>
              <w:lang w:val="en-US" w:eastAsia="zh-CN" w:bidi="ar-SA"/>
            </w:rPr>
            <w:t>5</w:t>
          </w:r>
          <w:r>
            <w:rPr>
              <w:b/>
              <w:bCs/>
            </w:rPr>
            <w:fldChar w:fldCharType="end"/>
          </w:r>
        </w:p>
        <w:p w14:paraId="678FAB4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_Toc20394_WPSOffice_Level2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211020893"/>
              <w:placeholder>
                <w:docPart w:val="{5840d744-6440-49ab-98d1-93b6b9920088}"/>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一、收入支出决算总体情况说明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fldChar w:fldCharType="end"/>
          </w:r>
        </w:p>
        <w:p w14:paraId="5DBE288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_Toc32145_WPSOffice_Level2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473159866"/>
              <w:placeholder>
                <w:docPart w:val="{bbe04fdb-dd8b-4c2e-ab61-0f64cdfaf356}"/>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二、收入决算情况说明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fldChar w:fldCharType="end"/>
          </w:r>
        </w:p>
        <w:p w14:paraId="7AD03E0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_Toc3545_WPSOffice_Level2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914841487"/>
              <w:placeholder>
                <w:docPart w:val="{38dbc501-50ba-4be0-a983-80bce0d90fbe}"/>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三、支出决算情况说明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fldChar w:fldCharType="end"/>
          </w:r>
        </w:p>
        <w:p w14:paraId="514E056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_Toc1143_WPSOffice_Level2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374304055"/>
              <w:placeholder>
                <w:docPart w:val="{6a9e59d7-2535-40a4-9314-12692547c19e}"/>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四、财政拨款收入支出决算总体情况说明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fldChar w:fldCharType="end"/>
          </w:r>
        </w:p>
        <w:p w14:paraId="472ECA4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_Toc2542_WPSOffice_Level2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609889711"/>
              <w:placeholder>
                <w:docPart w:val="{a6b950db-3601-4e0f-993a-403dbefdebbf}"/>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五、一般公共预算财政拨款支出决算情况说明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fldChar w:fldCharType="end"/>
          </w:r>
        </w:p>
        <w:p w14:paraId="55131B4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_Toc24191_WPSOffice_Level2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64783743"/>
              <w:placeholder>
                <w:docPart w:val="{2a8d6e01-98fe-4e0a-a739-7e57a007dcd8}"/>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六、一般公共预算财政拨款基本支出决算情况说明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fldChar w:fldCharType="end"/>
          </w:r>
        </w:p>
        <w:p w14:paraId="4AF3F7A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_Toc3867_WPSOffice_Level2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980957976"/>
              <w:placeholder>
                <w:docPart w:val="{19405ef3-6123-4716-be2c-e6246f7ef37b}"/>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七、财政拨款“三公”经费支出决算情况说明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7</w:t>
          </w:r>
          <w:r>
            <w:rPr>
              <w:rFonts w:hint="eastAsia" w:ascii="Times New Roman" w:hAnsi="Times New Roman" w:eastAsia="仿宋_GB2312" w:cs="仿宋_GB2312"/>
              <w:color w:val="auto"/>
              <w:sz w:val="32"/>
              <w:szCs w:val="32"/>
              <w:highlight w:val="none"/>
            </w:rPr>
            <w:fldChar w:fldCharType="end"/>
          </w:r>
        </w:p>
        <w:p w14:paraId="3DE66A8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_Toc6858_WPSOffice_Level2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916430337"/>
              <w:placeholder>
                <w:docPart w:val="{57b15dc9-1e2c-4445-a6b1-791c8fb2f446}"/>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八、政府性基金预算支出决算情况说明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8</w:t>
          </w:r>
          <w:r>
            <w:rPr>
              <w:rFonts w:hint="eastAsia" w:ascii="Times New Roman" w:hAnsi="Times New Roman" w:eastAsia="仿宋_GB2312" w:cs="仿宋_GB2312"/>
              <w:color w:val="auto"/>
              <w:sz w:val="32"/>
              <w:szCs w:val="32"/>
              <w:highlight w:val="none"/>
            </w:rPr>
            <w:fldChar w:fldCharType="end"/>
          </w:r>
        </w:p>
        <w:p w14:paraId="28492B7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_Toc26088_WPSOffice_Level2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639496941"/>
              <w:placeholder>
                <w:docPart w:val="{fe8c6a4d-543e-4e44-be1c-d3b268184bba}"/>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九、国有资本经营预算支出决算情况说明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8</w:t>
          </w:r>
          <w:r>
            <w:rPr>
              <w:rFonts w:hint="eastAsia" w:ascii="Times New Roman" w:hAnsi="Times New Roman" w:eastAsia="仿宋_GB2312" w:cs="仿宋_GB2312"/>
              <w:color w:val="auto"/>
              <w:sz w:val="32"/>
              <w:szCs w:val="32"/>
              <w:highlight w:val="none"/>
            </w:rPr>
            <w:fldChar w:fldCharType="end"/>
          </w:r>
        </w:p>
        <w:p w14:paraId="57BC6EF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_Toc9727_WPSOffice_Level2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222335839"/>
              <w:placeholder>
                <w:docPart w:val="{1b351c45-7389-4c48-ae2a-39762057c211}"/>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十、其他重要事项的情况说明</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8</w:t>
          </w:r>
          <w:r>
            <w:rPr>
              <w:rFonts w:hint="eastAsia" w:ascii="Times New Roman" w:hAnsi="Times New Roman" w:eastAsia="仿宋_GB2312" w:cs="仿宋_GB2312"/>
              <w:color w:val="auto"/>
              <w:sz w:val="32"/>
              <w:szCs w:val="32"/>
              <w:highlight w:val="none"/>
            </w:rPr>
            <w:fldChar w:fldCharType="end"/>
          </w:r>
        </w:p>
        <w:p w14:paraId="1D87F955">
          <w:pPr>
            <w:pStyle w:val="38"/>
            <w:tabs>
              <w:tab w:val="right" w:leader="dot" w:pos="8306"/>
            </w:tabs>
            <w:rPr>
              <w:rFonts w:hint="eastAsia" w:ascii="Times New Roman" w:hAnsi="Times New Roman" w:eastAsia="黑体" w:cs="黑体"/>
              <w:color w:val="auto"/>
              <w:kern w:val="2"/>
              <w:sz w:val="32"/>
              <w:szCs w:val="32"/>
              <w:highlight w:val="none"/>
              <w:lang w:val="en-US" w:eastAsia="zh-CN" w:bidi="ar-SA"/>
            </w:rPr>
          </w:pPr>
          <w:r>
            <w:rPr>
              <w:rFonts w:hint="eastAsia" w:ascii="Times New Roman" w:hAnsi="Times New Roman" w:eastAsia="黑体" w:cs="黑体"/>
              <w:color w:val="auto"/>
              <w:kern w:val="2"/>
              <w:sz w:val="32"/>
              <w:szCs w:val="32"/>
              <w:highlight w:val="none"/>
              <w:lang w:val="en-US" w:eastAsia="zh-CN" w:bidi="ar-SA"/>
            </w:rPr>
            <w:fldChar w:fldCharType="begin"/>
          </w:r>
          <w:r>
            <w:rPr>
              <w:rFonts w:hint="eastAsia" w:ascii="Times New Roman" w:hAnsi="Times New Roman" w:eastAsia="黑体" w:cs="黑体"/>
              <w:color w:val="auto"/>
              <w:kern w:val="2"/>
              <w:sz w:val="32"/>
              <w:szCs w:val="32"/>
              <w:highlight w:val="none"/>
              <w:lang w:val="en-US" w:eastAsia="zh-CN" w:bidi="ar-SA"/>
            </w:rPr>
            <w:instrText xml:space="preserve"> HYPERLINK \l _Toc25557_WPSOffice_Level1 </w:instrText>
          </w:r>
          <w:r>
            <w:rPr>
              <w:rFonts w:hint="eastAsia" w:ascii="Times New Roman" w:hAnsi="Times New Roman" w:eastAsia="黑体" w:cs="黑体"/>
              <w:color w:val="auto"/>
              <w:kern w:val="2"/>
              <w:sz w:val="32"/>
              <w:szCs w:val="32"/>
              <w:highlight w:val="none"/>
              <w:lang w:val="en-US" w:eastAsia="zh-CN" w:bidi="ar-SA"/>
            </w:rPr>
            <w:fldChar w:fldCharType="separate"/>
          </w:r>
          <w:sdt>
            <w:sdtPr>
              <w:rPr>
                <w:rFonts w:hint="eastAsia" w:ascii="Times New Roman" w:hAnsi="Times New Roman" w:eastAsia="黑体" w:cs="黑体"/>
                <w:color w:val="auto"/>
                <w:kern w:val="2"/>
                <w:sz w:val="32"/>
                <w:szCs w:val="32"/>
                <w:highlight w:val="none"/>
                <w:lang w:val="en-US" w:eastAsia="zh-CN" w:bidi="ar-SA"/>
              </w:rPr>
              <w:id w:val="142648423"/>
              <w:placeholder>
                <w:docPart w:val="{6abc258f-efe0-42c2-b5ac-f69e7c352086}"/>
              </w:placeholder>
            </w:sdtPr>
            <w:sdtEndPr>
              <w:rPr>
                <w:rFonts w:hint="eastAsia" w:ascii="Times New Roman" w:hAnsi="Times New Roman" w:eastAsia="黑体" w:cs="黑体"/>
                <w:color w:val="auto"/>
                <w:kern w:val="2"/>
                <w:sz w:val="32"/>
                <w:szCs w:val="32"/>
                <w:highlight w:val="none"/>
                <w:lang w:val="en-US" w:eastAsia="zh-CN" w:bidi="ar-SA"/>
              </w:rPr>
            </w:sdtEndPr>
            <w:sdtContent>
              <w:r>
                <w:rPr>
                  <w:rFonts w:hint="eastAsia" w:ascii="Times New Roman" w:hAnsi="Times New Roman" w:eastAsia="黑体" w:cs="黑体"/>
                  <w:color w:val="auto"/>
                  <w:kern w:val="2"/>
                  <w:sz w:val="32"/>
                  <w:szCs w:val="32"/>
                  <w:highlight w:val="none"/>
                  <w:lang w:val="en-US" w:eastAsia="zh-CN" w:bidi="ar-SA"/>
                </w:rPr>
                <w:t>第三部分  名词解释</w:t>
              </w:r>
            </w:sdtContent>
          </w:sdt>
          <w:r>
            <w:rPr>
              <w:rFonts w:hint="eastAsia" w:ascii="Times New Roman" w:hAnsi="Times New Roman" w:eastAsia="黑体" w:cs="黑体"/>
              <w:color w:val="auto"/>
              <w:kern w:val="2"/>
              <w:sz w:val="32"/>
              <w:szCs w:val="32"/>
              <w:highlight w:val="none"/>
              <w:lang w:val="en-US" w:eastAsia="zh-CN" w:bidi="ar-SA"/>
            </w:rPr>
            <w:tab/>
          </w:r>
          <w:r>
            <w:rPr>
              <w:rFonts w:hint="eastAsia" w:ascii="Times New Roman" w:hAnsi="Times New Roman" w:eastAsia="黑体" w:cs="黑体"/>
              <w:color w:val="auto"/>
              <w:kern w:val="2"/>
              <w:sz w:val="32"/>
              <w:szCs w:val="32"/>
              <w:highlight w:val="none"/>
              <w:lang w:val="en-US" w:eastAsia="zh-CN" w:bidi="ar-SA"/>
            </w:rPr>
            <w:t>9</w:t>
          </w:r>
          <w:r>
            <w:rPr>
              <w:rFonts w:hint="eastAsia" w:ascii="Times New Roman" w:hAnsi="Times New Roman" w:eastAsia="黑体" w:cs="黑体"/>
              <w:color w:val="auto"/>
              <w:kern w:val="2"/>
              <w:sz w:val="32"/>
              <w:szCs w:val="32"/>
              <w:highlight w:val="none"/>
              <w:lang w:val="en-US" w:eastAsia="zh-CN" w:bidi="ar-SA"/>
            </w:rPr>
            <w:fldChar w:fldCharType="end"/>
          </w:r>
        </w:p>
        <w:p w14:paraId="1CCB4D69">
          <w:pPr>
            <w:pStyle w:val="38"/>
            <w:tabs>
              <w:tab w:val="right" w:leader="dot" w:pos="8306"/>
            </w:tabs>
            <w:rPr>
              <w:lang w:val="en-US"/>
            </w:rPr>
          </w:pPr>
          <w:r>
            <w:rPr>
              <w:rFonts w:hint="eastAsia" w:ascii="Times New Roman" w:hAnsi="Times New Roman" w:eastAsia="黑体" w:cs="黑体"/>
              <w:color w:val="auto"/>
              <w:kern w:val="2"/>
              <w:sz w:val="32"/>
              <w:szCs w:val="32"/>
              <w:highlight w:val="none"/>
              <w:lang w:val="en-US" w:eastAsia="zh-CN" w:bidi="ar-SA"/>
            </w:rPr>
            <w:fldChar w:fldCharType="begin"/>
          </w:r>
          <w:r>
            <w:rPr>
              <w:rFonts w:hint="eastAsia" w:ascii="Times New Roman" w:hAnsi="Times New Roman" w:eastAsia="黑体" w:cs="黑体"/>
              <w:color w:val="auto"/>
              <w:kern w:val="2"/>
              <w:sz w:val="32"/>
              <w:szCs w:val="32"/>
              <w:highlight w:val="none"/>
              <w:lang w:val="en-US" w:eastAsia="zh-CN" w:bidi="ar-SA"/>
            </w:rPr>
            <w:instrText xml:space="preserve"> HYPERLINK \l _Toc20394_WPSOffice_Level1 </w:instrText>
          </w:r>
          <w:r>
            <w:rPr>
              <w:rFonts w:hint="eastAsia" w:ascii="Times New Roman" w:hAnsi="Times New Roman" w:eastAsia="黑体" w:cs="黑体"/>
              <w:color w:val="auto"/>
              <w:kern w:val="2"/>
              <w:sz w:val="32"/>
              <w:szCs w:val="32"/>
              <w:highlight w:val="none"/>
              <w:lang w:val="en-US" w:eastAsia="zh-CN" w:bidi="ar-SA"/>
            </w:rPr>
            <w:fldChar w:fldCharType="separate"/>
          </w:r>
          <w:sdt>
            <w:sdtPr>
              <w:rPr>
                <w:rFonts w:hint="eastAsia" w:ascii="Times New Roman" w:hAnsi="Times New Roman" w:eastAsia="黑体" w:cs="黑体"/>
                <w:color w:val="auto"/>
                <w:kern w:val="2"/>
                <w:sz w:val="32"/>
                <w:szCs w:val="32"/>
                <w:highlight w:val="none"/>
                <w:lang w:val="en-US" w:eastAsia="zh-CN" w:bidi="ar-SA"/>
              </w:rPr>
              <w:id w:val="138362236"/>
              <w:placeholder>
                <w:docPart w:val="{42ff7eac-c465-4cec-82dc-9f1aab968f8e}"/>
              </w:placeholder>
            </w:sdtPr>
            <w:sdtEndPr>
              <w:rPr>
                <w:rFonts w:hint="eastAsia" w:ascii="Times New Roman" w:hAnsi="Times New Roman" w:eastAsia="黑体" w:cs="黑体"/>
                <w:color w:val="auto"/>
                <w:kern w:val="2"/>
                <w:sz w:val="32"/>
                <w:szCs w:val="32"/>
                <w:highlight w:val="none"/>
                <w:lang w:val="en-US" w:eastAsia="zh-CN" w:bidi="ar-SA"/>
              </w:rPr>
            </w:sdtEndPr>
            <w:sdtContent>
              <w:r>
                <w:rPr>
                  <w:rFonts w:hint="eastAsia" w:ascii="Times New Roman" w:hAnsi="Times New Roman" w:eastAsia="黑体" w:cs="黑体"/>
                  <w:color w:val="auto"/>
                  <w:kern w:val="2"/>
                  <w:sz w:val="32"/>
                  <w:szCs w:val="32"/>
                  <w:highlight w:val="none"/>
                  <w:lang w:val="en-US" w:eastAsia="zh-CN" w:bidi="ar-SA"/>
                </w:rPr>
                <w:t>第四部分 附表</w:t>
              </w:r>
            </w:sdtContent>
          </w:sdt>
          <w:r>
            <w:rPr>
              <w:rFonts w:hint="eastAsia" w:ascii="Times New Roman" w:hAnsi="Times New Roman" w:eastAsia="黑体" w:cs="黑体"/>
              <w:color w:val="auto"/>
              <w:kern w:val="2"/>
              <w:sz w:val="32"/>
              <w:szCs w:val="32"/>
              <w:highlight w:val="none"/>
              <w:lang w:val="en-US" w:eastAsia="zh-CN" w:bidi="ar-SA"/>
            </w:rPr>
            <w:tab/>
          </w:r>
          <w:r>
            <w:rPr>
              <w:rFonts w:hint="eastAsia" w:ascii="Times New Roman" w:hAnsi="Times New Roman" w:eastAsia="黑体" w:cs="黑体"/>
              <w:color w:val="auto"/>
              <w:kern w:val="2"/>
              <w:sz w:val="32"/>
              <w:szCs w:val="32"/>
              <w:highlight w:val="none"/>
              <w:lang w:val="en-US" w:eastAsia="zh-CN" w:bidi="ar-SA"/>
            </w:rPr>
            <w:t>1</w:t>
          </w:r>
          <w:r>
            <w:rPr>
              <w:rFonts w:hint="eastAsia" w:ascii="Times New Roman" w:hAnsi="Times New Roman" w:eastAsia="黑体" w:cs="黑体"/>
              <w:color w:val="auto"/>
              <w:kern w:val="2"/>
              <w:sz w:val="32"/>
              <w:szCs w:val="32"/>
              <w:highlight w:val="none"/>
              <w:lang w:val="en-US" w:eastAsia="zh-CN" w:bidi="ar-SA"/>
            </w:rPr>
            <w:fldChar w:fldCharType="end"/>
          </w:r>
          <w:r>
            <w:rPr>
              <w:rFonts w:hint="eastAsia" w:ascii="Times New Roman" w:hAnsi="Times New Roman" w:eastAsia="黑体" w:cs="黑体"/>
              <w:color w:val="auto"/>
              <w:kern w:val="2"/>
              <w:sz w:val="32"/>
              <w:szCs w:val="32"/>
              <w:highlight w:val="none"/>
              <w:lang w:val="en-US" w:eastAsia="zh-CN" w:bidi="ar-SA"/>
            </w:rPr>
            <w:t>0</w:t>
          </w:r>
        </w:p>
        <w:p w14:paraId="76E4912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_Toc32151_WPSOffice_Level2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779338767"/>
              <w:placeholder>
                <w:docPart w:val="{9c06448d-1cf9-43a0-a3c0-7512eb66b959}"/>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一、收入支出决算总表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0</w:t>
          </w:r>
        </w:p>
        <w:p w14:paraId="141A4AC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_Toc31402_WPSOffice_Level2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255426544"/>
              <w:placeholder>
                <w:docPart w:val="{255515ad-b5e9-4f0c-a4ad-309ab417c52e}"/>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二、收入决算表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0</w:t>
          </w:r>
        </w:p>
        <w:p w14:paraId="0F8C9B1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_Toc21901_WPSOffice_Level2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645027852"/>
              <w:placeholder>
                <w:docPart w:val="{d499dc20-e6d6-4087-86b2-2ec657b15e19}"/>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三、支出决算表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0</w:t>
          </w:r>
        </w:p>
        <w:p w14:paraId="1598726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_Toc30079_WPSOffice_Level2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25989878"/>
              <w:placeholder>
                <w:docPart w:val="{2a61c770-2c04-4d34-98f6-6d0f74ba51db}"/>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四、财政拨款收入支出决算总表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0</w:t>
          </w:r>
        </w:p>
        <w:p w14:paraId="328595F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_Toc20238_WPSOffice_Level2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73694851"/>
              <w:placeholder>
                <w:docPart w:val="{0e644709-3175-46c3-96e8-89ebe819d67d}"/>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五、财政拨款支出决算明细表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0</w:t>
          </w:r>
        </w:p>
        <w:p w14:paraId="799ADD3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_Toc29858_WPSOffice_Level2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360989506"/>
              <w:placeholder>
                <w:docPart w:val="{fafac5bd-d52d-4404-b99a-eb9605687087}"/>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六、一般公共预算财政拨款支出决算表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0</w:t>
          </w:r>
        </w:p>
        <w:p w14:paraId="1EAAF4F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_Toc4560_WPSOffice_Level2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291773507"/>
              <w:placeholder>
                <w:docPart w:val="{a47315ea-52a9-4325-adfc-3aa0fd7b0369}"/>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七、一般公共预算财政拨款支出决算明细表</w:t>
              </w:r>
            </w:sdtContent>
          </w:sdt>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0</w:t>
          </w:r>
        </w:p>
        <w:p w14:paraId="519A418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_Toc25204_WPSOffice_Level2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796533862"/>
              <w:placeholder>
                <w:docPart w:val="{49896feb-87b3-4e55-a4fb-49e838f3a49a}"/>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八、一般公共预算财政拨款基本支出决算表</w:t>
              </w:r>
            </w:sdtContent>
          </w:sdt>
          <w:r>
            <w:rPr>
              <w:rFonts w:hint="eastAsia" w:ascii="Times New Roman" w:hAnsi="Times New Roman" w:eastAsia="仿宋_GB2312" w:cs="仿宋_GB2312"/>
              <w:color w:val="auto"/>
              <w:sz w:val="32"/>
              <w:szCs w:val="32"/>
              <w:highlight w:val="none"/>
            </w:rPr>
            <w:tab/>
          </w:r>
          <w:bookmarkStart w:id="13" w:name="_Toc25204_WPSOffice_Level2Page"/>
          <w:r>
            <w:rPr>
              <w:rFonts w:hint="eastAsia" w:ascii="Times New Roman" w:hAnsi="Times New Roman" w:eastAsia="仿宋_GB2312" w:cs="仿宋_GB2312"/>
              <w:color w:val="auto"/>
              <w:sz w:val="32"/>
              <w:szCs w:val="32"/>
              <w:highlight w:val="none"/>
            </w:rPr>
            <w:t>1</w:t>
          </w:r>
          <w:bookmarkEnd w:id="13"/>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fldChar w:fldCharType="end"/>
          </w:r>
        </w:p>
        <w:p w14:paraId="07F8E9B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_Toc16946_WPSOffice_Level2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747477886"/>
              <w:placeholder>
                <w:docPart w:val="{5da237d3-0aa0-4256-9eb1-9cc66603a2d7}"/>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九、一般公共预算财政拨款项目支出决算表</w:t>
              </w:r>
            </w:sdtContent>
          </w:sdt>
          <w:r>
            <w:rPr>
              <w:rFonts w:hint="eastAsia" w:ascii="Times New Roman" w:hAnsi="Times New Roman" w:eastAsia="仿宋_GB2312" w:cs="仿宋_GB2312"/>
              <w:color w:val="auto"/>
              <w:sz w:val="32"/>
              <w:szCs w:val="32"/>
              <w:highlight w:val="none"/>
            </w:rPr>
            <w:tab/>
          </w:r>
          <w:bookmarkStart w:id="14" w:name="_Toc16946_WPSOffice_Level2Page"/>
          <w:r>
            <w:rPr>
              <w:rFonts w:hint="eastAsia" w:ascii="Times New Roman" w:hAnsi="Times New Roman" w:eastAsia="仿宋_GB2312" w:cs="仿宋_GB2312"/>
              <w:color w:val="auto"/>
              <w:sz w:val="32"/>
              <w:szCs w:val="32"/>
              <w:highlight w:val="none"/>
            </w:rPr>
            <w:t>1</w:t>
          </w:r>
          <w:bookmarkEnd w:id="14"/>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fldChar w:fldCharType="end"/>
          </w:r>
        </w:p>
        <w:p w14:paraId="7058675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_Toc3946_WPSOffice_Level2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735644682"/>
              <w:placeholder>
                <w:docPart w:val="{01d3d4c3-c42d-4a90-b81e-05a5c5e2dd9e}"/>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十、政府性基金预算财政拨款收入支出决算表</w:t>
              </w:r>
            </w:sdtContent>
          </w:sdt>
          <w:r>
            <w:rPr>
              <w:rFonts w:hint="eastAsia" w:ascii="Times New Roman" w:hAnsi="Times New Roman" w:eastAsia="仿宋_GB2312" w:cs="仿宋_GB2312"/>
              <w:color w:val="auto"/>
              <w:sz w:val="32"/>
              <w:szCs w:val="32"/>
              <w:highlight w:val="none"/>
            </w:rPr>
            <w:tab/>
          </w:r>
          <w:bookmarkStart w:id="15" w:name="_Toc3946_WPSOffice_Level2Page"/>
          <w:r>
            <w:rPr>
              <w:rFonts w:hint="eastAsia" w:ascii="Times New Roman" w:hAnsi="Times New Roman" w:eastAsia="仿宋_GB2312" w:cs="仿宋_GB2312"/>
              <w:color w:val="auto"/>
              <w:sz w:val="32"/>
              <w:szCs w:val="32"/>
              <w:highlight w:val="none"/>
            </w:rPr>
            <w:t>1</w:t>
          </w:r>
          <w:bookmarkEnd w:id="15"/>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p>
        <w:p w14:paraId="34262D3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_Toc32280_WPSOffice_Level2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502075517"/>
              <w:placeholder>
                <w:docPart w:val="{e94f0ccb-83c8-4cab-a963-80a32c03a34b}"/>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十一、国有资本经营预算财政拨款收入支出决算表</w:t>
              </w:r>
            </w:sdtContent>
          </w:sdt>
          <w:r>
            <w:rPr>
              <w:rFonts w:hint="eastAsia" w:ascii="Times New Roman" w:hAnsi="Times New Roman" w:eastAsia="仿宋_GB2312" w:cs="仿宋_GB2312"/>
              <w:color w:val="auto"/>
              <w:sz w:val="32"/>
              <w:szCs w:val="32"/>
              <w:highlight w:val="none"/>
            </w:rPr>
            <w:tab/>
          </w:r>
          <w:bookmarkStart w:id="16" w:name="_Toc32280_WPSOffice_Level2Page"/>
          <w:r>
            <w:rPr>
              <w:rFonts w:hint="eastAsia" w:ascii="Times New Roman" w:hAnsi="Times New Roman" w:eastAsia="仿宋_GB2312" w:cs="仿宋_GB2312"/>
              <w:color w:val="auto"/>
              <w:sz w:val="32"/>
              <w:szCs w:val="32"/>
              <w:highlight w:val="none"/>
            </w:rPr>
            <w:t>1</w:t>
          </w:r>
          <w:bookmarkEnd w:id="16"/>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p>
        <w:p w14:paraId="318FBCE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_Toc7164_WPSOffice_Level2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40105530"/>
              <w:placeholder>
                <w:docPart w:val="{3c6f879a-9d24-41d7-8483-4f39907d1c43}"/>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十二、国有资本经营预算财政拨款支出决算表</w:t>
              </w:r>
            </w:sdtContent>
          </w:sdt>
          <w:r>
            <w:rPr>
              <w:rFonts w:hint="eastAsia" w:ascii="Times New Roman" w:hAnsi="Times New Roman" w:eastAsia="仿宋_GB2312" w:cs="仿宋_GB2312"/>
              <w:color w:val="auto"/>
              <w:sz w:val="32"/>
              <w:szCs w:val="32"/>
              <w:highlight w:val="none"/>
            </w:rPr>
            <w:tab/>
          </w:r>
          <w:bookmarkStart w:id="17" w:name="_Toc7164_WPSOffice_Level2Page"/>
          <w:r>
            <w:rPr>
              <w:rFonts w:hint="eastAsia" w:ascii="Times New Roman" w:hAnsi="Times New Roman" w:eastAsia="仿宋_GB2312" w:cs="仿宋_GB2312"/>
              <w:color w:val="auto"/>
              <w:sz w:val="32"/>
              <w:szCs w:val="32"/>
              <w:highlight w:val="none"/>
            </w:rPr>
            <w:t>1</w:t>
          </w:r>
          <w:bookmarkEnd w:id="17"/>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p>
        <w:p w14:paraId="1D86217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_Toc32187_WPSOffice_Level2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611538568"/>
              <w:placeholder>
                <w:docPart w:val="{aa8c8829-b837-455f-ac17-06db1dacde82}"/>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十三、财政拨款“三公”经费支出决算表</w:t>
              </w:r>
            </w:sdtContent>
          </w:sdt>
          <w:r>
            <w:rPr>
              <w:rFonts w:hint="eastAsia" w:ascii="Times New Roman" w:hAnsi="Times New Roman" w:eastAsia="仿宋_GB2312" w:cs="仿宋_GB2312"/>
              <w:color w:val="auto"/>
              <w:sz w:val="32"/>
              <w:szCs w:val="32"/>
              <w:highlight w:val="none"/>
            </w:rPr>
            <w:tab/>
          </w:r>
          <w:bookmarkStart w:id="18" w:name="_Toc32187_WPSOffice_Level2Page"/>
          <w:r>
            <w:rPr>
              <w:rFonts w:hint="eastAsia" w:ascii="Times New Roman" w:hAnsi="Times New Roman" w:eastAsia="仿宋_GB2312" w:cs="仿宋_GB2312"/>
              <w:color w:val="auto"/>
              <w:sz w:val="32"/>
              <w:szCs w:val="32"/>
              <w:highlight w:val="none"/>
            </w:rPr>
            <w:t>1</w:t>
          </w:r>
          <w:bookmarkEnd w:id="18"/>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bookmarkEnd w:id="12"/>
        </w:p>
      </w:sdtContent>
    </w:sdt>
    <w:p w14:paraId="7F74078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br w:type="page"/>
      </w:r>
    </w:p>
    <w:p w14:paraId="7450BF20">
      <w:pPr>
        <w:pStyle w:val="3"/>
        <w:jc w:val="center"/>
        <w:rPr>
          <w:rFonts w:ascii="Times New Roman" w:hAnsi="Times New Roman" w:eastAsia="黑体"/>
          <w:color w:val="auto"/>
          <w:sz w:val="32"/>
          <w:szCs w:val="32"/>
          <w:highlight w:val="none"/>
        </w:rPr>
      </w:pPr>
      <w:bookmarkStart w:id="19" w:name="_Toc27642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9"/>
    </w:p>
    <w:p w14:paraId="7EABD738">
      <w:pPr>
        <w:pStyle w:val="4"/>
        <w:numPr>
          <w:ilvl w:val="0"/>
          <w:numId w:val="1"/>
        </w:numPr>
        <w:rPr>
          <w:rFonts w:hint="eastAsia" w:ascii="Times New Roman" w:hAnsi="Times New Roman" w:eastAsia="黑体"/>
          <w:b w:val="0"/>
          <w:color w:val="auto"/>
          <w:highlight w:val="none"/>
          <w:lang w:eastAsia="zh-CN"/>
        </w:rPr>
      </w:pPr>
      <w:bookmarkStart w:id="20" w:name="_Toc28713_WPSOffice_Level2"/>
      <w:r>
        <w:rPr>
          <w:rFonts w:hint="eastAsia" w:ascii="Times New Roman" w:hAnsi="Times New Roman" w:eastAsia="黑体"/>
          <w:b w:val="0"/>
          <w:color w:val="auto"/>
          <w:highlight w:val="none"/>
          <w:lang w:eastAsia="zh-CN"/>
        </w:rPr>
        <w:t>部门职责</w:t>
      </w:r>
      <w:bookmarkEnd w:id="20"/>
    </w:p>
    <w:p w14:paraId="674EDF75">
      <w:pPr>
        <w:pStyle w:val="6"/>
        <w:keepNext w:val="0"/>
        <w:keepLines w:val="0"/>
        <w:pageBreakBefore w:val="0"/>
        <w:widowControl/>
        <w:kinsoku/>
        <w:wordWrap/>
        <w:overflowPunct/>
        <w:topLinePunct w:val="0"/>
        <w:autoSpaceDE/>
        <w:autoSpaceDN/>
        <w:bidi w:val="0"/>
        <w:adjustRightInd w:val="0"/>
        <w:snapToGrid w:val="0"/>
        <w:spacing w:before="0" w:beforeLines="0" w:beforeAutospacing="0" w:afterAutospacing="0" w:line="576" w:lineRule="exact"/>
        <w:ind w:left="0" w:firstLine="672" w:firstLineChars="21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（一）主要职能</w:t>
      </w:r>
    </w:p>
    <w:p w14:paraId="4AF375A2">
      <w:pPr>
        <w:pStyle w:val="6"/>
        <w:keepNext w:val="0"/>
        <w:keepLines w:val="0"/>
        <w:pageBreakBefore w:val="0"/>
        <w:widowControl/>
        <w:kinsoku/>
        <w:wordWrap/>
        <w:overflowPunct/>
        <w:topLinePunct w:val="0"/>
        <w:autoSpaceDE/>
        <w:autoSpaceDN/>
        <w:bidi w:val="0"/>
        <w:adjustRightInd w:val="0"/>
        <w:snapToGrid w:val="0"/>
        <w:spacing w:before="0" w:beforeLines="0" w:beforeAutospacing="0" w:afterAutospacing="0" w:line="576"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hAnsi="仿宋_GB2312" w:cs="仿宋_GB2312"/>
          <w:color w:val="auto"/>
          <w:kern w:val="2"/>
          <w:sz w:val="32"/>
          <w:szCs w:val="32"/>
          <w:highlight w:val="none"/>
          <w:lang w:val="en-US" w:eastAsia="zh-CN" w:bidi="ar-SA"/>
        </w:rPr>
        <w:t>贯</w:t>
      </w:r>
      <w:r>
        <w:rPr>
          <w:rFonts w:hint="default" w:ascii="仿宋_GB2312" w:hAnsi="仿宋_GB2312" w:eastAsia="仿宋_GB2312" w:cs="仿宋_GB2312"/>
          <w:color w:val="auto"/>
          <w:kern w:val="2"/>
          <w:sz w:val="32"/>
          <w:szCs w:val="32"/>
          <w:highlight w:val="none"/>
          <w:lang w:val="en-US" w:eastAsia="zh-CN" w:bidi="ar-SA"/>
        </w:rPr>
        <w:t>彻执行国家、省、州社会保险法律法规和政策，组织实施城乡居民养老保险年度工作计划，负责经办城乡居民养老保险参保登记、基金划拨、待遇核定与支付、领取待遇资格认证、保险关系转移、档案管理、受理咨询等业务工作，业务上受县人力资源和社会保障局的指导和监督。</w:t>
      </w:r>
    </w:p>
    <w:p w14:paraId="3C2C7373">
      <w:pPr>
        <w:pStyle w:val="6"/>
        <w:keepNext w:val="0"/>
        <w:keepLines w:val="0"/>
        <w:pageBreakBefore w:val="0"/>
        <w:widowControl/>
        <w:kinsoku/>
        <w:wordWrap/>
        <w:overflowPunct/>
        <w:topLinePunct w:val="0"/>
        <w:autoSpaceDE/>
        <w:autoSpaceDN/>
        <w:bidi w:val="0"/>
        <w:adjustRightInd w:val="0"/>
        <w:snapToGrid w:val="0"/>
        <w:spacing w:before="0" w:beforeLines="0" w:beforeAutospacing="0" w:afterAutospacing="0" w:line="576"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（二）20</w:t>
      </w:r>
      <w:r>
        <w:rPr>
          <w:rFonts w:hint="eastAsia" w:ascii="仿宋_GB2312" w:hAnsi="仿宋_GB2312" w:eastAsia="仿宋_GB2312" w:cs="仿宋_GB2312"/>
          <w:color w:val="auto"/>
          <w:kern w:val="2"/>
          <w:sz w:val="32"/>
          <w:szCs w:val="32"/>
          <w:highlight w:val="none"/>
          <w:lang w:val="en-US" w:eastAsia="zh-CN" w:bidi="ar-SA"/>
        </w:rPr>
        <w:t>2</w:t>
      </w:r>
      <w:r>
        <w:rPr>
          <w:rFonts w:hint="eastAsia" w:hAnsi="仿宋_GB2312" w:cs="仿宋_GB2312"/>
          <w:color w:val="auto"/>
          <w:kern w:val="2"/>
          <w:sz w:val="32"/>
          <w:szCs w:val="32"/>
          <w:highlight w:val="none"/>
          <w:lang w:val="en-US" w:eastAsia="zh-CN" w:bidi="ar-SA"/>
        </w:rPr>
        <w:t>5</w:t>
      </w:r>
      <w:r>
        <w:rPr>
          <w:rFonts w:hint="default" w:ascii="仿宋_GB2312" w:hAnsi="仿宋_GB2312" w:eastAsia="仿宋_GB2312" w:cs="仿宋_GB2312"/>
          <w:color w:val="auto"/>
          <w:kern w:val="2"/>
          <w:sz w:val="32"/>
          <w:szCs w:val="32"/>
          <w:highlight w:val="none"/>
          <w:lang w:val="en-US" w:eastAsia="zh-CN" w:bidi="ar-SA"/>
        </w:rPr>
        <w:t>年重点工作完成情况</w:t>
      </w:r>
    </w:p>
    <w:p w14:paraId="54FABA9F">
      <w:pPr>
        <w:pStyle w:val="6"/>
        <w:keepNext w:val="0"/>
        <w:keepLines w:val="0"/>
        <w:pageBreakBefore w:val="0"/>
        <w:widowControl/>
        <w:kinsoku/>
        <w:wordWrap/>
        <w:overflowPunct/>
        <w:topLinePunct w:val="0"/>
        <w:autoSpaceDE/>
        <w:autoSpaceDN/>
        <w:bidi w:val="0"/>
        <w:adjustRightInd w:val="0"/>
        <w:snapToGrid w:val="0"/>
        <w:spacing w:before="0" w:beforeLines="0" w:beforeAutospacing="0" w:afterAutospacing="0" w:line="576"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default" w:ascii="仿宋_GB2312" w:hAnsi="仿宋_GB2312" w:eastAsia="仿宋_GB2312" w:cs="仿宋_GB2312"/>
          <w:color w:val="auto"/>
          <w:kern w:val="2"/>
          <w:sz w:val="32"/>
          <w:szCs w:val="32"/>
          <w:highlight w:val="none"/>
          <w:lang w:val="en-US" w:eastAsia="zh-CN" w:bidi="ar-SA"/>
        </w:rPr>
        <w:t>及时准确为到龄人员发放养老金工作；加强待遇领取人员生存验证、防止死亡冒领工作；完成了参保人员关系转移、注销工作；被征地农民社会保障工作</w:t>
      </w:r>
      <w:r>
        <w:rPr>
          <w:rFonts w:hint="eastAsia" w:hAnsi="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继续做好政策的培训和宣传工作；加强基金安全和监管，完善基金监管制度；推进“基金管理提升年”行动等工作。</w:t>
      </w:r>
    </w:p>
    <w:p w14:paraId="411E31A1">
      <w:pPr>
        <w:pStyle w:val="4"/>
        <w:rPr>
          <w:rStyle w:val="30"/>
          <w:rFonts w:ascii="Times New Roman" w:hAnsi="Times New Roman"/>
          <w:b w:val="0"/>
          <w:bCs w:val="0"/>
          <w:color w:val="auto"/>
          <w:highlight w:val="none"/>
        </w:rPr>
      </w:pPr>
      <w:bookmarkStart w:id="21" w:name="_Toc15377200"/>
      <w:bookmarkStart w:id="22" w:name="_Toc25557_WPSOffice_Level2"/>
      <w:bookmarkStart w:id="23"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21"/>
      <w:bookmarkEnd w:id="22"/>
      <w:bookmarkEnd w:id="23"/>
    </w:p>
    <w:p w14:paraId="79A181D1">
      <w:pPr>
        <w:keepNext w:val="0"/>
        <w:keepLines w:val="0"/>
        <w:pageBreakBefore w:val="0"/>
        <w:widowControl/>
        <w:kinsoku/>
        <w:wordWrap/>
        <w:overflowPunct/>
        <w:topLinePunct w:val="0"/>
        <w:autoSpaceDE/>
        <w:autoSpaceDN/>
        <w:bidi w:val="0"/>
        <w:spacing w:before="0" w:beforeAutospacing="0" w:afterAutospacing="0" w:line="576" w:lineRule="exact"/>
        <w:ind w:right="0" w:rightChars="0"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bookmarkStart w:id="24" w:name="_Toc15377201"/>
      <w:bookmarkStart w:id="25" w:name="_Toc15378448"/>
      <w:bookmarkStart w:id="26" w:name="_Toc15377432"/>
      <w:bookmarkStart w:id="27" w:name="_Toc15306275"/>
      <w:r>
        <w:rPr>
          <w:rFonts w:hint="default" w:ascii="仿宋_GB2312" w:hAnsi="仿宋_GB2312" w:eastAsia="仿宋_GB2312" w:cs="仿宋_GB2312"/>
          <w:color w:val="auto"/>
          <w:kern w:val="2"/>
          <w:sz w:val="32"/>
          <w:szCs w:val="32"/>
          <w:highlight w:val="none"/>
          <w:lang w:val="en-US" w:eastAsia="zh-CN" w:bidi="ar-SA"/>
        </w:rPr>
        <w:t>城乡居民养老保险事务中心内设机构1室4股，即办公室、财务股、待遇审核股、统筹计划股、稽核股。单位核定</w:t>
      </w:r>
      <w:r>
        <w:rPr>
          <w:rFonts w:hint="eastAsia" w:ascii="仿宋_GB2312" w:hAnsi="仿宋_GB2312" w:eastAsia="仿宋_GB2312" w:cs="仿宋_GB2312"/>
          <w:color w:val="auto"/>
          <w:kern w:val="2"/>
          <w:sz w:val="32"/>
          <w:szCs w:val="32"/>
          <w:highlight w:val="none"/>
          <w:lang w:val="en-US" w:eastAsia="zh-CN" w:bidi="ar-SA"/>
        </w:rPr>
        <w:t>事业</w:t>
      </w:r>
      <w:r>
        <w:rPr>
          <w:rFonts w:hint="default" w:ascii="仿宋_GB2312" w:hAnsi="仿宋_GB2312" w:eastAsia="仿宋_GB2312" w:cs="仿宋_GB2312"/>
          <w:color w:val="auto"/>
          <w:kern w:val="2"/>
          <w:sz w:val="32"/>
          <w:szCs w:val="32"/>
          <w:highlight w:val="none"/>
          <w:lang w:val="en-US" w:eastAsia="zh-CN" w:bidi="ar-SA"/>
        </w:rPr>
        <w:t>编制14人，其中设中心主任1名，副主任</w:t>
      </w:r>
      <w:r>
        <w:rPr>
          <w:rFonts w:hint="eastAsia" w:ascii="仿宋_GB2312" w:hAnsi="仿宋_GB2312" w:eastAsia="仿宋_GB2312" w:cs="仿宋_GB2312"/>
          <w:color w:val="auto"/>
          <w:kern w:val="2"/>
          <w:sz w:val="32"/>
          <w:szCs w:val="32"/>
          <w:highlight w:val="none"/>
          <w:lang w:val="en-US" w:eastAsia="zh-CN" w:bidi="ar-SA"/>
        </w:rPr>
        <w:t>1</w:t>
      </w:r>
      <w:r>
        <w:rPr>
          <w:rFonts w:hint="default" w:ascii="仿宋_GB2312" w:hAnsi="仿宋_GB2312" w:eastAsia="仿宋_GB2312" w:cs="仿宋_GB2312"/>
          <w:color w:val="auto"/>
          <w:kern w:val="2"/>
          <w:sz w:val="32"/>
          <w:szCs w:val="32"/>
          <w:highlight w:val="none"/>
          <w:lang w:val="en-US" w:eastAsia="zh-CN" w:bidi="ar-SA"/>
        </w:rPr>
        <w:t>名，股长</w:t>
      </w:r>
      <w:r>
        <w:rPr>
          <w:rFonts w:hint="eastAsia" w:ascii="仿宋_GB2312" w:hAnsi="仿宋_GB2312" w:eastAsia="仿宋_GB2312" w:cs="仿宋_GB2312"/>
          <w:color w:val="auto"/>
          <w:kern w:val="2"/>
          <w:sz w:val="32"/>
          <w:szCs w:val="32"/>
          <w:highlight w:val="none"/>
          <w:lang w:val="en-US" w:eastAsia="zh-CN" w:bidi="ar-SA"/>
        </w:rPr>
        <w:t>4</w:t>
      </w:r>
      <w:r>
        <w:rPr>
          <w:rFonts w:hint="default" w:ascii="仿宋_GB2312" w:hAnsi="仿宋_GB2312" w:eastAsia="仿宋_GB2312" w:cs="仿宋_GB2312"/>
          <w:color w:val="auto"/>
          <w:kern w:val="2"/>
          <w:sz w:val="32"/>
          <w:szCs w:val="32"/>
          <w:highlight w:val="none"/>
          <w:lang w:val="en-US" w:eastAsia="zh-CN" w:bidi="ar-SA"/>
        </w:rPr>
        <w:t>名；办事员</w:t>
      </w:r>
      <w:r>
        <w:rPr>
          <w:rFonts w:hint="eastAsia" w:ascii="仿宋_GB2312" w:hAnsi="仿宋_GB2312" w:eastAsia="仿宋_GB2312" w:cs="仿宋_GB2312"/>
          <w:color w:val="auto"/>
          <w:kern w:val="2"/>
          <w:sz w:val="32"/>
          <w:szCs w:val="32"/>
          <w:highlight w:val="none"/>
          <w:lang w:val="en-US" w:eastAsia="zh-CN" w:bidi="ar-SA"/>
        </w:rPr>
        <w:t>8</w:t>
      </w:r>
      <w:r>
        <w:rPr>
          <w:rFonts w:hint="default" w:ascii="仿宋_GB2312" w:hAnsi="仿宋_GB2312" w:eastAsia="仿宋_GB2312" w:cs="仿宋_GB2312"/>
          <w:color w:val="auto"/>
          <w:kern w:val="2"/>
          <w:sz w:val="32"/>
          <w:szCs w:val="32"/>
          <w:highlight w:val="none"/>
          <w:lang w:val="en-US" w:eastAsia="zh-CN" w:bidi="ar-SA"/>
        </w:rPr>
        <w:t>名，合计14个编制，</w:t>
      </w:r>
      <w:bookmarkStart w:id="104" w:name="_GoBack"/>
      <w:r>
        <w:rPr>
          <w:rFonts w:hint="eastAsia" w:ascii="仿宋_GB2312" w:hAnsi="仿宋_GB2312" w:eastAsia="仿宋_GB2312" w:cs="仿宋_GB2312"/>
          <w:color w:val="auto"/>
          <w:kern w:val="2"/>
          <w:sz w:val="32"/>
          <w:szCs w:val="32"/>
          <w:highlight w:val="none"/>
          <w:lang w:val="en-US" w:eastAsia="zh-CN" w:bidi="ar-SA"/>
        </w:rPr>
        <w:t>截至</w:t>
      </w:r>
      <w:bookmarkEnd w:id="104"/>
      <w:r>
        <w:rPr>
          <w:rFonts w:hint="eastAsia" w:ascii="仿宋_GB2312" w:hAnsi="仿宋_GB2312" w:eastAsia="仿宋_GB2312" w:cs="仿宋_GB2312"/>
          <w:color w:val="auto"/>
          <w:kern w:val="2"/>
          <w:sz w:val="32"/>
          <w:szCs w:val="32"/>
          <w:highlight w:val="none"/>
          <w:lang w:val="en-US" w:eastAsia="zh-CN" w:bidi="ar-SA"/>
        </w:rPr>
        <w:t>2025年12月31日</w:t>
      </w:r>
      <w:r>
        <w:rPr>
          <w:rFonts w:hint="default" w:ascii="仿宋_GB2312" w:hAnsi="仿宋_GB2312" w:eastAsia="仿宋_GB2312" w:cs="仿宋_GB2312"/>
          <w:color w:val="auto"/>
          <w:kern w:val="2"/>
          <w:sz w:val="32"/>
          <w:szCs w:val="32"/>
          <w:highlight w:val="none"/>
          <w:lang w:val="en-US" w:eastAsia="zh-CN" w:bidi="ar-SA"/>
        </w:rPr>
        <w:t>在职人员合计1</w:t>
      </w:r>
      <w:r>
        <w:rPr>
          <w:rFonts w:hint="eastAsia" w:ascii="仿宋_GB2312" w:hAnsi="仿宋_GB2312" w:eastAsia="仿宋_GB2312" w:cs="仿宋_GB2312"/>
          <w:color w:val="auto"/>
          <w:kern w:val="2"/>
          <w:sz w:val="32"/>
          <w:szCs w:val="32"/>
          <w:highlight w:val="none"/>
          <w:lang w:val="en-US" w:eastAsia="zh-CN" w:bidi="ar-SA"/>
        </w:rPr>
        <w:t>3</w:t>
      </w:r>
      <w:r>
        <w:rPr>
          <w:rFonts w:hint="default" w:ascii="仿宋_GB2312" w:hAnsi="仿宋_GB2312" w:eastAsia="仿宋_GB2312" w:cs="仿宋_GB2312"/>
          <w:color w:val="auto"/>
          <w:kern w:val="2"/>
          <w:sz w:val="32"/>
          <w:szCs w:val="32"/>
          <w:highlight w:val="none"/>
          <w:lang w:val="en-US" w:eastAsia="zh-CN" w:bidi="ar-SA"/>
        </w:rPr>
        <w:t>人。</w:t>
      </w:r>
    </w:p>
    <w:bookmarkEnd w:id="24"/>
    <w:bookmarkEnd w:id="25"/>
    <w:bookmarkEnd w:id="26"/>
    <w:bookmarkEnd w:id="27"/>
    <w:p w14:paraId="741839D5">
      <w:pPr>
        <w:pStyle w:val="3"/>
        <w:jc w:val="center"/>
        <w:rPr>
          <w:rFonts w:ascii="Times New Roman" w:hAnsi="Times New Roman"/>
          <w:color w:val="auto"/>
          <w:highlight w:val="none"/>
        </w:rPr>
      </w:pPr>
      <w:bookmarkStart w:id="28" w:name="_Toc15377204"/>
      <w:bookmarkStart w:id="29" w:name="_Toc28713_WPSOffice_Level1"/>
      <w:bookmarkStart w:id="30"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28"/>
      <w:bookmarkEnd w:id="29"/>
      <w:bookmarkEnd w:id="30"/>
    </w:p>
    <w:p w14:paraId="4C5DB13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31" w:name="_Toc15396603"/>
      <w:bookmarkStart w:id="32" w:name="_Toc20394_WPSOffice_Level2"/>
      <w:bookmarkStart w:id="3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31"/>
      <w:bookmarkEnd w:id="32"/>
      <w:bookmarkEnd w:id="33"/>
    </w:p>
    <w:p w14:paraId="0D3B74D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38</w:t>
      </w:r>
      <w:r>
        <w:rPr>
          <w:rFonts w:hint="eastAsia" w:ascii="仿宋_GB2312" w:hAnsi="仿宋_GB2312" w:eastAsia="仿宋_GB2312" w:cs="仿宋_GB2312"/>
          <w:color w:val="auto"/>
          <w:sz w:val="32"/>
          <w:szCs w:val="32"/>
          <w:lang w:val="en-US" w:eastAsia="zh-CN"/>
        </w:rPr>
        <w:t>8.85</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eastAsia="zh-CN"/>
        </w:rPr>
        <w:t>减少</w:t>
      </w:r>
      <w:r>
        <w:rPr>
          <w:rFonts w:hint="eastAsia" w:ascii="Times New Roman" w:hAnsi="Times New Roman" w:eastAsia="仿宋_GB2312" w:cs="仿宋_GB2312"/>
          <w:color w:val="auto"/>
          <w:sz w:val="32"/>
          <w:szCs w:val="32"/>
          <w:highlight w:val="none"/>
          <w:lang w:val="en-US" w:eastAsia="zh-CN"/>
        </w:rPr>
        <w:t>4.97</w:t>
      </w:r>
      <w:r>
        <w:rPr>
          <w:rFonts w:hint="eastAsia" w:ascii="Times New Roman" w:hAnsi="Times New Roman" w:eastAsia="仿宋_GB2312" w:cs="仿宋_GB2312"/>
          <w:color w:val="auto"/>
          <w:sz w:val="32"/>
          <w:szCs w:val="32"/>
          <w:highlight w:val="none"/>
          <w:lang w:eastAsia="zh-CN"/>
        </w:rPr>
        <w:t>万</w:t>
      </w:r>
      <w:r>
        <w:rPr>
          <w:rFonts w:hint="eastAsia" w:ascii="Times New Roman" w:hAnsi="Times New Roman" w:eastAsia="仿宋_GB2312" w:cs="仿宋_GB2312"/>
          <w:color w:val="auto"/>
          <w:sz w:val="32"/>
          <w:szCs w:val="32"/>
          <w:highlight w:val="none"/>
        </w:rPr>
        <w:t>元，</w:t>
      </w:r>
      <w:r>
        <w:rPr>
          <w:rFonts w:hint="eastAsia" w:eastAsia="仿宋_GB2312" w:cs="仿宋_GB2312"/>
          <w:color w:val="auto"/>
          <w:sz w:val="32"/>
          <w:szCs w:val="32"/>
          <w:highlight w:val="none"/>
          <w:lang w:eastAsia="zh-CN"/>
        </w:rPr>
        <w:t>减少</w:t>
      </w:r>
      <w:r>
        <w:rPr>
          <w:rFonts w:hint="eastAsia" w:eastAsia="仿宋_GB2312" w:cs="仿宋_GB2312"/>
          <w:color w:val="auto"/>
          <w:sz w:val="32"/>
          <w:szCs w:val="32"/>
          <w:highlight w:val="none"/>
          <w:lang w:val="en-US" w:eastAsia="zh-CN"/>
        </w:rPr>
        <w:t>1.26</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被征地农户一次性补助支出增加以及人员经费增加。</w:t>
      </w:r>
    </w:p>
    <w:p w14:paraId="7DEA766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4" w:name="_Toc15396604"/>
      <w:bookmarkStart w:id="35" w:name="_Toc32145_WPSOffice_Level2"/>
      <w:bookmarkStart w:id="36" w:name="_Toc15377206"/>
      <w:r>
        <w:rPr>
          <w:rFonts w:hint="eastAsia" w:ascii="Times New Roman" w:hAnsi="Times New Roman" w:eastAsia="黑体"/>
          <w:color w:val="auto"/>
          <w:sz w:val="32"/>
          <w:szCs w:val="32"/>
          <w:highlight w:val="none"/>
          <w:lang w:eastAsia="zh-CN"/>
        </w:rPr>
        <w:t>二、收入决算情况说明</w:t>
      </w:r>
      <w:bookmarkEnd w:id="34"/>
      <w:bookmarkEnd w:id="35"/>
      <w:bookmarkEnd w:id="36"/>
    </w:p>
    <w:p w14:paraId="66CF1B5D">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lang w:val="en-US" w:eastAsia="zh-CN"/>
        </w:rPr>
        <w:t>388.85</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301.28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77.47</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lang w:val="en-US" w:eastAsia="zh-CN"/>
        </w:rPr>
        <w:t>87.57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22.52</w:t>
      </w:r>
      <w:r>
        <w:rPr>
          <w:rFonts w:hint="eastAsia" w:ascii="仿宋_GB2312" w:hAnsi="仿宋_GB2312" w:eastAsia="仿宋_GB2312" w:cs="仿宋_GB2312"/>
          <w:color w:val="auto"/>
          <w:sz w:val="32"/>
          <w:szCs w:val="32"/>
          <w:highlight w:val="none"/>
          <w:lang w:eastAsia="zh-CN"/>
        </w:rPr>
        <w:t>%。</w:t>
      </w:r>
    </w:p>
    <w:p w14:paraId="6C13330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37" w:name="_Toc15377207"/>
      <w:bookmarkStart w:id="38" w:name="_Toc3545_WPSOffice_Level2"/>
      <w:bookmarkStart w:id="39"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37"/>
      <w:bookmarkEnd w:id="38"/>
      <w:bookmarkEnd w:id="39"/>
    </w:p>
    <w:p w14:paraId="22FA3F5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lang w:val="en-US" w:eastAsia="zh-CN"/>
        </w:rPr>
        <w:t>388.85</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lang w:val="en-US" w:eastAsia="zh-CN"/>
        </w:rPr>
        <w:t>301.28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77.47</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lang w:val="en-US" w:eastAsia="zh-CN"/>
        </w:rPr>
        <w:t>87.57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22.52</w:t>
      </w:r>
      <w:r>
        <w:rPr>
          <w:rFonts w:hint="eastAsia" w:ascii="仿宋_GB2312" w:hAnsi="仿宋_GB2312" w:eastAsia="仿宋_GB2312" w:cs="仿宋_GB2312"/>
          <w:color w:val="auto"/>
          <w:sz w:val="32"/>
          <w:szCs w:val="32"/>
          <w:highlight w:val="none"/>
          <w:lang w:eastAsia="zh-CN"/>
        </w:rPr>
        <w:t>%。</w:t>
      </w:r>
    </w:p>
    <w:p w14:paraId="3E42827C">
      <w:pPr>
        <w:spacing w:line="600" w:lineRule="exact"/>
        <w:ind w:firstLine="640" w:firstLineChars="200"/>
        <w:outlineLvl w:val="1"/>
        <w:rPr>
          <w:rStyle w:val="30"/>
          <w:rFonts w:ascii="Times New Roman" w:hAnsi="Times New Roman" w:eastAsia="黑体"/>
          <w:b w:val="0"/>
          <w:color w:val="auto"/>
          <w:highlight w:val="none"/>
        </w:rPr>
      </w:pPr>
      <w:bookmarkStart w:id="40" w:name="_Toc15396606"/>
      <w:bookmarkStart w:id="41" w:name="_Toc1143_WPSOffice_Level2"/>
      <w:bookmarkStart w:id="42"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40"/>
      <w:bookmarkEnd w:id="41"/>
      <w:bookmarkEnd w:id="42"/>
    </w:p>
    <w:p w14:paraId="03AAB24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lang w:val="en-US" w:eastAsia="zh-CN"/>
        </w:rPr>
        <w:t>388.85</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eastAsia="仿宋_GB2312" w:cs="仿宋_GB2312"/>
          <w:color w:val="auto"/>
          <w:kern w:val="2"/>
          <w:sz w:val="32"/>
          <w:szCs w:val="32"/>
          <w:highlight w:val="none"/>
          <w:lang w:val="en-US" w:eastAsia="zh-CN" w:bidi="ar-SA"/>
        </w:rPr>
        <w:t>减少</w:t>
      </w:r>
      <w:r>
        <w:rPr>
          <w:rFonts w:hint="eastAsia" w:eastAsia="仿宋_GB2312" w:cs="仿宋_GB2312"/>
          <w:color w:val="auto"/>
          <w:sz w:val="32"/>
          <w:szCs w:val="32"/>
          <w:highlight w:val="none"/>
          <w:lang w:val="en-US" w:eastAsia="zh-CN"/>
        </w:rPr>
        <w:t>4.97</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减少</w:t>
      </w:r>
      <w:r>
        <w:rPr>
          <w:rFonts w:hint="eastAsia" w:eastAsia="仿宋_GB2312" w:cs="仿宋_GB2312"/>
          <w:color w:val="auto"/>
          <w:sz w:val="32"/>
          <w:szCs w:val="32"/>
          <w:highlight w:val="none"/>
          <w:lang w:val="en-US" w:eastAsia="zh-CN"/>
        </w:rPr>
        <w:t>1.26</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被征地农户一次性补助支出减少以及人员经费增加。</w:t>
      </w:r>
    </w:p>
    <w:p w14:paraId="501B8480">
      <w:pPr>
        <w:spacing w:line="600" w:lineRule="exact"/>
        <w:ind w:firstLine="640" w:firstLineChars="200"/>
        <w:outlineLvl w:val="1"/>
        <w:rPr>
          <w:rStyle w:val="30"/>
          <w:rFonts w:ascii="Times New Roman" w:hAnsi="Times New Roman" w:eastAsia="黑体"/>
          <w:b w:val="0"/>
          <w:color w:val="auto"/>
          <w:highlight w:val="none"/>
        </w:rPr>
      </w:pPr>
      <w:bookmarkStart w:id="43" w:name="_Toc15396607"/>
      <w:bookmarkStart w:id="44" w:name="_Toc2542_WPSOffice_Level2"/>
      <w:bookmarkStart w:id="45"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43"/>
      <w:bookmarkEnd w:id="44"/>
      <w:bookmarkEnd w:id="45"/>
    </w:p>
    <w:p w14:paraId="16D0702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6"/>
    </w:p>
    <w:p w14:paraId="4512BA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301.28</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lang w:val="en-US" w:eastAsia="zh-CN"/>
        </w:rPr>
        <w:t>77.47</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%。与2024年度相比，一般公共预算财政拨款支出增加4.41万元，增长1.48%。主要变动原因人员调整工资基数导致经费增加，所以支出增加。</w:t>
      </w:r>
    </w:p>
    <w:p w14:paraId="7CD4CCA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7"/>
    </w:p>
    <w:p w14:paraId="7E82C915">
      <w:pPr>
        <w:spacing w:line="600" w:lineRule="exact"/>
        <w:ind w:firstLine="640" w:firstLineChars="200"/>
        <w:outlineLvl w:val="2"/>
        <w:rPr>
          <w:rFonts w:hint="eastAsia" w:eastAsia="仿宋_GB2312" w:cs="仿宋_GB2312"/>
          <w:color w:val="FF0000"/>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lang w:val="en-US" w:eastAsia="zh-CN"/>
        </w:rPr>
        <w:t>301.28</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263.28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87.38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15.62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5.18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22.39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7.43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bookmarkStart w:id="48" w:name="_Toc15377212"/>
    </w:p>
    <w:p w14:paraId="14E8409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48"/>
    </w:p>
    <w:p w14:paraId="59BB6D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9" w:name="_Toc15377444"/>
      <w:bookmarkStart w:id="50" w:name="_Toc15378460"/>
      <w:bookmarkStart w:id="51" w:name="_Toc15377213"/>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val="en-US" w:eastAsia="zh-CN"/>
        </w:rPr>
        <w:t>301.28</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9"/>
      <w:bookmarkEnd w:id="50"/>
      <w:bookmarkEnd w:id="51"/>
    </w:p>
    <w:p w14:paraId="0B166316">
      <w:pPr>
        <w:pStyle w:val="36"/>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决算为263.28万元，完成预算100%，</w:t>
      </w:r>
      <w:r>
        <w:rPr>
          <w:rFonts w:hint="eastAsia" w:eastAsia="仿宋_GB2312" w:cs="仿宋_GB2312"/>
          <w:color w:val="auto"/>
          <w:kern w:val="2"/>
          <w:sz w:val="32"/>
          <w:szCs w:val="32"/>
          <w:highlight w:val="none"/>
          <w:lang w:val="en-US" w:eastAsia="zh-CN" w:bidi="ar-SA"/>
        </w:rPr>
        <w:t>2080150事业运行217.86万元，</w:t>
      </w:r>
      <w:r>
        <w:rPr>
          <w:rStyle w:val="18"/>
          <w:rFonts w:hint="default" w:ascii="仿宋" w:hAnsi="仿宋" w:eastAsia="仿宋" w:cstheme="minorBidi"/>
          <w:b w:val="0"/>
          <w:bCs/>
          <w:color w:val="auto"/>
          <w:sz w:val="32"/>
          <w:szCs w:val="32"/>
          <w:lang w:val="en-US" w:eastAsia="zh-CN"/>
        </w:rPr>
        <w:t>2080505</w:t>
      </w:r>
      <w:r>
        <w:rPr>
          <w:rStyle w:val="18"/>
          <w:rFonts w:hint="eastAsia" w:ascii="仿宋" w:hAnsi="仿宋" w:eastAsia="仿宋" w:cstheme="minorBidi"/>
          <w:b w:val="0"/>
          <w:bCs/>
          <w:color w:val="auto"/>
          <w:sz w:val="32"/>
          <w:szCs w:val="32"/>
          <w:lang w:val="en-US" w:eastAsia="zh-CN"/>
        </w:rPr>
        <w:t>机关事业单位基本养老保险缴费支出27.72万元，</w:t>
      </w:r>
      <w:r>
        <w:rPr>
          <w:rStyle w:val="18"/>
          <w:rFonts w:hint="default" w:ascii="仿宋" w:hAnsi="仿宋" w:eastAsia="仿宋" w:cstheme="minorBidi"/>
          <w:b w:val="0"/>
          <w:bCs/>
          <w:color w:val="auto"/>
          <w:sz w:val="32"/>
          <w:szCs w:val="32"/>
          <w:lang w:val="en-US" w:eastAsia="zh-CN"/>
        </w:rPr>
        <w:t>2080506</w:t>
      </w:r>
      <w:r>
        <w:rPr>
          <w:rStyle w:val="18"/>
          <w:rFonts w:hint="eastAsia" w:ascii="仿宋" w:hAnsi="仿宋" w:eastAsia="仿宋" w:cstheme="minorBidi"/>
          <w:b w:val="0"/>
          <w:bCs/>
          <w:color w:val="auto"/>
          <w:sz w:val="32"/>
          <w:szCs w:val="32"/>
          <w:lang w:val="en-US" w:eastAsia="zh-CN"/>
        </w:rPr>
        <w:t>机关事业单位职业年金缴费支出17.7万元。</w:t>
      </w:r>
    </w:p>
    <w:p w14:paraId="37EB14A5">
      <w:pPr>
        <w:spacing w:line="600" w:lineRule="exact"/>
        <w:ind w:firstLine="640" w:firstLineChars="200"/>
        <w:rPr>
          <w:rStyle w:val="18"/>
          <w:rFonts w:hint="eastAsia" w:ascii="仿宋" w:hAnsi="仿宋" w:eastAsia="仿宋"/>
          <w:b w:val="0"/>
          <w:bCs/>
          <w:sz w:val="32"/>
          <w:szCs w:val="32"/>
        </w:rPr>
      </w:pPr>
      <w:r>
        <w:rPr>
          <w:rFonts w:hint="eastAsia" w:ascii="宋体" w:hAnsi="宋体"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15.62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Style w:val="18"/>
          <w:rFonts w:hint="eastAsia" w:ascii="仿宋" w:hAnsi="仿宋" w:eastAsia="仿宋"/>
          <w:b w:val="0"/>
          <w:bCs/>
          <w:sz w:val="32"/>
          <w:szCs w:val="32"/>
          <w:lang w:val="en-US" w:eastAsia="zh-CN"/>
        </w:rPr>
        <w:t>2101102事业单位医疗13.33万元，2101199其他行政事业单位医疗支出2.29万元</w:t>
      </w:r>
      <w:r>
        <w:rPr>
          <w:rStyle w:val="18"/>
          <w:rFonts w:hint="eastAsia" w:ascii="仿宋" w:hAnsi="仿宋" w:eastAsia="仿宋"/>
          <w:b w:val="0"/>
          <w:bCs/>
          <w:sz w:val="32"/>
          <w:szCs w:val="32"/>
        </w:rPr>
        <w:t>。</w:t>
      </w:r>
    </w:p>
    <w:p w14:paraId="25BB0F38">
      <w:pPr>
        <w:keepNext w:val="0"/>
        <w:keepLines w:val="0"/>
        <w:pageBreakBefore w:val="0"/>
        <w:widowControl w:val="0"/>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default" w:ascii="宋体" w:hAnsi="宋体"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住房保障支出</w:t>
      </w:r>
      <w:r>
        <w:rPr>
          <w:rStyle w:val="37"/>
          <w:rFonts w:hint="eastAsia" w:ascii="仿宋_GB2312" w:hAnsi="Times New Roman" w:eastAsia="仿宋_GB2312" w:cs="仿宋_GB2312"/>
          <w:b/>
          <w:bCs/>
          <w:kern w:val="0"/>
          <w:sz w:val="32"/>
          <w:szCs w:val="32"/>
          <w:shd w:val="clear" w:fill="FFFFFF"/>
        </w:rPr>
        <w:t>：</w:t>
      </w:r>
      <w:r>
        <w:rPr>
          <w:rStyle w:val="18"/>
          <w:rFonts w:hint="default" w:ascii="仿宋" w:hAnsi="仿宋" w:eastAsia="仿宋" w:cstheme="minorBidi"/>
          <w:b w:val="0"/>
          <w:bCs/>
          <w:sz w:val="32"/>
          <w:szCs w:val="32"/>
        </w:rPr>
        <w:t>2210201</w:t>
      </w:r>
      <w:r>
        <w:rPr>
          <w:rStyle w:val="18"/>
          <w:rFonts w:hint="eastAsia" w:ascii="仿宋" w:hAnsi="仿宋" w:eastAsia="仿宋" w:cstheme="minorBidi"/>
          <w:b w:val="0"/>
          <w:bCs/>
          <w:sz w:val="32"/>
          <w:szCs w:val="32"/>
        </w:rPr>
        <w:t>住房公积金：支出决算数为</w:t>
      </w:r>
      <w:r>
        <w:rPr>
          <w:rStyle w:val="18"/>
          <w:rFonts w:hint="eastAsia" w:ascii="仿宋" w:hAnsi="仿宋" w:eastAsia="仿宋" w:cstheme="minorBidi"/>
          <w:b w:val="0"/>
          <w:bCs/>
          <w:sz w:val="32"/>
          <w:szCs w:val="32"/>
          <w:lang w:val="en-US" w:eastAsia="zh-CN"/>
        </w:rPr>
        <w:t>22.39</w:t>
      </w:r>
      <w:r>
        <w:rPr>
          <w:rStyle w:val="18"/>
          <w:rFonts w:hint="eastAsia" w:ascii="仿宋" w:hAnsi="仿宋" w:eastAsia="仿宋" w:cstheme="minorBidi"/>
          <w:b w:val="0"/>
          <w:bCs/>
          <w:sz w:val="32"/>
          <w:szCs w:val="32"/>
        </w:rPr>
        <w:t>万元，完成预算</w:t>
      </w:r>
      <w:r>
        <w:rPr>
          <w:rStyle w:val="18"/>
          <w:rFonts w:hint="default" w:ascii="仿宋" w:hAnsi="仿宋" w:eastAsia="仿宋" w:cstheme="minorBidi"/>
          <w:b w:val="0"/>
          <w:bCs/>
          <w:sz w:val="32"/>
          <w:szCs w:val="32"/>
        </w:rPr>
        <w:t>100%</w:t>
      </w:r>
      <w:r>
        <w:rPr>
          <w:rStyle w:val="18"/>
          <w:rFonts w:hint="eastAsia" w:ascii="仿宋" w:hAnsi="仿宋" w:eastAsia="仿宋" w:cstheme="minorBidi"/>
          <w:b w:val="0"/>
          <w:bCs/>
          <w:sz w:val="32"/>
          <w:szCs w:val="32"/>
        </w:rPr>
        <w:t>。</w:t>
      </w:r>
    </w:p>
    <w:p w14:paraId="5968771E">
      <w:pPr>
        <w:tabs>
          <w:tab w:val="right" w:pos="8306"/>
        </w:tabs>
        <w:spacing w:line="600" w:lineRule="exact"/>
        <w:ind w:firstLine="640"/>
        <w:outlineLvl w:val="1"/>
        <w:rPr>
          <w:rStyle w:val="30"/>
          <w:rFonts w:ascii="Times New Roman" w:hAnsi="Times New Roman"/>
          <w:color w:val="auto"/>
          <w:highlight w:val="none"/>
        </w:rPr>
      </w:pPr>
      <w:bookmarkStart w:id="52" w:name="_Toc15377214"/>
      <w:bookmarkStart w:id="53" w:name="_Toc15396608"/>
      <w:bookmarkStart w:id="54" w:name="_Toc24191_WPSOffice_Level2"/>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52"/>
      <w:bookmarkEnd w:id="53"/>
      <w:bookmarkEnd w:id="54"/>
      <w:r>
        <w:rPr>
          <w:rStyle w:val="30"/>
          <w:rFonts w:ascii="Times New Roman" w:hAnsi="Times New Roman" w:eastAsia="黑体"/>
          <w:b w:val="0"/>
          <w:color w:val="auto"/>
          <w:highlight w:val="none"/>
        </w:rPr>
        <w:tab/>
      </w:r>
    </w:p>
    <w:p w14:paraId="452A44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lang w:val="en-US" w:eastAsia="zh-CN"/>
        </w:rPr>
        <w:t>301.28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0B20EF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287.89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元，主要包括：基本工资、津贴补贴、奖金、绩效工资、机关事业单位基本养老保险缴费、职业年金缴费、职工基本医疗保险缴费、其他社会保障缴费、</w:t>
      </w:r>
      <w:r>
        <w:rPr>
          <w:rFonts w:hint="eastAsia" w:eastAsia="仿宋_GB2312" w:cs="仿宋_GB2312"/>
          <w:color w:val="auto"/>
          <w:kern w:val="2"/>
          <w:sz w:val="32"/>
          <w:szCs w:val="32"/>
          <w:highlight w:val="none"/>
          <w:lang w:val="en-US" w:eastAsia="zh-CN" w:bidi="ar-SA"/>
        </w:rPr>
        <w:t>医疗费、</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生活补助、奖励金、医疗费补助</w:t>
      </w:r>
      <w:r>
        <w:rPr>
          <w:rFonts w:hint="eastAsia" w:ascii="Times New Roman" w:hAnsi="Times New Roman" w:eastAsia="仿宋_GB2312" w:cs="仿宋_GB2312"/>
          <w:color w:val="auto"/>
          <w:kern w:val="2"/>
          <w:sz w:val="32"/>
          <w:szCs w:val="32"/>
          <w:highlight w:val="none"/>
          <w:lang w:val="en-US" w:eastAsia="zh-CN" w:bidi="ar-SA"/>
        </w:rPr>
        <w:t>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13.</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元，主要包括：办公费、水费、电费、邮电费、差旅费、工会经费。</w:t>
      </w:r>
    </w:p>
    <w:p w14:paraId="05EB1B6C">
      <w:pPr>
        <w:spacing w:line="600" w:lineRule="exact"/>
        <w:ind w:firstLine="640"/>
        <w:outlineLvl w:val="1"/>
        <w:rPr>
          <w:rStyle w:val="30"/>
          <w:rFonts w:ascii="Times New Roman" w:hAnsi="Times New Roman" w:eastAsia="黑体"/>
          <w:b w:val="0"/>
          <w:color w:val="auto"/>
          <w:highlight w:val="none"/>
        </w:rPr>
      </w:pPr>
      <w:bookmarkStart w:id="55" w:name="_Toc15377215"/>
      <w:bookmarkStart w:id="56" w:name="_Toc3867_WPSOffice_Level2"/>
      <w:bookmarkStart w:id="57"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55"/>
      <w:bookmarkEnd w:id="56"/>
      <w:bookmarkEnd w:id="57"/>
    </w:p>
    <w:p w14:paraId="6BAFC00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8"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58"/>
    </w:p>
    <w:p w14:paraId="66F56BF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3A1505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9"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59"/>
    </w:p>
    <w:p w14:paraId="0AEDCFA8">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63911C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0DC3EC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432FB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5742C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36B951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5EF00E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0838F5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60" w:name="_Toc15377218"/>
      <w:bookmarkStart w:id="61" w:name="_Toc15396610"/>
    </w:p>
    <w:p w14:paraId="34872AFD">
      <w:pPr>
        <w:spacing w:line="600" w:lineRule="exact"/>
        <w:ind w:firstLine="640"/>
        <w:outlineLvl w:val="1"/>
        <w:rPr>
          <w:rStyle w:val="30"/>
          <w:rFonts w:ascii="Times New Roman" w:hAnsi="Times New Roman" w:eastAsia="黑体"/>
          <w:color w:val="auto"/>
          <w:highlight w:val="none"/>
        </w:rPr>
      </w:pPr>
      <w:bookmarkStart w:id="62" w:name="_Toc6858_WPSOffice_Level2"/>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60"/>
      <w:bookmarkEnd w:id="61"/>
      <w:bookmarkEnd w:id="62"/>
    </w:p>
    <w:p w14:paraId="440567E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2025年度政府性基金预算财政拨款支出87.57万元，占本年支出合计的</w:t>
      </w:r>
      <w:r>
        <w:rPr>
          <w:rFonts w:hint="eastAsia" w:ascii="仿宋_GB2312" w:hAnsi="仿宋_GB2312" w:eastAsia="仿宋_GB2312" w:cs="仿宋_GB2312"/>
          <w:color w:val="auto"/>
          <w:sz w:val="32"/>
          <w:szCs w:val="32"/>
          <w:lang w:val="en-US" w:eastAsia="zh-CN"/>
        </w:rPr>
        <w:t>29.1</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减少9.38</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减少9.68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今年领取补贴人数比去年少3人。</w:t>
      </w:r>
    </w:p>
    <w:p w14:paraId="6CA3BB02">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63" w:name="_Toc15396611"/>
      <w:bookmarkStart w:id="64" w:name="_Toc26088_WPSOffice_Level2"/>
      <w:bookmarkStart w:id="65"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63"/>
      <w:bookmarkEnd w:id="64"/>
      <w:bookmarkEnd w:id="65"/>
    </w:p>
    <w:p w14:paraId="60CD74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7FBBBB8">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66" w:name="_Toc9727_WPSOffice_Level2"/>
      <w:bookmarkStart w:id="67" w:name="_Toc15396612"/>
      <w:bookmarkStart w:id="68"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66"/>
      <w:bookmarkEnd w:id="67"/>
      <w:bookmarkEnd w:id="68"/>
    </w:p>
    <w:p w14:paraId="61BD657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9" w:name="_Toc15377222"/>
      <w:r>
        <w:rPr>
          <w:rFonts w:hint="eastAsia" w:ascii="Times New Roman" w:hAnsi="Times New Roman" w:eastAsia="楷体_GB2312" w:cs="楷体_GB2312"/>
          <w:b/>
          <w:color w:val="auto"/>
          <w:sz w:val="32"/>
          <w:szCs w:val="32"/>
          <w:highlight w:val="none"/>
        </w:rPr>
        <w:t>（一）机关运行经费支出情况</w:t>
      </w:r>
      <w:bookmarkEnd w:id="69"/>
    </w:p>
    <w:p w14:paraId="1CBADF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松潘县城乡居民养老保险事务中心</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29F93A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0" w:name="_Toc15377223"/>
      <w:r>
        <w:rPr>
          <w:rFonts w:hint="eastAsia" w:ascii="Times New Roman" w:hAnsi="Times New Roman" w:eastAsia="楷体_GB2312" w:cs="楷体_GB2312"/>
          <w:b/>
          <w:color w:val="auto"/>
          <w:sz w:val="32"/>
          <w:szCs w:val="32"/>
          <w:highlight w:val="none"/>
        </w:rPr>
        <w:t>（二）政府采购支出情况</w:t>
      </w:r>
      <w:bookmarkEnd w:id="70"/>
    </w:p>
    <w:p w14:paraId="3E7C2B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松潘县城乡居民养老保险事务中心</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52A04CF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1" w:name="_Toc15377224"/>
      <w:r>
        <w:rPr>
          <w:rFonts w:hint="eastAsia" w:ascii="Times New Roman" w:hAnsi="Times New Roman" w:eastAsia="楷体_GB2312" w:cs="楷体_GB2312"/>
          <w:b/>
          <w:color w:val="auto"/>
          <w:sz w:val="32"/>
          <w:szCs w:val="32"/>
          <w:highlight w:val="none"/>
        </w:rPr>
        <w:t>（三）国有资产占有使用情况</w:t>
      </w:r>
      <w:bookmarkEnd w:id="71"/>
    </w:p>
    <w:p w14:paraId="246F95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松潘县城乡居民养老保险事务中心</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w:t>
      </w:r>
    </w:p>
    <w:p w14:paraId="192AA8C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986284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ascii="仿宋_GB2312" w:hAnsi="仿宋_GB2312" w:eastAsia="仿宋_GB2312" w:cs="仿宋_GB2312"/>
          <w:color w:val="000000"/>
          <w:kern w:val="0"/>
          <w:sz w:val="32"/>
          <w:szCs w:val="32"/>
          <w:highlight w:val="none"/>
          <w:shd w:val="clear" w:color="auto" w:fill="FFFFFF"/>
          <w:lang w:val="en-US" w:eastAsia="zh-CN"/>
        </w:rPr>
        <w:t>被征地农民出口补助1</w:t>
      </w:r>
      <w:r>
        <w:rPr>
          <w:rFonts w:hint="eastAsia" w:ascii="Times New Roman" w:hAnsi="Times New Roman" w:eastAsia="仿宋_GB2312" w:cs="仿宋_GB2312"/>
          <w:color w:val="auto"/>
          <w:kern w:val="2"/>
          <w:sz w:val="32"/>
          <w:szCs w:val="32"/>
          <w:highlight w:val="none"/>
          <w:lang w:val="en-US" w:eastAsia="zh-CN" w:bidi="ar-SA"/>
        </w:rPr>
        <w:t>个项目</w:t>
      </w:r>
      <w:r>
        <w:rPr>
          <w:rFonts w:hint="eastAsia" w:eastAsia="仿宋_GB2312" w:cs="仿宋_GB2312"/>
          <w:color w:val="auto"/>
          <w:kern w:val="2"/>
          <w:sz w:val="32"/>
          <w:szCs w:val="32"/>
          <w:highlight w:val="none"/>
          <w:lang w:val="en-US" w:eastAsia="zh-CN" w:bidi="ar-SA"/>
        </w:rPr>
        <w:t>涉及资金87.57万元</w:t>
      </w:r>
      <w:r>
        <w:rPr>
          <w:rFonts w:hint="eastAsia" w:ascii="Times New Roman" w:hAnsi="Times New Roman" w:eastAsia="仿宋_GB2312" w:cs="仿宋_GB2312"/>
          <w:color w:val="auto"/>
          <w:kern w:val="2"/>
          <w:sz w:val="32"/>
          <w:szCs w:val="32"/>
          <w:highlight w:val="none"/>
          <w:lang w:val="en-US" w:eastAsia="zh-CN" w:bidi="ar-SA"/>
        </w:rPr>
        <w:t>开展了预算事前绩效评估，对</w:t>
      </w:r>
      <w:r>
        <w:rPr>
          <w:rFonts w:hint="eastAsia" w:eastAsia="仿宋_GB2312" w:cs="仿宋_GB2312"/>
          <w:color w:val="auto"/>
          <w:kern w:val="2"/>
          <w:sz w:val="32"/>
          <w:szCs w:val="32"/>
          <w:highlight w:val="none"/>
          <w:lang w:val="en-US" w:eastAsia="zh-CN" w:bidi="ar-SA"/>
        </w:rPr>
        <w:t>该</w:t>
      </w:r>
      <w:r>
        <w:rPr>
          <w:rFonts w:hint="eastAsia" w:ascii="Times New Roman" w:hAnsi="Times New Roman" w:eastAsia="仿宋_GB2312" w:cs="仿宋_GB2312"/>
          <w:color w:val="auto"/>
          <w:kern w:val="2"/>
          <w:sz w:val="32"/>
          <w:szCs w:val="32"/>
          <w:highlight w:val="none"/>
          <w:lang w:val="en-US" w:eastAsia="zh-CN" w:bidi="ar-SA"/>
        </w:rPr>
        <w:t>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8643090">
      <w:pPr>
        <w:numPr>
          <w:ilvl w:val="0"/>
          <w:numId w:val="0"/>
        </w:numPr>
        <w:spacing w:line="600" w:lineRule="exact"/>
        <w:jc w:val="center"/>
        <w:outlineLvl w:val="0"/>
        <w:rPr>
          <w:rFonts w:hint="eastAsia" w:ascii="Times New Roman" w:hAnsi="Times New Roman" w:eastAsia="仿宋_GB2312" w:cs="仿宋_GB2312"/>
          <w:color w:val="auto"/>
          <w:kern w:val="2"/>
          <w:sz w:val="32"/>
          <w:szCs w:val="32"/>
          <w:highlight w:val="none"/>
          <w:lang w:val="en-US" w:eastAsia="zh-CN" w:bidi="ar-SA"/>
        </w:rPr>
      </w:pPr>
      <w:bookmarkStart w:id="72" w:name="_Toc15377225"/>
      <w:bookmarkStart w:id="73" w:name="_Toc15396613"/>
      <w:bookmarkStart w:id="74" w:name="_Toc25557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2"/>
      <w:bookmarkEnd w:id="73"/>
      <w:bookmarkEnd w:id="74"/>
    </w:p>
    <w:p w14:paraId="348A72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0F181E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2.社会保障和就业（类）</w:t>
      </w:r>
      <w:r>
        <w:rPr>
          <w:rFonts w:hint="default" w:ascii="Times New Roman" w:hAnsi="Times New Roman"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default" w:ascii="Times New Roman" w:hAnsi="Times New Roman"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default" w:ascii="Times New Roman" w:hAnsi="Times New Roman" w:eastAsia="仿宋_GB2312" w:cs="仿宋_GB2312"/>
          <w:color w:val="auto"/>
          <w:kern w:val="2"/>
          <w:sz w:val="32"/>
          <w:szCs w:val="32"/>
          <w:highlight w:val="none"/>
          <w:lang w:val="en-US" w:eastAsia="zh-CN" w:bidi="ar-SA"/>
        </w:rPr>
        <w:t>50</w:t>
      </w:r>
      <w:r>
        <w:rPr>
          <w:rFonts w:hint="eastAsia" w:ascii="Times New Roman" w:hAnsi="Times New Roman" w:eastAsia="仿宋_GB2312" w:cs="仿宋_GB2312"/>
          <w:color w:val="auto"/>
          <w:kern w:val="2"/>
          <w:sz w:val="32"/>
          <w:szCs w:val="32"/>
          <w:highlight w:val="none"/>
          <w:lang w:val="en-US" w:eastAsia="zh-CN" w:bidi="ar-SA"/>
        </w:rPr>
        <w:t>指事业运行，（类）</w:t>
      </w:r>
      <w:r>
        <w:rPr>
          <w:rFonts w:hint="default" w:ascii="Times New Roman" w:hAnsi="Times New Roman"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default"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1（项）</w:t>
      </w:r>
      <w:r>
        <w:rPr>
          <w:rFonts w:hint="default"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9指社会保险经办机构，（类）</w:t>
      </w:r>
      <w:r>
        <w:rPr>
          <w:rFonts w:hint="default" w:ascii="Times New Roman" w:hAnsi="Times New Roman"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default" w:ascii="Times New Roman" w:hAnsi="Times New Roman"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default" w:ascii="Times New Roman" w:hAnsi="Times New Roman"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指机关事业单位基本养老保险缴费，（类）</w:t>
      </w:r>
      <w:r>
        <w:rPr>
          <w:rFonts w:hint="default" w:ascii="Times New Roman" w:hAnsi="Times New Roman"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default" w:ascii="Times New Roman" w:hAnsi="Times New Roman"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default" w:ascii="Times New Roman" w:hAnsi="Times New Roman"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指机关事业单位职业年金缴费。</w:t>
      </w:r>
    </w:p>
    <w:p w14:paraId="54F8A48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3.卫生健康（类）210（款）11（项）02指事业单位医疗，（类）210（款）11（项）99支其他行政事业单位医疗支出。</w:t>
      </w:r>
    </w:p>
    <w:p w14:paraId="4DB8FF3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4.住房保障（类）</w:t>
      </w:r>
      <w:r>
        <w:rPr>
          <w:rFonts w:hint="default" w:ascii="Times New Roman" w:hAnsi="Times New Roman"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（款）</w:t>
      </w:r>
      <w:r>
        <w:rPr>
          <w:rFonts w:hint="default" w:ascii="Times New Roman" w:hAnsi="Times New Roman"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default" w:ascii="Times New Roman" w:hAnsi="Times New Roman"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：指住房公积金。</w:t>
      </w:r>
    </w:p>
    <w:p w14:paraId="2627B6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5.基本支出：指为保障机构正常运转、完成日常工作任务而发生的人员支出和公用支出。</w:t>
      </w:r>
    </w:p>
    <w:p w14:paraId="15988C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6.项目支出：指在基本支出之外为完成特定行政任务和事业发展目标所发生的支出。 </w:t>
      </w:r>
    </w:p>
    <w:p w14:paraId="796ACA6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bookmarkStart w:id="75" w:name="_Toc15396618"/>
      <w:bookmarkStart w:id="76" w:name="_Toc15377226"/>
    </w:p>
    <w:p w14:paraId="27C0B16F">
      <w:pPr>
        <w:widowControl/>
        <w:jc w:val="center"/>
        <w:rPr>
          <w:rFonts w:hint="eastAsia" w:ascii="Times New Roman" w:hAnsi="Times New Roman" w:eastAsia="仿宋"/>
          <w:b w:val="0"/>
          <w:color w:val="auto"/>
          <w:highlight w:val="none"/>
        </w:rPr>
      </w:pPr>
      <w:bookmarkStart w:id="77" w:name="_Toc20394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29"/>
          <w:rFonts w:hint="eastAsia" w:ascii="Times New Roman" w:hAnsi="Times New Roman" w:eastAsia="黑体"/>
          <w:b w:val="0"/>
          <w:color w:val="auto"/>
          <w:highlight w:val="none"/>
        </w:rPr>
        <w:t>部分 附表</w:t>
      </w:r>
      <w:bookmarkEnd w:id="75"/>
      <w:bookmarkEnd w:id="76"/>
      <w:bookmarkEnd w:id="77"/>
      <w:bookmarkStart w:id="78" w:name="_Toc15396619"/>
    </w:p>
    <w:p w14:paraId="3FA7285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7E8853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9" w:name="_Toc32151_WPSOffice_Level2"/>
      <w:r>
        <w:rPr>
          <w:rFonts w:hint="eastAsia" w:ascii="Times New Roman" w:hAnsi="Times New Roman" w:eastAsia="仿宋_GB2312" w:cs="仿宋_GB2312"/>
          <w:color w:val="auto"/>
          <w:sz w:val="32"/>
          <w:szCs w:val="32"/>
          <w:highlight w:val="none"/>
        </w:rPr>
        <w:t>一、收入支出决算总表</w:t>
      </w:r>
      <w:bookmarkEnd w:id="78"/>
      <w:bookmarkEnd w:id="79"/>
    </w:p>
    <w:p w14:paraId="034EE77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20"/>
      <w:bookmarkStart w:id="81" w:name="_Toc31402_WPSOffice_Level2"/>
      <w:r>
        <w:rPr>
          <w:rFonts w:hint="eastAsia" w:ascii="Times New Roman" w:hAnsi="Times New Roman" w:eastAsia="仿宋_GB2312" w:cs="仿宋_GB2312"/>
          <w:color w:val="auto"/>
          <w:sz w:val="32"/>
          <w:szCs w:val="32"/>
          <w:highlight w:val="none"/>
        </w:rPr>
        <w:t>二、收入决算表</w:t>
      </w:r>
      <w:bookmarkEnd w:id="80"/>
      <w:bookmarkEnd w:id="81"/>
    </w:p>
    <w:p w14:paraId="0B37A6C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2" w:name="_Toc15396621"/>
      <w:bookmarkStart w:id="83" w:name="_Toc21901_WPSOffice_Level2"/>
      <w:r>
        <w:rPr>
          <w:rFonts w:hint="eastAsia" w:ascii="Times New Roman" w:hAnsi="Times New Roman" w:eastAsia="仿宋_GB2312" w:cs="仿宋_GB2312"/>
          <w:color w:val="auto"/>
          <w:sz w:val="32"/>
          <w:szCs w:val="32"/>
          <w:highlight w:val="none"/>
        </w:rPr>
        <w:t>三、支出决算表</w:t>
      </w:r>
      <w:bookmarkEnd w:id="82"/>
      <w:bookmarkEnd w:id="83"/>
    </w:p>
    <w:p w14:paraId="7A58141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4" w:name="_Toc30079_WPSOffice_Level2"/>
      <w:bookmarkStart w:id="85" w:name="_Toc15396622"/>
      <w:r>
        <w:rPr>
          <w:rFonts w:hint="eastAsia" w:ascii="Times New Roman" w:hAnsi="Times New Roman" w:eastAsia="仿宋_GB2312" w:cs="仿宋_GB2312"/>
          <w:color w:val="auto"/>
          <w:sz w:val="32"/>
          <w:szCs w:val="32"/>
          <w:highlight w:val="none"/>
        </w:rPr>
        <w:t>四、财政拨款收入支出决算总表</w:t>
      </w:r>
      <w:bookmarkEnd w:id="84"/>
      <w:bookmarkEnd w:id="85"/>
    </w:p>
    <w:p w14:paraId="3B72BD8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6" w:name="_Toc20238_WPSOffice_Level2"/>
      <w:bookmarkStart w:id="87" w:name="_Toc15396623"/>
      <w:r>
        <w:rPr>
          <w:rFonts w:hint="eastAsia" w:ascii="Times New Roman" w:hAnsi="Times New Roman" w:eastAsia="仿宋_GB2312" w:cs="仿宋_GB2312"/>
          <w:color w:val="auto"/>
          <w:sz w:val="32"/>
          <w:szCs w:val="32"/>
          <w:highlight w:val="none"/>
        </w:rPr>
        <w:t>五、财政拨款支出决算明细表</w:t>
      </w:r>
      <w:bookmarkEnd w:id="86"/>
      <w:bookmarkEnd w:id="87"/>
      <w:bookmarkStart w:id="88" w:name="_Toc15396624"/>
    </w:p>
    <w:p w14:paraId="0A705CF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29858_WPSOffice_Level2"/>
      <w:r>
        <w:rPr>
          <w:rFonts w:hint="eastAsia" w:ascii="Times New Roman" w:hAnsi="Times New Roman" w:eastAsia="仿宋_GB2312" w:cs="仿宋_GB2312"/>
          <w:color w:val="auto"/>
          <w:sz w:val="32"/>
          <w:szCs w:val="32"/>
          <w:highlight w:val="none"/>
        </w:rPr>
        <w:t>六、一般公共预算财政拨款支出决算表</w:t>
      </w:r>
      <w:bookmarkEnd w:id="88"/>
      <w:bookmarkEnd w:id="89"/>
    </w:p>
    <w:p w14:paraId="4DBAA21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0" w:name="_Toc4560_WPSOffice_Level2"/>
      <w:bookmarkStart w:id="91" w:name="_Toc15396625"/>
      <w:r>
        <w:rPr>
          <w:rFonts w:hint="eastAsia" w:ascii="Times New Roman" w:hAnsi="Times New Roman" w:eastAsia="仿宋_GB2312" w:cs="仿宋_GB2312"/>
          <w:color w:val="auto"/>
          <w:sz w:val="32"/>
          <w:szCs w:val="32"/>
          <w:highlight w:val="none"/>
        </w:rPr>
        <w:t>七、一般公共预算财政拨款支出决算明细表</w:t>
      </w:r>
      <w:bookmarkEnd w:id="90"/>
      <w:bookmarkEnd w:id="91"/>
    </w:p>
    <w:p w14:paraId="29CD594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2" w:name="_Toc25204_WPSOffice_Level2"/>
      <w:bookmarkStart w:id="93" w:name="_Toc15396626"/>
      <w:r>
        <w:rPr>
          <w:rFonts w:hint="eastAsia" w:ascii="Times New Roman" w:hAnsi="Times New Roman" w:eastAsia="仿宋_GB2312" w:cs="仿宋_GB2312"/>
          <w:color w:val="auto"/>
          <w:sz w:val="32"/>
          <w:szCs w:val="32"/>
          <w:highlight w:val="none"/>
        </w:rPr>
        <w:t>八、一般公共预算财政拨款基本支出决算表</w:t>
      </w:r>
      <w:bookmarkEnd w:id="92"/>
      <w:bookmarkEnd w:id="93"/>
    </w:p>
    <w:p w14:paraId="6788606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4" w:name="_Toc15396627"/>
      <w:bookmarkStart w:id="95" w:name="_Toc16946_WPSOffice_Level2"/>
      <w:r>
        <w:rPr>
          <w:rFonts w:hint="eastAsia" w:ascii="Times New Roman" w:hAnsi="Times New Roman" w:eastAsia="仿宋_GB2312" w:cs="仿宋_GB2312"/>
          <w:color w:val="auto"/>
          <w:sz w:val="32"/>
          <w:szCs w:val="32"/>
          <w:highlight w:val="none"/>
        </w:rPr>
        <w:t>九、一般公共预算财政拨款项目支出决算表</w:t>
      </w:r>
      <w:bookmarkEnd w:id="94"/>
      <w:bookmarkEnd w:id="95"/>
    </w:p>
    <w:p w14:paraId="79CBDBB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6" w:name="_Toc15396628"/>
      <w:bookmarkStart w:id="97" w:name="_Toc3946_WPSOffice_Level2"/>
      <w:r>
        <w:rPr>
          <w:rFonts w:hint="eastAsia" w:ascii="Times New Roman" w:hAnsi="Times New Roman" w:eastAsia="仿宋_GB2312" w:cs="仿宋_GB2312"/>
          <w:color w:val="auto"/>
          <w:sz w:val="32"/>
          <w:szCs w:val="32"/>
          <w:highlight w:val="none"/>
        </w:rPr>
        <w:t>十、</w:t>
      </w:r>
      <w:bookmarkEnd w:id="96"/>
      <w:r>
        <w:rPr>
          <w:rFonts w:hint="eastAsia" w:ascii="Times New Roman" w:hAnsi="Times New Roman" w:eastAsia="仿宋_GB2312" w:cs="仿宋_GB2312"/>
          <w:color w:val="auto"/>
          <w:sz w:val="32"/>
          <w:szCs w:val="32"/>
          <w:highlight w:val="none"/>
        </w:rPr>
        <w:t>政府性基金预算财政拨款收入支出决算表</w:t>
      </w:r>
      <w:bookmarkEnd w:id="97"/>
    </w:p>
    <w:p w14:paraId="3BA5451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8" w:name="_Toc15396629"/>
      <w:bookmarkStart w:id="99" w:name="_Toc32280_WPSOffice_Level2"/>
      <w:r>
        <w:rPr>
          <w:rFonts w:hint="eastAsia" w:ascii="Times New Roman" w:hAnsi="Times New Roman" w:eastAsia="仿宋_GB2312" w:cs="仿宋_GB2312"/>
          <w:color w:val="auto"/>
          <w:sz w:val="32"/>
          <w:szCs w:val="32"/>
          <w:highlight w:val="none"/>
        </w:rPr>
        <w:t>十一、</w:t>
      </w:r>
      <w:bookmarkEnd w:id="9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99"/>
    </w:p>
    <w:p w14:paraId="666C017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0" w:name="_Toc15396630"/>
      <w:bookmarkStart w:id="101" w:name="_Toc7164_WPSOffice_Level2"/>
      <w:r>
        <w:rPr>
          <w:rFonts w:hint="eastAsia" w:ascii="Times New Roman" w:hAnsi="Times New Roman" w:eastAsia="仿宋_GB2312" w:cs="仿宋_GB2312"/>
          <w:color w:val="auto"/>
          <w:sz w:val="32"/>
          <w:szCs w:val="32"/>
          <w:highlight w:val="none"/>
        </w:rPr>
        <w:t>十二、</w:t>
      </w:r>
      <w:bookmarkEnd w:id="100"/>
      <w:r>
        <w:rPr>
          <w:rFonts w:hint="eastAsia" w:ascii="Times New Roman" w:hAnsi="Times New Roman" w:eastAsia="仿宋_GB2312" w:cs="仿宋_GB2312"/>
          <w:color w:val="auto"/>
          <w:sz w:val="32"/>
          <w:szCs w:val="32"/>
          <w:highlight w:val="none"/>
          <w:lang w:eastAsia="zh-CN"/>
        </w:rPr>
        <w:t>国有资本经营预算财政拨款支出决算表</w:t>
      </w:r>
      <w:bookmarkEnd w:id="101"/>
    </w:p>
    <w:p w14:paraId="67574D0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02" w:name="_Toc15396631"/>
      <w:bookmarkStart w:id="103" w:name="_Toc32187_WPSOffice_Level2"/>
      <w:r>
        <w:rPr>
          <w:rFonts w:hint="eastAsia" w:ascii="Times New Roman" w:hAnsi="Times New Roman" w:eastAsia="仿宋_GB2312" w:cs="仿宋_GB2312"/>
          <w:color w:val="auto"/>
          <w:sz w:val="32"/>
          <w:szCs w:val="32"/>
          <w:highlight w:val="none"/>
        </w:rPr>
        <w:t>十三、</w:t>
      </w:r>
      <w:bookmarkEnd w:id="102"/>
      <w:r>
        <w:rPr>
          <w:rFonts w:hint="eastAsia" w:ascii="Times New Roman" w:hAnsi="Times New Roman" w:eastAsia="仿宋_GB2312" w:cs="仿宋_GB2312"/>
          <w:color w:val="auto"/>
          <w:sz w:val="32"/>
          <w:szCs w:val="32"/>
          <w:highlight w:val="none"/>
          <w:lang w:eastAsia="zh-CN"/>
        </w:rPr>
        <w:t>财政拨款“三公”经费支出决算表</w:t>
      </w:r>
      <w:bookmarkEnd w:id="103"/>
    </w:p>
    <w:p w14:paraId="3B41C98A">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3A41E93-4A83-46BA-8945-F0EE2BD411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9ADBA9F-5B40-4D2F-B4A0-9CCAB63EC6CF}"/>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537E567B-1001-48AE-84FE-63695C2C91C4}"/>
  </w:font>
  <w:font w:name="仿宋">
    <w:panose1 w:val="02010609060101010101"/>
    <w:charset w:val="86"/>
    <w:family w:val="modern"/>
    <w:pitch w:val="default"/>
    <w:sig w:usb0="800002BF" w:usb1="38CF7CFA" w:usb2="00000016" w:usb3="00000000" w:csb0="00040001" w:csb1="00000000"/>
    <w:embedRegular r:id="rId4" w:fontKey="{A71C2387-4173-4651-9E18-2BCD6045B316}"/>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DAC3D259-2CBE-4D44-B3A7-4B745AD70F7D}"/>
  </w:font>
  <w:font w:name="楷体_GB2312">
    <w:panose1 w:val="02010609030101010101"/>
    <w:charset w:val="86"/>
    <w:family w:val="auto"/>
    <w:pitch w:val="default"/>
    <w:sig w:usb0="00000001" w:usb1="080E0000" w:usb2="00000000" w:usb3="00000000" w:csb0="00040000" w:csb1="00000000"/>
    <w:embedRegular r:id="rId6" w:fontKey="{C9D5D9FE-6048-43A5-80AA-ADBBA1D3633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FD714">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B5AFE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B5AFE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v:textbox>
            </v:shape>
          </w:pict>
        </mc:Fallback>
      </mc:AlternateContent>
    </w:r>
  </w:p>
  <w:p w14:paraId="472ABE05">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4F3F3">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34EE80">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A34EE80">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6AC3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8B69AD"/>
    <w:multiLevelType w:val="singleLevel"/>
    <w:tmpl w:val="2E8B69A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8410665"/>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9A127C"/>
    <w:rsid w:val="19A445FC"/>
    <w:rsid w:val="1BE8440E"/>
    <w:rsid w:val="1D0314BB"/>
    <w:rsid w:val="1D155CEE"/>
    <w:rsid w:val="1D1638FE"/>
    <w:rsid w:val="1D41575F"/>
    <w:rsid w:val="1E312DEB"/>
    <w:rsid w:val="1E740ACF"/>
    <w:rsid w:val="1FF35744"/>
    <w:rsid w:val="1FF6BC77"/>
    <w:rsid w:val="2125403B"/>
    <w:rsid w:val="216C095A"/>
    <w:rsid w:val="2186353C"/>
    <w:rsid w:val="23860B96"/>
    <w:rsid w:val="240371BF"/>
    <w:rsid w:val="244F3473"/>
    <w:rsid w:val="24575118"/>
    <w:rsid w:val="24C97D99"/>
    <w:rsid w:val="25A718F0"/>
    <w:rsid w:val="25BB59F6"/>
    <w:rsid w:val="260F557C"/>
    <w:rsid w:val="26970054"/>
    <w:rsid w:val="281408E2"/>
    <w:rsid w:val="286325CC"/>
    <w:rsid w:val="29FD04D3"/>
    <w:rsid w:val="2A2322AA"/>
    <w:rsid w:val="2AF454E0"/>
    <w:rsid w:val="2B397D21"/>
    <w:rsid w:val="2BFF7BC6"/>
    <w:rsid w:val="2C8A61B5"/>
    <w:rsid w:val="2C914C35"/>
    <w:rsid w:val="2DF04E50"/>
    <w:rsid w:val="2E586DFA"/>
    <w:rsid w:val="2F040D46"/>
    <w:rsid w:val="2F6B035B"/>
    <w:rsid w:val="2FAE5751"/>
    <w:rsid w:val="2FB1A395"/>
    <w:rsid w:val="2FD9A7D8"/>
    <w:rsid w:val="2FDBF714"/>
    <w:rsid w:val="30A52164"/>
    <w:rsid w:val="30AB6865"/>
    <w:rsid w:val="319F7F4E"/>
    <w:rsid w:val="32BD1EF1"/>
    <w:rsid w:val="3304709D"/>
    <w:rsid w:val="33A773CB"/>
    <w:rsid w:val="349D6851"/>
    <w:rsid w:val="36AA5135"/>
    <w:rsid w:val="36BE0DA7"/>
    <w:rsid w:val="376B6AA6"/>
    <w:rsid w:val="376D39B2"/>
    <w:rsid w:val="37E16F03"/>
    <w:rsid w:val="37F53A3B"/>
    <w:rsid w:val="388A2F5A"/>
    <w:rsid w:val="389B6C89"/>
    <w:rsid w:val="38D469F0"/>
    <w:rsid w:val="39627CCD"/>
    <w:rsid w:val="397BAF1F"/>
    <w:rsid w:val="3AB79AF3"/>
    <w:rsid w:val="3AE834C0"/>
    <w:rsid w:val="3B1612F1"/>
    <w:rsid w:val="3B7EF35A"/>
    <w:rsid w:val="3B9FDB6C"/>
    <w:rsid w:val="3BF5BC2F"/>
    <w:rsid w:val="3C9743A4"/>
    <w:rsid w:val="3CD8020B"/>
    <w:rsid w:val="3CEBA265"/>
    <w:rsid w:val="3D98207C"/>
    <w:rsid w:val="3DEE7CF3"/>
    <w:rsid w:val="3E740A63"/>
    <w:rsid w:val="3E78745D"/>
    <w:rsid w:val="3E98645C"/>
    <w:rsid w:val="3EE17838"/>
    <w:rsid w:val="3EFD485C"/>
    <w:rsid w:val="3F55381A"/>
    <w:rsid w:val="3F7F7599"/>
    <w:rsid w:val="3FF4CAE0"/>
    <w:rsid w:val="3FF7B227"/>
    <w:rsid w:val="40EC4028"/>
    <w:rsid w:val="42E16CED"/>
    <w:rsid w:val="44E268DA"/>
    <w:rsid w:val="450D13D7"/>
    <w:rsid w:val="45506656"/>
    <w:rsid w:val="46AE5F45"/>
    <w:rsid w:val="46E6727E"/>
    <w:rsid w:val="479F696B"/>
    <w:rsid w:val="486A6C7A"/>
    <w:rsid w:val="4984723A"/>
    <w:rsid w:val="4A627F82"/>
    <w:rsid w:val="4B0E749A"/>
    <w:rsid w:val="4B2477C4"/>
    <w:rsid w:val="4B4F25DA"/>
    <w:rsid w:val="4BE068DB"/>
    <w:rsid w:val="4D577224"/>
    <w:rsid w:val="4DBF1CEB"/>
    <w:rsid w:val="4DF0007C"/>
    <w:rsid w:val="4EAB630A"/>
    <w:rsid w:val="4ECE2238"/>
    <w:rsid w:val="4F833267"/>
    <w:rsid w:val="4FE9BD67"/>
    <w:rsid w:val="4FF160EA"/>
    <w:rsid w:val="4FFB052F"/>
    <w:rsid w:val="518D65C2"/>
    <w:rsid w:val="537E6D0A"/>
    <w:rsid w:val="53E16124"/>
    <w:rsid w:val="53F74C96"/>
    <w:rsid w:val="55170BA8"/>
    <w:rsid w:val="553218C9"/>
    <w:rsid w:val="55697EC3"/>
    <w:rsid w:val="557D24E9"/>
    <w:rsid w:val="55C331BF"/>
    <w:rsid w:val="567E1AA5"/>
    <w:rsid w:val="56E47B74"/>
    <w:rsid w:val="57175D52"/>
    <w:rsid w:val="57BD3DD4"/>
    <w:rsid w:val="5AF92295"/>
    <w:rsid w:val="5B250254"/>
    <w:rsid w:val="5B325D23"/>
    <w:rsid w:val="5BDD79E6"/>
    <w:rsid w:val="5BF561CA"/>
    <w:rsid w:val="5BFF5DFC"/>
    <w:rsid w:val="5C3117D3"/>
    <w:rsid w:val="5CD71FC4"/>
    <w:rsid w:val="5D1F11B5"/>
    <w:rsid w:val="5D695134"/>
    <w:rsid w:val="5DAE1B18"/>
    <w:rsid w:val="5DE7D9E5"/>
    <w:rsid w:val="5ECEC941"/>
    <w:rsid w:val="5FBF9FF3"/>
    <w:rsid w:val="5FCD4E2C"/>
    <w:rsid w:val="5FDF2228"/>
    <w:rsid w:val="5FEF394A"/>
    <w:rsid w:val="5FF67715"/>
    <w:rsid w:val="618B28AA"/>
    <w:rsid w:val="62BF3928"/>
    <w:rsid w:val="63A024B9"/>
    <w:rsid w:val="63B3701E"/>
    <w:rsid w:val="647F5392"/>
    <w:rsid w:val="649D7613"/>
    <w:rsid w:val="64B63FF4"/>
    <w:rsid w:val="65E66580"/>
    <w:rsid w:val="664B1D71"/>
    <w:rsid w:val="664B4E8E"/>
    <w:rsid w:val="67277B67"/>
    <w:rsid w:val="67AA3209"/>
    <w:rsid w:val="698D0931"/>
    <w:rsid w:val="6A34353D"/>
    <w:rsid w:val="6A7FE5F3"/>
    <w:rsid w:val="6B053271"/>
    <w:rsid w:val="6BDD78B3"/>
    <w:rsid w:val="6C4A05C8"/>
    <w:rsid w:val="6C8742B8"/>
    <w:rsid w:val="6C9306BE"/>
    <w:rsid w:val="6DBF5E93"/>
    <w:rsid w:val="6DFF077E"/>
    <w:rsid w:val="6E714EF0"/>
    <w:rsid w:val="6E7E3605"/>
    <w:rsid w:val="6E7FDCC7"/>
    <w:rsid w:val="6EC22CD6"/>
    <w:rsid w:val="6ED6A62E"/>
    <w:rsid w:val="6EE00B15"/>
    <w:rsid w:val="6F6FB3EB"/>
    <w:rsid w:val="6F8731EA"/>
    <w:rsid w:val="6FA791EF"/>
    <w:rsid w:val="6FB07B14"/>
    <w:rsid w:val="6FCE6052"/>
    <w:rsid w:val="6FD57C00"/>
    <w:rsid w:val="6FEFFFD8"/>
    <w:rsid w:val="6FF5CC65"/>
    <w:rsid w:val="6FFB47EC"/>
    <w:rsid w:val="6FFF034A"/>
    <w:rsid w:val="70484440"/>
    <w:rsid w:val="712A28F1"/>
    <w:rsid w:val="715C0E4B"/>
    <w:rsid w:val="71992E7C"/>
    <w:rsid w:val="72233669"/>
    <w:rsid w:val="72734D90"/>
    <w:rsid w:val="73160E6D"/>
    <w:rsid w:val="7332FE48"/>
    <w:rsid w:val="734A7826"/>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A25821"/>
    <w:rsid w:val="7CBA09BB"/>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B9020"/>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528C7"/>
    <w:rsid w:val="F3F722E5"/>
    <w:rsid w:val="F4FBCD07"/>
    <w:rsid w:val="FA5F1E70"/>
    <w:rsid w:val="FA5FDB97"/>
    <w:rsid w:val="FB7F486A"/>
    <w:rsid w:val="FBFF5B2E"/>
    <w:rsid w:val="FD7FFE2B"/>
    <w:rsid w:val="FDEE196B"/>
    <w:rsid w:val="FDFE6575"/>
    <w:rsid w:val="FEDFDDC2"/>
    <w:rsid w:val="FEED32F6"/>
    <w:rsid w:val="FEF781DD"/>
    <w:rsid w:val="FEFB788A"/>
    <w:rsid w:val="FF3F7E3F"/>
    <w:rsid w:val="FFBA12D7"/>
    <w:rsid w:val="FFCBD314"/>
    <w:rsid w:val="FFCCC65E"/>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spacing w:before="0" w:beforeAutospacing="0" w:after="0" w:afterAutospacing="0"/>
      <w:ind w:left="0" w:leftChars="200" w:right="0" w:hanging="200" w:hangingChars="200"/>
      <w:jc w:val="left"/>
    </w:pPr>
    <w:rPr>
      <w:rFonts w:hint="eastAsia" w:ascii="宋体" w:hAnsi="宋体" w:eastAsia="宋体" w:cs="宋体"/>
      <w:kern w:val="0"/>
      <w:sz w:val="24"/>
      <w:szCs w:val="24"/>
      <w:lang w:val="en-US" w:eastAsia="zh-CN" w:bidi="ar"/>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普通(网站)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37">
    <w:name w:val="16"/>
    <w:basedOn w:val="17"/>
    <w:qFormat/>
    <w:uiPriority w:val="0"/>
    <w:rPr>
      <w:rFonts w:hint="default" w:ascii="Times New Roman" w:hAnsi="Times New Roman" w:cs="Times New Roman"/>
      <w:b/>
      <w:bCs/>
    </w:rPr>
  </w:style>
  <w:style w:type="paragraph" w:customStyle="1" w:styleId="38">
    <w:name w:val="WPSOffice手动目录 1"/>
    <w:qFormat/>
    <w:uiPriority w:val="0"/>
    <w:pPr>
      <w:ind w:leftChars="0"/>
    </w:pPr>
    <w:rPr>
      <w:rFonts w:asciiTheme="minorHAnsi" w:hAnsiTheme="minorHAnsi" w:eastAsiaTheme="minorEastAsia" w:cstheme="minorBidi"/>
      <w:sz w:val="20"/>
      <w:szCs w:val="20"/>
    </w:rPr>
  </w:style>
  <w:style w:type="paragraph" w:customStyle="1" w:styleId="39">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b6115c4e-f6ad-45a2-9863-d1f03069c2f0}"/>
        <w:style w:val=""/>
        <w:category>
          <w:name w:val="常规"/>
          <w:gallery w:val="placeholder"/>
        </w:category>
        <w:types>
          <w:type w:val="bbPlcHdr"/>
        </w:types>
        <w:behaviors>
          <w:behavior w:val="content"/>
        </w:behaviors>
        <w:description w:val=""/>
        <w:guid w:val="{b6115c4e-f6ad-45a2-9863-d1f03069c2f0}"/>
      </w:docPartPr>
      <w:docPartBody>
        <w:p w14:paraId="57BF5DB6">
          <w:r>
            <w:rPr>
              <w:color w:val="808080"/>
            </w:rPr>
            <w:t>单击此处输入文字。</w:t>
          </w:r>
        </w:p>
      </w:docPartBody>
    </w:docPart>
    <w:docPart>
      <w:docPartPr>
        <w:name w:val="{65b9349d-7245-4577-8ad2-d3aac708df83}"/>
        <w:style w:val=""/>
        <w:category>
          <w:name w:val="常规"/>
          <w:gallery w:val="placeholder"/>
        </w:category>
        <w:types>
          <w:type w:val="bbPlcHdr"/>
        </w:types>
        <w:behaviors>
          <w:behavior w:val="content"/>
        </w:behaviors>
        <w:description w:val=""/>
        <w:guid w:val="{65b9349d-7245-4577-8ad2-d3aac708df83}"/>
      </w:docPartPr>
      <w:docPartBody>
        <w:p w14:paraId="7613EF08">
          <w:r>
            <w:rPr>
              <w:color w:val="808080"/>
            </w:rPr>
            <w:t>单击此处输入文字。</w:t>
          </w:r>
        </w:p>
      </w:docPartBody>
    </w:docPart>
    <w:docPart>
      <w:docPartPr>
        <w:name w:val="{f31c7b5b-6d0b-4369-ac14-07105e374a03}"/>
        <w:style w:val=""/>
        <w:category>
          <w:name w:val="常规"/>
          <w:gallery w:val="placeholder"/>
        </w:category>
        <w:types>
          <w:type w:val="bbPlcHdr"/>
        </w:types>
        <w:behaviors>
          <w:behavior w:val="content"/>
        </w:behaviors>
        <w:description w:val=""/>
        <w:guid w:val="{f31c7b5b-6d0b-4369-ac14-07105e374a03}"/>
      </w:docPartPr>
      <w:docPartBody>
        <w:p w14:paraId="4D8CA422">
          <w:r>
            <w:rPr>
              <w:color w:val="808080"/>
            </w:rPr>
            <w:t>单击此处输入文字。</w:t>
          </w:r>
        </w:p>
      </w:docPartBody>
    </w:docPart>
    <w:docPart>
      <w:docPartPr>
        <w:name w:val="{445a63a0-b687-45ff-9620-d7bab0015ca1}"/>
        <w:style w:val=""/>
        <w:category>
          <w:name w:val="常规"/>
          <w:gallery w:val="placeholder"/>
        </w:category>
        <w:types>
          <w:type w:val="bbPlcHdr"/>
        </w:types>
        <w:behaviors>
          <w:behavior w:val="content"/>
        </w:behaviors>
        <w:description w:val=""/>
        <w:guid w:val="{445a63a0-b687-45ff-9620-d7bab0015ca1}"/>
      </w:docPartPr>
      <w:docPartBody>
        <w:p w14:paraId="4AFFBD50">
          <w:r>
            <w:rPr>
              <w:color w:val="808080"/>
            </w:rPr>
            <w:t>单击此处输入文字。</w:t>
          </w:r>
        </w:p>
      </w:docPartBody>
    </w:docPart>
    <w:docPart>
      <w:docPartPr>
        <w:name w:val="{5840d744-6440-49ab-98d1-93b6b9920088}"/>
        <w:style w:val=""/>
        <w:category>
          <w:name w:val="常规"/>
          <w:gallery w:val="placeholder"/>
        </w:category>
        <w:types>
          <w:type w:val="bbPlcHdr"/>
        </w:types>
        <w:behaviors>
          <w:behavior w:val="content"/>
        </w:behaviors>
        <w:description w:val=""/>
        <w:guid w:val="{5840d744-6440-49ab-98d1-93b6b9920088}"/>
      </w:docPartPr>
      <w:docPartBody>
        <w:p w14:paraId="16A4745A">
          <w:r>
            <w:rPr>
              <w:color w:val="808080"/>
            </w:rPr>
            <w:t>单击此处输入文字。</w:t>
          </w:r>
        </w:p>
      </w:docPartBody>
    </w:docPart>
    <w:docPart>
      <w:docPartPr>
        <w:name w:val="{bbe04fdb-dd8b-4c2e-ab61-0f64cdfaf356}"/>
        <w:style w:val=""/>
        <w:category>
          <w:name w:val="常规"/>
          <w:gallery w:val="placeholder"/>
        </w:category>
        <w:types>
          <w:type w:val="bbPlcHdr"/>
        </w:types>
        <w:behaviors>
          <w:behavior w:val="content"/>
        </w:behaviors>
        <w:description w:val=""/>
        <w:guid w:val="{bbe04fdb-dd8b-4c2e-ab61-0f64cdfaf356}"/>
      </w:docPartPr>
      <w:docPartBody>
        <w:p w14:paraId="4D754981">
          <w:r>
            <w:rPr>
              <w:color w:val="808080"/>
            </w:rPr>
            <w:t>单击此处输入文字。</w:t>
          </w:r>
        </w:p>
      </w:docPartBody>
    </w:docPart>
    <w:docPart>
      <w:docPartPr>
        <w:name w:val="{38dbc501-50ba-4be0-a983-80bce0d90fbe}"/>
        <w:style w:val=""/>
        <w:category>
          <w:name w:val="常规"/>
          <w:gallery w:val="placeholder"/>
        </w:category>
        <w:types>
          <w:type w:val="bbPlcHdr"/>
        </w:types>
        <w:behaviors>
          <w:behavior w:val="content"/>
        </w:behaviors>
        <w:description w:val=""/>
        <w:guid w:val="{38dbc501-50ba-4be0-a983-80bce0d90fbe}"/>
      </w:docPartPr>
      <w:docPartBody>
        <w:p w14:paraId="6EE13365">
          <w:r>
            <w:rPr>
              <w:color w:val="808080"/>
            </w:rPr>
            <w:t>单击此处输入文字。</w:t>
          </w:r>
        </w:p>
      </w:docPartBody>
    </w:docPart>
    <w:docPart>
      <w:docPartPr>
        <w:name w:val="{6a9e59d7-2535-40a4-9314-12692547c19e}"/>
        <w:style w:val=""/>
        <w:category>
          <w:name w:val="常规"/>
          <w:gallery w:val="placeholder"/>
        </w:category>
        <w:types>
          <w:type w:val="bbPlcHdr"/>
        </w:types>
        <w:behaviors>
          <w:behavior w:val="content"/>
        </w:behaviors>
        <w:description w:val=""/>
        <w:guid w:val="{6a9e59d7-2535-40a4-9314-12692547c19e}"/>
      </w:docPartPr>
      <w:docPartBody>
        <w:p w14:paraId="30681128">
          <w:r>
            <w:rPr>
              <w:color w:val="808080"/>
            </w:rPr>
            <w:t>单击此处输入文字。</w:t>
          </w:r>
        </w:p>
      </w:docPartBody>
    </w:docPart>
    <w:docPart>
      <w:docPartPr>
        <w:name w:val="{a6b950db-3601-4e0f-993a-403dbefdebbf}"/>
        <w:style w:val=""/>
        <w:category>
          <w:name w:val="常规"/>
          <w:gallery w:val="placeholder"/>
        </w:category>
        <w:types>
          <w:type w:val="bbPlcHdr"/>
        </w:types>
        <w:behaviors>
          <w:behavior w:val="content"/>
        </w:behaviors>
        <w:description w:val=""/>
        <w:guid w:val="{a6b950db-3601-4e0f-993a-403dbefdebbf}"/>
      </w:docPartPr>
      <w:docPartBody>
        <w:p w14:paraId="1E702673">
          <w:r>
            <w:rPr>
              <w:color w:val="808080"/>
            </w:rPr>
            <w:t>单击此处输入文字。</w:t>
          </w:r>
        </w:p>
      </w:docPartBody>
    </w:docPart>
    <w:docPart>
      <w:docPartPr>
        <w:name w:val="{2a8d6e01-98fe-4e0a-a739-7e57a007dcd8}"/>
        <w:style w:val=""/>
        <w:category>
          <w:name w:val="常规"/>
          <w:gallery w:val="placeholder"/>
        </w:category>
        <w:types>
          <w:type w:val="bbPlcHdr"/>
        </w:types>
        <w:behaviors>
          <w:behavior w:val="content"/>
        </w:behaviors>
        <w:description w:val=""/>
        <w:guid w:val="{2a8d6e01-98fe-4e0a-a739-7e57a007dcd8}"/>
      </w:docPartPr>
      <w:docPartBody>
        <w:p w14:paraId="2DFD0C11">
          <w:r>
            <w:rPr>
              <w:color w:val="808080"/>
            </w:rPr>
            <w:t>单击此处输入文字。</w:t>
          </w:r>
        </w:p>
      </w:docPartBody>
    </w:docPart>
    <w:docPart>
      <w:docPartPr>
        <w:name w:val="{19405ef3-6123-4716-be2c-e6246f7ef37b}"/>
        <w:style w:val=""/>
        <w:category>
          <w:name w:val="常规"/>
          <w:gallery w:val="placeholder"/>
        </w:category>
        <w:types>
          <w:type w:val="bbPlcHdr"/>
        </w:types>
        <w:behaviors>
          <w:behavior w:val="content"/>
        </w:behaviors>
        <w:description w:val=""/>
        <w:guid w:val="{19405ef3-6123-4716-be2c-e6246f7ef37b}"/>
      </w:docPartPr>
      <w:docPartBody>
        <w:p w14:paraId="42814096">
          <w:r>
            <w:rPr>
              <w:color w:val="808080"/>
            </w:rPr>
            <w:t>单击此处输入文字。</w:t>
          </w:r>
        </w:p>
      </w:docPartBody>
    </w:docPart>
    <w:docPart>
      <w:docPartPr>
        <w:name w:val="{57b15dc9-1e2c-4445-a6b1-791c8fb2f446}"/>
        <w:style w:val=""/>
        <w:category>
          <w:name w:val="常规"/>
          <w:gallery w:val="placeholder"/>
        </w:category>
        <w:types>
          <w:type w:val="bbPlcHdr"/>
        </w:types>
        <w:behaviors>
          <w:behavior w:val="content"/>
        </w:behaviors>
        <w:description w:val=""/>
        <w:guid w:val="{57b15dc9-1e2c-4445-a6b1-791c8fb2f446}"/>
      </w:docPartPr>
      <w:docPartBody>
        <w:p w14:paraId="7F2A459C">
          <w:r>
            <w:rPr>
              <w:color w:val="808080"/>
            </w:rPr>
            <w:t>单击此处输入文字。</w:t>
          </w:r>
        </w:p>
      </w:docPartBody>
    </w:docPart>
    <w:docPart>
      <w:docPartPr>
        <w:name w:val="{fe8c6a4d-543e-4e44-be1c-d3b268184bba}"/>
        <w:style w:val=""/>
        <w:category>
          <w:name w:val="常规"/>
          <w:gallery w:val="placeholder"/>
        </w:category>
        <w:types>
          <w:type w:val="bbPlcHdr"/>
        </w:types>
        <w:behaviors>
          <w:behavior w:val="content"/>
        </w:behaviors>
        <w:description w:val=""/>
        <w:guid w:val="{fe8c6a4d-543e-4e44-be1c-d3b268184bba}"/>
      </w:docPartPr>
      <w:docPartBody>
        <w:p w14:paraId="148C1AB2">
          <w:r>
            <w:rPr>
              <w:color w:val="808080"/>
            </w:rPr>
            <w:t>单击此处输入文字。</w:t>
          </w:r>
        </w:p>
      </w:docPartBody>
    </w:docPart>
    <w:docPart>
      <w:docPartPr>
        <w:name w:val="{1b351c45-7389-4c48-ae2a-39762057c211}"/>
        <w:style w:val=""/>
        <w:category>
          <w:name w:val="常规"/>
          <w:gallery w:val="placeholder"/>
        </w:category>
        <w:types>
          <w:type w:val="bbPlcHdr"/>
        </w:types>
        <w:behaviors>
          <w:behavior w:val="content"/>
        </w:behaviors>
        <w:description w:val=""/>
        <w:guid w:val="{1b351c45-7389-4c48-ae2a-39762057c211}"/>
      </w:docPartPr>
      <w:docPartBody>
        <w:p w14:paraId="5DBBD166">
          <w:r>
            <w:rPr>
              <w:color w:val="808080"/>
            </w:rPr>
            <w:t>单击此处输入文字。</w:t>
          </w:r>
        </w:p>
      </w:docPartBody>
    </w:docPart>
    <w:docPart>
      <w:docPartPr>
        <w:name w:val="{6abc258f-efe0-42c2-b5ac-f69e7c352086}"/>
        <w:style w:val=""/>
        <w:category>
          <w:name w:val="常规"/>
          <w:gallery w:val="placeholder"/>
        </w:category>
        <w:types>
          <w:type w:val="bbPlcHdr"/>
        </w:types>
        <w:behaviors>
          <w:behavior w:val="content"/>
        </w:behaviors>
        <w:description w:val=""/>
        <w:guid w:val="{6abc258f-efe0-42c2-b5ac-f69e7c352086}"/>
      </w:docPartPr>
      <w:docPartBody>
        <w:p w14:paraId="5CEFF5E3">
          <w:r>
            <w:rPr>
              <w:color w:val="808080"/>
            </w:rPr>
            <w:t>单击此处输入文字。</w:t>
          </w:r>
        </w:p>
      </w:docPartBody>
    </w:docPart>
    <w:docPart>
      <w:docPartPr>
        <w:name w:val="{42ff7eac-c465-4cec-82dc-9f1aab968f8e}"/>
        <w:style w:val=""/>
        <w:category>
          <w:name w:val="常规"/>
          <w:gallery w:val="placeholder"/>
        </w:category>
        <w:types>
          <w:type w:val="bbPlcHdr"/>
        </w:types>
        <w:behaviors>
          <w:behavior w:val="content"/>
        </w:behaviors>
        <w:description w:val=""/>
        <w:guid w:val="{42ff7eac-c465-4cec-82dc-9f1aab968f8e}"/>
      </w:docPartPr>
      <w:docPartBody>
        <w:p w14:paraId="733510FD">
          <w:r>
            <w:rPr>
              <w:color w:val="808080"/>
            </w:rPr>
            <w:t>单击此处输入文字。</w:t>
          </w:r>
        </w:p>
      </w:docPartBody>
    </w:docPart>
    <w:docPart>
      <w:docPartPr>
        <w:name w:val="{9c06448d-1cf9-43a0-a3c0-7512eb66b959}"/>
        <w:style w:val=""/>
        <w:category>
          <w:name w:val="常规"/>
          <w:gallery w:val="placeholder"/>
        </w:category>
        <w:types>
          <w:type w:val="bbPlcHdr"/>
        </w:types>
        <w:behaviors>
          <w:behavior w:val="content"/>
        </w:behaviors>
        <w:description w:val=""/>
        <w:guid w:val="{9c06448d-1cf9-43a0-a3c0-7512eb66b959}"/>
      </w:docPartPr>
      <w:docPartBody>
        <w:p w14:paraId="636794D5">
          <w:r>
            <w:rPr>
              <w:color w:val="808080"/>
            </w:rPr>
            <w:t>单击此处输入文字。</w:t>
          </w:r>
        </w:p>
      </w:docPartBody>
    </w:docPart>
    <w:docPart>
      <w:docPartPr>
        <w:name w:val="{255515ad-b5e9-4f0c-a4ad-309ab417c52e}"/>
        <w:style w:val=""/>
        <w:category>
          <w:name w:val="常规"/>
          <w:gallery w:val="placeholder"/>
        </w:category>
        <w:types>
          <w:type w:val="bbPlcHdr"/>
        </w:types>
        <w:behaviors>
          <w:behavior w:val="content"/>
        </w:behaviors>
        <w:description w:val=""/>
        <w:guid w:val="{255515ad-b5e9-4f0c-a4ad-309ab417c52e}"/>
      </w:docPartPr>
      <w:docPartBody>
        <w:p w14:paraId="089FC7DE">
          <w:r>
            <w:rPr>
              <w:color w:val="808080"/>
            </w:rPr>
            <w:t>单击此处输入文字。</w:t>
          </w:r>
        </w:p>
      </w:docPartBody>
    </w:docPart>
    <w:docPart>
      <w:docPartPr>
        <w:name w:val="{d499dc20-e6d6-4087-86b2-2ec657b15e19}"/>
        <w:style w:val=""/>
        <w:category>
          <w:name w:val="常规"/>
          <w:gallery w:val="placeholder"/>
        </w:category>
        <w:types>
          <w:type w:val="bbPlcHdr"/>
        </w:types>
        <w:behaviors>
          <w:behavior w:val="content"/>
        </w:behaviors>
        <w:description w:val=""/>
        <w:guid w:val="{d499dc20-e6d6-4087-86b2-2ec657b15e19}"/>
      </w:docPartPr>
      <w:docPartBody>
        <w:p w14:paraId="23B250D7">
          <w:r>
            <w:rPr>
              <w:color w:val="808080"/>
            </w:rPr>
            <w:t>单击此处输入文字。</w:t>
          </w:r>
        </w:p>
      </w:docPartBody>
    </w:docPart>
    <w:docPart>
      <w:docPartPr>
        <w:name w:val="{2a61c770-2c04-4d34-98f6-6d0f74ba51db}"/>
        <w:style w:val=""/>
        <w:category>
          <w:name w:val="常规"/>
          <w:gallery w:val="placeholder"/>
        </w:category>
        <w:types>
          <w:type w:val="bbPlcHdr"/>
        </w:types>
        <w:behaviors>
          <w:behavior w:val="content"/>
        </w:behaviors>
        <w:description w:val=""/>
        <w:guid w:val="{2a61c770-2c04-4d34-98f6-6d0f74ba51db}"/>
      </w:docPartPr>
      <w:docPartBody>
        <w:p w14:paraId="76AFFF5F">
          <w:r>
            <w:rPr>
              <w:color w:val="808080"/>
            </w:rPr>
            <w:t>单击此处输入文字。</w:t>
          </w:r>
        </w:p>
      </w:docPartBody>
    </w:docPart>
    <w:docPart>
      <w:docPartPr>
        <w:name w:val="{0e644709-3175-46c3-96e8-89ebe819d67d}"/>
        <w:style w:val=""/>
        <w:category>
          <w:name w:val="常规"/>
          <w:gallery w:val="placeholder"/>
        </w:category>
        <w:types>
          <w:type w:val="bbPlcHdr"/>
        </w:types>
        <w:behaviors>
          <w:behavior w:val="content"/>
        </w:behaviors>
        <w:description w:val=""/>
        <w:guid w:val="{0e644709-3175-46c3-96e8-89ebe819d67d}"/>
      </w:docPartPr>
      <w:docPartBody>
        <w:p w14:paraId="476F7763">
          <w:r>
            <w:rPr>
              <w:color w:val="808080"/>
            </w:rPr>
            <w:t>单击此处输入文字。</w:t>
          </w:r>
        </w:p>
      </w:docPartBody>
    </w:docPart>
    <w:docPart>
      <w:docPartPr>
        <w:name w:val="{fafac5bd-d52d-4404-b99a-eb9605687087}"/>
        <w:style w:val=""/>
        <w:category>
          <w:name w:val="常规"/>
          <w:gallery w:val="placeholder"/>
        </w:category>
        <w:types>
          <w:type w:val="bbPlcHdr"/>
        </w:types>
        <w:behaviors>
          <w:behavior w:val="content"/>
        </w:behaviors>
        <w:description w:val=""/>
        <w:guid w:val="{fafac5bd-d52d-4404-b99a-eb9605687087}"/>
      </w:docPartPr>
      <w:docPartBody>
        <w:p w14:paraId="17792D9A">
          <w:r>
            <w:rPr>
              <w:color w:val="808080"/>
            </w:rPr>
            <w:t>单击此处输入文字。</w:t>
          </w:r>
        </w:p>
      </w:docPartBody>
    </w:docPart>
    <w:docPart>
      <w:docPartPr>
        <w:name w:val="{a47315ea-52a9-4325-adfc-3aa0fd7b0369}"/>
        <w:style w:val=""/>
        <w:category>
          <w:name w:val="常规"/>
          <w:gallery w:val="placeholder"/>
        </w:category>
        <w:types>
          <w:type w:val="bbPlcHdr"/>
        </w:types>
        <w:behaviors>
          <w:behavior w:val="content"/>
        </w:behaviors>
        <w:description w:val=""/>
        <w:guid w:val="{a47315ea-52a9-4325-adfc-3aa0fd7b0369}"/>
      </w:docPartPr>
      <w:docPartBody>
        <w:p w14:paraId="29C6D80C">
          <w:r>
            <w:rPr>
              <w:color w:val="808080"/>
            </w:rPr>
            <w:t>单击此处输入文字。</w:t>
          </w:r>
        </w:p>
      </w:docPartBody>
    </w:docPart>
    <w:docPart>
      <w:docPartPr>
        <w:name w:val="{49896feb-87b3-4e55-a4fb-49e838f3a49a}"/>
        <w:style w:val=""/>
        <w:category>
          <w:name w:val="常规"/>
          <w:gallery w:val="placeholder"/>
        </w:category>
        <w:types>
          <w:type w:val="bbPlcHdr"/>
        </w:types>
        <w:behaviors>
          <w:behavior w:val="content"/>
        </w:behaviors>
        <w:description w:val=""/>
        <w:guid w:val="{49896feb-87b3-4e55-a4fb-49e838f3a49a}"/>
      </w:docPartPr>
      <w:docPartBody>
        <w:p w14:paraId="6C2DE5DB">
          <w:r>
            <w:rPr>
              <w:color w:val="808080"/>
            </w:rPr>
            <w:t>单击此处输入文字。</w:t>
          </w:r>
        </w:p>
      </w:docPartBody>
    </w:docPart>
    <w:docPart>
      <w:docPartPr>
        <w:name w:val="{5da237d3-0aa0-4256-9eb1-9cc66603a2d7}"/>
        <w:style w:val=""/>
        <w:category>
          <w:name w:val="常规"/>
          <w:gallery w:val="placeholder"/>
        </w:category>
        <w:types>
          <w:type w:val="bbPlcHdr"/>
        </w:types>
        <w:behaviors>
          <w:behavior w:val="content"/>
        </w:behaviors>
        <w:description w:val=""/>
        <w:guid w:val="{5da237d3-0aa0-4256-9eb1-9cc66603a2d7}"/>
      </w:docPartPr>
      <w:docPartBody>
        <w:p w14:paraId="40D2C7BA">
          <w:r>
            <w:rPr>
              <w:color w:val="808080"/>
            </w:rPr>
            <w:t>单击此处输入文字。</w:t>
          </w:r>
        </w:p>
      </w:docPartBody>
    </w:docPart>
    <w:docPart>
      <w:docPartPr>
        <w:name w:val="{01d3d4c3-c42d-4a90-b81e-05a5c5e2dd9e}"/>
        <w:style w:val=""/>
        <w:category>
          <w:name w:val="常规"/>
          <w:gallery w:val="placeholder"/>
        </w:category>
        <w:types>
          <w:type w:val="bbPlcHdr"/>
        </w:types>
        <w:behaviors>
          <w:behavior w:val="content"/>
        </w:behaviors>
        <w:description w:val=""/>
        <w:guid w:val="{01d3d4c3-c42d-4a90-b81e-05a5c5e2dd9e}"/>
      </w:docPartPr>
      <w:docPartBody>
        <w:p w14:paraId="186CAC43">
          <w:r>
            <w:rPr>
              <w:color w:val="808080"/>
            </w:rPr>
            <w:t>单击此处输入文字。</w:t>
          </w:r>
        </w:p>
      </w:docPartBody>
    </w:docPart>
    <w:docPart>
      <w:docPartPr>
        <w:name w:val="{e94f0ccb-83c8-4cab-a963-80a32c03a34b}"/>
        <w:style w:val=""/>
        <w:category>
          <w:name w:val="常规"/>
          <w:gallery w:val="placeholder"/>
        </w:category>
        <w:types>
          <w:type w:val="bbPlcHdr"/>
        </w:types>
        <w:behaviors>
          <w:behavior w:val="content"/>
        </w:behaviors>
        <w:description w:val=""/>
        <w:guid w:val="{e94f0ccb-83c8-4cab-a963-80a32c03a34b}"/>
      </w:docPartPr>
      <w:docPartBody>
        <w:p w14:paraId="2A12510E">
          <w:r>
            <w:rPr>
              <w:color w:val="808080"/>
            </w:rPr>
            <w:t>单击此处输入文字。</w:t>
          </w:r>
        </w:p>
      </w:docPartBody>
    </w:docPart>
    <w:docPart>
      <w:docPartPr>
        <w:name w:val="{3c6f879a-9d24-41d7-8483-4f39907d1c43}"/>
        <w:style w:val=""/>
        <w:category>
          <w:name w:val="常规"/>
          <w:gallery w:val="placeholder"/>
        </w:category>
        <w:types>
          <w:type w:val="bbPlcHdr"/>
        </w:types>
        <w:behaviors>
          <w:behavior w:val="content"/>
        </w:behaviors>
        <w:description w:val=""/>
        <w:guid w:val="{3c6f879a-9d24-41d7-8483-4f39907d1c43}"/>
      </w:docPartPr>
      <w:docPartBody>
        <w:p w14:paraId="6347DF42">
          <w:r>
            <w:rPr>
              <w:color w:val="808080"/>
            </w:rPr>
            <w:t>单击此处输入文字。</w:t>
          </w:r>
        </w:p>
      </w:docPartBody>
    </w:docPart>
    <w:docPart>
      <w:docPartPr>
        <w:name w:val="{aa8c8829-b837-455f-ac17-06db1dacde82}"/>
        <w:style w:val=""/>
        <w:category>
          <w:name w:val="常规"/>
          <w:gallery w:val="placeholder"/>
        </w:category>
        <w:types>
          <w:type w:val="bbPlcHdr"/>
        </w:types>
        <w:behaviors>
          <w:behavior w:val="content"/>
        </w:behaviors>
        <w:description w:val=""/>
        <w:guid w:val="{aa8c8829-b837-455f-ac17-06db1dacde82}"/>
      </w:docPartPr>
      <w:docPartBody>
        <w:p w14:paraId="1DF038E6">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6ede658d-3473-4fcc-a4ca-706896ad8a11</errorID>
      <errorWord>截止</errorWord>
      <group>L1_Word</group>
      <groupName>字词问题</groupName>
      <ability>L2_Typo</ability>
      <abilityName>字词错误</abilityName>
      <candidateList>
        <item>截至</item>
      </candidateList>
      <explain>存在发音相同字词的误用。</explain>
      <paraID>79A181D1</paraID>
      <start>93</start>
      <end>95</end>
      <status>modified</status>
      <modifiedWord>截至</modifiedWord>
      <trackRevisions>false</trackRevisions>
    </reviewItem>
    <reviewItem>
      <errorID>2c264e44-af98-4557-ae1a-e40da0011ca2</errorID>
      <errorWord>农</errorWord>
      <group>L1_Word</group>
      <groupName>字词问题</groupName>
      <ability>L2_Typo</ability>
      <abilityName>字词错误</abilityName>
      <candidateList>
        <item>农户</item>
      </candidateList>
      <explain/>
      <paraID> D3B74D1</paraID>
      <start>69</start>
      <end>71</end>
      <status>modified</status>
      <modifiedWord>农户</modifiedWord>
      <trackRevisions>false</trackRevisions>
    </reviewItem>
    <reviewItem>
      <errorID>e106d254-8ae9-4787-bfaa-ec79819661dc</errorID>
      <errorWord>农</errorWord>
      <group>L1_Word</group>
      <groupName>字词问题</groupName>
      <ability>L2_Typo</ability>
      <abilityName>字词错误</abilityName>
      <candidateList>
        <item>农户</item>
      </candidateList>
      <explain/>
      <paraID> 3AAB241</paraID>
      <start>79</start>
      <end>81</end>
      <status>modified</status>
      <modifiedWord>农户</modifiedWord>
      <trackRevisions>false</trackRevisions>
    </reviewItem>
    <reviewItem>
      <errorID>7ee95502-f916-4b3f-96bd-4bcd840766ae</errorID>
      <errorWord>，</errorWord>
      <group>L1_Word</group>
      <groupName>字词问题</groupName>
      <ability>L2_Typo</ability>
      <abilityName>字词错误</abilityName>
      <candidateList>
        <item>，在</item>
      </candidateList>
      <explain/>
      <paraID>29862841</paraID>
      <start>78</start>
      <end>80</end>
      <status>modified</status>
      <modifiedWord>，在</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e6c5cf-edf4-448d-9ba8-c5a5a6affde8}">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11</Pages>
  <Words>3462</Words>
  <Characters>3875</Characters>
  <Lines>61</Lines>
  <Paragraphs>17</Paragraphs>
  <TotalTime>73</TotalTime>
  <ScaleCrop>false</ScaleCrop>
  <LinksUpToDate>false</LinksUpToDate>
  <CharactersWithSpaces>3983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奕夕^_^</cp:lastModifiedBy>
  <cp:lastPrinted>2025-08-07T01:34:00Z</cp:lastPrinted>
  <dcterms:modified xsi:type="dcterms:W3CDTF">2026-10-13T08:18:20Z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119E26270E268CC3B699CC6A195EADC3_43</vt:lpwstr>
  </property>
  <property fmtid="{D5CDD505-2E9C-101B-9397-08002B2CF9AE}" pid="4" name="KSOTemplateDocerSaveRecord">
    <vt:lpwstr>eyJoZGlkIjoiNTU1MWNhN2ZmY2ZhZmY3ODhlYTg0MWU5OGMyY2QwZmUiLCJ1c2VySWQiOiI0MzQ2NTM0NzEifQ==</vt:lpwstr>
  </property>
</Properties>
</file>