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1244A4">
      <w:pPr>
        <w:pStyle w:val="7"/>
        <w:jc w:val="both"/>
        <w:rPr>
          <w:rFonts w:ascii="Times New Roman" w:hAnsi="Times New Roman"/>
        </w:rPr>
      </w:pPr>
      <w:bookmarkStart w:id="0" w:name="_Toc15378441"/>
      <w:bookmarkStart w:id="1" w:name="_Toc15396475"/>
      <w:bookmarkStart w:id="2" w:name="_Toc15396597"/>
      <w:bookmarkStart w:id="3" w:name="_Toc15377425"/>
      <w:bookmarkStart w:id="4" w:name="_Toc15377193"/>
      <w:bookmarkStart w:id="5" w:name="_Toc15306267"/>
    </w:p>
    <w:p w14:paraId="4480E00C">
      <w:pPr>
        <w:pStyle w:val="7"/>
        <w:jc w:val="both"/>
        <w:rPr>
          <w:rFonts w:ascii="Times New Roman" w:hAnsi="Times New Roman"/>
        </w:rPr>
      </w:pPr>
    </w:p>
    <w:p w14:paraId="17519DB8">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12BC4A08">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2E4409F9">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4EC1905E">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07C6E0D7">
      <w:pPr>
        <w:pStyle w:val="7"/>
        <w:jc w:val="center"/>
        <w:rPr>
          <w:rFonts w:hint="eastAsia" w:ascii="Times New Roman" w:eastAsia="方正小标宋简体" w:cs="Times New Roman"/>
          <w:color w:val="auto"/>
          <w:kern w:val="2"/>
          <w:sz w:val="44"/>
          <w:szCs w:val="44"/>
          <w:highlight w:val="none"/>
          <w:lang w:val="en-US" w:eastAsia="zh-CN" w:bidi="ar-SA"/>
        </w:rPr>
      </w:pPr>
      <w:bookmarkStart w:id="6" w:name="_Toc15377426"/>
      <w:bookmarkStart w:id="7" w:name="_Toc15396598"/>
      <w:bookmarkStart w:id="8" w:name="_Toc15377194"/>
      <w:bookmarkStart w:id="9" w:name="_Toc15378442"/>
      <w:bookmarkStart w:id="10" w:name="_Toc15396476"/>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松潘县公用事业服务中心</w:t>
      </w:r>
    </w:p>
    <w:p w14:paraId="49389536">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r>
        <w:rPr>
          <w:rFonts w:hint="eastAsia" w:ascii="Times New Roman" w:eastAsia="方正小标宋简体" w:cs="Times New Roman"/>
          <w:color w:val="auto"/>
          <w:kern w:val="2"/>
          <w:sz w:val="44"/>
          <w:szCs w:val="44"/>
          <w:highlight w:val="none"/>
          <w:lang w:val="en-US" w:eastAsia="zh-CN" w:bidi="ar-SA"/>
        </w:rPr>
        <w:t>公开</w:t>
      </w:r>
    </w:p>
    <w:p w14:paraId="568CD56D">
      <w:pPr>
        <w:widowControl/>
        <w:jc w:val="center"/>
        <w:rPr>
          <w:rFonts w:ascii="Times New Roman" w:hAnsi="Times New Roman" w:eastAsia="黑体"/>
          <w:color w:val="auto"/>
          <w:sz w:val="48"/>
          <w:szCs w:val="48"/>
          <w:highlight w:val="none"/>
        </w:rPr>
      </w:pPr>
      <w:r>
        <w:rPr>
          <w:rFonts w:ascii="Times New Roman" w:hAnsi="Times New Roman" w:eastAsia="方正小标宋简体"/>
          <w:color w:val="auto"/>
          <w:sz w:val="36"/>
          <w:szCs w:val="36"/>
          <w:highlight w:val="none"/>
        </w:rPr>
        <w:br w:type="page"/>
      </w:r>
      <w:r>
        <w:rPr>
          <w:rFonts w:hint="eastAsia" w:ascii="Times New Roman" w:hAnsi="Times New Roman" w:eastAsia="黑体"/>
          <w:color w:val="auto"/>
          <w:sz w:val="48"/>
          <w:szCs w:val="48"/>
          <w:highlight w:val="none"/>
        </w:rPr>
        <w:t>目录</w:t>
      </w:r>
    </w:p>
    <w:p w14:paraId="2FAA6710">
      <w:pPr>
        <w:widowControl/>
        <w:jc w:val="center"/>
        <w:rPr>
          <w:rFonts w:ascii="Times New Roman" w:hAnsi="Times New Roman" w:eastAsia="黑体" w:cstheme="minorBidi"/>
          <w:color w:val="auto"/>
          <w:sz w:val="28"/>
          <w:szCs w:val="28"/>
          <w:highlight w:val="none"/>
        </w:rPr>
      </w:pPr>
    </w:p>
    <w:p w14:paraId="4BE57D2A">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14 </w:t>
      </w:r>
      <w:r>
        <w:rPr>
          <w:rFonts w:hint="eastAsia" w:ascii="Times New Roman" w:hAnsi="Times New Roman" w:eastAsia="仿宋_GB2312" w:cs="仿宋_GB2312"/>
          <w:color w:val="auto"/>
          <w:sz w:val="32"/>
          <w:szCs w:val="32"/>
          <w:highlight w:val="none"/>
        </w:rPr>
        <w:t>日</w:t>
      </w:r>
    </w:p>
    <w:p w14:paraId="345CB852">
      <w:pPr>
        <w:rPr>
          <w:rFonts w:ascii="Times New Roman" w:hAnsi="Times New Roman"/>
          <w:color w:val="auto"/>
          <w:highlight w:val="none"/>
        </w:rPr>
      </w:pPr>
    </w:p>
    <w:p w14:paraId="154246F4">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451314D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53D4534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2F4BC0DE">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6978102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04B84FA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6D74C79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196585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6C217F1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6A257FA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46BD99B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31DEF16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03E72FF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11ECD1A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6A0753E9">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24C2C40C">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1B47F31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15D1725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16C3428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7F5E99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46223E9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5D0B7DB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35E8E68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3B7627A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0685CAF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5EC0885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A31963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58CB965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0235E86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43889EE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6F9D3F2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154EDA18">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5CE6A410">
      <w:pPr>
        <w:pStyle w:val="4"/>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42569E27">
      <w:pPr>
        <w:widowControl/>
        <w:jc w:val="left"/>
        <w:rPr>
          <w:rFonts w:ascii="Times New Roman" w:hAnsi="Times New Roman" w:eastAsia="黑体"/>
          <w:color w:val="auto"/>
          <w:sz w:val="32"/>
          <w:szCs w:val="32"/>
          <w:highlight w:val="none"/>
        </w:rPr>
      </w:pPr>
    </w:p>
    <w:p w14:paraId="6455938F">
      <w:pPr>
        <w:pStyle w:val="5"/>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27F2762F">
      <w:pPr>
        <w:pStyle w:val="2"/>
        <w:ind w:left="0" w:leftChars="0" w:firstLine="640" w:firstLineChars="200"/>
        <w:rPr>
          <w:rFonts w:hint="default"/>
          <w:lang w:val="en-US" w:eastAsia="zh-CN"/>
        </w:rPr>
      </w:pPr>
      <w:r>
        <w:rPr>
          <w:rFonts w:hint="eastAsia" w:ascii="仿宋_GB2312" w:hAnsi="仿宋" w:eastAsia="仿宋_GB2312" w:cs="Times New Roman"/>
          <w:kern w:val="2"/>
          <w:sz w:val="32"/>
          <w:szCs w:val="32"/>
          <w:lang w:val="en-US" w:eastAsia="zh-CN" w:bidi="ar-SA"/>
        </w:rPr>
        <w:t>负责城市市容市貌、城市环境卫生监督和管理；负责城市道路破道、负责城市污水、雨水处理；负责城市园林绿化市政设施的建设、维护和管理。</w:t>
      </w:r>
    </w:p>
    <w:p w14:paraId="553CF8D7">
      <w:pPr>
        <w:pStyle w:val="5"/>
        <w:numPr>
          <w:ilvl w:val="0"/>
          <w:numId w:val="1"/>
        </w:numPr>
        <w:ind w:left="0" w:leftChars="0" w:firstLine="0" w:firstLineChars="0"/>
        <w:rPr>
          <w:rStyle w:val="29"/>
          <w:rFonts w:hint="eastAsia" w:ascii="Times New Roman" w:hAnsi="Times New Roman" w:eastAsia="黑体"/>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机</w:t>
      </w:r>
      <w:r>
        <w:rPr>
          <w:rStyle w:val="29"/>
          <w:rFonts w:hint="eastAsia" w:ascii="Times New Roman" w:hAnsi="Times New Roman" w:eastAsia="黑体"/>
          <w:b w:val="0"/>
          <w:bCs w:val="0"/>
          <w:color w:val="auto"/>
          <w:highlight w:val="none"/>
        </w:rPr>
        <w:t>构设置</w:t>
      </w:r>
      <w:bookmarkEnd w:id="14"/>
      <w:bookmarkEnd w:id="15"/>
      <w:bookmarkStart w:id="16" w:name="_Toc15396602"/>
      <w:bookmarkStart w:id="17" w:name="_Toc15377204"/>
    </w:p>
    <w:p w14:paraId="7AC441BF">
      <w:pPr>
        <w:pStyle w:val="5"/>
        <w:numPr>
          <w:ilvl w:val="0"/>
          <w:numId w:val="0"/>
        </w:numPr>
        <w:ind w:leftChars="0" w:firstLine="640" w:firstLineChars="200"/>
        <w:rPr>
          <w:rFonts w:hint="eastAsia" w:ascii="仿宋_GB2312" w:hAnsi="仿宋" w:eastAsia="仿宋_GB2312" w:cs="Times New Roman"/>
          <w:b w:val="0"/>
          <w:bCs w:val="0"/>
          <w:kern w:val="2"/>
          <w:sz w:val="32"/>
          <w:szCs w:val="32"/>
          <w:lang w:val="en-US" w:eastAsia="zh-CN" w:bidi="ar-SA"/>
        </w:rPr>
      </w:pPr>
      <w:r>
        <w:rPr>
          <w:rFonts w:hint="eastAsia" w:ascii="仿宋_GB2312" w:hAnsi="仿宋" w:eastAsia="仿宋_GB2312" w:cs="Times New Roman"/>
          <w:b w:val="0"/>
          <w:bCs w:val="0"/>
          <w:kern w:val="2"/>
          <w:sz w:val="32"/>
          <w:szCs w:val="32"/>
          <w:lang w:val="en-US" w:eastAsia="zh-CN" w:bidi="ar-SA"/>
        </w:rPr>
        <w:t>松潘县公用事业服务中心属于松潘县住房和城乡建设局下属一级公益事业单位，独立编制机构数1个，独立核算机构数1个。</w:t>
      </w:r>
    </w:p>
    <w:p w14:paraId="293E5748">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根据上述职责，县</w:t>
      </w:r>
      <w:r>
        <w:rPr>
          <w:rFonts w:hint="eastAsia" w:ascii="仿宋_GB2312" w:hAnsi="仿宋_GB2312" w:eastAsia="仿宋_GB2312" w:cs="仿宋_GB2312"/>
          <w:sz w:val="32"/>
          <w:szCs w:val="32"/>
          <w:lang w:eastAsia="zh-CN"/>
        </w:rPr>
        <w:t>公用事业服务中心</w:t>
      </w:r>
      <w:r>
        <w:rPr>
          <w:rFonts w:hint="eastAsia" w:ascii="仿宋_GB2312" w:hAnsi="仿宋_GB2312" w:eastAsia="仿宋_GB2312" w:cs="仿宋_GB2312"/>
          <w:sz w:val="32"/>
          <w:szCs w:val="32"/>
        </w:rPr>
        <w:t>设</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个职能股室。</w:t>
      </w:r>
      <w:r>
        <w:rPr>
          <w:rFonts w:ascii="仿宋_GB2312" w:hAnsi="仿宋_GB2312" w:eastAsia="仿宋_GB2312" w:cs="仿宋_GB2312"/>
          <w:sz w:val="32"/>
          <w:szCs w:val="32"/>
        </w:rPr>
        <w:t xml:space="preserve"> </w:t>
      </w:r>
    </w:p>
    <w:p w14:paraId="7B467DC9">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（一）综合办公室</w:t>
      </w:r>
    </w:p>
    <w:p w14:paraId="19F255A0">
      <w:pPr>
        <w:keepNext w:val="0"/>
        <w:keepLines w:val="0"/>
        <w:pageBreakBefore w:val="0"/>
        <w:widowControl w:val="0"/>
        <w:kinsoku/>
        <w:wordWrap/>
        <w:overflowPunct/>
        <w:topLinePunct w:val="0"/>
        <w:autoSpaceDE/>
        <w:autoSpaceDN/>
        <w:bidi w:val="0"/>
        <w:adjustRightInd/>
        <w:snapToGrid/>
        <w:spacing w:line="578" w:lineRule="exact"/>
        <w:ind w:right="0" w:rightChars="0" w:firstLine="640" w:firstLineChars="200"/>
        <w:textAlignment w:val="auto"/>
        <w:rPr>
          <w:rFonts w:hint="eastAsia" w:eastAsia="仿宋_GB2312" w:cs="Times New Roman"/>
          <w:b w:val="0"/>
          <w:bCs/>
          <w:color w:val="auto"/>
          <w:sz w:val="32"/>
          <w:szCs w:val="32"/>
          <w:lang w:val="en-US" w:eastAsia="zh-CN"/>
        </w:rPr>
      </w:pPr>
      <w:r>
        <w:rPr>
          <w:rFonts w:hint="eastAsia" w:ascii="仿宋_GB2312" w:hAnsi="仿宋_GB2312" w:eastAsia="仿宋_GB2312" w:cs="仿宋_GB2312"/>
          <w:color w:val="auto"/>
          <w:sz w:val="32"/>
          <w:szCs w:val="32"/>
          <w:lang w:val="en-US" w:eastAsia="zh-CN"/>
        </w:rPr>
        <w:t>职能职责：</w:t>
      </w:r>
      <w:r>
        <w:rPr>
          <w:rFonts w:hint="default" w:ascii="Times New Roman" w:hAnsi="Times New Roman" w:eastAsia="仿宋_GB2312" w:cs="Times New Roman"/>
          <w:b w:val="0"/>
          <w:bCs/>
          <w:color w:val="auto"/>
          <w:sz w:val="32"/>
          <w:szCs w:val="32"/>
        </w:rPr>
        <w:t>负责</w:t>
      </w:r>
      <w:r>
        <w:rPr>
          <w:rFonts w:hint="eastAsia" w:eastAsia="仿宋_GB2312" w:cs="Times New Roman"/>
          <w:b w:val="0"/>
          <w:bCs/>
          <w:color w:val="auto"/>
          <w:sz w:val="32"/>
          <w:szCs w:val="32"/>
          <w:lang w:val="en-US" w:eastAsia="zh-CN"/>
        </w:rPr>
        <w:t>文电、保密、联络衔接、来信来访、提案议案、会务、资产管理工作；综合管理机关目标督查工作；负责组织实施对职工的平时考核和年度考核；负责机关后勤保障工作</w:t>
      </w:r>
      <w:r>
        <w:rPr>
          <w:rFonts w:hint="default" w:ascii="Times New Roman" w:hAnsi="Times New Roman" w:eastAsia="仿宋_GB2312" w:cs="Times New Roman"/>
          <w:b w:val="0"/>
          <w:bCs/>
          <w:color w:val="auto"/>
          <w:sz w:val="32"/>
          <w:szCs w:val="32"/>
          <w:lang w:eastAsia="zh-CN"/>
        </w:rPr>
        <w:t>；负责拟订全县</w:t>
      </w:r>
      <w:r>
        <w:rPr>
          <w:rFonts w:hint="eastAsia" w:eastAsia="仿宋_GB2312" w:cs="Times New Roman"/>
          <w:color w:val="auto"/>
          <w:sz w:val="32"/>
          <w:szCs w:val="32"/>
          <w:lang w:val="en-US" w:eastAsia="zh-CN"/>
        </w:rPr>
        <w:t>城乡规划、城市管理等领域执法</w:t>
      </w:r>
      <w:r>
        <w:rPr>
          <w:rFonts w:hint="default" w:ascii="Times New Roman" w:hAnsi="Times New Roman" w:eastAsia="仿宋_GB2312" w:cs="Times New Roman"/>
          <w:b w:val="0"/>
          <w:bCs/>
          <w:color w:val="auto"/>
          <w:sz w:val="32"/>
          <w:szCs w:val="32"/>
          <w:lang w:eastAsia="zh-CN"/>
        </w:rPr>
        <w:t>信息、宣传和年度计划并组织实施；归口管理对外信息、宣传报道工作；承担重要文稿起草。</w:t>
      </w:r>
      <w:r>
        <w:rPr>
          <w:rFonts w:hint="eastAsia" w:ascii="Times New Roman" w:hAnsi="Times New Roman" w:eastAsia="仿宋_GB2312" w:cs="Times New Roman"/>
          <w:b w:val="0"/>
          <w:bCs/>
          <w:color w:val="auto"/>
          <w:sz w:val="32"/>
          <w:szCs w:val="32"/>
          <w:lang w:val="en-US" w:eastAsia="zh-CN"/>
        </w:rPr>
        <w:t>负责全局党员党费收缴管理、党员信息采集、整理和统计党员组织关系转接、整理等工作。负责全局党组织建设和</w:t>
      </w:r>
      <w:bookmarkStart w:id="66" w:name="_GoBack"/>
      <w:r>
        <w:rPr>
          <w:rFonts w:hint="eastAsia" w:eastAsia="仿宋_GB2312" w:cs="Times New Roman"/>
          <w:b w:val="0"/>
          <w:bCs/>
          <w:color w:val="auto"/>
          <w:sz w:val="32"/>
          <w:szCs w:val="32"/>
          <w:lang w:val="en-US" w:eastAsia="zh-CN"/>
        </w:rPr>
        <w:t>民主评议党员</w:t>
      </w:r>
      <w:bookmarkEnd w:id="66"/>
      <w:r>
        <w:rPr>
          <w:rFonts w:hint="eastAsia" w:ascii="Times New Roman" w:hAnsi="Times New Roman" w:eastAsia="仿宋_GB2312" w:cs="Times New Roman"/>
          <w:b w:val="0"/>
          <w:bCs/>
          <w:color w:val="auto"/>
          <w:sz w:val="32"/>
          <w:szCs w:val="32"/>
          <w:lang w:val="en-US" w:eastAsia="zh-CN"/>
        </w:rPr>
        <w:t>工作。负责召开党建例会，落实会议通知、材料准备等工作。负责起草党建工作计划、总结。负责党风廉政建设工作。</w:t>
      </w:r>
      <w:r>
        <w:rPr>
          <w:rFonts w:hint="eastAsia" w:eastAsia="仿宋_GB2312" w:cs="Times New Roman"/>
          <w:b w:val="0"/>
          <w:bCs/>
          <w:color w:val="auto"/>
          <w:sz w:val="32"/>
          <w:szCs w:val="32"/>
          <w:lang w:val="en-US" w:eastAsia="zh-CN"/>
        </w:rPr>
        <w:t>完成领导交办的其他任务。</w:t>
      </w:r>
    </w:p>
    <w:p w14:paraId="46E6E96B">
      <w:pPr>
        <w:keepNext w:val="0"/>
        <w:keepLines w:val="0"/>
        <w:pageBreakBefore w:val="0"/>
        <w:widowControl w:val="0"/>
        <w:kinsoku/>
        <w:wordWrap/>
        <w:overflowPunct/>
        <w:topLinePunct w:val="0"/>
        <w:autoSpaceDE/>
        <w:autoSpaceDN/>
        <w:bidi w:val="0"/>
        <w:adjustRightInd/>
        <w:snapToGrid/>
        <w:spacing w:line="578" w:lineRule="exact"/>
        <w:ind w:right="0" w:righ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（二）财务室</w:t>
      </w:r>
    </w:p>
    <w:p w14:paraId="56B751B8">
      <w:pPr>
        <w:keepNext w:val="0"/>
        <w:keepLines w:val="0"/>
        <w:pageBreakBefore w:val="0"/>
        <w:widowControl w:val="0"/>
        <w:kinsoku/>
        <w:wordWrap/>
        <w:overflowPunct/>
        <w:topLinePunct w:val="0"/>
        <w:autoSpaceDE/>
        <w:autoSpaceDN/>
        <w:bidi w:val="0"/>
        <w:adjustRightInd/>
        <w:snapToGrid/>
        <w:spacing w:line="578" w:lineRule="exact"/>
        <w:ind w:right="0" w:rightChars="0" w:firstLine="640" w:firstLineChars="200"/>
        <w:textAlignment w:val="auto"/>
        <w:rPr>
          <w:rFonts w:hint="eastAsia" w:eastAsia="仿宋_GB2312" w:cs="Times New Roman"/>
          <w:b w:val="0"/>
          <w:bCs/>
          <w:color w:val="auto"/>
          <w:sz w:val="32"/>
          <w:szCs w:val="32"/>
          <w:lang w:val="en-US" w:eastAsia="zh-CN"/>
        </w:rPr>
      </w:pPr>
      <w:r>
        <w:rPr>
          <w:rFonts w:hint="eastAsia" w:ascii="Times New Roman" w:hAnsi="Times New Roman" w:eastAsia="仿宋_GB2312" w:cs="Times New Roman"/>
          <w:b w:val="0"/>
          <w:bCs/>
          <w:color w:val="auto"/>
          <w:sz w:val="32"/>
          <w:szCs w:val="32"/>
          <w:lang w:val="en-US" w:eastAsia="zh-CN"/>
        </w:rPr>
        <w:t>职能职责：</w:t>
      </w:r>
      <w:r>
        <w:rPr>
          <w:rFonts w:hint="default" w:ascii="Times New Roman" w:hAnsi="Times New Roman" w:eastAsia="仿宋_GB2312" w:cs="Times New Roman"/>
          <w:b w:val="0"/>
          <w:bCs/>
          <w:color w:val="auto"/>
          <w:sz w:val="32"/>
          <w:szCs w:val="32"/>
          <w:lang w:eastAsia="zh-CN"/>
        </w:rPr>
        <w:t>负责机关经费、财政预决算以及固定资产管理；负责</w:t>
      </w:r>
      <w:r>
        <w:rPr>
          <w:rFonts w:hint="eastAsia" w:eastAsia="仿宋_GB2312" w:cs="Times New Roman"/>
          <w:b w:val="0"/>
          <w:bCs/>
          <w:color w:val="auto"/>
          <w:sz w:val="32"/>
          <w:szCs w:val="32"/>
          <w:lang w:val="en-US" w:eastAsia="zh-CN"/>
        </w:rPr>
        <w:t>机关</w:t>
      </w:r>
      <w:r>
        <w:rPr>
          <w:rFonts w:hint="default" w:ascii="Times New Roman" w:hAnsi="Times New Roman" w:eastAsia="仿宋_GB2312" w:cs="Times New Roman"/>
          <w:b w:val="0"/>
          <w:bCs/>
          <w:color w:val="auto"/>
          <w:sz w:val="32"/>
          <w:szCs w:val="32"/>
          <w:lang w:eastAsia="zh-CN"/>
        </w:rPr>
        <w:t>内经费安排和调剂工作；负责</w:t>
      </w:r>
      <w:r>
        <w:rPr>
          <w:rFonts w:hint="eastAsia" w:eastAsia="仿宋_GB2312" w:cs="Times New Roman"/>
          <w:b w:val="0"/>
          <w:bCs/>
          <w:color w:val="auto"/>
          <w:sz w:val="32"/>
          <w:szCs w:val="32"/>
          <w:lang w:val="en-US" w:eastAsia="zh-CN"/>
        </w:rPr>
        <w:t>机关</w:t>
      </w:r>
      <w:r>
        <w:rPr>
          <w:rFonts w:hint="default" w:ascii="Times New Roman" w:hAnsi="Times New Roman" w:eastAsia="仿宋_GB2312" w:cs="Times New Roman"/>
          <w:b w:val="0"/>
          <w:bCs/>
          <w:color w:val="auto"/>
          <w:sz w:val="32"/>
          <w:szCs w:val="32"/>
          <w:lang w:eastAsia="zh-CN"/>
        </w:rPr>
        <w:t>内依法征收的各种费用的监督和管理；负责对单位资金运转责任内部审计、统计工作；负责对离退休人员的服务管理工作。</w:t>
      </w:r>
      <w:r>
        <w:rPr>
          <w:rFonts w:hint="eastAsia" w:eastAsia="仿宋_GB2312" w:cs="Times New Roman"/>
          <w:b w:val="0"/>
          <w:bCs/>
          <w:color w:val="auto"/>
          <w:sz w:val="32"/>
          <w:szCs w:val="32"/>
          <w:lang w:val="en-US" w:eastAsia="zh-CN"/>
        </w:rPr>
        <w:t>完成领导交办的其他任务。</w:t>
      </w:r>
    </w:p>
    <w:p w14:paraId="3E02FF70">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right="0" w:righ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（三）环卫绿化股</w:t>
      </w:r>
    </w:p>
    <w:p w14:paraId="60CFAF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eastAsia="仿宋_GB2312" w:cs="Times New Roman"/>
          <w:b w:val="0"/>
          <w:bCs/>
          <w:color w:val="auto"/>
          <w:sz w:val="32"/>
          <w:szCs w:val="32"/>
          <w:lang w:val="en-US" w:eastAsia="zh-CN"/>
        </w:rPr>
        <w:t>职能职责：</w:t>
      </w:r>
      <w:r>
        <w:rPr>
          <w:rFonts w:hint="eastAsia" w:ascii="仿宋_GB2312" w:hAnsi="仿宋_GB2312" w:eastAsia="仿宋_GB2312" w:cs="仿宋_GB2312"/>
          <w:sz w:val="32"/>
          <w:szCs w:val="32"/>
          <w:lang w:eastAsia="zh-CN"/>
        </w:rPr>
        <w:t>负责督促环卫公司开展清扫保洁、垃圾清运、河道管理、公厕管理、绿化管理；负责监管环卫公司对第一、第二垃圾填埋场运行管理、餐厨垃圾处理站（简称：两场一站）的运行管理及巡查和考核</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按照考核结果拨付服务费。</w:t>
      </w:r>
      <w:r>
        <w:rPr>
          <w:rFonts w:hint="eastAsia" w:ascii="仿宋_GB2312" w:hAnsi="仿宋_GB2312" w:eastAsia="仿宋_GB2312" w:cs="仿宋_GB2312"/>
          <w:sz w:val="32"/>
          <w:szCs w:val="32"/>
        </w:rPr>
        <w:t>完成领导交办的其他工作</w:t>
      </w:r>
      <w:r>
        <w:rPr>
          <w:rFonts w:hint="eastAsia" w:ascii="仿宋_GB2312" w:hAnsi="仿宋_GB2312" w:eastAsia="仿宋_GB2312" w:cs="仿宋_GB2312"/>
          <w:sz w:val="32"/>
          <w:szCs w:val="32"/>
          <w:lang w:eastAsia="zh-CN"/>
        </w:rPr>
        <w:t>。</w:t>
      </w:r>
    </w:p>
    <w:p w14:paraId="647384F6">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right="0" w:rightChars="0" w:firstLine="643" w:firstLineChars="200"/>
        <w:textAlignment w:val="auto"/>
        <w:rPr>
          <w:rFonts w:hint="eastAsia" w:eastAsia="仿宋_GB2312" w:cs="Times New Roman"/>
          <w:b w:val="0"/>
          <w:bCs/>
          <w:color w:val="auto"/>
          <w:sz w:val="32"/>
          <w:szCs w:val="32"/>
          <w:lang w:val="en-US" w:eastAsia="zh-CN"/>
        </w:rPr>
      </w:pPr>
      <w:r>
        <w:rPr>
          <w:rFonts w:hint="eastAsia" w:eastAsia="仿宋_GB2312" w:cs="Times New Roman"/>
          <w:b/>
          <w:bCs w:val="0"/>
          <w:color w:val="auto"/>
          <w:sz w:val="32"/>
          <w:szCs w:val="32"/>
          <w:lang w:val="en-US" w:eastAsia="zh-CN"/>
        </w:rPr>
        <w:t>（四）市政管理股</w:t>
      </w:r>
      <w:r>
        <w:rPr>
          <w:rFonts w:hint="eastAsia" w:eastAsia="仿宋_GB2312" w:cs="Times New Roman"/>
          <w:b w:val="0"/>
          <w:bCs/>
          <w:color w:val="auto"/>
          <w:sz w:val="32"/>
          <w:szCs w:val="32"/>
          <w:lang w:val="en-US" w:eastAsia="zh-CN"/>
        </w:rPr>
        <w:t xml:space="preserve"> </w:t>
      </w:r>
    </w:p>
    <w:p w14:paraId="48C94F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eastAsia="仿宋_GB2312" w:cs="Times New Roman"/>
          <w:b w:val="0"/>
          <w:bCs/>
          <w:color w:val="auto"/>
          <w:sz w:val="32"/>
          <w:szCs w:val="32"/>
          <w:lang w:val="en-US" w:eastAsia="zh-CN"/>
        </w:rPr>
        <w:t>职能职责：负责编制年度管理、养护、维修计划；负责对</w:t>
      </w:r>
      <w:r>
        <w:rPr>
          <w:rFonts w:hint="eastAsia" w:ascii="仿宋_GB2312" w:hAnsi="仿宋_GB2312" w:eastAsia="仿宋_GB2312" w:cs="仿宋_GB2312"/>
          <w:sz w:val="32"/>
          <w:szCs w:val="32"/>
          <w:lang w:eastAsia="zh-CN"/>
        </w:rPr>
        <w:t>市政设施的</w:t>
      </w:r>
      <w:r>
        <w:rPr>
          <w:rFonts w:hint="eastAsia" w:ascii="仿宋_GB2312" w:hAnsi="仿宋_GB2312" w:eastAsia="仿宋_GB2312" w:cs="仿宋_GB2312"/>
          <w:sz w:val="32"/>
          <w:szCs w:val="32"/>
        </w:rPr>
        <w:t>巡查</w:t>
      </w:r>
      <w:r>
        <w:rPr>
          <w:rFonts w:hint="eastAsia" w:ascii="仿宋_GB2312" w:hAnsi="仿宋_GB2312" w:eastAsia="仿宋_GB2312" w:cs="仿宋_GB2312"/>
          <w:sz w:val="32"/>
          <w:szCs w:val="32"/>
          <w:lang w:eastAsia="zh-CN"/>
        </w:rPr>
        <w:t>；负责对路灯、市政道路等市政设施进行维护和管理。</w:t>
      </w:r>
      <w:r>
        <w:rPr>
          <w:rFonts w:hint="eastAsia" w:ascii="仿宋_GB2312" w:hAnsi="仿宋_GB2312" w:eastAsia="仿宋_GB2312" w:cs="仿宋_GB2312"/>
          <w:sz w:val="32"/>
          <w:szCs w:val="32"/>
        </w:rPr>
        <w:t>完成领导交办的其他工作</w:t>
      </w:r>
      <w:r>
        <w:rPr>
          <w:rFonts w:hint="eastAsia" w:ascii="仿宋_GB2312" w:hAnsi="仿宋_GB2312" w:eastAsia="仿宋_GB2312" w:cs="仿宋_GB2312"/>
          <w:sz w:val="32"/>
          <w:szCs w:val="32"/>
          <w:lang w:eastAsia="zh-CN"/>
        </w:rPr>
        <w:t>。</w:t>
      </w:r>
    </w:p>
    <w:p w14:paraId="09FE62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eastAsia="仿宋_GB2312" w:cs="Times New Roman"/>
          <w:b w:val="0"/>
          <w:bCs/>
          <w:color w:val="auto"/>
          <w:sz w:val="32"/>
          <w:szCs w:val="32"/>
          <w:lang w:val="en-US" w:eastAsia="zh-CN"/>
        </w:rPr>
      </w:pPr>
      <w:r>
        <w:rPr>
          <w:rFonts w:hint="eastAsia" w:ascii="仿宋_GB2312" w:hAnsi="仿宋_GB2312" w:eastAsia="仿宋_GB2312" w:cs="仿宋_GB2312"/>
          <w:b/>
          <w:bCs/>
          <w:sz w:val="32"/>
          <w:szCs w:val="32"/>
          <w:lang w:eastAsia="zh-CN"/>
        </w:rPr>
        <w:t>（五）城乡环境综合治理服务中心</w:t>
      </w:r>
    </w:p>
    <w:p w14:paraId="19A6619B">
      <w:pPr>
        <w:ind w:firstLine="640" w:firstLineChars="200"/>
        <w:rPr>
          <w:rFonts w:ascii="仿宋_GB2312" w:hAnsi="仿宋_GB2312" w:eastAsia="仿宋_GB2312" w:cs="仿宋_GB2312"/>
          <w:sz w:val="32"/>
          <w:szCs w:val="32"/>
        </w:rPr>
      </w:pPr>
      <w:r>
        <w:rPr>
          <w:rFonts w:hint="eastAsia" w:eastAsia="仿宋_GB2312" w:cs="Times New Roman"/>
          <w:b w:val="0"/>
          <w:bCs/>
          <w:color w:val="auto"/>
          <w:sz w:val="32"/>
          <w:szCs w:val="32"/>
          <w:lang w:val="en-US" w:eastAsia="zh-CN"/>
        </w:rPr>
        <w:t>职能职责：负责贯彻执行省、州、县有关城乡环境综合治理的方针、政策和法规。负责全县城乡环境综合治理专项工作的组织实施。负责制定全县城乡环境综合治理规划、年度工作计划和城乡环境综合治理标准，开展城乡环境综合治理调查研究并提出政策建议。负责组织开展全县城乡环境综合治理示范创建工作。负责督促检查全县城乡环境综合治理工作，组织考核和评价。负责全县完善城乡环境综合治理制度建设、宣传教育工作。负责指导协调全县城乡环境综合治理相关工作。负责组织每月城乡环境周巡查、月督查工作。负责每月全县环境卫生大扫除部署工作。</w:t>
      </w:r>
      <w:r>
        <w:rPr>
          <w:rFonts w:hint="eastAsia" w:ascii="仿宋_GB2312" w:hAnsi="仿宋_GB2312" w:eastAsia="仿宋_GB2312" w:cs="仿宋_GB2312"/>
          <w:sz w:val="32"/>
          <w:szCs w:val="32"/>
        </w:rPr>
        <w:t>完成领导交办的其他工作</w:t>
      </w:r>
      <w:r>
        <w:rPr>
          <w:rFonts w:hint="eastAsia" w:ascii="仿宋_GB2312" w:hAnsi="仿宋_GB2312" w:eastAsia="仿宋_GB2312" w:cs="仿宋_GB2312"/>
          <w:sz w:val="32"/>
          <w:szCs w:val="32"/>
          <w:lang w:eastAsia="zh-CN"/>
        </w:rPr>
        <w:t>。</w:t>
      </w:r>
    </w:p>
    <w:p w14:paraId="088E812B">
      <w:pPr>
        <w:rPr>
          <w:rFonts w:hint="eastAsia"/>
          <w:lang w:val="en-US" w:eastAsia="zh-CN"/>
        </w:rPr>
      </w:pPr>
    </w:p>
    <w:p w14:paraId="3ACFFA7D">
      <w:pPr>
        <w:pStyle w:val="4"/>
        <w:ind w:firstLine="420" w:firstLineChars="0"/>
        <w:jc w:val="both"/>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6"/>
      <w:bookmarkEnd w:id="17"/>
    </w:p>
    <w:p w14:paraId="0B46BCFA">
      <w:pPr>
        <w:rPr>
          <w:rFonts w:ascii="Times New Roman" w:hAnsi="Times New Roman"/>
          <w:color w:val="auto"/>
          <w:highlight w:val="none"/>
        </w:rPr>
      </w:pPr>
    </w:p>
    <w:p w14:paraId="4F8C2CE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p>
    <w:p w14:paraId="24E22B0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2186.1</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59.16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2.71</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kern w:val="2"/>
          <w:sz w:val="32"/>
          <w:szCs w:val="32"/>
          <w:highlight w:val="none"/>
          <w:lang w:val="en-US" w:eastAsia="zh-CN" w:bidi="ar-SA"/>
        </w:rPr>
        <w:t>人员变动</w:t>
      </w:r>
      <w:r>
        <w:rPr>
          <w:rFonts w:hint="eastAsia" w:eastAsia="仿宋_GB2312" w:cs="仿宋_GB2312"/>
          <w:color w:val="auto"/>
          <w:sz w:val="32"/>
          <w:szCs w:val="32"/>
          <w:highlight w:val="none"/>
          <w:lang w:eastAsia="zh-CN"/>
        </w:rPr>
        <w:t>职能职责增加。</w:t>
      </w:r>
    </w:p>
    <w:p w14:paraId="0EC4119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52C0C00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lang w:val="en-US" w:eastAsia="zh-CN"/>
        </w:rPr>
        <w:t>2186.1</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2186.1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万元，占0%；国有资本经营预算财政拨款收入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27B6789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p>
    <w:p w14:paraId="6603444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lang w:val="en-US" w:eastAsia="zh-CN"/>
        </w:rPr>
        <w:t>2186.1</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342.11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15.65</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lang w:val="en-US" w:eastAsia="zh-CN"/>
        </w:rPr>
        <w:t>1844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.35</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781E6201">
      <w:pPr>
        <w:spacing w:line="600" w:lineRule="exact"/>
        <w:ind w:firstLine="640" w:firstLineChars="200"/>
        <w:outlineLvl w:val="1"/>
        <w:rPr>
          <w:rStyle w:val="29"/>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4"/>
      <w:bookmarkEnd w:id="25"/>
    </w:p>
    <w:p w14:paraId="7F7FD51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lang w:val="en-US" w:eastAsia="zh-CN"/>
        </w:rPr>
        <w:t>2186.1</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年度相比，财政拨款收入总计、支出总计各增加</w:t>
      </w:r>
      <w:r>
        <w:rPr>
          <w:rFonts w:hint="eastAsia" w:eastAsia="仿宋_GB2312" w:cs="仿宋_GB2312"/>
          <w:color w:val="auto"/>
          <w:kern w:val="2"/>
          <w:sz w:val="32"/>
          <w:szCs w:val="32"/>
          <w:highlight w:val="none"/>
          <w:lang w:val="en-US" w:eastAsia="zh-CN" w:bidi="ar-SA"/>
        </w:rPr>
        <w:t>59.16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sz w:val="32"/>
          <w:szCs w:val="32"/>
          <w:highlight w:val="none"/>
          <w:lang w:val="en-US" w:eastAsia="zh-CN"/>
        </w:rPr>
        <w:t>2.71</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人员变动</w:t>
      </w:r>
      <w:r>
        <w:rPr>
          <w:rFonts w:hint="eastAsia" w:eastAsia="仿宋_GB2312" w:cs="仿宋_GB2312"/>
          <w:color w:val="auto"/>
          <w:sz w:val="32"/>
          <w:szCs w:val="32"/>
          <w:highlight w:val="none"/>
          <w:lang w:eastAsia="zh-CN"/>
        </w:rPr>
        <w:t>职能职责增加。</w:t>
      </w:r>
    </w:p>
    <w:p w14:paraId="52B5C669">
      <w:pPr>
        <w:spacing w:line="600" w:lineRule="exact"/>
        <w:ind w:firstLine="640" w:firstLineChars="200"/>
        <w:outlineLvl w:val="1"/>
        <w:rPr>
          <w:rStyle w:val="29"/>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6"/>
      <w:bookmarkEnd w:id="27"/>
    </w:p>
    <w:p w14:paraId="4A8DD90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053299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2186.1</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w:t>
      </w:r>
      <w:r>
        <w:rPr>
          <w:rFonts w:hint="eastAsia" w:eastAsia="仿宋_GB2312" w:cs="仿宋_GB2312"/>
          <w:color w:val="auto"/>
          <w:kern w:val="2"/>
          <w:sz w:val="32"/>
          <w:szCs w:val="32"/>
          <w:highlight w:val="none"/>
          <w:lang w:val="en-US" w:eastAsia="zh-CN" w:bidi="ar-SA"/>
        </w:rPr>
        <w:t>59.16</w:t>
      </w:r>
      <w:r>
        <w:rPr>
          <w:rFonts w:hint="eastAsia" w:ascii="仿宋_GB2312" w:hAnsi="仿宋_GB2312" w:eastAsia="仿宋_GB2312" w:cs="仿宋_GB2312"/>
          <w:color w:val="auto"/>
          <w:kern w:val="2"/>
          <w:sz w:val="32"/>
          <w:szCs w:val="32"/>
          <w:highlight w:val="none"/>
          <w:lang w:val="en-US" w:eastAsia="zh-CN" w:bidi="ar-SA"/>
        </w:rPr>
        <w:t>万元，增长</w:t>
      </w:r>
      <w:r>
        <w:rPr>
          <w:rFonts w:hint="eastAsia" w:eastAsia="仿宋_GB2312" w:cs="仿宋_GB2312"/>
          <w:color w:val="auto"/>
          <w:sz w:val="32"/>
          <w:szCs w:val="32"/>
          <w:highlight w:val="none"/>
          <w:lang w:val="en-US" w:eastAsia="zh-CN"/>
        </w:rPr>
        <w:t>2.71</w:t>
      </w:r>
      <w:r>
        <w:rPr>
          <w:rFonts w:hint="eastAsia" w:ascii="Times New Roman" w:hAnsi="Times New Roman" w:eastAsia="仿宋_GB2312" w:cs="仿宋_GB2312"/>
          <w:color w:val="auto"/>
          <w:sz w:val="32"/>
          <w:szCs w:val="32"/>
          <w:highlight w:val="none"/>
        </w:rPr>
        <w:t>%</w:t>
      </w:r>
      <w:r>
        <w:rPr>
          <w:rFonts w:hint="eastAsia" w:ascii="仿宋_GB2312" w:hAnsi="仿宋_GB2312"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人员变动</w:t>
      </w:r>
      <w:r>
        <w:rPr>
          <w:rFonts w:hint="eastAsia" w:eastAsia="仿宋_GB2312" w:cs="仿宋_GB2312"/>
          <w:color w:val="auto"/>
          <w:sz w:val="32"/>
          <w:szCs w:val="32"/>
          <w:highlight w:val="none"/>
          <w:lang w:eastAsia="zh-CN"/>
        </w:rPr>
        <w:t>职能职责增加</w:t>
      </w:r>
    </w:p>
    <w:p w14:paraId="7D28E44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583F31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lang w:val="en-US" w:eastAsia="zh-CN"/>
        </w:rPr>
        <w:t>2186.1</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农林水</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16.46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0.75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城乡社区支出2092.59万元，占95.72%；节能环保支出0万元，占0%；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42.32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1.94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14.37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0.66</w:t>
      </w:r>
      <w:r>
        <w:rPr>
          <w:rFonts w:hint="eastAsia" w:ascii="Times New Roman" w:hAnsi="Times New Roman" w:eastAsia="仿宋_GB2312" w:cs="仿宋_GB2312"/>
          <w:color w:val="auto"/>
          <w:kern w:val="2"/>
          <w:sz w:val="32"/>
          <w:szCs w:val="32"/>
          <w:highlight w:val="none"/>
          <w:lang w:val="en-US" w:eastAsia="zh-CN" w:bidi="ar-SA"/>
        </w:rPr>
        <w:t>%；住房保障</w:t>
      </w:r>
      <w:r>
        <w:rPr>
          <w:rFonts w:hint="eastAsia" w:eastAsia="仿宋_GB2312" w:cs="仿宋_GB2312"/>
          <w:color w:val="auto"/>
          <w:kern w:val="2"/>
          <w:sz w:val="32"/>
          <w:szCs w:val="32"/>
          <w:highlight w:val="none"/>
          <w:lang w:val="en-US" w:eastAsia="zh-CN" w:bidi="ar-SA"/>
        </w:rPr>
        <w:t>支出20.36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0.93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1ADA19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0EA71B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8460"/>
      <w:bookmarkStart w:id="32" w:name="_Toc15377444"/>
      <w:bookmarkStart w:id="33" w:name="_Toc15377213"/>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rPr>
        <w:t>2126.94</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15DB732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1.社会保障和就业</w:t>
      </w:r>
    </w:p>
    <w:p w14:paraId="0EDDC88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机关事业单位基本养老保险缴费支出（类）208（款）05（项）05：支出决算为25.32万元，完成预算100%。</w:t>
      </w:r>
    </w:p>
    <w:p w14:paraId="6533637C">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机关事业单位职业年金缴费支出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1F96528">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卫生健康</w:t>
      </w:r>
    </w:p>
    <w:p w14:paraId="31EEC32D">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事业单位医疗210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12.02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97BCB48">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其他行政事业单位医疗支出210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2.35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900C4AF">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3.城乡社区支出</w:t>
      </w:r>
    </w:p>
    <w:p w14:paraId="11161391">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机关服务</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212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436.94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E8A160B">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城乡社区环境卫生</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212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528.67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B8CE1D1">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其他城乡社区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212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1126.99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5604975">
      <w:pPr>
        <w:pStyle w:val="2"/>
        <w:rPr>
          <w:rFonts w:hint="eastAsia"/>
          <w:lang w:val="en-US" w:eastAsia="zh-CN"/>
        </w:rPr>
      </w:pPr>
    </w:p>
    <w:p w14:paraId="0C88E212">
      <w:pPr>
        <w:numPr>
          <w:ilvl w:val="0"/>
          <w:numId w:val="0"/>
        </w:numPr>
        <w:spacing w:line="600" w:lineRule="exact"/>
        <w:ind w:firstLine="640" w:firstLineChars="200"/>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4.农林水支出</w:t>
      </w:r>
    </w:p>
    <w:p w14:paraId="32B19B6E">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其他农业农村</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213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 支出决算为</w:t>
      </w:r>
      <w:r>
        <w:rPr>
          <w:rFonts w:hint="eastAsia" w:eastAsia="仿宋_GB2312" w:cs="仿宋_GB2312"/>
          <w:color w:val="auto"/>
          <w:kern w:val="2"/>
          <w:sz w:val="32"/>
          <w:szCs w:val="32"/>
          <w:highlight w:val="none"/>
          <w:lang w:val="en-US" w:eastAsia="zh-CN" w:bidi="ar-SA"/>
        </w:rPr>
        <w:t>16.46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DE72577">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5.住房保障支出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 支出决算为</w:t>
      </w:r>
      <w:r>
        <w:rPr>
          <w:rFonts w:hint="eastAsia" w:eastAsia="仿宋_GB2312" w:cs="仿宋_GB2312"/>
          <w:color w:val="auto"/>
          <w:kern w:val="2"/>
          <w:sz w:val="32"/>
          <w:szCs w:val="32"/>
          <w:highlight w:val="none"/>
          <w:lang w:val="en-US" w:eastAsia="zh-CN" w:bidi="ar-SA"/>
        </w:rPr>
        <w:t>20.36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20A378F">
      <w:pPr>
        <w:pStyle w:val="13"/>
        <w:rPr>
          <w:rFonts w:hint="eastAsia"/>
          <w:lang w:val="en-US" w:eastAsia="zh-CN"/>
        </w:rPr>
      </w:pPr>
    </w:p>
    <w:p w14:paraId="34A62C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37676371">
      <w:pPr>
        <w:tabs>
          <w:tab w:val="right" w:pos="8306"/>
        </w:tabs>
        <w:spacing w:line="600" w:lineRule="exact"/>
        <w:ind w:firstLine="640"/>
        <w:outlineLvl w:val="1"/>
        <w:rPr>
          <w:rStyle w:val="29"/>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4"/>
      <w:bookmarkEnd w:id="35"/>
      <w:r>
        <w:rPr>
          <w:rStyle w:val="29"/>
          <w:rFonts w:ascii="Times New Roman" w:hAnsi="Times New Roman" w:eastAsia="黑体"/>
          <w:b w:val="0"/>
          <w:color w:val="auto"/>
          <w:highlight w:val="none"/>
        </w:rPr>
        <w:tab/>
      </w:r>
    </w:p>
    <w:p w14:paraId="78783B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lang w:val="en-US" w:eastAsia="zh-CN"/>
        </w:rPr>
        <w:t>342.11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331AB9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325.74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16.37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7D0D7DB">
      <w:pPr>
        <w:spacing w:line="600" w:lineRule="exact"/>
        <w:ind w:firstLine="640"/>
        <w:outlineLvl w:val="1"/>
        <w:rPr>
          <w:rStyle w:val="29"/>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6"/>
      <w:bookmarkEnd w:id="37"/>
    </w:p>
    <w:p w14:paraId="049D107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8"/>
    </w:p>
    <w:p w14:paraId="32BD2D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lang w:val="en-US" w:eastAsia="zh-CN"/>
        </w:rPr>
        <w:t>8.49</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减少34.89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减少410.95</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eastAsia="仿宋_GB2312" w:cs="仿宋_GB2312"/>
          <w:color w:val="auto"/>
          <w:kern w:val="2"/>
          <w:sz w:val="32"/>
          <w:szCs w:val="32"/>
          <w:highlight w:val="none"/>
          <w:lang w:val="en-US" w:eastAsia="zh-CN" w:bidi="ar-SA"/>
        </w:rPr>
        <w:t>职能职权增加并购置了公务用车。</w:t>
      </w:r>
    </w:p>
    <w:p w14:paraId="1EFE113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9"/>
    </w:p>
    <w:p w14:paraId="1353AFC5">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lang w:val="en-US" w:eastAsia="zh-CN"/>
        </w:rPr>
        <w:t>8.49</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670704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未产生</w:t>
      </w:r>
      <w:r>
        <w:rPr>
          <w:rFonts w:hint="eastAsia" w:ascii="Times New Roman" w:hAnsi="Times New Roman" w:eastAsia="仿宋_GB2312" w:cs="仿宋_GB2312"/>
          <w:color w:val="auto"/>
          <w:kern w:val="2"/>
          <w:sz w:val="32"/>
          <w:szCs w:val="32"/>
          <w:highlight w:val="none"/>
          <w:lang w:val="en-US" w:eastAsia="zh-CN" w:bidi="ar-SA"/>
        </w:rPr>
        <w:t>因公出国（境）经费支出</w:t>
      </w:r>
      <w:r>
        <w:rPr>
          <w:rFonts w:hint="eastAsia" w:eastAsia="仿宋_GB2312" w:cs="仿宋_GB2312"/>
          <w:color w:val="auto"/>
          <w:kern w:val="2"/>
          <w:sz w:val="32"/>
          <w:szCs w:val="32"/>
          <w:highlight w:val="none"/>
          <w:lang w:val="en-US" w:eastAsia="zh-CN" w:bidi="ar-SA"/>
        </w:rPr>
        <w:t>。</w:t>
      </w:r>
    </w:p>
    <w:p w14:paraId="0CEF3D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8.49万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减少34.89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减少410.95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职能职权增加并购置了公务用车。</w:t>
      </w:r>
    </w:p>
    <w:p w14:paraId="6FA75D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3.4</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。购买车辆保险</w:t>
      </w:r>
      <w:r>
        <w:rPr>
          <w:rFonts w:hint="eastAsia" w:ascii="Times New Roman" w:hAnsi="Times New Roman" w:eastAsia="仿宋_GB2312" w:cs="仿宋_GB2312"/>
          <w:color w:val="auto"/>
          <w:kern w:val="2"/>
          <w:sz w:val="32"/>
          <w:szCs w:val="32"/>
          <w:highlight w:val="none"/>
          <w:lang w:val="en-US" w:eastAsia="zh-CN" w:bidi="ar-SA"/>
        </w:rPr>
        <w:t>金额</w:t>
      </w:r>
      <w:r>
        <w:rPr>
          <w:rFonts w:hint="eastAsia" w:eastAsia="仿宋_GB2312" w:cs="仿宋_GB2312"/>
          <w:color w:val="auto"/>
          <w:kern w:val="2"/>
          <w:sz w:val="32"/>
          <w:szCs w:val="32"/>
          <w:highlight w:val="none"/>
          <w:lang w:val="en-US" w:eastAsia="zh-CN" w:bidi="ar-SA"/>
        </w:rPr>
        <w:t>3.4</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日常公务用车和城乡环境卫生下乡</w:t>
      </w:r>
      <w:r>
        <w:rPr>
          <w:rFonts w:hint="eastAsia" w:ascii="Times New Roman" w:hAnsi="Times New Roman" w:eastAsia="仿宋_GB2312" w:cs="仿宋_GB2312"/>
          <w:color w:val="auto"/>
          <w:kern w:val="2"/>
          <w:sz w:val="32"/>
          <w:szCs w:val="32"/>
          <w:highlight w:val="none"/>
          <w:lang w:val="en-US" w:eastAsia="zh-CN" w:bidi="ar-SA"/>
        </w:rPr>
        <w:t>。截至2024年12月31日，单位共有公务用车</w:t>
      </w: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6B6B13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5.1</w:t>
      </w:r>
      <w:r>
        <w:rPr>
          <w:rFonts w:hint="eastAsia" w:ascii="Times New Roman" w:hAnsi="Times New Roman" w:eastAsia="仿宋_GB2312" w:cs="仿宋_GB2312"/>
          <w:color w:val="auto"/>
          <w:kern w:val="2"/>
          <w:sz w:val="32"/>
          <w:szCs w:val="32"/>
          <w:highlight w:val="none"/>
          <w:lang w:val="en-US" w:eastAsia="zh-CN" w:bidi="ar-SA"/>
        </w:rPr>
        <w:t>万元。主要用于公务用车燃料费、维修费、过路过桥费等支出。</w:t>
      </w:r>
    </w:p>
    <w:p w14:paraId="32CF436F">
      <w:pPr>
        <w:numPr>
          <w:ilvl w:val="0"/>
          <w:numId w:val="2"/>
        </w:numPr>
        <w:spacing w:line="600" w:lineRule="exact"/>
        <w:ind w:left="1152" w:leftChars="0" w:hanging="48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CDF1386">
      <w:pPr>
        <w:numPr>
          <w:ilvl w:val="0"/>
          <w:numId w:val="2"/>
        </w:numPr>
        <w:spacing w:line="600" w:lineRule="exact"/>
        <w:ind w:left="1152" w:leftChars="0" w:hanging="48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w:t>
      </w:r>
    </w:p>
    <w:p w14:paraId="641EC3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40" w:name="_Toc15396610"/>
      <w:bookmarkStart w:id="41" w:name="_Toc15377218"/>
    </w:p>
    <w:p w14:paraId="390B17B8">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0"/>
      <w:bookmarkEnd w:id="41"/>
    </w:p>
    <w:p w14:paraId="079A26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F6439D5">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2" w:name="_Toc15396611"/>
      <w:bookmarkStart w:id="43"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2"/>
      <w:bookmarkEnd w:id="43"/>
    </w:p>
    <w:p w14:paraId="3B1FDB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1FDA658">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4" w:name="_Toc15396612"/>
      <w:bookmarkStart w:id="45"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4"/>
      <w:bookmarkEnd w:id="45"/>
    </w:p>
    <w:p w14:paraId="6B1966D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381713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松潘县公用事业服务中心</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C64A7A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673E46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松潘县公用事业服务中心</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万元。主要用于城乡环境设备。授予中小企业合同金额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w:t>
      </w:r>
    </w:p>
    <w:p w14:paraId="5A7BA71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4F2CEF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松潘县公用事业服务中心</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4C63BB32">
      <w:pPr>
        <w:numPr>
          <w:ilvl w:val="0"/>
          <w:numId w:val="0"/>
        </w:numPr>
        <w:spacing w:line="600" w:lineRule="exact"/>
        <w:jc w:val="both"/>
        <w:outlineLvl w:val="0"/>
        <w:rPr>
          <w:rFonts w:hint="eastAsia" w:ascii="Times New Roman" w:hAnsi="Times New Roman" w:eastAsia="黑体"/>
          <w:color w:val="auto"/>
          <w:sz w:val="44"/>
          <w:szCs w:val="44"/>
          <w:highlight w:val="none"/>
        </w:rPr>
      </w:pPr>
      <w:bookmarkStart w:id="49" w:name="_Toc15377225"/>
      <w:bookmarkStart w:id="50" w:name="_Toc15396613"/>
    </w:p>
    <w:p w14:paraId="4F2DF92D">
      <w:pPr>
        <w:numPr>
          <w:ilvl w:val="0"/>
          <w:numId w:val="0"/>
        </w:numPr>
        <w:spacing w:line="600" w:lineRule="exact"/>
        <w:ind w:firstLine="2200" w:firstLineChars="500"/>
        <w:jc w:val="both"/>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1E013ABF">
      <w:pPr>
        <w:spacing w:line="600" w:lineRule="exact"/>
        <w:jc w:val="left"/>
        <w:rPr>
          <w:rFonts w:ascii="Times New Roman" w:hAnsi="Times New Roman"/>
          <w:b/>
          <w:color w:val="auto"/>
          <w:sz w:val="44"/>
          <w:szCs w:val="44"/>
          <w:highlight w:val="none"/>
        </w:rPr>
      </w:pPr>
    </w:p>
    <w:p w14:paraId="67D752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00A57E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3E39AD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21AC5F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24345D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6ED391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2290C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418BC6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252176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6DF563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7BD90A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560C24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0F694F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01F7E83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3BD9C2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0E88FDD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6B8658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5FCC31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638FA6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0EEDB6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04C871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7D5851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62D898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37CE84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4E6DAD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31ED90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6AF331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3C00A3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4</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12195A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678701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0E0C40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270435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84320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46A6D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4306A36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5089868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8"/>
    </w:p>
    <w:p w14:paraId="25589B93">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8"/>
          <w:rFonts w:hint="eastAsia" w:ascii="Times New Roman" w:hAnsi="Times New Roman" w:eastAsia="黑体"/>
          <w:b w:val="0"/>
          <w:color w:val="auto"/>
          <w:highlight w:val="none"/>
        </w:rPr>
        <w:t>部分 附表</w:t>
      </w:r>
      <w:bookmarkEnd w:id="51"/>
      <w:bookmarkEnd w:id="52"/>
      <w:bookmarkStart w:id="53" w:name="_Toc15396619"/>
    </w:p>
    <w:p w14:paraId="39EEA87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8058FB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3"/>
    </w:p>
    <w:p w14:paraId="5A36F26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0"/>
      <w:r>
        <w:rPr>
          <w:rFonts w:hint="eastAsia" w:ascii="Times New Roman" w:hAnsi="Times New Roman" w:eastAsia="仿宋_GB2312" w:cs="仿宋_GB2312"/>
          <w:color w:val="auto"/>
          <w:sz w:val="32"/>
          <w:szCs w:val="32"/>
          <w:highlight w:val="none"/>
        </w:rPr>
        <w:t>二、收入决算表</w:t>
      </w:r>
      <w:bookmarkEnd w:id="54"/>
    </w:p>
    <w:p w14:paraId="7790D97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1"/>
      <w:r>
        <w:rPr>
          <w:rFonts w:hint="eastAsia" w:ascii="Times New Roman" w:hAnsi="Times New Roman" w:eastAsia="仿宋_GB2312" w:cs="仿宋_GB2312"/>
          <w:color w:val="auto"/>
          <w:sz w:val="32"/>
          <w:szCs w:val="32"/>
          <w:highlight w:val="none"/>
        </w:rPr>
        <w:t>三、支出决算表</w:t>
      </w:r>
      <w:bookmarkEnd w:id="55"/>
    </w:p>
    <w:p w14:paraId="47CAEDA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2"/>
      <w:r>
        <w:rPr>
          <w:rFonts w:hint="eastAsia" w:ascii="Times New Roman" w:hAnsi="Times New Roman" w:eastAsia="仿宋_GB2312" w:cs="仿宋_GB2312"/>
          <w:color w:val="auto"/>
          <w:sz w:val="32"/>
          <w:szCs w:val="32"/>
          <w:highlight w:val="none"/>
        </w:rPr>
        <w:t>四、财政拨款收入支出决算总表</w:t>
      </w:r>
      <w:bookmarkEnd w:id="56"/>
    </w:p>
    <w:p w14:paraId="029C1EF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3"/>
      <w:r>
        <w:rPr>
          <w:rFonts w:hint="eastAsia" w:ascii="Times New Roman" w:hAnsi="Times New Roman" w:eastAsia="仿宋_GB2312" w:cs="仿宋_GB2312"/>
          <w:color w:val="auto"/>
          <w:sz w:val="32"/>
          <w:szCs w:val="32"/>
          <w:highlight w:val="none"/>
        </w:rPr>
        <w:t>五、财政拨款支出决算明细表</w:t>
      </w:r>
      <w:bookmarkEnd w:id="57"/>
      <w:bookmarkStart w:id="58" w:name="_Toc15396624"/>
    </w:p>
    <w:p w14:paraId="05E5266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8"/>
    </w:p>
    <w:p w14:paraId="0DC6E7A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5"/>
      <w:r>
        <w:rPr>
          <w:rFonts w:hint="eastAsia" w:ascii="Times New Roman" w:hAnsi="Times New Roman" w:eastAsia="仿宋_GB2312" w:cs="仿宋_GB2312"/>
          <w:color w:val="auto"/>
          <w:sz w:val="32"/>
          <w:szCs w:val="32"/>
          <w:highlight w:val="none"/>
        </w:rPr>
        <w:t>七、一般公共预算财政拨款支出决算明细表</w:t>
      </w:r>
      <w:bookmarkEnd w:id="59"/>
    </w:p>
    <w:p w14:paraId="3813478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6"/>
      <w:r>
        <w:rPr>
          <w:rFonts w:hint="eastAsia" w:ascii="Times New Roman" w:hAnsi="Times New Roman" w:eastAsia="仿宋_GB2312" w:cs="仿宋_GB2312"/>
          <w:color w:val="auto"/>
          <w:sz w:val="32"/>
          <w:szCs w:val="32"/>
          <w:highlight w:val="none"/>
        </w:rPr>
        <w:t>八、一般公共预算财政拨款基本支出决算表</w:t>
      </w:r>
      <w:bookmarkEnd w:id="60"/>
    </w:p>
    <w:p w14:paraId="462BACF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7"/>
      <w:r>
        <w:rPr>
          <w:rFonts w:hint="eastAsia" w:ascii="Times New Roman" w:hAnsi="Times New Roman" w:eastAsia="仿宋_GB2312" w:cs="仿宋_GB2312"/>
          <w:color w:val="auto"/>
          <w:sz w:val="32"/>
          <w:szCs w:val="32"/>
          <w:highlight w:val="none"/>
        </w:rPr>
        <w:t>九、一般公共预算财政拨款项目支出决算表</w:t>
      </w:r>
      <w:bookmarkEnd w:id="61"/>
    </w:p>
    <w:p w14:paraId="1101CAB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8"/>
      <w:r>
        <w:rPr>
          <w:rFonts w:hint="eastAsia" w:ascii="Times New Roman" w:hAnsi="Times New Roman" w:eastAsia="仿宋_GB2312" w:cs="仿宋_GB2312"/>
          <w:color w:val="auto"/>
          <w:sz w:val="32"/>
          <w:szCs w:val="32"/>
          <w:highlight w:val="none"/>
        </w:rPr>
        <w:t>十、</w:t>
      </w:r>
      <w:bookmarkEnd w:id="62"/>
      <w:r>
        <w:rPr>
          <w:rFonts w:hint="eastAsia" w:ascii="Times New Roman" w:hAnsi="Times New Roman" w:eastAsia="仿宋_GB2312" w:cs="仿宋_GB2312"/>
          <w:color w:val="auto"/>
          <w:sz w:val="32"/>
          <w:szCs w:val="32"/>
          <w:highlight w:val="none"/>
        </w:rPr>
        <w:t>政府性基金预算财政拨款收入支出决算表</w:t>
      </w:r>
    </w:p>
    <w:p w14:paraId="2FEE882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9"/>
      <w:r>
        <w:rPr>
          <w:rFonts w:hint="eastAsia" w:ascii="Times New Roman" w:hAnsi="Times New Roman" w:eastAsia="仿宋_GB2312" w:cs="仿宋_GB2312"/>
          <w:color w:val="auto"/>
          <w:sz w:val="32"/>
          <w:szCs w:val="32"/>
          <w:highlight w:val="none"/>
        </w:rPr>
        <w:t>十一、</w:t>
      </w:r>
      <w:bookmarkEnd w:id="6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8A2FA1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30"/>
      <w:r>
        <w:rPr>
          <w:rFonts w:hint="eastAsia" w:ascii="Times New Roman" w:hAnsi="Times New Roman" w:eastAsia="仿宋_GB2312" w:cs="仿宋_GB2312"/>
          <w:color w:val="auto"/>
          <w:sz w:val="32"/>
          <w:szCs w:val="32"/>
          <w:highlight w:val="none"/>
        </w:rPr>
        <w:t>十二、</w:t>
      </w:r>
      <w:bookmarkEnd w:id="64"/>
      <w:r>
        <w:rPr>
          <w:rFonts w:hint="eastAsia" w:ascii="Times New Roman" w:hAnsi="Times New Roman" w:eastAsia="仿宋_GB2312" w:cs="仿宋_GB2312"/>
          <w:color w:val="auto"/>
          <w:sz w:val="32"/>
          <w:szCs w:val="32"/>
          <w:highlight w:val="none"/>
          <w:lang w:eastAsia="zh-CN"/>
        </w:rPr>
        <w:t>国有资本经营预算财政拨款支出决算表</w:t>
      </w:r>
    </w:p>
    <w:p w14:paraId="69546A1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5" w:name="_Toc15396631"/>
      <w:r>
        <w:rPr>
          <w:rFonts w:hint="eastAsia" w:ascii="Times New Roman" w:hAnsi="Times New Roman" w:eastAsia="仿宋_GB2312" w:cs="仿宋_GB2312"/>
          <w:color w:val="auto"/>
          <w:sz w:val="32"/>
          <w:szCs w:val="32"/>
          <w:highlight w:val="none"/>
        </w:rPr>
        <w:t>十三、</w:t>
      </w:r>
      <w:bookmarkEnd w:id="65"/>
      <w:r>
        <w:rPr>
          <w:rFonts w:hint="eastAsia" w:ascii="Times New Roman" w:hAnsi="Times New Roman" w:eastAsia="仿宋_GB2312" w:cs="仿宋_GB2312"/>
          <w:color w:val="auto"/>
          <w:sz w:val="32"/>
          <w:szCs w:val="32"/>
          <w:highlight w:val="none"/>
          <w:lang w:eastAsia="zh-CN"/>
        </w:rPr>
        <w:t>财政拨款“三公”经费支出决算表</w:t>
      </w:r>
    </w:p>
    <w:p w14:paraId="3321BDA9">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06367B-07FA-48BC-8D85-D85A63D343F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E0BBB235-BB27-490E-A204-4A6CC4438416}"/>
  </w:font>
  <w:font w:name="仿宋">
    <w:panose1 w:val="02010609060101010101"/>
    <w:charset w:val="86"/>
    <w:family w:val="modern"/>
    <w:pitch w:val="default"/>
    <w:sig w:usb0="800002BF" w:usb1="38CF7CFA" w:usb2="00000016" w:usb3="00000000" w:csb0="00040001" w:csb1="00000000"/>
    <w:embedRegular r:id="rId3" w:fontKey="{48F536E7-2EBD-4AE4-8E4D-3B92F354C57B}"/>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0843E2FF-C14B-4660-B75E-EC290A5DDD05}"/>
  </w:font>
  <w:font w:name="楷体_GB2312">
    <w:panose1 w:val="02010609030101010101"/>
    <w:charset w:val="86"/>
    <w:family w:val="auto"/>
    <w:pitch w:val="default"/>
    <w:sig w:usb0="00000001" w:usb1="080E0000" w:usb2="00000000" w:usb3="00000000" w:csb0="00040000" w:csb1="00000000"/>
    <w:embedRegular r:id="rId5" w:fontKey="{ACBD1F44-EF6C-4395-925E-49F9C352EBF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AA0EB">
    <w:pPr>
      <w:pStyle w:val="10"/>
      <w:jc w:val="center"/>
    </w:pPr>
  </w:p>
  <w:p w14:paraId="697F133F">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108FB">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024A9">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80B4E8"/>
    <w:multiLevelType w:val="singleLevel"/>
    <w:tmpl w:val="2680B4E8"/>
    <w:lvl w:ilvl="0" w:tentative="0">
      <w:start w:val="1"/>
      <w:numFmt w:val="chineseCounting"/>
      <w:suff w:val="nothing"/>
      <w:lvlText w:val="%1、"/>
      <w:lvlJc w:val="left"/>
      <w:rPr>
        <w:rFonts w:hint="eastAsia"/>
      </w:rPr>
    </w:lvl>
  </w:abstractNum>
  <w:abstractNum w:abstractNumId="1">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6BC25D4"/>
    <w:rsid w:val="07996F6E"/>
    <w:rsid w:val="07DFD8BA"/>
    <w:rsid w:val="08F40A1C"/>
    <w:rsid w:val="09867E8F"/>
    <w:rsid w:val="0A2032A3"/>
    <w:rsid w:val="0CA8290A"/>
    <w:rsid w:val="0D35B1ED"/>
    <w:rsid w:val="0E254B6B"/>
    <w:rsid w:val="0F5D3C3D"/>
    <w:rsid w:val="0F98263C"/>
    <w:rsid w:val="101860EC"/>
    <w:rsid w:val="101F47CC"/>
    <w:rsid w:val="10C055FF"/>
    <w:rsid w:val="11694EBD"/>
    <w:rsid w:val="11772AA4"/>
    <w:rsid w:val="118107EC"/>
    <w:rsid w:val="12E24EE2"/>
    <w:rsid w:val="13D50BC4"/>
    <w:rsid w:val="14B17F78"/>
    <w:rsid w:val="165E0673"/>
    <w:rsid w:val="16B831D5"/>
    <w:rsid w:val="16BB723D"/>
    <w:rsid w:val="16C15AA8"/>
    <w:rsid w:val="17E50567"/>
    <w:rsid w:val="186504BB"/>
    <w:rsid w:val="19A445FC"/>
    <w:rsid w:val="1BE8440E"/>
    <w:rsid w:val="1D155CEE"/>
    <w:rsid w:val="1D1638FE"/>
    <w:rsid w:val="1E312DEB"/>
    <w:rsid w:val="1E740ACF"/>
    <w:rsid w:val="1FF35744"/>
    <w:rsid w:val="1FF6BC77"/>
    <w:rsid w:val="2186353C"/>
    <w:rsid w:val="23860B96"/>
    <w:rsid w:val="240371BF"/>
    <w:rsid w:val="244F3473"/>
    <w:rsid w:val="24C97D99"/>
    <w:rsid w:val="25A718F0"/>
    <w:rsid w:val="25BB59F6"/>
    <w:rsid w:val="260F557C"/>
    <w:rsid w:val="26970054"/>
    <w:rsid w:val="281408E2"/>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116709"/>
    <w:rsid w:val="3F55381A"/>
    <w:rsid w:val="3F7F7599"/>
    <w:rsid w:val="3FF4CAE0"/>
    <w:rsid w:val="3FF7B227"/>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88650A"/>
    <w:rsid w:val="4FE9BD67"/>
    <w:rsid w:val="4FFB052F"/>
    <w:rsid w:val="51052319"/>
    <w:rsid w:val="537E6D0A"/>
    <w:rsid w:val="53F74C96"/>
    <w:rsid w:val="55170BA8"/>
    <w:rsid w:val="553218C9"/>
    <w:rsid w:val="567E1AA5"/>
    <w:rsid w:val="56E47B74"/>
    <w:rsid w:val="57175D52"/>
    <w:rsid w:val="57BD3DD4"/>
    <w:rsid w:val="57CA212F"/>
    <w:rsid w:val="5AF92295"/>
    <w:rsid w:val="5B250254"/>
    <w:rsid w:val="5BDD79E6"/>
    <w:rsid w:val="5BF561CA"/>
    <w:rsid w:val="5BFF5DFC"/>
    <w:rsid w:val="5CD71FC4"/>
    <w:rsid w:val="5D1F11B5"/>
    <w:rsid w:val="5D695134"/>
    <w:rsid w:val="5DAE1B18"/>
    <w:rsid w:val="5DE7D9E5"/>
    <w:rsid w:val="5E5C1DB0"/>
    <w:rsid w:val="5ECEC941"/>
    <w:rsid w:val="5FBF9FF3"/>
    <w:rsid w:val="5FCD4E2C"/>
    <w:rsid w:val="5FEF394A"/>
    <w:rsid w:val="5FF67715"/>
    <w:rsid w:val="61E168FB"/>
    <w:rsid w:val="62BF3928"/>
    <w:rsid w:val="63B3701E"/>
    <w:rsid w:val="647F5392"/>
    <w:rsid w:val="65E66580"/>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5447A4"/>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7">
    <w:name w:val="Body Text"/>
    <w:basedOn w:val="1"/>
    <w:link w:val="25"/>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2"/>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7"/>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4"/>
    <w:qFormat/>
    <w:uiPriority w:val="9"/>
    <w:rPr>
      <w:rFonts w:ascii="Times New Roman" w:hAnsi="Times New Roman"/>
      <w:b/>
      <w:bCs/>
      <w:kern w:val="44"/>
      <w:sz w:val="44"/>
      <w:szCs w:val="44"/>
    </w:rPr>
  </w:style>
  <w:style w:type="character" w:customStyle="1" w:styleId="29">
    <w:name w:val="标题 2 Char"/>
    <w:basedOn w:val="16"/>
    <w:link w:val="5"/>
    <w:qFormat/>
    <w:uiPriority w:val="9"/>
    <w:rPr>
      <w:rFonts w:asciiTheme="majorHAnsi" w:hAnsiTheme="majorHAnsi" w:eastAsiaTheme="majorEastAsia" w:cstheme="majorBidi"/>
      <w:b/>
      <w:bCs/>
      <w:kern w:val="2"/>
      <w:sz w:val="32"/>
      <w:szCs w:val="32"/>
    </w:rPr>
  </w:style>
  <w:style w:type="paragraph" w:customStyle="1" w:styleId="30">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6"/>
    <w:qFormat/>
    <w:uiPriority w:val="9"/>
    <w:rPr>
      <w:rFonts w:ascii="Times New Roman" w:hAnsi="Times New Roman"/>
      <w:b/>
      <w:bCs/>
      <w:kern w:val="2"/>
      <w:sz w:val="32"/>
      <w:szCs w:val="32"/>
    </w:rPr>
  </w:style>
  <w:style w:type="paragraph" w:customStyle="1" w:styleId="33">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56b2feb0-8700-4f04-ab4f-86c63b191e26</errorID>
      <errorWord>党员民主评议</errorWord>
      <group>L1_Political</group>
      <groupName>政治性问题</groupName>
      <ability>L2_Unpolitical</ability>
      <abilityName>政治敏感错误</abilityName>
      <candidateList>
        <item>民主评议党员</item>
      </candidateList>
      <explain/>
      <paraID>19F255A0</paraID>
      <start>193</start>
      <end>199</end>
      <status>modified</status>
      <modifiedWord>民主评议党员</modifiedWord>
      <trackRevisions>false</trackRevisions>
    </reviewItem>
    <reviewItem>
      <errorID>0e08b86c-87e8-429f-a934-24a74476afb0</errorID>
      <errorWord>0%%</errorWord>
      <group>L1_Word</group>
      <groupName>字词问题</groupName>
      <ability>L2_Typo</ability>
      <abilityName>字词错误</abilityName>
      <candidateList>
        <item>0%</item>
      </candidateList>
      <explain/>
      <paraID>52C0C001</paraID>
      <start>69</start>
      <end>71</end>
      <status>modified</status>
      <modifiedWord>0%</modifiedWord>
      <trackRevisions>false</trackRevisions>
    </reviewItem>
    <reviewItem>
      <errorID>1b591f3b-f116-4a7f-86b1-f235abdb7817</errorID>
      <errorWord>支</errorWord>
      <group>L1_Word</group>
      <groupName>字词问题</groupName>
      <ability>L2_Typo</ability>
      <abilityName>字词错误</abilityName>
      <candidateList>
        <item>支出</item>
      </candidateList>
      <explain/>
      <paraID>583F3136</paraID>
      <start>192</start>
      <end>194</end>
      <status>modified</status>
      <modifiedWord>支出</modifiedWord>
      <trackRevisions>false</trackRevisions>
    </reviewItem>
    <reviewItem>
      <errorID>0601f053-61b4-4b87-bfc6-570b2c207eb5</errorID>
      <errorWord>&lt;</errorWord>
      <group>L1_Format</group>
      <groupName>格式问题</groupName>
      <ability>L2_HalfPunc_CN</ability>
      <abilityName>全半角问题</abilityName>
      <candidateList>
        <item>〈</item>
      </candidateList>
      <explain>文本全半角错误。</explain>
      <paraID>34A62C6B</paraID>
      <start>50</start>
      <end>51</end>
      <status>modified</status>
      <modifiedWord>〈</modifiedWord>
      <trackRevisions>false</trackRevisions>
    </reviewItem>
    <reviewItem>
      <errorID>f512a388-b3e1-49f1-9671-283c782dab99</errorID>
      <errorWord>&gt;</errorWord>
      <group>L1_Format</group>
      <groupName>格式问题</groupName>
      <ability>L2_HalfPunc_CN</ability>
      <abilityName>全半角问题</abilityName>
      <candidateList>
        <item>〉</item>
      </candidateList>
      <explain>文本全半角错误。</explain>
      <paraID>34A62C6B</paraID>
      <start>53</start>
      <end>54</end>
      <status>modified</status>
      <modifiedWord>〉</modifiedWord>
      <trackRevisions>false</trackRevisions>
    </reviewItem>
    <reviewItem>
      <errorID>f66d95bc-53bd-4ebd-91f6-101896f0ae04</errorID>
      <errorWord>&lt;</errorWord>
      <group>L1_Format</group>
      <groupName>格式问题</groupName>
      <ability>L2_HalfPunc_CN</ability>
      <abilityName>全半角问题</abilityName>
      <candidateList>
        <item>〈</item>
      </candidateList>
      <explain>文本全半角错误。</explain>
      <paraID>34A62C6B</paraID>
      <start>60</start>
      <end>61</end>
      <status>modified</status>
      <modifiedWord>〈</modifiedWord>
      <trackRevisions>false</trackRevisions>
    </reviewItem>
    <reviewItem>
      <errorID>1cf7a6c1-6056-456c-a18e-65aa0c677299</errorID>
      <errorWord>&gt;</errorWord>
      <group>L1_Format</group>
      <groupName>格式问题</groupName>
      <ability>L2_HalfPunc_CN</ability>
      <abilityName>全半角问题</abilityName>
      <candidateList>
        <item>〉</item>
      </candidateList>
      <explain>文本全半角错误。</explain>
      <paraID>34A62C6B</paraID>
      <start>63</start>
      <end>64</end>
      <status>modified</status>
      <modifiedWord>〉</modifiedWord>
      <trackRevisions>false</trackRevisions>
    </reviewItem>
  </reviewItems>
  <config/>
</contractReview>
</file>

<file path=customXml/itemProps1.xml><?xml version="1.0" encoding="utf-8"?>
<ds:datastoreItem xmlns:ds="http://schemas.openxmlformats.org/officeDocument/2006/customXml" ds:itemID="{d1a2eebe-1b1d-40a0-8c9b-b68b81cdd9a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5783</Words>
  <Characters>6266</Characters>
  <Lines>61</Lines>
  <Paragraphs>17</Paragraphs>
  <TotalTime>30</TotalTime>
  <ScaleCrop>false</ScaleCrop>
  <LinksUpToDate>false</LinksUpToDate>
  <CharactersWithSpaces>6293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奕夕^_^</cp:lastModifiedBy>
  <cp:lastPrinted>2025-08-06T17:34:00Z</cp:lastPrinted>
  <dcterms:modified xsi:type="dcterms:W3CDTF">2026-10-14T01:42:24Z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F24B1475BB8E48FC9542D65EB686552E_13</vt:lpwstr>
  </property>
  <property fmtid="{D5CDD505-2E9C-101B-9397-08002B2CF9AE}" pid="4" name="KSOTemplateDocerSaveRecord">
    <vt:lpwstr>eyJoZGlkIjoiNTU1MWNhN2ZmY2ZhZmY3ODhlYTg0MWU5OGMyY2QwZmUiLCJ1c2VySWQiOiI0MzQ2NTM0NzEifQ==</vt:lpwstr>
  </property>
</Properties>
</file>