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8ABBC">
      <w:pPr>
        <w:spacing w:line="600" w:lineRule="exact"/>
        <w:jc w:val="both"/>
        <w:outlineLvl w:val="0"/>
        <w:rPr>
          <w:rFonts w:ascii="方正小标宋简体" w:hAnsi="宋体" w:eastAsia="方正小标宋简体"/>
          <w:color w:val="000000"/>
          <w:sz w:val="72"/>
          <w:szCs w:val="72"/>
        </w:rPr>
      </w:pPr>
      <w:bookmarkStart w:id="0" w:name="_Toc15306267"/>
    </w:p>
    <w:p w14:paraId="58276C8B">
      <w:pPr>
        <w:jc w:val="center"/>
        <w:rPr>
          <w:rFonts w:ascii="黑体" w:hAnsi="黑体" w:eastAsia="黑体"/>
          <w:sz w:val="72"/>
          <w:szCs w:val="72"/>
        </w:rPr>
      </w:pPr>
      <w:bookmarkStart w:id="1" w:name="_Toc15377193"/>
      <w:bookmarkStart w:id="2" w:name="_Toc15396475"/>
      <w:bookmarkStart w:id="3" w:name="_Toc15396597"/>
      <w:bookmarkStart w:id="4" w:name="_Toc15378441"/>
      <w:bookmarkStart w:id="5" w:name="_Toc15377425"/>
      <w:r>
        <w:rPr>
          <w:rFonts w:ascii="黑体" w:hAnsi="黑体" w:eastAsia="黑体"/>
          <w:sz w:val="72"/>
          <w:szCs w:val="72"/>
        </w:rPr>
        <w:t>202</w:t>
      </w:r>
      <w:r>
        <w:rPr>
          <w:rFonts w:hint="eastAsia" w:ascii="黑体" w:hAnsi="黑体" w:eastAsia="黑体"/>
          <w:sz w:val="72"/>
          <w:szCs w:val="72"/>
          <w:lang w:val="en-US" w:eastAsia="zh-CN"/>
        </w:rPr>
        <w:t>5</w:t>
      </w:r>
      <w:r>
        <w:rPr>
          <w:rFonts w:hint="eastAsia" w:ascii="黑体" w:hAnsi="黑体" w:eastAsia="黑体"/>
          <w:sz w:val="72"/>
          <w:szCs w:val="72"/>
        </w:rPr>
        <w:t>年度</w:t>
      </w:r>
      <w:bookmarkEnd w:id="1"/>
      <w:bookmarkEnd w:id="2"/>
      <w:bookmarkEnd w:id="3"/>
      <w:bookmarkEnd w:id="4"/>
      <w:bookmarkEnd w:id="5"/>
    </w:p>
    <w:p w14:paraId="20CF0F18">
      <w:pPr>
        <w:jc w:val="center"/>
        <w:rPr>
          <w:rFonts w:hint="eastAsia" w:ascii="黑体" w:hAnsi="黑体" w:eastAsia="黑体"/>
          <w:sz w:val="72"/>
          <w:szCs w:val="72"/>
        </w:rPr>
      </w:pPr>
      <w:bookmarkStart w:id="6" w:name="_Toc15396476"/>
      <w:bookmarkStart w:id="7" w:name="_Toc15396598"/>
      <w:bookmarkStart w:id="8" w:name="_Toc15377426"/>
      <w:bookmarkStart w:id="9" w:name="_Toc15377194"/>
      <w:bookmarkStart w:id="10" w:name="_Toc15378442"/>
      <w:r>
        <w:rPr>
          <w:rFonts w:hint="eastAsia" w:ascii="黑体" w:hAnsi="黑体" w:eastAsia="黑体"/>
          <w:sz w:val="72"/>
          <w:szCs w:val="72"/>
        </w:rPr>
        <w:t>四川省阿坝州松潘县</w:t>
      </w:r>
      <w:bookmarkEnd w:id="0"/>
      <w:bookmarkStart w:id="11" w:name="_Toc15306268"/>
    </w:p>
    <w:p w14:paraId="0C915F78">
      <w:pPr>
        <w:jc w:val="center"/>
        <w:rPr>
          <w:rFonts w:ascii="黑体" w:hAnsi="黑体" w:eastAsia="黑体"/>
          <w:sz w:val="72"/>
          <w:szCs w:val="72"/>
        </w:rPr>
      </w:pPr>
      <w:r>
        <w:rPr>
          <w:rFonts w:hint="eastAsia" w:ascii="黑体" w:hAnsi="黑体" w:eastAsia="黑体"/>
          <w:sz w:val="72"/>
          <w:szCs w:val="72"/>
          <w:lang w:eastAsia="zh-CN"/>
        </w:rPr>
        <w:t>残疾人联合会部门</w:t>
      </w:r>
      <w:r>
        <w:rPr>
          <w:rFonts w:hint="eastAsia" w:ascii="黑体" w:hAnsi="黑体" w:eastAsia="黑体"/>
          <w:sz w:val="72"/>
          <w:szCs w:val="72"/>
        </w:rPr>
        <w:t>决算</w:t>
      </w:r>
      <w:bookmarkEnd w:id="6"/>
      <w:bookmarkEnd w:id="7"/>
      <w:bookmarkEnd w:id="8"/>
      <w:bookmarkEnd w:id="9"/>
      <w:bookmarkEnd w:id="10"/>
      <w:bookmarkEnd w:id="11"/>
    </w:p>
    <w:p w14:paraId="745E5668">
      <w:pPr>
        <w:widowControl/>
        <w:jc w:val="center"/>
        <w:rPr>
          <w:rFonts w:ascii="方正小标宋简体" w:hAnsi="宋体" w:eastAsia="方正小标宋简体"/>
          <w:color w:val="000000"/>
          <w:sz w:val="36"/>
          <w:szCs w:val="36"/>
        </w:rPr>
      </w:pPr>
    </w:p>
    <w:p w14:paraId="6F9B6F83">
      <w:pPr>
        <w:rPr>
          <w:rFonts w:ascii="方正小标宋简体" w:hAnsi="宋体" w:eastAsia="方正小标宋简体"/>
          <w:sz w:val="36"/>
          <w:szCs w:val="36"/>
        </w:rPr>
      </w:pPr>
    </w:p>
    <w:p w14:paraId="14379056">
      <w:pPr>
        <w:rPr>
          <w:rFonts w:ascii="方正小标宋简体" w:hAnsi="宋体" w:eastAsia="方正小标宋简体"/>
          <w:sz w:val="36"/>
          <w:szCs w:val="36"/>
        </w:rPr>
      </w:pPr>
    </w:p>
    <w:p w14:paraId="69FFC26E">
      <w:pPr>
        <w:rPr>
          <w:rFonts w:ascii="方正小标宋简体" w:hAnsi="宋体" w:eastAsia="方正小标宋简体"/>
          <w:sz w:val="36"/>
          <w:szCs w:val="36"/>
        </w:rPr>
      </w:pPr>
    </w:p>
    <w:p w14:paraId="5915DDD9">
      <w:pPr>
        <w:rPr>
          <w:rFonts w:ascii="方正小标宋简体" w:hAnsi="宋体" w:eastAsia="方正小标宋简体"/>
          <w:sz w:val="36"/>
          <w:szCs w:val="36"/>
        </w:rPr>
      </w:pPr>
    </w:p>
    <w:p w14:paraId="58FCAA03">
      <w:pPr>
        <w:rPr>
          <w:rFonts w:ascii="方正小标宋简体" w:hAnsi="宋体" w:eastAsia="方正小标宋简体"/>
          <w:sz w:val="36"/>
          <w:szCs w:val="36"/>
        </w:rPr>
      </w:pPr>
    </w:p>
    <w:p w14:paraId="48650877">
      <w:pPr>
        <w:rPr>
          <w:rFonts w:ascii="方正小标宋简体" w:hAnsi="宋体" w:eastAsia="方正小标宋简体"/>
          <w:sz w:val="36"/>
          <w:szCs w:val="36"/>
        </w:rPr>
      </w:pPr>
    </w:p>
    <w:p w14:paraId="4836D6DF">
      <w:pPr>
        <w:rPr>
          <w:rFonts w:ascii="方正小标宋简体" w:hAnsi="宋体" w:eastAsia="方正小标宋简体"/>
          <w:sz w:val="36"/>
          <w:szCs w:val="36"/>
        </w:rPr>
      </w:pPr>
    </w:p>
    <w:p w14:paraId="1DB5B624">
      <w:pPr>
        <w:rPr>
          <w:rFonts w:ascii="方正小标宋简体" w:hAnsi="宋体" w:eastAsia="方正小标宋简体"/>
          <w:sz w:val="36"/>
          <w:szCs w:val="36"/>
        </w:rPr>
      </w:pPr>
    </w:p>
    <w:p w14:paraId="07B3453B">
      <w:pPr>
        <w:rPr>
          <w:rFonts w:ascii="方正小标宋简体" w:hAnsi="宋体" w:eastAsia="方正小标宋简体"/>
          <w:sz w:val="36"/>
          <w:szCs w:val="36"/>
        </w:rPr>
      </w:pPr>
    </w:p>
    <w:p w14:paraId="183C7048">
      <w:pPr>
        <w:widowControl/>
        <w:jc w:val="center"/>
        <w:rPr>
          <w:rFonts w:ascii="方正小标宋简体" w:hAnsi="宋体" w:eastAsia="方正小标宋简体"/>
          <w:color w:val="000000"/>
          <w:sz w:val="36"/>
          <w:szCs w:val="36"/>
        </w:rPr>
      </w:pPr>
    </w:p>
    <w:p w14:paraId="32969785"/>
    <w:p w14:paraId="225FBD8C">
      <w:pPr>
        <w:widowControl/>
        <w:jc w:val="center"/>
        <w:rPr>
          <w:rFonts w:ascii="方正小标宋简体" w:hAnsi="宋体" w:eastAsia="方正小标宋简体"/>
          <w:sz w:val="36"/>
          <w:szCs w:val="36"/>
        </w:rPr>
      </w:pPr>
      <w:r>
        <w:rPr>
          <w:rFonts w:ascii="方正小标宋简体" w:hAnsi="宋体" w:eastAsia="方正小标宋简体"/>
          <w:sz w:val="36"/>
          <w:szCs w:val="36"/>
        </w:rPr>
        <w:br w:type="page"/>
      </w:r>
    </w:p>
    <w:sdt>
      <w:sdtPr>
        <w:rPr>
          <w:rFonts w:ascii="宋体" w:hAnsi="宋体" w:eastAsia="宋体" w:cs="Times New Roman"/>
          <w:kern w:val="2"/>
          <w:sz w:val="21"/>
          <w:szCs w:val="24"/>
          <w:lang w:val="en-US" w:eastAsia="zh-CN" w:bidi="ar-SA"/>
        </w:rPr>
        <w:id w:val="147467539"/>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4F42D314">
          <w:pPr>
            <w:spacing w:before="0" w:beforeLines="0" w:after="0" w:afterLines="0" w:line="240" w:lineRule="auto"/>
            <w:ind w:left="0" w:leftChars="0" w:right="0" w:rightChars="0" w:firstLine="0" w:firstLineChars="0"/>
            <w:jc w:val="center"/>
            <w:rPr>
              <w:rFonts w:hint="eastAsia" w:ascii="黑体" w:hAnsi="黑体" w:eastAsia="黑体" w:cs="黑体"/>
              <w:b/>
              <w:bCs/>
              <w:sz w:val="48"/>
              <w:szCs w:val="48"/>
            </w:rPr>
          </w:pPr>
          <w:r>
            <w:rPr>
              <w:rFonts w:hint="eastAsia" w:ascii="黑体" w:hAnsi="黑体" w:eastAsia="黑体" w:cs="黑体"/>
              <w:b/>
              <w:bCs/>
              <w:sz w:val="48"/>
              <w:szCs w:val="48"/>
            </w:rPr>
            <w:t>目录</w:t>
          </w:r>
        </w:p>
        <w:p w14:paraId="180514E1">
          <w:pPr>
            <w:pStyle w:val="15"/>
            <w:jc w:val="center"/>
            <w:rPr>
              <w:rFonts w:hint="eastAsia" w:eastAsia="宋体"/>
              <w:sz w:val="24"/>
              <w:szCs w:val="24"/>
              <w:lang w:eastAsia="zh-CN"/>
            </w:rPr>
          </w:pPr>
          <w:r>
            <w:rPr>
              <w:rFonts w:hint="eastAsia" w:hAnsiTheme="minorHAnsi"/>
              <w:b w:val="0"/>
              <w:bCs w:val="0"/>
              <w:sz w:val="24"/>
              <w:szCs w:val="24"/>
            </w:rPr>
            <w:t>公开时间：202</w:t>
          </w:r>
          <w:r>
            <w:rPr>
              <w:rFonts w:hint="eastAsia" w:hAnsiTheme="minorHAnsi"/>
              <w:b w:val="0"/>
              <w:bCs w:val="0"/>
              <w:sz w:val="24"/>
              <w:szCs w:val="24"/>
              <w:lang w:val="en-US" w:eastAsia="zh-CN"/>
            </w:rPr>
            <w:t>6</w:t>
          </w:r>
          <w:r>
            <w:rPr>
              <w:rFonts w:hint="eastAsia" w:hAnsiTheme="minorHAnsi"/>
              <w:b w:val="0"/>
              <w:bCs w:val="0"/>
              <w:sz w:val="24"/>
              <w:szCs w:val="24"/>
            </w:rPr>
            <w:t xml:space="preserve">年 </w:t>
          </w:r>
          <w:r>
            <w:rPr>
              <w:rFonts w:hint="eastAsia" w:hAnsiTheme="minorHAnsi"/>
              <w:b w:val="0"/>
              <w:bCs w:val="0"/>
              <w:sz w:val="24"/>
              <w:szCs w:val="24"/>
              <w:lang w:val="en-US" w:eastAsia="zh-CN"/>
            </w:rPr>
            <w:t>10</w:t>
          </w:r>
          <w:r>
            <w:rPr>
              <w:rFonts w:hint="eastAsia" w:hAnsiTheme="minorHAnsi"/>
              <w:b w:val="0"/>
              <w:bCs w:val="0"/>
              <w:sz w:val="24"/>
              <w:szCs w:val="24"/>
            </w:rPr>
            <w:t>月</w:t>
          </w:r>
          <w:r>
            <w:rPr>
              <w:rFonts w:hint="eastAsia" w:hAnsiTheme="minorHAnsi"/>
              <w:b w:val="0"/>
              <w:bCs w:val="0"/>
              <w:sz w:val="24"/>
              <w:szCs w:val="24"/>
              <w:lang w:val="en-US" w:eastAsia="zh-CN"/>
            </w:rPr>
            <w:t>13</w:t>
          </w:r>
          <w:r>
            <w:rPr>
              <w:rFonts w:hint="eastAsia" w:hAnsiTheme="minorHAnsi"/>
              <w:b w:val="0"/>
              <w:bCs w:val="0"/>
              <w:sz w:val="24"/>
              <w:szCs w:val="24"/>
            </w:rPr>
            <w:t>日</w:t>
          </w:r>
        </w:p>
        <w:p w14:paraId="0464E6BD">
          <w:pPr>
            <w:pStyle w:val="15"/>
            <w:tabs>
              <w:tab w:val="right" w:leader="dot" w:pos="8306"/>
            </w:tabs>
          </w:pPr>
          <w:r>
            <w:fldChar w:fldCharType="begin"/>
          </w:r>
          <w:r>
            <w:instrText xml:space="preserve">TOC \o "1-2" \h \u </w:instrText>
          </w:r>
          <w:r>
            <w:fldChar w:fldCharType="separate"/>
          </w:r>
          <w:r>
            <w:fldChar w:fldCharType="begin"/>
          </w:r>
          <w:r>
            <w:instrText xml:space="preserve"> HYPERLINK \l _Toc12906 </w:instrText>
          </w:r>
          <w:r>
            <w:fldChar w:fldCharType="separate"/>
          </w:r>
          <w:r>
            <w:rPr>
              <w:rFonts w:hint="eastAsia"/>
            </w:rPr>
            <w:t>第一部分</w:t>
          </w:r>
          <w:r>
            <w:t xml:space="preserve"> </w:t>
          </w:r>
          <w:r>
            <w:rPr>
              <w:rFonts w:hint="eastAsia"/>
            </w:rPr>
            <w:t>部门概况</w:t>
          </w:r>
          <w:r>
            <w:tab/>
          </w:r>
          <w:r>
            <w:fldChar w:fldCharType="begin"/>
          </w:r>
          <w:r>
            <w:instrText xml:space="preserve"> PAGEREF _Toc12906 \h </w:instrText>
          </w:r>
          <w:r>
            <w:fldChar w:fldCharType="separate"/>
          </w:r>
          <w:r>
            <w:t>4</w:t>
          </w:r>
          <w:r>
            <w:fldChar w:fldCharType="end"/>
          </w:r>
          <w:r>
            <w:fldChar w:fldCharType="end"/>
          </w:r>
        </w:p>
        <w:p w14:paraId="1B979FD5">
          <w:pPr>
            <w:pStyle w:val="18"/>
            <w:tabs>
              <w:tab w:val="right" w:leader="dot" w:pos="8306"/>
            </w:tabs>
          </w:pPr>
          <w:r>
            <w:fldChar w:fldCharType="begin"/>
          </w:r>
          <w:r>
            <w:instrText xml:space="preserve"> HYPERLINK \l _Toc32609 </w:instrText>
          </w:r>
          <w:r>
            <w:fldChar w:fldCharType="separate"/>
          </w:r>
          <w:r>
            <w:rPr>
              <w:rFonts w:hint="eastAsia"/>
              <w:lang w:val="en-US" w:eastAsia="zh-CN"/>
            </w:rPr>
            <w:t>一、基本职能及主要工作</w:t>
          </w:r>
          <w:r>
            <w:tab/>
          </w:r>
          <w:r>
            <w:fldChar w:fldCharType="begin"/>
          </w:r>
          <w:r>
            <w:instrText xml:space="preserve"> PAGEREF _Toc32609 \h </w:instrText>
          </w:r>
          <w:r>
            <w:fldChar w:fldCharType="separate"/>
          </w:r>
          <w:r>
            <w:t>4</w:t>
          </w:r>
          <w:r>
            <w:fldChar w:fldCharType="end"/>
          </w:r>
          <w:r>
            <w:fldChar w:fldCharType="end"/>
          </w:r>
        </w:p>
        <w:p w14:paraId="67F70B36">
          <w:pPr>
            <w:pStyle w:val="18"/>
            <w:tabs>
              <w:tab w:val="right" w:leader="dot" w:pos="8306"/>
            </w:tabs>
          </w:pPr>
          <w:r>
            <w:fldChar w:fldCharType="begin"/>
          </w:r>
          <w:r>
            <w:instrText xml:space="preserve"> HYPERLINK \l _Toc15000 </w:instrText>
          </w:r>
          <w:r>
            <w:fldChar w:fldCharType="separate"/>
          </w:r>
          <w:r>
            <w:rPr>
              <w:rFonts w:hint="eastAsia"/>
              <w:lang w:eastAsia="zh-CN"/>
            </w:rPr>
            <w:t>二、机构设置</w:t>
          </w:r>
          <w:r>
            <w:tab/>
          </w:r>
          <w:r>
            <w:fldChar w:fldCharType="begin"/>
          </w:r>
          <w:r>
            <w:instrText xml:space="preserve"> PAGEREF _Toc15000 \h </w:instrText>
          </w:r>
          <w:r>
            <w:fldChar w:fldCharType="separate"/>
          </w:r>
          <w:r>
            <w:t>7</w:t>
          </w:r>
          <w:r>
            <w:fldChar w:fldCharType="end"/>
          </w:r>
          <w:r>
            <w:fldChar w:fldCharType="end"/>
          </w:r>
        </w:p>
        <w:p w14:paraId="1685175E">
          <w:pPr>
            <w:pStyle w:val="15"/>
            <w:tabs>
              <w:tab w:val="right" w:leader="dot" w:pos="8306"/>
            </w:tabs>
          </w:pPr>
          <w:r>
            <w:fldChar w:fldCharType="begin"/>
          </w:r>
          <w:r>
            <w:instrText xml:space="preserve"> HYPERLINK \l _Toc22158 </w:instrText>
          </w:r>
          <w:r>
            <w:fldChar w:fldCharType="separate"/>
          </w:r>
          <w:r>
            <w:rPr>
              <w:rFonts w:hint="eastAsia"/>
            </w:rPr>
            <w:t>第二部分</w:t>
          </w:r>
          <w:r>
            <w:t xml:space="preserve"> 202</w:t>
          </w:r>
          <w:r>
            <w:rPr>
              <w:rFonts w:hint="eastAsia"/>
              <w:lang w:val="en-US" w:eastAsia="zh-CN"/>
            </w:rPr>
            <w:t>4</w:t>
          </w:r>
          <w:r>
            <w:rPr>
              <w:rFonts w:hint="eastAsia"/>
            </w:rPr>
            <w:t>年度部门决算情况说明</w:t>
          </w:r>
          <w:r>
            <w:tab/>
          </w:r>
          <w:r>
            <w:fldChar w:fldCharType="begin"/>
          </w:r>
          <w:r>
            <w:instrText xml:space="preserve"> PAGEREF _Toc22158 \h </w:instrText>
          </w:r>
          <w:r>
            <w:fldChar w:fldCharType="separate"/>
          </w:r>
          <w:r>
            <w:t>8</w:t>
          </w:r>
          <w:r>
            <w:fldChar w:fldCharType="end"/>
          </w:r>
          <w:r>
            <w:fldChar w:fldCharType="end"/>
          </w:r>
        </w:p>
        <w:p w14:paraId="673BEE6C">
          <w:pPr>
            <w:pStyle w:val="18"/>
            <w:tabs>
              <w:tab w:val="right" w:leader="dot" w:pos="8306"/>
            </w:tabs>
          </w:pPr>
          <w:r>
            <w:fldChar w:fldCharType="begin"/>
          </w:r>
          <w:r>
            <w:instrText xml:space="preserve"> HYPERLINK \l _Toc15883 </w:instrText>
          </w:r>
          <w:r>
            <w:fldChar w:fldCharType="separate"/>
          </w:r>
          <w:r>
            <w:rPr>
              <w:rFonts w:hint="default" w:cs="Times New Roman"/>
            </w:rPr>
            <w:t xml:space="preserve">一、 </w:t>
          </w:r>
          <w:r>
            <w:rPr>
              <w:rFonts w:hint="eastAsia"/>
            </w:rPr>
            <w:t>收入支出决算总体情况说明</w:t>
          </w:r>
          <w:r>
            <w:tab/>
          </w:r>
          <w:r>
            <w:fldChar w:fldCharType="begin"/>
          </w:r>
          <w:r>
            <w:instrText xml:space="preserve"> PAGEREF _Toc15883 \h </w:instrText>
          </w:r>
          <w:r>
            <w:fldChar w:fldCharType="separate"/>
          </w:r>
          <w:r>
            <w:t>8</w:t>
          </w:r>
          <w:r>
            <w:fldChar w:fldCharType="end"/>
          </w:r>
          <w:r>
            <w:fldChar w:fldCharType="end"/>
          </w:r>
        </w:p>
        <w:p w14:paraId="44C3C94F">
          <w:pPr>
            <w:pStyle w:val="18"/>
            <w:tabs>
              <w:tab w:val="right" w:leader="dot" w:pos="8306"/>
            </w:tabs>
          </w:pPr>
          <w:r>
            <w:fldChar w:fldCharType="begin"/>
          </w:r>
          <w:r>
            <w:instrText xml:space="preserve"> HYPERLINK \l _Toc10473 </w:instrText>
          </w:r>
          <w:r>
            <w:fldChar w:fldCharType="separate"/>
          </w:r>
          <w:r>
            <w:rPr>
              <w:rFonts w:hint="default" w:cs="Times New Roman"/>
            </w:rPr>
            <w:t xml:space="preserve">二、 </w:t>
          </w:r>
          <w:r>
            <w:rPr>
              <w:rFonts w:hint="eastAsia"/>
            </w:rPr>
            <w:t>收入决算情况说明</w:t>
          </w:r>
          <w:r>
            <w:tab/>
          </w:r>
          <w:r>
            <w:fldChar w:fldCharType="begin"/>
          </w:r>
          <w:r>
            <w:instrText xml:space="preserve"> PAGEREF _Toc10473 \h </w:instrText>
          </w:r>
          <w:r>
            <w:fldChar w:fldCharType="separate"/>
          </w:r>
          <w:r>
            <w:t>8</w:t>
          </w:r>
          <w:r>
            <w:fldChar w:fldCharType="end"/>
          </w:r>
          <w:r>
            <w:fldChar w:fldCharType="end"/>
          </w:r>
        </w:p>
        <w:p w14:paraId="280F88AE">
          <w:pPr>
            <w:pStyle w:val="18"/>
            <w:tabs>
              <w:tab w:val="right" w:leader="dot" w:pos="8306"/>
            </w:tabs>
          </w:pPr>
          <w:r>
            <w:fldChar w:fldCharType="begin"/>
          </w:r>
          <w:r>
            <w:instrText xml:space="preserve"> HYPERLINK \l _Toc18941 </w:instrText>
          </w:r>
          <w:r>
            <w:fldChar w:fldCharType="separate"/>
          </w:r>
          <w:r>
            <w:rPr>
              <w:rFonts w:hint="default" w:cs="Times New Roman"/>
            </w:rPr>
            <w:t xml:space="preserve">三、 </w:t>
          </w:r>
          <w:r>
            <w:rPr>
              <w:rFonts w:hint="eastAsia"/>
            </w:rPr>
            <w:t>支出决算情况说明</w:t>
          </w:r>
          <w:r>
            <w:tab/>
          </w:r>
          <w:r>
            <w:fldChar w:fldCharType="begin"/>
          </w:r>
          <w:r>
            <w:instrText xml:space="preserve"> PAGEREF _Toc18941 \h </w:instrText>
          </w:r>
          <w:r>
            <w:fldChar w:fldCharType="separate"/>
          </w:r>
          <w:r>
            <w:t>9</w:t>
          </w:r>
          <w:r>
            <w:fldChar w:fldCharType="end"/>
          </w:r>
          <w:r>
            <w:fldChar w:fldCharType="end"/>
          </w:r>
        </w:p>
        <w:p w14:paraId="42577E01">
          <w:pPr>
            <w:pStyle w:val="18"/>
            <w:tabs>
              <w:tab w:val="right" w:leader="dot" w:pos="8306"/>
            </w:tabs>
          </w:pPr>
          <w:r>
            <w:fldChar w:fldCharType="begin"/>
          </w:r>
          <w:r>
            <w:instrText xml:space="preserve"> HYPERLINK \l _Toc12452 </w:instrText>
          </w:r>
          <w:r>
            <w:fldChar w:fldCharType="separate"/>
          </w:r>
          <w:r>
            <w:rPr>
              <w:rFonts w:hint="eastAsia" w:ascii="黑体" w:hAnsi="黑体" w:eastAsia="黑体"/>
              <w:szCs w:val="32"/>
            </w:rPr>
            <w:t>四、</w:t>
          </w:r>
          <w:r>
            <w:rPr>
              <w:rFonts w:hint="eastAsia"/>
            </w:rPr>
            <w:t>财政拨款收入支出决算总体情况说明</w:t>
          </w:r>
          <w:r>
            <w:tab/>
          </w:r>
          <w:r>
            <w:fldChar w:fldCharType="begin"/>
          </w:r>
          <w:r>
            <w:instrText xml:space="preserve"> PAGEREF _Toc12452 \h </w:instrText>
          </w:r>
          <w:r>
            <w:fldChar w:fldCharType="separate"/>
          </w:r>
          <w:r>
            <w:t>9</w:t>
          </w:r>
          <w:r>
            <w:fldChar w:fldCharType="end"/>
          </w:r>
          <w:r>
            <w:fldChar w:fldCharType="end"/>
          </w:r>
        </w:p>
        <w:p w14:paraId="47CD5B14">
          <w:pPr>
            <w:pStyle w:val="18"/>
            <w:tabs>
              <w:tab w:val="right" w:leader="dot" w:pos="8306"/>
            </w:tabs>
          </w:pPr>
          <w:r>
            <w:fldChar w:fldCharType="begin"/>
          </w:r>
          <w:r>
            <w:instrText xml:space="preserve"> HYPERLINK \l _Toc4663 </w:instrText>
          </w:r>
          <w:r>
            <w:fldChar w:fldCharType="separate"/>
          </w:r>
          <w:r>
            <w:rPr>
              <w:rFonts w:hint="eastAsia" w:ascii="黑体" w:hAnsi="黑体" w:eastAsia="黑体"/>
              <w:szCs w:val="32"/>
            </w:rPr>
            <w:t>五、</w:t>
          </w:r>
          <w:r>
            <w:rPr>
              <w:rFonts w:hint="eastAsia"/>
            </w:rPr>
            <w:t>一般公共预算财政拨款支出决算情况说明</w:t>
          </w:r>
          <w:r>
            <w:tab/>
          </w:r>
          <w:r>
            <w:fldChar w:fldCharType="begin"/>
          </w:r>
          <w:r>
            <w:instrText xml:space="preserve"> PAGEREF _Toc4663 \h </w:instrText>
          </w:r>
          <w:r>
            <w:fldChar w:fldCharType="separate"/>
          </w:r>
          <w:r>
            <w:t>10</w:t>
          </w:r>
          <w:r>
            <w:fldChar w:fldCharType="end"/>
          </w:r>
          <w:r>
            <w:fldChar w:fldCharType="end"/>
          </w:r>
        </w:p>
        <w:p w14:paraId="71C4707A">
          <w:pPr>
            <w:pStyle w:val="18"/>
            <w:tabs>
              <w:tab w:val="right" w:leader="dot" w:pos="8306"/>
            </w:tabs>
          </w:pPr>
          <w:r>
            <w:fldChar w:fldCharType="begin"/>
          </w:r>
          <w:r>
            <w:instrText xml:space="preserve"> HYPERLINK \l _Toc4953 </w:instrText>
          </w:r>
          <w:r>
            <w:fldChar w:fldCharType="separate"/>
          </w:r>
          <w:r>
            <w:rPr>
              <w:rFonts w:hint="eastAsia"/>
            </w:rPr>
            <w:t>六、一般公共预算财政拨款基本支出决算情况说明</w:t>
          </w:r>
          <w:r>
            <w:tab/>
          </w:r>
          <w:r>
            <w:fldChar w:fldCharType="begin"/>
          </w:r>
          <w:r>
            <w:instrText xml:space="preserve"> PAGEREF _Toc4953 \h </w:instrText>
          </w:r>
          <w:r>
            <w:fldChar w:fldCharType="separate"/>
          </w:r>
          <w:r>
            <w:t>12</w:t>
          </w:r>
          <w:r>
            <w:fldChar w:fldCharType="end"/>
          </w:r>
          <w:r>
            <w:fldChar w:fldCharType="end"/>
          </w:r>
        </w:p>
        <w:p w14:paraId="5232412B">
          <w:pPr>
            <w:pStyle w:val="18"/>
            <w:tabs>
              <w:tab w:val="right" w:leader="dot" w:pos="8306"/>
            </w:tabs>
          </w:pPr>
          <w:r>
            <w:fldChar w:fldCharType="begin"/>
          </w:r>
          <w:r>
            <w:instrText xml:space="preserve"> HYPERLINK \l _Toc11024 </w:instrText>
          </w:r>
          <w:r>
            <w:fldChar w:fldCharType="separate"/>
          </w:r>
          <w:r>
            <w:rPr>
              <w:rFonts w:hint="eastAsia"/>
            </w:rPr>
            <w:t>七、“三公”经费财政拨款支出决算情况说明</w:t>
          </w:r>
          <w:r>
            <w:tab/>
          </w:r>
          <w:r>
            <w:fldChar w:fldCharType="begin"/>
          </w:r>
          <w:r>
            <w:instrText xml:space="preserve"> PAGEREF _Toc11024 \h </w:instrText>
          </w:r>
          <w:r>
            <w:fldChar w:fldCharType="separate"/>
          </w:r>
          <w:r>
            <w:t>13</w:t>
          </w:r>
          <w:r>
            <w:fldChar w:fldCharType="end"/>
          </w:r>
          <w:r>
            <w:fldChar w:fldCharType="end"/>
          </w:r>
        </w:p>
        <w:p w14:paraId="39014AD1">
          <w:pPr>
            <w:pStyle w:val="18"/>
            <w:tabs>
              <w:tab w:val="right" w:leader="dot" w:pos="8306"/>
            </w:tabs>
          </w:pPr>
          <w:r>
            <w:fldChar w:fldCharType="begin"/>
          </w:r>
          <w:r>
            <w:instrText xml:space="preserve"> HYPERLINK \l _Toc11395 </w:instrText>
          </w:r>
          <w:r>
            <w:fldChar w:fldCharType="separate"/>
          </w:r>
          <w:r>
            <w:rPr>
              <w:rFonts w:hint="eastAsia"/>
            </w:rPr>
            <w:t>八、政府性基金预算支出决算情况说明</w:t>
          </w:r>
          <w:r>
            <w:tab/>
          </w:r>
          <w:r>
            <w:fldChar w:fldCharType="begin"/>
          </w:r>
          <w:r>
            <w:instrText xml:space="preserve"> PAGEREF _Toc11395 \h </w:instrText>
          </w:r>
          <w:r>
            <w:fldChar w:fldCharType="separate"/>
          </w:r>
          <w:r>
            <w:t>15</w:t>
          </w:r>
          <w:r>
            <w:fldChar w:fldCharType="end"/>
          </w:r>
          <w:r>
            <w:fldChar w:fldCharType="end"/>
          </w:r>
        </w:p>
        <w:p w14:paraId="5B4C0FD3">
          <w:pPr>
            <w:pStyle w:val="18"/>
            <w:tabs>
              <w:tab w:val="right" w:leader="dot" w:pos="8306"/>
            </w:tabs>
          </w:pPr>
          <w:r>
            <w:fldChar w:fldCharType="begin"/>
          </w:r>
          <w:r>
            <w:instrText xml:space="preserve"> HYPERLINK \l _Toc16535 </w:instrText>
          </w:r>
          <w:r>
            <w:fldChar w:fldCharType="separate"/>
          </w:r>
          <w:r>
            <w:rPr>
              <w:rFonts w:hint="eastAsia" w:cs="Times New Roman"/>
            </w:rPr>
            <w:t xml:space="preserve">九、 </w:t>
          </w:r>
          <w:r>
            <w:rPr>
              <w:rFonts w:hint="eastAsia"/>
            </w:rPr>
            <w:t>国有资本经营预算支出决算情况说明</w:t>
          </w:r>
          <w:r>
            <w:tab/>
          </w:r>
          <w:r>
            <w:fldChar w:fldCharType="begin"/>
          </w:r>
          <w:r>
            <w:instrText xml:space="preserve"> PAGEREF _Toc16535 \h </w:instrText>
          </w:r>
          <w:r>
            <w:fldChar w:fldCharType="separate"/>
          </w:r>
          <w:r>
            <w:t>15</w:t>
          </w:r>
          <w:r>
            <w:fldChar w:fldCharType="end"/>
          </w:r>
          <w:r>
            <w:fldChar w:fldCharType="end"/>
          </w:r>
        </w:p>
        <w:p w14:paraId="36467A16">
          <w:pPr>
            <w:pStyle w:val="18"/>
            <w:tabs>
              <w:tab w:val="right" w:leader="dot" w:pos="8306"/>
            </w:tabs>
          </w:pPr>
          <w:r>
            <w:fldChar w:fldCharType="begin"/>
          </w:r>
          <w:r>
            <w:instrText xml:space="preserve"> HYPERLINK \l _Toc9352 </w:instrText>
          </w:r>
          <w:r>
            <w:fldChar w:fldCharType="separate"/>
          </w:r>
          <w:r>
            <w:rPr>
              <w:rFonts w:hint="eastAsia"/>
            </w:rPr>
            <w:t>十、其他重要事项的情况说明</w:t>
          </w:r>
          <w:r>
            <w:tab/>
          </w:r>
          <w:r>
            <w:fldChar w:fldCharType="begin"/>
          </w:r>
          <w:r>
            <w:instrText xml:space="preserve"> PAGEREF _Toc9352 \h </w:instrText>
          </w:r>
          <w:r>
            <w:fldChar w:fldCharType="separate"/>
          </w:r>
          <w:r>
            <w:t>15</w:t>
          </w:r>
          <w:r>
            <w:fldChar w:fldCharType="end"/>
          </w:r>
          <w:r>
            <w:fldChar w:fldCharType="end"/>
          </w:r>
        </w:p>
        <w:p w14:paraId="2334F791">
          <w:pPr>
            <w:pStyle w:val="15"/>
            <w:tabs>
              <w:tab w:val="right" w:leader="dot" w:pos="8306"/>
            </w:tabs>
          </w:pPr>
          <w:r>
            <w:fldChar w:fldCharType="begin"/>
          </w:r>
          <w:r>
            <w:instrText xml:space="preserve"> HYPERLINK \l _Toc7132 </w:instrText>
          </w:r>
          <w:r>
            <w:fldChar w:fldCharType="separate"/>
          </w:r>
          <w:r>
            <w:rPr>
              <w:rFonts w:hint="eastAsia" w:cs="Times New Roman"/>
            </w:rPr>
            <w:t xml:space="preserve">第三部分 </w:t>
          </w:r>
          <w:r>
            <w:rPr>
              <w:rFonts w:hint="eastAsia"/>
            </w:rPr>
            <w:t>名词解释</w:t>
          </w:r>
          <w:r>
            <w:tab/>
          </w:r>
          <w:r>
            <w:fldChar w:fldCharType="begin"/>
          </w:r>
          <w:r>
            <w:instrText xml:space="preserve"> PAGEREF _Toc7132 \h </w:instrText>
          </w:r>
          <w:r>
            <w:fldChar w:fldCharType="separate"/>
          </w:r>
          <w:r>
            <w:t>21</w:t>
          </w:r>
          <w:r>
            <w:fldChar w:fldCharType="end"/>
          </w:r>
          <w:r>
            <w:fldChar w:fldCharType="end"/>
          </w:r>
        </w:p>
        <w:p w14:paraId="46C6D4BF">
          <w:pPr>
            <w:pStyle w:val="15"/>
            <w:tabs>
              <w:tab w:val="right" w:leader="dot" w:pos="8306"/>
            </w:tabs>
          </w:pPr>
          <w:r>
            <w:fldChar w:fldCharType="begin"/>
          </w:r>
          <w:r>
            <w:instrText xml:space="preserve"> HYPERLINK \l _Toc342 </w:instrText>
          </w:r>
          <w:r>
            <w:fldChar w:fldCharType="separate"/>
          </w:r>
          <w:r>
            <w:rPr>
              <w:rFonts w:hint="eastAsia"/>
            </w:rPr>
            <w:t>第</w:t>
          </w:r>
          <w:r>
            <w:rPr>
              <w:rFonts w:hint="eastAsia"/>
              <w:lang w:eastAsia="zh-CN"/>
            </w:rPr>
            <w:t>四</w:t>
          </w:r>
          <w:r>
            <w:rPr>
              <w:rFonts w:hint="eastAsia"/>
            </w:rPr>
            <w:t>部分</w:t>
          </w:r>
          <w:r>
            <w:t xml:space="preserve"> </w:t>
          </w:r>
          <w:r>
            <w:rPr>
              <w:rFonts w:hint="eastAsia"/>
            </w:rPr>
            <w:t>附表</w:t>
          </w:r>
          <w:r>
            <w:tab/>
          </w:r>
          <w:r>
            <w:fldChar w:fldCharType="begin"/>
          </w:r>
          <w:r>
            <w:instrText xml:space="preserve"> PAGEREF _Toc342 \h </w:instrText>
          </w:r>
          <w:r>
            <w:fldChar w:fldCharType="separate"/>
          </w:r>
          <w:r>
            <w:t>23</w:t>
          </w:r>
          <w:r>
            <w:fldChar w:fldCharType="end"/>
          </w:r>
          <w:r>
            <w:fldChar w:fldCharType="end"/>
          </w:r>
        </w:p>
        <w:p w14:paraId="548F7BD3">
          <w:pPr>
            <w:pStyle w:val="18"/>
            <w:tabs>
              <w:tab w:val="right" w:leader="dot" w:pos="8306"/>
            </w:tabs>
          </w:pPr>
          <w:r>
            <w:fldChar w:fldCharType="begin"/>
          </w:r>
          <w:r>
            <w:instrText xml:space="preserve"> HYPERLINK \l _Toc4022 </w:instrText>
          </w:r>
          <w:r>
            <w:fldChar w:fldCharType="separate"/>
          </w:r>
          <w:r>
            <w:rPr>
              <w:rFonts w:hint="eastAsia"/>
            </w:rPr>
            <w:t>一、收入支出决算总表</w:t>
          </w:r>
          <w:r>
            <w:tab/>
          </w:r>
          <w:r>
            <w:fldChar w:fldCharType="begin"/>
          </w:r>
          <w:r>
            <w:instrText xml:space="preserve"> PAGEREF _Toc4022 \h </w:instrText>
          </w:r>
          <w:r>
            <w:fldChar w:fldCharType="separate"/>
          </w:r>
          <w:r>
            <w:t>23</w:t>
          </w:r>
          <w:r>
            <w:fldChar w:fldCharType="end"/>
          </w:r>
          <w:r>
            <w:fldChar w:fldCharType="end"/>
          </w:r>
        </w:p>
        <w:p w14:paraId="53156E5A">
          <w:pPr>
            <w:pStyle w:val="18"/>
            <w:tabs>
              <w:tab w:val="right" w:leader="dot" w:pos="8306"/>
            </w:tabs>
          </w:pPr>
          <w:r>
            <w:fldChar w:fldCharType="begin"/>
          </w:r>
          <w:r>
            <w:instrText xml:space="preserve"> HYPERLINK \l _Toc1183 </w:instrText>
          </w:r>
          <w:r>
            <w:fldChar w:fldCharType="separate"/>
          </w:r>
          <w:r>
            <w:rPr>
              <w:rFonts w:hint="eastAsia"/>
            </w:rPr>
            <w:t>二、收入决算表</w:t>
          </w:r>
          <w:r>
            <w:tab/>
          </w:r>
          <w:r>
            <w:fldChar w:fldCharType="begin"/>
          </w:r>
          <w:r>
            <w:instrText xml:space="preserve"> PAGEREF _Toc1183 \h </w:instrText>
          </w:r>
          <w:r>
            <w:fldChar w:fldCharType="separate"/>
          </w:r>
          <w:r>
            <w:t>23</w:t>
          </w:r>
          <w:r>
            <w:fldChar w:fldCharType="end"/>
          </w:r>
          <w:r>
            <w:fldChar w:fldCharType="end"/>
          </w:r>
        </w:p>
        <w:p w14:paraId="62B50781">
          <w:pPr>
            <w:pStyle w:val="18"/>
            <w:tabs>
              <w:tab w:val="right" w:leader="dot" w:pos="8306"/>
            </w:tabs>
          </w:pPr>
          <w:r>
            <w:fldChar w:fldCharType="begin"/>
          </w:r>
          <w:r>
            <w:instrText xml:space="preserve"> HYPERLINK \l _Toc28789 </w:instrText>
          </w:r>
          <w:r>
            <w:fldChar w:fldCharType="separate"/>
          </w:r>
          <w:r>
            <w:rPr>
              <w:rFonts w:hint="eastAsia"/>
            </w:rPr>
            <w:t>三、支出决算表</w:t>
          </w:r>
          <w:r>
            <w:tab/>
          </w:r>
          <w:r>
            <w:fldChar w:fldCharType="begin"/>
          </w:r>
          <w:r>
            <w:instrText xml:space="preserve"> PAGEREF _Toc28789 \h </w:instrText>
          </w:r>
          <w:r>
            <w:fldChar w:fldCharType="separate"/>
          </w:r>
          <w:r>
            <w:t>23</w:t>
          </w:r>
          <w:r>
            <w:fldChar w:fldCharType="end"/>
          </w:r>
          <w:r>
            <w:fldChar w:fldCharType="end"/>
          </w:r>
        </w:p>
        <w:p w14:paraId="2A196E36">
          <w:pPr>
            <w:pStyle w:val="18"/>
            <w:tabs>
              <w:tab w:val="right" w:leader="dot" w:pos="8306"/>
            </w:tabs>
          </w:pPr>
          <w:r>
            <w:fldChar w:fldCharType="begin"/>
          </w:r>
          <w:r>
            <w:instrText xml:space="preserve"> HYPERLINK \l _Toc3382 </w:instrText>
          </w:r>
          <w:r>
            <w:fldChar w:fldCharType="separate"/>
          </w:r>
          <w:r>
            <w:rPr>
              <w:rFonts w:hint="eastAsia"/>
            </w:rPr>
            <w:t>四、财政拨款收入支出决算总表</w:t>
          </w:r>
          <w:r>
            <w:tab/>
          </w:r>
          <w:r>
            <w:fldChar w:fldCharType="begin"/>
          </w:r>
          <w:r>
            <w:instrText xml:space="preserve"> PAGEREF _Toc3382 \h </w:instrText>
          </w:r>
          <w:r>
            <w:fldChar w:fldCharType="separate"/>
          </w:r>
          <w:r>
            <w:t>23</w:t>
          </w:r>
          <w:r>
            <w:fldChar w:fldCharType="end"/>
          </w:r>
          <w:r>
            <w:fldChar w:fldCharType="end"/>
          </w:r>
        </w:p>
        <w:p w14:paraId="168725AE">
          <w:pPr>
            <w:pStyle w:val="18"/>
            <w:tabs>
              <w:tab w:val="right" w:leader="dot" w:pos="8306"/>
            </w:tabs>
          </w:pPr>
          <w:r>
            <w:fldChar w:fldCharType="begin"/>
          </w:r>
          <w:r>
            <w:instrText xml:space="preserve"> HYPERLINK \l _Toc5723 </w:instrText>
          </w:r>
          <w:r>
            <w:fldChar w:fldCharType="separate"/>
          </w:r>
          <w:r>
            <w:rPr>
              <w:rFonts w:hint="eastAsia"/>
            </w:rPr>
            <w:t>五、财政拨款支出决算明细表</w:t>
          </w:r>
          <w:r>
            <w:tab/>
          </w:r>
          <w:r>
            <w:fldChar w:fldCharType="begin"/>
          </w:r>
          <w:r>
            <w:instrText xml:space="preserve"> PAGEREF _Toc5723 \h </w:instrText>
          </w:r>
          <w:r>
            <w:fldChar w:fldCharType="separate"/>
          </w:r>
          <w:r>
            <w:t>23</w:t>
          </w:r>
          <w:r>
            <w:fldChar w:fldCharType="end"/>
          </w:r>
          <w:r>
            <w:fldChar w:fldCharType="end"/>
          </w:r>
        </w:p>
        <w:p w14:paraId="27228BAD">
          <w:pPr>
            <w:pStyle w:val="18"/>
            <w:tabs>
              <w:tab w:val="right" w:leader="dot" w:pos="8306"/>
            </w:tabs>
          </w:pPr>
          <w:r>
            <w:fldChar w:fldCharType="begin"/>
          </w:r>
          <w:r>
            <w:instrText xml:space="preserve"> HYPERLINK \l _Toc7199 </w:instrText>
          </w:r>
          <w:r>
            <w:fldChar w:fldCharType="separate"/>
          </w:r>
          <w:r>
            <w:rPr>
              <w:rFonts w:hint="eastAsia"/>
            </w:rPr>
            <w:t>六、一般公共预算财政拨款支出决算表</w:t>
          </w:r>
          <w:r>
            <w:tab/>
          </w:r>
          <w:r>
            <w:fldChar w:fldCharType="begin"/>
          </w:r>
          <w:r>
            <w:instrText xml:space="preserve"> PAGEREF _Toc7199 \h </w:instrText>
          </w:r>
          <w:r>
            <w:fldChar w:fldCharType="separate"/>
          </w:r>
          <w:r>
            <w:t>23</w:t>
          </w:r>
          <w:r>
            <w:fldChar w:fldCharType="end"/>
          </w:r>
          <w:r>
            <w:fldChar w:fldCharType="end"/>
          </w:r>
        </w:p>
        <w:p w14:paraId="627345E2">
          <w:pPr>
            <w:pStyle w:val="18"/>
            <w:tabs>
              <w:tab w:val="right" w:leader="dot" w:pos="8306"/>
            </w:tabs>
          </w:pPr>
          <w:r>
            <w:fldChar w:fldCharType="begin"/>
          </w:r>
          <w:r>
            <w:instrText xml:space="preserve"> HYPERLINK \l _Toc10469 </w:instrText>
          </w:r>
          <w:r>
            <w:fldChar w:fldCharType="separate"/>
          </w:r>
          <w:r>
            <w:rPr>
              <w:rFonts w:hint="eastAsia"/>
            </w:rPr>
            <w:t>七、一般公共预算财政拨款支出决算明细表</w:t>
          </w:r>
          <w:r>
            <w:tab/>
          </w:r>
          <w:r>
            <w:fldChar w:fldCharType="begin"/>
          </w:r>
          <w:r>
            <w:instrText xml:space="preserve"> PAGEREF _Toc10469 \h </w:instrText>
          </w:r>
          <w:r>
            <w:fldChar w:fldCharType="separate"/>
          </w:r>
          <w:r>
            <w:t>23</w:t>
          </w:r>
          <w:r>
            <w:fldChar w:fldCharType="end"/>
          </w:r>
          <w:r>
            <w:fldChar w:fldCharType="end"/>
          </w:r>
        </w:p>
        <w:p w14:paraId="470F5099">
          <w:pPr>
            <w:pStyle w:val="18"/>
            <w:tabs>
              <w:tab w:val="right" w:leader="dot" w:pos="8306"/>
            </w:tabs>
          </w:pPr>
          <w:r>
            <w:fldChar w:fldCharType="begin"/>
          </w:r>
          <w:r>
            <w:instrText xml:space="preserve"> HYPERLINK \l _Toc25422 </w:instrText>
          </w:r>
          <w:r>
            <w:fldChar w:fldCharType="separate"/>
          </w:r>
          <w:r>
            <w:rPr>
              <w:rFonts w:hint="eastAsia"/>
            </w:rPr>
            <w:t>八、一般公共预算财政拨款基本支出决算表</w:t>
          </w:r>
          <w:r>
            <w:tab/>
          </w:r>
          <w:r>
            <w:fldChar w:fldCharType="begin"/>
          </w:r>
          <w:r>
            <w:instrText xml:space="preserve"> PAGEREF _Toc25422 \h </w:instrText>
          </w:r>
          <w:r>
            <w:fldChar w:fldCharType="separate"/>
          </w:r>
          <w:r>
            <w:t>23</w:t>
          </w:r>
          <w:r>
            <w:fldChar w:fldCharType="end"/>
          </w:r>
          <w:r>
            <w:fldChar w:fldCharType="end"/>
          </w:r>
        </w:p>
        <w:p w14:paraId="624B85AB">
          <w:pPr>
            <w:pStyle w:val="18"/>
            <w:tabs>
              <w:tab w:val="right" w:leader="dot" w:pos="8306"/>
            </w:tabs>
          </w:pPr>
          <w:r>
            <w:fldChar w:fldCharType="begin"/>
          </w:r>
          <w:r>
            <w:instrText xml:space="preserve"> HYPERLINK \l _Toc8471 </w:instrText>
          </w:r>
          <w:r>
            <w:fldChar w:fldCharType="separate"/>
          </w:r>
          <w:r>
            <w:rPr>
              <w:rFonts w:hint="eastAsia"/>
            </w:rPr>
            <w:t>九、一般公共预算财政拨款项目支出决算表</w:t>
          </w:r>
          <w:r>
            <w:tab/>
          </w:r>
          <w:r>
            <w:fldChar w:fldCharType="begin"/>
          </w:r>
          <w:r>
            <w:instrText xml:space="preserve"> PAGEREF _Toc8471 \h </w:instrText>
          </w:r>
          <w:r>
            <w:fldChar w:fldCharType="separate"/>
          </w:r>
          <w:r>
            <w:t>23</w:t>
          </w:r>
          <w:r>
            <w:fldChar w:fldCharType="end"/>
          </w:r>
          <w:r>
            <w:fldChar w:fldCharType="end"/>
          </w:r>
        </w:p>
        <w:p w14:paraId="43331B41">
          <w:pPr>
            <w:pStyle w:val="18"/>
            <w:tabs>
              <w:tab w:val="right" w:leader="dot" w:pos="8306"/>
            </w:tabs>
          </w:pPr>
          <w:r>
            <w:fldChar w:fldCharType="begin"/>
          </w:r>
          <w:r>
            <w:instrText xml:space="preserve"> HYPERLINK \l _Toc13094 </w:instrText>
          </w:r>
          <w:r>
            <w:fldChar w:fldCharType="separate"/>
          </w:r>
          <w:r>
            <w:rPr>
              <w:rFonts w:hint="eastAsia"/>
            </w:rPr>
            <w:t>十、政府性基金预算财政拨款收入支出决算表</w:t>
          </w:r>
          <w:r>
            <w:tab/>
          </w:r>
          <w:r>
            <w:fldChar w:fldCharType="begin"/>
          </w:r>
          <w:r>
            <w:instrText xml:space="preserve"> PAGEREF _Toc13094 \h </w:instrText>
          </w:r>
          <w:r>
            <w:fldChar w:fldCharType="separate"/>
          </w:r>
          <w:r>
            <w:t>23</w:t>
          </w:r>
          <w:r>
            <w:fldChar w:fldCharType="end"/>
          </w:r>
          <w:r>
            <w:fldChar w:fldCharType="end"/>
          </w:r>
        </w:p>
        <w:p w14:paraId="5108AB7F">
          <w:pPr>
            <w:pStyle w:val="18"/>
            <w:tabs>
              <w:tab w:val="right" w:leader="dot" w:pos="8306"/>
            </w:tabs>
          </w:pPr>
          <w:r>
            <w:fldChar w:fldCharType="begin"/>
          </w:r>
          <w:r>
            <w:instrText xml:space="preserve"> HYPERLINK \l _Toc9065 </w:instrText>
          </w:r>
          <w:r>
            <w:fldChar w:fldCharType="separate"/>
          </w:r>
          <w:r>
            <w:rPr>
              <w:rFonts w:hint="eastAsia"/>
            </w:rPr>
            <w:t>十一、国有资本经营预算财政拨款</w:t>
          </w:r>
          <w:r>
            <w:rPr>
              <w:rFonts w:hint="eastAsia"/>
              <w:lang w:eastAsia="zh-CN"/>
            </w:rPr>
            <w:t>收入</w:t>
          </w:r>
          <w:r>
            <w:rPr>
              <w:rFonts w:hint="eastAsia"/>
            </w:rPr>
            <w:t>支出决算表</w:t>
          </w:r>
          <w:r>
            <w:tab/>
          </w:r>
          <w:r>
            <w:fldChar w:fldCharType="begin"/>
          </w:r>
          <w:r>
            <w:instrText xml:space="preserve"> PAGEREF _Toc9065 \h </w:instrText>
          </w:r>
          <w:r>
            <w:fldChar w:fldCharType="separate"/>
          </w:r>
          <w:r>
            <w:t>23</w:t>
          </w:r>
          <w:r>
            <w:fldChar w:fldCharType="end"/>
          </w:r>
          <w:r>
            <w:fldChar w:fldCharType="end"/>
          </w:r>
        </w:p>
        <w:p w14:paraId="016193A7">
          <w:pPr>
            <w:pStyle w:val="18"/>
            <w:tabs>
              <w:tab w:val="right" w:leader="dot" w:pos="8306"/>
            </w:tabs>
          </w:pPr>
          <w:r>
            <w:fldChar w:fldCharType="begin"/>
          </w:r>
          <w:r>
            <w:instrText xml:space="preserve"> HYPERLINK \l _Toc1340 </w:instrText>
          </w:r>
          <w:r>
            <w:fldChar w:fldCharType="separate"/>
          </w:r>
          <w:r>
            <w:rPr>
              <w:rFonts w:hint="eastAsia"/>
            </w:rPr>
            <w:t>十</w:t>
          </w:r>
          <w:r>
            <w:rPr>
              <w:rFonts w:hint="eastAsia"/>
              <w:lang w:eastAsia="zh-CN"/>
            </w:rPr>
            <w:t>二</w:t>
          </w:r>
          <w:r>
            <w:rPr>
              <w:rFonts w:hint="eastAsia"/>
            </w:rPr>
            <w:t>、国有资本经营预算财政拨款支出决算表</w:t>
          </w:r>
          <w:r>
            <w:tab/>
          </w:r>
          <w:r>
            <w:fldChar w:fldCharType="begin"/>
          </w:r>
          <w:r>
            <w:instrText xml:space="preserve"> PAGEREF _Toc1340 \h </w:instrText>
          </w:r>
          <w:r>
            <w:fldChar w:fldCharType="separate"/>
          </w:r>
          <w:r>
            <w:t>23</w:t>
          </w:r>
          <w:r>
            <w:fldChar w:fldCharType="end"/>
          </w:r>
          <w:r>
            <w:fldChar w:fldCharType="end"/>
          </w:r>
        </w:p>
        <w:p w14:paraId="1F22DC91">
          <w:pPr>
            <w:pStyle w:val="18"/>
            <w:tabs>
              <w:tab w:val="right" w:leader="dot" w:pos="8306"/>
            </w:tabs>
          </w:pPr>
          <w:r>
            <w:fldChar w:fldCharType="begin"/>
          </w:r>
          <w:r>
            <w:instrText xml:space="preserve"> HYPERLINK \l _Toc5658 </w:instrText>
          </w:r>
          <w:r>
            <w:fldChar w:fldCharType="separate"/>
          </w:r>
          <w:r>
            <w:rPr>
              <w:rFonts w:hint="eastAsia"/>
              <w:lang w:eastAsia="zh-CN"/>
            </w:rPr>
            <w:t>十三、</w:t>
          </w:r>
          <w:r>
            <w:rPr>
              <w:rFonts w:hint="eastAsia"/>
            </w:rPr>
            <w:t>财政拨款“三公”经费支出决算表</w:t>
          </w:r>
          <w:r>
            <w:tab/>
          </w:r>
          <w:r>
            <w:fldChar w:fldCharType="begin"/>
          </w:r>
          <w:r>
            <w:instrText xml:space="preserve"> PAGEREF _Toc5658 \h </w:instrText>
          </w:r>
          <w:r>
            <w:fldChar w:fldCharType="separate"/>
          </w:r>
          <w:r>
            <w:t>23</w:t>
          </w:r>
          <w:r>
            <w:fldChar w:fldCharType="end"/>
          </w:r>
          <w:r>
            <w:fldChar w:fldCharType="end"/>
          </w:r>
        </w:p>
        <w:p w14:paraId="44CC16AD">
          <w:r>
            <w:fldChar w:fldCharType="end"/>
          </w:r>
        </w:p>
      </w:sdtContent>
    </w:sdt>
    <w:p w14:paraId="74BC9404"/>
    <w:p w14:paraId="3EB8EF12">
      <w:pPr>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65A4A927">
      <w:pPr>
        <w:pStyle w:val="3"/>
        <w:bidi w:val="0"/>
        <w:jc w:val="center"/>
        <w:rPr>
          <w:rStyle w:val="26"/>
          <w:rFonts w:ascii="黑体" w:hAnsi="黑体" w:eastAsia="黑体"/>
          <w:b/>
          <w:bCs w:val="0"/>
        </w:rPr>
      </w:pPr>
      <w:bookmarkStart w:id="14" w:name="_Toc79163851"/>
      <w:bookmarkStart w:id="15" w:name="_Toc12906"/>
      <w:bookmarkStart w:id="16" w:name="_Toc79163601"/>
      <w:bookmarkStart w:id="17" w:name="_Toc24858"/>
      <w:r>
        <w:rPr>
          <w:rFonts w:hint="eastAsia"/>
        </w:rPr>
        <w:t>第一部分</w:t>
      </w:r>
      <w:r>
        <w:t xml:space="preserve"> </w:t>
      </w:r>
      <w:r>
        <w:rPr>
          <w:rFonts w:hint="eastAsia"/>
        </w:rPr>
        <w:t>部门概况</w:t>
      </w:r>
      <w:bookmarkEnd w:id="12"/>
      <w:bookmarkEnd w:id="13"/>
      <w:bookmarkEnd w:id="14"/>
      <w:bookmarkEnd w:id="15"/>
      <w:bookmarkEnd w:id="16"/>
      <w:bookmarkEnd w:id="17"/>
    </w:p>
    <w:p w14:paraId="2408810E">
      <w:pPr>
        <w:widowControl/>
        <w:jc w:val="left"/>
        <w:rPr>
          <w:rFonts w:ascii="黑体" w:eastAsia="黑体"/>
          <w:color w:val="000000"/>
          <w:sz w:val="32"/>
          <w:szCs w:val="32"/>
        </w:rPr>
      </w:pPr>
    </w:p>
    <w:p w14:paraId="40A0F011">
      <w:pPr>
        <w:pStyle w:val="4"/>
        <w:bidi w:val="0"/>
        <w:rPr>
          <w:rFonts w:hint="default"/>
          <w:lang w:val="en-US" w:eastAsia="zh-CN"/>
        </w:rPr>
      </w:pPr>
      <w:bookmarkStart w:id="18" w:name="_Toc15396600"/>
      <w:bookmarkStart w:id="19" w:name="_Toc32609"/>
      <w:bookmarkStart w:id="20" w:name="_Toc15377197"/>
      <w:bookmarkStart w:id="21" w:name="_Toc79163852"/>
      <w:bookmarkStart w:id="22" w:name="_Toc79163602"/>
      <w:bookmarkStart w:id="23" w:name="_Toc12052"/>
      <w:r>
        <w:rPr>
          <w:rFonts w:hint="eastAsia"/>
          <w:lang w:val="en-US" w:eastAsia="zh-CN"/>
        </w:rPr>
        <w:t>一、基本职能及主要工作</w:t>
      </w:r>
      <w:bookmarkEnd w:id="18"/>
      <w:bookmarkEnd w:id="19"/>
      <w:bookmarkEnd w:id="20"/>
      <w:bookmarkEnd w:id="21"/>
      <w:bookmarkEnd w:id="22"/>
      <w:bookmarkEnd w:id="23"/>
    </w:p>
    <w:p w14:paraId="705694B3">
      <w:pPr>
        <w:pStyle w:val="20"/>
        <w:shd w:val="clear" w:color="auto" w:fill="FFFFFF"/>
        <w:spacing w:before="0" w:beforeAutospacing="0" w:after="0" w:afterAutospacing="0" w:line="576" w:lineRule="exact"/>
        <w:ind w:firstLine="643" w:firstLineChars="200"/>
        <w:rPr>
          <w:rFonts w:hint="eastAsia" w:ascii="仿宋" w:hAnsi="仿宋" w:eastAsia="仿宋" w:cs="仿宋"/>
          <w:color w:val="000000"/>
          <w:sz w:val="32"/>
          <w:szCs w:val="32"/>
        </w:rPr>
      </w:pPr>
      <w:bookmarkStart w:id="24" w:name="_Toc15377199"/>
      <w:bookmarkStart w:id="25" w:name="_Toc79163604"/>
      <w:bookmarkStart w:id="26" w:name="_Toc79163854"/>
      <w:bookmarkStart w:id="27" w:name="_Toc15378446"/>
      <w:r>
        <w:rPr>
          <w:rStyle w:val="28"/>
          <w:rFonts w:hint="eastAsia"/>
        </w:rPr>
        <w:t>（一）主要职能。</w:t>
      </w:r>
      <w:r>
        <w:rPr>
          <w:rFonts w:hint="eastAsia" w:ascii="仿宋" w:hAnsi="仿宋" w:eastAsia="仿宋" w:cs="仿宋"/>
          <w:color w:val="000000"/>
          <w:sz w:val="32"/>
          <w:szCs w:val="32"/>
        </w:rPr>
        <w:t xml:space="preserve">松潘县残联是中国残联的地方组织，是将 </w:t>
      </w:r>
      <w:bookmarkStart w:id="226" w:name="_GoBack"/>
      <w:r>
        <w:rPr>
          <w:rFonts w:hint="eastAsia" w:ascii="仿宋" w:hAnsi="仿宋" w:eastAsia="仿宋" w:cs="仿宋"/>
          <w:color w:val="000000"/>
          <w:sz w:val="32"/>
          <w:szCs w:val="32"/>
          <w:lang w:eastAsia="zh-CN"/>
        </w:rPr>
        <w:t>“</w:t>
      </w:r>
      <w:bookmarkEnd w:id="226"/>
      <w:r>
        <w:rPr>
          <w:rFonts w:hint="eastAsia" w:ascii="仿宋" w:hAnsi="仿宋" w:eastAsia="仿宋" w:cs="仿宋"/>
          <w:color w:val="000000"/>
          <w:sz w:val="32"/>
          <w:szCs w:val="32"/>
        </w:rPr>
        <w:t>代表、服务、管理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三大职能融为一体的残疾人群众团体，是县委、县政府联系全县残疾人的桥梁和纽带。代表残疾人共同利益，维护残疾人合法权益；开展各项业务和活动，直接为残疾人服务；承担政府委托的部分行政职能，发展和管理残疾人事业。其主要职责是：</w:t>
      </w:r>
    </w:p>
    <w:p w14:paraId="6AF1B6CB">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1.</w:t>
      </w:r>
      <w:r>
        <w:rPr>
          <w:rFonts w:hint="eastAsia" w:ascii="仿宋" w:hAnsi="仿宋" w:eastAsia="仿宋" w:cs="仿宋"/>
          <w:color w:val="000000"/>
          <w:sz w:val="32"/>
          <w:szCs w:val="32"/>
        </w:rPr>
        <w:t>承担县政府残疾人工作委员会的日常工作。</w:t>
      </w:r>
    </w:p>
    <w:p w14:paraId="45FB3609">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2.</w:t>
      </w:r>
      <w:r>
        <w:rPr>
          <w:rFonts w:hint="eastAsia" w:ascii="仿宋" w:hAnsi="仿宋" w:eastAsia="仿宋" w:cs="仿宋"/>
          <w:color w:val="000000"/>
          <w:sz w:val="32"/>
          <w:szCs w:val="32"/>
        </w:rPr>
        <w:t>团结、教育残疾人遵纪守法，履行应尽的义务，发扬乐观进取精神，自尊、自信、自强、自立，为社会主义建设贡献力量。</w:t>
      </w:r>
    </w:p>
    <w:p w14:paraId="4AB6A0BB">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3.</w:t>
      </w:r>
      <w:r>
        <w:rPr>
          <w:rFonts w:hint="eastAsia" w:ascii="仿宋" w:hAnsi="仿宋" w:eastAsia="仿宋" w:cs="仿宋"/>
          <w:color w:val="000000"/>
          <w:sz w:val="32"/>
          <w:szCs w:val="32"/>
        </w:rPr>
        <w:t>弘扬人道主义，宣传残疾人事业，沟通政府、社会与残疾人之间的联系，推动社会理解、尊重、关心、帮助残疾人。</w:t>
      </w:r>
    </w:p>
    <w:p w14:paraId="40031C41">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4.</w:t>
      </w:r>
      <w:r>
        <w:rPr>
          <w:rFonts w:hint="eastAsia" w:ascii="仿宋" w:hAnsi="仿宋" w:eastAsia="仿宋" w:cs="仿宋"/>
          <w:color w:val="000000"/>
          <w:sz w:val="32"/>
          <w:szCs w:val="32"/>
        </w:rPr>
        <w:t>开展残疾人康复、教育、劳动就业、扶贫解困、福利、社会服务、无障碍设施和残疾预防等工作，创造良好的环境和条件，扶助残疾人平等参与社会生活。</w:t>
      </w:r>
    </w:p>
    <w:p w14:paraId="6E79B3CB">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5.</w:t>
      </w:r>
      <w:r>
        <w:rPr>
          <w:rFonts w:hint="eastAsia" w:ascii="仿宋" w:hAnsi="仿宋" w:eastAsia="仿宋" w:cs="仿宋"/>
          <w:color w:val="000000"/>
          <w:sz w:val="32"/>
          <w:szCs w:val="32"/>
        </w:rPr>
        <w:t>协助政府研究、制定和实施残疾人事业的法规、政策规划和计划，对有关业务领域进行指导与管理。</w:t>
      </w:r>
    </w:p>
    <w:p w14:paraId="7E4DEC33">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6.</w:t>
      </w:r>
      <w:r>
        <w:rPr>
          <w:rFonts w:hint="eastAsia" w:ascii="仿宋" w:hAnsi="仿宋" w:eastAsia="仿宋" w:cs="仿宋"/>
          <w:color w:val="000000"/>
          <w:sz w:val="32"/>
          <w:szCs w:val="32"/>
        </w:rPr>
        <w:t>听取残疾人的意见，反映残疾人的需求，维护残疾人的合法权益，为残疾人服务。</w:t>
      </w:r>
    </w:p>
    <w:p w14:paraId="6B1A9591">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7.</w:t>
      </w:r>
      <w:r>
        <w:rPr>
          <w:rFonts w:hint="eastAsia" w:ascii="仿宋" w:hAnsi="仿宋" w:eastAsia="仿宋" w:cs="仿宋"/>
          <w:color w:val="000000"/>
          <w:sz w:val="32"/>
          <w:szCs w:val="32"/>
        </w:rPr>
        <w:t>指导乡镇残疾人联合会的工作。</w:t>
      </w:r>
    </w:p>
    <w:p w14:paraId="11D1382D">
      <w:pPr>
        <w:pStyle w:val="20"/>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8.</w:t>
      </w:r>
      <w:r>
        <w:rPr>
          <w:rFonts w:hint="eastAsia" w:ascii="仿宋" w:hAnsi="仿宋" w:eastAsia="仿宋" w:cs="仿宋"/>
          <w:color w:val="000000"/>
          <w:sz w:val="32"/>
          <w:szCs w:val="32"/>
        </w:rPr>
        <w:t>承办县委、县政府和省、市残联交办的其他工作。</w:t>
      </w:r>
    </w:p>
    <w:p w14:paraId="3367A8DC">
      <w:pPr>
        <w:pStyle w:val="20"/>
        <w:shd w:val="clear" w:color="auto" w:fill="FFFFFF"/>
        <w:spacing w:before="0" w:beforeAutospacing="0" w:after="0" w:afterAutospacing="0" w:line="576" w:lineRule="exact"/>
        <w:ind w:firstLine="420"/>
        <w:rPr>
          <w:rFonts w:hint="eastAsia" w:ascii="仿宋" w:hAnsi="仿宋" w:eastAsia="仿宋" w:cs="仿宋"/>
          <w:color w:val="000000"/>
          <w:sz w:val="32"/>
          <w:szCs w:val="32"/>
        </w:rPr>
      </w:pPr>
      <w:r>
        <w:rPr>
          <w:rFonts w:ascii="仿宋" w:hAnsi="仿宋" w:eastAsia="仿宋" w:cs="仿宋"/>
          <w:color w:val="000000"/>
          <w:sz w:val="32"/>
          <w:szCs w:val="32"/>
        </w:rPr>
        <w:t>9.</w:t>
      </w:r>
      <w:r>
        <w:rPr>
          <w:rFonts w:hint="eastAsia" w:ascii="仿宋" w:hAnsi="仿宋" w:eastAsia="仿宋" w:cs="仿宋"/>
          <w:color w:val="000000"/>
          <w:sz w:val="32"/>
          <w:szCs w:val="32"/>
        </w:rPr>
        <w:t>管理和发放《中华人民共和国残疾人证》。</w:t>
      </w:r>
    </w:p>
    <w:p w14:paraId="4128C107">
      <w:pPr>
        <w:pStyle w:val="5"/>
        <w:bidi w:val="0"/>
        <w:rPr>
          <w:rFonts w:hint="eastAsia"/>
          <w:lang w:val="en-US" w:eastAsia="zh-CN"/>
        </w:rPr>
      </w:pPr>
      <w:r>
        <w:rPr>
          <w:rFonts w:hint="eastAsia"/>
          <w:lang w:val="en-US" w:eastAsia="zh-CN"/>
        </w:rPr>
        <w:t>（二）2025年重点工作完成情况</w:t>
      </w:r>
    </w:p>
    <w:bookmarkEnd w:id="24"/>
    <w:bookmarkEnd w:id="25"/>
    <w:bookmarkEnd w:id="26"/>
    <w:bookmarkEnd w:id="27"/>
    <w:p w14:paraId="5A02E1E5">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default" w:ascii="Times New Roman" w:hAnsi="Times New Roman" w:eastAsia="仿宋_GB2312" w:cs="Times New Roman"/>
          <w:b w:val="0"/>
          <w:bCs w:val="0"/>
          <w:color w:val="000000"/>
          <w:sz w:val="32"/>
          <w:szCs w:val="32"/>
          <w:lang w:val="en-US" w:eastAsia="zh-CN"/>
        </w:rPr>
      </w:pPr>
      <w:bookmarkStart w:id="28" w:name="_Toc79163605"/>
      <w:bookmarkStart w:id="29" w:name="_Toc15377200"/>
      <w:bookmarkStart w:id="30" w:name="_Toc79163855"/>
      <w:bookmarkStart w:id="31" w:name="_Toc15396601"/>
      <w:r>
        <w:rPr>
          <w:rFonts w:hint="default" w:ascii="Times New Roman" w:hAnsi="Times New Roman" w:eastAsia="楷体_GB2312" w:cs="Times New Roman"/>
          <w:b/>
          <w:bCs/>
          <w:sz w:val="32"/>
          <w:szCs w:val="32"/>
          <w:lang w:val="en-US" w:eastAsia="zh-CN"/>
        </w:rPr>
        <w:t>目标任务完成情况</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b/>
          <w:bCs/>
          <w:color w:val="000000"/>
          <w:sz w:val="32"/>
          <w:szCs w:val="32"/>
          <w:lang w:val="en-US" w:eastAsia="zh-CN"/>
        </w:rPr>
        <w:t>一是</w:t>
      </w:r>
      <w:r>
        <w:rPr>
          <w:rFonts w:hint="default" w:ascii="Times New Roman" w:hAnsi="Times New Roman" w:eastAsia="仿宋_GB2312" w:cs="Times New Roman"/>
          <w:b w:val="0"/>
          <w:bCs w:val="0"/>
          <w:color w:val="000000"/>
          <w:sz w:val="32"/>
          <w:szCs w:val="32"/>
          <w:lang w:val="en-US" w:eastAsia="zh-CN"/>
        </w:rPr>
        <w:t>春节前夕，看望慰问全县150名困难残疾人，发放慰问金7.5万元；</w:t>
      </w:r>
      <w:r>
        <w:rPr>
          <w:rFonts w:hint="default" w:ascii="Times New Roman" w:hAnsi="Times New Roman" w:eastAsia="仿宋_GB2312" w:cs="Times New Roman"/>
          <w:b/>
          <w:bCs/>
          <w:color w:val="000000"/>
          <w:sz w:val="32"/>
          <w:szCs w:val="32"/>
          <w:lang w:val="en-US" w:eastAsia="zh-CN"/>
        </w:rPr>
        <w:t>二是</w:t>
      </w:r>
      <w:r>
        <w:rPr>
          <w:rFonts w:hint="default" w:ascii="Times New Roman" w:hAnsi="Times New Roman" w:eastAsia="仿宋_GB2312" w:cs="Times New Roman"/>
          <w:b w:val="0"/>
          <w:bCs w:val="0"/>
          <w:color w:val="000000"/>
          <w:sz w:val="32"/>
          <w:szCs w:val="32"/>
          <w:lang w:val="en-US" w:eastAsia="zh-CN"/>
        </w:rPr>
        <w:t>实施残疾儿童康复8人（标准2万元/人），已支付6万元，5人正在康复中；</w:t>
      </w:r>
      <w:r>
        <w:rPr>
          <w:rFonts w:hint="default" w:ascii="Times New Roman" w:hAnsi="Times New Roman" w:eastAsia="仿宋_GB2312" w:cs="Times New Roman"/>
          <w:b/>
          <w:bCs/>
          <w:color w:val="000000"/>
          <w:sz w:val="32"/>
          <w:szCs w:val="32"/>
          <w:lang w:val="en-US" w:eastAsia="zh-CN"/>
        </w:rPr>
        <w:t>三是</w:t>
      </w:r>
      <w:r>
        <w:rPr>
          <w:rFonts w:hint="default" w:ascii="Times New Roman" w:hAnsi="Times New Roman" w:eastAsia="仿宋_GB2312" w:cs="Times New Roman"/>
          <w:b w:val="0"/>
          <w:bCs w:val="0"/>
          <w:color w:val="000000"/>
          <w:sz w:val="32"/>
          <w:szCs w:val="32"/>
          <w:lang w:val="en-US" w:eastAsia="zh-CN"/>
        </w:rPr>
        <w:t>完成52户重度残疾人家庭无障碍改造，支付资金31.2万元；</w:t>
      </w:r>
      <w:r>
        <w:rPr>
          <w:rFonts w:hint="default" w:ascii="Times New Roman" w:hAnsi="Times New Roman" w:eastAsia="仿宋_GB2312" w:cs="Times New Roman"/>
          <w:b/>
          <w:bCs/>
          <w:color w:val="000000"/>
          <w:sz w:val="32"/>
          <w:szCs w:val="32"/>
          <w:lang w:val="en-US" w:eastAsia="zh-CN"/>
        </w:rPr>
        <w:t>四是</w:t>
      </w:r>
      <w:r>
        <w:rPr>
          <w:rFonts w:hint="default" w:ascii="Times New Roman" w:hAnsi="Times New Roman" w:eastAsia="仿宋_GB2312" w:cs="Times New Roman"/>
          <w:b w:val="0"/>
          <w:bCs w:val="0"/>
          <w:color w:val="000000"/>
          <w:sz w:val="32"/>
          <w:szCs w:val="32"/>
          <w:lang w:val="en-US" w:eastAsia="zh-CN"/>
        </w:rPr>
        <w:t>实施残疾人家庭签约医生增值服务960人，支付资金4.8万元；</w:t>
      </w:r>
      <w:r>
        <w:rPr>
          <w:rFonts w:hint="default" w:ascii="Times New Roman" w:hAnsi="Times New Roman" w:eastAsia="仿宋_GB2312" w:cs="Times New Roman"/>
          <w:b/>
          <w:bCs/>
          <w:color w:val="000000"/>
          <w:sz w:val="32"/>
          <w:szCs w:val="32"/>
          <w:lang w:val="en-US" w:eastAsia="zh-CN"/>
        </w:rPr>
        <w:t>五是</w:t>
      </w:r>
      <w:r>
        <w:rPr>
          <w:rFonts w:hint="default" w:ascii="Times New Roman" w:hAnsi="Times New Roman" w:eastAsia="仿宋_GB2312" w:cs="Times New Roman"/>
          <w:b w:val="0"/>
          <w:bCs w:val="0"/>
          <w:color w:val="000000"/>
          <w:sz w:val="32"/>
          <w:szCs w:val="32"/>
          <w:lang w:val="en-US" w:eastAsia="zh-CN"/>
        </w:rPr>
        <w:t>“六一”看望慰问残疾儿童65人，发放慰问金及慰问品3.7万元；</w:t>
      </w:r>
      <w:r>
        <w:rPr>
          <w:rFonts w:hint="default" w:ascii="Times New Roman" w:hAnsi="Times New Roman" w:eastAsia="仿宋_GB2312" w:cs="Times New Roman"/>
          <w:b/>
          <w:bCs/>
          <w:color w:val="000000"/>
          <w:sz w:val="32"/>
          <w:szCs w:val="32"/>
          <w:lang w:val="en-US" w:eastAsia="zh-CN"/>
        </w:rPr>
        <w:t>六是</w:t>
      </w:r>
      <w:r>
        <w:rPr>
          <w:rFonts w:hint="default" w:ascii="Times New Roman" w:hAnsi="Times New Roman" w:eastAsia="仿宋_GB2312" w:cs="Times New Roman"/>
          <w:b w:val="0"/>
          <w:bCs w:val="0"/>
          <w:color w:val="000000"/>
          <w:sz w:val="32"/>
          <w:szCs w:val="32"/>
          <w:lang w:val="en-US" w:eastAsia="zh-CN"/>
        </w:rPr>
        <w:t>完成100名重度残疾人居家托养，资金正在支付中；</w:t>
      </w:r>
      <w:r>
        <w:rPr>
          <w:rFonts w:hint="default" w:ascii="Times New Roman" w:hAnsi="Times New Roman" w:eastAsia="仿宋_GB2312" w:cs="Times New Roman"/>
          <w:b/>
          <w:bCs/>
          <w:color w:val="000000"/>
          <w:sz w:val="32"/>
          <w:szCs w:val="32"/>
          <w:lang w:val="en-US" w:eastAsia="zh-CN"/>
        </w:rPr>
        <w:t>七是</w:t>
      </w:r>
      <w:r>
        <w:rPr>
          <w:rFonts w:hint="default" w:ascii="Times New Roman" w:hAnsi="Times New Roman" w:eastAsia="仿宋_GB2312" w:cs="Times New Roman"/>
          <w:b w:val="0"/>
          <w:bCs w:val="0"/>
          <w:color w:val="000000"/>
          <w:sz w:val="32"/>
          <w:szCs w:val="32"/>
          <w:lang w:val="en-US" w:eastAsia="zh-CN"/>
        </w:rPr>
        <w:t>拨付资金21.6万元，其中精神病服药补贴8人，精神病住院补贴23人，</w:t>
      </w:r>
      <w:r>
        <w:rPr>
          <w:rFonts w:hint="default" w:ascii="Times New Roman" w:hAnsi="Times New Roman" w:eastAsia="仿宋_GB2312" w:cs="Times New Roman"/>
          <w:b/>
          <w:bCs/>
          <w:color w:val="000000"/>
          <w:sz w:val="32"/>
          <w:szCs w:val="32"/>
          <w:lang w:val="en-US" w:eastAsia="zh-CN"/>
        </w:rPr>
        <w:t>八是</w:t>
      </w:r>
      <w:r>
        <w:rPr>
          <w:rFonts w:hint="default" w:ascii="Times New Roman" w:hAnsi="Times New Roman" w:eastAsia="仿宋_GB2312" w:cs="Times New Roman"/>
          <w:b w:val="0"/>
          <w:bCs w:val="0"/>
          <w:color w:val="000000"/>
          <w:sz w:val="32"/>
          <w:szCs w:val="32"/>
          <w:lang w:val="en-US" w:eastAsia="zh-CN"/>
        </w:rPr>
        <w:t>拨付“净土阿坝·自强助学”资金10万元，惠及86名残疾学生；</w:t>
      </w:r>
      <w:r>
        <w:rPr>
          <w:rFonts w:hint="default" w:ascii="Times New Roman" w:hAnsi="Times New Roman" w:eastAsia="仿宋_GB2312" w:cs="Times New Roman"/>
          <w:b/>
          <w:bCs/>
          <w:color w:val="000000"/>
          <w:sz w:val="32"/>
          <w:szCs w:val="32"/>
          <w:lang w:val="en-US" w:eastAsia="zh-CN"/>
        </w:rPr>
        <w:t>九是完</w:t>
      </w:r>
      <w:r>
        <w:rPr>
          <w:rFonts w:hint="default" w:ascii="Times New Roman" w:hAnsi="Times New Roman" w:eastAsia="仿宋_GB2312" w:cs="Times New Roman"/>
          <w:b w:val="0"/>
          <w:bCs w:val="0"/>
          <w:color w:val="000000"/>
          <w:sz w:val="32"/>
          <w:szCs w:val="32"/>
          <w:lang w:val="en-US" w:eastAsia="zh-CN"/>
        </w:rPr>
        <w:t>成残疾人燃油补贴11人，支付资金0.4015万元；</w:t>
      </w:r>
      <w:r>
        <w:rPr>
          <w:rFonts w:hint="default" w:ascii="Times New Roman" w:hAnsi="Times New Roman" w:eastAsia="仿宋_GB2312" w:cs="Times New Roman"/>
          <w:b/>
          <w:bCs/>
          <w:color w:val="000000"/>
          <w:sz w:val="32"/>
          <w:szCs w:val="32"/>
          <w:lang w:val="en-US" w:eastAsia="zh-CN"/>
        </w:rPr>
        <w:t>十是</w:t>
      </w:r>
      <w:r>
        <w:rPr>
          <w:rFonts w:hint="default" w:ascii="Times New Roman" w:hAnsi="Times New Roman" w:eastAsia="仿宋_GB2312" w:cs="Times New Roman"/>
          <w:b w:val="0"/>
          <w:bCs w:val="0"/>
          <w:color w:val="000000"/>
          <w:sz w:val="32"/>
          <w:szCs w:val="32"/>
          <w:lang w:val="en-US" w:eastAsia="zh-CN"/>
        </w:rPr>
        <w:t>实施残疾人居家灵活就业，争取浙江对口支援资金20</w:t>
      </w:r>
      <w:r>
        <w:rPr>
          <w:rFonts w:hint="eastAsia" w:eastAsia="仿宋_GB2312" w:cs="Times New Roman"/>
          <w:b w:val="0"/>
          <w:bCs w:val="0"/>
          <w:color w:val="000000"/>
          <w:sz w:val="32"/>
          <w:szCs w:val="32"/>
          <w:lang w:val="en-US" w:eastAsia="zh-CN"/>
        </w:rPr>
        <w:t>万元</w:t>
      </w:r>
      <w:r>
        <w:rPr>
          <w:rFonts w:hint="default" w:ascii="Times New Roman" w:hAnsi="Times New Roman" w:eastAsia="仿宋_GB2312" w:cs="Times New Roman"/>
          <w:b w:val="0"/>
          <w:bCs w:val="0"/>
          <w:color w:val="000000"/>
          <w:sz w:val="32"/>
          <w:szCs w:val="32"/>
          <w:lang w:val="en-US" w:eastAsia="zh-CN"/>
        </w:rPr>
        <w:t>，上级拨款5万元，用于支持残疾人居家灵活就业，惠及250名残疾人；</w:t>
      </w:r>
      <w:r>
        <w:rPr>
          <w:rFonts w:hint="default" w:ascii="Times New Roman" w:hAnsi="Times New Roman" w:eastAsia="仿宋_GB2312" w:cs="Times New Roman"/>
          <w:b/>
          <w:bCs/>
          <w:color w:val="000000"/>
          <w:sz w:val="32"/>
          <w:szCs w:val="32"/>
          <w:lang w:val="en-US" w:eastAsia="zh-CN"/>
        </w:rPr>
        <w:t>十一是</w:t>
      </w:r>
      <w:r>
        <w:rPr>
          <w:rFonts w:hint="default" w:ascii="Times New Roman" w:hAnsi="Times New Roman" w:eastAsia="仿宋_GB2312" w:cs="Times New Roman"/>
          <w:b w:val="0"/>
          <w:bCs w:val="0"/>
          <w:color w:val="000000"/>
          <w:sz w:val="32"/>
          <w:szCs w:val="32"/>
          <w:lang w:val="en-US" w:eastAsia="zh-CN"/>
        </w:rPr>
        <w:t>争取资金7.5万元，用于帮扶重度、困难残疾人临时困难救助，惠及75人；</w:t>
      </w:r>
      <w:r>
        <w:rPr>
          <w:rFonts w:hint="default" w:ascii="Times New Roman" w:hAnsi="Times New Roman" w:eastAsia="仿宋_GB2312" w:cs="Times New Roman"/>
          <w:b/>
          <w:bCs/>
          <w:color w:val="000000"/>
          <w:sz w:val="32"/>
          <w:szCs w:val="32"/>
          <w:lang w:val="en-US" w:eastAsia="zh-CN"/>
        </w:rPr>
        <w:t>十二是</w:t>
      </w:r>
      <w:r>
        <w:rPr>
          <w:rFonts w:hint="default" w:ascii="Times New Roman" w:hAnsi="Times New Roman" w:eastAsia="仿宋_GB2312" w:cs="Times New Roman"/>
          <w:b w:val="0"/>
          <w:bCs w:val="0"/>
          <w:color w:val="000000"/>
          <w:sz w:val="32"/>
          <w:szCs w:val="32"/>
          <w:lang w:val="en-US" w:eastAsia="zh-CN"/>
        </w:rPr>
        <w:t>实施扶持产业发展，争取浙江对口支援资金20</w:t>
      </w:r>
      <w:r>
        <w:rPr>
          <w:rFonts w:hint="eastAsia" w:eastAsia="仿宋_GB2312" w:cs="Times New Roman"/>
          <w:b w:val="0"/>
          <w:bCs w:val="0"/>
          <w:color w:val="000000"/>
          <w:sz w:val="32"/>
          <w:szCs w:val="32"/>
          <w:lang w:val="en-US" w:eastAsia="zh-CN"/>
        </w:rPr>
        <w:t>万元</w:t>
      </w:r>
      <w:r>
        <w:rPr>
          <w:rFonts w:hint="default" w:ascii="Times New Roman" w:hAnsi="Times New Roman" w:eastAsia="仿宋_GB2312" w:cs="Times New Roman"/>
          <w:b w:val="0"/>
          <w:bCs w:val="0"/>
          <w:color w:val="000000"/>
          <w:sz w:val="32"/>
          <w:szCs w:val="32"/>
          <w:lang w:val="en-US" w:eastAsia="zh-CN"/>
        </w:rPr>
        <w:t>，上级拨款8万元，用于扶持残疾人产业发展，惠及97名残疾人（家庭）；</w:t>
      </w:r>
      <w:r>
        <w:rPr>
          <w:rFonts w:hint="default" w:ascii="Times New Roman" w:hAnsi="Times New Roman" w:eastAsia="仿宋_GB2312" w:cs="Times New Roman"/>
          <w:b/>
          <w:bCs/>
          <w:color w:val="000000"/>
          <w:sz w:val="32"/>
          <w:szCs w:val="32"/>
          <w:lang w:val="en-US" w:eastAsia="zh-CN"/>
        </w:rPr>
        <w:t>十三是</w:t>
      </w:r>
      <w:r>
        <w:rPr>
          <w:rFonts w:hint="default" w:ascii="Times New Roman" w:hAnsi="Times New Roman" w:eastAsia="仿宋_GB2312" w:cs="Times New Roman"/>
          <w:b w:val="0"/>
          <w:bCs w:val="0"/>
          <w:color w:val="000000"/>
          <w:sz w:val="32"/>
          <w:szCs w:val="32"/>
          <w:lang w:val="en-US" w:eastAsia="zh-CN"/>
        </w:rPr>
        <w:t>在红土镇举办农村实用技术培训，围绕种植、养殖技术进行授课，红土、小姓共计50名重度、困难残疾人（家庭）参加培训；</w:t>
      </w:r>
      <w:r>
        <w:rPr>
          <w:rFonts w:hint="default" w:ascii="Times New Roman" w:hAnsi="Times New Roman" w:eastAsia="仿宋_GB2312" w:cs="Times New Roman"/>
          <w:b/>
          <w:bCs/>
          <w:color w:val="000000"/>
          <w:sz w:val="32"/>
          <w:szCs w:val="32"/>
          <w:lang w:val="en-US" w:eastAsia="zh-CN"/>
        </w:rPr>
        <w:t>十四是</w:t>
      </w:r>
      <w:r>
        <w:rPr>
          <w:rFonts w:hint="default" w:ascii="Times New Roman" w:hAnsi="Times New Roman" w:eastAsia="仿宋_GB2312" w:cs="Times New Roman"/>
          <w:b w:val="0"/>
          <w:bCs w:val="0"/>
          <w:color w:val="000000"/>
          <w:sz w:val="32"/>
          <w:szCs w:val="32"/>
          <w:lang w:val="en-US" w:eastAsia="zh-CN"/>
        </w:rPr>
        <w:t>在县融媒体中心举办开展年度重度残疾人文化进家庭“五个一”活动，40余名残疾人观看文艺演出；</w:t>
      </w:r>
      <w:r>
        <w:rPr>
          <w:rFonts w:hint="default" w:ascii="Times New Roman" w:hAnsi="Times New Roman" w:eastAsia="仿宋_GB2312" w:cs="Times New Roman"/>
          <w:b/>
          <w:bCs/>
          <w:color w:val="000000"/>
          <w:sz w:val="32"/>
          <w:szCs w:val="32"/>
          <w:lang w:val="en-US" w:eastAsia="zh-CN"/>
        </w:rPr>
        <w:t>十五是</w:t>
      </w:r>
      <w:r>
        <w:rPr>
          <w:rFonts w:hint="default" w:ascii="Times New Roman" w:hAnsi="Times New Roman" w:eastAsia="仿宋_GB2312" w:cs="Times New Roman"/>
          <w:b w:val="0"/>
          <w:bCs w:val="0"/>
          <w:color w:val="000000"/>
          <w:sz w:val="32"/>
          <w:szCs w:val="32"/>
          <w:lang w:val="en-US" w:eastAsia="zh-CN"/>
        </w:rPr>
        <w:t>在白羊乡举办残疾人全民健身运动，辖区10余名残疾人参与活动。</w:t>
      </w:r>
    </w:p>
    <w:p w14:paraId="28B98FF1">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重点工作推进情况</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深入学习贯彻落实中央八项规定及其实施细则精神。学习中央八项规定及其实施细则精神，深刻领会习近平总书记关于作风建设的重要论述精神实质，深入贯彻中央八项规定及其实施细则精神的重大意义，聚焦不作为、慢作为、乱作为问题，开展作风整顿，整治“门难进、事难办”，“政策执行打折扣</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服务承诺不兑现”等作风问题，坚持不懈改作风、转作风，做好残疾人保障服务工作。</w:t>
      </w:r>
    </w:p>
    <w:p w14:paraId="001F15A2">
      <w:pPr>
        <w:pStyle w:val="2"/>
        <w:keepNext w:val="0"/>
        <w:keepLines w:val="0"/>
        <w:pageBreakBefore w:val="0"/>
        <w:widowControl w:val="0"/>
        <w:numPr>
          <w:ilvl w:val="0"/>
          <w:numId w:val="0"/>
        </w:numPr>
        <w:kinsoku/>
        <w:wordWrap/>
        <w:overflowPunct/>
        <w:topLinePunct w:val="0"/>
        <w:autoSpaceDE/>
        <w:autoSpaceDN/>
        <w:bidi w:val="0"/>
        <w:adjustRightInd/>
        <w:snapToGrid w:val="0"/>
        <w:spacing w:line="578" w:lineRule="exact"/>
        <w:ind w:leftChars="0" w:right="0" w:rightChars="0" w:firstLine="643"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扎实推进</w:t>
      </w:r>
      <w:r>
        <w:rPr>
          <w:rFonts w:hint="default" w:ascii="Times New Roman" w:hAnsi="Times New Roman" w:eastAsia="仿宋_GB2312" w:cs="Times New Roman"/>
          <w:b w:val="0"/>
          <w:bCs w:val="0"/>
          <w:color w:val="000000"/>
          <w:kern w:val="2"/>
          <w:sz w:val="32"/>
          <w:szCs w:val="32"/>
          <w:lang w:val="en-US" w:eastAsia="zh-CN" w:bidi="ar-SA"/>
        </w:rPr>
        <w:t>群众工作“石榴籽”工程</w:t>
      </w:r>
      <w:r>
        <w:rPr>
          <w:rFonts w:hint="default" w:ascii="Times New Roman" w:hAnsi="Times New Roman" w:eastAsia="仿宋_GB2312" w:cs="Times New Roman"/>
          <w:b w:val="0"/>
          <w:bCs w:val="0"/>
          <w:color w:val="000000"/>
          <w:sz w:val="32"/>
          <w:szCs w:val="32"/>
          <w:lang w:val="en-US" w:eastAsia="zh-CN"/>
        </w:rPr>
        <w:t>各专项行动。</w:t>
      </w:r>
      <w:r>
        <w:rPr>
          <w:rFonts w:hint="default" w:ascii="Times New Roman" w:hAnsi="Times New Roman" w:eastAsia="仿宋_GB2312" w:cs="Times New Roman"/>
          <w:b/>
          <w:bCs/>
          <w:color w:val="000000"/>
          <w:sz w:val="32"/>
          <w:szCs w:val="32"/>
          <w:lang w:val="en-US" w:eastAsia="zh-CN"/>
        </w:rPr>
        <w:t>在“帮困助弱”专项行动方面，</w:t>
      </w:r>
      <w:r>
        <w:rPr>
          <w:rFonts w:hint="default" w:ascii="Times New Roman" w:hAnsi="Times New Roman" w:eastAsia="仿宋_GB2312" w:cs="Times New Roman"/>
          <w:b w:val="0"/>
          <w:bCs w:val="0"/>
          <w:color w:val="000000"/>
          <w:sz w:val="32"/>
          <w:szCs w:val="32"/>
          <w:lang w:val="en-US" w:eastAsia="zh-CN"/>
        </w:rPr>
        <w:t>结合职能职责，积极配合，梳理“帮困助弱”帮扶政策，对符合条件的残疾人（户）优先保障临时困难救助、残疾人居家灵活就业（创业）直补、扶持残疾人发展生产、精神残疾人服药补贴、住院补贴、残疾人居家托养服务、“净土阿坝·自强助学”等政策</w:t>
      </w:r>
      <w:r>
        <w:rPr>
          <w:rFonts w:hint="eastAsia"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结合“帮困助弱”行动方案，年度对63名困难残疾人给予帮扶，按照2000元/人</w:t>
      </w:r>
      <w:r>
        <w:rPr>
          <w:rFonts w:hint="eastAsia" w:ascii="Times New Roman" w:hAnsi="Times New Roman" w:eastAsia="仿宋_GB2312" w:cs="Times New Roman"/>
          <w:b w:val="0"/>
          <w:bCs w:val="0"/>
          <w:color w:val="000000"/>
          <w:sz w:val="32"/>
          <w:szCs w:val="32"/>
          <w:lang w:val="en-US" w:eastAsia="zh-CN"/>
        </w:rPr>
        <w:t>标准</w:t>
      </w:r>
      <w:r>
        <w:rPr>
          <w:rFonts w:hint="default" w:ascii="Times New Roman" w:hAnsi="Times New Roman" w:eastAsia="仿宋_GB2312" w:cs="Times New Roman"/>
          <w:b w:val="0"/>
          <w:bCs w:val="0"/>
          <w:color w:val="000000"/>
          <w:sz w:val="32"/>
          <w:szCs w:val="32"/>
          <w:lang w:val="en-US" w:eastAsia="zh-CN"/>
        </w:rPr>
        <w:t>给予临时困难救助，为</w:t>
      </w:r>
      <w:r>
        <w:rPr>
          <w:rFonts w:hint="default" w:ascii="Times New Roman" w:hAnsi="Times New Roman" w:eastAsia="仿宋_GB2312" w:cs="Times New Roman"/>
          <w:kern w:val="0"/>
          <w:sz w:val="32"/>
          <w:szCs w:val="32"/>
          <w:lang w:val="en-US" w:eastAsia="zh-CN" w:bidi="ar"/>
        </w:rPr>
        <w:t>2481</w:t>
      </w:r>
      <w:r>
        <w:rPr>
          <w:rFonts w:hint="default" w:ascii="Times New Roman" w:hAnsi="Times New Roman" w:eastAsia="仿宋_GB2312" w:cs="Times New Roman"/>
          <w:b w:val="0"/>
          <w:bCs w:val="0"/>
          <w:color w:val="000000"/>
          <w:sz w:val="32"/>
          <w:szCs w:val="32"/>
          <w:lang w:val="en-US" w:eastAsia="zh-CN"/>
        </w:rPr>
        <w:t>名残疾人购买人身意外伤害保险，为2528名残疾人代缴2026年度医疗保险；</w:t>
      </w:r>
      <w:r>
        <w:rPr>
          <w:rFonts w:hint="default" w:ascii="Times New Roman" w:hAnsi="Times New Roman" w:eastAsia="仿宋_GB2312" w:cs="Times New Roman"/>
          <w:b/>
          <w:bCs/>
          <w:color w:val="000000"/>
          <w:sz w:val="32"/>
          <w:szCs w:val="32"/>
          <w:lang w:val="en-US" w:eastAsia="zh-CN"/>
        </w:rPr>
        <w:t>在“联心同行”专项行动方面，</w:t>
      </w:r>
      <w:r>
        <w:rPr>
          <w:rFonts w:hint="default" w:ascii="Times New Roman" w:hAnsi="Times New Roman" w:eastAsia="仿宋_GB2312" w:cs="Times New Roman"/>
          <w:b w:val="0"/>
          <w:bCs w:val="0"/>
          <w:color w:val="000000"/>
          <w:sz w:val="32"/>
          <w:szCs w:val="32"/>
          <w:lang w:val="en-US" w:eastAsia="zh-CN"/>
        </w:rPr>
        <w:t>加强与联系寺庙和包联僧人的联系，</w:t>
      </w:r>
      <w:r>
        <w:rPr>
          <w:rFonts w:hint="default" w:ascii="Times New Roman" w:hAnsi="Times New Roman" w:eastAsia="仿宋_GB2312" w:cs="Times New Roman"/>
          <w:sz w:val="32"/>
          <w:szCs w:val="32"/>
          <w:lang w:val="en-US" w:eastAsia="zh-CN"/>
        </w:rPr>
        <w:t>了解生活情况、对寺院工作的意见建议，宣传党的宗教政策、惠民政策、爱国爱教知识，开展防汛</w:t>
      </w:r>
      <w:r>
        <w:rPr>
          <w:rFonts w:hint="default" w:ascii="Times New Roman" w:hAnsi="Times New Roman" w:eastAsia="仿宋_GB2312" w:cs="Times New Roman"/>
          <w:b w:val="0"/>
          <w:bCs w:val="0"/>
          <w:color w:val="000000"/>
          <w:sz w:val="32"/>
          <w:szCs w:val="32"/>
          <w:lang w:val="en-US" w:eastAsia="zh-CN"/>
        </w:rPr>
        <w:t>防灾、用火用电安全宣传，希望僧人们“听党话、感党恩、跟党走”，不断增强国家意识、公民意识、法治意识和感恩意识；</w:t>
      </w:r>
      <w:r>
        <w:rPr>
          <w:rFonts w:hint="default" w:ascii="Times New Roman" w:hAnsi="Times New Roman" w:eastAsia="仿宋_GB2312" w:cs="Times New Roman"/>
          <w:b/>
          <w:bCs/>
          <w:color w:val="000000"/>
          <w:sz w:val="32"/>
          <w:szCs w:val="32"/>
          <w:lang w:val="en-US" w:eastAsia="zh-CN"/>
        </w:rPr>
        <w:t>在“爱心爸妈”专项行动方面，</w:t>
      </w:r>
      <w:r>
        <w:rPr>
          <w:rFonts w:hint="default" w:ascii="Times New Roman" w:hAnsi="Times New Roman" w:eastAsia="仿宋_GB2312" w:cs="Times New Roman"/>
          <w:b w:val="0"/>
          <w:bCs w:val="0"/>
          <w:color w:val="000000"/>
          <w:sz w:val="32"/>
          <w:szCs w:val="32"/>
          <w:lang w:val="en-US" w:eastAsia="zh-CN"/>
        </w:rPr>
        <w:t>年度开展“爱心爸妈”走访16次，通过走访和电话联系，了解生活学习情况。开展情暖残疾儿童·爱润松州庆“六一”残疾儿童走访慰问活动，对</w:t>
      </w:r>
      <w:r>
        <w:rPr>
          <w:rFonts w:hint="eastAsia" w:ascii="Times New Roman" w:hAnsi="Times New Roman" w:eastAsia="仿宋_GB2312" w:cs="Times New Roman"/>
          <w:b w:val="0"/>
          <w:bCs w:val="0"/>
          <w:color w:val="000000"/>
          <w:sz w:val="32"/>
          <w:szCs w:val="32"/>
          <w:lang w:val="en-US" w:eastAsia="zh-CN"/>
        </w:rPr>
        <w:t>松潘籍</w:t>
      </w:r>
      <w:r>
        <w:rPr>
          <w:rFonts w:hint="default" w:ascii="Times New Roman" w:hAnsi="Times New Roman" w:eastAsia="仿宋_GB2312" w:cs="Times New Roman"/>
          <w:b w:val="0"/>
          <w:bCs w:val="0"/>
          <w:color w:val="000000"/>
          <w:sz w:val="32"/>
          <w:szCs w:val="32"/>
          <w:lang w:val="en-US" w:eastAsia="zh-CN"/>
        </w:rPr>
        <w:t>65名残疾儿童进行了慰问，发放慰问金、慰问品共计3.7万元；</w:t>
      </w:r>
      <w:r>
        <w:rPr>
          <w:rFonts w:hint="default" w:ascii="Times New Roman" w:hAnsi="Times New Roman" w:eastAsia="仿宋_GB2312" w:cs="Times New Roman"/>
          <w:b/>
          <w:bCs/>
          <w:color w:val="000000"/>
          <w:sz w:val="32"/>
          <w:szCs w:val="32"/>
          <w:lang w:val="en-US" w:eastAsia="zh-CN"/>
        </w:rPr>
        <w:t>在“就业创业”专项行动方面，</w:t>
      </w:r>
      <w:r>
        <w:rPr>
          <w:rFonts w:hint="default" w:ascii="Times New Roman" w:hAnsi="Times New Roman" w:eastAsia="仿宋_GB2312" w:cs="Times New Roman"/>
          <w:b w:val="0"/>
          <w:bCs w:val="0"/>
          <w:color w:val="000000"/>
          <w:sz w:val="32"/>
          <w:szCs w:val="32"/>
          <w:lang w:val="en-US" w:eastAsia="zh-CN"/>
        </w:rPr>
        <w:t>积极配合筹备好全州群众工作“石榴籽”工程“帮困助弱”行动现场会议，与各企业加强联系，上半年新增残疾人就业6人，累计就业210人。做好10名应届毕业残疾学生跟踪服务，了解毕业动态及工作意向，积极向相关部门推荐就业，通过推荐，其中企业就业4人，</w:t>
      </w:r>
      <w:r>
        <w:rPr>
          <w:rFonts w:hint="eastAsia" w:ascii="Times New Roman" w:hAnsi="Times New Roman" w:eastAsia="仿宋_GB2312" w:cs="Times New Roman"/>
          <w:b w:val="0"/>
          <w:bCs w:val="0"/>
          <w:color w:val="000000"/>
          <w:sz w:val="32"/>
          <w:szCs w:val="32"/>
          <w:lang w:val="en-US" w:eastAsia="zh-CN"/>
        </w:rPr>
        <w:t>务工</w:t>
      </w:r>
      <w:r>
        <w:rPr>
          <w:rFonts w:hint="default" w:ascii="Times New Roman" w:hAnsi="Times New Roman" w:eastAsia="仿宋_GB2312" w:cs="Times New Roman"/>
          <w:b w:val="0"/>
          <w:bCs w:val="0"/>
          <w:color w:val="000000"/>
          <w:sz w:val="32"/>
          <w:szCs w:val="32"/>
          <w:lang w:val="en-US" w:eastAsia="zh-CN"/>
        </w:rPr>
        <w:t>2人，备考3人，</w:t>
      </w:r>
      <w:r>
        <w:rPr>
          <w:rFonts w:hint="default" w:ascii="Times New Roman" w:hAnsi="Times New Roman" w:eastAsia="仿宋_GB2312" w:cs="Times New Roman"/>
          <w:bCs/>
          <w:color w:val="000000"/>
          <w:kern w:val="0"/>
          <w:sz w:val="32"/>
          <w:szCs w:val="32"/>
          <w:lang w:val="en-US" w:eastAsia="zh-CN" w:bidi="ar-SA"/>
        </w:rPr>
        <w:t>切实解决残疾人就业难的问题</w:t>
      </w:r>
      <w:r>
        <w:rPr>
          <w:rFonts w:hint="default" w:ascii="Times New Roman" w:hAnsi="Times New Roman" w:eastAsia="仿宋_GB2312" w:cs="Times New Roman"/>
          <w:b w:val="0"/>
          <w:bCs w:val="0"/>
          <w:color w:val="000000"/>
          <w:sz w:val="32"/>
          <w:szCs w:val="32"/>
          <w:lang w:val="en-US" w:eastAsia="zh-CN"/>
        </w:rPr>
        <w:t>；</w:t>
      </w:r>
      <w:r>
        <w:rPr>
          <w:rFonts w:hint="default" w:ascii="Times New Roman" w:hAnsi="Times New Roman" w:eastAsia="仿宋_GB2312" w:cs="Times New Roman"/>
          <w:b/>
          <w:bCs/>
          <w:sz w:val="32"/>
          <w:szCs w:val="32"/>
          <w:lang w:val="en-US" w:eastAsia="zh-CN"/>
        </w:rPr>
        <w:t>在“健康保障”专项行动方面，</w:t>
      </w:r>
      <w:r>
        <w:rPr>
          <w:rFonts w:hint="default" w:ascii="Times New Roman" w:hAnsi="Times New Roman" w:eastAsia="仿宋_GB2312" w:cs="Times New Roman"/>
          <w:sz w:val="32"/>
          <w:szCs w:val="32"/>
          <w:lang w:val="en-US" w:eastAsia="zh-CN"/>
        </w:rPr>
        <w:t>开展残疾人</w:t>
      </w:r>
      <w:r>
        <w:rPr>
          <w:rFonts w:hint="eastAsia" w:ascii="Times New Roman" w:hAnsi="Times New Roman" w:eastAsia="仿宋_GB2312" w:cs="Times New Roman"/>
          <w:sz w:val="32"/>
          <w:szCs w:val="32"/>
          <w:lang w:val="en-US" w:eastAsia="zh-CN"/>
        </w:rPr>
        <w:t>家庭医生签约服务</w:t>
      </w:r>
      <w:r>
        <w:rPr>
          <w:rFonts w:hint="default" w:ascii="Times New Roman" w:hAnsi="Times New Roman" w:eastAsia="仿宋_GB2312" w:cs="Times New Roman"/>
          <w:sz w:val="32"/>
          <w:szCs w:val="32"/>
          <w:lang w:val="en-US" w:eastAsia="zh-CN"/>
        </w:rPr>
        <w:t>，针对康复需求，设计残疾人基础性签约服务，提供包括康复评估、咨询、指导和转介等在内的基本康复服务，使有需求的残疾人功能状况明显改善，生活自理能力和社会参与能力显著增强；</w:t>
      </w:r>
      <w:r>
        <w:rPr>
          <w:rFonts w:hint="default" w:ascii="Times New Roman" w:hAnsi="Times New Roman" w:eastAsia="仿宋_GB2312" w:cs="Times New Roman"/>
          <w:b/>
          <w:bCs/>
          <w:sz w:val="32"/>
          <w:szCs w:val="32"/>
          <w:lang w:val="en-US" w:eastAsia="zh-CN"/>
        </w:rPr>
        <w:t>在“宣传教育”专项行动方面，</w:t>
      </w:r>
      <w:r>
        <w:rPr>
          <w:rFonts w:hint="default" w:ascii="Times New Roman" w:hAnsi="Times New Roman" w:eastAsia="仿宋_GB2312" w:cs="Times New Roman"/>
          <w:sz w:val="32"/>
          <w:szCs w:val="32"/>
          <w:lang w:val="en-US" w:eastAsia="zh-CN"/>
        </w:rPr>
        <w:t>积极开展惠残助残政策宣传</w:t>
      </w:r>
      <w:r>
        <w:rPr>
          <w:rFonts w:hint="eastAsia" w:ascii="Times New Roman" w:hAnsi="Times New Roman" w:eastAsia="仿宋_GB2312" w:cs="Times New Roman"/>
          <w:sz w:val="32"/>
          <w:szCs w:val="32"/>
          <w:lang w:val="en-US" w:eastAsia="zh-CN"/>
        </w:rPr>
        <w:t>，以</w:t>
      </w:r>
      <w:r>
        <w:rPr>
          <w:rFonts w:hint="default" w:ascii="Times New Roman" w:hAnsi="Times New Roman" w:eastAsia="仿宋_GB2312" w:cs="Times New Roman"/>
          <w:sz w:val="32"/>
          <w:szCs w:val="32"/>
          <w:lang w:val="en-US" w:eastAsia="zh-CN"/>
        </w:rPr>
        <w:t>走访慰问等契机，积极宣传党的政策和《残疾人保障法》等国家法律法规，不断</w:t>
      </w:r>
      <w:r>
        <w:rPr>
          <w:rFonts w:hint="eastAsia" w:ascii="Times New Roman" w:hAnsi="Times New Roman" w:eastAsia="仿宋_GB2312" w:cs="Times New Roman"/>
          <w:sz w:val="32"/>
          <w:szCs w:val="32"/>
          <w:lang w:val="en-US" w:eastAsia="zh-CN"/>
        </w:rPr>
        <w:t>增强</w:t>
      </w:r>
      <w:r>
        <w:rPr>
          <w:rFonts w:hint="default" w:ascii="Times New Roman" w:hAnsi="Times New Roman" w:eastAsia="仿宋_GB2312" w:cs="Times New Roman"/>
          <w:sz w:val="32"/>
          <w:szCs w:val="32"/>
          <w:lang w:val="en-US" w:eastAsia="zh-CN"/>
        </w:rPr>
        <w:t>残疾群体法律意识、感恩意识。</w:t>
      </w:r>
    </w:p>
    <w:p w14:paraId="4AB58DBF">
      <w:pPr>
        <w:pStyle w:val="4"/>
        <w:bidi w:val="0"/>
        <w:rPr>
          <w:rFonts w:hint="eastAsia"/>
          <w:lang w:eastAsia="zh-CN"/>
        </w:rPr>
      </w:pPr>
      <w:bookmarkStart w:id="32" w:name="_Toc15000"/>
      <w:bookmarkStart w:id="33" w:name="_Toc29481"/>
      <w:r>
        <w:rPr>
          <w:rFonts w:hint="eastAsia"/>
          <w:lang w:eastAsia="zh-CN"/>
        </w:rPr>
        <w:t>二、机构设置</w:t>
      </w:r>
      <w:bookmarkEnd w:id="28"/>
      <w:bookmarkEnd w:id="29"/>
      <w:bookmarkEnd w:id="30"/>
      <w:bookmarkEnd w:id="31"/>
      <w:bookmarkEnd w:id="32"/>
      <w:bookmarkEnd w:id="33"/>
    </w:p>
    <w:p w14:paraId="711380B6">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松潘县残疾人联合会设1个内设机构：残疾人服务中心职责：让残疾人基本生活、医疗、康复、教育、就业、文化体育等基本需求得到制度性保障，促进残疾人状况改善和全面发展，为残疾人脱贫致富、平等参与社会生活创造更好的环境和条件，听取残疾人的意见，反映残疾人的需求，维护残疾人的合法权益，为残疾人服务。</w:t>
      </w:r>
      <w:bookmarkStart w:id="34" w:name="_Toc15377204"/>
      <w:bookmarkStart w:id="35" w:name="_Toc22158"/>
      <w:bookmarkStart w:id="36" w:name="_Toc15396602"/>
      <w:bookmarkStart w:id="37" w:name="_Toc79163859"/>
      <w:bookmarkStart w:id="38" w:name="_Toc79163609"/>
      <w:bookmarkStart w:id="39" w:name="_Toc9484"/>
    </w:p>
    <w:p w14:paraId="757CF9E2">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79075533">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9C2AAED">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A659354">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221E96C5">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08F4FEA8">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06CCBF13">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519AA641">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5A4758EC">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57F36F08">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652C4261">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314893EC">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52AC9DE3">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70B0FE9D">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7005EDAD">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44823EDC">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202B9062">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75C6732D">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6AA506F7">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15550968">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683DA965">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57D9F0E8">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p>
    <w:p w14:paraId="264913C5">
      <w:pPr>
        <w:pStyle w:val="21"/>
        <w:keepNext w:val="0"/>
        <w:keepLines w:val="0"/>
        <w:pageBreakBefore w:val="0"/>
        <w:kinsoku/>
        <w:wordWrap/>
        <w:overflowPunct/>
        <w:topLinePunct w:val="0"/>
        <w:autoSpaceDE/>
        <w:autoSpaceDN/>
        <w:bidi w:val="0"/>
        <w:adjustRightInd/>
        <w:snapToGrid/>
        <w:spacing w:beforeAutospacing="0" w:afterAutospacing="0" w:line="578" w:lineRule="exact"/>
        <w:ind w:left="0" w:firstLine="883" w:firstLineChars="200"/>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第二部分 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年度部门决算情况说明</w:t>
      </w:r>
      <w:bookmarkEnd w:id="34"/>
      <w:bookmarkEnd w:id="35"/>
      <w:bookmarkEnd w:id="36"/>
      <w:bookmarkEnd w:id="37"/>
      <w:bookmarkEnd w:id="38"/>
      <w:bookmarkEnd w:id="39"/>
    </w:p>
    <w:p w14:paraId="5E5AFA60">
      <w:pPr>
        <w:pStyle w:val="4"/>
        <w:numPr>
          <w:ilvl w:val="0"/>
          <w:numId w:val="1"/>
        </w:numPr>
        <w:bidi w:val="0"/>
      </w:pPr>
      <w:bookmarkStart w:id="40" w:name="_Toc15467"/>
      <w:bookmarkStart w:id="41" w:name="_Toc79163860"/>
      <w:bookmarkStart w:id="42" w:name="_Toc79163610"/>
      <w:bookmarkStart w:id="43" w:name="_Toc15883"/>
      <w:bookmarkStart w:id="44" w:name="_Toc15377205"/>
      <w:bookmarkStart w:id="45" w:name="_Toc15396603"/>
      <w:r>
        <w:rPr>
          <w:rFonts w:hint="eastAsia"/>
        </w:rPr>
        <w:t>收入支出决算总体情况说明</w:t>
      </w:r>
      <w:bookmarkEnd w:id="40"/>
      <w:bookmarkEnd w:id="41"/>
      <w:bookmarkEnd w:id="42"/>
      <w:bookmarkEnd w:id="43"/>
      <w:bookmarkEnd w:id="44"/>
      <w:bookmarkEnd w:id="45"/>
    </w:p>
    <w:p w14:paraId="4EB6FACE">
      <w:pPr>
        <w:spacing w:line="600" w:lineRule="exact"/>
        <w:ind w:firstLine="640" w:firstLineChars="200"/>
        <w:rPr>
          <w:rFonts w:hint="eastAsia" w:ascii="仿宋" w:hAnsi="仿宋" w:eastAsia="仿宋"/>
          <w:color w:val="000000"/>
          <w:sz w:val="32"/>
          <w:szCs w:val="32"/>
        </w:rPr>
      </w:pPr>
      <w:bookmarkStart w:id="46" w:name="OLE_LINK14"/>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w:t>
      </w:r>
      <w:r>
        <w:rPr>
          <w:rFonts w:hint="eastAsia" w:ascii="仿宋" w:hAnsi="仿宋" w:eastAsia="仿宋"/>
          <w:color w:val="000000"/>
          <w:sz w:val="32"/>
          <w:szCs w:val="32"/>
          <w:lang w:eastAsia="zh-CN"/>
        </w:rPr>
        <w:t>入总计</w:t>
      </w:r>
      <w:r>
        <w:rPr>
          <w:rFonts w:hint="eastAsia" w:ascii="仿宋" w:hAnsi="仿宋" w:eastAsia="仿宋"/>
          <w:color w:val="000000"/>
          <w:sz w:val="32"/>
          <w:szCs w:val="32"/>
          <w:lang w:val="en-US" w:eastAsia="zh-CN"/>
        </w:rPr>
        <w:t>435.86万元，</w:t>
      </w:r>
      <w:r>
        <w:rPr>
          <w:rFonts w:hint="eastAsia" w:ascii="仿宋" w:hAnsi="仿宋" w:eastAsia="仿宋"/>
          <w:color w:val="000000"/>
          <w:sz w:val="32"/>
          <w:szCs w:val="32"/>
        </w:rPr>
        <w:t>支</w:t>
      </w:r>
      <w:r>
        <w:rPr>
          <w:rFonts w:hint="eastAsia" w:ascii="仿宋" w:hAnsi="仿宋" w:eastAsia="仿宋"/>
          <w:color w:val="000000"/>
          <w:sz w:val="32"/>
          <w:szCs w:val="32"/>
          <w:lang w:eastAsia="zh-CN"/>
        </w:rPr>
        <w:t>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435.86</w:t>
      </w:r>
      <w:r>
        <w:rPr>
          <w:rFonts w:hint="eastAsia" w:ascii="仿宋" w:hAnsi="仿宋" w:eastAsia="仿宋"/>
          <w:color w:val="000000"/>
          <w:sz w:val="32"/>
          <w:szCs w:val="32"/>
        </w:rPr>
        <w:t>万元。与</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w:t>
      </w:r>
      <w:r>
        <w:rPr>
          <w:rFonts w:hint="eastAsia" w:ascii="仿宋" w:hAnsi="仿宋" w:eastAsia="仿宋"/>
          <w:color w:val="000000"/>
          <w:sz w:val="32"/>
          <w:szCs w:val="32"/>
          <w:lang w:eastAsia="zh-CN"/>
        </w:rPr>
        <w:t>收支总计</w:t>
      </w:r>
      <w:r>
        <w:rPr>
          <w:rFonts w:hint="eastAsia" w:ascii="仿宋" w:hAnsi="仿宋" w:eastAsia="仿宋"/>
          <w:color w:val="000000"/>
          <w:sz w:val="32"/>
          <w:szCs w:val="32"/>
          <w:lang w:val="en-US" w:eastAsia="zh-CN"/>
        </w:rPr>
        <w:t>367.53</w:t>
      </w:r>
      <w:r>
        <w:rPr>
          <w:rFonts w:hint="eastAsia" w:ascii="仿宋" w:hAnsi="仿宋" w:eastAsia="仿宋"/>
          <w:color w:val="000000"/>
          <w:sz w:val="32"/>
          <w:szCs w:val="32"/>
        </w:rPr>
        <w:t>万元相比，收支</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68.33</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同比增长</w:t>
      </w:r>
      <w:r>
        <w:rPr>
          <w:rFonts w:hint="eastAsia" w:ascii="仿宋" w:hAnsi="仿宋" w:eastAsia="仿宋"/>
          <w:color w:val="000000"/>
          <w:sz w:val="32"/>
          <w:szCs w:val="32"/>
          <w:lang w:val="en-US" w:eastAsia="zh-CN"/>
        </w:rPr>
        <w:t>18.59</w:t>
      </w:r>
      <w:r>
        <w:rPr>
          <w:rFonts w:ascii="仿宋" w:hAnsi="仿宋" w:eastAsia="仿宋"/>
          <w:color w:val="000000"/>
          <w:sz w:val="32"/>
          <w:szCs w:val="32"/>
        </w:rPr>
        <w:t>%</w:t>
      </w:r>
      <w:r>
        <w:rPr>
          <w:rFonts w:hint="eastAsia" w:ascii="仿宋" w:hAnsi="仿宋" w:eastAsia="仿宋"/>
          <w:color w:val="000000"/>
          <w:sz w:val="32"/>
          <w:szCs w:val="32"/>
        </w:rPr>
        <w:t>。主要变动原因是项目</w:t>
      </w:r>
      <w:r>
        <w:rPr>
          <w:rFonts w:hint="eastAsia" w:ascii="仿宋" w:hAnsi="仿宋" w:eastAsia="仿宋"/>
          <w:color w:val="000000"/>
          <w:sz w:val="32"/>
          <w:szCs w:val="32"/>
          <w:lang w:eastAsia="zh-CN"/>
        </w:rPr>
        <w:t>增加。</w:t>
      </w:r>
    </w:p>
    <w:bookmarkEnd w:id="46"/>
    <w:p w14:paraId="6FFEEE78">
      <w:pPr>
        <w:pStyle w:val="2"/>
        <w:rPr>
          <w:rFonts w:hint="eastAsia" w:ascii="仿宋" w:hAnsi="仿宋" w:eastAsia="仿宋"/>
          <w:color w:val="000000"/>
          <w:sz w:val="32"/>
          <w:szCs w:val="32"/>
        </w:rPr>
      </w:pPr>
      <w:r>
        <w:drawing>
          <wp:inline distT="0" distB="0" distL="114300" distR="114300">
            <wp:extent cx="4182110" cy="2526665"/>
            <wp:effectExtent l="4445" t="5080" r="23495" b="20955"/>
            <wp:docPr id="104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2B99345">
      <w:pPr>
        <w:spacing w:line="600" w:lineRule="exact"/>
        <w:rPr>
          <w:rFonts w:ascii="仿宋_GB2312" w:eastAsia="仿宋_GB2312"/>
          <w:color w:val="000000"/>
          <w:sz w:val="32"/>
          <w:szCs w:val="32"/>
        </w:rPr>
      </w:pPr>
      <w:bookmarkStart w:id="47" w:name="OLE_LINK15"/>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bookmarkEnd w:id="47"/>
    </w:p>
    <w:p w14:paraId="180D7A19">
      <w:pPr>
        <w:pStyle w:val="4"/>
        <w:numPr>
          <w:ilvl w:val="0"/>
          <w:numId w:val="1"/>
        </w:numPr>
        <w:bidi w:val="0"/>
      </w:pPr>
      <w:bookmarkStart w:id="48" w:name="_Toc10473"/>
      <w:bookmarkStart w:id="49" w:name="_Toc79163611"/>
      <w:bookmarkStart w:id="50" w:name="_Toc15377206"/>
      <w:bookmarkStart w:id="51" w:name="_Toc79163861"/>
      <w:bookmarkStart w:id="52" w:name="_Toc15396604"/>
      <w:bookmarkStart w:id="53" w:name="_Toc14569"/>
      <w:r>
        <w:rPr>
          <w:rFonts w:hint="eastAsia"/>
        </w:rPr>
        <w:t>收入决算情况说明</w:t>
      </w:r>
      <w:bookmarkEnd w:id="48"/>
      <w:bookmarkEnd w:id="49"/>
      <w:bookmarkEnd w:id="50"/>
      <w:bookmarkEnd w:id="51"/>
      <w:bookmarkEnd w:id="52"/>
      <w:bookmarkEnd w:id="53"/>
    </w:p>
    <w:p w14:paraId="49B75AD0">
      <w:pPr>
        <w:spacing w:line="600" w:lineRule="exact"/>
        <w:ind w:firstLine="640" w:firstLineChars="200"/>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435.86</w:t>
      </w:r>
      <w:r>
        <w:rPr>
          <w:rFonts w:hint="eastAsia" w:ascii="仿宋" w:hAnsi="仿宋" w:eastAsia="仿宋"/>
          <w:color w:val="000000"/>
          <w:sz w:val="32"/>
          <w:szCs w:val="32"/>
        </w:rPr>
        <w:t>万元，其中：</w:t>
      </w:r>
      <w:bookmarkStart w:id="54" w:name="OLE_LINK1"/>
      <w:r>
        <w:rPr>
          <w:rFonts w:hint="eastAsia" w:ascii="仿宋" w:hAnsi="仿宋" w:eastAsia="仿宋"/>
          <w:color w:val="000000"/>
          <w:sz w:val="32"/>
          <w:szCs w:val="32"/>
        </w:rPr>
        <w:t>一般公共预算财政拨款收入</w:t>
      </w:r>
      <w:bookmarkEnd w:id="54"/>
      <w:r>
        <w:rPr>
          <w:rFonts w:hint="eastAsia" w:ascii="仿宋" w:hAnsi="仿宋" w:eastAsia="仿宋"/>
          <w:color w:val="000000"/>
          <w:sz w:val="32"/>
          <w:szCs w:val="32"/>
          <w:lang w:val="en-US" w:eastAsia="zh-CN"/>
        </w:rPr>
        <w:t>427.38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98</w:t>
      </w:r>
      <w:r>
        <w:rPr>
          <w:rFonts w:ascii="仿宋" w:hAnsi="仿宋" w:eastAsia="仿宋"/>
          <w:color w:val="000000"/>
          <w:sz w:val="32"/>
          <w:szCs w:val="32"/>
        </w:rPr>
        <w:t>%</w:t>
      </w:r>
      <w:r>
        <w:rPr>
          <w:rFonts w:hint="eastAsia" w:ascii="仿宋" w:hAnsi="仿宋" w:eastAsia="仿宋"/>
          <w:color w:val="000000"/>
          <w:sz w:val="32"/>
          <w:szCs w:val="32"/>
        </w:rPr>
        <w:t>；</w:t>
      </w:r>
      <w:bookmarkStart w:id="55" w:name="OLE_LINK3"/>
      <w:r>
        <w:rPr>
          <w:rFonts w:hint="eastAsia" w:ascii="仿宋" w:hAnsi="仿宋" w:eastAsia="仿宋"/>
          <w:color w:val="000000"/>
          <w:sz w:val="32"/>
          <w:szCs w:val="32"/>
        </w:rPr>
        <w:t>政府性基金预算财政拨款收入</w:t>
      </w:r>
      <w:bookmarkEnd w:id="55"/>
      <w:r>
        <w:rPr>
          <w:rFonts w:hint="eastAsia" w:ascii="仿宋" w:hAnsi="仿宋" w:eastAsia="仿宋"/>
          <w:color w:val="000000"/>
          <w:sz w:val="32"/>
          <w:szCs w:val="32"/>
          <w:lang w:val="en-US" w:eastAsia="zh-CN"/>
        </w:rPr>
        <w:t>8.49</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14:paraId="28C84CB2">
      <w:pPr>
        <w:spacing w:line="600" w:lineRule="exact"/>
        <w:rPr>
          <w:rFonts w:ascii="仿宋_GB2312" w:eastAsia="仿宋_GB2312"/>
          <w:color w:val="FF0000"/>
          <w:sz w:val="32"/>
          <w:szCs w:val="32"/>
        </w:rPr>
      </w:pPr>
    </w:p>
    <w:p w14:paraId="0EE35E7C">
      <w:pPr>
        <w:pStyle w:val="2"/>
        <w:rPr>
          <w:rFonts w:ascii="仿宋_GB2312" w:eastAsia="仿宋_GB2312"/>
          <w:color w:val="FF0000"/>
          <w:sz w:val="32"/>
          <w:szCs w:val="32"/>
        </w:rPr>
      </w:pPr>
      <w:r>
        <w:rPr>
          <w:rFonts w:hint="eastAsia"/>
          <w:lang w:val="en-US" w:eastAsia="zh-CN"/>
        </w:rPr>
        <w:t xml:space="preserve">    </w:t>
      </w:r>
      <w:r>
        <w:drawing>
          <wp:inline distT="0" distB="0" distL="114300" distR="114300">
            <wp:extent cx="4791710" cy="2479675"/>
            <wp:effectExtent l="4445" t="4445" r="23495" b="11430"/>
            <wp:docPr id="103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8D9E618">
      <w:pPr>
        <w:pStyle w:val="2"/>
        <w:rPr>
          <w:rFonts w:ascii="仿宋_GB2312" w:eastAsia="仿宋_GB2312"/>
          <w:color w:val="FF0000"/>
          <w:sz w:val="32"/>
          <w:szCs w:val="32"/>
        </w:rPr>
      </w:pPr>
    </w:p>
    <w:p w14:paraId="2B95571C">
      <w:pPr>
        <w:pStyle w:val="2"/>
        <w:rPr>
          <w:rFonts w:ascii="仿宋_GB2312" w:eastAsia="仿宋_GB2312"/>
          <w:color w:val="FF0000"/>
          <w:sz w:val="32"/>
          <w:szCs w:val="32"/>
        </w:rPr>
      </w:pPr>
      <w:r>
        <w:rPr>
          <w:rFonts w:hint="eastAsia"/>
          <w:lang w:val="en-US" w:eastAsia="zh-CN"/>
        </w:rPr>
        <w:t xml:space="preserve">   </w:t>
      </w: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p>
    <w:p w14:paraId="40584F6F">
      <w:pPr>
        <w:pStyle w:val="4"/>
        <w:numPr>
          <w:ilvl w:val="0"/>
          <w:numId w:val="1"/>
        </w:numPr>
        <w:bidi w:val="0"/>
      </w:pPr>
      <w:bookmarkStart w:id="56" w:name="_Toc79163612"/>
      <w:bookmarkStart w:id="57" w:name="_Toc18941"/>
      <w:bookmarkStart w:id="58" w:name="_Toc15377207"/>
      <w:bookmarkStart w:id="59" w:name="_Toc24205"/>
      <w:bookmarkStart w:id="60" w:name="_Toc79163862"/>
      <w:bookmarkStart w:id="61" w:name="_Toc15396605"/>
      <w:r>
        <w:rPr>
          <w:rFonts w:hint="eastAsia"/>
        </w:rPr>
        <w:t>支出决算情况说明</w:t>
      </w:r>
      <w:bookmarkEnd w:id="56"/>
      <w:bookmarkEnd w:id="57"/>
      <w:bookmarkEnd w:id="58"/>
      <w:bookmarkEnd w:id="59"/>
      <w:bookmarkEnd w:id="60"/>
      <w:bookmarkEnd w:id="61"/>
    </w:p>
    <w:p w14:paraId="064F53C0">
      <w:pPr>
        <w:spacing w:line="600" w:lineRule="exact"/>
        <w:ind w:firstLine="640" w:firstLineChars="200"/>
        <w:rPr>
          <w:rFonts w:hint="eastAsia" w:ascii="仿宋_GB2312" w:eastAsia="仿宋_GB2312"/>
          <w:sz w:val="32"/>
          <w:szCs w:val="32"/>
        </w:rPr>
      </w:pPr>
      <w:r>
        <w:rPr>
          <w:rFonts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年本年支出合计</w:t>
      </w:r>
      <w:r>
        <w:rPr>
          <w:rFonts w:hint="eastAsia" w:ascii="仿宋_GB2312" w:eastAsia="仿宋_GB2312"/>
          <w:sz w:val="32"/>
          <w:szCs w:val="32"/>
          <w:lang w:val="en-US" w:eastAsia="zh-CN"/>
        </w:rPr>
        <w:t>435.86</w:t>
      </w:r>
      <w:r>
        <w:rPr>
          <w:rFonts w:hint="eastAsia" w:ascii="仿宋_GB2312" w:eastAsia="仿宋_GB2312"/>
          <w:sz w:val="32"/>
          <w:szCs w:val="32"/>
        </w:rPr>
        <w:t>万元，其中：基本支出</w:t>
      </w:r>
      <w:r>
        <w:rPr>
          <w:rFonts w:hint="eastAsia" w:ascii="仿宋_GB2312" w:eastAsia="仿宋_GB2312"/>
          <w:sz w:val="32"/>
          <w:szCs w:val="32"/>
          <w:lang w:val="en-US" w:eastAsia="zh-CN"/>
        </w:rPr>
        <w:t>176.59</w:t>
      </w:r>
      <w:r>
        <w:rPr>
          <w:rFonts w:hint="eastAsia" w:ascii="仿宋_GB2312" w:eastAsia="仿宋_GB2312"/>
          <w:sz w:val="32"/>
          <w:szCs w:val="32"/>
        </w:rPr>
        <w:t>万元，占</w:t>
      </w:r>
      <w:r>
        <w:rPr>
          <w:rFonts w:hint="eastAsia" w:ascii="仿宋_GB2312" w:eastAsia="仿宋_GB2312"/>
          <w:sz w:val="32"/>
          <w:szCs w:val="32"/>
          <w:lang w:val="en-US" w:eastAsia="zh-CN"/>
        </w:rPr>
        <w:t>41</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250.78</w:t>
      </w:r>
      <w:r>
        <w:rPr>
          <w:rFonts w:hint="eastAsia" w:ascii="仿宋_GB2312" w:eastAsia="仿宋_GB2312"/>
          <w:sz w:val="32"/>
          <w:szCs w:val="32"/>
        </w:rPr>
        <w:t>万元，占</w:t>
      </w:r>
      <w:r>
        <w:rPr>
          <w:rFonts w:hint="eastAsia" w:ascii="仿宋_GB2312" w:eastAsia="仿宋_GB2312"/>
          <w:sz w:val="32"/>
          <w:szCs w:val="32"/>
          <w:lang w:val="en-US" w:eastAsia="zh-CN"/>
        </w:rPr>
        <w:t>59</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3B096F0F">
      <w:pPr>
        <w:pStyle w:val="2"/>
        <w:rPr>
          <w:rFonts w:hint="eastAsia"/>
          <w:lang w:val="en-US" w:eastAsia="zh-CN"/>
        </w:rPr>
      </w:pPr>
      <w:r>
        <w:rPr>
          <w:rFonts w:hint="eastAsia"/>
          <w:lang w:val="en-US" w:eastAsia="zh-CN"/>
        </w:rPr>
        <w:t xml:space="preserve">        </w:t>
      </w:r>
      <w:r>
        <w:drawing>
          <wp:inline distT="0" distB="0" distL="114300" distR="114300">
            <wp:extent cx="4182110" cy="2526665"/>
            <wp:effectExtent l="4445" t="5080" r="23495" b="20955"/>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7DF5D02">
      <w:pPr>
        <w:spacing w:line="600" w:lineRule="exact"/>
        <w:ind w:firstLine="640" w:firstLineChars="200"/>
        <w:rPr>
          <w:rFonts w:ascii="仿宋_GB2312" w:eastAsia="仿宋_GB2312"/>
          <w:color w:val="FF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14:paraId="2A062125">
      <w:pPr>
        <w:spacing w:line="600" w:lineRule="exact"/>
        <w:ind w:firstLine="640" w:firstLineChars="200"/>
        <w:outlineLvl w:val="1"/>
        <w:rPr>
          <w:rStyle w:val="27"/>
        </w:rPr>
      </w:pPr>
      <w:bookmarkStart w:id="62" w:name="_Toc12452"/>
      <w:bookmarkStart w:id="63" w:name="_Toc79163863"/>
      <w:bookmarkStart w:id="64" w:name="_Toc15396606"/>
      <w:bookmarkStart w:id="65" w:name="_Toc15377208"/>
      <w:bookmarkStart w:id="66" w:name="_Toc13179"/>
      <w:bookmarkStart w:id="67" w:name="_Toc79163613"/>
      <w:r>
        <w:rPr>
          <w:rFonts w:hint="eastAsia" w:ascii="黑体" w:hAnsi="黑体" w:eastAsia="黑体"/>
          <w:color w:val="000000"/>
          <w:sz w:val="32"/>
          <w:szCs w:val="32"/>
        </w:rPr>
        <w:t>四、</w:t>
      </w:r>
      <w:r>
        <w:rPr>
          <w:rStyle w:val="27"/>
          <w:rFonts w:hint="eastAsia"/>
        </w:rPr>
        <w:t>财政拨款收入支出决算总体情况说明</w:t>
      </w:r>
      <w:bookmarkEnd w:id="62"/>
      <w:bookmarkEnd w:id="63"/>
      <w:bookmarkEnd w:id="64"/>
      <w:bookmarkEnd w:id="65"/>
      <w:bookmarkEnd w:id="66"/>
      <w:bookmarkEnd w:id="67"/>
    </w:p>
    <w:p w14:paraId="1EB6E9F1">
      <w:pPr>
        <w:spacing w:line="600" w:lineRule="exact"/>
        <w:ind w:firstLine="640"/>
        <w:rPr>
          <w:rFonts w:hint="eastAsia" w:ascii="仿宋" w:hAnsi="仿宋" w:eastAsia="仿宋"/>
          <w:color w:val="000000"/>
          <w:sz w:val="32"/>
          <w:szCs w:val="32"/>
          <w:lang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年财政拨款收、支总计</w:t>
      </w:r>
      <w:r>
        <w:rPr>
          <w:rFonts w:hint="eastAsia" w:ascii="仿宋_GB2312" w:eastAsia="仿宋_GB2312"/>
          <w:sz w:val="32"/>
          <w:szCs w:val="32"/>
          <w:lang w:val="en-US" w:eastAsia="zh-CN"/>
        </w:rPr>
        <w:t>435.86</w:t>
      </w:r>
      <w:r>
        <w:rPr>
          <w:rFonts w:hint="eastAsia" w:ascii="仿宋" w:hAnsi="仿宋" w:eastAsia="仿宋"/>
          <w:color w:val="000000"/>
          <w:sz w:val="32"/>
          <w:szCs w:val="32"/>
        </w:rPr>
        <w:t>万元。</w:t>
      </w:r>
      <w:bookmarkStart w:id="68" w:name="OLE_LINK16"/>
      <w:r>
        <w:rPr>
          <w:rFonts w:hint="eastAsia" w:ascii="仿宋" w:hAnsi="仿宋" w:eastAsia="仿宋"/>
          <w:color w:val="000000"/>
          <w:sz w:val="32"/>
          <w:szCs w:val="32"/>
        </w:rPr>
        <w:t>与</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367.53</w:t>
      </w:r>
      <w:r>
        <w:rPr>
          <w:rFonts w:hint="eastAsia" w:ascii="仿宋" w:hAnsi="仿宋" w:eastAsia="仿宋"/>
          <w:color w:val="000000"/>
          <w:sz w:val="32"/>
          <w:szCs w:val="32"/>
        </w:rPr>
        <w:t>万元相比，财政拨款收、支总计各</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68.33</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同比增长</w:t>
      </w:r>
      <w:r>
        <w:rPr>
          <w:rFonts w:hint="eastAsia" w:ascii="仿宋" w:hAnsi="仿宋" w:eastAsia="仿宋"/>
          <w:color w:val="000000"/>
          <w:sz w:val="32"/>
          <w:szCs w:val="32"/>
          <w:lang w:val="en-US" w:eastAsia="zh-CN"/>
        </w:rPr>
        <w:t>18.59</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项目减少。</w:t>
      </w:r>
    </w:p>
    <w:p w14:paraId="590B309F">
      <w:pPr>
        <w:pStyle w:val="2"/>
        <w:rPr>
          <w:rFonts w:hint="eastAsia" w:ascii="仿宋" w:hAnsi="仿宋" w:eastAsia="仿宋"/>
          <w:color w:val="000000"/>
          <w:sz w:val="32"/>
          <w:szCs w:val="32"/>
          <w:lang w:eastAsia="zh-CN"/>
        </w:rPr>
      </w:pPr>
      <w:r>
        <w:drawing>
          <wp:inline distT="0" distB="0" distL="114300" distR="114300">
            <wp:extent cx="4182110" cy="2679065"/>
            <wp:effectExtent l="4445" t="5080" r="23495" b="20955"/>
            <wp:docPr id="1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bookmarkEnd w:id="68"/>
    <w:p w14:paraId="692EC997">
      <w:pPr>
        <w:spacing w:line="600" w:lineRule="exact"/>
        <w:rPr>
          <w:rFonts w:ascii="仿宋" w:hAnsi="仿宋" w:eastAsia="仿宋"/>
          <w:b/>
          <w:color w:val="00B050"/>
          <w:sz w:val="32"/>
          <w:szCs w:val="32"/>
        </w:rPr>
      </w:pPr>
      <w:bookmarkStart w:id="69" w:name="OLE_LINK17"/>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bookmarkEnd w:id="69"/>
    <w:p w14:paraId="3680C6A0">
      <w:pPr>
        <w:spacing w:line="600" w:lineRule="exact"/>
        <w:ind w:firstLine="640" w:firstLineChars="200"/>
        <w:outlineLvl w:val="1"/>
        <w:rPr>
          <w:rStyle w:val="27"/>
        </w:rPr>
      </w:pPr>
      <w:bookmarkStart w:id="70" w:name="_Toc79163614"/>
      <w:bookmarkStart w:id="71" w:name="_Toc4663"/>
      <w:bookmarkStart w:id="72" w:name="_Toc15377209"/>
      <w:bookmarkStart w:id="73" w:name="_Toc23950"/>
      <w:bookmarkStart w:id="74" w:name="_Toc15396607"/>
      <w:bookmarkStart w:id="75" w:name="_Toc79163864"/>
      <w:r>
        <w:rPr>
          <w:rFonts w:hint="eastAsia" w:ascii="黑体" w:hAnsi="黑体" w:eastAsia="黑体"/>
          <w:color w:val="000000"/>
          <w:sz w:val="32"/>
          <w:szCs w:val="32"/>
        </w:rPr>
        <w:t>五、</w:t>
      </w:r>
      <w:r>
        <w:rPr>
          <w:rStyle w:val="27"/>
          <w:rFonts w:hint="eastAsia"/>
        </w:rPr>
        <w:t>一般公共预算财政拨款支出决算情况说明</w:t>
      </w:r>
      <w:bookmarkEnd w:id="70"/>
      <w:bookmarkEnd w:id="71"/>
      <w:bookmarkEnd w:id="72"/>
      <w:bookmarkEnd w:id="73"/>
      <w:bookmarkEnd w:id="74"/>
      <w:bookmarkEnd w:id="75"/>
    </w:p>
    <w:p w14:paraId="1960703E">
      <w:pPr>
        <w:spacing w:line="600" w:lineRule="exact"/>
        <w:ind w:firstLine="643" w:firstLineChars="200"/>
        <w:outlineLvl w:val="2"/>
        <w:rPr>
          <w:rStyle w:val="28"/>
        </w:rPr>
      </w:pPr>
      <w:bookmarkStart w:id="76" w:name="_Toc79163615"/>
      <w:bookmarkStart w:id="77" w:name="_Toc79163865"/>
      <w:bookmarkStart w:id="78" w:name="_Toc15377210"/>
      <w:r>
        <w:rPr>
          <w:rFonts w:hint="eastAsia" w:ascii="仿宋" w:hAnsi="仿宋" w:eastAsia="仿宋"/>
          <w:b/>
          <w:color w:val="000000"/>
          <w:sz w:val="32"/>
          <w:szCs w:val="32"/>
        </w:rPr>
        <w:t>（一）</w:t>
      </w:r>
      <w:r>
        <w:rPr>
          <w:rStyle w:val="28"/>
          <w:rFonts w:hint="eastAsia"/>
        </w:rPr>
        <w:t>一般公共预算财政拨款支出决算总体情况</w:t>
      </w:r>
      <w:bookmarkEnd w:id="76"/>
      <w:bookmarkEnd w:id="77"/>
      <w:bookmarkEnd w:id="78"/>
    </w:p>
    <w:p w14:paraId="22D0654E">
      <w:pPr>
        <w:spacing w:line="600" w:lineRule="exact"/>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427.38</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98</w:t>
      </w:r>
      <w:r>
        <w:rPr>
          <w:rFonts w:ascii="仿宋" w:hAnsi="仿宋" w:eastAsia="仿宋"/>
          <w:color w:val="000000"/>
          <w:sz w:val="32"/>
          <w:szCs w:val="32"/>
        </w:rPr>
        <w:t>%</w:t>
      </w:r>
      <w:r>
        <w:rPr>
          <w:rFonts w:hint="eastAsia" w:ascii="仿宋" w:hAnsi="仿宋" w:eastAsia="仿宋"/>
          <w:color w:val="000000"/>
          <w:sz w:val="32"/>
          <w:szCs w:val="32"/>
        </w:rPr>
        <w:t>。</w:t>
      </w:r>
      <w:bookmarkStart w:id="79" w:name="OLE_LINK18"/>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359.58</w:t>
      </w:r>
      <w:r>
        <w:rPr>
          <w:rFonts w:hint="eastAsia" w:ascii="仿宋" w:hAnsi="仿宋" w:eastAsia="仿宋"/>
          <w:color w:val="000000"/>
          <w:sz w:val="32"/>
          <w:szCs w:val="32"/>
        </w:rPr>
        <w:t>万元相比，一般公共预算财政拨款</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67.8</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增长</w:t>
      </w:r>
      <w:r>
        <w:rPr>
          <w:rFonts w:hint="eastAsia" w:ascii="仿宋" w:hAnsi="仿宋" w:eastAsia="仿宋"/>
          <w:color w:val="000000"/>
          <w:sz w:val="32"/>
          <w:szCs w:val="32"/>
          <w:lang w:val="en-US" w:eastAsia="zh-CN"/>
        </w:rPr>
        <w:t>16</w:t>
      </w:r>
      <w:r>
        <w:rPr>
          <w:rFonts w:ascii="仿宋" w:hAnsi="仿宋" w:eastAsia="仿宋"/>
          <w:color w:val="000000"/>
          <w:sz w:val="32"/>
          <w:szCs w:val="32"/>
        </w:rPr>
        <w:t>%</w:t>
      </w:r>
      <w:r>
        <w:rPr>
          <w:rFonts w:hint="eastAsia" w:ascii="仿宋" w:hAnsi="仿宋" w:eastAsia="仿宋"/>
          <w:color w:val="000000"/>
          <w:sz w:val="32"/>
          <w:szCs w:val="32"/>
        </w:rPr>
        <w:t>。主要变动原因是项目</w:t>
      </w:r>
      <w:r>
        <w:rPr>
          <w:rFonts w:hint="eastAsia" w:ascii="仿宋" w:hAnsi="仿宋" w:eastAsia="仿宋"/>
          <w:color w:val="000000"/>
          <w:sz w:val="32"/>
          <w:szCs w:val="32"/>
          <w:lang w:eastAsia="zh-CN"/>
        </w:rPr>
        <w:t>增加。</w:t>
      </w:r>
    </w:p>
    <w:p w14:paraId="6846FA1A">
      <w:pPr>
        <w:pStyle w:val="2"/>
        <w:rPr>
          <w:rFonts w:hint="eastAsia"/>
          <w:lang w:eastAsia="zh-CN"/>
        </w:rPr>
      </w:pPr>
      <w:r>
        <w:drawing>
          <wp:inline distT="0" distB="0" distL="114300" distR="114300">
            <wp:extent cx="4199890" cy="2222500"/>
            <wp:effectExtent l="6350" t="6350" r="22860" b="19050"/>
            <wp:docPr id="1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AF3BAD4">
      <w:pPr>
        <w:pStyle w:val="2"/>
        <w:rPr>
          <w:rFonts w:hint="eastAsia"/>
          <w:lang w:eastAsia="zh-CN"/>
        </w:rPr>
      </w:pPr>
    </w:p>
    <w:bookmarkEnd w:id="79"/>
    <w:p w14:paraId="522AE394">
      <w:pPr>
        <w:spacing w:line="600" w:lineRule="exact"/>
        <w:jc w:val="left"/>
        <w:rPr>
          <w:rFonts w:ascii="仿宋" w:hAnsi="仿宋" w:eastAsia="仿宋"/>
          <w:color w:val="000000"/>
          <w:sz w:val="32"/>
          <w:szCs w:val="32"/>
        </w:rPr>
      </w:pPr>
      <w:bookmarkStart w:id="80" w:name="OLE_LINK19"/>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bookmarkEnd w:id="80"/>
    <w:p w14:paraId="40E105DF">
      <w:pPr>
        <w:spacing w:line="600" w:lineRule="exact"/>
        <w:ind w:firstLine="643" w:firstLineChars="200"/>
        <w:rPr>
          <w:rStyle w:val="28"/>
        </w:rPr>
      </w:pPr>
      <w:bookmarkStart w:id="81" w:name="_Toc15377211"/>
      <w:bookmarkStart w:id="82" w:name="_Toc79163616"/>
      <w:bookmarkStart w:id="83" w:name="_Toc79163866"/>
      <w:r>
        <w:rPr>
          <w:rFonts w:hint="eastAsia" w:ascii="仿宋" w:hAnsi="仿宋" w:eastAsia="仿宋"/>
          <w:b/>
          <w:color w:val="000000"/>
          <w:sz w:val="32"/>
          <w:szCs w:val="32"/>
        </w:rPr>
        <w:t>（二）</w:t>
      </w:r>
      <w:r>
        <w:rPr>
          <w:rStyle w:val="28"/>
          <w:rFonts w:hint="eastAsia"/>
        </w:rPr>
        <w:t>一般公共预算财政拨款支出决算结构情况</w:t>
      </w:r>
      <w:bookmarkEnd w:id="81"/>
      <w:bookmarkEnd w:id="82"/>
      <w:bookmarkEnd w:id="83"/>
    </w:p>
    <w:p w14:paraId="7943BD71">
      <w:pPr>
        <w:spacing w:line="600" w:lineRule="exact"/>
        <w:ind w:firstLine="640" w:firstLineChars="200"/>
        <w:rPr>
          <w:rFonts w:hint="eastAsia" w:ascii="仿宋" w:hAnsi="仿宋" w:eastAsia="仿宋"/>
          <w:color w:val="000000" w:themeColor="text1"/>
          <w:sz w:val="32"/>
          <w:szCs w:val="32"/>
          <w:lang w:eastAsia="zh-CN"/>
        </w:rPr>
      </w:pPr>
      <w:r>
        <w:rPr>
          <w:rFonts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年一般公共预算财政拨款支出</w:t>
      </w:r>
      <w:r>
        <w:rPr>
          <w:rFonts w:hint="eastAsia" w:ascii="仿宋" w:hAnsi="仿宋" w:eastAsia="仿宋"/>
          <w:color w:val="000000"/>
          <w:sz w:val="32"/>
          <w:szCs w:val="32"/>
          <w:lang w:val="en-US" w:eastAsia="zh-CN"/>
        </w:rPr>
        <w:t>427.38</w:t>
      </w:r>
      <w:r>
        <w:rPr>
          <w:rFonts w:hint="eastAsia" w:ascii="仿宋" w:hAnsi="仿宋" w:eastAsia="仿宋"/>
          <w:color w:val="auto"/>
          <w:sz w:val="32"/>
          <w:szCs w:val="32"/>
        </w:rPr>
        <w:t>万元</w:t>
      </w:r>
      <w:r>
        <w:rPr>
          <w:rFonts w:hint="eastAsia" w:ascii="仿宋" w:hAnsi="仿宋" w:eastAsia="仿宋"/>
          <w:color w:val="000000"/>
          <w:sz w:val="32"/>
          <w:szCs w:val="32"/>
        </w:rPr>
        <w:t>，主要用于以下方面</w:t>
      </w:r>
      <w:r>
        <w:rPr>
          <w:rFonts w:hint="eastAsia" w:ascii="仿宋" w:hAnsi="仿宋" w:eastAsia="仿宋"/>
          <w:color w:val="000000"/>
          <w:sz w:val="32"/>
          <w:szCs w:val="32"/>
          <w:lang w:eastAsia="zh-CN"/>
        </w:rPr>
        <w:t>：</w:t>
      </w:r>
      <w:bookmarkStart w:id="84" w:name="OLE_LINK4"/>
      <w:r>
        <w:rPr>
          <w:rFonts w:hint="eastAsia" w:ascii="仿宋" w:hAnsi="仿宋" w:eastAsia="仿宋"/>
          <w:b/>
          <w:color w:val="000000" w:themeColor="text1"/>
          <w:sz w:val="32"/>
          <w:szCs w:val="32"/>
        </w:rPr>
        <w:t>社会保障和就业</w:t>
      </w:r>
      <w:bookmarkEnd w:id="84"/>
      <w:r>
        <w:rPr>
          <w:rFonts w:hint="eastAsia" w:ascii="仿宋" w:hAnsi="仿宋" w:eastAsia="仿宋"/>
          <w:b/>
          <w:color w:val="000000" w:themeColor="text1"/>
          <w:sz w:val="32"/>
          <w:szCs w:val="32"/>
        </w:rPr>
        <w:t>（</w:t>
      </w:r>
      <w:r>
        <w:rPr>
          <w:rFonts w:hint="eastAsia" w:ascii="仿宋" w:hAnsi="仿宋" w:eastAsia="仿宋"/>
          <w:b/>
          <w:color w:val="000000" w:themeColor="text1"/>
          <w:sz w:val="32"/>
          <w:szCs w:val="32"/>
          <w:lang w:val="en-US" w:eastAsia="zh-CN"/>
        </w:rPr>
        <w:t>208</w:t>
      </w:r>
      <w:r>
        <w:rPr>
          <w:rFonts w:hint="eastAsia" w:ascii="仿宋" w:hAnsi="仿宋" w:eastAsia="仿宋"/>
          <w:b/>
          <w:color w:val="000000" w:themeColor="text1"/>
          <w:sz w:val="32"/>
          <w:szCs w:val="32"/>
        </w:rPr>
        <w:t>）</w:t>
      </w:r>
      <w:r>
        <w:rPr>
          <w:rFonts w:hint="eastAsia" w:ascii="仿宋" w:hAnsi="仿宋" w:eastAsia="仿宋"/>
          <w:b/>
          <w:bCs/>
          <w:color w:val="000000" w:themeColor="text1"/>
          <w:sz w:val="32"/>
          <w:szCs w:val="32"/>
        </w:rPr>
        <w:t>支出</w:t>
      </w:r>
      <w:r>
        <w:rPr>
          <w:rFonts w:hint="eastAsia" w:ascii="仿宋" w:hAnsi="仿宋" w:eastAsia="仿宋"/>
          <w:color w:val="000000" w:themeColor="text1"/>
          <w:sz w:val="32"/>
          <w:szCs w:val="32"/>
          <w:lang w:val="en-US" w:eastAsia="zh-CN"/>
        </w:rPr>
        <w:t>400.18</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94</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bookmarkStart w:id="85" w:name="OLE_LINK5"/>
      <w:r>
        <w:rPr>
          <w:rFonts w:hint="eastAsia" w:ascii="仿宋" w:hAnsi="仿宋" w:eastAsia="仿宋"/>
          <w:b/>
          <w:bCs/>
          <w:color w:val="000000" w:themeColor="text1"/>
          <w:sz w:val="32"/>
          <w:szCs w:val="32"/>
        </w:rPr>
        <w:t>卫生健康支出</w:t>
      </w:r>
      <w:bookmarkEnd w:id="85"/>
      <w:r>
        <w:rPr>
          <w:rFonts w:hint="eastAsia" w:ascii="仿宋" w:hAnsi="仿宋" w:eastAsia="仿宋"/>
          <w:b/>
          <w:color w:val="000000" w:themeColor="text1"/>
          <w:sz w:val="32"/>
          <w:szCs w:val="32"/>
        </w:rPr>
        <w:t>（</w:t>
      </w:r>
      <w:r>
        <w:rPr>
          <w:rFonts w:hint="eastAsia" w:ascii="仿宋" w:hAnsi="仿宋" w:eastAsia="仿宋"/>
          <w:b/>
          <w:color w:val="000000" w:themeColor="text1"/>
          <w:sz w:val="32"/>
          <w:szCs w:val="32"/>
          <w:lang w:val="en-US" w:eastAsia="zh-CN"/>
        </w:rPr>
        <w:t>210</w:t>
      </w:r>
      <w:r>
        <w:rPr>
          <w:rFonts w:hint="eastAsia" w:ascii="仿宋" w:hAnsi="仿宋" w:eastAsia="仿宋"/>
          <w:b/>
          <w:color w:val="000000" w:themeColor="text1"/>
          <w:sz w:val="32"/>
          <w:szCs w:val="32"/>
        </w:rPr>
        <w:t>）</w:t>
      </w:r>
      <w:r>
        <w:rPr>
          <w:rFonts w:hint="eastAsia" w:ascii="仿宋" w:hAnsi="仿宋" w:eastAsia="仿宋"/>
          <w:color w:val="000000" w:themeColor="text1"/>
          <w:sz w:val="32"/>
          <w:szCs w:val="32"/>
          <w:lang w:val="en-US" w:eastAsia="zh-CN"/>
        </w:rPr>
        <w:t>8.59</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2</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bookmarkStart w:id="86" w:name="OLE_LINK6"/>
      <w:r>
        <w:rPr>
          <w:rFonts w:hint="eastAsia" w:ascii="仿宋" w:hAnsi="仿宋" w:eastAsia="仿宋"/>
          <w:b/>
          <w:bCs/>
          <w:color w:val="000000" w:themeColor="text1"/>
          <w:sz w:val="32"/>
          <w:szCs w:val="32"/>
          <w:lang w:eastAsia="zh-CN"/>
        </w:rPr>
        <w:t>农林水支出</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lang w:val="en-US" w:eastAsia="zh-CN"/>
        </w:rPr>
        <w:t>213</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lang w:val="en-US" w:eastAsia="zh-CN"/>
        </w:rPr>
        <w:t>5.5万元，占1%；</w:t>
      </w:r>
      <w:r>
        <w:rPr>
          <w:rFonts w:hint="eastAsia" w:ascii="仿宋" w:hAnsi="仿宋" w:eastAsia="仿宋"/>
          <w:b/>
          <w:bCs/>
          <w:color w:val="000000" w:themeColor="text1"/>
          <w:sz w:val="32"/>
          <w:szCs w:val="32"/>
        </w:rPr>
        <w:t>住房保障支出</w:t>
      </w:r>
      <w:bookmarkEnd w:id="86"/>
      <w:r>
        <w:rPr>
          <w:rFonts w:hint="eastAsia" w:ascii="仿宋" w:hAnsi="仿宋" w:eastAsia="仿宋"/>
          <w:b/>
          <w:color w:val="000000" w:themeColor="text1"/>
          <w:sz w:val="32"/>
          <w:szCs w:val="32"/>
        </w:rPr>
        <w:t>（</w:t>
      </w:r>
      <w:r>
        <w:rPr>
          <w:rFonts w:hint="eastAsia" w:ascii="仿宋" w:hAnsi="仿宋" w:eastAsia="仿宋"/>
          <w:b/>
          <w:color w:val="000000" w:themeColor="text1"/>
          <w:sz w:val="32"/>
          <w:szCs w:val="32"/>
          <w:lang w:val="en-US" w:eastAsia="zh-CN"/>
        </w:rPr>
        <w:t>221</w:t>
      </w:r>
      <w:r>
        <w:rPr>
          <w:rFonts w:hint="eastAsia" w:ascii="仿宋" w:hAnsi="仿宋" w:eastAsia="仿宋"/>
          <w:b/>
          <w:color w:val="000000" w:themeColor="text1"/>
          <w:sz w:val="32"/>
          <w:szCs w:val="32"/>
        </w:rPr>
        <w:t>）</w:t>
      </w:r>
      <w:r>
        <w:rPr>
          <w:rFonts w:hint="eastAsia" w:ascii="仿宋" w:hAnsi="仿宋" w:eastAsia="仿宋"/>
          <w:color w:val="000000" w:themeColor="text1"/>
          <w:sz w:val="32"/>
          <w:szCs w:val="32"/>
          <w:lang w:val="en-US" w:eastAsia="zh-CN"/>
        </w:rPr>
        <w:t>13.1</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3</w:t>
      </w:r>
      <w:r>
        <w:rPr>
          <w:rFonts w:ascii="仿宋" w:hAnsi="仿宋" w:eastAsia="仿宋"/>
          <w:color w:val="000000" w:themeColor="text1"/>
          <w:sz w:val="32"/>
          <w:szCs w:val="32"/>
        </w:rPr>
        <w:t>%</w:t>
      </w:r>
      <w:r>
        <w:rPr>
          <w:rFonts w:hint="eastAsia" w:ascii="仿宋" w:hAnsi="仿宋" w:eastAsia="仿宋"/>
          <w:color w:val="000000" w:themeColor="text1"/>
          <w:sz w:val="32"/>
          <w:szCs w:val="32"/>
          <w:lang w:eastAsia="zh-CN"/>
        </w:rPr>
        <w:t>。</w:t>
      </w:r>
    </w:p>
    <w:p w14:paraId="2612B9CD">
      <w:pPr>
        <w:pStyle w:val="2"/>
        <w:rPr>
          <w:rFonts w:hint="eastAsia"/>
          <w:lang w:val="en-US" w:eastAsia="zh-CN"/>
        </w:rPr>
      </w:pPr>
      <w:r>
        <w:drawing>
          <wp:inline distT="0" distB="0" distL="114300" distR="114300">
            <wp:extent cx="4199890" cy="2222500"/>
            <wp:effectExtent l="4445" t="4445" r="5715" b="20955"/>
            <wp:docPr id="1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16F0D90">
      <w:pPr>
        <w:spacing w:line="600" w:lineRule="exact"/>
        <w:jc w:val="left"/>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w:t>
      </w:r>
      <w:bookmarkStart w:id="87" w:name="OLE_LINK22"/>
      <w:r>
        <w:rPr>
          <w:rFonts w:hint="eastAsia" w:ascii="仿宋" w:hAnsi="仿宋" w:eastAsia="仿宋"/>
          <w:color w:val="000000"/>
          <w:sz w:val="32"/>
          <w:szCs w:val="32"/>
        </w:rPr>
        <w:t>一般公共预算财政拨款支出决算结构</w:t>
      </w:r>
      <w:bookmarkEnd w:id="87"/>
      <w:r>
        <w:rPr>
          <w:rFonts w:hint="eastAsia" w:ascii="仿宋" w:hAnsi="仿宋" w:eastAsia="仿宋"/>
          <w:color w:val="000000"/>
          <w:sz w:val="32"/>
          <w:szCs w:val="32"/>
        </w:rPr>
        <w:t>）（饼状图）</w:t>
      </w:r>
      <w:bookmarkStart w:id="88" w:name="_Toc79163867"/>
      <w:bookmarkStart w:id="89" w:name="_Toc15377212"/>
      <w:bookmarkStart w:id="90" w:name="_Toc79163617"/>
    </w:p>
    <w:p w14:paraId="5A5AF08E">
      <w:pPr>
        <w:spacing w:line="600" w:lineRule="exact"/>
        <w:jc w:val="left"/>
        <w:rPr>
          <w:rStyle w:val="28"/>
        </w:rPr>
      </w:pPr>
      <w:r>
        <w:rPr>
          <w:rFonts w:hint="eastAsia" w:ascii="仿宋_GB2312" w:eastAsia="仿宋_GB2312"/>
          <w:b/>
          <w:bCs/>
          <w:color w:val="auto"/>
          <w:sz w:val="32"/>
          <w:szCs w:val="32"/>
          <w:lang w:val="en-US" w:eastAsia="zh-CN"/>
        </w:rPr>
        <w:t>（</w:t>
      </w:r>
      <w:r>
        <w:rPr>
          <w:rFonts w:hint="eastAsia" w:ascii="仿宋_GB2312" w:eastAsia="仿宋_GB2312"/>
          <w:b/>
          <w:bCs/>
          <w:color w:val="auto"/>
          <w:sz w:val="32"/>
          <w:szCs w:val="32"/>
        </w:rPr>
        <w:t>三）</w:t>
      </w:r>
      <w:r>
        <w:rPr>
          <w:rStyle w:val="28"/>
          <w:rFonts w:hint="eastAsia"/>
        </w:rPr>
        <w:t>一般公共预算财政拨款支出决算具体情况</w:t>
      </w:r>
      <w:bookmarkEnd w:id="88"/>
      <w:bookmarkEnd w:id="89"/>
      <w:bookmarkEnd w:id="90"/>
    </w:p>
    <w:p w14:paraId="762BC4BB">
      <w:pPr>
        <w:spacing w:line="600" w:lineRule="exact"/>
        <w:ind w:firstLine="643" w:firstLineChars="200"/>
        <w:rPr>
          <w:rFonts w:ascii="仿宋_GB2312" w:eastAsia="仿宋_GB2312"/>
          <w:b/>
          <w:bCs/>
          <w:sz w:val="32"/>
          <w:szCs w:val="32"/>
        </w:rPr>
      </w:pPr>
      <w:bookmarkStart w:id="91" w:name="_Toc15378460"/>
      <w:bookmarkStart w:id="92" w:name="_Toc15377213"/>
      <w:bookmarkStart w:id="93" w:name="_Toc15377444"/>
      <w:r>
        <w:rPr>
          <w:rFonts w:ascii="仿宋_GB2312" w:eastAsia="仿宋_GB2312"/>
          <w:b/>
          <w:bCs/>
          <w:sz w:val="32"/>
          <w:szCs w:val="32"/>
        </w:rPr>
        <w:t>202</w:t>
      </w:r>
      <w:r>
        <w:rPr>
          <w:rFonts w:hint="eastAsia" w:ascii="仿宋_GB2312" w:eastAsia="仿宋_GB2312"/>
          <w:b/>
          <w:bCs/>
          <w:sz w:val="32"/>
          <w:szCs w:val="32"/>
          <w:lang w:val="en-US" w:eastAsia="zh-CN"/>
        </w:rPr>
        <w:t>5</w:t>
      </w:r>
      <w:r>
        <w:rPr>
          <w:rFonts w:hint="eastAsia" w:ascii="仿宋_GB2312" w:eastAsia="仿宋_GB2312"/>
          <w:b/>
          <w:bCs/>
          <w:sz w:val="32"/>
          <w:szCs w:val="32"/>
        </w:rPr>
        <w:t>年一般公共预算支出决算数为</w:t>
      </w:r>
      <w:r>
        <w:rPr>
          <w:rFonts w:hint="eastAsia" w:ascii="仿宋" w:hAnsi="仿宋" w:eastAsia="仿宋"/>
          <w:color w:val="000000"/>
          <w:sz w:val="32"/>
          <w:szCs w:val="32"/>
          <w:lang w:val="en-US" w:eastAsia="zh-CN"/>
        </w:rPr>
        <w:t>427.38万元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bookmarkEnd w:id="91"/>
      <w:bookmarkEnd w:id="92"/>
      <w:bookmarkEnd w:id="93"/>
    </w:p>
    <w:p w14:paraId="38B0780F">
      <w:pPr>
        <w:spacing w:line="600" w:lineRule="exact"/>
        <w:ind w:firstLine="643" w:firstLineChars="200"/>
        <w:rPr>
          <w:rStyle w:val="24"/>
          <w:rFonts w:hint="eastAsia" w:ascii="仿宋" w:hAnsi="仿宋" w:eastAsia="仿宋"/>
          <w:b w:val="0"/>
          <w:bCs w:val="0"/>
          <w:color w:val="000000"/>
          <w:sz w:val="32"/>
          <w:szCs w:val="32"/>
          <w:lang w:val="en-US" w:eastAsia="zh-CN"/>
        </w:rPr>
      </w:pPr>
      <w:r>
        <w:rPr>
          <w:rStyle w:val="24"/>
          <w:rFonts w:hint="eastAsia" w:ascii="仿宋" w:hAnsi="仿宋" w:eastAsia="仿宋"/>
          <w:bCs/>
          <w:color w:val="000000"/>
          <w:sz w:val="32"/>
          <w:szCs w:val="32"/>
          <w:lang w:val="en-US" w:eastAsia="zh-CN"/>
        </w:rPr>
        <w:t>1.</w:t>
      </w:r>
      <w:r>
        <w:rPr>
          <w:rFonts w:hint="eastAsia" w:ascii="仿宋" w:hAnsi="仿宋" w:eastAsia="仿宋"/>
          <w:b/>
          <w:bCs/>
          <w:color w:val="000000" w:themeColor="text1"/>
          <w:sz w:val="32"/>
          <w:szCs w:val="32"/>
          <w:lang w:eastAsia="zh-CN"/>
        </w:rPr>
        <w:t>农林水支出</w:t>
      </w:r>
      <w:r>
        <w:rPr>
          <w:rStyle w:val="24"/>
          <w:rFonts w:hint="eastAsia" w:ascii="仿宋" w:hAnsi="仿宋" w:eastAsia="仿宋"/>
          <w:bCs/>
          <w:color w:val="000000"/>
          <w:sz w:val="32"/>
          <w:szCs w:val="32"/>
          <w:lang w:val="en-US" w:eastAsia="zh-CN"/>
        </w:rPr>
        <w:t>：</w:t>
      </w:r>
      <w:r>
        <w:rPr>
          <w:rStyle w:val="24"/>
          <w:rFonts w:hint="eastAsia" w:ascii="仿宋" w:hAnsi="仿宋" w:eastAsia="仿宋"/>
          <w:b w:val="0"/>
          <w:bCs w:val="0"/>
          <w:color w:val="000000"/>
          <w:sz w:val="32"/>
          <w:szCs w:val="32"/>
          <w:lang w:val="en-US" w:eastAsia="zh-CN"/>
        </w:rPr>
        <w:t>2130599其他教育支出</w:t>
      </w:r>
      <w:r>
        <w:rPr>
          <w:rFonts w:hint="eastAsia" w:ascii="仿宋" w:hAnsi="仿宋" w:eastAsia="仿宋" w:cs="仿宋"/>
          <w:sz w:val="32"/>
          <w:szCs w:val="32"/>
        </w:rPr>
        <w:t>决算数为</w:t>
      </w:r>
      <w:r>
        <w:rPr>
          <w:rFonts w:hint="eastAsia" w:ascii="仿宋" w:hAnsi="仿宋" w:eastAsia="仿宋" w:cs="仿宋"/>
          <w:sz w:val="32"/>
          <w:szCs w:val="32"/>
          <w:lang w:val="en-US" w:eastAsia="zh-CN"/>
        </w:rPr>
        <w:t>5.5</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完成预算</w:t>
      </w:r>
      <w:r>
        <w:rPr>
          <w:rFonts w:ascii="仿宋" w:hAnsi="仿宋" w:eastAsia="仿宋" w:cs="仿宋"/>
          <w:sz w:val="32"/>
          <w:szCs w:val="32"/>
        </w:rPr>
        <w:t>100%</w:t>
      </w:r>
      <w:r>
        <w:rPr>
          <w:rStyle w:val="24"/>
          <w:rFonts w:hint="eastAsia" w:ascii="仿宋" w:hAnsi="仿宋" w:eastAsia="仿宋"/>
          <w:b w:val="0"/>
          <w:bCs/>
          <w:color w:val="000000"/>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p>
    <w:p w14:paraId="37C18E7F">
      <w:pPr>
        <w:spacing w:line="600" w:lineRule="exact"/>
        <w:ind w:firstLine="643" w:firstLineChars="200"/>
        <w:rPr>
          <w:rFonts w:ascii="仿宋" w:hAnsi="仿宋" w:eastAsia="仿宋"/>
          <w:sz w:val="32"/>
          <w:szCs w:val="32"/>
        </w:rPr>
      </w:pPr>
      <w:r>
        <w:rPr>
          <w:rStyle w:val="24"/>
          <w:rFonts w:hint="eastAsia" w:ascii="仿宋" w:hAnsi="仿宋" w:eastAsia="仿宋"/>
          <w:bCs/>
          <w:color w:val="000000"/>
          <w:sz w:val="32"/>
          <w:szCs w:val="32"/>
          <w:lang w:val="en-US" w:eastAsia="zh-CN"/>
        </w:rPr>
        <w:t>2.</w:t>
      </w:r>
      <w:r>
        <w:rPr>
          <w:rStyle w:val="24"/>
          <w:rFonts w:hint="eastAsia" w:ascii="仿宋" w:hAnsi="仿宋" w:eastAsia="仿宋"/>
          <w:bCs/>
          <w:color w:val="000000"/>
          <w:sz w:val="32"/>
          <w:szCs w:val="32"/>
        </w:rPr>
        <w:t>社会保障和就业</w:t>
      </w:r>
      <w:r>
        <w:rPr>
          <w:rStyle w:val="24"/>
          <w:rFonts w:hint="eastAsia" w:ascii="仿宋" w:hAnsi="仿宋" w:eastAsia="仿宋"/>
          <w:bCs/>
          <w:color w:val="000000"/>
          <w:sz w:val="32"/>
          <w:szCs w:val="32"/>
          <w:lang w:eastAsia="zh-CN"/>
        </w:rPr>
        <w:t>：</w:t>
      </w:r>
      <w:r>
        <w:rPr>
          <w:rFonts w:ascii="仿宋" w:hAnsi="仿宋" w:eastAsia="仿宋" w:cs="仿宋"/>
          <w:sz w:val="32"/>
          <w:szCs w:val="32"/>
        </w:rPr>
        <w:t>2080505</w:t>
      </w:r>
      <w:r>
        <w:rPr>
          <w:rFonts w:hint="eastAsia" w:ascii="仿宋" w:hAnsi="仿宋" w:eastAsia="仿宋" w:cs="仿宋"/>
          <w:sz w:val="32"/>
          <w:szCs w:val="32"/>
        </w:rPr>
        <w:t>机关事业单位基本养老保险缴费支出决算数为</w:t>
      </w:r>
      <w:r>
        <w:rPr>
          <w:rFonts w:hint="eastAsia" w:ascii="仿宋" w:hAnsi="仿宋" w:eastAsia="仿宋" w:cs="仿宋"/>
          <w:sz w:val="32"/>
          <w:szCs w:val="32"/>
          <w:lang w:val="en-US" w:eastAsia="zh-CN"/>
        </w:rPr>
        <w:t>16.4</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完成预算</w:t>
      </w:r>
      <w:r>
        <w:rPr>
          <w:rFonts w:ascii="仿宋" w:hAnsi="仿宋" w:eastAsia="仿宋" w:cs="仿宋"/>
          <w:sz w:val="32"/>
          <w:szCs w:val="32"/>
        </w:rPr>
        <w:t>100%</w:t>
      </w:r>
      <w:r>
        <w:rPr>
          <w:rStyle w:val="24"/>
          <w:rFonts w:hint="eastAsia" w:ascii="仿宋" w:hAnsi="仿宋" w:eastAsia="仿宋"/>
          <w:b w:val="0"/>
          <w:bCs/>
          <w:color w:val="000000"/>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r>
        <w:rPr>
          <w:rFonts w:ascii="仿宋" w:hAnsi="仿宋" w:eastAsia="仿宋" w:cs="仿宋"/>
          <w:sz w:val="32"/>
          <w:szCs w:val="32"/>
        </w:rPr>
        <w:t>208</w:t>
      </w:r>
      <w:r>
        <w:rPr>
          <w:rFonts w:hint="eastAsia" w:ascii="仿宋" w:hAnsi="仿宋" w:eastAsia="仿宋" w:cs="仿宋"/>
          <w:sz w:val="32"/>
          <w:szCs w:val="32"/>
          <w:lang w:val="en-US" w:eastAsia="zh-CN"/>
        </w:rPr>
        <w:t>0506</w:t>
      </w:r>
      <w:r>
        <w:rPr>
          <w:rFonts w:hint="eastAsia" w:ascii="仿宋" w:hAnsi="仿宋" w:eastAsia="仿宋" w:cs="仿宋"/>
          <w:sz w:val="32"/>
          <w:szCs w:val="32"/>
        </w:rPr>
        <w:t>机关事业单位</w:t>
      </w:r>
      <w:r>
        <w:rPr>
          <w:rFonts w:hint="eastAsia" w:ascii="仿宋" w:hAnsi="仿宋" w:eastAsia="仿宋" w:cs="仿宋"/>
          <w:sz w:val="32"/>
          <w:szCs w:val="32"/>
          <w:lang w:eastAsia="zh-CN"/>
        </w:rPr>
        <w:t>职业年金缴费</w:t>
      </w:r>
      <w:r>
        <w:rPr>
          <w:rFonts w:hint="eastAsia" w:ascii="仿宋" w:hAnsi="仿宋" w:eastAsia="仿宋" w:cs="仿宋"/>
          <w:sz w:val="32"/>
          <w:szCs w:val="32"/>
        </w:rPr>
        <w:t>支出决算数为</w:t>
      </w:r>
      <w:r>
        <w:rPr>
          <w:rFonts w:hint="eastAsia" w:ascii="仿宋" w:hAnsi="仿宋" w:eastAsia="仿宋" w:cs="仿宋"/>
          <w:sz w:val="32"/>
          <w:szCs w:val="32"/>
          <w:lang w:val="en-US" w:eastAsia="zh-CN"/>
        </w:rPr>
        <w:t>8.2</w:t>
      </w:r>
      <w:r>
        <w:rPr>
          <w:rFonts w:hint="eastAsia" w:ascii="仿宋" w:hAnsi="仿宋" w:eastAsia="仿宋" w:cs="仿宋"/>
          <w:sz w:val="32"/>
          <w:szCs w:val="32"/>
        </w:rPr>
        <w:t>万元，完成预算</w:t>
      </w:r>
      <w:r>
        <w:rPr>
          <w:rFonts w:ascii="仿宋" w:hAnsi="仿宋" w:eastAsia="仿宋" w:cs="仿宋"/>
          <w:sz w:val="32"/>
          <w:szCs w:val="32"/>
        </w:rPr>
        <w:t>100%</w:t>
      </w:r>
      <w:bookmarkStart w:id="94" w:name="OLE_LINK23"/>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r>
        <w:rPr>
          <w:rFonts w:ascii="仿宋" w:hAnsi="仿宋" w:eastAsia="仿宋" w:cs="仿宋"/>
          <w:sz w:val="32"/>
          <w:szCs w:val="32"/>
        </w:rPr>
        <w:t>208110</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行政运行</w:t>
      </w:r>
      <w:r>
        <w:rPr>
          <w:rFonts w:hint="eastAsia" w:ascii="仿宋" w:hAnsi="仿宋" w:eastAsia="仿宋" w:cs="仿宋"/>
          <w:sz w:val="32"/>
          <w:szCs w:val="32"/>
        </w:rPr>
        <w:t>支出决算数</w:t>
      </w:r>
      <w:r>
        <w:rPr>
          <w:rFonts w:hint="eastAsia" w:ascii="仿宋" w:hAnsi="仿宋" w:eastAsia="仿宋" w:cs="仿宋"/>
          <w:sz w:val="32"/>
          <w:szCs w:val="32"/>
          <w:lang w:val="en-US" w:eastAsia="zh-CN"/>
        </w:rPr>
        <w:t>130.29</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bookmarkEnd w:id="94"/>
      <w:r>
        <w:rPr>
          <w:rFonts w:ascii="仿宋" w:hAnsi="仿宋" w:eastAsia="仿宋" w:cs="仿宋"/>
          <w:sz w:val="32"/>
          <w:szCs w:val="32"/>
        </w:rPr>
        <w:t>208110</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一般行政管理事务</w:t>
      </w:r>
      <w:r>
        <w:rPr>
          <w:rFonts w:hint="eastAsia" w:ascii="仿宋" w:hAnsi="仿宋" w:eastAsia="仿宋" w:cs="仿宋"/>
          <w:sz w:val="32"/>
          <w:szCs w:val="32"/>
        </w:rPr>
        <w:t>支出决算数</w:t>
      </w:r>
      <w:r>
        <w:rPr>
          <w:rFonts w:hint="eastAsia" w:ascii="仿宋" w:hAnsi="仿宋" w:eastAsia="仿宋" w:cs="仿宋"/>
          <w:sz w:val="32"/>
          <w:szCs w:val="32"/>
          <w:lang w:val="en-US" w:eastAsia="zh-CN"/>
        </w:rPr>
        <w:t>8.11</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Fonts w:ascii="仿宋" w:hAnsi="仿宋" w:eastAsia="仿宋" w:cs="仿宋"/>
          <w:sz w:val="32"/>
          <w:szCs w:val="32"/>
        </w:rPr>
        <w:t>208110</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残疾人就业</w:t>
      </w:r>
      <w:r>
        <w:rPr>
          <w:rFonts w:hint="eastAsia" w:ascii="仿宋" w:hAnsi="仿宋" w:eastAsia="仿宋" w:cs="仿宋"/>
          <w:sz w:val="32"/>
          <w:szCs w:val="32"/>
        </w:rPr>
        <w:t>支出决算数</w:t>
      </w:r>
      <w:r>
        <w:rPr>
          <w:rFonts w:hint="eastAsia" w:ascii="仿宋" w:hAnsi="仿宋" w:eastAsia="仿宋" w:cs="仿宋"/>
          <w:sz w:val="32"/>
          <w:szCs w:val="32"/>
          <w:lang w:val="en-US" w:eastAsia="zh-CN"/>
        </w:rPr>
        <w:t>50.07</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Fonts w:ascii="仿宋" w:hAnsi="仿宋" w:eastAsia="仿宋" w:cs="仿宋"/>
          <w:sz w:val="32"/>
          <w:szCs w:val="32"/>
        </w:rPr>
        <w:t>20811</w:t>
      </w:r>
      <w:r>
        <w:rPr>
          <w:rFonts w:hint="eastAsia" w:ascii="仿宋" w:hAnsi="仿宋" w:eastAsia="仿宋" w:cs="仿宋"/>
          <w:sz w:val="32"/>
          <w:szCs w:val="32"/>
          <w:lang w:val="en-US" w:eastAsia="zh-CN"/>
        </w:rPr>
        <w:t>99</w:t>
      </w:r>
      <w:r>
        <w:rPr>
          <w:rFonts w:hint="eastAsia" w:ascii="仿宋" w:hAnsi="仿宋" w:eastAsia="仿宋" w:cs="仿宋"/>
          <w:sz w:val="32"/>
          <w:szCs w:val="32"/>
          <w:lang w:eastAsia="zh-CN"/>
        </w:rPr>
        <w:t>其他残疾人事业</w:t>
      </w:r>
      <w:r>
        <w:rPr>
          <w:rFonts w:hint="eastAsia" w:ascii="仿宋" w:hAnsi="仿宋" w:eastAsia="仿宋" w:cs="仿宋"/>
          <w:sz w:val="32"/>
          <w:szCs w:val="32"/>
        </w:rPr>
        <w:t>支出决算数</w:t>
      </w:r>
      <w:r>
        <w:rPr>
          <w:rFonts w:hint="eastAsia" w:ascii="仿宋" w:hAnsi="仿宋" w:eastAsia="仿宋" w:cs="仿宋"/>
          <w:sz w:val="32"/>
          <w:szCs w:val="32"/>
          <w:lang w:val="en-US" w:eastAsia="zh-CN"/>
        </w:rPr>
        <w:t>187.11</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p>
    <w:p w14:paraId="43B0C693">
      <w:pPr>
        <w:spacing w:line="600" w:lineRule="exact"/>
        <w:ind w:firstLine="643" w:firstLineChars="200"/>
        <w:rPr>
          <w:rStyle w:val="24"/>
          <w:rFonts w:hint="eastAsia" w:ascii="仿宋" w:hAnsi="仿宋" w:eastAsia="仿宋"/>
          <w:b w:val="0"/>
          <w:bCs/>
          <w:color w:val="000000"/>
          <w:sz w:val="32"/>
          <w:szCs w:val="32"/>
          <w:lang w:eastAsia="zh-CN"/>
        </w:rPr>
      </w:pPr>
      <w:r>
        <w:rPr>
          <w:rStyle w:val="24"/>
          <w:rFonts w:hint="eastAsia" w:ascii="仿宋" w:hAnsi="仿宋" w:eastAsia="仿宋"/>
          <w:bCs/>
          <w:color w:val="000000"/>
          <w:sz w:val="32"/>
          <w:szCs w:val="32"/>
          <w:lang w:val="en-US" w:eastAsia="zh-CN"/>
        </w:rPr>
        <w:t>2</w:t>
      </w:r>
      <w:r>
        <w:rPr>
          <w:rStyle w:val="24"/>
          <w:rFonts w:ascii="仿宋" w:hAnsi="仿宋" w:eastAsia="仿宋"/>
          <w:bCs/>
          <w:color w:val="000000"/>
          <w:sz w:val="32"/>
          <w:szCs w:val="32"/>
        </w:rPr>
        <w:t>.</w:t>
      </w:r>
      <w:r>
        <w:rPr>
          <w:rFonts w:hint="eastAsia" w:ascii="仿宋" w:hAnsi="仿宋" w:eastAsia="仿宋"/>
          <w:b/>
          <w:bCs/>
          <w:color w:val="000000" w:themeColor="text1"/>
          <w:sz w:val="32"/>
          <w:szCs w:val="32"/>
        </w:rPr>
        <w:t>卫生健康</w:t>
      </w:r>
      <w:r>
        <w:rPr>
          <w:rFonts w:hint="eastAsia" w:ascii="仿宋" w:hAnsi="仿宋" w:eastAsia="仿宋"/>
          <w:b/>
          <w:bCs/>
          <w:color w:val="000000" w:themeColor="text1"/>
          <w:sz w:val="32"/>
          <w:szCs w:val="32"/>
          <w:lang w:eastAsia="zh-CN"/>
        </w:rPr>
        <w:t>支出：</w:t>
      </w:r>
      <w:r>
        <w:rPr>
          <w:rFonts w:ascii="仿宋" w:hAnsi="仿宋" w:eastAsia="仿宋" w:cs="仿宋"/>
          <w:sz w:val="32"/>
          <w:szCs w:val="32"/>
        </w:rPr>
        <w:t>2101101</w:t>
      </w:r>
      <w:r>
        <w:rPr>
          <w:rFonts w:hint="eastAsia" w:ascii="仿宋" w:hAnsi="仿宋" w:eastAsia="仿宋" w:cs="仿宋"/>
          <w:sz w:val="32"/>
          <w:szCs w:val="32"/>
        </w:rPr>
        <w:t>行政单位医疗</w:t>
      </w:r>
      <w:r>
        <w:rPr>
          <w:rFonts w:hint="eastAsia" w:ascii="仿宋" w:hAnsi="仿宋" w:eastAsia="仿宋" w:cs="仿宋"/>
          <w:sz w:val="32"/>
          <w:szCs w:val="32"/>
          <w:lang w:eastAsia="zh-CN"/>
        </w:rPr>
        <w:t>支出</w:t>
      </w:r>
      <w:r>
        <w:rPr>
          <w:rFonts w:hint="eastAsia" w:ascii="仿宋" w:hAnsi="仿宋" w:eastAsia="仿宋" w:cs="仿宋"/>
          <w:sz w:val="32"/>
          <w:szCs w:val="32"/>
        </w:rPr>
        <w:t>决算数为</w:t>
      </w:r>
      <w:r>
        <w:rPr>
          <w:rFonts w:hint="eastAsia" w:ascii="仿宋" w:hAnsi="仿宋" w:eastAsia="仿宋" w:cs="仿宋"/>
          <w:sz w:val="32"/>
          <w:szCs w:val="32"/>
          <w:lang w:val="en-US" w:eastAsia="zh-CN"/>
        </w:rPr>
        <w:t>7.36</w:t>
      </w:r>
      <w:r>
        <w:rPr>
          <w:rFonts w:hint="eastAsia" w:ascii="仿宋" w:hAnsi="仿宋" w:eastAsia="仿宋" w:cs="仿宋"/>
          <w:sz w:val="32"/>
          <w:szCs w:val="32"/>
        </w:rPr>
        <w:t>万元，完成预算</w:t>
      </w:r>
      <w:r>
        <w:rPr>
          <w:rFonts w:ascii="仿宋" w:hAnsi="仿宋" w:eastAsia="仿宋" w:cs="仿宋"/>
          <w:sz w:val="32"/>
          <w:szCs w:val="32"/>
        </w:rPr>
        <w:t>100%</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Fonts w:ascii="仿宋" w:hAnsi="仿宋" w:eastAsia="仿宋" w:cs="仿宋"/>
          <w:sz w:val="32"/>
          <w:szCs w:val="32"/>
        </w:rPr>
        <w:t>210110</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公务员</w:t>
      </w:r>
      <w:r>
        <w:rPr>
          <w:rFonts w:hint="eastAsia" w:ascii="仿宋" w:hAnsi="仿宋" w:eastAsia="仿宋" w:cs="仿宋"/>
          <w:sz w:val="32"/>
          <w:szCs w:val="32"/>
        </w:rPr>
        <w:t>医疗</w:t>
      </w:r>
      <w:r>
        <w:rPr>
          <w:rFonts w:hint="eastAsia" w:ascii="仿宋" w:hAnsi="仿宋" w:eastAsia="仿宋" w:cs="仿宋"/>
          <w:sz w:val="32"/>
          <w:szCs w:val="32"/>
          <w:lang w:eastAsia="zh-CN"/>
        </w:rPr>
        <w:t>补助支出</w:t>
      </w:r>
      <w:r>
        <w:rPr>
          <w:rFonts w:hint="eastAsia" w:ascii="仿宋" w:hAnsi="仿宋" w:eastAsia="仿宋" w:cs="仿宋"/>
          <w:sz w:val="32"/>
          <w:szCs w:val="32"/>
        </w:rPr>
        <w:t>决算数为</w:t>
      </w:r>
      <w:r>
        <w:rPr>
          <w:rFonts w:hint="eastAsia" w:ascii="仿宋" w:hAnsi="仿宋" w:eastAsia="仿宋" w:cs="仿宋"/>
          <w:sz w:val="32"/>
          <w:szCs w:val="32"/>
          <w:lang w:val="en-US" w:eastAsia="zh-CN"/>
        </w:rPr>
        <w:t>1.23</w:t>
      </w:r>
      <w:r>
        <w:rPr>
          <w:rFonts w:hint="eastAsia" w:ascii="仿宋" w:hAnsi="仿宋" w:eastAsia="仿宋" w:cs="仿宋"/>
          <w:sz w:val="32"/>
          <w:szCs w:val="32"/>
        </w:rPr>
        <w:t>万元，完成预算</w:t>
      </w:r>
      <w:r>
        <w:rPr>
          <w:rFonts w:ascii="仿宋" w:hAnsi="仿宋" w:eastAsia="仿宋" w:cs="仿宋"/>
          <w:sz w:val="32"/>
          <w:szCs w:val="32"/>
        </w:rPr>
        <w:t>100%</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r>
        <w:rPr>
          <w:rStyle w:val="24"/>
          <w:rFonts w:hint="eastAsia" w:ascii="仿宋" w:hAnsi="仿宋" w:eastAsia="仿宋"/>
          <w:b w:val="0"/>
          <w:bCs/>
          <w:color w:val="000000"/>
          <w:sz w:val="32"/>
          <w:szCs w:val="32"/>
          <w:lang w:eastAsia="zh-CN"/>
        </w:rPr>
        <w:t>。</w:t>
      </w:r>
    </w:p>
    <w:p w14:paraId="6A79E071">
      <w:pPr>
        <w:spacing w:line="576" w:lineRule="exact"/>
        <w:ind w:firstLine="320" w:firstLineChars="100"/>
        <w:rPr>
          <w:rFonts w:ascii="仿宋" w:hAnsi="仿宋" w:eastAsia="仿宋"/>
          <w:b/>
          <w:color w:val="000000"/>
          <w:sz w:val="32"/>
          <w:szCs w:val="32"/>
        </w:rPr>
      </w:pPr>
      <w:r>
        <w:rPr>
          <w:rStyle w:val="24"/>
          <w:rFonts w:hint="eastAsia" w:ascii="仿宋" w:hAnsi="仿宋" w:eastAsia="仿宋"/>
          <w:b w:val="0"/>
          <w:bCs/>
          <w:color w:val="000000"/>
          <w:sz w:val="32"/>
          <w:szCs w:val="32"/>
          <w:lang w:val="en-US" w:eastAsia="zh-CN"/>
        </w:rPr>
        <w:t>3.</w:t>
      </w:r>
      <w:r>
        <w:rPr>
          <w:rStyle w:val="24"/>
          <w:rFonts w:hint="eastAsia" w:ascii="仿宋" w:hAnsi="仿宋" w:eastAsia="仿宋"/>
          <w:b/>
          <w:bCs w:val="0"/>
          <w:color w:val="000000"/>
          <w:sz w:val="32"/>
          <w:szCs w:val="32"/>
          <w:lang w:val="en-US" w:eastAsia="zh-CN"/>
        </w:rPr>
        <w:t>住房保障支出</w:t>
      </w:r>
      <w:r>
        <w:rPr>
          <w:rStyle w:val="24"/>
          <w:rFonts w:hint="eastAsia" w:ascii="仿宋" w:hAnsi="仿宋" w:eastAsia="仿宋"/>
          <w:b w:val="0"/>
          <w:bCs/>
          <w:color w:val="000000"/>
          <w:sz w:val="32"/>
          <w:szCs w:val="32"/>
          <w:lang w:val="en-US" w:eastAsia="zh-CN"/>
        </w:rPr>
        <w:t>：2210201住房公积金支出决算数为13.1万元，</w:t>
      </w:r>
      <w:r>
        <w:rPr>
          <w:rFonts w:hint="eastAsia" w:ascii="仿宋" w:hAnsi="仿宋" w:eastAsia="仿宋" w:cs="仿宋"/>
          <w:sz w:val="32"/>
          <w:szCs w:val="32"/>
        </w:rPr>
        <w:t>完成预算</w:t>
      </w:r>
      <w:r>
        <w:rPr>
          <w:rFonts w:ascii="仿宋" w:hAnsi="仿宋" w:eastAsia="仿宋" w:cs="仿宋"/>
          <w:sz w:val="32"/>
          <w:szCs w:val="32"/>
        </w:rPr>
        <w:t>100%</w:t>
      </w:r>
      <w:r>
        <w:rPr>
          <w:rFonts w:hint="eastAsia" w:ascii="仿宋" w:hAnsi="仿宋" w:eastAsia="仿宋" w:cs="仿宋"/>
          <w:sz w:val="32"/>
          <w:szCs w:val="32"/>
          <w:lang w:eastAsia="zh-CN"/>
        </w:rPr>
        <w:t>，</w:t>
      </w:r>
      <w:r>
        <w:rPr>
          <w:rStyle w:val="24"/>
          <w:rFonts w:hint="eastAsia" w:ascii="仿宋" w:hAnsi="仿宋" w:eastAsia="仿宋"/>
          <w:b w:val="0"/>
          <w:bCs/>
          <w:color w:val="000000"/>
          <w:sz w:val="32"/>
          <w:szCs w:val="32"/>
        </w:rPr>
        <w:t>决算数等于预算数。</w:t>
      </w:r>
    </w:p>
    <w:p w14:paraId="3E991A8E">
      <w:pPr>
        <w:tabs>
          <w:tab w:val="right" w:pos="8306"/>
        </w:tabs>
        <w:spacing w:line="600" w:lineRule="exact"/>
        <w:ind w:firstLine="640"/>
        <w:outlineLvl w:val="1"/>
        <w:rPr>
          <w:rStyle w:val="27"/>
        </w:rPr>
      </w:pPr>
      <w:bookmarkStart w:id="95" w:name="_Toc15396608"/>
      <w:bookmarkStart w:id="96" w:name="_Toc79163868"/>
      <w:bookmarkStart w:id="97" w:name="_Toc79163618"/>
      <w:bookmarkStart w:id="98" w:name="_Toc13680"/>
      <w:bookmarkStart w:id="99" w:name="_Toc4953"/>
      <w:bookmarkStart w:id="100" w:name="_Toc15377214"/>
      <w:r>
        <w:rPr>
          <w:rStyle w:val="27"/>
          <w:rFonts w:hint="eastAsia"/>
        </w:rPr>
        <w:t>六、一般公共预算财政拨款基本支出决算情况说明</w:t>
      </w:r>
      <w:bookmarkEnd w:id="95"/>
      <w:bookmarkEnd w:id="96"/>
      <w:bookmarkEnd w:id="97"/>
      <w:bookmarkEnd w:id="98"/>
      <w:bookmarkEnd w:id="99"/>
      <w:bookmarkEnd w:id="100"/>
      <w:r>
        <w:rPr>
          <w:rStyle w:val="27"/>
          <w:rFonts w:ascii="黑体" w:hAnsi="黑体" w:eastAsia="黑体"/>
          <w:b w:val="0"/>
        </w:rPr>
        <w:tab/>
      </w:r>
    </w:p>
    <w:p w14:paraId="69CB86B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hint="eastAsia" w:ascii="仿宋" w:hAnsi="仿宋" w:eastAsia="仿宋"/>
          <w:color w:val="000000"/>
          <w:sz w:val="32"/>
          <w:szCs w:val="32"/>
          <w:lang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176.59</w:t>
      </w:r>
      <w:r>
        <w:rPr>
          <w:rFonts w:hint="eastAsia" w:ascii="仿宋" w:hAnsi="仿宋" w:eastAsia="仿宋"/>
          <w:color w:val="000000"/>
          <w:sz w:val="32"/>
          <w:szCs w:val="32"/>
        </w:rPr>
        <w:t>万元，其中：人员经费</w:t>
      </w:r>
      <w:r>
        <w:rPr>
          <w:rFonts w:hint="eastAsia" w:ascii="仿宋" w:hAnsi="仿宋" w:eastAsia="仿宋"/>
          <w:color w:val="000000"/>
          <w:sz w:val="32"/>
          <w:szCs w:val="32"/>
          <w:lang w:val="en-US" w:eastAsia="zh-CN"/>
        </w:rPr>
        <w:t>166.18</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 w:hAnsi="仿宋" w:eastAsia="仿宋"/>
          <w:color w:val="000000"/>
          <w:sz w:val="32"/>
          <w:szCs w:val="32"/>
          <w:lang w:eastAsia="zh-CN"/>
        </w:rPr>
        <w:t>。</w:t>
      </w:r>
    </w:p>
    <w:p w14:paraId="2C36633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outlineLvl w:val="9"/>
        <w:rPr>
          <w:rFonts w:ascii="仿宋" w:hAnsi="仿宋" w:eastAsia="仿宋"/>
          <w:b/>
          <w:color w:val="FF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10.4</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1FF078E">
      <w:pPr>
        <w:pStyle w:val="4"/>
        <w:bidi w:val="0"/>
      </w:pPr>
      <w:bookmarkStart w:id="101" w:name="_Toc31082"/>
      <w:bookmarkStart w:id="102" w:name="_Toc79163619"/>
      <w:bookmarkStart w:id="103" w:name="_Toc15396609"/>
      <w:bookmarkStart w:id="104" w:name="_Toc15377215"/>
      <w:bookmarkStart w:id="105" w:name="_Toc79163869"/>
      <w:bookmarkStart w:id="106" w:name="_Toc11024"/>
      <w:r>
        <w:rPr>
          <w:rFonts w:hint="eastAsia"/>
        </w:rPr>
        <w:t>七、“三公”经费财政拨款支出决算情况说明</w:t>
      </w:r>
      <w:bookmarkEnd w:id="101"/>
      <w:bookmarkEnd w:id="102"/>
      <w:bookmarkEnd w:id="103"/>
      <w:bookmarkEnd w:id="104"/>
      <w:bookmarkEnd w:id="105"/>
      <w:bookmarkEnd w:id="106"/>
    </w:p>
    <w:p w14:paraId="5F789CE9">
      <w:pPr>
        <w:pStyle w:val="5"/>
        <w:bidi w:val="0"/>
      </w:pPr>
      <w:bookmarkStart w:id="107" w:name="_Toc15377216"/>
      <w:bookmarkStart w:id="108" w:name="_Toc79163620"/>
      <w:bookmarkStart w:id="109" w:name="_Toc79163870"/>
      <w:r>
        <w:rPr>
          <w:rFonts w:hint="eastAsia"/>
        </w:rPr>
        <w:t>（一）“三公”经费财政拨款支出决算总体情况说明</w:t>
      </w:r>
      <w:bookmarkEnd w:id="107"/>
      <w:bookmarkEnd w:id="108"/>
      <w:bookmarkEnd w:id="109"/>
    </w:p>
    <w:p w14:paraId="1E605EAA">
      <w:pPr>
        <w:spacing w:line="600" w:lineRule="exact"/>
        <w:ind w:firstLine="64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lang w:val="en-US" w:eastAsia="zh-CN"/>
        </w:rPr>
        <w:t>2.2</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bookmarkStart w:id="110" w:name="OLE_LINK10"/>
      <w:r>
        <w:rPr>
          <w:rFonts w:hint="eastAsia" w:ascii="仿宋" w:hAnsi="仿宋" w:eastAsia="仿宋"/>
          <w:color w:val="000000"/>
          <w:sz w:val="32"/>
          <w:szCs w:val="32"/>
        </w:rPr>
        <w:t>决算数与预算数持平</w:t>
      </w:r>
      <w:bookmarkEnd w:id="110"/>
      <w:r>
        <w:rPr>
          <w:rFonts w:hint="eastAsia" w:ascii="仿宋" w:hAnsi="仿宋" w:eastAsia="仿宋"/>
          <w:color w:val="000000"/>
          <w:sz w:val="32"/>
          <w:szCs w:val="32"/>
        </w:rPr>
        <w:t>。</w:t>
      </w:r>
    </w:p>
    <w:p w14:paraId="4C252E3F">
      <w:pPr>
        <w:pStyle w:val="5"/>
        <w:bidi w:val="0"/>
      </w:pPr>
      <w:bookmarkStart w:id="111" w:name="_Toc79163621"/>
      <w:bookmarkStart w:id="112" w:name="_Toc79163871"/>
      <w:bookmarkStart w:id="113" w:name="_Toc15377217"/>
      <w:r>
        <w:rPr>
          <w:rFonts w:hint="eastAsia"/>
        </w:rPr>
        <w:t>（二）“三公”经费财政拨款支出决算具体情况说明</w:t>
      </w:r>
      <w:bookmarkEnd w:id="111"/>
      <w:bookmarkEnd w:id="112"/>
      <w:bookmarkEnd w:id="113"/>
    </w:p>
    <w:p w14:paraId="605D607D">
      <w:pPr>
        <w:spacing w:line="600" w:lineRule="exact"/>
        <w:ind w:firstLine="64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2.2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。具体情况如下：</w:t>
      </w:r>
    </w:p>
    <w:p w14:paraId="492A7D6D">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4"/>
          <w:rFonts w:hint="eastAsia" w:ascii="仿宋" w:hAnsi="仿宋" w:eastAsia="仿宋"/>
          <w:b w:val="0"/>
          <w:bCs/>
          <w:color w:val="000000"/>
          <w:sz w:val="32"/>
          <w:szCs w:val="32"/>
        </w:rPr>
        <w:t>完成预算</w:t>
      </w:r>
      <w:r>
        <w:rPr>
          <w:rStyle w:val="24"/>
          <w:rFonts w:hint="eastAsia" w:ascii="仿宋" w:hAnsi="仿宋" w:eastAsia="仿宋"/>
          <w:b w:val="0"/>
          <w:bCs/>
          <w:color w:val="000000"/>
          <w:sz w:val="32"/>
          <w:szCs w:val="32"/>
          <w:lang w:val="en-US" w:eastAsia="zh-CN"/>
        </w:rPr>
        <w:t>0</w:t>
      </w:r>
      <w:r>
        <w:rPr>
          <w:rStyle w:val="24"/>
          <w:rFonts w:ascii="仿宋" w:hAnsi="仿宋" w:eastAsia="仿宋"/>
          <w:b w:val="0"/>
          <w:bCs/>
          <w:color w:val="000000"/>
          <w:sz w:val="32"/>
          <w:szCs w:val="32"/>
        </w:rPr>
        <w:t>%</w:t>
      </w:r>
      <w:r>
        <w:rPr>
          <w:rStyle w:val="24"/>
          <w:rFonts w:hint="eastAsia" w:ascii="仿宋" w:hAnsi="仿宋" w:eastAsia="仿宋"/>
          <w:b w:val="0"/>
          <w:bCs/>
          <w:color w:val="000000"/>
          <w:sz w:val="32"/>
          <w:szCs w:val="32"/>
        </w:rPr>
        <w:t>。</w:t>
      </w:r>
    </w:p>
    <w:p w14:paraId="73ACC6C0">
      <w:pPr>
        <w:spacing w:line="600" w:lineRule="exact"/>
        <w:ind w:firstLine="640"/>
        <w:rPr>
          <w:rFonts w:ascii="仿宋" w:hAnsi="仿宋" w:eastAsia="仿宋"/>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b w:val="0"/>
          <w:bCs/>
          <w:color w:val="000000"/>
          <w:sz w:val="32"/>
          <w:szCs w:val="32"/>
          <w:lang w:val="en-US" w:eastAsia="zh-CN"/>
        </w:rPr>
        <w:t>2.2</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r>
        <w:rPr>
          <w:rStyle w:val="24"/>
          <w:rFonts w:hint="eastAsia" w:ascii="仿宋" w:hAnsi="仿宋" w:eastAsia="仿宋"/>
          <w:b w:val="0"/>
          <w:bCs/>
          <w:color w:val="000000"/>
          <w:sz w:val="32"/>
          <w:szCs w:val="32"/>
        </w:rPr>
        <w:t>完成预算</w:t>
      </w:r>
      <w:r>
        <w:rPr>
          <w:rStyle w:val="24"/>
          <w:rFonts w:hint="eastAsia" w:ascii="仿宋" w:hAnsi="仿宋" w:eastAsia="仿宋"/>
          <w:b w:val="0"/>
          <w:bCs/>
          <w:color w:val="000000"/>
          <w:sz w:val="32"/>
          <w:szCs w:val="32"/>
          <w:lang w:val="en-US" w:eastAsia="zh-CN"/>
        </w:rPr>
        <w:t>100</w:t>
      </w:r>
      <w:r>
        <w:rPr>
          <w:rStyle w:val="24"/>
          <w:rFonts w:ascii="仿宋" w:hAnsi="仿宋" w:eastAsia="仿宋"/>
          <w:b w:val="0"/>
          <w:bCs/>
          <w:color w:val="000000"/>
          <w:sz w:val="32"/>
          <w:szCs w:val="32"/>
        </w:rPr>
        <w:t>%</w:t>
      </w:r>
      <w:r>
        <w:rPr>
          <w:rStyle w:val="24"/>
          <w:rFonts w:hint="eastAsia" w:ascii="仿宋" w:hAnsi="仿宋" w:eastAsia="仿宋"/>
          <w:b w:val="0"/>
          <w:bCs/>
          <w:color w:val="000000"/>
          <w:sz w:val="32"/>
          <w:szCs w:val="32"/>
        </w:rPr>
        <w:t>。</w:t>
      </w:r>
      <w:bookmarkStart w:id="114" w:name="OLE_LINK9"/>
      <w:bookmarkStart w:id="115" w:name="OLE_LINK20"/>
      <w:r>
        <w:rPr>
          <w:rFonts w:hint="eastAsia" w:ascii="仿宋" w:hAnsi="仿宋" w:eastAsia="仿宋"/>
          <w:color w:val="000000"/>
          <w:sz w:val="32"/>
          <w:szCs w:val="32"/>
        </w:rPr>
        <w:t>公务用车购置及运行维护费支出决算</w:t>
      </w:r>
      <w:bookmarkEnd w:id="114"/>
      <w:r>
        <w:rPr>
          <w:rFonts w:hint="eastAsia" w:ascii="仿宋" w:hAnsi="仿宋" w:eastAsia="仿宋"/>
          <w:color w:val="000000"/>
          <w:sz w:val="32"/>
          <w:szCs w:val="32"/>
          <w:lang w:eastAsia="zh-CN"/>
        </w:rPr>
        <w:t>与</w:t>
      </w:r>
      <w:r>
        <w:rPr>
          <w:rFonts w:ascii="仿宋" w:hAnsi="仿宋" w:eastAsia="仿宋"/>
          <w:color w:val="000000"/>
          <w:sz w:val="32"/>
          <w:szCs w:val="32"/>
        </w:rPr>
        <w:t>20</w:t>
      </w: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年公务用车购置及运行维护费支出决算</w:t>
      </w:r>
      <w:r>
        <w:rPr>
          <w:rFonts w:hint="eastAsia" w:ascii="仿宋_GB2312" w:eastAsia="仿宋_GB2312"/>
          <w:color w:val="000000"/>
          <w:sz w:val="32"/>
          <w:szCs w:val="32"/>
          <w:lang w:val="en-US" w:eastAsia="zh-CN"/>
        </w:rPr>
        <w:t>0.5万元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1.7万元</w:t>
      </w:r>
      <w:r>
        <w:rPr>
          <w:rFonts w:hint="eastAsia" w:ascii="仿宋" w:hAnsi="仿宋" w:eastAsia="仿宋"/>
          <w:color w:val="000000"/>
          <w:sz w:val="32"/>
          <w:szCs w:val="32"/>
        </w:rPr>
        <w:t>，</w:t>
      </w:r>
      <w:r>
        <w:rPr>
          <w:rFonts w:hint="eastAsia" w:ascii="仿宋" w:hAnsi="仿宋" w:eastAsia="仿宋"/>
          <w:color w:val="000000"/>
          <w:sz w:val="32"/>
          <w:szCs w:val="32"/>
          <w:lang w:eastAsia="zh-CN"/>
        </w:rPr>
        <w:t>增长</w:t>
      </w:r>
      <w:r>
        <w:rPr>
          <w:rFonts w:hint="eastAsia" w:ascii="仿宋" w:hAnsi="仿宋" w:eastAsia="仿宋"/>
          <w:color w:val="000000"/>
          <w:sz w:val="32"/>
          <w:szCs w:val="32"/>
          <w:lang w:val="en-US" w:eastAsia="zh-CN"/>
        </w:rPr>
        <w:t>340</w:t>
      </w:r>
      <w:r>
        <w:rPr>
          <w:rFonts w:ascii="仿宋" w:hAnsi="仿宋" w:eastAsia="仿宋"/>
          <w:color w:val="000000"/>
          <w:sz w:val="32"/>
          <w:szCs w:val="32"/>
        </w:rPr>
        <w:t>%</w:t>
      </w:r>
      <w:r>
        <w:rPr>
          <w:rFonts w:hint="eastAsia" w:ascii="仿宋" w:hAnsi="仿宋" w:eastAsia="仿宋"/>
          <w:color w:val="000000"/>
          <w:sz w:val="32"/>
          <w:szCs w:val="32"/>
        </w:rPr>
        <w:t>。主要原因是</w:t>
      </w:r>
      <w:r>
        <w:rPr>
          <w:rFonts w:hint="eastAsia" w:ascii="仿宋" w:hAnsi="仿宋" w:eastAsia="仿宋"/>
          <w:color w:val="000000"/>
          <w:sz w:val="32"/>
          <w:szCs w:val="32"/>
          <w:lang w:eastAsia="zh-CN"/>
        </w:rPr>
        <w:t>车辆老旧维修费用高</w:t>
      </w:r>
      <w:r>
        <w:rPr>
          <w:rFonts w:hint="eastAsia" w:ascii="仿宋" w:hAnsi="仿宋" w:eastAsia="仿宋"/>
          <w:color w:val="000000"/>
          <w:sz w:val="32"/>
          <w:szCs w:val="32"/>
        </w:rPr>
        <w:t>。</w:t>
      </w:r>
    </w:p>
    <w:bookmarkEnd w:id="115"/>
    <w:p w14:paraId="0E5EF1FA">
      <w:pPr>
        <w:spacing w:line="600" w:lineRule="exact"/>
        <w:ind w:firstLine="640" w:firstLineChars="200"/>
        <w:rPr>
          <w:rFonts w:hint="eastAsia" w:ascii="仿宋" w:hAnsi="仿宋" w:eastAsia="仿宋" w:cs="仿宋"/>
          <w:b/>
          <w:color w:val="000000"/>
          <w:sz w:val="32"/>
          <w:szCs w:val="32"/>
        </w:rPr>
      </w:pPr>
      <w:r>
        <w:rPr>
          <w:rFonts w:hint="eastAsia" w:ascii="仿宋" w:hAnsi="仿宋" w:eastAsia="仿宋" w:cs="仿宋"/>
          <w:color w:val="000000"/>
          <w:sz w:val="32"/>
          <w:szCs w:val="32"/>
        </w:rPr>
        <w:t>其中：</w:t>
      </w:r>
      <w:r>
        <w:rPr>
          <w:rFonts w:hint="eastAsia" w:ascii="仿宋" w:hAnsi="仿宋" w:eastAsia="仿宋" w:cs="仿宋"/>
          <w:b/>
          <w:color w:val="000000"/>
          <w:sz w:val="32"/>
          <w:szCs w:val="32"/>
        </w:rPr>
        <w:t>公务用车购置支出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万元。全年按规定更新购置公务用车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辆，其中：轿车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万元，越野车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万元，载客汽车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万元。截至202</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年12月底，单位共有公务用车</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辆，其中：越野车</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辆。</w:t>
      </w:r>
    </w:p>
    <w:p w14:paraId="4230A9C3">
      <w:pPr>
        <w:spacing w:line="576" w:lineRule="exact"/>
        <w:ind w:firstLine="643" w:firstLineChars="200"/>
        <w:rPr>
          <w:rFonts w:hint="eastAsia" w:ascii="仿宋" w:hAnsi="仿宋" w:eastAsia="仿宋" w:cs="仿宋"/>
          <w:sz w:val="32"/>
          <w:szCs w:val="32"/>
        </w:rPr>
      </w:pPr>
      <w:r>
        <w:rPr>
          <w:rFonts w:hint="eastAsia" w:ascii="仿宋" w:hAnsi="仿宋" w:eastAsia="仿宋" w:cs="仿宋"/>
          <w:b/>
          <w:color w:val="000000"/>
          <w:sz w:val="32"/>
          <w:szCs w:val="32"/>
        </w:rPr>
        <w:t>公务用车运行维护费支出</w:t>
      </w:r>
      <w:r>
        <w:rPr>
          <w:rFonts w:hint="eastAsia" w:ascii="仿宋" w:hAnsi="仿宋" w:eastAsia="仿宋" w:cs="仿宋"/>
          <w:color w:val="000000"/>
          <w:sz w:val="32"/>
          <w:szCs w:val="32"/>
          <w:lang w:val="en-US" w:eastAsia="zh-CN"/>
        </w:rPr>
        <w:t>2.2</w:t>
      </w:r>
      <w:r>
        <w:rPr>
          <w:rFonts w:hint="eastAsia" w:ascii="仿宋" w:hAnsi="仿宋" w:eastAsia="仿宋" w:cs="仿宋"/>
          <w:color w:val="000000"/>
          <w:sz w:val="32"/>
          <w:szCs w:val="32"/>
        </w:rPr>
        <w:t>万元。主要用于</w:t>
      </w:r>
      <w:r>
        <w:rPr>
          <w:rFonts w:hint="eastAsia" w:ascii="仿宋" w:hAnsi="仿宋" w:eastAsia="仿宋" w:cs="仿宋"/>
          <w:sz w:val="32"/>
          <w:szCs w:val="32"/>
        </w:rPr>
        <w:t>残疾人“量体裁衣式”服务的入户调查、残疾人就业创业调查、慰问残疾人、联乡包村等所需的公务用车燃料费、维修费、过路过桥费、保险费等支出。</w:t>
      </w:r>
    </w:p>
    <w:p w14:paraId="5ED0D1E7">
      <w:pPr>
        <w:spacing w:line="600" w:lineRule="exact"/>
        <w:ind w:firstLine="640"/>
        <w:rPr>
          <w:rFonts w:hint="eastAsia" w:ascii="仿宋" w:hAnsi="仿宋" w:eastAsia="仿宋" w:cs="仿宋"/>
          <w:color w:val="000000"/>
          <w:sz w:val="32"/>
          <w:szCs w:val="32"/>
        </w:rPr>
      </w:pPr>
      <w:r>
        <w:rPr>
          <w:rFonts w:hint="eastAsia" w:ascii="仿宋" w:hAnsi="仿宋" w:eastAsia="仿宋" w:cs="仿宋"/>
          <w:b/>
          <w:color w:val="000000"/>
          <w:sz w:val="32"/>
          <w:szCs w:val="32"/>
        </w:rPr>
        <w:t>3.公务接待费支出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Style w:val="24"/>
          <w:rFonts w:hint="eastAsia" w:ascii="仿宋" w:hAnsi="仿宋" w:eastAsia="仿宋" w:cs="仿宋"/>
          <w:b w:val="0"/>
          <w:bCs/>
          <w:color w:val="000000"/>
          <w:sz w:val="32"/>
          <w:szCs w:val="32"/>
        </w:rPr>
        <w:t>完成预算</w:t>
      </w:r>
      <w:r>
        <w:rPr>
          <w:rStyle w:val="24"/>
          <w:rFonts w:hint="eastAsia" w:ascii="仿宋" w:hAnsi="仿宋" w:eastAsia="仿宋" w:cs="仿宋"/>
          <w:b w:val="0"/>
          <w:bCs/>
          <w:color w:val="000000"/>
          <w:sz w:val="32"/>
          <w:szCs w:val="32"/>
          <w:lang w:val="en-US" w:eastAsia="zh-CN"/>
        </w:rPr>
        <w:t>0</w:t>
      </w:r>
      <w:r>
        <w:rPr>
          <w:rStyle w:val="24"/>
          <w:rFonts w:hint="eastAsia" w:ascii="仿宋" w:hAnsi="仿宋" w:eastAsia="仿宋" w:cs="仿宋"/>
          <w:b w:val="0"/>
          <w:bCs/>
          <w:color w:val="000000"/>
          <w:sz w:val="32"/>
          <w:szCs w:val="32"/>
        </w:rPr>
        <w:t>%。</w:t>
      </w:r>
      <w:r>
        <w:rPr>
          <w:rFonts w:hint="eastAsia" w:ascii="仿宋" w:hAnsi="仿宋" w:eastAsia="仿宋" w:cs="仿宋"/>
          <w:color w:val="000000"/>
          <w:sz w:val="32"/>
          <w:szCs w:val="32"/>
        </w:rPr>
        <w:t>公务接待费支出决算比202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1.7</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增长</w:t>
      </w:r>
      <w:r>
        <w:rPr>
          <w:rFonts w:hint="eastAsia" w:ascii="仿宋" w:hAnsi="仿宋" w:eastAsia="仿宋" w:cs="仿宋"/>
          <w:color w:val="000000"/>
          <w:sz w:val="32"/>
          <w:szCs w:val="32"/>
          <w:lang w:val="en-US" w:eastAsia="zh-CN"/>
        </w:rPr>
        <w:t>340</w:t>
      </w:r>
      <w:r>
        <w:rPr>
          <w:rFonts w:hint="eastAsia" w:ascii="仿宋" w:hAnsi="仿宋" w:eastAsia="仿宋" w:cs="仿宋"/>
          <w:color w:val="000000"/>
          <w:sz w:val="32"/>
          <w:szCs w:val="32"/>
        </w:rPr>
        <w:t>%。主要原因是</w:t>
      </w:r>
      <w:r>
        <w:rPr>
          <w:rFonts w:hint="eastAsia" w:ascii="仿宋" w:hAnsi="仿宋" w:eastAsia="仿宋" w:cs="仿宋"/>
          <w:sz w:val="32"/>
          <w:szCs w:val="32"/>
          <w:lang w:eastAsia="zh-CN"/>
        </w:rPr>
        <w:t>未</w:t>
      </w:r>
      <w:r>
        <w:rPr>
          <w:rFonts w:hint="eastAsia" w:ascii="仿宋" w:hAnsi="仿宋" w:eastAsia="仿宋" w:cs="仿宋"/>
          <w:sz w:val="32"/>
          <w:szCs w:val="32"/>
        </w:rPr>
        <w:t>开展业务工作零星接待及上级业务主管部门检查指导工作</w:t>
      </w:r>
      <w:r>
        <w:rPr>
          <w:rFonts w:hint="eastAsia" w:ascii="仿宋" w:hAnsi="仿宋" w:eastAsia="仿宋" w:cs="仿宋"/>
          <w:color w:val="000000"/>
          <w:sz w:val="32"/>
          <w:szCs w:val="32"/>
        </w:rPr>
        <w:t>。其中：</w:t>
      </w:r>
    </w:p>
    <w:p w14:paraId="2C6469B2">
      <w:pPr>
        <w:spacing w:line="600" w:lineRule="exact"/>
        <w:ind w:firstLine="640"/>
        <w:rPr>
          <w:rFonts w:hint="eastAsia" w:ascii="仿宋" w:hAnsi="仿宋" w:eastAsia="仿宋" w:cs="仿宋"/>
          <w:color w:val="000000"/>
          <w:sz w:val="32"/>
          <w:szCs w:val="32"/>
        </w:rPr>
      </w:pPr>
      <w:r>
        <w:rPr>
          <w:rFonts w:hint="eastAsia" w:ascii="仿宋" w:hAnsi="仿宋" w:eastAsia="仿宋" w:cs="仿宋"/>
          <w:b/>
          <w:color w:val="000000"/>
          <w:sz w:val="32"/>
          <w:szCs w:val="32"/>
        </w:rPr>
        <w:t>国内公务接待支出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w:t>
      </w:r>
      <w:r>
        <w:rPr>
          <w:rFonts w:hint="eastAsia" w:ascii="仿宋" w:hAnsi="仿宋" w:eastAsia="仿宋" w:cs="仿宋"/>
          <w:sz w:val="32"/>
          <w:szCs w:val="32"/>
        </w:rPr>
        <w:t>用于开展业务工作零星接待及上级业务主管部门检查指导工作</w:t>
      </w:r>
      <w:r>
        <w:rPr>
          <w:rFonts w:hint="eastAsia" w:ascii="仿宋" w:hAnsi="仿宋" w:eastAsia="仿宋" w:cs="仿宋"/>
          <w:sz w:val="32"/>
          <w:szCs w:val="32"/>
          <w:lang w:eastAsia="zh-CN"/>
        </w:rPr>
        <w:t>，</w:t>
      </w:r>
      <w:r>
        <w:rPr>
          <w:rFonts w:hint="eastAsia" w:ascii="仿宋" w:hAnsi="仿宋" w:eastAsia="仿宋" w:cs="仿宋"/>
          <w:sz w:val="32"/>
          <w:szCs w:val="32"/>
        </w:rPr>
        <w:t>属于正常业务接待。</w:t>
      </w:r>
      <w:r>
        <w:rPr>
          <w:rFonts w:hint="eastAsia" w:ascii="仿宋" w:hAnsi="仿宋" w:eastAsia="仿宋" w:cs="仿宋"/>
          <w:sz w:val="32"/>
          <w:szCs w:val="32"/>
          <w:lang w:eastAsia="zh-CN"/>
        </w:rPr>
        <w:t>（</w:t>
      </w:r>
      <w:r>
        <w:rPr>
          <w:rFonts w:hint="eastAsia" w:ascii="仿宋" w:hAnsi="仿宋" w:eastAsia="仿宋" w:cs="仿宋"/>
          <w:color w:val="000000"/>
          <w:sz w:val="32"/>
          <w:szCs w:val="32"/>
        </w:rPr>
        <w:t>执行公务、开展业务活动开支的交通费、住宿费、用餐费等</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。国内公务接待</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批次，</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人次（不包括陪同人员），共计支出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万元，具体内容包括：</w:t>
      </w:r>
      <w:r>
        <w:rPr>
          <w:rFonts w:hint="eastAsia" w:ascii="仿宋" w:hAnsi="仿宋" w:eastAsia="仿宋" w:cs="仿宋"/>
          <w:color w:val="000000"/>
          <w:sz w:val="32"/>
          <w:szCs w:val="32"/>
          <w:lang w:eastAsia="zh-CN"/>
        </w:rPr>
        <w:t>餐费</w:t>
      </w:r>
      <w:r>
        <w:rPr>
          <w:rFonts w:hint="eastAsia" w:ascii="仿宋" w:hAnsi="仿宋" w:eastAsia="仿宋" w:cs="仿宋"/>
          <w:color w:val="000000"/>
          <w:sz w:val="32"/>
          <w:szCs w:val="32"/>
          <w:lang w:val="en-US" w:eastAsia="zh-CN"/>
        </w:rPr>
        <w:t>0万元</w:t>
      </w:r>
      <w:r>
        <w:rPr>
          <w:rFonts w:hint="eastAsia" w:ascii="仿宋" w:hAnsi="仿宋" w:eastAsia="仿宋" w:cs="仿宋"/>
          <w:color w:val="000000"/>
          <w:sz w:val="32"/>
          <w:szCs w:val="32"/>
        </w:rPr>
        <w:t>（接待具体项目、金额）。</w:t>
      </w:r>
    </w:p>
    <w:p w14:paraId="75EB9AB3">
      <w:pPr>
        <w:pStyle w:val="4"/>
        <w:bidi w:val="0"/>
        <w:rPr>
          <w:rFonts w:hint="eastAsia"/>
        </w:rPr>
      </w:pPr>
      <w:bookmarkStart w:id="116" w:name="_Toc79163622"/>
      <w:bookmarkStart w:id="117" w:name="_Toc8396"/>
      <w:bookmarkStart w:id="118" w:name="_Toc11395"/>
      <w:bookmarkStart w:id="119" w:name="_Toc15396610"/>
      <w:bookmarkStart w:id="120" w:name="_Toc15377218"/>
      <w:bookmarkStart w:id="121" w:name="_Toc79163872"/>
      <w:r>
        <w:rPr>
          <w:rFonts w:hint="eastAsia"/>
        </w:rPr>
        <w:t>八、政府性基金预算支出决算情况说明</w:t>
      </w:r>
      <w:bookmarkEnd w:id="116"/>
      <w:bookmarkEnd w:id="117"/>
      <w:bookmarkEnd w:id="118"/>
      <w:bookmarkEnd w:id="119"/>
      <w:bookmarkEnd w:id="120"/>
      <w:bookmarkEnd w:id="121"/>
    </w:p>
    <w:p w14:paraId="2A504DEB">
      <w:pPr>
        <w:spacing w:line="600" w:lineRule="exact"/>
        <w:ind w:firstLine="640"/>
        <w:rPr>
          <w:rFonts w:hint="eastAsia" w:ascii="仿宋" w:hAnsi="仿宋" w:eastAsia="仿宋" w:cs="仿宋"/>
          <w:color w:val="000000"/>
          <w:sz w:val="32"/>
          <w:szCs w:val="32"/>
        </w:rPr>
      </w:pPr>
      <w:bookmarkStart w:id="122" w:name="_Toc79163623"/>
      <w:bookmarkStart w:id="123" w:name="_Toc79163873"/>
      <w:bookmarkStart w:id="124" w:name="_Toc15396611"/>
      <w:bookmarkStart w:id="125" w:name="_Toc15377219"/>
      <w:r>
        <w:rPr>
          <w:rFonts w:hint="eastAsia" w:ascii="仿宋" w:hAnsi="仿宋" w:eastAsia="仿宋" w:cs="仿宋"/>
          <w:color w:val="auto"/>
          <w:sz w:val="32"/>
          <w:szCs w:val="32"/>
        </w:rPr>
        <w:t>松潘县残疾人联合会</w:t>
      </w:r>
      <w:r>
        <w:rPr>
          <w:rFonts w:hint="eastAsia" w:ascii="仿宋" w:hAnsi="仿宋" w:eastAsia="仿宋" w:cs="仿宋"/>
          <w:color w:val="auto"/>
          <w:sz w:val="32"/>
          <w:szCs w:val="32"/>
          <w:lang w:eastAsia="zh-CN"/>
        </w:rPr>
        <w:t>20</w:t>
      </w:r>
      <w:r>
        <w:rPr>
          <w:rFonts w:hint="eastAsia" w:ascii="仿宋" w:hAnsi="仿宋" w:eastAsia="仿宋" w:cs="仿宋"/>
          <w:color w:val="auto"/>
          <w:sz w:val="32"/>
          <w:szCs w:val="32"/>
          <w:lang w:val="en-US" w:eastAsia="zh-CN"/>
        </w:rPr>
        <w:t>25</w:t>
      </w:r>
      <w:r>
        <w:rPr>
          <w:rFonts w:hint="eastAsia" w:ascii="仿宋" w:hAnsi="仿宋" w:eastAsia="仿宋" w:cs="仿宋"/>
          <w:color w:val="000000"/>
          <w:sz w:val="32"/>
          <w:szCs w:val="32"/>
        </w:rPr>
        <w:t>年政府性基金预算财政拨款收入</w:t>
      </w:r>
      <w:r>
        <w:rPr>
          <w:rFonts w:hint="eastAsia" w:ascii="仿宋" w:hAnsi="仿宋" w:eastAsia="仿宋" w:cs="仿宋"/>
          <w:color w:val="000000"/>
          <w:sz w:val="32"/>
          <w:szCs w:val="32"/>
          <w:lang w:val="en-US" w:eastAsia="zh-CN"/>
        </w:rPr>
        <w:t>8.49</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lang w:eastAsia="zh-CN"/>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年政府性基金预算支出</w:t>
      </w:r>
      <w:r>
        <w:rPr>
          <w:rFonts w:hint="eastAsia" w:ascii="仿宋" w:hAnsi="仿宋" w:eastAsia="仿宋" w:cs="仿宋"/>
          <w:color w:val="000000"/>
          <w:sz w:val="32"/>
          <w:szCs w:val="32"/>
          <w:lang w:val="en-US" w:eastAsia="zh-CN"/>
        </w:rPr>
        <w:t>8.49</w:t>
      </w:r>
      <w:r>
        <w:rPr>
          <w:rFonts w:hint="eastAsia" w:ascii="仿宋" w:hAnsi="仿宋" w:eastAsia="仿宋" w:cs="仿宋"/>
          <w:color w:val="000000"/>
          <w:sz w:val="32"/>
          <w:szCs w:val="32"/>
        </w:rPr>
        <w:t>万元，其中用于</w:t>
      </w:r>
      <w:r>
        <w:rPr>
          <w:rFonts w:hint="eastAsia" w:ascii="仿宋" w:hAnsi="仿宋" w:eastAsia="仿宋" w:cs="仿宋"/>
          <w:color w:val="000000"/>
          <w:sz w:val="32"/>
          <w:szCs w:val="32"/>
          <w:lang w:eastAsia="zh-CN"/>
        </w:rPr>
        <w:t>体育事业</w:t>
      </w:r>
      <w:r>
        <w:rPr>
          <w:rFonts w:hint="eastAsia" w:ascii="仿宋" w:hAnsi="仿宋" w:eastAsia="仿宋" w:cs="仿宋"/>
          <w:color w:val="000000"/>
          <w:sz w:val="32"/>
          <w:szCs w:val="32"/>
        </w:rPr>
        <w:t>的彩票公益金支出</w:t>
      </w:r>
      <w:r>
        <w:rPr>
          <w:rFonts w:hint="eastAsia" w:ascii="仿宋" w:hAnsi="仿宋" w:eastAsia="仿宋" w:cs="仿宋"/>
          <w:color w:val="000000"/>
          <w:sz w:val="32"/>
          <w:szCs w:val="32"/>
          <w:lang w:val="en-US" w:eastAsia="zh-CN"/>
        </w:rPr>
        <w:t>0.97</w:t>
      </w:r>
      <w:r>
        <w:rPr>
          <w:rFonts w:hint="eastAsia" w:ascii="仿宋" w:hAnsi="仿宋" w:eastAsia="仿宋" w:cs="仿宋"/>
          <w:color w:val="000000"/>
          <w:sz w:val="32"/>
          <w:szCs w:val="32"/>
        </w:rPr>
        <w:t>万元，完成预算</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w:t>
      </w:r>
      <w:r>
        <w:rPr>
          <w:rFonts w:hint="eastAsia" w:ascii="仿宋" w:hAnsi="仿宋" w:eastAsia="仿宋"/>
          <w:color w:val="000000"/>
          <w:sz w:val="32"/>
          <w:szCs w:val="32"/>
        </w:rPr>
        <w:t>决算数与预算数持平</w:t>
      </w:r>
      <w:r>
        <w:rPr>
          <w:rFonts w:hint="eastAsia" w:ascii="仿宋" w:hAnsi="仿宋" w:eastAsia="仿宋" w:cs="仿宋"/>
          <w:color w:val="000000"/>
          <w:sz w:val="32"/>
          <w:szCs w:val="32"/>
        </w:rPr>
        <w:t>、用于残疾人事业的彩票公益金支出</w:t>
      </w:r>
      <w:r>
        <w:rPr>
          <w:rFonts w:hint="eastAsia" w:ascii="仿宋" w:hAnsi="仿宋" w:eastAsia="仿宋" w:cs="仿宋"/>
          <w:color w:val="000000"/>
          <w:sz w:val="32"/>
          <w:szCs w:val="32"/>
          <w:lang w:val="en-US" w:eastAsia="zh-CN"/>
        </w:rPr>
        <w:t>7.52</w:t>
      </w:r>
      <w:r>
        <w:rPr>
          <w:rFonts w:hint="eastAsia" w:ascii="仿宋" w:hAnsi="仿宋" w:eastAsia="仿宋" w:cs="仿宋"/>
          <w:color w:val="000000"/>
          <w:sz w:val="32"/>
          <w:szCs w:val="32"/>
        </w:rPr>
        <w:t>万元，完成预算</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w:t>
      </w:r>
      <w:r>
        <w:rPr>
          <w:rFonts w:hint="eastAsia" w:ascii="仿宋" w:hAnsi="仿宋" w:eastAsia="仿宋"/>
          <w:color w:val="000000"/>
          <w:sz w:val="32"/>
          <w:szCs w:val="32"/>
        </w:rPr>
        <w:t>决算数与预算数持平</w:t>
      </w:r>
      <w:r>
        <w:rPr>
          <w:rFonts w:hint="eastAsia" w:ascii="仿宋" w:hAnsi="仿宋" w:eastAsia="仿宋" w:cs="仿宋"/>
          <w:color w:val="000000"/>
          <w:sz w:val="32"/>
          <w:szCs w:val="32"/>
          <w:lang w:eastAsia="zh-CN"/>
        </w:rPr>
        <w:t>。</w:t>
      </w:r>
    </w:p>
    <w:p w14:paraId="759DC553">
      <w:pPr>
        <w:pStyle w:val="4"/>
        <w:numPr>
          <w:ilvl w:val="0"/>
          <w:numId w:val="2"/>
        </w:numPr>
        <w:bidi w:val="0"/>
        <w:rPr>
          <w:rFonts w:hint="eastAsia"/>
        </w:rPr>
      </w:pPr>
      <w:bookmarkStart w:id="126" w:name="_Toc16535"/>
      <w:bookmarkStart w:id="127" w:name="_Toc3619"/>
      <w:r>
        <w:rPr>
          <w:rFonts w:hint="eastAsia"/>
        </w:rPr>
        <w:t>国有资本经营预算支出决算情况说明</w:t>
      </w:r>
      <w:bookmarkEnd w:id="122"/>
      <w:bookmarkEnd w:id="123"/>
      <w:bookmarkEnd w:id="124"/>
      <w:bookmarkEnd w:id="125"/>
      <w:bookmarkEnd w:id="126"/>
      <w:bookmarkEnd w:id="127"/>
    </w:p>
    <w:p w14:paraId="023758CD">
      <w:pPr>
        <w:spacing w:line="600" w:lineRule="exact"/>
        <w:ind w:firstLine="640"/>
        <w:rPr>
          <w:rFonts w:hint="eastAsia" w:ascii="仿宋" w:hAnsi="仿宋" w:eastAsia="仿宋" w:cs="仿宋"/>
          <w:sz w:val="32"/>
          <w:szCs w:val="32"/>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年国有资本经营预算拨款支出</w:t>
      </w:r>
      <w:r>
        <w:rPr>
          <w:rFonts w:hint="eastAsia" w:ascii="仿宋" w:hAnsi="仿宋" w:eastAsia="仿宋" w:cs="仿宋"/>
          <w:color w:val="000000"/>
          <w:sz w:val="32"/>
          <w:szCs w:val="32"/>
          <w:lang w:val="en-US" w:eastAsia="zh-CN"/>
        </w:rPr>
        <w:t>0万</w:t>
      </w:r>
      <w:r>
        <w:rPr>
          <w:rFonts w:hint="eastAsia" w:ascii="仿宋" w:hAnsi="仿宋" w:eastAsia="仿宋" w:cs="仿宋"/>
          <w:color w:val="000000"/>
          <w:sz w:val="32"/>
          <w:szCs w:val="32"/>
        </w:rPr>
        <w:t>元。</w:t>
      </w:r>
    </w:p>
    <w:p w14:paraId="638E365D">
      <w:pPr>
        <w:pStyle w:val="4"/>
        <w:bidi w:val="0"/>
        <w:rPr>
          <w:rFonts w:hint="eastAsia"/>
        </w:rPr>
      </w:pPr>
      <w:bookmarkStart w:id="128" w:name="_Toc9352"/>
      <w:bookmarkStart w:id="129" w:name="_Toc15396612"/>
      <w:bookmarkStart w:id="130" w:name="_Toc15377221"/>
      <w:bookmarkStart w:id="131" w:name="_Toc9045"/>
      <w:bookmarkStart w:id="132" w:name="_Toc79163874"/>
      <w:bookmarkStart w:id="133" w:name="_Toc79163624"/>
      <w:r>
        <w:rPr>
          <w:rFonts w:hint="eastAsia"/>
        </w:rPr>
        <w:t>十、其他重要事项的情况说明</w:t>
      </w:r>
      <w:bookmarkEnd w:id="128"/>
      <w:bookmarkEnd w:id="129"/>
      <w:bookmarkEnd w:id="130"/>
      <w:bookmarkEnd w:id="131"/>
      <w:bookmarkEnd w:id="132"/>
      <w:bookmarkEnd w:id="133"/>
    </w:p>
    <w:p w14:paraId="551BD817">
      <w:pPr>
        <w:pStyle w:val="5"/>
        <w:bidi w:val="0"/>
        <w:rPr>
          <w:rFonts w:hint="eastAsia"/>
        </w:rPr>
      </w:pPr>
      <w:bookmarkStart w:id="134" w:name="_Toc79163625"/>
      <w:bookmarkStart w:id="135" w:name="_Toc79163875"/>
      <w:bookmarkStart w:id="136" w:name="_Toc15377222"/>
      <w:r>
        <w:rPr>
          <w:rFonts w:hint="eastAsia"/>
        </w:rPr>
        <w:t>（一）机关运行经费支出情况</w:t>
      </w:r>
      <w:bookmarkEnd w:id="134"/>
      <w:bookmarkEnd w:id="135"/>
      <w:bookmarkEnd w:id="136"/>
    </w:p>
    <w:p w14:paraId="5BB1A19B">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残疾人联合会</w:t>
      </w:r>
      <w:r>
        <w:rPr>
          <w:rFonts w:hint="eastAsia" w:ascii="仿宋" w:hAnsi="仿宋" w:eastAsia="仿宋" w:cs="仿宋"/>
          <w:color w:val="000000"/>
          <w:sz w:val="32"/>
          <w:szCs w:val="32"/>
        </w:rPr>
        <w:t>机关运行经费支出</w:t>
      </w:r>
      <w:r>
        <w:rPr>
          <w:rFonts w:hint="eastAsia" w:ascii="仿宋" w:hAnsi="仿宋" w:eastAsia="仿宋" w:cs="仿宋"/>
          <w:color w:val="000000" w:themeColor="text1"/>
          <w:sz w:val="32"/>
          <w:szCs w:val="32"/>
          <w:lang w:val="en-US" w:eastAsia="zh-CN"/>
        </w:rPr>
        <w:t>10.4</w:t>
      </w:r>
      <w:r>
        <w:rPr>
          <w:rFonts w:hint="eastAsia" w:ascii="仿宋" w:hAnsi="仿宋" w:eastAsia="仿宋" w:cs="仿宋"/>
          <w:color w:val="000000"/>
          <w:sz w:val="32"/>
          <w:szCs w:val="32"/>
          <w:lang w:val="en-US" w:eastAsia="zh-CN"/>
        </w:rPr>
        <w:t>万元</w:t>
      </w:r>
      <w:r>
        <w:rPr>
          <w:rFonts w:hint="eastAsia" w:ascii="仿宋" w:hAnsi="仿宋" w:eastAsia="仿宋" w:cs="仿宋"/>
          <w:color w:val="000000"/>
          <w:sz w:val="32"/>
          <w:szCs w:val="32"/>
        </w:rPr>
        <w:t>，</w:t>
      </w:r>
      <w:bookmarkStart w:id="137" w:name="OLE_LINK21"/>
      <w:r>
        <w:rPr>
          <w:rFonts w:hint="eastAsia" w:ascii="仿宋" w:hAnsi="仿宋" w:eastAsia="仿宋" w:cs="仿宋"/>
          <w:color w:val="000000"/>
          <w:sz w:val="32"/>
          <w:szCs w:val="32"/>
        </w:rPr>
        <w:t>比202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7.46</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2.94万元</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28</w:t>
      </w:r>
      <w:r>
        <w:rPr>
          <w:rFonts w:hint="eastAsia" w:ascii="仿宋" w:hAnsi="仿宋" w:eastAsia="仿宋" w:cs="仿宋"/>
          <w:color w:val="000000"/>
          <w:sz w:val="32"/>
          <w:szCs w:val="32"/>
        </w:rPr>
        <w:t>%。主要原因是</w:t>
      </w:r>
      <w:r>
        <w:rPr>
          <w:rFonts w:hint="eastAsia" w:ascii="仿宋" w:hAnsi="仿宋" w:eastAsia="仿宋" w:cs="仿宋"/>
          <w:sz w:val="32"/>
          <w:szCs w:val="32"/>
          <w:lang w:eastAsia="zh-CN"/>
        </w:rPr>
        <w:t>取暖费和公车维修。</w:t>
      </w:r>
      <w:bookmarkEnd w:id="137"/>
    </w:p>
    <w:p w14:paraId="1C333A77">
      <w:pPr>
        <w:pStyle w:val="5"/>
        <w:bidi w:val="0"/>
        <w:rPr>
          <w:rFonts w:hint="eastAsia"/>
        </w:rPr>
      </w:pPr>
      <w:bookmarkStart w:id="138" w:name="_Toc15377223"/>
      <w:bookmarkStart w:id="139" w:name="_Toc79163876"/>
      <w:bookmarkStart w:id="140" w:name="_Toc79163626"/>
      <w:r>
        <w:rPr>
          <w:rFonts w:hint="eastAsia"/>
        </w:rPr>
        <w:t>（二）政府采购支出情况</w:t>
      </w:r>
      <w:bookmarkEnd w:id="138"/>
      <w:bookmarkEnd w:id="139"/>
      <w:bookmarkEnd w:id="140"/>
    </w:p>
    <w:p w14:paraId="79A24C99">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残疾人联合会</w:t>
      </w:r>
      <w:r>
        <w:rPr>
          <w:rFonts w:hint="eastAsia" w:ascii="仿宋" w:hAnsi="仿宋" w:eastAsia="仿宋" w:cs="仿宋"/>
          <w:color w:val="000000"/>
          <w:sz w:val="32"/>
          <w:szCs w:val="32"/>
        </w:rPr>
        <w:t>政府采购支出总额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万元，其中：政府采购货物支出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万元、政府采购工程支出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万元、政府采购服务支出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万元。主要用于</w:t>
      </w:r>
      <w:r>
        <w:rPr>
          <w:rFonts w:hint="eastAsia" w:ascii="仿宋" w:hAnsi="仿宋" w:eastAsia="仿宋" w:cs="仿宋"/>
          <w:sz w:val="32"/>
          <w:szCs w:val="32"/>
        </w:rPr>
        <w:t>购置残疾人辅助器具</w:t>
      </w:r>
      <w:r>
        <w:rPr>
          <w:rFonts w:hint="eastAsia" w:ascii="仿宋" w:hAnsi="仿宋" w:eastAsia="仿宋" w:cs="仿宋"/>
          <w:color w:val="000000"/>
          <w:sz w:val="32"/>
          <w:szCs w:val="32"/>
        </w:rPr>
        <w:t>。</w:t>
      </w:r>
    </w:p>
    <w:p w14:paraId="53437690">
      <w:pPr>
        <w:pStyle w:val="5"/>
        <w:bidi w:val="0"/>
        <w:rPr>
          <w:rFonts w:hint="eastAsia"/>
        </w:rPr>
      </w:pPr>
      <w:bookmarkStart w:id="141" w:name="_Toc79163877"/>
      <w:bookmarkStart w:id="142" w:name="_Toc15377224"/>
      <w:bookmarkStart w:id="143" w:name="_Toc79163627"/>
      <w:r>
        <w:rPr>
          <w:rFonts w:hint="eastAsia"/>
        </w:rPr>
        <w:t>（三）国有资产占有使用情况</w:t>
      </w:r>
      <w:bookmarkEnd w:id="141"/>
      <w:bookmarkEnd w:id="142"/>
      <w:bookmarkEnd w:id="143"/>
    </w:p>
    <w:p w14:paraId="76D5FB92">
      <w:pPr>
        <w:autoSpaceDE w:val="0"/>
        <w:autoSpaceDN w:val="0"/>
        <w:adjustRightInd w:val="0"/>
        <w:spacing w:line="600" w:lineRule="exact"/>
        <w:ind w:firstLine="640" w:firstLineChars="200"/>
        <w:jc w:val="left"/>
        <w:rPr>
          <w:rFonts w:hint="eastAsia" w:ascii="仿宋" w:hAnsi="仿宋" w:eastAsia="仿宋" w:cs="仿宋"/>
          <w:b/>
          <w:color w:val="FF0000"/>
          <w:sz w:val="32"/>
          <w:szCs w:val="32"/>
        </w:rPr>
      </w:pPr>
      <w:r>
        <w:rPr>
          <w:rFonts w:hint="eastAsia" w:ascii="仿宋" w:hAnsi="仿宋" w:eastAsia="仿宋" w:cs="仿宋"/>
          <w:color w:val="000000"/>
          <w:sz w:val="32"/>
          <w:szCs w:val="32"/>
        </w:rPr>
        <w:t>截至202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年12月31日，</w:t>
      </w:r>
      <w:r>
        <w:rPr>
          <w:rFonts w:hint="eastAsia" w:ascii="仿宋" w:hAnsi="仿宋" w:eastAsia="仿宋" w:cs="仿宋"/>
          <w:color w:val="000000"/>
          <w:sz w:val="32"/>
          <w:szCs w:val="32"/>
          <w:lang w:eastAsia="zh-CN"/>
        </w:rPr>
        <w:t>残疾人联合会</w:t>
      </w:r>
      <w:r>
        <w:rPr>
          <w:rFonts w:hint="eastAsia" w:ascii="仿宋" w:hAnsi="仿宋" w:eastAsia="仿宋" w:cs="仿宋"/>
          <w:color w:val="000000"/>
          <w:sz w:val="32"/>
          <w:szCs w:val="32"/>
        </w:rPr>
        <w:t>共有车辆</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辆，其中：主要其他用车</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辆</w:t>
      </w:r>
      <w:r>
        <w:rPr>
          <w:rFonts w:hint="eastAsia" w:ascii="仿宋" w:hAnsi="仿宋" w:eastAsia="仿宋" w:cs="仿宋"/>
          <w:color w:val="000000"/>
          <w:sz w:val="32"/>
          <w:szCs w:val="32"/>
          <w:lang w:eastAsia="zh-CN"/>
        </w:rPr>
        <w:t>，</w:t>
      </w:r>
      <w:r>
        <w:rPr>
          <w:rFonts w:hint="eastAsia" w:ascii="仿宋" w:hAnsi="仿宋" w:eastAsia="仿宋" w:cs="仿宋"/>
          <w:color w:val="000000" w:themeColor="text1"/>
          <w:sz w:val="32"/>
          <w:szCs w:val="32"/>
        </w:rPr>
        <w:t>其他用车主要是用于</w:t>
      </w:r>
      <w:r>
        <w:rPr>
          <w:rFonts w:hint="eastAsia" w:ascii="仿宋" w:hAnsi="仿宋" w:eastAsia="仿宋" w:cs="仿宋"/>
          <w:sz w:val="32"/>
          <w:szCs w:val="32"/>
        </w:rPr>
        <w:t>一般残疾人流动服务车</w:t>
      </w:r>
      <w:r>
        <w:rPr>
          <w:rFonts w:hint="eastAsia" w:ascii="仿宋" w:hAnsi="仿宋" w:eastAsia="仿宋" w:cs="仿宋"/>
          <w:sz w:val="32"/>
          <w:szCs w:val="32"/>
          <w:lang w:eastAsia="zh-CN"/>
        </w:rPr>
        <w:t>。</w:t>
      </w:r>
      <w:r>
        <w:rPr>
          <w:rFonts w:hint="eastAsia" w:ascii="仿宋" w:hAnsi="仿宋" w:eastAsia="仿宋" w:cs="仿宋"/>
          <w:color w:val="000000" w:themeColor="text1"/>
          <w:sz w:val="32"/>
          <w:szCs w:val="32"/>
        </w:rPr>
        <w:t>单价50万元以上通用设备</w:t>
      </w:r>
      <w:r>
        <w:rPr>
          <w:rFonts w:hint="eastAsia" w:ascii="仿宋" w:hAnsi="仿宋" w:eastAsia="仿宋" w:cs="仿宋"/>
          <w:color w:val="000000" w:themeColor="text1"/>
          <w:sz w:val="32"/>
          <w:szCs w:val="32"/>
          <w:lang w:val="en-US" w:eastAsia="zh-CN"/>
        </w:rPr>
        <w:t>0</w:t>
      </w:r>
      <w:r>
        <w:rPr>
          <w:rFonts w:hint="eastAsia" w:ascii="仿宋" w:hAnsi="仿宋" w:eastAsia="仿宋" w:cs="仿宋"/>
          <w:color w:val="000000" w:themeColor="text1"/>
          <w:sz w:val="32"/>
          <w:szCs w:val="32"/>
        </w:rPr>
        <w:t>台（套），单价100</w:t>
      </w:r>
      <w:r>
        <w:rPr>
          <w:rFonts w:hint="eastAsia" w:ascii="仿宋" w:hAnsi="仿宋" w:eastAsia="仿宋" w:cs="仿宋"/>
          <w:color w:val="000000"/>
          <w:sz w:val="32"/>
          <w:szCs w:val="32"/>
        </w:rPr>
        <w:t>万元以上专用设备</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台（套）。</w:t>
      </w:r>
    </w:p>
    <w:p w14:paraId="506AB388">
      <w:pPr>
        <w:pStyle w:val="5"/>
        <w:bidi w:val="0"/>
        <w:rPr>
          <w:rFonts w:hint="eastAsia"/>
        </w:rPr>
      </w:pPr>
      <w:bookmarkStart w:id="144" w:name="_Toc79163878"/>
      <w:bookmarkStart w:id="145" w:name="_Toc79163628"/>
      <w:r>
        <w:rPr>
          <w:rFonts w:hint="eastAsia"/>
        </w:rPr>
        <w:t>（四）预算绩效管理情况。</w:t>
      </w:r>
      <w:bookmarkEnd w:id="144"/>
      <w:bookmarkEnd w:id="145"/>
    </w:p>
    <w:p w14:paraId="6A7AEB1C">
      <w:pPr>
        <w:numPr>
          <w:ilvl w:val="0"/>
          <w:numId w:val="0"/>
        </w:numPr>
        <w:spacing w:line="54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根据预算绩效管理要求，本部门（单位）在年初预算编制阶段，组织对</w:t>
      </w:r>
      <w:r>
        <w:rPr>
          <w:rFonts w:hint="eastAsia" w:ascii="仿宋" w:hAnsi="仿宋" w:eastAsia="仿宋" w:cs="仿宋"/>
          <w:sz w:val="32"/>
          <w:szCs w:val="32"/>
          <w:lang w:eastAsia="zh-CN"/>
        </w:rPr>
        <w:t>残疾人事业发展资金</w:t>
      </w:r>
      <w:r>
        <w:rPr>
          <w:rFonts w:hint="eastAsia" w:ascii="仿宋" w:hAnsi="仿宋" w:eastAsia="仿宋" w:cs="仿宋"/>
          <w:sz w:val="32"/>
          <w:szCs w:val="32"/>
        </w:rPr>
        <w:t>项目（项目名称）开展了预算事前绩效评估，对</w:t>
      </w:r>
      <w:r>
        <w:rPr>
          <w:rFonts w:hint="eastAsia" w:ascii="仿宋" w:hAnsi="仿宋" w:eastAsia="仿宋" w:cs="仿宋"/>
          <w:sz w:val="32"/>
          <w:szCs w:val="32"/>
          <w:lang w:eastAsia="zh-CN"/>
        </w:rPr>
        <w:t>残疾人事业发展资金</w:t>
      </w:r>
      <w:r>
        <w:rPr>
          <w:rFonts w:hint="eastAsia" w:ascii="仿宋" w:hAnsi="仿宋" w:eastAsia="仿宋" w:cs="仿宋"/>
          <w:sz w:val="32"/>
          <w:szCs w:val="32"/>
          <w:lang w:val="en-US" w:eastAsia="zh-CN"/>
        </w:rPr>
        <w:t>0</w:t>
      </w:r>
      <w:r>
        <w:rPr>
          <w:rFonts w:hint="eastAsia" w:ascii="仿宋" w:hAnsi="仿宋" w:eastAsia="仿宋" w:cs="仿宋"/>
          <w:sz w:val="32"/>
          <w:szCs w:val="32"/>
        </w:rPr>
        <w:t>个项目编制了绩效目标</w:t>
      </w:r>
      <w:r>
        <w:rPr>
          <w:rFonts w:hint="eastAsia" w:ascii="仿宋" w:hAnsi="仿宋" w:eastAsia="仿宋" w:cs="仿宋"/>
          <w:sz w:val="32"/>
          <w:szCs w:val="32"/>
          <w:lang w:eastAsia="zh-CN"/>
        </w:rPr>
        <w:t>，在</w:t>
      </w:r>
      <w:r>
        <w:rPr>
          <w:rFonts w:hint="eastAsia" w:ascii="仿宋" w:hAnsi="仿宋" w:eastAsia="仿宋" w:cs="仿宋"/>
          <w:sz w:val="32"/>
          <w:szCs w:val="32"/>
        </w:rPr>
        <w:t>预算执行过程中，选取</w:t>
      </w:r>
      <w:r>
        <w:rPr>
          <w:rFonts w:hint="eastAsia" w:ascii="仿宋" w:hAnsi="仿宋" w:eastAsia="仿宋" w:cs="仿宋"/>
          <w:sz w:val="32"/>
          <w:szCs w:val="32"/>
          <w:lang w:val="en-US" w:eastAsia="zh-CN"/>
        </w:rPr>
        <w:t>0</w:t>
      </w:r>
      <w:r>
        <w:rPr>
          <w:rFonts w:hint="eastAsia" w:ascii="仿宋" w:hAnsi="仿宋" w:eastAsia="仿宋" w:cs="仿宋"/>
          <w:sz w:val="32"/>
          <w:szCs w:val="32"/>
        </w:rPr>
        <w:t>个项目开展绩效监控，年终执行完毕后，对</w:t>
      </w:r>
      <w:r>
        <w:rPr>
          <w:rFonts w:hint="eastAsia" w:ascii="仿宋" w:hAnsi="仿宋" w:eastAsia="仿宋" w:cs="仿宋"/>
          <w:sz w:val="32"/>
          <w:szCs w:val="32"/>
          <w:lang w:val="en-US" w:eastAsia="zh-CN"/>
        </w:rPr>
        <w:t>0</w:t>
      </w:r>
      <w:r>
        <w:rPr>
          <w:rFonts w:hint="eastAsia" w:ascii="仿宋" w:hAnsi="仿宋" w:eastAsia="仿宋" w:cs="仿宋"/>
          <w:sz w:val="32"/>
          <w:szCs w:val="32"/>
        </w:rPr>
        <w:t>个项目开展了绩效目标完成情况自评</w:t>
      </w:r>
      <w:r>
        <w:rPr>
          <w:rFonts w:hint="eastAsia" w:ascii="仿宋" w:hAnsi="仿宋" w:eastAsia="仿宋" w:cs="仿宋"/>
          <w:sz w:val="32"/>
          <w:szCs w:val="32"/>
          <w:lang w:eastAsia="zh-CN"/>
        </w:rPr>
        <w:t>，</w:t>
      </w:r>
      <w:r>
        <w:rPr>
          <w:rFonts w:hint="eastAsia" w:ascii="仿宋_GB2312" w:hAnsi="Times New Roman" w:eastAsia="仿宋_GB2312" w:cs="Times New Roman"/>
          <w:color w:val="auto"/>
          <w:sz w:val="32"/>
          <w:szCs w:val="32"/>
          <w:highlight w:val="none"/>
          <w:lang w:val="en-US" w:eastAsia="zh-CN"/>
        </w:rPr>
        <w:t>绩效自评表详见第四部分附件。</w:t>
      </w:r>
    </w:p>
    <w:p w14:paraId="7C644C12">
      <w:pPr>
        <w:spacing w:before="0" w:beforeAutospacing="0" w:after="0" w:line="560" w:lineRule="exact"/>
        <w:ind w:right="0" w:firstLine="640" w:firstLineChars="200"/>
        <w:rPr>
          <w:rFonts w:ascii="仿宋_GB2312" w:hAnsi="仿宋_GB2312" w:eastAsia="仿宋_GB2312" w:cs="仿宋_GB2312"/>
          <w:sz w:val="32"/>
          <w:szCs w:val="32"/>
        </w:rPr>
      </w:pPr>
      <w:r>
        <w:rPr>
          <w:rFonts w:hint="eastAsia" w:ascii="仿宋" w:hAnsi="仿宋" w:eastAsia="仿宋" w:cs="仿宋"/>
          <w:sz w:val="32"/>
          <w:szCs w:val="32"/>
        </w:rPr>
        <w:t>本部门按要求对20</w:t>
      </w:r>
      <w:r>
        <w:rPr>
          <w:rFonts w:hint="eastAsia" w:ascii="仿宋" w:hAnsi="仿宋" w:eastAsia="仿宋" w:cs="仿宋"/>
          <w:sz w:val="32"/>
          <w:szCs w:val="32"/>
          <w:lang w:val="en-US" w:eastAsia="zh-CN"/>
        </w:rPr>
        <w:t>25</w:t>
      </w:r>
      <w:r>
        <w:rPr>
          <w:rFonts w:hint="eastAsia" w:ascii="仿宋" w:hAnsi="仿宋" w:eastAsia="仿宋" w:cs="仿宋"/>
          <w:sz w:val="32"/>
          <w:szCs w:val="32"/>
        </w:rPr>
        <w:t>年部门整体支出开展绩效自评，从评价情况来看</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25年</w:t>
      </w:r>
      <w:r>
        <w:rPr>
          <w:rFonts w:hint="eastAsia" w:ascii="仿宋" w:hAnsi="仿宋" w:eastAsia="仿宋" w:cs="仿宋"/>
          <w:color w:val="000000"/>
          <w:sz w:val="32"/>
          <w:szCs w:val="32"/>
        </w:rPr>
        <w:t>我单位</w:t>
      </w:r>
      <w:r>
        <w:rPr>
          <w:rFonts w:hint="eastAsia" w:ascii="仿宋" w:hAnsi="仿宋" w:eastAsia="仿宋" w:cs="仿宋"/>
          <w:spacing w:val="15"/>
          <w:sz w:val="32"/>
          <w:szCs w:val="32"/>
        </w:rPr>
        <w:t>在</w:t>
      </w:r>
      <w:r>
        <w:rPr>
          <w:rFonts w:hint="eastAsia" w:ascii="仿宋" w:hAnsi="仿宋" w:eastAsia="仿宋" w:cs="仿宋"/>
          <w:spacing w:val="15"/>
          <w:sz w:val="32"/>
          <w:szCs w:val="32"/>
          <w:lang w:eastAsia="zh-CN"/>
        </w:rPr>
        <w:t>县委、县政府</w:t>
      </w:r>
      <w:r>
        <w:rPr>
          <w:rFonts w:hint="eastAsia" w:ascii="仿宋" w:hAnsi="仿宋" w:eastAsia="仿宋" w:cs="仿宋"/>
          <w:spacing w:val="15"/>
          <w:sz w:val="32"/>
          <w:szCs w:val="32"/>
        </w:rPr>
        <w:t>的领导下、</w:t>
      </w:r>
      <w:r>
        <w:rPr>
          <w:rFonts w:hint="eastAsia" w:ascii="仿宋" w:hAnsi="仿宋" w:eastAsia="仿宋"/>
          <w:spacing w:val="15"/>
          <w:sz w:val="32"/>
          <w:szCs w:val="32"/>
        </w:rPr>
        <w:t>州残疾人联合会的指导下，深入贯彻党的十九大、十九届二中、三中全会、</w:t>
      </w:r>
      <w:r>
        <w:rPr>
          <w:rFonts w:hint="eastAsia" w:ascii="仿宋" w:hAnsi="仿宋" w:eastAsia="仿宋"/>
          <w:spacing w:val="15"/>
          <w:sz w:val="32"/>
          <w:szCs w:val="32"/>
          <w:lang w:eastAsia="zh-CN"/>
        </w:rPr>
        <w:t>习近平总书记</w:t>
      </w:r>
      <w:r>
        <w:rPr>
          <w:rFonts w:hint="eastAsia" w:ascii="仿宋" w:hAnsi="仿宋" w:eastAsia="仿宋"/>
          <w:spacing w:val="15"/>
          <w:sz w:val="32"/>
          <w:szCs w:val="32"/>
        </w:rPr>
        <w:t>来川视察重要讲话精神、习近平新时代中国特色社会主义思想为指导，紧紧围绕县委、县政府中心工作和构建和谐社会的总体目标，</w:t>
      </w:r>
      <w:r>
        <w:rPr>
          <w:rFonts w:hint="eastAsia" w:ascii="仿宋" w:hAnsi="仿宋" w:eastAsia="仿宋"/>
          <w:sz w:val="32"/>
          <w:szCs w:val="32"/>
        </w:rPr>
        <w:t>按照为残疾人服务的要求，认真实践</w:t>
      </w:r>
      <w:r>
        <w:rPr>
          <w:rFonts w:hint="eastAsia" w:ascii="仿宋" w:hAnsi="仿宋" w:eastAsia="仿宋" w:cs="仿宋"/>
          <w:color w:val="000000"/>
          <w:sz w:val="32"/>
          <w:szCs w:val="32"/>
        </w:rPr>
        <w:t>让残疾人基本生活、医疗、康复、教育、就业、文化体育等基本需求得到制度性保障，促进残疾人状况改善和全面发展，为残疾人脱贫致富、平等参与社会生活创造更好的环境和条件，听取残疾人的意见，反映残疾人的需求，维护残疾人的合法权益，为残疾人服务</w:t>
      </w:r>
      <w:r>
        <w:rPr>
          <w:rFonts w:hint="eastAsia" w:ascii="仿宋" w:hAnsi="仿宋" w:eastAsia="仿宋"/>
          <w:sz w:val="32"/>
          <w:szCs w:val="32"/>
        </w:rPr>
        <w:t>的思想，切实改进工作作风，做到观念上有新转变，思想上有新飞跃，思路上有新调整，工作上有新突破，提升干部形象上有新发展，更好地为我县经济发展和社会和谐稳定提供优质、高效、便捷的服务。</w:t>
      </w:r>
    </w:p>
    <w:p w14:paraId="7F2AA636">
      <w:pPr>
        <w:spacing w:line="580" w:lineRule="exact"/>
        <w:ind w:firstLine="640" w:firstLineChars="200"/>
        <w:rPr>
          <w:rFonts w:hint="eastAsia" w:ascii="楷体_GB2312" w:hAnsi="楷体_GB2312" w:eastAsia="楷体_GB2312" w:cs="楷体_GB2312"/>
          <w:sz w:val="32"/>
          <w:szCs w:val="32"/>
          <w:lang w:eastAsia="zh-CN"/>
        </w:rPr>
      </w:pPr>
      <w:r>
        <w:rPr>
          <w:rFonts w:ascii="楷体_GB2312" w:hAnsi="楷体_GB2312" w:eastAsia="楷体_GB2312" w:cs="楷体_GB2312"/>
          <w:sz w:val="32"/>
          <w:szCs w:val="32"/>
        </w:rPr>
        <w:t>1.</w:t>
      </w:r>
      <w:r>
        <w:rPr>
          <w:rFonts w:hint="eastAsia" w:ascii="楷体_GB2312" w:hAnsi="楷体_GB2312" w:eastAsia="楷体_GB2312" w:cs="楷体_GB2312"/>
          <w:sz w:val="32"/>
          <w:szCs w:val="32"/>
        </w:rPr>
        <w:t>项目绩效目标完成情况。</w:t>
      </w:r>
    </w:p>
    <w:p w14:paraId="3D255167">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本部门在202</w:t>
      </w:r>
      <w:r>
        <w:rPr>
          <w:rFonts w:hint="eastAsia" w:ascii="仿宋" w:hAnsi="仿宋" w:eastAsia="仿宋" w:cs="仿宋"/>
          <w:sz w:val="32"/>
          <w:szCs w:val="32"/>
          <w:lang w:val="en-US" w:eastAsia="zh-CN"/>
        </w:rPr>
        <w:t>5</w:t>
      </w:r>
      <w:r>
        <w:rPr>
          <w:rFonts w:hint="eastAsia" w:ascii="仿宋" w:hAnsi="仿宋" w:eastAsia="仿宋" w:cs="仿宋"/>
          <w:sz w:val="32"/>
          <w:szCs w:val="32"/>
        </w:rPr>
        <w:t>年度部门决算中反映</w:t>
      </w:r>
      <w:r>
        <w:rPr>
          <w:rFonts w:hint="eastAsia" w:ascii="仿宋" w:hAnsi="仿宋" w:eastAsia="仿宋" w:cs="仿宋"/>
          <w:sz w:val="32"/>
          <w:szCs w:val="32"/>
          <w:lang w:eastAsia="zh-CN"/>
        </w:rPr>
        <w:t>“残疾人康复”“残疾人教育”“残疾人就业”</w:t>
      </w:r>
      <w:r>
        <w:rPr>
          <w:rFonts w:hint="eastAsia" w:ascii="仿宋" w:hAnsi="仿宋" w:eastAsia="仿宋" w:cs="仿宋"/>
          <w:sz w:val="32"/>
          <w:szCs w:val="32"/>
        </w:rPr>
        <w:t>“</w:t>
      </w:r>
      <w:r>
        <w:rPr>
          <w:rFonts w:hint="eastAsia" w:ascii="仿宋" w:hAnsi="仿宋" w:eastAsia="仿宋" w:cs="仿宋"/>
          <w:sz w:val="32"/>
          <w:szCs w:val="32"/>
          <w:lang w:eastAsia="zh-CN"/>
        </w:rPr>
        <w:t>其他残疾人事业支出</w:t>
      </w:r>
      <w:r>
        <w:rPr>
          <w:rFonts w:hint="eastAsia" w:ascii="仿宋" w:hAnsi="仿宋" w:eastAsia="仿宋" w:cs="仿宋"/>
          <w:sz w:val="32"/>
          <w:szCs w:val="32"/>
        </w:rPr>
        <w:t>”等</w:t>
      </w:r>
      <w:r>
        <w:rPr>
          <w:rFonts w:hint="eastAsia" w:ascii="仿宋" w:hAnsi="仿宋" w:eastAsia="仿宋" w:cs="仿宋"/>
          <w:sz w:val="32"/>
          <w:szCs w:val="32"/>
          <w:lang w:val="en-US" w:eastAsia="zh-CN"/>
        </w:rPr>
        <w:t>4</w:t>
      </w:r>
      <w:r>
        <w:rPr>
          <w:rFonts w:hint="eastAsia" w:ascii="仿宋" w:hAnsi="仿宋" w:eastAsia="仿宋" w:cs="仿宋"/>
          <w:sz w:val="32"/>
          <w:szCs w:val="32"/>
        </w:rPr>
        <w:t>个项目绩效目标实际完成情况。（本单位部门项目绩效目标个数在</w:t>
      </w:r>
      <w:r>
        <w:rPr>
          <w:rFonts w:hint="eastAsia" w:ascii="仿宋" w:hAnsi="仿宋" w:eastAsia="仿宋" w:cs="仿宋"/>
          <w:sz w:val="32"/>
          <w:szCs w:val="32"/>
          <w:lang w:val="en-US" w:eastAsia="zh-CN"/>
        </w:rPr>
        <w:t>4</w:t>
      </w:r>
      <w:r>
        <w:rPr>
          <w:rFonts w:hint="eastAsia" w:ascii="仿宋" w:hAnsi="仿宋" w:eastAsia="仿宋" w:cs="仿宋"/>
          <w:sz w:val="32"/>
          <w:szCs w:val="32"/>
        </w:rPr>
        <w:t>个以上的，选取</w:t>
      </w:r>
      <w:r>
        <w:rPr>
          <w:rFonts w:hint="eastAsia" w:ascii="仿宋" w:hAnsi="仿宋" w:eastAsia="仿宋" w:cs="仿宋"/>
          <w:sz w:val="32"/>
          <w:szCs w:val="32"/>
          <w:lang w:val="en-US" w:eastAsia="zh-CN"/>
        </w:rPr>
        <w:t>4</w:t>
      </w:r>
      <w:r>
        <w:rPr>
          <w:rFonts w:hint="eastAsia" w:ascii="仿宋" w:hAnsi="仿宋" w:eastAsia="仿宋" w:cs="仿宋"/>
          <w:sz w:val="32"/>
          <w:szCs w:val="32"/>
        </w:rPr>
        <w:t>个项目进行公开，目标个数在</w:t>
      </w:r>
      <w:r>
        <w:rPr>
          <w:rFonts w:hint="eastAsia" w:ascii="仿宋" w:hAnsi="仿宋" w:eastAsia="仿宋" w:cs="仿宋"/>
          <w:sz w:val="32"/>
          <w:szCs w:val="32"/>
          <w:lang w:val="en-US" w:eastAsia="zh-CN"/>
        </w:rPr>
        <w:t>4</w:t>
      </w:r>
      <w:r>
        <w:rPr>
          <w:rFonts w:hint="eastAsia" w:ascii="仿宋" w:hAnsi="仿宋" w:eastAsia="仿宋" w:cs="仿宋"/>
          <w:sz w:val="32"/>
          <w:szCs w:val="32"/>
        </w:rPr>
        <w:t>个以下的，全部进行公开，公开内容包括选取的全部项目完成情况综述和完成情况表）。</w:t>
      </w:r>
    </w:p>
    <w:p w14:paraId="6496AC28">
      <w:pPr>
        <w:spacing w:line="54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）残疾人康复支出</w:t>
      </w:r>
      <w:r>
        <w:rPr>
          <w:rFonts w:hint="eastAsia" w:ascii="仿宋" w:hAnsi="仿宋" w:eastAsia="仿宋" w:cs="仿宋"/>
          <w:sz w:val="32"/>
          <w:szCs w:val="32"/>
        </w:rPr>
        <w:t>项目绩效目标完成情况综述。项目全年预算数</w:t>
      </w:r>
      <w:r>
        <w:rPr>
          <w:rFonts w:hint="eastAsia" w:ascii="仿宋" w:hAnsi="仿宋" w:eastAsia="仿宋" w:cs="仿宋"/>
          <w:color w:val="000000" w:themeColor="text1"/>
          <w:sz w:val="32"/>
          <w:szCs w:val="32"/>
          <w:lang w:val="en-US" w:eastAsia="zh-CN"/>
        </w:rPr>
        <w:t>10</w:t>
      </w:r>
      <w:r>
        <w:rPr>
          <w:rFonts w:hint="eastAsia" w:ascii="仿宋" w:hAnsi="仿宋" w:eastAsia="仿宋" w:cs="仿宋"/>
          <w:sz w:val="32"/>
          <w:szCs w:val="32"/>
        </w:rPr>
        <w:t>万元，</w:t>
      </w:r>
      <w:r>
        <w:rPr>
          <w:rFonts w:hint="eastAsia" w:ascii="仿宋" w:hAnsi="仿宋" w:eastAsia="仿宋" w:cs="仿宋"/>
          <w:sz w:val="32"/>
          <w:szCs w:val="32"/>
          <w:lang w:eastAsia="zh-CN"/>
        </w:rPr>
        <w:t>上年结转</w:t>
      </w:r>
      <w:r>
        <w:rPr>
          <w:rFonts w:hint="eastAsia" w:ascii="仿宋" w:hAnsi="仿宋" w:eastAsia="仿宋" w:cs="仿宋"/>
          <w:sz w:val="32"/>
          <w:szCs w:val="32"/>
          <w:lang w:val="en-US" w:eastAsia="zh-CN"/>
        </w:rPr>
        <w:t>0万元，</w:t>
      </w:r>
      <w:r>
        <w:rPr>
          <w:rFonts w:hint="eastAsia" w:ascii="仿宋" w:hAnsi="仿宋" w:eastAsia="仿宋" w:cs="仿宋"/>
          <w:sz w:val="32"/>
          <w:szCs w:val="32"/>
        </w:rPr>
        <w:t>执行数为</w:t>
      </w:r>
      <w:r>
        <w:rPr>
          <w:rFonts w:hint="eastAsia" w:ascii="仿宋" w:hAnsi="仿宋" w:eastAsia="仿宋" w:cs="仿宋"/>
          <w:color w:val="000000" w:themeColor="text1"/>
          <w:sz w:val="32"/>
          <w:szCs w:val="32"/>
          <w:lang w:val="en-US" w:eastAsia="zh-CN"/>
        </w:rPr>
        <w:t>10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w:t>
      </w:r>
      <w:r>
        <w:rPr>
          <w:rFonts w:hint="eastAsia" w:ascii="仿宋_GB2312" w:eastAsia="仿宋_GB2312"/>
          <w:sz w:val="32"/>
          <w:szCs w:val="32"/>
          <w:lang w:eastAsia="zh-CN"/>
        </w:rPr>
        <w:t>为符合条件的0—6岁和</w:t>
      </w:r>
      <w:r>
        <w:rPr>
          <w:rFonts w:hint="eastAsia" w:ascii="仿宋_GB2312" w:eastAsia="仿宋_GB2312"/>
          <w:sz w:val="32"/>
          <w:szCs w:val="32"/>
          <w:lang w:val="en-US" w:eastAsia="zh-CN"/>
        </w:rPr>
        <w:t>7岁以上</w:t>
      </w:r>
      <w:r>
        <w:rPr>
          <w:rFonts w:hint="eastAsia" w:ascii="仿宋_GB2312" w:eastAsia="仿宋_GB2312"/>
          <w:sz w:val="32"/>
          <w:szCs w:val="32"/>
          <w:lang w:eastAsia="zh-CN"/>
        </w:rPr>
        <w:t>残疾儿童提供人工耳蜗及助听器验配、肢体矫治手术、功能训练等基本康复服务，改善残疾儿童功能状况不断提高残疾儿童生活自理能力，增强社会参与；为早期干预试点地区有需求的小龄听力、肢体等残疾儿童提供亲子同训、家长培训等以家庭为中心的早期干预康复服务，改善残疾儿童功能状况，不断提高残疾儿童生活自理能力，增强社会参与。</w:t>
      </w:r>
    </w:p>
    <w:p w14:paraId="4624B366">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jc w:val="both"/>
        <w:textAlignment w:val="auto"/>
        <w:rPr>
          <w:rFonts w:hint="eastAsia" w:ascii="仿宋" w:hAnsi="仿宋" w:eastAsia="仿宋" w:cs="仿宋"/>
          <w:sz w:val="32"/>
          <w:szCs w:val="32"/>
        </w:rPr>
      </w:pPr>
      <w:r>
        <w:rPr>
          <w:rFonts w:hint="eastAsia" w:ascii="仿宋" w:hAnsi="仿宋" w:eastAsia="仿宋" w:cs="仿宋"/>
          <w:sz w:val="32"/>
          <w:szCs w:val="32"/>
        </w:rPr>
        <w:t>发现的主要问题：</w:t>
      </w:r>
      <w:r>
        <w:rPr>
          <w:rFonts w:hint="eastAsia" w:ascii="仿宋" w:hAnsi="仿宋" w:eastAsia="仿宋" w:cs="仿宋"/>
          <w:sz w:val="32"/>
          <w:szCs w:val="32"/>
          <w:lang w:eastAsia="zh-CN"/>
        </w:rPr>
        <w:t>无</w:t>
      </w:r>
      <w:r>
        <w:rPr>
          <w:rFonts w:hint="eastAsia" w:ascii="仿宋" w:hAnsi="仿宋" w:eastAsia="仿宋" w:cs="仿宋"/>
          <w:sz w:val="32"/>
          <w:szCs w:val="32"/>
        </w:rPr>
        <w:t>。</w:t>
      </w:r>
    </w:p>
    <w:p w14:paraId="3C70FF12">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下一步改进措施：</w:t>
      </w:r>
      <w:r>
        <w:rPr>
          <w:rFonts w:hint="eastAsia" w:ascii="仿宋" w:hAnsi="仿宋" w:eastAsia="仿宋" w:cs="仿宋"/>
          <w:sz w:val="32"/>
          <w:szCs w:val="32"/>
          <w:lang w:eastAsia="zh-CN"/>
        </w:rPr>
        <w:t>无</w:t>
      </w:r>
    </w:p>
    <w:p w14:paraId="6E69EF23">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）残疾人就业支出</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50.07</w:t>
      </w:r>
      <w:r>
        <w:rPr>
          <w:rFonts w:hint="eastAsia" w:ascii="仿宋" w:hAnsi="仿宋" w:eastAsia="仿宋" w:cs="仿宋"/>
          <w:sz w:val="32"/>
          <w:szCs w:val="32"/>
        </w:rPr>
        <w:t>万元，</w:t>
      </w:r>
      <w:r>
        <w:rPr>
          <w:rFonts w:hint="eastAsia" w:ascii="仿宋" w:hAnsi="仿宋" w:eastAsia="仿宋" w:cs="仿宋"/>
          <w:sz w:val="32"/>
          <w:szCs w:val="32"/>
          <w:lang w:eastAsia="zh-CN"/>
        </w:rPr>
        <w:t>上年结转</w:t>
      </w:r>
      <w:r>
        <w:rPr>
          <w:rFonts w:hint="eastAsia" w:ascii="仿宋" w:hAnsi="仿宋" w:eastAsia="仿宋" w:cs="仿宋"/>
          <w:sz w:val="32"/>
          <w:szCs w:val="32"/>
          <w:lang w:val="en-US" w:eastAsia="zh-CN"/>
        </w:rPr>
        <w:t>0万元，</w:t>
      </w:r>
      <w:r>
        <w:rPr>
          <w:rFonts w:hint="eastAsia" w:ascii="仿宋" w:hAnsi="仿宋" w:eastAsia="仿宋" w:cs="仿宋"/>
          <w:sz w:val="32"/>
          <w:szCs w:val="32"/>
        </w:rPr>
        <w:t>执行数为</w:t>
      </w:r>
      <w:r>
        <w:rPr>
          <w:rFonts w:hint="eastAsia" w:ascii="仿宋" w:hAnsi="仿宋" w:eastAsia="仿宋" w:cs="仿宋"/>
          <w:sz w:val="32"/>
          <w:szCs w:val="32"/>
          <w:lang w:val="en-US" w:eastAsia="zh-CN"/>
        </w:rPr>
        <w:t>50.07</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%。通过项目实施，保障</w:t>
      </w:r>
      <w:r>
        <w:rPr>
          <w:rFonts w:hint="eastAsia" w:ascii="仿宋" w:hAnsi="仿宋" w:eastAsia="仿宋" w:cs="仿宋"/>
          <w:sz w:val="32"/>
          <w:szCs w:val="32"/>
          <w:lang w:eastAsia="zh-CN"/>
        </w:rPr>
        <w:t>全面支持和落实好残疾人就业等扶持政策，健全残疾人权益保障制度和扶残助残服务体系，提升残疾人基本公共服务保障水平。目标1：通过开展残疾人居家灵活就业项目帮助残疾人实现居家灵活就业，鼓励、扶持、带动更多残疾人更好地实现就业（创业），提高残疾人就业保障金使用绩效。</w:t>
      </w:r>
    </w:p>
    <w:p w14:paraId="382900BB">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jc w:val="both"/>
        <w:textAlignment w:val="auto"/>
        <w:rPr>
          <w:rFonts w:hint="eastAsia" w:ascii="仿宋" w:hAnsi="仿宋" w:eastAsia="仿宋" w:cs="仿宋"/>
          <w:sz w:val="32"/>
          <w:szCs w:val="32"/>
        </w:rPr>
      </w:pPr>
      <w:r>
        <w:rPr>
          <w:rFonts w:hint="eastAsia" w:ascii="仿宋" w:hAnsi="仿宋" w:eastAsia="仿宋" w:cs="仿宋"/>
          <w:sz w:val="32"/>
          <w:szCs w:val="32"/>
        </w:rPr>
        <w:t>发现的主要问题：</w:t>
      </w:r>
      <w:r>
        <w:rPr>
          <w:rFonts w:hint="eastAsia" w:ascii="仿宋" w:hAnsi="仿宋" w:eastAsia="仿宋" w:cs="仿宋"/>
          <w:sz w:val="32"/>
          <w:szCs w:val="32"/>
          <w:lang w:eastAsia="zh-CN"/>
        </w:rPr>
        <w:t>无</w:t>
      </w:r>
      <w:r>
        <w:rPr>
          <w:rFonts w:hint="eastAsia" w:ascii="仿宋" w:hAnsi="仿宋" w:eastAsia="仿宋" w:cs="仿宋"/>
          <w:sz w:val="32"/>
          <w:szCs w:val="32"/>
        </w:rPr>
        <w:t>。</w:t>
      </w:r>
    </w:p>
    <w:p w14:paraId="5455B4B7">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下一步改进措施：</w:t>
      </w:r>
      <w:r>
        <w:rPr>
          <w:rFonts w:hint="eastAsia" w:ascii="仿宋" w:hAnsi="仿宋" w:eastAsia="仿宋" w:cs="仿宋"/>
          <w:sz w:val="32"/>
          <w:szCs w:val="32"/>
          <w:lang w:eastAsia="zh-CN"/>
        </w:rPr>
        <w:t>无</w:t>
      </w:r>
    </w:p>
    <w:p w14:paraId="5EA45D6A">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）教育支出</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10.8</w:t>
      </w:r>
      <w:r>
        <w:rPr>
          <w:rFonts w:hint="eastAsia" w:ascii="仿宋" w:hAnsi="仿宋" w:eastAsia="仿宋" w:cs="仿宋"/>
          <w:sz w:val="32"/>
          <w:szCs w:val="32"/>
        </w:rPr>
        <w:t>万元，</w:t>
      </w:r>
      <w:r>
        <w:rPr>
          <w:rFonts w:hint="eastAsia" w:ascii="仿宋" w:hAnsi="仿宋" w:eastAsia="仿宋" w:cs="仿宋"/>
          <w:sz w:val="32"/>
          <w:szCs w:val="32"/>
          <w:lang w:eastAsia="zh-CN"/>
        </w:rPr>
        <w:t>上年结转</w:t>
      </w:r>
      <w:r>
        <w:rPr>
          <w:rFonts w:hint="eastAsia" w:ascii="仿宋" w:hAnsi="仿宋" w:eastAsia="仿宋" w:cs="仿宋"/>
          <w:sz w:val="32"/>
          <w:szCs w:val="32"/>
          <w:lang w:val="en-US" w:eastAsia="zh-CN"/>
        </w:rPr>
        <w:t>0万元，</w:t>
      </w:r>
      <w:r>
        <w:rPr>
          <w:rFonts w:hint="eastAsia" w:ascii="仿宋" w:hAnsi="仿宋" w:eastAsia="仿宋" w:cs="仿宋"/>
          <w:sz w:val="32"/>
          <w:szCs w:val="32"/>
        </w:rPr>
        <w:t>执行数为</w:t>
      </w:r>
      <w:r>
        <w:rPr>
          <w:rFonts w:hint="eastAsia" w:ascii="仿宋" w:hAnsi="仿宋" w:eastAsia="仿宋" w:cs="仿宋"/>
          <w:sz w:val="32"/>
          <w:szCs w:val="32"/>
          <w:lang w:val="en-US" w:eastAsia="zh-CN"/>
        </w:rPr>
        <w:t>10.8</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w:t>
      </w:r>
      <w:bookmarkStart w:id="146" w:name="OLE_LINK12"/>
      <w:r>
        <w:rPr>
          <w:rFonts w:hint="eastAsia" w:ascii="仿宋" w:hAnsi="仿宋" w:eastAsia="仿宋" w:cs="仿宋"/>
          <w:sz w:val="32"/>
          <w:szCs w:val="32"/>
        </w:rPr>
        <w:t>保障</w:t>
      </w:r>
      <w:r>
        <w:rPr>
          <w:rFonts w:hint="eastAsia" w:ascii="仿宋" w:hAnsi="仿宋" w:eastAsia="仿宋" w:cs="仿宋"/>
          <w:sz w:val="32"/>
          <w:szCs w:val="32"/>
          <w:lang w:eastAsia="zh-CN"/>
        </w:rPr>
        <w:t>全面支持落实好残疾人教育扶持政策，健全残疾人权益保障制度和扶残助残服务体系，提升残疾人教育事业。目标1：通过开展“净土阿坝、自强助学”活动体现了关心关爱残疾人，帮助他们完成学业走出困境。</w:t>
      </w:r>
    </w:p>
    <w:bookmarkEnd w:id="146"/>
    <w:p w14:paraId="10A58CB5">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jc w:val="both"/>
        <w:textAlignment w:val="auto"/>
        <w:rPr>
          <w:rFonts w:hint="eastAsia" w:ascii="仿宋" w:hAnsi="仿宋" w:eastAsia="仿宋" w:cs="仿宋"/>
          <w:sz w:val="32"/>
          <w:szCs w:val="32"/>
        </w:rPr>
      </w:pPr>
      <w:r>
        <w:rPr>
          <w:rFonts w:hint="eastAsia" w:ascii="仿宋" w:hAnsi="仿宋" w:eastAsia="仿宋" w:cs="仿宋"/>
          <w:sz w:val="32"/>
          <w:szCs w:val="32"/>
        </w:rPr>
        <w:t>发现的主要问题：</w:t>
      </w:r>
      <w:r>
        <w:rPr>
          <w:rFonts w:hint="eastAsia" w:ascii="仿宋" w:hAnsi="仿宋" w:eastAsia="仿宋" w:cs="仿宋"/>
          <w:sz w:val="32"/>
          <w:szCs w:val="32"/>
          <w:lang w:eastAsia="zh-CN"/>
        </w:rPr>
        <w:t>无</w:t>
      </w:r>
      <w:r>
        <w:rPr>
          <w:rFonts w:hint="eastAsia" w:ascii="仿宋" w:hAnsi="仿宋" w:eastAsia="仿宋" w:cs="仿宋"/>
          <w:sz w:val="32"/>
          <w:szCs w:val="32"/>
        </w:rPr>
        <w:t>。</w:t>
      </w:r>
    </w:p>
    <w:p w14:paraId="282B43B0">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rPr>
      </w:pPr>
      <w:r>
        <w:rPr>
          <w:rFonts w:hint="eastAsia" w:ascii="仿宋" w:hAnsi="仿宋" w:eastAsia="仿宋" w:cs="仿宋"/>
          <w:sz w:val="32"/>
          <w:szCs w:val="32"/>
        </w:rPr>
        <w:t>下一步改进措施：</w:t>
      </w:r>
      <w:r>
        <w:rPr>
          <w:rFonts w:hint="eastAsia" w:ascii="仿宋" w:hAnsi="仿宋" w:eastAsia="仿宋" w:cs="仿宋"/>
          <w:sz w:val="32"/>
          <w:szCs w:val="32"/>
          <w:lang w:eastAsia="zh-CN"/>
        </w:rPr>
        <w:t>无</w:t>
      </w:r>
    </w:p>
    <w:p w14:paraId="020C8C97">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bookmarkStart w:id="147" w:name="OLE_LINK11"/>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）其他残疾人事业支出、其他社会保障和就业支出</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179.91</w:t>
      </w:r>
      <w:r>
        <w:rPr>
          <w:rFonts w:hint="eastAsia" w:ascii="仿宋" w:hAnsi="仿宋" w:eastAsia="仿宋" w:cs="仿宋"/>
          <w:sz w:val="32"/>
          <w:szCs w:val="32"/>
        </w:rPr>
        <w:t>万元，</w:t>
      </w:r>
      <w:r>
        <w:rPr>
          <w:rFonts w:hint="eastAsia" w:ascii="仿宋" w:hAnsi="仿宋" w:eastAsia="仿宋" w:cs="仿宋"/>
          <w:sz w:val="32"/>
          <w:szCs w:val="32"/>
          <w:lang w:eastAsia="zh-CN"/>
        </w:rPr>
        <w:t>上年结转</w:t>
      </w:r>
      <w:r>
        <w:rPr>
          <w:rFonts w:hint="eastAsia" w:ascii="仿宋" w:hAnsi="仿宋" w:eastAsia="仿宋" w:cs="仿宋"/>
          <w:sz w:val="32"/>
          <w:szCs w:val="32"/>
          <w:lang w:val="en-US" w:eastAsia="zh-CN"/>
        </w:rPr>
        <w:t>0万元，</w:t>
      </w:r>
      <w:r>
        <w:rPr>
          <w:rFonts w:hint="eastAsia" w:ascii="仿宋" w:hAnsi="仿宋" w:eastAsia="仿宋" w:cs="仿宋"/>
          <w:sz w:val="32"/>
          <w:szCs w:val="32"/>
        </w:rPr>
        <w:t>执行数为</w:t>
      </w:r>
      <w:r>
        <w:rPr>
          <w:rFonts w:hint="eastAsia" w:ascii="仿宋" w:hAnsi="仿宋" w:eastAsia="仿宋" w:cs="仿宋"/>
          <w:sz w:val="32"/>
          <w:szCs w:val="32"/>
          <w:lang w:val="en-US" w:eastAsia="zh-CN"/>
        </w:rPr>
        <w:t>179.91</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%。通过项目实施，保障</w:t>
      </w:r>
      <w:r>
        <w:rPr>
          <w:rFonts w:hint="eastAsia" w:ascii="仿宋" w:hAnsi="仿宋" w:eastAsia="仿宋" w:cs="仿宋"/>
          <w:sz w:val="32"/>
          <w:szCs w:val="32"/>
          <w:lang w:eastAsia="zh-CN"/>
        </w:rPr>
        <w:t>全面支持和落实好残疾人就业、医疗康复、社会保障等扶持政策，健全残疾人权益保障制度和扶残助残服务体系，提升残疾人基本公共服务保障水平。目标1：通过开展残疾人居家灵活就业项目帮助残疾人实现居家灵活就业，鼓励、扶持、带动更多残疾人更好地实现就业（创业），提高残疾人就业保障金使用绩效。目标</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：通过“阳光家园计划”项目年度工作的实施，帮助残疾人得到托养照料；目标</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：为残疾人机动轮椅车车主发放燃油补贴，弥补残疾人出行成本。</w:t>
      </w:r>
    </w:p>
    <w:p w14:paraId="506BD745">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jc w:val="both"/>
        <w:textAlignment w:val="auto"/>
        <w:rPr>
          <w:rFonts w:hint="eastAsia" w:ascii="仿宋" w:hAnsi="仿宋" w:eastAsia="仿宋" w:cs="仿宋"/>
          <w:sz w:val="32"/>
          <w:szCs w:val="32"/>
        </w:rPr>
      </w:pPr>
      <w:r>
        <w:rPr>
          <w:rFonts w:hint="eastAsia" w:ascii="仿宋" w:hAnsi="仿宋" w:eastAsia="仿宋" w:cs="仿宋"/>
          <w:sz w:val="32"/>
          <w:szCs w:val="32"/>
        </w:rPr>
        <w:t>发现的主要问题：</w:t>
      </w:r>
      <w:r>
        <w:rPr>
          <w:rFonts w:hint="eastAsia" w:ascii="仿宋" w:hAnsi="仿宋" w:eastAsia="仿宋" w:cs="仿宋"/>
          <w:sz w:val="32"/>
          <w:szCs w:val="32"/>
          <w:lang w:eastAsia="zh-CN"/>
        </w:rPr>
        <w:t>无</w:t>
      </w:r>
      <w:r>
        <w:rPr>
          <w:rFonts w:hint="eastAsia" w:ascii="仿宋" w:hAnsi="仿宋" w:eastAsia="仿宋" w:cs="仿宋"/>
          <w:sz w:val="32"/>
          <w:szCs w:val="32"/>
        </w:rPr>
        <w:t>。</w:t>
      </w:r>
    </w:p>
    <w:p w14:paraId="1D2364E1">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firstLine="320" w:firstLineChars="1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下一步改进措施：</w:t>
      </w:r>
      <w:r>
        <w:rPr>
          <w:rFonts w:hint="eastAsia" w:ascii="仿宋" w:hAnsi="仿宋" w:eastAsia="仿宋" w:cs="仿宋"/>
          <w:sz w:val="32"/>
          <w:szCs w:val="32"/>
          <w:lang w:eastAsia="zh-CN"/>
        </w:rPr>
        <w:t>无</w:t>
      </w:r>
      <w:bookmarkEnd w:id="147"/>
    </w:p>
    <w:p w14:paraId="37F0DE49">
      <w:pPr>
        <w:pStyle w:val="2"/>
        <w:rPr>
          <w:rFonts w:hint="eastAsia" w:ascii="仿宋" w:hAnsi="仿宋" w:eastAsia="仿宋" w:cs="仿宋"/>
          <w:sz w:val="32"/>
          <w:szCs w:val="32"/>
          <w:lang w:eastAsia="zh-CN"/>
        </w:rPr>
      </w:pPr>
    </w:p>
    <w:p w14:paraId="25A4F91B">
      <w:pPr>
        <w:pStyle w:val="2"/>
        <w:rPr>
          <w:rFonts w:hint="eastAsia" w:ascii="仿宋" w:hAnsi="仿宋" w:eastAsia="仿宋" w:cs="仿宋"/>
          <w:sz w:val="32"/>
          <w:szCs w:val="32"/>
          <w:lang w:eastAsia="zh-CN"/>
        </w:rPr>
      </w:pPr>
    </w:p>
    <w:p w14:paraId="2AFC72B6">
      <w:pPr>
        <w:pStyle w:val="2"/>
        <w:rPr>
          <w:rFonts w:hint="eastAsia" w:ascii="仿宋" w:hAnsi="仿宋" w:eastAsia="仿宋" w:cs="仿宋"/>
          <w:sz w:val="32"/>
          <w:szCs w:val="32"/>
          <w:lang w:eastAsia="zh-CN"/>
        </w:rPr>
      </w:pPr>
    </w:p>
    <w:p w14:paraId="04CE6DC3">
      <w:pPr>
        <w:pStyle w:val="2"/>
        <w:rPr>
          <w:rFonts w:hint="eastAsia" w:ascii="仿宋" w:hAnsi="仿宋" w:eastAsia="仿宋" w:cs="仿宋"/>
          <w:sz w:val="32"/>
          <w:szCs w:val="32"/>
          <w:lang w:eastAsia="zh-CN"/>
        </w:rPr>
      </w:pPr>
    </w:p>
    <w:p w14:paraId="4D6BD04A">
      <w:pPr>
        <w:pStyle w:val="2"/>
        <w:rPr>
          <w:rFonts w:hint="eastAsia" w:ascii="仿宋" w:hAnsi="仿宋" w:eastAsia="仿宋" w:cs="仿宋"/>
          <w:sz w:val="32"/>
          <w:szCs w:val="32"/>
          <w:lang w:eastAsia="zh-CN"/>
        </w:rPr>
      </w:pPr>
    </w:p>
    <w:p w14:paraId="459083DD">
      <w:pPr>
        <w:pStyle w:val="2"/>
        <w:rPr>
          <w:rFonts w:hint="eastAsia" w:ascii="仿宋" w:hAnsi="仿宋" w:eastAsia="仿宋" w:cs="仿宋"/>
          <w:sz w:val="32"/>
          <w:szCs w:val="32"/>
          <w:lang w:eastAsia="zh-CN"/>
        </w:rPr>
      </w:pPr>
    </w:p>
    <w:p w14:paraId="287D27DD">
      <w:pPr>
        <w:pStyle w:val="2"/>
        <w:rPr>
          <w:rFonts w:hint="eastAsia" w:ascii="仿宋" w:hAnsi="仿宋" w:eastAsia="仿宋" w:cs="仿宋"/>
          <w:sz w:val="32"/>
          <w:szCs w:val="32"/>
          <w:lang w:eastAsia="zh-CN"/>
        </w:rPr>
      </w:pPr>
    </w:p>
    <w:p w14:paraId="1E814296">
      <w:pPr>
        <w:pStyle w:val="2"/>
        <w:rPr>
          <w:rFonts w:hint="eastAsia" w:ascii="仿宋" w:hAnsi="仿宋" w:eastAsia="仿宋" w:cs="仿宋"/>
          <w:sz w:val="32"/>
          <w:szCs w:val="32"/>
          <w:lang w:eastAsia="zh-CN"/>
        </w:rPr>
      </w:pPr>
    </w:p>
    <w:p w14:paraId="2C4286B9">
      <w:pPr>
        <w:pStyle w:val="2"/>
        <w:rPr>
          <w:rFonts w:hint="eastAsia" w:ascii="仿宋" w:hAnsi="仿宋" w:eastAsia="仿宋" w:cs="仿宋"/>
          <w:sz w:val="32"/>
          <w:szCs w:val="32"/>
          <w:lang w:eastAsia="zh-CN"/>
        </w:rPr>
      </w:pPr>
    </w:p>
    <w:p w14:paraId="5642FAF5">
      <w:pPr>
        <w:pStyle w:val="2"/>
        <w:rPr>
          <w:rFonts w:hint="eastAsia" w:ascii="仿宋" w:hAnsi="仿宋" w:eastAsia="仿宋" w:cs="仿宋"/>
          <w:sz w:val="32"/>
          <w:szCs w:val="32"/>
          <w:lang w:eastAsia="zh-CN"/>
        </w:rPr>
      </w:pPr>
    </w:p>
    <w:p w14:paraId="5C95550F">
      <w:pPr>
        <w:pStyle w:val="2"/>
        <w:rPr>
          <w:rFonts w:hint="eastAsia" w:ascii="仿宋" w:hAnsi="仿宋" w:eastAsia="仿宋" w:cs="仿宋"/>
          <w:sz w:val="32"/>
          <w:szCs w:val="32"/>
          <w:lang w:eastAsia="zh-CN"/>
        </w:rPr>
      </w:pPr>
    </w:p>
    <w:p w14:paraId="576C3F3C">
      <w:pPr>
        <w:pStyle w:val="2"/>
        <w:rPr>
          <w:rFonts w:hint="eastAsia" w:ascii="仿宋" w:hAnsi="仿宋" w:eastAsia="仿宋" w:cs="仿宋"/>
          <w:sz w:val="32"/>
          <w:szCs w:val="32"/>
          <w:lang w:eastAsia="zh-CN"/>
        </w:rPr>
      </w:pPr>
    </w:p>
    <w:p w14:paraId="73D2FDFC">
      <w:pPr>
        <w:pStyle w:val="2"/>
        <w:rPr>
          <w:rFonts w:hint="eastAsia" w:ascii="仿宋" w:hAnsi="仿宋" w:eastAsia="仿宋" w:cs="仿宋"/>
          <w:sz w:val="32"/>
          <w:szCs w:val="32"/>
          <w:lang w:eastAsia="zh-CN"/>
        </w:rPr>
      </w:pPr>
    </w:p>
    <w:p w14:paraId="4660FC0C">
      <w:pPr>
        <w:pStyle w:val="2"/>
        <w:rPr>
          <w:rFonts w:hint="eastAsia" w:ascii="仿宋" w:hAnsi="仿宋" w:eastAsia="仿宋" w:cs="仿宋"/>
          <w:sz w:val="32"/>
          <w:szCs w:val="32"/>
          <w:lang w:eastAsia="zh-CN"/>
        </w:rPr>
      </w:pPr>
    </w:p>
    <w:p w14:paraId="6C26B00F">
      <w:pPr>
        <w:pStyle w:val="2"/>
        <w:rPr>
          <w:rFonts w:hint="eastAsia" w:ascii="仿宋" w:hAnsi="仿宋" w:eastAsia="仿宋" w:cs="仿宋"/>
          <w:sz w:val="32"/>
          <w:szCs w:val="32"/>
          <w:lang w:eastAsia="zh-CN"/>
        </w:rPr>
      </w:pPr>
    </w:p>
    <w:p w14:paraId="65B07CD3">
      <w:pPr>
        <w:pStyle w:val="2"/>
        <w:rPr>
          <w:rFonts w:hint="eastAsia" w:ascii="仿宋" w:hAnsi="仿宋" w:eastAsia="仿宋" w:cs="仿宋"/>
          <w:sz w:val="32"/>
          <w:szCs w:val="32"/>
          <w:lang w:eastAsia="zh-CN"/>
        </w:rPr>
      </w:pPr>
    </w:p>
    <w:p w14:paraId="62E75C04">
      <w:pPr>
        <w:pStyle w:val="2"/>
        <w:rPr>
          <w:rFonts w:hint="eastAsia" w:ascii="仿宋" w:hAnsi="仿宋" w:eastAsia="仿宋" w:cs="仿宋"/>
          <w:sz w:val="32"/>
          <w:szCs w:val="32"/>
          <w:lang w:eastAsia="zh-CN"/>
        </w:rPr>
      </w:pPr>
    </w:p>
    <w:p w14:paraId="587F9ACE">
      <w:pPr>
        <w:pStyle w:val="2"/>
        <w:rPr>
          <w:rFonts w:hint="eastAsia" w:ascii="仿宋" w:hAnsi="仿宋" w:eastAsia="仿宋" w:cs="仿宋"/>
          <w:sz w:val="32"/>
          <w:szCs w:val="32"/>
          <w:lang w:eastAsia="zh-CN"/>
        </w:rPr>
      </w:pPr>
    </w:p>
    <w:p w14:paraId="672C1859">
      <w:pPr>
        <w:pStyle w:val="2"/>
        <w:rPr>
          <w:rFonts w:hint="eastAsia" w:ascii="仿宋" w:hAnsi="仿宋" w:eastAsia="仿宋" w:cs="仿宋"/>
          <w:sz w:val="32"/>
          <w:szCs w:val="32"/>
          <w:lang w:eastAsia="zh-CN"/>
        </w:rPr>
      </w:pPr>
    </w:p>
    <w:p w14:paraId="5F963AAE">
      <w:pPr>
        <w:pStyle w:val="2"/>
        <w:rPr>
          <w:rFonts w:hint="eastAsia" w:ascii="仿宋" w:hAnsi="仿宋" w:eastAsia="仿宋" w:cs="仿宋"/>
          <w:sz w:val="32"/>
          <w:szCs w:val="32"/>
          <w:lang w:eastAsia="zh-CN"/>
        </w:rPr>
      </w:pPr>
    </w:p>
    <w:p w14:paraId="467B3379">
      <w:pPr>
        <w:pStyle w:val="2"/>
        <w:rPr>
          <w:rFonts w:hint="eastAsia" w:ascii="仿宋" w:hAnsi="仿宋" w:eastAsia="仿宋" w:cs="仿宋"/>
          <w:sz w:val="32"/>
          <w:szCs w:val="32"/>
          <w:lang w:eastAsia="zh-CN"/>
        </w:rPr>
      </w:pPr>
    </w:p>
    <w:p w14:paraId="6C75BC73">
      <w:pPr>
        <w:pStyle w:val="2"/>
        <w:rPr>
          <w:rFonts w:hint="eastAsia" w:ascii="仿宋" w:hAnsi="仿宋" w:eastAsia="仿宋" w:cs="仿宋"/>
          <w:sz w:val="32"/>
          <w:szCs w:val="32"/>
          <w:lang w:eastAsia="zh-CN"/>
        </w:rPr>
      </w:pPr>
    </w:p>
    <w:p w14:paraId="00122EF6">
      <w:pPr>
        <w:pStyle w:val="2"/>
        <w:rPr>
          <w:rFonts w:hint="eastAsia" w:ascii="仿宋" w:hAnsi="仿宋" w:eastAsia="仿宋" w:cs="仿宋"/>
          <w:sz w:val="32"/>
          <w:szCs w:val="32"/>
          <w:lang w:eastAsia="zh-CN"/>
        </w:rPr>
      </w:pPr>
    </w:p>
    <w:p w14:paraId="104A9471">
      <w:pPr>
        <w:pStyle w:val="2"/>
        <w:rPr>
          <w:rFonts w:hint="eastAsia" w:ascii="仿宋" w:hAnsi="仿宋" w:eastAsia="仿宋" w:cs="仿宋"/>
          <w:sz w:val="32"/>
          <w:szCs w:val="32"/>
          <w:lang w:eastAsia="zh-CN"/>
        </w:rPr>
      </w:pPr>
    </w:p>
    <w:p w14:paraId="7DF72D31">
      <w:pPr>
        <w:pStyle w:val="2"/>
        <w:rPr>
          <w:rFonts w:hint="eastAsia" w:ascii="仿宋" w:hAnsi="仿宋" w:eastAsia="仿宋" w:cs="仿宋"/>
          <w:sz w:val="32"/>
          <w:szCs w:val="32"/>
          <w:lang w:eastAsia="zh-CN"/>
        </w:rPr>
      </w:pPr>
    </w:p>
    <w:p w14:paraId="0162E457">
      <w:pPr>
        <w:pStyle w:val="2"/>
        <w:rPr>
          <w:rFonts w:hint="eastAsia" w:ascii="仿宋" w:hAnsi="仿宋" w:eastAsia="仿宋" w:cs="仿宋"/>
          <w:sz w:val="32"/>
          <w:szCs w:val="32"/>
          <w:lang w:eastAsia="zh-CN"/>
        </w:rPr>
      </w:pPr>
    </w:p>
    <w:p w14:paraId="25E7323D">
      <w:pPr>
        <w:pStyle w:val="2"/>
      </w:pPr>
    </w:p>
    <w:p w14:paraId="30FC9B4D">
      <w:pPr>
        <w:pStyle w:val="3"/>
        <w:numPr>
          <w:ilvl w:val="0"/>
          <w:numId w:val="3"/>
        </w:numPr>
        <w:bidi w:val="0"/>
        <w:jc w:val="center"/>
      </w:pPr>
      <w:bookmarkStart w:id="148" w:name="_Toc79163629"/>
      <w:bookmarkStart w:id="149" w:name="_Toc79163879"/>
      <w:bookmarkStart w:id="150" w:name="_Toc15377225"/>
      <w:bookmarkStart w:id="151" w:name="_Toc15396613"/>
      <w:bookmarkStart w:id="152" w:name="_Toc29966"/>
      <w:bookmarkStart w:id="153" w:name="_Toc7132"/>
      <w:r>
        <w:rPr>
          <w:rFonts w:hint="eastAsia"/>
        </w:rPr>
        <w:t>名词解释</w:t>
      </w:r>
      <w:bookmarkEnd w:id="148"/>
      <w:bookmarkEnd w:id="149"/>
      <w:bookmarkEnd w:id="150"/>
      <w:bookmarkEnd w:id="151"/>
      <w:bookmarkEnd w:id="152"/>
      <w:bookmarkEnd w:id="153"/>
    </w:p>
    <w:p w14:paraId="635F3155">
      <w:pPr>
        <w:spacing w:line="576" w:lineRule="exact"/>
        <w:rPr>
          <w:rFonts w:ascii="仿宋" w:hAnsi="仿宋" w:eastAsia="仿宋" w:cs="仿宋"/>
          <w:b w:val="0"/>
          <w:bCs w:val="0"/>
          <w:sz w:val="32"/>
          <w:szCs w:val="32"/>
        </w:rPr>
      </w:pPr>
      <w:r>
        <w:rPr>
          <w:rFonts w:ascii="仿宋" w:hAnsi="仿宋" w:eastAsia="仿宋" w:cs="仿宋"/>
          <w:b w:val="0"/>
          <w:bCs w:val="0"/>
          <w:sz w:val="32"/>
          <w:szCs w:val="32"/>
        </w:rPr>
        <w:t>1.</w:t>
      </w:r>
      <w:r>
        <w:rPr>
          <w:rFonts w:hint="eastAsia" w:ascii="仿宋" w:hAnsi="仿宋" w:eastAsia="仿宋" w:cs="仿宋"/>
          <w:b w:val="0"/>
          <w:bCs w:val="0"/>
          <w:sz w:val="32"/>
          <w:szCs w:val="32"/>
        </w:rPr>
        <w:t>财政拨款收入：指县级财政当年拨付的资金。</w:t>
      </w:r>
    </w:p>
    <w:p w14:paraId="62C7D695">
      <w:pPr>
        <w:spacing w:line="576" w:lineRule="exact"/>
        <w:rPr>
          <w:rFonts w:ascii="仿宋" w:hAnsi="仿宋" w:eastAsia="仿宋" w:cs="仿宋"/>
          <w:b w:val="0"/>
          <w:bCs w:val="0"/>
          <w:sz w:val="32"/>
          <w:szCs w:val="32"/>
        </w:rPr>
      </w:pPr>
      <w:r>
        <w:rPr>
          <w:rFonts w:ascii="仿宋" w:hAnsi="仿宋" w:eastAsia="仿宋" w:cs="仿宋"/>
          <w:b w:val="0"/>
          <w:bCs w:val="0"/>
          <w:sz w:val="32"/>
          <w:szCs w:val="32"/>
        </w:rPr>
        <w:t>2.</w:t>
      </w:r>
      <w:r>
        <w:rPr>
          <w:rFonts w:hint="eastAsia" w:ascii="仿宋" w:hAnsi="仿宋" w:eastAsia="仿宋" w:cs="仿宋"/>
          <w:b w:val="0"/>
          <w:bCs w:val="0"/>
          <w:sz w:val="32"/>
          <w:szCs w:val="32"/>
        </w:rPr>
        <w:t>年初结转和结余：指以前年度尚未完成、结转到本年按有关规定继续使用的资金。</w:t>
      </w:r>
      <w:r>
        <w:rPr>
          <w:rFonts w:ascii="仿宋" w:hAnsi="仿宋" w:eastAsia="仿宋" w:cs="仿宋"/>
          <w:b w:val="0"/>
          <w:bCs w:val="0"/>
          <w:sz w:val="32"/>
          <w:szCs w:val="32"/>
        </w:rPr>
        <w:t xml:space="preserve"> </w:t>
      </w:r>
    </w:p>
    <w:p w14:paraId="10B4D8C0">
      <w:pPr>
        <w:spacing w:line="576" w:lineRule="exact"/>
        <w:rPr>
          <w:rFonts w:ascii="仿宋" w:hAnsi="仿宋" w:eastAsia="仿宋" w:cs="Times New Roman"/>
          <w:b w:val="0"/>
          <w:bCs w:val="0"/>
          <w:sz w:val="32"/>
          <w:szCs w:val="32"/>
        </w:rPr>
      </w:pPr>
      <w:r>
        <w:rPr>
          <w:rFonts w:ascii="仿宋" w:hAnsi="仿宋" w:eastAsia="仿宋" w:cs="仿宋"/>
          <w:b w:val="0"/>
          <w:bCs w:val="0"/>
          <w:sz w:val="32"/>
          <w:szCs w:val="32"/>
        </w:rPr>
        <w:t>3.</w:t>
      </w:r>
      <w:r>
        <w:rPr>
          <w:rFonts w:hint="eastAsia" w:ascii="仿宋" w:hAnsi="仿宋" w:eastAsia="仿宋" w:cs="仿宋"/>
          <w:b w:val="0"/>
          <w:bCs w:val="0"/>
          <w:sz w:val="32"/>
          <w:szCs w:val="32"/>
        </w:rPr>
        <w:t>社会保障和就业</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指</w:t>
      </w:r>
      <w:r>
        <w:rPr>
          <w:rFonts w:hint="eastAsia" w:ascii="仿宋" w:hAnsi="仿宋" w:eastAsia="仿宋" w:cs="仿宋"/>
          <w:b w:val="0"/>
          <w:bCs w:val="0"/>
          <w:sz w:val="32"/>
          <w:szCs w:val="32"/>
          <w:lang w:eastAsia="zh-CN"/>
        </w:rPr>
        <w:t>民政管理事务行政运行，</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05</w:t>
      </w:r>
      <w:r>
        <w:rPr>
          <w:rFonts w:hint="eastAsia" w:ascii="仿宋" w:hAnsi="仿宋" w:eastAsia="仿宋" w:cs="仿宋"/>
          <w:b w:val="0"/>
          <w:bCs w:val="0"/>
          <w:sz w:val="32"/>
          <w:szCs w:val="32"/>
        </w:rPr>
        <w:t>（项）</w:t>
      </w:r>
      <w:r>
        <w:rPr>
          <w:rFonts w:ascii="仿宋" w:hAnsi="仿宋" w:eastAsia="仿宋" w:cs="仿宋"/>
          <w:b w:val="0"/>
          <w:bCs w:val="0"/>
          <w:sz w:val="32"/>
          <w:szCs w:val="32"/>
        </w:rPr>
        <w:t>05</w:t>
      </w:r>
      <w:r>
        <w:rPr>
          <w:rFonts w:hint="eastAsia" w:ascii="仿宋" w:hAnsi="仿宋" w:eastAsia="仿宋" w:cs="仿宋"/>
          <w:b w:val="0"/>
          <w:bCs w:val="0"/>
          <w:sz w:val="32"/>
          <w:szCs w:val="32"/>
        </w:rPr>
        <w:t>指机关事业单位基本养老保险</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01</w:t>
      </w:r>
      <w:r>
        <w:rPr>
          <w:rFonts w:hint="eastAsia" w:ascii="仿宋" w:hAnsi="仿宋" w:eastAsia="仿宋" w:cs="仿宋"/>
          <w:b w:val="0"/>
          <w:bCs w:val="0"/>
          <w:sz w:val="32"/>
          <w:szCs w:val="32"/>
        </w:rPr>
        <w:t>指行政运行。（类）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指</w:t>
      </w:r>
      <w:r>
        <w:rPr>
          <w:rFonts w:hint="eastAsia" w:ascii="仿宋" w:hAnsi="仿宋" w:eastAsia="仿宋" w:cs="仿宋"/>
          <w:b w:val="0"/>
          <w:bCs w:val="0"/>
          <w:sz w:val="32"/>
          <w:szCs w:val="32"/>
          <w:lang w:eastAsia="zh-CN"/>
        </w:rPr>
        <w:t>一般行政管理事务，</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04</w:t>
      </w:r>
      <w:r>
        <w:rPr>
          <w:rFonts w:hint="eastAsia" w:ascii="仿宋" w:hAnsi="仿宋" w:eastAsia="仿宋" w:cs="仿宋"/>
          <w:b w:val="0"/>
          <w:bCs w:val="0"/>
          <w:sz w:val="32"/>
          <w:szCs w:val="32"/>
        </w:rPr>
        <w:t>指残疾人康复</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05</w:t>
      </w:r>
      <w:r>
        <w:rPr>
          <w:rFonts w:hint="eastAsia" w:ascii="仿宋" w:hAnsi="仿宋" w:eastAsia="仿宋" w:cs="仿宋"/>
          <w:b w:val="0"/>
          <w:bCs w:val="0"/>
          <w:sz w:val="32"/>
          <w:szCs w:val="32"/>
        </w:rPr>
        <w:t>指残疾人就业和扶贫</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指残疾人体育</w:t>
      </w:r>
      <w:r>
        <w:rPr>
          <w:rFonts w:hint="eastAsia" w:ascii="仿宋" w:hAnsi="仿宋" w:eastAsia="仿宋" w:cs="仿宋"/>
          <w:b w:val="0"/>
          <w:bCs w:val="0"/>
          <w:sz w:val="32"/>
          <w:szCs w:val="32"/>
          <w:lang w:eastAsia="zh-CN"/>
        </w:rPr>
        <w:t>，</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指残疾人生活和护理补贴</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208</w:t>
      </w:r>
      <w:r>
        <w:rPr>
          <w:rFonts w:hint="eastAsia" w:ascii="仿宋" w:hAnsi="仿宋" w:eastAsia="仿宋" w:cs="仿宋"/>
          <w:b w:val="0"/>
          <w:bCs w:val="0"/>
          <w:sz w:val="32"/>
          <w:szCs w:val="32"/>
        </w:rPr>
        <w:t>（款）</w:t>
      </w:r>
      <w:r>
        <w:rPr>
          <w:rFonts w:ascii="仿宋" w:hAnsi="仿宋" w:eastAsia="仿宋" w:cs="仿宋"/>
          <w:b w:val="0"/>
          <w:bCs w:val="0"/>
          <w:sz w:val="32"/>
          <w:szCs w:val="32"/>
        </w:rPr>
        <w:t>11</w:t>
      </w:r>
      <w:r>
        <w:rPr>
          <w:rFonts w:hint="eastAsia" w:ascii="仿宋" w:hAnsi="仿宋" w:eastAsia="仿宋" w:cs="仿宋"/>
          <w:b w:val="0"/>
          <w:bCs w:val="0"/>
          <w:sz w:val="32"/>
          <w:szCs w:val="32"/>
        </w:rPr>
        <w:t>（项）</w:t>
      </w:r>
      <w:r>
        <w:rPr>
          <w:rFonts w:ascii="仿宋" w:hAnsi="仿宋" w:eastAsia="仿宋" w:cs="仿宋"/>
          <w:b w:val="0"/>
          <w:bCs w:val="0"/>
          <w:sz w:val="32"/>
          <w:szCs w:val="32"/>
        </w:rPr>
        <w:t>99</w:t>
      </w:r>
      <w:r>
        <w:rPr>
          <w:rFonts w:hint="eastAsia" w:ascii="仿宋" w:hAnsi="仿宋" w:eastAsia="仿宋" w:cs="仿宋"/>
          <w:b w:val="0"/>
          <w:bCs w:val="0"/>
          <w:sz w:val="32"/>
          <w:szCs w:val="32"/>
        </w:rPr>
        <w:t>指其他残疾人事业支出。</w:t>
      </w:r>
    </w:p>
    <w:p w14:paraId="6025D913">
      <w:pPr>
        <w:spacing w:line="576" w:lineRule="exact"/>
        <w:rPr>
          <w:rFonts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ascii="仿宋" w:hAnsi="仿宋" w:eastAsia="仿宋" w:cs="仿宋"/>
          <w:b w:val="0"/>
          <w:bCs w:val="0"/>
          <w:sz w:val="32"/>
          <w:szCs w:val="32"/>
        </w:rPr>
        <w:t>.</w:t>
      </w:r>
      <w:r>
        <w:rPr>
          <w:rFonts w:hint="eastAsia" w:ascii="仿宋" w:hAnsi="仿宋" w:eastAsia="仿宋" w:cs="仿宋"/>
          <w:b w:val="0"/>
          <w:bCs w:val="0"/>
          <w:sz w:val="32"/>
          <w:szCs w:val="32"/>
          <w:lang w:eastAsia="zh-CN"/>
        </w:rPr>
        <w:t>卫生健康</w:t>
      </w:r>
      <w:r>
        <w:rPr>
          <w:rFonts w:hint="eastAsia" w:ascii="仿宋" w:hAnsi="仿宋" w:eastAsia="仿宋" w:cs="仿宋"/>
          <w:b w:val="0"/>
          <w:bCs w:val="0"/>
          <w:sz w:val="32"/>
          <w:szCs w:val="32"/>
        </w:rPr>
        <w:t>（类）</w:t>
      </w:r>
      <w:r>
        <w:rPr>
          <w:rFonts w:hint="eastAsia" w:ascii="仿宋" w:hAnsi="仿宋" w:eastAsia="仿宋" w:cs="仿宋"/>
          <w:b w:val="0"/>
          <w:bCs w:val="0"/>
          <w:sz w:val="32"/>
          <w:szCs w:val="32"/>
          <w:lang w:eastAsia="zh-CN"/>
        </w:rPr>
        <w:t>：</w:t>
      </w:r>
      <w:r>
        <w:rPr>
          <w:rFonts w:ascii="仿宋" w:hAnsi="仿宋" w:eastAsia="仿宋" w:cs="仿宋"/>
          <w:b w:val="0"/>
          <w:bCs w:val="0"/>
          <w:sz w:val="32"/>
          <w:szCs w:val="32"/>
        </w:rPr>
        <w:t>210</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val="en-US" w:eastAsia="zh-CN"/>
        </w:rPr>
        <w:t>01</w:t>
      </w:r>
      <w:r>
        <w:rPr>
          <w:rFonts w:hint="eastAsia" w:ascii="仿宋" w:hAnsi="仿宋" w:eastAsia="仿宋" w:cs="仿宋"/>
          <w:b w:val="0"/>
          <w:bCs w:val="0"/>
          <w:sz w:val="32"/>
          <w:szCs w:val="32"/>
        </w:rPr>
        <w:t>（项）</w:t>
      </w:r>
      <w:r>
        <w:rPr>
          <w:rFonts w:ascii="仿宋" w:hAnsi="仿宋" w:eastAsia="仿宋" w:cs="仿宋"/>
          <w:b w:val="0"/>
          <w:bCs w:val="0"/>
          <w:sz w:val="32"/>
          <w:szCs w:val="32"/>
        </w:rPr>
        <w:t>01</w:t>
      </w:r>
      <w:r>
        <w:rPr>
          <w:rFonts w:hint="eastAsia" w:ascii="仿宋" w:hAnsi="仿宋" w:eastAsia="仿宋" w:cs="仿宋"/>
          <w:b w:val="0"/>
          <w:bCs w:val="0"/>
          <w:sz w:val="32"/>
          <w:szCs w:val="32"/>
        </w:rPr>
        <w:t>指行政单位医疗</w:t>
      </w:r>
      <w:r>
        <w:rPr>
          <w:rFonts w:hint="eastAsia" w:ascii="仿宋" w:hAnsi="仿宋" w:eastAsia="仿宋" w:cs="仿宋"/>
          <w:b w:val="0"/>
          <w:bCs w:val="0"/>
          <w:sz w:val="32"/>
          <w:szCs w:val="32"/>
          <w:lang w:eastAsia="zh-CN"/>
        </w:rPr>
        <w:t>，</w:t>
      </w:r>
      <w:r>
        <w:rPr>
          <w:rFonts w:ascii="仿宋" w:hAnsi="仿宋" w:eastAsia="仿宋" w:cs="仿宋"/>
          <w:b w:val="0"/>
          <w:bCs w:val="0"/>
          <w:sz w:val="32"/>
          <w:szCs w:val="32"/>
        </w:rPr>
        <w:t>210</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val="en-US" w:eastAsia="zh-CN"/>
        </w:rPr>
        <w:t>01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指</w:t>
      </w:r>
      <w:r>
        <w:rPr>
          <w:rFonts w:hint="eastAsia" w:ascii="仿宋" w:hAnsi="仿宋" w:eastAsia="仿宋" w:cs="仿宋"/>
          <w:b w:val="0"/>
          <w:bCs w:val="0"/>
          <w:sz w:val="32"/>
          <w:szCs w:val="32"/>
          <w:lang w:eastAsia="zh-CN"/>
        </w:rPr>
        <w:t>事业</w:t>
      </w:r>
      <w:r>
        <w:rPr>
          <w:rFonts w:hint="eastAsia" w:ascii="仿宋" w:hAnsi="仿宋" w:eastAsia="仿宋" w:cs="仿宋"/>
          <w:b w:val="0"/>
          <w:bCs w:val="0"/>
          <w:sz w:val="32"/>
          <w:szCs w:val="32"/>
        </w:rPr>
        <w:t>单位医疗</w:t>
      </w:r>
      <w:r>
        <w:rPr>
          <w:rFonts w:hint="eastAsia" w:ascii="仿宋" w:hAnsi="仿宋" w:eastAsia="仿宋" w:cs="仿宋"/>
          <w:b w:val="0"/>
          <w:bCs w:val="0"/>
          <w:sz w:val="32"/>
          <w:szCs w:val="32"/>
          <w:lang w:eastAsia="zh-CN"/>
        </w:rPr>
        <w:t>，</w:t>
      </w:r>
      <w:r>
        <w:rPr>
          <w:rFonts w:ascii="仿宋" w:hAnsi="仿宋" w:eastAsia="仿宋" w:cs="仿宋"/>
          <w:b w:val="0"/>
          <w:bCs w:val="0"/>
          <w:sz w:val="32"/>
          <w:szCs w:val="32"/>
        </w:rPr>
        <w:t>210</w:t>
      </w:r>
      <w:r>
        <w:rPr>
          <w:rFonts w:hint="eastAsia" w:ascii="仿宋" w:hAnsi="仿宋" w:eastAsia="仿宋" w:cs="仿宋"/>
          <w:b w:val="0"/>
          <w:bCs w:val="0"/>
          <w:sz w:val="32"/>
          <w:szCs w:val="32"/>
        </w:rPr>
        <w:t>（款）</w:t>
      </w:r>
      <w:r>
        <w:rPr>
          <w:rFonts w:hint="eastAsia" w:ascii="仿宋" w:hAnsi="仿宋" w:eastAsia="仿宋" w:cs="仿宋"/>
          <w:b w:val="0"/>
          <w:bCs w:val="0"/>
          <w:sz w:val="32"/>
          <w:szCs w:val="32"/>
          <w:lang w:val="en-US" w:eastAsia="zh-CN"/>
        </w:rPr>
        <w:t>01</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指</w:t>
      </w:r>
      <w:r>
        <w:rPr>
          <w:rFonts w:hint="eastAsia" w:ascii="仿宋" w:hAnsi="仿宋" w:eastAsia="仿宋" w:cs="仿宋"/>
          <w:b w:val="0"/>
          <w:bCs w:val="0"/>
          <w:sz w:val="32"/>
          <w:szCs w:val="32"/>
          <w:lang w:eastAsia="zh-CN"/>
        </w:rPr>
        <w:t>公务员</w:t>
      </w:r>
      <w:r>
        <w:rPr>
          <w:rFonts w:hint="eastAsia" w:ascii="仿宋" w:hAnsi="仿宋" w:eastAsia="仿宋" w:cs="仿宋"/>
          <w:b w:val="0"/>
          <w:bCs w:val="0"/>
          <w:sz w:val="32"/>
          <w:szCs w:val="32"/>
        </w:rPr>
        <w:t>医疗</w:t>
      </w:r>
      <w:r>
        <w:rPr>
          <w:rFonts w:hint="eastAsia" w:ascii="仿宋" w:hAnsi="仿宋" w:eastAsia="仿宋" w:cs="仿宋"/>
          <w:b w:val="0"/>
          <w:bCs w:val="0"/>
          <w:sz w:val="32"/>
          <w:szCs w:val="32"/>
          <w:lang w:eastAsia="zh-CN"/>
        </w:rPr>
        <w:t>补助。</w:t>
      </w:r>
    </w:p>
    <w:p w14:paraId="1EA40E61">
      <w:pPr>
        <w:spacing w:line="576" w:lineRule="exact"/>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5</w:t>
      </w:r>
      <w:r>
        <w:rPr>
          <w:rFonts w:ascii="仿宋" w:hAnsi="仿宋" w:eastAsia="仿宋" w:cs="仿宋"/>
          <w:b w:val="0"/>
          <w:bCs w:val="0"/>
          <w:sz w:val="32"/>
          <w:szCs w:val="32"/>
        </w:rPr>
        <w:t>.</w:t>
      </w:r>
      <w:r>
        <w:rPr>
          <w:rFonts w:hint="eastAsia" w:ascii="仿宋" w:hAnsi="仿宋" w:eastAsia="仿宋" w:cs="仿宋"/>
          <w:b w:val="0"/>
          <w:bCs w:val="0"/>
          <w:sz w:val="32"/>
          <w:szCs w:val="32"/>
        </w:rPr>
        <w:t>住房保障</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221</w:t>
      </w:r>
      <w:r>
        <w:rPr>
          <w:rFonts w:hint="eastAsia" w:ascii="仿宋" w:hAnsi="仿宋" w:eastAsia="仿宋" w:cs="仿宋"/>
          <w:b w:val="0"/>
          <w:bCs w:val="0"/>
          <w:sz w:val="32"/>
          <w:szCs w:val="32"/>
        </w:rPr>
        <w:t>（款）</w:t>
      </w:r>
      <w:r>
        <w:rPr>
          <w:rFonts w:ascii="仿宋" w:hAnsi="仿宋" w:eastAsia="仿宋" w:cs="仿宋"/>
          <w:b w:val="0"/>
          <w:bCs w:val="0"/>
          <w:sz w:val="32"/>
          <w:szCs w:val="32"/>
        </w:rPr>
        <w:t>02</w:t>
      </w:r>
      <w:r>
        <w:rPr>
          <w:rFonts w:hint="eastAsia" w:ascii="仿宋" w:hAnsi="仿宋" w:eastAsia="仿宋" w:cs="仿宋"/>
          <w:b w:val="0"/>
          <w:bCs w:val="0"/>
          <w:sz w:val="32"/>
          <w:szCs w:val="32"/>
        </w:rPr>
        <w:t>（项）</w:t>
      </w:r>
      <w:r>
        <w:rPr>
          <w:rFonts w:ascii="仿宋" w:hAnsi="仿宋" w:eastAsia="仿宋" w:cs="仿宋"/>
          <w:b w:val="0"/>
          <w:bCs w:val="0"/>
          <w:sz w:val="32"/>
          <w:szCs w:val="32"/>
        </w:rPr>
        <w:t>01</w:t>
      </w:r>
      <w:r>
        <w:rPr>
          <w:rFonts w:hint="eastAsia" w:ascii="仿宋" w:hAnsi="仿宋" w:eastAsia="仿宋" w:cs="仿宋"/>
          <w:b w:val="0"/>
          <w:bCs w:val="0"/>
          <w:sz w:val="32"/>
          <w:szCs w:val="32"/>
        </w:rPr>
        <w:t>指住房公积金。</w:t>
      </w:r>
    </w:p>
    <w:p w14:paraId="616A7366">
      <w:pPr>
        <w:spacing w:line="576" w:lineRule="exac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6.农林水支出扶贫：</w:t>
      </w:r>
      <w:r>
        <w:rPr>
          <w:rFonts w:hint="eastAsia" w:ascii="仿宋" w:hAnsi="仿宋" w:eastAsia="仿宋" w:cs="仿宋"/>
          <w:b w:val="0"/>
          <w:bCs w:val="0"/>
          <w:sz w:val="32"/>
          <w:szCs w:val="32"/>
        </w:rPr>
        <w:t>（类）</w:t>
      </w:r>
      <w:r>
        <w:rPr>
          <w:rFonts w:ascii="仿宋" w:hAnsi="仿宋" w:eastAsia="仿宋" w:cs="仿宋"/>
          <w:b w:val="0"/>
          <w:bCs w:val="0"/>
          <w:sz w:val="32"/>
          <w:szCs w:val="32"/>
        </w:rPr>
        <w:t>2</w:t>
      </w:r>
      <w:r>
        <w:rPr>
          <w:rFonts w:hint="eastAsia" w:ascii="仿宋" w:hAnsi="仿宋" w:eastAsia="仿宋" w:cs="仿宋"/>
          <w:b w:val="0"/>
          <w:bCs w:val="0"/>
          <w:sz w:val="32"/>
          <w:szCs w:val="32"/>
          <w:lang w:val="en-US" w:eastAsia="zh-CN"/>
        </w:rPr>
        <w:t>13</w:t>
      </w:r>
      <w:r>
        <w:rPr>
          <w:rFonts w:hint="eastAsia" w:ascii="仿宋" w:hAnsi="仿宋" w:eastAsia="仿宋" w:cs="仿宋"/>
          <w:b w:val="0"/>
          <w:bCs w:val="0"/>
          <w:sz w:val="32"/>
          <w:szCs w:val="32"/>
        </w:rPr>
        <w:t>（款）</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（项）</w:t>
      </w:r>
      <w:r>
        <w:rPr>
          <w:rFonts w:hint="eastAsia" w:ascii="仿宋" w:hAnsi="仿宋" w:eastAsia="仿宋" w:cs="仿宋"/>
          <w:b w:val="0"/>
          <w:bCs w:val="0"/>
          <w:sz w:val="32"/>
          <w:szCs w:val="32"/>
          <w:lang w:val="en-US" w:eastAsia="zh-CN"/>
        </w:rPr>
        <w:t>99指其他扶贫支出</w:t>
      </w:r>
    </w:p>
    <w:p w14:paraId="6C457D22">
      <w:pPr>
        <w:spacing w:line="576" w:lineRule="exact"/>
        <w:rPr>
          <w:rFonts w:hint="eastAsia" w:ascii="仿宋" w:hAnsi="仿宋" w:eastAsia="仿宋" w:cs="仿宋"/>
          <w:b w:val="0"/>
          <w:bCs w:val="0"/>
          <w:sz w:val="32"/>
          <w:szCs w:val="32"/>
          <w:lang w:val="en-US" w:eastAsia="zh-CN"/>
        </w:rPr>
      </w:pPr>
      <w:r>
        <w:rPr>
          <w:rFonts w:ascii="仿宋" w:hAnsi="仿宋" w:eastAsia="仿宋" w:cs="仿宋"/>
          <w:b w:val="0"/>
          <w:bCs w:val="0"/>
          <w:sz w:val="32"/>
          <w:szCs w:val="32"/>
        </w:rPr>
        <w:t>7.</w:t>
      </w:r>
      <w:r>
        <w:rPr>
          <w:rFonts w:hint="eastAsia" w:ascii="仿宋" w:hAnsi="仿宋" w:eastAsia="仿宋" w:cs="仿宋"/>
          <w:b w:val="0"/>
          <w:bCs w:val="0"/>
          <w:sz w:val="32"/>
          <w:szCs w:val="32"/>
        </w:rPr>
        <w:t>用于残疾人事业的彩票公益金支出</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229</w:t>
      </w:r>
      <w:r>
        <w:rPr>
          <w:rFonts w:hint="eastAsia" w:ascii="仿宋" w:hAnsi="仿宋" w:eastAsia="仿宋" w:cs="仿宋"/>
          <w:b w:val="0"/>
          <w:bCs w:val="0"/>
          <w:sz w:val="32"/>
          <w:szCs w:val="32"/>
        </w:rPr>
        <w:t>（款）</w:t>
      </w:r>
      <w:r>
        <w:rPr>
          <w:rFonts w:ascii="仿宋" w:hAnsi="仿宋" w:eastAsia="仿宋" w:cs="仿宋"/>
          <w:b w:val="0"/>
          <w:bCs w:val="0"/>
          <w:sz w:val="32"/>
          <w:szCs w:val="32"/>
        </w:rPr>
        <w:t>60</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指用于社会福利的彩票公益金支出</w:t>
      </w:r>
      <w:r>
        <w:rPr>
          <w:rFonts w:hint="eastAsia" w:ascii="仿宋" w:hAnsi="仿宋" w:eastAsia="仿宋" w:cs="仿宋"/>
          <w:b w:val="0"/>
          <w:bCs w:val="0"/>
          <w:sz w:val="32"/>
          <w:szCs w:val="32"/>
          <w:lang w:eastAsia="zh-CN"/>
        </w:rPr>
        <w:t>。</w:t>
      </w:r>
    </w:p>
    <w:p w14:paraId="0C1933AB">
      <w:pPr>
        <w:spacing w:line="576" w:lineRule="exac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8</w:t>
      </w:r>
      <w:r>
        <w:rPr>
          <w:rFonts w:ascii="仿宋" w:hAnsi="仿宋" w:eastAsia="仿宋" w:cs="仿宋"/>
          <w:b w:val="0"/>
          <w:bCs w:val="0"/>
          <w:sz w:val="32"/>
          <w:szCs w:val="32"/>
        </w:rPr>
        <w:t>.</w:t>
      </w:r>
      <w:r>
        <w:rPr>
          <w:rFonts w:hint="eastAsia" w:ascii="仿宋" w:hAnsi="仿宋" w:eastAsia="仿宋" w:cs="仿宋"/>
          <w:b w:val="0"/>
          <w:bCs w:val="0"/>
          <w:sz w:val="32"/>
          <w:szCs w:val="32"/>
        </w:rPr>
        <w:t>用于残疾人事业的彩票公益金支出</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（类）</w:t>
      </w:r>
      <w:r>
        <w:rPr>
          <w:rFonts w:ascii="仿宋" w:hAnsi="仿宋" w:eastAsia="仿宋" w:cs="仿宋"/>
          <w:b w:val="0"/>
          <w:bCs w:val="0"/>
          <w:sz w:val="32"/>
          <w:szCs w:val="32"/>
        </w:rPr>
        <w:t>229</w:t>
      </w:r>
      <w:r>
        <w:rPr>
          <w:rFonts w:hint="eastAsia" w:ascii="仿宋" w:hAnsi="仿宋" w:eastAsia="仿宋" w:cs="仿宋"/>
          <w:b w:val="0"/>
          <w:bCs w:val="0"/>
          <w:sz w:val="32"/>
          <w:szCs w:val="32"/>
        </w:rPr>
        <w:t>（款）</w:t>
      </w:r>
      <w:r>
        <w:rPr>
          <w:rFonts w:ascii="仿宋" w:hAnsi="仿宋" w:eastAsia="仿宋" w:cs="仿宋"/>
          <w:b w:val="0"/>
          <w:bCs w:val="0"/>
          <w:sz w:val="32"/>
          <w:szCs w:val="32"/>
        </w:rPr>
        <w:t>60</w:t>
      </w:r>
      <w:r>
        <w:rPr>
          <w:rFonts w:hint="eastAsia" w:ascii="仿宋" w:hAnsi="仿宋" w:eastAsia="仿宋" w:cs="仿宋"/>
          <w:b w:val="0"/>
          <w:bCs w:val="0"/>
          <w:sz w:val="32"/>
          <w:szCs w:val="32"/>
        </w:rPr>
        <w:t>（项）</w:t>
      </w:r>
      <w:r>
        <w:rPr>
          <w:rFonts w:ascii="仿宋" w:hAnsi="仿宋" w:eastAsia="仿宋" w:cs="仿宋"/>
          <w:b w:val="0"/>
          <w:bCs w:val="0"/>
          <w:sz w:val="32"/>
          <w:szCs w:val="32"/>
        </w:rPr>
        <w:t>0</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指用于体育事业的彩票公益金支出</w:t>
      </w:r>
      <w:r>
        <w:rPr>
          <w:rFonts w:ascii="仿宋" w:hAnsi="仿宋" w:eastAsia="仿宋" w:cs="仿宋"/>
          <w:b w:val="0"/>
          <w:bCs w:val="0"/>
          <w:sz w:val="32"/>
          <w:szCs w:val="32"/>
        </w:rPr>
        <w:t xml:space="preserve"> </w:t>
      </w:r>
      <w:r>
        <w:rPr>
          <w:rFonts w:hint="eastAsia" w:ascii="仿宋" w:hAnsi="仿宋" w:eastAsia="仿宋" w:cs="仿宋"/>
          <w:b w:val="0"/>
          <w:bCs w:val="0"/>
          <w:sz w:val="32"/>
          <w:szCs w:val="32"/>
        </w:rPr>
        <w:t>。</w:t>
      </w:r>
    </w:p>
    <w:p w14:paraId="0D21D8B5">
      <w:pPr>
        <w:spacing w:line="576" w:lineRule="exact"/>
        <w:rPr>
          <w:rFonts w:ascii="仿宋" w:hAnsi="仿宋" w:eastAsia="仿宋" w:cs="Times New Roman"/>
          <w:b w:val="0"/>
          <w:bCs w:val="0"/>
          <w:sz w:val="32"/>
          <w:szCs w:val="32"/>
        </w:rPr>
      </w:pPr>
      <w:r>
        <w:rPr>
          <w:rFonts w:hint="eastAsia" w:ascii="仿宋" w:hAnsi="仿宋" w:eastAsia="仿宋" w:cs="仿宋"/>
          <w:b w:val="0"/>
          <w:bCs w:val="0"/>
          <w:sz w:val="32"/>
          <w:szCs w:val="32"/>
          <w:lang w:val="en-US" w:eastAsia="zh-CN"/>
        </w:rPr>
        <w:t>9</w:t>
      </w:r>
      <w:r>
        <w:rPr>
          <w:rFonts w:ascii="仿宋" w:hAnsi="仿宋" w:eastAsia="仿宋" w:cs="仿宋"/>
          <w:b w:val="0"/>
          <w:bCs w:val="0"/>
          <w:sz w:val="32"/>
          <w:szCs w:val="32"/>
        </w:rPr>
        <w:t>.</w:t>
      </w:r>
      <w:r>
        <w:rPr>
          <w:rFonts w:hint="eastAsia" w:ascii="仿宋" w:hAnsi="仿宋" w:eastAsia="仿宋" w:cs="仿宋"/>
          <w:b w:val="0"/>
          <w:bCs w:val="0"/>
          <w:sz w:val="32"/>
          <w:szCs w:val="32"/>
        </w:rPr>
        <w:t>用于残疾人事业的彩票公益金支出（类）</w:t>
      </w:r>
      <w:r>
        <w:rPr>
          <w:rFonts w:ascii="仿宋" w:hAnsi="仿宋" w:eastAsia="仿宋" w:cs="仿宋"/>
          <w:b w:val="0"/>
          <w:bCs w:val="0"/>
          <w:sz w:val="32"/>
          <w:szCs w:val="32"/>
        </w:rPr>
        <w:t>229</w:t>
      </w:r>
      <w:r>
        <w:rPr>
          <w:rFonts w:hint="eastAsia" w:ascii="仿宋" w:hAnsi="仿宋" w:eastAsia="仿宋" w:cs="仿宋"/>
          <w:b w:val="0"/>
          <w:bCs w:val="0"/>
          <w:sz w:val="32"/>
          <w:szCs w:val="32"/>
        </w:rPr>
        <w:t>（款）</w:t>
      </w:r>
      <w:r>
        <w:rPr>
          <w:rFonts w:ascii="仿宋" w:hAnsi="仿宋" w:eastAsia="仿宋" w:cs="仿宋"/>
          <w:b w:val="0"/>
          <w:bCs w:val="0"/>
          <w:sz w:val="32"/>
          <w:szCs w:val="32"/>
        </w:rPr>
        <w:t>60</w:t>
      </w:r>
      <w:r>
        <w:rPr>
          <w:rFonts w:hint="eastAsia" w:ascii="仿宋" w:hAnsi="仿宋" w:eastAsia="仿宋" w:cs="仿宋"/>
          <w:b w:val="0"/>
          <w:bCs w:val="0"/>
          <w:sz w:val="32"/>
          <w:szCs w:val="32"/>
        </w:rPr>
        <w:t>（项）</w:t>
      </w:r>
      <w:r>
        <w:rPr>
          <w:rFonts w:ascii="仿宋" w:hAnsi="仿宋" w:eastAsia="仿宋" w:cs="仿宋"/>
          <w:b w:val="0"/>
          <w:bCs w:val="0"/>
          <w:sz w:val="32"/>
          <w:szCs w:val="32"/>
        </w:rPr>
        <w:t>06</w:t>
      </w:r>
      <w:r>
        <w:rPr>
          <w:rFonts w:hint="eastAsia" w:ascii="仿宋" w:hAnsi="仿宋" w:eastAsia="仿宋" w:cs="仿宋"/>
          <w:b w:val="0"/>
          <w:bCs w:val="0"/>
          <w:sz w:val="32"/>
          <w:szCs w:val="32"/>
        </w:rPr>
        <w:t>：指用于残疾人事业的彩票公益金支出</w:t>
      </w:r>
      <w:r>
        <w:rPr>
          <w:rFonts w:ascii="仿宋" w:hAnsi="仿宋" w:eastAsia="仿宋" w:cs="仿宋"/>
          <w:b w:val="0"/>
          <w:bCs w:val="0"/>
          <w:sz w:val="32"/>
          <w:szCs w:val="32"/>
        </w:rPr>
        <w:t xml:space="preserve"> </w:t>
      </w:r>
      <w:r>
        <w:rPr>
          <w:rFonts w:hint="eastAsia" w:ascii="仿宋" w:hAnsi="仿宋" w:eastAsia="仿宋" w:cs="仿宋"/>
          <w:b w:val="0"/>
          <w:bCs w:val="0"/>
          <w:sz w:val="32"/>
          <w:szCs w:val="32"/>
        </w:rPr>
        <w:t>。</w:t>
      </w:r>
    </w:p>
    <w:p w14:paraId="2D8D11F7">
      <w:pPr>
        <w:spacing w:line="576" w:lineRule="exact"/>
        <w:rPr>
          <w:rFonts w:ascii="仿宋" w:hAnsi="仿宋" w:eastAsia="仿宋" w:cs="仿宋"/>
          <w:b w:val="0"/>
          <w:bCs w:val="0"/>
          <w:sz w:val="32"/>
          <w:szCs w:val="32"/>
        </w:rPr>
      </w:pPr>
      <w:r>
        <w:rPr>
          <w:rFonts w:ascii="仿宋" w:hAnsi="仿宋" w:eastAsia="仿宋" w:cs="仿宋"/>
          <w:b w:val="0"/>
          <w:bCs w:val="0"/>
          <w:sz w:val="32"/>
          <w:szCs w:val="32"/>
        </w:rPr>
        <w:t>8.</w:t>
      </w:r>
      <w:r>
        <w:rPr>
          <w:rFonts w:hint="eastAsia" w:ascii="仿宋" w:hAnsi="仿宋" w:eastAsia="仿宋" w:cs="仿宋"/>
          <w:b w:val="0"/>
          <w:bCs w:val="0"/>
          <w:sz w:val="32"/>
          <w:szCs w:val="32"/>
        </w:rPr>
        <w:t>年末结转和结余：指本年度或以前年度预算安排、因客观条件发生变化无法按原计划实施，需延迟到以后年度按有关规定继续使用的资金。</w:t>
      </w:r>
      <w:r>
        <w:rPr>
          <w:rFonts w:ascii="仿宋" w:hAnsi="仿宋" w:eastAsia="仿宋" w:cs="仿宋"/>
          <w:b w:val="0"/>
          <w:bCs w:val="0"/>
          <w:sz w:val="32"/>
          <w:szCs w:val="32"/>
        </w:rPr>
        <w:t xml:space="preserve"> </w:t>
      </w:r>
    </w:p>
    <w:p w14:paraId="68B1E6FC">
      <w:pPr>
        <w:spacing w:line="576" w:lineRule="exact"/>
        <w:rPr>
          <w:rFonts w:ascii="仿宋" w:hAnsi="仿宋" w:eastAsia="仿宋" w:cs="仿宋"/>
          <w:b w:val="0"/>
          <w:bCs w:val="0"/>
          <w:sz w:val="32"/>
          <w:szCs w:val="32"/>
        </w:rPr>
      </w:pPr>
      <w:r>
        <w:rPr>
          <w:rFonts w:ascii="仿宋" w:hAnsi="仿宋" w:eastAsia="仿宋" w:cs="仿宋"/>
          <w:b w:val="0"/>
          <w:bCs w:val="0"/>
          <w:sz w:val="32"/>
          <w:szCs w:val="32"/>
        </w:rPr>
        <w:t>9.</w:t>
      </w:r>
      <w:r>
        <w:rPr>
          <w:rFonts w:hint="eastAsia" w:ascii="仿宋" w:hAnsi="仿宋" w:eastAsia="仿宋" w:cs="仿宋"/>
          <w:b w:val="0"/>
          <w:bCs w:val="0"/>
          <w:sz w:val="32"/>
          <w:szCs w:val="32"/>
        </w:rPr>
        <w:t>基本支出：指为保障机构正常运转、完成日常工作任务而发生的人员支出和公用支出。</w:t>
      </w:r>
      <w:r>
        <w:rPr>
          <w:rFonts w:ascii="仿宋" w:hAnsi="仿宋" w:eastAsia="仿宋" w:cs="仿宋"/>
          <w:b w:val="0"/>
          <w:bCs w:val="0"/>
          <w:sz w:val="32"/>
          <w:szCs w:val="32"/>
        </w:rPr>
        <w:t xml:space="preserve"> </w:t>
      </w:r>
    </w:p>
    <w:p w14:paraId="2F666658">
      <w:pPr>
        <w:spacing w:line="576" w:lineRule="exact"/>
        <w:rPr>
          <w:rFonts w:ascii="仿宋" w:hAnsi="仿宋" w:eastAsia="仿宋" w:cs="仿宋"/>
          <w:b w:val="0"/>
          <w:bCs w:val="0"/>
          <w:sz w:val="32"/>
          <w:szCs w:val="32"/>
        </w:rPr>
      </w:pPr>
      <w:r>
        <w:rPr>
          <w:rFonts w:ascii="仿宋" w:hAnsi="仿宋" w:eastAsia="仿宋" w:cs="仿宋"/>
          <w:b w:val="0"/>
          <w:bCs w:val="0"/>
          <w:sz w:val="32"/>
          <w:szCs w:val="32"/>
        </w:rPr>
        <w:t>10.</w:t>
      </w:r>
      <w:r>
        <w:rPr>
          <w:rFonts w:hint="eastAsia" w:ascii="仿宋" w:hAnsi="仿宋" w:eastAsia="仿宋" w:cs="仿宋"/>
          <w:b w:val="0"/>
          <w:bCs w:val="0"/>
          <w:sz w:val="32"/>
          <w:szCs w:val="32"/>
        </w:rPr>
        <w:t>项目支出：指在基本支出之外为完成特定行政任务和事业发展目标所发生的支出。</w:t>
      </w:r>
      <w:r>
        <w:rPr>
          <w:rFonts w:ascii="仿宋" w:hAnsi="仿宋" w:eastAsia="仿宋" w:cs="仿宋"/>
          <w:b w:val="0"/>
          <w:bCs w:val="0"/>
          <w:sz w:val="32"/>
          <w:szCs w:val="32"/>
        </w:rPr>
        <w:t xml:space="preserve"> </w:t>
      </w:r>
    </w:p>
    <w:p w14:paraId="1641AC60">
      <w:pPr>
        <w:spacing w:line="576" w:lineRule="exact"/>
        <w:rPr>
          <w:rFonts w:ascii="仿宋" w:hAnsi="仿宋" w:eastAsia="仿宋" w:cs="仿宋"/>
          <w:b w:val="0"/>
          <w:bCs w:val="0"/>
          <w:sz w:val="32"/>
          <w:szCs w:val="32"/>
        </w:rPr>
      </w:pPr>
      <w:r>
        <w:rPr>
          <w:rFonts w:ascii="仿宋" w:hAnsi="仿宋" w:eastAsia="仿宋" w:cs="仿宋"/>
          <w:b w:val="0"/>
          <w:bCs w:val="0"/>
          <w:sz w:val="32"/>
          <w:szCs w:val="32"/>
        </w:rPr>
        <w:t>11.</w:t>
      </w:r>
      <w:r>
        <w:rPr>
          <w:rFonts w:hint="eastAsia" w:ascii="仿宋" w:hAnsi="仿宋" w:eastAsia="仿宋" w:cs="仿宋"/>
          <w:b w:val="0"/>
          <w:bCs w:val="0"/>
          <w:sz w:val="32"/>
          <w:szCs w:val="32"/>
        </w:rPr>
        <w:t>“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4574135">
      <w:pPr>
        <w:spacing w:line="576" w:lineRule="exact"/>
        <w:rPr>
          <w:rFonts w:hint="eastAsia" w:ascii="仿宋" w:hAnsi="仿宋" w:eastAsia="仿宋" w:cs="仿宋"/>
          <w:b w:val="0"/>
          <w:bCs w:val="0"/>
          <w:sz w:val="32"/>
          <w:szCs w:val="32"/>
        </w:rPr>
      </w:pPr>
      <w:r>
        <w:rPr>
          <w:rFonts w:ascii="仿宋" w:hAnsi="仿宋" w:eastAsia="仿宋" w:cs="仿宋"/>
          <w:b w:val="0"/>
          <w:bCs w:val="0"/>
          <w:sz w:val="32"/>
          <w:szCs w:val="32"/>
        </w:rPr>
        <w:t>12.</w:t>
      </w:r>
      <w:r>
        <w:rPr>
          <w:rFonts w:hint="eastAsia" w:ascii="仿宋" w:hAnsi="仿宋" w:eastAsia="仿宋" w:cs="仿宋"/>
          <w:b w:val="0"/>
          <w:bCs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725174B">
      <w:pPr>
        <w:pStyle w:val="21"/>
        <w:rPr>
          <w:rFonts w:hint="eastAsia" w:ascii="仿宋" w:hAnsi="仿宋" w:eastAsia="仿宋" w:cs="仿宋"/>
          <w:b w:val="0"/>
          <w:bCs w:val="0"/>
          <w:sz w:val="32"/>
          <w:szCs w:val="32"/>
        </w:rPr>
      </w:pPr>
    </w:p>
    <w:p w14:paraId="4EE4CCC4">
      <w:pPr>
        <w:spacing w:line="600" w:lineRule="exact"/>
        <w:jc w:val="center"/>
        <w:outlineLvl w:val="0"/>
        <w:rPr>
          <w:b/>
          <w:bCs/>
          <w:sz w:val="44"/>
          <w:szCs w:val="44"/>
        </w:rPr>
      </w:pPr>
      <w:bookmarkStart w:id="154" w:name="_Toc4388"/>
      <w:bookmarkStart w:id="155" w:name="_Toc79163885"/>
      <w:bookmarkStart w:id="156" w:name="_Toc79163635"/>
      <w:bookmarkStart w:id="157" w:name="_Toc15396618"/>
      <w:bookmarkStart w:id="158" w:name="_Toc15377226"/>
      <w:bookmarkStart w:id="159" w:name="_Toc342"/>
      <w:r>
        <w:rPr>
          <w:rFonts w:hint="eastAsia"/>
          <w:b/>
          <w:bCs/>
          <w:sz w:val="44"/>
          <w:szCs w:val="44"/>
        </w:rPr>
        <w:t>第</w:t>
      </w:r>
      <w:r>
        <w:rPr>
          <w:rFonts w:hint="eastAsia"/>
          <w:b/>
          <w:bCs/>
          <w:sz w:val="44"/>
          <w:szCs w:val="44"/>
          <w:lang w:eastAsia="zh-CN"/>
        </w:rPr>
        <w:t>四</w:t>
      </w:r>
      <w:r>
        <w:rPr>
          <w:rFonts w:hint="eastAsia"/>
          <w:b/>
          <w:bCs/>
          <w:sz w:val="44"/>
          <w:szCs w:val="44"/>
        </w:rPr>
        <w:t>部分</w:t>
      </w:r>
      <w:r>
        <w:rPr>
          <w:b/>
          <w:bCs/>
          <w:sz w:val="44"/>
          <w:szCs w:val="44"/>
        </w:rPr>
        <w:t xml:space="preserve"> </w:t>
      </w:r>
      <w:r>
        <w:rPr>
          <w:rFonts w:hint="eastAsia"/>
          <w:b/>
          <w:bCs/>
          <w:sz w:val="44"/>
          <w:szCs w:val="44"/>
        </w:rPr>
        <w:t>附表</w:t>
      </w:r>
      <w:bookmarkEnd w:id="154"/>
      <w:bookmarkEnd w:id="155"/>
      <w:bookmarkEnd w:id="156"/>
      <w:bookmarkEnd w:id="157"/>
      <w:bookmarkEnd w:id="158"/>
      <w:bookmarkEnd w:id="159"/>
    </w:p>
    <w:p w14:paraId="74D70293">
      <w:pPr>
        <w:pStyle w:val="4"/>
        <w:bidi w:val="0"/>
      </w:pPr>
      <w:bookmarkStart w:id="160" w:name="_Toc4022"/>
      <w:bookmarkStart w:id="161" w:name="_Toc31119"/>
      <w:bookmarkStart w:id="162" w:name="_Toc79163636"/>
      <w:bookmarkStart w:id="163" w:name="_Toc79163886"/>
      <w:bookmarkStart w:id="164" w:name="_Toc15396619"/>
      <w:r>
        <w:rPr>
          <w:rFonts w:hint="eastAsia"/>
        </w:rPr>
        <w:t>一、收入支出决算总表</w:t>
      </w:r>
      <w:bookmarkEnd w:id="160"/>
      <w:bookmarkEnd w:id="161"/>
      <w:bookmarkEnd w:id="162"/>
      <w:bookmarkEnd w:id="163"/>
      <w:bookmarkEnd w:id="164"/>
    </w:p>
    <w:p w14:paraId="68949228">
      <w:pPr>
        <w:pStyle w:val="4"/>
        <w:bidi w:val="0"/>
      </w:pPr>
      <w:bookmarkStart w:id="165" w:name="_Toc1183"/>
      <w:bookmarkStart w:id="166" w:name="_Toc30969"/>
      <w:bookmarkStart w:id="167" w:name="_Toc15396620"/>
      <w:bookmarkStart w:id="168" w:name="_Toc79163887"/>
      <w:bookmarkStart w:id="169" w:name="_Toc79163637"/>
      <w:r>
        <w:rPr>
          <w:rFonts w:hint="eastAsia"/>
        </w:rPr>
        <w:t>二、收入决算表</w:t>
      </w:r>
      <w:bookmarkEnd w:id="165"/>
      <w:bookmarkEnd w:id="166"/>
      <w:bookmarkEnd w:id="167"/>
      <w:bookmarkEnd w:id="168"/>
      <w:bookmarkEnd w:id="169"/>
    </w:p>
    <w:p w14:paraId="0C3A6773">
      <w:pPr>
        <w:pStyle w:val="4"/>
        <w:bidi w:val="0"/>
      </w:pPr>
      <w:bookmarkStart w:id="170" w:name="_Toc79163638"/>
      <w:bookmarkStart w:id="171" w:name="_Toc28789"/>
      <w:bookmarkStart w:id="172" w:name="_Toc15396621"/>
      <w:bookmarkStart w:id="173" w:name="_Toc79163888"/>
      <w:bookmarkStart w:id="174" w:name="_Toc17574"/>
      <w:r>
        <w:rPr>
          <w:rFonts w:hint="eastAsia"/>
        </w:rPr>
        <w:t>三、支出决算表</w:t>
      </w:r>
      <w:bookmarkEnd w:id="170"/>
      <w:bookmarkEnd w:id="171"/>
      <w:bookmarkEnd w:id="172"/>
      <w:bookmarkEnd w:id="173"/>
      <w:bookmarkEnd w:id="174"/>
    </w:p>
    <w:p w14:paraId="6F30A5F8">
      <w:pPr>
        <w:pStyle w:val="4"/>
        <w:bidi w:val="0"/>
      </w:pPr>
      <w:bookmarkStart w:id="175" w:name="_Toc15396622"/>
      <w:bookmarkStart w:id="176" w:name="_Toc79163889"/>
      <w:bookmarkStart w:id="177" w:name="_Toc79163639"/>
      <w:bookmarkStart w:id="178" w:name="_Toc26637"/>
      <w:bookmarkStart w:id="179" w:name="_Toc3382"/>
      <w:r>
        <w:rPr>
          <w:rFonts w:hint="eastAsia"/>
        </w:rPr>
        <w:t>四、财政拨款收入支出决算总表</w:t>
      </w:r>
      <w:bookmarkEnd w:id="175"/>
      <w:bookmarkEnd w:id="176"/>
      <w:bookmarkEnd w:id="177"/>
      <w:bookmarkEnd w:id="178"/>
      <w:bookmarkEnd w:id="179"/>
    </w:p>
    <w:p w14:paraId="4A0856D7">
      <w:pPr>
        <w:pStyle w:val="4"/>
        <w:bidi w:val="0"/>
        <w:rPr>
          <w:rFonts w:hint="eastAsia"/>
        </w:rPr>
      </w:pPr>
      <w:bookmarkStart w:id="180" w:name="_Toc15396623"/>
      <w:bookmarkStart w:id="181" w:name="_Toc79163640"/>
      <w:bookmarkStart w:id="182" w:name="_Toc5723"/>
      <w:bookmarkStart w:id="183" w:name="_Toc79163890"/>
      <w:bookmarkStart w:id="184" w:name="_Toc32255"/>
      <w:r>
        <w:rPr>
          <w:rFonts w:hint="eastAsia"/>
        </w:rPr>
        <w:t>五、财政拨款支出决算明细表</w:t>
      </w:r>
      <w:bookmarkEnd w:id="180"/>
      <w:bookmarkEnd w:id="181"/>
      <w:bookmarkEnd w:id="182"/>
      <w:bookmarkEnd w:id="183"/>
      <w:bookmarkEnd w:id="184"/>
    </w:p>
    <w:p w14:paraId="0F1D1956">
      <w:pPr>
        <w:pStyle w:val="2"/>
        <w:rPr>
          <w:rStyle w:val="27"/>
        </w:rPr>
      </w:pPr>
      <w:bookmarkStart w:id="185" w:name="_Toc16744"/>
      <w:bookmarkStart w:id="186" w:name="_Toc79163641"/>
      <w:bookmarkStart w:id="187" w:name="_Toc79163891"/>
      <w:bookmarkStart w:id="188" w:name="_Toc7199"/>
      <w:r>
        <w:rPr>
          <w:rStyle w:val="27"/>
          <w:rFonts w:hint="eastAsia"/>
        </w:rPr>
        <w:t>六、一般公共预算财政拨款支出决算表</w:t>
      </w:r>
      <w:bookmarkEnd w:id="185"/>
      <w:bookmarkEnd w:id="186"/>
      <w:bookmarkEnd w:id="187"/>
    </w:p>
    <w:bookmarkEnd w:id="188"/>
    <w:p w14:paraId="7297CCDE">
      <w:pPr>
        <w:pStyle w:val="4"/>
        <w:bidi w:val="0"/>
      </w:pPr>
      <w:bookmarkStart w:id="189" w:name="_Toc10469"/>
      <w:bookmarkStart w:id="190" w:name="_Toc15396625"/>
      <w:bookmarkStart w:id="191" w:name="_Toc5728"/>
      <w:bookmarkStart w:id="192" w:name="_Toc79163642"/>
      <w:bookmarkStart w:id="193" w:name="_Toc79163892"/>
      <w:r>
        <w:rPr>
          <w:rFonts w:hint="eastAsia"/>
        </w:rPr>
        <w:t>七、一般公共预算财政拨款支出决算明细表</w:t>
      </w:r>
      <w:bookmarkEnd w:id="189"/>
      <w:bookmarkEnd w:id="190"/>
      <w:bookmarkEnd w:id="191"/>
      <w:bookmarkEnd w:id="192"/>
      <w:bookmarkEnd w:id="193"/>
    </w:p>
    <w:p w14:paraId="47DAFB6E">
      <w:pPr>
        <w:pStyle w:val="4"/>
        <w:bidi w:val="0"/>
      </w:pPr>
      <w:bookmarkStart w:id="194" w:name="_Toc79163643"/>
      <w:bookmarkStart w:id="195" w:name="_Toc79163893"/>
      <w:bookmarkStart w:id="196" w:name="_Toc15396626"/>
      <w:bookmarkStart w:id="197" w:name="_Toc27920"/>
      <w:bookmarkStart w:id="198" w:name="_Toc25422"/>
      <w:r>
        <w:rPr>
          <w:rFonts w:hint="eastAsia"/>
        </w:rPr>
        <w:t>八、一般公共预算财政拨款基本支出决算表</w:t>
      </w:r>
      <w:bookmarkEnd w:id="194"/>
      <w:bookmarkEnd w:id="195"/>
      <w:bookmarkEnd w:id="196"/>
      <w:bookmarkEnd w:id="197"/>
      <w:bookmarkEnd w:id="198"/>
    </w:p>
    <w:p w14:paraId="377DC481">
      <w:pPr>
        <w:pStyle w:val="4"/>
        <w:bidi w:val="0"/>
      </w:pPr>
      <w:bookmarkStart w:id="199" w:name="_Toc79163644"/>
      <w:bookmarkStart w:id="200" w:name="_Toc79163894"/>
      <w:bookmarkStart w:id="201" w:name="_Toc15396627"/>
      <w:bookmarkStart w:id="202" w:name="_Toc3754"/>
      <w:bookmarkStart w:id="203" w:name="_Toc8471"/>
      <w:r>
        <w:rPr>
          <w:rFonts w:hint="eastAsia"/>
        </w:rPr>
        <w:t>九、一般公共预算财政拨款项目支出决算表</w:t>
      </w:r>
      <w:bookmarkEnd w:id="199"/>
      <w:bookmarkEnd w:id="200"/>
      <w:bookmarkEnd w:id="201"/>
      <w:bookmarkEnd w:id="202"/>
      <w:bookmarkEnd w:id="203"/>
    </w:p>
    <w:p w14:paraId="0FF88A42">
      <w:pPr>
        <w:pStyle w:val="4"/>
        <w:bidi w:val="0"/>
      </w:pPr>
      <w:bookmarkStart w:id="204" w:name="_Toc15396628"/>
      <w:bookmarkStart w:id="205" w:name="_Toc79163645"/>
      <w:bookmarkStart w:id="206" w:name="_Toc79163895"/>
      <w:bookmarkStart w:id="207" w:name="_Toc1420"/>
      <w:bookmarkStart w:id="208" w:name="_Toc13094"/>
      <w:r>
        <w:rPr>
          <w:rFonts w:hint="eastAsia"/>
        </w:rPr>
        <w:t>十、</w:t>
      </w:r>
      <w:bookmarkEnd w:id="204"/>
      <w:bookmarkEnd w:id="205"/>
      <w:bookmarkEnd w:id="206"/>
      <w:bookmarkStart w:id="209" w:name="_Toc79163896"/>
      <w:bookmarkStart w:id="210" w:name="_Toc79163646"/>
      <w:bookmarkStart w:id="211" w:name="_Toc15396629"/>
      <w:r>
        <w:rPr>
          <w:rFonts w:hint="eastAsia"/>
        </w:rPr>
        <w:t>政府性基金预算财政拨款收入支出决算表</w:t>
      </w:r>
      <w:bookmarkEnd w:id="207"/>
      <w:bookmarkEnd w:id="208"/>
      <w:bookmarkEnd w:id="209"/>
      <w:bookmarkEnd w:id="210"/>
      <w:bookmarkEnd w:id="211"/>
    </w:p>
    <w:p w14:paraId="0ABA7862">
      <w:pPr>
        <w:pStyle w:val="4"/>
        <w:bidi w:val="0"/>
      </w:pPr>
      <w:bookmarkStart w:id="212" w:name="_Toc79163897"/>
      <w:bookmarkStart w:id="213" w:name="_Toc15396630"/>
      <w:bookmarkStart w:id="214" w:name="_Toc79163647"/>
      <w:bookmarkStart w:id="215" w:name="_Toc26572"/>
      <w:bookmarkStart w:id="216" w:name="_Toc9065"/>
      <w:r>
        <w:rPr>
          <w:rFonts w:hint="eastAsia"/>
        </w:rPr>
        <w:t>十一、</w:t>
      </w:r>
      <w:bookmarkEnd w:id="212"/>
      <w:bookmarkEnd w:id="213"/>
      <w:bookmarkEnd w:id="214"/>
      <w:bookmarkStart w:id="217" w:name="_Toc15396631"/>
      <w:bookmarkStart w:id="218" w:name="_Toc79163898"/>
      <w:bookmarkStart w:id="219" w:name="_Toc79163648"/>
      <w:r>
        <w:rPr>
          <w:rFonts w:hint="eastAsia"/>
        </w:rPr>
        <w:t>国有资本经营预算财政拨款</w:t>
      </w:r>
      <w:r>
        <w:rPr>
          <w:rFonts w:hint="eastAsia"/>
          <w:lang w:eastAsia="zh-CN"/>
        </w:rPr>
        <w:t>收入</w:t>
      </w:r>
      <w:r>
        <w:rPr>
          <w:rFonts w:hint="eastAsia"/>
        </w:rPr>
        <w:t>支出决算表</w:t>
      </w:r>
      <w:bookmarkEnd w:id="215"/>
      <w:bookmarkEnd w:id="216"/>
      <w:bookmarkEnd w:id="217"/>
      <w:bookmarkEnd w:id="218"/>
      <w:bookmarkEnd w:id="219"/>
    </w:p>
    <w:p w14:paraId="0836D855">
      <w:pPr>
        <w:pStyle w:val="4"/>
        <w:bidi w:val="0"/>
        <w:rPr>
          <w:rFonts w:hint="eastAsia"/>
        </w:rPr>
      </w:pPr>
      <w:bookmarkStart w:id="220" w:name="_Toc79163899"/>
      <w:bookmarkStart w:id="221" w:name="_Toc7814"/>
      <w:bookmarkStart w:id="222" w:name="_Toc1340"/>
      <w:bookmarkStart w:id="223" w:name="_Toc79163649"/>
      <w:r>
        <w:rPr>
          <w:rFonts w:hint="eastAsia"/>
        </w:rPr>
        <w:t>十</w:t>
      </w:r>
      <w:r>
        <w:rPr>
          <w:rFonts w:hint="eastAsia"/>
          <w:lang w:eastAsia="zh-CN"/>
        </w:rPr>
        <w:t>二</w:t>
      </w:r>
      <w:r>
        <w:rPr>
          <w:rFonts w:hint="eastAsia"/>
        </w:rPr>
        <w:t>、国有资本经营预算财政拨款支出决算表</w:t>
      </w:r>
      <w:bookmarkEnd w:id="220"/>
      <w:bookmarkEnd w:id="221"/>
      <w:bookmarkEnd w:id="222"/>
      <w:bookmarkEnd w:id="223"/>
    </w:p>
    <w:p w14:paraId="7FB0DE1A">
      <w:pPr>
        <w:pStyle w:val="4"/>
        <w:bidi w:val="0"/>
      </w:pPr>
      <w:bookmarkStart w:id="224" w:name="_Toc2902"/>
      <w:bookmarkStart w:id="225" w:name="_Toc5658"/>
      <w:r>
        <w:rPr>
          <w:rFonts w:hint="eastAsia"/>
          <w:lang w:eastAsia="zh-CN"/>
        </w:rPr>
        <w:t>十三、</w:t>
      </w:r>
      <w:r>
        <w:rPr>
          <w:rFonts w:hint="eastAsia"/>
        </w:rPr>
        <w:t>财政拨款“三公”经费支出决算表</w:t>
      </w:r>
      <w:bookmarkEnd w:id="224"/>
      <w:bookmarkEnd w:id="225"/>
    </w:p>
    <w:p w14:paraId="21EAD569"/>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177E79-06BD-4D1F-91B0-A9992A969A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BCD769B-B77E-4E6D-B211-44727029F056}"/>
  </w:font>
  <w:font w:name="Cambria">
    <w:panose1 w:val="02040503050406030204"/>
    <w:charset w:val="00"/>
    <w:family w:val="roman"/>
    <w:pitch w:val="default"/>
    <w:sig w:usb0="E00006FF" w:usb1="420024FF" w:usb2="02000000" w:usb3="00000000" w:csb0="2000019F" w:csb1="00000000"/>
    <w:embedRegular r:id="rId3" w:fontKey="{8385E900-FEC8-4B68-8C7E-5CBF859D5339}"/>
  </w:font>
  <w:font w:name="等线">
    <w:panose1 w:val="02010600030101010101"/>
    <w:charset w:val="86"/>
    <w:family w:val="auto"/>
    <w:pitch w:val="default"/>
    <w:sig w:usb0="A00002BF" w:usb1="38CF7CFA" w:usb2="00000016" w:usb3="00000000" w:csb0="0004000F" w:csb1="00000000"/>
    <w:embedRegular r:id="rId4" w:fontKey="{5A0A8FBF-26EE-4395-BC99-EFC0412D19D6}"/>
  </w:font>
  <w:font w:name="仿宋_GB2312">
    <w:panose1 w:val="02010609030101010101"/>
    <w:charset w:val="86"/>
    <w:family w:val="modern"/>
    <w:pitch w:val="default"/>
    <w:sig w:usb0="00000001" w:usb1="080E0000" w:usb2="00000000" w:usb3="00000000" w:csb0="00040000" w:csb1="00000000"/>
    <w:embedRegular r:id="rId5" w:fontKey="{D52ADB47-44D7-4B6D-BF95-A9B11A32CF4A}"/>
  </w:font>
  <w:font w:name="仿宋">
    <w:panose1 w:val="02010609060101010101"/>
    <w:charset w:val="86"/>
    <w:family w:val="auto"/>
    <w:pitch w:val="default"/>
    <w:sig w:usb0="800002BF" w:usb1="38CF7CFA" w:usb2="00000016" w:usb3="00000000" w:csb0="00040001" w:csb1="00000000"/>
    <w:embedRegular r:id="rId6" w:fontKey="{7ECF9A7A-0624-4894-90AC-82A9F92935CE}"/>
  </w:font>
  <w:font w:name="等线 Light">
    <w:panose1 w:val="02010600030101010101"/>
    <w:charset w:val="86"/>
    <w:family w:val="auto"/>
    <w:pitch w:val="default"/>
    <w:sig w:usb0="A00002BF" w:usb1="38CF7CFA" w:usb2="00000016" w:usb3="00000000" w:csb0="0004000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0010101010101"/>
    <w:charset w:val="86"/>
    <w:family w:val="script"/>
    <w:pitch w:val="default"/>
    <w:sig w:usb0="00000001" w:usb1="080E0000" w:usb2="00000000" w:usb3="00000000" w:csb0="00040000" w:csb1="00000000"/>
    <w:embedRegular r:id="rId7" w:fontKey="{F0A4F8A4-3DF3-4E10-87A8-1922EF50601D}"/>
  </w:font>
  <w:font w:name="楷体_GB2312">
    <w:panose1 w:val="02010609030101010101"/>
    <w:charset w:val="86"/>
    <w:family w:val="modern"/>
    <w:pitch w:val="default"/>
    <w:sig w:usb0="00000001" w:usb1="080E0000" w:usb2="00000000" w:usb3="00000000" w:csb0="00040000" w:csb1="00000000"/>
    <w:embedRegular r:id="rId8" w:fontKey="{95C48B57-E95C-4ABF-89FB-64A2159B69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FED6B">
    <w:pPr>
      <w:pStyle w:val="2"/>
      <w:jc w:val="center"/>
    </w:pPr>
    <w:r>
      <w:fldChar w:fldCharType="begin"/>
    </w:r>
    <w:r>
      <w:instrText xml:space="preserve">PAGE   \* MERGEFORMAT</w:instrText>
    </w:r>
    <w:r>
      <w:fldChar w:fldCharType="separate"/>
    </w:r>
    <w:r>
      <w:rPr>
        <w:lang w:val="zh-CN"/>
      </w:rPr>
      <w:t>24</w:t>
    </w:r>
    <w:r>
      <w:fldChar w:fldCharType="end"/>
    </w:r>
  </w:p>
  <w:p w14:paraId="5B3DB87E">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D885B">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GQ2MDIyMzAyZmJlN2UzYTBjNTcxNmZiYzJiYzFiZm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16757"/>
    <w:rsid w:val="00220536"/>
    <w:rsid w:val="002216A5"/>
    <w:rsid w:val="00235629"/>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05F0E"/>
    <w:rsid w:val="003216A9"/>
    <w:rsid w:val="00335A74"/>
    <w:rsid w:val="0036561B"/>
    <w:rsid w:val="0037013F"/>
    <w:rsid w:val="00380C92"/>
    <w:rsid w:val="003A1493"/>
    <w:rsid w:val="003A484F"/>
    <w:rsid w:val="003A4883"/>
    <w:rsid w:val="003B0BE0"/>
    <w:rsid w:val="003B0C1B"/>
    <w:rsid w:val="003B688C"/>
    <w:rsid w:val="003C0291"/>
    <w:rsid w:val="003C39AE"/>
    <w:rsid w:val="003C7B60"/>
    <w:rsid w:val="003D0C0F"/>
    <w:rsid w:val="003D1FB2"/>
    <w:rsid w:val="003D21B2"/>
    <w:rsid w:val="003D66DA"/>
    <w:rsid w:val="003E1310"/>
    <w:rsid w:val="003E6F55"/>
    <w:rsid w:val="003E6FE4"/>
    <w:rsid w:val="00406254"/>
    <w:rsid w:val="004223DE"/>
    <w:rsid w:val="00434489"/>
    <w:rsid w:val="00437085"/>
    <w:rsid w:val="00440FD5"/>
    <w:rsid w:val="00443880"/>
    <w:rsid w:val="00445607"/>
    <w:rsid w:val="004464F4"/>
    <w:rsid w:val="00471401"/>
    <w:rsid w:val="00473F31"/>
    <w:rsid w:val="0048263A"/>
    <w:rsid w:val="004826DF"/>
    <w:rsid w:val="00487E5D"/>
    <w:rsid w:val="00491B00"/>
    <w:rsid w:val="004A711F"/>
    <w:rsid w:val="004B199D"/>
    <w:rsid w:val="004B4690"/>
    <w:rsid w:val="004C2E32"/>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3E74"/>
    <w:rsid w:val="00746F48"/>
    <w:rsid w:val="0075194C"/>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A572A"/>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47EA1"/>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5D6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B7363"/>
    <w:rsid w:val="00FD3CC1"/>
    <w:rsid w:val="00FE03FA"/>
    <w:rsid w:val="00FF1E02"/>
    <w:rsid w:val="00FF30B4"/>
    <w:rsid w:val="011A24F4"/>
    <w:rsid w:val="01557C86"/>
    <w:rsid w:val="017F7C28"/>
    <w:rsid w:val="01D767F9"/>
    <w:rsid w:val="01EA1863"/>
    <w:rsid w:val="01F84A24"/>
    <w:rsid w:val="01FF3BC3"/>
    <w:rsid w:val="021A09FD"/>
    <w:rsid w:val="02520B61"/>
    <w:rsid w:val="025A744B"/>
    <w:rsid w:val="026223A4"/>
    <w:rsid w:val="02672D95"/>
    <w:rsid w:val="029F67CB"/>
    <w:rsid w:val="02F6117F"/>
    <w:rsid w:val="02FA082F"/>
    <w:rsid w:val="032D79E9"/>
    <w:rsid w:val="034675D0"/>
    <w:rsid w:val="035B330C"/>
    <w:rsid w:val="03C9121D"/>
    <w:rsid w:val="043B10FF"/>
    <w:rsid w:val="045C354F"/>
    <w:rsid w:val="0462668B"/>
    <w:rsid w:val="04680802"/>
    <w:rsid w:val="04903021"/>
    <w:rsid w:val="04CC2C82"/>
    <w:rsid w:val="053E7D66"/>
    <w:rsid w:val="05836662"/>
    <w:rsid w:val="05BF70EF"/>
    <w:rsid w:val="062907FE"/>
    <w:rsid w:val="064B5B68"/>
    <w:rsid w:val="06783F44"/>
    <w:rsid w:val="06A74078"/>
    <w:rsid w:val="06E750DC"/>
    <w:rsid w:val="06F048FE"/>
    <w:rsid w:val="06FC4FE7"/>
    <w:rsid w:val="07666063"/>
    <w:rsid w:val="07893F2F"/>
    <w:rsid w:val="078B7CA7"/>
    <w:rsid w:val="07B23486"/>
    <w:rsid w:val="07D016BA"/>
    <w:rsid w:val="07E77B7B"/>
    <w:rsid w:val="07F4584C"/>
    <w:rsid w:val="080A6125"/>
    <w:rsid w:val="08852948"/>
    <w:rsid w:val="08A2174C"/>
    <w:rsid w:val="08C56A9F"/>
    <w:rsid w:val="08CC16A6"/>
    <w:rsid w:val="08D57872"/>
    <w:rsid w:val="09201533"/>
    <w:rsid w:val="092C0E55"/>
    <w:rsid w:val="093F6F9B"/>
    <w:rsid w:val="09B334C6"/>
    <w:rsid w:val="09B7427B"/>
    <w:rsid w:val="09D059F8"/>
    <w:rsid w:val="09D678FF"/>
    <w:rsid w:val="0A2032A3"/>
    <w:rsid w:val="0A4E1819"/>
    <w:rsid w:val="0A544CC8"/>
    <w:rsid w:val="0A5F057F"/>
    <w:rsid w:val="0AB539B9"/>
    <w:rsid w:val="0ACC2AB1"/>
    <w:rsid w:val="0AF0679F"/>
    <w:rsid w:val="0B0009AC"/>
    <w:rsid w:val="0B201BB0"/>
    <w:rsid w:val="0B3A5C6C"/>
    <w:rsid w:val="0B57160F"/>
    <w:rsid w:val="0B7A7AE1"/>
    <w:rsid w:val="0B8A0B46"/>
    <w:rsid w:val="0C0F688B"/>
    <w:rsid w:val="0C6C2DD7"/>
    <w:rsid w:val="0C840D85"/>
    <w:rsid w:val="0D005DAC"/>
    <w:rsid w:val="0D0D0490"/>
    <w:rsid w:val="0D195C68"/>
    <w:rsid w:val="0D463A32"/>
    <w:rsid w:val="0D5C3CB4"/>
    <w:rsid w:val="0D913B3D"/>
    <w:rsid w:val="0DA8327A"/>
    <w:rsid w:val="0DAE2941"/>
    <w:rsid w:val="0DC14CF2"/>
    <w:rsid w:val="0DE25817"/>
    <w:rsid w:val="0DE52622"/>
    <w:rsid w:val="0E432912"/>
    <w:rsid w:val="0E4D5A02"/>
    <w:rsid w:val="0E5354B1"/>
    <w:rsid w:val="0E547045"/>
    <w:rsid w:val="0EB9334C"/>
    <w:rsid w:val="0F19203C"/>
    <w:rsid w:val="0F3A448D"/>
    <w:rsid w:val="0F517484"/>
    <w:rsid w:val="0F5B292A"/>
    <w:rsid w:val="0F707EAE"/>
    <w:rsid w:val="0F8422AA"/>
    <w:rsid w:val="0F8C7AFC"/>
    <w:rsid w:val="0F931DEF"/>
    <w:rsid w:val="0FAB0EE6"/>
    <w:rsid w:val="0FB573D4"/>
    <w:rsid w:val="0FD77F2D"/>
    <w:rsid w:val="0FE4264A"/>
    <w:rsid w:val="103D0055"/>
    <w:rsid w:val="10625293"/>
    <w:rsid w:val="10C055FF"/>
    <w:rsid w:val="10D75210"/>
    <w:rsid w:val="10FB0ECD"/>
    <w:rsid w:val="117C18A2"/>
    <w:rsid w:val="118107EC"/>
    <w:rsid w:val="11E53158"/>
    <w:rsid w:val="11E93F48"/>
    <w:rsid w:val="11FA74B5"/>
    <w:rsid w:val="12150EE0"/>
    <w:rsid w:val="123868CC"/>
    <w:rsid w:val="12632CF8"/>
    <w:rsid w:val="129A4568"/>
    <w:rsid w:val="12B12523"/>
    <w:rsid w:val="12B91B6C"/>
    <w:rsid w:val="12D46F2A"/>
    <w:rsid w:val="12E84200"/>
    <w:rsid w:val="13644CE0"/>
    <w:rsid w:val="13653AA2"/>
    <w:rsid w:val="136A730B"/>
    <w:rsid w:val="137837D5"/>
    <w:rsid w:val="13D824C6"/>
    <w:rsid w:val="13F54E26"/>
    <w:rsid w:val="14531B4D"/>
    <w:rsid w:val="14573B50"/>
    <w:rsid w:val="1481490C"/>
    <w:rsid w:val="14BE1C56"/>
    <w:rsid w:val="14DD234F"/>
    <w:rsid w:val="152C2AC9"/>
    <w:rsid w:val="153D61E9"/>
    <w:rsid w:val="159E355E"/>
    <w:rsid w:val="15A46B04"/>
    <w:rsid w:val="15AA4F76"/>
    <w:rsid w:val="15BE749A"/>
    <w:rsid w:val="16186C75"/>
    <w:rsid w:val="162E461F"/>
    <w:rsid w:val="163D2EC8"/>
    <w:rsid w:val="16BB723D"/>
    <w:rsid w:val="16C76B30"/>
    <w:rsid w:val="16CD5BE6"/>
    <w:rsid w:val="16E6621B"/>
    <w:rsid w:val="16F749D7"/>
    <w:rsid w:val="171E4694"/>
    <w:rsid w:val="175C51BC"/>
    <w:rsid w:val="176127D3"/>
    <w:rsid w:val="17BC6531"/>
    <w:rsid w:val="17C214C3"/>
    <w:rsid w:val="17CE2358"/>
    <w:rsid w:val="17E22640"/>
    <w:rsid w:val="181D3D3B"/>
    <w:rsid w:val="18263453"/>
    <w:rsid w:val="18880A38"/>
    <w:rsid w:val="18C80E11"/>
    <w:rsid w:val="191F0F3B"/>
    <w:rsid w:val="193E101D"/>
    <w:rsid w:val="198B210F"/>
    <w:rsid w:val="19AA220F"/>
    <w:rsid w:val="19EF21CA"/>
    <w:rsid w:val="1A176D41"/>
    <w:rsid w:val="1A200662"/>
    <w:rsid w:val="1A454F4F"/>
    <w:rsid w:val="1A525A56"/>
    <w:rsid w:val="1A5555CF"/>
    <w:rsid w:val="1AB71087"/>
    <w:rsid w:val="1AC63078"/>
    <w:rsid w:val="1ADB3B51"/>
    <w:rsid w:val="1B012302"/>
    <w:rsid w:val="1B4A5220"/>
    <w:rsid w:val="1B5C44FF"/>
    <w:rsid w:val="1B680985"/>
    <w:rsid w:val="1B741078"/>
    <w:rsid w:val="1B7E3953"/>
    <w:rsid w:val="1C365057"/>
    <w:rsid w:val="1CA24D2C"/>
    <w:rsid w:val="1CF87587"/>
    <w:rsid w:val="1D155CEE"/>
    <w:rsid w:val="1D321AB3"/>
    <w:rsid w:val="1D641A3B"/>
    <w:rsid w:val="1DCF0F79"/>
    <w:rsid w:val="1DEA3522"/>
    <w:rsid w:val="1DFB26F8"/>
    <w:rsid w:val="1DFD14A7"/>
    <w:rsid w:val="1E075E82"/>
    <w:rsid w:val="1E3173A3"/>
    <w:rsid w:val="1E71779F"/>
    <w:rsid w:val="1EAA2CB1"/>
    <w:rsid w:val="1EB3600A"/>
    <w:rsid w:val="1ECA767A"/>
    <w:rsid w:val="1F130856"/>
    <w:rsid w:val="1F1A3993"/>
    <w:rsid w:val="1F36100F"/>
    <w:rsid w:val="1F3709E9"/>
    <w:rsid w:val="1F393F29"/>
    <w:rsid w:val="1F5C7960"/>
    <w:rsid w:val="1F75506D"/>
    <w:rsid w:val="1FC4548F"/>
    <w:rsid w:val="1FCB2EDF"/>
    <w:rsid w:val="1FD925DC"/>
    <w:rsid w:val="1FE3647B"/>
    <w:rsid w:val="1FE65A0D"/>
    <w:rsid w:val="1FEA19E4"/>
    <w:rsid w:val="1FF95C9E"/>
    <w:rsid w:val="200054D9"/>
    <w:rsid w:val="2000702C"/>
    <w:rsid w:val="200A67BC"/>
    <w:rsid w:val="202D1D4F"/>
    <w:rsid w:val="20D46DA3"/>
    <w:rsid w:val="20D924A7"/>
    <w:rsid w:val="20DC724C"/>
    <w:rsid w:val="20FF1092"/>
    <w:rsid w:val="211C60E8"/>
    <w:rsid w:val="218E0668"/>
    <w:rsid w:val="219A1071"/>
    <w:rsid w:val="219C2C5A"/>
    <w:rsid w:val="21F00CFC"/>
    <w:rsid w:val="223631D9"/>
    <w:rsid w:val="22407BB4"/>
    <w:rsid w:val="228B7B4C"/>
    <w:rsid w:val="22F57F5F"/>
    <w:rsid w:val="23082C00"/>
    <w:rsid w:val="232013C0"/>
    <w:rsid w:val="23874C81"/>
    <w:rsid w:val="238A128B"/>
    <w:rsid w:val="23AE0AFC"/>
    <w:rsid w:val="23B60B3C"/>
    <w:rsid w:val="240371BF"/>
    <w:rsid w:val="240E633C"/>
    <w:rsid w:val="243D55F7"/>
    <w:rsid w:val="244D480A"/>
    <w:rsid w:val="247F25C4"/>
    <w:rsid w:val="24992D39"/>
    <w:rsid w:val="25186BC6"/>
    <w:rsid w:val="25211BFB"/>
    <w:rsid w:val="257162C9"/>
    <w:rsid w:val="25777D91"/>
    <w:rsid w:val="25B61977"/>
    <w:rsid w:val="25C62619"/>
    <w:rsid w:val="25DA6FFE"/>
    <w:rsid w:val="26146FEE"/>
    <w:rsid w:val="26241652"/>
    <w:rsid w:val="26395046"/>
    <w:rsid w:val="26797B69"/>
    <w:rsid w:val="26BF1EA8"/>
    <w:rsid w:val="26D134D1"/>
    <w:rsid w:val="26D94133"/>
    <w:rsid w:val="274243CE"/>
    <w:rsid w:val="275218B7"/>
    <w:rsid w:val="27846458"/>
    <w:rsid w:val="27EB7DC2"/>
    <w:rsid w:val="285E0E24"/>
    <w:rsid w:val="286C211B"/>
    <w:rsid w:val="287F66F0"/>
    <w:rsid w:val="28904CC6"/>
    <w:rsid w:val="28C57065"/>
    <w:rsid w:val="28CB21A2"/>
    <w:rsid w:val="28CD2CD7"/>
    <w:rsid w:val="28E43F0A"/>
    <w:rsid w:val="291D3BDF"/>
    <w:rsid w:val="294A1318"/>
    <w:rsid w:val="29785E86"/>
    <w:rsid w:val="29950CD4"/>
    <w:rsid w:val="29DE708C"/>
    <w:rsid w:val="29FD04D3"/>
    <w:rsid w:val="2A4C2E6E"/>
    <w:rsid w:val="2ABB3671"/>
    <w:rsid w:val="2B0231C1"/>
    <w:rsid w:val="2B204A27"/>
    <w:rsid w:val="2B674404"/>
    <w:rsid w:val="2B730E92"/>
    <w:rsid w:val="2BBD2276"/>
    <w:rsid w:val="2C18054F"/>
    <w:rsid w:val="2C2C73FB"/>
    <w:rsid w:val="2C2E6CCF"/>
    <w:rsid w:val="2C3B13EC"/>
    <w:rsid w:val="2C932FD6"/>
    <w:rsid w:val="2CD76D6A"/>
    <w:rsid w:val="2CFC458D"/>
    <w:rsid w:val="2D091D77"/>
    <w:rsid w:val="2D1C1753"/>
    <w:rsid w:val="2D4F15F3"/>
    <w:rsid w:val="2D5B0462"/>
    <w:rsid w:val="2D74105A"/>
    <w:rsid w:val="2D7C1ABB"/>
    <w:rsid w:val="2DBD2AFF"/>
    <w:rsid w:val="2E0E6DB8"/>
    <w:rsid w:val="2E472D80"/>
    <w:rsid w:val="2ED00512"/>
    <w:rsid w:val="2EDF4901"/>
    <w:rsid w:val="2F03408D"/>
    <w:rsid w:val="2F1C1962"/>
    <w:rsid w:val="2F340AA1"/>
    <w:rsid w:val="2F535AFE"/>
    <w:rsid w:val="2F547F70"/>
    <w:rsid w:val="2FB7522E"/>
    <w:rsid w:val="30516956"/>
    <w:rsid w:val="307418A8"/>
    <w:rsid w:val="3095556F"/>
    <w:rsid w:val="30AA4E09"/>
    <w:rsid w:val="30C06F13"/>
    <w:rsid w:val="30C70B6F"/>
    <w:rsid w:val="30C95219"/>
    <w:rsid w:val="310426F5"/>
    <w:rsid w:val="313C1821"/>
    <w:rsid w:val="31532D34"/>
    <w:rsid w:val="318A2BFA"/>
    <w:rsid w:val="319F7F4E"/>
    <w:rsid w:val="31BA1E75"/>
    <w:rsid w:val="31CC199C"/>
    <w:rsid w:val="31EA3699"/>
    <w:rsid w:val="321E7A16"/>
    <w:rsid w:val="324E152F"/>
    <w:rsid w:val="32554564"/>
    <w:rsid w:val="32AD269B"/>
    <w:rsid w:val="32B10BB2"/>
    <w:rsid w:val="32C1557F"/>
    <w:rsid w:val="32FD73FC"/>
    <w:rsid w:val="33604EFD"/>
    <w:rsid w:val="336E20A7"/>
    <w:rsid w:val="338418CB"/>
    <w:rsid w:val="338A0A46"/>
    <w:rsid w:val="338D1AC5"/>
    <w:rsid w:val="33C4138D"/>
    <w:rsid w:val="33F00D0E"/>
    <w:rsid w:val="34591F09"/>
    <w:rsid w:val="34595CE3"/>
    <w:rsid w:val="34777DD3"/>
    <w:rsid w:val="348F353E"/>
    <w:rsid w:val="34981946"/>
    <w:rsid w:val="34A67003"/>
    <w:rsid w:val="34A96EF5"/>
    <w:rsid w:val="34AD1A23"/>
    <w:rsid w:val="34D12110"/>
    <w:rsid w:val="34E2157E"/>
    <w:rsid w:val="35076310"/>
    <w:rsid w:val="354912F6"/>
    <w:rsid w:val="356B4A69"/>
    <w:rsid w:val="35B46497"/>
    <w:rsid w:val="35C97A69"/>
    <w:rsid w:val="35F1149A"/>
    <w:rsid w:val="35F22391"/>
    <w:rsid w:val="36172963"/>
    <w:rsid w:val="36386FC7"/>
    <w:rsid w:val="36953723"/>
    <w:rsid w:val="36B9188B"/>
    <w:rsid w:val="36F77E34"/>
    <w:rsid w:val="36FB1EA4"/>
    <w:rsid w:val="37054FE1"/>
    <w:rsid w:val="37175D10"/>
    <w:rsid w:val="374B2E2B"/>
    <w:rsid w:val="375F7C86"/>
    <w:rsid w:val="37715184"/>
    <w:rsid w:val="37753A04"/>
    <w:rsid w:val="380120BE"/>
    <w:rsid w:val="380A6843"/>
    <w:rsid w:val="381646D1"/>
    <w:rsid w:val="381D303F"/>
    <w:rsid w:val="38516908"/>
    <w:rsid w:val="38957B7A"/>
    <w:rsid w:val="38963F5A"/>
    <w:rsid w:val="38EA3900"/>
    <w:rsid w:val="3962445C"/>
    <w:rsid w:val="396F6D65"/>
    <w:rsid w:val="399C2409"/>
    <w:rsid w:val="39A3794E"/>
    <w:rsid w:val="39A6259B"/>
    <w:rsid w:val="39A86313"/>
    <w:rsid w:val="39B337F4"/>
    <w:rsid w:val="39C42B6E"/>
    <w:rsid w:val="39C75CA8"/>
    <w:rsid w:val="39D72453"/>
    <w:rsid w:val="39FC7DA9"/>
    <w:rsid w:val="3A0D43C8"/>
    <w:rsid w:val="3A2B2AA0"/>
    <w:rsid w:val="3A5267A9"/>
    <w:rsid w:val="3A8723CC"/>
    <w:rsid w:val="3AB17449"/>
    <w:rsid w:val="3AEE41FA"/>
    <w:rsid w:val="3AEF7F72"/>
    <w:rsid w:val="3B40257B"/>
    <w:rsid w:val="3B4C0F20"/>
    <w:rsid w:val="3B9D352A"/>
    <w:rsid w:val="3BC136BC"/>
    <w:rsid w:val="3BD93B21"/>
    <w:rsid w:val="3C025A83"/>
    <w:rsid w:val="3C6D2AA1"/>
    <w:rsid w:val="3C7C75E3"/>
    <w:rsid w:val="3CB23005"/>
    <w:rsid w:val="3CBE5E4E"/>
    <w:rsid w:val="3CCC799D"/>
    <w:rsid w:val="3CDB07AE"/>
    <w:rsid w:val="3CE90892"/>
    <w:rsid w:val="3CF74EBC"/>
    <w:rsid w:val="3CFA3B9B"/>
    <w:rsid w:val="3D043BC6"/>
    <w:rsid w:val="3D0B64DC"/>
    <w:rsid w:val="3D1E069A"/>
    <w:rsid w:val="3D22018A"/>
    <w:rsid w:val="3D2560F1"/>
    <w:rsid w:val="3D7A5128"/>
    <w:rsid w:val="3D7E1E14"/>
    <w:rsid w:val="3D826E7B"/>
    <w:rsid w:val="3D915F5A"/>
    <w:rsid w:val="3DBA6615"/>
    <w:rsid w:val="3DDE046E"/>
    <w:rsid w:val="3E166881"/>
    <w:rsid w:val="3E404FBC"/>
    <w:rsid w:val="3E496766"/>
    <w:rsid w:val="3E5E1696"/>
    <w:rsid w:val="3EA31171"/>
    <w:rsid w:val="3F1955BD"/>
    <w:rsid w:val="3F420C31"/>
    <w:rsid w:val="3F4D5C14"/>
    <w:rsid w:val="3F5E32FA"/>
    <w:rsid w:val="3F732F1F"/>
    <w:rsid w:val="3FD26F48"/>
    <w:rsid w:val="3FEA3008"/>
    <w:rsid w:val="40185875"/>
    <w:rsid w:val="4035294D"/>
    <w:rsid w:val="40703903"/>
    <w:rsid w:val="4070745F"/>
    <w:rsid w:val="407168E8"/>
    <w:rsid w:val="40EB6A7A"/>
    <w:rsid w:val="41272213"/>
    <w:rsid w:val="41377F7D"/>
    <w:rsid w:val="413F69E8"/>
    <w:rsid w:val="419C0E9D"/>
    <w:rsid w:val="41A27AEC"/>
    <w:rsid w:val="41A70DCB"/>
    <w:rsid w:val="41DE664A"/>
    <w:rsid w:val="41E4693C"/>
    <w:rsid w:val="42660337"/>
    <w:rsid w:val="428E32D4"/>
    <w:rsid w:val="429B7144"/>
    <w:rsid w:val="42A1029C"/>
    <w:rsid w:val="42B717A5"/>
    <w:rsid w:val="42C62075"/>
    <w:rsid w:val="43512CF9"/>
    <w:rsid w:val="4355293C"/>
    <w:rsid w:val="4364540B"/>
    <w:rsid w:val="43836A7D"/>
    <w:rsid w:val="43993170"/>
    <w:rsid w:val="43B24761"/>
    <w:rsid w:val="43BB4E95"/>
    <w:rsid w:val="4416656F"/>
    <w:rsid w:val="443F7874"/>
    <w:rsid w:val="449E394E"/>
    <w:rsid w:val="44BA48F5"/>
    <w:rsid w:val="44C22253"/>
    <w:rsid w:val="44D9323B"/>
    <w:rsid w:val="44DE672E"/>
    <w:rsid w:val="44F52B38"/>
    <w:rsid w:val="451B0C14"/>
    <w:rsid w:val="452B1BA6"/>
    <w:rsid w:val="45464C32"/>
    <w:rsid w:val="454D068E"/>
    <w:rsid w:val="45DE7A04"/>
    <w:rsid w:val="45F6129B"/>
    <w:rsid w:val="46225C28"/>
    <w:rsid w:val="46244F73"/>
    <w:rsid w:val="467F7C84"/>
    <w:rsid w:val="468C2B19"/>
    <w:rsid w:val="469E1079"/>
    <w:rsid w:val="46AB56B9"/>
    <w:rsid w:val="46BF4086"/>
    <w:rsid w:val="46C04E4C"/>
    <w:rsid w:val="46D02155"/>
    <w:rsid w:val="46D324F5"/>
    <w:rsid w:val="472A5965"/>
    <w:rsid w:val="47BB774D"/>
    <w:rsid w:val="4858701A"/>
    <w:rsid w:val="489E012A"/>
    <w:rsid w:val="48D228E2"/>
    <w:rsid w:val="48FD385A"/>
    <w:rsid w:val="48FD584B"/>
    <w:rsid w:val="49070544"/>
    <w:rsid w:val="4960068B"/>
    <w:rsid w:val="49990F6B"/>
    <w:rsid w:val="49F17862"/>
    <w:rsid w:val="4A0836C9"/>
    <w:rsid w:val="4A496D4D"/>
    <w:rsid w:val="4A4E6A63"/>
    <w:rsid w:val="4AD64ECA"/>
    <w:rsid w:val="4AE80FFA"/>
    <w:rsid w:val="4B50680B"/>
    <w:rsid w:val="4BAB0C88"/>
    <w:rsid w:val="4BAF2C7F"/>
    <w:rsid w:val="4BBE7E3D"/>
    <w:rsid w:val="4C862103"/>
    <w:rsid w:val="4C96142F"/>
    <w:rsid w:val="4CA30BBC"/>
    <w:rsid w:val="4D0F1DAD"/>
    <w:rsid w:val="4D2A060B"/>
    <w:rsid w:val="4D4E0A83"/>
    <w:rsid w:val="4D92310A"/>
    <w:rsid w:val="4D9A5B1B"/>
    <w:rsid w:val="4E224114"/>
    <w:rsid w:val="4E2B74E2"/>
    <w:rsid w:val="4E50267E"/>
    <w:rsid w:val="4E5C4DA6"/>
    <w:rsid w:val="4E6A7BE3"/>
    <w:rsid w:val="4E9B1B4B"/>
    <w:rsid w:val="4EA60DCD"/>
    <w:rsid w:val="4EC065E3"/>
    <w:rsid w:val="4ECE2238"/>
    <w:rsid w:val="4ECF5C98"/>
    <w:rsid w:val="4ED66DF1"/>
    <w:rsid w:val="4F037901"/>
    <w:rsid w:val="4F6603AB"/>
    <w:rsid w:val="4F7F2836"/>
    <w:rsid w:val="4F813A17"/>
    <w:rsid w:val="4F952A3E"/>
    <w:rsid w:val="4FC130CA"/>
    <w:rsid w:val="50084550"/>
    <w:rsid w:val="501B519F"/>
    <w:rsid w:val="50650662"/>
    <w:rsid w:val="506A211C"/>
    <w:rsid w:val="50D932E2"/>
    <w:rsid w:val="50F351DB"/>
    <w:rsid w:val="512A365A"/>
    <w:rsid w:val="51313562"/>
    <w:rsid w:val="51337CB9"/>
    <w:rsid w:val="51533C6F"/>
    <w:rsid w:val="519549F8"/>
    <w:rsid w:val="519C27F3"/>
    <w:rsid w:val="51AC6718"/>
    <w:rsid w:val="51F779E0"/>
    <w:rsid w:val="51F974A8"/>
    <w:rsid w:val="52227C3C"/>
    <w:rsid w:val="523B7907"/>
    <w:rsid w:val="5256588A"/>
    <w:rsid w:val="525E35BB"/>
    <w:rsid w:val="52802FA6"/>
    <w:rsid w:val="52854EE7"/>
    <w:rsid w:val="52CB3325"/>
    <w:rsid w:val="5301376E"/>
    <w:rsid w:val="53041DA0"/>
    <w:rsid w:val="531F6EC4"/>
    <w:rsid w:val="531F786D"/>
    <w:rsid w:val="537E1A3B"/>
    <w:rsid w:val="53812EBF"/>
    <w:rsid w:val="53AF619A"/>
    <w:rsid w:val="53EA4849"/>
    <w:rsid w:val="540208BE"/>
    <w:rsid w:val="54036E8C"/>
    <w:rsid w:val="544E765F"/>
    <w:rsid w:val="5450652C"/>
    <w:rsid w:val="54C33BA9"/>
    <w:rsid w:val="54E33989"/>
    <w:rsid w:val="551B5793"/>
    <w:rsid w:val="5528757E"/>
    <w:rsid w:val="556905B4"/>
    <w:rsid w:val="557B26D6"/>
    <w:rsid w:val="557E4224"/>
    <w:rsid w:val="5589597B"/>
    <w:rsid w:val="558D49B5"/>
    <w:rsid w:val="55C0458D"/>
    <w:rsid w:val="55DC5B3A"/>
    <w:rsid w:val="56036ACC"/>
    <w:rsid w:val="566767C4"/>
    <w:rsid w:val="56707D61"/>
    <w:rsid w:val="56EB4465"/>
    <w:rsid w:val="5723363E"/>
    <w:rsid w:val="572B1EDA"/>
    <w:rsid w:val="57341C36"/>
    <w:rsid w:val="57590062"/>
    <w:rsid w:val="57612F80"/>
    <w:rsid w:val="578A05D1"/>
    <w:rsid w:val="578C4869"/>
    <w:rsid w:val="57923690"/>
    <w:rsid w:val="57A20B70"/>
    <w:rsid w:val="57C16AA1"/>
    <w:rsid w:val="57EE53E1"/>
    <w:rsid w:val="57F549C2"/>
    <w:rsid w:val="58523B82"/>
    <w:rsid w:val="58AD704A"/>
    <w:rsid w:val="58BB7D16"/>
    <w:rsid w:val="58BD6086"/>
    <w:rsid w:val="58CF26AC"/>
    <w:rsid w:val="58DA7713"/>
    <w:rsid w:val="59084EE7"/>
    <w:rsid w:val="59475512"/>
    <w:rsid w:val="594D7C43"/>
    <w:rsid w:val="59710078"/>
    <w:rsid w:val="597C07CB"/>
    <w:rsid w:val="59905040"/>
    <w:rsid w:val="59F91681"/>
    <w:rsid w:val="5A0A2A68"/>
    <w:rsid w:val="5A1B6236"/>
    <w:rsid w:val="5A6004CF"/>
    <w:rsid w:val="5A6220B6"/>
    <w:rsid w:val="5AA1673B"/>
    <w:rsid w:val="5ACE14FA"/>
    <w:rsid w:val="5AE96334"/>
    <w:rsid w:val="5AF97D15"/>
    <w:rsid w:val="5B1C04B7"/>
    <w:rsid w:val="5BBE156E"/>
    <w:rsid w:val="5BE866EB"/>
    <w:rsid w:val="5BF94355"/>
    <w:rsid w:val="5C0F6D7A"/>
    <w:rsid w:val="5C515F3F"/>
    <w:rsid w:val="5C61405A"/>
    <w:rsid w:val="5C615D76"/>
    <w:rsid w:val="5C7560D1"/>
    <w:rsid w:val="5CB14BAA"/>
    <w:rsid w:val="5CB62347"/>
    <w:rsid w:val="5CB84A65"/>
    <w:rsid w:val="5CC57551"/>
    <w:rsid w:val="5D10314B"/>
    <w:rsid w:val="5D1548C7"/>
    <w:rsid w:val="5D1A6C78"/>
    <w:rsid w:val="5D2A02D5"/>
    <w:rsid w:val="5D487240"/>
    <w:rsid w:val="5D610BAB"/>
    <w:rsid w:val="5D6972B8"/>
    <w:rsid w:val="5D747BFB"/>
    <w:rsid w:val="5DC23615"/>
    <w:rsid w:val="5E430883"/>
    <w:rsid w:val="5E946971"/>
    <w:rsid w:val="5E9A07AA"/>
    <w:rsid w:val="5E9F5687"/>
    <w:rsid w:val="5EC837BF"/>
    <w:rsid w:val="5EE040CD"/>
    <w:rsid w:val="5F0C45C8"/>
    <w:rsid w:val="5F285CA4"/>
    <w:rsid w:val="5F473629"/>
    <w:rsid w:val="5F5C0E82"/>
    <w:rsid w:val="5FC6607D"/>
    <w:rsid w:val="60014910"/>
    <w:rsid w:val="60321F68"/>
    <w:rsid w:val="603E024B"/>
    <w:rsid w:val="604162CA"/>
    <w:rsid w:val="60613E8B"/>
    <w:rsid w:val="60686EDF"/>
    <w:rsid w:val="60806DF2"/>
    <w:rsid w:val="60DD4245"/>
    <w:rsid w:val="60F375C4"/>
    <w:rsid w:val="60F93A70"/>
    <w:rsid w:val="6131633F"/>
    <w:rsid w:val="61C06BE4"/>
    <w:rsid w:val="61C55405"/>
    <w:rsid w:val="61D218D0"/>
    <w:rsid w:val="620E3226"/>
    <w:rsid w:val="623B6062"/>
    <w:rsid w:val="62754D93"/>
    <w:rsid w:val="62916F02"/>
    <w:rsid w:val="62C51880"/>
    <w:rsid w:val="62E169D6"/>
    <w:rsid w:val="62FB00A1"/>
    <w:rsid w:val="63065CD5"/>
    <w:rsid w:val="63337B7C"/>
    <w:rsid w:val="635C4279"/>
    <w:rsid w:val="63DB622B"/>
    <w:rsid w:val="64100BC4"/>
    <w:rsid w:val="64EF2799"/>
    <w:rsid w:val="654C1D69"/>
    <w:rsid w:val="6550556F"/>
    <w:rsid w:val="655373A1"/>
    <w:rsid w:val="655B74C6"/>
    <w:rsid w:val="65766A16"/>
    <w:rsid w:val="65B54EF0"/>
    <w:rsid w:val="65D02E5C"/>
    <w:rsid w:val="65EB2979"/>
    <w:rsid w:val="660F53AE"/>
    <w:rsid w:val="66184EFE"/>
    <w:rsid w:val="66200FAC"/>
    <w:rsid w:val="668D1157"/>
    <w:rsid w:val="669022CB"/>
    <w:rsid w:val="66A231D2"/>
    <w:rsid w:val="66C8504F"/>
    <w:rsid w:val="66DA0769"/>
    <w:rsid w:val="66E225B5"/>
    <w:rsid w:val="670053AC"/>
    <w:rsid w:val="677D4646"/>
    <w:rsid w:val="67C9107F"/>
    <w:rsid w:val="67DA5DF4"/>
    <w:rsid w:val="680D3662"/>
    <w:rsid w:val="68147C65"/>
    <w:rsid w:val="68220B94"/>
    <w:rsid w:val="685A617B"/>
    <w:rsid w:val="69185BC4"/>
    <w:rsid w:val="69244ABC"/>
    <w:rsid w:val="692A3D9F"/>
    <w:rsid w:val="69474951"/>
    <w:rsid w:val="6961173B"/>
    <w:rsid w:val="69795A68"/>
    <w:rsid w:val="69BD10B7"/>
    <w:rsid w:val="69C96604"/>
    <w:rsid w:val="69DF4B8A"/>
    <w:rsid w:val="69E90F9E"/>
    <w:rsid w:val="6A3C1716"/>
    <w:rsid w:val="6A4B0DB5"/>
    <w:rsid w:val="6A5F3081"/>
    <w:rsid w:val="6A930D7D"/>
    <w:rsid w:val="6AA2076B"/>
    <w:rsid w:val="6AF83AC7"/>
    <w:rsid w:val="6B1111A4"/>
    <w:rsid w:val="6B43739A"/>
    <w:rsid w:val="6B45527B"/>
    <w:rsid w:val="6B7D28AC"/>
    <w:rsid w:val="6B9644E1"/>
    <w:rsid w:val="6B9B71D6"/>
    <w:rsid w:val="6BA518C1"/>
    <w:rsid w:val="6BA65F73"/>
    <w:rsid w:val="6BDA5F51"/>
    <w:rsid w:val="6C4A05C8"/>
    <w:rsid w:val="6CB40823"/>
    <w:rsid w:val="6D08089B"/>
    <w:rsid w:val="6D3A2BDC"/>
    <w:rsid w:val="6D4D4CDD"/>
    <w:rsid w:val="6D716DDC"/>
    <w:rsid w:val="6D97577B"/>
    <w:rsid w:val="6DB62EDE"/>
    <w:rsid w:val="6DE54A49"/>
    <w:rsid w:val="6DFB21AE"/>
    <w:rsid w:val="6E056758"/>
    <w:rsid w:val="6E263BC8"/>
    <w:rsid w:val="6E854219"/>
    <w:rsid w:val="6EA643FE"/>
    <w:rsid w:val="6ECD58F9"/>
    <w:rsid w:val="6ED8429D"/>
    <w:rsid w:val="6ED90F8B"/>
    <w:rsid w:val="6EE01353"/>
    <w:rsid w:val="6F653D83"/>
    <w:rsid w:val="6F915C2E"/>
    <w:rsid w:val="6F9504A7"/>
    <w:rsid w:val="6F9C35E9"/>
    <w:rsid w:val="6FC75525"/>
    <w:rsid w:val="700417EE"/>
    <w:rsid w:val="708F70FB"/>
    <w:rsid w:val="709C24CA"/>
    <w:rsid w:val="709D579F"/>
    <w:rsid w:val="70A72179"/>
    <w:rsid w:val="70BD6717"/>
    <w:rsid w:val="70F51A83"/>
    <w:rsid w:val="71236462"/>
    <w:rsid w:val="71343871"/>
    <w:rsid w:val="71750F69"/>
    <w:rsid w:val="71796D0C"/>
    <w:rsid w:val="719D7894"/>
    <w:rsid w:val="71A212BE"/>
    <w:rsid w:val="71D4481E"/>
    <w:rsid w:val="71E116BB"/>
    <w:rsid w:val="71FE4E91"/>
    <w:rsid w:val="722C0B88"/>
    <w:rsid w:val="724D4B5E"/>
    <w:rsid w:val="72734D90"/>
    <w:rsid w:val="72750781"/>
    <w:rsid w:val="72BE168B"/>
    <w:rsid w:val="72C144A8"/>
    <w:rsid w:val="72C33676"/>
    <w:rsid w:val="72CD7D0C"/>
    <w:rsid w:val="731302F5"/>
    <w:rsid w:val="73165F64"/>
    <w:rsid w:val="732C7E78"/>
    <w:rsid w:val="735702B6"/>
    <w:rsid w:val="736425A4"/>
    <w:rsid w:val="738B5D82"/>
    <w:rsid w:val="73B54BAD"/>
    <w:rsid w:val="73C53785"/>
    <w:rsid w:val="74214BCF"/>
    <w:rsid w:val="74B5492C"/>
    <w:rsid w:val="74D55507"/>
    <w:rsid w:val="74E90FB2"/>
    <w:rsid w:val="74FD05BA"/>
    <w:rsid w:val="7532658D"/>
    <w:rsid w:val="753D2245"/>
    <w:rsid w:val="75526B58"/>
    <w:rsid w:val="75647827"/>
    <w:rsid w:val="75AD1FE0"/>
    <w:rsid w:val="75BC0475"/>
    <w:rsid w:val="75DC28C5"/>
    <w:rsid w:val="75E654F2"/>
    <w:rsid w:val="76054CBB"/>
    <w:rsid w:val="76EB5AA9"/>
    <w:rsid w:val="76F8372F"/>
    <w:rsid w:val="774E334F"/>
    <w:rsid w:val="778E4093"/>
    <w:rsid w:val="77905D1A"/>
    <w:rsid w:val="77A411C1"/>
    <w:rsid w:val="77BE184B"/>
    <w:rsid w:val="77D86CAD"/>
    <w:rsid w:val="77FA73B0"/>
    <w:rsid w:val="7801298E"/>
    <w:rsid w:val="7840713B"/>
    <w:rsid w:val="784E5805"/>
    <w:rsid w:val="78676109"/>
    <w:rsid w:val="787B4617"/>
    <w:rsid w:val="789D2E8F"/>
    <w:rsid w:val="78AE679B"/>
    <w:rsid w:val="79674B9C"/>
    <w:rsid w:val="796D2246"/>
    <w:rsid w:val="79703A50"/>
    <w:rsid w:val="79AE7492"/>
    <w:rsid w:val="79BE763A"/>
    <w:rsid w:val="79CC6F35"/>
    <w:rsid w:val="79D51B05"/>
    <w:rsid w:val="7A0F58EC"/>
    <w:rsid w:val="7A4A24F3"/>
    <w:rsid w:val="7A682FE2"/>
    <w:rsid w:val="7A7B2ED5"/>
    <w:rsid w:val="7A8F76C3"/>
    <w:rsid w:val="7ADA489D"/>
    <w:rsid w:val="7AEF309B"/>
    <w:rsid w:val="7B8D0C6B"/>
    <w:rsid w:val="7C1F7CDC"/>
    <w:rsid w:val="7C7F3FAA"/>
    <w:rsid w:val="7C9B6740"/>
    <w:rsid w:val="7CAA1027"/>
    <w:rsid w:val="7CFA3FE1"/>
    <w:rsid w:val="7D0D024F"/>
    <w:rsid w:val="7D7A30FD"/>
    <w:rsid w:val="7D80447E"/>
    <w:rsid w:val="7DA0242A"/>
    <w:rsid w:val="7DD95881"/>
    <w:rsid w:val="7E7C2E97"/>
    <w:rsid w:val="7E9539DA"/>
    <w:rsid w:val="7EE6756C"/>
    <w:rsid w:val="7F041E4D"/>
    <w:rsid w:val="7F475253"/>
    <w:rsid w:val="7F853FCE"/>
    <w:rsid w:val="7F92510B"/>
    <w:rsid w:val="7F9C0ED6"/>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4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28"/>
    <w:qFormat/>
    <w:uiPriority w:val="9"/>
    <w:pPr>
      <w:keepNext/>
      <w:keepLines/>
      <w:spacing w:before="260" w:after="260" w:line="416" w:lineRule="auto"/>
      <w:outlineLvl w:val="2"/>
    </w:pPr>
    <w:rPr>
      <w:b/>
      <w:bCs/>
      <w:sz w:val="32"/>
      <w:szCs w:val="32"/>
    </w:rPr>
  </w:style>
  <w:style w:type="character" w:default="1" w:styleId="23">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2">
    <w:name w:val="footer"/>
    <w:basedOn w:val="1"/>
    <w:link w:val="34"/>
    <w:qFormat/>
    <w:uiPriority w:val="99"/>
    <w:pPr>
      <w:tabs>
        <w:tab w:val="center" w:pos="4153"/>
        <w:tab w:val="right" w:pos="8306"/>
      </w:tabs>
      <w:snapToGrid w:val="0"/>
      <w:jc w:val="left"/>
    </w:pPr>
    <w:rPr>
      <w:rFonts w:ascii="Calibri" w:hAnsi="Calibri"/>
      <w:kern w:val="0"/>
      <w:sz w:val="18"/>
      <w:szCs w:val="20"/>
    </w:rPr>
  </w:style>
  <w:style w:type="paragraph" w:styleId="6">
    <w:name w:val="toc 7"/>
    <w:basedOn w:val="1"/>
    <w:next w:val="1"/>
    <w:unhideWhenUsed/>
    <w:qFormat/>
    <w:uiPriority w:val="39"/>
    <w:pPr>
      <w:ind w:left="1260"/>
      <w:jc w:val="left"/>
    </w:pPr>
    <w:rPr>
      <w:rFonts w:asciiTheme="minorHAnsi" w:eastAsiaTheme="minorHAnsi"/>
      <w:sz w:val="18"/>
      <w:szCs w:val="18"/>
    </w:rPr>
  </w:style>
  <w:style w:type="paragraph" w:styleId="7">
    <w:name w:val="Body Text"/>
    <w:basedOn w:val="1"/>
    <w:link w:val="35"/>
    <w:qFormat/>
    <w:uiPriority w:val="99"/>
    <w:pPr>
      <w:spacing w:beforeLines="30"/>
    </w:pPr>
    <w:rPr>
      <w:rFonts w:ascii="仿宋_GB2312" w:eastAsia="仿宋_GB2312"/>
      <w:kern w:val="0"/>
      <w:sz w:val="24"/>
      <w:szCs w:val="20"/>
    </w:rPr>
  </w:style>
  <w:style w:type="paragraph" w:styleId="8">
    <w:name w:val="Body Text Indent"/>
    <w:basedOn w:val="1"/>
    <w:qFormat/>
    <w:uiPriority w:val="0"/>
    <w:pPr>
      <w:spacing w:line="540" w:lineRule="exact"/>
      <w:ind w:firstLine="640" w:firstLineChars="200"/>
    </w:pPr>
    <w:rPr>
      <w:rFonts w:ascii="仿宋_GB2312"/>
      <w:kern w:val="0"/>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ody Text Indent 2"/>
    <w:basedOn w:val="1"/>
    <w:qFormat/>
    <w:uiPriority w:val="99"/>
    <w:pPr>
      <w:ind w:firstLine="570"/>
    </w:pPr>
    <w:rPr>
      <w:sz w:val="28"/>
      <w:szCs w:val="20"/>
    </w:rPr>
  </w:style>
  <w:style w:type="paragraph" w:styleId="13">
    <w:name w:val="Balloon Text"/>
    <w:basedOn w:val="1"/>
    <w:link w:val="30"/>
    <w:unhideWhenUsed/>
    <w:qFormat/>
    <w:uiPriority w:val="99"/>
    <w:rPr>
      <w:sz w:val="18"/>
      <w:szCs w:val="18"/>
    </w:rPr>
  </w:style>
  <w:style w:type="paragraph" w:styleId="14">
    <w:name w:val="header"/>
    <w:basedOn w:val="1"/>
    <w:link w:val="33"/>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toc 6"/>
    <w:basedOn w:val="1"/>
    <w:next w:val="1"/>
    <w:unhideWhenUsed/>
    <w:qFormat/>
    <w:uiPriority w:val="39"/>
    <w:pPr>
      <w:ind w:left="1050"/>
      <w:jc w:val="left"/>
    </w:pPr>
    <w:rPr>
      <w:rFonts w:asciiTheme="minorHAnsi" w:eastAsiaTheme="minorHAnsi"/>
      <w:sz w:val="18"/>
      <w:szCs w:val="18"/>
    </w:r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Body Text First Indent 2"/>
    <w:basedOn w:val="8"/>
    <w:qFormat/>
    <w:uiPriority w:val="0"/>
    <w:pPr>
      <w:ind w:firstLine="420" w:firstLineChars="200"/>
    </w:pPr>
  </w:style>
  <w:style w:type="character" w:styleId="24">
    <w:name w:val="Strong"/>
    <w:basedOn w:val="23"/>
    <w:qFormat/>
    <w:uiPriority w:val="99"/>
    <w:rPr>
      <w:rFonts w:cs="Times New Roman"/>
      <w:b/>
    </w:rPr>
  </w:style>
  <w:style w:type="character" w:styleId="25">
    <w:name w:val="Hyperlink"/>
    <w:basedOn w:val="23"/>
    <w:unhideWhenUsed/>
    <w:qFormat/>
    <w:uiPriority w:val="99"/>
    <w:rPr>
      <w:rFonts w:cs="Times New Roman"/>
      <w:color w:val="0000FF"/>
      <w:u w:val="single"/>
    </w:rPr>
  </w:style>
  <w:style w:type="character" w:customStyle="1" w:styleId="26">
    <w:name w:val="标题 1 Char"/>
    <w:basedOn w:val="23"/>
    <w:link w:val="3"/>
    <w:qFormat/>
    <w:locked/>
    <w:uiPriority w:val="9"/>
    <w:rPr>
      <w:rFonts w:ascii="Times New Roman" w:hAnsi="Times New Roman" w:cs="Times New Roman"/>
      <w:b/>
      <w:bCs/>
      <w:kern w:val="44"/>
      <w:sz w:val="44"/>
      <w:szCs w:val="44"/>
    </w:rPr>
  </w:style>
  <w:style w:type="character" w:customStyle="1" w:styleId="27">
    <w:name w:val="标题 2 Char"/>
    <w:basedOn w:val="23"/>
    <w:link w:val="4"/>
    <w:qFormat/>
    <w:locked/>
    <w:uiPriority w:val="9"/>
    <w:rPr>
      <w:rFonts w:ascii="Cambria" w:hAnsi="Cambria" w:eastAsia="宋体" w:cs="Times New Roman"/>
      <w:b/>
      <w:bCs/>
      <w:kern w:val="2"/>
      <w:sz w:val="32"/>
      <w:szCs w:val="32"/>
    </w:rPr>
  </w:style>
  <w:style w:type="character" w:customStyle="1" w:styleId="28">
    <w:name w:val="标题 3 Char"/>
    <w:basedOn w:val="23"/>
    <w:link w:val="5"/>
    <w:qFormat/>
    <w:locked/>
    <w:uiPriority w:val="9"/>
    <w:rPr>
      <w:rFonts w:ascii="Times New Roman" w:hAnsi="Times New Roman" w:cs="Times New Roman"/>
      <w:b/>
      <w:bCs/>
      <w:kern w:val="2"/>
      <w:sz w:val="32"/>
      <w:szCs w:val="32"/>
    </w:rPr>
  </w:style>
  <w:style w:type="character" w:customStyle="1" w:styleId="29">
    <w:name w:val="Body Text Char"/>
    <w:basedOn w:val="23"/>
    <w:semiHidden/>
    <w:qFormat/>
    <w:uiPriority w:val="99"/>
    <w:rPr>
      <w:rFonts w:ascii="Times New Roman" w:hAnsi="Times New Roman" w:cs="Times New Roman"/>
      <w:sz w:val="24"/>
      <w:szCs w:val="24"/>
    </w:rPr>
  </w:style>
  <w:style w:type="character" w:customStyle="1" w:styleId="30">
    <w:name w:val="批注框文本 Char"/>
    <w:basedOn w:val="23"/>
    <w:link w:val="13"/>
    <w:semiHidden/>
    <w:qFormat/>
    <w:locked/>
    <w:uiPriority w:val="99"/>
    <w:rPr>
      <w:rFonts w:ascii="Times New Roman" w:hAnsi="Times New Roman" w:cs="Times New Roman"/>
      <w:kern w:val="2"/>
      <w:sz w:val="18"/>
      <w:szCs w:val="18"/>
    </w:rPr>
  </w:style>
  <w:style w:type="character" w:customStyle="1" w:styleId="31">
    <w:name w:val="Footer Char"/>
    <w:basedOn w:val="23"/>
    <w:semiHidden/>
    <w:qFormat/>
    <w:uiPriority w:val="99"/>
    <w:rPr>
      <w:rFonts w:ascii="Times New Roman" w:hAnsi="Times New Roman" w:cs="Times New Roman"/>
      <w:sz w:val="18"/>
      <w:szCs w:val="18"/>
    </w:rPr>
  </w:style>
  <w:style w:type="character" w:customStyle="1" w:styleId="32">
    <w:name w:val="Header Char"/>
    <w:basedOn w:val="23"/>
    <w:semiHidden/>
    <w:qFormat/>
    <w:uiPriority w:val="99"/>
    <w:rPr>
      <w:rFonts w:ascii="Times New Roman" w:hAnsi="Times New Roman" w:cs="Times New Roman"/>
      <w:sz w:val="18"/>
      <w:szCs w:val="18"/>
    </w:rPr>
  </w:style>
  <w:style w:type="character" w:customStyle="1" w:styleId="33">
    <w:name w:val="页眉 Char"/>
    <w:link w:val="14"/>
    <w:semiHidden/>
    <w:qFormat/>
    <w:locked/>
    <w:uiPriority w:val="99"/>
    <w:rPr>
      <w:sz w:val="18"/>
    </w:rPr>
  </w:style>
  <w:style w:type="character" w:customStyle="1" w:styleId="34">
    <w:name w:val="页脚 Char"/>
    <w:link w:val="2"/>
    <w:qFormat/>
    <w:locked/>
    <w:uiPriority w:val="99"/>
    <w:rPr>
      <w:sz w:val="18"/>
    </w:rPr>
  </w:style>
  <w:style w:type="character" w:customStyle="1" w:styleId="35">
    <w:name w:val="正文文本 Char"/>
    <w:link w:val="7"/>
    <w:qFormat/>
    <w:locked/>
    <w:uiPriority w:val="99"/>
    <w:rPr>
      <w:rFonts w:ascii="仿宋_GB2312" w:hAnsi="Times New Roman" w:eastAsia="仿宋_GB2312"/>
      <w:sz w:val="24"/>
    </w:rPr>
  </w:style>
  <w:style w:type="paragraph" w:customStyle="1" w:styleId="3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7">
    <w:name w:val="列表段落1"/>
    <w:basedOn w:val="1"/>
    <w:qFormat/>
    <w:uiPriority w:val="34"/>
    <w:pPr>
      <w:ind w:firstLine="420" w:firstLineChars="200"/>
    </w:pPr>
  </w:style>
  <w:style w:type="paragraph" w:customStyle="1" w:styleId="38">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0">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paragraph" w:customStyle="1" w:styleId="41">
    <w:name w:val="常用样式（方正仿宋简）"/>
    <w:basedOn w:val="1"/>
    <w:qFormat/>
    <w:uiPriority w:val="99"/>
    <w:pPr>
      <w:spacing w:line="560" w:lineRule="exact"/>
      <w:ind w:firstLine="640" w:firstLineChars="200"/>
    </w:pPr>
    <w:rPr>
      <w:rFonts w:ascii="Times New Roman" w:hAnsi="Times New Roman" w:eastAsia="方正仿宋简体"/>
      <w:sz w:val="32"/>
    </w:rPr>
  </w:style>
  <w:style w:type="character" w:customStyle="1" w:styleId="42">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9992;&#25143;&#30446;&#24405;\Desktop\&#36130;&#21153;&#25253;&#21578;&#22270;&#26631;&#25805;&#20316;.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2024&#24180;&#27531;&#32852;&#20915;&#31639;&#20844;&#24320;\&#36130;&#21153;&#25253;&#21578;&#22270;&#26631;&#25805;&#2031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4924502402196"/>
          <c:y val="0.87047661076787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barChart>
        <c:barDir val="col"/>
        <c:grouping val="clustered"/>
        <c:varyColors val="0"/>
        <c:ser>
          <c:idx val="0"/>
          <c:order val="0"/>
          <c:tx>
            <c:strRef>
              <c:f>[财务报告图标操作.xls]Sheet1!$B$1</c:f>
              <c:strCache>
                <c:ptCount val="1"/>
                <c:pt idx="0">
                  <c:v>收、支决算总计变动情况图</c:v>
                </c:pt>
              </c:strCache>
            </c:strRef>
          </c:tx>
          <c:invertIfNegative val="0"/>
          <c:dPt>
            <c:idx val="0"/>
            <c:invertIfNegative val="0"/>
            <c:bubble3D val="0"/>
            <c:explosion val="0"/>
            <c:spPr>
              <a:solidFill>
                <a:schemeClr val="accent1"/>
              </a:solidFill>
              <a:ln>
                <a:noFill/>
              </a:ln>
              <a:effectLst/>
            </c:spPr>
          </c:dPt>
          <c:dPt>
            <c:idx val="1"/>
            <c:invertIfNegative val="0"/>
            <c:bubble3D val="0"/>
            <c:explosion val="0"/>
            <c:spPr>
              <a:solidFill>
                <a:schemeClr val="accent2"/>
              </a:solidFill>
              <a:ln>
                <a:noFill/>
              </a:ln>
              <a:effectLst/>
            </c:spPr>
          </c:dPt>
          <c:dPt>
            <c:idx val="2"/>
            <c:invertIfNegative val="0"/>
            <c:bubble3D val="0"/>
            <c:explosion val="0"/>
            <c:spPr>
              <a:solidFill>
                <a:schemeClr val="accent3"/>
              </a:solidFill>
              <a:ln>
                <a:noFill/>
              </a:ln>
              <a:effectLst/>
            </c:spPr>
          </c:dPt>
          <c:dPt>
            <c:idx val="3"/>
            <c:invertIfNegative val="0"/>
            <c:bubble3D val="0"/>
            <c:explosion val="0"/>
            <c:spPr>
              <a:solidFill>
                <a:schemeClr val="accent4"/>
              </a:solidFill>
              <a:ln>
                <a:noFill/>
              </a:ln>
              <a:effectLst/>
            </c:spPr>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showLeaderLines val="0"/>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numRef>
              <c:f>[财务报告图标操作.xls]Sheet1!$A$2:$A$5</c:f>
              <c:numCache>
                <c:formatCode>General</c:formatCode>
                <c:ptCount val="4"/>
                <c:pt idx="0">
                  <c:v>2024</c:v>
                </c:pt>
                <c:pt idx="1">
                  <c:v>2025</c:v>
                </c:pt>
              </c:numCache>
            </c:numRef>
          </c:cat>
          <c:val>
            <c:numRef>
              <c:f>[财务报告图标操作.xls]Sheet1!$B$2:$B$5</c:f>
              <c:numCache>
                <c:formatCode>General</c:formatCode>
                <c:ptCount val="4"/>
                <c:pt idx="0">
                  <c:v>367.53</c:v>
                </c:pt>
                <c:pt idx="1">
                  <c:v>435.86</c:v>
                </c:pt>
              </c:numCache>
            </c:numRef>
          </c:val>
        </c:ser>
        <c:dLbls>
          <c:showLegendKey val="0"/>
          <c:showVal val="1"/>
          <c:showCatName val="1"/>
          <c:showSerName val="0"/>
          <c:showPercent val="1"/>
          <c:showBubbleSize val="0"/>
        </c:dLbls>
        <c:gapWidth val="150"/>
        <c:overlap val="0"/>
        <c:axId val="521372965"/>
        <c:axId val="152758453"/>
      </c:barChart>
      <c:catAx>
        <c:axId val="521372965"/>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2758453"/>
        <c:crosses val="autoZero"/>
        <c:auto val="1"/>
        <c:lblAlgn val="ctr"/>
        <c:lblOffset val="100"/>
        <c:noMultiLvlLbl val="0"/>
      </c:catAx>
      <c:valAx>
        <c:axId val="15275845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21372965"/>
        <c:crosses val="autoZero"/>
        <c:crossBetween val="between"/>
      </c:valAx>
      <c:spPr>
        <a:noFill/>
        <a:ln>
          <a:noFill/>
        </a:ln>
        <a:effectLst/>
      </c:spPr>
    </c:plotArea>
    <c:plotVisOnly val="1"/>
    <c:dispBlanksAs val="gap"/>
    <c:showDLblsOverMax val="0"/>
    <c:extLst>
      <c:ext uri="{0b15fc19-7d7d-44ad-8c2d-2c3a37ce22c3}">
        <chartProps xmlns="https://web.wps.cn/et/2018/main" chartId="{0b44554e-5029-4c98-8915-a5056b75ce4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4924502402196"/>
          <c:y val="0.87047661076787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pieChart>
        <c:varyColors val="1"/>
        <c:ser>
          <c:idx val="0"/>
          <c:order val="0"/>
          <c:tx>
            <c:strRef>
              <c:f>[财务报告图标操作.xls]Sheet1!$B$1</c:f>
              <c:strCache>
                <c:ptCount val="1"/>
                <c:pt idx="0">
                  <c:v>收入决算情况说明</c:v>
                </c:pt>
              </c:strCache>
            </c:strRef>
          </c:tx>
          <c:spPr/>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一般公共预算财政拨款</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435.86</a:t>
                    </a:r>
                    <a:r>
                      <a:t>98%</a:t>
                    </a:r>
                  </a:p>
                </c:rich>
              </c:tx>
              <c:dLblPos val="inEnd"/>
              <c:showLegendKey val="0"/>
              <c:showVal val="1"/>
              <c:showCatName val="1"/>
              <c:showSerName val="0"/>
              <c:showPercent val="1"/>
              <c:showBubbleSize val="0"/>
              <c:separator>
</c:separator>
              <c:extLst>
                <c:ext xmlns:c15="http://schemas.microsoft.com/office/drawing/2012/chart" uri="{CE6537A1-D6FC-4f65-9D91-7224C49458BB}"/>
              </c:extLst>
            </c:dLbl>
            <c:dLbl>
              <c:idx val="1"/>
              <c:layout>
                <c:manualLayout>
                  <c:x val="-0.00439244875296167"/>
                  <c:y val="0.18134544110422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政府性基金预算财政拨款</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8.49</a:t>
                    </a:r>
                    <a:r>
                      <a:t>2%</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[财务报告图标操作.xls]Sheet1!$A$2:$A$3</c:f>
              <c:strCache>
                <c:ptCount val="2"/>
                <c:pt idx="0">
                  <c:v>一般公共预算财政拨款</c:v>
                </c:pt>
                <c:pt idx="1">
                  <c:v>政府性基金预算财政拨款</c:v>
                </c:pt>
              </c:strCache>
            </c:strRef>
          </c:cat>
          <c:val>
            <c:numRef>
              <c:f>[财务报告图标操作.xls]Sheet1!$B$2:$B$3</c:f>
              <c:numCache>
                <c:formatCode>General</c:formatCode>
                <c:ptCount val="2"/>
                <c:pt idx="0">
                  <c:v>359.58</c:v>
                </c:pt>
                <c:pt idx="1">
                  <c:v>7.95</c:v>
                </c:pt>
              </c:numCache>
            </c:numRef>
          </c:val>
        </c:ser>
        <c:dLbls>
          <c:showLegendKey val="0"/>
          <c:showVal val="1"/>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1af291-f1a4-4459-b0a3-1687eacaac15}"/>
      </c:ext>
    </c:extLst>
  </c:chart>
  <c:spPr>
    <a:solidFill>
      <a:schemeClr val="bg1"/>
    </a:solidFill>
    <a:ln w="9525" cap="flat" cmpd="sng" algn="ctr">
      <a:solidFill>
        <a:schemeClr val="tx1">
          <a:lumMod val="15000"/>
          <a:lumOff val="85000"/>
        </a:schemeClr>
      </a:solidFill>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4924502402196"/>
          <c:y val="0.87047661076787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pieChart>
        <c:varyColors val="1"/>
        <c:ser>
          <c:idx val="0"/>
          <c:order val="0"/>
          <c:tx>
            <c:strRef>
              <c:f>[财务报告图标操作.xls]Sheet1!$B$1</c:f>
              <c:strCache>
                <c:ptCount val="1"/>
                <c:pt idx="0">
                  <c:v>支出决算结构图</c:v>
                </c:pt>
              </c:strCache>
            </c:strRef>
          </c:tx>
          <c:explosion val="0"/>
          <c:dPt>
            <c:idx val="0"/>
            <c:bubble3D val="0"/>
            <c:explosion val="0"/>
            <c:spPr>
              <a:solidFill>
                <a:schemeClr val="accent1"/>
              </a:solidFill>
              <a:ln>
                <a:noFill/>
              </a:ln>
              <a:effectLst/>
            </c:spPr>
          </c:dPt>
          <c:dPt>
            <c:idx val="1"/>
            <c:bubble3D val="0"/>
            <c:explosion val="0"/>
            <c:spPr>
              <a:solidFill>
                <a:schemeClr val="accent2"/>
              </a:solidFill>
              <a:ln>
                <a:noFill/>
              </a:ln>
              <a:effectLst/>
            </c:spPr>
          </c:dPt>
          <c:dPt>
            <c:idx val="2"/>
            <c:bubble3D val="0"/>
            <c:explosion val="0"/>
            <c:spPr>
              <a:solidFill>
                <a:schemeClr val="accent3"/>
              </a:solidFill>
              <a:ln>
                <a:noFill/>
              </a:ln>
              <a:effectLst/>
            </c:spPr>
          </c:dPt>
          <c:dPt>
            <c:idx val="3"/>
            <c:bubble3D val="0"/>
            <c:explosion val="0"/>
            <c:spPr>
              <a:solidFill>
                <a:schemeClr val="accent4"/>
              </a:solidFill>
              <a:ln>
                <a:noFill/>
              </a:ln>
              <a:effectLst/>
            </c:spPr>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[财务报告图标操作.xls]Sheet1!$A$2:$A$5</c:f>
              <c:strCache>
                <c:ptCount val="4"/>
                <c:pt idx="0">
                  <c:v>基本支出</c:v>
                </c:pt>
                <c:pt idx="1">
                  <c:v>项目支出</c:v>
                </c:pt>
              </c:strCache>
            </c:strRef>
          </c:cat>
          <c:val>
            <c:numRef>
              <c:f>[财务报告图标操作.xls]Sheet1!$B$2:$B$5</c:f>
              <c:numCache>
                <c:formatCode>General</c:formatCode>
                <c:ptCount val="4"/>
                <c:pt idx="0">
                  <c:v>176.59</c:v>
                </c:pt>
                <c:pt idx="1">
                  <c:v>250.78</c:v>
                </c:pt>
              </c:numCache>
            </c:numRef>
          </c:val>
        </c:ser>
        <c:dLbls>
          <c:showLegendKey val="0"/>
          <c:showVal val="1"/>
          <c:showCatName val="1"/>
          <c:showSerName val="0"/>
          <c:showPercent val="1"/>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ee784aa-1cc6-4dc8-bd48-2cbc457bb8ab}"/>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00050527303502"/>
          <c:y val="0.870476610767873"/>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barChart>
        <c:barDir val="col"/>
        <c:grouping val="clustered"/>
        <c:varyColors val="0"/>
        <c:ser>
          <c:idx val="0"/>
          <c:order val="0"/>
          <c:tx>
            <c:strRef>
              <c:f>[财务报告图标操作.xls]Sheet1!$B$1</c:f>
              <c:strCache>
                <c:ptCount val="1"/>
                <c:pt idx="0">
                  <c:v>收、支决算总计变动情况</c:v>
                </c:pt>
              </c:strCache>
            </c:strRef>
          </c:tx>
          <c:spPr>
            <a:solidFill>
              <a:schemeClr val="accent2"/>
            </a:solidFill>
          </c:spPr>
          <c:invertIfNegative val="0"/>
          <c:dPt>
            <c:idx val="0"/>
            <c:invertIfNegative val="0"/>
            <c:bubble3D val="0"/>
            <c:explosion val="0"/>
          </c:dPt>
          <c:dPt>
            <c:idx val="1"/>
            <c:invertIfNegative val="0"/>
            <c:bubble3D val="0"/>
            <c:explosion val="0"/>
          </c:dPt>
          <c:dPt>
            <c:idx val="2"/>
            <c:invertIfNegative val="0"/>
            <c:bubble3D val="0"/>
            <c:explosion val="0"/>
          </c:dPt>
          <c:dPt>
            <c:idx val="3"/>
            <c:invertIfNegative val="0"/>
            <c:bubble3D val="0"/>
            <c:explosion val="0"/>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1"/>
            <c:showSerName val="0"/>
            <c:showPercent val="1"/>
            <c:showBubbleSize val="0"/>
            <c:separator>
</c:separator>
            <c:showLeaderLines val="0"/>
            <c:extLst>
              <c:ext xmlns:c15="http://schemas.microsoft.com/office/drawing/2012/chart" uri="{CE6537A1-D6FC-4f65-9D91-7224C49458BB}">
                <c15:layout/>
                <c15:showLeaderLines val="1"/>
                <c15:leaderLines/>
              </c:ext>
            </c:extLst>
          </c:dLbls>
          <c:cat>
            <c:strRef>
              <c:f>[财务报告图标操作.xls]Sheet1!$A$2:$A$5</c:f>
              <c:strCache>
                <c:ptCount val="4"/>
                <c:pt idx="0">
                  <c:v>2025年</c:v>
                </c:pt>
                <c:pt idx="1">
                  <c:v>2024年</c:v>
                </c:pt>
              </c:strCache>
            </c:strRef>
          </c:cat>
          <c:val>
            <c:numRef>
              <c:f>[财务报告图标操作.xls]Sheet1!$B$2:$B$5</c:f>
              <c:numCache>
                <c:formatCode>General</c:formatCode>
                <c:ptCount val="4"/>
                <c:pt idx="0">
                  <c:v>367.53</c:v>
                </c:pt>
                <c:pt idx="1">
                  <c:v>435.86</c:v>
                </c:pt>
              </c:numCache>
            </c:numRef>
          </c:val>
        </c:ser>
        <c:dLbls>
          <c:showLegendKey val="0"/>
          <c:showVal val="1"/>
          <c:showCatName val="1"/>
          <c:showSerName val="0"/>
          <c:showPercent val="1"/>
          <c:showBubbleSize val="0"/>
        </c:dLbls>
        <c:gapWidth val="150"/>
        <c:overlap val="0"/>
        <c:axId val="521372965"/>
        <c:axId val="152758453"/>
      </c:barChart>
      <c:catAx>
        <c:axId val="521372965"/>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2758453"/>
        <c:crosses val="autoZero"/>
        <c:auto val="1"/>
        <c:lblAlgn val="ctr"/>
        <c:lblOffset val="100"/>
        <c:noMultiLvlLbl val="0"/>
      </c:catAx>
      <c:valAx>
        <c:axId val="15275845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21372965"/>
        <c:crosses val="autoZero"/>
        <c:crossBetween val="between"/>
      </c:valAx>
    </c:plotArea>
    <c:plotVisOnly val="1"/>
    <c:dispBlanksAs val="gap"/>
    <c:showDLblsOverMax val="0"/>
    <c:extLst>
      <c:ext uri="{0b15fc19-7d7d-44ad-8c2d-2c3a37ce22c3}">
        <chartProps xmlns="https://web.wps.cn/et/2018/main" chartId="{cc411f8e-9024-4824-8568-322befc9545b}"/>
      </c:ext>
    </c:extLst>
  </c:chart>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00050527303502"/>
          <c:y val="0.870476610767873"/>
        </c:manualLayout>
      </c:layout>
      <c:overlay val="0"/>
      <c:txPr>
        <a:bodyPr rot="0" spcFirstLastPara="0" vertOverflow="ellipsis" vert="horz" wrap="square" anchor="ctr" anchorCtr="1"/>
        <a:lstStyle/>
        <a:p>
          <a:pPr>
            <a:defRPr lang="zh-CN" sz="1800" b="1" i="0" u="none" strike="noStrike" kern="1200" baseline="0">
              <a:solidFill>
                <a:schemeClr val="dk1"/>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barChart>
        <c:barDir val="col"/>
        <c:grouping val="clustered"/>
        <c:varyColors val="0"/>
        <c:ser>
          <c:idx val="0"/>
          <c:order val="0"/>
          <c:tx>
            <c:strRef>
              <c:f>[财务报告图标操作.xls]Sheet1!$B$1</c:f>
              <c:strCache>
                <c:ptCount val="1"/>
                <c:pt idx="0">
                  <c:v>支出决算变动情况</c:v>
                </c:pt>
              </c:strCache>
            </c:strRef>
          </c:tx>
          <c:spPr>
            <a:solidFill>
              <a:schemeClr val="accent2"/>
            </a:solidFill>
            <a:ln w="12700" cap="flat" cmpd="sng" algn="ctr">
              <a:solidFill>
                <a:schemeClr val="bg1"/>
              </a:solidFill>
              <a:prstDash val="solid"/>
              <a:miter lim="800000"/>
            </a:ln>
            <a:sp3d>
              <a:extrusionClr>
                <a:srgbClr val="FFFFFF"/>
              </a:extrusionClr>
              <a:contourClr>
                <a:srgbClr val="FFFFFF"/>
              </a:contourClr>
            </a:sp3d>
          </c:spPr>
          <c:invertIfNegative val="0"/>
          <c:dPt>
            <c:idx val="0"/>
            <c:invertIfNegative val="0"/>
            <c:bubble3D val="0"/>
            <c:explosion val="0"/>
          </c:dPt>
          <c:dPt>
            <c:idx val="1"/>
            <c:invertIfNegative val="0"/>
            <c:bubble3D val="0"/>
            <c:explosion val="0"/>
          </c:dPt>
          <c:dPt>
            <c:idx val="2"/>
            <c:invertIfNegative val="0"/>
            <c:bubble3D val="0"/>
            <c:explosion val="0"/>
          </c:dPt>
          <c:dPt>
            <c:idx val="3"/>
            <c:invertIfNegative val="0"/>
            <c:bubble3D val="0"/>
            <c:explosion val="0"/>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inEnd"/>
            <c:showLegendKey val="0"/>
            <c:showVal val="1"/>
            <c:showCatName val="1"/>
            <c:showSerName val="0"/>
            <c:showPercent val="1"/>
            <c:showBubbleSize val="0"/>
            <c:separator>
</c:separator>
            <c:showLeaderLines val="0"/>
            <c:extLst>
              <c:ext xmlns:c15="http://schemas.microsoft.com/office/drawing/2012/chart" uri="{CE6537A1-D6FC-4f65-9D91-7224C49458BB}">
                <c15:layout/>
                <c15:showLeaderLines val="1"/>
                <c15:leaderLines/>
              </c:ext>
            </c:extLst>
          </c:dLbls>
          <c:cat>
            <c:strRef>
              <c:f>[财务报告图标操作.xls]Sheet1!$A$2:$A$5</c:f>
              <c:strCache>
                <c:ptCount val="4"/>
                <c:pt idx="0">
                  <c:v>2025年</c:v>
                </c:pt>
                <c:pt idx="1">
                  <c:v>2024年</c:v>
                </c:pt>
              </c:strCache>
            </c:strRef>
          </c:cat>
          <c:val>
            <c:numRef>
              <c:f>[财务报告图标操作.xls]Sheet1!$B$2:$B$5</c:f>
              <c:numCache>
                <c:formatCode>General</c:formatCode>
                <c:ptCount val="4"/>
                <c:pt idx="0">
                  <c:v>359.58</c:v>
                </c:pt>
                <c:pt idx="1">
                  <c:v>427.38</c:v>
                </c:pt>
              </c:numCache>
            </c:numRef>
          </c:val>
        </c:ser>
        <c:dLbls>
          <c:showLegendKey val="0"/>
          <c:showVal val="1"/>
          <c:showCatName val="1"/>
          <c:showSerName val="0"/>
          <c:showPercent val="1"/>
          <c:showBubbleSize val="0"/>
        </c:dLbls>
        <c:gapWidth val="150"/>
        <c:overlap val="0"/>
        <c:axId val="521372965"/>
        <c:axId val="152758453"/>
      </c:barChart>
      <c:catAx>
        <c:axId val="521372965"/>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dk1"/>
                </a:solidFill>
                <a:latin typeface="+mn-lt"/>
                <a:ea typeface="+mn-ea"/>
                <a:cs typeface="+mn-cs"/>
              </a:defRPr>
            </a:pPr>
          </a:p>
        </c:txPr>
        <c:crossAx val="152758453"/>
        <c:crosses val="autoZero"/>
        <c:auto val="1"/>
        <c:lblAlgn val="ctr"/>
        <c:lblOffset val="100"/>
        <c:noMultiLvlLbl val="0"/>
      </c:catAx>
      <c:valAx>
        <c:axId val="15275845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dk1"/>
                </a:solidFill>
                <a:latin typeface="+mn-lt"/>
                <a:ea typeface="+mn-ea"/>
                <a:cs typeface="+mn-cs"/>
              </a:defRPr>
            </a:pPr>
          </a:p>
        </c:txPr>
        <c:crossAx val="521372965"/>
        <c:crosses val="autoZero"/>
        <c:crossBetween val="between"/>
      </c:valAx>
    </c:plotArea>
    <c:plotVisOnly val="1"/>
    <c:dispBlanksAs val="gap"/>
    <c:showDLblsOverMax val="0"/>
    <c:extLst>
      <c:ext uri="{0b15fc19-7d7d-44ad-8c2d-2c3a37ce22c3}">
        <chartProps xmlns="https://web.wps.cn/et/2018/main" chartId="{c6b3d757-0d58-4966-be52-1d067ac7d898}"/>
      </c:ext>
    </c:extLst>
  </c:chart>
  <c:spPr>
    <a:solidFill>
      <a:schemeClr val="accent1"/>
    </a:solidFill>
    <a:ln w="12700" cap="flat" cmpd="sng" algn="ctr">
      <a:solidFill>
        <a:schemeClr val="accent1"/>
      </a:solidFill>
      <a:prstDash val="solid"/>
      <a:miter lim="800000"/>
    </a:ln>
    <a:sp3d>
      <a:extrusionClr>
        <a:srgbClr val="FFFFFF"/>
      </a:extrusionClr>
      <a:contourClr>
        <a:srgbClr val="FFFFFF"/>
      </a:contourClr>
    </a:sp3d>
  </c:spPr>
  <c:txPr>
    <a:bodyPr wrap="square"/>
    <a:lstStyle/>
    <a:p>
      <a:pPr>
        <a:defRPr lang="zh-CN">
          <a:solidFill>
            <a:schemeClr val="dk1"/>
          </a:solidFill>
          <a:latin typeface="+mn-lt"/>
          <a:ea typeface="+mn-ea"/>
          <a:cs typeface="+mn-c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00050527303502"/>
          <c:y val="0.870476610767873"/>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0520315697164572"/>
          <c:y val="0.102492299075889"/>
          <c:w val="0.894638888888889"/>
          <c:h val="0.711666666666667"/>
        </c:manualLayout>
      </c:layout>
      <c:pieChart>
        <c:varyColors val="1"/>
        <c:ser>
          <c:idx val="0"/>
          <c:order val="0"/>
          <c:tx>
            <c:strRef>
              <c:f>[财务报告图标操作.xls]Sheet1!$B$1</c:f>
              <c:strCache>
                <c:ptCount val="1"/>
                <c:pt idx="0">
                  <c:v>一般公共预算财政拨款支出决算结构</c:v>
                </c:pt>
              </c:strCache>
            </c:strRef>
          </c:tx>
          <c:explosion val="0"/>
          <c:dPt>
            <c:idx val="0"/>
            <c:bubble3D val="0"/>
            <c:explosion val="0"/>
          </c:dPt>
          <c:dPt>
            <c:idx val="1"/>
            <c:bubble3D val="0"/>
            <c:explosion val="0"/>
          </c:dPt>
          <c:dPt>
            <c:idx val="2"/>
            <c:bubble3D val="0"/>
            <c:explosion val="0"/>
          </c:dPt>
          <c:dPt>
            <c:idx val="3"/>
            <c:bubble3D val="0"/>
            <c:explosion val="0"/>
          </c:dPt>
          <c:dLbls>
            <c:dLbl>
              <c:idx val="1"/>
              <c:layout>
                <c:manualLayout>
                  <c:x val="-0.00439244875296167"/>
                  <c:y val="0.18134544110422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0775038765259323"/>
                  <c:y val="0.041069821394627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832769978338967"/>
                  <c:y val="0.1810902338476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ext>
            </c:extLst>
          </c:dLbls>
          <c:cat>
            <c:strRef>
              <c:f>[财务报告图标操作.xls]Sheet1!$A$2:$A$5</c:f>
              <c:strCache>
                <c:ptCount val="4"/>
                <c:pt idx="0">
                  <c:v>社会保障和就业</c:v>
                </c:pt>
                <c:pt idx="1">
                  <c:v>卫生健康支出</c:v>
                </c:pt>
                <c:pt idx="2">
                  <c:v>农林水支出</c:v>
                </c:pt>
                <c:pt idx="3">
                  <c:v>住房保障支出</c:v>
                </c:pt>
              </c:strCache>
            </c:strRef>
          </c:cat>
          <c:val>
            <c:numRef>
              <c:f>[财务报告图标操作.xls]Sheet1!$B$2:$B$5</c:f>
              <c:numCache>
                <c:formatCode>General</c:formatCode>
                <c:ptCount val="4"/>
                <c:pt idx="0">
                  <c:v>400.18</c:v>
                </c:pt>
                <c:pt idx="1">
                  <c:v>8.59</c:v>
                </c:pt>
                <c:pt idx="2">
                  <c:v>5.5</c:v>
                </c:pt>
                <c:pt idx="3">
                  <c:v>13.1</c:v>
                </c:pt>
              </c:numCache>
            </c:numRef>
          </c:val>
        </c:ser>
        <c:dLbls>
          <c:showLegendKey val="0"/>
          <c:showVal val="1"/>
          <c:showCatName val="1"/>
          <c:showSerName val="0"/>
          <c:showPercent val="1"/>
          <c:showBubbleSize val="0"/>
          <c:showLeaderLines val="1"/>
        </c:dLbls>
        <c:firstSliceAng val="0"/>
      </c:pieChart>
    </c:plotArea>
    <c:plotVisOnly val="1"/>
    <c:dispBlanksAs val="gap"/>
    <c:showDLblsOverMax val="0"/>
    <c:extLst>
      <c:ext uri="{0b15fc19-7d7d-44ad-8c2d-2c3a37ce22c3}">
        <chartProps xmlns="https://web.wps.cn/et/2018/main" chartId="{641975a4-1b7a-4e66-b567-5fbbe1f7cb27}"/>
      </c:ext>
    </c:extLst>
  </c:chart>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c25530f3-9103-4e5d-8d89-c1615ccd924b</errorID>
      <errorWord>"</errorWord>
      <group>L1_Format</group>
      <groupName>格式问题</groupName>
      <ability>L2_HalfPunc_CN</ability>
      <abilityName>全半角问题</abilityName>
      <candidateList>
        <item>“</item>
      </candidateList>
      <explain>文本全半角错误。</explain>
      <paraID>705694B3</paraID>
      <start>27</start>
      <end>28</end>
      <status>modified</status>
      <modifiedWord>“</modifiedWord>
      <trackRevisions>false</trackRevisions>
    </reviewItem>
    <reviewItem>
      <errorID>45802461-1dae-43eb-9c66-b42bfa27f578</errorID>
      <errorWord>"</errorWord>
      <group>L1_Format</group>
      <groupName>格式问题</groupName>
      <ability>L2_HalfPunc_CN</ability>
      <abilityName>全半角问题</abilityName>
      <candidateList>
        <item>”</item>
      </candidateList>
      <explain>文本全半角错误。</explain>
      <paraID>705694B3</paraID>
      <start>36</start>
      <end>37</end>
      <status>modified</status>
      <modifiedWord>”</modifiedWord>
      <trackRevisions>false</trackRevisions>
    </reviewItem>
    <reviewItem>
      <errorID>1f323eff-7167-49d8-867f-a2c877b60be9</errorID>
      <errorWord>万</errorWord>
      <group>L1_Word</group>
      <groupName>字词问题</groupName>
      <ability>L2_Typo</ability>
      <abilityName>字词错误</abilityName>
      <candidateList>
        <item>万元</item>
      </candidateList>
      <explain/>
      <paraID>5A02E1E5</paraID>
      <start>324</start>
      <end>326</end>
      <status>modified</status>
      <modifiedWord>万元</modifiedWord>
      <trackRevisions>false</trackRevisions>
    </reviewItem>
    <reviewItem>
      <errorID>5296de4e-175d-4de3-a2e1-c233aad4961d</errorID>
      <errorWord>万</errorWord>
      <group>L1_Word</group>
      <groupName>字词问题</groupName>
      <ability>L2_Typo</ability>
      <abilityName>字词错误</abilityName>
      <candidateList>
        <item>万元</item>
      </candidateList>
      <explain/>
      <paraID>5A02E1E5</paraID>
      <start>421</start>
      <end>423</end>
      <status>modified</status>
      <modifiedWord>万元</modifiedWord>
      <trackRevisions>false</trackRevisions>
    </reviewItem>
    <reviewItem>
      <errorID>bf835332-40f8-4007-bdbe-6f9bc6877a7e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28B98FF1</paraID>
      <start>144</start>
      <end>146</end>
      <status>modified</status>
      <modifiedWord>”“</modifiedWord>
      <trackRevisions>false</trackRevisions>
    </reviewItem>
    <reviewItem>
      <errorID>c4214378-4bda-48ba-8dd8-eaa60a0248d5</errorID>
      <errorWord>家庭医生增值服务</errorWord>
      <group>L1_Political</group>
      <groupName>政治性问题</groupName>
      <ability>L2_Keyword</ability>
      <abilityName>固定表述</abilityName>
      <candidateList>
        <item>家庭医生签约服务</item>
      </candidateList>
      <explain>词汇“家庭医生签约服务”在特定场景下为固定表述形式，请确认此处的“家庭医生增值服务”是否存在不当。</explain>
      <paraID>  1F15A2</paraID>
      <start>659</start>
      <end>667</end>
      <status>modified</status>
      <modifiedWord>家庭医生签约服务</modifiedWord>
      <trackRevisions>false</trackRevisions>
    </reviewItem>
    <reviewItem>
      <errorID>321c7684-544f-4e45-9c6f-84734662d88e</errorID>
      <errorWord>，</errorWord>
      <group>L1_Word</group>
      <groupName>字词问题</groupName>
      <ability>L2_Typo</ability>
      <abilityName>字词错误</abilityName>
      <candidateList>
        <item>，以</item>
      </candidateList>
      <explain/>
      <paraID>  1F15A2</paraID>
      <start>777</start>
      <end>779</end>
      <status>modified</status>
      <modifiedWord>，以</modifiedWord>
      <trackRevisions>false</trackRevisions>
    </reviewItem>
    <reviewItem>
      <errorID>b1b764ef-2844-4b5d-b40d-afe65ecc3f87</errorID>
      <errorWord>增加</errorWord>
      <group>L1_Grammar</group>
      <groupName>语法问题</groupName>
      <ability>L2_Grammar</ability>
      <abilityName>语法错误</abilityName>
      <candidateList>
        <item>增强</item>
      </candidateList>
      <explain>“增加～意识”搭配不当，建议修改为“增强～意识”。</explain>
      <paraID>  1F15A2</paraID>
      <start>814</start>
      <end>816</end>
      <status>modified</status>
      <modifiedWord>增强</modifiedWord>
      <trackRevisions>false</trackRevisions>
    </reviewItem>
    <reviewItem>
      <errorID>ea392fbb-7262-4dd4-ae3a-411f618bfce2</errorID>
      <errorWord>:</errorWord>
      <group>L1_Format</group>
      <groupName>格式问题</groupName>
      <ability>L2_HalfPunc_CN</ability>
      <abilityName>全半角问题</abilityName>
      <candidateList>
        <item>：</item>
      </candidateList>
      <explain>文本全半角错误。</explain>
      <paraID>7943BD71</paraID>
      <start>34</start>
      <end>35</end>
      <status>modified</status>
      <modifiedWord>：</modifiedWord>
      <trackRevisions>false</trackRevisions>
    </reviewItem>
    <reviewItem>
      <errorID>94ccf927-f8c2-4d9b-aacc-e686b694b9eb</errorID>
      <errorWord>,</errorWord>
      <group>L1_Format</group>
      <groupName>格式问题</groupName>
      <ability>L2_HalfPunc_CN</ability>
      <abilityName>全半角问题</abilityName>
      <candidateList>
        <item>，</item>
      </candidateList>
      <explain>文本全半角错误。</explain>
      <paraID>38B0780F</paraID>
      <start>30</start>
      <end>31</end>
      <status>modified</status>
      <modifiedWord>，</modifiedWord>
      <trackRevisions>false</trackRevisions>
    </reviewItem>
    <reviewItem>
      <errorID>5a03adf9-9c9c-4169-a890-f5dc542dd164</errorID>
      <errorWord>:</errorWord>
      <group>L1_Format</group>
      <groupName>格式问题</groupName>
      <ability>L2_HalfPunc_CN</ability>
      <abilityName>全半角问题</abilityName>
      <candidateList>
        <item>：</item>
      </candidateList>
      <explain>文本全半角错误。</explain>
      <paraID>37C18E7F</paraID>
      <start>9</start>
      <end>10</end>
      <status>modified</status>
      <modifiedWord>：</modifiedWord>
      <trackRevisions>false</trackRevisions>
    </reviewItem>
    <reviewItem>
      <errorID>299b4668-6db7-4e12-9f8d-62c88503e564</errorID>
      <errorWord>,</errorWord>
      <group>L1_Format</group>
      <groupName>格式问题</groupName>
      <ability>L2_HalfPunc_CN</ability>
      <abilityName>全半角问题</abilityName>
      <candidateList>
        <item>，</item>
      </candidateList>
      <explain>文本全半角错误。</explain>
      <paraID>37C18E7F</paraID>
      <start>43</start>
      <end>44</end>
      <status>modified</status>
      <modifiedWord>，</modifiedWord>
      <trackRevisions>false</trackRevisions>
    </reviewItem>
    <reviewItem>
      <errorID>5e4dc566-1fde-4b3b-9dfc-8ed04f42130e</errorID>
      <errorWord>:</errorWord>
      <group>L1_Format</group>
      <groupName>格式问题</groupName>
      <ability>L2_HalfPunc_CN</ability>
      <abilityName>全半角问题</abilityName>
      <candidateList>
        <item>：</item>
      </candidateList>
      <explain>文本全半角错误。</explain>
      <paraID>43B0C693</paraID>
      <start>8</start>
      <end>9</end>
      <status>modified</status>
      <modifiedWord>：</modifiedWord>
      <trackRevisions>false</trackRevisions>
    </reviewItem>
    <reviewItem>
      <errorID>e04286ad-685c-4d6e-8add-c641810c7653</errorID>
      <errorWord>,</errorWord>
      <group>L1_Format</group>
      <groupName>格式问题</groupName>
      <ability>L2_HalfPunc_CN</ability>
      <abilityName>全半角问题</abilityName>
      <candidateList>
        <item>，</item>
      </candidateList>
      <explain>文本全半角错误。</explain>
      <paraID>73ACC6C0</paraID>
      <start>21</start>
      <end>22</end>
      <status>modified</status>
      <modifiedWord>，</modifiedWord>
      <trackRevisions>false</trackRevisions>
    </reviewItem>
    <reviewItem>
      <errorID>c46fbb7f-ca46-478f-990e-ed6a32813958</errorID>
      <errorWord>,</errorWord>
      <group>L1_Format</group>
      <groupName>格式问题</groupName>
      <ability>L2_HalfPunc_CN</ability>
      <abilityName>全半角问题</abilityName>
      <candidateList>
        <item>，</item>
      </candidateList>
      <explain>文本全半角错误。</explain>
      <paraID>2C6469B2</paraID>
      <start>41</start>
      <end>42</end>
      <status>modified</status>
      <modifiedWord>，</modifiedWord>
      <trackRevisions>false</trackRevisions>
    </reviewItem>
    <reviewItem>
      <errorID>a5414444-4b07-45da-bdf4-6d4fdbb1996d</errorID>
      <errorWord>(</errorWord>
      <group>L1_Format</group>
      <groupName>格式问题</groupName>
      <ability>L2_HalfPunc_CN</ability>
      <abilityName>全半角问题</abilityName>
      <candidateList>
        <item>（</item>
      </candidateList>
      <explain>文本全半角错误。</explain>
      <paraID>2C6469B2</paraID>
      <start>51</start>
      <end>52</end>
      <status>modified</status>
      <modifiedWord>（</modifiedWord>
      <trackRevisions>false</trackRevisions>
    </reviewItem>
    <reviewItem>
      <errorID>055dee29-a491-4ca3-81a6-8b322b3ca8fc</errorID>
      <errorWord>)</errorWord>
      <group>L1_Format</group>
      <groupName>格式问题</groupName>
      <ability>L2_HalfPunc_CN</ability>
      <abilityName>全半角问题</abilityName>
      <candidateList>
        <item>）</item>
      </candidateList>
      <explain>文本全半角错误。</explain>
      <paraID>2C6469B2</paraID>
      <start>78</start>
      <end>79</end>
      <status>modified</status>
      <modifiedWord>）</modifiedWord>
      <trackRevisions>false</trackRevisions>
    </reviewItem>
    <reviewItem>
      <errorID>d50d49aa-1000-4f73-bea7-2a5a201bccc0</errorID>
      <errorWord>，</errorWord>
      <group>L1_Word</group>
      <groupName>字词问题</groupName>
      <ability>L2_Typo</ability>
      <abilityName>字词错误</abilityName>
      <candidateList>
        <item>，在</item>
      </candidateList>
      <explain/>
      <paraID>6A7AEB1C</paraID>
      <start>81</start>
      <end>83</end>
      <status>modified</status>
      <modifiedWord>，在</modifiedWord>
      <trackRevisions>false</trackRevisions>
    </reviewItem>
    <reviewItem>
      <errorID>b1ae756d-7cc6-4268-aaa8-df5a69cd95a0</errorID>
      <errorWord>年年</errorWord>
      <group>L1_Word</group>
      <groupName>字词问题</groupName>
      <ability>L2_Typo</ability>
      <abilityName>字词错误</abilityName>
      <candidateList>
        <item>年</item>
      </candidateList>
      <explain/>
      <paraID>7C644C12</paraID>
      <start>36</start>
      <end>37</end>
      <status>modified</status>
      <modifiedWord>年</modifiedWord>
      <trackRevisions>false</trackRevisions>
    </reviewItem>
    <reviewItem>
      <errorID>17646409-ccfc-4ca5-a489-200395ca4128</errorID>
      <errorWord>县委、政府</errorWord>
      <group>L1_Political</group>
      <groupName>政治性问题</groupName>
      <ability>L2_Unpolitical</ability>
      <abilityName>政治敏感错误</abilityName>
      <candidateList>
        <item>县委、县政府</item>
      </candidateList>
      <explain/>
      <paraID>7C644C12</paraID>
      <start>41</start>
      <end>47</end>
      <status>modified</status>
      <modifiedWord>县委、县政府</modifiedWord>
      <trackRevisions>false</trackRevisions>
    </reviewItem>
    <reviewItem>
      <errorID>ab474038-c4c1-440e-9dc8-6e69cf5bcf99</errorID>
      <errorWord>习总书记</errorWord>
      <group>L1_Political</group>
      <groupName>政治性问题</groupName>
      <ability>L2_Unpolitical</ability>
      <abilityName>政治敏感错误</abilityName>
      <candidateList>
        <item>习近平总书记</item>
      </candidateList>
      <explain/>
      <paraID>7C644C12</paraID>
      <start>85</start>
      <end>91</end>
      <status>modified</status>
      <modifiedWord>习近平总书记</modifiedWord>
      <trackRevisions>false</trackRevisions>
    </reviewItem>
    <reviewItem>
      <errorID>b899393b-0c7b-4292-b95a-b4945909e4ef</errorID>
      <errorWord>0-6岁</errorWord>
      <group>L1_Punc</group>
      <groupName>标点问题</groupName>
      <ability>L2_Punc_CN</ability>
      <abilityName>标点符号问题</abilityName>
      <candidateList>
        <item>0—6岁</item>
      </candidateList>
      <explain/>
      <paraID>6496AC28</paraID>
      <start>75</start>
      <end>79</end>
      <status>modified</status>
      <modifiedWord>0—6岁</modifiedWord>
      <trackRevisions>false</trackRevisions>
    </reviewItem>
    <reviewItem>
      <errorID>4a2264b0-46d6-4e9f-9cc0-af8cd73f295e</errorID>
      <errorWord>持</errorWord>
      <group>L1_Word</group>
      <groupName>字词问题</groupName>
      <ability>L2_Typo</ability>
      <abilityName>字词错误</abilityName>
      <candidateList>
        <item>持和</item>
      </candidateList>
      <explain/>
      <paraID>6E69EF23</paraID>
      <start>80</start>
      <end>82</end>
      <status>modified</status>
      <modifiedWord>持和</modifiedWord>
      <trackRevisions>false</trackRevisions>
    </reviewItem>
    <reviewItem>
      <errorID>9c0b73f4-d8e5-4041-8528-4739ff8fe996</errorID>
      <errorWord>持</errorWord>
      <group>L1_Word</group>
      <groupName>字词问题</groupName>
      <ability>L2_Typo</ability>
      <abilityName>字词错误</abilityName>
      <candidateList>
        <item>持和</item>
      </candidateList>
      <explain/>
      <paraID> 20C8C97</paraID>
      <start>96</start>
      <end>98</end>
      <status>modified</status>
      <modifiedWord>持和</modifiedWord>
      <trackRevisions>false</trackRevisions>
    </reviewItem>
  </reviewItems>
  <config/>
</contractReview>
</file>

<file path=customXml/itemProps1.xml><?xml version="1.0" encoding="utf-8"?>
<ds:datastoreItem xmlns:ds="http://schemas.openxmlformats.org/officeDocument/2006/customXml" ds:itemID="{BD9CEF6E-F4E3-4922-8334-C2244ACD61C1}">
  <ds:schemaRefs/>
</ds:datastoreItem>
</file>

<file path=customXml/itemProps2.xml><?xml version="1.0" encoding="utf-8"?>
<ds:datastoreItem xmlns:ds="http://schemas.openxmlformats.org/officeDocument/2006/customXml" ds:itemID="{ce6667ed-6da0-496d-ba16-d53cc938ed0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8123</Words>
  <Characters>8789</Characters>
  <Lines>74</Lines>
  <Paragraphs>21</Paragraphs>
  <TotalTime>5</TotalTime>
  <ScaleCrop>false</ScaleCrop>
  <LinksUpToDate>false</LinksUpToDate>
  <CharactersWithSpaces>8911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奕夕^_^</cp:lastModifiedBy>
  <cp:lastPrinted>2023-09-04T02:27:00Z</cp:lastPrinted>
  <dcterms:modified xsi:type="dcterms:W3CDTF">2026-10-13T03:13:34Z</dcterms:modified>
  <dc:title>阿坝州部门决算说明</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5D75EB7D04ED4DF1B6A10689069C0451</vt:lpwstr>
  </property>
  <property fmtid="{D5CDD505-2E9C-101B-9397-08002B2CF9AE}" pid="4" name="KSOTemplateDocerSaveRecord">
    <vt:lpwstr>eyJoZGlkIjoiNTU1MWNhN2ZmY2ZhZmY3ODhlYTg0MWU5OGMyY2QwZmUiLCJ1c2VySWQiOiI0MzQ2NTM0NzEifQ==</vt:lpwstr>
  </property>
</Properties>
</file>