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40355">
      <w:pPr>
        <w:pStyle w:val="8"/>
        <w:spacing w:before="93"/>
        <w:rPr>
          <w:rFonts w:ascii="Times New Roman" w:eastAsia="方正小标宋简体"/>
          <w:kern w:val="2"/>
          <w:sz w:val="44"/>
          <w:szCs w:val="44"/>
        </w:rPr>
      </w:pPr>
      <w:bookmarkStart w:id="0" w:name="_Toc15377193"/>
      <w:bookmarkStart w:id="1" w:name="_Toc15377425"/>
      <w:bookmarkStart w:id="2" w:name="_Toc15396597"/>
      <w:bookmarkStart w:id="3" w:name="_Toc15378441"/>
      <w:bookmarkStart w:id="4" w:name="_Toc15396475"/>
      <w:bookmarkStart w:id="5" w:name="_Toc15306267"/>
    </w:p>
    <w:bookmarkEnd w:id="0"/>
    <w:bookmarkEnd w:id="1"/>
    <w:bookmarkEnd w:id="2"/>
    <w:bookmarkEnd w:id="3"/>
    <w:bookmarkEnd w:id="4"/>
    <w:p w14:paraId="53300877">
      <w:pPr>
        <w:pStyle w:val="8"/>
        <w:spacing w:before="93"/>
        <w:jc w:val="center"/>
        <w:rPr>
          <w:rFonts w:ascii="Times New Roman" w:eastAsia="方正小标宋简体"/>
          <w:kern w:val="2"/>
          <w:sz w:val="44"/>
          <w:szCs w:val="44"/>
        </w:rPr>
      </w:pPr>
      <w:bookmarkStart w:id="6" w:name="_Toc15378442"/>
      <w:bookmarkStart w:id="7" w:name="_Toc15396598"/>
      <w:bookmarkStart w:id="8" w:name="_Toc15396476"/>
      <w:bookmarkStart w:id="9" w:name="_Toc15377194"/>
      <w:bookmarkStart w:id="10" w:name="_Toc15377426"/>
      <w:r>
        <w:rPr>
          <w:rFonts w:hint="eastAsia" w:ascii="Times New Roman" w:eastAsia="方正小标宋简体"/>
          <w:kern w:val="2"/>
          <w:sz w:val="44"/>
          <w:szCs w:val="44"/>
        </w:rPr>
        <w:t>2025年度松潘县</w:t>
      </w:r>
      <w:bookmarkEnd w:id="5"/>
      <w:bookmarkStart w:id="11" w:name="_Toc15306268"/>
      <w:r>
        <w:rPr>
          <w:rFonts w:hint="eastAsia" w:ascii="Times New Roman" w:eastAsia="方正小标宋简体"/>
          <w:kern w:val="2"/>
          <w:sz w:val="44"/>
          <w:szCs w:val="44"/>
        </w:rPr>
        <w:t>产业园区服务中心</w:t>
      </w:r>
    </w:p>
    <w:p w14:paraId="17AECFD8">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w:t>
      </w:r>
      <w:bookmarkEnd w:id="6"/>
      <w:bookmarkEnd w:id="7"/>
      <w:bookmarkEnd w:id="8"/>
      <w:bookmarkEnd w:id="9"/>
      <w:bookmarkEnd w:id="10"/>
      <w:bookmarkEnd w:id="11"/>
    </w:p>
    <w:p w14:paraId="3217E656">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1FC030D4">
      <w:pPr>
        <w:widowControl/>
        <w:jc w:val="center"/>
        <w:rPr>
          <w:rFonts w:eastAsia="黑体"/>
          <w:sz w:val="48"/>
          <w:szCs w:val="48"/>
        </w:rPr>
      </w:pPr>
      <w:r>
        <w:rPr>
          <w:rFonts w:hint="eastAsia" w:eastAsia="黑体"/>
          <w:sz w:val="48"/>
          <w:szCs w:val="48"/>
        </w:rPr>
        <w:t>目录</w:t>
      </w:r>
    </w:p>
    <w:p w14:paraId="14A09584">
      <w:pPr>
        <w:widowControl/>
        <w:jc w:val="center"/>
        <w:rPr>
          <w:rFonts w:eastAsia="黑体" w:cstheme="minorBidi"/>
          <w:sz w:val="28"/>
          <w:szCs w:val="28"/>
        </w:rPr>
      </w:pPr>
    </w:p>
    <w:p w14:paraId="3AD5CFDD">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公开时间：2026年10月15日</w:t>
      </w:r>
    </w:p>
    <w:p w14:paraId="0E1D596D"/>
    <w:p w14:paraId="3C29471A">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5EE6E74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67DC7D0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32528042">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2AC8FC6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62215B4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2679991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3D1A836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5F216DD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6509074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67010DD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4E534A4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5E84CD9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4981A83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1AAA52A2">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154A8F38">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0374F5DB">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6914DD1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B3F00B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28FA208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3AF0B79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FA8DEA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8E6339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51666F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830859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5A26836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0A4BFD4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0BEB755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1EFAECB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0A61012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5178C19D">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61443131">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14:paraId="200758CF">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6BC938D5">
      <w:pPr>
        <w:widowControl/>
        <w:jc w:val="left"/>
        <w:rPr>
          <w:rFonts w:eastAsia="黑体"/>
          <w:sz w:val="32"/>
          <w:szCs w:val="32"/>
        </w:rPr>
      </w:pPr>
    </w:p>
    <w:p w14:paraId="35C6184F">
      <w:pPr>
        <w:pStyle w:val="6"/>
        <w:rPr>
          <w:rFonts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rPr>
        <w:t>部门职责</w:t>
      </w:r>
    </w:p>
    <w:p w14:paraId="76668586">
      <w:pPr>
        <w:pStyle w:val="3"/>
        <w:spacing w:after="0" w:line="550" w:lineRule="exact"/>
        <w:ind w:left="0" w:leftChars="0" w:firstLine="640" w:firstLineChars="0"/>
        <w:rPr>
          <w:rFonts w:eastAsia="仿宋_GB2312" w:cs="仿宋_GB2312"/>
          <w:sz w:val="32"/>
        </w:rPr>
      </w:pPr>
      <w:r>
        <w:rPr>
          <w:rFonts w:hint="eastAsia" w:eastAsia="仿宋_GB2312" w:cs="仿宋_GB2312"/>
          <w:sz w:val="32"/>
        </w:rPr>
        <w:t>县园区管理中心贯彻落实党中央、省、州、县关于产业园区工作的方针政策，在履行职责过程中坚持和加强党对园区工作的集中统一领导。主要职责是：</w:t>
      </w:r>
    </w:p>
    <w:p w14:paraId="0F63C4AD">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（一）</w:t>
      </w:r>
      <w:r>
        <w:rPr>
          <w:rFonts w:hint="eastAsia" w:ascii="仿宋_GB2312" w:eastAsia="仿宋_GB2312" w:cs="仿宋_GB2312"/>
          <w:sz w:val="32"/>
          <w:szCs w:val="32"/>
        </w:rPr>
        <w:t>根据国家、省、州、县经济社会发展的方针、政策，研究园区发展的政策、建议，落实中央、省、州、县有关园区的政策，编制、实施园区产业发展及相关规划，</w:t>
      </w:r>
      <w:r>
        <w:rPr>
          <w:rFonts w:hint="eastAsia" w:ascii="仿宋_GB2312" w:eastAsia="仿宋_GB2312" w:cs="仿宋_GB2312"/>
          <w:color w:val="000000"/>
          <w:sz w:val="32"/>
          <w:szCs w:val="32"/>
        </w:rPr>
        <w:t>负责园区建设发展</w:t>
      </w:r>
      <w:r>
        <w:rPr>
          <w:rFonts w:hint="eastAsia" w:ascii="仿宋_GB2312" w:eastAsia="仿宋_GB2312" w:cs="仿宋_GB2312"/>
          <w:sz w:val="32"/>
          <w:szCs w:val="32"/>
        </w:rPr>
        <w:t>。</w:t>
      </w:r>
    </w:p>
    <w:p w14:paraId="34EAB8CD">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（二）</w:t>
      </w:r>
      <w:r>
        <w:rPr>
          <w:rFonts w:hint="eastAsia" w:ascii="仿宋_GB2312" w:eastAsia="仿宋_GB2312" w:cs="仿宋_GB2312"/>
          <w:color w:val="0C0C0C"/>
          <w:sz w:val="32"/>
          <w:szCs w:val="32"/>
        </w:rPr>
        <w:t>申报园区发展政策、专项资金等</w:t>
      </w:r>
      <w:r>
        <w:rPr>
          <w:rFonts w:hint="eastAsia" w:ascii="仿宋_GB2312" w:eastAsia="仿宋_GB2312" w:cs="仿宋_GB2312"/>
          <w:sz w:val="32"/>
          <w:szCs w:val="32"/>
        </w:rPr>
        <w:t>。</w:t>
      </w:r>
    </w:p>
    <w:p w14:paraId="7598316B">
      <w:pPr>
        <w:tabs>
          <w:tab w:val="left" w:pos="0"/>
        </w:tabs>
        <w:spacing w:line="550" w:lineRule="exact"/>
        <w:ind w:firstLine="640" w:firstLineChars="200"/>
        <w:rPr>
          <w:rFonts w:ascii="仿宋_GB2312" w:hAnsi="Calibri" w:eastAsia="仿宋_GB2312" w:cs="仿宋_GB2312"/>
          <w:color w:val="0C0C0C"/>
          <w:sz w:val="32"/>
          <w:szCs w:val="32"/>
        </w:rPr>
      </w:pPr>
      <w:r>
        <w:rPr>
          <w:rFonts w:hint="eastAsia" w:ascii="仿宋_GB2312" w:eastAsia="仿宋_GB2312" w:cs="仿宋_GB2312"/>
          <w:color w:val="0C0C0C"/>
          <w:sz w:val="32"/>
          <w:szCs w:val="32"/>
        </w:rPr>
        <w:t>（</w:t>
      </w:r>
      <w:r>
        <w:rPr>
          <w:rFonts w:hint="eastAsia" w:ascii="仿宋_GB2312" w:hAnsi="Calibri" w:eastAsia="仿宋_GB2312" w:cs="仿宋_GB2312"/>
          <w:color w:val="0C0C0C"/>
          <w:sz w:val="32"/>
          <w:szCs w:val="32"/>
        </w:rPr>
        <w:t>三）兴建和管理园区内的基础设施、协调园区内的水、电、路、通讯等基础设施建设工作。</w:t>
      </w:r>
    </w:p>
    <w:p w14:paraId="642FBC15">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（四）为入园企业提供全方位服务；负责收集、统计、监测园区经济指标，分析园区经济运行态势；负责企业运行协调和服务；统筹开展宣传、招商引资等工作。</w:t>
      </w:r>
    </w:p>
    <w:p w14:paraId="3DADDE8F">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（五）落实中央、省、州、县和相关职能部门要求，抓好</w:t>
      </w:r>
      <w:r>
        <w:rPr>
          <w:rFonts w:hint="eastAsia" w:eastAsia="仿宋_GB2312" w:cs="仿宋_GB2312"/>
          <w:color w:val="0C0C0C"/>
          <w:sz w:val="32"/>
        </w:rPr>
        <w:t>园区</w:t>
      </w:r>
      <w:r>
        <w:rPr>
          <w:rFonts w:hint="eastAsia" w:hAnsi="Calibri" w:eastAsia="仿宋_GB2312" w:cs="仿宋_GB2312"/>
          <w:color w:val="0C0C0C"/>
          <w:sz w:val="32"/>
        </w:rPr>
        <w:t>安全生产、生态环境保护、应急保障、信访、维稳等综合管理工作。</w:t>
      </w:r>
    </w:p>
    <w:p w14:paraId="70EB69CA">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（六）与州、县及有关部门加强联系与协调，加快园区建设发展步伐。</w:t>
      </w:r>
    </w:p>
    <w:p w14:paraId="1DE46F8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ascii="仿宋_GB2312" w:hAnsi="Calibri" w:eastAsia="仿宋_GB2312" w:cs="仿宋_GB2312"/>
          <w:color w:val="0C0C0C"/>
          <w:sz w:val="32"/>
          <w:szCs w:val="32"/>
        </w:rPr>
        <w:t>（七）完成县委、县政府交办的其他任务。</w:t>
      </w:r>
    </w:p>
    <w:p w14:paraId="6E6F4832">
      <w:pPr>
        <w:pStyle w:val="6"/>
        <w:rPr>
          <w:rStyle w:val="29"/>
          <w:rFonts w:ascii="Times New Roman" w:hAnsi="Times New Roman"/>
          <w:b w:val="0"/>
          <w:bCs w:val="0"/>
        </w:rPr>
      </w:pPr>
      <w:bookmarkStart w:id="16" w:name="_Toc15377200"/>
      <w:bookmarkStart w:id="17"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14:paraId="01A35A50">
      <w:pPr>
        <w:widowControl/>
        <w:ind w:firstLine="640" w:firstLineChars="200"/>
        <w:jc w:val="left"/>
        <w:rPr>
          <w:rFonts w:eastAsia="仿宋"/>
          <w:sz w:val="32"/>
          <w:szCs w:val="32"/>
        </w:rPr>
      </w:pPr>
      <w:r>
        <w:rPr>
          <w:rFonts w:hint="eastAsia" w:eastAsia="仿宋"/>
          <w:sz w:val="32"/>
          <w:szCs w:val="32"/>
        </w:rPr>
        <w:t>松潘县产业园区服务中心设5个职能股室。纳入阿坝州松潘县产业园区服务中心2025年部门决算编制范围就一个单位本级。</w:t>
      </w:r>
    </w:p>
    <w:p w14:paraId="6C197C4F">
      <w:pPr>
        <w:widowControl/>
        <w:jc w:val="left"/>
        <w:rPr>
          <w:rFonts w:eastAsia="仿宋"/>
          <w:kern w:val="0"/>
          <w:sz w:val="32"/>
          <w:szCs w:val="32"/>
        </w:rPr>
      </w:pPr>
      <w:r>
        <w:rPr>
          <w:rFonts w:eastAsia="仿宋"/>
          <w:sz w:val="32"/>
          <w:szCs w:val="32"/>
        </w:rPr>
        <w:br w:type="page"/>
      </w:r>
    </w:p>
    <w:p w14:paraId="4C60A677">
      <w:pPr>
        <w:pStyle w:val="5"/>
        <w:jc w:val="center"/>
        <w:rPr>
          <w:rFonts w:eastAsia="方正小标宋简体" w:cs="方正小标宋简体"/>
          <w:b w:val="0"/>
        </w:rPr>
      </w:pPr>
      <w:bookmarkStart w:id="18" w:name="_Toc15377204"/>
      <w:bookmarkStart w:id="19" w:name="_Toc15396602"/>
      <w:r>
        <w:rPr>
          <w:rFonts w:hint="eastAsia" w:eastAsia="方正小标宋简体" w:cs="方正小标宋简体"/>
          <w:b w:val="0"/>
        </w:rPr>
        <w:t>第二部分  2025年度部门决算情况说明</w:t>
      </w:r>
      <w:bookmarkEnd w:id="18"/>
      <w:bookmarkEnd w:id="19"/>
    </w:p>
    <w:p w14:paraId="27499359"/>
    <w:p w14:paraId="299E17A4">
      <w:pPr>
        <w:pStyle w:val="27"/>
        <w:spacing w:line="600" w:lineRule="exact"/>
        <w:ind w:firstLine="640"/>
        <w:outlineLvl w:val="1"/>
        <w:rPr>
          <w:rStyle w:val="29"/>
          <w:rFonts w:ascii="Times New Roman" w:hAnsi="Times New Roman" w:eastAsia="黑体"/>
          <w:b w:val="0"/>
        </w:rPr>
      </w:pPr>
      <w:bookmarkStart w:id="20" w:name="_Toc15396603"/>
      <w:bookmarkStart w:id="21"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14:paraId="4A3FFE4C">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eastAsia="仿宋_GB2312" w:cs="仿宋_GB2312"/>
          <w:sz w:val="32"/>
          <w:szCs w:val="32"/>
        </w:rPr>
        <w:t>1266</w:t>
      </w:r>
      <w:r>
        <w:rPr>
          <w:rFonts w:hint="eastAsia" w:eastAsia="仿宋_GB2312" w:cs="仿宋_GB2312"/>
          <w:sz w:val="32"/>
          <w:szCs w:val="32"/>
        </w:rPr>
        <w:t>.</w:t>
      </w:r>
      <w:r>
        <w:rPr>
          <w:rFonts w:eastAsia="仿宋_GB2312" w:cs="仿宋_GB2312"/>
          <w:sz w:val="32"/>
          <w:szCs w:val="32"/>
        </w:rPr>
        <w:t>99</w:t>
      </w:r>
      <w:r>
        <w:rPr>
          <w:rFonts w:hint="eastAsia" w:eastAsia="仿宋_GB2312" w:cs="仿宋_GB2312"/>
          <w:sz w:val="32"/>
          <w:szCs w:val="32"/>
        </w:rPr>
        <w:t>万元。与上年度相比，收入、支出总计各减少1772.6万元，下降58.32%。主要变动原因是今年项目涉及金额较上年大幅减少。</w:t>
      </w:r>
    </w:p>
    <w:p w14:paraId="076D9877">
      <w:pPr>
        <w:pStyle w:val="27"/>
        <w:spacing w:line="600" w:lineRule="exact"/>
        <w:ind w:firstLine="640"/>
        <w:outlineLvl w:val="1"/>
        <w:rPr>
          <w:rFonts w:eastAsia="黑体"/>
          <w:sz w:val="32"/>
          <w:szCs w:val="32"/>
        </w:rPr>
      </w:pPr>
      <w:bookmarkStart w:id="22" w:name="_Toc15396604"/>
      <w:bookmarkStart w:id="23" w:name="_Toc15377206"/>
      <w:r>
        <w:rPr>
          <w:rFonts w:hint="eastAsia" w:eastAsia="黑体"/>
          <w:sz w:val="32"/>
          <w:szCs w:val="32"/>
        </w:rPr>
        <w:t>二、收入决算情况说明</w:t>
      </w:r>
      <w:bookmarkEnd w:id="22"/>
      <w:bookmarkEnd w:id="23"/>
    </w:p>
    <w:p w14:paraId="120CFA3F">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w:t>
      </w:r>
      <w:r>
        <w:rPr>
          <w:rFonts w:eastAsia="仿宋_GB2312" w:cs="仿宋_GB2312"/>
          <w:sz w:val="32"/>
          <w:szCs w:val="32"/>
        </w:rPr>
        <w:t>1266.99</w:t>
      </w:r>
      <w:r>
        <w:rPr>
          <w:rFonts w:hint="eastAsia" w:eastAsia="仿宋_GB2312" w:cs="仿宋_GB2312"/>
          <w:sz w:val="32"/>
          <w:szCs w:val="32"/>
        </w:rPr>
        <w:t>万元，其中：一般公共预算财政拨款收入</w:t>
      </w:r>
      <w:r>
        <w:rPr>
          <w:rFonts w:eastAsia="仿宋_GB2312" w:cs="仿宋_GB2312"/>
          <w:sz w:val="32"/>
          <w:szCs w:val="32"/>
        </w:rPr>
        <w:t>1161.52</w:t>
      </w:r>
      <w:r>
        <w:rPr>
          <w:rFonts w:hint="eastAsia" w:eastAsia="仿宋_GB2312" w:cs="仿宋_GB2312"/>
          <w:sz w:val="32"/>
          <w:szCs w:val="32"/>
        </w:rPr>
        <w:t>万元，占91.68%；政府性基金预算财政拨款收入0万元，占0%；国有资本经营预算财政拨款收入0万元，占0%；上级补助收入0万元，占0%；事业收入0万元，占0%；经营收入0万元，占0%；附属单位上缴收入0万元，占0%；其他收入</w:t>
      </w:r>
      <w:r>
        <w:rPr>
          <w:rFonts w:eastAsia="仿宋_GB2312" w:cs="仿宋_GB2312"/>
          <w:sz w:val="32"/>
          <w:szCs w:val="32"/>
        </w:rPr>
        <w:t>105.48</w:t>
      </w:r>
      <w:r>
        <w:rPr>
          <w:rFonts w:hint="eastAsia" w:eastAsia="仿宋_GB2312" w:cs="仿宋_GB2312"/>
          <w:sz w:val="32"/>
          <w:szCs w:val="32"/>
        </w:rPr>
        <w:t>万元，占8.32%。</w:t>
      </w:r>
    </w:p>
    <w:p w14:paraId="28AA4FA2">
      <w:pPr>
        <w:pStyle w:val="27"/>
        <w:spacing w:line="600" w:lineRule="exact"/>
        <w:ind w:firstLine="640"/>
        <w:outlineLvl w:val="1"/>
        <w:rPr>
          <w:rStyle w:val="29"/>
          <w:rFonts w:ascii="Times New Roman" w:hAnsi="Times New Roman" w:eastAsia="黑体"/>
          <w:b w:val="0"/>
        </w:rPr>
      </w:pPr>
      <w:bookmarkStart w:id="24" w:name="_Toc15396605"/>
      <w:bookmarkStart w:id="25" w:name="_Toc15377207"/>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14:paraId="09E95CF8">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w:t>
      </w:r>
      <w:r>
        <w:rPr>
          <w:rFonts w:eastAsia="仿宋_GB2312" w:cs="仿宋_GB2312"/>
          <w:sz w:val="32"/>
          <w:szCs w:val="32"/>
        </w:rPr>
        <w:t>1266.99</w:t>
      </w:r>
      <w:r>
        <w:rPr>
          <w:rFonts w:hint="eastAsia" w:eastAsia="仿宋_GB2312" w:cs="仿宋_GB2312"/>
          <w:sz w:val="32"/>
          <w:szCs w:val="32"/>
        </w:rPr>
        <w:t>万元，其中：基本支出</w:t>
      </w:r>
      <w:r>
        <w:rPr>
          <w:rFonts w:eastAsia="仿宋_GB2312" w:cs="仿宋_GB2312"/>
          <w:sz w:val="32"/>
          <w:szCs w:val="32"/>
        </w:rPr>
        <w:t>294.69</w:t>
      </w:r>
      <w:r>
        <w:rPr>
          <w:rFonts w:hint="eastAsia" w:eastAsia="仿宋_GB2312" w:cs="仿宋_GB2312"/>
          <w:sz w:val="32"/>
          <w:szCs w:val="32"/>
        </w:rPr>
        <w:t>万元，占23.26%；项目支出</w:t>
      </w:r>
      <w:r>
        <w:rPr>
          <w:rFonts w:eastAsia="仿宋_GB2312" w:cs="仿宋_GB2312"/>
          <w:sz w:val="32"/>
          <w:szCs w:val="32"/>
        </w:rPr>
        <w:t>972.30</w:t>
      </w:r>
      <w:r>
        <w:rPr>
          <w:rFonts w:hint="eastAsia" w:eastAsia="仿宋_GB2312" w:cs="仿宋_GB2312"/>
          <w:sz w:val="32"/>
          <w:szCs w:val="32"/>
        </w:rPr>
        <w:t>万元，占76.74%；上缴上级支出0万元，占0%；经营支出0万元，占0%；对附属单位补助支出0万元，占0%。</w:t>
      </w:r>
    </w:p>
    <w:p w14:paraId="784A5EAC">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14:paraId="1412596E">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eastAsia="仿宋_GB2312" w:cs="仿宋_GB2312"/>
          <w:sz w:val="32"/>
          <w:szCs w:val="32"/>
        </w:rPr>
        <w:t>1,266.99</w:t>
      </w:r>
      <w:r>
        <w:rPr>
          <w:rFonts w:hint="eastAsia" w:eastAsia="仿宋_GB2312" w:cs="仿宋_GB2312"/>
          <w:sz w:val="32"/>
          <w:szCs w:val="32"/>
        </w:rPr>
        <w:t>万元。与上年度相比，财政拨款收入、支出总计各减少1772.6万元，下降58.32%。主要变动原因是今年项目涉及金额较上年大幅减少。</w:t>
      </w:r>
    </w:p>
    <w:p w14:paraId="5CD6796A">
      <w:pPr>
        <w:spacing w:line="600" w:lineRule="exact"/>
        <w:ind w:firstLine="640" w:firstLineChars="200"/>
        <w:outlineLvl w:val="1"/>
        <w:rPr>
          <w:rStyle w:val="29"/>
          <w:rFonts w:ascii="Times New Roman" w:hAnsi="Times New Roman" w:eastAsia="黑体"/>
          <w:b w:val="0"/>
        </w:rPr>
      </w:pPr>
      <w:bookmarkStart w:id="28" w:name="_Toc15377209"/>
      <w:bookmarkStart w:id="29"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14:paraId="555CEC50">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14:paraId="4DBFAB3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eastAsia="仿宋_GB2312" w:cs="仿宋_GB2312"/>
          <w:sz w:val="32"/>
          <w:szCs w:val="32"/>
        </w:rPr>
        <w:t>1266.99</w:t>
      </w:r>
      <w:r>
        <w:rPr>
          <w:rFonts w:hint="eastAsia" w:eastAsia="仿宋_GB2312" w:cs="仿宋_GB2312"/>
          <w:sz w:val="32"/>
          <w:szCs w:val="32"/>
        </w:rPr>
        <w:t>万元，占本年支出合计的100%。与上年度相比，一般公共预算财政拨款支出减少1772.6万元，下降58.32%。主要变动原因是今年项目涉及金额较上年大幅减少。</w:t>
      </w:r>
    </w:p>
    <w:p w14:paraId="61853D2C">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14:paraId="25E54EF8">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eastAsia="仿宋_GB2312" w:cs="仿宋_GB2312"/>
          <w:sz w:val="32"/>
          <w:szCs w:val="32"/>
        </w:rPr>
        <w:t>1266.99</w:t>
      </w:r>
      <w:r>
        <w:rPr>
          <w:rFonts w:hint="eastAsia" w:eastAsia="仿宋_GB2312" w:cs="仿宋_GB2312"/>
          <w:sz w:val="32"/>
          <w:szCs w:val="32"/>
        </w:rPr>
        <w:t>万元，主要用于以下方面：资源勘探工业信息等支出</w:t>
      </w:r>
      <w:r>
        <w:rPr>
          <w:rFonts w:eastAsia="仿宋_GB2312" w:cs="仿宋_GB2312"/>
          <w:sz w:val="32"/>
          <w:szCs w:val="32"/>
        </w:rPr>
        <w:t>642.28</w:t>
      </w:r>
      <w:r>
        <w:rPr>
          <w:rFonts w:hint="eastAsia" w:eastAsia="仿宋_GB2312" w:cs="仿宋_GB2312"/>
          <w:sz w:val="32"/>
          <w:szCs w:val="32"/>
        </w:rPr>
        <w:t>万元，占50.69%；农林水支出</w:t>
      </w:r>
      <w:r>
        <w:rPr>
          <w:rFonts w:eastAsia="仿宋_GB2312" w:cs="仿宋_GB2312"/>
          <w:sz w:val="32"/>
          <w:szCs w:val="32"/>
        </w:rPr>
        <w:t>406.50</w:t>
      </w:r>
      <w:r>
        <w:rPr>
          <w:rFonts w:hint="eastAsia" w:eastAsia="仿宋_GB2312" w:cs="仿宋_GB2312"/>
          <w:sz w:val="32"/>
          <w:szCs w:val="32"/>
        </w:rPr>
        <w:t>万元，占32.08%；科学技术支出</w:t>
      </w:r>
      <w:r>
        <w:rPr>
          <w:rFonts w:eastAsia="仿宋_GB2312" w:cs="仿宋_GB2312"/>
          <w:sz w:val="32"/>
          <w:szCs w:val="32"/>
        </w:rPr>
        <w:t>140.00</w:t>
      </w:r>
      <w:r>
        <w:rPr>
          <w:rFonts w:hint="eastAsia" w:eastAsia="仿宋_GB2312" w:cs="仿宋_GB2312"/>
          <w:sz w:val="32"/>
          <w:szCs w:val="32"/>
        </w:rPr>
        <w:t>万元，占11.05%；社会保障和就业支出</w:t>
      </w:r>
      <w:r>
        <w:rPr>
          <w:rFonts w:eastAsia="仿宋_GB2312" w:cs="仿宋_GB2312"/>
          <w:sz w:val="32"/>
          <w:szCs w:val="32"/>
        </w:rPr>
        <w:t>40.88</w:t>
      </w:r>
      <w:r>
        <w:rPr>
          <w:rFonts w:hint="eastAsia" w:eastAsia="仿宋_GB2312" w:cs="仿宋_GB2312"/>
          <w:sz w:val="32"/>
          <w:szCs w:val="32"/>
        </w:rPr>
        <w:t>万元，占3.23%；住房保障支出</w:t>
      </w:r>
      <w:r>
        <w:rPr>
          <w:rFonts w:eastAsia="仿宋_GB2312" w:cs="仿宋_GB2312"/>
          <w:sz w:val="32"/>
          <w:szCs w:val="32"/>
        </w:rPr>
        <w:t>22.30</w:t>
      </w:r>
      <w:r>
        <w:rPr>
          <w:rFonts w:hint="eastAsia" w:eastAsia="仿宋_GB2312" w:cs="仿宋_GB2312"/>
          <w:sz w:val="32"/>
          <w:szCs w:val="32"/>
        </w:rPr>
        <w:t>万元，占1.76%；卫生健康支出</w:t>
      </w:r>
      <w:r>
        <w:rPr>
          <w:rFonts w:eastAsia="仿宋_GB2312" w:cs="仿宋_GB2312"/>
          <w:sz w:val="32"/>
          <w:szCs w:val="32"/>
        </w:rPr>
        <w:t>15.03</w:t>
      </w:r>
      <w:r>
        <w:rPr>
          <w:rFonts w:hint="eastAsia" w:eastAsia="仿宋_GB2312" w:cs="仿宋_GB2312"/>
          <w:sz w:val="32"/>
          <w:szCs w:val="32"/>
        </w:rPr>
        <w:t>万元，占1.19%</w:t>
      </w:r>
      <w:r>
        <w:rPr>
          <w:rFonts w:eastAsia="仿宋_GB2312" w:cs="仿宋_GB2312"/>
          <w:b/>
          <w:bCs/>
          <w:sz w:val="32"/>
          <w:szCs w:val="32"/>
        </w:rPr>
        <w:t xml:space="preserve"> </w:t>
      </w:r>
    </w:p>
    <w:p w14:paraId="6749E834">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14:paraId="37C748C5">
      <w:pPr>
        <w:spacing w:line="600" w:lineRule="exact"/>
        <w:ind w:firstLine="640"/>
        <w:rPr>
          <w:rFonts w:eastAsia="仿宋_GB2312" w:cs="仿宋_GB2312"/>
          <w:sz w:val="32"/>
          <w:szCs w:val="32"/>
        </w:rPr>
      </w:pPr>
      <w:bookmarkStart w:id="33" w:name="_Toc15377444"/>
      <w:bookmarkStart w:id="34" w:name="_Toc15378460"/>
      <w:bookmarkStart w:id="35" w:name="_Toc15377213"/>
      <w:r>
        <w:rPr>
          <w:rFonts w:hint="eastAsia" w:eastAsia="仿宋_GB2312" w:cs="仿宋_GB2312"/>
          <w:sz w:val="32"/>
          <w:szCs w:val="32"/>
        </w:rPr>
        <w:t>2025年度一般公共预算支出决算数为</w:t>
      </w:r>
      <w:r>
        <w:rPr>
          <w:rFonts w:eastAsia="仿宋_GB2312" w:cs="仿宋_GB2312"/>
          <w:sz w:val="32"/>
          <w:szCs w:val="32"/>
        </w:rPr>
        <w:t>1266.99</w:t>
      </w:r>
      <w:r>
        <w:rPr>
          <w:rFonts w:hint="eastAsia" w:eastAsia="仿宋_GB2312" w:cs="仿宋_GB2312"/>
          <w:sz w:val="32"/>
          <w:szCs w:val="32"/>
        </w:rPr>
        <w:t>，完成预算100%。其中：</w:t>
      </w:r>
      <w:bookmarkEnd w:id="33"/>
      <w:bookmarkEnd w:id="34"/>
      <w:bookmarkEnd w:id="35"/>
    </w:p>
    <w:p w14:paraId="588029F0">
      <w:pPr>
        <w:spacing w:line="600" w:lineRule="exact"/>
        <w:ind w:firstLine="640"/>
        <w:rPr>
          <w:rFonts w:eastAsia="仿宋_GB2312" w:cs="仿宋_GB2312"/>
          <w:sz w:val="32"/>
          <w:szCs w:val="32"/>
        </w:rPr>
      </w:pPr>
      <w:r>
        <w:rPr>
          <w:rFonts w:hint="eastAsia" w:eastAsia="仿宋_GB2312" w:cs="仿宋_GB2312"/>
          <w:sz w:val="32"/>
          <w:szCs w:val="32"/>
        </w:rPr>
        <w:t>1.资源勘探工业信息等支出</w:t>
      </w:r>
      <w:r>
        <w:rPr>
          <w:rFonts w:eastAsia="仿宋_GB2312" w:cs="仿宋_GB2312"/>
          <w:sz w:val="32"/>
          <w:szCs w:val="32"/>
        </w:rPr>
        <w:t>642.28</w:t>
      </w:r>
      <w:r>
        <w:rPr>
          <w:rFonts w:hint="eastAsia" w:eastAsia="仿宋_GB2312" w:cs="仿宋_GB2312"/>
          <w:sz w:val="32"/>
          <w:szCs w:val="32"/>
        </w:rPr>
        <w:t>万元，占50.69%；</w:t>
      </w:r>
    </w:p>
    <w:p w14:paraId="4711AE9A">
      <w:pPr>
        <w:spacing w:line="600" w:lineRule="exact"/>
        <w:ind w:firstLine="640"/>
        <w:rPr>
          <w:rFonts w:eastAsia="仿宋_GB2312" w:cs="仿宋_GB2312"/>
          <w:sz w:val="32"/>
          <w:szCs w:val="32"/>
        </w:rPr>
      </w:pPr>
      <w:r>
        <w:rPr>
          <w:rFonts w:hint="eastAsia" w:eastAsia="仿宋_GB2312" w:cs="仿宋_GB2312"/>
          <w:sz w:val="32"/>
          <w:szCs w:val="32"/>
        </w:rPr>
        <w:t>2. 农林水支出</w:t>
      </w:r>
      <w:r>
        <w:rPr>
          <w:rFonts w:eastAsia="仿宋_GB2312" w:cs="仿宋_GB2312"/>
          <w:sz w:val="32"/>
          <w:szCs w:val="32"/>
        </w:rPr>
        <w:t>406.50</w:t>
      </w:r>
      <w:r>
        <w:rPr>
          <w:rFonts w:hint="eastAsia" w:eastAsia="仿宋_GB2312" w:cs="仿宋_GB2312"/>
          <w:sz w:val="32"/>
          <w:szCs w:val="32"/>
        </w:rPr>
        <w:t>万元，占32.08%；</w:t>
      </w:r>
    </w:p>
    <w:p w14:paraId="09F159B0">
      <w:pPr>
        <w:spacing w:line="600" w:lineRule="exact"/>
        <w:ind w:firstLine="640"/>
        <w:rPr>
          <w:rFonts w:eastAsia="仿宋_GB2312" w:cs="仿宋_GB2312"/>
          <w:sz w:val="32"/>
          <w:szCs w:val="32"/>
        </w:rPr>
      </w:pPr>
      <w:r>
        <w:rPr>
          <w:rFonts w:hint="eastAsia" w:eastAsia="仿宋_GB2312" w:cs="仿宋_GB2312"/>
          <w:sz w:val="32"/>
          <w:szCs w:val="32"/>
        </w:rPr>
        <w:t>3. 科学技术支出</w:t>
      </w:r>
      <w:r>
        <w:rPr>
          <w:rFonts w:eastAsia="仿宋_GB2312" w:cs="仿宋_GB2312"/>
          <w:sz w:val="32"/>
          <w:szCs w:val="32"/>
        </w:rPr>
        <w:t>140.00</w:t>
      </w:r>
      <w:r>
        <w:rPr>
          <w:rFonts w:hint="eastAsia" w:eastAsia="仿宋_GB2312" w:cs="仿宋_GB2312"/>
          <w:sz w:val="32"/>
          <w:szCs w:val="32"/>
        </w:rPr>
        <w:t>万元，占11.05%；</w:t>
      </w:r>
    </w:p>
    <w:p w14:paraId="26DC0145">
      <w:pPr>
        <w:spacing w:line="600" w:lineRule="exact"/>
        <w:ind w:firstLine="640"/>
        <w:rPr>
          <w:rFonts w:eastAsia="仿宋_GB2312" w:cs="仿宋_GB2312"/>
          <w:sz w:val="32"/>
          <w:szCs w:val="32"/>
        </w:rPr>
      </w:pPr>
      <w:r>
        <w:rPr>
          <w:rFonts w:hint="eastAsia" w:eastAsia="仿宋_GB2312" w:cs="仿宋_GB2312"/>
          <w:sz w:val="32"/>
          <w:szCs w:val="32"/>
        </w:rPr>
        <w:t>4. 社会保障和就业支出</w:t>
      </w:r>
      <w:r>
        <w:rPr>
          <w:rFonts w:eastAsia="仿宋_GB2312" w:cs="仿宋_GB2312"/>
          <w:sz w:val="32"/>
          <w:szCs w:val="32"/>
        </w:rPr>
        <w:t>40.88</w:t>
      </w:r>
      <w:r>
        <w:rPr>
          <w:rFonts w:hint="eastAsia" w:eastAsia="仿宋_GB2312" w:cs="仿宋_GB2312"/>
          <w:sz w:val="32"/>
          <w:szCs w:val="32"/>
        </w:rPr>
        <w:t>万元，占3.23%；</w:t>
      </w:r>
    </w:p>
    <w:p w14:paraId="1B09FB1C">
      <w:pPr>
        <w:spacing w:line="600" w:lineRule="exact"/>
        <w:ind w:firstLine="640"/>
        <w:rPr>
          <w:rFonts w:eastAsia="仿宋_GB2312" w:cs="仿宋_GB2312"/>
          <w:sz w:val="32"/>
          <w:szCs w:val="32"/>
        </w:rPr>
      </w:pPr>
      <w:r>
        <w:rPr>
          <w:rFonts w:hint="eastAsia" w:eastAsia="仿宋_GB2312" w:cs="仿宋_GB2312"/>
          <w:sz w:val="32"/>
          <w:szCs w:val="32"/>
        </w:rPr>
        <w:t>5. 住房保障支出</w:t>
      </w:r>
      <w:r>
        <w:rPr>
          <w:rFonts w:eastAsia="仿宋_GB2312" w:cs="仿宋_GB2312"/>
          <w:sz w:val="32"/>
          <w:szCs w:val="32"/>
        </w:rPr>
        <w:t>22.30</w:t>
      </w:r>
      <w:r>
        <w:rPr>
          <w:rFonts w:hint="eastAsia" w:eastAsia="仿宋_GB2312" w:cs="仿宋_GB2312"/>
          <w:sz w:val="32"/>
          <w:szCs w:val="32"/>
        </w:rPr>
        <w:t>万元，占1.76%；</w:t>
      </w:r>
    </w:p>
    <w:p w14:paraId="5A40D05D">
      <w:pPr>
        <w:spacing w:line="600" w:lineRule="exact"/>
        <w:ind w:firstLine="640"/>
        <w:rPr>
          <w:rFonts w:eastAsia="仿宋_GB2312" w:cs="仿宋_GB2312"/>
          <w:sz w:val="32"/>
          <w:szCs w:val="32"/>
        </w:rPr>
      </w:pPr>
      <w:r>
        <w:rPr>
          <w:rFonts w:hint="eastAsia" w:eastAsia="仿宋_GB2312" w:cs="仿宋_GB2312"/>
          <w:sz w:val="32"/>
          <w:szCs w:val="32"/>
        </w:rPr>
        <w:t>6. 卫生健康支出</w:t>
      </w:r>
      <w:r>
        <w:rPr>
          <w:rFonts w:eastAsia="仿宋_GB2312" w:cs="仿宋_GB2312"/>
          <w:sz w:val="32"/>
          <w:szCs w:val="32"/>
        </w:rPr>
        <w:t>15.03</w:t>
      </w:r>
      <w:r>
        <w:rPr>
          <w:rFonts w:hint="eastAsia" w:eastAsia="仿宋_GB2312" w:cs="仿宋_GB2312"/>
          <w:sz w:val="32"/>
          <w:szCs w:val="32"/>
        </w:rPr>
        <w:t>万元，占1.19%</w:t>
      </w:r>
    </w:p>
    <w:p w14:paraId="4CEDA0B5">
      <w:pPr>
        <w:tabs>
          <w:tab w:val="right" w:pos="8306"/>
        </w:tabs>
        <w:spacing w:line="600" w:lineRule="exact"/>
        <w:ind w:firstLine="640"/>
        <w:outlineLvl w:val="1"/>
        <w:rPr>
          <w:rStyle w:val="29"/>
          <w:rFonts w:ascii="Times New Roman" w:hAnsi="Times New Roman"/>
        </w:rPr>
      </w:pPr>
      <w:bookmarkStart w:id="36" w:name="_Toc15396608"/>
      <w:bookmarkStart w:id="3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14:paraId="68EA3C27">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eastAsia="仿宋_GB2312" w:cs="仿宋_GB2312"/>
          <w:sz w:val="32"/>
          <w:szCs w:val="32"/>
        </w:rPr>
        <w:t>294.69</w:t>
      </w:r>
      <w:r>
        <w:rPr>
          <w:rFonts w:hint="eastAsia" w:eastAsia="仿宋_GB2312" w:cs="仿宋_GB2312"/>
          <w:sz w:val="32"/>
          <w:szCs w:val="32"/>
        </w:rPr>
        <w:t>万元，其中：</w:t>
      </w:r>
    </w:p>
    <w:p w14:paraId="0DF37B4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eastAsia="仿宋_GB2312" w:cs="仿宋_GB2312"/>
          <w:sz w:val="32"/>
          <w:szCs w:val="32"/>
        </w:rPr>
        <w:t>279.10</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eastAsia="仿宋_GB2312" w:cs="仿宋_GB2312"/>
          <w:sz w:val="32"/>
          <w:szCs w:val="32"/>
        </w:rPr>
        <w:t>15.59</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B4919CB">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14:paraId="21BF14C1">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14:paraId="25F4957D">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eastAsia="仿宋_GB2312" w:cs="仿宋_GB2312"/>
          <w:sz w:val="32"/>
          <w:szCs w:val="32"/>
        </w:rPr>
        <w:t>2.87</w:t>
      </w:r>
      <w:r>
        <w:rPr>
          <w:rFonts w:hint="eastAsia" w:eastAsia="仿宋_GB2312" w:cs="仿宋_GB2312"/>
          <w:sz w:val="32"/>
          <w:szCs w:val="32"/>
        </w:rPr>
        <w:t>万元，完成预算100%，较上年度增加0.14万元，增长5.13%。</w:t>
      </w:r>
    </w:p>
    <w:p w14:paraId="3CB12B36">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14:paraId="04189231">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2025年度财政拨款“三公”经费支出决算中，公务用车购置及运行维护费支出决算2.87万元，占100%；具体情况如下：</w:t>
      </w:r>
    </w:p>
    <w:p w14:paraId="410D7055">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1.因公出国（境）经费支出0万元，完成预算0%。</w:t>
      </w:r>
    </w:p>
    <w:p w14:paraId="5E7A0A5D">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2.公务用车购置及运行维护费支出2.87万元，完成预算**%。</w:t>
      </w:r>
      <w:r>
        <w:rPr>
          <w:rFonts w:hint="eastAsia" w:eastAsia="仿宋_GB2312" w:cs="仿宋_GB2312"/>
          <w:sz w:val="32"/>
          <w:szCs w:val="32"/>
        </w:rPr>
        <w:t>公务用车购置及运行维护费支出决算比上年度增加0.14万元，增长5.13%。主要原因是受成品油价格阶段性波动及少量车辆维保支出影响，费用略有上升。</w:t>
      </w:r>
    </w:p>
    <w:p w14:paraId="00B8E82D">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1辆，其中：轿车0辆、越野车1辆、载客汽车0辆。</w:t>
      </w:r>
    </w:p>
    <w:p w14:paraId="1CEFBE58">
      <w:pPr>
        <w:spacing w:line="600" w:lineRule="exact"/>
        <w:ind w:firstLine="640"/>
        <w:rPr>
          <w:rFonts w:eastAsia="仿宋_GB2312" w:cs="仿宋_GB2312"/>
          <w:sz w:val="32"/>
          <w:szCs w:val="32"/>
        </w:rPr>
      </w:pPr>
      <w:r>
        <w:rPr>
          <w:rFonts w:hint="eastAsia" w:eastAsia="仿宋_GB2312" w:cs="仿宋_GB2312"/>
          <w:sz w:val="32"/>
          <w:szCs w:val="32"/>
        </w:rPr>
        <w:t>公务用车运行维护费支出2.87万元。主要用于……（具体工作）所需的公务用车燃料费、维修费、过路过桥费、保险费等支出。</w:t>
      </w:r>
    </w:p>
    <w:p w14:paraId="6AE4C93B">
      <w:pPr>
        <w:spacing w:line="600" w:lineRule="exact"/>
        <w:ind w:firstLine="640"/>
        <w:rPr>
          <w:rFonts w:eastAsia="仿宋_GB2312" w:cs="仿宋_GB2312"/>
          <w:sz w:val="32"/>
          <w:szCs w:val="32"/>
        </w:rPr>
      </w:pPr>
      <w:r>
        <w:rPr>
          <w:rFonts w:hint="eastAsia" w:eastAsia="仿宋_GB2312" w:cs="仿宋_GB2312"/>
          <w:b/>
          <w:bCs/>
          <w:sz w:val="32"/>
          <w:szCs w:val="32"/>
        </w:rPr>
        <w:t>3.公务接待费支出0万元，完成预算0%。</w:t>
      </w:r>
      <w:r>
        <w:rPr>
          <w:rFonts w:hint="eastAsia" w:eastAsia="仿宋_GB2312" w:cs="仿宋_GB2312"/>
          <w:sz w:val="32"/>
          <w:szCs w:val="32"/>
        </w:rPr>
        <w:t>公务接待费支出决算比上年度增加0万元，增长0%。</w:t>
      </w:r>
      <w:bookmarkStart w:id="42" w:name="_Toc15396610"/>
      <w:bookmarkStart w:id="43" w:name="_Toc15377218"/>
    </w:p>
    <w:p w14:paraId="0BB2A639">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14:paraId="3CC4C0B4">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2025年度政府性基金预算财政拨款支出0万元，</w:t>
      </w:r>
    </w:p>
    <w:p w14:paraId="7EB37669">
      <w:pPr>
        <w:spacing w:line="600" w:lineRule="exact"/>
        <w:ind w:left="630"/>
        <w:outlineLvl w:val="1"/>
        <w:rPr>
          <w:rStyle w:val="29"/>
          <w:rFonts w:ascii="Times New Roman" w:hAnsi="Times New Roman" w:eastAsia="黑体"/>
          <w:b w:val="0"/>
        </w:rPr>
      </w:pPr>
      <w:bookmarkStart w:id="44" w:name="_Toc15396611"/>
      <w:bookmarkStart w:id="45" w:name="_Toc15377219"/>
      <w:r>
        <w:rPr>
          <w:rStyle w:val="29"/>
          <w:rFonts w:hint="eastAsia" w:ascii="Times New Roman" w:hAnsi="Times New Roman" w:eastAsia="黑体"/>
          <w:b w:val="0"/>
        </w:rPr>
        <w:t>九、国有资本经营预算支出决算情况说明</w:t>
      </w:r>
      <w:bookmarkEnd w:id="44"/>
      <w:bookmarkEnd w:id="45"/>
    </w:p>
    <w:p w14:paraId="418A6494">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w:t>
      </w:r>
    </w:p>
    <w:p w14:paraId="38CE630C">
      <w:pPr>
        <w:spacing w:line="600" w:lineRule="exact"/>
        <w:ind w:left="630"/>
        <w:outlineLvl w:val="1"/>
        <w:rPr>
          <w:rStyle w:val="29"/>
          <w:rFonts w:ascii="Times New Roman" w:hAnsi="Times New Roman" w:eastAsia="黑体"/>
          <w:b w:val="0"/>
        </w:rPr>
      </w:pPr>
      <w:bookmarkStart w:id="46" w:name="_Toc15396612"/>
      <w:bookmarkStart w:id="47" w:name="_Toc15377221"/>
      <w:r>
        <w:rPr>
          <w:rStyle w:val="29"/>
          <w:rFonts w:hint="eastAsia" w:ascii="Times New Roman" w:hAnsi="Times New Roman" w:eastAsia="黑体"/>
          <w:b w:val="0"/>
        </w:rPr>
        <w:t>十、其他重要事项的情况说明</w:t>
      </w:r>
      <w:bookmarkEnd w:id="46"/>
      <w:bookmarkEnd w:id="47"/>
    </w:p>
    <w:p w14:paraId="7691BCC5">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14:paraId="528535BB">
      <w:pPr>
        <w:spacing w:line="600" w:lineRule="exact"/>
        <w:ind w:firstLine="640"/>
        <w:rPr>
          <w:rFonts w:eastAsia="仿宋_GB2312" w:cs="仿宋_GB2312"/>
          <w:sz w:val="32"/>
          <w:szCs w:val="32"/>
        </w:rPr>
      </w:pPr>
      <w:r>
        <w:rPr>
          <w:rFonts w:hint="eastAsia" w:eastAsia="仿宋_GB2312" w:cs="仿宋_GB2312"/>
          <w:sz w:val="32"/>
          <w:szCs w:val="32"/>
        </w:rPr>
        <w:t>2025年度，松潘县产业园区服务中心机关运行经费支出0万元，比上年度增加0万元，增长0%</w:t>
      </w:r>
    </w:p>
    <w:p w14:paraId="3282DD0B">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14:paraId="4113037E">
      <w:pPr>
        <w:spacing w:line="600" w:lineRule="exact"/>
        <w:ind w:firstLine="640"/>
        <w:rPr>
          <w:rFonts w:eastAsia="仿宋_GB2312" w:cs="仿宋_GB2312"/>
          <w:sz w:val="32"/>
          <w:szCs w:val="32"/>
        </w:rPr>
      </w:pPr>
      <w:r>
        <w:rPr>
          <w:rFonts w:hint="eastAsia" w:eastAsia="仿宋_GB2312" w:cs="仿宋_GB2312"/>
          <w:sz w:val="32"/>
          <w:szCs w:val="32"/>
        </w:rPr>
        <w:t>2025年度，松潘县产业园区服务中心政府采购支出总额247.15万元，其中：政府采购货物支出3.83万元、政府采购工程支出</w:t>
      </w:r>
      <w:r>
        <w:rPr>
          <w:rFonts w:eastAsia="仿宋_GB2312" w:cs="仿宋_GB2312"/>
          <w:sz w:val="32"/>
          <w:szCs w:val="32"/>
        </w:rPr>
        <w:t>188</w:t>
      </w:r>
      <w:r>
        <w:rPr>
          <w:rFonts w:hint="eastAsia" w:eastAsia="仿宋_GB2312" w:cs="仿宋_GB2312"/>
          <w:sz w:val="32"/>
          <w:szCs w:val="32"/>
        </w:rPr>
        <w:t>.</w:t>
      </w:r>
      <w:r>
        <w:rPr>
          <w:rFonts w:eastAsia="仿宋_GB2312" w:cs="仿宋_GB2312"/>
          <w:sz w:val="32"/>
          <w:szCs w:val="32"/>
        </w:rPr>
        <w:t>6</w:t>
      </w:r>
      <w:r>
        <w:rPr>
          <w:rFonts w:hint="eastAsia" w:eastAsia="仿宋_GB2312" w:cs="仿宋_GB2312"/>
          <w:sz w:val="32"/>
          <w:szCs w:val="32"/>
        </w:rPr>
        <w:t>7万元、政府采购服务支出</w:t>
      </w:r>
      <w:r>
        <w:rPr>
          <w:rFonts w:eastAsia="仿宋_GB2312" w:cs="仿宋_GB2312"/>
          <w:sz w:val="32"/>
          <w:szCs w:val="32"/>
        </w:rPr>
        <w:t>54</w:t>
      </w:r>
      <w:r>
        <w:rPr>
          <w:rFonts w:hint="eastAsia" w:eastAsia="仿宋_GB2312" w:cs="仿宋_GB2312"/>
          <w:sz w:val="32"/>
          <w:szCs w:val="32"/>
        </w:rPr>
        <w:t>.</w:t>
      </w:r>
      <w:r>
        <w:rPr>
          <w:rFonts w:eastAsia="仿宋_GB2312" w:cs="仿宋_GB2312"/>
          <w:sz w:val="32"/>
          <w:szCs w:val="32"/>
        </w:rPr>
        <w:t>65</w:t>
      </w:r>
      <w:r>
        <w:rPr>
          <w:rFonts w:hint="eastAsia" w:eastAsia="仿宋_GB2312" w:cs="仿宋_GB2312"/>
          <w:sz w:val="32"/>
          <w:szCs w:val="32"/>
        </w:rPr>
        <w:t>万元。</w:t>
      </w:r>
    </w:p>
    <w:p w14:paraId="5D229423">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14:paraId="229060D1">
      <w:pPr>
        <w:spacing w:line="600" w:lineRule="exact"/>
        <w:ind w:firstLine="640"/>
        <w:rPr>
          <w:rFonts w:eastAsia="仿宋_GB2312" w:cs="仿宋_GB2312"/>
          <w:sz w:val="32"/>
          <w:szCs w:val="32"/>
        </w:rPr>
      </w:pPr>
      <w:r>
        <w:rPr>
          <w:rFonts w:hint="eastAsia" w:eastAsia="仿宋_GB2312" w:cs="仿宋_GB2312"/>
          <w:sz w:val="32"/>
          <w:szCs w:val="32"/>
        </w:rPr>
        <w:t>截至2025年12月31日，松潘县产业园区服务中心共有车辆1辆，其中：主要负责人用车0辆、机要通信用车0辆、应急保障用车0辆、其他用车1辆，其他用车</w:t>
      </w:r>
      <w:bookmarkStart w:id="70" w:name="_GoBack"/>
      <w:r>
        <w:rPr>
          <w:rFonts w:hint="eastAsia" w:eastAsia="仿宋_GB2312" w:cs="仿宋_GB2312"/>
          <w:sz w:val="32"/>
          <w:szCs w:val="32"/>
          <w:lang w:eastAsia="zh-CN"/>
        </w:rPr>
        <w:t>主要</w:t>
      </w:r>
      <w:bookmarkEnd w:id="70"/>
      <w:r>
        <w:rPr>
          <w:rFonts w:hint="eastAsia" w:eastAsia="仿宋_GB2312" w:cs="仿宋_GB2312"/>
          <w:sz w:val="32"/>
          <w:szCs w:val="32"/>
        </w:rPr>
        <w:t>用于日常办公。</w:t>
      </w:r>
    </w:p>
    <w:p w14:paraId="708662DE">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7AF48A7">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2025年度一般公共预算、政府性基金预算、国有资本经营预算、社会保险基金预算以及资本资产、债券资金等全面开展绩效自评，形成松潘县产业园区服务中心部门预算（含部门预算项目）绩效自评报告</w:t>
      </w:r>
    </w:p>
    <w:p w14:paraId="23A7B8E9">
      <w:pPr>
        <w:pStyle w:val="2"/>
      </w:pPr>
    </w:p>
    <w:p w14:paraId="61CABD81">
      <w:pPr>
        <w:pStyle w:val="3"/>
        <w:ind w:left="420"/>
      </w:pPr>
    </w:p>
    <w:p w14:paraId="04B39680"/>
    <w:p w14:paraId="405FCCF0">
      <w:pPr>
        <w:pStyle w:val="2"/>
      </w:pPr>
    </w:p>
    <w:p w14:paraId="3F856091">
      <w:pPr>
        <w:pStyle w:val="3"/>
        <w:ind w:left="420"/>
      </w:pPr>
    </w:p>
    <w:p w14:paraId="779D1F35"/>
    <w:p w14:paraId="3941DC2A">
      <w:pPr>
        <w:pStyle w:val="2"/>
      </w:pPr>
    </w:p>
    <w:p w14:paraId="34A0DE1F">
      <w:pPr>
        <w:pStyle w:val="3"/>
        <w:ind w:left="420"/>
      </w:pPr>
    </w:p>
    <w:p w14:paraId="64DBABC3"/>
    <w:p w14:paraId="741F3FBA">
      <w:pPr>
        <w:pStyle w:val="2"/>
      </w:pPr>
    </w:p>
    <w:p w14:paraId="2E716732">
      <w:pPr>
        <w:pStyle w:val="3"/>
        <w:ind w:left="420"/>
      </w:pPr>
    </w:p>
    <w:p w14:paraId="57B35908"/>
    <w:p w14:paraId="0208CACB">
      <w:pPr>
        <w:pStyle w:val="2"/>
      </w:pPr>
    </w:p>
    <w:p w14:paraId="47A5983B">
      <w:pPr>
        <w:pStyle w:val="3"/>
        <w:ind w:left="420"/>
      </w:pPr>
    </w:p>
    <w:p w14:paraId="0CF0DFDE">
      <w:pPr>
        <w:spacing w:line="600" w:lineRule="exact"/>
        <w:jc w:val="center"/>
        <w:outlineLvl w:val="0"/>
        <w:rPr>
          <w:rFonts w:eastAsia="黑体"/>
          <w:sz w:val="44"/>
          <w:szCs w:val="44"/>
        </w:rPr>
      </w:pPr>
      <w:bookmarkStart w:id="51" w:name="_Toc15396613"/>
      <w:bookmarkStart w:id="52" w:name="_Toc15377225"/>
      <w:r>
        <w:rPr>
          <w:rFonts w:hint="eastAsia" w:eastAsia="黑体"/>
          <w:sz w:val="44"/>
          <w:szCs w:val="44"/>
        </w:rPr>
        <w:t>第三部分  名词解释</w:t>
      </w:r>
      <w:bookmarkEnd w:id="51"/>
      <w:bookmarkEnd w:id="52"/>
    </w:p>
    <w:p w14:paraId="43D88E47">
      <w:pPr>
        <w:spacing w:line="600" w:lineRule="exact"/>
        <w:jc w:val="left"/>
        <w:rPr>
          <w:b/>
          <w:sz w:val="44"/>
          <w:szCs w:val="44"/>
        </w:rPr>
      </w:pPr>
    </w:p>
    <w:p w14:paraId="6C0AE338">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0F77833A">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1C62FA24">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2D340E6C">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1007A224">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3ED2C64A">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69D76400">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11CF8D3D">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0C1BA76A">
      <w:pPr>
        <w:spacing w:line="600" w:lineRule="exact"/>
        <w:ind w:firstLine="640"/>
        <w:rPr>
          <w:rFonts w:eastAsia="仿宋_GB2312" w:cs="仿宋_GB2312"/>
          <w:sz w:val="32"/>
          <w:szCs w:val="32"/>
        </w:rPr>
      </w:pPr>
      <w:r>
        <w:rPr>
          <w:rFonts w:hint="eastAsia" w:eastAsia="仿宋_GB2312" w:cs="仿宋_GB2312"/>
          <w:sz w:val="32"/>
          <w:szCs w:val="32"/>
        </w:rPr>
        <w:t>9.一般公共服务（类）发展和改革事务（款）其他发展与改革事务支出（项）：指……</w:t>
      </w:r>
    </w:p>
    <w:p w14:paraId="53AD28B4">
      <w:pPr>
        <w:spacing w:line="600" w:lineRule="exact"/>
        <w:ind w:firstLine="640"/>
        <w:rPr>
          <w:rFonts w:eastAsia="仿宋_GB2312" w:cs="仿宋_GB2312"/>
          <w:sz w:val="32"/>
          <w:szCs w:val="32"/>
        </w:rPr>
      </w:pPr>
      <w:r>
        <w:rPr>
          <w:rFonts w:hint="eastAsia" w:eastAsia="仿宋_GB2312" w:cs="仿宋_GB2312"/>
          <w:sz w:val="32"/>
          <w:szCs w:val="32"/>
        </w:rPr>
        <w:t>10.外交（类）……（款）……（项）：指……</w:t>
      </w:r>
    </w:p>
    <w:p w14:paraId="3D8170A0">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14:paraId="73B567FB">
      <w:pPr>
        <w:spacing w:line="600" w:lineRule="exact"/>
        <w:ind w:firstLine="640"/>
        <w:rPr>
          <w:rFonts w:eastAsia="仿宋_GB2312" w:cs="仿宋_GB2312"/>
          <w:sz w:val="32"/>
          <w:szCs w:val="32"/>
        </w:rPr>
      </w:pPr>
      <w:r>
        <w:rPr>
          <w:rFonts w:hint="eastAsia" w:eastAsia="仿宋_GB2312" w:cs="仿宋_GB2312"/>
          <w:sz w:val="32"/>
          <w:szCs w:val="32"/>
        </w:rPr>
        <w:t>12.教育（类）……（款）……（项）：指……</w:t>
      </w:r>
    </w:p>
    <w:p w14:paraId="7D304B61">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14:paraId="0D20A9FF">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14:paraId="5617368A">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14:paraId="489217A2">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14:paraId="1AA2F841">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14:paraId="575D0F68">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14:paraId="38005E42">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14:paraId="2D38BAE3">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14:paraId="592FACC7">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14:paraId="68A67FA6">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14:paraId="2D5809ED">
      <w:pPr>
        <w:spacing w:line="600" w:lineRule="exact"/>
        <w:ind w:firstLine="640"/>
        <w:rPr>
          <w:rFonts w:eastAsia="仿宋_GB2312" w:cs="仿宋_GB2312"/>
          <w:sz w:val="32"/>
          <w:szCs w:val="32"/>
        </w:rPr>
      </w:pPr>
      <w:r>
        <w:rPr>
          <w:rFonts w:hint="eastAsia" w:eastAsia="仿宋_GB2312" w:cs="仿宋_GB2312"/>
          <w:sz w:val="32"/>
          <w:szCs w:val="32"/>
        </w:rPr>
        <w:t>23.金融（类）……（款）……（项）：指……</w:t>
      </w:r>
    </w:p>
    <w:p w14:paraId="4112BC2D">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14:paraId="2E1CC473">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14:paraId="57C8278B">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14:paraId="6D720745">
      <w:pPr>
        <w:spacing w:line="600" w:lineRule="exact"/>
        <w:ind w:firstLine="640"/>
        <w:rPr>
          <w:rFonts w:eastAsia="仿宋_GB2312" w:cs="仿宋_GB2312"/>
          <w:sz w:val="32"/>
          <w:szCs w:val="32"/>
        </w:rPr>
      </w:pPr>
      <w:r>
        <w:rPr>
          <w:rFonts w:hint="eastAsia" w:eastAsia="仿宋_GB2312" w:cs="仿宋_GB2312"/>
          <w:sz w:val="32"/>
          <w:szCs w:val="32"/>
        </w:rPr>
        <w:t>……</w:t>
      </w:r>
    </w:p>
    <w:p w14:paraId="1733F063">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14:paraId="28189A85">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622B2BCB">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5E891A47">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0109F1C3">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3BCE1E3">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09EF24">
      <w:pPr>
        <w:spacing w:line="600" w:lineRule="exact"/>
        <w:ind w:firstLine="640"/>
        <w:rPr>
          <w:rFonts w:eastAsia="仿宋_GB2312" w:cs="仿宋_GB2312"/>
          <w:sz w:val="32"/>
          <w:szCs w:val="32"/>
        </w:rPr>
      </w:pPr>
      <w:r>
        <w:rPr>
          <w:rFonts w:hint="eastAsia" w:eastAsia="仿宋_GB2312" w:cs="仿宋_GB2312"/>
          <w:sz w:val="32"/>
          <w:szCs w:val="32"/>
        </w:rPr>
        <w:t>32.……</w:t>
      </w:r>
    </w:p>
    <w:p w14:paraId="20511286">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55E27D48">
      <w:pPr>
        <w:spacing w:line="600" w:lineRule="exact"/>
        <w:jc w:val="center"/>
        <w:rPr>
          <w:rStyle w:val="28"/>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14:paraId="694163DA">
      <w:pPr>
        <w:spacing w:line="572" w:lineRule="exact"/>
        <w:jc w:val="left"/>
        <w:outlineLvl w:val="0"/>
        <w:rPr>
          <w:rFonts w:eastAsia="黑体" w:cs="黑体"/>
          <w:color w:val="FF0000"/>
          <w:sz w:val="32"/>
          <w:szCs w:val="32"/>
        </w:rPr>
      </w:pPr>
    </w:p>
    <w:p w14:paraId="02D51DF5">
      <w:pPr>
        <w:spacing w:line="572" w:lineRule="exact"/>
        <w:jc w:val="left"/>
        <w:outlineLvl w:val="0"/>
        <w:rPr>
          <w:rFonts w:eastAsia="黑体" w:cs="方正小标宋简体"/>
          <w:sz w:val="44"/>
          <w:szCs w:val="44"/>
        </w:rPr>
      </w:pPr>
      <w:r>
        <w:rPr>
          <w:rFonts w:hint="eastAsia" w:eastAsia="黑体" w:cs="黑体"/>
          <w:sz w:val="32"/>
          <w:szCs w:val="32"/>
        </w:rPr>
        <w:t>附件1</w:t>
      </w:r>
    </w:p>
    <w:p w14:paraId="5B6370BB">
      <w:pPr>
        <w:widowControl/>
        <w:spacing w:line="578" w:lineRule="exact"/>
        <w:contextualSpacing/>
        <w:jc w:val="center"/>
        <w:rPr>
          <w:rFonts w:eastAsia="方正小标宋简体"/>
          <w:bCs/>
          <w:sz w:val="44"/>
          <w:szCs w:val="44"/>
          <w:shd w:val="clear" w:color="auto" w:fill="FFFFFF"/>
        </w:rPr>
      </w:pPr>
    </w:p>
    <w:p w14:paraId="5DB0374B">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报告范本</w:t>
      </w:r>
    </w:p>
    <w:p w14:paraId="28D63827">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3FE7622B">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0B59421E">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1F78EBC6">
      <w:pPr>
        <w:widowControl/>
        <w:adjustRightInd w:val="0"/>
        <w:snapToGrid w:val="0"/>
        <w:spacing w:line="578" w:lineRule="exact"/>
        <w:ind w:firstLine="643"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eastAsia="仿宋_GB2312" w:cs="仿宋_GB2312"/>
          <w:sz w:val="32"/>
          <w:szCs w:val="32"/>
        </w:rPr>
        <w:t>松潘县产业园区服务中心属一级预算单位，独立编制机构数1个，独立核算机构数1个，设5个职能股室。纳入阿坝州松潘县产业园区服务中心2025年度部门决算编制范围的就一个单位本级</w:t>
      </w:r>
      <w:r>
        <w:rPr>
          <w:rFonts w:eastAsia="仿宋_GB2312" w:cs="仿宋_GB2312"/>
          <w:sz w:val="32"/>
          <w:szCs w:val="32"/>
        </w:rPr>
        <w:t>。</w:t>
      </w:r>
    </w:p>
    <w:p w14:paraId="0A6CAC94">
      <w:pPr>
        <w:tabs>
          <w:tab w:val="left" w:pos="0"/>
        </w:tabs>
        <w:spacing w:line="550" w:lineRule="exact"/>
        <w:ind w:firstLine="643" w:firstLineChars="200"/>
        <w:rPr>
          <w:rFonts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14:paraId="5A6C704F">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1.</w:t>
      </w:r>
      <w:r>
        <w:rPr>
          <w:rFonts w:hint="eastAsia" w:ascii="仿宋_GB2312" w:eastAsia="仿宋_GB2312" w:cs="仿宋_GB2312"/>
          <w:sz w:val="32"/>
          <w:szCs w:val="32"/>
        </w:rPr>
        <w:t>根据国家、省、州、县经济社会发展的方针、政策，研究园区发展的政策、建议，落实中央、省、州、县有关园区的政策，编制、实施园区产业发展及相关规划，</w:t>
      </w:r>
      <w:r>
        <w:rPr>
          <w:rFonts w:hint="eastAsia" w:ascii="仿宋_GB2312" w:eastAsia="仿宋_GB2312" w:cs="仿宋_GB2312"/>
          <w:color w:val="000000"/>
          <w:sz w:val="32"/>
          <w:szCs w:val="32"/>
        </w:rPr>
        <w:t>负责园区建设发展</w:t>
      </w:r>
      <w:r>
        <w:rPr>
          <w:rFonts w:hint="eastAsia" w:ascii="仿宋_GB2312" w:eastAsia="仿宋_GB2312" w:cs="仿宋_GB2312"/>
          <w:sz w:val="32"/>
          <w:szCs w:val="32"/>
        </w:rPr>
        <w:t>。</w:t>
      </w:r>
    </w:p>
    <w:p w14:paraId="0D52F9C9">
      <w:pPr>
        <w:tabs>
          <w:tab w:val="left" w:pos="0"/>
        </w:tabs>
        <w:spacing w:line="550" w:lineRule="exact"/>
        <w:ind w:firstLine="640" w:firstLineChars="200"/>
        <w:rPr>
          <w:rFonts w:ascii="仿宋_GB2312" w:eastAsia="仿宋_GB2312" w:cs="仿宋_GB2312"/>
          <w:sz w:val="32"/>
          <w:szCs w:val="32"/>
        </w:rPr>
      </w:pPr>
      <w:r>
        <w:rPr>
          <w:rFonts w:hint="eastAsia" w:ascii="仿宋_GB2312" w:hAnsi="Calibri" w:eastAsia="仿宋_GB2312" w:cs="仿宋_GB2312"/>
          <w:sz w:val="32"/>
          <w:szCs w:val="32"/>
        </w:rPr>
        <w:t>2.</w:t>
      </w:r>
      <w:r>
        <w:rPr>
          <w:rFonts w:hint="eastAsia" w:ascii="仿宋_GB2312" w:eastAsia="仿宋_GB2312" w:cs="仿宋_GB2312"/>
          <w:color w:val="0C0C0C"/>
          <w:sz w:val="32"/>
          <w:szCs w:val="32"/>
        </w:rPr>
        <w:t>申报园区发展政策、专项资金等</w:t>
      </w:r>
      <w:r>
        <w:rPr>
          <w:rFonts w:hint="eastAsia" w:ascii="仿宋_GB2312" w:eastAsia="仿宋_GB2312" w:cs="仿宋_GB2312"/>
          <w:sz w:val="32"/>
          <w:szCs w:val="32"/>
        </w:rPr>
        <w:t>。</w:t>
      </w:r>
    </w:p>
    <w:p w14:paraId="2068EA36">
      <w:pPr>
        <w:tabs>
          <w:tab w:val="left" w:pos="0"/>
        </w:tabs>
        <w:spacing w:line="550" w:lineRule="exact"/>
        <w:ind w:firstLine="640" w:firstLineChars="200"/>
        <w:rPr>
          <w:rFonts w:ascii="仿宋_GB2312" w:hAnsi="Calibri" w:eastAsia="仿宋_GB2312" w:cs="仿宋_GB2312"/>
          <w:color w:val="0C0C0C"/>
          <w:sz w:val="32"/>
          <w:szCs w:val="32"/>
        </w:rPr>
      </w:pPr>
      <w:r>
        <w:rPr>
          <w:rFonts w:hint="eastAsia" w:ascii="仿宋_GB2312" w:eastAsia="仿宋_GB2312" w:cs="仿宋_GB2312"/>
          <w:color w:val="0C0C0C"/>
          <w:sz w:val="32"/>
          <w:szCs w:val="32"/>
        </w:rPr>
        <w:t>3.</w:t>
      </w:r>
      <w:r>
        <w:rPr>
          <w:rFonts w:hint="eastAsia" w:ascii="仿宋_GB2312" w:hAnsi="Calibri" w:eastAsia="仿宋_GB2312" w:cs="仿宋_GB2312"/>
          <w:color w:val="0C0C0C"/>
          <w:sz w:val="32"/>
          <w:szCs w:val="32"/>
        </w:rPr>
        <w:t>兴建和管理园区内的基础设施、协调园区内的水、电、路、通讯等基础设施建设工作。</w:t>
      </w:r>
    </w:p>
    <w:p w14:paraId="42DAC056">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4.为入园企业提供全方位服务；负责收集、统计、监测园区经济指标，分析园区经济运行态势；负责企业运行协调和服务；统筹开展宣传、招商引资等工作。</w:t>
      </w:r>
    </w:p>
    <w:p w14:paraId="400DBDC0">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5.落实中央、省、州、县和相关职能部门要求，抓好</w:t>
      </w:r>
      <w:r>
        <w:rPr>
          <w:rFonts w:hint="eastAsia" w:eastAsia="仿宋_GB2312" w:cs="仿宋_GB2312"/>
          <w:color w:val="0C0C0C"/>
          <w:sz w:val="32"/>
        </w:rPr>
        <w:t>园区</w:t>
      </w:r>
      <w:r>
        <w:rPr>
          <w:rFonts w:hint="eastAsia" w:hAnsi="Calibri" w:eastAsia="仿宋_GB2312" w:cs="仿宋_GB2312"/>
          <w:color w:val="0C0C0C"/>
          <w:sz w:val="32"/>
        </w:rPr>
        <w:t>安全生产、生态环境保护、应急保障、信访、维稳等综合管理工作。</w:t>
      </w:r>
    </w:p>
    <w:p w14:paraId="57CBA738">
      <w:pPr>
        <w:pStyle w:val="3"/>
        <w:spacing w:line="550" w:lineRule="exact"/>
        <w:ind w:left="0" w:leftChars="0" w:firstLine="640"/>
        <w:rPr>
          <w:rFonts w:hAnsi="Calibri" w:eastAsia="仿宋_GB2312" w:cs="仿宋_GB2312"/>
          <w:color w:val="0C0C0C"/>
          <w:sz w:val="32"/>
        </w:rPr>
      </w:pPr>
      <w:r>
        <w:rPr>
          <w:rFonts w:hint="eastAsia" w:hAnsi="Calibri" w:eastAsia="仿宋_GB2312" w:cs="仿宋_GB2312"/>
          <w:color w:val="0C0C0C"/>
          <w:sz w:val="32"/>
        </w:rPr>
        <w:t>6.与州、县及有关部门加强联系与协调，加快园区建设发展步伐。</w:t>
      </w:r>
    </w:p>
    <w:p w14:paraId="3232F29B">
      <w:pPr>
        <w:widowControl/>
        <w:adjustRightInd w:val="0"/>
        <w:snapToGrid w:val="0"/>
        <w:spacing w:line="578"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Calibri" w:eastAsia="仿宋_GB2312" w:cs="仿宋_GB2312"/>
          <w:color w:val="0C0C0C"/>
          <w:sz w:val="32"/>
          <w:szCs w:val="32"/>
        </w:rPr>
        <w:t>7.完成县委、县政府交办的其他任务。</w:t>
      </w:r>
    </w:p>
    <w:p w14:paraId="5FB8F336">
      <w:pPr>
        <w:spacing w:line="600" w:lineRule="exact"/>
        <w:ind w:firstLine="643"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rPr>
        <w:t>松潘县产业园区服务中心</w:t>
      </w:r>
      <w:r>
        <w:rPr>
          <w:rFonts w:hint="eastAsia" w:eastAsia="仿宋_GB2312"/>
          <w:sz w:val="32"/>
          <w:szCs w:val="32"/>
        </w:rPr>
        <w:t>共有编制15名，其中9名事业编制，5名事业工勤编制，年末实有人数共14人。</w:t>
      </w:r>
    </w:p>
    <w:p w14:paraId="2CD60530">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6AE5F5FE">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2025年年初预算收入</w:t>
      </w:r>
      <w:r>
        <w:rPr>
          <w:rFonts w:eastAsia="仿宋_GB2312"/>
          <w:sz w:val="32"/>
          <w:szCs w:val="32"/>
        </w:rPr>
        <w:t>259.48</w:t>
      </w:r>
      <w:r>
        <w:rPr>
          <w:rFonts w:hint="eastAsia" w:eastAsia="仿宋_GB2312"/>
          <w:sz w:val="32"/>
          <w:szCs w:val="32"/>
        </w:rPr>
        <w:t>万元、决算报表收入</w:t>
      </w:r>
      <w:r>
        <w:rPr>
          <w:rFonts w:eastAsia="仿宋_GB2312"/>
          <w:sz w:val="32"/>
          <w:szCs w:val="32"/>
        </w:rPr>
        <w:t>1266.99</w:t>
      </w:r>
      <w:r>
        <w:rPr>
          <w:rFonts w:hint="eastAsia" w:eastAsia="仿宋_GB2312"/>
          <w:sz w:val="32"/>
          <w:szCs w:val="32"/>
        </w:rPr>
        <w:t>万元。</w:t>
      </w:r>
    </w:p>
    <w:p w14:paraId="737F6E87">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2025年年初预算支出</w:t>
      </w:r>
      <w:r>
        <w:rPr>
          <w:rFonts w:eastAsia="仿宋_GB2312"/>
          <w:sz w:val="32"/>
          <w:szCs w:val="32"/>
        </w:rPr>
        <w:t>259.48</w:t>
      </w:r>
      <w:r>
        <w:rPr>
          <w:rFonts w:hint="eastAsia" w:eastAsia="仿宋_GB2312"/>
          <w:sz w:val="32"/>
          <w:szCs w:val="32"/>
        </w:rPr>
        <w:t>万元、决算报表支出</w:t>
      </w:r>
      <w:r>
        <w:rPr>
          <w:rFonts w:eastAsia="仿宋_GB2312"/>
          <w:sz w:val="32"/>
          <w:szCs w:val="32"/>
        </w:rPr>
        <w:t>1266.99</w:t>
      </w:r>
      <w:r>
        <w:rPr>
          <w:rFonts w:hint="eastAsia" w:eastAsia="仿宋_GB2312"/>
          <w:sz w:val="32"/>
          <w:szCs w:val="32"/>
        </w:rPr>
        <w:t>万元。</w:t>
      </w:r>
    </w:p>
    <w:p w14:paraId="6B902A63">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rPr>
        <w:t>松潘县产业园区服务中心</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rPr>
        <w:t>为0元</w:t>
      </w:r>
      <w:r>
        <w:rPr>
          <w:rFonts w:eastAsia="仿宋_GB2312"/>
          <w:sz w:val="32"/>
          <w:szCs w:val="32"/>
        </w:rPr>
        <w:t>。</w:t>
      </w:r>
    </w:p>
    <w:p w14:paraId="5B653436">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55ACEF5A">
      <w:pPr>
        <w:adjustRightInd w:val="0"/>
        <w:snapToGrid w:val="0"/>
        <w:spacing w:line="578" w:lineRule="exact"/>
        <w:ind w:firstLine="643"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总体绩效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，依次包括履职效能、预算管理、财务管理、资产管理、采购管理等情况。</w:t>
      </w:r>
    </w:p>
    <w:p w14:paraId="54E265AE">
      <w:pPr>
        <w:pBdr>
          <w:bottom w:val="single" w:color="FFFFFF" w:sz="4" w:space="28"/>
        </w:pBdr>
        <w:overflowPunct w:val="0"/>
        <w:spacing w:line="578" w:lineRule="exact"/>
        <w:ind w:firstLine="640" w:firstLineChars="200"/>
        <w:rPr>
          <w:rFonts w:eastAsia="仿宋_GB2312"/>
          <w:sz w:val="32"/>
          <w:szCs w:val="32"/>
        </w:rPr>
      </w:pPr>
      <w:r>
        <w:rPr>
          <w:rFonts w:hint="eastAsia" w:eastAsia="仿宋_GB2312" w:cs="仿宋_GB2312"/>
          <w:sz w:val="32"/>
          <w:szCs w:val="32"/>
        </w:rPr>
        <w:t>1.</w:t>
      </w:r>
      <w:r>
        <w:rPr>
          <w:rFonts w:hint="eastAsia" w:eastAsia="仿宋_GB2312" w:cs="仿宋_GB2312"/>
          <w:sz w:val="32"/>
          <w:szCs w:val="32"/>
          <w:lang w:val="zh-CN"/>
        </w:rPr>
        <w:t>履职效能。</w:t>
      </w:r>
      <w:r>
        <w:rPr>
          <w:rFonts w:hint="eastAsia" w:ascii="仿宋_GB2312" w:eastAsia="仿宋_GB2312" w:cs="仿宋_GB2312"/>
          <w:b/>
          <w:color w:val="000000" w:themeColor="text1"/>
          <w:kern w:val="0"/>
          <w:sz w:val="32"/>
          <w:szCs w:val="32"/>
        </w:rPr>
        <w:t>一是抓好项目建设工作，有序实施三项重点工程。</w:t>
      </w:r>
      <w:r>
        <w:rPr>
          <w:rFonts w:hint="eastAsia" w:ascii="仿宋_GB2312" w:eastAsia="仿宋_GB2312" w:cs="仿宋_GB2312"/>
          <w:color w:val="000000" w:themeColor="text1"/>
          <w:kern w:val="0"/>
          <w:sz w:val="32"/>
          <w:szCs w:val="32"/>
        </w:rPr>
        <w:t>（1）松潘县产业融合发展项目（续建项目），总投资3000万元，新建标准化厂房10000.16平方米，已于10月完成竣工验收，正在开展结算审核工作。（2）松潘县牦牛肉预制方便食品加工项目，总投资200万元，提升改造3200平米厂房，于9月25日开工建设，进度达40%，预计11月底竣工。（3）青云镇冷藏库项目，总投资1143万元，于9月中旬开工建设，进度达30%，力争2026年2月底竣工</w:t>
      </w:r>
      <w:r>
        <w:rPr>
          <w:rFonts w:hint="eastAsia" w:ascii="仿宋_GB2312" w:eastAsia="仿宋_GB2312" w:cs="仿宋_GB2312"/>
          <w:b/>
          <w:color w:val="000000" w:themeColor="text1"/>
          <w:kern w:val="0"/>
          <w:sz w:val="32"/>
          <w:szCs w:val="32"/>
        </w:rPr>
        <w:t>。二是做好企业服务，多家企业于今年投产，园区产值同比提高。</w:t>
      </w:r>
      <w:r>
        <w:rPr>
          <w:rFonts w:hint="eastAsia" w:ascii="仿宋_GB2312" w:eastAsia="仿宋_GB2312" w:cs="仿宋_GB2312"/>
          <w:color w:val="000000" w:themeColor="text1"/>
          <w:sz w:val="32"/>
          <w:szCs w:val="32"/>
        </w:rPr>
        <w:t>园区管理持续优化。开展双创中心水、电、下水道及园区维修维护，保障园区良好环境卫生。园区企业食堂于4月投入运营，提升了企业员工生活便利度。同时，常态化抓好企业服务、规范施工、安全生产与环境保护工作。新投产企业：阿坝州集采优选供应链管理有限公司（</w:t>
      </w:r>
      <w:r>
        <w:rPr>
          <w:rFonts w:hint="eastAsia" w:ascii="仿宋_GB2312" w:eastAsia="仿宋_GB2312" w:cs="仿宋_GB2312"/>
          <w:color w:val="000000" w:themeColor="text1"/>
          <w:kern w:val="0"/>
          <w:sz w:val="32"/>
          <w:szCs w:val="32"/>
        </w:rPr>
        <w:t>主营：商超货物供应</w:t>
      </w:r>
      <w:r>
        <w:rPr>
          <w:rFonts w:hint="eastAsia" w:ascii="仿宋_GB2312" w:eastAsia="仿宋_GB2312" w:cs="仿宋_GB2312"/>
          <w:color w:val="000000" w:themeColor="text1"/>
          <w:sz w:val="32"/>
          <w:szCs w:val="32"/>
        </w:rPr>
        <w:t>），1月</w:t>
      </w:r>
      <w:r>
        <w:rPr>
          <w:rFonts w:hint="eastAsia" w:eastAsia="仿宋_GB2312"/>
          <w:sz w:val="32"/>
          <w:szCs w:val="32"/>
        </w:rPr>
        <w:t>开始投产，</w:t>
      </w:r>
      <w:r>
        <w:rPr>
          <w:rFonts w:hint="eastAsia" w:ascii="仿宋_GB2312" w:eastAsia="仿宋_GB2312" w:cs="仿宋_GB2312"/>
          <w:color w:val="000000" w:themeColor="text1"/>
          <w:kern w:val="0"/>
          <w:sz w:val="32"/>
          <w:szCs w:val="32"/>
        </w:rPr>
        <w:t>截至9月30日产值共计2975.30万元；</w:t>
      </w:r>
      <w:r>
        <w:rPr>
          <w:rFonts w:hint="eastAsia" w:eastAsia="仿宋_GB2312"/>
          <w:sz w:val="32"/>
          <w:szCs w:val="32"/>
        </w:rPr>
        <w:t>四千米亚客（阿坝州）食品有限公司火锅底料生产线4月底开始投产，</w:t>
      </w:r>
      <w:r>
        <w:rPr>
          <w:rFonts w:hint="eastAsia" w:ascii="仿宋_GB2312" w:eastAsia="仿宋_GB2312" w:cs="仿宋_GB2312"/>
          <w:color w:val="000000" w:themeColor="text1"/>
          <w:kern w:val="0"/>
          <w:sz w:val="32"/>
          <w:szCs w:val="32"/>
        </w:rPr>
        <w:t>截至9月30日产值共计425.57万元</w:t>
      </w:r>
      <w:r>
        <w:rPr>
          <w:rFonts w:hint="eastAsia" w:eastAsia="仿宋_GB2312"/>
          <w:sz w:val="32"/>
          <w:szCs w:val="32"/>
        </w:rPr>
        <w:t>。阿坝州一牦食品有限公司，5月初开始投产，</w:t>
      </w:r>
      <w:r>
        <w:rPr>
          <w:rFonts w:hint="eastAsia" w:ascii="仿宋_GB2312" w:eastAsia="仿宋_GB2312" w:cs="仿宋_GB2312"/>
          <w:color w:val="000000" w:themeColor="text1"/>
          <w:kern w:val="0"/>
          <w:sz w:val="32"/>
          <w:szCs w:val="32"/>
        </w:rPr>
        <w:t>截至9月30日</w:t>
      </w:r>
      <w:r>
        <w:rPr>
          <w:rFonts w:hint="eastAsia" w:eastAsia="仿宋_GB2312"/>
          <w:sz w:val="32"/>
          <w:szCs w:val="32"/>
        </w:rPr>
        <w:t>产值为236万元。</w:t>
      </w:r>
      <w:r>
        <w:rPr>
          <w:rFonts w:hint="eastAsia" w:ascii="仿宋_GB2312" w:hAnsi="仿宋_GB2312" w:eastAsia="仿宋_GB2312" w:cs="仿宋_GB2312"/>
          <w:color w:val="000000" w:themeColor="text1"/>
          <w:sz w:val="32"/>
          <w:szCs w:val="32"/>
        </w:rPr>
        <w:t>松</w:t>
      </w:r>
      <w:r>
        <w:rPr>
          <w:rFonts w:hint="eastAsia" w:eastAsia="仿宋_GB2312"/>
          <w:sz w:val="32"/>
          <w:szCs w:val="32"/>
        </w:rPr>
        <w:t>潘县夏旭冬日天然沙棘食品有限公司，9月初开始投产，9月产值为26万元。松潘县藏多宝食品加工有限公司，6月底开始投产，</w:t>
      </w:r>
      <w:r>
        <w:rPr>
          <w:rFonts w:hint="eastAsia" w:ascii="仿宋_GB2312" w:eastAsia="仿宋_GB2312" w:cs="仿宋_GB2312"/>
          <w:color w:val="000000" w:themeColor="text1"/>
          <w:kern w:val="0"/>
          <w:sz w:val="32"/>
          <w:szCs w:val="32"/>
        </w:rPr>
        <w:t>截至9月30日产值共计</w:t>
      </w:r>
      <w:r>
        <w:rPr>
          <w:rFonts w:hint="eastAsia" w:eastAsia="仿宋_GB2312"/>
          <w:sz w:val="32"/>
          <w:szCs w:val="32"/>
        </w:rPr>
        <w:t>111.3万元。松潘县森林莱农业开发有限公司，8月底开始投产，9月产值为40万元。九寨沟县蜀地农业发展有限公司，9月初开始投产，9月产值为30万元。阿佳阿姆商贸有限公司，9月初开始投产，9月产值1.5万元。其他企业：松潘丹珠梅朵食品加工有限公司，</w:t>
      </w:r>
      <w:r>
        <w:rPr>
          <w:rFonts w:hint="eastAsia" w:ascii="仿宋_GB2312" w:eastAsia="仿宋_GB2312" w:cs="仿宋_GB2312"/>
          <w:color w:val="000000" w:themeColor="text1"/>
          <w:kern w:val="0"/>
          <w:sz w:val="32"/>
          <w:szCs w:val="32"/>
        </w:rPr>
        <w:t>截至9月30日产值共计652.5万元。</w:t>
      </w:r>
      <w:r>
        <w:rPr>
          <w:rFonts w:hint="eastAsia" w:eastAsia="仿宋_GB2312"/>
          <w:sz w:val="32"/>
          <w:szCs w:val="32"/>
        </w:rPr>
        <w:t>四川通利荣松药业有限责任公司今年正常生产，</w:t>
      </w:r>
      <w:r>
        <w:rPr>
          <w:rFonts w:hint="eastAsia" w:ascii="仿宋_GB2312" w:eastAsia="仿宋_GB2312" w:cs="仿宋_GB2312"/>
          <w:color w:val="000000" w:themeColor="text1"/>
          <w:kern w:val="0"/>
          <w:sz w:val="32"/>
          <w:szCs w:val="32"/>
        </w:rPr>
        <w:t>截至9月30日产值共计972.81</w:t>
      </w:r>
      <w:r>
        <w:rPr>
          <w:rFonts w:hint="eastAsia" w:eastAsia="仿宋_GB2312"/>
          <w:sz w:val="32"/>
          <w:szCs w:val="32"/>
        </w:rPr>
        <w:t>万元。松潘县穗丰食品加工有限公司，生产情况不佳，产值较低，</w:t>
      </w:r>
      <w:r>
        <w:rPr>
          <w:rFonts w:hint="eastAsia" w:ascii="仿宋_GB2312" w:eastAsia="仿宋_GB2312" w:cs="仿宋_GB2312"/>
          <w:color w:val="000000" w:themeColor="text1"/>
          <w:kern w:val="0"/>
          <w:sz w:val="32"/>
          <w:szCs w:val="32"/>
        </w:rPr>
        <w:t>截至9月30日产值共计</w:t>
      </w:r>
      <w:r>
        <w:rPr>
          <w:rFonts w:hint="eastAsia" w:eastAsia="仿宋_GB2312"/>
          <w:sz w:val="32"/>
          <w:szCs w:val="32"/>
        </w:rPr>
        <w:t>18.4万元。松潘县牦之牛生物科技有限责任公司目前正在加装冰激凌生产线，生产经营情况不佳。2025年1—9月，园区总产值1.51亿元，较去年同期增长30%。其中，10家生产型企业产值为5489.39万元，电商产值为6193.27万元，3家国投公司产值为3400.19万元。</w:t>
      </w:r>
    </w:p>
    <w:p w14:paraId="0C347258">
      <w:pPr>
        <w:pBdr>
          <w:bottom w:val="single" w:color="FFFFFF" w:sz="4" w:space="28"/>
        </w:pBdr>
        <w:overflowPunct w:val="0"/>
        <w:spacing w:line="578" w:lineRule="exact"/>
        <w:ind w:firstLine="640" w:firstLineChars="200"/>
        <w:rPr>
          <w:rFonts w:eastAsia="仿宋_GB2312"/>
          <w:color w:val="000000"/>
          <w:kern w:val="0"/>
          <w:sz w:val="32"/>
          <w:szCs w:val="32"/>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w:t>
      </w:r>
      <w:r>
        <w:rPr>
          <w:rFonts w:eastAsia="仿宋_GB2312"/>
          <w:color w:val="000000"/>
          <w:kern w:val="0"/>
          <w:sz w:val="32"/>
          <w:szCs w:val="32"/>
        </w:rPr>
        <w:t>加强学习国家和省关于预算绩效的文件，树立“花钱必问效，无效必问责”的意识。在202</w:t>
      </w:r>
      <w:r>
        <w:rPr>
          <w:rFonts w:hint="eastAsia" w:eastAsia="仿宋_GB2312"/>
          <w:color w:val="000000"/>
          <w:kern w:val="0"/>
          <w:sz w:val="32"/>
          <w:szCs w:val="32"/>
        </w:rPr>
        <w:t>4</w:t>
      </w:r>
      <w:r>
        <w:rPr>
          <w:rFonts w:eastAsia="仿宋_GB2312"/>
          <w:color w:val="000000"/>
          <w:kern w:val="0"/>
          <w:sz w:val="32"/>
          <w:szCs w:val="32"/>
        </w:rPr>
        <w:t>年的项目和预算追加中，按照上级和财政部门的要求，研究和设立绩效指标，并在实施中进行分析，在决算报告中体现。下一步，将进一步完善制度，优化流程，逐步实现绩效管理全方位、全过程和全覆盖。</w:t>
      </w:r>
    </w:p>
    <w:p w14:paraId="502FDE94">
      <w:pPr>
        <w:pBdr>
          <w:bottom w:val="single" w:color="FFFFFF" w:sz="4" w:space="28"/>
        </w:pBdr>
        <w:overflowPunct w:val="0"/>
        <w:spacing w:line="578" w:lineRule="exact"/>
        <w:ind w:firstLine="640" w:firstLineChars="200"/>
        <w:rPr>
          <w:rFonts w:eastAsia="仿宋_GB2312"/>
          <w:sz w:val="32"/>
          <w:szCs w:val="32"/>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w:t>
      </w:r>
      <w:r>
        <w:rPr>
          <w:rFonts w:eastAsia="仿宋_GB2312"/>
          <w:sz w:val="32"/>
          <w:szCs w:val="32"/>
        </w:rPr>
        <w:t>完善和健全了各类规章制度和内控制度，严格按财政部门监管要求规范预算执行；规范财政资金支付管理，逐月逐笔核对银行存款收支明细信息，确保账户资金明确</w:t>
      </w:r>
      <w:r>
        <w:rPr>
          <w:rFonts w:hint="eastAsia" w:eastAsia="仿宋_GB2312"/>
          <w:sz w:val="32"/>
          <w:szCs w:val="32"/>
        </w:rPr>
        <w:t>清晰</w:t>
      </w:r>
      <w:r>
        <w:rPr>
          <w:rFonts w:eastAsia="仿宋_GB2312"/>
          <w:sz w:val="32"/>
          <w:szCs w:val="32"/>
        </w:rPr>
        <w:t>；完善会计管理制度，建立岗位分离制度，严格执行会计出纳分设监督</w:t>
      </w:r>
      <w:r>
        <w:rPr>
          <w:rFonts w:hint="eastAsia" w:eastAsia="仿宋_GB2312"/>
          <w:sz w:val="32"/>
          <w:szCs w:val="32"/>
          <w:lang w:eastAsia="zh-CN"/>
        </w:rPr>
        <w:t>制度</w:t>
      </w:r>
      <w:r>
        <w:rPr>
          <w:rFonts w:eastAsia="仿宋_GB2312"/>
          <w:sz w:val="32"/>
          <w:szCs w:val="32"/>
        </w:rPr>
        <w:t>，同时按规定建立会计账册、设置会计科目，依法依规进行会计核算，确保会计信息合法性、真实性和完整性，做到账证、账账、账表和账实相符；同时加强内控</w:t>
      </w:r>
      <w:r>
        <w:rPr>
          <w:rFonts w:hint="eastAsia" w:eastAsia="仿宋_GB2312"/>
          <w:sz w:val="32"/>
          <w:szCs w:val="32"/>
          <w:lang w:eastAsia="zh-CN"/>
        </w:rPr>
        <w:t>管理</w:t>
      </w:r>
      <w:r>
        <w:rPr>
          <w:rFonts w:eastAsia="仿宋_GB2312"/>
          <w:sz w:val="32"/>
          <w:szCs w:val="32"/>
        </w:rPr>
        <w:t>，开展内控自我评价工作</w:t>
      </w:r>
      <w:r>
        <w:rPr>
          <w:rFonts w:hint="eastAsia" w:eastAsia="仿宋_GB2312"/>
          <w:sz w:val="32"/>
          <w:szCs w:val="32"/>
          <w:lang w:eastAsia="zh-CN"/>
        </w:rPr>
        <w:t>。</w:t>
      </w:r>
      <w:r>
        <w:rPr>
          <w:rFonts w:eastAsia="仿宋_GB2312"/>
          <w:sz w:val="32"/>
          <w:szCs w:val="32"/>
        </w:rPr>
        <w:t>同时加大账户和存量资金的清理，决算管理部门决算编制要求将单位所有收支和结余结转情况进行全面</w:t>
      </w:r>
      <w:r>
        <w:rPr>
          <w:rFonts w:hint="eastAsia" w:eastAsia="仿宋_GB2312"/>
          <w:sz w:val="32"/>
          <w:szCs w:val="32"/>
          <w:lang w:eastAsia="zh-CN"/>
        </w:rPr>
        <w:t>反映</w:t>
      </w:r>
      <w:r>
        <w:rPr>
          <w:rFonts w:eastAsia="仿宋_GB2312"/>
          <w:sz w:val="32"/>
          <w:szCs w:val="32"/>
        </w:rPr>
        <w:t>。</w:t>
      </w:r>
    </w:p>
    <w:p w14:paraId="06B2B81D">
      <w:pPr>
        <w:pBdr>
          <w:bottom w:val="single" w:color="FFFFFF" w:sz="4" w:space="28"/>
        </w:pBdr>
        <w:overflowPunct w:val="0"/>
        <w:spacing w:line="578" w:lineRule="exact"/>
        <w:ind w:firstLine="640" w:firstLineChars="200"/>
        <w:rPr>
          <w:rFonts w:eastAsia="仿宋_GB2312"/>
          <w:sz w:val="32"/>
          <w:szCs w:val="32"/>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w:t>
      </w:r>
      <w:r>
        <w:rPr>
          <w:rFonts w:eastAsia="仿宋_GB2312"/>
          <w:sz w:val="32"/>
          <w:szCs w:val="32"/>
        </w:rPr>
        <w:t>加大资产管理工作，确保对本单位现有资产数量、构成、占有、使用情况进行了全面的监管。202</w:t>
      </w:r>
      <w:r>
        <w:rPr>
          <w:rFonts w:hint="eastAsia" w:eastAsia="仿宋_GB2312"/>
          <w:sz w:val="32"/>
          <w:szCs w:val="32"/>
        </w:rPr>
        <w:t>5</w:t>
      </w:r>
      <w:r>
        <w:rPr>
          <w:rFonts w:eastAsia="仿宋_GB2312"/>
          <w:sz w:val="32"/>
          <w:szCs w:val="32"/>
        </w:rPr>
        <w:t>年度我单位年初固定资产120,731,627.69元，无形资产4,054,258.56元；202</w:t>
      </w:r>
      <w:r>
        <w:rPr>
          <w:rFonts w:hint="eastAsia" w:eastAsia="仿宋_GB2312"/>
          <w:sz w:val="32"/>
          <w:szCs w:val="32"/>
        </w:rPr>
        <w:t>5</w:t>
      </w:r>
      <w:r>
        <w:rPr>
          <w:rFonts w:eastAsia="仿宋_GB2312"/>
          <w:sz w:val="32"/>
          <w:szCs w:val="32"/>
        </w:rPr>
        <w:t>年末固定资产120,7</w:t>
      </w:r>
      <w:r>
        <w:rPr>
          <w:rFonts w:hint="eastAsia" w:eastAsia="仿宋_GB2312"/>
          <w:sz w:val="32"/>
          <w:szCs w:val="32"/>
        </w:rPr>
        <w:t>66</w:t>
      </w:r>
      <w:r>
        <w:rPr>
          <w:rFonts w:eastAsia="仿宋_GB2312"/>
          <w:sz w:val="32"/>
          <w:szCs w:val="32"/>
        </w:rPr>
        <w:t>,</w:t>
      </w:r>
      <w:r>
        <w:rPr>
          <w:rFonts w:hint="eastAsia" w:eastAsia="仿宋_GB2312"/>
          <w:sz w:val="32"/>
          <w:szCs w:val="32"/>
        </w:rPr>
        <w:t>242</w:t>
      </w:r>
      <w:r>
        <w:rPr>
          <w:rFonts w:eastAsia="仿宋_GB2312"/>
          <w:sz w:val="32"/>
          <w:szCs w:val="32"/>
        </w:rPr>
        <w:t>.69元，无形资产4,</w:t>
      </w:r>
      <w:r>
        <w:rPr>
          <w:rFonts w:hint="eastAsia" w:eastAsia="仿宋_GB2312"/>
          <w:sz w:val="32"/>
          <w:szCs w:val="32"/>
        </w:rPr>
        <w:t>359</w:t>
      </w:r>
      <w:r>
        <w:rPr>
          <w:rFonts w:eastAsia="仿宋_GB2312"/>
          <w:sz w:val="32"/>
          <w:szCs w:val="32"/>
        </w:rPr>
        <w:t>,</w:t>
      </w:r>
      <w:r>
        <w:rPr>
          <w:rFonts w:hint="eastAsia" w:eastAsia="仿宋_GB2312"/>
          <w:sz w:val="32"/>
          <w:szCs w:val="32"/>
        </w:rPr>
        <w:t>154</w:t>
      </w:r>
      <w:r>
        <w:rPr>
          <w:rFonts w:eastAsia="仿宋_GB2312"/>
          <w:sz w:val="32"/>
          <w:szCs w:val="32"/>
        </w:rPr>
        <w:t>.</w:t>
      </w:r>
      <w:r>
        <w:rPr>
          <w:rFonts w:hint="eastAsia" w:eastAsia="仿宋_GB2312"/>
          <w:sz w:val="32"/>
          <w:szCs w:val="32"/>
        </w:rPr>
        <w:t>80</w:t>
      </w:r>
      <w:r>
        <w:rPr>
          <w:rFonts w:eastAsia="仿宋_GB2312"/>
          <w:sz w:val="32"/>
          <w:szCs w:val="32"/>
        </w:rPr>
        <w:t>元，资产利用率为100%、账表一致，不存在资产盘</w:t>
      </w:r>
      <w:r>
        <w:rPr>
          <w:rFonts w:hint="eastAsia" w:eastAsia="仿宋_GB2312"/>
          <w:sz w:val="32"/>
          <w:szCs w:val="32"/>
        </w:rPr>
        <w:t>盈盘活</w:t>
      </w:r>
      <w:r>
        <w:rPr>
          <w:rFonts w:eastAsia="仿宋_GB2312"/>
          <w:sz w:val="32"/>
          <w:szCs w:val="32"/>
        </w:rPr>
        <w:t>现象。</w:t>
      </w:r>
    </w:p>
    <w:p w14:paraId="6893D826">
      <w:pPr>
        <w:pBdr>
          <w:bottom w:val="single" w:color="FFFFFF" w:sz="4" w:space="28"/>
        </w:pBdr>
        <w:overflowPunct w:val="0"/>
        <w:spacing w:line="578" w:lineRule="exact"/>
        <w:ind w:firstLine="640" w:firstLineChars="200"/>
        <w:rPr>
          <w:rFonts w:eastAsia="仿宋_GB2312" w:cs="仿宋_GB2312"/>
          <w:sz w:val="32"/>
          <w:szCs w:val="32"/>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。2025年度我单位采购</w:t>
      </w:r>
      <w:r>
        <w:rPr>
          <w:rFonts w:eastAsia="仿宋_GB2312" w:cs="仿宋_GB2312"/>
          <w:sz w:val="32"/>
          <w:szCs w:val="32"/>
        </w:rPr>
        <w:t>松潘县牦牛肉预制方便食品加工项目</w:t>
      </w:r>
      <w:r>
        <w:rPr>
          <w:rFonts w:hint="eastAsia" w:eastAsia="仿宋_GB2312" w:cs="仿宋_GB2312"/>
          <w:sz w:val="32"/>
          <w:szCs w:val="32"/>
        </w:rPr>
        <w:t>、中药饮片数字化工厂项目设备采购和5+N现代高原特色农牧业产业体系建设----松潘县高原农畜产品加工产业园项目。</w:t>
      </w:r>
    </w:p>
    <w:p w14:paraId="403A0A35">
      <w:pPr>
        <w:pBdr>
          <w:bottom w:val="single" w:color="FFFFFF" w:sz="4" w:space="28"/>
        </w:pBdr>
        <w:overflowPunct w:val="0"/>
        <w:spacing w:line="578" w:lineRule="exact"/>
        <w:ind w:firstLine="643" w:firstLineChars="200"/>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14:paraId="67EBBF0F">
      <w:pPr>
        <w:pBdr>
          <w:bottom w:val="single" w:color="FFFFFF" w:sz="4" w:space="28"/>
        </w:pBdr>
        <w:tabs>
          <w:tab w:val="left" w:pos="1440"/>
        </w:tabs>
        <w:suppressAutoHyphens/>
        <w:overflowPunct w:val="0"/>
        <w:spacing w:line="576" w:lineRule="exact"/>
        <w:ind w:firstLine="640" w:firstLineChars="200"/>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一次性</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rPr>
        <w:t>15</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2050</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80</w:t>
      </w:r>
      <w:r>
        <w:rPr>
          <w:rFonts w:eastAsia="仿宋_GB2312"/>
          <w:color w:val="000000"/>
          <w:kern w:val="0"/>
          <w:sz w:val="32"/>
          <w:szCs w:val="32"/>
          <w:shd w:val="clear" w:color="auto" w:fill="FFFFFF"/>
          <w:lang w:val="zh-CN"/>
        </w:rPr>
        <w:t>万元，</w:t>
      </w:r>
      <w:r>
        <w:rPr>
          <w:rFonts w:hint="eastAsia" w:eastAsia="仿宋_GB2312"/>
          <w:color w:val="000000"/>
          <w:kern w:val="0"/>
          <w:sz w:val="32"/>
          <w:szCs w:val="32"/>
          <w:shd w:val="clear" w:color="auto" w:fill="FFFFFF"/>
        </w:rPr>
        <w:t>主要为：松潘县冷链物流建设项目21.71万元，松潘县青藏高原农畜产品加工集中区D区道路及基础设施建设项目79.63万元，食药同源生产线建设项目1.59万元，松潘县产业融合发展项目1280.47万元，园区整改经费9.28万元，松潘县创新创业孵化园电力设施维修维护资金</w:t>
      </w:r>
      <w:r>
        <w:rPr>
          <w:rFonts w:eastAsia="仿宋_GB2312"/>
          <w:color w:val="000000"/>
          <w:kern w:val="0"/>
          <w:sz w:val="32"/>
          <w:szCs w:val="32"/>
          <w:shd w:val="clear" w:color="auto" w:fill="FFFFFF"/>
        </w:rPr>
        <w:t>38</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06</w:t>
      </w:r>
      <w:r>
        <w:rPr>
          <w:rFonts w:hint="eastAsia" w:eastAsia="仿宋_GB2312"/>
          <w:color w:val="000000"/>
          <w:kern w:val="0"/>
          <w:sz w:val="32"/>
          <w:szCs w:val="32"/>
          <w:shd w:val="clear" w:color="auto" w:fill="FFFFFF"/>
        </w:rPr>
        <w:t>万元，创新创业孵化园自来水管网改造资金17.6万元，松潘县创新创业孵化园消防设施维修维护资金89.6万元，园区申报进入国家审核公告目录开发区工作经费13.2万元，5+N现代高原特色农牧业产业体系建设----松潘县高原农畜产品加工产业园项目58.49万元，松潘县牦牛肉预制方便食品加工项目199.4万元，阿坝（松潘）食品检测中心项目50万元，园区老旧厂房办公楼风貌提升项目20.54万元，园区管理运营经费12.29万元，道地中药材科技支撑项目10万元。</w:t>
      </w:r>
      <w:r>
        <w:rPr>
          <w:rFonts w:eastAsia="仿宋_GB2312"/>
          <w:color w:val="000000"/>
          <w:kern w:val="0"/>
          <w:sz w:val="32"/>
          <w:szCs w:val="32"/>
          <w:shd w:val="clear" w:color="auto" w:fill="FFFFFF"/>
          <w:lang w:val="zh-CN"/>
        </w:rPr>
        <w:t>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rPr>
        <w:t>61.78</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个。</w:t>
      </w:r>
    </w:p>
    <w:p w14:paraId="04B941BD">
      <w:pPr>
        <w:pBdr>
          <w:bottom w:val="single" w:color="FFFFFF" w:sz="4" w:space="28"/>
        </w:pBdr>
        <w:tabs>
          <w:tab w:val="left" w:pos="1440"/>
        </w:tabs>
        <w:suppressAutoHyphens/>
        <w:overflowPunct w:val="0"/>
        <w:spacing w:line="576" w:lineRule="exact"/>
        <w:ind w:firstLine="640" w:firstLineChars="200"/>
        <w:rPr>
          <w:rFonts w:eastAsia="仿宋_GB2312"/>
          <w:color w:val="000000"/>
          <w:kern w:val="0"/>
          <w:sz w:val="32"/>
          <w:szCs w:val="32"/>
          <w:shd w:val="clear" w:color="auto" w:fill="FFFFFF"/>
          <w:lang w:val="zh-CN"/>
        </w:rPr>
      </w:pPr>
      <w:r>
        <w:rPr>
          <w:rFonts w:hint="eastAsia" w:eastAsia="仿宋_GB2312" w:cs="仿宋_GB2312"/>
          <w:sz w:val="32"/>
          <w:szCs w:val="32"/>
        </w:rPr>
        <w:t>1.</w:t>
      </w:r>
      <w:r>
        <w:rPr>
          <w:rFonts w:hint="eastAsia" w:eastAsia="仿宋_GB2312" w:cs="仿宋_GB2312"/>
          <w:sz w:val="32"/>
          <w:szCs w:val="32"/>
          <w:lang w:val="zh-CN"/>
        </w:rPr>
        <w:t>项目决策。</w:t>
      </w:r>
      <w:r>
        <w:rPr>
          <w:rFonts w:eastAsia="仿宋_GB2312"/>
          <w:color w:val="000000"/>
          <w:kern w:val="0"/>
          <w:sz w:val="32"/>
          <w:szCs w:val="32"/>
          <w:shd w:val="clear" w:color="auto" w:fill="FFFFFF"/>
        </w:rPr>
        <w:t>项目按照基本情况、立项必要性、投入经济性、绩效目标合理性、实施方案可行性、筹资合规性及可持续性等</w:t>
      </w:r>
      <w:r>
        <w:rPr>
          <w:rFonts w:eastAsia="仿宋_GB2312"/>
          <w:color w:val="000000"/>
          <w:kern w:val="0"/>
          <w:sz w:val="32"/>
          <w:szCs w:val="32"/>
          <w:shd w:val="clear" w:color="auto" w:fill="FFFFFF"/>
          <w:lang w:val="zh-CN"/>
        </w:rPr>
        <w:t>决策程序</w:t>
      </w:r>
      <w:r>
        <w:rPr>
          <w:rFonts w:eastAsia="仿宋_GB2312"/>
          <w:color w:val="000000"/>
          <w:kern w:val="0"/>
          <w:sz w:val="32"/>
          <w:szCs w:val="32"/>
          <w:shd w:val="clear" w:color="auto" w:fill="FFFFFF"/>
        </w:rPr>
        <w:t>进行项目决策和项目</w:t>
      </w:r>
      <w:r>
        <w:rPr>
          <w:rFonts w:eastAsia="仿宋_GB2312"/>
          <w:color w:val="000000"/>
          <w:kern w:val="0"/>
          <w:sz w:val="32"/>
          <w:szCs w:val="32"/>
          <w:shd w:val="clear" w:color="auto" w:fill="FFFFFF"/>
          <w:lang w:val="zh-CN"/>
        </w:rPr>
        <w:t>目标设置，</w:t>
      </w:r>
      <w:r>
        <w:rPr>
          <w:rFonts w:eastAsia="仿宋_GB2312"/>
          <w:color w:val="000000"/>
          <w:kern w:val="0"/>
          <w:sz w:val="32"/>
          <w:szCs w:val="32"/>
          <w:shd w:val="clear" w:color="auto" w:fill="FFFFFF"/>
        </w:rPr>
        <w:t>同时经财政审批进行</w:t>
      </w:r>
      <w:r>
        <w:rPr>
          <w:rFonts w:eastAsia="仿宋_GB2312"/>
          <w:color w:val="000000"/>
          <w:kern w:val="0"/>
          <w:sz w:val="32"/>
          <w:szCs w:val="32"/>
          <w:shd w:val="clear" w:color="auto" w:fill="FFFFFF"/>
          <w:lang w:val="zh-CN"/>
        </w:rPr>
        <w:t>项目入库，</w:t>
      </w:r>
      <w:r>
        <w:rPr>
          <w:rFonts w:eastAsia="仿宋_GB2312"/>
          <w:color w:val="000000"/>
          <w:kern w:val="0"/>
          <w:sz w:val="32"/>
          <w:szCs w:val="32"/>
          <w:shd w:val="clear" w:color="auto" w:fill="FFFFFF"/>
        </w:rPr>
        <w:t>进行项</w:t>
      </w:r>
      <w:r>
        <w:rPr>
          <w:rFonts w:hint="eastAsia" w:eastAsia="仿宋_GB2312"/>
          <w:color w:val="000000"/>
          <w:kern w:val="0"/>
          <w:sz w:val="32"/>
          <w:szCs w:val="32"/>
          <w:shd w:val="clear" w:color="auto" w:fill="FFFFFF"/>
        </w:rPr>
        <w:t>目</w:t>
      </w:r>
      <w:r>
        <w:rPr>
          <w:rFonts w:eastAsia="仿宋_GB2312"/>
          <w:color w:val="000000"/>
          <w:kern w:val="0"/>
          <w:sz w:val="32"/>
          <w:szCs w:val="32"/>
          <w:shd w:val="clear" w:color="auto" w:fill="FFFFFF"/>
        </w:rPr>
        <w:t>实施</w:t>
      </w:r>
      <w:r>
        <w:rPr>
          <w:rFonts w:eastAsia="仿宋_GB2312"/>
          <w:color w:val="000000"/>
          <w:kern w:val="0"/>
          <w:sz w:val="32"/>
          <w:szCs w:val="32"/>
          <w:shd w:val="clear" w:color="auto" w:fill="FFFFFF"/>
          <w:lang w:val="zh-CN"/>
        </w:rPr>
        <w:t>。</w:t>
      </w:r>
    </w:p>
    <w:p w14:paraId="6E91DBBC">
      <w:pPr>
        <w:pBdr>
          <w:bottom w:val="single" w:color="FFFFFF" w:sz="4" w:space="28"/>
        </w:pBdr>
        <w:tabs>
          <w:tab w:val="left" w:pos="1440"/>
        </w:tabs>
        <w:suppressAutoHyphens/>
        <w:overflowPunct w:val="0"/>
        <w:spacing w:line="576" w:lineRule="exact"/>
        <w:ind w:firstLine="640" w:firstLineChars="200"/>
        <w:rPr>
          <w:rFonts w:eastAsia="仿宋_GB2312"/>
          <w:color w:val="000000"/>
          <w:kern w:val="0"/>
          <w:sz w:val="32"/>
          <w:szCs w:val="32"/>
          <w:shd w:val="clear" w:color="auto" w:fill="FFFFFF"/>
          <w:lang w:val="zh-CN"/>
        </w:rPr>
      </w:pPr>
      <w:r>
        <w:rPr>
          <w:rFonts w:hint="eastAsia" w:eastAsia="仿宋_GB2312" w:cs="仿宋_GB2312"/>
          <w:sz w:val="32"/>
          <w:szCs w:val="32"/>
        </w:rPr>
        <w:t>2.项目执行</w:t>
      </w:r>
      <w:r>
        <w:rPr>
          <w:rFonts w:hint="eastAsia" w:eastAsia="仿宋_GB2312" w:cs="仿宋_GB2312"/>
          <w:sz w:val="32"/>
          <w:szCs w:val="32"/>
          <w:lang w:val="zh-CN"/>
        </w:rPr>
        <w:t>。</w:t>
      </w:r>
      <w:r>
        <w:rPr>
          <w:rFonts w:eastAsia="仿宋_GB2312"/>
          <w:color w:val="000000"/>
          <w:kern w:val="0"/>
          <w:sz w:val="32"/>
          <w:szCs w:val="32"/>
          <w:shd w:val="clear" w:color="auto" w:fill="FFFFFF"/>
        </w:rPr>
        <w:t>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w:t>
      </w:r>
      <w:r>
        <w:rPr>
          <w:rFonts w:hint="eastAsia" w:eastAsia="仿宋_GB2312"/>
          <w:color w:val="000000"/>
          <w:kern w:val="0"/>
          <w:sz w:val="32"/>
          <w:szCs w:val="32"/>
          <w:shd w:val="clear" w:color="auto" w:fill="FFFFFF"/>
        </w:rPr>
        <w:t>度</w:t>
      </w:r>
      <w:r>
        <w:rPr>
          <w:rFonts w:eastAsia="仿宋_GB2312"/>
          <w:color w:val="000000"/>
          <w:kern w:val="0"/>
          <w:sz w:val="32"/>
          <w:szCs w:val="32"/>
          <w:shd w:val="clear" w:color="auto" w:fill="FFFFFF"/>
        </w:rPr>
        <w:t>我单位项目资金为2050</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80万元（其中</w:t>
      </w:r>
      <w:r>
        <w:rPr>
          <w:rFonts w:hint="eastAsia" w:eastAsia="仿宋_GB2312"/>
          <w:color w:val="000000"/>
          <w:kern w:val="0"/>
          <w:sz w:val="32"/>
          <w:szCs w:val="32"/>
          <w:shd w:val="clear" w:color="auto" w:fill="FFFFFF"/>
        </w:rPr>
        <w:t>15</w:t>
      </w:r>
      <w:r>
        <w:rPr>
          <w:rFonts w:eastAsia="仿宋_GB2312"/>
          <w:color w:val="000000"/>
          <w:kern w:val="0"/>
          <w:sz w:val="32"/>
          <w:szCs w:val="32"/>
          <w:shd w:val="clear" w:color="auto" w:fill="FFFFFF"/>
        </w:rPr>
        <w:t>个阶段性项目），项目</w:t>
      </w:r>
      <w:r>
        <w:rPr>
          <w:rFonts w:eastAsia="仿宋_GB2312"/>
          <w:color w:val="000000"/>
          <w:kern w:val="0"/>
          <w:sz w:val="32"/>
          <w:szCs w:val="32"/>
          <w:shd w:val="clear" w:color="auto" w:fill="FFFFFF"/>
          <w:lang w:val="zh-CN"/>
        </w:rPr>
        <w:t>资金</w:t>
      </w:r>
      <w:r>
        <w:rPr>
          <w:rFonts w:eastAsia="仿宋_GB2312"/>
          <w:color w:val="000000"/>
          <w:kern w:val="0"/>
          <w:sz w:val="32"/>
          <w:szCs w:val="32"/>
          <w:shd w:val="clear" w:color="auto" w:fill="FFFFFF"/>
        </w:rPr>
        <w:t>按照年初项目事前评估和</w:t>
      </w:r>
      <w:r>
        <w:rPr>
          <w:rFonts w:hint="eastAsia" w:eastAsia="仿宋_GB2312"/>
          <w:color w:val="000000"/>
          <w:kern w:val="0"/>
          <w:sz w:val="32"/>
          <w:szCs w:val="32"/>
          <w:shd w:val="clear" w:color="auto" w:fill="FFFFFF"/>
        </w:rPr>
        <w:t>预算</w:t>
      </w:r>
      <w:r>
        <w:rPr>
          <w:rFonts w:eastAsia="仿宋_GB2312"/>
          <w:color w:val="000000"/>
          <w:kern w:val="0"/>
          <w:sz w:val="32"/>
          <w:szCs w:val="32"/>
          <w:shd w:val="clear" w:color="auto" w:fill="FFFFFF"/>
        </w:rPr>
        <w:t>绩效指标</w:t>
      </w:r>
      <w:r>
        <w:rPr>
          <w:rFonts w:eastAsia="仿宋_GB2312"/>
          <w:color w:val="000000"/>
          <w:kern w:val="0"/>
          <w:sz w:val="32"/>
          <w:szCs w:val="32"/>
          <w:shd w:val="clear" w:color="auto" w:fill="FFFFFF"/>
          <w:lang w:val="zh-CN"/>
        </w:rPr>
        <w:t>同向执行；</w:t>
      </w:r>
      <w:r>
        <w:rPr>
          <w:rFonts w:hint="eastAsia" w:eastAsia="仿宋_GB2312"/>
          <w:color w:val="000000"/>
          <w:kern w:val="0"/>
          <w:sz w:val="32"/>
          <w:szCs w:val="32"/>
          <w:shd w:val="clear" w:color="auto" w:fill="FFFFFF"/>
          <w:lang w:val="zh-CN"/>
        </w:rPr>
        <w:t>其间</w:t>
      </w:r>
      <w:r>
        <w:rPr>
          <w:rFonts w:eastAsia="仿宋_GB2312"/>
          <w:color w:val="000000"/>
          <w:kern w:val="0"/>
          <w:sz w:val="32"/>
          <w:szCs w:val="32"/>
          <w:shd w:val="clear" w:color="auto" w:fill="FFFFFF"/>
        </w:rPr>
        <w:t>不存在</w:t>
      </w:r>
      <w:r>
        <w:rPr>
          <w:rFonts w:eastAsia="仿宋_GB2312"/>
          <w:color w:val="000000"/>
          <w:kern w:val="0"/>
          <w:sz w:val="32"/>
          <w:szCs w:val="32"/>
          <w:shd w:val="clear" w:color="auto" w:fill="FFFFFF"/>
          <w:lang w:val="zh-CN"/>
        </w:rPr>
        <w:t>项目调整，</w:t>
      </w:r>
      <w:r>
        <w:rPr>
          <w:rFonts w:eastAsia="仿宋_GB2312"/>
          <w:color w:val="000000"/>
          <w:kern w:val="0"/>
          <w:sz w:val="32"/>
          <w:szCs w:val="32"/>
          <w:shd w:val="clear" w:color="auto" w:fill="FFFFFF"/>
        </w:rPr>
        <w:t>年内全部执行，</w:t>
      </w:r>
      <w:r>
        <w:rPr>
          <w:rFonts w:eastAsia="仿宋_GB2312"/>
          <w:color w:val="000000"/>
          <w:kern w:val="0"/>
          <w:sz w:val="32"/>
          <w:szCs w:val="32"/>
          <w:shd w:val="clear" w:color="auto" w:fill="FFFFFF"/>
          <w:lang w:val="zh-CN"/>
        </w:rPr>
        <w:t>执行</w:t>
      </w:r>
      <w:r>
        <w:rPr>
          <w:rFonts w:eastAsia="仿宋_GB2312"/>
          <w:color w:val="000000"/>
          <w:kern w:val="0"/>
          <w:sz w:val="32"/>
          <w:szCs w:val="32"/>
          <w:shd w:val="clear" w:color="auto" w:fill="FFFFFF"/>
        </w:rPr>
        <w:t>率达</w:t>
      </w:r>
      <w:r>
        <w:rPr>
          <w:rFonts w:hint="eastAsia" w:eastAsia="仿宋_GB2312"/>
          <w:color w:val="000000"/>
          <w:kern w:val="0"/>
          <w:sz w:val="32"/>
          <w:szCs w:val="32"/>
          <w:shd w:val="clear" w:color="auto" w:fill="FFFFFF"/>
        </w:rPr>
        <w:t>61.78</w:t>
      </w:r>
      <w:r>
        <w:rPr>
          <w:rFonts w:eastAsia="仿宋_GB2312"/>
          <w:color w:val="000000"/>
          <w:kern w:val="0"/>
          <w:sz w:val="32"/>
          <w:szCs w:val="32"/>
          <w:shd w:val="clear" w:color="auto" w:fill="FFFFFF"/>
        </w:rPr>
        <w:t>%</w:t>
      </w:r>
      <w:r>
        <w:rPr>
          <w:rFonts w:eastAsia="仿宋_GB2312"/>
          <w:color w:val="000000"/>
          <w:kern w:val="0"/>
          <w:sz w:val="32"/>
          <w:szCs w:val="32"/>
          <w:shd w:val="clear" w:color="auto" w:fill="FFFFFF"/>
          <w:lang w:val="zh-CN"/>
        </w:rPr>
        <w:t>。</w:t>
      </w:r>
    </w:p>
    <w:p w14:paraId="61B5DC2F">
      <w:pPr>
        <w:pBdr>
          <w:bottom w:val="single" w:color="FFFFFF" w:sz="4" w:space="28"/>
        </w:pBdr>
        <w:tabs>
          <w:tab w:val="left" w:pos="1440"/>
        </w:tabs>
        <w:suppressAutoHyphens/>
        <w:overflowPunct w:val="0"/>
        <w:spacing w:line="576" w:lineRule="exact"/>
        <w:ind w:firstLine="640" w:firstLineChars="200"/>
        <w:rPr>
          <w:rFonts w:eastAsia="仿宋_GB2312"/>
          <w:color w:val="000000"/>
          <w:kern w:val="0"/>
          <w:sz w:val="32"/>
          <w:szCs w:val="32"/>
          <w:shd w:val="clear" w:color="auto" w:fill="FFFFFF"/>
        </w:rPr>
      </w:pPr>
      <w:r>
        <w:rPr>
          <w:rFonts w:hint="eastAsia" w:eastAsia="仿宋_GB2312" w:cs="仿宋_GB2312"/>
          <w:sz w:val="32"/>
          <w:szCs w:val="32"/>
        </w:rPr>
        <w:t>3.</w:t>
      </w:r>
      <w:r>
        <w:rPr>
          <w:rFonts w:hint="eastAsia" w:eastAsia="仿宋_GB2312" w:cs="仿宋_GB2312"/>
          <w:sz w:val="32"/>
          <w:szCs w:val="32"/>
          <w:lang w:val="zh-CN"/>
        </w:rPr>
        <w:t>目标实现。</w:t>
      </w:r>
      <w:r>
        <w:rPr>
          <w:rFonts w:eastAsia="仿宋_GB2312"/>
          <w:color w:val="000000"/>
          <w:kern w:val="0"/>
          <w:sz w:val="32"/>
          <w:szCs w:val="32"/>
          <w:shd w:val="clear" w:color="auto" w:fill="FFFFFF"/>
        </w:rPr>
        <w:t>我单位202</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rPr>
        <w:t>年</w:t>
      </w:r>
      <w:r>
        <w:rPr>
          <w:rFonts w:hint="eastAsia" w:eastAsia="仿宋_GB2312"/>
          <w:color w:val="000000"/>
          <w:kern w:val="0"/>
          <w:sz w:val="32"/>
          <w:szCs w:val="32"/>
          <w:shd w:val="clear" w:color="auto" w:fill="FFFFFF"/>
        </w:rPr>
        <w:t>度</w:t>
      </w:r>
      <w:r>
        <w:rPr>
          <w:rFonts w:eastAsia="仿宋_GB2312"/>
          <w:color w:val="000000"/>
          <w:kern w:val="0"/>
          <w:sz w:val="32"/>
          <w:szCs w:val="32"/>
          <w:shd w:val="clear" w:color="auto" w:fill="FFFFFF"/>
        </w:rPr>
        <w:t>内项目均按</w:t>
      </w:r>
      <w:r>
        <w:rPr>
          <w:rFonts w:eastAsia="仿宋_GB2312"/>
          <w:color w:val="000000"/>
          <w:kern w:val="0"/>
          <w:sz w:val="32"/>
          <w:szCs w:val="32"/>
          <w:shd w:val="clear" w:color="auto" w:fill="FFFFFF"/>
          <w:lang w:val="zh-CN"/>
        </w:rPr>
        <w:t>目标完成、目标偏离</w:t>
      </w:r>
      <w:r>
        <w:rPr>
          <w:rFonts w:eastAsia="仿宋_GB2312"/>
          <w:color w:val="000000"/>
          <w:kern w:val="0"/>
          <w:sz w:val="32"/>
          <w:szCs w:val="32"/>
          <w:shd w:val="clear" w:color="auto" w:fill="FFFFFF"/>
        </w:rPr>
        <w:t>度为0。项目的实施有效保障</w:t>
      </w:r>
      <w:r>
        <w:rPr>
          <w:rFonts w:hint="eastAsia" w:eastAsia="仿宋_GB2312"/>
          <w:color w:val="000000"/>
          <w:kern w:val="0"/>
          <w:sz w:val="32"/>
          <w:szCs w:val="32"/>
          <w:shd w:val="clear" w:color="auto" w:fill="FFFFFF"/>
        </w:rPr>
        <w:t>园区</w:t>
      </w:r>
      <w:r>
        <w:rPr>
          <w:rFonts w:eastAsia="仿宋_GB2312"/>
          <w:color w:val="000000"/>
          <w:kern w:val="0"/>
          <w:sz w:val="32"/>
          <w:szCs w:val="32"/>
          <w:shd w:val="clear" w:color="auto" w:fill="FFFFFF"/>
        </w:rPr>
        <w:t>管理工作的有序推进。主要体现在它的数量指标、时效指标、质量指标、社会效益指标和社会满意度指标上。</w:t>
      </w:r>
    </w:p>
    <w:p w14:paraId="0FD6FC38">
      <w:pPr>
        <w:pBdr>
          <w:bottom w:val="single" w:color="FFFFFF" w:sz="4" w:space="28"/>
        </w:pBdr>
        <w:tabs>
          <w:tab w:val="left" w:pos="1440"/>
        </w:tabs>
        <w:suppressAutoHyphens/>
        <w:overflowPunct w:val="0"/>
        <w:spacing w:line="576" w:lineRule="exact"/>
        <w:ind w:firstLine="643" w:firstLineChars="200"/>
        <w:rPr>
          <w:rFonts w:eastAsia="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eastAsia="仿宋_GB2312"/>
          <w:sz w:val="32"/>
          <w:szCs w:val="32"/>
        </w:rPr>
        <w:t>整体绩效评价促使了各项工作有序开展，财政资金收支情况同时也按进度执行并及时进行了信息公开。202</w:t>
      </w:r>
      <w:r>
        <w:rPr>
          <w:rFonts w:hint="eastAsia" w:eastAsia="仿宋_GB2312"/>
          <w:sz w:val="32"/>
          <w:szCs w:val="32"/>
        </w:rPr>
        <w:t>5</w:t>
      </w:r>
      <w:r>
        <w:rPr>
          <w:rFonts w:eastAsia="仿宋_GB2312"/>
          <w:sz w:val="32"/>
          <w:szCs w:val="32"/>
        </w:rPr>
        <w:t>年度对本单位预决公开情况进行了全面的自查，同时对202</w:t>
      </w:r>
      <w:r>
        <w:rPr>
          <w:rFonts w:hint="eastAsia" w:eastAsia="仿宋_GB2312"/>
          <w:sz w:val="32"/>
          <w:szCs w:val="32"/>
        </w:rPr>
        <w:t>5</w:t>
      </w:r>
      <w:r>
        <w:rPr>
          <w:rFonts w:eastAsia="仿宋_GB2312"/>
          <w:sz w:val="32"/>
          <w:szCs w:val="32"/>
        </w:rPr>
        <w:t>年度整体绩效评价检查进行了整改。</w:t>
      </w:r>
    </w:p>
    <w:p w14:paraId="4C280A88">
      <w:pPr>
        <w:pBdr>
          <w:bottom w:val="single" w:color="FFFFFF" w:sz="4" w:space="28"/>
        </w:pBdr>
        <w:tabs>
          <w:tab w:val="left" w:pos="1440"/>
        </w:tabs>
        <w:suppressAutoHyphens/>
        <w:overflowPunct w:val="0"/>
        <w:spacing w:line="576" w:lineRule="exact"/>
        <w:ind w:firstLine="640" w:firstLineChars="200"/>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47704B1F">
      <w:pPr>
        <w:pBdr>
          <w:bottom w:val="single" w:color="FFFFFF" w:sz="4" w:space="28"/>
        </w:pBdr>
        <w:tabs>
          <w:tab w:val="left" w:pos="1440"/>
        </w:tabs>
        <w:suppressAutoHyphens/>
        <w:overflowPunct w:val="0"/>
        <w:spacing w:line="576" w:lineRule="exact"/>
        <w:ind w:firstLine="643" w:firstLineChars="200"/>
        <w:rPr>
          <w:rFonts w:eastAsia="仿宋_GB2312"/>
          <w:sz w:val="32"/>
          <w:szCs w:val="32"/>
        </w:rPr>
      </w:pPr>
      <w:r>
        <w:rPr>
          <w:rFonts w:eastAsia="楷体_GB2312"/>
          <w:b/>
          <w:bCs/>
          <w:color w:val="000000"/>
          <w:kern w:val="0"/>
          <w:sz w:val="32"/>
          <w:szCs w:val="32"/>
          <w:shd w:val="clear" w:color="auto" w:fill="FFFFFF"/>
          <w:lang w:val="zh-CN"/>
        </w:rPr>
        <w:t>（一）评价结论。</w:t>
      </w:r>
      <w:r>
        <w:rPr>
          <w:rFonts w:eastAsia="仿宋_GB2312"/>
          <w:sz w:val="32"/>
          <w:szCs w:val="32"/>
        </w:rPr>
        <w:t>整体绩效评价工作规范了财政资金的管理，强化财政支出绩效理念，提</w:t>
      </w:r>
      <w:r>
        <w:rPr>
          <w:rFonts w:hint="eastAsia" w:eastAsia="仿宋_GB2312"/>
          <w:sz w:val="32"/>
          <w:szCs w:val="32"/>
          <w:lang w:eastAsia="zh-CN"/>
        </w:rPr>
        <w:t>升责</w:t>
      </w:r>
      <w:r>
        <w:rPr>
          <w:rFonts w:eastAsia="仿宋_GB2312"/>
          <w:sz w:val="32"/>
          <w:szCs w:val="32"/>
        </w:rPr>
        <w:t>任意识，提高资金使用效益。</w:t>
      </w:r>
    </w:p>
    <w:p w14:paraId="16137E5C">
      <w:pPr>
        <w:pBdr>
          <w:bottom w:val="single" w:color="FFFFFF" w:sz="4" w:space="28"/>
        </w:pBdr>
        <w:tabs>
          <w:tab w:val="left" w:pos="1440"/>
        </w:tabs>
        <w:suppressAutoHyphens/>
        <w:overflowPunct w:val="0"/>
        <w:spacing w:line="576" w:lineRule="exact"/>
        <w:ind w:firstLine="643" w:firstLineChars="200"/>
        <w:rPr>
          <w:rFonts w:eastAsia="仿宋_GB2312"/>
          <w:sz w:val="32"/>
          <w:szCs w:val="32"/>
          <w:lang w:val="zh-CN"/>
        </w:rPr>
      </w:pPr>
      <w:r>
        <w:rPr>
          <w:rFonts w:eastAsia="楷体_GB2312"/>
          <w:b/>
          <w:bCs/>
          <w:color w:val="000000"/>
          <w:kern w:val="0"/>
          <w:sz w:val="32"/>
          <w:szCs w:val="32"/>
          <w:shd w:val="clear" w:color="auto" w:fill="FFFFFF"/>
          <w:lang w:val="zh-CN"/>
        </w:rPr>
        <w:t>（二）存在问题。</w:t>
      </w:r>
      <w:r>
        <w:rPr>
          <w:rFonts w:eastAsia="仿宋_GB2312"/>
          <w:sz w:val="32"/>
          <w:szCs w:val="32"/>
        </w:rPr>
        <w:t>1.我单位无自由收入</w:t>
      </w:r>
      <w:r>
        <w:rPr>
          <w:rFonts w:hint="eastAsia" w:eastAsia="仿宋_GB2312"/>
          <w:sz w:val="32"/>
          <w:szCs w:val="32"/>
        </w:rPr>
        <w:t>，经费来源单一，预算统筹调剂空间有限</w:t>
      </w:r>
      <w:r>
        <w:rPr>
          <w:rFonts w:eastAsia="仿宋_GB2312"/>
          <w:sz w:val="32"/>
          <w:szCs w:val="32"/>
        </w:rPr>
        <w:t>；</w:t>
      </w:r>
      <w:r>
        <w:rPr>
          <w:rFonts w:hint="eastAsia" w:eastAsia="仿宋_GB2312"/>
          <w:sz w:val="32"/>
          <w:szCs w:val="32"/>
        </w:rPr>
        <w:t>2</w:t>
      </w:r>
      <w:r>
        <w:rPr>
          <w:rFonts w:eastAsia="仿宋_GB2312"/>
          <w:sz w:val="32"/>
          <w:szCs w:val="32"/>
        </w:rPr>
        <w:t>.</w:t>
      </w:r>
      <w:r>
        <w:rPr>
          <w:rFonts w:eastAsia="仿宋_GB2312"/>
          <w:sz w:val="32"/>
          <w:szCs w:val="32"/>
          <w:lang w:val="zh-CN"/>
        </w:rPr>
        <w:t>绩效评价管理制度</w:t>
      </w:r>
      <w:r>
        <w:rPr>
          <w:rFonts w:hint="eastAsia" w:eastAsia="仿宋_GB2312"/>
          <w:sz w:val="32"/>
          <w:szCs w:val="32"/>
          <w:lang w:val="zh-CN"/>
        </w:rPr>
        <w:t>不够健全</w:t>
      </w:r>
      <w:r>
        <w:rPr>
          <w:rFonts w:eastAsia="仿宋_GB2312"/>
          <w:sz w:val="32"/>
          <w:szCs w:val="32"/>
          <w:lang w:val="zh-CN"/>
        </w:rPr>
        <w:t>。虽</w:t>
      </w:r>
      <w:r>
        <w:rPr>
          <w:rFonts w:hint="eastAsia" w:eastAsia="仿宋_GB2312"/>
          <w:sz w:val="32"/>
          <w:szCs w:val="32"/>
          <w:lang w:val="zh-CN"/>
        </w:rPr>
        <w:t>已建立相关内部管理办法，但制度细则仍有待完善，难以充分适配绩效评价工作开展需求。</w:t>
      </w:r>
      <w:r>
        <w:rPr>
          <w:rFonts w:eastAsia="仿宋_GB2312"/>
          <w:sz w:val="32"/>
          <w:szCs w:val="32"/>
          <w:lang w:val="zh-CN"/>
        </w:rPr>
        <w:t>绩效评价工作作为</w:t>
      </w:r>
      <w:r>
        <w:rPr>
          <w:rFonts w:eastAsia="仿宋_GB2312"/>
          <w:sz w:val="32"/>
          <w:szCs w:val="32"/>
        </w:rPr>
        <w:t>县</w:t>
      </w:r>
      <w:r>
        <w:rPr>
          <w:rFonts w:eastAsia="仿宋_GB2312"/>
          <w:sz w:val="32"/>
          <w:szCs w:val="32"/>
          <w:lang w:val="zh-CN"/>
        </w:rPr>
        <w:t>委、</w:t>
      </w:r>
      <w:r>
        <w:rPr>
          <w:rFonts w:eastAsia="仿宋_GB2312"/>
          <w:sz w:val="32"/>
          <w:szCs w:val="32"/>
        </w:rPr>
        <w:t>县</w:t>
      </w:r>
      <w:r>
        <w:rPr>
          <w:rFonts w:eastAsia="仿宋_GB2312"/>
          <w:sz w:val="32"/>
          <w:szCs w:val="32"/>
          <w:lang w:val="zh-CN"/>
        </w:rPr>
        <w:t>政府的核心智库之一，与</w:t>
      </w:r>
      <w:r>
        <w:rPr>
          <w:rFonts w:hint="eastAsia" w:eastAsia="仿宋_GB2312"/>
          <w:sz w:val="32"/>
          <w:szCs w:val="32"/>
          <w:lang w:val="zh-CN"/>
        </w:rPr>
        <w:t>县委、县政府</w:t>
      </w:r>
      <w:r>
        <w:rPr>
          <w:rFonts w:eastAsia="仿宋_GB2312"/>
          <w:sz w:val="32"/>
          <w:szCs w:val="32"/>
          <w:lang w:val="zh-CN"/>
        </w:rPr>
        <w:t>的要求还存在差距。</w:t>
      </w:r>
    </w:p>
    <w:p w14:paraId="75B09526">
      <w:pPr>
        <w:pBdr>
          <w:bottom w:val="single" w:color="FFFFFF" w:sz="4" w:space="28"/>
        </w:pBdr>
        <w:tabs>
          <w:tab w:val="left" w:pos="1440"/>
        </w:tabs>
        <w:suppressAutoHyphens/>
        <w:overflowPunct w:val="0"/>
        <w:spacing w:line="576" w:lineRule="exact"/>
        <w:ind w:firstLine="643" w:firstLineChars="200"/>
        <w:rPr>
          <w:rFonts w:eastAsia="仿宋_GB2312"/>
          <w:sz w:val="32"/>
          <w:szCs w:val="32"/>
        </w:rPr>
      </w:pPr>
      <w:r>
        <w:rPr>
          <w:rFonts w:eastAsia="楷体_GB2312"/>
          <w:b/>
          <w:bCs/>
          <w:color w:val="000000"/>
          <w:kern w:val="0"/>
          <w:sz w:val="32"/>
          <w:szCs w:val="32"/>
          <w:shd w:val="clear" w:color="auto" w:fill="FFFFFF"/>
          <w:lang w:val="zh-CN"/>
        </w:rPr>
        <w:t>（三）改进建议。</w:t>
      </w:r>
      <w:bookmarkStart w:id="55" w:name="_Hlk110546638"/>
      <w:r>
        <w:rPr>
          <w:rFonts w:hint="eastAsia" w:eastAsia="仿宋_GB2312"/>
          <w:sz w:val="32"/>
          <w:szCs w:val="32"/>
        </w:rPr>
        <w:t>下一步我单位将在县财政局绩效管理局的业务指导下，依托本单位绩效管理制度，持续抓实预算绩效管理工作：进一步细化工作举措，优化完善绩效评价指标体系，科学合理设定评价权重分值；强化制度落地执行，规范绩效评价实操流程；督促干部职工加强业务学习，夯实业务能力，持续提升预算绩效管理工作质量，切实发挥绩效评价效能。</w:t>
      </w:r>
      <w:bookmarkEnd w:id="55"/>
    </w:p>
    <w:p w14:paraId="205BEFC3">
      <w:pPr>
        <w:widowControl/>
        <w:jc w:val="center"/>
        <w:rPr>
          <w:rFonts w:eastAsia="仿宋_GB2312"/>
          <w:sz w:val="32"/>
          <w:lang w:val="zh-CN"/>
        </w:rPr>
      </w:pPr>
      <w:bookmarkStart w:id="56" w:name="_Toc15396618"/>
    </w:p>
    <w:p w14:paraId="173F4DF7">
      <w:pPr>
        <w:widowControl/>
        <w:jc w:val="center"/>
        <w:rPr>
          <w:rFonts w:eastAsia="仿宋_GB2312"/>
          <w:sz w:val="32"/>
          <w:lang w:val="zh-CN"/>
        </w:rPr>
      </w:pPr>
    </w:p>
    <w:p w14:paraId="724A6782">
      <w:pPr>
        <w:widowControl/>
        <w:jc w:val="center"/>
        <w:rPr>
          <w:rFonts w:eastAsia="仿宋_GB2312"/>
          <w:sz w:val="32"/>
          <w:lang w:val="zh-CN"/>
        </w:rPr>
      </w:pPr>
    </w:p>
    <w:p w14:paraId="5A2BA349">
      <w:pPr>
        <w:widowControl/>
        <w:jc w:val="center"/>
        <w:rPr>
          <w:rFonts w:eastAsia="仿宋_GB2312"/>
          <w:sz w:val="32"/>
          <w:lang w:val="zh-CN"/>
        </w:rPr>
      </w:pPr>
    </w:p>
    <w:p w14:paraId="69FF6AA7">
      <w:pPr>
        <w:widowControl/>
        <w:jc w:val="center"/>
        <w:rPr>
          <w:rFonts w:eastAsia="仿宋_GB2312"/>
          <w:sz w:val="32"/>
          <w:lang w:val="zh-CN"/>
        </w:rPr>
      </w:pPr>
    </w:p>
    <w:p w14:paraId="119BEAE1">
      <w:pPr>
        <w:widowControl/>
        <w:jc w:val="center"/>
        <w:rPr>
          <w:rFonts w:eastAsia="仿宋_GB2312"/>
          <w:sz w:val="32"/>
          <w:lang w:val="zh-CN"/>
        </w:rPr>
      </w:pPr>
    </w:p>
    <w:p w14:paraId="5BDB17B9">
      <w:pPr>
        <w:widowControl/>
        <w:jc w:val="center"/>
        <w:rPr>
          <w:rFonts w:eastAsia="仿宋_GB2312"/>
          <w:sz w:val="32"/>
          <w:lang w:val="zh-CN"/>
        </w:rPr>
      </w:pPr>
    </w:p>
    <w:p w14:paraId="12635802">
      <w:pPr>
        <w:widowControl/>
        <w:jc w:val="center"/>
        <w:rPr>
          <w:rFonts w:eastAsia="仿宋_GB2312"/>
          <w:sz w:val="32"/>
          <w:lang w:val="zh-CN"/>
        </w:rPr>
      </w:pPr>
    </w:p>
    <w:p w14:paraId="641D8AB4">
      <w:pPr>
        <w:widowControl/>
        <w:jc w:val="center"/>
        <w:rPr>
          <w:rFonts w:eastAsia="仿宋_GB2312"/>
          <w:sz w:val="32"/>
          <w:lang w:val="zh-CN"/>
        </w:rPr>
      </w:pPr>
    </w:p>
    <w:p w14:paraId="1B33ECB7">
      <w:pPr>
        <w:widowControl/>
        <w:jc w:val="center"/>
        <w:rPr>
          <w:rFonts w:eastAsia="仿宋"/>
        </w:rPr>
      </w:pPr>
      <w:r>
        <w:rPr>
          <w:rFonts w:hint="eastAsia" w:eastAsia="黑体"/>
          <w:sz w:val="44"/>
          <w:szCs w:val="44"/>
        </w:rPr>
        <w:t>第</w:t>
      </w:r>
      <w:r>
        <w:rPr>
          <w:rStyle w:val="28"/>
          <w:rFonts w:hint="eastAsia" w:eastAsia="黑体"/>
          <w:b w:val="0"/>
        </w:rPr>
        <w:t>五部分 附表</w:t>
      </w:r>
      <w:bookmarkEnd w:id="53"/>
      <w:bookmarkEnd w:id="56"/>
      <w:bookmarkStart w:id="57" w:name="_Toc15396619"/>
    </w:p>
    <w:p w14:paraId="3EBCF88C">
      <w:pPr>
        <w:pStyle w:val="14"/>
        <w:adjustRightInd w:val="0"/>
        <w:snapToGrid w:val="0"/>
        <w:spacing w:line="560" w:lineRule="exact"/>
        <w:jc w:val="left"/>
        <w:rPr>
          <w:rFonts w:eastAsia="仿宋_GB2312" w:cs="仿宋_GB2312"/>
          <w:sz w:val="32"/>
          <w:szCs w:val="32"/>
        </w:rPr>
      </w:pPr>
    </w:p>
    <w:p w14:paraId="42A75F4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2D737520">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7E235731">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5F077799">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3571247D">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68CC8B12">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3EBA4CF5">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222A32A9">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53582206">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163355EF">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1687CE91">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03D7F8FC">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07DBACBD">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14:paraId="14EAF345"/>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9E9431-CC7B-42CA-A297-C7B7B8DE5D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1464E74-A5EA-46CB-AF35-C3F39515F1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304133B-CA9A-4F7C-A161-8433ADB39232}"/>
  </w:font>
  <w:font w:name="仿宋">
    <w:panose1 w:val="02010609060101010101"/>
    <w:charset w:val="86"/>
    <w:family w:val="modern"/>
    <w:pitch w:val="default"/>
    <w:sig w:usb0="800002BF" w:usb1="38CF7CFA" w:usb2="00000016" w:usb3="00000000" w:csb0="00040001" w:csb1="00000000"/>
    <w:embedRegular r:id="rId4" w:fontKey="{1108870B-07F8-46D5-9506-64E92EEE8E0D}"/>
  </w:font>
  <w:font w:name="Arial">
    <w:panose1 w:val="020B0604020202020204"/>
    <w:charset w:val="00"/>
    <w:family w:val="swiss"/>
    <w:pitch w:val="default"/>
    <w:sig w:usb0="E0002EFF" w:usb1="C000785B"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auto"/>
    <w:pitch w:val="default"/>
    <w:sig w:usb0="00000001" w:usb1="080E0000" w:usb2="00000000" w:usb3="00000000" w:csb0="00040000" w:csb1="00000000"/>
    <w:embedRegular r:id="rId5" w:fontKey="{4ADC56B3-ECA6-451C-9474-C6DA623A6076}"/>
  </w:font>
  <w:font w:name="楷体_GB2312">
    <w:panose1 w:val="02010609030101010101"/>
    <w:charset w:val="86"/>
    <w:family w:val="modern"/>
    <w:pitch w:val="default"/>
    <w:sig w:usb0="00000001" w:usb1="080E0000" w:usb2="00000000" w:usb3="00000000" w:csb0="00040000" w:csb1="00000000"/>
    <w:embedRegular r:id="rId6" w:fontKey="{07EFC555-10D0-4912-B9BB-F2495619C4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F0D3D">
    <w:pPr>
      <w:pStyle w:val="11"/>
      <w:jc w:val="center"/>
    </w:pPr>
  </w:p>
  <w:p w14:paraId="1029200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C3DCD">
    <w:pPr>
      <w:pStyle w:val="11"/>
      <w:jc w:val="center"/>
    </w:pPr>
  </w:p>
  <w:p w14:paraId="702DF29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4A2FE">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46773BE7">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C2EDF">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Y2MDJlYWFjMDUwOThmZTc2OGJmYWExYTI1NWQyZGYifQ=="/>
  </w:docVars>
  <w:rsids>
    <w:rsidRoot w:val="00F1361C"/>
    <w:rsid w:val="00010BD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6A4E"/>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5336"/>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B4B37"/>
    <w:rsid w:val="002C79B5"/>
    <w:rsid w:val="002D6D05"/>
    <w:rsid w:val="002F1818"/>
    <w:rsid w:val="002F567B"/>
    <w:rsid w:val="00320F1A"/>
    <w:rsid w:val="003216A9"/>
    <w:rsid w:val="00335A74"/>
    <w:rsid w:val="0036561B"/>
    <w:rsid w:val="0037013F"/>
    <w:rsid w:val="00380C92"/>
    <w:rsid w:val="00384654"/>
    <w:rsid w:val="003A484F"/>
    <w:rsid w:val="003A4883"/>
    <w:rsid w:val="003B0BE0"/>
    <w:rsid w:val="003B0C1B"/>
    <w:rsid w:val="003B688C"/>
    <w:rsid w:val="003C0291"/>
    <w:rsid w:val="003C27D4"/>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E7398"/>
    <w:rsid w:val="004F0FBD"/>
    <w:rsid w:val="00505A47"/>
    <w:rsid w:val="00512FDA"/>
    <w:rsid w:val="00520DA0"/>
    <w:rsid w:val="005632CC"/>
    <w:rsid w:val="005664BB"/>
    <w:rsid w:val="00566FFA"/>
    <w:rsid w:val="0057481D"/>
    <w:rsid w:val="0058486E"/>
    <w:rsid w:val="00585B33"/>
    <w:rsid w:val="0059014D"/>
    <w:rsid w:val="005B5C64"/>
    <w:rsid w:val="005C5337"/>
    <w:rsid w:val="005C6BD0"/>
    <w:rsid w:val="005D1C8B"/>
    <w:rsid w:val="005D32D1"/>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05"/>
    <w:rsid w:val="006440E4"/>
    <w:rsid w:val="0066343B"/>
    <w:rsid w:val="00664777"/>
    <w:rsid w:val="006748A4"/>
    <w:rsid w:val="00681A31"/>
    <w:rsid w:val="00683E73"/>
    <w:rsid w:val="006A3141"/>
    <w:rsid w:val="006A5E34"/>
    <w:rsid w:val="006A7290"/>
    <w:rsid w:val="006B0460"/>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D3B85"/>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7A56"/>
    <w:rsid w:val="00967F6B"/>
    <w:rsid w:val="0097099F"/>
    <w:rsid w:val="00971997"/>
    <w:rsid w:val="00971FFC"/>
    <w:rsid w:val="0098660A"/>
    <w:rsid w:val="009931C3"/>
    <w:rsid w:val="0099338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26F80"/>
    <w:rsid w:val="00A307CD"/>
    <w:rsid w:val="00A331C8"/>
    <w:rsid w:val="00A40A00"/>
    <w:rsid w:val="00A4142F"/>
    <w:rsid w:val="00A422EB"/>
    <w:rsid w:val="00A45BB7"/>
    <w:rsid w:val="00A56DF2"/>
    <w:rsid w:val="00A56E6E"/>
    <w:rsid w:val="00A67AB5"/>
    <w:rsid w:val="00A733B2"/>
    <w:rsid w:val="00A741C2"/>
    <w:rsid w:val="00A8362A"/>
    <w:rsid w:val="00A91760"/>
    <w:rsid w:val="00A93B00"/>
    <w:rsid w:val="00A93C21"/>
    <w:rsid w:val="00AB64C9"/>
    <w:rsid w:val="00AC3C6A"/>
    <w:rsid w:val="00AC4936"/>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474A"/>
    <w:rsid w:val="00D114F0"/>
    <w:rsid w:val="00D20620"/>
    <w:rsid w:val="00D254F7"/>
    <w:rsid w:val="00D26091"/>
    <w:rsid w:val="00D2685C"/>
    <w:rsid w:val="00D34E7C"/>
    <w:rsid w:val="00D35489"/>
    <w:rsid w:val="00D36AFE"/>
    <w:rsid w:val="00D51276"/>
    <w:rsid w:val="00D7035F"/>
    <w:rsid w:val="00DA634F"/>
    <w:rsid w:val="00DA65AC"/>
    <w:rsid w:val="00DA69CF"/>
    <w:rsid w:val="00DB1913"/>
    <w:rsid w:val="00DC410D"/>
    <w:rsid w:val="00DC5A81"/>
    <w:rsid w:val="00DC68CA"/>
    <w:rsid w:val="00DC7CBA"/>
    <w:rsid w:val="00DD73B7"/>
    <w:rsid w:val="00DE053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18A1"/>
    <w:rsid w:val="00F1361C"/>
    <w:rsid w:val="00F156F0"/>
    <w:rsid w:val="00F160C7"/>
    <w:rsid w:val="00F2408F"/>
    <w:rsid w:val="00F240E9"/>
    <w:rsid w:val="00F2438A"/>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C3679FE"/>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D74B2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c711ddfc-8c79-4c12-88df-2942ace3b8a7</errorID>
      <errorWord>主要是</errorWord>
      <group>L1_Word</group>
      <groupName>字词问题</groupName>
      <ability>L2_Typo</ability>
      <abilityName>字词错误</abilityName>
      <candidateList>
        <item>主要</item>
      </candidateList>
      <explain/>
      <paraID>229060D1</paraID>
      <start>74</start>
      <end>76</end>
      <status>modified</status>
      <modifiedWord>主要</modifiedWord>
      <trackRevisions>false</trackRevisions>
    </reviewItem>
    <reviewItem>
      <errorID>f48f2e33-5138-42ea-bff6-5cccb9fc1a64</errorID>
      <errorWord>制</errorWord>
      <group>L1_Word</group>
      <groupName>字词问题</groupName>
      <ability>L2_Typo</ability>
      <abilityName>字词错误</abilityName>
      <candidateList>
        <item>制度</item>
      </candidateList>
      <explain/>
      <paraID>502FDE94</paraID>
      <start>112</start>
      <end>114</end>
      <status>modified</status>
      <modifiedWord>制度</modifiedWord>
      <trackRevisions>false</trackRevisions>
    </reviewItem>
    <reviewItem>
      <errorID>02ffd511-a519-4cf0-b96e-67ac9c6c17b7</errorID>
      <errorWord>重理</errorWord>
      <group>L1_Word</group>
      <groupName>字词问题</groupName>
      <ability>L2_Typo</ability>
      <abilityName>字词错误</abilityName>
      <candidateList>
        <item>管理</item>
      </candidateList>
      <explain/>
      <paraID>502FDE94</paraID>
      <start>185</start>
      <end>187</end>
      <status>modified</status>
      <modifiedWord>管理</modifiedWord>
      <trackRevisions>false</trackRevisions>
    </reviewItem>
    <reviewItem>
      <errorID>571f27cf-f76b-4a68-9ca9-41e8d6551a8d</errorID>
      <errorWord>.</errorWord>
      <group>L1_Format</group>
      <groupName>格式问题</groupName>
      <ability>L2_HalfPunc_CN</ability>
      <abilityName>全半角问题</abilityName>
      <candidateList>
        <item>。</item>
      </candidateList>
      <explain>文本全半角错误。</explain>
      <paraID>502FDE94</paraID>
      <start>198</start>
      <end>199</end>
      <status>modified</status>
      <modifiedWord>。</modifiedWord>
      <trackRevisions>false</trackRevisions>
    </reviewItem>
    <reviewItem>
      <errorID>9f0b768d-8948-4201-b7c6-00c48b0949f1</errorID>
      <errorWord>反应</errorWord>
      <group>L1_Word</group>
      <groupName>字词问题</groupName>
      <ability>L2_Typo</ability>
      <abilityName>字词错误</abilityName>
      <candidateList>
        <item>反映</item>
      </candidateList>
      <explain/>
      <paraID>502FDE94</paraID>
      <start>244</start>
      <end>246</end>
      <status>modified</status>
      <modifiedWord>反映</modifiedWord>
      <trackRevisions>false</trackRevisions>
    </reviewItem>
    <reviewItem>
      <errorID>e63ffbde-79ac-49f1-baf6-aed3cf76c642</errorID>
      <errorWord>期间</errorWord>
      <group>L1_Word</group>
      <groupName>字词问题</groupName>
      <ability>L2_Typo</ability>
      <abilityName>字词错误</abilityName>
      <candidateList>
        <item>其间</item>
      </candidateList>
      <explain/>
      <paraID>6E91DBBC</paraID>
      <start>69</start>
      <end>71</end>
      <status>modified</status>
      <modifiedWord>其间</modifiedWord>
      <trackRevisions>false</trackRevisions>
    </reviewItem>
    <reviewItem>
      <errorID>a19febac-3305-4f79-9f32-ebd7c895246a</errorID>
      <errorWord>升</errorWord>
      <group>L1_Word</group>
      <groupName>字词问题</groupName>
      <ability>L2_Typo</ability>
      <abilityName>字词错误</abilityName>
      <candidateList>
        <item>升责</item>
      </candidateList>
      <explain/>
      <paraID>47704B1F</paraID>
      <start>39</start>
      <end>41</end>
      <status>modified</status>
      <modifiedWord>升责</modifiedWord>
      <trackRevisions>false</trackRevisions>
    </reviewItem>
    <reviewItem>
      <errorID>776f3221-8b2d-400b-b86b-bc1bc3af54bb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16137E5C</paraID>
      <start>116</start>
      <end>122</end>
      <status>modified</status>
      <modifiedWord>县委、县政府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a6dde4-efd7-4e9d-b221-c8bc280c877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7850</Words>
  <Characters>8612</Characters>
  <Lines>8</Lines>
  <Paragraphs>17</Paragraphs>
  <TotalTime>143</TotalTime>
  <ScaleCrop>false</ScaleCrop>
  <LinksUpToDate>false</LinksUpToDate>
  <CharactersWithSpaces>8639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2026-10-12T08:25:00Z</dcterms:created>
  <dc:creator>曹颖</dc:creator>
  <cp:lastModifiedBy>奕夕^_^</cp:lastModifiedBy>
  <cp:lastPrinted>2026-10-13T03:01:00Z</cp:lastPrinted>
  <dcterms:modified xsi:type="dcterms:W3CDTF">2026-10-15T02:01:58Z</dcterms:modified>
  <dc:title>四川省***</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