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3BFA36">
      <w:pPr>
        <w:pStyle w:val="9"/>
        <w:tabs>
          <w:tab w:val="left" w:pos="1291"/>
        </w:tabs>
        <w:rPr>
          <w:rFonts w:hint="default" w:ascii="Times New Roman" w:hAnsi="Times New Roman" w:eastAsia="方正小标宋简体" w:cs="Times New Roman"/>
          <w:color w:val="auto"/>
          <w:kern w:val="2"/>
          <w:sz w:val="72"/>
          <w:szCs w:val="72"/>
          <w:highlight w:val="none"/>
          <w:lang w:val="en-US" w:eastAsia="zh-CN" w:bidi="ar-SA"/>
        </w:rPr>
      </w:pPr>
      <w:bookmarkStart w:id="0" w:name="_Toc15377193"/>
      <w:bookmarkStart w:id="1" w:name="_Toc15378441"/>
      <w:bookmarkStart w:id="2" w:name="_Toc15396475"/>
      <w:bookmarkStart w:id="3" w:name="_Toc15377425"/>
      <w:bookmarkStart w:id="4" w:name="_Toc15396597"/>
      <w:bookmarkStart w:id="5" w:name="_Toc15306267"/>
      <w:r>
        <w:rPr>
          <w:rFonts w:hint="default" w:ascii="Times New Roman" w:hAnsi="Times New Roman" w:eastAsia="方正小标宋简体" w:cs="Times New Roman"/>
          <w:color w:val="auto"/>
          <w:kern w:val="2"/>
          <w:sz w:val="72"/>
          <w:szCs w:val="72"/>
          <w:highlight w:val="none"/>
          <w:lang w:val="en-US" w:eastAsia="zh-CN" w:bidi="ar-SA"/>
        </w:rPr>
        <w:tab/>
      </w:r>
    </w:p>
    <w:p w14:paraId="00D03E65">
      <w:pPr>
        <w:pStyle w:val="9"/>
        <w:rPr>
          <w:rFonts w:hint="default" w:ascii="Times New Roman" w:hAnsi="Times New Roman" w:eastAsia="方正小标宋简体" w:cs="Times New Roman"/>
          <w:color w:val="auto"/>
          <w:kern w:val="2"/>
          <w:sz w:val="72"/>
          <w:szCs w:val="72"/>
          <w:highlight w:val="none"/>
          <w:lang w:val="en-US" w:eastAsia="zh-CN" w:bidi="ar-SA"/>
        </w:rPr>
      </w:pPr>
    </w:p>
    <w:p w14:paraId="3CF65D86">
      <w:pPr>
        <w:pStyle w:val="9"/>
        <w:keepNext w:val="0"/>
        <w:keepLines w:val="0"/>
        <w:pageBreakBefore w:val="0"/>
        <w:widowControl w:val="0"/>
        <w:kinsoku/>
        <w:wordWrap/>
        <w:overflowPunct/>
        <w:topLinePunct w:val="0"/>
        <w:autoSpaceDE/>
        <w:autoSpaceDN/>
        <w:bidi w:val="0"/>
        <w:adjustRightInd/>
        <w:snapToGrid/>
        <w:spacing w:beforeLines="0" w:line="578" w:lineRule="exact"/>
        <w:textAlignment w:val="auto"/>
        <w:rPr>
          <w:rFonts w:hint="default" w:ascii="Times New Roman" w:hAnsi="Times New Roman" w:eastAsia="方正小标宋简体" w:cs="Times New Roman"/>
          <w:color w:val="auto"/>
          <w:kern w:val="2"/>
          <w:sz w:val="72"/>
          <w:szCs w:val="72"/>
          <w:highlight w:val="none"/>
          <w:lang w:val="en-US" w:eastAsia="zh-CN" w:bidi="ar-SA"/>
        </w:rPr>
      </w:pPr>
    </w:p>
    <w:p w14:paraId="4DAEC6C8">
      <w:pPr>
        <w:pStyle w:val="9"/>
        <w:keepNext w:val="0"/>
        <w:keepLines w:val="0"/>
        <w:pageBreakBefore w:val="0"/>
        <w:widowControl w:val="0"/>
        <w:kinsoku/>
        <w:wordWrap/>
        <w:overflowPunct/>
        <w:topLinePunct w:val="0"/>
        <w:autoSpaceDE/>
        <w:autoSpaceDN/>
        <w:bidi w:val="0"/>
        <w:adjustRightInd/>
        <w:snapToGrid/>
        <w:spacing w:beforeLines="0"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2025年度</w:t>
      </w:r>
    </w:p>
    <w:p w14:paraId="018F9123">
      <w:pPr>
        <w:pStyle w:val="9"/>
        <w:keepNext w:val="0"/>
        <w:keepLines w:val="0"/>
        <w:pageBreakBefore w:val="0"/>
        <w:widowControl w:val="0"/>
        <w:kinsoku/>
        <w:wordWrap/>
        <w:overflowPunct/>
        <w:topLinePunct w:val="0"/>
        <w:autoSpaceDE/>
        <w:autoSpaceDN/>
        <w:bidi w:val="0"/>
        <w:adjustRightInd/>
        <w:snapToGrid/>
        <w:spacing w:beforeLines="0"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四川省松潘县文化广播电视体育和旅游局</w:t>
      </w:r>
    </w:p>
    <w:p w14:paraId="575B939C">
      <w:pPr>
        <w:pStyle w:val="9"/>
        <w:keepNext w:val="0"/>
        <w:keepLines w:val="0"/>
        <w:pageBreakBefore w:val="0"/>
        <w:widowControl w:val="0"/>
        <w:kinsoku/>
        <w:wordWrap/>
        <w:overflowPunct/>
        <w:topLinePunct w:val="0"/>
        <w:autoSpaceDE/>
        <w:autoSpaceDN/>
        <w:bidi w:val="0"/>
        <w:adjustRightInd/>
        <w:snapToGrid/>
        <w:spacing w:beforeLines="0" w:line="578"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决算公开</w:t>
      </w:r>
    </w:p>
    <w:p w14:paraId="086A59A3">
      <w:pPr>
        <w:spacing w:line="600" w:lineRule="exact"/>
        <w:jc w:val="center"/>
        <w:outlineLvl w:val="0"/>
        <w:rPr>
          <w:rFonts w:hint="default" w:ascii="Times New Roman" w:hAnsi="Times New Roman" w:eastAsia="方正小标宋简体" w:cs="Times New Roman"/>
          <w:color w:val="auto"/>
          <w:sz w:val="72"/>
          <w:szCs w:val="72"/>
          <w:highlight w:val="none"/>
        </w:rPr>
      </w:pPr>
    </w:p>
    <w:p w14:paraId="76BBF9CE">
      <w:pPr>
        <w:pStyle w:val="24"/>
        <w:rPr>
          <w:rFonts w:hint="default" w:ascii="Times New Roman" w:hAnsi="Times New Roman" w:cs="Times New Roman"/>
        </w:rPr>
        <w:sectPr>
          <w:footerReference r:id="rId5" w:type="first"/>
          <w:headerReference r:id="rId3" w:type="default"/>
          <w:footerReference r:id="rId4" w:type="default"/>
          <w:pgSz w:w="11906" w:h="16838"/>
          <w:pgMar w:top="2098" w:right="1474" w:bottom="1984" w:left="1587" w:header="851" w:footer="992" w:gutter="0"/>
          <w:pgNumType w:fmt="decimal" w:start="1"/>
          <w:cols w:space="425" w:num="1"/>
          <w:docGrid w:type="lines" w:linePitch="312" w:charSpace="0"/>
        </w:sectPr>
      </w:pPr>
    </w:p>
    <w:p w14:paraId="2389CDA1">
      <w:pPr>
        <w:rPr>
          <w:rFonts w:hint="default" w:ascii="Times New Roman" w:hAnsi="Times New Roman" w:cs="Times New Roman"/>
        </w:rPr>
      </w:pPr>
    </w:p>
    <w:bookmarkEnd w:id="0"/>
    <w:bookmarkEnd w:id="1"/>
    <w:bookmarkEnd w:id="2"/>
    <w:bookmarkEnd w:id="3"/>
    <w:bookmarkEnd w:id="4"/>
    <w:p w14:paraId="17816E6A">
      <w:pPr>
        <w:pStyle w:val="9"/>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bookmarkStart w:id="6" w:name="_Toc15377194"/>
      <w:bookmarkStart w:id="7" w:name="_Toc15396476"/>
      <w:bookmarkStart w:id="8" w:name="_Toc15378442"/>
      <w:bookmarkStart w:id="9" w:name="_Toc15377426"/>
      <w:bookmarkStart w:id="10" w:name="_Toc15396598"/>
      <w:r>
        <w:rPr>
          <w:rFonts w:hint="default" w:ascii="Times New Roman" w:hAnsi="Times New Roman" w:eastAsia="方正小标宋简体" w:cs="Times New Roman"/>
          <w:color w:val="auto"/>
          <w:kern w:val="2"/>
          <w:sz w:val="44"/>
          <w:szCs w:val="44"/>
          <w:highlight w:val="none"/>
          <w:lang w:val="en-US" w:eastAsia="zh-CN" w:bidi="ar-SA"/>
        </w:rPr>
        <w:t>2025年度</w:t>
      </w:r>
      <w:bookmarkEnd w:id="5"/>
      <w:bookmarkStart w:id="11" w:name="_Toc15306268"/>
      <w:r>
        <w:rPr>
          <w:rFonts w:hint="default" w:ascii="Times New Roman" w:hAnsi="Times New Roman" w:eastAsia="方正小标宋简体" w:cs="Times New Roman"/>
          <w:color w:val="auto"/>
          <w:kern w:val="2"/>
          <w:sz w:val="44"/>
          <w:szCs w:val="44"/>
          <w:highlight w:val="none"/>
          <w:lang w:val="en-US" w:eastAsia="zh-CN" w:bidi="ar-SA"/>
        </w:rPr>
        <w:t>四川省松潘县文化广播电视体育</w:t>
      </w:r>
    </w:p>
    <w:p w14:paraId="550F67FE">
      <w:pPr>
        <w:pStyle w:val="9"/>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和旅游局部门决算</w:t>
      </w:r>
      <w:bookmarkEnd w:id="6"/>
      <w:bookmarkEnd w:id="7"/>
      <w:bookmarkEnd w:id="8"/>
      <w:bookmarkEnd w:id="9"/>
      <w:bookmarkEnd w:id="10"/>
      <w:bookmarkEnd w:id="11"/>
    </w:p>
    <w:p w14:paraId="30882AAD">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仿宋_GB2312" w:cs="Times New Roman"/>
          <w:color w:val="auto"/>
          <w:sz w:val="32"/>
          <w:szCs w:val="32"/>
          <w:highlight w:val="none"/>
          <w:lang w:val="en-US" w:eastAsia="zh-CN"/>
        </w:rPr>
      </w:pPr>
    </w:p>
    <w:p w14:paraId="1442CFE0">
      <w:pPr>
        <w:pStyle w:val="16"/>
        <w:keepNext w:val="0"/>
        <w:keepLines w:val="0"/>
        <w:pageBreakBefore w:val="0"/>
        <w:widowControl w:val="0"/>
        <w:kinsoku/>
        <w:wordWrap/>
        <w:overflowPunct/>
        <w:topLinePunct w:val="0"/>
        <w:autoSpaceDE/>
        <w:autoSpaceDN/>
        <w:bidi w:val="0"/>
        <w:adjustRightInd w:val="0"/>
        <w:snapToGrid w:val="0"/>
        <w:spacing w:line="576" w:lineRule="exact"/>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（注：以下为部门公开范本。单位公开内容应参照部门公开内容和报表格式，并与部门公开内容做好衔接）</w:t>
      </w:r>
    </w:p>
    <w:p w14:paraId="4A3413F3">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jc w:val="center"/>
        <w:textAlignment w:val="auto"/>
        <w:rPr>
          <w:rFonts w:hint="default" w:ascii="Times New Roman" w:hAnsi="Times New Roman" w:eastAsia="黑体" w:cs="Times New Roman"/>
          <w:color w:val="auto"/>
          <w:sz w:val="48"/>
          <w:szCs w:val="48"/>
          <w:highlight w:val="none"/>
        </w:rPr>
      </w:pPr>
      <w:r>
        <w:rPr>
          <w:rFonts w:hint="default" w:ascii="Times New Roman" w:hAnsi="Times New Roman" w:eastAsia="方正小标宋简体" w:cs="Times New Roman"/>
          <w:color w:val="auto"/>
          <w:sz w:val="36"/>
          <w:szCs w:val="36"/>
          <w:highlight w:val="none"/>
        </w:rPr>
        <w:br w:type="page"/>
      </w:r>
      <w:r>
        <w:rPr>
          <w:rFonts w:hint="default" w:ascii="Times New Roman" w:hAnsi="Times New Roman" w:eastAsia="黑体" w:cs="Times New Roman"/>
          <w:color w:val="auto"/>
          <w:sz w:val="48"/>
          <w:szCs w:val="48"/>
          <w:highlight w:val="none"/>
        </w:rPr>
        <w:t>目</w:t>
      </w:r>
      <w:r>
        <w:rPr>
          <w:rFonts w:hint="default" w:ascii="Times New Roman" w:hAnsi="Times New Roman" w:eastAsia="黑体" w:cs="Times New Roman"/>
          <w:color w:val="auto"/>
          <w:sz w:val="48"/>
          <w:szCs w:val="48"/>
          <w:highlight w:val="none"/>
          <w:lang w:val="en-US" w:eastAsia="zh-CN"/>
        </w:rPr>
        <w:t xml:space="preserve"> </w:t>
      </w:r>
      <w:r>
        <w:rPr>
          <w:rFonts w:hint="default" w:ascii="Times New Roman" w:hAnsi="Times New Roman" w:eastAsia="黑体" w:cs="Times New Roman"/>
          <w:color w:val="auto"/>
          <w:sz w:val="48"/>
          <w:szCs w:val="48"/>
          <w:highlight w:val="none"/>
        </w:rPr>
        <w:t>录</w:t>
      </w:r>
    </w:p>
    <w:p w14:paraId="1B307429">
      <w:pPr>
        <w:keepNext w:val="0"/>
        <w:keepLines w:val="0"/>
        <w:pageBreakBefore w:val="0"/>
        <w:widowControl/>
        <w:kinsoku/>
        <w:wordWrap/>
        <w:overflowPunct/>
        <w:topLinePunct w:val="0"/>
        <w:autoSpaceDE/>
        <w:autoSpaceDN/>
        <w:bidi w:val="0"/>
        <w:adjustRightInd/>
        <w:snapToGrid/>
        <w:spacing w:line="576" w:lineRule="exact"/>
        <w:jc w:val="center"/>
        <w:textAlignment w:val="auto"/>
        <w:rPr>
          <w:rFonts w:hint="default" w:ascii="Times New Roman" w:hAnsi="Times New Roman" w:eastAsia="黑体" w:cs="Times New Roman"/>
          <w:color w:val="auto"/>
          <w:sz w:val="28"/>
          <w:szCs w:val="28"/>
          <w:highlight w:val="none"/>
        </w:rPr>
      </w:pPr>
    </w:p>
    <w:p w14:paraId="4562C8E1">
      <w:pPr>
        <w:pStyle w:val="15"/>
        <w:keepNext w:val="0"/>
        <w:keepLines w:val="0"/>
        <w:pageBreakBefore w:val="0"/>
        <w:kinsoku/>
        <w:wordWrap/>
        <w:overflowPunct/>
        <w:topLinePunct w:val="0"/>
        <w:autoSpaceDE/>
        <w:autoSpaceDN/>
        <w:bidi w:val="0"/>
        <w:adjustRightInd/>
        <w:snapToGrid/>
        <w:spacing w:line="576" w:lineRule="exact"/>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sz w:val="32"/>
          <w:szCs w:val="32"/>
          <w:highlight w:val="none"/>
        </w:rPr>
        <w:t>公开时间：20</w:t>
      </w:r>
      <w:r>
        <w:rPr>
          <w:rFonts w:hint="default" w:ascii="Times New Roman" w:hAnsi="Times New Roman" w:eastAsia="仿宋_GB2312" w:cs="Times New Roman"/>
          <w:color w:val="auto"/>
          <w:sz w:val="32"/>
          <w:szCs w:val="32"/>
          <w:highlight w:val="none"/>
          <w:lang w:val="en-US" w:eastAsia="zh-CN"/>
        </w:rPr>
        <w:t>26</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Times New Roman"/>
          <w:color w:val="auto"/>
          <w:sz w:val="32"/>
          <w:szCs w:val="32"/>
          <w:highlight w:val="none"/>
          <w:lang w:val="en-US" w:eastAsia="zh-CN"/>
        </w:rPr>
        <w:t>10</w:t>
      </w:r>
      <w:r>
        <w:rPr>
          <w:rFonts w:hint="default" w:ascii="Times New Roman" w:hAnsi="Times New Roman" w:eastAsia="仿宋_GB2312" w:cs="Times New Roman"/>
          <w:color w:val="auto"/>
          <w:sz w:val="32"/>
          <w:szCs w:val="32"/>
          <w:highlight w:val="none"/>
        </w:rPr>
        <w:t>月</w:t>
      </w:r>
      <w:r>
        <w:rPr>
          <w:rFonts w:hint="eastAsia" w:ascii="Times New Roman" w:hAnsi="Times New Roman" w:eastAsia="仿宋_GB2312" w:cs="Times New Roman"/>
          <w:color w:val="auto"/>
          <w:sz w:val="32"/>
          <w:szCs w:val="32"/>
          <w:highlight w:val="none"/>
          <w:lang w:val="en-US" w:eastAsia="zh-CN"/>
        </w:rPr>
        <w:t>15</w:t>
      </w:r>
      <w:r>
        <w:rPr>
          <w:rFonts w:hint="default" w:ascii="Times New Roman" w:hAnsi="Times New Roman" w:eastAsia="仿宋_GB2312" w:cs="Times New Roman"/>
          <w:color w:val="auto"/>
          <w:sz w:val="32"/>
          <w:szCs w:val="32"/>
          <w:highlight w:val="none"/>
        </w:rPr>
        <w:t>日</w:t>
      </w:r>
    </w:p>
    <w:sdt>
      <w:sdtPr>
        <w:rPr>
          <w:rFonts w:hint="default" w:ascii="Times New Roman" w:hAnsi="Times New Roman" w:eastAsia="宋体" w:cs="Times New Roman"/>
          <w:kern w:val="2"/>
          <w:sz w:val="21"/>
          <w:szCs w:val="24"/>
          <w:lang w:val="en-US" w:eastAsia="zh-CN" w:bidi="ar-SA"/>
        </w:rPr>
        <w:id w:val="147470005"/>
        <w15:color w:val="DBDBDB"/>
        <w:docPartObj>
          <w:docPartGallery w:val="Table of Contents"/>
          <w:docPartUnique/>
        </w:docPartObj>
      </w:sdtPr>
      <w:sdtEndPr>
        <w:rPr>
          <w:rFonts w:hint="default" w:ascii="Times New Roman" w:hAnsi="Times New Roman" w:eastAsia="仿宋" w:cs="Times New Roman"/>
          <w:kern w:val="2"/>
          <w:sz w:val="24"/>
          <w:szCs w:val="24"/>
          <w:lang w:val="en-US" w:eastAsia="zh-CN" w:bidi="ar-SA"/>
        </w:rPr>
      </w:sdtEndPr>
      <w:sdtContent>
        <w:p w14:paraId="1614AE0E">
          <w:pPr>
            <w:keepNext w:val="0"/>
            <w:keepLines w:val="0"/>
            <w:pageBreakBefore w:val="0"/>
            <w:kinsoku/>
            <w:wordWrap/>
            <w:overflowPunct/>
            <w:topLinePunct w:val="0"/>
            <w:autoSpaceDE/>
            <w:autoSpaceDN/>
            <w:bidi w:val="0"/>
            <w:adjustRightInd/>
            <w:snapToGrid/>
            <w:spacing w:before="0" w:beforeLines="0" w:after="0" w:afterLines="0" w:line="576" w:lineRule="exact"/>
            <w:ind w:left="0" w:leftChars="0" w:right="0" w:rightChars="0" w:firstLine="0" w:firstLineChars="0"/>
            <w:jc w:val="center"/>
            <w:textAlignment w:val="auto"/>
            <w:rPr>
              <w:rFonts w:hint="default" w:ascii="Times New Roman" w:hAnsi="Times New Roman" w:cs="Times New Roman"/>
            </w:rPr>
          </w:pPr>
          <w:bookmarkStart w:id="12" w:name="_Toc16038_WPSOffice_Type2"/>
        </w:p>
        <w:p w14:paraId="761E9B57">
          <w:pPr>
            <w:pStyle w:val="39"/>
            <w:keepNext w:val="0"/>
            <w:keepLines w:val="0"/>
            <w:pageBreakBefore w:val="0"/>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fldChar w:fldCharType="begin"/>
          </w:r>
          <w:r>
            <w:rPr>
              <w:rFonts w:hint="default" w:ascii="Times New Roman" w:hAnsi="Times New Roman" w:eastAsia="仿宋" w:cs="Times New Roman"/>
              <w:sz w:val="24"/>
              <w:szCs w:val="24"/>
            </w:rPr>
            <w:instrText xml:space="preserve"> HYPERLINK \l _Toc2003_WPSOffice_Level1 </w:instrText>
          </w:r>
          <w:r>
            <w:rPr>
              <w:rFonts w:hint="default" w:ascii="Times New Roman" w:hAnsi="Times New Roman" w:eastAsia="仿宋" w:cs="Times New Roman"/>
              <w:b/>
              <w:bCs/>
              <w:sz w:val="24"/>
              <w:szCs w:val="24"/>
            </w:rPr>
            <w:fldChar w:fldCharType="separate"/>
          </w:r>
          <w:sdt>
            <w:sdtPr>
              <w:rPr>
                <w:rFonts w:hint="default" w:ascii="Times New Roman" w:hAnsi="Times New Roman" w:eastAsia="楷体_GB2312" w:cs="Times New Roman"/>
                <w:b/>
                <w:bCs/>
                <w:kern w:val="2"/>
                <w:sz w:val="32"/>
                <w:szCs w:val="32"/>
                <w:lang w:val="en-US" w:eastAsia="zh-CN" w:bidi="ar-SA"/>
              </w:rPr>
              <w:id w:val="147471326"/>
              <w:placeholder>
                <w:docPart w:val="{fa175b18-8a16-46af-a1c6-2c98312113ae}"/>
              </w:placeholder>
              <w15:color w:val="509DF3"/>
            </w:sdtPr>
            <w:sdtEndPr>
              <w:rPr>
                <w:rFonts w:hint="default" w:ascii="Times New Roman" w:hAnsi="Times New Roman" w:eastAsia="楷体_GB2312" w:cs="Times New Roman"/>
                <w:b/>
                <w:bCs/>
                <w:kern w:val="2"/>
                <w:sz w:val="32"/>
                <w:szCs w:val="32"/>
                <w:lang w:val="en-US" w:eastAsia="zh-CN" w:bidi="ar-SA"/>
              </w:rPr>
            </w:sdtEndPr>
            <w:sdtContent>
              <w:r>
                <w:rPr>
                  <w:rFonts w:hint="default" w:ascii="Times New Roman" w:hAnsi="Times New Roman" w:eastAsia="楷体_GB2312" w:cs="Times New Roman"/>
                  <w:b/>
                  <w:bCs/>
                  <w:sz w:val="32"/>
                  <w:szCs w:val="32"/>
                </w:rPr>
                <w:t>第一部分  部门概况</w:t>
              </w:r>
            </w:sdtContent>
          </w:sdt>
          <w:r>
            <w:rPr>
              <w:rFonts w:hint="default" w:ascii="Times New Roman" w:hAnsi="Times New Roman" w:eastAsia="仿宋" w:cs="Times New Roman"/>
              <w:b/>
              <w:bCs/>
              <w:sz w:val="24"/>
              <w:szCs w:val="24"/>
            </w:rPr>
            <w:tab/>
          </w:r>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 w:cs="Times New Roman"/>
              <w:b/>
              <w:bCs/>
              <w:sz w:val="24"/>
              <w:szCs w:val="24"/>
            </w:rPr>
            <w:fldChar w:fldCharType="end"/>
          </w:r>
        </w:p>
        <w:p w14:paraId="539C313E">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_Toc16038_WPSOffice_Level2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kern w:val="2"/>
                <w:sz w:val="24"/>
                <w:szCs w:val="24"/>
                <w:lang w:val="en-US" w:eastAsia="zh-CN" w:bidi="ar-SA"/>
              </w:rPr>
              <w:id w:val="147476742"/>
              <w:placeholder>
                <w:docPart w:val="{d8b7ec76-2c3e-43a0-87cb-a616e1010734}"/>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一、部门职责</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 w:cs="Times New Roman"/>
              <w:b w:val="0"/>
              <w:bCs w:val="0"/>
              <w:sz w:val="24"/>
              <w:szCs w:val="24"/>
              <w:lang w:val="en-US" w:eastAsia="zh-CN"/>
            </w:rPr>
            <w:t>5</w:t>
          </w:r>
          <w:r>
            <w:rPr>
              <w:rFonts w:hint="default" w:ascii="Times New Roman" w:hAnsi="Times New Roman" w:eastAsia="仿宋_GB2312" w:cs="Times New Roman"/>
              <w:b w:val="0"/>
              <w:bCs w:val="0"/>
              <w:sz w:val="24"/>
              <w:szCs w:val="24"/>
            </w:rPr>
            <w:fldChar w:fldCharType="end"/>
          </w:r>
        </w:p>
        <w:p w14:paraId="3EA352B2">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_Toc3558_WPSOffice_Level2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kern w:val="2"/>
                <w:sz w:val="24"/>
                <w:szCs w:val="24"/>
                <w:lang w:val="en-US" w:eastAsia="zh-CN" w:bidi="ar-SA"/>
              </w:rPr>
              <w:id w:val="147469330"/>
              <w:placeholder>
                <w:docPart w:val="{d95acfe8-bef1-4187-9c0f-69ae7a9bfe63}"/>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二、机构设置</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 w:cs="Times New Roman"/>
              <w:b w:val="0"/>
              <w:bCs w:val="0"/>
              <w:sz w:val="24"/>
              <w:szCs w:val="24"/>
              <w:lang w:val="en-US" w:eastAsia="zh-CN"/>
            </w:rPr>
            <w:t>8</w:t>
          </w:r>
          <w:r>
            <w:rPr>
              <w:rFonts w:hint="default" w:ascii="Times New Roman" w:hAnsi="Times New Roman" w:eastAsia="仿宋_GB2312" w:cs="Times New Roman"/>
              <w:b w:val="0"/>
              <w:bCs w:val="0"/>
              <w:sz w:val="24"/>
              <w:szCs w:val="24"/>
            </w:rPr>
            <w:fldChar w:fldCharType="end"/>
          </w:r>
        </w:p>
        <w:p w14:paraId="62CD91C0">
          <w:pPr>
            <w:pStyle w:val="39"/>
            <w:keepNext w:val="0"/>
            <w:keepLines w:val="0"/>
            <w:pageBreakBefore w:val="0"/>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bCs/>
              <w:sz w:val="24"/>
              <w:szCs w:val="24"/>
            </w:rPr>
          </w:pPr>
          <w:r>
            <w:rPr>
              <w:rFonts w:hint="default" w:ascii="Times New Roman" w:hAnsi="Times New Roman" w:eastAsia="仿宋" w:cs="Times New Roman"/>
              <w:b/>
              <w:bCs/>
              <w:sz w:val="24"/>
              <w:szCs w:val="24"/>
            </w:rPr>
            <w:fldChar w:fldCharType="begin"/>
          </w:r>
          <w:r>
            <w:rPr>
              <w:rFonts w:hint="default" w:ascii="Times New Roman" w:hAnsi="Times New Roman" w:eastAsia="仿宋" w:cs="Times New Roman"/>
              <w:sz w:val="24"/>
              <w:szCs w:val="24"/>
            </w:rPr>
            <w:instrText xml:space="preserve"> HYPERLINK \l _Toc16038_WPSOffice_Level1 </w:instrText>
          </w:r>
          <w:r>
            <w:rPr>
              <w:rFonts w:hint="default" w:ascii="Times New Roman" w:hAnsi="Times New Roman" w:eastAsia="仿宋" w:cs="Times New Roman"/>
              <w:b/>
              <w:bCs/>
              <w:sz w:val="24"/>
              <w:szCs w:val="24"/>
            </w:rPr>
            <w:fldChar w:fldCharType="separate"/>
          </w:r>
          <w:sdt>
            <w:sdtPr>
              <w:rPr>
                <w:rFonts w:hint="default" w:ascii="Times New Roman" w:hAnsi="Times New Roman" w:eastAsia="楷体_GB2312" w:cs="Times New Roman"/>
                <w:b/>
                <w:bCs/>
                <w:sz w:val="32"/>
                <w:szCs w:val="32"/>
                <w:lang w:val="en-US" w:eastAsia="zh-CN"/>
              </w:rPr>
              <w:id w:val="147482233"/>
              <w:placeholder>
                <w:docPart w:val="{d825c0a2-033a-4586-baf9-567e62691e25}"/>
              </w:placeholder>
              <w15:color w:val="509DF3"/>
            </w:sdtPr>
            <w:sdtEndPr>
              <w:rPr>
                <w:rFonts w:hint="default" w:ascii="Times New Roman" w:hAnsi="Times New Roman" w:eastAsia="楷体_GB2312" w:cs="Times New Roman"/>
                <w:b/>
                <w:bCs/>
                <w:kern w:val="2"/>
                <w:sz w:val="32"/>
                <w:szCs w:val="32"/>
                <w:lang w:val="en-US" w:eastAsia="zh-CN" w:bidi="ar-SA"/>
              </w:rPr>
            </w:sdtEndPr>
            <w:sdtContent>
              <w:r>
                <w:rPr>
                  <w:rFonts w:hint="default" w:ascii="Times New Roman" w:hAnsi="Times New Roman" w:eastAsia="楷体_GB2312" w:cs="Times New Roman"/>
                  <w:b/>
                  <w:bCs/>
                  <w:sz w:val="32"/>
                  <w:szCs w:val="32"/>
                  <w:lang w:val="en-US" w:eastAsia="zh-CN"/>
                </w:rPr>
                <w:t>第二部分  202</w:t>
              </w:r>
              <w:r>
                <w:rPr>
                  <w:rFonts w:hint="eastAsia" w:ascii="Times New Roman" w:hAnsi="Times New Roman" w:eastAsia="楷体_GB2312" w:cs="Times New Roman"/>
                  <w:b/>
                  <w:bCs/>
                  <w:sz w:val="32"/>
                  <w:szCs w:val="32"/>
                  <w:lang w:val="en-US" w:eastAsia="zh-CN"/>
                </w:rPr>
                <w:t>5</w:t>
              </w:r>
              <w:r>
                <w:rPr>
                  <w:rFonts w:hint="default" w:ascii="Times New Roman" w:hAnsi="Times New Roman" w:eastAsia="楷体_GB2312" w:cs="Times New Roman"/>
                  <w:b/>
                  <w:bCs/>
                  <w:sz w:val="32"/>
                  <w:szCs w:val="32"/>
                  <w:lang w:val="en-US" w:eastAsia="zh-CN"/>
                </w:rPr>
                <w:t>年度部门决算情况说明</w:t>
              </w:r>
            </w:sdtContent>
          </w:sdt>
          <w:r>
            <w:rPr>
              <w:rFonts w:hint="default" w:ascii="Times New Roman" w:hAnsi="Times New Roman" w:eastAsia="仿宋" w:cs="Times New Roman"/>
              <w:b/>
              <w:bCs/>
              <w:sz w:val="24"/>
              <w:szCs w:val="24"/>
            </w:rPr>
            <w:tab/>
          </w:r>
          <w:r>
            <w:rPr>
              <w:rFonts w:hint="default" w:ascii="Times New Roman" w:hAnsi="Times New Roman" w:eastAsia="仿宋" w:cs="Times New Roman"/>
              <w:b w:val="0"/>
              <w:bCs w:val="0"/>
              <w:sz w:val="28"/>
              <w:szCs w:val="28"/>
              <w:lang w:val="en-US" w:eastAsia="zh-CN"/>
            </w:rPr>
            <w:t>9</w:t>
          </w:r>
          <w:r>
            <w:rPr>
              <w:rFonts w:hint="default" w:ascii="Times New Roman" w:hAnsi="Times New Roman" w:eastAsia="仿宋" w:cs="Times New Roman"/>
              <w:b/>
              <w:bCs/>
              <w:sz w:val="24"/>
              <w:szCs w:val="24"/>
            </w:rPr>
            <w:fldChar w:fldCharType="end"/>
          </w:r>
        </w:p>
        <w:p w14:paraId="287219EA">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_Toc31271_WPSOffice_Level2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9745"/>
              <w:placeholder>
                <w:docPart w:val="{f21ccc64-124b-4e07-8453-036f3bd97b14}"/>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一、收入支出决算总体情况说明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9</w:t>
          </w:r>
          <w:r>
            <w:rPr>
              <w:rFonts w:hint="default" w:ascii="Times New Roman" w:hAnsi="Times New Roman" w:eastAsia="仿宋_GB2312" w:cs="Times New Roman"/>
              <w:b w:val="0"/>
              <w:bCs w:val="0"/>
              <w:sz w:val="24"/>
              <w:szCs w:val="24"/>
            </w:rPr>
            <w:fldChar w:fldCharType="end"/>
          </w:r>
        </w:p>
        <w:p w14:paraId="3E8ABBCE">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_Toc2067_WPSOffice_Level2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3021"/>
              <w:placeholder>
                <w:docPart w:val="{1f7de9da-d01b-4367-8844-387540cebde6}"/>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二、收入决算情况说明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9</w:t>
          </w:r>
          <w:r>
            <w:rPr>
              <w:rFonts w:hint="default" w:ascii="Times New Roman" w:hAnsi="Times New Roman" w:eastAsia="仿宋_GB2312" w:cs="Times New Roman"/>
              <w:b w:val="0"/>
              <w:bCs w:val="0"/>
              <w:sz w:val="24"/>
              <w:szCs w:val="24"/>
            </w:rPr>
            <w:fldChar w:fldCharType="end"/>
          </w:r>
        </w:p>
        <w:p w14:paraId="3D2CE247">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_Toc1076_WPSOffice_Level2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7007"/>
              <w:placeholder>
                <w:docPart w:val="{17b75c0a-dc6c-43b3-af16-d75bf3c8d6fb}"/>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三、支出决算情况说明</w:t>
              </w:r>
            </w:sdtContent>
          </w:sdt>
          <w:r>
            <w:rPr>
              <w:rFonts w:hint="default" w:ascii="Times New Roman" w:hAnsi="Times New Roman" w:eastAsia="仿宋_GB2312" w:cs="Times New Roman"/>
              <w:b w:val="0"/>
              <w:bCs w:val="0"/>
              <w:sz w:val="24"/>
              <w:szCs w:val="24"/>
            </w:rPr>
            <w:tab/>
          </w:r>
          <w:bookmarkStart w:id="13" w:name="_Toc1076_WPSOffice_Level2Page"/>
          <w:r>
            <w:rPr>
              <w:rFonts w:hint="default" w:ascii="Times New Roman" w:hAnsi="Times New Roman" w:eastAsia="仿宋_GB2312" w:cs="Times New Roman"/>
              <w:b w:val="0"/>
              <w:bCs w:val="0"/>
              <w:sz w:val="24"/>
              <w:szCs w:val="24"/>
            </w:rPr>
            <w:t>9</w:t>
          </w:r>
          <w:bookmarkEnd w:id="13"/>
          <w:r>
            <w:rPr>
              <w:rFonts w:hint="default" w:ascii="Times New Roman" w:hAnsi="Times New Roman" w:eastAsia="仿宋_GB2312" w:cs="Times New Roman"/>
              <w:b w:val="0"/>
              <w:bCs w:val="0"/>
              <w:sz w:val="24"/>
              <w:szCs w:val="24"/>
            </w:rPr>
            <w:fldChar w:fldCharType="end"/>
          </w:r>
        </w:p>
        <w:p w14:paraId="10BE6B34">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_Toc1110_WPSOffice_Level2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5174"/>
              <w:placeholder>
                <w:docPart w:val="{f31bf854-843e-4c14-a2a6-e224f9de4766}"/>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四、财政拨款收入支出决算总体情况说明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9</w:t>
          </w:r>
          <w:r>
            <w:rPr>
              <w:rFonts w:hint="default" w:ascii="Times New Roman" w:hAnsi="Times New Roman" w:eastAsia="仿宋_GB2312" w:cs="Times New Roman"/>
              <w:b w:val="0"/>
              <w:bCs w:val="0"/>
              <w:sz w:val="24"/>
              <w:szCs w:val="24"/>
            </w:rPr>
            <w:fldChar w:fldCharType="end"/>
          </w:r>
        </w:p>
        <w:p w14:paraId="58334CA5">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_Toc13265_WPSOffice_Level2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9212"/>
              <w:placeholder>
                <w:docPart w:val="{8556b511-5266-4d16-926e-34da844bacde}"/>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五、一般公共预算财政拨款支出决算情况说明</w:t>
              </w:r>
            </w:sdtContent>
          </w:sdt>
          <w:r>
            <w:rPr>
              <w:rFonts w:hint="default" w:ascii="Times New Roman" w:hAnsi="Times New Roman" w:eastAsia="仿宋_GB2312" w:cs="Times New Roman"/>
              <w:b w:val="0"/>
              <w:bCs w:val="0"/>
              <w:sz w:val="24"/>
              <w:szCs w:val="24"/>
            </w:rPr>
            <w:tab/>
          </w:r>
          <w:bookmarkStart w:id="14" w:name="_Toc13265_WPSOffice_Level2Page"/>
          <w:r>
            <w:rPr>
              <w:rFonts w:hint="default" w:ascii="Times New Roman" w:hAnsi="Times New Roman" w:eastAsia="仿宋" w:cs="Times New Roman"/>
              <w:b w:val="0"/>
              <w:bCs w:val="0"/>
              <w:sz w:val="24"/>
              <w:szCs w:val="24"/>
            </w:rPr>
            <w:t>10</w:t>
          </w:r>
          <w:bookmarkEnd w:id="14"/>
          <w:r>
            <w:rPr>
              <w:rFonts w:hint="default" w:ascii="Times New Roman" w:hAnsi="Times New Roman" w:eastAsia="仿宋_GB2312" w:cs="Times New Roman"/>
              <w:b w:val="0"/>
              <w:bCs w:val="0"/>
              <w:sz w:val="24"/>
              <w:szCs w:val="24"/>
            </w:rPr>
            <w:fldChar w:fldCharType="end"/>
          </w:r>
        </w:p>
        <w:p w14:paraId="21DE4DC3">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_Toc11625_WPSOffice_Level2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0681"/>
              <w:placeholder>
                <w:docPart w:val="{e62e1c4e-2e50-4d44-819e-80b2e00037a7}"/>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六、一般公共预算财政拨款基本支出决算情况说明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1</w:t>
          </w:r>
        </w:p>
        <w:p w14:paraId="5ED394E3">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_Toc8564_WPSOffice_Level2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3240"/>
              <w:placeholder>
                <w:docPart w:val="{4086e9e1-eb50-43cf-83c8-5e9ea78d98b1}"/>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七、财政拨款“三公”经费支出决算情况说明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2</w:t>
          </w:r>
        </w:p>
        <w:p w14:paraId="439248C9">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_Toc30729_WPSOffice_Level2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1308"/>
              <w:placeholder>
                <w:docPart w:val="{bebfdb00-2e10-4dd0-ba73-1155228cb75e}"/>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八、政府性基金预算支出决算情况说明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4</w:t>
          </w:r>
        </w:p>
        <w:p w14:paraId="2165FA9B">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val="0"/>
              <w:bCs w:val="0"/>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_Toc7324_WPSOffice_Level2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0172"/>
              <w:placeholder>
                <w:docPart w:val="{0676fefe-ddb4-400c-ab49-ecd1eaaee2a8}"/>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九、国有资本经营预算支出决算情况说明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4</w:t>
          </w:r>
        </w:p>
        <w:p w14:paraId="0232F625">
          <w:pPr>
            <w:pStyle w:val="39"/>
            <w:keepNext w:val="0"/>
            <w:keepLines w:val="0"/>
            <w:pageBreakBefore w:val="0"/>
            <w:tabs>
              <w:tab w:val="right" w:leader="dot" w:pos="8306"/>
            </w:tabs>
            <w:kinsoku/>
            <w:wordWrap/>
            <w:overflowPunct/>
            <w:topLinePunct w:val="0"/>
            <w:autoSpaceDE/>
            <w:autoSpaceDN/>
            <w:bidi w:val="0"/>
            <w:adjustRightInd/>
            <w:snapToGrid/>
            <w:spacing w:line="576" w:lineRule="exact"/>
            <w:ind w:leftChars="200"/>
            <w:textAlignment w:val="auto"/>
            <w:rPr>
              <w:rFonts w:hint="default" w:ascii="Times New Roman" w:hAnsi="Times New Roman" w:eastAsia="仿宋_GB2312" w:cs="Times New Roman"/>
              <w:b/>
              <w:bCs/>
              <w:sz w:val="24"/>
              <w:szCs w:val="24"/>
              <w:lang w:val="en-US" w:eastAsia="zh-CN"/>
            </w:rPr>
          </w:pPr>
          <w:r>
            <w:rPr>
              <w:rFonts w:hint="default" w:ascii="Times New Roman" w:hAnsi="Times New Roman" w:eastAsia="仿宋_GB2312" w:cs="Times New Roman"/>
              <w:b w:val="0"/>
              <w:bCs w:val="0"/>
              <w:sz w:val="24"/>
              <w:szCs w:val="24"/>
            </w:rPr>
            <w:fldChar w:fldCharType="begin"/>
          </w:r>
          <w:r>
            <w:rPr>
              <w:rFonts w:hint="default" w:ascii="Times New Roman" w:hAnsi="Times New Roman" w:eastAsia="仿宋_GB2312" w:cs="Times New Roman"/>
              <w:b w:val="0"/>
              <w:bCs w:val="0"/>
              <w:sz w:val="24"/>
              <w:szCs w:val="24"/>
            </w:rPr>
            <w:instrText xml:space="preserve"> HYPERLINK \l _Toc13474_WPSOffice_Level2 </w:instrText>
          </w:r>
          <w:r>
            <w:rPr>
              <w:rFonts w:hint="default" w:ascii="Times New Roman" w:hAnsi="Times New Roman" w:eastAsia="仿宋_GB2312"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79849"/>
              <w:placeholder>
                <w:docPart w:val="{172703c9-b445-4ff5-a2b3-cf95c35c6395}"/>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十、其他重要事项的情况说明</w:t>
              </w:r>
            </w:sdtContent>
          </w:sdt>
          <w:r>
            <w:rPr>
              <w:rFonts w:hint="default" w:ascii="Times New Roman" w:hAnsi="Times New Roman" w:eastAsia="仿宋_GB2312" w:cs="Times New Roman"/>
              <w:b w:val="0"/>
              <w:bCs w:val="0"/>
              <w:sz w:val="24"/>
              <w:szCs w:val="24"/>
            </w:rPr>
            <w:tab/>
          </w:r>
          <w:r>
            <w:rPr>
              <w:rFonts w:hint="default" w:ascii="Times New Roman" w:hAnsi="Times New Roman" w:eastAsia="仿宋_GB2312" w:cs="Times New Roman"/>
              <w:b w:val="0"/>
              <w:bCs w:val="0"/>
              <w:sz w:val="24"/>
              <w:szCs w:val="24"/>
              <w:lang w:val="en-US" w:eastAsia="zh-CN"/>
            </w:rPr>
            <w:t>1</w:t>
          </w:r>
          <w:r>
            <w:rPr>
              <w:rFonts w:hint="default" w:ascii="Times New Roman" w:hAnsi="Times New Roman" w:eastAsia="仿宋_GB2312" w:cs="Times New Roman"/>
              <w:b w:val="0"/>
              <w:bCs w:val="0"/>
              <w:sz w:val="24"/>
              <w:szCs w:val="24"/>
            </w:rPr>
            <w:fldChar w:fldCharType="end"/>
          </w:r>
          <w:r>
            <w:rPr>
              <w:rFonts w:hint="default" w:ascii="Times New Roman" w:hAnsi="Times New Roman" w:eastAsia="仿宋_GB2312" w:cs="Times New Roman"/>
              <w:b w:val="0"/>
              <w:bCs w:val="0"/>
              <w:sz w:val="24"/>
              <w:szCs w:val="24"/>
              <w:lang w:val="en-US" w:eastAsia="zh-CN"/>
            </w:rPr>
            <w:t>4</w:t>
          </w:r>
        </w:p>
        <w:p w14:paraId="61CAE462">
          <w:pPr>
            <w:pStyle w:val="39"/>
            <w:keepNext w:val="0"/>
            <w:keepLines w:val="0"/>
            <w:pageBreakBefore w:val="0"/>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bCs/>
              <w:sz w:val="24"/>
              <w:szCs w:val="24"/>
            </w:rPr>
            <w:fldChar w:fldCharType="begin"/>
          </w:r>
          <w:r>
            <w:rPr>
              <w:rFonts w:hint="default" w:ascii="Times New Roman" w:hAnsi="Times New Roman" w:eastAsia="仿宋" w:cs="Times New Roman"/>
              <w:sz w:val="24"/>
              <w:szCs w:val="24"/>
            </w:rPr>
            <w:instrText xml:space="preserve"> HYPERLINK \l _Toc3558_WPSOffice_Level1 </w:instrText>
          </w:r>
          <w:r>
            <w:rPr>
              <w:rFonts w:hint="default" w:ascii="Times New Roman" w:hAnsi="Times New Roman" w:eastAsia="仿宋" w:cs="Times New Roman"/>
              <w:b/>
              <w:bCs/>
              <w:sz w:val="24"/>
              <w:szCs w:val="24"/>
            </w:rPr>
            <w:fldChar w:fldCharType="separate"/>
          </w:r>
          <w:sdt>
            <w:sdtPr>
              <w:rPr>
                <w:rFonts w:hint="default" w:ascii="Times New Roman" w:hAnsi="Times New Roman" w:eastAsia="楷体_GB2312" w:cs="Times New Roman"/>
                <w:b/>
                <w:bCs/>
                <w:kern w:val="2"/>
                <w:sz w:val="32"/>
                <w:szCs w:val="32"/>
                <w:lang w:val="en-US" w:eastAsia="zh-CN" w:bidi="ar-SA"/>
              </w:rPr>
              <w:id w:val="147451352"/>
              <w:placeholder>
                <w:docPart w:val="{8899cb93-8cff-442f-84ff-ffa50af4bb1e}"/>
              </w:placeholder>
              <w15:color w:val="509DF3"/>
            </w:sdtPr>
            <w:sdtEndPr>
              <w:rPr>
                <w:rFonts w:hint="default" w:ascii="Times New Roman" w:hAnsi="Times New Roman" w:eastAsia="楷体_GB2312" w:cs="Times New Roman"/>
                <w:b/>
                <w:bCs/>
                <w:kern w:val="2"/>
                <w:sz w:val="32"/>
                <w:szCs w:val="32"/>
                <w:lang w:val="en-US" w:eastAsia="zh-CN" w:bidi="ar-SA"/>
              </w:rPr>
            </w:sdtEndPr>
            <w:sdtContent>
              <w:r>
                <w:rPr>
                  <w:rFonts w:hint="default" w:ascii="Times New Roman" w:hAnsi="Times New Roman" w:eastAsia="楷体_GB2312" w:cs="Times New Roman"/>
                  <w:b/>
                  <w:bCs/>
                  <w:kern w:val="2"/>
                  <w:sz w:val="32"/>
                  <w:szCs w:val="32"/>
                  <w:lang w:val="en-US" w:eastAsia="zh-CN" w:bidi="ar-SA"/>
                </w:rPr>
                <w:t>第三部分  名词解释</w:t>
              </w:r>
            </w:sdtContent>
          </w:sdt>
          <w:r>
            <w:rPr>
              <w:rFonts w:hint="default" w:ascii="Times New Roman" w:hAnsi="Times New Roman" w:eastAsia="仿宋" w:cs="Times New Roman"/>
              <w:b/>
              <w:bCs/>
              <w:sz w:val="24"/>
              <w:szCs w:val="24"/>
            </w:rPr>
            <w:tab/>
          </w:r>
          <w:r>
            <w:rPr>
              <w:rFonts w:hint="default" w:ascii="Times New Roman" w:hAnsi="Times New Roman" w:eastAsia="仿宋_GB2312" w:cs="Times New Roman"/>
              <w:b/>
              <w:bCs/>
              <w:sz w:val="24"/>
              <w:szCs w:val="24"/>
              <w:lang w:val="en-US" w:eastAsia="zh-CN"/>
            </w:rPr>
            <w:t>1</w:t>
          </w:r>
          <w:r>
            <w:rPr>
              <w:rFonts w:hint="default" w:ascii="Times New Roman" w:hAnsi="Times New Roman" w:eastAsia="仿宋" w:cs="Times New Roman"/>
              <w:b/>
              <w:bCs/>
              <w:sz w:val="24"/>
              <w:szCs w:val="24"/>
            </w:rPr>
            <w:fldChar w:fldCharType="end"/>
          </w:r>
          <w:r>
            <w:rPr>
              <w:rFonts w:hint="eastAsia" w:ascii="Times New Roman" w:hAnsi="Times New Roman" w:eastAsia="仿宋" w:cs="Times New Roman"/>
              <w:b/>
              <w:bCs/>
              <w:sz w:val="24"/>
              <w:szCs w:val="24"/>
              <w:lang w:val="en-US" w:eastAsia="zh-CN"/>
            </w:rPr>
            <w:t>6</w:t>
          </w:r>
        </w:p>
        <w:p w14:paraId="0E31BCC4">
          <w:pPr>
            <w:pStyle w:val="39"/>
            <w:keepNext w:val="0"/>
            <w:keepLines w:val="0"/>
            <w:pageBreakBefore w:val="0"/>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bCs/>
              <w:sz w:val="24"/>
              <w:szCs w:val="24"/>
            </w:rPr>
            <w:fldChar w:fldCharType="begin"/>
          </w:r>
          <w:r>
            <w:rPr>
              <w:rFonts w:hint="default" w:ascii="Times New Roman" w:hAnsi="Times New Roman" w:eastAsia="仿宋" w:cs="Times New Roman"/>
              <w:sz w:val="24"/>
              <w:szCs w:val="24"/>
            </w:rPr>
            <w:instrText xml:space="preserve"> HYPERLINK \l _Toc31271_WPSOffice_Level1 </w:instrText>
          </w:r>
          <w:r>
            <w:rPr>
              <w:rFonts w:hint="default" w:ascii="Times New Roman" w:hAnsi="Times New Roman" w:eastAsia="仿宋" w:cs="Times New Roman"/>
              <w:b/>
              <w:bCs/>
              <w:sz w:val="24"/>
              <w:szCs w:val="24"/>
            </w:rPr>
            <w:fldChar w:fldCharType="separate"/>
          </w:r>
          <w:sdt>
            <w:sdtPr>
              <w:rPr>
                <w:rFonts w:hint="default" w:ascii="Times New Roman" w:hAnsi="Times New Roman" w:eastAsia="楷体_GB2312" w:cs="Times New Roman"/>
                <w:b/>
                <w:bCs/>
                <w:kern w:val="2"/>
                <w:sz w:val="32"/>
                <w:szCs w:val="32"/>
                <w:lang w:val="en-US" w:eastAsia="zh-CN" w:bidi="ar-SA"/>
              </w:rPr>
              <w:id w:val="147460822"/>
              <w:placeholder>
                <w:docPart w:val="{6cd74a77-16a9-4c03-8a6e-5cac685cbbf5}"/>
              </w:placeholder>
              <w15:color w:val="509DF3"/>
            </w:sdtPr>
            <w:sdtEndPr>
              <w:rPr>
                <w:rFonts w:hint="default" w:ascii="Times New Roman" w:hAnsi="Times New Roman" w:eastAsia="仿宋" w:cs="Times New Roman"/>
                <w:b/>
                <w:bCs/>
                <w:kern w:val="2"/>
                <w:sz w:val="28"/>
                <w:szCs w:val="36"/>
                <w:lang w:val="en-US" w:eastAsia="zh-CN" w:bidi="ar-SA"/>
              </w:rPr>
            </w:sdtEndPr>
            <w:sdtContent>
              <w:r>
                <w:rPr>
                  <w:rFonts w:hint="default" w:ascii="Times New Roman" w:hAnsi="Times New Roman" w:eastAsia="楷体_GB2312" w:cs="Times New Roman"/>
                  <w:b/>
                  <w:bCs/>
                  <w:kern w:val="2"/>
                  <w:sz w:val="32"/>
                  <w:szCs w:val="32"/>
                  <w:lang w:val="en-US" w:eastAsia="zh-CN" w:bidi="ar-SA"/>
                </w:rPr>
                <w:t>第四部分  附件</w:t>
              </w:r>
            </w:sdtContent>
          </w:sdt>
          <w:r>
            <w:rPr>
              <w:rFonts w:hint="default" w:ascii="Times New Roman" w:hAnsi="Times New Roman" w:eastAsia="仿宋" w:cs="Times New Roman"/>
              <w:b/>
              <w:bCs/>
              <w:sz w:val="24"/>
              <w:szCs w:val="24"/>
            </w:rPr>
            <w:tab/>
          </w:r>
          <w:r>
            <w:rPr>
              <w:rFonts w:hint="eastAsia" w:ascii="Times New Roman" w:hAnsi="Times New Roman" w:eastAsia="仿宋_GB2312" w:cs="Times New Roman"/>
              <w:b/>
              <w:bCs/>
              <w:sz w:val="24"/>
              <w:szCs w:val="24"/>
              <w:lang w:val="en-US" w:eastAsia="zh-CN"/>
            </w:rPr>
            <w:t>1</w:t>
          </w:r>
          <w:r>
            <w:rPr>
              <w:rFonts w:hint="default" w:ascii="Times New Roman" w:hAnsi="Times New Roman" w:eastAsia="仿宋" w:cs="Times New Roman"/>
              <w:b/>
              <w:bCs/>
              <w:sz w:val="24"/>
              <w:szCs w:val="24"/>
            </w:rPr>
            <w:fldChar w:fldCharType="end"/>
          </w:r>
          <w:r>
            <w:rPr>
              <w:rFonts w:hint="eastAsia" w:ascii="Times New Roman" w:hAnsi="Times New Roman" w:eastAsia="仿宋" w:cs="Times New Roman"/>
              <w:b/>
              <w:bCs/>
              <w:sz w:val="24"/>
              <w:szCs w:val="24"/>
              <w:lang w:val="en-US" w:eastAsia="zh-CN"/>
            </w:rPr>
            <w:t>9</w:t>
          </w:r>
        </w:p>
        <w:p w14:paraId="20C1E080">
          <w:pPr>
            <w:pStyle w:val="39"/>
            <w:keepNext w:val="0"/>
            <w:keepLines w:val="0"/>
            <w:pageBreakBefore w:val="0"/>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sz w:val="24"/>
              <w:szCs w:val="24"/>
              <w:lang w:val="en-US" w:eastAsia="zh-CN"/>
            </w:rPr>
          </w:pPr>
          <w:r>
            <w:rPr>
              <w:rFonts w:hint="default" w:ascii="Times New Roman" w:hAnsi="Times New Roman" w:eastAsia="仿宋" w:cs="Times New Roman"/>
              <w:b/>
              <w:bCs/>
              <w:sz w:val="24"/>
              <w:szCs w:val="24"/>
            </w:rPr>
            <w:fldChar w:fldCharType="begin"/>
          </w:r>
          <w:r>
            <w:rPr>
              <w:rFonts w:hint="default" w:ascii="Times New Roman" w:hAnsi="Times New Roman" w:eastAsia="仿宋" w:cs="Times New Roman"/>
              <w:sz w:val="24"/>
              <w:szCs w:val="24"/>
            </w:rPr>
            <w:instrText xml:space="preserve"> HYPERLINK \l _Toc2067_WPSOffice_Level1 </w:instrText>
          </w:r>
          <w:r>
            <w:rPr>
              <w:rFonts w:hint="default" w:ascii="Times New Roman" w:hAnsi="Times New Roman" w:eastAsia="仿宋" w:cs="Times New Roman"/>
              <w:b/>
              <w:bCs/>
              <w:sz w:val="24"/>
              <w:szCs w:val="24"/>
            </w:rPr>
            <w:fldChar w:fldCharType="separate"/>
          </w:r>
          <w:sdt>
            <w:sdtPr>
              <w:rPr>
                <w:rFonts w:hint="default" w:ascii="Times New Roman" w:hAnsi="Times New Roman" w:eastAsia="仿宋" w:cs="Times New Roman"/>
                <w:b/>
                <w:bCs/>
                <w:kern w:val="2"/>
                <w:sz w:val="28"/>
                <w:szCs w:val="36"/>
                <w:lang w:val="en-US" w:eastAsia="zh-CN" w:bidi="ar-SA"/>
              </w:rPr>
              <w:id w:val="147474125"/>
              <w:placeholder>
                <w:docPart w:val="{952031cc-7f3f-437d-8347-e609f456c96f}"/>
              </w:placeholder>
              <w15:color w:val="509DF3"/>
            </w:sdtPr>
            <w:sdtEndPr>
              <w:rPr>
                <w:rFonts w:hint="default" w:ascii="Times New Roman" w:hAnsi="Times New Roman" w:eastAsia="楷体_GB2312" w:cs="Times New Roman"/>
                <w:b/>
                <w:bCs/>
                <w:kern w:val="2"/>
                <w:sz w:val="32"/>
                <w:szCs w:val="32"/>
                <w:lang w:val="en-US" w:eastAsia="zh-CN" w:bidi="ar-SA"/>
              </w:rPr>
            </w:sdtEndPr>
            <w:sdtContent>
              <w:r>
                <w:rPr>
                  <w:rFonts w:hint="default" w:ascii="Times New Roman" w:hAnsi="Times New Roman" w:eastAsia="楷体_GB2312" w:cs="Times New Roman"/>
                  <w:b/>
                  <w:bCs/>
                  <w:kern w:val="2"/>
                  <w:sz w:val="32"/>
                  <w:szCs w:val="32"/>
                  <w:lang w:val="en-US" w:eastAsia="zh-CN" w:bidi="ar-SA"/>
                </w:rPr>
                <w:t>第五部分  附表</w:t>
              </w:r>
            </w:sdtContent>
          </w:sdt>
          <w:r>
            <w:rPr>
              <w:rFonts w:hint="default" w:ascii="Times New Roman" w:hAnsi="Times New Roman" w:eastAsia="仿宋" w:cs="Times New Roman"/>
              <w:b/>
              <w:bCs/>
              <w:sz w:val="24"/>
              <w:szCs w:val="24"/>
            </w:rPr>
            <w:tab/>
          </w:r>
          <w:r>
            <w:rPr>
              <w:rFonts w:hint="eastAsia" w:ascii="Times New Roman" w:hAnsi="Times New Roman" w:eastAsia="仿宋_GB2312" w:cs="Times New Roman"/>
              <w:b/>
              <w:bCs/>
              <w:sz w:val="24"/>
              <w:szCs w:val="24"/>
              <w:lang w:val="en-US" w:eastAsia="zh-CN"/>
            </w:rPr>
            <w:t>2</w:t>
          </w:r>
          <w:r>
            <w:rPr>
              <w:rFonts w:hint="default" w:ascii="Times New Roman" w:hAnsi="Times New Roman" w:eastAsia="仿宋" w:cs="Times New Roman"/>
              <w:b/>
              <w:bCs/>
              <w:sz w:val="24"/>
              <w:szCs w:val="24"/>
            </w:rPr>
            <w:fldChar w:fldCharType="end"/>
          </w:r>
          <w:r>
            <w:rPr>
              <w:rFonts w:hint="eastAsia" w:ascii="Times New Roman" w:hAnsi="Times New Roman" w:eastAsia="仿宋" w:cs="Times New Roman"/>
              <w:b/>
              <w:bCs/>
              <w:sz w:val="24"/>
              <w:szCs w:val="24"/>
              <w:lang w:val="en-US" w:eastAsia="zh-CN"/>
            </w:rPr>
            <w:t>8</w:t>
          </w:r>
        </w:p>
        <w:p w14:paraId="1E4F87DB">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_Toc23630_WPSOffice_Level2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58536"/>
              <w:placeholder>
                <w:docPart w:val="{eba0305e-bd08-4fe2-8c58-9ef482b4240b}"/>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一、收入支出决算总表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5D4CF684">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_Toc5208_WPSOffice_Level2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59109"/>
              <w:placeholder>
                <w:docPart w:val="{a07a02c0-442d-4caf-904e-d51420212461}"/>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二、收入决算表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49D8F5C4">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_Toc28122_WPSOffice_Level2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66518"/>
              <w:placeholder>
                <w:docPart w:val="{21018186-a4b1-47d1-b1cc-cf55dfa58760}"/>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三、支出决算表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2104B22D">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_Toc10278_WPSOffice_Level2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61212"/>
              <w:placeholder>
                <w:docPart w:val="{5b94e79b-09ac-4718-b781-e07400298060}"/>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四、财政拨款收入支出决算总表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2541DB95">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_Toc443_WPSOffice_Level2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73681"/>
              <w:placeholder>
                <w:docPart w:val="{49d2956c-0a0c-451c-ae2f-89cd2beb008f}"/>
              </w:placeholder>
              <w15:color w:val="509DF3"/>
            </w:sdtPr>
            <w:sdtEndPr>
              <w:rPr>
                <w:rFonts w:hint="default" w:ascii="Times New Roman" w:hAnsi="Times New Roman" w:eastAsia="仿宋" w:cs="Times New Roman"/>
                <w:b w:val="0"/>
                <w:bCs w:val="0"/>
                <w:kern w:val="2"/>
                <w:sz w:val="28"/>
                <w:szCs w:val="36"/>
                <w:lang w:val="en-US" w:eastAsia="zh-CN" w:bidi="ar-SA"/>
              </w:rPr>
            </w:sdtEndPr>
            <w:sdtContent>
              <w:r>
                <w:rPr>
                  <w:rFonts w:hint="default" w:ascii="Times New Roman" w:hAnsi="Times New Roman" w:eastAsia="仿宋_GB2312" w:cs="Times New Roman"/>
                  <w:b w:val="0"/>
                  <w:bCs w:val="0"/>
                  <w:sz w:val="24"/>
                  <w:szCs w:val="24"/>
                </w:rPr>
                <w:t>五、财政拨款支出决算明细表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23F0964B">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_Toc1218_WPSOffice_Level2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2136"/>
              <w:placeholder>
                <w:docPart w:val="{3bab32cd-3a44-42ab-b1a8-0da59ee20a69}"/>
              </w:placeholder>
              <w15:color w:val="509DF3"/>
            </w:sdtPr>
            <w:sdtEndPr>
              <w:rPr>
                <w:rFonts w:hint="default" w:ascii="Times New Roman" w:hAnsi="Times New Roman" w:eastAsia="仿宋" w:cs="Times New Roman"/>
                <w:b w:val="0"/>
                <w:bCs w:val="0"/>
                <w:kern w:val="2"/>
                <w:sz w:val="28"/>
                <w:szCs w:val="36"/>
                <w:lang w:val="en-US" w:eastAsia="zh-CN" w:bidi="ar-SA"/>
              </w:rPr>
            </w:sdtEndPr>
            <w:sdtContent>
              <w:r>
                <w:rPr>
                  <w:rFonts w:hint="default" w:ascii="Times New Roman" w:hAnsi="Times New Roman" w:eastAsia="仿宋_GB2312" w:cs="Times New Roman"/>
                  <w:b w:val="0"/>
                  <w:bCs w:val="0"/>
                  <w:sz w:val="24"/>
                  <w:szCs w:val="24"/>
                </w:rPr>
                <w:t>六、一般公共预算财政拨款支出决算表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0810EE69">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_Toc4298_WPSOffice_Level2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69006"/>
              <w:placeholder>
                <w:docPart w:val="{7e987b20-ea3e-47b7-8388-a4b1dd87f9bd}"/>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七、一般公共预算财政拨款支出决算明细表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6C94A2EF">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_Toc8203_WPSOffice_Level2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80302"/>
              <w:placeholder>
                <w:docPart w:val="{419cd55a-0654-431f-a43d-d1abd4669c90}"/>
              </w:placeholder>
              <w15:color w:val="509DF3"/>
            </w:sdtPr>
            <w:sdtEndPr>
              <w:rPr>
                <w:rFonts w:hint="default" w:ascii="Times New Roman" w:hAnsi="Times New Roman" w:eastAsia="仿宋" w:cs="Times New Roman"/>
                <w:b w:val="0"/>
                <w:bCs w:val="0"/>
                <w:kern w:val="2"/>
                <w:sz w:val="28"/>
                <w:szCs w:val="36"/>
                <w:lang w:val="en-US" w:eastAsia="zh-CN" w:bidi="ar-SA"/>
              </w:rPr>
            </w:sdtEndPr>
            <w:sdtContent>
              <w:r>
                <w:rPr>
                  <w:rFonts w:hint="default" w:ascii="Times New Roman" w:hAnsi="Times New Roman" w:eastAsia="仿宋_GB2312" w:cs="Times New Roman"/>
                  <w:b w:val="0"/>
                  <w:bCs w:val="0"/>
                  <w:sz w:val="24"/>
                  <w:szCs w:val="24"/>
                </w:rPr>
                <w:t>八、一般公共预算财政拨款基本支出决算表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3FC0D05A">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_Toc16429_WPSOffice_Level2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_GB2312" w:cs="Times New Roman"/>
                <w:b w:val="0"/>
                <w:bCs w:val="0"/>
                <w:sz w:val="24"/>
                <w:szCs w:val="24"/>
                <w:lang w:val="en-US" w:eastAsia="zh-CN"/>
              </w:rPr>
              <w:id w:val="147455715"/>
              <w:placeholder>
                <w:docPart w:val="{96b69714-722a-4c53-aa9f-4e9204cd4959}"/>
              </w:placeholder>
              <w15:color w:val="509DF3"/>
            </w:sdtPr>
            <w:sdtEndPr>
              <w:rPr>
                <w:rFonts w:hint="default" w:ascii="Times New Roman" w:hAnsi="Times New Roman" w:eastAsia="仿宋_GB2312" w:cs="Times New Roman"/>
                <w:b w:val="0"/>
                <w:bCs w:val="0"/>
                <w:sz w:val="24"/>
                <w:szCs w:val="24"/>
                <w:lang w:val="en-US" w:eastAsia="zh-CN"/>
              </w:rPr>
            </w:sdtEndPr>
            <w:sdtContent>
              <w:r>
                <w:rPr>
                  <w:rFonts w:hint="default" w:ascii="Times New Roman" w:hAnsi="Times New Roman" w:eastAsia="仿宋_GB2312" w:cs="Times New Roman"/>
                  <w:b w:val="0"/>
                  <w:bCs w:val="0"/>
                  <w:sz w:val="24"/>
                  <w:szCs w:val="24"/>
                </w:rPr>
                <w:t>九、一般公共预算财政拨款项目支出决算表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3F76A16B">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_Toc32329_WPSOffice_Level2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57179"/>
              <w:placeholder>
                <w:docPart w:val="{ad6497a3-6bda-4b57-b8eb-dd9e8c932aa7}"/>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十、政府性基金预算财政拨款收入支出决算表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11F55A12">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_Toc4058_WPSOffice_Level2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58817"/>
              <w:placeholder>
                <w:docPart w:val="{1defb660-f9f2-4759-bcbb-84188cf354df}"/>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十一、国有资本经营预算财政拨款收入支出决算表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1BD8F48B">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b w:val="0"/>
              <w:bCs w:val="0"/>
              <w:sz w:val="24"/>
              <w:szCs w:val="24"/>
              <w:lang w:val="en-US" w:eastAsia="zh-CN"/>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_Toc16676_WPSOffice_Level2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62193"/>
              <w:placeholder>
                <w:docPart w:val="{f56a0ce4-1ec3-4d33-b86c-b9652f4f49a3}"/>
              </w:placeholder>
              <w15:color w:val="509DF3"/>
            </w:sdtPr>
            <w:sdtEndPr>
              <w:rPr>
                <w:rFonts w:hint="default" w:ascii="Times New Roman" w:hAnsi="Times New Roman" w:eastAsia="仿宋" w:cs="Times New Roman"/>
                <w:b w:val="0"/>
                <w:bCs w:val="0"/>
                <w:kern w:val="2"/>
                <w:sz w:val="28"/>
                <w:szCs w:val="36"/>
                <w:lang w:val="en-US" w:eastAsia="zh-CN" w:bidi="ar-SA"/>
              </w:rPr>
            </w:sdtEndPr>
            <w:sdtContent>
              <w:r>
                <w:rPr>
                  <w:rFonts w:hint="default" w:ascii="Times New Roman" w:hAnsi="Times New Roman" w:eastAsia="仿宋_GB2312" w:cs="Times New Roman"/>
                  <w:b w:val="0"/>
                  <w:bCs w:val="0"/>
                  <w:sz w:val="24"/>
                  <w:szCs w:val="24"/>
                </w:rPr>
                <w:t>十二、国有资本经营预算财政拨款支出决算表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r>
            <w:rPr>
              <w:rFonts w:hint="eastAsia" w:ascii="Times New Roman" w:hAnsi="Times New Roman" w:eastAsia="仿宋" w:cs="Times New Roman"/>
              <w:b w:val="0"/>
              <w:bCs w:val="0"/>
              <w:sz w:val="24"/>
              <w:szCs w:val="24"/>
              <w:lang w:val="en-US" w:eastAsia="zh-CN"/>
            </w:rPr>
            <w:t>8</w:t>
          </w:r>
        </w:p>
        <w:p w14:paraId="4FCCE101">
          <w:pPr>
            <w:pStyle w:val="40"/>
            <w:keepNext w:val="0"/>
            <w:keepLines w:val="0"/>
            <w:pageBreakBefore w:val="0"/>
            <w:widowControl/>
            <w:tabs>
              <w:tab w:val="right" w:leader="dot" w:pos="8306"/>
            </w:tabs>
            <w:kinsoku/>
            <w:wordWrap/>
            <w:overflowPunct/>
            <w:topLinePunct w:val="0"/>
            <w:autoSpaceDE/>
            <w:autoSpaceDN/>
            <w:bidi w:val="0"/>
            <w:adjustRightInd/>
            <w:snapToGrid/>
            <w:spacing w:line="576" w:lineRule="exact"/>
            <w:textAlignment w:val="auto"/>
            <w:rPr>
              <w:rFonts w:hint="default" w:ascii="Times New Roman" w:hAnsi="Times New Roman" w:eastAsia="仿宋" w:cs="Times New Roman"/>
              <w:sz w:val="24"/>
              <w:szCs w:val="24"/>
            </w:rPr>
          </w:pPr>
          <w:r>
            <w:rPr>
              <w:rFonts w:hint="default" w:ascii="Times New Roman" w:hAnsi="Times New Roman" w:eastAsia="仿宋" w:cs="Times New Roman"/>
              <w:b w:val="0"/>
              <w:bCs w:val="0"/>
              <w:sz w:val="24"/>
              <w:szCs w:val="24"/>
            </w:rPr>
            <w:fldChar w:fldCharType="begin"/>
          </w:r>
          <w:r>
            <w:rPr>
              <w:rFonts w:hint="default" w:ascii="Times New Roman" w:hAnsi="Times New Roman" w:eastAsia="仿宋" w:cs="Times New Roman"/>
              <w:b w:val="0"/>
              <w:bCs w:val="0"/>
              <w:sz w:val="24"/>
              <w:szCs w:val="24"/>
            </w:rPr>
            <w:instrText xml:space="preserve"> HYPERLINK \l _Toc24132_WPSOffice_Level2 </w:instrText>
          </w:r>
          <w:r>
            <w:rPr>
              <w:rFonts w:hint="default" w:ascii="Times New Roman" w:hAnsi="Times New Roman" w:eastAsia="仿宋" w:cs="Times New Roman"/>
              <w:b w:val="0"/>
              <w:bCs w:val="0"/>
              <w:sz w:val="24"/>
              <w:szCs w:val="24"/>
            </w:rPr>
            <w:fldChar w:fldCharType="separate"/>
          </w:r>
          <w:sdt>
            <w:sdtPr>
              <w:rPr>
                <w:rFonts w:hint="default" w:ascii="Times New Roman" w:hAnsi="Times New Roman" w:eastAsia="仿宋" w:cs="Times New Roman"/>
                <w:b w:val="0"/>
                <w:bCs w:val="0"/>
                <w:kern w:val="2"/>
                <w:sz w:val="28"/>
                <w:szCs w:val="36"/>
                <w:lang w:val="en-US" w:eastAsia="zh-CN" w:bidi="ar-SA"/>
              </w:rPr>
              <w:id w:val="147462724"/>
              <w:placeholder>
                <w:docPart w:val="{a502fbb9-3c7b-443d-ab36-ce2da6f4a68c}"/>
              </w:placeholder>
              <w15:color w:val="509DF3"/>
            </w:sdtPr>
            <w:sdtEndPr>
              <w:rPr>
                <w:rFonts w:hint="default" w:ascii="Times New Roman" w:hAnsi="Times New Roman" w:eastAsia="仿宋_GB2312" w:cs="Times New Roman"/>
                <w:b w:val="0"/>
                <w:bCs w:val="0"/>
                <w:kern w:val="2"/>
                <w:sz w:val="24"/>
                <w:szCs w:val="24"/>
                <w:lang w:val="en-US" w:eastAsia="zh-CN" w:bidi="ar-SA"/>
              </w:rPr>
            </w:sdtEndPr>
            <w:sdtContent>
              <w:r>
                <w:rPr>
                  <w:rFonts w:hint="default" w:ascii="Times New Roman" w:hAnsi="Times New Roman" w:eastAsia="仿宋_GB2312" w:cs="Times New Roman"/>
                  <w:b w:val="0"/>
                  <w:bCs w:val="0"/>
                  <w:sz w:val="24"/>
                  <w:szCs w:val="24"/>
                </w:rPr>
                <w:t>十三、财政拨款“三公”经费支出决算表</w:t>
              </w:r>
            </w:sdtContent>
          </w:sdt>
          <w:r>
            <w:rPr>
              <w:rFonts w:hint="default" w:ascii="Times New Roman" w:hAnsi="Times New Roman" w:eastAsia="仿宋" w:cs="Times New Roman"/>
              <w:b w:val="0"/>
              <w:bCs w:val="0"/>
              <w:sz w:val="24"/>
              <w:szCs w:val="24"/>
            </w:rPr>
            <w:tab/>
          </w:r>
          <w:r>
            <w:rPr>
              <w:rFonts w:hint="eastAsia" w:ascii="Times New Roman" w:hAnsi="Times New Roman" w:eastAsia="仿宋_GB2312" w:cs="Times New Roman"/>
              <w:b w:val="0"/>
              <w:bCs w:val="0"/>
              <w:sz w:val="24"/>
              <w:szCs w:val="24"/>
              <w:lang w:val="en-US" w:eastAsia="zh-CN"/>
            </w:rPr>
            <w:t>2</w:t>
          </w:r>
          <w:r>
            <w:rPr>
              <w:rFonts w:hint="default" w:ascii="Times New Roman" w:hAnsi="Times New Roman" w:eastAsia="仿宋" w:cs="Times New Roman"/>
              <w:b w:val="0"/>
              <w:bCs w:val="0"/>
              <w:sz w:val="24"/>
              <w:szCs w:val="24"/>
            </w:rPr>
            <w:fldChar w:fldCharType="end"/>
          </w:r>
          <w:bookmarkEnd w:id="12"/>
          <w:r>
            <w:rPr>
              <w:rFonts w:hint="eastAsia" w:ascii="Times New Roman" w:hAnsi="Times New Roman" w:eastAsia="仿宋" w:cs="Times New Roman"/>
              <w:b w:val="0"/>
              <w:bCs w:val="0"/>
              <w:sz w:val="24"/>
              <w:szCs w:val="24"/>
              <w:lang w:val="en-US" w:eastAsia="zh-CN"/>
            </w:rPr>
            <w:t>8</w:t>
          </w:r>
        </w:p>
      </w:sdtContent>
    </w:sdt>
    <w:p w14:paraId="2E23147C">
      <w:pPr>
        <w:keepNext w:val="0"/>
        <w:keepLines w:val="0"/>
        <w:pageBreakBefore w:val="0"/>
        <w:widowControl/>
        <w:kinsoku/>
        <w:wordWrap/>
        <w:overflowPunct/>
        <w:topLinePunct w:val="0"/>
        <w:autoSpaceDE/>
        <w:autoSpaceDN/>
        <w:bidi w:val="0"/>
        <w:spacing w:line="560" w:lineRule="exact"/>
        <w:jc w:val="left"/>
        <w:textAlignment w:val="auto"/>
        <w:rPr>
          <w:rFonts w:hint="default" w:ascii="Times New Roman" w:hAnsi="Times New Roman" w:eastAsia="仿宋_GB2312" w:cs="Times New Roman"/>
          <w:bCs/>
          <w:color w:val="auto"/>
          <w:kern w:val="44"/>
          <w:sz w:val="32"/>
          <w:szCs w:val="32"/>
          <w:highlight w:val="none"/>
        </w:rPr>
      </w:pPr>
      <w:r>
        <w:rPr>
          <w:rFonts w:hint="default" w:ascii="Times New Roman" w:hAnsi="Times New Roman" w:eastAsia="仿宋_GB2312" w:cs="Times New Roman"/>
          <w:b/>
          <w:color w:val="auto"/>
          <w:sz w:val="32"/>
          <w:szCs w:val="32"/>
          <w:highlight w:val="none"/>
        </w:rPr>
        <w:br w:type="page"/>
      </w:r>
    </w:p>
    <w:p w14:paraId="028D09F7">
      <w:pPr>
        <w:pStyle w:val="5"/>
        <w:pageBreakBefore w:val="0"/>
        <w:kinsoku/>
        <w:wordWrap/>
        <w:overflowPunct/>
        <w:topLinePunct w:val="0"/>
        <w:autoSpaceDE/>
        <w:bidi w:val="0"/>
        <w:spacing w:line="552" w:lineRule="exact"/>
        <w:jc w:val="center"/>
        <w:textAlignment w:val="auto"/>
        <w:rPr>
          <w:rFonts w:hint="default" w:ascii="Times New Roman" w:hAnsi="Times New Roman" w:eastAsia="黑体" w:cs="Times New Roman"/>
          <w:color w:val="auto"/>
          <w:sz w:val="32"/>
          <w:szCs w:val="32"/>
          <w:highlight w:val="none"/>
        </w:rPr>
      </w:pPr>
      <w:bookmarkStart w:id="15" w:name="_Toc2003_WPSOffice_Level1"/>
      <w:r>
        <w:rPr>
          <w:rFonts w:hint="default" w:ascii="Times New Roman" w:hAnsi="Times New Roman" w:eastAsia="方正小标宋简体" w:cs="Times New Roman"/>
          <w:b w:val="0"/>
          <w:color w:val="auto"/>
          <w:highlight w:val="none"/>
        </w:rPr>
        <w:t>第一部分</w:t>
      </w:r>
      <w:r>
        <w:rPr>
          <w:rFonts w:hint="default" w:ascii="Times New Roman" w:hAnsi="Times New Roman" w:eastAsia="方正小标宋简体" w:cs="Times New Roman"/>
          <w:b w:val="0"/>
          <w:color w:val="auto"/>
          <w:highlight w:val="none"/>
          <w:lang w:val="en-US" w:eastAsia="zh-CN"/>
        </w:rPr>
        <w:t xml:space="preserve"> </w:t>
      </w:r>
      <w:r>
        <w:rPr>
          <w:rFonts w:hint="default" w:ascii="Times New Roman" w:hAnsi="Times New Roman" w:eastAsia="方正小标宋简体" w:cs="Times New Roman"/>
          <w:b w:val="0"/>
          <w:color w:val="auto"/>
          <w:highlight w:val="none"/>
        </w:rPr>
        <w:t xml:space="preserve"> </w:t>
      </w:r>
      <w:r>
        <w:rPr>
          <w:rStyle w:val="33"/>
          <w:rFonts w:hint="default" w:ascii="Times New Roman" w:hAnsi="Times New Roman" w:eastAsia="方正小标宋简体" w:cs="Times New Roman"/>
          <w:b w:val="0"/>
          <w:bCs w:val="0"/>
          <w:color w:val="auto"/>
          <w:highlight w:val="none"/>
        </w:rPr>
        <w:t>部门概况</w:t>
      </w:r>
      <w:bookmarkEnd w:id="15"/>
    </w:p>
    <w:p w14:paraId="21D8C664">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黑体" w:cs="Times New Roman"/>
          <w:color w:val="auto"/>
          <w:sz w:val="32"/>
          <w:szCs w:val="32"/>
          <w:lang w:eastAsia="zh-CN"/>
        </w:rPr>
      </w:pPr>
      <w:bookmarkStart w:id="16" w:name="_Toc16038_WPSOffice_Level2"/>
      <w:r>
        <w:rPr>
          <w:rFonts w:hint="default" w:ascii="Times New Roman" w:hAnsi="Times New Roman" w:eastAsia="黑体" w:cs="Times New Roman"/>
          <w:color w:val="auto"/>
          <w:sz w:val="32"/>
          <w:szCs w:val="32"/>
          <w:lang w:val="en-US" w:eastAsia="zh-CN"/>
        </w:rPr>
        <w:t>一、</w:t>
      </w:r>
      <w:r>
        <w:rPr>
          <w:rFonts w:hint="default" w:ascii="Times New Roman" w:hAnsi="Times New Roman" w:eastAsia="黑体" w:cs="Times New Roman"/>
          <w:color w:val="auto"/>
          <w:sz w:val="32"/>
          <w:szCs w:val="32"/>
          <w:lang w:eastAsia="zh-CN"/>
        </w:rPr>
        <w:t>部门职责</w:t>
      </w:r>
      <w:bookmarkEnd w:id="16"/>
    </w:p>
    <w:p w14:paraId="504C1F43">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贯彻落实党和国家关于文化、体育、旅游、广播电视的方针政策和省委、州委、县委的决策部署；拟订相关规范性文件草案；负责本部门依法行政工作。</w:t>
      </w:r>
    </w:p>
    <w:p w14:paraId="556F1CF5">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推进文化、体育、旅游、广播电视体制机制改革；组织推动全县文化、体育、旅游、广播电视事业和产业发展，拟订相关发展规划并组织实施；推进文化、体育和旅游与相关产业融合发展。</w:t>
      </w:r>
    </w:p>
    <w:p w14:paraId="7B2DE68D">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组织实施全县文化、体育和旅游资源的普查、保护与利用；管理全县性重大文化、体育和旅游活动，指导全县重点文化、体育、旅游、广播电视设施建设，组织全县文化、体育和旅游整体形象推广，促进文化、体育和旅游产业市场推广和文化体育、旅游对外合作交流，制定文化、体育和旅游市场开发战略并组织实施，推进全域旅游。</w:t>
      </w:r>
    </w:p>
    <w:p w14:paraId="7EE99212">
      <w:pPr>
        <w:pStyle w:val="9"/>
        <w:keepNext w:val="0"/>
        <w:keepLines w:val="0"/>
        <w:pageBreakBefore w:val="0"/>
        <w:widowControl w:val="0"/>
        <w:tabs>
          <w:tab w:val="left" w:pos="6988"/>
        </w:tabs>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指导管理文艺事业，把握正确的创作导向，推动文化艺术创作生产，扶持体现社会主义核心价值观、具有导向性代表性示范性的文化艺术作品；推动各门类艺术、各艺术品种发展；推动中华优秀传统文化和本地特色文化传承发展。</w:t>
      </w:r>
    </w:p>
    <w:p w14:paraId="507D7498">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负责公共文化、体育、旅游、广播电视事业发展，推进全县公共文化、体育、广播电视服务</w:t>
      </w:r>
      <w:r>
        <w:rPr>
          <w:rFonts w:hint="default" w:ascii="Times New Roman" w:hAnsi="Times New Roman" w:cs="Times New Roman"/>
          <w:color w:val="auto"/>
          <w:sz w:val="32"/>
          <w:szCs w:val="32"/>
          <w:lang w:val="en-US" w:eastAsia="zh-CN"/>
        </w:rPr>
        <w:t>体</w:t>
      </w:r>
      <w:r>
        <w:rPr>
          <w:rFonts w:hint="default" w:ascii="Times New Roman" w:hAnsi="Times New Roman" w:eastAsia="仿宋_GB2312" w:cs="Times New Roman"/>
          <w:color w:val="auto"/>
          <w:sz w:val="32"/>
          <w:szCs w:val="32"/>
        </w:rPr>
        <w:t>系建设和旅游公共服务建设，深入实施惠民工程，统筹推进文化、体育、旅游、广播电视基本公共服务标准化、均等化。</w:t>
      </w:r>
    </w:p>
    <w:p w14:paraId="2A4E7BCF">
      <w:pPr>
        <w:pStyle w:val="9"/>
        <w:keepNext w:val="0"/>
        <w:keepLines w:val="0"/>
        <w:pageBreakBefore w:val="0"/>
        <w:widowControl w:val="0"/>
        <w:tabs>
          <w:tab w:val="left" w:pos="3407"/>
          <w:tab w:val="left" w:pos="5371"/>
          <w:tab w:val="left" w:pos="7909"/>
        </w:tabs>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负责文化、体育和旅游行业信息化、标准化建设。推进文化和旅游科技创新。</w:t>
      </w:r>
    </w:p>
    <w:p w14:paraId="231ECA31">
      <w:pPr>
        <w:pStyle w:val="9"/>
        <w:keepNext w:val="0"/>
        <w:keepLines w:val="0"/>
        <w:pageBreakBefore w:val="0"/>
        <w:widowControl w:val="0"/>
        <w:tabs>
          <w:tab w:val="left" w:pos="3425"/>
        </w:tabs>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（7）</w:t>
      </w:r>
      <w:r>
        <w:rPr>
          <w:rFonts w:hint="default" w:ascii="Times New Roman" w:hAnsi="Times New Roman" w:eastAsia="仿宋_GB2312" w:cs="Times New Roman"/>
          <w:color w:val="auto"/>
          <w:sz w:val="32"/>
          <w:szCs w:val="32"/>
        </w:rPr>
        <w:t>负责非物质文化遗产保护工作，推动非物质文化遗产的保护、传承、普及、弘扬和振兴。</w:t>
      </w:r>
    </w:p>
    <w:p w14:paraId="0D9AE346">
      <w:pPr>
        <w:pStyle w:val="9"/>
        <w:keepNext w:val="0"/>
        <w:keepLines w:val="0"/>
        <w:pageBreakBefore w:val="0"/>
        <w:widowControl w:val="0"/>
        <w:tabs>
          <w:tab w:val="left" w:pos="3978"/>
          <w:tab w:val="left" w:pos="6542"/>
          <w:tab w:val="left" w:pos="8108"/>
        </w:tabs>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（8）</w:t>
      </w:r>
      <w:r>
        <w:rPr>
          <w:rFonts w:hint="default" w:ascii="Times New Roman" w:hAnsi="Times New Roman" w:eastAsia="仿宋_GB2312" w:cs="Times New Roman"/>
          <w:color w:val="auto"/>
          <w:sz w:val="32"/>
          <w:szCs w:val="32"/>
        </w:rPr>
        <w:t>管理和指导全县文物保护利用和考古工作，组织开展</w:t>
      </w:r>
      <w:r>
        <w:rPr>
          <w:rFonts w:hint="default" w:ascii="Times New Roman" w:hAnsi="Times New Roman" w:cs="Times New Roman"/>
          <w:color w:val="auto"/>
          <w:sz w:val="32"/>
          <w:szCs w:val="32"/>
          <w:lang w:val="en-US" w:eastAsia="zh-CN"/>
        </w:rPr>
        <w:t>文</w:t>
      </w:r>
      <w:r>
        <w:rPr>
          <w:rFonts w:hint="default" w:ascii="Times New Roman" w:hAnsi="Times New Roman" w:eastAsia="仿宋_GB2312" w:cs="Times New Roman"/>
          <w:color w:val="auto"/>
          <w:sz w:val="32"/>
          <w:szCs w:val="32"/>
        </w:rPr>
        <w:t>物资源调查工作；协调、指导和监督全县文物安全工作，负责全县世界文化遗产保护和管理工作，协同相关部门开展世界文化与自然遗产、历史文化名城（乡镇、村）申报和管理工作，负责全县文物和博物馆公共服务体系建设。</w:t>
      </w:r>
    </w:p>
    <w:p w14:paraId="024351C4">
      <w:pPr>
        <w:pStyle w:val="9"/>
        <w:keepNext w:val="0"/>
        <w:keepLines w:val="0"/>
        <w:pageBreakBefore w:val="0"/>
        <w:widowControl w:val="0"/>
        <w:tabs>
          <w:tab w:val="left" w:pos="3978"/>
          <w:tab w:val="left" w:pos="6542"/>
          <w:tab w:val="left" w:pos="8108"/>
        </w:tabs>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（9）</w:t>
      </w:r>
      <w:r>
        <w:rPr>
          <w:rFonts w:hint="default" w:ascii="Times New Roman" w:hAnsi="Times New Roman" w:eastAsia="仿宋_GB2312" w:cs="Times New Roman"/>
          <w:color w:val="auto"/>
          <w:sz w:val="32"/>
          <w:szCs w:val="32"/>
        </w:rPr>
        <w:t>负责拟订全县群众体育发展规划并组织实施；贯彻落实全民健身计划，建立和完善</w:t>
      </w:r>
      <w:bookmarkStart w:id="115" w:name="_GoBack"/>
      <w:r>
        <w:rPr>
          <w:rFonts w:hint="eastAsia" w:ascii="Times New Roman" w:cs="Times New Roman"/>
          <w:color w:val="auto"/>
          <w:sz w:val="32"/>
          <w:szCs w:val="32"/>
          <w:lang w:eastAsia="zh-CN"/>
        </w:rPr>
        <w:t>全民健身公共服务体系</w:t>
      </w:r>
      <w:bookmarkEnd w:id="115"/>
      <w:r>
        <w:rPr>
          <w:rFonts w:hint="default" w:ascii="Times New Roman" w:hAnsi="Times New Roman" w:eastAsia="仿宋_GB2312" w:cs="Times New Roman"/>
          <w:color w:val="auto"/>
          <w:sz w:val="32"/>
          <w:szCs w:val="32"/>
        </w:rPr>
        <w:t>，指导和开展群众性体育活动；负责社会体育指导员培训、国民体质监测和高危体育项目管理；负责挖掘、传承、保护全县少数民族传统体育项目；协助体育彩票销售的监督管理。</w:t>
      </w:r>
    </w:p>
    <w:p w14:paraId="6F34A1FC">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负责拟订全县</w:t>
      </w:r>
      <w:r>
        <w:rPr>
          <w:rFonts w:hint="default" w:ascii="Times New Roman" w:hAnsi="Times New Roman" w:cs="Times New Roman"/>
          <w:color w:val="auto"/>
          <w:sz w:val="32"/>
          <w:szCs w:val="32"/>
          <w:lang w:val="en-US" w:eastAsia="zh-CN"/>
        </w:rPr>
        <w:t>竞技体育</w:t>
      </w:r>
      <w:r>
        <w:rPr>
          <w:rFonts w:hint="default" w:ascii="Times New Roman" w:hAnsi="Times New Roman" w:eastAsia="仿宋_GB2312" w:cs="Times New Roman"/>
          <w:color w:val="auto"/>
          <w:sz w:val="32"/>
          <w:szCs w:val="32"/>
        </w:rPr>
        <w:t>发展规划并组织实施；指导体育训练和运动员队伍建设，协调运动员社会保障工作，统筹组织全县综合性运动会、参加州级以上体育</w:t>
      </w:r>
      <w:r>
        <w:rPr>
          <w:rFonts w:hint="default" w:ascii="Times New Roman" w:hAnsi="Times New Roman" w:cs="Times New Roman"/>
          <w:color w:val="auto"/>
          <w:sz w:val="32"/>
          <w:szCs w:val="32"/>
          <w:lang w:val="en-US" w:eastAsia="zh-CN"/>
        </w:rPr>
        <w:t>竞</w:t>
      </w:r>
      <w:r>
        <w:rPr>
          <w:rFonts w:hint="default" w:ascii="Times New Roman" w:hAnsi="Times New Roman" w:eastAsia="仿宋_GB2312" w:cs="Times New Roman"/>
          <w:color w:val="auto"/>
          <w:sz w:val="32"/>
          <w:szCs w:val="32"/>
        </w:rPr>
        <w:t>赛和综合性运动会。负责反兴奋剂监督工作。</w:t>
      </w:r>
    </w:p>
    <w:p w14:paraId="5014E99C">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负责拟订全县青少年（学校）体育工作发展规划并组织实施；负责青少年体育锻炼标准的组织实施，指导各级各类体育学校的建设和青少年业余训练及相关活动。</w:t>
      </w:r>
    </w:p>
    <w:p w14:paraId="734EA450">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推动全县文化、体育和旅游市场发展，对全县文化、体育和旅游市场依法进行行业监管，依法规范文化、体育和旅游市场；推进文化、体育和旅游行业信用体系建设。</w:t>
      </w:r>
    </w:p>
    <w:p w14:paraId="6185EDD3">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负责全县旅游景区管理机构、文旅企业的行业管理和标准化建设。</w:t>
      </w:r>
    </w:p>
    <w:p w14:paraId="511A78F4">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（14）</w:t>
      </w:r>
      <w:r>
        <w:rPr>
          <w:rFonts w:hint="default" w:ascii="Times New Roman" w:hAnsi="Times New Roman" w:eastAsia="仿宋_GB2312" w:cs="Times New Roman"/>
          <w:color w:val="auto"/>
          <w:sz w:val="32"/>
          <w:szCs w:val="32"/>
        </w:rPr>
        <w:t>统筹全县文化、文物、体育、旅游、广播电视市场综合行政执法，组织查处全县性、跨区域文化、文物、体育、旅游、广播电视等市场的违法行为，维护市场秩序。</w:t>
      </w:r>
    </w:p>
    <w:p w14:paraId="7AB90A87">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（15）</w:t>
      </w:r>
      <w:r>
        <w:rPr>
          <w:rFonts w:hint="default" w:ascii="Times New Roman" w:hAnsi="Times New Roman" w:eastAsia="仿宋_GB2312" w:cs="Times New Roman"/>
          <w:color w:val="auto"/>
          <w:sz w:val="32"/>
          <w:szCs w:val="32"/>
        </w:rPr>
        <w:t>负责管理文化、体育和旅游对外及对港澳台交流合作与宣传推广工作，组织大型文化和旅游对外及对港澳台交流活动。</w:t>
      </w:r>
    </w:p>
    <w:p w14:paraId="0AD611D1">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（16）</w:t>
      </w:r>
      <w:r>
        <w:rPr>
          <w:rFonts w:hint="default" w:ascii="Times New Roman" w:hAnsi="Times New Roman" w:eastAsia="仿宋_GB2312" w:cs="Times New Roman"/>
          <w:color w:val="auto"/>
          <w:sz w:val="32"/>
          <w:szCs w:val="32"/>
        </w:rPr>
        <w:t>负责文化、体育、旅游和广播电视行业安全生产工作的综合协调与监督管理，制定职责范围内的安全生产年度监督检查计划并组织实施；依法履行行业职业健康监管职责，承担职责范围内生态环境保护、公共机构节能减排、审批服务便民化等工作。</w:t>
      </w:r>
    </w:p>
    <w:p w14:paraId="50EEB5FB">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（17）</w:t>
      </w:r>
      <w:r>
        <w:rPr>
          <w:rFonts w:hint="default" w:ascii="Times New Roman" w:hAnsi="Times New Roman" w:eastAsia="仿宋_GB2312" w:cs="Times New Roman"/>
          <w:color w:val="auto"/>
          <w:sz w:val="32"/>
          <w:szCs w:val="32"/>
        </w:rPr>
        <w:t>负责对县内广播电视机构进行业务指导和行业监管，监督管理县内重大广播电视活动；监督审查广播电视和网络视听节目的内容和质量，指导监管广播电视安全播出和广告安全播放；指导广播电视技术创新。</w:t>
      </w:r>
    </w:p>
    <w:p w14:paraId="4BA0D497">
      <w:pPr>
        <w:pStyle w:val="9"/>
        <w:keepNext w:val="0"/>
        <w:keepLines w:val="0"/>
        <w:pageBreakBefore w:val="0"/>
        <w:widowControl w:val="0"/>
        <w:tabs>
          <w:tab w:val="left" w:pos="6920"/>
        </w:tabs>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rPr>
        <w:t>完成县委、县政府交办的其他任务。</w:t>
      </w:r>
    </w:p>
    <w:p w14:paraId="775BF8AD">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（19）</w:t>
      </w:r>
      <w:r>
        <w:rPr>
          <w:rFonts w:hint="default" w:ascii="Times New Roman" w:hAnsi="Times New Roman" w:eastAsia="仿宋_GB2312" w:cs="Times New Roman"/>
          <w:color w:val="auto"/>
          <w:sz w:val="32"/>
          <w:szCs w:val="32"/>
        </w:rPr>
        <w:t>职能转变。强化文化、体育和旅游要素配置，统筹整合形成文化、体育和旅游发展新优势，着力打造具有地方民族特色的文化、体育和旅游品牌，推进文化、体育和旅游融合发展，巩固旅游业的战略性支柱产业地位，推动旅游业向主导产业发展，提升松潘文化软实力，建设体育强县，努力开创文化、体育和旅游工作新局面。</w:t>
      </w:r>
    </w:p>
    <w:p w14:paraId="602719D6">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（20）</w:t>
      </w:r>
      <w:r>
        <w:rPr>
          <w:rFonts w:hint="default" w:ascii="Times New Roman" w:hAnsi="Times New Roman" w:eastAsia="仿宋_GB2312" w:cs="Times New Roman"/>
          <w:color w:val="auto"/>
          <w:sz w:val="32"/>
          <w:szCs w:val="32"/>
        </w:rPr>
        <w:t>有关职责分工。县文体旅游局会同县科技农牧局建立健全协同配合机制，推动乡村旅游工作。县科技农牧局负责休闲农业推动工作。</w:t>
      </w:r>
    </w:p>
    <w:p w14:paraId="2AC3B716">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黑体" w:cs="Times New Roman"/>
          <w:color w:val="auto"/>
          <w:sz w:val="32"/>
          <w:szCs w:val="32"/>
        </w:rPr>
      </w:pPr>
      <w:bookmarkStart w:id="17" w:name="_Toc3558_WPSOffice_Level2"/>
      <w:bookmarkStart w:id="18" w:name="_Toc15396601"/>
      <w:bookmarkStart w:id="19" w:name="_Toc15377200"/>
      <w:r>
        <w:rPr>
          <w:rFonts w:hint="default" w:ascii="Times New Roman" w:hAnsi="Times New Roman" w:eastAsia="黑体" w:cs="Times New Roman"/>
          <w:color w:val="auto"/>
          <w:sz w:val="32"/>
          <w:szCs w:val="32"/>
        </w:rPr>
        <w:t>二、机构设置</w:t>
      </w:r>
      <w:bookmarkEnd w:id="17"/>
      <w:bookmarkEnd w:id="18"/>
      <w:bookmarkEnd w:id="19"/>
    </w:p>
    <w:p w14:paraId="2CB8884A">
      <w:pPr>
        <w:pStyle w:val="9"/>
        <w:keepNext w:val="0"/>
        <w:keepLines w:val="0"/>
        <w:pageBreakBefore w:val="0"/>
        <w:widowControl w:val="0"/>
        <w:kinsoku/>
        <w:wordWrap/>
        <w:overflowPunct/>
        <w:topLinePunct w:val="0"/>
        <w:autoSpaceDE/>
        <w:bidi w:val="0"/>
        <w:adjustRightInd/>
        <w:snapToGrid/>
        <w:spacing w:beforeLines="0" w:afterAutospacing="0" w:line="552"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rPr>
        <w:t>松潘县文化广播电视体育和旅游局下属二级</w:t>
      </w:r>
      <w:r>
        <w:rPr>
          <w:rFonts w:hint="default" w:ascii="Times New Roman" w:hAnsi="Times New Roman" w:eastAsia="仿宋_GB2312" w:cs="Times New Roman"/>
          <w:color w:val="auto"/>
          <w:sz w:val="32"/>
          <w:szCs w:val="32"/>
          <w:lang w:eastAsia="zh-CN"/>
        </w:rPr>
        <w:t>预算</w:t>
      </w:r>
      <w:r>
        <w:rPr>
          <w:rFonts w:hint="default" w:ascii="Times New Roman" w:hAnsi="Times New Roman" w:eastAsia="仿宋_GB2312" w:cs="Times New Roman"/>
          <w:color w:val="auto"/>
          <w:sz w:val="32"/>
          <w:szCs w:val="32"/>
        </w:rPr>
        <w:t>单位</w:t>
      </w:r>
      <w:r>
        <w:rPr>
          <w:rFonts w:hint="default" w:ascii="Times New Roman" w:hAnsi="Times New Roman" w:cs="Times New Roman"/>
          <w:color w:val="auto"/>
          <w:sz w:val="32"/>
          <w:szCs w:val="32"/>
          <w:lang w:val="en-US" w:eastAsia="zh-CN"/>
        </w:rPr>
        <w:t>8</w:t>
      </w:r>
      <w:r>
        <w:rPr>
          <w:rFonts w:hint="default" w:ascii="Times New Roman" w:hAnsi="Times New Roman" w:eastAsia="仿宋_GB2312" w:cs="Times New Roman"/>
          <w:color w:val="auto"/>
          <w:sz w:val="32"/>
          <w:szCs w:val="32"/>
        </w:rPr>
        <w:t>个，其中行政单位</w:t>
      </w:r>
      <w:r>
        <w:rPr>
          <w:rFonts w:hint="default"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个，其他事业</w:t>
      </w:r>
      <w:r>
        <w:rPr>
          <w:rFonts w:hint="default" w:ascii="Times New Roman" w:hAnsi="Times New Roman" w:eastAsia="仿宋_GB2312" w:cs="Times New Roman"/>
          <w:color w:val="auto"/>
          <w:sz w:val="32"/>
          <w:szCs w:val="32"/>
          <w:highlight w:val="none"/>
        </w:rPr>
        <w:t>单位</w:t>
      </w:r>
      <w:r>
        <w:rPr>
          <w:rFonts w:hint="default" w:ascii="Times New Roman" w:hAnsi="Times New Roman" w:cs="Times New Roman"/>
          <w:color w:val="auto"/>
          <w:sz w:val="32"/>
          <w:szCs w:val="32"/>
          <w:highlight w:val="none"/>
          <w:lang w:val="en-US" w:eastAsia="zh-CN"/>
        </w:rPr>
        <w:t>7</w:t>
      </w:r>
      <w:r>
        <w:rPr>
          <w:rFonts w:hint="default" w:ascii="Times New Roman" w:hAnsi="Times New Roman" w:eastAsia="仿宋_GB2312" w:cs="Times New Roman"/>
          <w:color w:val="auto"/>
          <w:sz w:val="32"/>
          <w:szCs w:val="32"/>
          <w:highlight w:val="none"/>
        </w:rPr>
        <w:t>个。</w:t>
      </w:r>
    </w:p>
    <w:p w14:paraId="347CF690">
      <w:pPr>
        <w:pStyle w:val="9"/>
        <w:pageBreakBefore w:val="0"/>
        <w:kinsoku/>
        <w:wordWrap/>
        <w:overflowPunct/>
        <w:topLinePunct w:val="0"/>
        <w:autoSpaceDE/>
        <w:bidi w:val="0"/>
        <w:adjustRightInd w:val="0"/>
        <w:snapToGrid w:val="0"/>
        <w:spacing w:before="93" w:line="552" w:lineRule="exact"/>
        <w:ind w:firstLine="672" w:firstLineChars="21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纳入</w:t>
      </w:r>
      <w:r>
        <w:rPr>
          <w:rFonts w:hint="default" w:ascii="Times New Roman" w:hAnsi="Times New Roman" w:cs="Times New Roman"/>
          <w:sz w:val="32"/>
          <w:szCs w:val="32"/>
        </w:rPr>
        <w:t>松潘县文化广播电视体育和旅游局</w:t>
      </w:r>
      <w:r>
        <w:rPr>
          <w:rFonts w:hint="default" w:ascii="Times New Roman" w:hAnsi="Times New Roman" w:eastAsia="仿宋_GB2312" w:cs="Times New Roman"/>
          <w:color w:val="auto"/>
          <w:sz w:val="32"/>
          <w:szCs w:val="32"/>
          <w:highlight w:val="none"/>
          <w:lang w:eastAsia="zh-CN"/>
        </w:rPr>
        <w:t>202</w:t>
      </w:r>
      <w:r>
        <w:rPr>
          <w:rFonts w:hint="default"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eastAsia="zh-CN"/>
        </w:rPr>
        <w:t>年度</w:t>
      </w:r>
      <w:r>
        <w:rPr>
          <w:rFonts w:hint="default" w:ascii="Times New Roman" w:hAnsi="Times New Roman" w:eastAsia="仿宋_GB2312" w:cs="Times New Roman"/>
          <w:color w:val="auto"/>
          <w:sz w:val="32"/>
          <w:szCs w:val="32"/>
          <w:highlight w:val="none"/>
        </w:rPr>
        <w:t>部门决算编制范围的二级预算单位包括：</w:t>
      </w:r>
    </w:p>
    <w:p w14:paraId="790CBE38">
      <w:pPr>
        <w:pStyle w:val="8"/>
        <w:pageBreakBefore w:val="0"/>
        <w:kinsoku/>
        <w:wordWrap/>
        <w:overflowPunct/>
        <w:topLinePunct w:val="0"/>
        <w:autoSpaceDE/>
        <w:bidi w:val="0"/>
        <w:spacing w:line="552" w:lineRule="exact"/>
        <w:ind w:firstLine="640" w:firstLineChars="200"/>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sz w:val="32"/>
          <w:szCs w:val="32"/>
          <w:lang w:val="en-US" w:eastAsia="zh-CN"/>
        </w:rPr>
        <w:t>（1）松潘县</w:t>
      </w:r>
      <w:r>
        <w:rPr>
          <w:rFonts w:hint="default" w:ascii="Times New Roman" w:hAnsi="Times New Roman" w:eastAsia="仿宋_GB2312" w:cs="Times New Roman"/>
          <w:sz w:val="32"/>
          <w:szCs w:val="32"/>
          <w:lang w:eastAsia="zh-CN"/>
        </w:rPr>
        <w:t>文化广播电视体育和旅游局</w:t>
      </w:r>
    </w:p>
    <w:p w14:paraId="5ABCF235">
      <w:pPr>
        <w:keepNext w:val="0"/>
        <w:keepLines w:val="0"/>
        <w:pageBreakBefore w:val="0"/>
        <w:widowControl w:val="0"/>
        <w:kinsoku/>
        <w:wordWrap/>
        <w:overflowPunct/>
        <w:topLinePunct w:val="0"/>
        <w:autoSpaceDE/>
        <w:autoSpaceDN/>
        <w:bidi w:val="0"/>
        <w:adjustRightInd/>
        <w:snapToGrid/>
        <w:spacing w:afterAutospacing="0" w:line="552" w:lineRule="exact"/>
        <w:ind w:firstLine="640" w:firstLineChars="200"/>
        <w:textAlignment w:val="auto"/>
        <w:rPr>
          <w:rFonts w:hint="default" w:ascii="Times New Roman" w:hAnsi="Times New Roman" w:eastAsia="仿宋_GB2312" w:cs="Times New Roman"/>
          <w:sz w:val="32"/>
          <w:szCs w:val="32"/>
          <w:lang w:val="en-US" w:eastAsia="zh-CN"/>
        </w:rPr>
      </w:pPr>
      <w:bookmarkStart w:id="20" w:name="_Toc79163606"/>
      <w:bookmarkStart w:id="21" w:name="_Toc15378448"/>
      <w:bookmarkStart w:id="22" w:name="_Toc15377432"/>
      <w:bookmarkStart w:id="23" w:name="_Toc15306275"/>
      <w:bookmarkStart w:id="24" w:name="_Toc15377201"/>
      <w:r>
        <w:rPr>
          <w:rFonts w:hint="default" w:ascii="Times New Roman" w:hAnsi="Times New Roman" w:eastAsia="仿宋_GB2312" w:cs="Times New Roman"/>
          <w:sz w:val="32"/>
          <w:szCs w:val="32"/>
          <w:lang w:val="en-US" w:eastAsia="zh-CN"/>
        </w:rPr>
        <w:t>（2）松潘县文化和旅游服务中心</w:t>
      </w:r>
    </w:p>
    <w:p w14:paraId="24FA201A">
      <w:pPr>
        <w:keepNext w:val="0"/>
        <w:keepLines w:val="0"/>
        <w:pageBreakBefore w:val="0"/>
        <w:widowControl w:val="0"/>
        <w:kinsoku/>
        <w:wordWrap/>
        <w:overflowPunct/>
        <w:topLinePunct w:val="0"/>
        <w:autoSpaceDE/>
        <w:autoSpaceDN/>
        <w:bidi w:val="0"/>
        <w:adjustRightInd/>
        <w:snapToGrid/>
        <w:spacing w:afterAutospacing="0" w:line="552"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（3）松潘县</w:t>
      </w:r>
      <w:r>
        <w:rPr>
          <w:rFonts w:hint="default" w:ascii="Times New Roman" w:hAnsi="Times New Roman" w:eastAsia="仿宋_GB2312" w:cs="Times New Roman"/>
          <w:sz w:val="32"/>
          <w:szCs w:val="32"/>
          <w:lang w:eastAsia="zh-CN"/>
        </w:rPr>
        <w:t>文化馆</w:t>
      </w:r>
      <w:bookmarkEnd w:id="20"/>
      <w:bookmarkEnd w:id="21"/>
      <w:bookmarkEnd w:id="22"/>
      <w:bookmarkEnd w:id="23"/>
      <w:bookmarkEnd w:id="24"/>
    </w:p>
    <w:p w14:paraId="4F3CDF85">
      <w:pPr>
        <w:keepNext w:val="0"/>
        <w:keepLines w:val="0"/>
        <w:pageBreakBefore w:val="0"/>
        <w:widowControl w:val="0"/>
        <w:kinsoku/>
        <w:wordWrap/>
        <w:overflowPunct/>
        <w:topLinePunct w:val="0"/>
        <w:autoSpaceDE/>
        <w:autoSpaceDN/>
        <w:bidi w:val="0"/>
        <w:adjustRightInd/>
        <w:snapToGrid/>
        <w:spacing w:afterAutospacing="0" w:line="552" w:lineRule="exact"/>
        <w:ind w:firstLine="640" w:firstLineChars="200"/>
        <w:textAlignment w:val="auto"/>
        <w:rPr>
          <w:rFonts w:hint="default" w:ascii="Times New Roman" w:hAnsi="Times New Roman" w:eastAsia="仿宋_GB2312" w:cs="Times New Roman"/>
          <w:sz w:val="32"/>
          <w:szCs w:val="32"/>
        </w:rPr>
      </w:pPr>
      <w:bookmarkStart w:id="25" w:name="_Toc15377433"/>
      <w:bookmarkStart w:id="26" w:name="_Toc15378449"/>
      <w:bookmarkStart w:id="27" w:name="_Toc15377202"/>
      <w:bookmarkStart w:id="28" w:name="_Toc79163607"/>
      <w:bookmarkStart w:id="29" w:name="_Toc15306276"/>
      <w:r>
        <w:rPr>
          <w:rFonts w:hint="default" w:ascii="Times New Roman" w:hAnsi="Times New Roman" w:eastAsia="仿宋_GB2312" w:cs="Times New Roman"/>
          <w:sz w:val="32"/>
          <w:szCs w:val="32"/>
          <w:lang w:val="en-US" w:eastAsia="zh-CN"/>
        </w:rPr>
        <w:t>（4）松潘县</w:t>
      </w:r>
      <w:r>
        <w:rPr>
          <w:rFonts w:hint="default" w:ascii="Times New Roman" w:hAnsi="Times New Roman" w:eastAsia="仿宋_GB2312" w:cs="Times New Roman"/>
          <w:sz w:val="32"/>
          <w:szCs w:val="32"/>
          <w:lang w:eastAsia="zh-CN"/>
        </w:rPr>
        <w:t>图书馆</w:t>
      </w:r>
      <w:bookmarkEnd w:id="25"/>
      <w:bookmarkEnd w:id="26"/>
      <w:bookmarkEnd w:id="27"/>
      <w:bookmarkEnd w:id="28"/>
      <w:bookmarkEnd w:id="29"/>
    </w:p>
    <w:p w14:paraId="7CAA2A97">
      <w:pPr>
        <w:keepNext w:val="0"/>
        <w:keepLines w:val="0"/>
        <w:pageBreakBefore w:val="0"/>
        <w:widowControl w:val="0"/>
        <w:kinsoku/>
        <w:wordWrap/>
        <w:overflowPunct/>
        <w:topLinePunct w:val="0"/>
        <w:autoSpaceDE/>
        <w:autoSpaceDN/>
        <w:bidi w:val="0"/>
        <w:adjustRightInd/>
        <w:snapToGrid/>
        <w:spacing w:afterAutospacing="0" w:line="552" w:lineRule="exact"/>
        <w:ind w:firstLine="640" w:firstLineChars="200"/>
        <w:textAlignment w:val="auto"/>
        <w:rPr>
          <w:rFonts w:hint="default" w:ascii="Times New Roman" w:hAnsi="Times New Roman" w:eastAsia="仿宋_GB2312" w:cs="Times New Roman"/>
          <w:sz w:val="32"/>
          <w:szCs w:val="32"/>
        </w:rPr>
      </w:pPr>
      <w:bookmarkStart w:id="30" w:name="_Toc15306277"/>
      <w:bookmarkStart w:id="31" w:name="_Toc79163608"/>
      <w:bookmarkStart w:id="32" w:name="_Toc15377434"/>
      <w:bookmarkStart w:id="33" w:name="_Toc15378450"/>
      <w:bookmarkStart w:id="34" w:name="_Toc15377203"/>
      <w:r>
        <w:rPr>
          <w:rFonts w:hint="default" w:ascii="Times New Roman" w:hAnsi="Times New Roman" w:eastAsia="仿宋_GB2312" w:cs="Times New Roman"/>
          <w:sz w:val="32"/>
          <w:szCs w:val="32"/>
          <w:lang w:val="en-US" w:eastAsia="zh-CN"/>
        </w:rPr>
        <w:t>（5）松潘县</w:t>
      </w:r>
      <w:r>
        <w:rPr>
          <w:rFonts w:hint="default" w:ascii="Times New Roman" w:hAnsi="Times New Roman" w:eastAsia="仿宋_GB2312" w:cs="Times New Roman"/>
          <w:sz w:val="32"/>
          <w:szCs w:val="32"/>
          <w:lang w:eastAsia="zh-CN"/>
        </w:rPr>
        <w:t>文物管理所</w:t>
      </w:r>
      <w:bookmarkEnd w:id="30"/>
      <w:bookmarkEnd w:id="31"/>
      <w:bookmarkEnd w:id="32"/>
      <w:bookmarkEnd w:id="33"/>
      <w:bookmarkEnd w:id="34"/>
    </w:p>
    <w:p w14:paraId="74833ADA">
      <w:pPr>
        <w:keepNext w:val="0"/>
        <w:keepLines w:val="0"/>
        <w:pageBreakBefore w:val="0"/>
        <w:widowControl w:val="0"/>
        <w:kinsoku/>
        <w:wordWrap/>
        <w:overflowPunct/>
        <w:topLinePunct w:val="0"/>
        <w:autoSpaceDE/>
        <w:autoSpaceDN/>
        <w:bidi w:val="0"/>
        <w:adjustRightInd/>
        <w:snapToGrid/>
        <w:spacing w:afterAutospacing="0" w:line="552"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（6）松潘县沙窝会议会址陈列馆</w:t>
      </w:r>
    </w:p>
    <w:p w14:paraId="65FA6A1D">
      <w:pPr>
        <w:keepNext w:val="0"/>
        <w:keepLines w:val="0"/>
        <w:pageBreakBefore w:val="0"/>
        <w:widowControl w:val="0"/>
        <w:kinsoku/>
        <w:wordWrap/>
        <w:overflowPunct/>
        <w:topLinePunct w:val="0"/>
        <w:autoSpaceDE/>
        <w:autoSpaceDN/>
        <w:bidi w:val="0"/>
        <w:adjustRightInd/>
        <w:snapToGrid/>
        <w:spacing w:afterAutospacing="0" w:line="552"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（7）松潘县毛儿盖会议会址陈列馆</w:t>
      </w:r>
    </w:p>
    <w:p w14:paraId="44FFA012">
      <w:pPr>
        <w:keepNext w:val="0"/>
        <w:keepLines w:val="0"/>
        <w:pageBreakBefore w:val="0"/>
        <w:widowControl w:val="0"/>
        <w:kinsoku/>
        <w:wordWrap/>
        <w:overflowPunct/>
        <w:topLinePunct w:val="0"/>
        <w:autoSpaceDE/>
        <w:autoSpaceDN/>
        <w:bidi w:val="0"/>
        <w:adjustRightInd/>
        <w:snapToGrid/>
        <w:spacing w:afterAutospacing="0" w:line="552"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bookmarkStart w:id="35" w:name="_Toc16038_WPSOffice_Level1"/>
      <w:bookmarkStart w:id="36" w:name="_Toc15377204"/>
      <w:bookmarkStart w:id="37" w:name="_Toc15396602"/>
      <w:r>
        <w:rPr>
          <w:rFonts w:hint="default" w:ascii="Times New Roman" w:hAnsi="Times New Roman" w:eastAsia="仿宋_GB2312" w:cs="Times New Roman"/>
          <w:sz w:val="32"/>
          <w:szCs w:val="32"/>
          <w:lang w:val="en-US" w:eastAsia="zh-CN"/>
        </w:rPr>
        <w:t>松潘县红军</w:t>
      </w:r>
      <w:r>
        <w:rPr>
          <w:rFonts w:hint="eastAsia" w:eastAsia="仿宋_GB2312" w:cs="Times New Roman"/>
          <w:sz w:val="32"/>
          <w:szCs w:val="32"/>
          <w:lang w:val="en-US" w:eastAsia="zh-CN"/>
        </w:rPr>
        <w:t>过草地</w:t>
      </w:r>
      <w:r>
        <w:rPr>
          <w:rFonts w:hint="default" w:ascii="Times New Roman" w:hAnsi="Times New Roman" w:eastAsia="仿宋_GB2312" w:cs="Times New Roman"/>
          <w:sz w:val="32"/>
          <w:szCs w:val="32"/>
          <w:lang w:val="en-US" w:eastAsia="zh-CN"/>
        </w:rPr>
        <w:t>陈列馆</w:t>
      </w:r>
    </w:p>
    <w:p w14:paraId="20D6E2E2">
      <w:pPr>
        <w:pStyle w:val="2"/>
        <w:rPr>
          <w:rFonts w:hint="default" w:ascii="Times New Roman" w:hAnsi="Times New Roman" w:eastAsia="仿宋_GB2312" w:cs="Times New Roman"/>
          <w:sz w:val="32"/>
          <w:szCs w:val="32"/>
          <w:lang w:val="en-US" w:eastAsia="zh-CN"/>
        </w:rPr>
      </w:pPr>
    </w:p>
    <w:p w14:paraId="671DF532">
      <w:pPr>
        <w:pStyle w:val="3"/>
        <w:rPr>
          <w:rFonts w:hint="default" w:ascii="Times New Roman" w:hAnsi="Times New Roman" w:eastAsia="仿宋_GB2312" w:cs="Times New Roman"/>
          <w:sz w:val="32"/>
          <w:szCs w:val="32"/>
          <w:lang w:val="en-US" w:eastAsia="zh-CN"/>
        </w:rPr>
      </w:pPr>
    </w:p>
    <w:p w14:paraId="61561A30">
      <w:pPr>
        <w:rPr>
          <w:rFonts w:hint="default" w:ascii="Times New Roman" w:hAnsi="Times New Roman" w:cs="Times New Roman"/>
        </w:rPr>
      </w:pPr>
    </w:p>
    <w:p w14:paraId="11926B43">
      <w:pPr>
        <w:pStyle w:val="5"/>
        <w:pageBreakBefore w:val="0"/>
        <w:widowControl w:val="0"/>
        <w:kinsoku/>
        <w:wordWrap/>
        <w:overflowPunct/>
        <w:topLinePunct w:val="0"/>
        <w:autoSpaceDE/>
        <w:autoSpaceDN/>
        <w:bidi w:val="0"/>
        <w:adjustRightInd/>
        <w:spacing w:line="576" w:lineRule="exact"/>
        <w:jc w:val="center"/>
        <w:textAlignment w:val="auto"/>
        <w:rPr>
          <w:rFonts w:hint="default" w:ascii="Times New Roman" w:hAnsi="Times New Roman" w:cs="Times New Roman"/>
          <w:color w:val="auto"/>
          <w:highlight w:val="none"/>
        </w:rPr>
      </w:pPr>
      <w:r>
        <w:rPr>
          <w:rFonts w:hint="default" w:ascii="Times New Roman" w:hAnsi="Times New Roman" w:eastAsia="方正小标宋简体" w:cs="Times New Roman"/>
          <w:b w:val="0"/>
          <w:color w:val="auto"/>
          <w:highlight w:val="none"/>
        </w:rPr>
        <w:t>第二部分</w:t>
      </w:r>
      <w:r>
        <w:rPr>
          <w:rFonts w:hint="default" w:ascii="Times New Roman" w:hAnsi="Times New Roman" w:eastAsia="方正小标宋简体" w:cs="Times New Roman"/>
          <w:b w:val="0"/>
          <w:color w:val="auto"/>
          <w:highlight w:val="none"/>
          <w:lang w:val="en-US" w:eastAsia="zh-CN"/>
        </w:rPr>
        <w:t xml:space="preserve">  2025年度</w:t>
      </w:r>
      <w:r>
        <w:rPr>
          <w:rFonts w:hint="default" w:ascii="Times New Roman" w:hAnsi="Times New Roman" w:eastAsia="方正小标宋简体" w:cs="Times New Roman"/>
          <w:b w:val="0"/>
          <w:color w:val="auto"/>
          <w:highlight w:val="none"/>
        </w:rPr>
        <w:t>部门决算情况说明</w:t>
      </w:r>
      <w:bookmarkEnd w:id="35"/>
      <w:bookmarkEnd w:id="36"/>
      <w:bookmarkEnd w:id="37"/>
    </w:p>
    <w:p w14:paraId="0A654A19">
      <w:pPr>
        <w:pStyle w:val="32"/>
        <w:keepNext w:val="0"/>
        <w:keepLines w:val="0"/>
        <w:pageBreakBefore w:val="0"/>
        <w:widowControl w:val="0"/>
        <w:numPr>
          <w:ilvl w:val="0"/>
          <w:numId w:val="0"/>
        </w:numPr>
        <w:kinsoku/>
        <w:wordWrap/>
        <w:overflowPunct/>
        <w:topLinePunct w:val="0"/>
        <w:autoSpaceDE/>
        <w:autoSpaceDN/>
        <w:bidi w:val="0"/>
        <w:adjustRightInd/>
        <w:snapToGrid/>
        <w:spacing w:line="576" w:lineRule="exact"/>
        <w:textAlignment w:val="auto"/>
        <w:outlineLvl w:val="1"/>
        <w:rPr>
          <w:rFonts w:hint="default" w:ascii="Times New Roman" w:hAnsi="Times New Roman" w:eastAsia="黑体" w:cs="Times New Roman"/>
          <w:color w:val="auto"/>
          <w:sz w:val="32"/>
          <w:szCs w:val="32"/>
          <w:highlight w:val="none"/>
          <w:lang w:eastAsia="zh-CN"/>
        </w:rPr>
      </w:pPr>
      <w:bookmarkStart w:id="38" w:name="_Toc15377205"/>
      <w:bookmarkStart w:id="39" w:name="_Toc31271_WPSOffice_Level2"/>
      <w:bookmarkStart w:id="40" w:name="_Toc15396603"/>
    </w:p>
    <w:p w14:paraId="488D31EB">
      <w:pPr>
        <w:pStyle w:val="3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4"/>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lang w:eastAsia="zh-CN"/>
        </w:rPr>
        <w:t>一、</w:t>
      </w:r>
      <w:r>
        <w:rPr>
          <w:rFonts w:hint="default" w:ascii="Times New Roman" w:hAnsi="Times New Roman" w:eastAsia="黑体" w:cs="Times New Roman"/>
          <w:color w:val="auto"/>
          <w:sz w:val="32"/>
          <w:szCs w:val="32"/>
          <w:highlight w:val="none"/>
        </w:rPr>
        <w:t>收</w:t>
      </w:r>
      <w:r>
        <w:rPr>
          <w:rStyle w:val="34"/>
          <w:rFonts w:hint="default" w:ascii="Times New Roman" w:hAnsi="Times New Roman" w:eastAsia="黑体" w:cs="Times New Roman"/>
          <w:b w:val="0"/>
          <w:color w:val="auto"/>
          <w:highlight w:val="none"/>
        </w:rPr>
        <w:t>入支出决算总体情况说明</w:t>
      </w:r>
      <w:bookmarkEnd w:id="38"/>
      <w:bookmarkEnd w:id="39"/>
      <w:bookmarkEnd w:id="40"/>
    </w:p>
    <w:p w14:paraId="2C62D4E7">
      <w:pPr>
        <w:pStyle w:val="32"/>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2025年度收入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w:t>
      </w:r>
      <w:r>
        <w:rPr>
          <w:rFonts w:hint="default" w:ascii="Times New Roman" w:hAnsi="Times New Roman" w:eastAsia="仿宋_GB2312" w:cs="Times New Roman"/>
          <w:color w:val="auto"/>
          <w:sz w:val="32"/>
          <w:szCs w:val="32"/>
          <w:highlight w:val="none"/>
          <w:lang w:eastAsia="zh-CN"/>
        </w:rPr>
        <w:t>均为</w:t>
      </w:r>
      <w:r>
        <w:rPr>
          <w:rFonts w:hint="default" w:ascii="Times New Roman" w:hAnsi="Times New Roman" w:eastAsia="仿宋_GB2312" w:cs="Times New Roman"/>
          <w:sz w:val="32"/>
          <w:szCs w:val="32"/>
        </w:rPr>
        <w:t>2987.86</w:t>
      </w:r>
      <w:r>
        <w:rPr>
          <w:rFonts w:hint="default" w:ascii="Times New Roman" w:hAnsi="Times New Roman" w:eastAsia="仿宋_GB2312" w:cs="Times New Roman"/>
          <w:color w:val="auto"/>
          <w:sz w:val="32"/>
          <w:szCs w:val="32"/>
          <w:highlight w:val="none"/>
        </w:rPr>
        <w:t>万元。与</w:t>
      </w:r>
      <w:r>
        <w:rPr>
          <w:rFonts w:hint="default" w:ascii="Times New Roman" w:hAnsi="Times New Roman" w:eastAsia="仿宋_GB2312" w:cs="Times New Roman"/>
          <w:color w:val="auto"/>
          <w:sz w:val="32"/>
          <w:szCs w:val="32"/>
          <w:highlight w:val="none"/>
          <w:lang w:eastAsia="zh-CN"/>
        </w:rPr>
        <w:t>上</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eastAsia="zh-CN"/>
        </w:rPr>
        <w:t>度</w:t>
      </w:r>
      <w:r>
        <w:rPr>
          <w:rFonts w:hint="default" w:ascii="Times New Roman" w:hAnsi="Times New Roman" w:eastAsia="仿宋_GB2312" w:cs="Times New Roman"/>
          <w:color w:val="auto"/>
          <w:sz w:val="32"/>
          <w:szCs w:val="32"/>
          <w:highlight w:val="none"/>
        </w:rPr>
        <w:t>相比，</w:t>
      </w:r>
      <w:r>
        <w:rPr>
          <w:rFonts w:hint="default" w:ascii="Times New Roman" w:hAnsi="Times New Roman" w:eastAsia="仿宋_GB2312" w:cs="Times New Roman"/>
          <w:color w:val="auto"/>
          <w:sz w:val="32"/>
          <w:szCs w:val="32"/>
          <w:highlight w:val="none"/>
          <w:lang w:eastAsia="zh-CN"/>
        </w:rPr>
        <w:t>收入</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eastAsia="zh-CN"/>
        </w:rPr>
        <w:t>支出</w:t>
      </w:r>
      <w:r>
        <w:rPr>
          <w:rFonts w:hint="default" w:ascii="Times New Roman" w:hAnsi="Times New Roman" w:eastAsia="仿宋_GB2312" w:cs="Times New Roman"/>
          <w:color w:val="auto"/>
          <w:sz w:val="32"/>
          <w:szCs w:val="32"/>
          <w:highlight w:val="none"/>
        </w:rPr>
        <w:t>总计各增加</w:t>
      </w:r>
      <w:r>
        <w:rPr>
          <w:rFonts w:hint="default" w:ascii="Times New Roman" w:hAnsi="Times New Roman" w:eastAsia="仿宋_GB2312" w:cs="Times New Roman"/>
          <w:color w:val="auto"/>
          <w:sz w:val="32"/>
          <w:szCs w:val="32"/>
          <w:highlight w:val="none"/>
          <w:lang w:val="en-US" w:eastAsia="zh-CN"/>
        </w:rPr>
        <w:t>109.35</w:t>
      </w:r>
      <w:r>
        <w:rPr>
          <w:rFonts w:hint="default" w:ascii="Times New Roman" w:hAnsi="Times New Roman" w:eastAsia="仿宋_GB2312" w:cs="Times New Roman"/>
          <w:color w:val="auto"/>
          <w:sz w:val="32"/>
          <w:szCs w:val="32"/>
          <w:highlight w:val="none"/>
        </w:rPr>
        <w:t>万元，增长</w:t>
      </w:r>
      <w:r>
        <w:rPr>
          <w:rFonts w:hint="default" w:ascii="Times New Roman" w:hAnsi="Times New Roman" w:eastAsia="仿宋_GB2312" w:cs="Times New Roman"/>
          <w:color w:val="auto"/>
          <w:sz w:val="32"/>
          <w:szCs w:val="32"/>
          <w:highlight w:val="none"/>
          <w:lang w:val="en-US" w:eastAsia="zh-CN"/>
        </w:rPr>
        <w:t>3.76</w:t>
      </w:r>
      <w:r>
        <w:rPr>
          <w:rFonts w:hint="default" w:ascii="Times New Roman" w:hAnsi="Times New Roman" w:eastAsia="仿宋_GB2312" w:cs="Times New Roman"/>
          <w:color w:val="auto"/>
          <w:sz w:val="32"/>
          <w:szCs w:val="32"/>
          <w:highlight w:val="none"/>
        </w:rPr>
        <w:t>%。主要变动原因</w:t>
      </w:r>
      <w:r>
        <w:rPr>
          <w:rFonts w:hint="default" w:ascii="Times New Roman" w:hAnsi="Times New Roman" w:eastAsia="仿宋_GB2312" w:cs="Times New Roman"/>
          <w:color w:val="auto"/>
          <w:sz w:val="32"/>
          <w:szCs w:val="32"/>
          <w:highlight w:val="none"/>
          <w:lang w:eastAsia="zh-CN"/>
        </w:rPr>
        <w:t>是本年度文旅、文物保护、红色场馆运维等专项项目资金增加，收支规模相应增长</w:t>
      </w:r>
      <w:r>
        <w:rPr>
          <w:rFonts w:hint="default" w:ascii="Times New Roman" w:hAnsi="Times New Roman" w:eastAsia="仿宋_GB2312" w:cs="Times New Roman"/>
          <w:color w:val="auto"/>
          <w:sz w:val="32"/>
          <w:szCs w:val="32"/>
          <w:highlight w:val="none"/>
          <w:lang w:val="en-US" w:eastAsia="zh-CN"/>
        </w:rPr>
        <w:t>。</w:t>
      </w:r>
    </w:p>
    <w:p w14:paraId="65FDF43F">
      <w:pPr>
        <w:pStyle w:val="3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Fonts w:hint="default" w:ascii="Times New Roman" w:hAnsi="Times New Roman" w:eastAsia="黑体" w:cs="Times New Roman"/>
          <w:color w:val="auto"/>
          <w:sz w:val="32"/>
          <w:szCs w:val="32"/>
          <w:highlight w:val="none"/>
          <w:lang w:eastAsia="zh-CN"/>
        </w:rPr>
      </w:pPr>
      <w:bookmarkStart w:id="41" w:name="_Toc15377206"/>
      <w:bookmarkStart w:id="42" w:name="_Toc15396604"/>
      <w:bookmarkStart w:id="43" w:name="_Toc2067_WPSOffice_Level2"/>
      <w:r>
        <w:rPr>
          <w:rFonts w:hint="default" w:ascii="Times New Roman" w:hAnsi="Times New Roman" w:eastAsia="黑体" w:cs="Times New Roman"/>
          <w:color w:val="auto"/>
          <w:sz w:val="32"/>
          <w:szCs w:val="32"/>
          <w:highlight w:val="none"/>
          <w:lang w:eastAsia="zh-CN"/>
        </w:rPr>
        <w:t>二、收入决算情况说明</w:t>
      </w:r>
      <w:bookmarkEnd w:id="41"/>
      <w:bookmarkEnd w:id="42"/>
      <w:bookmarkEnd w:id="43"/>
    </w:p>
    <w:p w14:paraId="1A9C6BD8">
      <w:pPr>
        <w:keepNext w:val="0"/>
        <w:keepLines w:val="0"/>
        <w:pageBreakBefore w:val="0"/>
        <w:widowControl w:val="0"/>
        <w:kinsoku/>
        <w:wordWrap/>
        <w:overflowPunct/>
        <w:topLinePunct w:val="0"/>
        <w:autoSpaceDE/>
        <w:autoSpaceDN/>
        <w:bidi w:val="0"/>
        <w:adjustRightInd/>
        <w:snapToGrid/>
        <w:spacing w:line="576" w:lineRule="exact"/>
        <w:ind w:firstLine="800" w:firstLineChars="250"/>
        <w:textAlignment w:val="auto"/>
        <w:rPr>
          <w:rFonts w:hint="default" w:ascii="Times New Roman" w:hAnsi="Times New Roman" w:cs="Times New Roman"/>
          <w:lang w:eastAsia="zh-CN"/>
        </w:rPr>
      </w:pPr>
      <w:r>
        <w:rPr>
          <w:rFonts w:hint="default" w:ascii="Times New Roman" w:hAnsi="Times New Roman" w:eastAsia="仿宋_GB2312" w:cs="Times New Roman"/>
          <w:color w:val="auto"/>
          <w:sz w:val="32"/>
          <w:szCs w:val="32"/>
          <w:highlight w:val="none"/>
          <w:lang w:eastAsia="zh-CN"/>
        </w:rPr>
        <w:t>2025年度本年收入合计</w:t>
      </w:r>
      <w:r>
        <w:rPr>
          <w:rFonts w:hint="default" w:ascii="Times New Roman" w:hAnsi="Times New Roman" w:eastAsia="仿宋_GB2312" w:cs="Times New Roman"/>
          <w:sz w:val="32"/>
          <w:szCs w:val="32"/>
        </w:rPr>
        <w:t>2936.11</w:t>
      </w:r>
      <w:r>
        <w:rPr>
          <w:rFonts w:hint="default" w:ascii="Times New Roman" w:hAnsi="Times New Roman" w:eastAsia="仿宋_GB2312" w:cs="Times New Roman"/>
          <w:color w:val="auto"/>
          <w:sz w:val="32"/>
          <w:szCs w:val="32"/>
          <w:highlight w:val="none"/>
          <w:lang w:eastAsia="zh-CN"/>
        </w:rPr>
        <w:t>万元，其中：一般公共预算财政拨款收入</w:t>
      </w:r>
      <w:r>
        <w:rPr>
          <w:rFonts w:hint="default" w:ascii="Times New Roman" w:hAnsi="Times New Roman" w:eastAsia="仿宋_GB2312" w:cs="Times New Roman"/>
          <w:sz w:val="32"/>
          <w:szCs w:val="32"/>
        </w:rPr>
        <w:t>2925.3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99.63</w:t>
      </w:r>
      <w:r>
        <w:rPr>
          <w:rFonts w:hint="default" w:ascii="Times New Roman" w:hAnsi="Times New Roman" w:eastAsia="仿宋_GB2312" w:cs="Times New Roman"/>
          <w:color w:val="auto"/>
          <w:sz w:val="32"/>
          <w:szCs w:val="32"/>
          <w:highlight w:val="none"/>
          <w:lang w:eastAsia="zh-CN"/>
        </w:rPr>
        <w:t>%；政府性基金预算财政拨款收入</w:t>
      </w:r>
      <w:r>
        <w:rPr>
          <w:rFonts w:hint="default" w:ascii="Times New Roman" w:hAnsi="Times New Roman" w:eastAsia="仿宋_GB2312" w:cs="Times New Roman"/>
          <w:sz w:val="32"/>
          <w:szCs w:val="32"/>
        </w:rPr>
        <w:t>0.13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eastAsia" w:eastAsia="仿宋_GB2312" w:cs="Times New Roman"/>
          <w:sz w:val="32"/>
          <w:szCs w:val="32"/>
          <w:lang w:val="en-US" w:eastAsia="zh-CN"/>
        </w:rPr>
        <w:t>.004</w:t>
      </w:r>
      <w:r>
        <w:rPr>
          <w:rFonts w:hint="default" w:ascii="Times New Roman" w:hAnsi="Times New Roman" w:eastAsia="仿宋_GB2312" w:cs="Times New Roman"/>
          <w:color w:val="auto"/>
          <w:sz w:val="32"/>
          <w:szCs w:val="32"/>
          <w:highlight w:val="none"/>
          <w:lang w:eastAsia="zh-CN"/>
        </w:rPr>
        <w:t>%；国有资本经营预算财政拨款收入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%；上级补助收入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%；事业收入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%；附属单位上缴收入</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%；其他收入</w:t>
      </w:r>
      <w:r>
        <w:rPr>
          <w:rFonts w:hint="default" w:ascii="Times New Roman" w:hAnsi="Times New Roman" w:eastAsia="仿宋_GB2312" w:cs="Times New Roman"/>
          <w:sz w:val="32"/>
          <w:szCs w:val="32"/>
        </w:rPr>
        <w:t>10.67</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0.36</w:t>
      </w:r>
      <w:r>
        <w:rPr>
          <w:rFonts w:hint="default" w:ascii="Times New Roman" w:hAnsi="Times New Roman" w:eastAsia="仿宋_GB2312" w:cs="Times New Roman"/>
          <w:color w:val="auto"/>
          <w:sz w:val="32"/>
          <w:szCs w:val="32"/>
          <w:highlight w:val="none"/>
          <w:lang w:eastAsia="zh-CN"/>
        </w:rPr>
        <w:t>%。</w:t>
      </w:r>
    </w:p>
    <w:p w14:paraId="644E72E6">
      <w:pPr>
        <w:pStyle w:val="3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textAlignment w:val="auto"/>
        <w:outlineLvl w:val="1"/>
        <w:rPr>
          <w:rStyle w:val="34"/>
          <w:rFonts w:hint="default" w:ascii="Times New Roman" w:hAnsi="Times New Roman" w:eastAsia="黑体" w:cs="Times New Roman"/>
          <w:b w:val="0"/>
          <w:color w:val="auto"/>
          <w:highlight w:val="none"/>
        </w:rPr>
      </w:pPr>
      <w:bookmarkStart w:id="44" w:name="_Toc1076_WPSOffice_Level2"/>
      <w:bookmarkStart w:id="45" w:name="_Toc15396605"/>
      <w:bookmarkStart w:id="46" w:name="_Toc15377207"/>
      <w:r>
        <w:rPr>
          <w:rFonts w:hint="default" w:ascii="Times New Roman" w:hAnsi="Times New Roman" w:eastAsia="黑体" w:cs="Times New Roman"/>
          <w:color w:val="auto"/>
          <w:sz w:val="32"/>
          <w:szCs w:val="32"/>
          <w:highlight w:val="none"/>
          <w:lang w:eastAsia="zh-CN"/>
        </w:rPr>
        <w:t>三、</w:t>
      </w:r>
      <w:r>
        <w:rPr>
          <w:rFonts w:hint="default" w:ascii="Times New Roman" w:hAnsi="Times New Roman" w:eastAsia="黑体" w:cs="Times New Roman"/>
          <w:color w:val="auto"/>
          <w:sz w:val="32"/>
          <w:szCs w:val="32"/>
          <w:highlight w:val="none"/>
        </w:rPr>
        <w:t>支</w:t>
      </w:r>
      <w:r>
        <w:rPr>
          <w:rStyle w:val="34"/>
          <w:rFonts w:hint="default" w:ascii="Times New Roman" w:hAnsi="Times New Roman" w:eastAsia="黑体" w:cs="Times New Roman"/>
          <w:b w:val="0"/>
          <w:color w:val="auto"/>
          <w:highlight w:val="none"/>
        </w:rPr>
        <w:t>出决算情况说明</w:t>
      </w:r>
      <w:bookmarkEnd w:id="44"/>
      <w:bookmarkEnd w:id="45"/>
      <w:bookmarkEnd w:id="46"/>
    </w:p>
    <w:p w14:paraId="154DD15B">
      <w:pPr>
        <w:pStyle w:val="32"/>
        <w:keepNext w:val="0"/>
        <w:keepLines w:val="0"/>
        <w:pageBreakBefore w:val="0"/>
        <w:widowControl w:val="0"/>
        <w:numPr>
          <w:ilvl w:val="0"/>
          <w:numId w:val="0"/>
        </w:numPr>
        <w:kinsoku/>
        <w:wordWrap/>
        <w:overflowPunct/>
        <w:topLinePunct w:val="0"/>
        <w:autoSpaceDE/>
        <w:autoSpaceDN/>
        <w:bidi w:val="0"/>
        <w:adjustRightInd/>
        <w:snapToGrid/>
        <w:spacing w:line="576" w:lineRule="exact"/>
        <w:ind w:firstLine="640" w:firstLineChars="200"/>
        <w:jc w:val="left"/>
        <w:textAlignment w:val="auto"/>
        <w:outlineLvl w:val="1"/>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eastAsia="zh-CN"/>
        </w:rPr>
        <w:t>2025年度本年支出合计</w:t>
      </w:r>
      <w:r>
        <w:rPr>
          <w:rFonts w:hint="default" w:ascii="Times New Roman" w:hAnsi="Times New Roman" w:eastAsia="仿宋_GB2312" w:cs="Times New Roman"/>
          <w:sz w:val="32"/>
          <w:szCs w:val="32"/>
        </w:rPr>
        <w:t>2969.42</w:t>
      </w:r>
      <w:r>
        <w:rPr>
          <w:rFonts w:hint="default" w:ascii="Times New Roman" w:hAnsi="Times New Roman" w:eastAsia="仿宋_GB2312" w:cs="Times New Roman"/>
          <w:color w:val="auto"/>
          <w:sz w:val="32"/>
          <w:szCs w:val="32"/>
          <w:highlight w:val="none"/>
          <w:lang w:eastAsia="zh-CN"/>
        </w:rPr>
        <w:t>万元，其中：基本支出</w:t>
      </w:r>
      <w:r>
        <w:rPr>
          <w:rFonts w:hint="default" w:ascii="Times New Roman" w:hAnsi="Times New Roman" w:eastAsia="仿宋_GB2312" w:cs="Times New Roman"/>
          <w:sz w:val="32"/>
          <w:szCs w:val="32"/>
        </w:rPr>
        <w:t>851.12</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28.66</w:t>
      </w:r>
      <w:r>
        <w:rPr>
          <w:rFonts w:hint="default" w:ascii="Times New Roman" w:hAnsi="Times New Roman" w:eastAsia="仿宋_GB2312" w:cs="Times New Roman"/>
          <w:color w:val="auto"/>
          <w:sz w:val="32"/>
          <w:szCs w:val="32"/>
          <w:highlight w:val="none"/>
          <w:lang w:eastAsia="zh-CN"/>
        </w:rPr>
        <w:t>%；项目支出</w:t>
      </w:r>
      <w:r>
        <w:rPr>
          <w:rFonts w:hint="default" w:ascii="Times New Roman" w:hAnsi="Times New Roman" w:eastAsia="仿宋_GB2312" w:cs="Times New Roman"/>
          <w:sz w:val="32"/>
          <w:szCs w:val="32"/>
        </w:rPr>
        <w:t>2118.3</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71.33</w:t>
      </w:r>
      <w:r>
        <w:rPr>
          <w:rFonts w:hint="default" w:ascii="Times New Roman" w:hAnsi="Times New Roman" w:eastAsia="仿宋_GB2312" w:cs="Times New Roman"/>
          <w:color w:val="auto"/>
          <w:sz w:val="32"/>
          <w:szCs w:val="32"/>
          <w:highlight w:val="none"/>
          <w:lang w:eastAsia="zh-CN"/>
        </w:rPr>
        <w:t>%；上缴上级支出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%；经营支出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%；对附属单位补助支出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万元，占</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sz w:val="32"/>
          <w:szCs w:val="32"/>
          <w:highlight w:val="none"/>
          <w:lang w:eastAsia="zh-CN"/>
        </w:rPr>
        <w:t>%。</w:t>
      </w:r>
    </w:p>
    <w:p w14:paraId="0932538F">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Style w:val="34"/>
          <w:rFonts w:hint="default" w:ascii="Times New Roman" w:hAnsi="Times New Roman" w:eastAsia="黑体" w:cs="Times New Roman"/>
          <w:b w:val="0"/>
          <w:color w:val="auto"/>
          <w:highlight w:val="none"/>
        </w:rPr>
      </w:pPr>
      <w:bookmarkStart w:id="47" w:name="_Toc15396606"/>
      <w:bookmarkStart w:id="48" w:name="_Toc1110_WPSOffice_Level2"/>
      <w:bookmarkStart w:id="49" w:name="_Toc15377208"/>
      <w:r>
        <w:rPr>
          <w:rFonts w:hint="default" w:ascii="Times New Roman" w:hAnsi="Times New Roman" w:eastAsia="黑体" w:cs="Times New Roman"/>
          <w:color w:val="auto"/>
          <w:sz w:val="32"/>
          <w:szCs w:val="32"/>
          <w:highlight w:val="none"/>
        </w:rPr>
        <w:t>四、财</w:t>
      </w:r>
      <w:r>
        <w:rPr>
          <w:rStyle w:val="34"/>
          <w:rFonts w:hint="default" w:ascii="Times New Roman" w:hAnsi="Times New Roman" w:eastAsia="黑体" w:cs="Times New Roman"/>
          <w:b w:val="0"/>
          <w:color w:val="auto"/>
          <w:highlight w:val="none"/>
        </w:rPr>
        <w:t>政拨款收入支出决算总体情况说明</w:t>
      </w:r>
      <w:bookmarkEnd w:id="47"/>
      <w:bookmarkEnd w:id="48"/>
      <w:bookmarkEnd w:id="49"/>
    </w:p>
    <w:p w14:paraId="7C52DFAF">
      <w:pPr>
        <w:spacing w:line="600" w:lineRule="exact"/>
        <w:ind w:firstLine="640"/>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32"/>
          <w:szCs w:val="32"/>
          <w:highlight w:val="none"/>
          <w:lang w:val="en-US" w:eastAsia="zh-CN" w:bidi="ar-SA"/>
        </w:rPr>
        <w:t>2025年度财政拨款收入、支出总计均为</w:t>
      </w:r>
      <w:r>
        <w:rPr>
          <w:rFonts w:hint="default" w:ascii="Times New Roman" w:hAnsi="Times New Roman" w:eastAsia="仿宋_GB2312" w:cs="Times New Roman"/>
          <w:sz w:val="32"/>
          <w:szCs w:val="32"/>
        </w:rPr>
        <w:t>2927.19</w:t>
      </w:r>
      <w:r>
        <w:rPr>
          <w:rFonts w:hint="default" w:ascii="Times New Roman" w:hAnsi="Times New Roman" w:eastAsia="仿宋_GB2312" w:cs="Times New Roman"/>
          <w:color w:val="auto"/>
          <w:kern w:val="2"/>
          <w:sz w:val="32"/>
          <w:szCs w:val="32"/>
          <w:highlight w:val="none"/>
          <w:lang w:val="en-US" w:eastAsia="zh-CN" w:bidi="ar-SA"/>
        </w:rPr>
        <w:t>万元。与上年度相比，财政拨款收入、支出总计各增加97.68万元，增长3.45%。主要变动原因是本年度文旅、文物保护专项经费增加，财政拨款收支相应增长。</w:t>
      </w:r>
    </w:p>
    <w:p w14:paraId="76F1DEDB">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Style w:val="34"/>
          <w:rFonts w:hint="default" w:ascii="Times New Roman" w:hAnsi="Times New Roman" w:eastAsia="黑体" w:cs="Times New Roman"/>
          <w:b w:val="0"/>
          <w:color w:val="auto"/>
          <w:highlight w:val="none"/>
        </w:rPr>
      </w:pPr>
      <w:bookmarkStart w:id="50" w:name="_Toc13265_WPSOffice_Level2"/>
      <w:bookmarkStart w:id="51" w:name="_Toc15377209"/>
      <w:bookmarkStart w:id="52" w:name="_Toc15396607"/>
      <w:r>
        <w:rPr>
          <w:rFonts w:hint="default" w:ascii="Times New Roman" w:hAnsi="Times New Roman" w:eastAsia="黑体" w:cs="Times New Roman"/>
          <w:color w:val="auto"/>
          <w:sz w:val="32"/>
          <w:szCs w:val="32"/>
          <w:highlight w:val="none"/>
        </w:rPr>
        <w:t>五、</w:t>
      </w:r>
      <w:r>
        <w:rPr>
          <w:rFonts w:hint="default" w:ascii="Times New Roman" w:hAnsi="Times New Roman" w:eastAsia="黑体" w:cs="Times New Roman"/>
          <w:b/>
          <w:color w:val="auto"/>
          <w:sz w:val="32"/>
          <w:szCs w:val="32"/>
          <w:highlight w:val="none"/>
        </w:rPr>
        <w:t>一</w:t>
      </w:r>
      <w:r>
        <w:rPr>
          <w:rStyle w:val="34"/>
          <w:rFonts w:hint="default" w:ascii="Times New Roman" w:hAnsi="Times New Roman" w:eastAsia="黑体" w:cs="Times New Roman"/>
          <w:b w:val="0"/>
          <w:color w:val="auto"/>
          <w:highlight w:val="none"/>
        </w:rPr>
        <w:t>般公共预算财政拨款支出决算情况说明</w:t>
      </w:r>
      <w:bookmarkEnd w:id="50"/>
      <w:bookmarkEnd w:id="51"/>
      <w:bookmarkEnd w:id="52"/>
    </w:p>
    <w:p w14:paraId="2A638726">
      <w:pPr>
        <w:keepNext w:val="0"/>
        <w:keepLines w:val="0"/>
        <w:pageBreakBefore w:val="0"/>
        <w:widowControl w:val="0"/>
        <w:kinsoku/>
        <w:wordWrap/>
        <w:overflowPunct/>
        <w:topLinePunct w:val="0"/>
        <w:autoSpaceDE/>
        <w:autoSpaceDN/>
        <w:bidi w:val="0"/>
        <w:adjustRightInd/>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53" w:name="_Toc15377210"/>
      <w:r>
        <w:rPr>
          <w:rFonts w:hint="default" w:ascii="Times New Roman" w:hAnsi="Times New Roman" w:eastAsia="楷体_GB2312" w:cs="Times New Roman"/>
          <w:b/>
          <w:color w:val="auto"/>
          <w:sz w:val="32"/>
          <w:szCs w:val="32"/>
          <w:highlight w:val="none"/>
        </w:rPr>
        <w:t>（一）一般公共预算财政拨款支出决算总体情况</w:t>
      </w:r>
      <w:bookmarkEnd w:id="53"/>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2927.06</w:t>
      </w:r>
      <w:r>
        <w:rPr>
          <w:rFonts w:hint="default" w:ascii="Times New Roman" w:hAnsi="Times New Roman" w:eastAsia="仿宋_GB2312" w:cs="Times New Roman"/>
          <w:color w:val="auto"/>
          <w:kern w:val="2"/>
          <w:sz w:val="32"/>
          <w:szCs w:val="32"/>
          <w:highlight w:val="none"/>
          <w:lang w:val="en-US" w:eastAsia="zh-CN" w:bidi="ar-SA"/>
        </w:rPr>
        <w:t>万元，占本年支出合计的</w:t>
      </w:r>
      <w:r>
        <w:rPr>
          <w:rFonts w:hint="default" w:ascii="Times New Roman" w:hAnsi="Times New Roman" w:eastAsia="仿宋_GB2312" w:cs="Times New Roman"/>
          <w:sz w:val="32"/>
          <w:szCs w:val="32"/>
        </w:rPr>
        <w:t>98.57</w:t>
      </w:r>
      <w:r>
        <w:rPr>
          <w:rFonts w:hint="default" w:ascii="Times New Roman" w:hAnsi="Times New Roman" w:eastAsia="仿宋_GB2312" w:cs="Times New Roman"/>
          <w:color w:val="auto"/>
          <w:kern w:val="2"/>
          <w:sz w:val="32"/>
          <w:szCs w:val="32"/>
          <w:highlight w:val="none"/>
          <w:lang w:val="en-US" w:eastAsia="zh-CN" w:bidi="ar-SA"/>
        </w:rPr>
        <w:t>%。与上年度相比，一般公共预算财政拨款支出增加107.07万元，增长3.79%。主要变动原因是</w:t>
      </w:r>
      <w:bookmarkStart w:id="54" w:name="_Toc15377211"/>
      <w:r>
        <w:rPr>
          <w:rFonts w:hint="default" w:ascii="Times New Roman" w:hAnsi="Times New Roman" w:eastAsia="仿宋_GB2312" w:cs="Times New Roman"/>
          <w:color w:val="auto"/>
          <w:kern w:val="2"/>
          <w:sz w:val="32"/>
          <w:szCs w:val="32"/>
          <w:highlight w:val="none"/>
          <w:lang w:val="en-US" w:eastAsia="zh-CN" w:bidi="ar-SA"/>
        </w:rPr>
        <w:t>本年度文旅发展、文物保护及公共文化服务专项支出增加，支出规模同比上升。</w:t>
      </w:r>
    </w:p>
    <w:p w14:paraId="263D9FEC">
      <w:pPr>
        <w:keepNext w:val="0"/>
        <w:keepLines w:val="0"/>
        <w:pageBreakBefore w:val="0"/>
        <w:widowControl w:val="0"/>
        <w:kinsoku/>
        <w:wordWrap/>
        <w:overflowPunct/>
        <w:topLinePunct w:val="0"/>
        <w:autoSpaceDE/>
        <w:autoSpaceDN/>
        <w:bidi w:val="0"/>
        <w:adjustRightInd/>
        <w:snapToGrid/>
        <w:spacing w:line="552"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（二）一般公共预算财政拨款支出决算结构情况</w:t>
      </w:r>
      <w:bookmarkEnd w:id="54"/>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2025年度一般公共预算财政拨款支出</w:t>
      </w:r>
      <w:r>
        <w:rPr>
          <w:rFonts w:hint="default" w:ascii="Times New Roman" w:hAnsi="Times New Roman" w:eastAsia="仿宋_GB2312" w:cs="Times New Roman"/>
          <w:sz w:val="32"/>
          <w:szCs w:val="32"/>
        </w:rPr>
        <w:t>2927.06</w:t>
      </w:r>
      <w:r>
        <w:rPr>
          <w:rFonts w:hint="default" w:ascii="Times New Roman" w:hAnsi="Times New Roman" w:eastAsia="仿宋_GB2312" w:cs="Times New Roman"/>
          <w:color w:val="auto"/>
          <w:kern w:val="2"/>
          <w:sz w:val="32"/>
          <w:szCs w:val="32"/>
          <w:highlight w:val="none"/>
          <w:lang w:val="en-US" w:eastAsia="zh-CN" w:bidi="ar-SA"/>
        </w:rPr>
        <w:t>万元，主要用于以下方面：一般公共服务支出3万元，占0.1%；教育支出0万元，占0%；科学技术支出4.51万元，占0.15%；文化旅游体育与传媒支出2705.95万元，占92.45%；社会保障和就业支出114.13万元，占3.9%；卫生健康支出40.16万元，占1.37%；住房保障支出59.32万元，占2.03%。</w:t>
      </w:r>
      <w:bookmarkStart w:id="55" w:name="_Toc15377212"/>
    </w:p>
    <w:p w14:paraId="7FB261B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（三）一般公共预算财政拨款支出决算具体情况</w:t>
      </w:r>
      <w:bookmarkEnd w:id="55"/>
      <w:bookmarkStart w:id="56" w:name="_Toc15377444"/>
      <w:bookmarkStart w:id="57" w:name="_Toc15377213"/>
      <w:bookmarkStart w:id="58" w:name="_Toc15378460"/>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2025年度一般公共预算支出决算数为2927.06万元，完成预算100%。其中：</w:t>
      </w:r>
      <w:bookmarkEnd w:id="56"/>
      <w:bookmarkEnd w:id="57"/>
      <w:bookmarkEnd w:id="58"/>
    </w:p>
    <w:p w14:paraId="224E9D0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sz w:val="32"/>
          <w:szCs w:val="32"/>
        </w:rPr>
      </w:pPr>
      <w:r>
        <w:rPr>
          <w:rStyle w:val="21"/>
          <w:rFonts w:hint="default" w:ascii="Times New Roman" w:hAnsi="Times New Roman" w:eastAsia="仿宋" w:cs="Times New Roman"/>
          <w:bCs/>
          <w:sz w:val="32"/>
          <w:szCs w:val="32"/>
        </w:rPr>
        <w:t>1.一般公共服务（类）</w:t>
      </w:r>
      <w:r>
        <w:rPr>
          <w:rStyle w:val="21"/>
          <w:rFonts w:hint="default" w:ascii="Times New Roman" w:hAnsi="Times New Roman" w:eastAsia="仿宋" w:cs="Times New Roman"/>
          <w:bCs/>
          <w:sz w:val="32"/>
          <w:szCs w:val="32"/>
          <w:lang w:eastAsia="zh-CN"/>
        </w:rPr>
        <w:t>：</w:t>
      </w:r>
      <w:r>
        <w:rPr>
          <w:rStyle w:val="21"/>
          <w:rFonts w:hint="default" w:ascii="Times New Roman" w:hAnsi="Times New Roman" w:eastAsia="仿宋" w:cs="Times New Roman"/>
          <w:b w:val="0"/>
          <w:bCs/>
          <w:sz w:val="32"/>
          <w:szCs w:val="32"/>
        </w:rPr>
        <w:t xml:space="preserve"> 支出决算为</w:t>
      </w:r>
      <w:r>
        <w:rPr>
          <w:rStyle w:val="21"/>
          <w:rFonts w:hint="default" w:ascii="Times New Roman" w:hAnsi="Times New Roman" w:eastAsia="仿宋" w:cs="Times New Roman"/>
          <w:b w:val="0"/>
          <w:bCs/>
          <w:sz w:val="32"/>
          <w:szCs w:val="32"/>
          <w:lang w:val="en-US" w:eastAsia="zh-CN"/>
        </w:rPr>
        <w:t>3</w:t>
      </w:r>
      <w:r>
        <w:rPr>
          <w:rStyle w:val="21"/>
          <w:rFonts w:hint="default" w:ascii="Times New Roman" w:hAnsi="Times New Roman" w:eastAsia="仿宋" w:cs="Times New Roman"/>
          <w:b w:val="0"/>
          <w:bCs/>
          <w:sz w:val="32"/>
          <w:szCs w:val="32"/>
        </w:rPr>
        <w:t>万元，完成预算</w:t>
      </w:r>
      <w:r>
        <w:rPr>
          <w:rStyle w:val="21"/>
          <w:rFonts w:hint="default" w:ascii="Times New Roman" w:hAnsi="Times New Roman" w:eastAsia="仿宋" w:cs="Times New Roman"/>
          <w:b w:val="0"/>
          <w:bCs/>
          <w:sz w:val="32"/>
          <w:szCs w:val="32"/>
          <w:lang w:val="en-US" w:eastAsia="zh-CN"/>
        </w:rPr>
        <w:t>100</w:t>
      </w:r>
      <w:r>
        <w:rPr>
          <w:rStyle w:val="21"/>
          <w:rFonts w:hint="default" w:ascii="Times New Roman" w:hAnsi="Times New Roman" w:eastAsia="仿宋" w:cs="Times New Roman"/>
          <w:b w:val="0"/>
          <w:bCs/>
          <w:sz w:val="32"/>
          <w:szCs w:val="32"/>
        </w:rPr>
        <w:t>%，决算数等于预算数。</w:t>
      </w:r>
    </w:p>
    <w:p w14:paraId="4E4F527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sz w:val="32"/>
          <w:szCs w:val="32"/>
        </w:rPr>
      </w:pPr>
      <w:r>
        <w:rPr>
          <w:rStyle w:val="21"/>
          <w:rFonts w:hint="default" w:ascii="Times New Roman" w:hAnsi="Times New Roman" w:eastAsia="仿宋" w:cs="Times New Roman"/>
          <w:bCs/>
          <w:sz w:val="32"/>
          <w:szCs w:val="32"/>
        </w:rPr>
        <w:t>2.教育（类）</w:t>
      </w:r>
      <w:r>
        <w:rPr>
          <w:rStyle w:val="21"/>
          <w:rFonts w:hint="default" w:ascii="Times New Roman" w:hAnsi="Times New Roman" w:eastAsia="仿宋" w:cs="Times New Roman"/>
          <w:bCs/>
          <w:sz w:val="32"/>
          <w:szCs w:val="32"/>
          <w:lang w:eastAsia="zh-CN"/>
        </w:rPr>
        <w:t>：</w:t>
      </w:r>
      <w:r>
        <w:rPr>
          <w:rStyle w:val="21"/>
          <w:rFonts w:hint="default" w:ascii="Times New Roman" w:hAnsi="Times New Roman" w:eastAsia="仿宋" w:cs="Times New Roman"/>
          <w:b w:val="0"/>
          <w:bCs/>
          <w:sz w:val="32"/>
          <w:szCs w:val="32"/>
        </w:rPr>
        <w:t xml:space="preserve"> 支出决算为</w:t>
      </w:r>
      <w:r>
        <w:rPr>
          <w:rStyle w:val="21"/>
          <w:rFonts w:hint="default" w:ascii="Times New Roman" w:hAnsi="Times New Roman" w:eastAsia="仿宋" w:cs="Times New Roman"/>
          <w:b w:val="0"/>
          <w:bCs/>
          <w:sz w:val="32"/>
          <w:szCs w:val="32"/>
          <w:lang w:val="en-US" w:eastAsia="zh-CN"/>
        </w:rPr>
        <w:t>0</w:t>
      </w:r>
      <w:r>
        <w:rPr>
          <w:rStyle w:val="21"/>
          <w:rFonts w:hint="default" w:ascii="Times New Roman" w:hAnsi="Times New Roman" w:eastAsia="仿宋" w:cs="Times New Roman"/>
          <w:b w:val="0"/>
          <w:bCs/>
          <w:sz w:val="32"/>
          <w:szCs w:val="32"/>
        </w:rPr>
        <w:t>万元，完成预算</w:t>
      </w:r>
      <w:r>
        <w:rPr>
          <w:rStyle w:val="21"/>
          <w:rFonts w:hint="default" w:ascii="Times New Roman" w:hAnsi="Times New Roman" w:eastAsia="仿宋" w:cs="Times New Roman"/>
          <w:b w:val="0"/>
          <w:bCs/>
          <w:sz w:val="32"/>
          <w:szCs w:val="32"/>
          <w:lang w:val="en-US" w:eastAsia="zh-CN"/>
        </w:rPr>
        <w:t>100</w:t>
      </w:r>
      <w:r>
        <w:rPr>
          <w:rStyle w:val="21"/>
          <w:rFonts w:hint="default" w:ascii="Times New Roman" w:hAnsi="Times New Roman" w:eastAsia="仿宋" w:cs="Times New Roman"/>
          <w:b w:val="0"/>
          <w:bCs/>
          <w:sz w:val="32"/>
          <w:szCs w:val="32"/>
        </w:rPr>
        <w:t>%，决算数等于预算数。</w:t>
      </w:r>
    </w:p>
    <w:p w14:paraId="3326A7A2">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sz w:val="32"/>
          <w:szCs w:val="32"/>
        </w:rPr>
      </w:pPr>
      <w:r>
        <w:rPr>
          <w:rStyle w:val="21"/>
          <w:rFonts w:hint="default" w:ascii="Times New Roman" w:hAnsi="Times New Roman" w:eastAsia="仿宋" w:cs="Times New Roman"/>
          <w:bCs/>
          <w:sz w:val="32"/>
          <w:szCs w:val="32"/>
        </w:rPr>
        <w:t>3.科学技术（类）</w:t>
      </w:r>
      <w:r>
        <w:rPr>
          <w:rStyle w:val="21"/>
          <w:rFonts w:hint="default" w:ascii="Times New Roman" w:hAnsi="Times New Roman" w:eastAsia="仿宋" w:cs="Times New Roman"/>
          <w:bCs/>
          <w:sz w:val="32"/>
          <w:szCs w:val="32"/>
          <w:lang w:eastAsia="zh-CN"/>
        </w:rPr>
        <w:t>：</w:t>
      </w:r>
      <w:r>
        <w:rPr>
          <w:rStyle w:val="21"/>
          <w:rFonts w:hint="default" w:ascii="Times New Roman" w:hAnsi="Times New Roman" w:eastAsia="仿宋" w:cs="Times New Roman"/>
          <w:b w:val="0"/>
          <w:bCs/>
          <w:sz w:val="32"/>
          <w:szCs w:val="32"/>
        </w:rPr>
        <w:t xml:space="preserve"> 支出决算为</w:t>
      </w:r>
      <w:r>
        <w:rPr>
          <w:rStyle w:val="21"/>
          <w:rFonts w:hint="default" w:ascii="Times New Roman" w:hAnsi="Times New Roman" w:eastAsia="仿宋" w:cs="Times New Roman"/>
          <w:b w:val="0"/>
          <w:bCs/>
          <w:sz w:val="32"/>
          <w:szCs w:val="32"/>
          <w:lang w:val="en-US" w:eastAsia="zh-CN"/>
        </w:rPr>
        <w:t>4.51</w:t>
      </w:r>
      <w:r>
        <w:rPr>
          <w:rStyle w:val="21"/>
          <w:rFonts w:hint="default" w:ascii="Times New Roman" w:hAnsi="Times New Roman" w:eastAsia="仿宋" w:cs="Times New Roman"/>
          <w:b w:val="0"/>
          <w:bCs/>
          <w:sz w:val="32"/>
          <w:szCs w:val="32"/>
        </w:rPr>
        <w:t>万元，完成预算</w:t>
      </w:r>
      <w:r>
        <w:rPr>
          <w:rStyle w:val="21"/>
          <w:rFonts w:hint="default" w:ascii="Times New Roman" w:hAnsi="Times New Roman" w:eastAsia="仿宋" w:cs="Times New Roman"/>
          <w:b w:val="0"/>
          <w:bCs/>
          <w:sz w:val="32"/>
          <w:szCs w:val="32"/>
          <w:lang w:val="en-US" w:eastAsia="zh-CN"/>
        </w:rPr>
        <w:t>100</w:t>
      </w:r>
      <w:r>
        <w:rPr>
          <w:rStyle w:val="21"/>
          <w:rFonts w:hint="default" w:ascii="Times New Roman" w:hAnsi="Times New Roman" w:eastAsia="仿宋" w:cs="Times New Roman"/>
          <w:b w:val="0"/>
          <w:bCs/>
          <w:sz w:val="32"/>
          <w:szCs w:val="32"/>
        </w:rPr>
        <w:t>%，决算数等于预算数。</w:t>
      </w:r>
    </w:p>
    <w:p w14:paraId="194FD24A">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sz w:val="32"/>
          <w:szCs w:val="32"/>
        </w:rPr>
      </w:pPr>
      <w:r>
        <w:rPr>
          <w:rStyle w:val="21"/>
          <w:rFonts w:hint="default" w:ascii="Times New Roman" w:hAnsi="Times New Roman" w:eastAsia="仿宋" w:cs="Times New Roman"/>
          <w:bCs/>
          <w:sz w:val="32"/>
          <w:szCs w:val="32"/>
        </w:rPr>
        <w:t>4.文化旅游体育与传媒（类）</w:t>
      </w:r>
      <w:r>
        <w:rPr>
          <w:rStyle w:val="21"/>
          <w:rFonts w:hint="default" w:ascii="Times New Roman" w:hAnsi="Times New Roman" w:eastAsia="仿宋" w:cs="Times New Roman"/>
          <w:bCs/>
          <w:sz w:val="32"/>
          <w:szCs w:val="32"/>
          <w:lang w:eastAsia="zh-CN"/>
        </w:rPr>
        <w:t>：</w:t>
      </w:r>
      <w:r>
        <w:rPr>
          <w:rStyle w:val="21"/>
          <w:rFonts w:hint="default" w:ascii="Times New Roman" w:hAnsi="Times New Roman" w:eastAsia="仿宋" w:cs="Times New Roman"/>
          <w:b w:val="0"/>
          <w:bCs/>
          <w:sz w:val="32"/>
          <w:szCs w:val="32"/>
        </w:rPr>
        <w:t xml:space="preserve"> 支出决算为</w:t>
      </w:r>
      <w:r>
        <w:rPr>
          <w:rStyle w:val="21"/>
          <w:rFonts w:hint="default" w:ascii="Times New Roman" w:hAnsi="Times New Roman" w:eastAsia="仿宋" w:cs="Times New Roman"/>
          <w:b w:val="0"/>
          <w:bCs/>
          <w:sz w:val="32"/>
          <w:szCs w:val="32"/>
          <w:lang w:val="en-US" w:eastAsia="zh-CN"/>
        </w:rPr>
        <w:t>2705.95</w:t>
      </w:r>
      <w:r>
        <w:rPr>
          <w:rStyle w:val="21"/>
          <w:rFonts w:hint="default" w:ascii="Times New Roman" w:hAnsi="Times New Roman" w:eastAsia="仿宋" w:cs="Times New Roman"/>
          <w:b w:val="0"/>
          <w:bCs/>
          <w:sz w:val="32"/>
          <w:szCs w:val="32"/>
        </w:rPr>
        <w:t>万元，完成预算</w:t>
      </w:r>
      <w:r>
        <w:rPr>
          <w:rStyle w:val="21"/>
          <w:rFonts w:hint="default" w:ascii="Times New Roman" w:hAnsi="Times New Roman" w:eastAsia="仿宋" w:cs="Times New Roman"/>
          <w:b w:val="0"/>
          <w:bCs/>
          <w:sz w:val="32"/>
          <w:szCs w:val="32"/>
          <w:lang w:val="en-US" w:eastAsia="zh-CN"/>
        </w:rPr>
        <w:t>100</w:t>
      </w:r>
      <w:r>
        <w:rPr>
          <w:rStyle w:val="21"/>
          <w:rFonts w:hint="default" w:ascii="Times New Roman" w:hAnsi="Times New Roman" w:eastAsia="仿宋" w:cs="Times New Roman"/>
          <w:b w:val="0"/>
          <w:bCs/>
          <w:sz w:val="32"/>
          <w:szCs w:val="32"/>
        </w:rPr>
        <w:t>%，决算数等于预算数。</w:t>
      </w:r>
    </w:p>
    <w:p w14:paraId="07ECC75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 w:cs="Times New Roman"/>
          <w:b/>
          <w:sz w:val="32"/>
          <w:szCs w:val="32"/>
        </w:rPr>
      </w:pPr>
      <w:r>
        <w:rPr>
          <w:rStyle w:val="21"/>
          <w:rFonts w:hint="default" w:ascii="Times New Roman" w:hAnsi="Times New Roman" w:eastAsia="仿宋" w:cs="Times New Roman"/>
          <w:bCs/>
          <w:sz w:val="32"/>
          <w:szCs w:val="32"/>
        </w:rPr>
        <w:t>5.社会保障和就业（类）</w:t>
      </w:r>
      <w:r>
        <w:rPr>
          <w:rStyle w:val="21"/>
          <w:rFonts w:hint="default" w:ascii="Times New Roman" w:hAnsi="Times New Roman" w:eastAsia="仿宋" w:cs="Times New Roman"/>
          <w:bCs/>
          <w:sz w:val="32"/>
          <w:szCs w:val="32"/>
          <w:lang w:eastAsia="zh-CN"/>
        </w:rPr>
        <w:t>：</w:t>
      </w:r>
      <w:r>
        <w:rPr>
          <w:rStyle w:val="21"/>
          <w:rFonts w:hint="default" w:ascii="Times New Roman" w:hAnsi="Times New Roman" w:eastAsia="仿宋" w:cs="Times New Roman"/>
          <w:b w:val="0"/>
          <w:bCs/>
          <w:sz w:val="32"/>
          <w:szCs w:val="32"/>
        </w:rPr>
        <w:t xml:space="preserve"> 支出决算为</w:t>
      </w:r>
      <w:r>
        <w:rPr>
          <w:rStyle w:val="21"/>
          <w:rFonts w:hint="default" w:ascii="Times New Roman" w:hAnsi="Times New Roman" w:eastAsia="仿宋" w:cs="Times New Roman"/>
          <w:b w:val="0"/>
          <w:bCs/>
          <w:sz w:val="32"/>
          <w:szCs w:val="32"/>
          <w:lang w:val="en-US" w:eastAsia="zh-CN"/>
        </w:rPr>
        <w:t>114.13</w:t>
      </w:r>
      <w:r>
        <w:rPr>
          <w:rStyle w:val="21"/>
          <w:rFonts w:hint="default" w:ascii="Times New Roman" w:hAnsi="Times New Roman" w:eastAsia="仿宋" w:cs="Times New Roman"/>
          <w:b w:val="0"/>
          <w:bCs/>
          <w:sz w:val="32"/>
          <w:szCs w:val="32"/>
        </w:rPr>
        <w:t>万元，完成预算</w:t>
      </w:r>
      <w:r>
        <w:rPr>
          <w:rStyle w:val="21"/>
          <w:rFonts w:hint="default" w:ascii="Times New Roman" w:hAnsi="Times New Roman" w:eastAsia="仿宋" w:cs="Times New Roman"/>
          <w:b w:val="0"/>
          <w:bCs/>
          <w:sz w:val="32"/>
          <w:szCs w:val="32"/>
          <w:lang w:val="en-US" w:eastAsia="zh-CN"/>
        </w:rPr>
        <w:t>100</w:t>
      </w:r>
      <w:r>
        <w:rPr>
          <w:rStyle w:val="21"/>
          <w:rFonts w:hint="default" w:ascii="Times New Roman" w:hAnsi="Times New Roman" w:eastAsia="仿宋" w:cs="Times New Roman"/>
          <w:b w:val="0"/>
          <w:bCs/>
          <w:sz w:val="32"/>
          <w:szCs w:val="32"/>
        </w:rPr>
        <w:t>%，决算数等于预算数。</w:t>
      </w:r>
    </w:p>
    <w:p w14:paraId="7AA962E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Style w:val="21"/>
          <w:rFonts w:hint="default" w:ascii="Times New Roman" w:hAnsi="Times New Roman" w:eastAsia="仿宋" w:cs="Times New Roman"/>
          <w:b w:val="0"/>
          <w:bCs/>
          <w:sz w:val="32"/>
          <w:szCs w:val="32"/>
        </w:rPr>
      </w:pPr>
      <w:r>
        <w:rPr>
          <w:rStyle w:val="21"/>
          <w:rFonts w:hint="default" w:ascii="Times New Roman" w:hAnsi="Times New Roman" w:eastAsia="仿宋" w:cs="Times New Roman"/>
          <w:bCs/>
          <w:sz w:val="32"/>
          <w:szCs w:val="32"/>
        </w:rPr>
        <w:t>6.</w:t>
      </w:r>
      <w:r>
        <w:rPr>
          <w:rFonts w:hint="default" w:ascii="Times New Roman" w:hAnsi="Times New Roman" w:eastAsia="仿宋" w:cs="Times New Roman"/>
          <w:b/>
          <w:bCs/>
          <w:sz w:val="32"/>
          <w:szCs w:val="32"/>
        </w:rPr>
        <w:t>卫生健康</w:t>
      </w:r>
      <w:r>
        <w:rPr>
          <w:rStyle w:val="21"/>
          <w:rFonts w:hint="default" w:ascii="Times New Roman" w:hAnsi="Times New Roman" w:eastAsia="仿宋" w:cs="Times New Roman"/>
          <w:bCs/>
          <w:sz w:val="32"/>
          <w:szCs w:val="32"/>
        </w:rPr>
        <w:t>（类）</w:t>
      </w:r>
      <w:r>
        <w:rPr>
          <w:rStyle w:val="21"/>
          <w:rFonts w:hint="default" w:ascii="Times New Roman" w:hAnsi="Times New Roman" w:eastAsia="仿宋" w:cs="Times New Roman"/>
          <w:bCs/>
          <w:sz w:val="32"/>
          <w:szCs w:val="32"/>
          <w:lang w:eastAsia="zh-CN"/>
        </w:rPr>
        <w:t>：</w:t>
      </w:r>
      <w:r>
        <w:rPr>
          <w:rStyle w:val="21"/>
          <w:rFonts w:hint="default" w:ascii="Times New Roman" w:hAnsi="Times New Roman" w:eastAsia="仿宋" w:cs="Times New Roman"/>
          <w:b w:val="0"/>
          <w:bCs/>
          <w:sz w:val="32"/>
          <w:szCs w:val="32"/>
        </w:rPr>
        <w:t>支出决算为</w:t>
      </w:r>
      <w:r>
        <w:rPr>
          <w:rStyle w:val="21"/>
          <w:rFonts w:hint="default" w:ascii="Times New Roman" w:hAnsi="Times New Roman" w:eastAsia="仿宋" w:cs="Times New Roman"/>
          <w:b w:val="0"/>
          <w:bCs/>
          <w:sz w:val="32"/>
          <w:szCs w:val="32"/>
          <w:lang w:val="en-US" w:eastAsia="zh-CN"/>
        </w:rPr>
        <w:t>40.16</w:t>
      </w:r>
      <w:r>
        <w:rPr>
          <w:rStyle w:val="21"/>
          <w:rFonts w:hint="default" w:ascii="Times New Roman" w:hAnsi="Times New Roman" w:eastAsia="仿宋" w:cs="Times New Roman"/>
          <w:b w:val="0"/>
          <w:bCs/>
          <w:sz w:val="32"/>
          <w:szCs w:val="32"/>
        </w:rPr>
        <w:t>万元，完成预算</w:t>
      </w:r>
      <w:r>
        <w:rPr>
          <w:rStyle w:val="21"/>
          <w:rFonts w:hint="default" w:ascii="Times New Roman" w:hAnsi="Times New Roman" w:eastAsia="仿宋" w:cs="Times New Roman"/>
          <w:b w:val="0"/>
          <w:bCs/>
          <w:sz w:val="32"/>
          <w:szCs w:val="32"/>
          <w:lang w:val="en-US" w:eastAsia="zh-CN"/>
        </w:rPr>
        <w:t>100</w:t>
      </w:r>
      <w:r>
        <w:rPr>
          <w:rStyle w:val="21"/>
          <w:rFonts w:hint="default" w:ascii="Times New Roman" w:hAnsi="Times New Roman" w:eastAsia="仿宋" w:cs="Times New Roman"/>
          <w:b w:val="0"/>
          <w:bCs/>
          <w:sz w:val="32"/>
          <w:szCs w:val="32"/>
        </w:rPr>
        <w:t>%，决算数等于预算数。</w:t>
      </w:r>
    </w:p>
    <w:p w14:paraId="0BFF22CE">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 w:cs="Times New Roman"/>
          <w:b/>
          <w:bCs/>
          <w:color w:val="auto"/>
          <w:sz w:val="32"/>
          <w:szCs w:val="32"/>
          <w:highlight w:val="none"/>
          <w:lang w:val="en-US" w:eastAsia="zh-CN"/>
        </w:rPr>
        <w:t>7.</w:t>
      </w:r>
      <w:r>
        <w:rPr>
          <w:rFonts w:hint="default" w:ascii="Times New Roman" w:hAnsi="Times New Roman" w:eastAsia="仿宋" w:cs="Times New Roman"/>
          <w:b/>
          <w:bCs/>
          <w:color w:val="auto"/>
          <w:sz w:val="32"/>
          <w:szCs w:val="32"/>
          <w:highlight w:val="none"/>
        </w:rPr>
        <w:t>住房保障支出</w:t>
      </w:r>
      <w:r>
        <w:rPr>
          <w:rStyle w:val="21"/>
          <w:rFonts w:hint="default" w:ascii="Times New Roman" w:hAnsi="Times New Roman" w:eastAsia="仿宋" w:cs="Times New Roman"/>
          <w:bCs/>
          <w:sz w:val="32"/>
          <w:szCs w:val="32"/>
        </w:rPr>
        <w:t>（类）</w:t>
      </w:r>
      <w:r>
        <w:rPr>
          <w:rStyle w:val="21"/>
          <w:rFonts w:hint="default" w:ascii="Times New Roman" w:hAnsi="Times New Roman" w:eastAsia="仿宋" w:cs="Times New Roman"/>
          <w:bCs/>
          <w:sz w:val="32"/>
          <w:szCs w:val="32"/>
          <w:lang w:eastAsia="zh-CN"/>
        </w:rPr>
        <w:t>：</w:t>
      </w:r>
      <w:r>
        <w:rPr>
          <w:rStyle w:val="21"/>
          <w:rFonts w:hint="default" w:ascii="Times New Roman" w:hAnsi="Times New Roman" w:eastAsia="仿宋" w:cs="Times New Roman"/>
          <w:b w:val="0"/>
          <w:bCs/>
          <w:sz w:val="32"/>
          <w:szCs w:val="32"/>
        </w:rPr>
        <w:t>支出决算为</w:t>
      </w:r>
      <w:r>
        <w:rPr>
          <w:rStyle w:val="21"/>
          <w:rFonts w:hint="default" w:ascii="Times New Roman" w:hAnsi="Times New Roman" w:eastAsia="仿宋" w:cs="Times New Roman"/>
          <w:b w:val="0"/>
          <w:bCs/>
          <w:sz w:val="32"/>
          <w:szCs w:val="32"/>
          <w:lang w:val="en-US" w:eastAsia="zh-CN"/>
        </w:rPr>
        <w:t>59.32</w:t>
      </w:r>
      <w:r>
        <w:rPr>
          <w:rStyle w:val="21"/>
          <w:rFonts w:hint="default" w:ascii="Times New Roman" w:hAnsi="Times New Roman" w:eastAsia="仿宋" w:cs="Times New Roman"/>
          <w:b w:val="0"/>
          <w:bCs/>
          <w:sz w:val="32"/>
          <w:szCs w:val="32"/>
        </w:rPr>
        <w:t>万元，完成预算</w:t>
      </w:r>
      <w:r>
        <w:rPr>
          <w:rStyle w:val="21"/>
          <w:rFonts w:hint="default" w:ascii="Times New Roman" w:hAnsi="Times New Roman" w:eastAsia="仿宋" w:cs="Times New Roman"/>
          <w:b w:val="0"/>
          <w:bCs/>
          <w:sz w:val="32"/>
          <w:szCs w:val="32"/>
          <w:lang w:val="en-US" w:eastAsia="zh-CN"/>
        </w:rPr>
        <w:t>100</w:t>
      </w:r>
      <w:r>
        <w:rPr>
          <w:rStyle w:val="21"/>
          <w:rFonts w:hint="default" w:ascii="Times New Roman" w:hAnsi="Times New Roman" w:eastAsia="仿宋" w:cs="Times New Roman"/>
          <w:b w:val="0"/>
          <w:bCs/>
          <w:sz w:val="32"/>
          <w:szCs w:val="32"/>
        </w:rPr>
        <w:t>%，决算数等于预算数。</w:t>
      </w:r>
    </w:p>
    <w:p w14:paraId="0D92846C">
      <w:pPr>
        <w:keepNext w:val="0"/>
        <w:keepLines w:val="0"/>
        <w:pageBreakBefore w:val="0"/>
        <w:widowControl w:val="0"/>
        <w:tabs>
          <w:tab w:val="right" w:pos="8306"/>
        </w:tabs>
        <w:kinsoku/>
        <w:wordWrap/>
        <w:overflowPunct/>
        <w:topLinePunct w:val="0"/>
        <w:autoSpaceDE/>
        <w:autoSpaceDN/>
        <w:bidi w:val="0"/>
        <w:adjustRightInd/>
        <w:snapToGrid/>
        <w:spacing w:line="576" w:lineRule="exact"/>
        <w:ind w:firstLine="640"/>
        <w:textAlignment w:val="auto"/>
        <w:outlineLvl w:val="1"/>
        <w:rPr>
          <w:rStyle w:val="34"/>
          <w:rFonts w:hint="default" w:ascii="Times New Roman" w:hAnsi="Times New Roman" w:cs="Times New Roman"/>
          <w:color w:val="auto"/>
          <w:highlight w:val="none"/>
        </w:rPr>
      </w:pPr>
      <w:bookmarkStart w:id="59" w:name="_Toc15396608"/>
      <w:bookmarkStart w:id="60" w:name="_Toc11625_WPSOffice_Level2"/>
      <w:bookmarkStart w:id="61" w:name="_Toc15377214"/>
      <w:r>
        <w:rPr>
          <w:rFonts w:hint="default" w:ascii="Times New Roman" w:hAnsi="Times New Roman" w:eastAsia="黑体" w:cs="Times New Roman"/>
          <w:color w:val="auto"/>
          <w:sz w:val="32"/>
          <w:szCs w:val="32"/>
          <w:highlight w:val="none"/>
        </w:rPr>
        <w:t>六</w:t>
      </w:r>
      <w:r>
        <w:rPr>
          <w:rFonts w:hint="default" w:ascii="Times New Roman" w:hAnsi="Times New Roman" w:eastAsia="黑体" w:cs="Times New Roman"/>
          <w:b/>
          <w:color w:val="auto"/>
          <w:sz w:val="32"/>
          <w:szCs w:val="32"/>
          <w:highlight w:val="none"/>
        </w:rPr>
        <w:t>、一</w:t>
      </w:r>
      <w:r>
        <w:rPr>
          <w:rStyle w:val="34"/>
          <w:rFonts w:hint="default" w:ascii="Times New Roman" w:hAnsi="Times New Roman" w:eastAsia="黑体" w:cs="Times New Roman"/>
          <w:b w:val="0"/>
          <w:color w:val="auto"/>
          <w:highlight w:val="none"/>
        </w:rPr>
        <w:t>般公共预算财政拨款基本支出决算情况说明</w:t>
      </w:r>
      <w:bookmarkEnd w:id="59"/>
      <w:bookmarkEnd w:id="60"/>
      <w:bookmarkEnd w:id="61"/>
      <w:r>
        <w:rPr>
          <w:rStyle w:val="34"/>
          <w:rFonts w:hint="default" w:ascii="Times New Roman" w:hAnsi="Times New Roman" w:eastAsia="黑体" w:cs="Times New Roman"/>
          <w:b w:val="0"/>
          <w:color w:val="auto"/>
          <w:highlight w:val="none"/>
        </w:rPr>
        <w:tab/>
      </w:r>
    </w:p>
    <w:p w14:paraId="0C13B1D6">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62" w:name="_Toc15377215"/>
      <w:bookmarkStart w:id="63" w:name="_Toc15396609"/>
      <w:bookmarkStart w:id="64" w:name="_Toc8564_WPSOffice_Level2"/>
      <w:r>
        <w:rPr>
          <w:rFonts w:hint="default" w:ascii="Times New Roman" w:hAnsi="Times New Roman" w:eastAsia="仿宋_GB2312" w:cs="Times New Roman"/>
          <w:color w:val="auto"/>
          <w:kern w:val="2"/>
          <w:sz w:val="32"/>
          <w:szCs w:val="32"/>
          <w:highlight w:val="none"/>
          <w:lang w:val="en-US" w:eastAsia="zh-CN" w:bidi="ar-SA"/>
        </w:rPr>
        <w:t>2025年度一般公共预算财政拨款基本支出</w:t>
      </w:r>
      <w:r>
        <w:rPr>
          <w:rFonts w:hint="default" w:ascii="Times New Roman" w:hAnsi="Times New Roman" w:eastAsia="仿宋_GB2312" w:cs="Times New Roman"/>
          <w:sz w:val="32"/>
          <w:szCs w:val="32"/>
        </w:rPr>
        <w:t>851.12</w:t>
      </w:r>
      <w:r>
        <w:rPr>
          <w:rFonts w:hint="default" w:ascii="Times New Roman" w:hAnsi="Times New Roman" w:eastAsia="仿宋_GB2312" w:cs="Times New Roman"/>
          <w:color w:val="auto"/>
          <w:kern w:val="2"/>
          <w:sz w:val="32"/>
          <w:szCs w:val="32"/>
          <w:highlight w:val="none"/>
          <w:lang w:val="en-US" w:eastAsia="zh-CN" w:bidi="ar-SA"/>
        </w:rPr>
        <w:t>万元，其中：</w:t>
      </w:r>
    </w:p>
    <w:p w14:paraId="58292151">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人员经费</w:t>
      </w:r>
      <w:r>
        <w:rPr>
          <w:rFonts w:hint="default" w:ascii="Times New Roman" w:hAnsi="Times New Roman" w:eastAsia="仿宋_GB2312" w:cs="Times New Roman"/>
          <w:sz w:val="32"/>
          <w:szCs w:val="32"/>
        </w:rPr>
        <w:t>807.04</w:t>
      </w:r>
      <w:r>
        <w:rPr>
          <w:rFonts w:hint="default" w:ascii="Times New Roman" w:hAnsi="Times New Roman" w:eastAsia="仿宋_GB2312" w:cs="Times New Roman"/>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default" w:ascii="Times New Roman" w:hAnsi="Times New Roman" w:eastAsia="仿宋_GB2312" w:cs="Times New Roman"/>
          <w:color w:val="auto"/>
          <w:kern w:val="2"/>
          <w:sz w:val="32"/>
          <w:szCs w:val="32"/>
          <w:highlight w:val="none"/>
          <w:lang w:val="en-US" w:eastAsia="zh-CN" w:bidi="ar-SA"/>
        </w:rPr>
        <w:br w:type="textWrapping"/>
      </w:r>
      <w:r>
        <w:rPr>
          <w:rFonts w:hint="eastAsia" w:ascii="Times New Roman" w:hAnsi="Times New Roman" w:eastAsia="仿宋_GB2312" w:cs="Times New Roman"/>
          <w:color w:val="auto"/>
          <w:kern w:val="2"/>
          <w:sz w:val="32"/>
          <w:szCs w:val="32"/>
          <w:highlight w:val="none"/>
          <w:lang w:val="en-US" w:eastAsia="zh-CN" w:bidi="ar-SA"/>
        </w:rPr>
        <w:t xml:space="preserve">    </w:t>
      </w:r>
      <w:r>
        <w:rPr>
          <w:rFonts w:hint="default" w:ascii="Times New Roman" w:hAnsi="Times New Roman" w:eastAsia="仿宋_GB2312" w:cs="Times New Roman"/>
          <w:color w:val="auto"/>
          <w:kern w:val="2"/>
          <w:sz w:val="32"/>
          <w:szCs w:val="32"/>
          <w:highlight w:val="none"/>
          <w:lang w:val="en-US" w:eastAsia="zh-CN" w:bidi="ar-SA"/>
        </w:rPr>
        <w:t>公用经费</w:t>
      </w:r>
      <w:r>
        <w:rPr>
          <w:rFonts w:hint="default" w:ascii="Times New Roman" w:hAnsi="Times New Roman" w:eastAsia="仿宋_GB2312" w:cs="Times New Roman"/>
          <w:sz w:val="32"/>
          <w:szCs w:val="32"/>
        </w:rPr>
        <w:t>44.08</w:t>
      </w:r>
      <w:r>
        <w:rPr>
          <w:rFonts w:hint="default" w:ascii="Times New Roman" w:hAnsi="Times New Roman" w:eastAsia="仿宋_GB2312" w:cs="Times New Roman"/>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F84C724">
      <w:pPr>
        <w:keepNext w:val="0"/>
        <w:keepLines w:val="0"/>
        <w:pageBreakBefore w:val="0"/>
        <w:widowControl w:val="0"/>
        <w:kinsoku/>
        <w:wordWrap/>
        <w:overflowPunct/>
        <w:topLinePunct w:val="0"/>
        <w:autoSpaceDE/>
        <w:autoSpaceDN/>
        <w:bidi w:val="0"/>
        <w:adjustRightInd/>
        <w:snapToGrid/>
        <w:spacing w:line="576" w:lineRule="exact"/>
        <w:ind w:firstLine="640"/>
        <w:textAlignment w:val="auto"/>
        <w:outlineLvl w:val="1"/>
        <w:rPr>
          <w:rStyle w:val="34"/>
          <w:rFonts w:hint="default" w:ascii="Times New Roman" w:hAnsi="Times New Roman" w:eastAsia="黑体" w:cs="Times New Roman"/>
          <w:b w:val="0"/>
          <w:color w:val="auto"/>
          <w:highlight w:val="none"/>
        </w:rPr>
      </w:pPr>
      <w:r>
        <w:rPr>
          <w:rFonts w:hint="default" w:ascii="Times New Roman" w:hAnsi="Times New Roman" w:eastAsia="黑体" w:cs="Times New Roman"/>
          <w:color w:val="auto"/>
          <w:sz w:val="32"/>
          <w:szCs w:val="32"/>
          <w:highlight w:val="none"/>
        </w:rPr>
        <w:t>七、</w:t>
      </w:r>
      <w:r>
        <w:rPr>
          <w:rStyle w:val="34"/>
          <w:rFonts w:hint="default" w:ascii="Times New Roman" w:hAnsi="Times New Roman" w:eastAsia="黑体" w:cs="Times New Roman"/>
          <w:b w:val="0"/>
          <w:color w:val="auto"/>
          <w:highlight w:val="none"/>
        </w:rPr>
        <w:t>财政拨款</w:t>
      </w:r>
      <w:r>
        <w:rPr>
          <w:rStyle w:val="34"/>
          <w:rFonts w:hint="default" w:ascii="Times New Roman" w:hAnsi="Times New Roman" w:eastAsia="黑体" w:cs="Times New Roman"/>
          <w:color w:val="auto"/>
          <w:highlight w:val="none"/>
        </w:rPr>
        <w:t>“</w:t>
      </w:r>
      <w:r>
        <w:rPr>
          <w:rStyle w:val="34"/>
          <w:rFonts w:hint="default" w:ascii="Times New Roman" w:hAnsi="Times New Roman" w:eastAsia="黑体" w:cs="Times New Roman"/>
          <w:b w:val="0"/>
          <w:color w:val="auto"/>
          <w:highlight w:val="none"/>
        </w:rPr>
        <w:t>三公”经费支出决算情况说明</w:t>
      </w:r>
      <w:bookmarkEnd w:id="62"/>
      <w:bookmarkEnd w:id="63"/>
      <w:bookmarkEnd w:id="64"/>
    </w:p>
    <w:p w14:paraId="344A2CEF">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65" w:name="_Toc15377216"/>
      <w:r>
        <w:rPr>
          <w:rFonts w:hint="default" w:ascii="Times New Roman" w:hAnsi="Times New Roman" w:eastAsia="楷体_GB2312" w:cs="Times New Roman"/>
          <w:b/>
          <w:color w:val="auto"/>
          <w:sz w:val="32"/>
          <w:szCs w:val="32"/>
          <w:highlight w:val="none"/>
        </w:rPr>
        <w:t>（一）“三公”经费财政拨款支出决算总体情况说明</w:t>
      </w:r>
      <w:bookmarkEnd w:id="65"/>
      <w:bookmarkStart w:id="66" w:name="_Toc15377217"/>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2025年度财政拨款“三公”经费支出决算为</w:t>
      </w:r>
      <w:r>
        <w:rPr>
          <w:rFonts w:hint="default" w:ascii="Times New Roman" w:hAnsi="Times New Roman" w:eastAsia="仿宋_GB2312" w:cs="Times New Roman"/>
          <w:sz w:val="32"/>
          <w:szCs w:val="32"/>
        </w:rPr>
        <w:t>9.39</w:t>
      </w:r>
      <w:r>
        <w:rPr>
          <w:rFonts w:hint="default" w:ascii="Times New Roman" w:hAnsi="Times New Roman" w:eastAsia="仿宋_GB2312" w:cs="Times New Roman"/>
          <w:color w:val="auto"/>
          <w:kern w:val="2"/>
          <w:sz w:val="32"/>
          <w:szCs w:val="32"/>
          <w:highlight w:val="none"/>
          <w:lang w:val="en-US" w:eastAsia="zh-CN" w:bidi="ar-SA"/>
        </w:rPr>
        <w:t>万元，完成预算</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%，较上年度增加1.05万元，增长12.58%。决算数与预算数持平。</w:t>
      </w:r>
    </w:p>
    <w:p w14:paraId="6D0F0754">
      <w:pPr>
        <w:keepNext w:val="0"/>
        <w:keepLines w:val="0"/>
        <w:pageBreakBefore w:val="0"/>
        <w:widowControl w:val="0"/>
        <w:kinsoku/>
        <w:wordWrap/>
        <w:overflowPunct/>
        <w:topLinePunct w:val="0"/>
        <w:autoSpaceDE/>
        <w:autoSpaceDN/>
        <w:bidi w:val="0"/>
        <w:adjustRightInd/>
        <w:snapToGrid/>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（二）“三公”经费财政拨款支出决算具体情况说明</w:t>
      </w:r>
      <w:bookmarkEnd w:id="66"/>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2025年度财政拨款“三公”经费支出决算中，因公出国（境）费支出决算</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万元，占0%；公务用车购置及运行维护费支出决算</w:t>
      </w:r>
      <w:r>
        <w:rPr>
          <w:rFonts w:hint="default" w:ascii="Times New Roman" w:hAnsi="Times New Roman" w:eastAsia="仿宋_GB2312" w:cs="Times New Roman"/>
          <w:sz w:val="32"/>
          <w:szCs w:val="32"/>
        </w:rPr>
        <w:t>8.97</w:t>
      </w:r>
      <w:r>
        <w:rPr>
          <w:rFonts w:hint="default" w:ascii="Times New Roman" w:hAnsi="Times New Roman" w:eastAsia="仿宋_GB2312" w:cs="Times New Roman"/>
          <w:color w:val="auto"/>
          <w:kern w:val="2"/>
          <w:sz w:val="32"/>
          <w:szCs w:val="32"/>
          <w:highlight w:val="none"/>
          <w:lang w:val="en-US" w:eastAsia="zh-CN" w:bidi="ar-SA"/>
        </w:rPr>
        <w:t>万元，占95.53%；公务接待费支出决算</w:t>
      </w:r>
      <w:r>
        <w:rPr>
          <w:rFonts w:hint="default" w:ascii="Times New Roman" w:hAnsi="Times New Roman" w:eastAsia="仿宋_GB2312" w:cs="Times New Roman"/>
          <w:sz w:val="32"/>
          <w:szCs w:val="32"/>
        </w:rPr>
        <w:t>0.42</w:t>
      </w:r>
      <w:r>
        <w:rPr>
          <w:rFonts w:hint="default" w:ascii="Times New Roman" w:hAnsi="Times New Roman" w:eastAsia="仿宋_GB2312" w:cs="Times New Roman"/>
          <w:color w:val="auto"/>
          <w:kern w:val="2"/>
          <w:sz w:val="32"/>
          <w:szCs w:val="32"/>
          <w:highlight w:val="none"/>
          <w:lang w:val="en-US" w:eastAsia="zh-CN" w:bidi="ar-SA"/>
        </w:rPr>
        <w:t>万元，占4.47%。具体情况如下：</w:t>
      </w:r>
    </w:p>
    <w:p w14:paraId="0F0E369E">
      <w:pPr>
        <w:keepNext w:val="0"/>
        <w:keepLines w:val="0"/>
        <w:pageBreakBefore w:val="0"/>
        <w:widowControl w:val="0"/>
        <w:kinsoku/>
        <w:wordWrap/>
        <w:overflowPunct/>
        <w:topLinePunct w:val="0"/>
        <w:autoSpaceDE/>
        <w:autoSpaceDN/>
        <w:bidi w:val="0"/>
        <w:adjustRightInd/>
        <w:snapToGrid/>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（图1：“三公”经费财政拨款支出结构）（饼状图）</w:t>
      </w:r>
    </w:p>
    <w:p w14:paraId="295AE7A0">
      <w:pPr>
        <w:pStyle w:val="9"/>
        <w:rPr>
          <w:rFonts w:hint="default" w:ascii="Times New Roman" w:hAnsi="Times New Roman" w:cs="Times New Roman"/>
          <w:lang w:val="en-US" w:eastAsia="zh-CN"/>
        </w:rPr>
      </w:pPr>
      <w:r>
        <w:rPr>
          <w:rFonts w:hint="default" w:ascii="Times New Roman" w:hAnsi="Times New Roman" w:cs="Times New Roman"/>
        </w:rPr>
        <w:drawing>
          <wp:anchor distT="0" distB="0" distL="114300" distR="114300" simplePos="0" relativeHeight="251661312" behindDoc="0" locked="0" layoutInCell="1" allowOverlap="1">
            <wp:simplePos x="0" y="0"/>
            <wp:positionH relativeFrom="column">
              <wp:posOffset>635635</wp:posOffset>
            </wp:positionH>
            <wp:positionV relativeFrom="paragraph">
              <wp:posOffset>377190</wp:posOffset>
            </wp:positionV>
            <wp:extent cx="4381500" cy="1668780"/>
            <wp:effectExtent l="4445" t="4445" r="14605" b="22225"/>
            <wp:wrapNone/>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4F9989A2">
      <w:pPr>
        <w:pStyle w:val="8"/>
        <w:rPr>
          <w:rFonts w:hint="default" w:ascii="Times New Roman" w:hAnsi="Times New Roman" w:eastAsia="仿宋_GB2312" w:cs="Times New Roman"/>
          <w:color w:val="auto"/>
          <w:kern w:val="2"/>
          <w:sz w:val="32"/>
          <w:szCs w:val="32"/>
          <w:highlight w:val="none"/>
          <w:lang w:val="en-US" w:eastAsia="zh-CN" w:bidi="ar-SA"/>
        </w:rPr>
      </w:pPr>
    </w:p>
    <w:p w14:paraId="295CBA85">
      <w:pPr>
        <w:rPr>
          <w:rFonts w:hint="default" w:ascii="Times New Roman" w:hAnsi="Times New Roman" w:cs="Times New Roman"/>
          <w:lang w:val="en-US" w:eastAsia="zh-CN"/>
        </w:rPr>
      </w:pPr>
    </w:p>
    <w:p w14:paraId="2CFEDAC9">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p>
    <w:p w14:paraId="29E62954">
      <w:pPr>
        <w:spacing w:line="600" w:lineRule="exact"/>
        <w:ind w:firstLine="640"/>
        <w:rPr>
          <w:rFonts w:hint="default" w:ascii="Times New Roman" w:hAnsi="Times New Roman" w:eastAsia="仿宋_GB2312" w:cs="Times New Roman"/>
          <w:b/>
          <w:bCs/>
          <w:color w:val="auto"/>
          <w:kern w:val="2"/>
          <w:sz w:val="32"/>
          <w:szCs w:val="32"/>
          <w:highlight w:val="none"/>
          <w:lang w:val="en-US" w:eastAsia="zh-CN" w:bidi="ar-SA"/>
        </w:rPr>
      </w:pPr>
    </w:p>
    <w:p w14:paraId="499AAB8F">
      <w:pPr>
        <w:spacing w:line="600" w:lineRule="exact"/>
        <w:ind w:firstLine="640"/>
        <w:jc w:val="center"/>
        <w:rPr>
          <w:rFonts w:hint="default" w:ascii="Times New Roman" w:hAnsi="Times New Roman" w:eastAsia="仿宋_GB2312" w:cs="Times New Roman"/>
          <w:b/>
          <w:bCs/>
          <w:color w:val="auto"/>
          <w:kern w:val="2"/>
          <w:sz w:val="32"/>
          <w:szCs w:val="32"/>
          <w:highlight w:val="none"/>
          <w:lang w:val="en-US" w:eastAsia="zh-CN" w:bidi="ar-SA"/>
        </w:rPr>
      </w:pPr>
    </w:p>
    <w:p w14:paraId="730A9A2D">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1.因公出国（境）经费支出0万元，完成预算100%。</w:t>
      </w:r>
      <w:r>
        <w:rPr>
          <w:rFonts w:hint="default" w:ascii="Times New Roman" w:hAnsi="Times New Roman" w:eastAsia="仿宋_GB2312" w:cs="Times New Roman"/>
          <w:color w:val="auto"/>
          <w:kern w:val="2"/>
          <w:sz w:val="32"/>
          <w:szCs w:val="32"/>
          <w:highlight w:val="none"/>
          <w:lang w:val="en-US" w:eastAsia="zh-CN" w:bidi="ar-SA"/>
        </w:rPr>
        <w:t>全年安排因公出国（境）团组</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次，出国（境）</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人。因公出国（境）支出决算比2024年增加0万元，增长0%。</w:t>
      </w:r>
    </w:p>
    <w:p w14:paraId="61A29A09">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2.公务用车购置及运行维护费支出8.97万元，完成预算100%。</w:t>
      </w:r>
      <w:r>
        <w:rPr>
          <w:rFonts w:hint="default" w:ascii="Times New Roman" w:hAnsi="Times New Roman" w:eastAsia="仿宋_GB2312" w:cs="Times New Roman"/>
          <w:color w:val="auto"/>
          <w:kern w:val="2"/>
          <w:sz w:val="32"/>
          <w:szCs w:val="32"/>
          <w:highlight w:val="none"/>
          <w:lang w:val="en-US" w:eastAsia="zh-CN" w:bidi="ar-SA"/>
        </w:rPr>
        <w:t>公务用车购置及运行维护费支出决算比2024年度增加1.37万元，增长18.03%。主要原因是2025 年机构改革新设文化旅游服务中心，人员编制增加、业务职责拓展，公务出行工作量增大，公务用车运行维护费预算及支出相应增长。</w:t>
      </w:r>
    </w:p>
    <w:p w14:paraId="28B1CD15">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其中：公务用车购置支出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万元。全年按规定更新购置公务用车0辆，其中：轿车0辆、金额0万元，越野车0辆、金额0万元，载客汽车0辆、金额0万元。截至2025年12月31日，单位共有公务用车4辆，其中：轿车2辆、越野车2辆。</w:t>
      </w:r>
    </w:p>
    <w:p w14:paraId="2A98EAFF">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2"/>
          <w:sz w:val="32"/>
          <w:szCs w:val="32"/>
          <w:highlight w:val="none"/>
          <w:lang w:val="en-US" w:eastAsia="zh-CN" w:bidi="ar-SA"/>
        </w:rPr>
        <w:t>公务用车运行维护费支出8.97万元。</w:t>
      </w:r>
      <w:r>
        <w:rPr>
          <w:rFonts w:hint="default" w:ascii="Times New Roman" w:hAnsi="Times New Roman" w:eastAsia="仿宋_GB2312" w:cs="Times New Roman"/>
          <w:sz w:val="32"/>
          <w:szCs w:val="32"/>
          <w:lang w:eastAsia="zh-CN"/>
        </w:rPr>
        <w:t>主要用于文化市场检查、联乡包村下乡、项目检查、日常出差</w:t>
      </w:r>
      <w:r>
        <w:rPr>
          <w:rFonts w:hint="default" w:ascii="Times New Roman" w:hAnsi="Times New Roman" w:eastAsia="仿宋_GB2312" w:cs="Times New Roman"/>
          <w:sz w:val="32"/>
          <w:szCs w:val="32"/>
        </w:rPr>
        <w:t>等所需的公务用车燃料费、维修费、过路过桥费、保险费等支出。</w:t>
      </w:r>
    </w:p>
    <w:p w14:paraId="20982BE3">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kern w:val="2"/>
          <w:sz w:val="32"/>
          <w:szCs w:val="32"/>
          <w:highlight w:val="none"/>
          <w:lang w:val="en-US" w:eastAsia="zh-CN" w:bidi="ar-SA"/>
        </w:rPr>
        <w:t>3.公务接待费支出0.42万元，完成预算100%。</w:t>
      </w:r>
      <w:r>
        <w:rPr>
          <w:rFonts w:hint="default" w:ascii="Times New Roman" w:hAnsi="Times New Roman" w:eastAsia="仿宋_GB2312" w:cs="Times New Roman"/>
          <w:color w:val="auto"/>
          <w:kern w:val="2"/>
          <w:sz w:val="32"/>
          <w:szCs w:val="32"/>
          <w:highlight w:val="none"/>
          <w:lang w:val="en-US" w:eastAsia="zh-CN" w:bidi="ar-SA"/>
        </w:rPr>
        <w:t>公务接待费支出决算比上年度减少0.32万元，下降43.24%。主要原因是严格落实厉行节约相关规定，持续压减公务接待频次与接待规模，从严控制接待标准，精简各类调研、检查接待活动，切实降低公务接待开支。其中：</w:t>
      </w:r>
    </w:p>
    <w:p w14:paraId="47A37EE9">
      <w:pPr>
        <w:spacing w:line="600" w:lineRule="exact"/>
        <w:ind w:firstLine="640"/>
        <w:rPr>
          <w:rFonts w:hint="default" w:ascii="Times New Roman" w:hAnsi="Times New Roman" w:cs="Times New Roman"/>
          <w:lang w:val="en-US" w:eastAsia="zh-CN"/>
        </w:rPr>
      </w:pPr>
      <w:r>
        <w:rPr>
          <w:rFonts w:hint="default" w:ascii="Times New Roman" w:hAnsi="Times New Roman" w:eastAsia="仿宋_GB2312" w:cs="Times New Roman"/>
          <w:color w:val="auto"/>
          <w:kern w:val="2"/>
          <w:sz w:val="32"/>
          <w:szCs w:val="32"/>
          <w:highlight w:val="none"/>
          <w:lang w:val="en-US" w:eastAsia="zh-CN" w:bidi="ar-SA"/>
        </w:rPr>
        <w:t>国内公务接待支出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sz w:val="32"/>
          <w:szCs w:val="32"/>
          <w:lang w:val="en-US" w:eastAsia="zh-CN"/>
        </w:rPr>
        <w:t>42</w:t>
      </w:r>
      <w:r>
        <w:rPr>
          <w:rFonts w:hint="default" w:ascii="Times New Roman" w:hAnsi="Times New Roman" w:eastAsia="仿宋_GB2312" w:cs="Times New Roman"/>
          <w:color w:val="auto"/>
          <w:kern w:val="2"/>
          <w:sz w:val="32"/>
          <w:szCs w:val="32"/>
          <w:highlight w:val="none"/>
          <w:lang w:val="en-US" w:eastAsia="zh-CN" w:bidi="ar-SA"/>
        </w:rPr>
        <w:t>万元，</w:t>
      </w:r>
      <w:bookmarkStart w:id="67" w:name="_Toc15377218"/>
      <w:bookmarkStart w:id="68" w:name="_Toc15396610"/>
      <w:r>
        <w:rPr>
          <w:rFonts w:hint="default" w:ascii="Times New Roman" w:hAnsi="Times New Roman" w:eastAsia="仿宋_GB2312" w:cs="Times New Roman"/>
          <w:color w:val="auto"/>
          <w:kern w:val="2"/>
          <w:sz w:val="32"/>
          <w:szCs w:val="32"/>
          <w:highlight w:val="none"/>
          <w:lang w:val="en-US" w:eastAsia="zh-CN" w:bidi="ar-SA"/>
        </w:rPr>
        <w:t>主要用于开展业务活动开支的用餐费。国内公务接待</w:t>
      </w:r>
      <w:r>
        <w:rPr>
          <w:rFonts w:hint="default" w:ascii="Times New Roman" w:hAnsi="Times New Roman" w:eastAsia="仿宋_GB2312" w:cs="Times New Roman"/>
          <w:sz w:val="32"/>
          <w:szCs w:val="32"/>
        </w:rPr>
        <w:t>5</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72</w:t>
      </w:r>
      <w:r>
        <w:rPr>
          <w:rFonts w:hint="default" w:ascii="Times New Roman" w:hAnsi="Times New Roman" w:eastAsia="仿宋_GB2312" w:cs="Times New Roman"/>
          <w:color w:val="auto"/>
          <w:kern w:val="2"/>
          <w:sz w:val="32"/>
          <w:szCs w:val="32"/>
          <w:highlight w:val="none"/>
          <w:lang w:val="en-US" w:eastAsia="zh-CN" w:bidi="ar-SA"/>
        </w:rPr>
        <w:t>人次（不包括陪同人员），共计支出0.42万元，外事接待支出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万元。外事接待</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批次，</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人次（不包括陪同人员），共计支出0万元。</w:t>
      </w:r>
    </w:p>
    <w:p w14:paraId="76704694">
      <w:pPr>
        <w:keepNext w:val="0"/>
        <w:keepLines w:val="0"/>
        <w:pageBreakBefore w:val="0"/>
        <w:kinsoku/>
        <w:wordWrap/>
        <w:overflowPunct/>
        <w:topLinePunct w:val="0"/>
        <w:bidi w:val="0"/>
        <w:spacing w:line="576" w:lineRule="exact"/>
        <w:ind w:firstLine="640"/>
        <w:textAlignment w:val="auto"/>
        <w:outlineLvl w:val="1"/>
        <w:rPr>
          <w:rStyle w:val="34"/>
          <w:rFonts w:hint="default" w:ascii="Times New Roman" w:hAnsi="Times New Roman" w:eastAsia="黑体" w:cs="Times New Roman"/>
          <w:color w:val="auto"/>
          <w:highlight w:val="none"/>
        </w:rPr>
      </w:pPr>
      <w:bookmarkStart w:id="69" w:name="_Toc30729_WPSOffice_Level2"/>
      <w:r>
        <w:rPr>
          <w:rFonts w:hint="default" w:ascii="Times New Roman" w:hAnsi="Times New Roman" w:eastAsia="黑体" w:cs="Times New Roman"/>
          <w:color w:val="auto"/>
          <w:sz w:val="32"/>
          <w:szCs w:val="32"/>
          <w:highlight w:val="none"/>
        </w:rPr>
        <w:t>八、</w:t>
      </w:r>
      <w:r>
        <w:rPr>
          <w:rStyle w:val="34"/>
          <w:rFonts w:hint="default" w:ascii="Times New Roman" w:hAnsi="Times New Roman" w:eastAsia="黑体" w:cs="Times New Roman"/>
          <w:b w:val="0"/>
          <w:color w:val="auto"/>
          <w:highlight w:val="none"/>
        </w:rPr>
        <w:t>政府性基金预算支出决算情况说明</w:t>
      </w:r>
      <w:bookmarkEnd w:id="67"/>
      <w:bookmarkEnd w:id="68"/>
      <w:bookmarkEnd w:id="69"/>
    </w:p>
    <w:p w14:paraId="69CBEA0C">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70" w:name="_Toc15377219"/>
      <w:bookmarkStart w:id="71" w:name="_Toc15396611"/>
      <w:bookmarkStart w:id="72" w:name="_Toc7324_WPSOffice_Level2"/>
      <w:r>
        <w:rPr>
          <w:rFonts w:hint="default" w:ascii="Times New Roman" w:hAnsi="Times New Roman" w:eastAsia="仿宋_GB2312" w:cs="Times New Roman"/>
          <w:color w:val="auto"/>
          <w:kern w:val="2"/>
          <w:sz w:val="32"/>
          <w:szCs w:val="32"/>
          <w:highlight w:val="none"/>
          <w:lang w:val="en-US" w:eastAsia="zh-CN" w:bidi="ar-SA"/>
        </w:rPr>
        <w:t>2025年度政府性基金预算财政拨款支出0.13万元，占本年支出合计的0%。与上年度相比，政府性基金预算财政拨款支出减少9.39万元，下降98.63%。主要变动原因是2025年政府性基金预算项目减少。</w:t>
      </w:r>
    </w:p>
    <w:p w14:paraId="5918F5CD">
      <w:pPr>
        <w:keepNext w:val="0"/>
        <w:keepLines w:val="0"/>
        <w:pageBreakBefore w:val="0"/>
        <w:numPr>
          <w:ilvl w:val="0"/>
          <w:numId w:val="0"/>
        </w:numPr>
        <w:kinsoku/>
        <w:wordWrap/>
        <w:overflowPunct/>
        <w:topLinePunct w:val="0"/>
        <w:bidi w:val="0"/>
        <w:spacing w:line="576" w:lineRule="exact"/>
        <w:ind w:left="630" w:leftChars="0"/>
        <w:textAlignment w:val="auto"/>
        <w:outlineLvl w:val="1"/>
        <w:rPr>
          <w:rStyle w:val="34"/>
          <w:rFonts w:hint="default" w:ascii="Times New Roman" w:hAnsi="Times New Roman" w:eastAsia="黑体" w:cs="Times New Roman"/>
          <w:b w:val="0"/>
          <w:color w:val="auto"/>
          <w:highlight w:val="none"/>
        </w:rPr>
      </w:pPr>
      <w:r>
        <w:rPr>
          <w:rStyle w:val="34"/>
          <w:rFonts w:hint="default" w:ascii="Times New Roman" w:hAnsi="Times New Roman" w:eastAsia="黑体" w:cs="Times New Roman"/>
          <w:b w:val="0"/>
          <w:color w:val="auto"/>
          <w:highlight w:val="none"/>
          <w:lang w:eastAsia="zh-CN"/>
        </w:rPr>
        <w:t>九、</w:t>
      </w:r>
      <w:r>
        <w:rPr>
          <w:rStyle w:val="34"/>
          <w:rFonts w:hint="default" w:ascii="Times New Roman" w:hAnsi="Times New Roman" w:eastAsia="黑体" w:cs="Times New Roman"/>
          <w:b w:val="0"/>
          <w:color w:val="auto"/>
          <w:highlight w:val="none"/>
        </w:rPr>
        <w:t>国有资本经营预算支出决算情况说明</w:t>
      </w:r>
      <w:bookmarkEnd w:id="70"/>
      <w:bookmarkEnd w:id="71"/>
      <w:bookmarkEnd w:id="72"/>
    </w:p>
    <w:p w14:paraId="30FE075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bookmarkStart w:id="73" w:name="_Toc15377221"/>
      <w:bookmarkStart w:id="74" w:name="_Toc15396612"/>
      <w:bookmarkStart w:id="75" w:name="_Toc13474_WPSOffice_Level2"/>
      <w:r>
        <w:rPr>
          <w:rFonts w:hint="default" w:ascii="Times New Roman" w:hAnsi="Times New Roman" w:eastAsia="仿宋_GB2312" w:cs="Times New Roman"/>
          <w:color w:val="auto"/>
          <w:kern w:val="2"/>
          <w:sz w:val="32"/>
          <w:szCs w:val="32"/>
          <w:highlight w:val="none"/>
          <w:lang w:val="en-US" w:eastAsia="zh-CN" w:bidi="ar-SA"/>
        </w:rPr>
        <w:t>2025年度国有资本经营预算财政拨款支出0万元，占本年支出合计的0%。与上年度相比，国有资本经营预算财政拨款支出增加0万元，增长0%。</w:t>
      </w:r>
    </w:p>
    <w:p w14:paraId="3E0195CF">
      <w:pPr>
        <w:keepNext w:val="0"/>
        <w:keepLines w:val="0"/>
        <w:pageBreakBefore w:val="0"/>
        <w:numPr>
          <w:ilvl w:val="0"/>
          <w:numId w:val="0"/>
        </w:numPr>
        <w:kinsoku/>
        <w:wordWrap/>
        <w:overflowPunct/>
        <w:topLinePunct w:val="0"/>
        <w:bidi w:val="0"/>
        <w:spacing w:line="576" w:lineRule="exact"/>
        <w:ind w:left="630" w:leftChars="0"/>
        <w:textAlignment w:val="auto"/>
        <w:outlineLvl w:val="1"/>
        <w:rPr>
          <w:rStyle w:val="34"/>
          <w:rFonts w:hint="default" w:ascii="Times New Roman" w:hAnsi="Times New Roman" w:eastAsia="黑体" w:cs="Times New Roman"/>
          <w:b w:val="0"/>
          <w:color w:val="auto"/>
          <w:highlight w:val="none"/>
        </w:rPr>
      </w:pPr>
      <w:r>
        <w:rPr>
          <w:rStyle w:val="34"/>
          <w:rFonts w:hint="default" w:ascii="Times New Roman" w:hAnsi="Times New Roman" w:eastAsia="黑体" w:cs="Times New Roman"/>
          <w:b w:val="0"/>
          <w:color w:val="auto"/>
          <w:highlight w:val="none"/>
          <w:lang w:eastAsia="zh-CN"/>
        </w:rPr>
        <w:t>十、</w:t>
      </w:r>
      <w:r>
        <w:rPr>
          <w:rStyle w:val="34"/>
          <w:rFonts w:hint="default" w:ascii="Times New Roman" w:hAnsi="Times New Roman" w:eastAsia="黑体" w:cs="Times New Roman"/>
          <w:b w:val="0"/>
          <w:color w:val="auto"/>
          <w:highlight w:val="none"/>
        </w:rPr>
        <w:t>其他重要事项的情况说明</w:t>
      </w:r>
      <w:bookmarkEnd w:id="73"/>
      <w:bookmarkEnd w:id="74"/>
      <w:bookmarkEnd w:id="75"/>
    </w:p>
    <w:p w14:paraId="5A6AA3DF">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76" w:name="_Toc15377222"/>
      <w:r>
        <w:rPr>
          <w:rFonts w:hint="default" w:ascii="Times New Roman" w:hAnsi="Times New Roman" w:eastAsia="楷体_GB2312" w:cs="Times New Roman"/>
          <w:b/>
          <w:color w:val="auto"/>
          <w:sz w:val="32"/>
          <w:szCs w:val="32"/>
          <w:highlight w:val="none"/>
        </w:rPr>
        <w:t>（一）机关运行经费支出情况</w:t>
      </w:r>
      <w:bookmarkEnd w:id="76"/>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松潘县文化广播电视体育和旅游局</w:t>
      </w:r>
      <w:r>
        <w:rPr>
          <w:rFonts w:hint="default" w:ascii="Times New Roman" w:hAnsi="Times New Roman" w:eastAsia="仿宋_GB2312" w:cs="Times New Roman"/>
          <w:color w:val="auto"/>
          <w:kern w:val="2"/>
          <w:sz w:val="32"/>
          <w:szCs w:val="32"/>
          <w:highlight w:val="none"/>
          <w:lang w:val="en-US" w:eastAsia="zh-CN" w:bidi="ar-SA"/>
        </w:rPr>
        <w:t>机关运行经费支出</w:t>
      </w:r>
      <w:r>
        <w:rPr>
          <w:rFonts w:hint="default" w:ascii="Times New Roman" w:hAnsi="Times New Roman" w:eastAsia="仿宋_GB2312" w:cs="Times New Roman"/>
          <w:sz w:val="32"/>
          <w:szCs w:val="32"/>
        </w:rPr>
        <w:t>17.55</w:t>
      </w:r>
      <w:r>
        <w:rPr>
          <w:rFonts w:hint="default" w:ascii="Times New Roman" w:hAnsi="Times New Roman" w:eastAsia="仿宋_GB2312" w:cs="Times New Roman"/>
          <w:color w:val="auto"/>
          <w:kern w:val="2"/>
          <w:sz w:val="32"/>
          <w:szCs w:val="32"/>
          <w:highlight w:val="none"/>
          <w:lang w:val="en-US" w:eastAsia="zh-CN" w:bidi="ar-SA"/>
        </w:rPr>
        <w:t>万元，比上年度减少16.25万元，下降48.08%</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主要原因是</w:t>
      </w:r>
      <w:r>
        <w:rPr>
          <w:rFonts w:hint="default" w:ascii="Times New Roman" w:hAnsi="Times New Roman" w:eastAsia="仿宋_GB2312" w:cs="Times New Roman"/>
          <w:color w:val="000000"/>
          <w:sz w:val="32"/>
          <w:szCs w:val="32"/>
          <w:lang w:val="en-US" w:eastAsia="zh-CN"/>
        </w:rPr>
        <w:t>2025 年度我局严格落实厉行节约、进一步压减机关一般性公用经费支出，精简非刚性、非重点开支，优化机关日常运行经费统筹使用结构，严控办公耗材、日常运维等费用。</w:t>
      </w:r>
    </w:p>
    <w:p w14:paraId="62AEBE53">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bookmarkStart w:id="77" w:name="_Toc15377223"/>
      <w:r>
        <w:rPr>
          <w:rFonts w:hint="default" w:ascii="Times New Roman" w:hAnsi="Times New Roman" w:eastAsia="楷体_GB2312" w:cs="Times New Roman"/>
          <w:b/>
          <w:color w:val="auto"/>
          <w:sz w:val="32"/>
          <w:szCs w:val="32"/>
          <w:highlight w:val="none"/>
        </w:rPr>
        <w:t>（二）政府采购支出情况</w:t>
      </w:r>
      <w:bookmarkEnd w:id="77"/>
      <w:bookmarkStart w:id="78" w:name="_Toc15377224"/>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w:t>
      </w:r>
      <w:r>
        <w:rPr>
          <w:rFonts w:hint="default" w:ascii="Times New Roman" w:hAnsi="Times New Roman" w:eastAsia="仿宋_GB2312" w:cs="Times New Roman"/>
          <w:sz w:val="32"/>
          <w:szCs w:val="32"/>
        </w:rPr>
        <w:t>松潘县文化广播电视体育和旅游局本级</w:t>
      </w:r>
      <w:r>
        <w:rPr>
          <w:rFonts w:hint="default" w:ascii="Times New Roman" w:hAnsi="Times New Roman" w:eastAsia="仿宋_GB2312" w:cs="Times New Roman"/>
          <w:color w:val="auto"/>
          <w:kern w:val="2"/>
          <w:sz w:val="32"/>
          <w:szCs w:val="32"/>
          <w:highlight w:val="none"/>
          <w:lang w:val="en-US" w:eastAsia="zh-CN" w:bidi="ar-SA"/>
        </w:rPr>
        <w:t>政府采购支出总额789.88万元，其中：政府采购货物支出</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万元、政府采购工程支出392.69万元、政府采购服务支出397.19万元。主要用于松潘县毛儿盖会议会址陈列馆展陈提升项目292万元；长征国家文化公园（松潘段）配套设施建设项目100.69万元；2025年送戏、送文化下乡演出服务49.99万元；松潘县第九届古城花灯会297.6万元；2025年第二届松潘古城半程马拉松赛49.6万元。占政府采购支出总额的</w:t>
      </w:r>
      <w:r>
        <w:rPr>
          <w:rFonts w:hint="default" w:ascii="Times New Roman" w:hAnsi="Times New Roman" w:eastAsia="仿宋_GB2312" w:cs="Times New Roman"/>
          <w:sz w:val="32"/>
          <w:szCs w:val="32"/>
        </w:rPr>
        <w:t>100</w:t>
      </w:r>
      <w:r>
        <w:rPr>
          <w:rFonts w:hint="default" w:ascii="Times New Roman" w:hAnsi="Times New Roman" w:eastAsia="仿宋_GB2312" w:cs="Times New Roman"/>
          <w:color w:val="auto"/>
          <w:kern w:val="2"/>
          <w:sz w:val="32"/>
          <w:szCs w:val="32"/>
          <w:highlight w:val="none"/>
          <w:lang w:val="en-US" w:eastAsia="zh-CN" w:bidi="ar-SA"/>
        </w:rPr>
        <w:t>%，其中：授予小微企业合同金额492.28万元，占政府采购支出总额的62.32%。</w:t>
      </w:r>
    </w:p>
    <w:p w14:paraId="2938AF28">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（三）国有资产占有使用情况</w:t>
      </w:r>
      <w:bookmarkEnd w:id="78"/>
      <w:r>
        <w:rPr>
          <w:rFonts w:hint="default"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截至2025年12月31日，</w:t>
      </w:r>
      <w:r>
        <w:rPr>
          <w:rFonts w:hint="default" w:ascii="Times New Roman" w:hAnsi="Times New Roman" w:eastAsia="仿宋_GB2312" w:cs="Times New Roman"/>
          <w:sz w:val="32"/>
          <w:szCs w:val="32"/>
        </w:rPr>
        <w:t>松潘县文化广播电视体育和旅游局</w:t>
      </w:r>
      <w:r>
        <w:rPr>
          <w:rFonts w:hint="default" w:ascii="Times New Roman" w:hAnsi="Times New Roman" w:eastAsia="仿宋_GB2312" w:cs="Times New Roman"/>
          <w:color w:val="auto"/>
          <w:kern w:val="2"/>
          <w:sz w:val="32"/>
          <w:szCs w:val="32"/>
          <w:highlight w:val="none"/>
          <w:lang w:val="en-US" w:eastAsia="zh-CN" w:bidi="ar-SA"/>
        </w:rPr>
        <w:t>共有车辆</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辆，其中：副部（省）级及以上领导用车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辆、主要负责人用车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辆、机要通信用车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辆、应急保障用车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辆、执法执勤用车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辆、特种专业技术用车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辆、离退休干部服务用车</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辆、其他用车</w:t>
      </w:r>
      <w:r>
        <w:rPr>
          <w:rFonts w:hint="default" w:ascii="Times New Roman" w:hAnsi="Times New Roman" w:eastAsia="仿宋_GB2312" w:cs="Times New Roman"/>
          <w:sz w:val="32"/>
          <w:szCs w:val="32"/>
        </w:rPr>
        <w:t>4</w:t>
      </w:r>
      <w:r>
        <w:rPr>
          <w:rFonts w:hint="default" w:ascii="Times New Roman" w:hAnsi="Times New Roman" w:eastAsia="仿宋_GB2312" w:cs="Times New Roman"/>
          <w:color w:val="auto"/>
          <w:kern w:val="2"/>
          <w:sz w:val="32"/>
          <w:szCs w:val="32"/>
          <w:highlight w:val="none"/>
          <w:lang w:val="en-US" w:eastAsia="zh-CN" w:bidi="ar-SA"/>
        </w:rPr>
        <w:t>辆，其他用车主要是用于</w:t>
      </w:r>
      <w:r>
        <w:rPr>
          <w:rFonts w:hint="default" w:ascii="Times New Roman" w:hAnsi="Times New Roman" w:eastAsia="仿宋_GB2312" w:cs="Times New Roman"/>
          <w:sz w:val="32"/>
          <w:szCs w:val="32"/>
          <w:shd w:val="clear" w:color="auto" w:fill="FFFFFF"/>
          <w:lang w:eastAsia="zh-CN"/>
        </w:rPr>
        <w:t>文化市场检查、联乡包村下乡、项目检查、日常出差</w:t>
      </w:r>
      <w:r>
        <w:rPr>
          <w:rFonts w:hint="default" w:ascii="Times New Roman" w:hAnsi="Times New Roman" w:eastAsia="仿宋_GB2312" w:cs="Times New Roman"/>
          <w:sz w:val="32"/>
          <w:szCs w:val="32"/>
          <w:shd w:val="clear" w:color="auto" w:fill="FFFFFF"/>
        </w:rPr>
        <w:t>等</w:t>
      </w:r>
      <w:r>
        <w:rPr>
          <w:rFonts w:hint="default" w:ascii="Times New Roman" w:hAnsi="Times New Roman" w:eastAsia="仿宋_GB2312" w:cs="Times New Roman"/>
          <w:color w:val="auto"/>
          <w:kern w:val="2"/>
          <w:sz w:val="32"/>
          <w:szCs w:val="32"/>
          <w:highlight w:val="none"/>
          <w:lang w:val="en-US" w:eastAsia="zh-CN" w:bidi="ar-SA"/>
        </w:rPr>
        <w:t>。单价100万元（含）以上设备（不含车辆）</w:t>
      </w:r>
      <w:r>
        <w:rPr>
          <w:rFonts w:hint="default" w:ascii="Times New Roman" w:hAnsi="Times New Roman" w:eastAsia="仿宋_GB2312" w:cs="Times New Roman"/>
          <w:sz w:val="32"/>
          <w:szCs w:val="32"/>
        </w:rPr>
        <w:t>0</w:t>
      </w:r>
      <w:r>
        <w:rPr>
          <w:rFonts w:hint="default" w:ascii="Times New Roman" w:hAnsi="Times New Roman" w:eastAsia="仿宋_GB2312" w:cs="Times New Roman"/>
          <w:color w:val="auto"/>
          <w:kern w:val="2"/>
          <w:sz w:val="32"/>
          <w:szCs w:val="32"/>
          <w:highlight w:val="none"/>
          <w:lang w:val="en-US" w:eastAsia="zh-CN" w:bidi="ar-SA"/>
        </w:rPr>
        <w:t>台（套）。</w:t>
      </w:r>
    </w:p>
    <w:p w14:paraId="5D0EB5C3">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cs="Times New Roman"/>
        </w:rPr>
      </w:pPr>
      <w:r>
        <w:rPr>
          <w:rFonts w:hint="default" w:ascii="Times New Roman" w:hAnsi="Times New Roman" w:eastAsia="楷体_GB2312" w:cs="Times New Roman"/>
          <w:b/>
          <w:color w:val="auto"/>
          <w:sz w:val="32"/>
          <w:szCs w:val="32"/>
          <w:highlight w:val="none"/>
        </w:rPr>
        <w:t>（四）预算绩效管理情况</w:t>
      </w:r>
      <w:r>
        <w:rPr>
          <w:rFonts w:hint="default" w:ascii="Times New Roman" w:hAnsi="Times New Roman" w:eastAsia="楷体_GB2312" w:cs="Times New Roman"/>
          <w:b/>
          <w:color w:val="auto"/>
          <w:sz w:val="32"/>
          <w:szCs w:val="32"/>
          <w:highlight w:val="none"/>
          <w:lang w:eastAsia="zh-CN"/>
        </w:rPr>
        <w:t>。</w:t>
      </w:r>
      <w:bookmarkStart w:id="79" w:name="_Toc15377225"/>
      <w:bookmarkStart w:id="80" w:name="_Toc15396613"/>
      <w:r>
        <w:rPr>
          <w:rFonts w:hint="default" w:ascii="Times New Roman" w:hAnsi="Times New Roman" w:eastAsia="仿宋_GB2312" w:cs="Times New Roman"/>
          <w:color w:val="auto"/>
          <w:kern w:val="2"/>
          <w:sz w:val="32"/>
          <w:szCs w:val="32"/>
          <w:highlight w:val="none"/>
          <w:lang w:val="en-US" w:eastAsia="zh-CN" w:bidi="ar-SA"/>
        </w:rPr>
        <w:t>根据预算绩效管理要求，</w:t>
      </w:r>
      <w:r>
        <w:rPr>
          <w:rFonts w:hint="default" w:ascii="Times New Roman" w:hAnsi="Times New Roman" w:eastAsia="仿宋_GB2312" w:cs="Times New Roman"/>
          <w:sz w:val="32"/>
          <w:szCs w:val="32"/>
        </w:rPr>
        <w:t>本单位</w:t>
      </w:r>
      <w:r>
        <w:rPr>
          <w:rFonts w:hint="default" w:ascii="Times New Roman" w:hAnsi="Times New Roman" w:eastAsia="仿宋_GB2312" w:cs="Times New Roman"/>
          <w:color w:val="auto"/>
          <w:kern w:val="2"/>
          <w:sz w:val="32"/>
          <w:szCs w:val="32"/>
          <w:highlight w:val="none"/>
          <w:lang w:val="en-US" w:eastAsia="zh-CN" w:bidi="ar-SA"/>
        </w:rPr>
        <w:t>在2025年度预算编制阶段，组织对美术馆</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公共图书馆</w:t>
      </w:r>
      <w:r>
        <w:rPr>
          <w:rFonts w:hint="eastAsia" w:eastAsia="仿宋_GB2312" w:cs="Times New Roman"/>
          <w:color w:val="auto"/>
          <w:kern w:val="2"/>
          <w:sz w:val="32"/>
          <w:szCs w:val="32"/>
          <w:highlight w:val="none"/>
          <w:lang w:val="en-US" w:eastAsia="zh-CN" w:bidi="ar-SA"/>
        </w:rPr>
        <w:t>、</w:t>
      </w:r>
      <w:r>
        <w:rPr>
          <w:rFonts w:hint="default" w:ascii="Times New Roman" w:hAnsi="Times New Roman" w:eastAsia="仿宋_GB2312" w:cs="Times New Roman"/>
          <w:color w:val="auto"/>
          <w:kern w:val="2"/>
          <w:sz w:val="32"/>
          <w:szCs w:val="32"/>
          <w:highlight w:val="none"/>
          <w:lang w:val="en-US" w:eastAsia="zh-CN" w:bidi="ar-SA"/>
        </w:rPr>
        <w:t>文化馆（站）免费开放中央、省、州专项资金预算县级配套资金等20个项目开展了预算事前绩效评估，对20个项目编制了绩效目标。组织对2025年度一般公共预算、政府性基金预算、国有资本经营预算、社会保险基金预算以及资本资产、债券资金等全面开展绩效自评，形成部门预算（含部门预算项目）绩效自评报告。</w:t>
      </w:r>
      <w:r>
        <w:rPr>
          <w:rFonts w:hint="default" w:ascii="Times New Roman" w:hAnsi="Times New Roman" w:eastAsia="仿宋_GB2312" w:cs="Times New Roman"/>
          <w:color w:val="auto"/>
          <w:kern w:val="2"/>
          <w:sz w:val="32"/>
          <w:szCs w:val="32"/>
          <w:highlight w:val="none"/>
          <w:lang w:val="en-US" w:eastAsia="zh-CN" w:bidi="ar-SA"/>
        </w:rPr>
        <w:br w:type="page"/>
      </w:r>
    </w:p>
    <w:p w14:paraId="62A7AC0E">
      <w:pPr>
        <w:keepNext w:val="0"/>
        <w:keepLines w:val="0"/>
        <w:pageBreakBefore w:val="0"/>
        <w:numPr>
          <w:ilvl w:val="0"/>
          <w:numId w:val="0"/>
        </w:numPr>
        <w:kinsoku/>
        <w:wordWrap/>
        <w:overflowPunct/>
        <w:topLinePunct w:val="0"/>
        <w:bidi w:val="0"/>
        <w:spacing w:line="576" w:lineRule="exact"/>
        <w:jc w:val="center"/>
        <w:textAlignment w:val="auto"/>
        <w:outlineLvl w:val="0"/>
        <w:rPr>
          <w:rFonts w:hint="default" w:ascii="Times New Roman" w:hAnsi="Times New Roman" w:eastAsia="黑体" w:cs="Times New Roman"/>
          <w:color w:val="auto"/>
          <w:sz w:val="44"/>
          <w:szCs w:val="44"/>
          <w:highlight w:val="none"/>
        </w:rPr>
      </w:pPr>
      <w:bookmarkStart w:id="81" w:name="_Toc3558_WPSOffice_Level1"/>
      <w:r>
        <w:rPr>
          <w:rFonts w:hint="default" w:ascii="Times New Roman" w:hAnsi="Times New Roman" w:eastAsia="黑体" w:cs="Times New Roman"/>
          <w:color w:val="auto"/>
          <w:sz w:val="44"/>
          <w:szCs w:val="44"/>
          <w:highlight w:val="none"/>
        </w:rPr>
        <w:t>第</w:t>
      </w:r>
      <w:r>
        <w:rPr>
          <w:rFonts w:hint="default" w:ascii="Times New Roman" w:hAnsi="Times New Roman" w:eastAsia="黑体" w:cs="Times New Roman"/>
          <w:color w:val="auto"/>
          <w:sz w:val="44"/>
          <w:szCs w:val="44"/>
          <w:highlight w:val="none"/>
          <w:lang w:eastAsia="zh-CN"/>
        </w:rPr>
        <w:t>三</w:t>
      </w:r>
      <w:r>
        <w:rPr>
          <w:rFonts w:hint="default" w:ascii="Times New Roman" w:hAnsi="Times New Roman" w:eastAsia="黑体" w:cs="Times New Roman"/>
          <w:color w:val="auto"/>
          <w:sz w:val="44"/>
          <w:szCs w:val="44"/>
          <w:highlight w:val="none"/>
        </w:rPr>
        <w:t>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名词解释</w:t>
      </w:r>
      <w:bookmarkEnd w:id="79"/>
      <w:bookmarkEnd w:id="80"/>
      <w:bookmarkEnd w:id="81"/>
    </w:p>
    <w:p w14:paraId="4BC4DF05">
      <w:pPr>
        <w:pStyle w:val="31"/>
        <w:keepNext w:val="0"/>
        <w:keepLines w:val="0"/>
        <w:pageBreakBefore w:val="0"/>
        <w:kinsoku/>
        <w:wordWrap/>
        <w:overflowPunct/>
        <w:topLinePunct w:val="0"/>
        <w:bidi w:val="0"/>
        <w:spacing w:line="576" w:lineRule="exact"/>
        <w:textAlignment w:val="auto"/>
        <w:outlineLvl w:val="1"/>
        <w:rPr>
          <w:rFonts w:hint="default" w:ascii="Times New Roman" w:hAnsi="Times New Roman" w:eastAsia="仿宋_GB2312" w:cs="Times New Roman"/>
          <w:color w:val="auto"/>
          <w:sz w:val="32"/>
          <w:szCs w:val="32"/>
        </w:rPr>
      </w:pPr>
      <w:bookmarkStart w:id="82" w:name="_Toc10511"/>
      <w:bookmarkStart w:id="83" w:name="_Toc18541"/>
      <w:bookmarkStart w:id="84" w:name="_Toc15377226"/>
    </w:p>
    <w:p w14:paraId="5AEA5EA0">
      <w:pPr>
        <w:pStyle w:val="31"/>
        <w:keepNext w:val="0"/>
        <w:keepLines w:val="0"/>
        <w:pageBreakBefore w:val="0"/>
        <w:kinsoku/>
        <w:wordWrap/>
        <w:overflowPunct/>
        <w:topLinePunct w:val="0"/>
        <w:bidi w:val="0"/>
        <w:spacing w:line="576" w:lineRule="exact"/>
        <w:ind w:firstLine="640" w:firstLineChars="200"/>
        <w:textAlignment w:val="auto"/>
        <w:outlineLvl w:val="1"/>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1.财政拨款收入：指单位从同级财政部门取得的财政预算资金。</w:t>
      </w:r>
      <w:bookmarkEnd w:id="82"/>
      <w:bookmarkEnd w:id="83"/>
    </w:p>
    <w:p w14:paraId="62DC983C">
      <w:pPr>
        <w:pStyle w:val="31"/>
        <w:keepNext w:val="0"/>
        <w:keepLines w:val="0"/>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2.事业收入：指事业单位开展专业业务活动及辅助活动取得的收入。（二级预算单位事业收入情况）等。</w:t>
      </w:r>
    </w:p>
    <w:p w14:paraId="734C7F5D">
      <w:pPr>
        <w:pStyle w:val="31"/>
        <w:keepNext w:val="0"/>
        <w:keepLines w:val="0"/>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3.经营收入：指事业单位在专业业务活动及其辅助活动之外开展非独立核算经营活动取得的收入。（二级预算单位经营收入情况）等。</w:t>
      </w:r>
    </w:p>
    <w:p w14:paraId="2D72DE0C">
      <w:pPr>
        <w:pStyle w:val="31"/>
        <w:keepNext w:val="0"/>
        <w:keepLines w:val="0"/>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4.其他收入：指单位取得的除上述收入以外的各项收入。主要是（收入类型）等。 </w:t>
      </w:r>
    </w:p>
    <w:p w14:paraId="2512B9A0">
      <w:pPr>
        <w:pStyle w:val="31"/>
        <w:keepNext w:val="0"/>
        <w:keepLines w:val="0"/>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w:t>
      </w:r>
      <w:r>
        <w:rPr>
          <w:rFonts w:hint="default" w:ascii="Times New Roman" w:hAnsi="Times New Roman" w:eastAsia="仿宋_GB2312" w:cs="Times New Roman"/>
          <w:sz w:val="32"/>
          <w:szCs w:val="32"/>
        </w:rPr>
        <w:t>使用非财政拨款结余（含专用结余）</w:t>
      </w:r>
      <w:r>
        <w:rPr>
          <w:rFonts w:hint="default" w:ascii="Times New Roman" w:hAnsi="Times New Roman" w:eastAsia="仿宋_GB2312" w:cs="Times New Roman"/>
          <w:color w:val="auto"/>
          <w:sz w:val="32"/>
          <w:szCs w:val="32"/>
        </w:rPr>
        <w:t xml:space="preserve">：指事业单位使用以前年度积累的非财政拨款结余弥补当年收支差额的金额。 </w:t>
      </w:r>
    </w:p>
    <w:p w14:paraId="1E9060A8">
      <w:pPr>
        <w:pStyle w:val="31"/>
        <w:keepNext w:val="0"/>
        <w:keepLines w:val="0"/>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 xml:space="preserve">6.年初结转和结余：指以前年度尚未完成、结转到本年按有关规定继续使用的资金。 </w:t>
      </w:r>
    </w:p>
    <w:p w14:paraId="233602AC">
      <w:pPr>
        <w:pStyle w:val="31"/>
        <w:keepNext w:val="0"/>
        <w:keepLines w:val="0"/>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7.结余分配：指事业单位按照会计制度规定缴纳的所得税、提取的专用结余以及转入非财政拨款结余的金额等。</w:t>
      </w:r>
    </w:p>
    <w:p w14:paraId="6628FB9F">
      <w:pPr>
        <w:pStyle w:val="31"/>
        <w:keepNext w:val="0"/>
        <w:keepLines w:val="0"/>
        <w:pageBreakBefore w:val="0"/>
        <w:kinsoku/>
        <w:wordWrap/>
        <w:overflowPunct/>
        <w:topLinePunct w:val="0"/>
        <w:bidi w:val="0"/>
        <w:spacing w:line="576"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8.年末结转和结余：指单位按有关规定结转到下年或以后年度继续使用的资金。</w:t>
      </w:r>
    </w:p>
    <w:p w14:paraId="09DB333D">
      <w:pPr>
        <w:keepNext w:val="0"/>
        <w:keepLines w:val="0"/>
        <w:pageBreakBefore w:val="0"/>
        <w:widowControl w:val="0"/>
        <w:kinsoku w:val="0"/>
        <w:wordWrap/>
        <w:overflowPunct w:val="0"/>
        <w:topLinePunct w:val="0"/>
        <w:autoSpaceDE/>
        <w:autoSpaceDN/>
        <w:bidi w:val="0"/>
        <w:adjustRightInd/>
        <w:snapToGrid/>
        <w:spacing w:beforeAutospacing="0" w:afterAutospacing="0" w:line="576" w:lineRule="exact"/>
        <w:ind w:lef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9.</w:t>
      </w:r>
      <w:r>
        <w:rPr>
          <w:rFonts w:hint="default" w:ascii="Times New Roman" w:hAnsi="Times New Roman" w:eastAsia="仿宋_GB2312" w:cs="Times New Roman"/>
          <w:color w:val="auto"/>
          <w:sz w:val="32"/>
          <w:szCs w:val="32"/>
          <w:lang w:eastAsia="zh-CN"/>
        </w:rPr>
        <w:t>文化旅游体育与传媒</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207</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行政运行</w:t>
      </w:r>
      <w:r>
        <w:rPr>
          <w:rFonts w:hint="default" w:ascii="Times New Roman" w:hAnsi="Times New Roman" w:eastAsia="仿宋_GB2312" w:cs="Times New Roman"/>
          <w:color w:val="auto"/>
          <w:sz w:val="32"/>
          <w:szCs w:val="32"/>
        </w:rPr>
        <w:t>。（类）207（款）01（项）</w:t>
      </w:r>
      <w:r>
        <w:rPr>
          <w:rFonts w:hint="default" w:ascii="Times New Roman" w:hAnsi="Times New Roman" w:eastAsia="仿宋_GB2312" w:cs="Times New Roman"/>
          <w:color w:val="auto"/>
          <w:sz w:val="32"/>
          <w:szCs w:val="32"/>
          <w:lang w:val="en-US" w:eastAsia="zh-CN"/>
        </w:rPr>
        <w:t>02</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一般行政管理事务</w:t>
      </w:r>
      <w:r>
        <w:rPr>
          <w:rFonts w:hint="default" w:ascii="Times New Roman" w:hAnsi="Times New Roman" w:eastAsia="仿宋_GB2312" w:cs="Times New Roman"/>
          <w:color w:val="auto"/>
          <w:sz w:val="32"/>
          <w:szCs w:val="32"/>
        </w:rPr>
        <w:t>。（类）207（款）01（项）</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文化创作与保护</w:t>
      </w:r>
      <w:r>
        <w:rPr>
          <w:rFonts w:hint="default" w:ascii="Times New Roman" w:hAnsi="Times New Roman" w:eastAsia="仿宋_GB2312" w:cs="Times New Roman"/>
          <w:color w:val="auto"/>
          <w:sz w:val="32"/>
          <w:szCs w:val="32"/>
        </w:rPr>
        <w:t>。（类）207（款）</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旅游宣传</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207</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14</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文化和旅游管理事务</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207</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99</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其他文化和旅游支出</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207</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02</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04</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文物保护</w:t>
      </w:r>
      <w:r>
        <w:rPr>
          <w:rFonts w:hint="default" w:ascii="Times New Roman" w:hAnsi="Times New Roman" w:eastAsia="仿宋_GB2312" w:cs="Times New Roman"/>
          <w:color w:val="auto"/>
          <w:sz w:val="32"/>
          <w:szCs w:val="32"/>
        </w:rPr>
        <w:t>。（类）207（款）</w:t>
      </w:r>
      <w:r>
        <w:rPr>
          <w:rFonts w:hint="default" w:ascii="Times New Roman" w:hAnsi="Times New Roman" w:eastAsia="仿宋_GB2312" w:cs="Times New Roman"/>
          <w:color w:val="auto"/>
          <w:sz w:val="32"/>
          <w:szCs w:val="32"/>
          <w:lang w:val="en-US" w:eastAsia="zh-CN"/>
        </w:rPr>
        <w:t>03</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05</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体育竞赛</w:t>
      </w:r>
      <w:r>
        <w:rPr>
          <w:rFonts w:hint="default" w:ascii="Times New Roman" w:hAnsi="Times New Roman" w:eastAsia="仿宋_GB2312" w:cs="Times New Roman"/>
          <w:color w:val="auto"/>
          <w:sz w:val="32"/>
          <w:szCs w:val="32"/>
        </w:rPr>
        <w:t>。（类）207（款）</w:t>
      </w:r>
      <w:r>
        <w:rPr>
          <w:rFonts w:hint="default" w:ascii="Times New Roman" w:hAnsi="Times New Roman" w:eastAsia="仿宋_GB2312" w:cs="Times New Roman"/>
          <w:color w:val="auto"/>
          <w:sz w:val="32"/>
          <w:szCs w:val="32"/>
          <w:lang w:val="en-US" w:eastAsia="zh-CN"/>
        </w:rPr>
        <w:t>03</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07</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体育场馆</w:t>
      </w:r>
      <w:r>
        <w:rPr>
          <w:rFonts w:hint="default" w:ascii="Times New Roman" w:hAnsi="Times New Roman" w:eastAsia="仿宋_GB2312" w:cs="Times New Roman"/>
          <w:color w:val="auto"/>
          <w:sz w:val="32"/>
          <w:szCs w:val="32"/>
        </w:rPr>
        <w:t>。</w:t>
      </w:r>
    </w:p>
    <w:p w14:paraId="1D34D7EA">
      <w:pPr>
        <w:keepNext w:val="0"/>
        <w:keepLines w:val="0"/>
        <w:pageBreakBefore w:val="0"/>
        <w:widowControl w:val="0"/>
        <w:kinsoku w:val="0"/>
        <w:wordWrap/>
        <w:overflowPunct w:val="0"/>
        <w:topLinePunct w:val="0"/>
        <w:autoSpaceDE/>
        <w:autoSpaceDN/>
        <w:bidi w:val="0"/>
        <w:adjustRightInd/>
        <w:snapToGrid/>
        <w:spacing w:beforeAutospacing="0" w:afterAutospacing="0" w:line="576"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.社会保障和就业（类）208（款）05（项）05：指机关事业单位基本养老保险。（类）</w:t>
      </w:r>
      <w:r>
        <w:rPr>
          <w:rFonts w:hint="default" w:ascii="Times New Roman" w:hAnsi="Times New Roman" w:eastAsia="仿宋_GB2312" w:cs="Times New Roman"/>
          <w:color w:val="auto"/>
          <w:sz w:val="32"/>
          <w:szCs w:val="32"/>
          <w:lang w:val="en-US" w:eastAsia="zh-CN"/>
        </w:rPr>
        <w:t>208</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05</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06</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机关事业单位职业年金缴费支出</w:t>
      </w:r>
      <w:r>
        <w:rPr>
          <w:rFonts w:hint="default" w:ascii="Times New Roman" w:hAnsi="Times New Roman" w:eastAsia="仿宋_GB2312" w:cs="Times New Roman"/>
          <w:color w:val="auto"/>
          <w:sz w:val="32"/>
          <w:szCs w:val="32"/>
        </w:rPr>
        <w:t xml:space="preserve">。 </w:t>
      </w:r>
    </w:p>
    <w:p w14:paraId="759BFF7C">
      <w:pPr>
        <w:keepNext w:val="0"/>
        <w:keepLines w:val="0"/>
        <w:pageBreakBefore w:val="0"/>
        <w:widowControl/>
        <w:kinsoku/>
        <w:wordWrap/>
        <w:overflowPunct/>
        <w:topLinePunct w:val="0"/>
        <w:autoSpaceDE/>
        <w:autoSpaceDN/>
        <w:bidi w:val="0"/>
        <w:adjustRightInd/>
        <w:snapToGrid/>
        <w:spacing w:beforeAutospacing="0" w:afterAutospacing="0" w:line="576"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.卫生健康支出（类）210（款）</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行政单位</w:t>
      </w:r>
      <w:r>
        <w:rPr>
          <w:rFonts w:hint="default" w:ascii="Times New Roman" w:hAnsi="Times New Roman" w:eastAsia="仿宋_GB2312" w:cs="Times New Roman"/>
          <w:color w:val="auto"/>
          <w:sz w:val="32"/>
          <w:szCs w:val="32"/>
        </w:rPr>
        <w:t>医疗。（类）</w:t>
      </w:r>
      <w:r>
        <w:rPr>
          <w:rFonts w:hint="default" w:ascii="Times New Roman" w:hAnsi="Times New Roman" w:eastAsia="仿宋_GB2312" w:cs="Times New Roman"/>
          <w:color w:val="auto"/>
          <w:sz w:val="32"/>
          <w:szCs w:val="32"/>
          <w:lang w:val="en-US" w:eastAsia="zh-CN"/>
        </w:rPr>
        <w:t>210</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11</w:t>
      </w:r>
      <w:r>
        <w:rPr>
          <w:rFonts w:hint="default" w:ascii="Times New Roman" w:hAnsi="Times New Roman" w:eastAsia="仿宋_GB2312" w:cs="Times New Roman"/>
          <w:color w:val="auto"/>
          <w:sz w:val="32"/>
          <w:szCs w:val="32"/>
        </w:rPr>
        <w:t>（项）03：</w:t>
      </w:r>
      <w:r>
        <w:rPr>
          <w:rFonts w:hint="default" w:ascii="Times New Roman" w:hAnsi="Times New Roman" w:eastAsia="仿宋_GB2312" w:cs="Times New Roman"/>
          <w:color w:val="auto"/>
          <w:sz w:val="32"/>
          <w:szCs w:val="32"/>
          <w:lang w:eastAsia="zh-CN"/>
        </w:rPr>
        <w:t>公务员医疗补助</w:t>
      </w:r>
      <w:r>
        <w:rPr>
          <w:rFonts w:hint="default" w:ascii="Times New Roman" w:hAnsi="Times New Roman" w:eastAsia="仿宋_GB2312" w:cs="Times New Roman"/>
          <w:color w:val="auto"/>
          <w:sz w:val="32"/>
          <w:szCs w:val="32"/>
        </w:rPr>
        <w:t xml:space="preserve">。 </w:t>
      </w:r>
    </w:p>
    <w:p w14:paraId="2B04BAE0">
      <w:pPr>
        <w:keepNext w:val="0"/>
        <w:keepLines w:val="0"/>
        <w:pageBreakBefore w:val="0"/>
        <w:widowControl/>
        <w:kinsoku/>
        <w:wordWrap/>
        <w:overflowPunct/>
        <w:topLinePunct w:val="0"/>
        <w:autoSpaceDE/>
        <w:autoSpaceDN/>
        <w:bidi w:val="0"/>
        <w:adjustRightInd/>
        <w:snapToGrid/>
        <w:spacing w:beforeAutospacing="0" w:afterAutospacing="0" w:line="576" w:lineRule="exact"/>
        <w:ind w:left="0" w:firstLine="640" w:firstLineChars="200"/>
        <w:textAlignment w:val="auto"/>
        <w:rPr>
          <w:rFonts w:hint="default" w:ascii="Times New Roman" w:hAnsi="Times New Roman" w:eastAsia="仿宋_GB2312" w:cs="Times New Roman"/>
          <w:color w:val="auto"/>
          <w:sz w:val="32"/>
          <w:szCs w:val="32"/>
          <w:lang w:eastAsia="zh-CN"/>
        </w:rPr>
      </w:pPr>
      <w:r>
        <w:rPr>
          <w:rFonts w:hint="default" w:ascii="Times New Roman" w:hAnsi="Times New Roman" w:eastAsia="仿宋_GB2312" w:cs="Times New Roman"/>
          <w:color w:val="auto"/>
          <w:sz w:val="32"/>
          <w:szCs w:val="32"/>
          <w:lang w:val="en-US" w:eastAsia="zh-CN"/>
        </w:rPr>
        <w:t>12</w:t>
      </w:r>
      <w:r>
        <w:rPr>
          <w:rFonts w:hint="default" w:ascii="Times New Roman" w:hAnsi="Times New Roman" w:eastAsia="仿宋_GB2312" w:cs="Times New Roman"/>
          <w:color w:val="auto"/>
          <w:sz w:val="32"/>
          <w:szCs w:val="32"/>
        </w:rPr>
        <w:t>.其他支出（类）229（款）60（项）03：指用于体育事业的彩票公益金支出。（类）229（款）</w:t>
      </w:r>
      <w:r>
        <w:rPr>
          <w:rFonts w:hint="default" w:ascii="Times New Roman" w:hAnsi="Times New Roman" w:eastAsia="仿宋_GB2312" w:cs="Times New Roman"/>
          <w:color w:val="auto"/>
          <w:sz w:val="32"/>
          <w:szCs w:val="32"/>
          <w:lang w:val="en-US" w:eastAsia="zh-CN"/>
        </w:rPr>
        <w:t>04</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01</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其他政府性基金安排的支出</w:t>
      </w:r>
      <w:r>
        <w:rPr>
          <w:rFonts w:hint="default" w:ascii="Times New Roman" w:hAnsi="Times New Roman" w:eastAsia="仿宋_GB2312" w:cs="Times New Roman"/>
          <w:color w:val="auto"/>
          <w:sz w:val="32"/>
          <w:szCs w:val="32"/>
        </w:rPr>
        <w:t>。</w:t>
      </w:r>
    </w:p>
    <w:p w14:paraId="114270B9">
      <w:pPr>
        <w:keepNext w:val="0"/>
        <w:keepLines w:val="0"/>
        <w:pageBreakBefore w:val="0"/>
        <w:widowControl/>
        <w:kinsoku/>
        <w:wordWrap/>
        <w:overflowPunct/>
        <w:topLinePunct w:val="0"/>
        <w:autoSpaceDE/>
        <w:autoSpaceDN/>
        <w:bidi w:val="0"/>
        <w:adjustRightInd/>
        <w:snapToGrid/>
        <w:spacing w:beforeAutospacing="0" w:afterAutospacing="0" w:line="576" w:lineRule="exact"/>
        <w:ind w:lef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13</w:t>
      </w:r>
      <w:r>
        <w:rPr>
          <w:rFonts w:hint="default" w:ascii="Times New Roman" w:hAnsi="Times New Roman" w:eastAsia="仿宋_GB2312" w:cs="Times New Roman"/>
          <w:color w:val="auto"/>
          <w:sz w:val="32"/>
          <w:szCs w:val="32"/>
        </w:rPr>
        <w:t xml:space="preserve">.住房保障（类）221（款）02（项）01：指住房公积金。 </w:t>
      </w:r>
    </w:p>
    <w:p w14:paraId="04FEBE0B">
      <w:pPr>
        <w:keepNext w:val="0"/>
        <w:keepLines w:val="0"/>
        <w:pageBreakBefore w:val="0"/>
        <w:widowControl/>
        <w:kinsoku/>
        <w:wordWrap/>
        <w:overflowPunct/>
        <w:topLinePunct w:val="0"/>
        <w:autoSpaceDE/>
        <w:autoSpaceDN/>
        <w:bidi w:val="0"/>
        <w:adjustRightInd/>
        <w:snapToGrid/>
        <w:spacing w:beforeAutospacing="0" w:afterAutospacing="0" w:line="576" w:lineRule="exact"/>
        <w:ind w:lef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14.农林水</w:t>
      </w:r>
      <w:r>
        <w:rPr>
          <w:rFonts w:hint="default" w:ascii="Times New Roman" w:hAnsi="Times New Roman" w:eastAsia="仿宋_GB2312" w:cs="Times New Roman"/>
          <w:color w:val="auto"/>
          <w:sz w:val="32"/>
          <w:szCs w:val="32"/>
        </w:rPr>
        <w:t>（类）</w:t>
      </w:r>
      <w:r>
        <w:rPr>
          <w:rFonts w:hint="default" w:ascii="Times New Roman" w:hAnsi="Times New Roman" w:eastAsia="仿宋_GB2312" w:cs="Times New Roman"/>
          <w:color w:val="auto"/>
          <w:sz w:val="32"/>
          <w:szCs w:val="32"/>
          <w:lang w:val="en-US" w:eastAsia="zh-CN"/>
        </w:rPr>
        <w:t>213</w:t>
      </w:r>
      <w:r>
        <w:rPr>
          <w:rFonts w:hint="default" w:ascii="Times New Roman" w:hAnsi="Times New Roman" w:eastAsia="仿宋_GB2312" w:cs="Times New Roman"/>
          <w:color w:val="auto"/>
          <w:sz w:val="32"/>
          <w:szCs w:val="32"/>
        </w:rPr>
        <w:t>（款）</w:t>
      </w:r>
      <w:r>
        <w:rPr>
          <w:rFonts w:hint="default" w:ascii="Times New Roman" w:hAnsi="Times New Roman" w:eastAsia="仿宋_GB2312" w:cs="Times New Roman"/>
          <w:color w:val="auto"/>
          <w:sz w:val="32"/>
          <w:szCs w:val="32"/>
          <w:lang w:val="en-US" w:eastAsia="zh-CN"/>
        </w:rPr>
        <w:t>05</w:t>
      </w:r>
      <w:r>
        <w:rPr>
          <w:rFonts w:hint="default" w:ascii="Times New Roman" w:hAnsi="Times New Roman" w:eastAsia="仿宋_GB2312" w:cs="Times New Roman"/>
          <w:color w:val="auto"/>
          <w:sz w:val="32"/>
          <w:szCs w:val="32"/>
        </w:rPr>
        <w:t>（项）</w:t>
      </w:r>
      <w:r>
        <w:rPr>
          <w:rFonts w:hint="default" w:ascii="Times New Roman" w:hAnsi="Times New Roman" w:eastAsia="仿宋_GB2312" w:cs="Times New Roman"/>
          <w:color w:val="auto"/>
          <w:sz w:val="32"/>
          <w:szCs w:val="32"/>
          <w:lang w:val="en-US" w:eastAsia="zh-CN"/>
        </w:rPr>
        <w:t>99</w:t>
      </w:r>
      <w:r>
        <w:rPr>
          <w:rFonts w:hint="default" w:ascii="Times New Roman" w:hAnsi="Times New Roman" w:eastAsia="仿宋_GB2312" w:cs="Times New Roman"/>
          <w:color w:val="auto"/>
          <w:sz w:val="32"/>
          <w:szCs w:val="32"/>
        </w:rPr>
        <w:t>：指</w:t>
      </w:r>
      <w:r>
        <w:rPr>
          <w:rFonts w:hint="default" w:ascii="Times New Roman" w:hAnsi="Times New Roman" w:eastAsia="仿宋_GB2312" w:cs="Times New Roman"/>
          <w:color w:val="auto"/>
          <w:sz w:val="32"/>
          <w:szCs w:val="32"/>
          <w:lang w:eastAsia="zh-CN"/>
        </w:rPr>
        <w:t>其他扶贫支出</w:t>
      </w:r>
      <w:r>
        <w:rPr>
          <w:rFonts w:hint="default" w:ascii="Times New Roman" w:hAnsi="Times New Roman" w:eastAsia="仿宋_GB2312" w:cs="Times New Roman"/>
          <w:color w:val="auto"/>
          <w:sz w:val="32"/>
          <w:szCs w:val="32"/>
        </w:rPr>
        <w:t xml:space="preserve">。 </w:t>
      </w:r>
    </w:p>
    <w:p w14:paraId="1F125512">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b/>
          <w:bCs/>
          <w:color w:val="auto"/>
          <w:spacing w:val="0"/>
          <w:w w:val="96"/>
          <w:kern w:val="0"/>
          <w:sz w:val="32"/>
          <w:szCs w:val="32"/>
          <w:highlight w:val="none"/>
          <w:fitText w:val="8640" w:id="1464408777"/>
          <w:lang w:val="en-US" w:eastAsia="zh-CN" w:bidi="ar-SA"/>
        </w:rPr>
        <w:t>（注：解释本部门决算报表中涉及的全部功能分类科目至项级）</w:t>
      </w:r>
    </w:p>
    <w:p w14:paraId="1071CD14">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15.基本支出：指为保障机构正常运转、完成日常工作任务而发生的人员支出和公用支出。</w:t>
      </w:r>
    </w:p>
    <w:p w14:paraId="3BD41E98">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 xml:space="preserve">16.项目支出：指在基本支出之外为完成特定行政任务和事业发展目标所发生的支出。 </w:t>
      </w:r>
    </w:p>
    <w:p w14:paraId="7A178C7F">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17.经营支出：指事业单位在专业业务活动及其辅助活动之外开展非独立核算经营活动发生的支出。</w:t>
      </w:r>
    </w:p>
    <w:p w14:paraId="1C61EF6D">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18.“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1F6CECA">
      <w:pPr>
        <w:keepNext w:val="0"/>
        <w:keepLines w:val="0"/>
        <w:pageBreakBefore w:val="0"/>
        <w:kinsoku/>
        <w:wordWrap/>
        <w:overflowPunct/>
        <w:topLinePunct w:val="0"/>
        <w:bidi w:val="0"/>
        <w:spacing w:line="576" w:lineRule="exact"/>
        <w:ind w:firstLine="640"/>
        <w:textAlignment w:val="auto"/>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19.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19D6362">
      <w:pPr>
        <w:keepNext w:val="0"/>
        <w:keepLines w:val="0"/>
        <w:pageBreakBefore w:val="0"/>
        <w:kinsoku/>
        <w:wordWrap/>
        <w:overflowPunct/>
        <w:topLinePunct w:val="0"/>
        <w:bidi w:val="0"/>
        <w:spacing w:line="576" w:lineRule="exact"/>
        <w:jc w:val="center"/>
        <w:textAlignment w:val="auto"/>
        <w:rPr>
          <w:rStyle w:val="33"/>
          <w:rFonts w:hint="default" w:ascii="Times New Roman" w:hAnsi="Times New Roman" w:eastAsia="黑体" w:cs="Times New Roman"/>
          <w:b w:val="0"/>
          <w:color w:val="auto"/>
          <w:highlight w:val="none"/>
          <w:lang w:eastAsia="zh-CN"/>
        </w:rPr>
      </w:pPr>
      <w:r>
        <w:rPr>
          <w:rFonts w:hint="default" w:ascii="Times New Roman" w:hAnsi="Times New Roman" w:eastAsia="仿宋_GB2312" w:cs="Times New Roman"/>
          <w:color w:val="auto"/>
          <w:kern w:val="2"/>
          <w:sz w:val="32"/>
          <w:szCs w:val="32"/>
          <w:highlight w:val="none"/>
          <w:lang w:val="en-US" w:eastAsia="zh-CN" w:bidi="ar-SA"/>
        </w:rPr>
        <w:br w:type="page"/>
      </w:r>
      <w:bookmarkStart w:id="85" w:name="_Toc15396614"/>
      <w:bookmarkStart w:id="86" w:name="_Toc31271_WPSOffice_Level1"/>
      <w:r>
        <w:rPr>
          <w:rFonts w:hint="default" w:ascii="Times New Roman" w:hAnsi="Times New Roman" w:eastAsia="黑体" w:cs="Times New Roman"/>
          <w:color w:val="auto"/>
          <w:sz w:val="44"/>
          <w:szCs w:val="44"/>
          <w:highlight w:val="none"/>
        </w:rPr>
        <w:t>第四部分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附</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件</w:t>
      </w:r>
      <w:bookmarkEnd w:id="85"/>
      <w:bookmarkEnd w:id="86"/>
    </w:p>
    <w:p w14:paraId="0D8AC99C">
      <w:pPr>
        <w:keepNext w:val="0"/>
        <w:keepLines w:val="0"/>
        <w:pageBreakBefore w:val="0"/>
        <w:kinsoku/>
        <w:wordWrap/>
        <w:overflowPunct/>
        <w:topLinePunct w:val="0"/>
        <w:autoSpaceDE/>
        <w:autoSpaceDN/>
        <w:bidi w:val="0"/>
        <w:spacing w:line="576" w:lineRule="exact"/>
        <w:jc w:val="left"/>
        <w:textAlignment w:val="auto"/>
        <w:outlineLvl w:val="0"/>
        <w:rPr>
          <w:rFonts w:hint="default" w:ascii="Times New Roman" w:hAnsi="Times New Roman" w:eastAsia="黑体" w:cs="Times New Roman"/>
          <w:color w:val="FF0000"/>
          <w:sz w:val="32"/>
          <w:szCs w:val="32"/>
          <w:highlight w:val="none"/>
        </w:rPr>
      </w:pPr>
    </w:p>
    <w:p w14:paraId="203CA96A">
      <w:pPr>
        <w:keepNext w:val="0"/>
        <w:keepLines w:val="0"/>
        <w:pageBreakBefore w:val="0"/>
        <w:kinsoku/>
        <w:wordWrap/>
        <w:overflowPunct/>
        <w:topLinePunct w:val="0"/>
        <w:autoSpaceDE/>
        <w:autoSpaceDN/>
        <w:bidi w:val="0"/>
        <w:spacing w:line="576" w:lineRule="exact"/>
        <w:jc w:val="left"/>
        <w:textAlignment w:val="auto"/>
        <w:outlineLvl w:val="0"/>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附件</w:t>
      </w:r>
      <w:r>
        <w:rPr>
          <w:rFonts w:hint="default" w:ascii="Times New Roman" w:hAnsi="Times New Roman" w:eastAsia="黑体" w:cs="Times New Roman"/>
          <w:color w:val="auto"/>
          <w:sz w:val="32"/>
          <w:szCs w:val="32"/>
          <w:highlight w:val="none"/>
          <w:lang w:val="en-US" w:eastAsia="zh-CN"/>
        </w:rPr>
        <w:t xml:space="preserve">1         </w:t>
      </w:r>
    </w:p>
    <w:p w14:paraId="1B6ECB6A">
      <w:pPr>
        <w:keepNext w:val="0"/>
        <w:keepLines w:val="0"/>
        <w:pageBreakBefore w:val="0"/>
        <w:kinsoku/>
        <w:wordWrap/>
        <w:overflowPunct/>
        <w:topLinePunct w:val="0"/>
        <w:autoSpaceDE/>
        <w:autoSpaceDN/>
        <w:bidi w:val="0"/>
        <w:spacing w:line="576" w:lineRule="exact"/>
        <w:jc w:val="center"/>
        <w:textAlignment w:val="auto"/>
        <w:outlineLvl w:val="0"/>
        <w:rPr>
          <w:rFonts w:hint="default" w:ascii="Times New Roman" w:hAnsi="Times New Roman" w:eastAsia="黑体" w:cs="Times New Roman"/>
          <w:color w:val="auto"/>
          <w:sz w:val="44"/>
          <w:szCs w:val="44"/>
          <w:highlight w:val="none"/>
          <w:lang w:val="en-US" w:eastAsia="zh-CN"/>
        </w:rPr>
      </w:pPr>
      <w:r>
        <w:rPr>
          <w:rFonts w:hint="default" w:ascii="Times New Roman" w:hAnsi="Times New Roman" w:eastAsia="方正小标宋简体" w:cs="Times New Roman"/>
          <w:b w:val="0"/>
          <w:bCs/>
          <w:sz w:val="44"/>
          <w:szCs w:val="44"/>
          <w:highlight w:val="none"/>
          <w:shd w:val="clear" w:color="auto" w:fill="FFFFFF"/>
        </w:rPr>
        <w:t>部门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default"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66BBEFD4">
      <w:pPr>
        <w:pStyle w:val="38"/>
        <w:keepNext w:val="0"/>
        <w:keepLines w:val="0"/>
        <w:pageBreakBefore w:val="0"/>
        <w:widowControl w:val="0"/>
        <w:kinsoku/>
        <w:wordWrap/>
        <w:overflowPunct/>
        <w:topLinePunct w:val="0"/>
        <w:autoSpaceDE/>
        <w:autoSpaceDN/>
        <w:bidi w:val="0"/>
        <w:spacing w:line="576" w:lineRule="exact"/>
        <w:ind w:left="0" w:leftChars="0"/>
        <w:jc w:val="both"/>
        <w:textAlignment w:val="auto"/>
        <w:rPr>
          <w:rFonts w:hint="default" w:ascii="Times New Roman" w:hAnsi="Times New Roman" w:eastAsia="方正小标宋简体" w:cs="Times New Roman"/>
          <w:color w:val="auto"/>
          <w:kern w:val="2"/>
          <w:sz w:val="44"/>
          <w:szCs w:val="44"/>
          <w:highlight w:val="none"/>
          <w:lang w:val="en-US" w:eastAsia="zh-CN"/>
        </w:rPr>
      </w:pPr>
    </w:p>
    <w:p w14:paraId="3E4C55AA">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一、部门（单位）基本情况</w:t>
      </w:r>
    </w:p>
    <w:p w14:paraId="41F2E634">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（一）机构组成</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松潘县文化广播电视体育和旅游局为县级主管文化、体育、旅游、文物、广播电视工作的行政主管部门。2025年度部门决算及绩效评价纳入预算单位共8个，其中行政单位1个，其他事业单位7个。纳入2025年度部门决算编制及绩效评价范围的预算单位具体为：松潘县文化广播电视体育和旅游局（机关行政单位）、松潘县文化和旅游服务中心、松潘县文化馆、松潘县图书馆、松潘县文物管理所、松潘县沙窝会议会址陈列馆、松潘县毛儿盖会议会址陈列馆、松潘县红军</w:t>
      </w:r>
      <w:r>
        <w:rPr>
          <w:rFonts w:hint="eastAsia" w:eastAsia="仿宋_GB2312" w:cs="Times New Roman"/>
          <w:color w:val="auto"/>
          <w:kern w:val="2"/>
          <w:sz w:val="32"/>
          <w:szCs w:val="32"/>
          <w:highlight w:val="none"/>
          <w:lang w:val="en-US" w:eastAsia="zh-CN" w:bidi="ar-SA"/>
        </w:rPr>
        <w:t>过草地</w:t>
      </w:r>
      <w:r>
        <w:rPr>
          <w:rFonts w:hint="default" w:ascii="Times New Roman" w:hAnsi="Times New Roman" w:eastAsia="仿宋_GB2312" w:cs="Times New Roman"/>
          <w:color w:val="auto"/>
          <w:kern w:val="2"/>
          <w:sz w:val="32"/>
          <w:szCs w:val="32"/>
          <w:highlight w:val="none"/>
          <w:lang w:val="en-US" w:eastAsia="zh-CN" w:bidi="ar-SA"/>
        </w:rPr>
        <w:t>陈列馆。全局所有预算单位实行统一预算编制、统一资金管理、统一决算编报、统一绩效考评，实现预算绩效管理全覆盖。</w:t>
      </w:r>
    </w:p>
    <w:p w14:paraId="5C8D4FF3">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（二）机构职能</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松潘县文化广播电视体育和旅游局主要负责贯彻执行国家、省、州关于文化、广播电视、体育、旅游、文物保护领域法律法规和方针政策，拟订全县行业发展规划、管理制度和年度工作计划并组织实施。主要核心职能包括：统筹推进全县公共文化服务体系、</w:t>
      </w:r>
      <w:r>
        <w:rPr>
          <w:rFonts w:hint="eastAsia" w:eastAsia="仿宋_GB2312" w:cs="Times New Roman"/>
          <w:color w:val="auto"/>
          <w:kern w:val="2"/>
          <w:sz w:val="32"/>
          <w:szCs w:val="32"/>
          <w:highlight w:val="none"/>
          <w:lang w:val="en-US" w:eastAsia="zh-CN" w:bidi="ar-SA"/>
        </w:rPr>
        <w:t>全民健身公共服务体系</w:t>
      </w:r>
      <w:r>
        <w:rPr>
          <w:rFonts w:hint="default" w:ascii="Times New Roman" w:hAnsi="Times New Roman" w:eastAsia="仿宋_GB2312" w:cs="Times New Roman"/>
          <w:color w:val="auto"/>
          <w:kern w:val="2"/>
          <w:sz w:val="32"/>
          <w:szCs w:val="32"/>
          <w:highlight w:val="none"/>
          <w:lang w:val="en-US" w:eastAsia="zh-CN" w:bidi="ar-SA"/>
        </w:rPr>
        <w:t>建设，指导文化馆、图书馆免费开放，开展文化惠民、群众文艺、全民阅读、全民健身等公益服务；负责全县文物普查、保护修缮、安全巡查、文物利用及文物资源管理；承担沙窝会议、毛儿盖会议、红军</w:t>
      </w:r>
      <w:r>
        <w:rPr>
          <w:rFonts w:hint="eastAsia" w:eastAsia="仿宋_GB2312" w:cs="Times New Roman"/>
          <w:color w:val="auto"/>
          <w:kern w:val="2"/>
          <w:sz w:val="32"/>
          <w:szCs w:val="32"/>
          <w:highlight w:val="none"/>
          <w:lang w:val="en-US" w:eastAsia="zh-CN" w:bidi="ar-SA"/>
        </w:rPr>
        <w:t>过草地</w:t>
      </w:r>
      <w:r>
        <w:rPr>
          <w:rFonts w:hint="default" w:ascii="Times New Roman" w:hAnsi="Times New Roman" w:eastAsia="仿宋_GB2312" w:cs="Times New Roman"/>
          <w:color w:val="auto"/>
          <w:kern w:val="2"/>
          <w:sz w:val="32"/>
          <w:szCs w:val="32"/>
          <w:highlight w:val="none"/>
          <w:lang w:val="en-US" w:eastAsia="zh-CN" w:bidi="ar-SA"/>
        </w:rPr>
        <w:t>等红色场馆日常运维、陈列展览、宣传教育、红色文化传承工作；统筹文旅资源开发、品牌建设、行业监管、市场规范，推动文旅体产业融合发展；负责广播电视行业监管、公益服务保障；完成县委、县政府及上级业务主管部门交办的其他工作任务。下属各事业单位根据职责分工，具体承担专项业务服务、场馆运行、文物管护、文旅保障等具体工作。</w:t>
      </w:r>
    </w:p>
    <w:p w14:paraId="2B97C9FE">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（三）人员概况</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截至2025年末，松潘县文化广播电视体育和旅游局机关及下属7个预算单位编制人数36人。全局核定行政</w:t>
      </w:r>
      <w:r>
        <w:rPr>
          <w:rFonts w:hint="eastAsia" w:eastAsia="仿宋_GB2312" w:cs="Times New Roman"/>
          <w:color w:val="auto"/>
          <w:kern w:val="2"/>
          <w:sz w:val="32"/>
          <w:szCs w:val="32"/>
          <w:highlight w:val="none"/>
          <w:lang w:val="en-US" w:eastAsia="zh-CN" w:bidi="ar-SA"/>
        </w:rPr>
        <w:t>人员</w:t>
      </w:r>
      <w:r>
        <w:rPr>
          <w:rFonts w:hint="default" w:ascii="Times New Roman" w:hAnsi="Times New Roman" w:eastAsia="仿宋_GB2312" w:cs="Times New Roman"/>
          <w:color w:val="auto"/>
          <w:kern w:val="2"/>
          <w:sz w:val="32"/>
          <w:szCs w:val="32"/>
          <w:highlight w:val="none"/>
          <w:lang w:val="en-US" w:eastAsia="zh-CN" w:bidi="ar-SA"/>
        </w:rPr>
        <w:t>7名、事业</w:t>
      </w:r>
      <w:r>
        <w:rPr>
          <w:rFonts w:hint="eastAsia" w:eastAsia="仿宋_GB2312" w:cs="Times New Roman"/>
          <w:color w:val="auto"/>
          <w:kern w:val="2"/>
          <w:sz w:val="32"/>
          <w:szCs w:val="32"/>
          <w:highlight w:val="none"/>
          <w:lang w:val="en-US" w:eastAsia="zh-CN" w:bidi="ar-SA"/>
        </w:rPr>
        <w:t>人员</w:t>
      </w:r>
      <w:r>
        <w:rPr>
          <w:rFonts w:hint="default" w:ascii="Times New Roman" w:hAnsi="Times New Roman" w:eastAsia="仿宋_GB2312" w:cs="Times New Roman"/>
          <w:color w:val="auto"/>
          <w:kern w:val="2"/>
          <w:sz w:val="32"/>
          <w:szCs w:val="32"/>
          <w:highlight w:val="none"/>
          <w:lang w:val="en-US" w:eastAsia="zh-CN" w:bidi="ar-SA"/>
        </w:rPr>
        <w:t>27名，机关工人2人。</w:t>
      </w:r>
    </w:p>
    <w:p w14:paraId="087DC092">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二、部门资金收支情况</w:t>
      </w:r>
    </w:p>
    <w:p w14:paraId="0E8DAD06">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（一）收入情况</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我局年初预算收入根据年度工作任务科学编制，全面覆盖基本运转及专项项目工作需求。2025年度决算报表反映，本年收入合计2936.11万元，其中：一般公共预算财政拨款收入2925.3万元，占99.63%；政府性基金预算财政拨款收入0.13万元，占比0%；国有资本经营预算财政拨款收入0万元；上级补助收入0万元；事业收入0万元；经营收入0万元；附属单位上缴收入0万元；其他收入10.67万元，占0.36%。整体收入来源规范、结构稳定，全部收入足额纳入部门预算管理，无隐瞒、截留等情况。本年度整体收入规模较上年有所增长，主要是文旅、文物保护、公共文化服务类专项项目资金增加。</w:t>
      </w:r>
    </w:p>
    <w:p w14:paraId="3F84BCF3">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（二）支出情况</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我局严格按照年初预算批复、调整预算规范安排各项支出，严控支出范围和开支标准。2025年度决算报表反映，本年支出合计2969.42万元，其中：基本支出851.12万元，占28.66%，主要用于全局人员经费、社会保障缴费、住房保障、日常公用运行等基本运转支出；项目支出2118.3万元，占71.33%，主要用于文化惠民活动、文物保护修缮、红色场馆运维、公共文化服务、文体事业发展、文旅宣传服务等专项工作支出；上缴上级支出、经营支出、对附属单位补助支出均为0万元。本年度支出结构合理，重点保障民生文化、文物保护、文旅发展主责主业，资金投向精准、支出合规规范。</w:t>
      </w:r>
    </w:p>
    <w:p w14:paraId="5F36BBF8">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（三）结余分配和结转结余情况</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初结转结余51.76万元，年末结转结余18.44万元。资金主要为年度接续实施、跨年延续的文旅专项工作项目资金，项目依据充分、用途明确、程序合规。全年无违规长期挂账沉淀资金，无项目闲置结余资金，结转结余资金管控规范、盘活到位，整体财政资金使用效率稳步提升。</w:t>
      </w:r>
    </w:p>
    <w:p w14:paraId="30B7AD86">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三、部门预算绩效分析</w:t>
      </w:r>
    </w:p>
    <w:p w14:paraId="5EF889C9">
      <w:pPr>
        <w:keepNext w:val="0"/>
        <w:keepLines w:val="0"/>
        <w:pageBreakBefore w:val="0"/>
        <w:widowControl w:val="0"/>
        <w:kinsoku/>
        <w:wordWrap/>
        <w:overflowPunct/>
        <w:topLinePunct w:val="0"/>
        <w:autoSpaceDE/>
        <w:autoSpaceDN/>
        <w:bidi w:val="0"/>
        <w:adjustRightInd/>
        <w:snapToGrid/>
        <w:spacing w:line="552" w:lineRule="exact"/>
        <w:ind w:firstLine="643" w:firstLineChars="200"/>
        <w:textAlignment w:val="auto"/>
        <w:outlineLvl w:val="2"/>
        <w:rPr>
          <w:rFonts w:hint="default" w:ascii="Times New Roman" w:hAnsi="Times New Roman" w:eastAsia="仿宋_GB2312" w:cs="Times New Roman"/>
          <w:color w:val="auto"/>
          <w:w w:val="98"/>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（一）部门预算总体绩效分析</w:t>
      </w:r>
      <w:r>
        <w:rPr>
          <w:rFonts w:hint="eastAsia" w:ascii="Times New Roman" w:hAnsi="Times New Roman" w:eastAsia="楷体_GB2312" w:cs="Times New Roman"/>
          <w:b/>
          <w:color w:val="auto"/>
          <w:w w:val="98"/>
          <w:sz w:val="32"/>
          <w:szCs w:val="32"/>
          <w:highlight w:val="none"/>
          <w:lang w:eastAsia="zh-CN"/>
        </w:rPr>
        <w:t>。</w:t>
      </w:r>
      <w:r>
        <w:rPr>
          <w:rFonts w:hint="default" w:ascii="Times New Roman" w:hAnsi="Times New Roman" w:eastAsia="仿宋_GB2312" w:cs="Times New Roman"/>
          <w:color w:val="auto"/>
          <w:w w:val="98"/>
          <w:kern w:val="2"/>
          <w:sz w:val="32"/>
          <w:szCs w:val="32"/>
          <w:highlight w:val="none"/>
          <w:lang w:val="en-US" w:eastAsia="zh-CN" w:bidi="ar-SA"/>
        </w:rPr>
        <w:t>对照部门整体绩效评价二级、三级指标体系，我局从履职效能、预算管理、财务管理、资产管理、采购管理五个维度开展逐项自评分析，2025年度部门整体运行规范、履职成效良好、管理机制健全，整体绩效运行平稳可控。</w:t>
      </w:r>
    </w:p>
    <w:p w14:paraId="2981E9B0">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1.履职效能</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我局紧扣年度核心职能目标，圆满完成各项重点工作任务，履职成效突出。一是公共文化服务普惠提质，文化馆、图书馆常态化免费开放，持续开展文化下乡、全民阅读、群众文艺展演等惠民活动，有效丰富县域群众精神文化生活，公共文化服务均等化水平稳步提升。二是文物保护工作扎实有效，严格落实文物安全责任制，常态化开展县域文物巡查、日常维护、隐患排查，规范开展文物修缮保护，全年未发生文物安全事故。三是红色场馆宣教功能充分发挥，有序开展场馆开放、展品管护、红色讲解、党史宣教等工作，有效传承红色文化、发挥教育阵地作用。四是文体事业蓬勃开展，积极组织群众体育赛事、全民健身推广、文体普及活动，群众参与度持续提升。五是文旅行业管理规范有序，持续优化文旅服务、规范市场秩序，助推县域文旅产业平稳发展。年度核心履职目标全部落地见效，社会效益显著。</w:t>
      </w:r>
    </w:p>
    <w:p w14:paraId="704CE866">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2</w:t>
      </w:r>
      <w:r>
        <w:rPr>
          <w:rFonts w:hint="default" w:ascii="Times New Roman" w:hAnsi="Times New Roman" w:eastAsia="楷体_GB2312" w:cs="Times New Roman"/>
          <w:b/>
          <w:color w:val="auto"/>
          <w:sz w:val="32"/>
          <w:szCs w:val="32"/>
          <w:highlight w:val="none"/>
          <w:lang w:val="en-US" w:eastAsia="zh-CN"/>
        </w:rPr>
        <w:t>.预算管理</w:t>
      </w:r>
      <w:r>
        <w:rPr>
          <w:rFonts w:hint="eastAsia" w:ascii="Times New Roman" w:hAnsi="Times New Roman" w:eastAsia="楷体_GB2312" w:cs="Times New Roman"/>
          <w:b/>
          <w:color w:val="auto"/>
          <w:sz w:val="32"/>
          <w:szCs w:val="32"/>
          <w:highlight w:val="none"/>
          <w:lang w:val="en-US" w:eastAsia="zh-CN"/>
        </w:rPr>
        <w:t>。</w:t>
      </w:r>
      <w:r>
        <w:rPr>
          <w:rFonts w:hint="default" w:ascii="Times New Roman" w:hAnsi="Times New Roman" w:eastAsia="仿宋_GB2312" w:cs="Times New Roman"/>
          <w:color w:val="auto"/>
          <w:kern w:val="2"/>
          <w:sz w:val="32"/>
          <w:szCs w:val="32"/>
          <w:highlight w:val="none"/>
          <w:lang w:val="en-US" w:eastAsia="zh-CN" w:bidi="ar-SA"/>
        </w:rPr>
        <w:t>2025年度，我局严格执行全口径预算管理制度，预算编制贴合年度工作实际，项目预算编制细化精准，有效提升预算编制科学性、匹配度。单位实现全部收入统一归集、统一统筹管理，收入管理规范完整。全年严格把控支出执行节奏，分阶段推进预算执行，整体执行进度平稳有序。严格落实“过紧日子”要求，严控一般性支出、非刚性支出，持续压减公务接待、日常运行非必要开支，机关运行经费较上年大幅下降。年末常态化开展结余资金清理盘活，有效减少资金沉淀，预算精细化、规范化管理水平持续提升。</w:t>
      </w:r>
    </w:p>
    <w:p w14:paraId="4AE469EC">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3.财务管理</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我单位财务内控制度健全完善，严格执行经费报销、资金审批、财务核算、票据管理等各项制度，财务运行有章可循。严格落实不相容岗位分离制度，规范设置财务、出纳岗位，岗位职责清晰、权责相互制约。全年所有财政资金拨付、使用、报销、核算流程规范，原始凭证完整、账务处理及时准确，资金使用严格对照预算用途、财经法规执行，无挤占、挪用、违规开支、超标准开支等问题，资金使用安全规范、风险可控。</w:t>
      </w:r>
    </w:p>
    <w:p w14:paraId="68D82980">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4.资产管理</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我局严格落实行政事业单位资产管理规定，建立健全资产台账管理、定期盘点、动态更新机制，常态化开展全局及下属场馆、事业单位资产清查核对，做到账账相符、账实相符。本年度人员、资产配置合理，人均资产规模平稳可控，无超标配置、闲置浪费资产情况。办公设备、文体设施、场馆配套资产、文物管护资产全部投入日常履职、公共服务和场馆运行，有效保障单位日常运转和专项业务开展，资产管理规范有序、效能良好。</w:t>
      </w:r>
    </w:p>
    <w:p w14:paraId="22BC2B8B">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5.采购管理</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我局2025年度政府采购工作严格依法依规执行，所有采购项目全部履行立项、审批、采购流程，采购程序公开透明、资料台账完整规范。在采购工作中积极落实扶持中小企业政策，优先面向本地中小企业开展服务采购、设备采购，有效支持中小微企业发展。全年政府采购计划落地到位，采购执行率良好，无规避采购、拆分采购、违规采购等问题，采购管理合规规范、成效良好。</w:t>
      </w:r>
    </w:p>
    <w:p w14:paraId="6D0EF14E">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（二）部门预算项目绩效分析</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我局严格落实项目全过程绩效管理，对全局常年延续项目、阶段性一次性项目实行分类管理、全程监控、年终自评，全面覆盖一般公共预算、政府性基金预算、国有资本经营预算、政府购买服务项目，无游离于绩效管控外的专项资金。</w:t>
      </w:r>
    </w:p>
    <w:p w14:paraId="19DD1A0D">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常年项目绩效分析：本年度常年持续性项目运行稳定、实施常态化，项目资金主要用于公共文化免费开放、场馆日常运维、文物日常管护、文体常态化服务等工作，项目整体执行平稳，资金使用规范，年度绩效目标基本完成，少量项目存在年末正常结转，均为跨年接续工作所需，结余合规可控。</w:t>
      </w:r>
    </w:p>
    <w:p w14:paraId="18199031">
      <w:pPr>
        <w:pStyle w:val="10"/>
        <w:bidi w:val="0"/>
        <w:ind w:firstLine="640" w:firstLineChars="20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阶段（一次性）项目绩效分析：本年度阶段性专项项目主要用于年度文旅活动、文物专项修缮、文旅宣传提升、公共文化服务提质等专项工作，项目实施针对性强、社会效益明显，整体执行进度良好，大部分项目年内保质保量完成既定任务。</w:t>
      </w:r>
    </w:p>
    <w:p w14:paraId="11E9134B">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1.项目决策</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本年度所有项目立项决策程序规范，严格执行单位议事决策流程，项目申报充分结合县域文旅、文物、公共服务实际需求，立项依据充分、贴合民生需要。项目绩效目标设置科学合理、贴合项目内容，指标可量化、可考核、可评价。所有合规项目全部按要求纳入财政项目库统一管理，入库资料齐全、流程规范，无盲目申报、无依据立项、重复立项等问题，项目决策科学性、规范性较高。</w:t>
      </w:r>
    </w:p>
    <w:p w14:paraId="0F9BEC2F">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2.项目执行</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各项目资金拨付与项目实施进度基本同向匹配，资金保障有力、执行衔接顺畅。项目实施严格按照实施方案推进，确因季节、施工周期、上级统筹调整需要微调的项目，均严格履行报批备案程序，无擅自变更项目内容、调整资金用途、缩减项目规模等违规情况。项目过程资料、实施台账、验收资料完备，项目执行过程管控严谨规范。</w:t>
      </w:r>
    </w:p>
    <w:p w14:paraId="4317F49D">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3.目标实现</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本年度各类常年项目、阶段性项目总体绩效目标完成情况良好，公共文化服务人次、场馆开放时长、文物巡查管护频次、文体活动开展数量、群众满意度等核心指标基本达标，有效补齐公共文化服务短板、夯实文物保护基础、提升县域文旅服务水平。极少数项目因客观因素存在小幅进度偏差，已及时整改纠偏，整体项目产出、效益、满意度均达到年度预期，财政专项资金使用效益充分发挥。2025年度，我局无债券资金安排项目，政府购买服务项目严格按照政府购买服务管理办法规范实施，程序合规、内容真实、服务到位，全面完成年度各类预算资金绩效管控任务。</w:t>
      </w:r>
    </w:p>
    <w:p w14:paraId="1C732CE0">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（三）绩效结果应用情况</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一是内部应用扎实落地。我局建立绩效评价结果与年度预算编制、项目安排、股室考核挂钩机制，将年度绩效自评结果、存在问题作为下一年度预算统筹、项目优化、资金分配的重要依据，强化以评促管、以评促效。二是信息公开规范及时。严格按照财政信息公开要求，按时公开2025年度部门决算、绩效评价报告、绩效指标完成情况等公开内容，公开内容真实完整、格式规范，主动接受社会监督。三是整改反馈闭环到位。针对历年及本年度绩效自评发现的薄弱环节，建立问题台账、整改台账，实行销号管理，逐项落实整改措施、明确整改时限，持续完善预算绩效管理短板。</w:t>
      </w:r>
    </w:p>
    <w:p w14:paraId="23F007A0">
      <w:pPr>
        <w:keepNext w:val="0"/>
        <w:keepLines w:val="0"/>
        <w:pageBreakBefore w:val="0"/>
        <w:widowControl w:val="0"/>
        <w:kinsoku/>
        <w:wordWrap/>
        <w:overflowPunct/>
        <w:topLinePunct w:val="0"/>
        <w:autoSpaceDE/>
        <w:autoSpaceDN/>
        <w:bidi w:val="0"/>
        <w:adjustRightInd/>
        <w:spacing w:line="576" w:lineRule="exact"/>
        <w:ind w:firstLine="640" w:firstLineChars="200"/>
        <w:textAlignment w:val="auto"/>
        <w:outlineLvl w:val="1"/>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四、评价结论及建议</w:t>
      </w:r>
    </w:p>
    <w:p w14:paraId="6D53BA4C">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（一）评价结论</w:t>
      </w:r>
      <w:r>
        <w:rPr>
          <w:rFonts w:hint="eastAsia" w:ascii="Times New Roman" w:hAnsi="Times New Roman" w:eastAsia="楷体_GB2312" w:cs="Times New Roman"/>
          <w:b/>
          <w:color w:val="auto"/>
          <w:sz w:val="32"/>
          <w:szCs w:val="32"/>
          <w:highlight w:val="none"/>
          <w:lang w:eastAsia="zh-CN"/>
        </w:rPr>
        <w:t>。</w:t>
      </w:r>
      <w:r>
        <w:rPr>
          <w:rFonts w:hint="default" w:ascii="Times New Roman" w:hAnsi="Times New Roman" w:eastAsia="仿宋_GB2312" w:cs="Times New Roman"/>
          <w:color w:val="auto"/>
          <w:kern w:val="2"/>
          <w:sz w:val="32"/>
          <w:szCs w:val="32"/>
          <w:highlight w:val="none"/>
          <w:lang w:val="en-US" w:eastAsia="zh-CN" w:bidi="ar-SA"/>
        </w:rPr>
        <w:t>2025年度，松潘县文化广播电视体育和旅游局及下属全部预算单位预算管理规范、财务运行严谨、资产采购管理有序、项目实施扎实有效、履职成效突出，圆满完成年度部门整体履职目标和预算绩效目标，财政资金整体运行安全规范、使用效益良好。本次部门整体预算绩效自评得分96分，绩效等级为优秀。本年度部门收支规模合理增长，专项项目投入持续增加，公共文化、文物保护、文旅发展、红色宣教等民生工作成效显著，</w:t>
      </w:r>
      <w:r>
        <w:rPr>
          <w:rFonts w:hint="eastAsia" w:eastAsia="仿宋_GB2312" w:cs="Times New Roman"/>
          <w:color w:val="auto"/>
          <w:kern w:val="2"/>
          <w:sz w:val="32"/>
          <w:szCs w:val="32"/>
          <w:highlight w:val="none"/>
          <w:lang w:val="en-US" w:eastAsia="zh-CN" w:bidi="ar-SA"/>
        </w:rPr>
        <w:t>较好地发挥了</w:t>
      </w:r>
      <w:r>
        <w:rPr>
          <w:rFonts w:hint="default" w:ascii="Times New Roman" w:hAnsi="Times New Roman" w:eastAsia="仿宋_GB2312" w:cs="Times New Roman"/>
          <w:color w:val="auto"/>
          <w:kern w:val="2"/>
          <w:sz w:val="32"/>
          <w:szCs w:val="32"/>
          <w:highlight w:val="none"/>
          <w:lang w:val="en-US" w:eastAsia="zh-CN" w:bidi="ar-SA"/>
        </w:rPr>
        <w:t>财政资金保障职能、服务民生、推动行业发展的积极作用。</w:t>
      </w:r>
    </w:p>
    <w:p w14:paraId="53AE2AEA">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楷体_GB2312" w:cs="Times New Roman"/>
          <w:b/>
          <w:color w:val="auto"/>
          <w:sz w:val="32"/>
          <w:szCs w:val="32"/>
          <w:highlight w:val="none"/>
        </w:rPr>
        <w:t>（二）存在问题</w:t>
      </w:r>
      <w:r>
        <w:rPr>
          <w:rFonts w:hint="eastAsia" w:ascii="Times New Roman" w:hAnsi="Times New Roman" w:eastAsia="楷体_GB2312" w:cs="Times New Roman"/>
          <w:b/>
          <w:color w:val="auto"/>
          <w:sz w:val="32"/>
          <w:szCs w:val="32"/>
          <w:highlight w:val="none"/>
          <w:lang w:eastAsia="zh-CN"/>
        </w:rPr>
        <w:t>。</w:t>
      </w:r>
      <w:r>
        <w:rPr>
          <w:rFonts w:hint="eastAsia" w:ascii="Times New Roman" w:hAnsi="Times New Roman" w:eastAsia="仿宋_GB2312" w:cs="Times New Roman"/>
          <w:b/>
          <w:bCs/>
          <w:color w:val="auto"/>
          <w:kern w:val="2"/>
          <w:sz w:val="32"/>
          <w:szCs w:val="32"/>
          <w:highlight w:val="none"/>
          <w:lang w:val="en-US" w:eastAsia="zh-CN" w:bidi="ar-SA"/>
        </w:rPr>
        <w:t>一是</w:t>
      </w:r>
      <w:r>
        <w:rPr>
          <w:rFonts w:hint="default" w:ascii="Times New Roman" w:hAnsi="Times New Roman" w:eastAsia="仿宋_GB2312" w:cs="Times New Roman"/>
          <w:color w:val="auto"/>
          <w:kern w:val="2"/>
          <w:sz w:val="32"/>
          <w:szCs w:val="32"/>
          <w:highlight w:val="none"/>
          <w:lang w:val="en-US" w:eastAsia="zh-CN" w:bidi="ar-SA"/>
        </w:rPr>
        <w:t>个别专项项目预算执行节奏不够均衡，存在前慢后快现象，少量项目年末存在一定资金结余，资金使用效率仍有提升空间。</w:t>
      </w:r>
      <w:r>
        <w:rPr>
          <w:rFonts w:hint="eastAsia" w:ascii="Times New Roman" w:hAnsi="Times New Roman" w:eastAsia="仿宋_GB2312" w:cs="Times New Roman"/>
          <w:b/>
          <w:bCs/>
          <w:color w:val="auto"/>
          <w:kern w:val="2"/>
          <w:sz w:val="32"/>
          <w:szCs w:val="32"/>
          <w:highlight w:val="none"/>
          <w:lang w:val="en-US" w:eastAsia="zh-CN" w:bidi="ar-SA"/>
        </w:rPr>
        <w:t>二是</w:t>
      </w:r>
      <w:r>
        <w:rPr>
          <w:rFonts w:hint="default" w:ascii="Times New Roman" w:hAnsi="Times New Roman" w:eastAsia="仿宋_GB2312" w:cs="Times New Roman"/>
          <w:color w:val="auto"/>
          <w:kern w:val="2"/>
          <w:sz w:val="32"/>
          <w:szCs w:val="32"/>
          <w:highlight w:val="none"/>
          <w:lang w:val="en-US" w:eastAsia="zh-CN" w:bidi="ar-SA"/>
        </w:rPr>
        <w:t>项目绩效精细化管理仍有短板，部分项目绩效指标细化程度不足，过程动态绩效监控力度不够，绩效纠偏的及时性有待加强。</w:t>
      </w:r>
      <w:r>
        <w:rPr>
          <w:rFonts w:hint="eastAsia" w:ascii="Times New Roman" w:hAnsi="Times New Roman" w:eastAsia="仿宋_GB2312" w:cs="Times New Roman"/>
          <w:b/>
          <w:bCs/>
          <w:color w:val="auto"/>
          <w:kern w:val="2"/>
          <w:sz w:val="32"/>
          <w:szCs w:val="32"/>
          <w:highlight w:val="none"/>
          <w:lang w:val="en-US" w:eastAsia="zh-CN" w:bidi="ar-SA"/>
        </w:rPr>
        <w:t>三是</w:t>
      </w:r>
      <w:r>
        <w:rPr>
          <w:rFonts w:hint="default" w:ascii="Times New Roman" w:hAnsi="Times New Roman" w:eastAsia="仿宋_GB2312" w:cs="Times New Roman"/>
          <w:color w:val="auto"/>
          <w:kern w:val="2"/>
          <w:sz w:val="32"/>
          <w:szCs w:val="32"/>
          <w:highlight w:val="none"/>
          <w:lang w:val="en-US" w:eastAsia="zh-CN" w:bidi="ar-SA"/>
        </w:rPr>
        <w:t>绩效结果应用深度不足，绩效评价结果与预算编制、资金分配、年度考核的联动机制不够细化，以评促改、以评促管的长效机制仍需完善。</w:t>
      </w:r>
    </w:p>
    <w:p w14:paraId="3A41C915">
      <w:pPr>
        <w:keepNext w:val="0"/>
        <w:keepLines w:val="0"/>
        <w:pageBreakBefore w:val="0"/>
        <w:kinsoku/>
        <w:wordWrap/>
        <w:overflowPunct/>
        <w:topLinePunct w:val="0"/>
        <w:bidi w:val="0"/>
        <w:spacing w:line="576" w:lineRule="exact"/>
        <w:ind w:firstLine="643" w:firstLineChars="200"/>
        <w:textAlignment w:val="auto"/>
        <w:outlineLvl w:val="2"/>
        <w:rPr>
          <w:rFonts w:hint="default" w:ascii="Times New Roman" w:hAnsi="Times New Roman" w:eastAsia="楷体_GB2312" w:cs="Times New Roman"/>
          <w:b/>
          <w:color w:val="auto"/>
          <w:sz w:val="32"/>
          <w:szCs w:val="32"/>
          <w:highlight w:val="none"/>
        </w:rPr>
      </w:pPr>
      <w:r>
        <w:rPr>
          <w:rFonts w:hint="default" w:ascii="Times New Roman" w:hAnsi="Times New Roman" w:eastAsia="楷体_GB2312" w:cs="Times New Roman"/>
          <w:b/>
          <w:color w:val="auto"/>
          <w:sz w:val="32"/>
          <w:szCs w:val="32"/>
          <w:highlight w:val="none"/>
        </w:rPr>
        <w:t>（三）改进建议</w:t>
      </w:r>
    </w:p>
    <w:p w14:paraId="66462017">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1.精准把控项目执行进度。建立项目月度跟踪、季度调度机制，提前谋划年度项目实施计划，细化项目推进节点，统筹资金拨付与项目实施进度，有效均衡全年执行节奏，压减年末不合理结余，全面提升财政资金执行效率。</w:t>
      </w:r>
    </w:p>
    <w:p w14:paraId="6F6B54D0">
      <w:pPr>
        <w:spacing w:line="600" w:lineRule="exact"/>
        <w:ind w:firstLine="640"/>
        <w:rPr>
          <w:rFonts w:hint="default" w:ascii="Times New Roman" w:hAnsi="Times New Roman" w:eastAsia="仿宋_GB2312" w:cs="Times New Roman"/>
          <w:color w:val="auto"/>
          <w:kern w:val="2"/>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2.深化绩效精细化全过程管理。进一步细化量化各类项目绩效指标，提升指标精准度、可考核性，强化项目事前评估、事中监控、事后评价全链条管理，及时发现和纠正绩效偏差，不断提升项目绩效管理规范化、精细化水平。</w:t>
      </w:r>
    </w:p>
    <w:p w14:paraId="23F26CF4">
      <w:pPr>
        <w:spacing w:line="600" w:lineRule="exact"/>
        <w:ind w:firstLine="640"/>
        <w:rPr>
          <w:rFonts w:hint="default" w:ascii="Times New Roman" w:hAnsi="Times New Roman" w:eastAsia="仿宋_GB2312" w:cs="Times New Roman"/>
          <w:b w:val="0"/>
          <w:bCs w:val="0"/>
          <w:kern w:val="0"/>
          <w:position w:val="0"/>
          <w:sz w:val="32"/>
          <w:szCs w:val="32"/>
          <w:highlight w:val="none"/>
          <w:lang w:val="en-US" w:eastAsia="zh-CN" w:bidi="ar-SA"/>
        </w:rPr>
      </w:pPr>
      <w:r>
        <w:rPr>
          <w:rFonts w:hint="default" w:ascii="Times New Roman" w:hAnsi="Times New Roman" w:eastAsia="仿宋_GB2312" w:cs="Times New Roman"/>
          <w:color w:val="auto"/>
          <w:kern w:val="2"/>
          <w:sz w:val="32"/>
          <w:szCs w:val="32"/>
          <w:highlight w:val="none"/>
          <w:lang w:val="en-US" w:eastAsia="zh-CN" w:bidi="ar-SA"/>
        </w:rPr>
        <w:t>3.强化绩效结果闭环应用。完善绩效评价结果与预算编制、项目安排、资金分配、绩效考核深度联动机制，把绩效完成质量、问题整改成效作为下年度预算安排的重要依据，切实发挥绩效管理“以评促改、以评促管、以评促效”作用，持续提升部门整体预算治理能力和财政资金使用效益。</w:t>
      </w:r>
    </w:p>
    <w:p w14:paraId="347EB35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bookmarkStart w:id="87" w:name="_Toc15396618"/>
      <w:r>
        <w:rPr>
          <w:rFonts w:hint="default" w:ascii="Times New Roman" w:hAnsi="Times New Roman" w:eastAsia="仿宋_GB2312" w:cs="Times New Roman"/>
          <w:b w:val="0"/>
          <w:bCs w:val="0"/>
          <w:kern w:val="0"/>
          <w:position w:val="0"/>
          <w:sz w:val="32"/>
          <w:szCs w:val="32"/>
          <w:highlight w:val="none"/>
          <w:lang w:val="en-US" w:eastAsia="zh-CN" w:bidi="ar-SA"/>
        </w:rPr>
        <w:br w:type="page"/>
      </w:r>
    </w:p>
    <w:p w14:paraId="5388333A">
      <w:pPr>
        <w:widowControl/>
        <w:jc w:val="center"/>
        <w:rPr>
          <w:rFonts w:hint="default" w:ascii="Times New Roman" w:hAnsi="Times New Roman" w:eastAsia="仿宋" w:cs="Times New Roman"/>
          <w:b w:val="0"/>
          <w:color w:val="auto"/>
          <w:highlight w:val="none"/>
        </w:rPr>
      </w:pPr>
      <w:bookmarkStart w:id="88" w:name="_Toc2067_WPSOffice_Level1"/>
      <w:r>
        <w:rPr>
          <w:rFonts w:hint="default" w:ascii="Times New Roman" w:hAnsi="Times New Roman" w:eastAsia="黑体" w:cs="Times New Roman"/>
          <w:color w:val="auto"/>
          <w:sz w:val="44"/>
          <w:szCs w:val="44"/>
          <w:highlight w:val="none"/>
        </w:rPr>
        <w:t>第</w:t>
      </w:r>
      <w:r>
        <w:rPr>
          <w:rStyle w:val="33"/>
          <w:rFonts w:hint="default" w:ascii="Times New Roman" w:hAnsi="Times New Roman" w:eastAsia="黑体" w:cs="Times New Roman"/>
          <w:b w:val="0"/>
          <w:color w:val="auto"/>
          <w:highlight w:val="none"/>
        </w:rPr>
        <w:t>五部分 附表</w:t>
      </w:r>
      <w:bookmarkEnd w:id="84"/>
      <w:bookmarkEnd w:id="87"/>
      <w:bookmarkEnd w:id="88"/>
      <w:bookmarkStart w:id="89" w:name="_Toc15396619"/>
    </w:p>
    <w:p w14:paraId="7A6354C9">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color w:val="auto"/>
          <w:sz w:val="32"/>
          <w:szCs w:val="32"/>
          <w:highlight w:val="none"/>
        </w:rPr>
      </w:pPr>
    </w:p>
    <w:p w14:paraId="167B13A8">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90" w:name="_Toc23630_WPSOffice_Level2"/>
      <w:r>
        <w:rPr>
          <w:rFonts w:hint="default" w:ascii="Times New Roman" w:hAnsi="Times New Roman" w:eastAsia="仿宋_GB2312" w:cs="Times New Roman"/>
          <w:b w:val="0"/>
          <w:bCs w:val="0"/>
          <w:color w:val="auto"/>
          <w:sz w:val="32"/>
          <w:szCs w:val="32"/>
          <w:highlight w:val="none"/>
        </w:rPr>
        <w:t>一、收入支出决算总表</w:t>
      </w:r>
      <w:bookmarkEnd w:id="89"/>
      <w:bookmarkEnd w:id="90"/>
    </w:p>
    <w:p w14:paraId="745D01DD">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91" w:name="_Toc5208_WPSOffice_Level2"/>
      <w:bookmarkStart w:id="92" w:name="_Toc15396620"/>
      <w:r>
        <w:rPr>
          <w:rFonts w:hint="default" w:ascii="Times New Roman" w:hAnsi="Times New Roman" w:eastAsia="仿宋_GB2312" w:cs="Times New Roman"/>
          <w:b w:val="0"/>
          <w:bCs w:val="0"/>
          <w:color w:val="auto"/>
          <w:sz w:val="32"/>
          <w:szCs w:val="32"/>
          <w:highlight w:val="none"/>
        </w:rPr>
        <w:t>二、收入决算表</w:t>
      </w:r>
      <w:bookmarkEnd w:id="91"/>
      <w:bookmarkEnd w:id="92"/>
    </w:p>
    <w:p w14:paraId="57CBCE5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93" w:name="_Toc15396621"/>
      <w:bookmarkStart w:id="94" w:name="_Toc28122_WPSOffice_Level2"/>
      <w:r>
        <w:rPr>
          <w:rFonts w:hint="default" w:ascii="Times New Roman" w:hAnsi="Times New Roman" w:eastAsia="仿宋_GB2312" w:cs="Times New Roman"/>
          <w:b w:val="0"/>
          <w:bCs w:val="0"/>
          <w:color w:val="auto"/>
          <w:sz w:val="32"/>
          <w:szCs w:val="32"/>
          <w:highlight w:val="none"/>
        </w:rPr>
        <w:t>三、支出决算表</w:t>
      </w:r>
      <w:bookmarkEnd w:id="93"/>
      <w:bookmarkEnd w:id="94"/>
    </w:p>
    <w:p w14:paraId="199AC58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95" w:name="_Toc15396622"/>
      <w:bookmarkStart w:id="96" w:name="_Toc10278_WPSOffice_Level2"/>
      <w:r>
        <w:rPr>
          <w:rFonts w:hint="default" w:ascii="Times New Roman" w:hAnsi="Times New Roman" w:eastAsia="仿宋_GB2312" w:cs="Times New Roman"/>
          <w:b w:val="0"/>
          <w:bCs w:val="0"/>
          <w:color w:val="auto"/>
          <w:sz w:val="32"/>
          <w:szCs w:val="32"/>
          <w:highlight w:val="none"/>
        </w:rPr>
        <w:t>四、财政拨款收入支出决算总表</w:t>
      </w:r>
      <w:bookmarkEnd w:id="95"/>
      <w:bookmarkEnd w:id="96"/>
    </w:p>
    <w:p w14:paraId="2D2767EB">
      <w:pPr>
        <w:pStyle w:val="16"/>
        <w:keepNext w:val="0"/>
        <w:keepLines w:val="0"/>
        <w:pageBreakBefore w:val="0"/>
        <w:tabs>
          <w:tab w:val="left" w:pos="8154"/>
          <w:tab w:val="clear" w:pos="8296"/>
        </w:tabs>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lang w:eastAsia="zh-CN"/>
        </w:rPr>
      </w:pPr>
      <w:bookmarkStart w:id="97" w:name="_Toc15396623"/>
      <w:bookmarkStart w:id="98" w:name="_Toc443_WPSOffice_Level2"/>
      <w:r>
        <w:rPr>
          <w:rFonts w:hint="default" w:ascii="Times New Roman" w:hAnsi="Times New Roman" w:eastAsia="仿宋_GB2312" w:cs="Times New Roman"/>
          <w:b w:val="0"/>
          <w:bCs w:val="0"/>
          <w:color w:val="auto"/>
          <w:sz w:val="32"/>
          <w:szCs w:val="32"/>
          <w:highlight w:val="none"/>
        </w:rPr>
        <w:t>五、财政拨款支出决算明细表</w:t>
      </w:r>
      <w:bookmarkEnd w:id="97"/>
      <w:bookmarkEnd w:id="98"/>
      <w:bookmarkStart w:id="99" w:name="_Toc15396624"/>
      <w:r>
        <w:rPr>
          <w:rFonts w:hint="default" w:ascii="Times New Roman" w:hAnsi="Times New Roman" w:eastAsia="仿宋_GB2312" w:cs="Times New Roman"/>
          <w:b w:val="0"/>
          <w:bCs w:val="0"/>
          <w:color w:val="auto"/>
          <w:sz w:val="32"/>
          <w:szCs w:val="32"/>
          <w:highlight w:val="none"/>
          <w:lang w:eastAsia="zh-CN"/>
        </w:rPr>
        <w:tab/>
      </w:r>
    </w:p>
    <w:p w14:paraId="6C31527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100" w:name="_Toc1218_WPSOffice_Level2"/>
      <w:r>
        <w:rPr>
          <w:rFonts w:hint="default" w:ascii="Times New Roman" w:hAnsi="Times New Roman" w:eastAsia="仿宋_GB2312" w:cs="Times New Roman"/>
          <w:b w:val="0"/>
          <w:bCs w:val="0"/>
          <w:color w:val="auto"/>
          <w:sz w:val="32"/>
          <w:szCs w:val="32"/>
          <w:highlight w:val="none"/>
        </w:rPr>
        <w:t>六、一般公共预算财政拨款支出决算表</w:t>
      </w:r>
      <w:bookmarkEnd w:id="99"/>
      <w:bookmarkEnd w:id="100"/>
    </w:p>
    <w:p w14:paraId="400DA40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101" w:name="_Toc4298_WPSOffice_Level2"/>
      <w:bookmarkStart w:id="102" w:name="_Toc15396625"/>
      <w:r>
        <w:rPr>
          <w:rFonts w:hint="default" w:ascii="Times New Roman" w:hAnsi="Times New Roman" w:eastAsia="仿宋_GB2312" w:cs="Times New Roman"/>
          <w:b w:val="0"/>
          <w:bCs w:val="0"/>
          <w:color w:val="auto"/>
          <w:sz w:val="32"/>
          <w:szCs w:val="32"/>
          <w:highlight w:val="none"/>
        </w:rPr>
        <w:t>七、一般公共预算财政拨款支出决算明细表</w:t>
      </w:r>
      <w:bookmarkEnd w:id="101"/>
      <w:bookmarkEnd w:id="102"/>
    </w:p>
    <w:p w14:paraId="08F0F6A5">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103" w:name="_Toc15396626"/>
      <w:bookmarkStart w:id="104" w:name="_Toc8203_WPSOffice_Level2"/>
      <w:r>
        <w:rPr>
          <w:rFonts w:hint="default" w:ascii="Times New Roman" w:hAnsi="Times New Roman" w:eastAsia="仿宋_GB2312" w:cs="Times New Roman"/>
          <w:b w:val="0"/>
          <w:bCs w:val="0"/>
          <w:color w:val="auto"/>
          <w:sz w:val="32"/>
          <w:szCs w:val="32"/>
          <w:highlight w:val="none"/>
        </w:rPr>
        <w:t>八、一般公共预算财政拨款基本支出决算表</w:t>
      </w:r>
      <w:bookmarkEnd w:id="103"/>
      <w:bookmarkEnd w:id="104"/>
    </w:p>
    <w:p w14:paraId="1B8C07AB">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105" w:name="_Toc16429_WPSOffice_Level2"/>
      <w:bookmarkStart w:id="106" w:name="_Toc15396627"/>
      <w:r>
        <w:rPr>
          <w:rFonts w:hint="default" w:ascii="Times New Roman" w:hAnsi="Times New Roman" w:eastAsia="仿宋_GB2312" w:cs="Times New Roman"/>
          <w:b w:val="0"/>
          <w:bCs w:val="0"/>
          <w:color w:val="auto"/>
          <w:sz w:val="32"/>
          <w:szCs w:val="32"/>
          <w:highlight w:val="none"/>
        </w:rPr>
        <w:t>九、一般公共预算财政拨款项目支出决算表</w:t>
      </w:r>
      <w:bookmarkEnd w:id="105"/>
      <w:bookmarkEnd w:id="106"/>
    </w:p>
    <w:p w14:paraId="6E7390C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107" w:name="_Toc15396628"/>
      <w:bookmarkStart w:id="108" w:name="_Toc32329_WPSOffice_Level2"/>
      <w:r>
        <w:rPr>
          <w:rFonts w:hint="default" w:ascii="Times New Roman" w:hAnsi="Times New Roman" w:eastAsia="仿宋_GB2312" w:cs="Times New Roman"/>
          <w:b w:val="0"/>
          <w:bCs w:val="0"/>
          <w:color w:val="auto"/>
          <w:sz w:val="32"/>
          <w:szCs w:val="32"/>
          <w:highlight w:val="none"/>
        </w:rPr>
        <w:t>十、</w:t>
      </w:r>
      <w:bookmarkEnd w:id="107"/>
      <w:r>
        <w:rPr>
          <w:rFonts w:hint="default" w:ascii="Times New Roman" w:hAnsi="Times New Roman" w:eastAsia="仿宋_GB2312" w:cs="Times New Roman"/>
          <w:b w:val="0"/>
          <w:bCs w:val="0"/>
          <w:color w:val="auto"/>
          <w:sz w:val="32"/>
          <w:szCs w:val="32"/>
          <w:highlight w:val="none"/>
        </w:rPr>
        <w:t>政府性基金预算财政拨款收入支出决算表</w:t>
      </w:r>
      <w:bookmarkEnd w:id="108"/>
    </w:p>
    <w:p w14:paraId="21640546">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109" w:name="_Toc15396629"/>
      <w:bookmarkStart w:id="110" w:name="_Toc4058_WPSOffice_Level2"/>
      <w:r>
        <w:rPr>
          <w:rFonts w:hint="default" w:ascii="Times New Roman" w:hAnsi="Times New Roman" w:eastAsia="仿宋_GB2312" w:cs="Times New Roman"/>
          <w:b w:val="0"/>
          <w:bCs w:val="0"/>
          <w:color w:val="auto"/>
          <w:sz w:val="32"/>
          <w:szCs w:val="32"/>
          <w:highlight w:val="none"/>
        </w:rPr>
        <w:t>十一、</w:t>
      </w:r>
      <w:bookmarkEnd w:id="109"/>
      <w:r>
        <w:rPr>
          <w:rFonts w:hint="default" w:ascii="Times New Roman" w:hAnsi="Times New Roman" w:eastAsia="仿宋_GB2312" w:cs="Times New Roman"/>
          <w:b w:val="0"/>
          <w:bCs w:val="0"/>
          <w:color w:val="auto"/>
          <w:sz w:val="32"/>
          <w:szCs w:val="32"/>
          <w:highlight w:val="none"/>
        </w:rPr>
        <w:t>国有资本经营预算</w:t>
      </w:r>
      <w:r>
        <w:rPr>
          <w:rFonts w:hint="default" w:ascii="Times New Roman" w:hAnsi="Times New Roman" w:eastAsia="仿宋_GB2312" w:cs="Times New Roman"/>
          <w:b w:val="0"/>
          <w:bCs w:val="0"/>
          <w:color w:val="auto"/>
          <w:sz w:val="32"/>
          <w:szCs w:val="32"/>
          <w:highlight w:val="none"/>
          <w:lang w:eastAsia="zh-CN"/>
        </w:rPr>
        <w:t>财政拨款收入</w:t>
      </w:r>
      <w:r>
        <w:rPr>
          <w:rFonts w:hint="default" w:ascii="Times New Roman" w:hAnsi="Times New Roman" w:eastAsia="仿宋_GB2312" w:cs="Times New Roman"/>
          <w:b w:val="0"/>
          <w:bCs w:val="0"/>
          <w:color w:val="auto"/>
          <w:sz w:val="32"/>
          <w:szCs w:val="32"/>
          <w:highlight w:val="none"/>
        </w:rPr>
        <w:t>支出决算表</w:t>
      </w:r>
      <w:bookmarkEnd w:id="110"/>
    </w:p>
    <w:p w14:paraId="4E0DEE37">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rPr>
      </w:pPr>
      <w:bookmarkStart w:id="111" w:name="_Toc15396630"/>
      <w:bookmarkStart w:id="112" w:name="_Toc16676_WPSOffice_Level2"/>
      <w:r>
        <w:rPr>
          <w:rFonts w:hint="default" w:ascii="Times New Roman" w:hAnsi="Times New Roman" w:eastAsia="仿宋_GB2312" w:cs="Times New Roman"/>
          <w:b w:val="0"/>
          <w:bCs w:val="0"/>
          <w:color w:val="auto"/>
          <w:sz w:val="32"/>
          <w:szCs w:val="32"/>
          <w:highlight w:val="none"/>
        </w:rPr>
        <w:t>十二、</w:t>
      </w:r>
      <w:bookmarkEnd w:id="111"/>
      <w:r>
        <w:rPr>
          <w:rFonts w:hint="default" w:ascii="Times New Roman" w:hAnsi="Times New Roman" w:eastAsia="仿宋_GB2312" w:cs="Times New Roman"/>
          <w:b w:val="0"/>
          <w:bCs w:val="0"/>
          <w:color w:val="auto"/>
          <w:sz w:val="32"/>
          <w:szCs w:val="32"/>
          <w:highlight w:val="none"/>
          <w:lang w:eastAsia="zh-CN"/>
        </w:rPr>
        <w:t>国有资本经营预算财政拨款支出决算表</w:t>
      </w:r>
      <w:bookmarkEnd w:id="112"/>
    </w:p>
    <w:p w14:paraId="1694AC73">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default" w:ascii="Times New Roman" w:hAnsi="Times New Roman" w:eastAsia="仿宋_GB2312" w:cs="Times New Roman"/>
          <w:b w:val="0"/>
          <w:bCs w:val="0"/>
          <w:color w:val="auto"/>
          <w:sz w:val="32"/>
          <w:szCs w:val="32"/>
          <w:highlight w:val="none"/>
          <w:lang w:eastAsia="zh-CN"/>
        </w:rPr>
      </w:pPr>
      <w:bookmarkStart w:id="113" w:name="_Toc15396631"/>
      <w:bookmarkStart w:id="114" w:name="_Toc24132_WPSOffice_Level2"/>
      <w:r>
        <w:rPr>
          <w:rFonts w:hint="default" w:ascii="Times New Roman" w:hAnsi="Times New Roman" w:eastAsia="仿宋_GB2312" w:cs="Times New Roman"/>
          <w:b w:val="0"/>
          <w:bCs w:val="0"/>
          <w:color w:val="auto"/>
          <w:sz w:val="32"/>
          <w:szCs w:val="32"/>
          <w:highlight w:val="none"/>
        </w:rPr>
        <w:t>十三、</w:t>
      </w:r>
      <w:bookmarkEnd w:id="113"/>
      <w:r>
        <w:rPr>
          <w:rFonts w:hint="default" w:ascii="Times New Roman" w:hAnsi="Times New Roman" w:eastAsia="仿宋_GB2312" w:cs="Times New Roman"/>
          <w:b w:val="0"/>
          <w:bCs w:val="0"/>
          <w:color w:val="auto"/>
          <w:sz w:val="32"/>
          <w:szCs w:val="32"/>
          <w:highlight w:val="none"/>
          <w:lang w:eastAsia="zh-CN"/>
        </w:rPr>
        <w:t>财政拨款“三公”经费支出决算表</w:t>
      </w:r>
      <w:bookmarkEnd w:id="114"/>
    </w:p>
    <w:p w14:paraId="72C38312">
      <w:pPr>
        <w:rPr>
          <w:rFonts w:hint="default" w:ascii="Times New Roman" w:hAnsi="Times New Roman" w:eastAsia="仿宋_GB2312" w:cs="Times New Roman"/>
          <w:b w:val="0"/>
          <w:bCs w:val="0"/>
          <w:sz w:val="32"/>
          <w:szCs w:val="32"/>
          <w:lang w:eastAsia="zh-CN"/>
        </w:rPr>
      </w:pPr>
    </w:p>
    <w:sectPr>
      <w:footerReference r:id="rId7" w:type="first"/>
      <w:footerReference r:id="rId6" w:type="default"/>
      <w:pgSz w:w="11906" w:h="16838"/>
      <w:pgMar w:top="2098" w:right="1474" w:bottom="1984" w:left="1587" w:header="851" w:footer="1134" w:gutter="0"/>
      <w:pgNumType w:fmt="decimal"/>
      <w:cols w:space="0" w:num="1"/>
      <w:titlePg/>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836BA86-CF51-4829-8999-62EA9A810B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embedRegular r:id="rId2" w:fontKey="{11AC700C-C848-440E-8ECD-5556197628A6}"/>
  </w:font>
  <w:font w:name="仿宋">
    <w:panose1 w:val="02010609060101010101"/>
    <w:charset w:val="86"/>
    <w:family w:val="auto"/>
    <w:pitch w:val="default"/>
    <w:sig w:usb0="800002BF" w:usb1="38CF7CFA" w:usb2="00000016" w:usb3="00000000" w:csb0="00040001" w:csb1="00000000"/>
    <w:embedRegular r:id="rId3" w:fontKey="{EE54B490-821B-4958-BB08-9264E481059F}"/>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D7750755-23AD-462E-B200-C5FC6A36D35D}"/>
  </w:font>
  <w:font w:name="楷体_GB2312">
    <w:panose1 w:val="02010609030101010101"/>
    <w:charset w:val="86"/>
    <w:family w:val="auto"/>
    <w:pitch w:val="default"/>
    <w:sig w:usb0="00000001" w:usb1="080E0000" w:usb2="00000000" w:usb3="00000000" w:csb0="00040000" w:csb1="00000000"/>
    <w:embedRegular r:id="rId5" w:fontKey="{681FDFC2-9F0D-4EAE-AA76-E6EB972C8E7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382C2">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26871D">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1E26871D">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73831220">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A9B56">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9DC7C5F">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69DC7C5F">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1E75D">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11BF33">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5711BF33">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p w14:paraId="3CB14AB8">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DFAC87">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AFEC92">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57AFEC92">
                    <w:pPr>
                      <w:pStyle w:val="1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3A6BC6">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47F"/>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331F"/>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2A5EC2"/>
    <w:rsid w:val="015975B8"/>
    <w:rsid w:val="0179546C"/>
    <w:rsid w:val="02FEBE30"/>
    <w:rsid w:val="031575B9"/>
    <w:rsid w:val="03E20DA6"/>
    <w:rsid w:val="04916F1E"/>
    <w:rsid w:val="051C2CDE"/>
    <w:rsid w:val="061E35DE"/>
    <w:rsid w:val="066E0107"/>
    <w:rsid w:val="06FF01C2"/>
    <w:rsid w:val="07996F6E"/>
    <w:rsid w:val="07DFD8BA"/>
    <w:rsid w:val="08033CE1"/>
    <w:rsid w:val="08161C67"/>
    <w:rsid w:val="08485B98"/>
    <w:rsid w:val="08CC4A1B"/>
    <w:rsid w:val="09043154"/>
    <w:rsid w:val="0937357F"/>
    <w:rsid w:val="09867E8F"/>
    <w:rsid w:val="0A2032A3"/>
    <w:rsid w:val="0AC54014"/>
    <w:rsid w:val="0AE222D4"/>
    <w:rsid w:val="0BD5799B"/>
    <w:rsid w:val="0CA8290A"/>
    <w:rsid w:val="0D35B1ED"/>
    <w:rsid w:val="0E254B6B"/>
    <w:rsid w:val="0E3015A8"/>
    <w:rsid w:val="0EAF527F"/>
    <w:rsid w:val="0F4E618A"/>
    <w:rsid w:val="0F543075"/>
    <w:rsid w:val="0F6E7888"/>
    <w:rsid w:val="0F98263C"/>
    <w:rsid w:val="101860EC"/>
    <w:rsid w:val="101F47CC"/>
    <w:rsid w:val="10264A11"/>
    <w:rsid w:val="10615A49"/>
    <w:rsid w:val="10C055FF"/>
    <w:rsid w:val="11694EBD"/>
    <w:rsid w:val="11772AA4"/>
    <w:rsid w:val="117B0D8C"/>
    <w:rsid w:val="118107EC"/>
    <w:rsid w:val="127759F8"/>
    <w:rsid w:val="12E24EE2"/>
    <w:rsid w:val="12EC1224"/>
    <w:rsid w:val="13D50BC4"/>
    <w:rsid w:val="14952165"/>
    <w:rsid w:val="14B17F78"/>
    <w:rsid w:val="15443A4D"/>
    <w:rsid w:val="1560102B"/>
    <w:rsid w:val="15C54CCC"/>
    <w:rsid w:val="160C3F81"/>
    <w:rsid w:val="165E0673"/>
    <w:rsid w:val="16B831D5"/>
    <w:rsid w:val="16BB723D"/>
    <w:rsid w:val="171657DF"/>
    <w:rsid w:val="17E50567"/>
    <w:rsid w:val="18100480"/>
    <w:rsid w:val="186504BB"/>
    <w:rsid w:val="188449CB"/>
    <w:rsid w:val="18A21D50"/>
    <w:rsid w:val="193C7053"/>
    <w:rsid w:val="19A445FC"/>
    <w:rsid w:val="1A004525"/>
    <w:rsid w:val="1B860A5A"/>
    <w:rsid w:val="1BE8440E"/>
    <w:rsid w:val="1C9571A6"/>
    <w:rsid w:val="1CC83512"/>
    <w:rsid w:val="1CFA16FF"/>
    <w:rsid w:val="1CFF0AC4"/>
    <w:rsid w:val="1D155CEE"/>
    <w:rsid w:val="1D1638FE"/>
    <w:rsid w:val="1E302936"/>
    <w:rsid w:val="1E312DEB"/>
    <w:rsid w:val="1E740ACF"/>
    <w:rsid w:val="1EF06916"/>
    <w:rsid w:val="1EFE0D53"/>
    <w:rsid w:val="1FD2088D"/>
    <w:rsid w:val="1FD75D28"/>
    <w:rsid w:val="1FF35744"/>
    <w:rsid w:val="1FF6BC77"/>
    <w:rsid w:val="20FF437F"/>
    <w:rsid w:val="2186353C"/>
    <w:rsid w:val="2297354C"/>
    <w:rsid w:val="231D6147"/>
    <w:rsid w:val="23860B96"/>
    <w:rsid w:val="240371BF"/>
    <w:rsid w:val="244F3473"/>
    <w:rsid w:val="24C97D99"/>
    <w:rsid w:val="25A718F0"/>
    <w:rsid w:val="25BB59F6"/>
    <w:rsid w:val="260333D3"/>
    <w:rsid w:val="260F557C"/>
    <w:rsid w:val="26970054"/>
    <w:rsid w:val="27624AEB"/>
    <w:rsid w:val="281408E2"/>
    <w:rsid w:val="286706AB"/>
    <w:rsid w:val="292A511A"/>
    <w:rsid w:val="299A08A1"/>
    <w:rsid w:val="29FD04D3"/>
    <w:rsid w:val="2A117F87"/>
    <w:rsid w:val="2A410C98"/>
    <w:rsid w:val="2ABE5B1A"/>
    <w:rsid w:val="2AE5579D"/>
    <w:rsid w:val="2B5446D0"/>
    <w:rsid w:val="2BFF7BC6"/>
    <w:rsid w:val="2C2B3683"/>
    <w:rsid w:val="2C8A61B5"/>
    <w:rsid w:val="2D984D48"/>
    <w:rsid w:val="2DD94BDD"/>
    <w:rsid w:val="2DF04E50"/>
    <w:rsid w:val="2E586DFA"/>
    <w:rsid w:val="2F040D46"/>
    <w:rsid w:val="2F1A79DF"/>
    <w:rsid w:val="2F6B035B"/>
    <w:rsid w:val="2FAE5751"/>
    <w:rsid w:val="2FB1A395"/>
    <w:rsid w:val="2FC11AE6"/>
    <w:rsid w:val="2FD9A7D8"/>
    <w:rsid w:val="2FDBF714"/>
    <w:rsid w:val="30AB6865"/>
    <w:rsid w:val="30CB71E3"/>
    <w:rsid w:val="31033252"/>
    <w:rsid w:val="31080DD8"/>
    <w:rsid w:val="31523460"/>
    <w:rsid w:val="319F7F4E"/>
    <w:rsid w:val="32B31CDC"/>
    <w:rsid w:val="32BD1EF1"/>
    <w:rsid w:val="3304709D"/>
    <w:rsid w:val="331C6AE0"/>
    <w:rsid w:val="33574D5E"/>
    <w:rsid w:val="33A773CB"/>
    <w:rsid w:val="33F921EF"/>
    <w:rsid w:val="34140EA1"/>
    <w:rsid w:val="343926B5"/>
    <w:rsid w:val="349D6851"/>
    <w:rsid w:val="34B00BF0"/>
    <w:rsid w:val="355F7EFA"/>
    <w:rsid w:val="35917DCF"/>
    <w:rsid w:val="36AA5135"/>
    <w:rsid w:val="36BE0DA7"/>
    <w:rsid w:val="36FB20B5"/>
    <w:rsid w:val="370C54DE"/>
    <w:rsid w:val="373B04F2"/>
    <w:rsid w:val="376B6AA6"/>
    <w:rsid w:val="376D39B2"/>
    <w:rsid w:val="37E16F03"/>
    <w:rsid w:val="37F53A3B"/>
    <w:rsid w:val="389B6C89"/>
    <w:rsid w:val="38A26A7B"/>
    <w:rsid w:val="38B83EFA"/>
    <w:rsid w:val="38D469F0"/>
    <w:rsid w:val="39573DD4"/>
    <w:rsid w:val="39627CCD"/>
    <w:rsid w:val="397BAF1F"/>
    <w:rsid w:val="3A255BB6"/>
    <w:rsid w:val="3A974937"/>
    <w:rsid w:val="3AB79AF3"/>
    <w:rsid w:val="3AC053A4"/>
    <w:rsid w:val="3AE834C0"/>
    <w:rsid w:val="3B7EF35A"/>
    <w:rsid w:val="3B9FDB6C"/>
    <w:rsid w:val="3BF5BC2F"/>
    <w:rsid w:val="3C026603"/>
    <w:rsid w:val="3C47113A"/>
    <w:rsid w:val="3C576523"/>
    <w:rsid w:val="3CEB6517"/>
    <w:rsid w:val="3CEBA265"/>
    <w:rsid w:val="3D98207C"/>
    <w:rsid w:val="3DEE7CF3"/>
    <w:rsid w:val="3E5B185D"/>
    <w:rsid w:val="3E740A63"/>
    <w:rsid w:val="3E78745D"/>
    <w:rsid w:val="3EC51715"/>
    <w:rsid w:val="3EE17838"/>
    <w:rsid w:val="3F55381A"/>
    <w:rsid w:val="3F7F7599"/>
    <w:rsid w:val="3FF35E0E"/>
    <w:rsid w:val="3FF4CAE0"/>
    <w:rsid w:val="3FF7B227"/>
    <w:rsid w:val="4053216B"/>
    <w:rsid w:val="410F6C78"/>
    <w:rsid w:val="415C79E3"/>
    <w:rsid w:val="42312C1E"/>
    <w:rsid w:val="42811442"/>
    <w:rsid w:val="43163214"/>
    <w:rsid w:val="43630A8E"/>
    <w:rsid w:val="43847D28"/>
    <w:rsid w:val="441C5087"/>
    <w:rsid w:val="44E268DA"/>
    <w:rsid w:val="450D13D7"/>
    <w:rsid w:val="452C0D9A"/>
    <w:rsid w:val="45506656"/>
    <w:rsid w:val="45634B2A"/>
    <w:rsid w:val="45B625F0"/>
    <w:rsid w:val="464949CA"/>
    <w:rsid w:val="466E147D"/>
    <w:rsid w:val="46B8390E"/>
    <w:rsid w:val="47375348"/>
    <w:rsid w:val="475E6263"/>
    <w:rsid w:val="47AF2F63"/>
    <w:rsid w:val="47F72916"/>
    <w:rsid w:val="486A6C7A"/>
    <w:rsid w:val="48AE321A"/>
    <w:rsid w:val="48AF715A"/>
    <w:rsid w:val="49706E5A"/>
    <w:rsid w:val="49C65F48"/>
    <w:rsid w:val="4A3C73FA"/>
    <w:rsid w:val="4A45195C"/>
    <w:rsid w:val="4A627F82"/>
    <w:rsid w:val="4B0E749A"/>
    <w:rsid w:val="4B2477C4"/>
    <w:rsid w:val="4B4F25DA"/>
    <w:rsid w:val="4BE068DB"/>
    <w:rsid w:val="4D577224"/>
    <w:rsid w:val="4DBF1CEB"/>
    <w:rsid w:val="4DF0007C"/>
    <w:rsid w:val="4E8642F1"/>
    <w:rsid w:val="4E9609D8"/>
    <w:rsid w:val="4EAB630A"/>
    <w:rsid w:val="4ECE2238"/>
    <w:rsid w:val="4ED305AA"/>
    <w:rsid w:val="4F833267"/>
    <w:rsid w:val="4FE9BD67"/>
    <w:rsid w:val="4FFB052F"/>
    <w:rsid w:val="50997CCB"/>
    <w:rsid w:val="519228EA"/>
    <w:rsid w:val="519B00B4"/>
    <w:rsid w:val="520420FD"/>
    <w:rsid w:val="537E6D0A"/>
    <w:rsid w:val="539C2AB2"/>
    <w:rsid w:val="53F74C96"/>
    <w:rsid w:val="54312965"/>
    <w:rsid w:val="55170BA8"/>
    <w:rsid w:val="552C79A0"/>
    <w:rsid w:val="553218C9"/>
    <w:rsid w:val="554A082F"/>
    <w:rsid w:val="56290384"/>
    <w:rsid w:val="567E1AA5"/>
    <w:rsid w:val="56E47B74"/>
    <w:rsid w:val="57175D52"/>
    <w:rsid w:val="57917F8F"/>
    <w:rsid w:val="57BD3DD4"/>
    <w:rsid w:val="57D04B57"/>
    <w:rsid w:val="580916F3"/>
    <w:rsid w:val="58727DC0"/>
    <w:rsid w:val="59123351"/>
    <w:rsid w:val="5A70032F"/>
    <w:rsid w:val="5AF92295"/>
    <w:rsid w:val="5B0B62AA"/>
    <w:rsid w:val="5B24111A"/>
    <w:rsid w:val="5B250254"/>
    <w:rsid w:val="5B2F01EA"/>
    <w:rsid w:val="5BBB2A42"/>
    <w:rsid w:val="5BDD79E6"/>
    <w:rsid w:val="5BF561CA"/>
    <w:rsid w:val="5BFF5DFC"/>
    <w:rsid w:val="5CD71FC4"/>
    <w:rsid w:val="5D1F11B5"/>
    <w:rsid w:val="5D390D7D"/>
    <w:rsid w:val="5D695134"/>
    <w:rsid w:val="5DAE1B18"/>
    <w:rsid w:val="5DE7D9E5"/>
    <w:rsid w:val="5DE828D3"/>
    <w:rsid w:val="5E5D5CE0"/>
    <w:rsid w:val="5ECEC941"/>
    <w:rsid w:val="5FBF9FF3"/>
    <w:rsid w:val="5FCD4E2C"/>
    <w:rsid w:val="5FE35BD8"/>
    <w:rsid w:val="5FEF394A"/>
    <w:rsid w:val="5FF67715"/>
    <w:rsid w:val="5FF7504F"/>
    <w:rsid w:val="619701D0"/>
    <w:rsid w:val="626E4BF7"/>
    <w:rsid w:val="62BF3928"/>
    <w:rsid w:val="63B3701E"/>
    <w:rsid w:val="647F5392"/>
    <w:rsid w:val="64866BD9"/>
    <w:rsid w:val="65E66580"/>
    <w:rsid w:val="664B1D71"/>
    <w:rsid w:val="664B4E8E"/>
    <w:rsid w:val="66B45A48"/>
    <w:rsid w:val="67277B67"/>
    <w:rsid w:val="672F3320"/>
    <w:rsid w:val="67AA3209"/>
    <w:rsid w:val="689D7DD2"/>
    <w:rsid w:val="698D0931"/>
    <w:rsid w:val="6A7FE5F3"/>
    <w:rsid w:val="6B053271"/>
    <w:rsid w:val="6B2C2051"/>
    <w:rsid w:val="6B2F1B41"/>
    <w:rsid w:val="6BDD78B3"/>
    <w:rsid w:val="6C4A05C8"/>
    <w:rsid w:val="6C8742B8"/>
    <w:rsid w:val="6C9A56E0"/>
    <w:rsid w:val="6CE9405F"/>
    <w:rsid w:val="6D0B3EE8"/>
    <w:rsid w:val="6DBF5E93"/>
    <w:rsid w:val="6DFF077E"/>
    <w:rsid w:val="6E714EF0"/>
    <w:rsid w:val="6E7E3605"/>
    <w:rsid w:val="6E7FDCC7"/>
    <w:rsid w:val="6ED6A62E"/>
    <w:rsid w:val="6EE00B15"/>
    <w:rsid w:val="6EE64C0C"/>
    <w:rsid w:val="6F0D2199"/>
    <w:rsid w:val="6F280D81"/>
    <w:rsid w:val="6F6FB3EB"/>
    <w:rsid w:val="6F8731EA"/>
    <w:rsid w:val="6F8F7052"/>
    <w:rsid w:val="6FCE6052"/>
    <w:rsid w:val="6FD57C00"/>
    <w:rsid w:val="6FEFFFD8"/>
    <w:rsid w:val="6FF5CC65"/>
    <w:rsid w:val="6FFB47EC"/>
    <w:rsid w:val="6FFF034A"/>
    <w:rsid w:val="70484440"/>
    <w:rsid w:val="712A28F1"/>
    <w:rsid w:val="715C0E4B"/>
    <w:rsid w:val="71992E7C"/>
    <w:rsid w:val="72031631"/>
    <w:rsid w:val="72233669"/>
    <w:rsid w:val="72734D90"/>
    <w:rsid w:val="72A050D2"/>
    <w:rsid w:val="72C161C4"/>
    <w:rsid w:val="72C54B39"/>
    <w:rsid w:val="73160E6D"/>
    <w:rsid w:val="731F1D55"/>
    <w:rsid w:val="7332FE48"/>
    <w:rsid w:val="73AB61DA"/>
    <w:rsid w:val="73AD73D5"/>
    <w:rsid w:val="73B6EB34"/>
    <w:rsid w:val="73FA497D"/>
    <w:rsid w:val="744731E5"/>
    <w:rsid w:val="74BBD01D"/>
    <w:rsid w:val="74ED5379"/>
    <w:rsid w:val="75695C4F"/>
    <w:rsid w:val="75DEEEC2"/>
    <w:rsid w:val="75E32345"/>
    <w:rsid w:val="76E3355F"/>
    <w:rsid w:val="76F45266"/>
    <w:rsid w:val="76FF5125"/>
    <w:rsid w:val="776F6FFA"/>
    <w:rsid w:val="777C4360"/>
    <w:rsid w:val="778769C8"/>
    <w:rsid w:val="77A75DCA"/>
    <w:rsid w:val="77DC22F5"/>
    <w:rsid w:val="77F55EC0"/>
    <w:rsid w:val="783E271A"/>
    <w:rsid w:val="783E7867"/>
    <w:rsid w:val="78616DE9"/>
    <w:rsid w:val="78E875D7"/>
    <w:rsid w:val="79086DAD"/>
    <w:rsid w:val="79D7FD79"/>
    <w:rsid w:val="79EE5BA4"/>
    <w:rsid w:val="7A894339"/>
    <w:rsid w:val="7AAE4FF2"/>
    <w:rsid w:val="7AD284E8"/>
    <w:rsid w:val="7AFF7572"/>
    <w:rsid w:val="7B6C7DFB"/>
    <w:rsid w:val="7BBFBED0"/>
    <w:rsid w:val="7BC3E394"/>
    <w:rsid w:val="7BCF2350"/>
    <w:rsid w:val="7C1F3737"/>
    <w:rsid w:val="7CBFC87B"/>
    <w:rsid w:val="7CE00EED"/>
    <w:rsid w:val="7CFE0796"/>
    <w:rsid w:val="7CFE0F48"/>
    <w:rsid w:val="7D272ABC"/>
    <w:rsid w:val="7D4318E1"/>
    <w:rsid w:val="7D7EC23E"/>
    <w:rsid w:val="7D8C2E23"/>
    <w:rsid w:val="7E8ADEBF"/>
    <w:rsid w:val="7ECF1219"/>
    <w:rsid w:val="7EEF11D3"/>
    <w:rsid w:val="7EFE4840"/>
    <w:rsid w:val="7F0971A6"/>
    <w:rsid w:val="7F1D62E7"/>
    <w:rsid w:val="7F3F679B"/>
    <w:rsid w:val="7F4FC4EF"/>
    <w:rsid w:val="7F5E4D54"/>
    <w:rsid w:val="7F631961"/>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3"/>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4"/>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23"/>
    <w:unhideWhenUsed/>
    <w:qFormat/>
    <w:uiPriority w:val="9"/>
    <w:pPr>
      <w:keepNext/>
      <w:keepLines/>
      <w:spacing w:before="260" w:after="260" w:line="416" w:lineRule="auto"/>
      <w:outlineLvl w:val="2"/>
    </w:pPr>
    <w:rPr>
      <w:b/>
      <w:bCs/>
      <w:sz w:val="32"/>
      <w:szCs w:val="32"/>
    </w:rPr>
  </w:style>
  <w:style w:type="character" w:default="1" w:styleId="20">
    <w:name w:val="Default Paragraph Font"/>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Salutation"/>
    <w:basedOn w:val="1"/>
    <w:next w:val="1"/>
    <w:qFormat/>
    <w:uiPriority w:val="0"/>
  </w:style>
  <w:style w:type="paragraph" w:styleId="9">
    <w:name w:val="Body Text"/>
    <w:basedOn w:val="1"/>
    <w:next w:val="10"/>
    <w:link w:val="30"/>
    <w:qFormat/>
    <w:uiPriority w:val="99"/>
    <w:pPr>
      <w:spacing w:beforeLines="30"/>
    </w:pPr>
    <w:rPr>
      <w:rFonts w:ascii="仿宋_GB2312" w:eastAsia="仿宋_GB2312"/>
      <w:kern w:val="0"/>
      <w:sz w:val="30"/>
    </w:rPr>
  </w:style>
  <w:style w:type="paragraph" w:styleId="10">
    <w:name w:val="Body Text First Indent"/>
    <w:basedOn w:val="9"/>
    <w:qFormat/>
    <w:uiPriority w:val="0"/>
    <w:pPr>
      <w:ind w:firstLine="420" w:firstLineChars="100"/>
    </w:p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6"/>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oc 2"/>
    <w:basedOn w:val="1"/>
    <w:next w:val="1"/>
    <w:unhideWhenUsed/>
    <w:qFormat/>
    <w:uiPriority w:val="39"/>
    <w:pPr>
      <w:tabs>
        <w:tab w:val="right" w:leader="dot" w:pos="8296"/>
      </w:tabs>
      <w:ind w:left="420" w:leftChars="200"/>
    </w:pPr>
  </w:style>
  <w:style w:type="paragraph" w:styleId="1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customStyle="1" w:styleId="23">
    <w:name w:val="标题 3 Char"/>
    <w:basedOn w:val="20"/>
    <w:link w:val="7"/>
    <w:qFormat/>
    <w:uiPriority w:val="9"/>
    <w:rPr>
      <w:rFonts w:ascii="Times New Roman" w:hAnsi="Times New Roman"/>
      <w:b/>
      <w:bCs/>
      <w:kern w:val="2"/>
      <w:sz w:val="32"/>
      <w:szCs w:val="32"/>
    </w:rPr>
  </w:style>
  <w:style w:type="paragraph" w:customStyle="1" w:styleId="24">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Char"/>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Char"/>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Char"/>
    <w:link w:val="9"/>
    <w:qFormat/>
    <w:locked/>
    <w:uiPriority w:val="99"/>
    <w:rPr>
      <w:rFonts w:ascii="仿宋_GB2312" w:hAnsi="Times New Roman" w:eastAsia="仿宋_GB2312"/>
      <w:sz w:val="24"/>
    </w:rPr>
  </w:style>
  <w:style w:type="paragraph" w:customStyle="1" w:styleId="31">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32">
    <w:name w:val="List Paragraph"/>
    <w:basedOn w:val="1"/>
    <w:qFormat/>
    <w:uiPriority w:val="34"/>
    <w:pPr>
      <w:ind w:firstLine="420" w:firstLineChars="200"/>
    </w:pPr>
  </w:style>
  <w:style w:type="character" w:customStyle="1" w:styleId="33">
    <w:name w:val="标题 1 Char"/>
    <w:basedOn w:val="20"/>
    <w:link w:val="5"/>
    <w:qFormat/>
    <w:uiPriority w:val="9"/>
    <w:rPr>
      <w:rFonts w:ascii="Times New Roman" w:hAnsi="Times New Roman"/>
      <w:b/>
      <w:bCs/>
      <w:kern w:val="44"/>
      <w:sz w:val="44"/>
      <w:szCs w:val="44"/>
    </w:rPr>
  </w:style>
  <w:style w:type="character" w:customStyle="1" w:styleId="34">
    <w:name w:val="标题 2 Char"/>
    <w:basedOn w:val="20"/>
    <w:link w:val="6"/>
    <w:qFormat/>
    <w:uiPriority w:val="9"/>
    <w:rPr>
      <w:rFonts w:asciiTheme="majorHAnsi" w:hAnsiTheme="majorHAnsi" w:eastAsiaTheme="majorEastAsia" w:cstheme="majorBidi"/>
      <w:b/>
      <w:bCs/>
      <w:kern w:val="2"/>
      <w:sz w:val="32"/>
      <w:szCs w:val="32"/>
    </w:rPr>
  </w:style>
  <w:style w:type="paragraph" w:customStyle="1" w:styleId="35">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6">
    <w:name w:val="批注框文本 Char"/>
    <w:basedOn w:val="20"/>
    <w:link w:val="12"/>
    <w:semiHidden/>
    <w:qFormat/>
    <w:uiPriority w:val="99"/>
    <w:rPr>
      <w:rFonts w:ascii="Times New Roman" w:hAnsi="Times New Roman"/>
      <w:kern w:val="2"/>
      <w:sz w:val="18"/>
      <w:szCs w:val="18"/>
    </w:rPr>
  </w:style>
  <w:style w:type="paragraph" w:customStyle="1" w:styleId="37">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8">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9">
    <w:name w:val="WPSOffice手动目录 1"/>
    <w:qFormat/>
    <w:uiPriority w:val="0"/>
    <w:pPr>
      <w:ind w:leftChars="0"/>
    </w:pPr>
    <w:rPr>
      <w:rFonts w:asciiTheme="minorHAnsi" w:hAnsiTheme="minorHAnsi" w:eastAsiaTheme="minorEastAsia" w:cstheme="minorBidi"/>
      <w:sz w:val="20"/>
      <w:szCs w:val="20"/>
    </w:rPr>
  </w:style>
  <w:style w:type="paragraph" w:customStyle="1" w:styleId="40">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glossaryDocument" Target="glossary/document.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Lbls>
            <c:delete val="1"/>
          </c:dLbls>
          <c:cat>
            <c:strRef>
              <c:f>[工作簿1]Sheet1!$B$86:$B$88</c:f>
              <c:strCache>
                <c:ptCount val="3"/>
                <c:pt idx="0">
                  <c:v>因公出国（境）费支出</c:v>
                </c:pt>
                <c:pt idx="1">
                  <c:v>公务用车购置及运行维护费支出</c:v>
                </c:pt>
                <c:pt idx="2">
                  <c:v>公务接待费支出</c:v>
                </c:pt>
              </c:strCache>
            </c:strRef>
          </c:cat>
          <c:val>
            <c:numRef>
              <c:f>[工作簿1]Sheet1!$C$86:$C$88</c:f>
              <c:numCache>
                <c:formatCode>General</c:formatCode>
                <c:ptCount val="3"/>
                <c:pt idx="0">
                  <c:v>0</c:v>
                </c:pt>
                <c:pt idx="1">
                  <c:v>7.6</c:v>
                </c:pt>
                <c:pt idx="2">
                  <c:v>0.74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manualLayout>
          <c:xMode val="edge"/>
          <c:yMode val="edge"/>
          <c:x val="0.0182105468106457"/>
          <c:y val="0.850862777321282"/>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e1f4d79-565b-4e33-9d44-b0742172b79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a175b18-8a16-46af-a1c6-2c98312113ae}"/>
        <w:style w:val=""/>
        <w:category>
          <w:name w:val="常规"/>
          <w:gallery w:val="placeholder"/>
        </w:category>
        <w:types>
          <w:type w:val="bbPlcHdr"/>
        </w:types>
        <w:behaviors>
          <w:behavior w:val="content"/>
        </w:behaviors>
        <w:description w:val=""/>
        <w:guid w:val="{fa175b18-8a16-46af-a1c6-2c98312113ae}"/>
      </w:docPartPr>
      <w:docPartBody>
        <w:p w14:paraId="5AD35574">
          <w:r>
            <w:rPr>
              <w:color w:val="808080"/>
            </w:rPr>
            <w:t>单击此处输入文字。</w:t>
          </w:r>
        </w:p>
      </w:docPartBody>
    </w:docPart>
    <w:docPart>
      <w:docPartPr>
        <w:name w:val="{d8b7ec76-2c3e-43a0-87cb-a616e1010734}"/>
        <w:style w:val=""/>
        <w:category>
          <w:name w:val="常规"/>
          <w:gallery w:val="placeholder"/>
        </w:category>
        <w:types>
          <w:type w:val="bbPlcHdr"/>
        </w:types>
        <w:behaviors>
          <w:behavior w:val="content"/>
        </w:behaviors>
        <w:description w:val=""/>
        <w:guid w:val="{d8b7ec76-2c3e-43a0-87cb-a616e1010734}"/>
      </w:docPartPr>
      <w:docPartBody>
        <w:p w14:paraId="26CCD47D">
          <w:r>
            <w:rPr>
              <w:color w:val="808080"/>
            </w:rPr>
            <w:t>单击此处输入文字。</w:t>
          </w:r>
        </w:p>
      </w:docPartBody>
    </w:docPart>
    <w:docPart>
      <w:docPartPr>
        <w:name w:val="{d95acfe8-bef1-4187-9c0f-69ae7a9bfe63}"/>
        <w:style w:val=""/>
        <w:category>
          <w:name w:val="常规"/>
          <w:gallery w:val="placeholder"/>
        </w:category>
        <w:types>
          <w:type w:val="bbPlcHdr"/>
        </w:types>
        <w:behaviors>
          <w:behavior w:val="content"/>
        </w:behaviors>
        <w:description w:val=""/>
        <w:guid w:val="{d95acfe8-bef1-4187-9c0f-69ae7a9bfe63}"/>
      </w:docPartPr>
      <w:docPartBody>
        <w:p w14:paraId="246F3864">
          <w:r>
            <w:rPr>
              <w:color w:val="808080"/>
            </w:rPr>
            <w:t>单击此处输入文字。</w:t>
          </w:r>
        </w:p>
      </w:docPartBody>
    </w:docPart>
    <w:docPart>
      <w:docPartPr>
        <w:name w:val="{d825c0a2-033a-4586-baf9-567e62691e25}"/>
        <w:style w:val=""/>
        <w:category>
          <w:name w:val="常规"/>
          <w:gallery w:val="placeholder"/>
        </w:category>
        <w:types>
          <w:type w:val="bbPlcHdr"/>
        </w:types>
        <w:behaviors>
          <w:behavior w:val="content"/>
        </w:behaviors>
        <w:description w:val=""/>
        <w:guid w:val="{d825c0a2-033a-4586-baf9-567e62691e25}"/>
      </w:docPartPr>
      <w:docPartBody>
        <w:p w14:paraId="3027533A">
          <w:r>
            <w:rPr>
              <w:color w:val="808080"/>
            </w:rPr>
            <w:t>单击此处输入文字。</w:t>
          </w:r>
        </w:p>
      </w:docPartBody>
    </w:docPart>
    <w:docPart>
      <w:docPartPr>
        <w:name w:val="{f21ccc64-124b-4e07-8453-036f3bd97b14}"/>
        <w:style w:val=""/>
        <w:category>
          <w:name w:val="常规"/>
          <w:gallery w:val="placeholder"/>
        </w:category>
        <w:types>
          <w:type w:val="bbPlcHdr"/>
        </w:types>
        <w:behaviors>
          <w:behavior w:val="content"/>
        </w:behaviors>
        <w:description w:val=""/>
        <w:guid w:val="{f21ccc64-124b-4e07-8453-036f3bd97b14}"/>
      </w:docPartPr>
      <w:docPartBody>
        <w:p w14:paraId="2DFEFA70">
          <w:r>
            <w:rPr>
              <w:color w:val="808080"/>
            </w:rPr>
            <w:t>单击此处输入文字。</w:t>
          </w:r>
        </w:p>
      </w:docPartBody>
    </w:docPart>
    <w:docPart>
      <w:docPartPr>
        <w:name w:val="{1f7de9da-d01b-4367-8844-387540cebde6}"/>
        <w:style w:val=""/>
        <w:category>
          <w:name w:val="常规"/>
          <w:gallery w:val="placeholder"/>
        </w:category>
        <w:types>
          <w:type w:val="bbPlcHdr"/>
        </w:types>
        <w:behaviors>
          <w:behavior w:val="content"/>
        </w:behaviors>
        <w:description w:val=""/>
        <w:guid w:val="{1f7de9da-d01b-4367-8844-387540cebde6}"/>
      </w:docPartPr>
      <w:docPartBody>
        <w:p w14:paraId="2833755C">
          <w:r>
            <w:rPr>
              <w:color w:val="808080"/>
            </w:rPr>
            <w:t>单击此处输入文字。</w:t>
          </w:r>
        </w:p>
      </w:docPartBody>
    </w:docPart>
    <w:docPart>
      <w:docPartPr>
        <w:name w:val="{17b75c0a-dc6c-43b3-af16-d75bf3c8d6fb}"/>
        <w:style w:val=""/>
        <w:category>
          <w:name w:val="常规"/>
          <w:gallery w:val="placeholder"/>
        </w:category>
        <w:types>
          <w:type w:val="bbPlcHdr"/>
        </w:types>
        <w:behaviors>
          <w:behavior w:val="content"/>
        </w:behaviors>
        <w:description w:val=""/>
        <w:guid w:val="{17b75c0a-dc6c-43b3-af16-d75bf3c8d6fb}"/>
      </w:docPartPr>
      <w:docPartBody>
        <w:p w14:paraId="085848A3">
          <w:r>
            <w:rPr>
              <w:color w:val="808080"/>
            </w:rPr>
            <w:t>单击此处输入文字。</w:t>
          </w:r>
        </w:p>
      </w:docPartBody>
    </w:docPart>
    <w:docPart>
      <w:docPartPr>
        <w:name w:val="{f31bf854-843e-4c14-a2a6-e224f9de4766}"/>
        <w:style w:val=""/>
        <w:category>
          <w:name w:val="常规"/>
          <w:gallery w:val="placeholder"/>
        </w:category>
        <w:types>
          <w:type w:val="bbPlcHdr"/>
        </w:types>
        <w:behaviors>
          <w:behavior w:val="content"/>
        </w:behaviors>
        <w:description w:val=""/>
        <w:guid w:val="{f31bf854-843e-4c14-a2a6-e224f9de4766}"/>
      </w:docPartPr>
      <w:docPartBody>
        <w:p w14:paraId="729D6296">
          <w:r>
            <w:rPr>
              <w:color w:val="808080"/>
            </w:rPr>
            <w:t>单击此处输入文字。</w:t>
          </w:r>
        </w:p>
      </w:docPartBody>
    </w:docPart>
    <w:docPart>
      <w:docPartPr>
        <w:name w:val="{8556b511-5266-4d16-926e-34da844bacde}"/>
        <w:style w:val=""/>
        <w:category>
          <w:name w:val="常规"/>
          <w:gallery w:val="placeholder"/>
        </w:category>
        <w:types>
          <w:type w:val="bbPlcHdr"/>
        </w:types>
        <w:behaviors>
          <w:behavior w:val="content"/>
        </w:behaviors>
        <w:description w:val=""/>
        <w:guid w:val="{8556b511-5266-4d16-926e-34da844bacde}"/>
      </w:docPartPr>
      <w:docPartBody>
        <w:p w14:paraId="218D1BAE">
          <w:r>
            <w:rPr>
              <w:color w:val="808080"/>
            </w:rPr>
            <w:t>单击此处输入文字。</w:t>
          </w:r>
        </w:p>
      </w:docPartBody>
    </w:docPart>
    <w:docPart>
      <w:docPartPr>
        <w:name w:val="{e62e1c4e-2e50-4d44-819e-80b2e00037a7}"/>
        <w:style w:val=""/>
        <w:category>
          <w:name w:val="常规"/>
          <w:gallery w:val="placeholder"/>
        </w:category>
        <w:types>
          <w:type w:val="bbPlcHdr"/>
        </w:types>
        <w:behaviors>
          <w:behavior w:val="content"/>
        </w:behaviors>
        <w:description w:val=""/>
        <w:guid w:val="{e62e1c4e-2e50-4d44-819e-80b2e00037a7}"/>
      </w:docPartPr>
      <w:docPartBody>
        <w:p w14:paraId="447778B0">
          <w:r>
            <w:rPr>
              <w:color w:val="808080"/>
            </w:rPr>
            <w:t>单击此处输入文字。</w:t>
          </w:r>
        </w:p>
      </w:docPartBody>
    </w:docPart>
    <w:docPart>
      <w:docPartPr>
        <w:name w:val="{4086e9e1-eb50-43cf-83c8-5e9ea78d98b1}"/>
        <w:style w:val=""/>
        <w:category>
          <w:name w:val="常规"/>
          <w:gallery w:val="placeholder"/>
        </w:category>
        <w:types>
          <w:type w:val="bbPlcHdr"/>
        </w:types>
        <w:behaviors>
          <w:behavior w:val="content"/>
        </w:behaviors>
        <w:description w:val=""/>
        <w:guid w:val="{4086e9e1-eb50-43cf-83c8-5e9ea78d98b1}"/>
      </w:docPartPr>
      <w:docPartBody>
        <w:p w14:paraId="0FB35690">
          <w:r>
            <w:rPr>
              <w:color w:val="808080"/>
            </w:rPr>
            <w:t>单击此处输入文字。</w:t>
          </w:r>
        </w:p>
      </w:docPartBody>
    </w:docPart>
    <w:docPart>
      <w:docPartPr>
        <w:name w:val="{bebfdb00-2e10-4dd0-ba73-1155228cb75e}"/>
        <w:style w:val=""/>
        <w:category>
          <w:name w:val="常规"/>
          <w:gallery w:val="placeholder"/>
        </w:category>
        <w:types>
          <w:type w:val="bbPlcHdr"/>
        </w:types>
        <w:behaviors>
          <w:behavior w:val="content"/>
        </w:behaviors>
        <w:description w:val=""/>
        <w:guid w:val="{bebfdb00-2e10-4dd0-ba73-1155228cb75e}"/>
      </w:docPartPr>
      <w:docPartBody>
        <w:p w14:paraId="51ABFEFE">
          <w:r>
            <w:rPr>
              <w:color w:val="808080"/>
            </w:rPr>
            <w:t>单击此处输入文字。</w:t>
          </w:r>
        </w:p>
      </w:docPartBody>
    </w:docPart>
    <w:docPart>
      <w:docPartPr>
        <w:name w:val="{0676fefe-ddb4-400c-ab49-ecd1eaaee2a8}"/>
        <w:style w:val=""/>
        <w:category>
          <w:name w:val="常规"/>
          <w:gallery w:val="placeholder"/>
        </w:category>
        <w:types>
          <w:type w:val="bbPlcHdr"/>
        </w:types>
        <w:behaviors>
          <w:behavior w:val="content"/>
        </w:behaviors>
        <w:description w:val=""/>
        <w:guid w:val="{0676fefe-ddb4-400c-ab49-ecd1eaaee2a8}"/>
      </w:docPartPr>
      <w:docPartBody>
        <w:p w14:paraId="582B8560">
          <w:r>
            <w:rPr>
              <w:color w:val="808080"/>
            </w:rPr>
            <w:t>单击此处输入文字。</w:t>
          </w:r>
        </w:p>
      </w:docPartBody>
    </w:docPart>
    <w:docPart>
      <w:docPartPr>
        <w:name w:val="{172703c9-b445-4ff5-a2b3-cf95c35c6395}"/>
        <w:style w:val=""/>
        <w:category>
          <w:name w:val="常规"/>
          <w:gallery w:val="placeholder"/>
        </w:category>
        <w:types>
          <w:type w:val="bbPlcHdr"/>
        </w:types>
        <w:behaviors>
          <w:behavior w:val="content"/>
        </w:behaviors>
        <w:description w:val=""/>
        <w:guid w:val="{172703c9-b445-4ff5-a2b3-cf95c35c6395}"/>
      </w:docPartPr>
      <w:docPartBody>
        <w:p w14:paraId="5FB651BE">
          <w:r>
            <w:rPr>
              <w:color w:val="808080"/>
            </w:rPr>
            <w:t>单击此处输入文字。</w:t>
          </w:r>
        </w:p>
      </w:docPartBody>
    </w:docPart>
    <w:docPart>
      <w:docPartPr>
        <w:name w:val="{8899cb93-8cff-442f-84ff-ffa50af4bb1e}"/>
        <w:style w:val=""/>
        <w:category>
          <w:name w:val="常规"/>
          <w:gallery w:val="placeholder"/>
        </w:category>
        <w:types>
          <w:type w:val="bbPlcHdr"/>
        </w:types>
        <w:behaviors>
          <w:behavior w:val="content"/>
        </w:behaviors>
        <w:description w:val=""/>
        <w:guid w:val="{8899cb93-8cff-442f-84ff-ffa50af4bb1e}"/>
      </w:docPartPr>
      <w:docPartBody>
        <w:p w14:paraId="1BE96A59">
          <w:r>
            <w:rPr>
              <w:color w:val="808080"/>
            </w:rPr>
            <w:t>单击此处输入文字。</w:t>
          </w:r>
        </w:p>
      </w:docPartBody>
    </w:docPart>
    <w:docPart>
      <w:docPartPr>
        <w:name w:val="{6cd74a77-16a9-4c03-8a6e-5cac685cbbf5}"/>
        <w:style w:val=""/>
        <w:category>
          <w:name w:val="常规"/>
          <w:gallery w:val="placeholder"/>
        </w:category>
        <w:types>
          <w:type w:val="bbPlcHdr"/>
        </w:types>
        <w:behaviors>
          <w:behavior w:val="content"/>
        </w:behaviors>
        <w:description w:val=""/>
        <w:guid w:val="{6cd74a77-16a9-4c03-8a6e-5cac685cbbf5}"/>
      </w:docPartPr>
      <w:docPartBody>
        <w:p w14:paraId="4DC94B8F">
          <w:r>
            <w:rPr>
              <w:color w:val="808080"/>
            </w:rPr>
            <w:t>单击此处输入文字。</w:t>
          </w:r>
        </w:p>
      </w:docPartBody>
    </w:docPart>
    <w:docPart>
      <w:docPartPr>
        <w:name w:val="{952031cc-7f3f-437d-8347-e609f456c96f}"/>
        <w:style w:val=""/>
        <w:category>
          <w:name w:val="常规"/>
          <w:gallery w:val="placeholder"/>
        </w:category>
        <w:types>
          <w:type w:val="bbPlcHdr"/>
        </w:types>
        <w:behaviors>
          <w:behavior w:val="content"/>
        </w:behaviors>
        <w:description w:val=""/>
        <w:guid w:val="{952031cc-7f3f-437d-8347-e609f456c96f}"/>
      </w:docPartPr>
      <w:docPartBody>
        <w:p w14:paraId="43C29C2E">
          <w:r>
            <w:rPr>
              <w:color w:val="808080"/>
            </w:rPr>
            <w:t>单击此处输入文字。</w:t>
          </w:r>
        </w:p>
      </w:docPartBody>
    </w:docPart>
    <w:docPart>
      <w:docPartPr>
        <w:name w:val="{eba0305e-bd08-4fe2-8c58-9ef482b4240b}"/>
        <w:style w:val=""/>
        <w:category>
          <w:name w:val="常规"/>
          <w:gallery w:val="placeholder"/>
        </w:category>
        <w:types>
          <w:type w:val="bbPlcHdr"/>
        </w:types>
        <w:behaviors>
          <w:behavior w:val="content"/>
        </w:behaviors>
        <w:description w:val=""/>
        <w:guid w:val="{eba0305e-bd08-4fe2-8c58-9ef482b4240b}"/>
      </w:docPartPr>
      <w:docPartBody>
        <w:p w14:paraId="52C9A662">
          <w:r>
            <w:rPr>
              <w:color w:val="808080"/>
            </w:rPr>
            <w:t>单击此处输入文字。</w:t>
          </w:r>
        </w:p>
      </w:docPartBody>
    </w:docPart>
    <w:docPart>
      <w:docPartPr>
        <w:name w:val="{a07a02c0-442d-4caf-904e-d51420212461}"/>
        <w:style w:val=""/>
        <w:category>
          <w:name w:val="常规"/>
          <w:gallery w:val="placeholder"/>
        </w:category>
        <w:types>
          <w:type w:val="bbPlcHdr"/>
        </w:types>
        <w:behaviors>
          <w:behavior w:val="content"/>
        </w:behaviors>
        <w:description w:val=""/>
        <w:guid w:val="{a07a02c0-442d-4caf-904e-d51420212461}"/>
      </w:docPartPr>
      <w:docPartBody>
        <w:p w14:paraId="0AF82081">
          <w:r>
            <w:rPr>
              <w:color w:val="808080"/>
            </w:rPr>
            <w:t>单击此处输入文字。</w:t>
          </w:r>
        </w:p>
      </w:docPartBody>
    </w:docPart>
    <w:docPart>
      <w:docPartPr>
        <w:name w:val="{21018186-a4b1-47d1-b1cc-cf55dfa58760}"/>
        <w:style w:val=""/>
        <w:category>
          <w:name w:val="常规"/>
          <w:gallery w:val="placeholder"/>
        </w:category>
        <w:types>
          <w:type w:val="bbPlcHdr"/>
        </w:types>
        <w:behaviors>
          <w:behavior w:val="content"/>
        </w:behaviors>
        <w:description w:val=""/>
        <w:guid w:val="{21018186-a4b1-47d1-b1cc-cf55dfa58760}"/>
      </w:docPartPr>
      <w:docPartBody>
        <w:p w14:paraId="0B98F4F9">
          <w:r>
            <w:rPr>
              <w:color w:val="808080"/>
            </w:rPr>
            <w:t>单击此处输入文字。</w:t>
          </w:r>
        </w:p>
      </w:docPartBody>
    </w:docPart>
    <w:docPart>
      <w:docPartPr>
        <w:name w:val="{5b94e79b-09ac-4718-b781-e07400298060}"/>
        <w:style w:val=""/>
        <w:category>
          <w:name w:val="常规"/>
          <w:gallery w:val="placeholder"/>
        </w:category>
        <w:types>
          <w:type w:val="bbPlcHdr"/>
        </w:types>
        <w:behaviors>
          <w:behavior w:val="content"/>
        </w:behaviors>
        <w:description w:val=""/>
        <w:guid w:val="{5b94e79b-09ac-4718-b781-e07400298060}"/>
      </w:docPartPr>
      <w:docPartBody>
        <w:p w14:paraId="5993A42F">
          <w:r>
            <w:rPr>
              <w:color w:val="808080"/>
            </w:rPr>
            <w:t>单击此处输入文字。</w:t>
          </w:r>
        </w:p>
      </w:docPartBody>
    </w:docPart>
    <w:docPart>
      <w:docPartPr>
        <w:name w:val="{49d2956c-0a0c-451c-ae2f-89cd2beb008f}"/>
        <w:style w:val=""/>
        <w:category>
          <w:name w:val="常规"/>
          <w:gallery w:val="placeholder"/>
        </w:category>
        <w:types>
          <w:type w:val="bbPlcHdr"/>
        </w:types>
        <w:behaviors>
          <w:behavior w:val="content"/>
        </w:behaviors>
        <w:description w:val=""/>
        <w:guid w:val="{49d2956c-0a0c-451c-ae2f-89cd2beb008f}"/>
      </w:docPartPr>
      <w:docPartBody>
        <w:p w14:paraId="2A383F11">
          <w:r>
            <w:rPr>
              <w:color w:val="808080"/>
            </w:rPr>
            <w:t>单击此处输入文字。</w:t>
          </w:r>
        </w:p>
      </w:docPartBody>
    </w:docPart>
    <w:docPart>
      <w:docPartPr>
        <w:name w:val="{3bab32cd-3a44-42ab-b1a8-0da59ee20a69}"/>
        <w:style w:val=""/>
        <w:category>
          <w:name w:val="常规"/>
          <w:gallery w:val="placeholder"/>
        </w:category>
        <w:types>
          <w:type w:val="bbPlcHdr"/>
        </w:types>
        <w:behaviors>
          <w:behavior w:val="content"/>
        </w:behaviors>
        <w:description w:val=""/>
        <w:guid w:val="{3bab32cd-3a44-42ab-b1a8-0da59ee20a69}"/>
      </w:docPartPr>
      <w:docPartBody>
        <w:p w14:paraId="32ADE5EB">
          <w:r>
            <w:rPr>
              <w:color w:val="808080"/>
            </w:rPr>
            <w:t>单击此处输入文字。</w:t>
          </w:r>
        </w:p>
      </w:docPartBody>
    </w:docPart>
    <w:docPart>
      <w:docPartPr>
        <w:name w:val="{7e987b20-ea3e-47b7-8388-a4b1dd87f9bd}"/>
        <w:style w:val=""/>
        <w:category>
          <w:name w:val="常规"/>
          <w:gallery w:val="placeholder"/>
        </w:category>
        <w:types>
          <w:type w:val="bbPlcHdr"/>
        </w:types>
        <w:behaviors>
          <w:behavior w:val="content"/>
        </w:behaviors>
        <w:description w:val=""/>
        <w:guid w:val="{7e987b20-ea3e-47b7-8388-a4b1dd87f9bd}"/>
      </w:docPartPr>
      <w:docPartBody>
        <w:p w14:paraId="7F743450">
          <w:r>
            <w:rPr>
              <w:color w:val="808080"/>
            </w:rPr>
            <w:t>单击此处输入文字。</w:t>
          </w:r>
        </w:p>
      </w:docPartBody>
    </w:docPart>
    <w:docPart>
      <w:docPartPr>
        <w:name w:val="{419cd55a-0654-431f-a43d-d1abd4669c90}"/>
        <w:style w:val=""/>
        <w:category>
          <w:name w:val="常规"/>
          <w:gallery w:val="placeholder"/>
        </w:category>
        <w:types>
          <w:type w:val="bbPlcHdr"/>
        </w:types>
        <w:behaviors>
          <w:behavior w:val="content"/>
        </w:behaviors>
        <w:description w:val=""/>
        <w:guid w:val="{419cd55a-0654-431f-a43d-d1abd4669c90}"/>
      </w:docPartPr>
      <w:docPartBody>
        <w:p w14:paraId="67B78BAA">
          <w:r>
            <w:rPr>
              <w:color w:val="808080"/>
            </w:rPr>
            <w:t>单击此处输入文字。</w:t>
          </w:r>
        </w:p>
      </w:docPartBody>
    </w:docPart>
    <w:docPart>
      <w:docPartPr>
        <w:name w:val="{96b69714-722a-4c53-aa9f-4e9204cd4959}"/>
        <w:style w:val=""/>
        <w:category>
          <w:name w:val="常规"/>
          <w:gallery w:val="placeholder"/>
        </w:category>
        <w:types>
          <w:type w:val="bbPlcHdr"/>
        </w:types>
        <w:behaviors>
          <w:behavior w:val="content"/>
        </w:behaviors>
        <w:description w:val=""/>
        <w:guid w:val="{96b69714-722a-4c53-aa9f-4e9204cd4959}"/>
      </w:docPartPr>
      <w:docPartBody>
        <w:p w14:paraId="6112D920">
          <w:r>
            <w:rPr>
              <w:color w:val="808080"/>
            </w:rPr>
            <w:t>单击此处输入文字。</w:t>
          </w:r>
        </w:p>
      </w:docPartBody>
    </w:docPart>
    <w:docPart>
      <w:docPartPr>
        <w:name w:val="{ad6497a3-6bda-4b57-b8eb-dd9e8c932aa7}"/>
        <w:style w:val=""/>
        <w:category>
          <w:name w:val="常规"/>
          <w:gallery w:val="placeholder"/>
        </w:category>
        <w:types>
          <w:type w:val="bbPlcHdr"/>
        </w:types>
        <w:behaviors>
          <w:behavior w:val="content"/>
        </w:behaviors>
        <w:description w:val=""/>
        <w:guid w:val="{ad6497a3-6bda-4b57-b8eb-dd9e8c932aa7}"/>
      </w:docPartPr>
      <w:docPartBody>
        <w:p w14:paraId="4F1571AA">
          <w:r>
            <w:rPr>
              <w:color w:val="808080"/>
            </w:rPr>
            <w:t>单击此处输入文字。</w:t>
          </w:r>
        </w:p>
      </w:docPartBody>
    </w:docPart>
    <w:docPart>
      <w:docPartPr>
        <w:name w:val="{1defb660-f9f2-4759-bcbb-84188cf354df}"/>
        <w:style w:val=""/>
        <w:category>
          <w:name w:val="常规"/>
          <w:gallery w:val="placeholder"/>
        </w:category>
        <w:types>
          <w:type w:val="bbPlcHdr"/>
        </w:types>
        <w:behaviors>
          <w:behavior w:val="content"/>
        </w:behaviors>
        <w:description w:val=""/>
        <w:guid w:val="{1defb660-f9f2-4759-bcbb-84188cf354df}"/>
      </w:docPartPr>
      <w:docPartBody>
        <w:p w14:paraId="73A22E36">
          <w:r>
            <w:rPr>
              <w:color w:val="808080"/>
            </w:rPr>
            <w:t>单击此处输入文字。</w:t>
          </w:r>
        </w:p>
      </w:docPartBody>
    </w:docPart>
    <w:docPart>
      <w:docPartPr>
        <w:name w:val="{f56a0ce4-1ec3-4d33-b86c-b9652f4f49a3}"/>
        <w:style w:val=""/>
        <w:category>
          <w:name w:val="常规"/>
          <w:gallery w:val="placeholder"/>
        </w:category>
        <w:types>
          <w:type w:val="bbPlcHdr"/>
        </w:types>
        <w:behaviors>
          <w:behavior w:val="content"/>
        </w:behaviors>
        <w:description w:val=""/>
        <w:guid w:val="{f56a0ce4-1ec3-4d33-b86c-b9652f4f49a3}"/>
      </w:docPartPr>
      <w:docPartBody>
        <w:p w14:paraId="36D474DF">
          <w:r>
            <w:rPr>
              <w:color w:val="808080"/>
            </w:rPr>
            <w:t>单击此处输入文字。</w:t>
          </w:r>
        </w:p>
      </w:docPartBody>
    </w:docPart>
    <w:docPart>
      <w:docPartPr>
        <w:name w:val="{a502fbb9-3c7b-443d-ab36-ce2da6f4a68c}"/>
        <w:style w:val=""/>
        <w:category>
          <w:name w:val="常规"/>
          <w:gallery w:val="placeholder"/>
        </w:category>
        <w:types>
          <w:type w:val="bbPlcHdr"/>
        </w:types>
        <w:behaviors>
          <w:behavior w:val="content"/>
        </w:behaviors>
        <w:description w:val=""/>
        <w:guid w:val="{a502fbb9-3c7b-443d-ab36-ce2da6f4a68c}"/>
      </w:docPartPr>
      <w:docPartBody>
        <w:p w14:paraId="743D61CE">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1dcefed5-e8c8-4da5-af62-56849d6831ab</errorID>
      <errorWord>全民健身服务体系</errorWord>
      <group>L1_Political</group>
      <groupName>政治性问题</groupName>
      <ability>L2_Unpolitical</ability>
      <abilityName>政治敏感错误</abilityName>
      <candidateList>
        <item>全民健身公共服务体系</item>
      </candidateList>
      <explain/>
      <paraID> 24351C4</paraID>
      <start>39</start>
      <end>49</end>
      <status>modified</status>
      <modifiedWord>全民健身公共服务体系</modifiedWord>
      <trackRevisions>false</trackRevisions>
    </reviewItem>
    <reviewItem>
      <errorID>c398c637-a2fc-45a4-847c-b7f41af7d760</errorID>
      <errorWord>全民健身服务体系</errorWord>
      <group>L1_Political</group>
      <groupName>政治性问题</groupName>
      <ability>L2_Unpolitical</ability>
      <abilityName>政治敏感错误</abilityName>
      <candidateList>
        <item>全民健身公共服务体系</item>
      </candidateList>
      <explain/>
      <paraID>5C8D4FF3</paraID>
      <start>121</start>
      <end>131</end>
      <status>modified</status>
      <modifiedWord>全民健身公共服务体系</modifiedWord>
      <trackRevisions>false</trackRevisions>
    </reviewItem>
    <reviewItem>
      <errorID>af776f17-f3f4-4635-8a2f-a41c4f9a2ff4</errorID>
      <errorWord>较好发挥了</errorWord>
      <group>L1_Word</group>
      <groupName>字词问题</groupName>
      <ability>L2_Typo</ability>
      <abilityName>字词错误</abilityName>
      <candidateList>
        <item>较好地发挥了</item>
      </candidateList>
      <explain/>
      <paraID>6D53BA4C</paraID>
      <start>200</start>
      <end>206</end>
      <status>modified</status>
      <modifiedWord>较好地发挥了</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3dcaab-13cd-4b11-a909-435fbbe3d86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11684</Words>
  <Characters>12434</Characters>
  <Lines>61</Lines>
  <Paragraphs>17</Paragraphs>
  <TotalTime>111</TotalTime>
  <ScaleCrop>false</ScaleCrop>
  <LinksUpToDate>false</LinksUpToDate>
  <CharactersWithSpaces>12520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奕夕^_^</cp:lastModifiedBy>
  <cp:lastPrinted>2026-10-14T01:51:00Z</cp:lastPrinted>
  <dcterms:modified xsi:type="dcterms:W3CDTF">2026-10-15T03:03:38Z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E2E5E7B9E1E7437CACEBE1FDB636D1D4_13</vt:lpwstr>
  </property>
  <property fmtid="{D5CDD505-2E9C-101B-9397-08002B2CF9AE}" pid="4" name="KSOTemplateDocerSaveRecord">
    <vt:lpwstr>eyJoZGlkIjoiNTU1MWNhN2ZmY2ZhZmY3ODhlYTg0MWU5OGMyY2QwZmUiLCJ1c2VySWQiOiI0MzQ2NTM0NzEifQ==</vt:lpwstr>
  </property>
</Properties>
</file>