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8902A5">
      <w:pPr>
        <w:pStyle w:val="9"/>
        <w:pageBreakBefore w:val="0"/>
        <w:kinsoku/>
        <w:wordWrap/>
        <w:overflowPunct/>
        <w:topLinePunct w:val="0"/>
        <w:bidi w:val="0"/>
        <w:spacing w:line="578" w:lineRule="exact"/>
        <w:textAlignment w:val="auto"/>
        <w:rPr>
          <w:rFonts w:hint="default" w:ascii="Times New Roman" w:hAnsi="Times New Roman" w:eastAsia="方正小标宋简体" w:cs="Times New Roman"/>
          <w:color w:val="auto"/>
          <w:kern w:val="2"/>
          <w:sz w:val="72"/>
          <w:szCs w:val="72"/>
          <w:highlight w:val="none"/>
          <w:lang w:val="en-US" w:eastAsia="zh-CN" w:bidi="ar-SA"/>
        </w:rPr>
      </w:pPr>
      <w:bookmarkStart w:id="0" w:name="_Toc15378441"/>
      <w:bookmarkStart w:id="1" w:name="_Toc15377193"/>
      <w:bookmarkStart w:id="2" w:name="_Toc15377425"/>
      <w:bookmarkStart w:id="3" w:name="_Toc15396475"/>
      <w:bookmarkStart w:id="4" w:name="_Toc15396597"/>
      <w:bookmarkStart w:id="5" w:name="_Toc15306267"/>
    </w:p>
    <w:p w14:paraId="44729C6B">
      <w:pPr>
        <w:pStyle w:val="9"/>
        <w:pageBreakBefore w:val="0"/>
        <w:kinsoku/>
        <w:wordWrap/>
        <w:overflowPunct/>
        <w:topLinePunct w:val="0"/>
        <w:bidi w:val="0"/>
        <w:spacing w:line="578" w:lineRule="exact"/>
        <w:jc w:val="center"/>
        <w:textAlignment w:val="auto"/>
        <w:rPr>
          <w:rFonts w:hint="default" w:ascii="Times New Roman" w:hAnsi="Times New Roman" w:eastAsia="方正小标宋简体" w:cs="Times New Roman"/>
          <w:color w:val="auto"/>
          <w:kern w:val="2"/>
          <w:sz w:val="44"/>
          <w:szCs w:val="44"/>
          <w:highlight w:val="none"/>
          <w:lang w:val="en-US" w:eastAsia="zh-CN" w:bidi="ar-SA"/>
        </w:rPr>
      </w:pPr>
    </w:p>
    <w:p w14:paraId="34AB1C8C">
      <w:pPr>
        <w:pStyle w:val="9"/>
        <w:pageBreakBefore w:val="0"/>
        <w:kinsoku/>
        <w:wordWrap/>
        <w:overflowPunct/>
        <w:topLinePunct w:val="0"/>
        <w:bidi w:val="0"/>
        <w:spacing w:line="578" w:lineRule="exact"/>
        <w:textAlignment w:val="auto"/>
        <w:rPr>
          <w:rFonts w:hint="default" w:ascii="Times New Roman" w:hAnsi="Times New Roman" w:eastAsia="方正小标宋简体" w:cs="Times New Roman"/>
          <w:color w:val="auto"/>
          <w:kern w:val="2"/>
          <w:sz w:val="72"/>
          <w:szCs w:val="72"/>
          <w:highlight w:val="none"/>
          <w:lang w:val="en-US" w:eastAsia="zh-CN" w:bidi="ar-SA"/>
        </w:rPr>
      </w:pPr>
    </w:p>
    <w:p w14:paraId="070290E4">
      <w:pPr>
        <w:pStyle w:val="9"/>
        <w:pageBreakBefore w:val="0"/>
        <w:kinsoku/>
        <w:wordWrap/>
        <w:overflowPunct/>
        <w:topLinePunct w:val="0"/>
        <w:bidi w:val="0"/>
        <w:spacing w:line="578" w:lineRule="exact"/>
        <w:jc w:val="center"/>
        <w:textAlignment w:val="auto"/>
        <w:rPr>
          <w:rFonts w:hint="default" w:ascii="Times New Roman" w:hAnsi="Times New Roman" w:eastAsia="方正小标宋简体" w:cs="Times New Roman"/>
          <w:color w:val="auto"/>
          <w:kern w:val="2"/>
          <w:sz w:val="44"/>
          <w:szCs w:val="44"/>
          <w:highlight w:val="none"/>
          <w:lang w:val="en-US" w:eastAsia="zh-CN" w:bidi="ar-SA"/>
        </w:rPr>
      </w:pPr>
      <w:r>
        <w:rPr>
          <w:rFonts w:hint="default" w:ascii="Times New Roman" w:hAnsi="Times New Roman" w:eastAsia="方正小标宋简体" w:cs="Times New Roman"/>
          <w:color w:val="auto"/>
          <w:kern w:val="2"/>
          <w:sz w:val="44"/>
          <w:szCs w:val="44"/>
          <w:highlight w:val="none"/>
          <w:lang w:val="en-US" w:eastAsia="zh-CN" w:bidi="ar-SA"/>
        </w:rPr>
        <w:t>2025年度</w:t>
      </w:r>
    </w:p>
    <w:p w14:paraId="1C66CAB3">
      <w:pPr>
        <w:pStyle w:val="9"/>
        <w:pageBreakBefore w:val="0"/>
        <w:kinsoku/>
        <w:wordWrap/>
        <w:overflowPunct/>
        <w:topLinePunct w:val="0"/>
        <w:bidi w:val="0"/>
        <w:spacing w:line="578" w:lineRule="exact"/>
        <w:jc w:val="center"/>
        <w:textAlignment w:val="auto"/>
        <w:rPr>
          <w:rFonts w:hint="default" w:ascii="Times New Roman" w:hAnsi="Times New Roman" w:eastAsia="方正小标宋简体" w:cs="Times New Roman"/>
          <w:color w:val="auto"/>
          <w:kern w:val="2"/>
          <w:sz w:val="44"/>
          <w:szCs w:val="44"/>
          <w:highlight w:val="none"/>
          <w:lang w:val="en-US" w:eastAsia="zh-CN" w:bidi="ar-SA"/>
        </w:rPr>
      </w:pPr>
      <w:r>
        <w:rPr>
          <w:rFonts w:hint="default" w:ascii="Times New Roman" w:hAnsi="Times New Roman" w:eastAsia="方正小标宋简体" w:cs="Times New Roman"/>
          <w:color w:val="auto"/>
          <w:kern w:val="2"/>
          <w:sz w:val="44"/>
          <w:szCs w:val="44"/>
          <w:highlight w:val="none"/>
          <w:lang w:val="en-US" w:eastAsia="zh-CN" w:bidi="ar-SA"/>
        </w:rPr>
        <w:t>四川省松潘县文化广播电视体育和旅游局</w:t>
      </w:r>
    </w:p>
    <w:p w14:paraId="4D90C647">
      <w:pPr>
        <w:pStyle w:val="9"/>
        <w:pageBreakBefore w:val="0"/>
        <w:kinsoku/>
        <w:wordWrap/>
        <w:overflowPunct/>
        <w:topLinePunct w:val="0"/>
        <w:bidi w:val="0"/>
        <w:spacing w:line="578" w:lineRule="exact"/>
        <w:jc w:val="center"/>
        <w:textAlignment w:val="auto"/>
        <w:rPr>
          <w:rFonts w:hint="default" w:ascii="Times New Roman" w:hAnsi="Times New Roman" w:eastAsia="方正小标宋简体" w:cs="Times New Roman"/>
          <w:color w:val="auto"/>
          <w:kern w:val="2"/>
          <w:sz w:val="44"/>
          <w:szCs w:val="44"/>
          <w:highlight w:val="none"/>
          <w:lang w:val="en-US" w:eastAsia="zh-CN" w:bidi="ar-SA"/>
        </w:rPr>
      </w:pPr>
      <w:r>
        <w:rPr>
          <w:rFonts w:hint="default" w:ascii="Times New Roman" w:hAnsi="Times New Roman" w:eastAsia="方正小标宋简体" w:cs="Times New Roman"/>
          <w:color w:val="auto"/>
          <w:kern w:val="2"/>
          <w:sz w:val="44"/>
          <w:szCs w:val="44"/>
          <w:highlight w:val="none"/>
          <w:lang w:val="en-US" w:eastAsia="zh-CN" w:bidi="ar-SA"/>
        </w:rPr>
        <w:t>单位决算公开</w:t>
      </w:r>
    </w:p>
    <w:p w14:paraId="23EB7ADD">
      <w:pPr>
        <w:pageBreakBefore w:val="0"/>
        <w:kinsoku/>
        <w:wordWrap/>
        <w:overflowPunct/>
        <w:topLinePunct w:val="0"/>
        <w:bidi w:val="0"/>
        <w:spacing w:line="578" w:lineRule="exact"/>
        <w:jc w:val="center"/>
        <w:textAlignment w:val="auto"/>
        <w:outlineLvl w:val="0"/>
        <w:rPr>
          <w:rFonts w:hint="default" w:ascii="Times New Roman" w:hAnsi="Times New Roman" w:eastAsia="方正小标宋简体" w:cs="Times New Roman"/>
          <w:color w:val="auto"/>
          <w:sz w:val="72"/>
          <w:szCs w:val="72"/>
          <w:highlight w:val="none"/>
        </w:rPr>
      </w:pPr>
    </w:p>
    <w:p w14:paraId="1C153ECC">
      <w:pPr>
        <w:pStyle w:val="24"/>
        <w:pageBreakBefore w:val="0"/>
        <w:kinsoku/>
        <w:wordWrap/>
        <w:overflowPunct/>
        <w:topLinePunct w:val="0"/>
        <w:bidi w:val="0"/>
        <w:spacing w:line="578" w:lineRule="exact"/>
        <w:textAlignment w:val="auto"/>
        <w:rPr>
          <w:rFonts w:hint="default" w:ascii="Times New Roman" w:hAnsi="Times New Roman" w:cs="Times New Roman"/>
        </w:rPr>
        <w:sectPr>
          <w:footerReference r:id="rId5" w:type="first"/>
          <w:headerReference r:id="rId3" w:type="default"/>
          <w:footerReference r:id="rId4" w:type="default"/>
          <w:pgSz w:w="11906" w:h="16838"/>
          <w:pgMar w:top="2098" w:right="1474" w:bottom="1984" w:left="1587" w:header="851" w:footer="1134" w:gutter="0"/>
          <w:pgNumType w:fmt="decimal" w:start="1"/>
          <w:cols w:space="0" w:num="1"/>
          <w:titlePg/>
          <w:rtlGutter w:val="0"/>
          <w:docGrid w:type="lines" w:linePitch="312" w:charSpace="0"/>
        </w:sectPr>
      </w:pPr>
    </w:p>
    <w:p w14:paraId="425D541C">
      <w:pPr>
        <w:pageBreakBefore w:val="0"/>
        <w:kinsoku/>
        <w:wordWrap/>
        <w:overflowPunct/>
        <w:topLinePunct w:val="0"/>
        <w:bidi w:val="0"/>
        <w:spacing w:line="578" w:lineRule="exact"/>
        <w:textAlignment w:val="auto"/>
        <w:rPr>
          <w:rFonts w:hint="default" w:ascii="Times New Roman" w:hAnsi="Times New Roman" w:cs="Times New Roman"/>
        </w:rPr>
      </w:pPr>
    </w:p>
    <w:bookmarkEnd w:id="0"/>
    <w:bookmarkEnd w:id="1"/>
    <w:bookmarkEnd w:id="2"/>
    <w:bookmarkEnd w:id="3"/>
    <w:bookmarkEnd w:id="4"/>
    <w:p w14:paraId="53E71EBE">
      <w:pPr>
        <w:pStyle w:val="9"/>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default" w:ascii="Times New Roman" w:hAnsi="Times New Roman" w:eastAsia="方正小标宋简体" w:cs="Times New Roman"/>
          <w:color w:val="auto"/>
          <w:kern w:val="2"/>
          <w:sz w:val="44"/>
          <w:szCs w:val="44"/>
          <w:highlight w:val="none"/>
          <w:lang w:val="en-US" w:eastAsia="zh-CN" w:bidi="ar-SA"/>
        </w:rPr>
      </w:pPr>
      <w:bookmarkStart w:id="6" w:name="_Toc15377426"/>
      <w:bookmarkStart w:id="7" w:name="_Toc15377194"/>
      <w:bookmarkStart w:id="8" w:name="_Toc15396598"/>
      <w:bookmarkStart w:id="9" w:name="_Toc15378442"/>
      <w:bookmarkStart w:id="10" w:name="_Toc15396476"/>
      <w:r>
        <w:rPr>
          <w:rFonts w:hint="default" w:ascii="Times New Roman" w:hAnsi="Times New Roman" w:eastAsia="方正小标宋简体" w:cs="Times New Roman"/>
          <w:color w:val="auto"/>
          <w:kern w:val="2"/>
          <w:sz w:val="44"/>
          <w:szCs w:val="44"/>
          <w:highlight w:val="none"/>
          <w:lang w:val="en-US" w:eastAsia="zh-CN" w:bidi="ar-SA"/>
        </w:rPr>
        <w:t>2025年度四川省</w:t>
      </w:r>
      <w:bookmarkEnd w:id="5"/>
      <w:bookmarkStart w:id="11" w:name="_Toc15306268"/>
      <w:r>
        <w:rPr>
          <w:rFonts w:hint="default" w:ascii="Times New Roman" w:hAnsi="Times New Roman" w:eastAsia="方正小标宋简体" w:cs="Times New Roman"/>
          <w:color w:val="auto"/>
          <w:kern w:val="2"/>
          <w:sz w:val="44"/>
          <w:szCs w:val="44"/>
          <w:highlight w:val="none"/>
          <w:lang w:val="en-US" w:eastAsia="zh-CN" w:bidi="ar-SA"/>
        </w:rPr>
        <w:t>松潘县文化广播电视体育和旅游局决算</w:t>
      </w:r>
      <w:bookmarkEnd w:id="6"/>
      <w:bookmarkEnd w:id="7"/>
      <w:bookmarkEnd w:id="8"/>
      <w:bookmarkEnd w:id="9"/>
      <w:bookmarkEnd w:id="10"/>
      <w:bookmarkEnd w:id="11"/>
      <w:r>
        <w:rPr>
          <w:rFonts w:hint="default" w:ascii="Times New Roman" w:hAnsi="Times New Roman" w:eastAsia="方正小标宋简体" w:cs="Times New Roman"/>
          <w:color w:val="auto"/>
          <w:kern w:val="2"/>
          <w:sz w:val="44"/>
          <w:szCs w:val="44"/>
          <w:highlight w:val="none"/>
          <w:lang w:val="en-US" w:eastAsia="zh-CN" w:bidi="ar-SA"/>
        </w:rPr>
        <w:t>公开</w:t>
      </w:r>
    </w:p>
    <w:p w14:paraId="08BE4E8A">
      <w:pPr>
        <w:pStyle w:val="16"/>
        <w:keepNext w:val="0"/>
        <w:keepLines w:val="0"/>
        <w:pageBreakBefore w:val="0"/>
        <w:kinsoku/>
        <w:wordWrap/>
        <w:overflowPunct/>
        <w:topLinePunct w:val="0"/>
        <w:autoSpaceDE/>
        <w:autoSpaceDN/>
        <w:bidi w:val="0"/>
        <w:adjustRightInd w:val="0"/>
        <w:snapToGrid w:val="0"/>
        <w:spacing w:line="578" w:lineRule="exact"/>
        <w:jc w:val="left"/>
        <w:textAlignment w:val="auto"/>
        <w:rPr>
          <w:rFonts w:hint="default" w:ascii="Times New Roman" w:hAnsi="Times New Roman" w:eastAsia="仿宋_GB2312" w:cs="Times New Roman"/>
          <w:color w:val="auto"/>
          <w:sz w:val="32"/>
          <w:szCs w:val="32"/>
          <w:highlight w:val="none"/>
          <w:lang w:val="en-US" w:eastAsia="zh-CN"/>
        </w:rPr>
      </w:pPr>
    </w:p>
    <w:p w14:paraId="509C4FF6">
      <w:pPr>
        <w:pStyle w:val="16"/>
        <w:keepNext w:val="0"/>
        <w:keepLines w:val="0"/>
        <w:pageBreakBefore w:val="0"/>
        <w:kinsoku/>
        <w:wordWrap/>
        <w:overflowPunct/>
        <w:topLinePunct w:val="0"/>
        <w:autoSpaceDE/>
        <w:autoSpaceDN/>
        <w:bidi w:val="0"/>
        <w:adjustRightInd w:val="0"/>
        <w:snapToGrid w:val="0"/>
        <w:spacing w:line="578" w:lineRule="exact"/>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（注：以下为部门公开范本。单位公开内容应参照部门公开内容和报表格式，并与部门公开内容做好衔接）</w:t>
      </w:r>
    </w:p>
    <w:p w14:paraId="670D250F">
      <w:pPr>
        <w:pageBreakBefore w:val="0"/>
        <w:widowControl/>
        <w:kinsoku/>
        <w:wordWrap/>
        <w:overflowPunct/>
        <w:topLinePunct w:val="0"/>
        <w:autoSpaceDE/>
        <w:autoSpaceDN/>
        <w:bidi w:val="0"/>
        <w:adjustRightInd/>
        <w:snapToGrid/>
        <w:spacing w:line="578" w:lineRule="exact"/>
        <w:jc w:val="center"/>
        <w:textAlignment w:val="auto"/>
        <w:rPr>
          <w:rFonts w:hint="default" w:ascii="Times New Roman" w:hAnsi="Times New Roman" w:eastAsia="黑体" w:cs="Times New Roman"/>
          <w:color w:val="auto"/>
          <w:sz w:val="48"/>
          <w:szCs w:val="48"/>
          <w:highlight w:val="none"/>
        </w:rPr>
      </w:pPr>
      <w:r>
        <w:rPr>
          <w:rFonts w:hint="default" w:ascii="Times New Roman" w:hAnsi="Times New Roman" w:eastAsia="方正小标宋简体" w:cs="Times New Roman"/>
          <w:color w:val="auto"/>
          <w:sz w:val="36"/>
          <w:szCs w:val="36"/>
          <w:highlight w:val="none"/>
        </w:rPr>
        <w:br w:type="page"/>
      </w:r>
      <w:r>
        <w:rPr>
          <w:rFonts w:hint="default" w:ascii="Times New Roman" w:hAnsi="Times New Roman" w:eastAsia="黑体" w:cs="Times New Roman"/>
          <w:color w:val="auto"/>
          <w:sz w:val="48"/>
          <w:szCs w:val="48"/>
          <w:highlight w:val="none"/>
        </w:rPr>
        <w:t>目</w:t>
      </w:r>
      <w:r>
        <w:rPr>
          <w:rFonts w:hint="default" w:ascii="Times New Roman" w:hAnsi="Times New Roman" w:eastAsia="黑体" w:cs="Times New Roman"/>
          <w:color w:val="auto"/>
          <w:sz w:val="48"/>
          <w:szCs w:val="48"/>
          <w:highlight w:val="none"/>
          <w:lang w:val="en-US" w:eastAsia="zh-CN"/>
        </w:rPr>
        <w:t xml:space="preserve"> </w:t>
      </w:r>
      <w:r>
        <w:rPr>
          <w:rFonts w:hint="default" w:ascii="Times New Roman" w:hAnsi="Times New Roman" w:eastAsia="黑体" w:cs="Times New Roman"/>
          <w:color w:val="auto"/>
          <w:sz w:val="48"/>
          <w:szCs w:val="48"/>
          <w:highlight w:val="none"/>
        </w:rPr>
        <w:t>录</w:t>
      </w:r>
    </w:p>
    <w:p w14:paraId="6997220B">
      <w:pPr>
        <w:pageBreakBefore w:val="0"/>
        <w:widowControl/>
        <w:kinsoku/>
        <w:wordWrap/>
        <w:overflowPunct/>
        <w:topLinePunct w:val="0"/>
        <w:autoSpaceDE/>
        <w:autoSpaceDN/>
        <w:bidi w:val="0"/>
        <w:adjustRightInd/>
        <w:snapToGrid/>
        <w:spacing w:line="578" w:lineRule="exact"/>
        <w:jc w:val="center"/>
        <w:textAlignment w:val="auto"/>
        <w:rPr>
          <w:rFonts w:hint="default" w:ascii="Times New Roman" w:hAnsi="Times New Roman" w:eastAsia="黑体" w:cs="Times New Roman"/>
          <w:color w:val="auto"/>
          <w:sz w:val="28"/>
          <w:szCs w:val="28"/>
          <w:highlight w:val="none"/>
        </w:rPr>
      </w:pPr>
    </w:p>
    <w:p w14:paraId="741C0D47">
      <w:pPr>
        <w:pStyle w:val="14"/>
        <w:pageBreakBefore w:val="0"/>
        <w:kinsoku/>
        <w:wordWrap/>
        <w:overflowPunct/>
        <w:topLinePunct w:val="0"/>
        <w:autoSpaceDE/>
        <w:autoSpaceDN/>
        <w:bidi w:val="0"/>
        <w:adjustRightInd/>
        <w:snapToGrid/>
        <w:spacing w:line="578" w:lineRule="exac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公开时间：20</w:t>
      </w:r>
      <w:r>
        <w:rPr>
          <w:rFonts w:hint="default" w:ascii="Times New Roman" w:hAnsi="Times New Roman" w:eastAsia="仿宋_GB2312" w:cs="Times New Roman"/>
          <w:color w:val="auto"/>
          <w:sz w:val="32"/>
          <w:szCs w:val="32"/>
          <w:highlight w:val="none"/>
          <w:lang w:val="en-US" w:eastAsia="zh-CN"/>
        </w:rPr>
        <w:t>26</w:t>
      </w:r>
      <w:r>
        <w:rPr>
          <w:rFonts w:hint="default" w:ascii="Times New Roman" w:hAnsi="Times New Roman" w:eastAsia="仿宋_GB2312" w:cs="Times New Roman"/>
          <w:color w:val="auto"/>
          <w:sz w:val="32"/>
          <w:szCs w:val="32"/>
          <w:highlight w:val="none"/>
        </w:rPr>
        <w:t>年</w:t>
      </w:r>
      <w:r>
        <w:rPr>
          <w:rFonts w:hint="eastAsia" w:ascii="Times New Roman" w:hAnsi="Times New Roman" w:eastAsia="仿宋_GB2312" w:cs="Times New Roman"/>
          <w:color w:val="auto"/>
          <w:sz w:val="32"/>
          <w:szCs w:val="32"/>
          <w:highlight w:val="none"/>
          <w:lang w:val="en-US" w:eastAsia="zh-CN"/>
        </w:rPr>
        <w:t>10</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月</w:t>
      </w:r>
      <w:r>
        <w:rPr>
          <w:rFonts w:hint="eastAsia" w:ascii="Times New Roman" w:hAnsi="Times New Roman" w:eastAsia="仿宋_GB2312" w:cs="Times New Roman"/>
          <w:color w:val="auto"/>
          <w:sz w:val="32"/>
          <w:szCs w:val="32"/>
          <w:highlight w:val="none"/>
          <w:lang w:val="en-US" w:eastAsia="zh-CN"/>
        </w:rPr>
        <w:t>15</w:t>
      </w:r>
      <w:r>
        <w:rPr>
          <w:rFonts w:hint="default" w:ascii="Times New Roman" w:hAnsi="Times New Roman" w:eastAsia="仿宋_GB2312" w:cs="Times New Roman"/>
          <w:color w:val="auto"/>
          <w:sz w:val="32"/>
          <w:szCs w:val="32"/>
          <w:highlight w:val="none"/>
        </w:rPr>
        <w:t>日</w:t>
      </w:r>
    </w:p>
    <w:p w14:paraId="63419757">
      <w:pPr>
        <w:pageBreakBefore w:val="0"/>
        <w:kinsoku/>
        <w:wordWrap/>
        <w:overflowPunct/>
        <w:topLinePunct w:val="0"/>
        <w:autoSpaceDE/>
        <w:autoSpaceDN/>
        <w:bidi w:val="0"/>
        <w:adjustRightInd/>
        <w:snapToGrid/>
        <w:spacing w:line="578" w:lineRule="exact"/>
        <w:textAlignment w:val="auto"/>
        <w:rPr>
          <w:rFonts w:hint="default" w:ascii="Times New Roman" w:hAnsi="Times New Roman" w:cs="Times New Roman"/>
          <w:color w:val="auto"/>
          <w:highlight w:val="none"/>
        </w:rPr>
      </w:pPr>
    </w:p>
    <w:sdt>
      <w:sdtPr>
        <w:rPr>
          <w:rFonts w:hint="default" w:ascii="Times New Roman" w:hAnsi="Times New Roman" w:eastAsia="宋体" w:cs="Times New Roman"/>
          <w:kern w:val="2"/>
          <w:sz w:val="21"/>
          <w:szCs w:val="24"/>
          <w:lang w:val="en-US" w:eastAsia="zh-CN" w:bidi="ar-SA"/>
        </w:rPr>
        <w:id w:val="147481830"/>
        <w15:color w:val="DBDBDB"/>
        <w:docPartObj>
          <w:docPartGallery w:val="Table of Contents"/>
          <w:docPartUnique/>
        </w:docPartObj>
      </w:sdtPr>
      <w:sdtEndPr>
        <w:rPr>
          <w:rFonts w:hint="default" w:ascii="Times New Roman" w:hAnsi="Times New Roman" w:eastAsia="宋体" w:cs="Times New Roman"/>
          <w:kern w:val="2"/>
          <w:sz w:val="20"/>
          <w:szCs w:val="20"/>
          <w:lang w:val="en-US" w:eastAsia="zh-CN" w:bidi="ar-SA"/>
        </w:rPr>
      </w:sdtEndPr>
      <w:sdtContent>
        <w:p w14:paraId="4EBF149D">
          <w:pPr>
            <w:pageBreakBefore w:val="0"/>
            <w:kinsoku/>
            <w:wordWrap/>
            <w:overflowPunct/>
            <w:topLinePunct w:val="0"/>
            <w:autoSpaceDE/>
            <w:autoSpaceDN/>
            <w:bidi w:val="0"/>
            <w:adjustRightInd/>
            <w:snapToGrid/>
            <w:spacing w:before="0" w:beforeLines="0" w:after="0" w:afterLines="0" w:line="578" w:lineRule="exact"/>
            <w:ind w:left="0" w:leftChars="0" w:right="0" w:rightChars="0" w:firstLine="0" w:firstLineChars="0"/>
            <w:jc w:val="center"/>
            <w:textAlignment w:val="auto"/>
            <w:rPr>
              <w:rFonts w:hint="default" w:ascii="Times New Roman" w:hAnsi="Times New Roman" w:cs="Times New Roman"/>
            </w:rPr>
          </w:pPr>
          <w:bookmarkStart w:id="12" w:name="_Toc28930_WPSOffice_Type2"/>
          <w:r>
            <w:rPr>
              <w:rFonts w:hint="default" w:ascii="Times New Roman" w:hAnsi="Times New Roman" w:eastAsia="宋体" w:cs="Times New Roman"/>
              <w:sz w:val="21"/>
            </w:rPr>
            <w:t>目录</w:t>
          </w:r>
        </w:p>
        <w:p w14:paraId="7B89AAED">
          <w:pPr>
            <w:pStyle w:val="41"/>
            <w:pageBreakBefore w:val="0"/>
            <w:tabs>
              <w:tab w:val="right" w:leader="dot" w:pos="8306"/>
            </w:tabs>
            <w:kinsoku/>
            <w:wordWrap/>
            <w:overflowPunct/>
            <w:topLinePunct w:val="0"/>
            <w:autoSpaceDE/>
            <w:autoSpaceDN/>
            <w:bidi w:val="0"/>
            <w:adjustRightInd/>
            <w:snapToGrid/>
            <w:spacing w:line="578" w:lineRule="exact"/>
            <w:textAlignment w:val="auto"/>
            <w:rPr>
              <w:rFonts w:hint="default" w:ascii="Times New Roman" w:hAnsi="Times New Roman" w:eastAsia="仿宋" w:cs="Times New Roman"/>
              <w:b/>
              <w:bCs/>
              <w:sz w:val="22"/>
              <w:szCs w:val="22"/>
            </w:rPr>
          </w:pPr>
          <w:r>
            <w:rPr>
              <w:rFonts w:hint="default" w:ascii="Times New Roman" w:hAnsi="Times New Roman" w:eastAsia="仿宋" w:cs="Times New Roman"/>
              <w:b/>
              <w:bCs/>
              <w:sz w:val="22"/>
              <w:szCs w:val="22"/>
            </w:rPr>
            <w:fldChar w:fldCharType="begin"/>
          </w:r>
          <w:r>
            <w:rPr>
              <w:rFonts w:hint="default" w:ascii="Times New Roman" w:hAnsi="Times New Roman" w:eastAsia="仿宋" w:cs="Times New Roman"/>
              <w:sz w:val="22"/>
              <w:szCs w:val="22"/>
            </w:rPr>
            <w:instrText xml:space="preserve"> HYPERLINK \l _Toc541_WPSOffice_Level1 </w:instrText>
          </w:r>
          <w:r>
            <w:rPr>
              <w:rFonts w:hint="default" w:ascii="Times New Roman" w:hAnsi="Times New Roman" w:eastAsia="仿宋" w:cs="Times New Roman"/>
              <w:b/>
              <w:bCs/>
              <w:sz w:val="22"/>
              <w:szCs w:val="22"/>
            </w:rPr>
            <w:fldChar w:fldCharType="separate"/>
          </w:r>
          <w:sdt>
            <w:sdtPr>
              <w:rPr>
                <w:rFonts w:hint="default" w:ascii="Times New Roman" w:hAnsi="Times New Roman" w:eastAsia="楷体_GB2312" w:cs="Times New Roman"/>
                <w:b/>
                <w:bCs/>
                <w:sz w:val="32"/>
                <w:szCs w:val="32"/>
                <w:lang w:val="en-US" w:eastAsia="zh-CN"/>
              </w:rPr>
              <w:id w:val="147471941"/>
              <w:placeholder>
                <w:docPart w:val="{b8f50e7a-e0b2-4d40-ab6e-54221cc18532}"/>
              </w:placeholder>
              <w15:color w:val="509DF3"/>
            </w:sdtPr>
            <w:sdtEndPr>
              <w:rPr>
                <w:rFonts w:hint="default" w:ascii="Times New Roman" w:hAnsi="Times New Roman" w:eastAsia="楷体_GB2312" w:cs="Times New Roman"/>
                <w:b/>
                <w:bCs/>
                <w:sz w:val="32"/>
                <w:szCs w:val="32"/>
                <w:lang w:val="en-US" w:eastAsia="zh-CN"/>
              </w:rPr>
            </w:sdtEndPr>
            <w:sdtContent>
              <w:r>
                <w:rPr>
                  <w:rFonts w:hint="default" w:ascii="Times New Roman" w:hAnsi="Times New Roman" w:eastAsia="楷体_GB2312" w:cs="Times New Roman"/>
                  <w:b/>
                  <w:bCs/>
                  <w:sz w:val="32"/>
                  <w:szCs w:val="32"/>
                </w:rPr>
                <w:t>第一部分  单位概况</w:t>
              </w:r>
            </w:sdtContent>
          </w:sdt>
          <w:r>
            <w:rPr>
              <w:rFonts w:hint="default" w:ascii="Times New Roman" w:hAnsi="Times New Roman" w:eastAsia="仿宋" w:cs="Times New Roman"/>
              <w:b/>
              <w:bCs/>
              <w:sz w:val="24"/>
              <w:szCs w:val="24"/>
            </w:rPr>
            <w:tab/>
          </w:r>
          <w:r>
            <w:rPr>
              <w:rFonts w:hint="default" w:ascii="Times New Roman" w:hAnsi="Times New Roman" w:eastAsia="仿宋" w:cs="Times New Roman"/>
              <w:b/>
              <w:bCs/>
              <w:sz w:val="22"/>
              <w:szCs w:val="22"/>
              <w:lang w:val="en-US" w:eastAsia="zh-CN"/>
            </w:rPr>
            <w:t>5</w:t>
          </w:r>
          <w:r>
            <w:rPr>
              <w:rFonts w:hint="default" w:ascii="Times New Roman" w:hAnsi="Times New Roman" w:eastAsia="仿宋" w:cs="Times New Roman"/>
              <w:b/>
              <w:bCs/>
              <w:sz w:val="22"/>
              <w:szCs w:val="22"/>
            </w:rPr>
            <w:fldChar w:fldCharType="end"/>
          </w:r>
        </w:p>
        <w:p w14:paraId="58B53BA6">
          <w:pPr>
            <w:pStyle w:val="41"/>
            <w:pageBreakBefore w:val="0"/>
            <w:tabs>
              <w:tab w:val="right" w:leader="dot" w:pos="8306"/>
            </w:tabs>
            <w:kinsoku/>
            <w:wordWrap/>
            <w:overflowPunct/>
            <w:topLinePunct w:val="0"/>
            <w:autoSpaceDE/>
            <w:autoSpaceDN/>
            <w:bidi w:val="0"/>
            <w:adjustRightInd/>
            <w:snapToGrid/>
            <w:spacing w:line="578" w:lineRule="exact"/>
            <w:ind w:leftChars="200"/>
            <w:textAlignment w:val="auto"/>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_Toc28930_WPSOffice_Level2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57704"/>
              <w:placeholder>
                <w:docPart w:val="{b6de1b33-5aa2-48a7-b5a2-2dc7c91afbf0}"/>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一、单位职责</w:t>
              </w:r>
            </w:sdtContent>
          </w:sdt>
          <w:r>
            <w:rPr>
              <w:rFonts w:hint="default" w:ascii="Times New Roman" w:hAnsi="Times New Roman" w:eastAsia="仿宋_GB2312" w:cs="Times New Roman"/>
              <w:b w:val="0"/>
              <w:bCs w:val="0"/>
              <w:sz w:val="24"/>
              <w:szCs w:val="24"/>
            </w:rPr>
            <w:tab/>
          </w:r>
          <w:r>
            <w:rPr>
              <w:rFonts w:hint="default" w:ascii="Times New Roman" w:hAnsi="Times New Roman" w:eastAsia="仿宋_GB2312" w:cs="Times New Roman"/>
              <w:b w:val="0"/>
              <w:bCs w:val="0"/>
              <w:sz w:val="24"/>
              <w:szCs w:val="24"/>
              <w:lang w:val="en-US" w:eastAsia="zh-CN"/>
            </w:rPr>
            <w:t>5</w:t>
          </w:r>
          <w:r>
            <w:rPr>
              <w:rFonts w:hint="default" w:ascii="Times New Roman" w:hAnsi="Times New Roman" w:eastAsia="仿宋_GB2312" w:cs="Times New Roman"/>
              <w:b w:val="0"/>
              <w:bCs w:val="0"/>
              <w:sz w:val="24"/>
              <w:szCs w:val="24"/>
            </w:rPr>
            <w:fldChar w:fldCharType="end"/>
          </w:r>
        </w:p>
        <w:p w14:paraId="627922B0">
          <w:pPr>
            <w:pStyle w:val="42"/>
            <w:keepNext w:val="0"/>
            <w:keepLines w:val="0"/>
            <w:pageBreakBefore w:val="0"/>
            <w:widowControl/>
            <w:tabs>
              <w:tab w:val="right" w:leader="dot" w:pos="8306"/>
            </w:tabs>
            <w:kinsoku/>
            <w:wordWrap/>
            <w:overflowPunct/>
            <w:topLinePunct w:val="0"/>
            <w:autoSpaceDE/>
            <w:autoSpaceDN/>
            <w:bidi w:val="0"/>
            <w:adjustRightInd/>
            <w:snapToGrid/>
            <w:spacing w:line="578" w:lineRule="exact"/>
            <w:textAlignment w:val="auto"/>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_Toc18829_WPSOffice_Level2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58536"/>
              <w:placeholder>
                <w:docPart w:val="{0e262734-1964-41dd-bdcd-1f3a51b20bc1}"/>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二、机构设置</w:t>
              </w:r>
            </w:sdtContent>
          </w:sdt>
          <w:r>
            <w:rPr>
              <w:rFonts w:hint="default" w:ascii="Times New Roman" w:hAnsi="Times New Roman" w:eastAsia="仿宋_GB2312" w:cs="Times New Roman"/>
              <w:b w:val="0"/>
              <w:bCs w:val="0"/>
              <w:sz w:val="24"/>
              <w:szCs w:val="24"/>
            </w:rPr>
            <w:tab/>
          </w:r>
          <w:r>
            <w:rPr>
              <w:rFonts w:hint="default" w:ascii="Times New Roman" w:hAnsi="Times New Roman" w:eastAsia="仿宋_GB2312" w:cs="Times New Roman"/>
              <w:b w:val="0"/>
              <w:bCs w:val="0"/>
              <w:sz w:val="24"/>
              <w:szCs w:val="24"/>
              <w:lang w:val="en-US" w:eastAsia="zh-CN"/>
            </w:rPr>
            <w:t>8</w:t>
          </w:r>
          <w:r>
            <w:rPr>
              <w:rFonts w:hint="default" w:ascii="Times New Roman" w:hAnsi="Times New Roman" w:eastAsia="仿宋_GB2312" w:cs="Times New Roman"/>
              <w:b w:val="0"/>
              <w:bCs w:val="0"/>
              <w:sz w:val="24"/>
              <w:szCs w:val="24"/>
            </w:rPr>
            <w:fldChar w:fldCharType="end"/>
          </w:r>
        </w:p>
        <w:p w14:paraId="46727EC9">
          <w:pPr>
            <w:pStyle w:val="41"/>
            <w:pageBreakBefore w:val="0"/>
            <w:tabs>
              <w:tab w:val="right" w:leader="dot" w:pos="8306"/>
            </w:tabs>
            <w:kinsoku/>
            <w:wordWrap/>
            <w:overflowPunct/>
            <w:topLinePunct w:val="0"/>
            <w:autoSpaceDE/>
            <w:autoSpaceDN/>
            <w:bidi w:val="0"/>
            <w:adjustRightInd/>
            <w:snapToGrid/>
            <w:spacing w:line="578" w:lineRule="exact"/>
            <w:textAlignment w:val="auto"/>
            <w:rPr>
              <w:rFonts w:hint="eastAsia" w:ascii="Times New Roman" w:hAnsi="Times New Roman" w:eastAsia="仿宋" w:cs="Times New Roman"/>
              <w:b/>
              <w:bCs/>
              <w:sz w:val="22"/>
              <w:szCs w:val="22"/>
              <w:lang w:val="en-US" w:eastAsia="zh-CN"/>
            </w:rPr>
          </w:pPr>
          <w:r>
            <w:rPr>
              <w:rFonts w:hint="default" w:ascii="Times New Roman" w:hAnsi="Times New Roman" w:eastAsia="仿宋" w:cs="Times New Roman"/>
              <w:b/>
              <w:bCs/>
              <w:sz w:val="22"/>
              <w:szCs w:val="22"/>
            </w:rPr>
            <w:fldChar w:fldCharType="begin"/>
          </w:r>
          <w:r>
            <w:rPr>
              <w:rFonts w:hint="default" w:ascii="Times New Roman" w:hAnsi="Times New Roman" w:eastAsia="仿宋" w:cs="Times New Roman"/>
              <w:sz w:val="22"/>
              <w:szCs w:val="22"/>
            </w:rPr>
            <w:instrText xml:space="preserve"> HYPERLINK \l _Toc28930_WPSOffice_Level1 </w:instrText>
          </w:r>
          <w:r>
            <w:rPr>
              <w:rFonts w:hint="default" w:ascii="Times New Roman" w:hAnsi="Times New Roman" w:eastAsia="仿宋" w:cs="Times New Roman"/>
              <w:b/>
              <w:bCs/>
              <w:sz w:val="22"/>
              <w:szCs w:val="22"/>
            </w:rPr>
            <w:fldChar w:fldCharType="separate"/>
          </w:r>
          <w:sdt>
            <w:sdtPr>
              <w:rPr>
                <w:rFonts w:hint="default" w:ascii="Times New Roman" w:hAnsi="Times New Roman" w:eastAsia="楷体_GB2312" w:cs="Times New Roman"/>
                <w:b/>
                <w:bCs/>
                <w:sz w:val="32"/>
                <w:szCs w:val="32"/>
                <w:lang w:val="en-US" w:eastAsia="zh-CN"/>
              </w:rPr>
              <w:id w:val="147470818"/>
              <w:placeholder>
                <w:docPart w:val="{889554f6-d6cb-42a1-b100-21d91c11e309}"/>
              </w:placeholder>
              <w15:color w:val="509DF3"/>
            </w:sdtPr>
            <w:sdtEndPr>
              <w:rPr>
                <w:rFonts w:hint="default" w:ascii="Times New Roman" w:hAnsi="Times New Roman" w:eastAsia="仿宋" w:cs="Times New Roman"/>
                <w:b/>
                <w:bCs/>
                <w:sz w:val="24"/>
                <w:szCs w:val="24"/>
                <w:lang w:val="en-US" w:eastAsia="zh-CN"/>
              </w:rPr>
            </w:sdtEndPr>
            <w:sdtContent>
              <w:r>
                <w:rPr>
                  <w:rFonts w:hint="default" w:ascii="Times New Roman" w:hAnsi="Times New Roman" w:eastAsia="楷体_GB2312" w:cs="Times New Roman"/>
                  <w:b/>
                  <w:bCs/>
                  <w:sz w:val="32"/>
                  <w:szCs w:val="32"/>
                </w:rPr>
                <w:t>第二部分  202</w:t>
              </w:r>
              <w:r>
                <w:rPr>
                  <w:rFonts w:hint="default" w:ascii="Times New Roman" w:hAnsi="Times New Roman" w:eastAsia="楷体_GB2312" w:cs="Times New Roman"/>
                  <w:b/>
                  <w:bCs/>
                  <w:sz w:val="32"/>
                  <w:szCs w:val="32"/>
                  <w:lang w:val="en-US" w:eastAsia="zh-CN"/>
                </w:rPr>
                <w:t>5</w:t>
              </w:r>
              <w:r>
                <w:rPr>
                  <w:rFonts w:hint="default" w:ascii="Times New Roman" w:hAnsi="Times New Roman" w:eastAsia="楷体_GB2312" w:cs="Times New Roman"/>
                  <w:b/>
                  <w:bCs/>
                  <w:sz w:val="32"/>
                  <w:szCs w:val="32"/>
                </w:rPr>
                <w:t>年度单位决算情况说明</w:t>
              </w:r>
            </w:sdtContent>
          </w:sdt>
          <w:r>
            <w:rPr>
              <w:rFonts w:hint="default" w:ascii="Times New Roman" w:hAnsi="Times New Roman" w:eastAsia="仿宋" w:cs="Times New Roman"/>
              <w:b/>
              <w:bCs/>
              <w:sz w:val="22"/>
              <w:szCs w:val="22"/>
            </w:rPr>
            <w:tab/>
          </w:r>
          <w:r>
            <w:rPr>
              <w:rFonts w:hint="eastAsia" w:eastAsia="仿宋" w:cs="Times New Roman"/>
              <w:b/>
              <w:bCs/>
              <w:sz w:val="22"/>
              <w:szCs w:val="22"/>
              <w:lang w:val="en-US" w:eastAsia="zh-CN"/>
            </w:rPr>
            <w:t>1</w:t>
          </w:r>
          <w:r>
            <w:rPr>
              <w:rFonts w:hint="default" w:ascii="Times New Roman" w:hAnsi="Times New Roman" w:eastAsia="仿宋" w:cs="Times New Roman"/>
              <w:b/>
              <w:bCs/>
              <w:sz w:val="22"/>
              <w:szCs w:val="22"/>
            </w:rPr>
            <w:fldChar w:fldCharType="end"/>
          </w:r>
          <w:r>
            <w:rPr>
              <w:rFonts w:hint="eastAsia" w:eastAsia="仿宋" w:cs="Times New Roman"/>
              <w:b/>
              <w:bCs/>
              <w:sz w:val="22"/>
              <w:szCs w:val="22"/>
              <w:lang w:val="en-US" w:eastAsia="zh-CN"/>
            </w:rPr>
            <w:t>0</w:t>
          </w:r>
        </w:p>
        <w:p w14:paraId="2A641EAD">
          <w:pPr>
            <w:pStyle w:val="41"/>
            <w:pageBreakBefore w:val="0"/>
            <w:tabs>
              <w:tab w:val="right" w:leader="dot" w:pos="8306"/>
            </w:tabs>
            <w:kinsoku/>
            <w:wordWrap/>
            <w:overflowPunct/>
            <w:topLinePunct w:val="0"/>
            <w:autoSpaceDE/>
            <w:autoSpaceDN/>
            <w:bidi w:val="0"/>
            <w:adjustRightInd/>
            <w:snapToGrid/>
            <w:spacing w:line="578" w:lineRule="exact"/>
            <w:ind w:leftChars="200"/>
            <w:textAlignment w:val="auto"/>
            <w:rPr>
              <w:rFonts w:hint="eastAsia" w:ascii="Times New Roman" w:hAnsi="Times New Roman" w:eastAsia="仿宋_GB2312" w:cs="Times New Roman"/>
              <w:b w:val="0"/>
              <w:bCs w:val="0"/>
              <w:sz w:val="24"/>
              <w:szCs w:val="24"/>
              <w:lang w:val="en-US" w:eastAsia="zh-CN"/>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_Toc4725_WPSOffice_Level2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60434"/>
              <w:placeholder>
                <w:docPart w:val="{799992f4-1dc7-4888-92c6-86a81711945d}"/>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一、收入支出决算总体情况说明</w:t>
              </w:r>
            </w:sdtContent>
          </w:sdt>
          <w:r>
            <w:rPr>
              <w:rFonts w:hint="default" w:ascii="Times New Roman" w:hAnsi="Times New Roman" w:eastAsia="仿宋_GB2312" w:cs="Times New Roman"/>
              <w:b w:val="0"/>
              <w:bCs w:val="0"/>
              <w:sz w:val="24"/>
              <w:szCs w:val="24"/>
            </w:rPr>
            <w:tab/>
          </w:r>
          <w:r>
            <w:rPr>
              <w:rFonts w:hint="eastAsia" w:eastAsia="仿宋_GB2312" w:cs="Times New Roman"/>
              <w:b w:val="0"/>
              <w:bCs w:val="0"/>
              <w:sz w:val="24"/>
              <w:szCs w:val="24"/>
              <w:lang w:val="en-US" w:eastAsia="zh-CN"/>
            </w:rPr>
            <w:t>1</w:t>
          </w:r>
          <w:r>
            <w:rPr>
              <w:rFonts w:hint="default" w:ascii="Times New Roman" w:hAnsi="Times New Roman" w:eastAsia="仿宋_GB2312" w:cs="Times New Roman"/>
              <w:b w:val="0"/>
              <w:bCs w:val="0"/>
              <w:sz w:val="24"/>
              <w:szCs w:val="24"/>
            </w:rPr>
            <w:fldChar w:fldCharType="end"/>
          </w:r>
          <w:r>
            <w:rPr>
              <w:rFonts w:hint="eastAsia" w:eastAsia="仿宋_GB2312" w:cs="Times New Roman"/>
              <w:b w:val="0"/>
              <w:bCs w:val="0"/>
              <w:sz w:val="24"/>
              <w:szCs w:val="24"/>
              <w:lang w:val="en-US" w:eastAsia="zh-CN"/>
            </w:rPr>
            <w:t>0</w:t>
          </w:r>
        </w:p>
        <w:p w14:paraId="48D627E8">
          <w:pPr>
            <w:pStyle w:val="42"/>
            <w:keepNext w:val="0"/>
            <w:keepLines w:val="0"/>
            <w:pageBreakBefore w:val="0"/>
            <w:widowControl/>
            <w:tabs>
              <w:tab w:val="right" w:leader="dot" w:pos="8306"/>
            </w:tabs>
            <w:kinsoku/>
            <w:wordWrap/>
            <w:overflowPunct/>
            <w:topLinePunct w:val="0"/>
            <w:autoSpaceDE/>
            <w:autoSpaceDN/>
            <w:bidi w:val="0"/>
            <w:adjustRightInd/>
            <w:snapToGrid/>
            <w:spacing w:line="578" w:lineRule="exact"/>
            <w:textAlignment w:val="auto"/>
            <w:rPr>
              <w:rFonts w:hint="eastAsia" w:ascii="Times New Roman" w:hAnsi="Times New Roman" w:eastAsia="仿宋_GB2312" w:cs="Times New Roman"/>
              <w:b w:val="0"/>
              <w:bCs w:val="0"/>
              <w:sz w:val="24"/>
              <w:szCs w:val="24"/>
              <w:lang w:val="en-US" w:eastAsia="zh-CN"/>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_Toc21269_WPSOffice_Level2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78332"/>
              <w:placeholder>
                <w:docPart w:val="{612e241b-4c8c-44a6-a652-cda860127d53}"/>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二、收入决算情况说明</w:t>
              </w:r>
            </w:sdtContent>
          </w:sdt>
          <w:r>
            <w:rPr>
              <w:rFonts w:hint="default" w:ascii="Times New Roman" w:hAnsi="Times New Roman" w:eastAsia="仿宋_GB2312" w:cs="Times New Roman"/>
              <w:b w:val="0"/>
              <w:bCs w:val="0"/>
              <w:sz w:val="24"/>
              <w:szCs w:val="24"/>
            </w:rPr>
            <w:tab/>
          </w:r>
          <w:r>
            <w:rPr>
              <w:rFonts w:hint="eastAsia" w:eastAsia="仿宋_GB2312" w:cs="Times New Roman"/>
              <w:b w:val="0"/>
              <w:bCs w:val="0"/>
              <w:sz w:val="24"/>
              <w:szCs w:val="24"/>
              <w:lang w:val="en-US" w:eastAsia="zh-CN"/>
            </w:rPr>
            <w:t>1</w:t>
          </w:r>
          <w:r>
            <w:rPr>
              <w:rFonts w:hint="default" w:ascii="Times New Roman" w:hAnsi="Times New Roman" w:eastAsia="仿宋_GB2312" w:cs="Times New Roman"/>
              <w:b w:val="0"/>
              <w:bCs w:val="0"/>
              <w:sz w:val="24"/>
              <w:szCs w:val="24"/>
            </w:rPr>
            <w:fldChar w:fldCharType="end"/>
          </w:r>
          <w:r>
            <w:rPr>
              <w:rFonts w:hint="eastAsia" w:eastAsia="仿宋_GB2312" w:cs="Times New Roman"/>
              <w:b w:val="0"/>
              <w:bCs w:val="0"/>
              <w:sz w:val="24"/>
              <w:szCs w:val="24"/>
              <w:lang w:val="en-US" w:eastAsia="zh-CN"/>
            </w:rPr>
            <w:t>0</w:t>
          </w:r>
        </w:p>
        <w:p w14:paraId="42226283">
          <w:pPr>
            <w:pStyle w:val="42"/>
            <w:keepNext w:val="0"/>
            <w:keepLines w:val="0"/>
            <w:pageBreakBefore w:val="0"/>
            <w:widowControl/>
            <w:tabs>
              <w:tab w:val="right" w:leader="dot" w:pos="8306"/>
            </w:tabs>
            <w:kinsoku/>
            <w:wordWrap/>
            <w:overflowPunct/>
            <w:topLinePunct w:val="0"/>
            <w:autoSpaceDE/>
            <w:autoSpaceDN/>
            <w:bidi w:val="0"/>
            <w:adjustRightInd/>
            <w:snapToGrid/>
            <w:spacing w:line="578" w:lineRule="exact"/>
            <w:textAlignment w:val="auto"/>
            <w:rPr>
              <w:rFonts w:hint="default" w:ascii="Times New Roman" w:hAnsi="Times New Roman" w:eastAsia="仿宋_GB2312" w:cs="Times New Roman"/>
              <w:b w:val="0"/>
              <w:bCs w:val="0"/>
              <w:sz w:val="24"/>
              <w:szCs w:val="24"/>
              <w:lang w:val="en-US" w:eastAsia="zh-CN"/>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_Toc18013_WPSOffice_Level2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79004"/>
              <w:placeholder>
                <w:docPart w:val="{284a0b8c-6f23-4f70-849f-188feddf1058}"/>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三、支出决算情况说明</w:t>
              </w:r>
            </w:sdtContent>
          </w:sdt>
          <w:r>
            <w:rPr>
              <w:rFonts w:hint="default" w:ascii="Times New Roman" w:hAnsi="Times New Roman" w:eastAsia="仿宋_GB2312" w:cs="Times New Roman"/>
              <w:b w:val="0"/>
              <w:bCs w:val="0"/>
              <w:sz w:val="24"/>
              <w:szCs w:val="24"/>
            </w:rPr>
            <w:tab/>
          </w:r>
          <w:r>
            <w:rPr>
              <w:rFonts w:hint="default" w:ascii="Times New Roman" w:hAnsi="Times New Roman" w:eastAsia="仿宋_GB2312" w:cs="Times New Roman"/>
              <w:b w:val="0"/>
              <w:bCs w:val="0"/>
              <w:sz w:val="24"/>
              <w:szCs w:val="24"/>
              <w:lang w:val="en-US" w:eastAsia="zh-CN"/>
            </w:rPr>
            <w:t>1</w:t>
          </w:r>
          <w:r>
            <w:rPr>
              <w:rFonts w:hint="default" w:ascii="Times New Roman" w:hAnsi="Times New Roman" w:eastAsia="仿宋_GB2312" w:cs="Times New Roman"/>
              <w:b w:val="0"/>
              <w:bCs w:val="0"/>
              <w:sz w:val="24"/>
              <w:szCs w:val="24"/>
            </w:rPr>
            <w:fldChar w:fldCharType="end"/>
          </w:r>
          <w:r>
            <w:rPr>
              <w:rFonts w:hint="default" w:ascii="Times New Roman" w:hAnsi="Times New Roman" w:eastAsia="仿宋_GB2312" w:cs="Times New Roman"/>
              <w:b w:val="0"/>
              <w:bCs w:val="0"/>
              <w:sz w:val="24"/>
              <w:szCs w:val="24"/>
              <w:lang w:val="en-US" w:eastAsia="zh-CN"/>
            </w:rPr>
            <w:t>0</w:t>
          </w:r>
        </w:p>
        <w:p w14:paraId="796D1E89">
          <w:pPr>
            <w:pStyle w:val="42"/>
            <w:keepNext w:val="0"/>
            <w:keepLines w:val="0"/>
            <w:pageBreakBefore w:val="0"/>
            <w:widowControl/>
            <w:tabs>
              <w:tab w:val="right" w:leader="dot" w:pos="8306"/>
            </w:tabs>
            <w:kinsoku/>
            <w:wordWrap/>
            <w:overflowPunct/>
            <w:topLinePunct w:val="0"/>
            <w:autoSpaceDE/>
            <w:autoSpaceDN/>
            <w:bidi w:val="0"/>
            <w:adjustRightInd/>
            <w:snapToGrid/>
            <w:spacing w:line="578" w:lineRule="exact"/>
            <w:textAlignment w:val="auto"/>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_Toc30590_WPSOffice_Level2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83057"/>
              <w:placeholder>
                <w:docPart w:val="{73d6c9de-7534-4208-a08e-ece750459b93}"/>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四、财政拨款收入支出决算总体情况说明</w:t>
              </w:r>
            </w:sdtContent>
          </w:sdt>
          <w:r>
            <w:rPr>
              <w:rFonts w:hint="default" w:ascii="Times New Roman" w:hAnsi="Times New Roman" w:eastAsia="仿宋_GB2312" w:cs="Times New Roman"/>
              <w:b w:val="0"/>
              <w:bCs w:val="0"/>
              <w:sz w:val="24"/>
              <w:szCs w:val="24"/>
            </w:rPr>
            <w:tab/>
          </w:r>
          <w:bookmarkStart w:id="13" w:name="_Toc30590_WPSOffice_Level2Page"/>
          <w:r>
            <w:rPr>
              <w:rFonts w:hint="default" w:ascii="Times New Roman" w:hAnsi="Times New Roman" w:eastAsia="仿宋_GB2312" w:cs="Times New Roman"/>
              <w:b w:val="0"/>
              <w:bCs w:val="0"/>
              <w:sz w:val="24"/>
              <w:szCs w:val="24"/>
              <w:lang w:val="en-US" w:eastAsia="zh-CN"/>
            </w:rPr>
            <w:t>10</w:t>
          </w:r>
          <w:bookmarkEnd w:id="13"/>
          <w:r>
            <w:rPr>
              <w:rFonts w:hint="default" w:ascii="Times New Roman" w:hAnsi="Times New Roman" w:eastAsia="仿宋_GB2312" w:cs="Times New Roman"/>
              <w:b w:val="0"/>
              <w:bCs w:val="0"/>
              <w:sz w:val="24"/>
              <w:szCs w:val="24"/>
            </w:rPr>
            <w:fldChar w:fldCharType="end"/>
          </w:r>
        </w:p>
        <w:p w14:paraId="60717F39">
          <w:pPr>
            <w:pStyle w:val="42"/>
            <w:keepNext w:val="0"/>
            <w:keepLines w:val="0"/>
            <w:pageBreakBefore w:val="0"/>
            <w:widowControl/>
            <w:tabs>
              <w:tab w:val="right" w:leader="dot" w:pos="8306"/>
            </w:tabs>
            <w:kinsoku/>
            <w:wordWrap/>
            <w:overflowPunct/>
            <w:topLinePunct w:val="0"/>
            <w:autoSpaceDE/>
            <w:autoSpaceDN/>
            <w:bidi w:val="0"/>
            <w:adjustRightInd/>
            <w:snapToGrid/>
            <w:spacing w:line="578" w:lineRule="exact"/>
            <w:textAlignment w:val="auto"/>
            <w:rPr>
              <w:rFonts w:hint="eastAsia" w:ascii="Times New Roman" w:hAnsi="Times New Roman" w:eastAsia="仿宋_GB2312" w:cs="Times New Roman"/>
              <w:b w:val="0"/>
              <w:bCs w:val="0"/>
              <w:sz w:val="24"/>
              <w:szCs w:val="24"/>
              <w:lang w:val="en-US" w:eastAsia="zh-CN"/>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_Toc993_WPSOffice_Level2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53097"/>
              <w:placeholder>
                <w:docPart w:val="{a3c89ce6-60cf-4dbd-9088-2388ae5ee344}"/>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五、一般公共预算财政拨款支出决算情况说明</w:t>
              </w:r>
            </w:sdtContent>
          </w:sdt>
          <w:r>
            <w:rPr>
              <w:rFonts w:hint="default" w:ascii="Times New Roman" w:hAnsi="Times New Roman" w:eastAsia="仿宋_GB2312" w:cs="Times New Roman"/>
              <w:b w:val="0"/>
              <w:bCs w:val="0"/>
              <w:sz w:val="24"/>
              <w:szCs w:val="24"/>
            </w:rPr>
            <w:tab/>
          </w:r>
          <w:r>
            <w:rPr>
              <w:rFonts w:hint="eastAsia" w:eastAsia="仿宋_GB2312" w:cs="Times New Roman"/>
              <w:b w:val="0"/>
              <w:bCs w:val="0"/>
              <w:sz w:val="24"/>
              <w:szCs w:val="24"/>
              <w:lang w:val="en-US" w:eastAsia="zh-CN"/>
            </w:rPr>
            <w:t>1</w:t>
          </w:r>
          <w:r>
            <w:rPr>
              <w:rFonts w:hint="default" w:ascii="Times New Roman" w:hAnsi="Times New Roman" w:eastAsia="仿宋_GB2312" w:cs="Times New Roman"/>
              <w:b w:val="0"/>
              <w:bCs w:val="0"/>
              <w:sz w:val="24"/>
              <w:szCs w:val="24"/>
            </w:rPr>
            <w:fldChar w:fldCharType="end"/>
          </w:r>
          <w:r>
            <w:rPr>
              <w:rFonts w:hint="eastAsia" w:eastAsia="仿宋_GB2312" w:cs="Times New Roman"/>
              <w:b w:val="0"/>
              <w:bCs w:val="0"/>
              <w:sz w:val="24"/>
              <w:szCs w:val="24"/>
              <w:lang w:val="en-US" w:eastAsia="zh-CN"/>
            </w:rPr>
            <w:t>1</w:t>
          </w:r>
        </w:p>
        <w:p w14:paraId="624D5320">
          <w:pPr>
            <w:pStyle w:val="42"/>
            <w:keepNext w:val="0"/>
            <w:keepLines w:val="0"/>
            <w:pageBreakBefore w:val="0"/>
            <w:widowControl/>
            <w:tabs>
              <w:tab w:val="right" w:leader="dot" w:pos="8306"/>
            </w:tabs>
            <w:kinsoku/>
            <w:wordWrap/>
            <w:overflowPunct/>
            <w:topLinePunct w:val="0"/>
            <w:autoSpaceDE/>
            <w:autoSpaceDN/>
            <w:bidi w:val="0"/>
            <w:adjustRightInd/>
            <w:snapToGrid/>
            <w:spacing w:line="578" w:lineRule="exact"/>
            <w:textAlignment w:val="auto"/>
            <w:rPr>
              <w:rFonts w:hint="default" w:ascii="Times New Roman" w:hAnsi="Times New Roman" w:eastAsia="仿宋_GB2312" w:cs="Times New Roman"/>
              <w:b w:val="0"/>
              <w:bCs w:val="0"/>
              <w:sz w:val="24"/>
              <w:szCs w:val="24"/>
              <w:lang w:val="en-US" w:eastAsia="zh-CN"/>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_Toc32085_WPSOffice_Level2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80493"/>
              <w:placeholder>
                <w:docPart w:val="{34781b3a-e75e-42d0-ba20-6c4eb92d361a}"/>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六、一般公共预算财政拨款基本支出决算情况说明</w:t>
              </w:r>
            </w:sdtContent>
          </w:sdt>
          <w:r>
            <w:rPr>
              <w:rFonts w:hint="default" w:ascii="Times New Roman" w:hAnsi="Times New Roman" w:eastAsia="仿宋_GB2312" w:cs="Times New Roman"/>
              <w:b w:val="0"/>
              <w:bCs w:val="0"/>
              <w:sz w:val="24"/>
              <w:szCs w:val="24"/>
            </w:rPr>
            <w:tab/>
          </w:r>
          <w:r>
            <w:rPr>
              <w:rFonts w:hint="default" w:ascii="Times New Roman" w:hAnsi="Times New Roman" w:eastAsia="仿宋_GB2312" w:cs="Times New Roman"/>
              <w:b w:val="0"/>
              <w:bCs w:val="0"/>
              <w:sz w:val="24"/>
              <w:szCs w:val="24"/>
              <w:lang w:val="en-US" w:eastAsia="zh-CN"/>
            </w:rPr>
            <w:t>1</w:t>
          </w:r>
          <w:r>
            <w:rPr>
              <w:rFonts w:hint="default" w:ascii="Times New Roman" w:hAnsi="Times New Roman" w:eastAsia="仿宋_GB2312" w:cs="Times New Roman"/>
              <w:b w:val="0"/>
              <w:bCs w:val="0"/>
              <w:sz w:val="24"/>
              <w:szCs w:val="24"/>
            </w:rPr>
            <w:fldChar w:fldCharType="end"/>
          </w:r>
          <w:r>
            <w:rPr>
              <w:rFonts w:hint="default" w:ascii="Times New Roman" w:hAnsi="Times New Roman" w:eastAsia="仿宋_GB2312" w:cs="Times New Roman"/>
              <w:b w:val="0"/>
              <w:bCs w:val="0"/>
              <w:sz w:val="24"/>
              <w:szCs w:val="24"/>
              <w:lang w:val="en-US" w:eastAsia="zh-CN"/>
            </w:rPr>
            <w:t>2</w:t>
          </w:r>
        </w:p>
        <w:p w14:paraId="509F379C">
          <w:pPr>
            <w:pStyle w:val="42"/>
            <w:keepNext w:val="0"/>
            <w:keepLines w:val="0"/>
            <w:pageBreakBefore w:val="0"/>
            <w:widowControl/>
            <w:tabs>
              <w:tab w:val="right" w:leader="dot" w:pos="8306"/>
            </w:tabs>
            <w:kinsoku/>
            <w:wordWrap/>
            <w:overflowPunct/>
            <w:topLinePunct w:val="0"/>
            <w:autoSpaceDE/>
            <w:autoSpaceDN/>
            <w:bidi w:val="0"/>
            <w:adjustRightInd/>
            <w:snapToGrid/>
            <w:spacing w:line="578" w:lineRule="exact"/>
            <w:textAlignment w:val="auto"/>
            <w:rPr>
              <w:rFonts w:hint="default" w:ascii="Times New Roman" w:hAnsi="Times New Roman" w:eastAsia="仿宋_GB2312" w:cs="Times New Roman"/>
              <w:b w:val="0"/>
              <w:bCs w:val="0"/>
              <w:sz w:val="24"/>
              <w:szCs w:val="24"/>
              <w:lang w:val="en-US" w:eastAsia="zh-CN"/>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_Toc31573_WPSOffice_Level2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58283"/>
              <w:placeholder>
                <w:docPart w:val="{91acb14b-0931-4240-883b-a82bd360e33d}"/>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七、财政拨款“三公”经费支出决算情况说明</w:t>
              </w:r>
            </w:sdtContent>
          </w:sdt>
          <w:r>
            <w:rPr>
              <w:rFonts w:hint="default" w:ascii="Times New Roman" w:hAnsi="Times New Roman" w:eastAsia="仿宋_GB2312" w:cs="Times New Roman"/>
              <w:b w:val="0"/>
              <w:bCs w:val="0"/>
              <w:sz w:val="24"/>
              <w:szCs w:val="24"/>
            </w:rPr>
            <w:tab/>
          </w:r>
          <w:r>
            <w:rPr>
              <w:rFonts w:hint="default" w:ascii="Times New Roman" w:hAnsi="Times New Roman" w:eastAsia="仿宋_GB2312" w:cs="Times New Roman"/>
              <w:b w:val="0"/>
              <w:bCs w:val="0"/>
              <w:sz w:val="24"/>
              <w:szCs w:val="24"/>
              <w:lang w:val="en-US" w:eastAsia="zh-CN"/>
            </w:rPr>
            <w:t>1</w:t>
          </w:r>
          <w:r>
            <w:rPr>
              <w:rFonts w:hint="default" w:ascii="Times New Roman" w:hAnsi="Times New Roman" w:eastAsia="仿宋_GB2312" w:cs="Times New Roman"/>
              <w:b w:val="0"/>
              <w:bCs w:val="0"/>
              <w:sz w:val="24"/>
              <w:szCs w:val="24"/>
            </w:rPr>
            <w:fldChar w:fldCharType="end"/>
          </w:r>
          <w:r>
            <w:rPr>
              <w:rFonts w:hint="default" w:ascii="Times New Roman" w:hAnsi="Times New Roman" w:eastAsia="仿宋_GB2312" w:cs="Times New Roman"/>
              <w:b w:val="0"/>
              <w:bCs w:val="0"/>
              <w:sz w:val="24"/>
              <w:szCs w:val="24"/>
              <w:lang w:val="en-US" w:eastAsia="zh-CN"/>
            </w:rPr>
            <w:t>3</w:t>
          </w:r>
        </w:p>
        <w:p w14:paraId="40E391E8">
          <w:pPr>
            <w:pStyle w:val="42"/>
            <w:keepNext w:val="0"/>
            <w:keepLines w:val="0"/>
            <w:pageBreakBefore w:val="0"/>
            <w:widowControl/>
            <w:tabs>
              <w:tab w:val="right" w:leader="dot" w:pos="8306"/>
            </w:tabs>
            <w:kinsoku/>
            <w:wordWrap/>
            <w:overflowPunct/>
            <w:topLinePunct w:val="0"/>
            <w:autoSpaceDE/>
            <w:autoSpaceDN/>
            <w:bidi w:val="0"/>
            <w:adjustRightInd/>
            <w:snapToGrid/>
            <w:spacing w:line="578" w:lineRule="exact"/>
            <w:textAlignment w:val="auto"/>
            <w:rPr>
              <w:rFonts w:hint="default" w:ascii="Times New Roman" w:hAnsi="Times New Roman" w:eastAsia="仿宋_GB2312" w:cs="Times New Roman"/>
              <w:b w:val="0"/>
              <w:bCs w:val="0"/>
              <w:sz w:val="24"/>
              <w:szCs w:val="24"/>
              <w:lang w:val="en-US" w:eastAsia="zh-CN"/>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_Toc12208_WPSOffice_Level2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81633"/>
              <w:placeholder>
                <w:docPart w:val="{1fb4cf80-5c42-4edb-965a-d7e0ee612ff8}"/>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八、政府性基金预算支出决算情况说明</w:t>
              </w:r>
            </w:sdtContent>
          </w:sdt>
          <w:r>
            <w:rPr>
              <w:rFonts w:hint="default" w:ascii="Times New Roman" w:hAnsi="Times New Roman" w:eastAsia="仿宋_GB2312" w:cs="Times New Roman"/>
              <w:b w:val="0"/>
              <w:bCs w:val="0"/>
              <w:sz w:val="24"/>
              <w:szCs w:val="24"/>
            </w:rPr>
            <w:tab/>
          </w:r>
          <w:r>
            <w:rPr>
              <w:rFonts w:hint="default" w:ascii="Times New Roman" w:hAnsi="Times New Roman" w:eastAsia="仿宋_GB2312" w:cs="Times New Roman"/>
              <w:b w:val="0"/>
              <w:bCs w:val="0"/>
              <w:sz w:val="24"/>
              <w:szCs w:val="24"/>
              <w:lang w:val="en-US" w:eastAsia="zh-CN"/>
            </w:rPr>
            <w:t>1</w:t>
          </w:r>
          <w:r>
            <w:rPr>
              <w:rFonts w:hint="default" w:ascii="Times New Roman" w:hAnsi="Times New Roman" w:eastAsia="仿宋_GB2312" w:cs="Times New Roman"/>
              <w:b w:val="0"/>
              <w:bCs w:val="0"/>
              <w:sz w:val="24"/>
              <w:szCs w:val="24"/>
            </w:rPr>
            <w:fldChar w:fldCharType="end"/>
          </w:r>
          <w:r>
            <w:rPr>
              <w:rFonts w:hint="default" w:ascii="Times New Roman" w:hAnsi="Times New Roman" w:eastAsia="仿宋_GB2312" w:cs="Times New Roman"/>
              <w:b w:val="0"/>
              <w:bCs w:val="0"/>
              <w:sz w:val="24"/>
              <w:szCs w:val="24"/>
              <w:lang w:val="en-US" w:eastAsia="zh-CN"/>
            </w:rPr>
            <w:t>4</w:t>
          </w:r>
        </w:p>
        <w:p w14:paraId="60B7DC72">
          <w:pPr>
            <w:pStyle w:val="42"/>
            <w:keepNext w:val="0"/>
            <w:keepLines w:val="0"/>
            <w:pageBreakBefore w:val="0"/>
            <w:widowControl/>
            <w:tabs>
              <w:tab w:val="right" w:leader="dot" w:pos="8306"/>
            </w:tabs>
            <w:kinsoku/>
            <w:wordWrap/>
            <w:overflowPunct/>
            <w:topLinePunct w:val="0"/>
            <w:autoSpaceDE/>
            <w:autoSpaceDN/>
            <w:bidi w:val="0"/>
            <w:adjustRightInd/>
            <w:snapToGrid/>
            <w:spacing w:line="578" w:lineRule="exact"/>
            <w:textAlignment w:val="auto"/>
            <w:rPr>
              <w:rFonts w:hint="default" w:ascii="Times New Roman" w:hAnsi="Times New Roman" w:eastAsia="仿宋_GB2312" w:cs="Times New Roman"/>
              <w:b w:val="0"/>
              <w:bCs w:val="0"/>
              <w:sz w:val="24"/>
              <w:szCs w:val="24"/>
              <w:lang w:val="en-US" w:eastAsia="zh-CN"/>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_Toc32575_WPSOffice_Level2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75524"/>
              <w:placeholder>
                <w:docPart w:val="{2edcb7aa-2410-456c-9139-c5591cb829a9}"/>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九、国有资本经营预算支出决算情况说明</w:t>
              </w:r>
            </w:sdtContent>
          </w:sdt>
          <w:r>
            <w:rPr>
              <w:rFonts w:hint="default" w:ascii="Times New Roman" w:hAnsi="Times New Roman" w:eastAsia="仿宋_GB2312" w:cs="Times New Roman"/>
              <w:b w:val="0"/>
              <w:bCs w:val="0"/>
              <w:sz w:val="24"/>
              <w:szCs w:val="24"/>
            </w:rPr>
            <w:tab/>
          </w:r>
          <w:r>
            <w:rPr>
              <w:rFonts w:hint="default" w:ascii="Times New Roman" w:hAnsi="Times New Roman" w:eastAsia="仿宋_GB2312" w:cs="Times New Roman"/>
              <w:b w:val="0"/>
              <w:bCs w:val="0"/>
              <w:sz w:val="24"/>
              <w:szCs w:val="24"/>
              <w:lang w:val="en-US" w:eastAsia="zh-CN"/>
            </w:rPr>
            <w:t>1</w:t>
          </w:r>
          <w:r>
            <w:rPr>
              <w:rFonts w:hint="default" w:ascii="Times New Roman" w:hAnsi="Times New Roman" w:eastAsia="仿宋_GB2312" w:cs="Times New Roman"/>
              <w:b w:val="0"/>
              <w:bCs w:val="0"/>
              <w:sz w:val="24"/>
              <w:szCs w:val="24"/>
            </w:rPr>
            <w:fldChar w:fldCharType="end"/>
          </w:r>
          <w:r>
            <w:rPr>
              <w:rFonts w:hint="default" w:ascii="Times New Roman" w:hAnsi="Times New Roman" w:eastAsia="仿宋_GB2312" w:cs="Times New Roman"/>
              <w:b w:val="0"/>
              <w:bCs w:val="0"/>
              <w:sz w:val="24"/>
              <w:szCs w:val="24"/>
              <w:lang w:val="en-US" w:eastAsia="zh-CN"/>
            </w:rPr>
            <w:t>4</w:t>
          </w:r>
        </w:p>
        <w:p w14:paraId="717A3772">
          <w:pPr>
            <w:pStyle w:val="42"/>
            <w:keepNext w:val="0"/>
            <w:keepLines w:val="0"/>
            <w:pageBreakBefore w:val="0"/>
            <w:widowControl/>
            <w:tabs>
              <w:tab w:val="right" w:leader="dot" w:pos="8306"/>
            </w:tabs>
            <w:kinsoku/>
            <w:wordWrap/>
            <w:overflowPunct/>
            <w:topLinePunct w:val="0"/>
            <w:autoSpaceDE/>
            <w:autoSpaceDN/>
            <w:bidi w:val="0"/>
            <w:adjustRightInd/>
            <w:snapToGrid/>
            <w:spacing w:line="578" w:lineRule="exact"/>
            <w:textAlignment w:val="auto"/>
            <w:rPr>
              <w:rFonts w:hint="default" w:ascii="Times New Roman" w:hAnsi="Times New Roman" w:eastAsia="仿宋_GB2312" w:cs="Times New Roman"/>
              <w:b w:val="0"/>
              <w:bCs w:val="0"/>
              <w:sz w:val="24"/>
              <w:szCs w:val="24"/>
              <w:lang w:val="en-US" w:eastAsia="zh-CN"/>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_Toc9117_WPSOffice_Level2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83356"/>
              <w:placeholder>
                <w:docPart w:val="{0553a680-1a18-4521-bcff-87066d9b0b17}"/>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十、其他重要事项的情况说明</w:t>
              </w:r>
            </w:sdtContent>
          </w:sdt>
          <w:r>
            <w:rPr>
              <w:rFonts w:hint="default" w:ascii="Times New Roman" w:hAnsi="Times New Roman" w:eastAsia="仿宋_GB2312" w:cs="Times New Roman"/>
              <w:b w:val="0"/>
              <w:bCs w:val="0"/>
              <w:sz w:val="24"/>
              <w:szCs w:val="24"/>
            </w:rPr>
            <w:tab/>
          </w:r>
          <w:r>
            <w:rPr>
              <w:rFonts w:hint="default" w:ascii="Times New Roman" w:hAnsi="Times New Roman" w:eastAsia="仿宋_GB2312" w:cs="Times New Roman"/>
              <w:b w:val="0"/>
              <w:bCs w:val="0"/>
              <w:sz w:val="24"/>
              <w:szCs w:val="24"/>
              <w:lang w:val="en-US" w:eastAsia="zh-CN"/>
            </w:rPr>
            <w:t>1</w:t>
          </w:r>
          <w:r>
            <w:rPr>
              <w:rFonts w:hint="default" w:ascii="Times New Roman" w:hAnsi="Times New Roman" w:eastAsia="仿宋_GB2312" w:cs="Times New Roman"/>
              <w:b w:val="0"/>
              <w:bCs w:val="0"/>
              <w:sz w:val="24"/>
              <w:szCs w:val="24"/>
            </w:rPr>
            <w:fldChar w:fldCharType="end"/>
          </w:r>
          <w:r>
            <w:rPr>
              <w:rFonts w:hint="default" w:ascii="Times New Roman" w:hAnsi="Times New Roman" w:eastAsia="仿宋_GB2312" w:cs="Times New Roman"/>
              <w:b w:val="0"/>
              <w:bCs w:val="0"/>
              <w:sz w:val="24"/>
              <w:szCs w:val="24"/>
              <w:lang w:val="en-US" w:eastAsia="zh-CN"/>
            </w:rPr>
            <w:t>4</w:t>
          </w:r>
        </w:p>
        <w:p w14:paraId="039EA9D7">
          <w:pPr>
            <w:pStyle w:val="41"/>
            <w:pageBreakBefore w:val="0"/>
            <w:tabs>
              <w:tab w:val="right" w:leader="dot" w:pos="8306"/>
            </w:tabs>
            <w:kinsoku/>
            <w:wordWrap/>
            <w:overflowPunct/>
            <w:topLinePunct w:val="0"/>
            <w:autoSpaceDE/>
            <w:autoSpaceDN/>
            <w:bidi w:val="0"/>
            <w:adjustRightInd/>
            <w:snapToGrid/>
            <w:spacing w:line="578" w:lineRule="exact"/>
            <w:textAlignment w:val="auto"/>
            <w:rPr>
              <w:rFonts w:hint="default" w:ascii="Times New Roman" w:hAnsi="Times New Roman" w:eastAsia="仿宋" w:cs="Times New Roman"/>
              <w:b/>
              <w:bCs/>
              <w:sz w:val="22"/>
              <w:szCs w:val="22"/>
              <w:lang w:val="en-US" w:eastAsia="zh-CN"/>
            </w:rPr>
          </w:pPr>
          <w:r>
            <w:rPr>
              <w:rFonts w:hint="default" w:ascii="Times New Roman" w:hAnsi="Times New Roman" w:eastAsia="仿宋" w:cs="Times New Roman"/>
              <w:b/>
              <w:bCs/>
              <w:sz w:val="22"/>
              <w:szCs w:val="22"/>
            </w:rPr>
            <w:fldChar w:fldCharType="begin"/>
          </w:r>
          <w:r>
            <w:rPr>
              <w:rFonts w:hint="default" w:ascii="Times New Roman" w:hAnsi="Times New Roman" w:eastAsia="仿宋" w:cs="Times New Roman"/>
              <w:b/>
              <w:bCs/>
              <w:sz w:val="22"/>
              <w:szCs w:val="22"/>
            </w:rPr>
            <w:instrText xml:space="preserve"> HYPERLINK \l _Toc18829_WPSOffice_Level1 </w:instrText>
          </w:r>
          <w:r>
            <w:rPr>
              <w:rFonts w:hint="default" w:ascii="Times New Roman" w:hAnsi="Times New Roman" w:eastAsia="仿宋" w:cs="Times New Roman"/>
              <w:b/>
              <w:bCs/>
              <w:sz w:val="22"/>
              <w:szCs w:val="22"/>
            </w:rPr>
            <w:fldChar w:fldCharType="separate"/>
          </w:r>
          <w:sdt>
            <w:sdtPr>
              <w:rPr>
                <w:rFonts w:hint="default" w:ascii="Times New Roman" w:hAnsi="Times New Roman" w:eastAsia="楷体_GB2312" w:cs="Times New Roman"/>
                <w:b/>
                <w:bCs/>
                <w:sz w:val="32"/>
                <w:szCs w:val="32"/>
                <w:lang w:val="en-US" w:eastAsia="zh-CN"/>
              </w:rPr>
              <w:id w:val="147455263"/>
              <w:placeholder>
                <w:docPart w:val="{e7bd791c-f785-4487-a4f5-9f4ebb19bb2c}"/>
              </w:placeholder>
              <w15:color w:val="509DF3"/>
            </w:sdtPr>
            <w:sdtEndPr>
              <w:rPr>
                <w:rFonts w:hint="default" w:ascii="Times New Roman" w:hAnsi="Times New Roman" w:eastAsia="仿宋" w:cs="Times New Roman"/>
                <w:b/>
                <w:bCs/>
                <w:sz w:val="22"/>
                <w:szCs w:val="22"/>
                <w:lang w:val="en-US" w:eastAsia="zh-CN"/>
              </w:rPr>
            </w:sdtEndPr>
            <w:sdtContent>
              <w:r>
                <w:rPr>
                  <w:rFonts w:hint="default" w:ascii="Times New Roman" w:hAnsi="Times New Roman" w:eastAsia="楷体_GB2312" w:cs="Times New Roman"/>
                  <w:b/>
                  <w:bCs/>
                  <w:sz w:val="32"/>
                  <w:szCs w:val="32"/>
                </w:rPr>
                <w:t>第三部分  名词解释</w:t>
              </w:r>
            </w:sdtContent>
          </w:sdt>
          <w:r>
            <w:rPr>
              <w:rFonts w:hint="default" w:ascii="Times New Roman" w:hAnsi="Times New Roman" w:eastAsia="仿宋" w:cs="Times New Roman"/>
              <w:b/>
              <w:bCs/>
              <w:sz w:val="22"/>
              <w:szCs w:val="22"/>
            </w:rPr>
            <w:tab/>
          </w:r>
          <w:r>
            <w:rPr>
              <w:rFonts w:hint="default" w:ascii="Times New Roman" w:hAnsi="Times New Roman" w:eastAsia="仿宋" w:cs="Times New Roman"/>
              <w:b/>
              <w:bCs/>
              <w:sz w:val="22"/>
              <w:szCs w:val="22"/>
            </w:rPr>
            <w:fldChar w:fldCharType="end"/>
          </w:r>
          <w:r>
            <w:rPr>
              <w:rFonts w:hint="default" w:ascii="Times New Roman" w:hAnsi="Times New Roman" w:eastAsia="仿宋" w:cs="Times New Roman"/>
              <w:b/>
              <w:bCs/>
              <w:sz w:val="22"/>
              <w:szCs w:val="22"/>
              <w:lang w:val="en-US" w:eastAsia="zh-CN"/>
            </w:rPr>
            <w:t>1</w:t>
          </w:r>
          <w:r>
            <w:rPr>
              <w:rFonts w:hint="eastAsia" w:eastAsia="仿宋" w:cs="Times New Roman"/>
              <w:b/>
              <w:bCs/>
              <w:sz w:val="22"/>
              <w:szCs w:val="22"/>
              <w:lang w:val="en-US" w:eastAsia="zh-CN"/>
            </w:rPr>
            <w:t>6</w:t>
          </w:r>
        </w:p>
        <w:p w14:paraId="4A763ECD">
          <w:pPr>
            <w:pStyle w:val="41"/>
            <w:pageBreakBefore w:val="0"/>
            <w:tabs>
              <w:tab w:val="right" w:leader="dot" w:pos="8306"/>
            </w:tabs>
            <w:kinsoku/>
            <w:wordWrap/>
            <w:overflowPunct/>
            <w:topLinePunct w:val="0"/>
            <w:autoSpaceDE/>
            <w:autoSpaceDN/>
            <w:bidi w:val="0"/>
            <w:adjustRightInd/>
            <w:snapToGrid/>
            <w:spacing w:line="578" w:lineRule="exact"/>
            <w:textAlignment w:val="auto"/>
            <w:rPr>
              <w:rFonts w:hint="default" w:ascii="Times New Roman" w:hAnsi="Times New Roman" w:eastAsia="仿宋" w:cs="Times New Roman"/>
              <w:b/>
              <w:bCs/>
              <w:sz w:val="22"/>
              <w:szCs w:val="22"/>
              <w:lang w:val="en-US" w:eastAsia="zh-CN"/>
            </w:rPr>
          </w:pPr>
          <w:r>
            <w:rPr>
              <w:rFonts w:hint="default" w:ascii="Times New Roman" w:hAnsi="Times New Roman" w:eastAsia="仿宋" w:cs="Times New Roman"/>
              <w:b/>
              <w:bCs/>
              <w:sz w:val="22"/>
              <w:szCs w:val="22"/>
            </w:rPr>
            <w:fldChar w:fldCharType="begin"/>
          </w:r>
          <w:r>
            <w:rPr>
              <w:rFonts w:hint="default" w:ascii="Times New Roman" w:hAnsi="Times New Roman" w:eastAsia="仿宋" w:cs="Times New Roman"/>
              <w:b/>
              <w:bCs/>
              <w:sz w:val="22"/>
              <w:szCs w:val="22"/>
            </w:rPr>
            <w:instrText xml:space="preserve"> HYPERLINK \l _Toc4725_WPSOffice_Level1 </w:instrText>
          </w:r>
          <w:r>
            <w:rPr>
              <w:rFonts w:hint="default" w:ascii="Times New Roman" w:hAnsi="Times New Roman" w:eastAsia="仿宋" w:cs="Times New Roman"/>
              <w:b/>
              <w:bCs/>
              <w:sz w:val="22"/>
              <w:szCs w:val="22"/>
            </w:rPr>
            <w:fldChar w:fldCharType="separate"/>
          </w:r>
          <w:sdt>
            <w:sdtPr>
              <w:rPr>
                <w:rFonts w:hint="default" w:ascii="Times New Roman" w:hAnsi="Times New Roman" w:eastAsia="楷体_GB2312" w:cs="Times New Roman"/>
                <w:b/>
                <w:bCs/>
                <w:sz w:val="32"/>
                <w:szCs w:val="32"/>
                <w:lang w:val="en-US" w:eastAsia="zh-CN"/>
              </w:rPr>
              <w:id w:val="147481347"/>
              <w:placeholder>
                <w:docPart w:val="{baa67dfd-6d7b-465c-aa22-f8f05e0b5360}"/>
              </w:placeholder>
              <w15:color w:val="509DF3"/>
            </w:sdtPr>
            <w:sdtEndPr>
              <w:rPr>
                <w:rFonts w:hint="default" w:ascii="Times New Roman" w:hAnsi="Times New Roman" w:eastAsia="仿宋" w:cs="Times New Roman"/>
                <w:b/>
                <w:bCs/>
                <w:sz w:val="22"/>
                <w:szCs w:val="22"/>
                <w:lang w:val="en-US" w:eastAsia="zh-CN"/>
              </w:rPr>
            </w:sdtEndPr>
            <w:sdtContent>
              <w:r>
                <w:rPr>
                  <w:rFonts w:hint="default" w:ascii="Times New Roman" w:hAnsi="Times New Roman" w:eastAsia="楷体_GB2312" w:cs="Times New Roman"/>
                  <w:b/>
                  <w:bCs/>
                  <w:sz w:val="32"/>
                  <w:szCs w:val="32"/>
                </w:rPr>
                <w:t>第四部分  附件</w:t>
              </w:r>
            </w:sdtContent>
          </w:sdt>
          <w:r>
            <w:rPr>
              <w:rFonts w:hint="default" w:ascii="Times New Roman" w:hAnsi="Times New Roman" w:eastAsia="仿宋" w:cs="Times New Roman"/>
              <w:b/>
              <w:bCs/>
              <w:sz w:val="22"/>
              <w:szCs w:val="22"/>
            </w:rPr>
            <w:tab/>
          </w:r>
          <w:r>
            <w:rPr>
              <w:rFonts w:hint="eastAsia" w:eastAsia="仿宋" w:cs="Times New Roman"/>
              <w:b/>
              <w:bCs/>
              <w:sz w:val="22"/>
              <w:szCs w:val="22"/>
              <w:lang w:val="en-US" w:eastAsia="zh-CN"/>
            </w:rPr>
            <w:t>1</w:t>
          </w:r>
          <w:r>
            <w:rPr>
              <w:rFonts w:hint="default" w:ascii="Times New Roman" w:hAnsi="Times New Roman" w:eastAsia="仿宋" w:cs="Times New Roman"/>
              <w:b/>
              <w:bCs/>
              <w:sz w:val="22"/>
              <w:szCs w:val="22"/>
            </w:rPr>
            <w:fldChar w:fldCharType="end"/>
          </w:r>
          <w:r>
            <w:rPr>
              <w:rFonts w:hint="eastAsia" w:eastAsia="仿宋" w:cs="Times New Roman"/>
              <w:b/>
              <w:bCs/>
              <w:sz w:val="22"/>
              <w:szCs w:val="22"/>
              <w:lang w:val="en-US" w:eastAsia="zh-CN"/>
            </w:rPr>
            <w:t>9</w:t>
          </w:r>
        </w:p>
        <w:p w14:paraId="6802D5F4">
          <w:pPr>
            <w:pStyle w:val="42"/>
            <w:keepNext w:val="0"/>
            <w:keepLines w:val="0"/>
            <w:pageBreakBefore w:val="0"/>
            <w:widowControl/>
            <w:tabs>
              <w:tab w:val="right" w:leader="dot" w:pos="8306"/>
            </w:tabs>
            <w:kinsoku/>
            <w:wordWrap/>
            <w:overflowPunct/>
            <w:topLinePunct w:val="0"/>
            <w:autoSpaceDE/>
            <w:autoSpaceDN/>
            <w:bidi w:val="0"/>
            <w:adjustRightInd/>
            <w:snapToGrid/>
            <w:spacing w:line="578" w:lineRule="exact"/>
            <w:textAlignment w:val="auto"/>
            <w:rPr>
              <w:rFonts w:hint="default" w:ascii="Times New Roman" w:hAnsi="Times New Roman" w:eastAsia="仿宋_GB2312" w:cs="Times New Roman"/>
              <w:b w:val="0"/>
              <w:bCs w:val="0"/>
              <w:sz w:val="24"/>
              <w:szCs w:val="24"/>
              <w:lang w:val="en-US" w:eastAsia="zh-CN"/>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_Toc12946_WPSOffice_Level2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82335"/>
              <w:placeholder>
                <w:docPart w:val="{0eb3c99a-9bfa-4730-82a2-9b7379fd0b2d}"/>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部门预算绩效</w:t>
              </w:r>
              <w:r>
                <w:rPr>
                  <w:rFonts w:hint="default" w:ascii="Times New Roman" w:hAnsi="Times New Roman" w:eastAsia="仿宋_GB2312" w:cs="Times New Roman"/>
                  <w:b w:val="0"/>
                  <w:bCs w:val="0"/>
                  <w:sz w:val="24"/>
                  <w:szCs w:val="24"/>
                  <w:lang w:val="en-US" w:eastAsia="zh-CN"/>
                </w:rPr>
                <w:t>评价报告</w:t>
              </w:r>
            </w:sdtContent>
          </w:sdt>
          <w:r>
            <w:rPr>
              <w:rFonts w:hint="default" w:ascii="Times New Roman" w:hAnsi="Times New Roman" w:eastAsia="仿宋_GB2312" w:cs="Times New Roman"/>
              <w:b w:val="0"/>
              <w:bCs w:val="0"/>
              <w:sz w:val="24"/>
              <w:szCs w:val="24"/>
            </w:rPr>
            <w:tab/>
          </w:r>
          <w:r>
            <w:rPr>
              <w:rFonts w:hint="eastAsia" w:eastAsia="仿宋_GB2312" w:cs="Times New Roman"/>
              <w:b w:val="0"/>
              <w:bCs w:val="0"/>
              <w:sz w:val="24"/>
              <w:szCs w:val="24"/>
              <w:lang w:val="en-US" w:eastAsia="zh-CN"/>
            </w:rPr>
            <w:t>1</w:t>
          </w:r>
          <w:r>
            <w:rPr>
              <w:rFonts w:hint="default" w:ascii="Times New Roman" w:hAnsi="Times New Roman" w:eastAsia="仿宋_GB2312" w:cs="Times New Roman"/>
              <w:b w:val="0"/>
              <w:bCs w:val="0"/>
              <w:sz w:val="24"/>
              <w:szCs w:val="24"/>
            </w:rPr>
            <w:fldChar w:fldCharType="end"/>
          </w:r>
          <w:r>
            <w:rPr>
              <w:rFonts w:hint="eastAsia" w:eastAsia="仿宋_GB2312" w:cs="Times New Roman"/>
              <w:b w:val="0"/>
              <w:bCs w:val="0"/>
              <w:sz w:val="24"/>
              <w:szCs w:val="24"/>
              <w:lang w:val="en-US" w:eastAsia="zh-CN"/>
            </w:rPr>
            <w:t>9</w:t>
          </w:r>
        </w:p>
        <w:p w14:paraId="1FBAD916">
          <w:pPr>
            <w:pStyle w:val="41"/>
            <w:pageBreakBefore w:val="0"/>
            <w:tabs>
              <w:tab w:val="right" w:leader="dot" w:pos="8306"/>
            </w:tabs>
            <w:kinsoku/>
            <w:wordWrap/>
            <w:overflowPunct/>
            <w:topLinePunct w:val="0"/>
            <w:autoSpaceDE/>
            <w:autoSpaceDN/>
            <w:bidi w:val="0"/>
            <w:adjustRightInd/>
            <w:snapToGrid/>
            <w:spacing w:line="578" w:lineRule="exact"/>
            <w:textAlignment w:val="auto"/>
            <w:rPr>
              <w:rFonts w:hint="default" w:ascii="Times New Roman" w:hAnsi="Times New Roman" w:eastAsia="仿宋" w:cs="Times New Roman"/>
              <w:sz w:val="22"/>
              <w:szCs w:val="22"/>
              <w:lang w:val="en-US" w:eastAsia="zh-CN"/>
            </w:rPr>
          </w:pPr>
          <w:r>
            <w:rPr>
              <w:rFonts w:hint="default" w:ascii="Times New Roman" w:hAnsi="Times New Roman" w:eastAsia="仿宋" w:cs="Times New Roman"/>
              <w:b/>
              <w:bCs/>
              <w:sz w:val="22"/>
              <w:szCs w:val="22"/>
            </w:rPr>
            <w:fldChar w:fldCharType="begin"/>
          </w:r>
          <w:r>
            <w:rPr>
              <w:rFonts w:hint="default" w:ascii="Times New Roman" w:hAnsi="Times New Roman" w:eastAsia="仿宋" w:cs="Times New Roman"/>
              <w:sz w:val="22"/>
              <w:szCs w:val="22"/>
            </w:rPr>
            <w:instrText xml:space="preserve"> HYPERLINK \l _Toc21269_WPSOffice_Level1 </w:instrText>
          </w:r>
          <w:r>
            <w:rPr>
              <w:rFonts w:hint="default" w:ascii="Times New Roman" w:hAnsi="Times New Roman" w:eastAsia="仿宋" w:cs="Times New Roman"/>
              <w:b/>
              <w:bCs/>
              <w:sz w:val="22"/>
              <w:szCs w:val="22"/>
            </w:rPr>
            <w:fldChar w:fldCharType="separate"/>
          </w:r>
          <w:sdt>
            <w:sdtPr>
              <w:rPr>
                <w:rFonts w:hint="default" w:ascii="Times New Roman" w:hAnsi="Times New Roman" w:eastAsia="仿宋" w:cs="Times New Roman"/>
                <w:b/>
                <w:bCs/>
                <w:kern w:val="44"/>
                <w:sz w:val="52"/>
                <w:szCs w:val="52"/>
                <w:lang w:val="en-US" w:eastAsia="zh-CN" w:bidi="ar-SA"/>
              </w:rPr>
              <w:id w:val="147478532"/>
              <w:placeholder>
                <w:docPart w:val="{3d3d9bf8-69de-4e11-b7b7-890cdf6c29f5}"/>
              </w:placeholder>
              <w15:color w:val="509DF3"/>
            </w:sdtPr>
            <w:sdtEndPr>
              <w:rPr>
                <w:rFonts w:hint="default" w:ascii="Times New Roman" w:hAnsi="Times New Roman" w:eastAsia="楷体_GB2312" w:cs="Times New Roman"/>
                <w:b/>
                <w:bCs/>
                <w:kern w:val="44"/>
                <w:sz w:val="32"/>
                <w:szCs w:val="32"/>
                <w:lang w:val="en-US" w:eastAsia="zh-CN" w:bidi="ar-SA"/>
              </w:rPr>
            </w:sdtEndPr>
            <w:sdtContent>
              <w:r>
                <w:rPr>
                  <w:rFonts w:hint="default" w:ascii="Times New Roman" w:hAnsi="Times New Roman" w:eastAsia="楷体_GB2312" w:cs="Times New Roman"/>
                  <w:b/>
                  <w:bCs/>
                  <w:sz w:val="32"/>
                  <w:szCs w:val="32"/>
                </w:rPr>
                <w:t xml:space="preserve">第五部分 </w:t>
              </w:r>
              <w:r>
                <w:rPr>
                  <w:rFonts w:hint="default" w:ascii="Times New Roman" w:hAnsi="Times New Roman" w:eastAsia="楷体_GB2312" w:cs="Times New Roman"/>
                  <w:b/>
                  <w:bCs/>
                  <w:sz w:val="32"/>
                  <w:szCs w:val="32"/>
                  <w:lang w:val="en-US" w:eastAsia="zh-CN"/>
                </w:rPr>
                <w:t xml:space="preserve"> </w:t>
              </w:r>
              <w:r>
                <w:rPr>
                  <w:rFonts w:hint="default" w:ascii="Times New Roman" w:hAnsi="Times New Roman" w:eastAsia="楷体_GB2312" w:cs="Times New Roman"/>
                  <w:b/>
                  <w:bCs/>
                  <w:sz w:val="32"/>
                  <w:szCs w:val="32"/>
                </w:rPr>
                <w:t>附表</w:t>
              </w:r>
            </w:sdtContent>
          </w:sdt>
          <w:r>
            <w:rPr>
              <w:rFonts w:hint="default" w:ascii="Times New Roman" w:hAnsi="Times New Roman" w:eastAsia="仿宋" w:cs="Times New Roman"/>
              <w:b/>
              <w:bCs/>
              <w:sz w:val="22"/>
              <w:szCs w:val="22"/>
            </w:rPr>
            <w:tab/>
          </w:r>
          <w:r>
            <w:rPr>
              <w:rFonts w:hint="eastAsia" w:eastAsia="仿宋" w:cs="Times New Roman"/>
              <w:b/>
              <w:bCs/>
              <w:sz w:val="22"/>
              <w:szCs w:val="22"/>
              <w:lang w:val="en-US" w:eastAsia="zh-CN"/>
            </w:rPr>
            <w:t>2</w:t>
          </w:r>
          <w:r>
            <w:rPr>
              <w:rFonts w:hint="default" w:ascii="Times New Roman" w:hAnsi="Times New Roman" w:eastAsia="仿宋" w:cs="Times New Roman"/>
              <w:b/>
              <w:bCs/>
              <w:sz w:val="22"/>
              <w:szCs w:val="22"/>
            </w:rPr>
            <w:fldChar w:fldCharType="end"/>
          </w:r>
          <w:r>
            <w:rPr>
              <w:rFonts w:hint="eastAsia" w:eastAsia="仿宋" w:cs="Times New Roman"/>
              <w:b/>
              <w:bCs/>
              <w:sz w:val="22"/>
              <w:szCs w:val="22"/>
              <w:lang w:val="en-US" w:eastAsia="zh-CN"/>
            </w:rPr>
            <w:t>8</w:t>
          </w:r>
        </w:p>
        <w:p w14:paraId="4103EEFB">
          <w:pPr>
            <w:pStyle w:val="42"/>
            <w:keepNext w:val="0"/>
            <w:keepLines w:val="0"/>
            <w:pageBreakBefore w:val="0"/>
            <w:widowControl/>
            <w:tabs>
              <w:tab w:val="right" w:leader="dot" w:pos="8306"/>
            </w:tabs>
            <w:kinsoku/>
            <w:wordWrap/>
            <w:overflowPunct/>
            <w:topLinePunct w:val="0"/>
            <w:autoSpaceDE/>
            <w:autoSpaceDN/>
            <w:bidi w:val="0"/>
            <w:adjustRightInd/>
            <w:snapToGrid/>
            <w:spacing w:line="578" w:lineRule="exact"/>
            <w:textAlignment w:val="auto"/>
            <w:rPr>
              <w:rFonts w:hint="default" w:ascii="Times New Roman" w:hAnsi="Times New Roman" w:eastAsia="仿宋_GB2312" w:cs="Times New Roman"/>
              <w:b w:val="0"/>
              <w:bCs w:val="0"/>
              <w:sz w:val="24"/>
              <w:szCs w:val="24"/>
              <w:lang w:val="en-US" w:eastAsia="zh-CN"/>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_Toc12795_WPSOffice_Level2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53558"/>
              <w:placeholder>
                <w:docPart w:val="{0e1ef47d-8efe-4cde-80ba-7efff29c22f4}"/>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一、收入支出决算总表</w:t>
              </w:r>
            </w:sdtContent>
          </w:sdt>
          <w:r>
            <w:rPr>
              <w:rFonts w:hint="default" w:ascii="Times New Roman" w:hAnsi="Times New Roman" w:eastAsia="仿宋_GB2312" w:cs="Times New Roman"/>
              <w:b w:val="0"/>
              <w:bCs w:val="0"/>
              <w:sz w:val="24"/>
              <w:szCs w:val="24"/>
            </w:rPr>
            <w:tab/>
          </w:r>
          <w:r>
            <w:rPr>
              <w:rFonts w:hint="eastAsia" w:eastAsia="仿宋_GB2312" w:cs="Times New Roman"/>
              <w:b w:val="0"/>
              <w:bCs w:val="0"/>
              <w:sz w:val="24"/>
              <w:szCs w:val="24"/>
              <w:lang w:val="en-US" w:eastAsia="zh-CN"/>
            </w:rPr>
            <w:t>2</w:t>
          </w:r>
          <w:r>
            <w:rPr>
              <w:rFonts w:hint="default" w:ascii="Times New Roman" w:hAnsi="Times New Roman" w:eastAsia="仿宋_GB2312" w:cs="Times New Roman"/>
              <w:b w:val="0"/>
              <w:bCs w:val="0"/>
              <w:sz w:val="24"/>
              <w:szCs w:val="24"/>
            </w:rPr>
            <w:fldChar w:fldCharType="end"/>
          </w:r>
          <w:r>
            <w:rPr>
              <w:rFonts w:hint="eastAsia" w:eastAsia="仿宋_GB2312" w:cs="Times New Roman"/>
              <w:b w:val="0"/>
              <w:bCs w:val="0"/>
              <w:sz w:val="24"/>
              <w:szCs w:val="24"/>
              <w:lang w:val="en-US" w:eastAsia="zh-CN"/>
            </w:rPr>
            <w:t>8</w:t>
          </w:r>
        </w:p>
        <w:p w14:paraId="0B1BD9EE">
          <w:pPr>
            <w:pStyle w:val="42"/>
            <w:keepNext w:val="0"/>
            <w:keepLines w:val="0"/>
            <w:pageBreakBefore w:val="0"/>
            <w:widowControl/>
            <w:tabs>
              <w:tab w:val="right" w:leader="dot" w:pos="8306"/>
            </w:tabs>
            <w:kinsoku/>
            <w:wordWrap/>
            <w:overflowPunct/>
            <w:topLinePunct w:val="0"/>
            <w:autoSpaceDE/>
            <w:autoSpaceDN/>
            <w:bidi w:val="0"/>
            <w:adjustRightInd/>
            <w:snapToGrid/>
            <w:spacing w:line="578" w:lineRule="exact"/>
            <w:textAlignment w:val="auto"/>
            <w:rPr>
              <w:rFonts w:hint="default" w:ascii="Times New Roman" w:hAnsi="Times New Roman" w:eastAsia="仿宋_GB2312" w:cs="Times New Roman"/>
              <w:b w:val="0"/>
              <w:bCs w:val="0"/>
              <w:sz w:val="24"/>
              <w:szCs w:val="24"/>
              <w:lang w:val="en-US" w:eastAsia="zh-CN"/>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_Toc3478_WPSOffice_Level2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75792"/>
              <w:placeholder>
                <w:docPart w:val="{afd9fb0b-bb20-4be6-aff8-27ce55ee9d9f}"/>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二、收入决算表</w:t>
              </w:r>
            </w:sdtContent>
          </w:sdt>
          <w:r>
            <w:rPr>
              <w:rFonts w:hint="default" w:ascii="Times New Roman" w:hAnsi="Times New Roman" w:eastAsia="仿宋_GB2312" w:cs="Times New Roman"/>
              <w:b w:val="0"/>
              <w:bCs w:val="0"/>
              <w:sz w:val="24"/>
              <w:szCs w:val="24"/>
            </w:rPr>
            <w:tab/>
          </w:r>
          <w:r>
            <w:rPr>
              <w:rFonts w:hint="eastAsia" w:eastAsia="仿宋_GB2312" w:cs="Times New Roman"/>
              <w:b w:val="0"/>
              <w:bCs w:val="0"/>
              <w:sz w:val="24"/>
              <w:szCs w:val="24"/>
              <w:lang w:val="en-US" w:eastAsia="zh-CN"/>
            </w:rPr>
            <w:t>2</w:t>
          </w:r>
          <w:r>
            <w:rPr>
              <w:rFonts w:hint="default" w:ascii="Times New Roman" w:hAnsi="Times New Roman" w:eastAsia="仿宋_GB2312" w:cs="Times New Roman"/>
              <w:b w:val="0"/>
              <w:bCs w:val="0"/>
              <w:sz w:val="24"/>
              <w:szCs w:val="24"/>
            </w:rPr>
            <w:fldChar w:fldCharType="end"/>
          </w:r>
          <w:r>
            <w:rPr>
              <w:rFonts w:hint="eastAsia" w:eastAsia="仿宋_GB2312" w:cs="Times New Roman"/>
              <w:b w:val="0"/>
              <w:bCs w:val="0"/>
              <w:sz w:val="24"/>
              <w:szCs w:val="24"/>
              <w:lang w:val="en-US" w:eastAsia="zh-CN"/>
            </w:rPr>
            <w:t>8</w:t>
          </w:r>
        </w:p>
        <w:p w14:paraId="2580A9BD">
          <w:pPr>
            <w:pStyle w:val="42"/>
            <w:keepNext w:val="0"/>
            <w:keepLines w:val="0"/>
            <w:pageBreakBefore w:val="0"/>
            <w:widowControl/>
            <w:tabs>
              <w:tab w:val="right" w:leader="dot" w:pos="8306"/>
            </w:tabs>
            <w:kinsoku/>
            <w:wordWrap/>
            <w:overflowPunct/>
            <w:topLinePunct w:val="0"/>
            <w:autoSpaceDE/>
            <w:autoSpaceDN/>
            <w:bidi w:val="0"/>
            <w:adjustRightInd/>
            <w:snapToGrid/>
            <w:spacing w:line="578" w:lineRule="exact"/>
            <w:textAlignment w:val="auto"/>
            <w:rPr>
              <w:rFonts w:hint="default" w:ascii="Times New Roman" w:hAnsi="Times New Roman" w:eastAsia="仿宋_GB2312" w:cs="Times New Roman"/>
              <w:b w:val="0"/>
              <w:bCs w:val="0"/>
              <w:sz w:val="24"/>
              <w:szCs w:val="24"/>
              <w:lang w:val="en-US" w:eastAsia="zh-CN"/>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_Toc4397_WPSOffice_Level2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79232"/>
              <w:placeholder>
                <w:docPart w:val="{f1913f85-38d3-44da-8f73-580a5c30eaf7}"/>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三、支出决算表</w:t>
              </w:r>
            </w:sdtContent>
          </w:sdt>
          <w:r>
            <w:rPr>
              <w:rFonts w:hint="default" w:ascii="Times New Roman" w:hAnsi="Times New Roman" w:eastAsia="仿宋_GB2312" w:cs="Times New Roman"/>
              <w:b w:val="0"/>
              <w:bCs w:val="0"/>
              <w:sz w:val="24"/>
              <w:szCs w:val="24"/>
            </w:rPr>
            <w:tab/>
          </w:r>
          <w:r>
            <w:rPr>
              <w:rFonts w:hint="eastAsia" w:eastAsia="仿宋_GB2312" w:cs="Times New Roman"/>
              <w:b w:val="0"/>
              <w:bCs w:val="0"/>
              <w:sz w:val="24"/>
              <w:szCs w:val="24"/>
              <w:lang w:val="en-US" w:eastAsia="zh-CN"/>
            </w:rPr>
            <w:t>2</w:t>
          </w:r>
          <w:r>
            <w:rPr>
              <w:rFonts w:hint="default" w:ascii="Times New Roman" w:hAnsi="Times New Roman" w:eastAsia="仿宋_GB2312" w:cs="Times New Roman"/>
              <w:b w:val="0"/>
              <w:bCs w:val="0"/>
              <w:sz w:val="24"/>
              <w:szCs w:val="24"/>
            </w:rPr>
            <w:fldChar w:fldCharType="end"/>
          </w:r>
          <w:r>
            <w:rPr>
              <w:rFonts w:hint="eastAsia" w:eastAsia="仿宋_GB2312" w:cs="Times New Roman"/>
              <w:b w:val="0"/>
              <w:bCs w:val="0"/>
              <w:sz w:val="24"/>
              <w:szCs w:val="24"/>
              <w:lang w:val="en-US" w:eastAsia="zh-CN"/>
            </w:rPr>
            <w:t>8</w:t>
          </w:r>
        </w:p>
        <w:p w14:paraId="7BECE729">
          <w:pPr>
            <w:pStyle w:val="42"/>
            <w:keepNext w:val="0"/>
            <w:keepLines w:val="0"/>
            <w:pageBreakBefore w:val="0"/>
            <w:widowControl/>
            <w:tabs>
              <w:tab w:val="right" w:leader="dot" w:pos="8306"/>
            </w:tabs>
            <w:kinsoku/>
            <w:wordWrap/>
            <w:overflowPunct/>
            <w:topLinePunct w:val="0"/>
            <w:autoSpaceDE/>
            <w:autoSpaceDN/>
            <w:bidi w:val="0"/>
            <w:adjustRightInd/>
            <w:snapToGrid/>
            <w:spacing w:line="578" w:lineRule="exact"/>
            <w:textAlignment w:val="auto"/>
            <w:rPr>
              <w:rFonts w:hint="default" w:ascii="Times New Roman" w:hAnsi="Times New Roman" w:eastAsia="仿宋_GB2312" w:cs="Times New Roman"/>
              <w:b w:val="0"/>
              <w:bCs w:val="0"/>
              <w:sz w:val="24"/>
              <w:szCs w:val="24"/>
              <w:lang w:val="en-US" w:eastAsia="zh-CN"/>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_Toc5988_WPSOffice_Level2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73095"/>
              <w:placeholder>
                <w:docPart w:val="{8e40f7ee-cd88-4423-a4a4-1de07bb864fe}"/>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四、财政拨款收入支出决算总表</w:t>
              </w:r>
            </w:sdtContent>
          </w:sdt>
          <w:r>
            <w:rPr>
              <w:rFonts w:hint="default" w:ascii="Times New Roman" w:hAnsi="Times New Roman" w:eastAsia="仿宋_GB2312" w:cs="Times New Roman"/>
              <w:b w:val="0"/>
              <w:bCs w:val="0"/>
              <w:sz w:val="24"/>
              <w:szCs w:val="24"/>
            </w:rPr>
            <w:tab/>
          </w:r>
          <w:r>
            <w:rPr>
              <w:rFonts w:hint="eastAsia" w:eastAsia="仿宋_GB2312" w:cs="Times New Roman"/>
              <w:b w:val="0"/>
              <w:bCs w:val="0"/>
              <w:sz w:val="24"/>
              <w:szCs w:val="24"/>
              <w:lang w:val="en-US" w:eastAsia="zh-CN"/>
            </w:rPr>
            <w:t>2</w:t>
          </w:r>
          <w:r>
            <w:rPr>
              <w:rFonts w:hint="default" w:ascii="Times New Roman" w:hAnsi="Times New Roman" w:eastAsia="仿宋_GB2312" w:cs="Times New Roman"/>
              <w:b w:val="0"/>
              <w:bCs w:val="0"/>
              <w:sz w:val="24"/>
              <w:szCs w:val="24"/>
            </w:rPr>
            <w:fldChar w:fldCharType="end"/>
          </w:r>
          <w:r>
            <w:rPr>
              <w:rFonts w:hint="eastAsia" w:eastAsia="仿宋_GB2312" w:cs="Times New Roman"/>
              <w:b w:val="0"/>
              <w:bCs w:val="0"/>
              <w:sz w:val="24"/>
              <w:szCs w:val="24"/>
              <w:lang w:val="en-US" w:eastAsia="zh-CN"/>
            </w:rPr>
            <w:t>8</w:t>
          </w:r>
        </w:p>
        <w:p w14:paraId="731EC5A3">
          <w:pPr>
            <w:pStyle w:val="42"/>
            <w:keepNext w:val="0"/>
            <w:keepLines w:val="0"/>
            <w:pageBreakBefore w:val="0"/>
            <w:widowControl/>
            <w:tabs>
              <w:tab w:val="right" w:leader="dot" w:pos="8306"/>
            </w:tabs>
            <w:kinsoku/>
            <w:wordWrap/>
            <w:overflowPunct/>
            <w:topLinePunct w:val="0"/>
            <w:autoSpaceDE/>
            <w:autoSpaceDN/>
            <w:bidi w:val="0"/>
            <w:adjustRightInd/>
            <w:snapToGrid/>
            <w:spacing w:line="578" w:lineRule="exact"/>
            <w:textAlignment w:val="auto"/>
            <w:rPr>
              <w:rFonts w:hint="default" w:ascii="Times New Roman" w:hAnsi="Times New Roman" w:eastAsia="仿宋_GB2312" w:cs="Times New Roman"/>
              <w:b w:val="0"/>
              <w:bCs w:val="0"/>
              <w:sz w:val="24"/>
              <w:szCs w:val="24"/>
              <w:lang w:val="en-US" w:eastAsia="zh-CN"/>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_Toc5440_WPSOffice_Level2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74108"/>
              <w:placeholder>
                <w:docPart w:val="{403d347d-ee5b-4439-a567-7a083a4af141}"/>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五、财政拨款支出决算明细表</w:t>
              </w:r>
            </w:sdtContent>
          </w:sdt>
          <w:r>
            <w:rPr>
              <w:rFonts w:hint="default" w:ascii="Times New Roman" w:hAnsi="Times New Roman" w:eastAsia="仿宋_GB2312" w:cs="Times New Roman"/>
              <w:b w:val="0"/>
              <w:bCs w:val="0"/>
              <w:sz w:val="24"/>
              <w:szCs w:val="24"/>
            </w:rPr>
            <w:tab/>
          </w:r>
          <w:r>
            <w:rPr>
              <w:rFonts w:hint="eastAsia" w:eastAsia="仿宋_GB2312" w:cs="Times New Roman"/>
              <w:b w:val="0"/>
              <w:bCs w:val="0"/>
              <w:sz w:val="24"/>
              <w:szCs w:val="24"/>
              <w:lang w:val="en-US" w:eastAsia="zh-CN"/>
            </w:rPr>
            <w:t>2</w:t>
          </w:r>
          <w:r>
            <w:rPr>
              <w:rFonts w:hint="default" w:ascii="Times New Roman" w:hAnsi="Times New Roman" w:eastAsia="仿宋_GB2312" w:cs="Times New Roman"/>
              <w:b w:val="0"/>
              <w:bCs w:val="0"/>
              <w:sz w:val="24"/>
              <w:szCs w:val="24"/>
            </w:rPr>
            <w:fldChar w:fldCharType="end"/>
          </w:r>
          <w:r>
            <w:rPr>
              <w:rFonts w:hint="eastAsia" w:eastAsia="仿宋_GB2312" w:cs="Times New Roman"/>
              <w:b w:val="0"/>
              <w:bCs w:val="0"/>
              <w:sz w:val="24"/>
              <w:szCs w:val="24"/>
              <w:lang w:val="en-US" w:eastAsia="zh-CN"/>
            </w:rPr>
            <w:t>8</w:t>
          </w:r>
        </w:p>
        <w:p w14:paraId="2CA6559B">
          <w:pPr>
            <w:pStyle w:val="42"/>
            <w:keepNext w:val="0"/>
            <w:keepLines w:val="0"/>
            <w:pageBreakBefore w:val="0"/>
            <w:widowControl/>
            <w:tabs>
              <w:tab w:val="right" w:leader="dot" w:pos="8306"/>
            </w:tabs>
            <w:kinsoku/>
            <w:wordWrap/>
            <w:overflowPunct/>
            <w:topLinePunct w:val="0"/>
            <w:autoSpaceDE/>
            <w:autoSpaceDN/>
            <w:bidi w:val="0"/>
            <w:adjustRightInd/>
            <w:snapToGrid/>
            <w:spacing w:line="578" w:lineRule="exact"/>
            <w:textAlignment w:val="auto"/>
            <w:rPr>
              <w:rFonts w:hint="default" w:ascii="Times New Roman" w:hAnsi="Times New Roman" w:eastAsia="仿宋_GB2312" w:cs="Times New Roman"/>
              <w:b w:val="0"/>
              <w:bCs w:val="0"/>
              <w:sz w:val="24"/>
              <w:szCs w:val="24"/>
              <w:lang w:val="en-US" w:eastAsia="zh-CN"/>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_Toc24533_WPSOffice_Level2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55893"/>
              <w:placeholder>
                <w:docPart w:val="{85fe9063-4e4a-43fe-80a8-56b0184ea95a}"/>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六、一般公共预算财政拨款支出决算表</w:t>
              </w:r>
            </w:sdtContent>
          </w:sdt>
          <w:r>
            <w:rPr>
              <w:rFonts w:hint="default" w:ascii="Times New Roman" w:hAnsi="Times New Roman" w:eastAsia="仿宋_GB2312" w:cs="Times New Roman"/>
              <w:b w:val="0"/>
              <w:bCs w:val="0"/>
              <w:sz w:val="24"/>
              <w:szCs w:val="24"/>
            </w:rPr>
            <w:tab/>
          </w:r>
          <w:r>
            <w:rPr>
              <w:rFonts w:hint="eastAsia" w:eastAsia="仿宋_GB2312" w:cs="Times New Roman"/>
              <w:b w:val="0"/>
              <w:bCs w:val="0"/>
              <w:sz w:val="24"/>
              <w:szCs w:val="24"/>
              <w:lang w:val="en-US" w:eastAsia="zh-CN"/>
            </w:rPr>
            <w:t>2</w:t>
          </w:r>
          <w:r>
            <w:rPr>
              <w:rFonts w:hint="default" w:ascii="Times New Roman" w:hAnsi="Times New Roman" w:eastAsia="仿宋_GB2312" w:cs="Times New Roman"/>
              <w:b w:val="0"/>
              <w:bCs w:val="0"/>
              <w:sz w:val="24"/>
              <w:szCs w:val="24"/>
            </w:rPr>
            <w:fldChar w:fldCharType="end"/>
          </w:r>
          <w:r>
            <w:rPr>
              <w:rFonts w:hint="eastAsia" w:eastAsia="仿宋_GB2312" w:cs="Times New Roman"/>
              <w:b w:val="0"/>
              <w:bCs w:val="0"/>
              <w:sz w:val="24"/>
              <w:szCs w:val="24"/>
              <w:lang w:val="en-US" w:eastAsia="zh-CN"/>
            </w:rPr>
            <w:t>8</w:t>
          </w:r>
        </w:p>
        <w:p w14:paraId="31D380FE">
          <w:pPr>
            <w:pStyle w:val="42"/>
            <w:keepNext w:val="0"/>
            <w:keepLines w:val="0"/>
            <w:pageBreakBefore w:val="0"/>
            <w:widowControl/>
            <w:tabs>
              <w:tab w:val="right" w:leader="dot" w:pos="8306"/>
            </w:tabs>
            <w:kinsoku/>
            <w:wordWrap/>
            <w:overflowPunct/>
            <w:topLinePunct w:val="0"/>
            <w:autoSpaceDE/>
            <w:autoSpaceDN/>
            <w:bidi w:val="0"/>
            <w:adjustRightInd/>
            <w:snapToGrid/>
            <w:spacing w:line="578" w:lineRule="exact"/>
            <w:textAlignment w:val="auto"/>
            <w:rPr>
              <w:rFonts w:hint="default" w:ascii="Times New Roman" w:hAnsi="Times New Roman" w:eastAsia="仿宋_GB2312" w:cs="Times New Roman"/>
              <w:b w:val="0"/>
              <w:bCs w:val="0"/>
              <w:sz w:val="24"/>
              <w:szCs w:val="24"/>
              <w:lang w:val="en-US" w:eastAsia="zh-CN"/>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_Toc4742_WPSOffice_Level2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79664"/>
              <w:placeholder>
                <w:docPart w:val="{e9f79e1e-7abe-4683-bb6d-35f825fa6bc0}"/>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七、一般公共预算财政拨款支出决算明细表</w:t>
              </w:r>
            </w:sdtContent>
          </w:sdt>
          <w:r>
            <w:rPr>
              <w:rFonts w:hint="default" w:ascii="Times New Roman" w:hAnsi="Times New Roman" w:eastAsia="仿宋_GB2312" w:cs="Times New Roman"/>
              <w:b w:val="0"/>
              <w:bCs w:val="0"/>
              <w:sz w:val="24"/>
              <w:szCs w:val="24"/>
            </w:rPr>
            <w:tab/>
          </w:r>
          <w:r>
            <w:rPr>
              <w:rFonts w:hint="eastAsia" w:eastAsia="仿宋_GB2312" w:cs="Times New Roman"/>
              <w:b w:val="0"/>
              <w:bCs w:val="0"/>
              <w:sz w:val="24"/>
              <w:szCs w:val="24"/>
              <w:lang w:val="en-US" w:eastAsia="zh-CN"/>
            </w:rPr>
            <w:t>2</w:t>
          </w:r>
          <w:r>
            <w:rPr>
              <w:rFonts w:hint="default" w:ascii="Times New Roman" w:hAnsi="Times New Roman" w:eastAsia="仿宋_GB2312" w:cs="Times New Roman"/>
              <w:b w:val="0"/>
              <w:bCs w:val="0"/>
              <w:sz w:val="24"/>
              <w:szCs w:val="24"/>
            </w:rPr>
            <w:fldChar w:fldCharType="end"/>
          </w:r>
          <w:r>
            <w:rPr>
              <w:rFonts w:hint="eastAsia" w:eastAsia="仿宋_GB2312" w:cs="Times New Roman"/>
              <w:b w:val="0"/>
              <w:bCs w:val="0"/>
              <w:sz w:val="24"/>
              <w:szCs w:val="24"/>
              <w:lang w:val="en-US" w:eastAsia="zh-CN"/>
            </w:rPr>
            <w:t>8</w:t>
          </w:r>
        </w:p>
        <w:p w14:paraId="68434D82">
          <w:pPr>
            <w:pStyle w:val="42"/>
            <w:keepNext w:val="0"/>
            <w:keepLines w:val="0"/>
            <w:pageBreakBefore w:val="0"/>
            <w:widowControl/>
            <w:tabs>
              <w:tab w:val="right" w:leader="dot" w:pos="8306"/>
            </w:tabs>
            <w:kinsoku/>
            <w:wordWrap/>
            <w:overflowPunct/>
            <w:topLinePunct w:val="0"/>
            <w:autoSpaceDE/>
            <w:autoSpaceDN/>
            <w:bidi w:val="0"/>
            <w:adjustRightInd/>
            <w:snapToGrid/>
            <w:spacing w:line="578" w:lineRule="exact"/>
            <w:textAlignment w:val="auto"/>
            <w:rPr>
              <w:rFonts w:hint="default" w:ascii="Times New Roman" w:hAnsi="Times New Roman" w:eastAsia="仿宋_GB2312" w:cs="Times New Roman"/>
              <w:b w:val="0"/>
              <w:bCs w:val="0"/>
              <w:sz w:val="24"/>
              <w:szCs w:val="24"/>
              <w:lang w:val="en-US" w:eastAsia="zh-CN"/>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_Toc26199_WPSOffice_Level2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51640"/>
              <w:placeholder>
                <w:docPart w:val="{568b1834-d758-4c5b-97e7-8c46a803a3db}"/>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八、一般公共预算财政拨款基本支出决算表</w:t>
              </w:r>
            </w:sdtContent>
          </w:sdt>
          <w:r>
            <w:rPr>
              <w:rFonts w:hint="default" w:ascii="Times New Roman" w:hAnsi="Times New Roman" w:eastAsia="仿宋_GB2312" w:cs="Times New Roman"/>
              <w:b w:val="0"/>
              <w:bCs w:val="0"/>
              <w:sz w:val="24"/>
              <w:szCs w:val="24"/>
            </w:rPr>
            <w:tab/>
          </w:r>
          <w:r>
            <w:rPr>
              <w:rFonts w:hint="eastAsia" w:eastAsia="仿宋_GB2312" w:cs="Times New Roman"/>
              <w:b w:val="0"/>
              <w:bCs w:val="0"/>
              <w:sz w:val="24"/>
              <w:szCs w:val="24"/>
              <w:lang w:val="en-US" w:eastAsia="zh-CN"/>
            </w:rPr>
            <w:t>2</w:t>
          </w:r>
          <w:r>
            <w:rPr>
              <w:rFonts w:hint="default" w:ascii="Times New Roman" w:hAnsi="Times New Roman" w:eastAsia="仿宋_GB2312" w:cs="Times New Roman"/>
              <w:b w:val="0"/>
              <w:bCs w:val="0"/>
              <w:sz w:val="24"/>
              <w:szCs w:val="24"/>
            </w:rPr>
            <w:fldChar w:fldCharType="end"/>
          </w:r>
          <w:r>
            <w:rPr>
              <w:rFonts w:hint="eastAsia" w:eastAsia="仿宋_GB2312" w:cs="Times New Roman"/>
              <w:b w:val="0"/>
              <w:bCs w:val="0"/>
              <w:sz w:val="24"/>
              <w:szCs w:val="24"/>
              <w:lang w:val="en-US" w:eastAsia="zh-CN"/>
            </w:rPr>
            <w:t>8</w:t>
          </w:r>
        </w:p>
        <w:p w14:paraId="4794649B">
          <w:pPr>
            <w:pStyle w:val="42"/>
            <w:keepNext w:val="0"/>
            <w:keepLines w:val="0"/>
            <w:pageBreakBefore w:val="0"/>
            <w:widowControl/>
            <w:tabs>
              <w:tab w:val="right" w:leader="dot" w:pos="8306"/>
            </w:tabs>
            <w:kinsoku/>
            <w:wordWrap/>
            <w:overflowPunct/>
            <w:topLinePunct w:val="0"/>
            <w:autoSpaceDE/>
            <w:autoSpaceDN/>
            <w:bidi w:val="0"/>
            <w:adjustRightInd/>
            <w:snapToGrid/>
            <w:spacing w:line="578" w:lineRule="exact"/>
            <w:textAlignment w:val="auto"/>
            <w:rPr>
              <w:rFonts w:hint="default" w:ascii="Times New Roman" w:hAnsi="Times New Roman" w:eastAsia="仿宋_GB2312" w:cs="Times New Roman"/>
              <w:b w:val="0"/>
              <w:bCs w:val="0"/>
              <w:sz w:val="24"/>
              <w:szCs w:val="24"/>
              <w:lang w:val="en-US" w:eastAsia="zh-CN"/>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_Toc32170_WPSOffice_Level2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71910"/>
              <w:placeholder>
                <w:docPart w:val="{dc07097b-4646-47df-9cd4-8e9b9269b6dd}"/>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九、一般公共预算财政拨款项目支出决算表</w:t>
              </w:r>
            </w:sdtContent>
          </w:sdt>
          <w:r>
            <w:rPr>
              <w:rFonts w:hint="default" w:ascii="Times New Roman" w:hAnsi="Times New Roman" w:eastAsia="仿宋_GB2312" w:cs="Times New Roman"/>
              <w:b w:val="0"/>
              <w:bCs w:val="0"/>
              <w:sz w:val="24"/>
              <w:szCs w:val="24"/>
            </w:rPr>
            <w:tab/>
          </w:r>
          <w:r>
            <w:rPr>
              <w:rFonts w:hint="eastAsia" w:eastAsia="仿宋_GB2312" w:cs="Times New Roman"/>
              <w:b w:val="0"/>
              <w:bCs w:val="0"/>
              <w:sz w:val="24"/>
              <w:szCs w:val="24"/>
              <w:lang w:val="en-US" w:eastAsia="zh-CN"/>
            </w:rPr>
            <w:t>2</w:t>
          </w:r>
          <w:r>
            <w:rPr>
              <w:rFonts w:hint="default" w:ascii="Times New Roman" w:hAnsi="Times New Roman" w:eastAsia="仿宋_GB2312" w:cs="Times New Roman"/>
              <w:b w:val="0"/>
              <w:bCs w:val="0"/>
              <w:sz w:val="24"/>
              <w:szCs w:val="24"/>
            </w:rPr>
            <w:fldChar w:fldCharType="end"/>
          </w:r>
          <w:r>
            <w:rPr>
              <w:rFonts w:hint="eastAsia" w:eastAsia="仿宋_GB2312" w:cs="Times New Roman"/>
              <w:b w:val="0"/>
              <w:bCs w:val="0"/>
              <w:sz w:val="24"/>
              <w:szCs w:val="24"/>
              <w:lang w:val="en-US" w:eastAsia="zh-CN"/>
            </w:rPr>
            <w:t>8</w:t>
          </w:r>
        </w:p>
        <w:p w14:paraId="64F1CBB9">
          <w:pPr>
            <w:pStyle w:val="42"/>
            <w:keepNext w:val="0"/>
            <w:keepLines w:val="0"/>
            <w:pageBreakBefore w:val="0"/>
            <w:widowControl/>
            <w:tabs>
              <w:tab w:val="right" w:leader="dot" w:pos="8306"/>
            </w:tabs>
            <w:kinsoku/>
            <w:wordWrap/>
            <w:overflowPunct/>
            <w:topLinePunct w:val="0"/>
            <w:autoSpaceDE/>
            <w:autoSpaceDN/>
            <w:bidi w:val="0"/>
            <w:adjustRightInd/>
            <w:snapToGrid/>
            <w:spacing w:line="578" w:lineRule="exact"/>
            <w:textAlignment w:val="auto"/>
            <w:rPr>
              <w:rFonts w:hint="default" w:ascii="Times New Roman" w:hAnsi="Times New Roman" w:eastAsia="仿宋_GB2312" w:cs="Times New Roman"/>
              <w:b w:val="0"/>
              <w:bCs w:val="0"/>
              <w:sz w:val="24"/>
              <w:szCs w:val="24"/>
              <w:lang w:val="en-US" w:eastAsia="zh-CN"/>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_Toc15370_WPSOffice_Level2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53471"/>
              <w:placeholder>
                <w:docPart w:val="{5758b508-9306-4320-9aa8-2006c1256424}"/>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十、政府性基金预算财政拨款收入支出决算表</w:t>
              </w:r>
            </w:sdtContent>
          </w:sdt>
          <w:r>
            <w:rPr>
              <w:rFonts w:hint="default" w:ascii="Times New Roman" w:hAnsi="Times New Roman" w:eastAsia="仿宋_GB2312" w:cs="Times New Roman"/>
              <w:b w:val="0"/>
              <w:bCs w:val="0"/>
              <w:sz w:val="24"/>
              <w:szCs w:val="24"/>
            </w:rPr>
            <w:tab/>
          </w:r>
          <w:r>
            <w:rPr>
              <w:rFonts w:hint="eastAsia" w:eastAsia="仿宋_GB2312" w:cs="Times New Roman"/>
              <w:b w:val="0"/>
              <w:bCs w:val="0"/>
              <w:sz w:val="24"/>
              <w:szCs w:val="24"/>
              <w:lang w:val="en-US" w:eastAsia="zh-CN"/>
            </w:rPr>
            <w:t>2</w:t>
          </w:r>
          <w:r>
            <w:rPr>
              <w:rFonts w:hint="default" w:ascii="Times New Roman" w:hAnsi="Times New Roman" w:eastAsia="仿宋_GB2312" w:cs="Times New Roman"/>
              <w:b w:val="0"/>
              <w:bCs w:val="0"/>
              <w:sz w:val="24"/>
              <w:szCs w:val="24"/>
            </w:rPr>
            <w:fldChar w:fldCharType="end"/>
          </w:r>
          <w:r>
            <w:rPr>
              <w:rFonts w:hint="eastAsia" w:eastAsia="仿宋_GB2312" w:cs="Times New Roman"/>
              <w:b w:val="0"/>
              <w:bCs w:val="0"/>
              <w:sz w:val="24"/>
              <w:szCs w:val="24"/>
              <w:lang w:val="en-US" w:eastAsia="zh-CN"/>
            </w:rPr>
            <w:t>8</w:t>
          </w:r>
        </w:p>
        <w:p w14:paraId="5EAE9E39">
          <w:pPr>
            <w:pStyle w:val="42"/>
            <w:keepNext w:val="0"/>
            <w:keepLines w:val="0"/>
            <w:pageBreakBefore w:val="0"/>
            <w:widowControl/>
            <w:tabs>
              <w:tab w:val="right" w:leader="dot" w:pos="8306"/>
            </w:tabs>
            <w:kinsoku/>
            <w:wordWrap/>
            <w:overflowPunct/>
            <w:topLinePunct w:val="0"/>
            <w:autoSpaceDE/>
            <w:autoSpaceDN/>
            <w:bidi w:val="0"/>
            <w:adjustRightInd/>
            <w:snapToGrid/>
            <w:spacing w:line="578" w:lineRule="exact"/>
            <w:textAlignment w:val="auto"/>
            <w:rPr>
              <w:rFonts w:hint="default" w:ascii="Times New Roman" w:hAnsi="Times New Roman" w:eastAsia="仿宋_GB2312" w:cs="Times New Roman"/>
              <w:b w:val="0"/>
              <w:bCs w:val="0"/>
              <w:sz w:val="24"/>
              <w:szCs w:val="24"/>
              <w:lang w:val="en-US" w:eastAsia="zh-CN"/>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_Toc32206_WPSOffice_Level2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51962"/>
              <w:placeholder>
                <w:docPart w:val="{90f83736-5b70-473e-bfaf-0e808dd205d9}"/>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十一、国有资本经营预算财政拨款收入支出决算表</w:t>
              </w:r>
            </w:sdtContent>
          </w:sdt>
          <w:r>
            <w:rPr>
              <w:rFonts w:hint="default" w:ascii="Times New Roman" w:hAnsi="Times New Roman" w:eastAsia="仿宋_GB2312" w:cs="Times New Roman"/>
              <w:b w:val="0"/>
              <w:bCs w:val="0"/>
              <w:sz w:val="24"/>
              <w:szCs w:val="24"/>
            </w:rPr>
            <w:tab/>
          </w:r>
          <w:r>
            <w:rPr>
              <w:rFonts w:hint="eastAsia" w:eastAsia="仿宋_GB2312" w:cs="Times New Roman"/>
              <w:b w:val="0"/>
              <w:bCs w:val="0"/>
              <w:sz w:val="24"/>
              <w:szCs w:val="24"/>
              <w:lang w:val="en-US" w:eastAsia="zh-CN"/>
            </w:rPr>
            <w:t>2</w:t>
          </w:r>
          <w:r>
            <w:rPr>
              <w:rFonts w:hint="default" w:ascii="Times New Roman" w:hAnsi="Times New Roman" w:eastAsia="仿宋_GB2312" w:cs="Times New Roman"/>
              <w:b w:val="0"/>
              <w:bCs w:val="0"/>
              <w:sz w:val="24"/>
              <w:szCs w:val="24"/>
            </w:rPr>
            <w:fldChar w:fldCharType="end"/>
          </w:r>
          <w:r>
            <w:rPr>
              <w:rFonts w:hint="eastAsia" w:eastAsia="仿宋_GB2312" w:cs="Times New Roman"/>
              <w:b w:val="0"/>
              <w:bCs w:val="0"/>
              <w:sz w:val="24"/>
              <w:szCs w:val="24"/>
              <w:lang w:val="en-US" w:eastAsia="zh-CN"/>
            </w:rPr>
            <w:t>8</w:t>
          </w:r>
        </w:p>
        <w:p w14:paraId="1005D6B8">
          <w:pPr>
            <w:pStyle w:val="42"/>
            <w:keepNext w:val="0"/>
            <w:keepLines w:val="0"/>
            <w:pageBreakBefore w:val="0"/>
            <w:widowControl/>
            <w:tabs>
              <w:tab w:val="right" w:leader="dot" w:pos="8306"/>
            </w:tabs>
            <w:kinsoku/>
            <w:wordWrap/>
            <w:overflowPunct/>
            <w:topLinePunct w:val="0"/>
            <w:autoSpaceDE/>
            <w:autoSpaceDN/>
            <w:bidi w:val="0"/>
            <w:adjustRightInd/>
            <w:snapToGrid/>
            <w:spacing w:line="578" w:lineRule="exact"/>
            <w:textAlignment w:val="auto"/>
            <w:rPr>
              <w:rFonts w:hint="default" w:ascii="Times New Roman" w:hAnsi="Times New Roman" w:eastAsia="仿宋_GB2312" w:cs="Times New Roman"/>
              <w:b w:val="0"/>
              <w:bCs w:val="0"/>
              <w:sz w:val="24"/>
              <w:szCs w:val="24"/>
              <w:lang w:val="en-US" w:eastAsia="zh-CN"/>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_Toc25608_WPSOffice_Level2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65256"/>
              <w:placeholder>
                <w:docPart w:val="{274ff5d7-fba2-40c8-b7cd-5071785309b4}"/>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十二、国有资本经营预算财政拨款支出决算表</w:t>
              </w:r>
            </w:sdtContent>
          </w:sdt>
          <w:r>
            <w:rPr>
              <w:rFonts w:hint="default" w:ascii="Times New Roman" w:hAnsi="Times New Roman" w:eastAsia="仿宋_GB2312" w:cs="Times New Roman"/>
              <w:b w:val="0"/>
              <w:bCs w:val="0"/>
              <w:sz w:val="24"/>
              <w:szCs w:val="24"/>
            </w:rPr>
            <w:tab/>
          </w:r>
          <w:r>
            <w:rPr>
              <w:rFonts w:hint="eastAsia" w:eastAsia="仿宋_GB2312" w:cs="Times New Roman"/>
              <w:b w:val="0"/>
              <w:bCs w:val="0"/>
              <w:sz w:val="24"/>
              <w:szCs w:val="24"/>
              <w:lang w:val="en-US" w:eastAsia="zh-CN"/>
            </w:rPr>
            <w:t>2</w:t>
          </w:r>
          <w:r>
            <w:rPr>
              <w:rFonts w:hint="default" w:ascii="Times New Roman" w:hAnsi="Times New Roman" w:eastAsia="仿宋_GB2312" w:cs="Times New Roman"/>
              <w:b w:val="0"/>
              <w:bCs w:val="0"/>
              <w:sz w:val="24"/>
              <w:szCs w:val="24"/>
            </w:rPr>
            <w:fldChar w:fldCharType="end"/>
          </w:r>
          <w:r>
            <w:rPr>
              <w:rFonts w:hint="eastAsia" w:eastAsia="仿宋_GB2312" w:cs="Times New Roman"/>
              <w:b w:val="0"/>
              <w:bCs w:val="0"/>
              <w:sz w:val="24"/>
              <w:szCs w:val="24"/>
              <w:lang w:val="en-US" w:eastAsia="zh-CN"/>
            </w:rPr>
            <w:t>8</w:t>
          </w:r>
        </w:p>
        <w:p w14:paraId="24ECB6EC">
          <w:pPr>
            <w:pStyle w:val="42"/>
            <w:keepNext w:val="0"/>
            <w:keepLines w:val="0"/>
            <w:pageBreakBefore w:val="0"/>
            <w:widowControl/>
            <w:tabs>
              <w:tab w:val="right" w:leader="dot" w:pos="8306"/>
            </w:tabs>
            <w:kinsoku/>
            <w:wordWrap/>
            <w:overflowPunct/>
            <w:topLinePunct w:val="0"/>
            <w:autoSpaceDE/>
            <w:autoSpaceDN/>
            <w:bidi w:val="0"/>
            <w:adjustRightInd/>
            <w:snapToGrid/>
            <w:spacing w:line="578" w:lineRule="exact"/>
            <w:textAlignment w:val="auto"/>
            <w:rPr>
              <w:rFonts w:hint="default" w:ascii="Times New Roman" w:hAnsi="Times New Roman" w:cs="Times New Roman"/>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_Toc2100_WPSOffice_Level2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74610"/>
              <w:placeholder>
                <w:docPart w:val="{096bca47-0122-43ed-81ad-f5f856bea9c5}"/>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十三、财政拨款“三公”经费支出决算表</w:t>
              </w:r>
            </w:sdtContent>
          </w:sdt>
          <w:r>
            <w:rPr>
              <w:rFonts w:hint="default" w:ascii="Times New Roman" w:hAnsi="Times New Roman" w:eastAsia="仿宋_GB2312" w:cs="Times New Roman"/>
              <w:b w:val="0"/>
              <w:bCs w:val="0"/>
              <w:sz w:val="24"/>
              <w:szCs w:val="24"/>
            </w:rPr>
            <w:tab/>
          </w:r>
          <w:r>
            <w:rPr>
              <w:rFonts w:hint="eastAsia" w:eastAsia="仿宋_GB2312" w:cs="Times New Roman"/>
              <w:b w:val="0"/>
              <w:bCs w:val="0"/>
              <w:sz w:val="24"/>
              <w:szCs w:val="24"/>
              <w:lang w:val="en-US" w:eastAsia="zh-CN"/>
            </w:rPr>
            <w:t>2</w:t>
          </w:r>
          <w:r>
            <w:rPr>
              <w:rFonts w:hint="default" w:ascii="Times New Roman" w:hAnsi="Times New Roman" w:eastAsia="仿宋_GB2312" w:cs="Times New Roman"/>
              <w:b w:val="0"/>
              <w:bCs w:val="0"/>
              <w:sz w:val="24"/>
              <w:szCs w:val="24"/>
            </w:rPr>
            <w:fldChar w:fldCharType="end"/>
          </w:r>
          <w:bookmarkEnd w:id="12"/>
          <w:r>
            <w:rPr>
              <w:rFonts w:hint="eastAsia" w:eastAsia="仿宋_GB2312" w:cs="Times New Roman"/>
              <w:b w:val="0"/>
              <w:bCs w:val="0"/>
              <w:sz w:val="24"/>
              <w:szCs w:val="24"/>
              <w:lang w:val="en-US" w:eastAsia="zh-CN"/>
            </w:rPr>
            <w:t>8</w:t>
          </w:r>
        </w:p>
      </w:sdtContent>
    </w:sdt>
    <w:p w14:paraId="78D2630F">
      <w:pPr>
        <w:pStyle w:val="5"/>
        <w:pageBreakBefore w:val="0"/>
        <w:kinsoku/>
        <w:wordWrap/>
        <w:overflowPunct/>
        <w:topLinePunct w:val="0"/>
        <w:autoSpaceDE/>
        <w:autoSpaceDN/>
        <w:bidi w:val="0"/>
        <w:adjustRightInd/>
        <w:snapToGrid/>
        <w:spacing w:line="578" w:lineRule="exact"/>
        <w:jc w:val="center"/>
        <w:textAlignment w:val="auto"/>
        <w:rPr>
          <w:rFonts w:hint="default" w:ascii="Times New Roman" w:hAnsi="Times New Roman" w:eastAsia="方正小标宋简体" w:cs="Times New Roman"/>
          <w:b w:val="0"/>
          <w:color w:val="auto"/>
          <w:highlight w:val="none"/>
        </w:rPr>
      </w:pPr>
    </w:p>
    <w:p w14:paraId="6BB16223">
      <w:pPr>
        <w:pStyle w:val="5"/>
        <w:pageBreakBefore w:val="0"/>
        <w:kinsoku/>
        <w:wordWrap/>
        <w:overflowPunct/>
        <w:topLinePunct w:val="0"/>
        <w:bidi w:val="0"/>
        <w:spacing w:line="578" w:lineRule="exact"/>
        <w:jc w:val="center"/>
        <w:textAlignment w:val="auto"/>
        <w:rPr>
          <w:rFonts w:hint="default" w:ascii="Times New Roman" w:hAnsi="Times New Roman" w:eastAsia="方正小标宋简体" w:cs="Times New Roman"/>
          <w:b w:val="0"/>
          <w:color w:val="auto"/>
          <w:highlight w:val="none"/>
        </w:rPr>
      </w:pPr>
    </w:p>
    <w:p w14:paraId="3A3C2D75">
      <w:pPr>
        <w:pageBreakBefore w:val="0"/>
        <w:kinsoku/>
        <w:wordWrap/>
        <w:overflowPunct/>
        <w:topLinePunct w:val="0"/>
        <w:bidi w:val="0"/>
        <w:spacing w:line="578" w:lineRule="exact"/>
        <w:textAlignment w:val="auto"/>
        <w:rPr>
          <w:rFonts w:hint="default" w:ascii="Times New Roman" w:hAnsi="Times New Roman" w:eastAsia="方正小标宋简体" w:cs="Times New Roman"/>
          <w:b w:val="0"/>
          <w:color w:val="auto"/>
          <w:highlight w:val="none"/>
        </w:rPr>
      </w:pPr>
      <w:r>
        <w:rPr>
          <w:rFonts w:hint="default" w:ascii="Times New Roman" w:hAnsi="Times New Roman" w:eastAsia="方正小标宋简体" w:cs="Times New Roman"/>
          <w:b w:val="0"/>
          <w:color w:val="auto"/>
          <w:highlight w:val="none"/>
        </w:rPr>
        <w:br w:type="page"/>
      </w:r>
    </w:p>
    <w:p w14:paraId="0600BDE3">
      <w:pPr>
        <w:pStyle w:val="5"/>
        <w:pageBreakBefore w:val="0"/>
        <w:kinsoku/>
        <w:wordWrap/>
        <w:overflowPunct/>
        <w:topLinePunct w:val="0"/>
        <w:autoSpaceDE/>
        <w:bidi w:val="0"/>
        <w:spacing w:line="578" w:lineRule="exact"/>
        <w:jc w:val="center"/>
        <w:textAlignment w:val="auto"/>
        <w:rPr>
          <w:rFonts w:hint="default" w:ascii="Times New Roman" w:hAnsi="Times New Roman" w:eastAsia="黑体" w:cs="Times New Roman"/>
          <w:color w:val="auto"/>
          <w:sz w:val="32"/>
          <w:szCs w:val="32"/>
          <w:highlight w:val="none"/>
        </w:rPr>
      </w:pPr>
      <w:bookmarkStart w:id="14" w:name="_Toc541_WPSOffice_Level1"/>
      <w:r>
        <w:rPr>
          <w:rFonts w:hint="default" w:ascii="Times New Roman" w:hAnsi="Times New Roman" w:eastAsia="方正小标宋简体" w:cs="Times New Roman"/>
          <w:b w:val="0"/>
          <w:color w:val="auto"/>
          <w:highlight w:val="none"/>
        </w:rPr>
        <w:t>第一部分</w:t>
      </w:r>
      <w:r>
        <w:rPr>
          <w:rFonts w:hint="default" w:ascii="Times New Roman" w:hAnsi="Times New Roman" w:eastAsia="方正小标宋简体" w:cs="Times New Roman"/>
          <w:b w:val="0"/>
          <w:color w:val="auto"/>
          <w:highlight w:val="none"/>
          <w:lang w:val="en-US" w:eastAsia="zh-CN"/>
        </w:rPr>
        <w:t xml:space="preserve"> </w:t>
      </w:r>
      <w:r>
        <w:rPr>
          <w:rFonts w:hint="default" w:ascii="Times New Roman" w:hAnsi="Times New Roman" w:eastAsia="方正小标宋简体" w:cs="Times New Roman"/>
          <w:b w:val="0"/>
          <w:color w:val="auto"/>
          <w:highlight w:val="none"/>
        </w:rPr>
        <w:t xml:space="preserve"> </w:t>
      </w:r>
      <w:r>
        <w:rPr>
          <w:rFonts w:hint="default" w:ascii="Times New Roman" w:hAnsi="Times New Roman" w:eastAsia="方正小标宋简体" w:cs="Times New Roman"/>
          <w:b w:val="0"/>
          <w:color w:val="auto"/>
          <w:highlight w:val="none"/>
          <w:lang w:eastAsia="zh-CN"/>
        </w:rPr>
        <w:t>单位</w:t>
      </w:r>
      <w:r>
        <w:rPr>
          <w:rStyle w:val="33"/>
          <w:rFonts w:hint="default" w:ascii="Times New Roman" w:hAnsi="Times New Roman" w:eastAsia="方正小标宋简体" w:cs="Times New Roman"/>
          <w:b w:val="0"/>
          <w:bCs w:val="0"/>
          <w:color w:val="auto"/>
          <w:highlight w:val="none"/>
        </w:rPr>
        <w:t>概况</w:t>
      </w:r>
      <w:bookmarkEnd w:id="14"/>
    </w:p>
    <w:p w14:paraId="303C3158">
      <w:pPr>
        <w:pStyle w:val="9"/>
        <w:keepNext w:val="0"/>
        <w:keepLines w:val="0"/>
        <w:pageBreakBefore w:val="0"/>
        <w:widowControl w:val="0"/>
        <w:kinsoku/>
        <w:wordWrap/>
        <w:overflowPunct/>
        <w:topLinePunct w:val="0"/>
        <w:autoSpaceDE/>
        <w:bidi w:val="0"/>
        <w:adjustRightInd/>
        <w:snapToGrid/>
        <w:spacing w:beforeLines="0" w:afterAutospacing="0" w:line="578" w:lineRule="exact"/>
        <w:ind w:firstLine="640" w:firstLineChars="200"/>
        <w:textAlignment w:val="auto"/>
        <w:rPr>
          <w:rFonts w:hint="default" w:ascii="Times New Roman" w:hAnsi="Times New Roman" w:eastAsia="黑体" w:cs="Times New Roman"/>
          <w:color w:val="auto"/>
          <w:sz w:val="32"/>
          <w:szCs w:val="32"/>
          <w:lang w:val="en-US" w:eastAsia="zh-CN"/>
        </w:rPr>
      </w:pPr>
      <w:bookmarkStart w:id="15" w:name="_Toc28930_WPSOffice_Level2"/>
      <w:r>
        <w:rPr>
          <w:rFonts w:hint="default" w:ascii="Times New Roman" w:hAnsi="Times New Roman" w:eastAsia="黑体" w:cs="Times New Roman"/>
          <w:color w:val="auto"/>
          <w:sz w:val="32"/>
          <w:szCs w:val="32"/>
          <w:lang w:val="en-US" w:eastAsia="zh-CN"/>
        </w:rPr>
        <w:t>一、单位职责</w:t>
      </w:r>
      <w:bookmarkEnd w:id="15"/>
    </w:p>
    <w:p w14:paraId="504C1F43">
      <w:pPr>
        <w:pStyle w:val="9"/>
        <w:keepNext w:val="0"/>
        <w:keepLines w:val="0"/>
        <w:pageBreakBefore w:val="0"/>
        <w:widowControl w:val="0"/>
        <w:kinsoku/>
        <w:wordWrap/>
        <w:overflowPunct/>
        <w:topLinePunct w:val="0"/>
        <w:autoSpaceDE/>
        <w:bidi w:val="0"/>
        <w:adjustRightInd/>
        <w:snapToGrid/>
        <w:spacing w:beforeLines="0" w:afterAutospacing="0" w:line="578"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贯彻落实党和国家关于文化、体育、旅游、广播电视的方针政策和省委、州委、县委的决策部署；拟订相关规范性文件草案；负责本部门依法行政工作。</w:t>
      </w:r>
    </w:p>
    <w:p w14:paraId="556F1CF5">
      <w:pPr>
        <w:pStyle w:val="9"/>
        <w:keepNext w:val="0"/>
        <w:keepLines w:val="0"/>
        <w:pageBreakBefore w:val="0"/>
        <w:widowControl w:val="0"/>
        <w:kinsoku/>
        <w:wordWrap/>
        <w:overflowPunct/>
        <w:topLinePunct w:val="0"/>
        <w:autoSpaceDE/>
        <w:bidi w:val="0"/>
        <w:adjustRightInd/>
        <w:snapToGrid/>
        <w:spacing w:beforeLines="0" w:afterAutospacing="0" w:line="578"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推进文化、体育、旅游、广播电视体制机制改革；组织推动全县文化、体育、旅游、广播电视事业和产业发展，拟订相关发展规划并组织实施；推进文化、体育和旅游与相关产业融合发展。</w:t>
      </w:r>
    </w:p>
    <w:p w14:paraId="7B2DE68D">
      <w:pPr>
        <w:pStyle w:val="9"/>
        <w:keepNext w:val="0"/>
        <w:keepLines w:val="0"/>
        <w:pageBreakBefore w:val="0"/>
        <w:widowControl w:val="0"/>
        <w:kinsoku/>
        <w:wordWrap/>
        <w:overflowPunct/>
        <w:topLinePunct w:val="0"/>
        <w:autoSpaceDE/>
        <w:bidi w:val="0"/>
        <w:adjustRightInd/>
        <w:snapToGrid/>
        <w:spacing w:beforeLines="0" w:afterAutospacing="0" w:line="578"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组织实施全县文化、体育和旅游资源的普查、保护与利用；管理全县性重大文化、体育和旅游活动，指导全县重点文化、体育、旅游、广播电视设施建设，组织全县文化、体育和旅游整体形象推广，促进文化、体育和旅游产业市场推广和文化体育、旅游对外合作交流，制定文化、体育和旅游市场开发战略并组织实施，推进全域旅游。</w:t>
      </w:r>
    </w:p>
    <w:p w14:paraId="7EE99212">
      <w:pPr>
        <w:pStyle w:val="9"/>
        <w:keepNext w:val="0"/>
        <w:keepLines w:val="0"/>
        <w:pageBreakBefore w:val="0"/>
        <w:widowControl w:val="0"/>
        <w:tabs>
          <w:tab w:val="left" w:pos="6988"/>
        </w:tabs>
        <w:kinsoku/>
        <w:wordWrap/>
        <w:overflowPunct/>
        <w:topLinePunct w:val="0"/>
        <w:autoSpaceDE/>
        <w:bidi w:val="0"/>
        <w:adjustRightInd/>
        <w:snapToGrid/>
        <w:spacing w:beforeLines="0" w:afterAutospacing="0" w:line="578"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rPr>
        <w:t>指导管理文艺事业，把握正确的创作导向，推动文化艺术创作生产，扶持体现社会主义核心价值观、具有导向性代表性示范性的文化艺术作品；推动各门类艺术、各艺术品种发展；推动中华优秀传统文化和本地特色文化传承发展。</w:t>
      </w:r>
    </w:p>
    <w:p w14:paraId="507D7498">
      <w:pPr>
        <w:pStyle w:val="9"/>
        <w:keepNext w:val="0"/>
        <w:keepLines w:val="0"/>
        <w:pageBreakBefore w:val="0"/>
        <w:widowControl w:val="0"/>
        <w:kinsoku/>
        <w:wordWrap/>
        <w:overflowPunct/>
        <w:topLinePunct w:val="0"/>
        <w:autoSpaceDE/>
        <w:bidi w:val="0"/>
        <w:adjustRightInd/>
        <w:snapToGrid/>
        <w:spacing w:beforeLines="0" w:afterAutospacing="0" w:line="578"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负责公共文化、体育、旅游、广播电视事业发展，推进全县公共文化、体育、广播电视服务</w:t>
      </w:r>
      <w:r>
        <w:rPr>
          <w:rFonts w:hint="default" w:ascii="Times New Roman" w:hAnsi="Times New Roman" w:cs="Times New Roman"/>
          <w:color w:val="auto"/>
          <w:sz w:val="32"/>
          <w:szCs w:val="32"/>
          <w:lang w:val="en-US" w:eastAsia="zh-CN"/>
        </w:rPr>
        <w:t>体</w:t>
      </w:r>
      <w:r>
        <w:rPr>
          <w:rFonts w:hint="default" w:ascii="Times New Roman" w:hAnsi="Times New Roman" w:eastAsia="仿宋_GB2312" w:cs="Times New Roman"/>
          <w:color w:val="auto"/>
          <w:sz w:val="32"/>
          <w:szCs w:val="32"/>
        </w:rPr>
        <w:t>系建设和旅游公共服务建设，深入实施惠民工程，统筹推进文化、体育、旅游、广播电视基本公共服务标准化、均等化。</w:t>
      </w:r>
    </w:p>
    <w:p w14:paraId="2A4E7BCF">
      <w:pPr>
        <w:pStyle w:val="9"/>
        <w:keepNext w:val="0"/>
        <w:keepLines w:val="0"/>
        <w:pageBreakBefore w:val="0"/>
        <w:widowControl w:val="0"/>
        <w:tabs>
          <w:tab w:val="left" w:pos="3407"/>
          <w:tab w:val="left" w:pos="5371"/>
          <w:tab w:val="left" w:pos="7909"/>
        </w:tabs>
        <w:kinsoku/>
        <w:wordWrap/>
        <w:overflowPunct/>
        <w:topLinePunct w:val="0"/>
        <w:autoSpaceDE/>
        <w:bidi w:val="0"/>
        <w:adjustRightInd/>
        <w:snapToGrid/>
        <w:spacing w:beforeLines="0" w:afterAutospacing="0" w:line="578"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rPr>
        <w:t>负责文化、体育和旅游行业信息化、标准化建设。推进文化和旅游科技创新。</w:t>
      </w:r>
    </w:p>
    <w:p w14:paraId="231ECA31">
      <w:pPr>
        <w:pStyle w:val="9"/>
        <w:keepNext w:val="0"/>
        <w:keepLines w:val="0"/>
        <w:pageBreakBefore w:val="0"/>
        <w:widowControl w:val="0"/>
        <w:tabs>
          <w:tab w:val="left" w:pos="3425"/>
        </w:tabs>
        <w:kinsoku/>
        <w:wordWrap/>
        <w:overflowPunct/>
        <w:topLinePunct w:val="0"/>
        <w:autoSpaceDE/>
        <w:bidi w:val="0"/>
        <w:adjustRightInd/>
        <w:snapToGrid/>
        <w:spacing w:beforeLines="0" w:afterAutospacing="0" w:line="578"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（7）</w:t>
      </w:r>
      <w:r>
        <w:rPr>
          <w:rFonts w:hint="default" w:ascii="Times New Roman" w:hAnsi="Times New Roman" w:eastAsia="仿宋_GB2312" w:cs="Times New Roman"/>
          <w:color w:val="auto"/>
          <w:sz w:val="32"/>
          <w:szCs w:val="32"/>
        </w:rPr>
        <w:t>负责非物质文化遗产保护工作，推动非物质文化遗产的保护、传承、普及、弘扬和振兴。</w:t>
      </w:r>
    </w:p>
    <w:p w14:paraId="0D9AE346">
      <w:pPr>
        <w:pStyle w:val="9"/>
        <w:keepNext w:val="0"/>
        <w:keepLines w:val="0"/>
        <w:pageBreakBefore w:val="0"/>
        <w:widowControl w:val="0"/>
        <w:tabs>
          <w:tab w:val="left" w:pos="3978"/>
          <w:tab w:val="left" w:pos="6542"/>
          <w:tab w:val="left" w:pos="8108"/>
        </w:tabs>
        <w:kinsoku/>
        <w:wordWrap/>
        <w:overflowPunct/>
        <w:topLinePunct w:val="0"/>
        <w:autoSpaceDE/>
        <w:bidi w:val="0"/>
        <w:adjustRightInd/>
        <w:snapToGrid/>
        <w:spacing w:beforeLines="0" w:afterAutospacing="0" w:line="578"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（8）</w:t>
      </w:r>
      <w:r>
        <w:rPr>
          <w:rFonts w:hint="default" w:ascii="Times New Roman" w:hAnsi="Times New Roman" w:eastAsia="仿宋_GB2312" w:cs="Times New Roman"/>
          <w:color w:val="auto"/>
          <w:sz w:val="32"/>
          <w:szCs w:val="32"/>
        </w:rPr>
        <w:t>管理和指导全县文物保护利用和考古工作，组织开展</w:t>
      </w:r>
      <w:r>
        <w:rPr>
          <w:rFonts w:hint="default" w:ascii="Times New Roman" w:hAnsi="Times New Roman" w:cs="Times New Roman"/>
          <w:color w:val="auto"/>
          <w:sz w:val="32"/>
          <w:szCs w:val="32"/>
          <w:lang w:val="en-US" w:eastAsia="zh-CN"/>
        </w:rPr>
        <w:t>文</w:t>
      </w:r>
      <w:r>
        <w:rPr>
          <w:rFonts w:hint="default" w:ascii="Times New Roman" w:hAnsi="Times New Roman" w:eastAsia="仿宋_GB2312" w:cs="Times New Roman"/>
          <w:color w:val="auto"/>
          <w:sz w:val="32"/>
          <w:szCs w:val="32"/>
        </w:rPr>
        <w:t>物资源调查工作；协调、指导和监督全县文物安全工作，负责全县世界文化遗产保护和管理工作，协同相关部门开展世界文化与自然遗产、历史文化名城（乡镇、村）申报和管理工作，负责全县文物和博物馆公共服务体系建设。</w:t>
      </w:r>
    </w:p>
    <w:p w14:paraId="024351C4">
      <w:pPr>
        <w:pStyle w:val="9"/>
        <w:keepNext w:val="0"/>
        <w:keepLines w:val="0"/>
        <w:pageBreakBefore w:val="0"/>
        <w:widowControl w:val="0"/>
        <w:tabs>
          <w:tab w:val="left" w:pos="3978"/>
          <w:tab w:val="left" w:pos="6542"/>
          <w:tab w:val="left" w:pos="8108"/>
        </w:tabs>
        <w:kinsoku/>
        <w:wordWrap/>
        <w:overflowPunct/>
        <w:topLinePunct w:val="0"/>
        <w:autoSpaceDE/>
        <w:bidi w:val="0"/>
        <w:adjustRightInd/>
        <w:snapToGrid/>
        <w:spacing w:beforeLines="0" w:afterAutospacing="0" w:line="578"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rPr>
        <w:t>负责拟订全县群众体育发展规划并组织实施；贯彻落实全民健身计划，建立和完善</w:t>
      </w:r>
      <w:bookmarkStart w:id="114" w:name="_GoBack"/>
      <w:r>
        <w:rPr>
          <w:rFonts w:hint="eastAsia" w:ascii="Times New Roman" w:cs="Times New Roman"/>
          <w:color w:val="auto"/>
          <w:sz w:val="32"/>
          <w:szCs w:val="32"/>
          <w:lang w:eastAsia="zh-CN"/>
        </w:rPr>
        <w:t>全民健身公共服务体系</w:t>
      </w:r>
      <w:bookmarkEnd w:id="114"/>
      <w:r>
        <w:rPr>
          <w:rFonts w:hint="default" w:ascii="Times New Roman" w:hAnsi="Times New Roman" w:eastAsia="仿宋_GB2312" w:cs="Times New Roman"/>
          <w:color w:val="auto"/>
          <w:sz w:val="32"/>
          <w:szCs w:val="32"/>
        </w:rPr>
        <w:t>，指导和开展群众性体育活动；负责社会体育指导员培训、国民体质监测和高危体育项目管理；负责挖掘、传承、保护全县少数民族传统体育项目；协助体育彩票销售的监督管理。</w:t>
      </w:r>
    </w:p>
    <w:p w14:paraId="6F34A1FC">
      <w:pPr>
        <w:pStyle w:val="9"/>
        <w:keepNext w:val="0"/>
        <w:keepLines w:val="0"/>
        <w:pageBreakBefore w:val="0"/>
        <w:widowControl w:val="0"/>
        <w:kinsoku/>
        <w:wordWrap/>
        <w:overflowPunct/>
        <w:topLinePunct w:val="0"/>
        <w:autoSpaceDE/>
        <w:bidi w:val="0"/>
        <w:adjustRightInd/>
        <w:snapToGrid/>
        <w:spacing w:beforeLines="0" w:afterAutospacing="0" w:line="578"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（10）</w:t>
      </w:r>
      <w:r>
        <w:rPr>
          <w:rFonts w:hint="default" w:ascii="Times New Roman" w:hAnsi="Times New Roman" w:eastAsia="仿宋_GB2312" w:cs="Times New Roman"/>
          <w:color w:val="auto"/>
          <w:sz w:val="32"/>
          <w:szCs w:val="32"/>
        </w:rPr>
        <w:t>负责拟订全县</w:t>
      </w:r>
      <w:r>
        <w:rPr>
          <w:rFonts w:hint="default" w:ascii="Times New Roman" w:hAnsi="Times New Roman" w:cs="Times New Roman"/>
          <w:color w:val="auto"/>
          <w:sz w:val="32"/>
          <w:szCs w:val="32"/>
          <w:lang w:val="en-US" w:eastAsia="zh-CN"/>
        </w:rPr>
        <w:t>竞技体育</w:t>
      </w:r>
      <w:r>
        <w:rPr>
          <w:rFonts w:hint="default" w:ascii="Times New Roman" w:hAnsi="Times New Roman" w:eastAsia="仿宋_GB2312" w:cs="Times New Roman"/>
          <w:color w:val="auto"/>
          <w:sz w:val="32"/>
          <w:szCs w:val="32"/>
        </w:rPr>
        <w:t>发展规划并组织实施；指导体育训练和运动员队伍建设，协调运动员社会保障工作，统筹组织全县综合性运动会、参加州级以上体育</w:t>
      </w:r>
      <w:r>
        <w:rPr>
          <w:rFonts w:hint="default" w:ascii="Times New Roman" w:hAnsi="Times New Roman" w:cs="Times New Roman"/>
          <w:color w:val="auto"/>
          <w:sz w:val="32"/>
          <w:szCs w:val="32"/>
          <w:lang w:val="en-US" w:eastAsia="zh-CN"/>
        </w:rPr>
        <w:t>竞</w:t>
      </w:r>
      <w:r>
        <w:rPr>
          <w:rFonts w:hint="default" w:ascii="Times New Roman" w:hAnsi="Times New Roman" w:eastAsia="仿宋_GB2312" w:cs="Times New Roman"/>
          <w:color w:val="auto"/>
          <w:sz w:val="32"/>
          <w:szCs w:val="32"/>
        </w:rPr>
        <w:t>赛和综合性运动会。负责反兴奋剂监督工作。</w:t>
      </w:r>
    </w:p>
    <w:p w14:paraId="5014E99C">
      <w:pPr>
        <w:pStyle w:val="9"/>
        <w:keepNext w:val="0"/>
        <w:keepLines w:val="0"/>
        <w:pageBreakBefore w:val="0"/>
        <w:widowControl w:val="0"/>
        <w:kinsoku/>
        <w:wordWrap/>
        <w:overflowPunct/>
        <w:topLinePunct w:val="0"/>
        <w:autoSpaceDE/>
        <w:bidi w:val="0"/>
        <w:adjustRightInd/>
        <w:snapToGrid/>
        <w:spacing w:beforeLines="0" w:afterAutospacing="0" w:line="578"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（11）</w:t>
      </w:r>
      <w:r>
        <w:rPr>
          <w:rFonts w:hint="default" w:ascii="Times New Roman" w:hAnsi="Times New Roman" w:eastAsia="仿宋_GB2312" w:cs="Times New Roman"/>
          <w:color w:val="auto"/>
          <w:sz w:val="32"/>
          <w:szCs w:val="32"/>
        </w:rPr>
        <w:t>负责拟订全县青少年（学校）体育工作发展规划并组织实施；负责青少年体育锻炼标准的组织实施，指导各级各类体育学校的建设和青少年业余训练及相关活动。</w:t>
      </w:r>
    </w:p>
    <w:p w14:paraId="734EA450">
      <w:pPr>
        <w:pStyle w:val="9"/>
        <w:keepNext w:val="0"/>
        <w:keepLines w:val="0"/>
        <w:pageBreakBefore w:val="0"/>
        <w:widowControl w:val="0"/>
        <w:kinsoku/>
        <w:wordWrap/>
        <w:overflowPunct/>
        <w:topLinePunct w:val="0"/>
        <w:autoSpaceDE/>
        <w:bidi w:val="0"/>
        <w:adjustRightInd/>
        <w:snapToGrid/>
        <w:spacing w:beforeLines="0" w:afterAutospacing="0" w:line="578"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（12）</w:t>
      </w:r>
      <w:r>
        <w:rPr>
          <w:rFonts w:hint="default" w:ascii="Times New Roman" w:hAnsi="Times New Roman" w:eastAsia="仿宋_GB2312" w:cs="Times New Roman"/>
          <w:color w:val="auto"/>
          <w:sz w:val="32"/>
          <w:szCs w:val="32"/>
        </w:rPr>
        <w:t>推动全县文化、体育和旅游市场发展，对全县文化、体育和旅游市场依法进行行业监管，依法规范文化、体育和旅游市场；推进文化、体育和旅游行业信用体系建设。</w:t>
      </w:r>
    </w:p>
    <w:p w14:paraId="6185EDD3">
      <w:pPr>
        <w:pStyle w:val="9"/>
        <w:keepNext w:val="0"/>
        <w:keepLines w:val="0"/>
        <w:pageBreakBefore w:val="0"/>
        <w:widowControl w:val="0"/>
        <w:kinsoku/>
        <w:wordWrap/>
        <w:overflowPunct/>
        <w:topLinePunct w:val="0"/>
        <w:autoSpaceDE/>
        <w:bidi w:val="0"/>
        <w:adjustRightInd/>
        <w:snapToGrid/>
        <w:spacing w:beforeLines="0" w:afterAutospacing="0" w:line="578"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（13）</w:t>
      </w:r>
      <w:r>
        <w:rPr>
          <w:rFonts w:hint="default" w:ascii="Times New Roman" w:hAnsi="Times New Roman" w:eastAsia="仿宋_GB2312" w:cs="Times New Roman"/>
          <w:color w:val="auto"/>
          <w:sz w:val="32"/>
          <w:szCs w:val="32"/>
        </w:rPr>
        <w:t>负责全县旅游景区管理机构、文旅企业的行业管理和标准化建设。</w:t>
      </w:r>
    </w:p>
    <w:p w14:paraId="511A78F4">
      <w:pPr>
        <w:pStyle w:val="9"/>
        <w:keepNext w:val="0"/>
        <w:keepLines w:val="0"/>
        <w:pageBreakBefore w:val="0"/>
        <w:widowControl w:val="0"/>
        <w:kinsoku/>
        <w:wordWrap/>
        <w:overflowPunct/>
        <w:topLinePunct w:val="0"/>
        <w:autoSpaceDE/>
        <w:bidi w:val="0"/>
        <w:adjustRightInd/>
        <w:snapToGrid/>
        <w:spacing w:beforeLines="0" w:afterAutospacing="0" w:line="578"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（14）</w:t>
      </w:r>
      <w:r>
        <w:rPr>
          <w:rFonts w:hint="default" w:ascii="Times New Roman" w:hAnsi="Times New Roman" w:eastAsia="仿宋_GB2312" w:cs="Times New Roman"/>
          <w:color w:val="auto"/>
          <w:sz w:val="32"/>
          <w:szCs w:val="32"/>
        </w:rPr>
        <w:t>统筹全县文化、文物、体育、旅游、广播电视市场综合行政执法，组织查处全县性、跨区域文化、文物、体育、旅游、广播电视等市场的违法行为，维护市场秩序。</w:t>
      </w:r>
    </w:p>
    <w:p w14:paraId="7AB90A87">
      <w:pPr>
        <w:pStyle w:val="9"/>
        <w:keepNext w:val="0"/>
        <w:keepLines w:val="0"/>
        <w:pageBreakBefore w:val="0"/>
        <w:widowControl w:val="0"/>
        <w:kinsoku/>
        <w:wordWrap/>
        <w:overflowPunct/>
        <w:topLinePunct w:val="0"/>
        <w:autoSpaceDE/>
        <w:bidi w:val="0"/>
        <w:adjustRightInd/>
        <w:snapToGrid/>
        <w:spacing w:beforeLines="0" w:afterAutospacing="0" w:line="578"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（15）</w:t>
      </w:r>
      <w:r>
        <w:rPr>
          <w:rFonts w:hint="default" w:ascii="Times New Roman" w:hAnsi="Times New Roman" w:eastAsia="仿宋_GB2312" w:cs="Times New Roman"/>
          <w:color w:val="auto"/>
          <w:sz w:val="32"/>
          <w:szCs w:val="32"/>
        </w:rPr>
        <w:t>负责管理文化、体育和旅游对外及对港澳台交流合作与宣传推广工作，组织大型文化和旅游对外及对港澳台交流活动。</w:t>
      </w:r>
    </w:p>
    <w:p w14:paraId="0AD611D1">
      <w:pPr>
        <w:pStyle w:val="9"/>
        <w:keepNext w:val="0"/>
        <w:keepLines w:val="0"/>
        <w:pageBreakBefore w:val="0"/>
        <w:widowControl w:val="0"/>
        <w:kinsoku/>
        <w:wordWrap/>
        <w:overflowPunct/>
        <w:topLinePunct w:val="0"/>
        <w:autoSpaceDE/>
        <w:bidi w:val="0"/>
        <w:adjustRightInd/>
        <w:snapToGrid/>
        <w:spacing w:beforeLines="0" w:afterAutospacing="0" w:line="578"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（16）</w:t>
      </w:r>
      <w:r>
        <w:rPr>
          <w:rFonts w:hint="default" w:ascii="Times New Roman" w:hAnsi="Times New Roman" w:eastAsia="仿宋_GB2312" w:cs="Times New Roman"/>
          <w:color w:val="auto"/>
          <w:sz w:val="32"/>
          <w:szCs w:val="32"/>
        </w:rPr>
        <w:t>负责文化、体育、旅游和广播电视行业安全生产工作的综合协调与监督管理，制定职责范围内的安全生产年度监督检查计划并组织实施；依法履行行业职业健康监管职责，承担职责范围内生态环境保护、公共机构节能减排、审批服务便民化等工作。</w:t>
      </w:r>
    </w:p>
    <w:p w14:paraId="50EEB5FB">
      <w:pPr>
        <w:pStyle w:val="9"/>
        <w:keepNext w:val="0"/>
        <w:keepLines w:val="0"/>
        <w:pageBreakBefore w:val="0"/>
        <w:widowControl w:val="0"/>
        <w:kinsoku/>
        <w:wordWrap/>
        <w:overflowPunct/>
        <w:topLinePunct w:val="0"/>
        <w:autoSpaceDE/>
        <w:bidi w:val="0"/>
        <w:adjustRightInd/>
        <w:snapToGrid/>
        <w:spacing w:beforeLines="0" w:afterAutospacing="0" w:line="578"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（17）</w:t>
      </w:r>
      <w:r>
        <w:rPr>
          <w:rFonts w:hint="default" w:ascii="Times New Roman" w:hAnsi="Times New Roman" w:eastAsia="仿宋_GB2312" w:cs="Times New Roman"/>
          <w:color w:val="auto"/>
          <w:sz w:val="32"/>
          <w:szCs w:val="32"/>
        </w:rPr>
        <w:t>负责对县内广播电视机构进行业务指导和行业监管，监督管理县内重大广播电视活动；监督审查广播电视和网络视听节目的内容和质量，指导监管广播电视安全播出和广告安全播放；指导广播电视技术创新。</w:t>
      </w:r>
    </w:p>
    <w:p w14:paraId="4BA0D497">
      <w:pPr>
        <w:pStyle w:val="9"/>
        <w:keepNext w:val="0"/>
        <w:keepLines w:val="0"/>
        <w:pageBreakBefore w:val="0"/>
        <w:widowControl w:val="0"/>
        <w:tabs>
          <w:tab w:val="left" w:pos="6920"/>
        </w:tabs>
        <w:kinsoku/>
        <w:wordWrap/>
        <w:overflowPunct/>
        <w:topLinePunct w:val="0"/>
        <w:autoSpaceDE/>
        <w:bidi w:val="0"/>
        <w:adjustRightInd/>
        <w:snapToGrid/>
        <w:spacing w:beforeLines="0" w:afterAutospacing="0" w:line="578"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（18）</w:t>
      </w:r>
      <w:r>
        <w:rPr>
          <w:rFonts w:hint="default" w:ascii="Times New Roman" w:hAnsi="Times New Roman" w:eastAsia="仿宋_GB2312" w:cs="Times New Roman"/>
          <w:color w:val="auto"/>
          <w:sz w:val="32"/>
          <w:szCs w:val="32"/>
        </w:rPr>
        <w:t>完成县委、县政府交办的其他任务。</w:t>
      </w:r>
    </w:p>
    <w:p w14:paraId="775BF8AD">
      <w:pPr>
        <w:pStyle w:val="9"/>
        <w:keepNext w:val="0"/>
        <w:keepLines w:val="0"/>
        <w:pageBreakBefore w:val="0"/>
        <w:widowControl w:val="0"/>
        <w:kinsoku/>
        <w:wordWrap/>
        <w:overflowPunct/>
        <w:topLinePunct w:val="0"/>
        <w:autoSpaceDE/>
        <w:bidi w:val="0"/>
        <w:adjustRightInd/>
        <w:snapToGrid/>
        <w:spacing w:beforeLines="0" w:afterAutospacing="0" w:line="578"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（19）</w:t>
      </w:r>
      <w:r>
        <w:rPr>
          <w:rFonts w:hint="default" w:ascii="Times New Roman" w:hAnsi="Times New Roman" w:eastAsia="仿宋_GB2312" w:cs="Times New Roman"/>
          <w:color w:val="auto"/>
          <w:sz w:val="32"/>
          <w:szCs w:val="32"/>
        </w:rPr>
        <w:t>职能转变。强化文化、体育和旅游要素配置，统筹整合形成文化、体育和旅游发展新优势，着力打造具有地方民族特色的文化、体育和旅游品牌，推进文化、体育和旅游融合发展，巩固旅游业的战略性支柱产业地位，推动旅游业向主导产业发展，提升松潘文化软实力，建设体育强县，努力开创文化、体育和旅游工作新局面。</w:t>
      </w:r>
    </w:p>
    <w:p w14:paraId="602719D6">
      <w:pPr>
        <w:pStyle w:val="9"/>
        <w:keepNext w:val="0"/>
        <w:keepLines w:val="0"/>
        <w:pageBreakBefore w:val="0"/>
        <w:widowControl w:val="0"/>
        <w:kinsoku/>
        <w:wordWrap/>
        <w:overflowPunct/>
        <w:topLinePunct w:val="0"/>
        <w:autoSpaceDE/>
        <w:bidi w:val="0"/>
        <w:adjustRightInd/>
        <w:snapToGrid/>
        <w:spacing w:beforeLines="0" w:afterAutospacing="0" w:line="578"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val="en-US" w:eastAsia="zh-CN"/>
        </w:rPr>
        <w:t>（20）</w:t>
      </w:r>
      <w:r>
        <w:rPr>
          <w:rFonts w:hint="default" w:ascii="Times New Roman" w:hAnsi="Times New Roman" w:eastAsia="仿宋_GB2312" w:cs="Times New Roman"/>
          <w:color w:val="auto"/>
          <w:sz w:val="32"/>
          <w:szCs w:val="32"/>
        </w:rPr>
        <w:t>有关职责分工。县文体旅游局会同县科技农牧局建立健全协同配合机制，推动乡村旅游工作。县科技农牧局负责休闲农业推动工作。</w:t>
      </w:r>
    </w:p>
    <w:p w14:paraId="71DBBCDF">
      <w:pPr>
        <w:keepNext w:val="0"/>
        <w:keepLines w:val="0"/>
        <w:pageBreakBefore w:val="0"/>
        <w:widowControl w:val="0"/>
        <w:kinsoku/>
        <w:wordWrap/>
        <w:overflowPunct/>
        <w:topLinePunct w:val="0"/>
        <w:autoSpaceDE/>
        <w:autoSpaceDN/>
        <w:bidi w:val="0"/>
        <w:adjustRightInd/>
        <w:snapToGrid/>
        <w:spacing w:line="578" w:lineRule="exact"/>
        <w:ind w:left="0" w:leftChars="0" w:right="0" w:rightChars="0" w:firstLine="640" w:firstLineChars="200"/>
        <w:jc w:val="both"/>
        <w:textAlignment w:val="auto"/>
        <w:rPr>
          <w:rFonts w:hint="default" w:ascii="Times New Roman" w:hAnsi="Times New Roman" w:eastAsia="黑体" w:cs="Times New Roman"/>
          <w:b w:val="0"/>
          <w:bCs w:val="0"/>
          <w:sz w:val="32"/>
          <w:szCs w:val="32"/>
          <w:lang w:val="en-US" w:eastAsia="zh-CN"/>
        </w:rPr>
      </w:pPr>
      <w:bookmarkStart w:id="16" w:name="_Toc15396601"/>
      <w:bookmarkStart w:id="17" w:name="_Toc15377200"/>
      <w:bookmarkStart w:id="18" w:name="_Toc18829_WPSOffice_Level2"/>
      <w:r>
        <w:rPr>
          <w:rFonts w:hint="default" w:ascii="Times New Roman" w:hAnsi="Times New Roman" w:eastAsia="黑体" w:cs="Times New Roman"/>
          <w:b w:val="0"/>
          <w:bCs w:val="0"/>
          <w:sz w:val="32"/>
          <w:szCs w:val="32"/>
          <w:lang w:val="en-US" w:eastAsia="zh-CN"/>
        </w:rPr>
        <w:t>二、机构设置</w:t>
      </w:r>
      <w:bookmarkEnd w:id="16"/>
      <w:bookmarkEnd w:id="17"/>
      <w:bookmarkEnd w:id="18"/>
    </w:p>
    <w:p w14:paraId="553BBD5E">
      <w:pPr>
        <w:pStyle w:val="9"/>
        <w:keepNext w:val="0"/>
        <w:keepLines w:val="0"/>
        <w:pageBreakBefore w:val="0"/>
        <w:widowControl w:val="0"/>
        <w:kinsoku/>
        <w:wordWrap/>
        <w:overflowPunct/>
        <w:topLinePunct w:val="0"/>
        <w:autoSpaceDE/>
        <w:bidi w:val="0"/>
        <w:adjustRightInd/>
        <w:snapToGrid/>
        <w:spacing w:beforeLines="0" w:afterAutospacing="0" w:line="578" w:lineRule="exact"/>
        <w:ind w:firstLine="640" w:firstLineChars="200"/>
        <w:textAlignment w:val="auto"/>
        <w:rPr>
          <w:rFonts w:hint="default" w:ascii="Times New Roman" w:hAnsi="Times New Roman" w:eastAsia="仿宋_GB2312" w:cs="Times New Roman"/>
          <w:color w:val="auto"/>
          <w:sz w:val="32"/>
          <w:szCs w:val="32"/>
          <w:highlight w:val="none"/>
        </w:rPr>
      </w:pPr>
      <w:bookmarkStart w:id="19" w:name="_Toc15378448"/>
      <w:bookmarkStart w:id="20" w:name="_Toc15306275"/>
      <w:bookmarkStart w:id="21" w:name="_Toc15377201"/>
      <w:bookmarkStart w:id="22" w:name="_Toc15377432"/>
      <w:r>
        <w:rPr>
          <w:rFonts w:hint="default" w:ascii="Times New Roman" w:hAnsi="Times New Roman" w:eastAsia="仿宋_GB2312" w:cs="Times New Roman"/>
          <w:color w:val="auto"/>
          <w:sz w:val="32"/>
          <w:szCs w:val="32"/>
        </w:rPr>
        <w:t>松潘县文化广播电视体育和旅游局下属二级</w:t>
      </w:r>
      <w:r>
        <w:rPr>
          <w:rFonts w:hint="default" w:ascii="Times New Roman" w:hAnsi="Times New Roman" w:eastAsia="仿宋_GB2312" w:cs="Times New Roman"/>
          <w:color w:val="auto"/>
          <w:sz w:val="32"/>
          <w:szCs w:val="32"/>
          <w:lang w:eastAsia="zh-CN"/>
        </w:rPr>
        <w:t>预算</w:t>
      </w:r>
      <w:r>
        <w:rPr>
          <w:rFonts w:hint="default" w:ascii="Times New Roman" w:hAnsi="Times New Roman" w:eastAsia="仿宋_GB2312" w:cs="Times New Roman"/>
          <w:color w:val="auto"/>
          <w:sz w:val="32"/>
          <w:szCs w:val="32"/>
        </w:rPr>
        <w:t>单位</w:t>
      </w:r>
      <w:r>
        <w:rPr>
          <w:rFonts w:hint="default" w:ascii="Times New Roman" w:hAnsi="Times New Roman" w:cs="Times New Roman"/>
          <w:color w:val="auto"/>
          <w:sz w:val="32"/>
          <w:szCs w:val="32"/>
          <w:lang w:val="en-US" w:eastAsia="zh-CN"/>
        </w:rPr>
        <w:t>8</w:t>
      </w:r>
      <w:r>
        <w:rPr>
          <w:rFonts w:hint="default" w:ascii="Times New Roman" w:hAnsi="Times New Roman" w:eastAsia="仿宋_GB2312" w:cs="Times New Roman"/>
          <w:color w:val="auto"/>
          <w:sz w:val="32"/>
          <w:szCs w:val="32"/>
        </w:rPr>
        <w:t>个，其中行政单位</w:t>
      </w: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个，其他事业</w:t>
      </w:r>
      <w:r>
        <w:rPr>
          <w:rFonts w:hint="default" w:ascii="Times New Roman" w:hAnsi="Times New Roman" w:eastAsia="仿宋_GB2312" w:cs="Times New Roman"/>
          <w:color w:val="auto"/>
          <w:sz w:val="32"/>
          <w:szCs w:val="32"/>
          <w:highlight w:val="none"/>
        </w:rPr>
        <w:t>单位</w:t>
      </w:r>
      <w:r>
        <w:rPr>
          <w:rFonts w:hint="default" w:ascii="Times New Roman" w:hAnsi="Times New Roman" w:cs="Times New Roman"/>
          <w:color w:val="auto"/>
          <w:sz w:val="32"/>
          <w:szCs w:val="32"/>
          <w:highlight w:val="none"/>
          <w:lang w:val="en-US" w:eastAsia="zh-CN"/>
        </w:rPr>
        <w:t>7</w:t>
      </w:r>
      <w:r>
        <w:rPr>
          <w:rFonts w:hint="default" w:ascii="Times New Roman" w:hAnsi="Times New Roman" w:eastAsia="仿宋_GB2312" w:cs="Times New Roman"/>
          <w:color w:val="auto"/>
          <w:sz w:val="32"/>
          <w:szCs w:val="32"/>
          <w:highlight w:val="none"/>
        </w:rPr>
        <w:t>个。</w:t>
      </w:r>
    </w:p>
    <w:p w14:paraId="1D009CBF">
      <w:pPr>
        <w:pStyle w:val="9"/>
        <w:pageBreakBefore w:val="0"/>
        <w:kinsoku/>
        <w:wordWrap/>
        <w:overflowPunct/>
        <w:topLinePunct w:val="0"/>
        <w:autoSpaceDE/>
        <w:bidi w:val="0"/>
        <w:adjustRightInd w:val="0"/>
        <w:snapToGrid w:val="0"/>
        <w:spacing w:before="93" w:line="578" w:lineRule="exact"/>
        <w:ind w:firstLine="672" w:firstLineChars="21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纳入</w:t>
      </w:r>
      <w:r>
        <w:rPr>
          <w:rFonts w:hint="default" w:ascii="Times New Roman" w:hAnsi="Times New Roman" w:cs="Times New Roman"/>
          <w:sz w:val="32"/>
          <w:szCs w:val="32"/>
        </w:rPr>
        <w:t>松潘县文化广播电视体育和旅游局</w:t>
      </w:r>
      <w:r>
        <w:rPr>
          <w:rFonts w:hint="default" w:ascii="Times New Roman" w:hAnsi="Times New Roman" w:eastAsia="仿宋_GB2312" w:cs="Times New Roman"/>
          <w:color w:val="auto"/>
          <w:sz w:val="32"/>
          <w:szCs w:val="32"/>
          <w:highlight w:val="none"/>
          <w:lang w:eastAsia="zh-CN"/>
        </w:rPr>
        <w:t>202</w:t>
      </w:r>
      <w:r>
        <w:rPr>
          <w:rFonts w:hint="default" w:ascii="Times New Roman" w:hAnsi="Times New Roman"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eastAsia="zh-CN"/>
        </w:rPr>
        <w:t>年度</w:t>
      </w:r>
      <w:r>
        <w:rPr>
          <w:rFonts w:hint="default" w:ascii="Times New Roman" w:hAnsi="Times New Roman" w:eastAsia="仿宋_GB2312" w:cs="Times New Roman"/>
          <w:color w:val="auto"/>
          <w:sz w:val="32"/>
          <w:szCs w:val="32"/>
          <w:highlight w:val="none"/>
        </w:rPr>
        <w:t>部门决算编制范围的二级预算单位包括：</w:t>
      </w:r>
    </w:p>
    <w:p w14:paraId="5AA0D67B">
      <w:pPr>
        <w:pStyle w:val="8"/>
        <w:pageBreakBefore w:val="0"/>
        <w:kinsoku/>
        <w:wordWrap/>
        <w:overflowPunct/>
        <w:topLinePunct w:val="0"/>
        <w:autoSpaceDE/>
        <w:bidi w:val="0"/>
        <w:spacing w:line="578" w:lineRule="exact"/>
        <w:ind w:firstLine="640" w:firstLineChars="200"/>
        <w:textAlignment w:val="auto"/>
        <w:rPr>
          <w:rFonts w:hint="default" w:ascii="Times New Roman" w:hAnsi="Times New Roman" w:eastAsia="仿宋_GB2312" w:cs="Times New Roman"/>
          <w:lang w:eastAsia="zh-CN"/>
        </w:rPr>
      </w:pPr>
      <w:r>
        <w:rPr>
          <w:rFonts w:hint="default" w:ascii="Times New Roman" w:hAnsi="Times New Roman" w:eastAsia="仿宋_GB2312" w:cs="Times New Roman"/>
          <w:sz w:val="32"/>
          <w:szCs w:val="32"/>
          <w:lang w:val="en-US" w:eastAsia="zh-CN"/>
        </w:rPr>
        <w:t>（1）松潘县</w:t>
      </w:r>
      <w:r>
        <w:rPr>
          <w:rFonts w:hint="default" w:ascii="Times New Roman" w:hAnsi="Times New Roman" w:eastAsia="仿宋_GB2312" w:cs="Times New Roman"/>
          <w:sz w:val="32"/>
          <w:szCs w:val="32"/>
          <w:lang w:eastAsia="zh-CN"/>
        </w:rPr>
        <w:t>文化广播电视体育和旅游局</w:t>
      </w:r>
    </w:p>
    <w:p w14:paraId="00A50800">
      <w:pPr>
        <w:keepNext w:val="0"/>
        <w:keepLines w:val="0"/>
        <w:pageBreakBefore w:val="0"/>
        <w:widowControl w:val="0"/>
        <w:kinsoku/>
        <w:wordWrap/>
        <w:overflowPunct/>
        <w:topLinePunct w:val="0"/>
        <w:autoSpaceDE/>
        <w:autoSpaceDN/>
        <w:bidi w:val="0"/>
        <w:adjustRightInd/>
        <w:snapToGrid/>
        <w:spacing w:afterAutospacing="0" w:line="578" w:lineRule="exact"/>
        <w:ind w:firstLine="640" w:firstLineChars="200"/>
        <w:textAlignment w:val="auto"/>
        <w:rPr>
          <w:rFonts w:hint="default" w:ascii="Times New Roman" w:hAnsi="Times New Roman" w:eastAsia="仿宋_GB2312" w:cs="Times New Roman"/>
          <w:sz w:val="32"/>
          <w:szCs w:val="32"/>
          <w:lang w:val="en-US" w:eastAsia="zh-CN"/>
        </w:rPr>
      </w:pPr>
      <w:bookmarkStart w:id="23" w:name="_Toc79163606"/>
      <w:r>
        <w:rPr>
          <w:rFonts w:hint="default" w:ascii="Times New Roman" w:hAnsi="Times New Roman" w:eastAsia="仿宋_GB2312" w:cs="Times New Roman"/>
          <w:sz w:val="32"/>
          <w:szCs w:val="32"/>
          <w:lang w:val="en-US" w:eastAsia="zh-CN"/>
        </w:rPr>
        <w:t>（2）松潘县文化和旅游服务中心</w:t>
      </w:r>
    </w:p>
    <w:p w14:paraId="168FBB4E">
      <w:pPr>
        <w:keepNext w:val="0"/>
        <w:keepLines w:val="0"/>
        <w:pageBreakBefore w:val="0"/>
        <w:widowControl w:val="0"/>
        <w:kinsoku/>
        <w:wordWrap/>
        <w:overflowPunct/>
        <w:topLinePunct w:val="0"/>
        <w:autoSpaceDE/>
        <w:autoSpaceDN/>
        <w:bidi w:val="0"/>
        <w:adjustRightInd/>
        <w:snapToGrid/>
        <w:spacing w:afterAutospacing="0" w:line="578"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（3）松潘县</w:t>
      </w:r>
      <w:r>
        <w:rPr>
          <w:rFonts w:hint="default" w:ascii="Times New Roman" w:hAnsi="Times New Roman" w:eastAsia="仿宋_GB2312" w:cs="Times New Roman"/>
          <w:sz w:val="32"/>
          <w:szCs w:val="32"/>
          <w:lang w:eastAsia="zh-CN"/>
        </w:rPr>
        <w:t>文化馆</w:t>
      </w:r>
      <w:bookmarkEnd w:id="23"/>
    </w:p>
    <w:p w14:paraId="1B79927F">
      <w:pPr>
        <w:keepNext w:val="0"/>
        <w:keepLines w:val="0"/>
        <w:pageBreakBefore w:val="0"/>
        <w:widowControl w:val="0"/>
        <w:kinsoku/>
        <w:wordWrap/>
        <w:overflowPunct/>
        <w:topLinePunct w:val="0"/>
        <w:autoSpaceDE/>
        <w:autoSpaceDN/>
        <w:bidi w:val="0"/>
        <w:adjustRightInd/>
        <w:snapToGrid/>
        <w:spacing w:afterAutospacing="0" w:line="578" w:lineRule="exact"/>
        <w:ind w:firstLine="640" w:firstLineChars="200"/>
        <w:textAlignment w:val="auto"/>
        <w:rPr>
          <w:rFonts w:hint="default" w:ascii="Times New Roman" w:hAnsi="Times New Roman" w:eastAsia="仿宋_GB2312" w:cs="Times New Roman"/>
          <w:sz w:val="32"/>
          <w:szCs w:val="32"/>
        </w:rPr>
      </w:pPr>
      <w:bookmarkStart w:id="24" w:name="_Toc79163607"/>
      <w:bookmarkStart w:id="25" w:name="_Toc15377202"/>
      <w:bookmarkStart w:id="26" w:name="_Toc15377433"/>
      <w:bookmarkStart w:id="27" w:name="_Toc15306276"/>
      <w:bookmarkStart w:id="28" w:name="_Toc15378449"/>
      <w:r>
        <w:rPr>
          <w:rFonts w:hint="default" w:ascii="Times New Roman" w:hAnsi="Times New Roman" w:eastAsia="仿宋_GB2312" w:cs="Times New Roman"/>
          <w:sz w:val="32"/>
          <w:szCs w:val="32"/>
          <w:lang w:val="en-US" w:eastAsia="zh-CN"/>
        </w:rPr>
        <w:t>（4）松潘县</w:t>
      </w:r>
      <w:r>
        <w:rPr>
          <w:rFonts w:hint="default" w:ascii="Times New Roman" w:hAnsi="Times New Roman" w:eastAsia="仿宋_GB2312" w:cs="Times New Roman"/>
          <w:sz w:val="32"/>
          <w:szCs w:val="32"/>
          <w:lang w:eastAsia="zh-CN"/>
        </w:rPr>
        <w:t>图书馆</w:t>
      </w:r>
      <w:bookmarkEnd w:id="24"/>
      <w:bookmarkEnd w:id="25"/>
      <w:bookmarkEnd w:id="26"/>
      <w:bookmarkEnd w:id="27"/>
      <w:bookmarkEnd w:id="28"/>
    </w:p>
    <w:p w14:paraId="57ED826A">
      <w:pPr>
        <w:keepNext w:val="0"/>
        <w:keepLines w:val="0"/>
        <w:pageBreakBefore w:val="0"/>
        <w:widowControl w:val="0"/>
        <w:kinsoku/>
        <w:wordWrap/>
        <w:overflowPunct/>
        <w:topLinePunct w:val="0"/>
        <w:autoSpaceDE/>
        <w:autoSpaceDN/>
        <w:bidi w:val="0"/>
        <w:adjustRightInd/>
        <w:snapToGrid/>
        <w:spacing w:afterAutospacing="0" w:line="578" w:lineRule="exact"/>
        <w:ind w:firstLine="640" w:firstLineChars="200"/>
        <w:textAlignment w:val="auto"/>
        <w:rPr>
          <w:rFonts w:hint="default" w:ascii="Times New Roman" w:hAnsi="Times New Roman" w:eastAsia="仿宋_GB2312" w:cs="Times New Roman"/>
          <w:sz w:val="32"/>
          <w:szCs w:val="32"/>
        </w:rPr>
      </w:pPr>
      <w:bookmarkStart w:id="29" w:name="_Toc15378450"/>
      <w:bookmarkStart w:id="30" w:name="_Toc15377434"/>
      <w:bookmarkStart w:id="31" w:name="_Toc15377203"/>
      <w:bookmarkStart w:id="32" w:name="_Toc15306277"/>
      <w:bookmarkStart w:id="33" w:name="_Toc79163608"/>
      <w:r>
        <w:rPr>
          <w:rFonts w:hint="default" w:ascii="Times New Roman" w:hAnsi="Times New Roman" w:eastAsia="仿宋_GB2312" w:cs="Times New Roman"/>
          <w:sz w:val="32"/>
          <w:szCs w:val="32"/>
          <w:lang w:val="en-US" w:eastAsia="zh-CN"/>
        </w:rPr>
        <w:t>（5）松潘县</w:t>
      </w:r>
      <w:r>
        <w:rPr>
          <w:rFonts w:hint="default" w:ascii="Times New Roman" w:hAnsi="Times New Roman" w:eastAsia="仿宋_GB2312" w:cs="Times New Roman"/>
          <w:sz w:val="32"/>
          <w:szCs w:val="32"/>
          <w:lang w:eastAsia="zh-CN"/>
        </w:rPr>
        <w:t>文物管理所</w:t>
      </w:r>
      <w:bookmarkEnd w:id="29"/>
      <w:bookmarkEnd w:id="30"/>
      <w:bookmarkEnd w:id="31"/>
      <w:bookmarkEnd w:id="32"/>
      <w:bookmarkEnd w:id="33"/>
    </w:p>
    <w:p w14:paraId="066BFB13">
      <w:pPr>
        <w:keepNext w:val="0"/>
        <w:keepLines w:val="0"/>
        <w:pageBreakBefore w:val="0"/>
        <w:widowControl w:val="0"/>
        <w:kinsoku/>
        <w:wordWrap/>
        <w:overflowPunct/>
        <w:topLinePunct w:val="0"/>
        <w:autoSpaceDE/>
        <w:autoSpaceDN/>
        <w:bidi w:val="0"/>
        <w:adjustRightInd/>
        <w:snapToGrid/>
        <w:spacing w:afterAutospacing="0" w:line="578"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（6）松潘县沙窝会议会址陈列馆</w:t>
      </w:r>
    </w:p>
    <w:p w14:paraId="4C5D6B0C">
      <w:pPr>
        <w:keepNext w:val="0"/>
        <w:keepLines w:val="0"/>
        <w:pageBreakBefore w:val="0"/>
        <w:widowControl w:val="0"/>
        <w:kinsoku/>
        <w:wordWrap/>
        <w:overflowPunct/>
        <w:topLinePunct w:val="0"/>
        <w:autoSpaceDE/>
        <w:autoSpaceDN/>
        <w:bidi w:val="0"/>
        <w:adjustRightInd/>
        <w:snapToGrid/>
        <w:spacing w:afterAutospacing="0" w:line="578"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（7）松潘县毛儿盖会议会址陈列馆</w:t>
      </w:r>
    </w:p>
    <w:p w14:paraId="34ABB3F0">
      <w:pPr>
        <w:keepNext w:val="0"/>
        <w:keepLines w:val="0"/>
        <w:pageBreakBefore w:val="0"/>
        <w:widowControl w:val="0"/>
        <w:kinsoku/>
        <w:wordWrap/>
        <w:overflowPunct/>
        <w:topLinePunct w:val="0"/>
        <w:autoSpaceDE/>
        <w:autoSpaceDN/>
        <w:bidi w:val="0"/>
        <w:adjustRightInd/>
        <w:snapToGrid/>
        <w:spacing w:afterAutospacing="0" w:line="578" w:lineRule="exact"/>
        <w:ind w:firstLine="640" w:firstLineChars="200"/>
        <w:textAlignment w:val="auto"/>
        <w:rPr>
          <w:rFonts w:hint="default" w:ascii="Times New Roman" w:hAnsi="Times New Roman" w:eastAsia="方正小标宋简体" w:cs="Times New Roman"/>
          <w:b w:val="0"/>
          <w:color w:val="auto"/>
          <w:highlight w:val="none"/>
        </w:rPr>
      </w:pPr>
      <w:r>
        <w:rPr>
          <w:rFonts w:hint="default" w:ascii="Times New Roman" w:hAnsi="Times New Roman" w:eastAsia="仿宋_GB2312" w:cs="Times New Roman"/>
          <w:sz w:val="32"/>
          <w:szCs w:val="32"/>
          <w:lang w:val="en-US" w:eastAsia="zh-CN"/>
        </w:rPr>
        <w:t>（8）松潘县红军</w:t>
      </w:r>
      <w:r>
        <w:rPr>
          <w:rFonts w:hint="eastAsia" w:eastAsia="仿宋_GB2312" w:cs="Times New Roman"/>
          <w:sz w:val="32"/>
          <w:szCs w:val="32"/>
          <w:lang w:val="en-US" w:eastAsia="zh-CN"/>
        </w:rPr>
        <w:t>过草地</w:t>
      </w:r>
      <w:r>
        <w:rPr>
          <w:rFonts w:hint="default" w:ascii="Times New Roman" w:hAnsi="Times New Roman" w:eastAsia="仿宋_GB2312" w:cs="Times New Roman"/>
          <w:sz w:val="32"/>
          <w:szCs w:val="32"/>
          <w:lang w:val="en-US" w:eastAsia="zh-CN"/>
        </w:rPr>
        <w:t>陈列馆</w:t>
      </w:r>
    </w:p>
    <w:p w14:paraId="237EBE64">
      <w:pPr>
        <w:pStyle w:val="3"/>
        <w:pageBreakBefore w:val="0"/>
        <w:kinsoku/>
        <w:wordWrap/>
        <w:overflowPunct/>
        <w:topLinePunct w:val="0"/>
        <w:bidi w:val="0"/>
        <w:spacing w:line="578" w:lineRule="exact"/>
        <w:textAlignment w:val="auto"/>
        <w:rPr>
          <w:rFonts w:hint="default" w:ascii="Times New Roman" w:hAnsi="Times New Roman" w:eastAsia="仿宋_GB2312" w:cs="Times New Roman"/>
          <w:sz w:val="32"/>
          <w:szCs w:val="32"/>
        </w:rPr>
      </w:pPr>
    </w:p>
    <w:p w14:paraId="45E51948">
      <w:pPr>
        <w:pageBreakBefore w:val="0"/>
        <w:kinsoku/>
        <w:wordWrap/>
        <w:overflowPunct/>
        <w:topLinePunct w:val="0"/>
        <w:bidi w:val="0"/>
        <w:spacing w:line="578" w:lineRule="exact"/>
        <w:textAlignment w:val="auto"/>
        <w:rPr>
          <w:rFonts w:hint="default" w:ascii="Times New Roman" w:hAnsi="Times New Roman" w:eastAsia="仿宋_GB2312" w:cs="Times New Roman"/>
          <w:sz w:val="32"/>
          <w:szCs w:val="32"/>
        </w:rPr>
      </w:pPr>
    </w:p>
    <w:p w14:paraId="31E81C17">
      <w:pPr>
        <w:pStyle w:val="2"/>
        <w:pageBreakBefore w:val="0"/>
        <w:kinsoku/>
        <w:wordWrap/>
        <w:overflowPunct/>
        <w:topLinePunct w:val="0"/>
        <w:bidi w:val="0"/>
        <w:spacing w:line="578" w:lineRule="exact"/>
        <w:textAlignment w:val="auto"/>
        <w:rPr>
          <w:rFonts w:hint="default" w:ascii="Times New Roman" w:hAnsi="Times New Roman" w:eastAsia="仿宋_GB2312" w:cs="Times New Roman"/>
          <w:sz w:val="32"/>
          <w:szCs w:val="32"/>
        </w:rPr>
      </w:pPr>
    </w:p>
    <w:p w14:paraId="08A04223">
      <w:pPr>
        <w:pageBreakBefore w:val="0"/>
        <w:kinsoku/>
        <w:wordWrap/>
        <w:overflowPunct/>
        <w:topLinePunct w:val="0"/>
        <w:bidi w:val="0"/>
        <w:spacing w:line="578" w:lineRule="exact"/>
        <w:textAlignment w:val="auto"/>
        <w:rPr>
          <w:rFonts w:hint="default" w:ascii="Times New Roman" w:hAnsi="Times New Roman" w:cs="Times New Roman"/>
          <w:lang w:val="en-US" w:eastAsia="zh-CN"/>
        </w:rPr>
      </w:pPr>
    </w:p>
    <w:p w14:paraId="46C40DA1">
      <w:pPr>
        <w:pStyle w:val="2"/>
        <w:rPr>
          <w:rFonts w:hint="default" w:ascii="Times New Roman" w:hAnsi="Times New Roman" w:cs="Times New Roman"/>
          <w:lang w:val="en-US" w:eastAsia="zh-CN"/>
        </w:rPr>
      </w:pPr>
    </w:p>
    <w:p w14:paraId="2DAA86CE">
      <w:pPr>
        <w:pStyle w:val="3"/>
        <w:rPr>
          <w:rFonts w:hint="default" w:ascii="Times New Roman" w:hAnsi="Times New Roman" w:cs="Times New Roman"/>
          <w:lang w:val="en-US" w:eastAsia="zh-CN"/>
        </w:rPr>
      </w:pPr>
    </w:p>
    <w:p w14:paraId="77CECFFB">
      <w:pPr>
        <w:rPr>
          <w:rFonts w:hint="default" w:ascii="Times New Roman" w:hAnsi="Times New Roman" w:cs="Times New Roman"/>
          <w:lang w:val="en-US" w:eastAsia="zh-CN"/>
        </w:rPr>
      </w:pPr>
    </w:p>
    <w:p w14:paraId="74CBEF89">
      <w:pPr>
        <w:pStyle w:val="2"/>
        <w:rPr>
          <w:rFonts w:hint="default" w:ascii="Times New Roman" w:hAnsi="Times New Roman" w:cs="Times New Roman"/>
          <w:lang w:val="en-US" w:eastAsia="zh-CN"/>
        </w:rPr>
      </w:pPr>
    </w:p>
    <w:p w14:paraId="1CCCCF07">
      <w:pPr>
        <w:pStyle w:val="3"/>
        <w:rPr>
          <w:rFonts w:hint="default" w:ascii="Times New Roman" w:hAnsi="Times New Roman" w:cs="Times New Roman"/>
          <w:lang w:val="en-US" w:eastAsia="zh-CN"/>
        </w:rPr>
      </w:pPr>
    </w:p>
    <w:p w14:paraId="70331D4A">
      <w:pPr>
        <w:rPr>
          <w:rFonts w:hint="default" w:ascii="Times New Roman" w:hAnsi="Times New Roman" w:cs="Times New Roman"/>
          <w:lang w:val="en-US" w:eastAsia="zh-CN"/>
        </w:rPr>
      </w:pPr>
    </w:p>
    <w:p w14:paraId="38BC65B0">
      <w:pPr>
        <w:pStyle w:val="2"/>
        <w:rPr>
          <w:rFonts w:hint="default" w:ascii="Times New Roman" w:hAnsi="Times New Roman" w:cs="Times New Roman"/>
          <w:lang w:val="en-US" w:eastAsia="zh-CN"/>
        </w:rPr>
      </w:pPr>
    </w:p>
    <w:p w14:paraId="5E2266DC">
      <w:pPr>
        <w:pStyle w:val="3"/>
        <w:rPr>
          <w:rFonts w:hint="default" w:ascii="Times New Roman" w:hAnsi="Times New Roman" w:cs="Times New Roman"/>
          <w:lang w:val="en-US" w:eastAsia="zh-CN"/>
        </w:rPr>
      </w:pPr>
    </w:p>
    <w:p w14:paraId="293933CD">
      <w:pPr>
        <w:rPr>
          <w:rFonts w:hint="default" w:ascii="Times New Roman" w:hAnsi="Times New Roman" w:cs="Times New Roman"/>
          <w:lang w:val="en-US" w:eastAsia="zh-CN"/>
        </w:rPr>
      </w:pPr>
    </w:p>
    <w:p w14:paraId="1595C353">
      <w:pPr>
        <w:pStyle w:val="2"/>
        <w:rPr>
          <w:rFonts w:hint="default" w:ascii="Times New Roman" w:hAnsi="Times New Roman" w:cs="Times New Roman"/>
          <w:lang w:val="en-US" w:eastAsia="zh-CN"/>
        </w:rPr>
      </w:pPr>
    </w:p>
    <w:p w14:paraId="22B382C7">
      <w:pPr>
        <w:pStyle w:val="3"/>
        <w:rPr>
          <w:rFonts w:hint="default" w:ascii="Times New Roman" w:hAnsi="Times New Roman" w:cs="Times New Roman"/>
          <w:lang w:val="en-US" w:eastAsia="zh-CN"/>
        </w:rPr>
      </w:pPr>
    </w:p>
    <w:p w14:paraId="1658FAC0">
      <w:pPr>
        <w:rPr>
          <w:rFonts w:hint="default" w:ascii="Times New Roman" w:hAnsi="Times New Roman" w:cs="Times New Roman"/>
          <w:lang w:val="en-US" w:eastAsia="zh-CN"/>
        </w:rPr>
      </w:pPr>
    </w:p>
    <w:p w14:paraId="0A95C20E">
      <w:pPr>
        <w:pStyle w:val="2"/>
        <w:rPr>
          <w:rFonts w:hint="default" w:ascii="Times New Roman" w:hAnsi="Times New Roman" w:cs="Times New Roman"/>
          <w:lang w:val="en-US" w:eastAsia="zh-CN"/>
        </w:rPr>
      </w:pPr>
    </w:p>
    <w:p w14:paraId="54B63BD9">
      <w:pPr>
        <w:pStyle w:val="3"/>
        <w:rPr>
          <w:rFonts w:hint="default" w:ascii="Times New Roman" w:hAnsi="Times New Roman" w:cs="Times New Roman"/>
          <w:lang w:val="en-US" w:eastAsia="zh-CN"/>
        </w:rPr>
      </w:pPr>
    </w:p>
    <w:p w14:paraId="43621884">
      <w:pPr>
        <w:rPr>
          <w:rFonts w:hint="default" w:ascii="Times New Roman" w:hAnsi="Times New Roman" w:cs="Times New Roman"/>
          <w:lang w:val="en-US" w:eastAsia="zh-CN"/>
        </w:rPr>
      </w:pPr>
    </w:p>
    <w:p w14:paraId="4B3E6507">
      <w:pPr>
        <w:pStyle w:val="2"/>
        <w:rPr>
          <w:rFonts w:hint="default" w:ascii="Times New Roman" w:hAnsi="Times New Roman" w:cs="Times New Roman"/>
          <w:lang w:val="en-US" w:eastAsia="zh-CN"/>
        </w:rPr>
      </w:pPr>
    </w:p>
    <w:p w14:paraId="188D52F5">
      <w:pPr>
        <w:pStyle w:val="3"/>
        <w:rPr>
          <w:rFonts w:hint="default" w:ascii="Times New Roman" w:hAnsi="Times New Roman" w:cs="Times New Roman"/>
          <w:lang w:val="en-US" w:eastAsia="zh-CN"/>
        </w:rPr>
      </w:pPr>
    </w:p>
    <w:p w14:paraId="09555AF4">
      <w:pPr>
        <w:rPr>
          <w:rFonts w:hint="default" w:ascii="Times New Roman" w:hAnsi="Times New Roman" w:cs="Times New Roman"/>
          <w:lang w:val="en-US" w:eastAsia="zh-CN"/>
        </w:rPr>
      </w:pPr>
    </w:p>
    <w:p w14:paraId="435223C5">
      <w:pPr>
        <w:pStyle w:val="2"/>
        <w:rPr>
          <w:rFonts w:hint="default" w:ascii="Times New Roman" w:hAnsi="Times New Roman" w:cs="Times New Roman"/>
          <w:lang w:val="en-US" w:eastAsia="zh-CN"/>
        </w:rPr>
      </w:pPr>
    </w:p>
    <w:p w14:paraId="1EDDD105">
      <w:pPr>
        <w:pStyle w:val="3"/>
        <w:rPr>
          <w:rFonts w:hint="default" w:ascii="Times New Roman" w:hAnsi="Times New Roman" w:cs="Times New Roman"/>
          <w:lang w:val="en-US" w:eastAsia="zh-CN"/>
        </w:rPr>
      </w:pPr>
    </w:p>
    <w:p w14:paraId="4F9948D9">
      <w:pPr>
        <w:rPr>
          <w:rFonts w:hint="default" w:ascii="Times New Roman" w:hAnsi="Times New Roman" w:cs="Times New Roman"/>
          <w:lang w:val="en-US" w:eastAsia="zh-CN"/>
        </w:rPr>
      </w:pPr>
    </w:p>
    <w:p w14:paraId="2E3025EB">
      <w:pPr>
        <w:pStyle w:val="2"/>
        <w:rPr>
          <w:rFonts w:hint="default" w:ascii="Times New Roman" w:hAnsi="Times New Roman" w:cs="Times New Roman"/>
          <w:lang w:val="en-US" w:eastAsia="zh-CN"/>
        </w:rPr>
      </w:pPr>
    </w:p>
    <w:p w14:paraId="6515A1B2">
      <w:pPr>
        <w:pStyle w:val="3"/>
        <w:rPr>
          <w:rFonts w:hint="default" w:ascii="Times New Roman" w:hAnsi="Times New Roman" w:cs="Times New Roman"/>
          <w:lang w:val="en-US" w:eastAsia="zh-CN"/>
        </w:rPr>
      </w:pPr>
    </w:p>
    <w:p w14:paraId="69F4AA8C">
      <w:pPr>
        <w:rPr>
          <w:rFonts w:hint="default" w:ascii="Times New Roman" w:hAnsi="Times New Roman" w:cs="Times New Roman"/>
          <w:lang w:val="en-US" w:eastAsia="zh-CN"/>
        </w:rPr>
      </w:pPr>
    </w:p>
    <w:p w14:paraId="303B19D5">
      <w:pPr>
        <w:pStyle w:val="2"/>
        <w:rPr>
          <w:rFonts w:hint="default" w:ascii="Times New Roman" w:hAnsi="Times New Roman" w:cs="Times New Roman"/>
          <w:lang w:val="en-US" w:eastAsia="zh-CN"/>
        </w:rPr>
      </w:pPr>
    </w:p>
    <w:p w14:paraId="0D888101">
      <w:pPr>
        <w:pStyle w:val="3"/>
        <w:rPr>
          <w:rFonts w:hint="default" w:ascii="Times New Roman" w:hAnsi="Times New Roman" w:cs="Times New Roman"/>
          <w:lang w:val="en-US" w:eastAsia="zh-CN"/>
        </w:rPr>
      </w:pPr>
    </w:p>
    <w:p w14:paraId="7C15A971">
      <w:pPr>
        <w:rPr>
          <w:rFonts w:hint="default"/>
          <w:lang w:val="en-US" w:eastAsia="zh-CN"/>
        </w:rPr>
      </w:pPr>
    </w:p>
    <w:bookmarkEnd w:id="19"/>
    <w:bookmarkEnd w:id="20"/>
    <w:bookmarkEnd w:id="21"/>
    <w:bookmarkEnd w:id="22"/>
    <w:p w14:paraId="2298E57B">
      <w:pPr>
        <w:pStyle w:val="5"/>
        <w:pageBreakBefore w:val="0"/>
        <w:numPr>
          <w:ilvl w:val="0"/>
          <w:numId w:val="1"/>
        </w:numPr>
        <w:kinsoku/>
        <w:wordWrap/>
        <w:overflowPunct/>
        <w:topLinePunct w:val="0"/>
        <w:autoSpaceDE/>
        <w:bidi w:val="0"/>
        <w:spacing w:line="578" w:lineRule="exact"/>
        <w:jc w:val="center"/>
        <w:textAlignment w:val="auto"/>
        <w:rPr>
          <w:rFonts w:hint="default" w:ascii="Times New Roman" w:hAnsi="Times New Roman" w:eastAsia="方正小标宋简体" w:cs="Times New Roman"/>
          <w:b w:val="0"/>
          <w:color w:val="auto"/>
          <w:highlight w:val="none"/>
        </w:rPr>
      </w:pPr>
      <w:bookmarkStart w:id="34" w:name="_Toc28930_WPSOffice_Level1"/>
      <w:bookmarkStart w:id="35" w:name="_Toc15396602"/>
      <w:bookmarkStart w:id="36" w:name="_Toc15377204"/>
      <w:r>
        <w:rPr>
          <w:rFonts w:hint="default" w:ascii="Times New Roman" w:hAnsi="Times New Roman" w:eastAsia="方正小标宋简体" w:cs="Times New Roman"/>
          <w:b w:val="0"/>
          <w:color w:val="auto"/>
          <w:highlight w:val="none"/>
        </w:rPr>
        <w:t xml:space="preserve"> </w:t>
      </w:r>
      <w:r>
        <w:rPr>
          <w:rFonts w:hint="default" w:ascii="Times New Roman" w:hAnsi="Times New Roman" w:eastAsia="方正小标宋简体" w:cs="Times New Roman"/>
          <w:b w:val="0"/>
          <w:color w:val="auto"/>
          <w:highlight w:val="none"/>
          <w:lang w:val="en-US" w:eastAsia="zh-CN"/>
        </w:rPr>
        <w:t>2025年度单位</w:t>
      </w:r>
      <w:r>
        <w:rPr>
          <w:rFonts w:hint="default" w:ascii="Times New Roman" w:hAnsi="Times New Roman" w:eastAsia="方正小标宋简体" w:cs="Times New Roman"/>
          <w:b w:val="0"/>
          <w:color w:val="auto"/>
          <w:highlight w:val="none"/>
        </w:rPr>
        <w:t>决算情况说明</w:t>
      </w:r>
      <w:bookmarkEnd w:id="34"/>
      <w:bookmarkEnd w:id="35"/>
      <w:bookmarkEnd w:id="36"/>
      <w:bookmarkStart w:id="37" w:name="_Toc15396603"/>
      <w:bookmarkStart w:id="38" w:name="_Toc15377205"/>
      <w:bookmarkStart w:id="39" w:name="_Toc4725_WPSOffice_Level2"/>
    </w:p>
    <w:p w14:paraId="7F422F34">
      <w:pPr>
        <w:keepNext w:val="0"/>
        <w:keepLines w:val="0"/>
        <w:pageBreakBefore w:val="0"/>
        <w:widowControl w:val="0"/>
        <w:kinsoku/>
        <w:wordWrap/>
        <w:overflowPunct/>
        <w:topLinePunct w:val="0"/>
        <w:autoSpaceDE/>
        <w:autoSpaceDN/>
        <w:bidi w:val="0"/>
        <w:adjustRightInd/>
        <w:snapToGrid/>
        <w:spacing w:afterAutospacing="0" w:line="578"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一、收入支出决算总体情况说明</w:t>
      </w:r>
      <w:bookmarkEnd w:id="37"/>
      <w:bookmarkEnd w:id="38"/>
      <w:bookmarkEnd w:id="39"/>
    </w:p>
    <w:p w14:paraId="51547510">
      <w:pPr>
        <w:pStyle w:val="32"/>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1"/>
        <w:rPr>
          <w:rFonts w:hint="default" w:ascii="Times New Roman" w:hAnsi="Times New Roman" w:eastAsia="仿宋_GB2312" w:cs="Times New Roman"/>
          <w:lang w:val="en-US" w:eastAsia="zh-CN"/>
        </w:rPr>
      </w:pPr>
      <w:r>
        <w:rPr>
          <w:rFonts w:hint="default" w:ascii="Times New Roman" w:hAnsi="Times New Roman" w:eastAsia="仿宋_GB2312" w:cs="Times New Roman"/>
          <w:color w:val="auto"/>
          <w:sz w:val="32"/>
          <w:szCs w:val="32"/>
          <w:highlight w:val="none"/>
          <w:lang w:eastAsia="zh-CN"/>
        </w:rPr>
        <w:t>2025年度收入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总计</w:t>
      </w:r>
      <w:r>
        <w:rPr>
          <w:rFonts w:hint="default" w:ascii="Times New Roman" w:hAnsi="Times New Roman" w:eastAsia="仿宋_GB2312" w:cs="Times New Roman"/>
          <w:color w:val="auto"/>
          <w:sz w:val="32"/>
          <w:szCs w:val="32"/>
          <w:highlight w:val="none"/>
          <w:lang w:eastAsia="zh-CN"/>
        </w:rPr>
        <w:t>均为</w:t>
      </w:r>
      <w:r>
        <w:rPr>
          <w:rFonts w:hint="default" w:ascii="Times New Roman" w:hAnsi="Times New Roman" w:eastAsia="仿宋_GB2312" w:cs="Times New Roman"/>
          <w:sz w:val="32"/>
          <w:szCs w:val="32"/>
        </w:rPr>
        <w:t>2431.89</w:t>
      </w:r>
      <w:r>
        <w:rPr>
          <w:rFonts w:hint="default" w:ascii="Times New Roman" w:hAnsi="Times New Roman" w:eastAsia="仿宋_GB2312" w:cs="Times New Roman"/>
          <w:color w:val="auto"/>
          <w:sz w:val="32"/>
          <w:szCs w:val="32"/>
          <w:highlight w:val="none"/>
        </w:rPr>
        <w:t>万元。与</w:t>
      </w:r>
      <w:r>
        <w:rPr>
          <w:rFonts w:hint="default" w:ascii="Times New Roman" w:hAnsi="Times New Roman" w:eastAsia="仿宋_GB2312" w:cs="Times New Roman"/>
          <w:color w:val="auto"/>
          <w:sz w:val="32"/>
          <w:szCs w:val="32"/>
          <w:highlight w:val="none"/>
          <w:lang w:eastAsia="zh-CN"/>
        </w:rPr>
        <w:t>上</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相比，</w:t>
      </w:r>
      <w:r>
        <w:rPr>
          <w:rFonts w:hint="default" w:ascii="Times New Roman" w:hAnsi="Times New Roman" w:eastAsia="仿宋_GB2312" w:cs="Times New Roman"/>
          <w:color w:val="auto"/>
          <w:sz w:val="32"/>
          <w:szCs w:val="32"/>
          <w:highlight w:val="none"/>
          <w:lang w:eastAsia="zh-CN"/>
        </w:rPr>
        <w:t>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总计各减少</w:t>
      </w:r>
      <w:r>
        <w:rPr>
          <w:rFonts w:hint="default" w:ascii="Times New Roman" w:hAnsi="Times New Roman" w:eastAsia="仿宋_GB2312" w:cs="Times New Roman"/>
          <w:color w:val="auto"/>
          <w:sz w:val="32"/>
          <w:szCs w:val="32"/>
          <w:highlight w:val="none"/>
          <w:lang w:val="en-US" w:eastAsia="zh-CN"/>
        </w:rPr>
        <w:t>76.69</w:t>
      </w:r>
      <w:r>
        <w:rPr>
          <w:rFonts w:hint="default" w:ascii="Times New Roman" w:hAnsi="Times New Roman" w:eastAsia="仿宋_GB2312" w:cs="Times New Roman"/>
          <w:color w:val="auto"/>
          <w:sz w:val="32"/>
          <w:szCs w:val="32"/>
          <w:highlight w:val="none"/>
        </w:rPr>
        <w:t>万元，下降</w:t>
      </w:r>
      <w:r>
        <w:rPr>
          <w:rFonts w:hint="default" w:ascii="Times New Roman" w:hAnsi="Times New Roman" w:eastAsia="仿宋_GB2312" w:cs="Times New Roman"/>
          <w:color w:val="auto"/>
          <w:sz w:val="32"/>
          <w:szCs w:val="32"/>
          <w:highlight w:val="none"/>
          <w:lang w:val="en-US" w:eastAsia="zh-CN"/>
        </w:rPr>
        <w:t>3.06</w:t>
      </w:r>
      <w:r>
        <w:rPr>
          <w:rFonts w:hint="default" w:ascii="Times New Roman" w:hAnsi="Times New Roman" w:eastAsia="仿宋_GB2312" w:cs="Times New Roman"/>
          <w:color w:val="auto"/>
          <w:sz w:val="32"/>
          <w:szCs w:val="32"/>
          <w:highlight w:val="none"/>
        </w:rPr>
        <w:t>%。主要变动原因是</w:t>
      </w:r>
      <w:r>
        <w:rPr>
          <w:rFonts w:hint="default" w:ascii="Times New Roman" w:hAnsi="Times New Roman" w:eastAsia="仿宋_GB2312" w:cs="Times New Roman"/>
          <w:color w:val="auto"/>
          <w:sz w:val="32"/>
          <w:szCs w:val="32"/>
          <w:highlight w:val="none"/>
          <w:lang w:val="en-US" w:eastAsia="zh-CN"/>
        </w:rPr>
        <w:t>相关项目费用减少。</w:t>
      </w:r>
    </w:p>
    <w:p w14:paraId="30689AD0">
      <w:pPr>
        <w:pStyle w:val="32"/>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1"/>
        <w:rPr>
          <w:rFonts w:hint="default" w:ascii="Times New Roman" w:hAnsi="Times New Roman" w:eastAsia="黑体" w:cs="Times New Roman"/>
          <w:color w:val="auto"/>
          <w:sz w:val="32"/>
          <w:szCs w:val="32"/>
          <w:highlight w:val="none"/>
          <w:lang w:eastAsia="zh-CN"/>
        </w:rPr>
      </w:pPr>
      <w:bookmarkStart w:id="40" w:name="_Toc15377206"/>
      <w:bookmarkStart w:id="41" w:name="_Toc21269_WPSOffice_Level2"/>
      <w:bookmarkStart w:id="42" w:name="_Toc15396604"/>
      <w:r>
        <w:rPr>
          <w:rFonts w:hint="default" w:ascii="Times New Roman" w:hAnsi="Times New Roman" w:eastAsia="黑体" w:cs="Times New Roman"/>
          <w:color w:val="auto"/>
          <w:sz w:val="32"/>
          <w:szCs w:val="32"/>
          <w:highlight w:val="none"/>
          <w:lang w:eastAsia="zh-CN"/>
        </w:rPr>
        <w:t>二、收入决算情况说明</w:t>
      </w:r>
      <w:bookmarkEnd w:id="40"/>
      <w:bookmarkEnd w:id="41"/>
      <w:bookmarkEnd w:id="42"/>
    </w:p>
    <w:p w14:paraId="4DBF2D40">
      <w:pPr>
        <w:pStyle w:val="32"/>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jc w:val="left"/>
        <w:textAlignment w:val="auto"/>
        <w:outlineLvl w:val="1"/>
        <w:rPr>
          <w:rFonts w:hint="default" w:ascii="Times New Roman" w:hAnsi="Times New Roman" w:eastAsia="仿宋_GB2312" w:cs="Times New Roman"/>
          <w:b/>
          <w:bCs/>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2025年度本年收入合计</w:t>
      </w:r>
      <w:r>
        <w:rPr>
          <w:rFonts w:hint="default" w:ascii="Times New Roman" w:hAnsi="Times New Roman" w:eastAsia="仿宋_GB2312" w:cs="Times New Roman"/>
          <w:sz w:val="32"/>
          <w:szCs w:val="32"/>
        </w:rPr>
        <w:t>2380.13</w:t>
      </w:r>
      <w:r>
        <w:rPr>
          <w:rFonts w:hint="default" w:ascii="Times New Roman" w:hAnsi="Times New Roman" w:eastAsia="仿宋_GB2312" w:cs="Times New Roman"/>
          <w:color w:val="auto"/>
          <w:sz w:val="32"/>
          <w:szCs w:val="32"/>
          <w:highlight w:val="none"/>
          <w:lang w:eastAsia="zh-CN"/>
        </w:rPr>
        <w:t>万元，其中：一般公共预算财政拨款收入</w:t>
      </w:r>
      <w:r>
        <w:rPr>
          <w:rFonts w:hint="default" w:ascii="Times New Roman" w:hAnsi="Times New Roman" w:eastAsia="仿宋_GB2312" w:cs="Times New Roman"/>
          <w:sz w:val="32"/>
          <w:szCs w:val="32"/>
        </w:rPr>
        <w:t>2369.33</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99.54</w:t>
      </w:r>
      <w:r>
        <w:rPr>
          <w:rFonts w:hint="default" w:ascii="Times New Roman" w:hAnsi="Times New Roman" w:eastAsia="仿宋_GB2312" w:cs="Times New Roman"/>
          <w:color w:val="auto"/>
          <w:sz w:val="32"/>
          <w:szCs w:val="32"/>
          <w:highlight w:val="none"/>
          <w:lang w:eastAsia="zh-CN"/>
        </w:rPr>
        <w:t>%；政府性基金预算财政拨款收入</w:t>
      </w:r>
      <w:r>
        <w:rPr>
          <w:rFonts w:hint="default" w:ascii="Times New Roman" w:hAnsi="Times New Roman" w:eastAsia="仿宋_GB2312" w:cs="Times New Roman"/>
          <w:sz w:val="32"/>
          <w:szCs w:val="32"/>
        </w:rPr>
        <w:t>0.13</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%；国有资本经营预算财政拨款收入</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%；上级补助收入</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%；事业收入</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%；经营收入</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%；附属单位上缴收入</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%；其他收入</w:t>
      </w:r>
      <w:r>
        <w:rPr>
          <w:rFonts w:hint="default" w:ascii="Times New Roman" w:hAnsi="Times New Roman" w:eastAsia="仿宋_GB2312" w:cs="Times New Roman"/>
          <w:sz w:val="32"/>
          <w:szCs w:val="32"/>
        </w:rPr>
        <w:t>10.67</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0.44</w:t>
      </w:r>
      <w:r>
        <w:rPr>
          <w:rFonts w:hint="default" w:ascii="Times New Roman" w:hAnsi="Times New Roman" w:eastAsia="仿宋_GB2312" w:cs="Times New Roman"/>
          <w:color w:val="auto"/>
          <w:sz w:val="32"/>
          <w:szCs w:val="32"/>
          <w:highlight w:val="none"/>
          <w:lang w:eastAsia="zh-CN"/>
        </w:rPr>
        <w:t>%。</w:t>
      </w:r>
    </w:p>
    <w:p w14:paraId="7B155653">
      <w:pPr>
        <w:pStyle w:val="32"/>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1"/>
        <w:rPr>
          <w:rStyle w:val="34"/>
          <w:rFonts w:hint="default" w:ascii="Times New Roman" w:hAnsi="Times New Roman" w:eastAsia="黑体" w:cs="Times New Roman"/>
          <w:b w:val="0"/>
          <w:color w:val="auto"/>
          <w:highlight w:val="none"/>
        </w:rPr>
      </w:pPr>
      <w:bookmarkStart w:id="43" w:name="_Toc15396605"/>
      <w:bookmarkStart w:id="44" w:name="_Toc18013_WPSOffice_Level2"/>
      <w:bookmarkStart w:id="45" w:name="_Toc15377207"/>
      <w:r>
        <w:rPr>
          <w:rFonts w:hint="default" w:ascii="Times New Roman" w:hAnsi="Times New Roman" w:eastAsia="黑体" w:cs="Times New Roman"/>
          <w:color w:val="auto"/>
          <w:sz w:val="32"/>
          <w:szCs w:val="32"/>
          <w:highlight w:val="none"/>
          <w:lang w:eastAsia="zh-CN"/>
        </w:rPr>
        <w:t>三、</w:t>
      </w:r>
      <w:r>
        <w:rPr>
          <w:rFonts w:hint="default" w:ascii="Times New Roman" w:hAnsi="Times New Roman" w:eastAsia="黑体" w:cs="Times New Roman"/>
          <w:color w:val="auto"/>
          <w:sz w:val="32"/>
          <w:szCs w:val="32"/>
          <w:highlight w:val="none"/>
        </w:rPr>
        <w:t>支</w:t>
      </w:r>
      <w:r>
        <w:rPr>
          <w:rStyle w:val="34"/>
          <w:rFonts w:hint="default" w:ascii="Times New Roman" w:hAnsi="Times New Roman" w:eastAsia="黑体" w:cs="Times New Roman"/>
          <w:b w:val="0"/>
          <w:color w:val="auto"/>
          <w:highlight w:val="none"/>
        </w:rPr>
        <w:t>出决算情况说明</w:t>
      </w:r>
      <w:bookmarkEnd w:id="43"/>
      <w:bookmarkEnd w:id="44"/>
      <w:bookmarkEnd w:id="45"/>
    </w:p>
    <w:p w14:paraId="26291CBC">
      <w:pPr>
        <w:pStyle w:val="32"/>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jc w:val="left"/>
        <w:textAlignment w:val="auto"/>
        <w:outlineLvl w:val="1"/>
        <w:rPr>
          <w:rFonts w:hint="default" w:ascii="Times New Roman" w:hAnsi="Times New Roman" w:cs="Times New Roman"/>
          <w:lang w:eastAsia="zh-CN"/>
        </w:rPr>
      </w:pPr>
      <w:r>
        <w:rPr>
          <w:rFonts w:hint="default" w:ascii="Times New Roman" w:hAnsi="Times New Roman" w:eastAsia="仿宋_GB2312" w:cs="Times New Roman"/>
          <w:color w:val="auto"/>
          <w:sz w:val="32"/>
          <w:szCs w:val="32"/>
          <w:highlight w:val="none"/>
          <w:lang w:eastAsia="zh-CN"/>
        </w:rPr>
        <w:t>2025年度本年支出合计</w:t>
      </w:r>
      <w:r>
        <w:rPr>
          <w:rFonts w:hint="default" w:ascii="Times New Roman" w:hAnsi="Times New Roman" w:eastAsia="仿宋_GB2312" w:cs="Times New Roman"/>
          <w:sz w:val="32"/>
          <w:szCs w:val="32"/>
        </w:rPr>
        <w:t>2413.45</w:t>
      </w:r>
      <w:r>
        <w:rPr>
          <w:rFonts w:hint="default" w:ascii="Times New Roman" w:hAnsi="Times New Roman" w:eastAsia="仿宋_GB2312" w:cs="Times New Roman"/>
          <w:color w:val="auto"/>
          <w:sz w:val="32"/>
          <w:szCs w:val="32"/>
          <w:highlight w:val="none"/>
          <w:lang w:eastAsia="zh-CN"/>
        </w:rPr>
        <w:t>万元，其中：基本支出</w:t>
      </w:r>
      <w:r>
        <w:rPr>
          <w:rFonts w:hint="default" w:ascii="Times New Roman" w:hAnsi="Times New Roman" w:eastAsia="仿宋_GB2312" w:cs="Times New Roman"/>
          <w:sz w:val="32"/>
          <w:szCs w:val="32"/>
        </w:rPr>
        <w:t>295.15</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12.22</w:t>
      </w:r>
      <w:r>
        <w:rPr>
          <w:rFonts w:hint="default" w:ascii="Times New Roman" w:hAnsi="Times New Roman" w:eastAsia="仿宋_GB2312" w:cs="Times New Roman"/>
          <w:color w:val="auto"/>
          <w:sz w:val="32"/>
          <w:szCs w:val="32"/>
          <w:highlight w:val="none"/>
          <w:lang w:eastAsia="zh-CN"/>
        </w:rPr>
        <w:t>%；项目支出</w:t>
      </w:r>
      <w:r>
        <w:rPr>
          <w:rFonts w:hint="default" w:ascii="Times New Roman" w:hAnsi="Times New Roman" w:eastAsia="仿宋_GB2312" w:cs="Times New Roman"/>
          <w:sz w:val="32"/>
          <w:szCs w:val="32"/>
        </w:rPr>
        <w:t>2118.3</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87.77</w:t>
      </w:r>
      <w:r>
        <w:rPr>
          <w:rFonts w:hint="default" w:ascii="Times New Roman" w:hAnsi="Times New Roman" w:eastAsia="仿宋_GB2312" w:cs="Times New Roman"/>
          <w:color w:val="auto"/>
          <w:sz w:val="32"/>
          <w:szCs w:val="32"/>
          <w:highlight w:val="none"/>
          <w:lang w:eastAsia="zh-CN"/>
        </w:rPr>
        <w:t>%；上缴上级支出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%；经营支出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%；对附属单位补助支出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w:t>
      </w:r>
    </w:p>
    <w:p w14:paraId="59A4B68F">
      <w:pPr>
        <w:pageBreakBefore w:val="0"/>
        <w:kinsoku/>
        <w:wordWrap/>
        <w:overflowPunct/>
        <w:topLinePunct w:val="0"/>
        <w:bidi w:val="0"/>
        <w:spacing w:line="578" w:lineRule="exact"/>
        <w:ind w:firstLine="640" w:firstLineChars="200"/>
        <w:textAlignment w:val="auto"/>
        <w:outlineLvl w:val="1"/>
        <w:rPr>
          <w:rStyle w:val="34"/>
          <w:rFonts w:hint="default" w:ascii="Times New Roman" w:hAnsi="Times New Roman" w:eastAsia="黑体" w:cs="Times New Roman"/>
          <w:b w:val="0"/>
          <w:color w:val="auto"/>
          <w:highlight w:val="none"/>
        </w:rPr>
      </w:pPr>
      <w:bookmarkStart w:id="46" w:name="_Toc15377208"/>
      <w:bookmarkStart w:id="47" w:name="_Toc15396606"/>
      <w:bookmarkStart w:id="48" w:name="_Toc30590_WPSOffice_Level2"/>
      <w:r>
        <w:rPr>
          <w:rFonts w:hint="default" w:ascii="Times New Roman" w:hAnsi="Times New Roman" w:eastAsia="黑体" w:cs="Times New Roman"/>
          <w:color w:val="auto"/>
          <w:sz w:val="32"/>
          <w:szCs w:val="32"/>
          <w:highlight w:val="none"/>
        </w:rPr>
        <w:t>四、财</w:t>
      </w:r>
      <w:r>
        <w:rPr>
          <w:rStyle w:val="34"/>
          <w:rFonts w:hint="default" w:ascii="Times New Roman" w:hAnsi="Times New Roman" w:eastAsia="黑体" w:cs="Times New Roman"/>
          <w:b w:val="0"/>
          <w:color w:val="auto"/>
          <w:highlight w:val="none"/>
        </w:rPr>
        <w:t>政拨款收入支出决算总体情况说明</w:t>
      </w:r>
      <w:bookmarkEnd w:id="46"/>
      <w:bookmarkEnd w:id="47"/>
      <w:bookmarkEnd w:id="48"/>
    </w:p>
    <w:p w14:paraId="080C3D44">
      <w:pPr>
        <w:pageBreakBefore w:val="0"/>
        <w:kinsoku/>
        <w:wordWrap/>
        <w:overflowPunct/>
        <w:topLinePunct w:val="0"/>
        <w:bidi w:val="0"/>
        <w:spacing w:line="578" w:lineRule="exact"/>
        <w:ind w:firstLine="640" w:firstLineChars="200"/>
        <w:textAlignment w:val="auto"/>
        <w:rPr>
          <w:rFonts w:hint="default" w:ascii="Times New Roman" w:hAnsi="Times New Roman" w:eastAsia="黑体" w:cs="Times New Roman"/>
          <w:color w:val="auto"/>
          <w:sz w:val="32"/>
          <w:szCs w:val="32"/>
          <w:highlight w:val="none"/>
          <w:lang w:val="en-US"/>
        </w:rPr>
      </w:pPr>
      <w:r>
        <w:rPr>
          <w:rFonts w:hint="default" w:ascii="Times New Roman" w:hAnsi="Times New Roman" w:eastAsia="仿宋_GB2312" w:cs="Times New Roman"/>
          <w:color w:val="auto"/>
          <w:kern w:val="2"/>
          <w:sz w:val="32"/>
          <w:szCs w:val="32"/>
          <w:highlight w:val="none"/>
          <w:lang w:val="en-US" w:eastAsia="zh-CN" w:bidi="ar-SA"/>
        </w:rPr>
        <w:t>2025年度财政拨款收入、支出总计均为</w:t>
      </w:r>
      <w:r>
        <w:rPr>
          <w:rFonts w:hint="default" w:ascii="Times New Roman" w:hAnsi="Times New Roman" w:eastAsia="仿宋_GB2312" w:cs="Times New Roman"/>
          <w:sz w:val="32"/>
          <w:szCs w:val="32"/>
        </w:rPr>
        <w:t>2371.21</w:t>
      </w:r>
      <w:r>
        <w:rPr>
          <w:rFonts w:hint="default" w:ascii="Times New Roman" w:hAnsi="Times New Roman" w:eastAsia="仿宋_GB2312" w:cs="Times New Roman"/>
          <w:color w:val="auto"/>
          <w:kern w:val="2"/>
          <w:sz w:val="32"/>
          <w:szCs w:val="32"/>
          <w:highlight w:val="none"/>
          <w:lang w:val="en-US" w:eastAsia="zh-CN" w:bidi="ar-SA"/>
        </w:rPr>
        <w:t>万元。与上年度相比，财政拨款收入、支出总计各减少87.37万元，下降3.55%。主要变动原因是</w:t>
      </w:r>
      <w:bookmarkStart w:id="49" w:name="_Toc15377209"/>
      <w:bookmarkStart w:id="50" w:name="_Toc15396607"/>
      <w:r>
        <w:rPr>
          <w:rFonts w:hint="default" w:ascii="Times New Roman" w:hAnsi="Times New Roman" w:eastAsia="仿宋_GB2312" w:cs="Times New Roman"/>
          <w:color w:val="auto"/>
          <w:kern w:val="2"/>
          <w:sz w:val="32"/>
          <w:szCs w:val="32"/>
          <w:highlight w:val="none"/>
          <w:lang w:val="en-US" w:eastAsia="zh-CN" w:bidi="ar-SA"/>
        </w:rPr>
        <w:t>相关项目费用减少。</w:t>
      </w:r>
    </w:p>
    <w:p w14:paraId="17670856">
      <w:pPr>
        <w:pageBreakBefore w:val="0"/>
        <w:kinsoku/>
        <w:wordWrap/>
        <w:overflowPunct/>
        <w:topLinePunct w:val="0"/>
        <w:bidi w:val="0"/>
        <w:spacing w:line="578" w:lineRule="exact"/>
        <w:ind w:firstLine="640" w:firstLineChars="200"/>
        <w:textAlignment w:val="auto"/>
        <w:outlineLvl w:val="1"/>
        <w:rPr>
          <w:rStyle w:val="34"/>
          <w:rFonts w:hint="default" w:ascii="Times New Roman" w:hAnsi="Times New Roman" w:eastAsia="黑体" w:cs="Times New Roman"/>
          <w:b w:val="0"/>
          <w:color w:val="auto"/>
          <w:highlight w:val="none"/>
        </w:rPr>
      </w:pPr>
      <w:bookmarkStart w:id="51" w:name="_Toc993_WPSOffice_Level2"/>
      <w:r>
        <w:rPr>
          <w:rFonts w:hint="default" w:ascii="Times New Roman" w:hAnsi="Times New Roman" w:eastAsia="黑体" w:cs="Times New Roman"/>
          <w:color w:val="auto"/>
          <w:sz w:val="32"/>
          <w:szCs w:val="32"/>
          <w:highlight w:val="none"/>
        </w:rPr>
        <w:t>五、</w:t>
      </w:r>
      <w:r>
        <w:rPr>
          <w:rFonts w:hint="default" w:ascii="Times New Roman" w:hAnsi="Times New Roman" w:eastAsia="黑体" w:cs="Times New Roman"/>
          <w:b/>
          <w:color w:val="auto"/>
          <w:sz w:val="32"/>
          <w:szCs w:val="32"/>
          <w:highlight w:val="none"/>
        </w:rPr>
        <w:t>一</w:t>
      </w:r>
      <w:r>
        <w:rPr>
          <w:rStyle w:val="34"/>
          <w:rFonts w:hint="default" w:ascii="Times New Roman" w:hAnsi="Times New Roman" w:eastAsia="黑体" w:cs="Times New Roman"/>
          <w:b w:val="0"/>
          <w:color w:val="auto"/>
          <w:highlight w:val="none"/>
        </w:rPr>
        <w:t>般公共预算财政拨款支出决算情况说明</w:t>
      </w:r>
      <w:bookmarkEnd w:id="49"/>
      <w:bookmarkEnd w:id="50"/>
      <w:bookmarkEnd w:id="51"/>
    </w:p>
    <w:p w14:paraId="25633418">
      <w:pPr>
        <w:pageBreakBefore w:val="0"/>
        <w:kinsoku/>
        <w:wordWrap/>
        <w:overflowPunct/>
        <w:topLinePunct w:val="0"/>
        <w:bidi w:val="0"/>
        <w:spacing w:line="578" w:lineRule="exact"/>
        <w:ind w:firstLine="643" w:firstLineChars="200"/>
        <w:textAlignment w:val="auto"/>
        <w:outlineLvl w:val="2"/>
        <w:rPr>
          <w:rFonts w:hint="default" w:ascii="Times New Roman" w:hAnsi="Times New Roman" w:eastAsia="楷体_GB2312" w:cs="Times New Roman"/>
          <w:b/>
          <w:color w:val="auto"/>
          <w:sz w:val="32"/>
          <w:szCs w:val="32"/>
          <w:highlight w:val="none"/>
          <w:lang w:val="en-US"/>
        </w:rPr>
      </w:pPr>
      <w:bookmarkStart w:id="52" w:name="_Toc15377210"/>
      <w:r>
        <w:rPr>
          <w:rFonts w:hint="default" w:ascii="Times New Roman" w:hAnsi="Times New Roman" w:eastAsia="楷体_GB2312" w:cs="Times New Roman"/>
          <w:b/>
          <w:color w:val="auto"/>
          <w:sz w:val="32"/>
          <w:szCs w:val="32"/>
          <w:highlight w:val="none"/>
        </w:rPr>
        <w:t>（一）一般公共预算财政拨款支出决算总体情况</w:t>
      </w:r>
      <w:bookmarkEnd w:id="52"/>
      <w:r>
        <w:rPr>
          <w:rFonts w:hint="default" w:ascii="Times New Roman" w:hAnsi="Times New Roman" w:eastAsia="楷体_GB2312" w:cs="Times New Roman"/>
          <w:b/>
          <w:color w:val="auto"/>
          <w:sz w:val="32"/>
          <w:szCs w:val="32"/>
          <w:highlight w:val="none"/>
          <w:lang w:eastAsia="zh-CN"/>
        </w:rPr>
        <w:t>。</w:t>
      </w:r>
      <w:r>
        <w:rPr>
          <w:rFonts w:hint="default" w:ascii="Times New Roman" w:hAnsi="Times New Roman" w:eastAsia="仿宋_GB2312" w:cs="Times New Roman"/>
          <w:color w:val="auto"/>
          <w:kern w:val="2"/>
          <w:sz w:val="32"/>
          <w:szCs w:val="32"/>
          <w:highlight w:val="none"/>
          <w:lang w:val="en-US" w:eastAsia="zh-CN" w:bidi="ar-SA"/>
        </w:rPr>
        <w:t>2025年度一般公共预算财政拨款支出</w:t>
      </w:r>
      <w:r>
        <w:rPr>
          <w:rFonts w:hint="default" w:ascii="Times New Roman" w:hAnsi="Times New Roman" w:eastAsia="仿宋_GB2312" w:cs="Times New Roman"/>
          <w:sz w:val="32"/>
          <w:szCs w:val="32"/>
        </w:rPr>
        <w:t>2371.08</w:t>
      </w:r>
      <w:r>
        <w:rPr>
          <w:rFonts w:hint="default" w:ascii="Times New Roman" w:hAnsi="Times New Roman" w:eastAsia="仿宋_GB2312" w:cs="Times New Roman"/>
          <w:color w:val="auto"/>
          <w:kern w:val="2"/>
          <w:sz w:val="32"/>
          <w:szCs w:val="32"/>
          <w:highlight w:val="none"/>
          <w:lang w:val="en-US" w:eastAsia="zh-CN" w:bidi="ar-SA"/>
        </w:rPr>
        <w:t>万元，占本年支出合计的</w:t>
      </w:r>
      <w:r>
        <w:rPr>
          <w:rFonts w:hint="default" w:ascii="Times New Roman" w:hAnsi="Times New Roman" w:eastAsia="仿宋_GB2312" w:cs="Times New Roman"/>
          <w:sz w:val="32"/>
          <w:szCs w:val="32"/>
        </w:rPr>
        <w:t>98.24</w:t>
      </w:r>
      <w:r>
        <w:rPr>
          <w:rFonts w:hint="default" w:ascii="Times New Roman" w:hAnsi="Times New Roman" w:eastAsia="仿宋_GB2312" w:cs="Times New Roman"/>
          <w:color w:val="auto"/>
          <w:kern w:val="2"/>
          <w:sz w:val="32"/>
          <w:szCs w:val="32"/>
          <w:highlight w:val="none"/>
          <w:lang w:val="en-US" w:eastAsia="zh-CN" w:bidi="ar-SA"/>
        </w:rPr>
        <w:t>%。与上年度相比，一般公共预算财政拨款支出减少77.98万元，下降3.18%。主要变动原因是</w:t>
      </w:r>
      <w:bookmarkStart w:id="53" w:name="_Toc15377211"/>
      <w:r>
        <w:rPr>
          <w:rFonts w:hint="default" w:ascii="Times New Roman" w:hAnsi="Times New Roman" w:eastAsia="仿宋_GB2312" w:cs="Times New Roman"/>
          <w:color w:val="auto"/>
          <w:kern w:val="2"/>
          <w:sz w:val="32"/>
          <w:szCs w:val="32"/>
          <w:highlight w:val="none"/>
          <w:lang w:val="en-US" w:eastAsia="zh-CN" w:bidi="ar-SA"/>
        </w:rPr>
        <w:t>相关费用减少。</w:t>
      </w:r>
    </w:p>
    <w:p w14:paraId="7CC60CBE">
      <w:pPr>
        <w:pageBreakBefore w:val="0"/>
        <w:kinsoku/>
        <w:wordWrap/>
        <w:overflowPunct/>
        <w:topLinePunct w:val="0"/>
        <w:bidi w:val="0"/>
        <w:spacing w:line="578" w:lineRule="exact"/>
        <w:ind w:firstLine="643" w:firstLineChars="200"/>
        <w:textAlignment w:val="auto"/>
        <w:outlineLvl w:val="2"/>
        <w:rPr>
          <w:rFonts w:hint="default" w:ascii="Times New Roman" w:hAnsi="Times New Roman" w:cs="Times New Roman"/>
          <w:lang w:val="en-US" w:eastAsia="zh-CN"/>
        </w:rPr>
      </w:pPr>
      <w:r>
        <w:rPr>
          <w:rFonts w:hint="default" w:ascii="Times New Roman" w:hAnsi="Times New Roman" w:eastAsia="楷体_GB2312" w:cs="Times New Roman"/>
          <w:b/>
          <w:color w:val="auto"/>
          <w:sz w:val="32"/>
          <w:szCs w:val="32"/>
          <w:highlight w:val="none"/>
        </w:rPr>
        <w:t>（二）一般公共预算财政拨款支出决算结构情况</w:t>
      </w:r>
      <w:bookmarkEnd w:id="53"/>
      <w:r>
        <w:rPr>
          <w:rFonts w:hint="default" w:ascii="Times New Roman" w:hAnsi="Times New Roman" w:eastAsia="楷体_GB2312" w:cs="Times New Roman"/>
          <w:b/>
          <w:color w:val="auto"/>
          <w:sz w:val="32"/>
          <w:szCs w:val="32"/>
          <w:highlight w:val="none"/>
          <w:lang w:eastAsia="zh-CN"/>
        </w:rPr>
        <w:t>。</w:t>
      </w:r>
      <w:r>
        <w:rPr>
          <w:rFonts w:hint="default" w:ascii="Times New Roman" w:hAnsi="Times New Roman" w:eastAsia="仿宋_GB2312" w:cs="Times New Roman"/>
          <w:color w:val="auto"/>
          <w:kern w:val="2"/>
          <w:sz w:val="32"/>
          <w:szCs w:val="32"/>
          <w:highlight w:val="none"/>
          <w:lang w:val="en-US" w:eastAsia="zh-CN" w:bidi="ar-SA"/>
        </w:rPr>
        <w:t>2025年度一般公共预算财政拨款支出</w:t>
      </w:r>
      <w:r>
        <w:rPr>
          <w:rFonts w:hint="default" w:ascii="Times New Roman" w:hAnsi="Times New Roman" w:eastAsia="仿宋_GB2312" w:cs="Times New Roman"/>
          <w:sz w:val="32"/>
          <w:szCs w:val="32"/>
        </w:rPr>
        <w:t>2371.08</w:t>
      </w:r>
      <w:r>
        <w:rPr>
          <w:rFonts w:hint="default" w:ascii="Times New Roman" w:hAnsi="Times New Roman" w:eastAsia="仿宋_GB2312" w:cs="Times New Roman"/>
          <w:color w:val="auto"/>
          <w:kern w:val="2"/>
          <w:sz w:val="32"/>
          <w:szCs w:val="32"/>
          <w:highlight w:val="none"/>
          <w:lang w:val="en-US" w:eastAsia="zh-CN" w:bidi="ar-SA"/>
        </w:rPr>
        <w:t>万元，主要用于以下方面：一般公共服务支出3万元，占0.13%；教育支出0万元，占0%；科学技术支出4.51万元，占0.19%；文化旅游体育与传媒支出2300.42万元，占97.02%；社会保障和就业支出35.8万元，占1.51%；卫生健康支出11.06万元，占0.47%；住房保障支出16.3万元，占0.68%。</w:t>
      </w:r>
    </w:p>
    <w:p w14:paraId="6AC4B44B">
      <w:pPr>
        <w:pageBreakBefore w:val="0"/>
        <w:kinsoku/>
        <w:wordWrap/>
        <w:overflowPunct/>
        <w:topLinePunct w:val="0"/>
        <w:bidi w:val="0"/>
        <w:spacing w:line="578" w:lineRule="exact"/>
        <w:ind w:firstLine="643" w:firstLineChars="200"/>
        <w:textAlignment w:val="auto"/>
        <w:outlineLvl w:val="2"/>
        <w:rPr>
          <w:rFonts w:hint="default" w:ascii="Times New Roman" w:hAnsi="Times New Roman" w:eastAsia="仿宋_GB2312" w:cs="Times New Roman"/>
          <w:color w:val="auto"/>
          <w:kern w:val="2"/>
          <w:sz w:val="32"/>
          <w:szCs w:val="32"/>
          <w:highlight w:val="none"/>
          <w:lang w:val="en-US" w:eastAsia="zh-CN" w:bidi="ar-SA"/>
        </w:rPr>
      </w:pPr>
      <w:bookmarkStart w:id="54" w:name="_Toc15377212"/>
      <w:r>
        <w:rPr>
          <w:rFonts w:hint="default" w:ascii="Times New Roman" w:hAnsi="Times New Roman" w:eastAsia="楷体_GB2312" w:cs="Times New Roman"/>
          <w:b/>
          <w:color w:val="auto"/>
          <w:sz w:val="32"/>
          <w:szCs w:val="32"/>
          <w:highlight w:val="none"/>
        </w:rPr>
        <w:t>（三）一般公共预算财政拨款支出决算具体情况</w:t>
      </w:r>
      <w:bookmarkEnd w:id="54"/>
      <w:r>
        <w:rPr>
          <w:rFonts w:hint="default" w:ascii="Times New Roman" w:hAnsi="Times New Roman" w:eastAsia="楷体_GB2312" w:cs="Times New Roman"/>
          <w:b/>
          <w:color w:val="auto"/>
          <w:sz w:val="32"/>
          <w:szCs w:val="32"/>
          <w:highlight w:val="none"/>
          <w:lang w:eastAsia="zh-CN"/>
        </w:rPr>
        <w:t>。</w:t>
      </w:r>
      <w:bookmarkStart w:id="55" w:name="_Toc15377444"/>
      <w:bookmarkStart w:id="56" w:name="_Toc15378460"/>
      <w:bookmarkStart w:id="57" w:name="_Toc15377213"/>
      <w:r>
        <w:rPr>
          <w:rFonts w:hint="default" w:ascii="Times New Roman" w:hAnsi="Times New Roman" w:eastAsia="仿宋_GB2312" w:cs="Times New Roman"/>
          <w:color w:val="auto"/>
          <w:kern w:val="2"/>
          <w:sz w:val="32"/>
          <w:szCs w:val="32"/>
          <w:highlight w:val="none"/>
          <w:lang w:val="en-US" w:eastAsia="zh-CN" w:bidi="ar-SA"/>
        </w:rPr>
        <w:t>2025年度一般公共预算财政拨款支出决算数为2371.08万元，完成预算100%。其中：</w:t>
      </w:r>
      <w:bookmarkEnd w:id="55"/>
      <w:bookmarkEnd w:id="56"/>
      <w:bookmarkEnd w:id="57"/>
    </w:p>
    <w:p w14:paraId="4617BAD1">
      <w:pPr>
        <w:pageBreakBefore w:val="0"/>
        <w:kinsoku/>
        <w:wordWrap/>
        <w:overflowPunct/>
        <w:topLinePunct w:val="0"/>
        <w:bidi w:val="0"/>
        <w:spacing w:line="578"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1.一般公共服务（类）：支出决算为3万元，完成预算100%，决算数等于预算数。</w:t>
      </w:r>
    </w:p>
    <w:p w14:paraId="1091ABC2">
      <w:pPr>
        <w:pageBreakBefore w:val="0"/>
        <w:kinsoku/>
        <w:wordWrap/>
        <w:overflowPunct/>
        <w:topLinePunct w:val="0"/>
        <w:bidi w:val="0"/>
        <w:spacing w:line="578"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2.教育（类）</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 xml:space="preserve"> 支出决算为0万元，完成预算100%，决算数等于预算数。</w:t>
      </w:r>
    </w:p>
    <w:p w14:paraId="66346894">
      <w:pPr>
        <w:pageBreakBefore w:val="0"/>
        <w:kinsoku/>
        <w:wordWrap/>
        <w:overflowPunct/>
        <w:topLinePunct w:val="0"/>
        <w:bidi w:val="0"/>
        <w:spacing w:line="578"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3.科学技术（类）：支出决算为4.51万元，完成预算100%，决算数等于预算数。</w:t>
      </w:r>
    </w:p>
    <w:p w14:paraId="0C055D6C">
      <w:pPr>
        <w:pageBreakBefore w:val="0"/>
        <w:kinsoku/>
        <w:wordWrap/>
        <w:overflowPunct/>
        <w:topLinePunct w:val="0"/>
        <w:bidi w:val="0"/>
        <w:spacing w:line="578"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4.文化旅游体育与传媒（类）：支出决算为2300.42万元，完成预算100%，决算数等于预算数。</w:t>
      </w:r>
    </w:p>
    <w:p w14:paraId="7B65F066">
      <w:pPr>
        <w:pageBreakBefore w:val="0"/>
        <w:kinsoku/>
        <w:wordWrap/>
        <w:overflowPunct/>
        <w:topLinePunct w:val="0"/>
        <w:bidi w:val="0"/>
        <w:spacing w:line="578"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5.社会保障和就业（类）：支出决算为35.8万元，完成预算100%，决算数等于预算数。</w:t>
      </w:r>
    </w:p>
    <w:p w14:paraId="169D6120">
      <w:pPr>
        <w:pageBreakBefore w:val="0"/>
        <w:kinsoku/>
        <w:wordWrap/>
        <w:overflowPunct/>
        <w:topLinePunct w:val="0"/>
        <w:bidi w:val="0"/>
        <w:spacing w:line="578"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6.卫生健康（类）：支出决算为11.06万元，完成预算100%，决算数等于预算数。</w:t>
      </w:r>
    </w:p>
    <w:p w14:paraId="70A536F7">
      <w:pPr>
        <w:pageBreakBefore w:val="0"/>
        <w:kinsoku/>
        <w:wordWrap/>
        <w:overflowPunct/>
        <w:topLinePunct w:val="0"/>
        <w:bidi w:val="0"/>
        <w:spacing w:line="578"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7.住房保障（类）：支出决算为16.3万元，完成预算100%，决算数等于预算数。</w:t>
      </w:r>
    </w:p>
    <w:p w14:paraId="0C7A38FC">
      <w:pPr>
        <w:pageBreakBefore w:val="0"/>
        <w:tabs>
          <w:tab w:val="right" w:pos="8306"/>
        </w:tabs>
        <w:kinsoku/>
        <w:wordWrap/>
        <w:overflowPunct/>
        <w:topLinePunct w:val="0"/>
        <w:bidi w:val="0"/>
        <w:spacing w:line="578" w:lineRule="exact"/>
        <w:ind w:firstLine="640"/>
        <w:textAlignment w:val="auto"/>
        <w:outlineLvl w:val="1"/>
        <w:rPr>
          <w:rStyle w:val="34"/>
          <w:rFonts w:hint="default" w:ascii="Times New Roman" w:hAnsi="Times New Roman" w:cs="Times New Roman"/>
          <w:color w:val="auto"/>
          <w:highlight w:val="none"/>
        </w:rPr>
      </w:pPr>
      <w:bookmarkStart w:id="58" w:name="_Toc15396608"/>
      <w:bookmarkStart w:id="59" w:name="_Toc15377214"/>
      <w:bookmarkStart w:id="60" w:name="_Toc32085_WPSOffice_Level2"/>
      <w:r>
        <w:rPr>
          <w:rFonts w:hint="default" w:ascii="Times New Roman" w:hAnsi="Times New Roman" w:eastAsia="黑体" w:cs="Times New Roman"/>
          <w:color w:val="auto"/>
          <w:sz w:val="32"/>
          <w:szCs w:val="32"/>
          <w:highlight w:val="none"/>
        </w:rPr>
        <w:t>六</w:t>
      </w:r>
      <w:r>
        <w:rPr>
          <w:rFonts w:hint="default" w:ascii="Times New Roman" w:hAnsi="Times New Roman" w:eastAsia="黑体" w:cs="Times New Roman"/>
          <w:b/>
          <w:color w:val="auto"/>
          <w:sz w:val="32"/>
          <w:szCs w:val="32"/>
          <w:highlight w:val="none"/>
        </w:rPr>
        <w:t>、一</w:t>
      </w:r>
      <w:r>
        <w:rPr>
          <w:rStyle w:val="34"/>
          <w:rFonts w:hint="default" w:ascii="Times New Roman" w:hAnsi="Times New Roman" w:eastAsia="黑体" w:cs="Times New Roman"/>
          <w:b w:val="0"/>
          <w:color w:val="auto"/>
          <w:highlight w:val="none"/>
        </w:rPr>
        <w:t>般公共预算财政拨款基本支出决算情况说明</w:t>
      </w:r>
      <w:bookmarkEnd w:id="58"/>
      <w:bookmarkEnd w:id="59"/>
      <w:bookmarkEnd w:id="60"/>
      <w:r>
        <w:rPr>
          <w:rStyle w:val="34"/>
          <w:rFonts w:hint="default" w:ascii="Times New Roman" w:hAnsi="Times New Roman" w:eastAsia="黑体" w:cs="Times New Roman"/>
          <w:b w:val="0"/>
          <w:color w:val="auto"/>
          <w:highlight w:val="none"/>
        </w:rPr>
        <w:tab/>
      </w:r>
    </w:p>
    <w:p w14:paraId="2D3EAA95">
      <w:pPr>
        <w:pageBreakBefore w:val="0"/>
        <w:kinsoku/>
        <w:wordWrap/>
        <w:overflowPunct/>
        <w:topLinePunct w:val="0"/>
        <w:bidi w:val="0"/>
        <w:spacing w:line="578" w:lineRule="exact"/>
        <w:ind w:left="210" w:leftChars="100"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2025年度一般公共预算财政拨款基本支出</w:t>
      </w:r>
      <w:r>
        <w:rPr>
          <w:rFonts w:hint="default" w:ascii="Times New Roman" w:hAnsi="Times New Roman" w:eastAsia="仿宋_GB2312" w:cs="Times New Roman"/>
          <w:sz w:val="32"/>
          <w:szCs w:val="32"/>
        </w:rPr>
        <w:t>295.15</w:t>
      </w:r>
      <w:r>
        <w:rPr>
          <w:rFonts w:hint="default" w:ascii="Times New Roman" w:hAnsi="Times New Roman" w:eastAsia="仿宋_GB2312" w:cs="Times New Roman"/>
          <w:color w:val="auto"/>
          <w:kern w:val="2"/>
          <w:sz w:val="32"/>
          <w:szCs w:val="32"/>
          <w:highlight w:val="none"/>
          <w:lang w:val="en-US" w:eastAsia="zh-CN" w:bidi="ar-SA"/>
        </w:rPr>
        <w:t>万元，其中：</w:t>
      </w:r>
    </w:p>
    <w:p w14:paraId="0A0A0D09">
      <w:pPr>
        <w:pageBreakBefore w:val="0"/>
        <w:kinsoku/>
        <w:wordWrap/>
        <w:overflowPunct/>
        <w:topLinePunct w:val="0"/>
        <w:bidi w:val="0"/>
        <w:spacing w:line="578"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人员经费</w:t>
      </w:r>
      <w:r>
        <w:rPr>
          <w:rFonts w:hint="default" w:ascii="Times New Roman" w:hAnsi="Times New Roman" w:eastAsia="仿宋_GB2312" w:cs="Times New Roman"/>
          <w:sz w:val="32"/>
          <w:szCs w:val="32"/>
        </w:rPr>
        <w:t>277.6</w:t>
      </w:r>
      <w:r>
        <w:rPr>
          <w:rFonts w:hint="default" w:ascii="Times New Roman" w:hAnsi="Times New Roman" w:eastAsia="仿宋_GB2312" w:cs="Times New Roman"/>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default" w:ascii="Times New Roman" w:hAnsi="Times New Roman" w:eastAsia="仿宋_GB2312" w:cs="Times New Roman"/>
          <w:color w:val="auto"/>
          <w:kern w:val="2"/>
          <w:sz w:val="32"/>
          <w:szCs w:val="32"/>
          <w:highlight w:val="none"/>
          <w:lang w:val="en-US" w:eastAsia="zh-CN" w:bidi="ar-SA"/>
        </w:rPr>
        <w:br w:type="textWrapping"/>
      </w:r>
      <w:r>
        <w:rPr>
          <w:rFonts w:hint="default" w:ascii="Times New Roman" w:hAnsi="Times New Roman" w:eastAsia="仿宋_GB2312" w:cs="Times New Roman"/>
          <w:color w:val="auto"/>
          <w:kern w:val="2"/>
          <w:sz w:val="32"/>
          <w:szCs w:val="32"/>
          <w:highlight w:val="none"/>
          <w:lang w:val="en-US" w:eastAsia="zh-CN" w:bidi="ar-SA"/>
        </w:rPr>
        <w:t>　　公用经费</w:t>
      </w:r>
      <w:r>
        <w:rPr>
          <w:rFonts w:hint="default" w:ascii="Times New Roman" w:hAnsi="Times New Roman" w:eastAsia="仿宋_GB2312" w:cs="Times New Roman"/>
          <w:sz w:val="32"/>
          <w:szCs w:val="32"/>
        </w:rPr>
        <w:t>17.55</w:t>
      </w:r>
      <w:r>
        <w:rPr>
          <w:rFonts w:hint="default" w:ascii="Times New Roman" w:hAnsi="Times New Roman" w:eastAsia="仿宋_GB2312" w:cs="Times New Roman"/>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1B47FDC7">
      <w:pPr>
        <w:pageBreakBefore w:val="0"/>
        <w:kinsoku/>
        <w:wordWrap/>
        <w:overflowPunct/>
        <w:topLinePunct w:val="0"/>
        <w:bidi w:val="0"/>
        <w:spacing w:line="578" w:lineRule="exact"/>
        <w:ind w:firstLine="640"/>
        <w:textAlignment w:val="auto"/>
        <w:outlineLvl w:val="1"/>
        <w:rPr>
          <w:rStyle w:val="34"/>
          <w:rFonts w:hint="default" w:ascii="Times New Roman" w:hAnsi="Times New Roman" w:eastAsia="黑体" w:cs="Times New Roman"/>
          <w:b w:val="0"/>
          <w:color w:val="auto"/>
          <w:highlight w:val="none"/>
        </w:rPr>
      </w:pPr>
      <w:bookmarkStart w:id="61" w:name="_Toc15396609"/>
      <w:bookmarkStart w:id="62" w:name="_Toc15377215"/>
      <w:bookmarkStart w:id="63" w:name="_Toc31573_WPSOffice_Level2"/>
      <w:r>
        <w:rPr>
          <w:rFonts w:hint="default" w:ascii="Times New Roman" w:hAnsi="Times New Roman" w:eastAsia="黑体" w:cs="Times New Roman"/>
          <w:color w:val="auto"/>
          <w:sz w:val="32"/>
          <w:szCs w:val="32"/>
          <w:highlight w:val="none"/>
        </w:rPr>
        <w:t>七、</w:t>
      </w:r>
      <w:r>
        <w:rPr>
          <w:rStyle w:val="34"/>
          <w:rFonts w:hint="default" w:ascii="Times New Roman" w:hAnsi="Times New Roman" w:eastAsia="黑体" w:cs="Times New Roman"/>
          <w:b w:val="0"/>
          <w:color w:val="auto"/>
          <w:highlight w:val="none"/>
        </w:rPr>
        <w:t>财政拨款</w:t>
      </w:r>
      <w:r>
        <w:rPr>
          <w:rStyle w:val="34"/>
          <w:rFonts w:hint="default" w:ascii="Times New Roman" w:hAnsi="Times New Roman" w:eastAsia="黑体" w:cs="Times New Roman"/>
          <w:color w:val="auto"/>
          <w:highlight w:val="none"/>
        </w:rPr>
        <w:t>“</w:t>
      </w:r>
      <w:r>
        <w:rPr>
          <w:rStyle w:val="34"/>
          <w:rFonts w:hint="default" w:ascii="Times New Roman" w:hAnsi="Times New Roman" w:eastAsia="黑体" w:cs="Times New Roman"/>
          <w:b w:val="0"/>
          <w:color w:val="auto"/>
          <w:highlight w:val="none"/>
        </w:rPr>
        <w:t>三公”经费支出决算情况说明</w:t>
      </w:r>
      <w:bookmarkEnd w:id="61"/>
      <w:bookmarkEnd w:id="62"/>
      <w:bookmarkEnd w:id="63"/>
    </w:p>
    <w:p w14:paraId="520D4FA4">
      <w:pPr>
        <w:pageBreakBefore w:val="0"/>
        <w:kinsoku/>
        <w:wordWrap/>
        <w:overflowPunct/>
        <w:topLinePunct w:val="0"/>
        <w:bidi w:val="0"/>
        <w:spacing w:line="578" w:lineRule="exact"/>
        <w:ind w:firstLine="643" w:firstLineChars="200"/>
        <w:textAlignment w:val="auto"/>
        <w:outlineLvl w:val="2"/>
        <w:rPr>
          <w:rFonts w:hint="default" w:ascii="Times New Roman" w:hAnsi="Times New Roman" w:eastAsia="仿宋_GB2312" w:cs="Times New Roman"/>
          <w:color w:val="auto"/>
          <w:kern w:val="2"/>
          <w:sz w:val="32"/>
          <w:szCs w:val="32"/>
          <w:highlight w:val="none"/>
          <w:lang w:val="en-US" w:eastAsia="zh-CN" w:bidi="ar-SA"/>
        </w:rPr>
      </w:pPr>
      <w:bookmarkStart w:id="64" w:name="_Toc15377216"/>
      <w:r>
        <w:rPr>
          <w:rFonts w:hint="default" w:ascii="Times New Roman" w:hAnsi="Times New Roman" w:eastAsia="楷体_GB2312" w:cs="Times New Roman"/>
          <w:b/>
          <w:color w:val="auto"/>
          <w:sz w:val="32"/>
          <w:szCs w:val="32"/>
          <w:highlight w:val="none"/>
        </w:rPr>
        <w:t>（一）“三公”经费财政拨款支出决算总体情况说明</w:t>
      </w:r>
      <w:bookmarkEnd w:id="64"/>
      <w:r>
        <w:rPr>
          <w:rFonts w:hint="default" w:ascii="Times New Roman" w:hAnsi="Times New Roman" w:eastAsia="楷体_GB2312" w:cs="Times New Roman"/>
          <w:b/>
          <w:color w:val="auto"/>
          <w:sz w:val="32"/>
          <w:szCs w:val="32"/>
          <w:highlight w:val="none"/>
          <w:lang w:eastAsia="zh-CN"/>
        </w:rPr>
        <w:t>。</w:t>
      </w:r>
      <w:r>
        <w:rPr>
          <w:rFonts w:hint="default" w:ascii="Times New Roman" w:hAnsi="Times New Roman" w:eastAsia="仿宋_GB2312" w:cs="Times New Roman"/>
          <w:color w:val="auto"/>
          <w:kern w:val="2"/>
          <w:sz w:val="32"/>
          <w:szCs w:val="32"/>
          <w:highlight w:val="none"/>
          <w:lang w:val="en-US" w:eastAsia="zh-CN" w:bidi="ar-SA"/>
        </w:rPr>
        <w:t>2025年度财政拨款“三公”经费支出决算为</w:t>
      </w:r>
      <w:r>
        <w:rPr>
          <w:rFonts w:hint="default" w:ascii="Times New Roman" w:hAnsi="Times New Roman" w:eastAsia="仿宋_GB2312" w:cs="Times New Roman"/>
          <w:sz w:val="32"/>
          <w:szCs w:val="32"/>
        </w:rPr>
        <w:t>4.94</w:t>
      </w:r>
      <w:r>
        <w:rPr>
          <w:rFonts w:hint="default" w:ascii="Times New Roman" w:hAnsi="Times New Roman" w:eastAsia="仿宋_GB2312" w:cs="Times New Roman"/>
          <w:color w:val="auto"/>
          <w:kern w:val="2"/>
          <w:sz w:val="32"/>
          <w:szCs w:val="32"/>
          <w:highlight w:val="none"/>
          <w:lang w:val="en-US" w:eastAsia="zh-CN" w:bidi="ar-SA"/>
        </w:rPr>
        <w:t>万元，完成预算</w:t>
      </w:r>
      <w:r>
        <w:rPr>
          <w:rFonts w:hint="default" w:ascii="Times New Roman" w:hAnsi="Times New Roman" w:eastAsia="仿宋_GB2312" w:cs="Times New Roman"/>
          <w:sz w:val="32"/>
          <w:szCs w:val="32"/>
        </w:rPr>
        <w:t>100</w:t>
      </w:r>
      <w:r>
        <w:rPr>
          <w:rFonts w:hint="default" w:ascii="Times New Roman" w:hAnsi="Times New Roman" w:eastAsia="仿宋_GB2312" w:cs="Times New Roman"/>
          <w:color w:val="auto"/>
          <w:kern w:val="2"/>
          <w:sz w:val="32"/>
          <w:szCs w:val="32"/>
          <w:highlight w:val="none"/>
          <w:lang w:val="en-US" w:eastAsia="zh-CN" w:bidi="ar-SA"/>
        </w:rPr>
        <w:t>%，较上年度减少1.82万元，下降26.92%。决算数与预算数持平。</w:t>
      </w:r>
    </w:p>
    <w:p w14:paraId="68132BC1">
      <w:pPr>
        <w:pageBreakBefore w:val="0"/>
        <w:kinsoku/>
        <w:wordWrap/>
        <w:overflowPunct/>
        <w:topLinePunct w:val="0"/>
        <w:bidi w:val="0"/>
        <w:spacing w:line="578" w:lineRule="exact"/>
        <w:ind w:firstLine="643" w:firstLineChars="200"/>
        <w:textAlignment w:val="auto"/>
        <w:outlineLvl w:val="2"/>
        <w:rPr>
          <w:rFonts w:hint="default" w:ascii="Times New Roman" w:hAnsi="Times New Roman" w:eastAsia="仿宋_GB2312" w:cs="Times New Roman"/>
          <w:b/>
          <w:bCs/>
          <w:color w:val="auto"/>
          <w:kern w:val="2"/>
          <w:sz w:val="32"/>
          <w:szCs w:val="32"/>
          <w:highlight w:val="none"/>
          <w:lang w:val="en-US" w:eastAsia="zh-CN" w:bidi="ar-SA"/>
        </w:rPr>
      </w:pPr>
      <w:bookmarkStart w:id="65" w:name="_Toc15377217"/>
      <w:r>
        <w:rPr>
          <w:rFonts w:hint="default" w:ascii="Times New Roman" w:hAnsi="Times New Roman" w:eastAsia="楷体_GB2312" w:cs="Times New Roman"/>
          <w:b/>
          <w:color w:val="auto"/>
          <w:sz w:val="32"/>
          <w:szCs w:val="32"/>
          <w:highlight w:val="none"/>
        </w:rPr>
        <w:t>（二）“三公”经费财政拨款支出决算具体情况说明</w:t>
      </w:r>
      <w:bookmarkEnd w:id="65"/>
      <w:r>
        <w:rPr>
          <w:rFonts w:hint="default" w:ascii="Times New Roman" w:hAnsi="Times New Roman" w:eastAsia="楷体_GB2312" w:cs="Times New Roman"/>
          <w:b/>
          <w:color w:val="auto"/>
          <w:sz w:val="32"/>
          <w:szCs w:val="32"/>
          <w:highlight w:val="none"/>
          <w:lang w:eastAsia="zh-CN"/>
        </w:rPr>
        <w:t>。</w:t>
      </w:r>
      <w:r>
        <w:rPr>
          <w:rFonts w:hint="default" w:ascii="Times New Roman" w:hAnsi="Times New Roman" w:eastAsia="仿宋_GB2312" w:cs="Times New Roman"/>
          <w:color w:val="auto"/>
          <w:kern w:val="2"/>
          <w:sz w:val="32"/>
          <w:szCs w:val="32"/>
          <w:highlight w:val="none"/>
          <w:lang w:val="en-US" w:eastAsia="zh-CN" w:bidi="ar-SA"/>
        </w:rPr>
        <w:t>2025年度财政拨款“三公”经费支出决算中，因公出国（境）费支出决算</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万元，占0%；公务用车购置及运行维护费支出决算</w:t>
      </w:r>
      <w:r>
        <w:rPr>
          <w:rFonts w:hint="default" w:ascii="Times New Roman" w:hAnsi="Times New Roman" w:eastAsia="仿宋_GB2312" w:cs="Times New Roman"/>
          <w:sz w:val="32"/>
          <w:szCs w:val="32"/>
        </w:rPr>
        <w:t>4.76</w:t>
      </w:r>
      <w:r>
        <w:rPr>
          <w:rFonts w:hint="default" w:ascii="Times New Roman" w:hAnsi="Times New Roman" w:eastAsia="仿宋_GB2312" w:cs="Times New Roman"/>
          <w:color w:val="auto"/>
          <w:kern w:val="2"/>
          <w:sz w:val="32"/>
          <w:szCs w:val="32"/>
          <w:highlight w:val="none"/>
          <w:lang w:val="en-US" w:eastAsia="zh-CN" w:bidi="ar-SA"/>
        </w:rPr>
        <w:t>万元，占96.36%；公务接待费支出决算</w:t>
      </w:r>
      <w:r>
        <w:rPr>
          <w:rFonts w:hint="default" w:ascii="Times New Roman" w:hAnsi="Times New Roman" w:eastAsia="仿宋_GB2312" w:cs="Times New Roman"/>
          <w:sz w:val="32"/>
          <w:szCs w:val="32"/>
        </w:rPr>
        <w:t>0.18</w:t>
      </w:r>
      <w:r>
        <w:rPr>
          <w:rFonts w:hint="default" w:ascii="Times New Roman" w:hAnsi="Times New Roman" w:eastAsia="仿宋_GB2312" w:cs="Times New Roman"/>
          <w:color w:val="auto"/>
          <w:kern w:val="2"/>
          <w:sz w:val="32"/>
          <w:szCs w:val="32"/>
          <w:highlight w:val="none"/>
          <w:lang w:val="en-US" w:eastAsia="zh-CN" w:bidi="ar-SA"/>
        </w:rPr>
        <w:t>万元，占3.64%。</w:t>
      </w:r>
    </w:p>
    <w:p w14:paraId="30BC8BB2">
      <w:pPr>
        <w:pageBreakBefore w:val="0"/>
        <w:numPr>
          <w:ilvl w:val="0"/>
          <w:numId w:val="0"/>
        </w:numPr>
        <w:kinsoku/>
        <w:wordWrap/>
        <w:overflowPunct/>
        <w:topLinePunct w:val="0"/>
        <w:bidi w:val="0"/>
        <w:spacing w:line="578" w:lineRule="exact"/>
        <w:ind w:firstLine="643"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1.因公出国（境）经费支出0万元，完成预算100%。</w:t>
      </w:r>
      <w:r>
        <w:rPr>
          <w:rFonts w:hint="default" w:ascii="Times New Roman" w:hAnsi="Times New Roman" w:eastAsia="仿宋_GB2312" w:cs="Times New Roman"/>
          <w:color w:val="auto"/>
          <w:kern w:val="2"/>
          <w:sz w:val="32"/>
          <w:szCs w:val="32"/>
          <w:highlight w:val="none"/>
          <w:lang w:val="en-US" w:eastAsia="zh-CN" w:bidi="ar-SA"/>
        </w:rPr>
        <w:t>全年安排因公出国（境）团组</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次，出国（境）</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人。因公出国（境）支出决算比2024年增加0万元，增加0%。</w:t>
      </w:r>
    </w:p>
    <w:p w14:paraId="0DFA2E39">
      <w:pPr>
        <w:pageBreakBefore w:val="0"/>
        <w:kinsoku/>
        <w:wordWrap/>
        <w:overflowPunct/>
        <w:topLinePunct w:val="0"/>
        <w:bidi w:val="0"/>
        <w:spacing w:line="578"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bookmarkStart w:id="66" w:name="_Toc12208_WPSOffice_Level2"/>
      <w:bookmarkStart w:id="67" w:name="_Toc15396610"/>
      <w:bookmarkStart w:id="68" w:name="_Toc15377218"/>
      <w:r>
        <w:rPr>
          <w:rFonts w:hint="default" w:ascii="Times New Roman" w:hAnsi="Times New Roman" w:eastAsia="仿宋_GB2312" w:cs="Times New Roman"/>
          <w:b/>
          <w:bCs/>
          <w:color w:val="auto"/>
          <w:kern w:val="2"/>
          <w:sz w:val="32"/>
          <w:szCs w:val="32"/>
          <w:highlight w:val="none"/>
          <w:lang w:val="en-US" w:eastAsia="zh-CN" w:bidi="ar-SA"/>
        </w:rPr>
        <w:t>2.公务用车购置及运行维护费支出4.76万元，完成预算100%。</w:t>
      </w:r>
      <w:r>
        <w:rPr>
          <w:rFonts w:hint="default" w:ascii="Times New Roman" w:hAnsi="Times New Roman" w:eastAsia="仿宋_GB2312" w:cs="Times New Roman"/>
          <w:color w:val="auto"/>
          <w:kern w:val="2"/>
          <w:sz w:val="32"/>
          <w:szCs w:val="32"/>
          <w:highlight w:val="none"/>
          <w:lang w:val="en-US" w:eastAsia="zh-CN" w:bidi="ar-SA"/>
        </w:rPr>
        <w:t>公务用车购置及运行维护费支出决算比上年度减少1.44万元，下降23.23%。</w:t>
      </w:r>
    </w:p>
    <w:p w14:paraId="1A3B4830">
      <w:pPr>
        <w:pageBreakBefore w:val="0"/>
        <w:kinsoku/>
        <w:wordWrap/>
        <w:overflowPunct/>
        <w:topLinePunct w:val="0"/>
        <w:bidi w:val="0"/>
        <w:spacing w:line="578"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其中：公务用车购置支出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万元。全年按规定更新购置公务用车0辆，其中：轿车0辆、金额0万元，越野车0辆、金额0万元，载客汽车0辆、金额0万元。截至2025年12月31日，单位共有公务用车3辆，其中：轿车1辆、越野车2辆、载客汽车0辆。</w:t>
      </w:r>
    </w:p>
    <w:p w14:paraId="79891F6C">
      <w:pPr>
        <w:pageBreakBefore w:val="0"/>
        <w:kinsoku/>
        <w:wordWrap/>
        <w:overflowPunct/>
        <w:topLinePunct w:val="0"/>
        <w:bidi w:val="0"/>
        <w:spacing w:line="578"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公务用车运行维护费支出</w:t>
      </w:r>
      <w:r>
        <w:rPr>
          <w:rFonts w:hint="default" w:ascii="Times New Roman" w:hAnsi="Times New Roman" w:eastAsia="仿宋_GB2312" w:cs="Times New Roman"/>
          <w:sz w:val="32"/>
          <w:szCs w:val="32"/>
        </w:rPr>
        <w:t>4.76</w:t>
      </w:r>
      <w:r>
        <w:rPr>
          <w:rFonts w:hint="default" w:ascii="Times New Roman" w:hAnsi="Times New Roman" w:eastAsia="仿宋_GB2312" w:cs="Times New Roman"/>
          <w:color w:val="auto"/>
          <w:kern w:val="2"/>
          <w:sz w:val="32"/>
          <w:szCs w:val="32"/>
          <w:highlight w:val="none"/>
          <w:lang w:val="en-US" w:eastAsia="zh-CN" w:bidi="ar-SA"/>
        </w:rPr>
        <w:t>万元。主要用于文化市场检查、项目检查、联乡包村下乡、日常出差等所需的公务用车燃料费、维修费、过路过桥费、保险费等支出。</w:t>
      </w:r>
    </w:p>
    <w:p w14:paraId="604DAE88">
      <w:pPr>
        <w:pageBreakBefore w:val="0"/>
        <w:numPr>
          <w:ilvl w:val="0"/>
          <w:numId w:val="0"/>
        </w:numPr>
        <w:kinsoku/>
        <w:wordWrap/>
        <w:overflowPunct/>
        <w:topLinePunct w:val="0"/>
        <w:bidi w:val="0"/>
        <w:spacing w:line="578" w:lineRule="exact"/>
        <w:ind w:firstLine="643"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b/>
          <w:bCs/>
          <w:color w:val="auto"/>
          <w:kern w:val="2"/>
          <w:sz w:val="32"/>
          <w:szCs w:val="32"/>
          <w:highlight w:val="none"/>
          <w:lang w:val="en-US" w:eastAsia="zh-CN" w:bidi="ar-SA"/>
        </w:rPr>
        <w:t>3.</w:t>
      </w:r>
      <w:r>
        <w:rPr>
          <w:rFonts w:hint="default" w:ascii="Times New Roman" w:hAnsi="Times New Roman" w:eastAsia="仿宋_GB2312" w:cs="Times New Roman"/>
          <w:b/>
          <w:bCs/>
          <w:color w:val="auto"/>
          <w:kern w:val="2"/>
          <w:sz w:val="32"/>
          <w:szCs w:val="32"/>
          <w:highlight w:val="none"/>
          <w:lang w:val="en-US" w:eastAsia="zh-CN" w:bidi="ar-SA"/>
        </w:rPr>
        <w:t>公务接待费支出0.18万元，完成预算100%。</w:t>
      </w:r>
      <w:r>
        <w:rPr>
          <w:rFonts w:hint="default" w:ascii="Times New Roman" w:hAnsi="Times New Roman" w:eastAsia="仿宋_GB2312" w:cs="Times New Roman"/>
          <w:color w:val="auto"/>
          <w:kern w:val="2"/>
          <w:sz w:val="32"/>
          <w:szCs w:val="32"/>
          <w:highlight w:val="none"/>
          <w:lang w:val="en-US" w:eastAsia="zh-CN" w:bidi="ar-SA"/>
        </w:rPr>
        <w:t>公务接待费支出决算比上年度减少0.38万元，下降67.86%。主要原因是严格执行中央八项规定。其中：</w:t>
      </w:r>
    </w:p>
    <w:p w14:paraId="7661E2B4">
      <w:pPr>
        <w:pageBreakBefore w:val="0"/>
        <w:kinsoku/>
        <w:wordWrap/>
        <w:overflowPunct/>
        <w:topLinePunct w:val="0"/>
        <w:bidi w:val="0"/>
        <w:spacing w:line="578"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国内公务接待支出</w:t>
      </w:r>
      <w:r>
        <w:rPr>
          <w:rFonts w:hint="default" w:ascii="Times New Roman" w:hAnsi="Times New Roman" w:eastAsia="仿宋_GB2312" w:cs="Times New Roman"/>
          <w:sz w:val="32"/>
          <w:szCs w:val="32"/>
        </w:rPr>
        <w:t>0.18</w:t>
      </w:r>
      <w:r>
        <w:rPr>
          <w:rFonts w:hint="default" w:ascii="Times New Roman" w:hAnsi="Times New Roman" w:eastAsia="仿宋_GB2312" w:cs="Times New Roman"/>
          <w:color w:val="auto"/>
          <w:kern w:val="2"/>
          <w:sz w:val="32"/>
          <w:szCs w:val="32"/>
          <w:highlight w:val="none"/>
          <w:lang w:val="en-US" w:eastAsia="zh-CN" w:bidi="ar-SA"/>
        </w:rPr>
        <w:t>万元，主要用于开展业务活动开支的用餐费等。国内公务接待</w:t>
      </w:r>
      <w:r>
        <w:rPr>
          <w:rFonts w:hint="default" w:ascii="Times New Roman" w:hAnsi="Times New Roman" w:eastAsia="仿宋_GB2312" w:cs="Times New Roman"/>
          <w:sz w:val="32"/>
          <w:szCs w:val="32"/>
        </w:rPr>
        <w:t>1</w:t>
      </w:r>
      <w:r>
        <w:rPr>
          <w:rFonts w:hint="default" w:ascii="Times New Roman" w:hAnsi="Times New Roman" w:eastAsia="仿宋_GB2312" w:cs="Times New Roman"/>
          <w:color w:val="auto"/>
          <w:kern w:val="2"/>
          <w:sz w:val="32"/>
          <w:szCs w:val="32"/>
          <w:highlight w:val="none"/>
          <w:lang w:val="en-US" w:eastAsia="zh-CN" w:bidi="ar-SA"/>
        </w:rPr>
        <w:t>批次，</w:t>
      </w:r>
      <w:r>
        <w:rPr>
          <w:rFonts w:hint="default" w:ascii="Times New Roman" w:hAnsi="Times New Roman" w:eastAsia="仿宋_GB2312" w:cs="Times New Roman"/>
          <w:sz w:val="32"/>
          <w:szCs w:val="32"/>
        </w:rPr>
        <w:t>26</w:t>
      </w:r>
      <w:r>
        <w:rPr>
          <w:rFonts w:hint="default" w:ascii="Times New Roman" w:hAnsi="Times New Roman" w:eastAsia="仿宋_GB2312" w:cs="Times New Roman"/>
          <w:color w:val="auto"/>
          <w:kern w:val="2"/>
          <w:sz w:val="32"/>
          <w:szCs w:val="32"/>
          <w:highlight w:val="none"/>
          <w:lang w:val="en-US" w:eastAsia="zh-CN" w:bidi="ar-SA"/>
        </w:rPr>
        <w:t>人次（不包括陪同人员），共计支出0.18万元。外事接待支出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万元。外事接待</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批次，</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人次（不包括陪同人员），共计支出0万元。</w:t>
      </w:r>
    </w:p>
    <w:p w14:paraId="031791F8">
      <w:pPr>
        <w:pageBreakBefore w:val="0"/>
        <w:kinsoku/>
        <w:wordWrap/>
        <w:overflowPunct/>
        <w:topLinePunct w:val="0"/>
        <w:bidi w:val="0"/>
        <w:spacing w:line="578" w:lineRule="exact"/>
        <w:ind w:firstLine="640"/>
        <w:textAlignment w:val="auto"/>
        <w:outlineLvl w:val="1"/>
        <w:rPr>
          <w:rStyle w:val="34"/>
          <w:rFonts w:hint="default" w:ascii="Times New Roman" w:hAnsi="Times New Roman" w:eastAsia="黑体" w:cs="Times New Roman"/>
          <w:color w:val="auto"/>
          <w:highlight w:val="none"/>
        </w:rPr>
      </w:pPr>
      <w:r>
        <w:rPr>
          <w:rFonts w:hint="default" w:ascii="Times New Roman" w:hAnsi="Times New Roman" w:eastAsia="黑体" w:cs="Times New Roman"/>
          <w:color w:val="auto"/>
          <w:sz w:val="32"/>
          <w:szCs w:val="32"/>
          <w:highlight w:val="none"/>
        </w:rPr>
        <w:t>八、</w:t>
      </w:r>
      <w:r>
        <w:rPr>
          <w:rStyle w:val="34"/>
          <w:rFonts w:hint="default" w:ascii="Times New Roman" w:hAnsi="Times New Roman" w:eastAsia="黑体" w:cs="Times New Roman"/>
          <w:b w:val="0"/>
          <w:color w:val="auto"/>
          <w:highlight w:val="none"/>
        </w:rPr>
        <w:t>政府性基金预算支出决算情况说明</w:t>
      </w:r>
      <w:bookmarkEnd w:id="66"/>
      <w:bookmarkEnd w:id="67"/>
      <w:bookmarkEnd w:id="68"/>
    </w:p>
    <w:p w14:paraId="77533278">
      <w:pPr>
        <w:pageBreakBefore w:val="0"/>
        <w:kinsoku/>
        <w:wordWrap/>
        <w:overflowPunct/>
        <w:topLinePunct w:val="0"/>
        <w:bidi w:val="0"/>
        <w:spacing w:line="578"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2025年度政府性基金预算财政拨款支出</w:t>
      </w:r>
      <w:r>
        <w:rPr>
          <w:rFonts w:hint="default" w:ascii="Times New Roman" w:hAnsi="Times New Roman" w:eastAsia="仿宋_GB2312" w:cs="Times New Roman"/>
          <w:sz w:val="32"/>
          <w:szCs w:val="32"/>
        </w:rPr>
        <w:t>0.13</w:t>
      </w:r>
      <w:r>
        <w:rPr>
          <w:rFonts w:hint="default" w:ascii="Times New Roman" w:hAnsi="Times New Roman" w:eastAsia="仿宋_GB2312" w:cs="Times New Roman"/>
          <w:color w:val="auto"/>
          <w:kern w:val="2"/>
          <w:sz w:val="32"/>
          <w:szCs w:val="32"/>
          <w:highlight w:val="none"/>
          <w:lang w:val="en-US" w:eastAsia="zh-CN" w:bidi="ar-SA"/>
        </w:rPr>
        <w:t>万元，占本年支出合计的</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%。与上年度相比，政府性基金预算财政拨款支出减少9.39万元，下降98.63%。主要变动原因是2025年政府性基金预算项目减少。</w:t>
      </w:r>
    </w:p>
    <w:p w14:paraId="11482D9E">
      <w:pPr>
        <w:pageBreakBefore w:val="0"/>
        <w:numPr>
          <w:ilvl w:val="0"/>
          <w:numId w:val="0"/>
        </w:numPr>
        <w:kinsoku/>
        <w:wordWrap/>
        <w:overflowPunct/>
        <w:topLinePunct w:val="0"/>
        <w:bidi w:val="0"/>
        <w:spacing w:line="578" w:lineRule="exact"/>
        <w:ind w:left="630" w:leftChars="0"/>
        <w:textAlignment w:val="auto"/>
        <w:outlineLvl w:val="1"/>
        <w:rPr>
          <w:rStyle w:val="34"/>
          <w:rFonts w:hint="default" w:ascii="Times New Roman" w:hAnsi="Times New Roman" w:eastAsia="黑体" w:cs="Times New Roman"/>
          <w:b w:val="0"/>
          <w:color w:val="auto"/>
          <w:highlight w:val="none"/>
        </w:rPr>
      </w:pPr>
      <w:bookmarkStart w:id="69" w:name="_Toc15377219"/>
      <w:bookmarkStart w:id="70" w:name="_Toc15396611"/>
      <w:bookmarkStart w:id="71" w:name="_Toc32575_WPSOffice_Level2"/>
      <w:r>
        <w:rPr>
          <w:rStyle w:val="34"/>
          <w:rFonts w:hint="default" w:ascii="Times New Roman" w:hAnsi="Times New Roman" w:eastAsia="黑体" w:cs="Times New Roman"/>
          <w:b w:val="0"/>
          <w:color w:val="auto"/>
          <w:highlight w:val="none"/>
          <w:lang w:eastAsia="zh-CN"/>
        </w:rPr>
        <w:t>九、</w:t>
      </w:r>
      <w:r>
        <w:rPr>
          <w:rStyle w:val="34"/>
          <w:rFonts w:hint="default" w:ascii="Times New Roman" w:hAnsi="Times New Roman" w:eastAsia="黑体" w:cs="Times New Roman"/>
          <w:b w:val="0"/>
          <w:color w:val="auto"/>
          <w:highlight w:val="none"/>
        </w:rPr>
        <w:t>国有资本经营预算支出决算情况说明</w:t>
      </w:r>
      <w:bookmarkEnd w:id="69"/>
      <w:bookmarkEnd w:id="70"/>
      <w:bookmarkEnd w:id="71"/>
    </w:p>
    <w:p w14:paraId="0062D8F2">
      <w:pPr>
        <w:pageBreakBefore w:val="0"/>
        <w:kinsoku/>
        <w:wordWrap/>
        <w:overflowPunct/>
        <w:topLinePunct w:val="0"/>
        <w:bidi w:val="0"/>
        <w:spacing w:line="578"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2025年度国有资本经营预算财政拨款支出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万元，占本年支出合计的</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%。与2024年度相比，国有资本经营预算财政拨款支出增加0万元，增长0%。</w:t>
      </w:r>
    </w:p>
    <w:p w14:paraId="716576F0">
      <w:pPr>
        <w:pageBreakBefore w:val="0"/>
        <w:numPr>
          <w:ilvl w:val="0"/>
          <w:numId w:val="0"/>
        </w:numPr>
        <w:kinsoku/>
        <w:wordWrap/>
        <w:overflowPunct/>
        <w:topLinePunct w:val="0"/>
        <w:bidi w:val="0"/>
        <w:spacing w:line="578" w:lineRule="exact"/>
        <w:ind w:left="630" w:leftChars="0"/>
        <w:textAlignment w:val="auto"/>
        <w:outlineLvl w:val="1"/>
        <w:rPr>
          <w:rStyle w:val="34"/>
          <w:rFonts w:hint="default" w:ascii="Times New Roman" w:hAnsi="Times New Roman" w:eastAsia="黑体" w:cs="Times New Roman"/>
          <w:b w:val="0"/>
          <w:color w:val="auto"/>
          <w:highlight w:val="none"/>
        </w:rPr>
      </w:pPr>
      <w:bookmarkStart w:id="72" w:name="_Toc9117_WPSOffice_Level2"/>
      <w:bookmarkStart w:id="73" w:name="_Toc15377221"/>
      <w:bookmarkStart w:id="74" w:name="_Toc15396612"/>
      <w:r>
        <w:rPr>
          <w:rStyle w:val="34"/>
          <w:rFonts w:hint="default" w:ascii="Times New Roman" w:hAnsi="Times New Roman" w:eastAsia="黑体" w:cs="Times New Roman"/>
          <w:b w:val="0"/>
          <w:color w:val="auto"/>
          <w:highlight w:val="none"/>
          <w:lang w:eastAsia="zh-CN"/>
        </w:rPr>
        <w:t>十、</w:t>
      </w:r>
      <w:r>
        <w:rPr>
          <w:rStyle w:val="34"/>
          <w:rFonts w:hint="default" w:ascii="Times New Roman" w:hAnsi="Times New Roman" w:eastAsia="黑体" w:cs="Times New Roman"/>
          <w:b w:val="0"/>
          <w:color w:val="auto"/>
          <w:highlight w:val="none"/>
        </w:rPr>
        <w:t>其他重要事项的情况说明</w:t>
      </w:r>
      <w:bookmarkEnd w:id="72"/>
      <w:bookmarkEnd w:id="73"/>
      <w:bookmarkEnd w:id="74"/>
    </w:p>
    <w:p w14:paraId="37A75B6C">
      <w:pPr>
        <w:pageBreakBefore w:val="0"/>
        <w:kinsoku/>
        <w:wordWrap/>
        <w:overflowPunct/>
        <w:topLinePunct w:val="0"/>
        <w:bidi w:val="0"/>
        <w:spacing w:line="578" w:lineRule="exact"/>
        <w:ind w:firstLine="643" w:firstLineChars="200"/>
        <w:textAlignment w:val="auto"/>
        <w:outlineLvl w:val="2"/>
        <w:rPr>
          <w:rFonts w:hint="default" w:ascii="Times New Roman" w:hAnsi="Times New Roman" w:eastAsia="仿宋_GB2312" w:cs="Times New Roman"/>
          <w:color w:val="auto"/>
          <w:kern w:val="2"/>
          <w:sz w:val="32"/>
          <w:szCs w:val="32"/>
          <w:highlight w:val="none"/>
          <w:lang w:val="en-US" w:eastAsia="zh-CN" w:bidi="ar-SA"/>
        </w:rPr>
      </w:pPr>
      <w:bookmarkStart w:id="75" w:name="_Toc15377222"/>
      <w:r>
        <w:rPr>
          <w:rFonts w:hint="default" w:ascii="Times New Roman" w:hAnsi="Times New Roman" w:eastAsia="楷体_GB2312" w:cs="Times New Roman"/>
          <w:b/>
          <w:color w:val="auto"/>
          <w:sz w:val="32"/>
          <w:szCs w:val="32"/>
          <w:highlight w:val="none"/>
        </w:rPr>
        <w:t>（一）机关运行经费支出情况</w:t>
      </w:r>
      <w:bookmarkEnd w:id="75"/>
      <w:r>
        <w:rPr>
          <w:rFonts w:hint="default" w:ascii="Times New Roman" w:hAnsi="Times New Roman" w:eastAsia="楷体_GB2312" w:cs="Times New Roman"/>
          <w:b/>
          <w:color w:val="auto"/>
          <w:sz w:val="32"/>
          <w:szCs w:val="32"/>
          <w:highlight w:val="none"/>
          <w:lang w:eastAsia="zh-CN"/>
        </w:rPr>
        <w:t>。</w:t>
      </w:r>
      <w:bookmarkStart w:id="76" w:name="_Toc15377223"/>
      <w:r>
        <w:rPr>
          <w:rFonts w:hint="default" w:ascii="Times New Roman" w:hAnsi="Times New Roman"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sz w:val="32"/>
          <w:szCs w:val="32"/>
        </w:rPr>
        <w:t>松潘县文化广播电视体育和旅游局（本级）</w:t>
      </w:r>
      <w:r>
        <w:rPr>
          <w:rFonts w:hint="default" w:ascii="Times New Roman" w:hAnsi="Times New Roman" w:eastAsia="仿宋_GB2312" w:cs="Times New Roman"/>
          <w:color w:val="auto"/>
          <w:kern w:val="2"/>
          <w:sz w:val="32"/>
          <w:szCs w:val="32"/>
          <w:highlight w:val="none"/>
          <w:lang w:val="en-US" w:eastAsia="zh-CN" w:bidi="ar-SA"/>
        </w:rPr>
        <w:t>机关运行经费支出</w:t>
      </w:r>
      <w:r>
        <w:rPr>
          <w:rFonts w:hint="default" w:ascii="Times New Roman" w:hAnsi="Times New Roman" w:eastAsia="仿宋_GB2312" w:cs="Times New Roman"/>
          <w:sz w:val="32"/>
          <w:szCs w:val="32"/>
        </w:rPr>
        <w:t>17.55</w:t>
      </w:r>
      <w:r>
        <w:rPr>
          <w:rFonts w:hint="default" w:ascii="Times New Roman" w:hAnsi="Times New Roman" w:eastAsia="仿宋_GB2312" w:cs="Times New Roman"/>
          <w:color w:val="auto"/>
          <w:kern w:val="2"/>
          <w:sz w:val="32"/>
          <w:szCs w:val="32"/>
          <w:highlight w:val="none"/>
          <w:lang w:val="en-US" w:eastAsia="zh-CN" w:bidi="ar-SA"/>
        </w:rPr>
        <w:t>万元，比上年度减少16.25万元，下降48.07%</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与年度决算数持平。</w:t>
      </w:r>
    </w:p>
    <w:p w14:paraId="62AEBE53">
      <w:pPr>
        <w:pageBreakBefore w:val="0"/>
        <w:kinsoku/>
        <w:wordWrap/>
        <w:overflowPunct/>
        <w:topLinePunct w:val="0"/>
        <w:bidi w:val="0"/>
        <w:spacing w:line="578" w:lineRule="exact"/>
        <w:ind w:firstLine="643" w:firstLineChars="200"/>
        <w:textAlignment w:val="auto"/>
        <w:outlineLvl w:val="2"/>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楷体_GB2312" w:cs="Times New Roman"/>
          <w:b/>
          <w:color w:val="auto"/>
          <w:sz w:val="32"/>
          <w:szCs w:val="32"/>
          <w:highlight w:val="none"/>
        </w:rPr>
        <w:t>（二）政府采购支出情况</w:t>
      </w:r>
      <w:bookmarkEnd w:id="76"/>
      <w:r>
        <w:rPr>
          <w:rFonts w:hint="default" w:ascii="Times New Roman" w:hAnsi="Times New Roman" w:eastAsia="楷体_GB2312" w:cs="Times New Roman"/>
          <w:b/>
          <w:color w:val="auto"/>
          <w:sz w:val="32"/>
          <w:szCs w:val="32"/>
          <w:highlight w:val="none"/>
          <w:lang w:eastAsia="zh-CN"/>
        </w:rPr>
        <w:t>。</w:t>
      </w:r>
      <w:r>
        <w:rPr>
          <w:rFonts w:hint="default" w:ascii="Times New Roman" w:hAnsi="Times New Roman"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sz w:val="32"/>
          <w:szCs w:val="32"/>
        </w:rPr>
        <w:t>松潘县文化广播电视体育和旅游局本级</w:t>
      </w:r>
      <w:r>
        <w:rPr>
          <w:rFonts w:hint="default" w:ascii="Times New Roman" w:hAnsi="Times New Roman" w:eastAsia="仿宋_GB2312" w:cs="Times New Roman"/>
          <w:color w:val="auto"/>
          <w:kern w:val="2"/>
          <w:sz w:val="32"/>
          <w:szCs w:val="32"/>
          <w:highlight w:val="none"/>
          <w:lang w:val="en-US" w:eastAsia="zh-CN" w:bidi="ar-SA"/>
        </w:rPr>
        <w:t>政府采购支出总额789.88万元，其中：政府采购货物支出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政府采购工程支出392.69万元、政府采购服务支出397.19万元。主要用于松潘县毛儿盖会议会址陈列馆展陈提升项目292万元；长征国家文化公园（松潘段）配套设施建设项目100.69万元；2025年送戏、送文化下乡演出服务49.99万元；松潘县第九届古城花灯会297.6万元；2025年第二届松潘古城半程马拉松赛49.6万元。占政府采购支出总额的</w:t>
      </w:r>
      <w:r>
        <w:rPr>
          <w:rFonts w:hint="default" w:ascii="Times New Roman" w:hAnsi="Times New Roman" w:eastAsia="仿宋_GB2312" w:cs="Times New Roman"/>
          <w:sz w:val="32"/>
          <w:szCs w:val="32"/>
        </w:rPr>
        <w:t>100</w:t>
      </w:r>
      <w:r>
        <w:rPr>
          <w:rFonts w:hint="default" w:ascii="Times New Roman" w:hAnsi="Times New Roman" w:eastAsia="仿宋_GB2312" w:cs="Times New Roman"/>
          <w:color w:val="auto"/>
          <w:kern w:val="2"/>
          <w:sz w:val="32"/>
          <w:szCs w:val="32"/>
          <w:highlight w:val="none"/>
          <w:lang w:val="en-US" w:eastAsia="zh-CN" w:bidi="ar-SA"/>
        </w:rPr>
        <w:t>%，其中：授予小微企业合同金额492.28万元，占政府采购支出总额的62.32%。</w:t>
      </w:r>
    </w:p>
    <w:p w14:paraId="3A77213A">
      <w:pPr>
        <w:pageBreakBefore w:val="0"/>
        <w:kinsoku/>
        <w:wordWrap/>
        <w:overflowPunct/>
        <w:topLinePunct w:val="0"/>
        <w:bidi w:val="0"/>
        <w:spacing w:line="578" w:lineRule="exact"/>
        <w:ind w:firstLine="643" w:firstLineChars="200"/>
        <w:textAlignment w:val="auto"/>
        <w:outlineLvl w:val="2"/>
        <w:rPr>
          <w:rFonts w:hint="default" w:ascii="Times New Roman" w:hAnsi="Times New Roman" w:eastAsia="仿宋_GB2312" w:cs="Times New Roman"/>
          <w:color w:val="auto"/>
          <w:kern w:val="2"/>
          <w:sz w:val="32"/>
          <w:szCs w:val="32"/>
          <w:highlight w:val="none"/>
          <w:lang w:val="en-US" w:eastAsia="zh-CN" w:bidi="ar-SA"/>
        </w:rPr>
      </w:pPr>
      <w:bookmarkStart w:id="77" w:name="_Toc15377224"/>
      <w:r>
        <w:rPr>
          <w:rFonts w:hint="default" w:ascii="Times New Roman" w:hAnsi="Times New Roman" w:eastAsia="楷体_GB2312" w:cs="Times New Roman"/>
          <w:b/>
          <w:color w:val="auto"/>
          <w:sz w:val="32"/>
          <w:szCs w:val="32"/>
          <w:highlight w:val="none"/>
        </w:rPr>
        <w:t>（三）国有资产占有使用情况</w:t>
      </w:r>
      <w:bookmarkEnd w:id="77"/>
      <w:r>
        <w:rPr>
          <w:rFonts w:hint="default" w:ascii="Times New Roman" w:hAnsi="Times New Roman" w:eastAsia="楷体_GB2312" w:cs="Times New Roman"/>
          <w:b/>
          <w:color w:val="auto"/>
          <w:sz w:val="32"/>
          <w:szCs w:val="32"/>
          <w:highlight w:val="none"/>
          <w:lang w:eastAsia="zh-CN"/>
        </w:rPr>
        <w:t>。</w:t>
      </w:r>
      <w:r>
        <w:rPr>
          <w:rFonts w:hint="default" w:ascii="Times New Roman" w:hAnsi="Times New Roman" w:eastAsia="仿宋_GB2312" w:cs="Times New Roman"/>
          <w:color w:val="auto"/>
          <w:kern w:val="2"/>
          <w:sz w:val="32"/>
          <w:szCs w:val="32"/>
          <w:highlight w:val="none"/>
          <w:lang w:val="en-US" w:eastAsia="zh-CN" w:bidi="ar-SA"/>
        </w:rPr>
        <w:t>截至2025年12月31日，</w:t>
      </w:r>
      <w:r>
        <w:rPr>
          <w:rFonts w:hint="default" w:ascii="Times New Roman" w:hAnsi="Times New Roman" w:eastAsia="仿宋_GB2312" w:cs="Times New Roman"/>
          <w:sz w:val="32"/>
          <w:szCs w:val="32"/>
        </w:rPr>
        <w:t>松潘县文化广播电视体育和旅游局本级</w:t>
      </w:r>
      <w:r>
        <w:rPr>
          <w:rFonts w:hint="default" w:ascii="Times New Roman" w:hAnsi="Times New Roman" w:eastAsia="仿宋_GB2312" w:cs="Times New Roman"/>
          <w:color w:val="auto"/>
          <w:kern w:val="2"/>
          <w:sz w:val="32"/>
          <w:szCs w:val="32"/>
          <w:highlight w:val="none"/>
          <w:lang w:val="en-US" w:eastAsia="zh-CN" w:bidi="ar-SA"/>
        </w:rPr>
        <w:t>共有车辆</w:t>
      </w:r>
      <w:r>
        <w:rPr>
          <w:rFonts w:hint="default" w:ascii="Times New Roman" w:hAnsi="Times New Roman" w:eastAsia="仿宋_GB2312" w:cs="Times New Roman"/>
          <w:sz w:val="32"/>
          <w:szCs w:val="32"/>
        </w:rPr>
        <w:t>3</w:t>
      </w:r>
      <w:r>
        <w:rPr>
          <w:rFonts w:hint="default" w:ascii="Times New Roman" w:hAnsi="Times New Roman" w:eastAsia="仿宋_GB2312" w:cs="Times New Roman"/>
          <w:color w:val="auto"/>
          <w:kern w:val="2"/>
          <w:sz w:val="32"/>
          <w:szCs w:val="32"/>
          <w:highlight w:val="none"/>
          <w:lang w:val="en-US" w:eastAsia="zh-CN" w:bidi="ar-SA"/>
        </w:rPr>
        <w:t>辆，其中：主要负责人用车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辆、机要通信用车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辆、应急保障用车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辆、其他用车</w:t>
      </w:r>
      <w:r>
        <w:rPr>
          <w:rFonts w:hint="default" w:ascii="Times New Roman" w:hAnsi="Times New Roman" w:eastAsia="仿宋_GB2312" w:cs="Times New Roman"/>
          <w:sz w:val="32"/>
          <w:szCs w:val="32"/>
        </w:rPr>
        <w:t>3</w:t>
      </w:r>
      <w:r>
        <w:rPr>
          <w:rFonts w:hint="default" w:ascii="Times New Roman" w:hAnsi="Times New Roman" w:eastAsia="仿宋_GB2312" w:cs="Times New Roman"/>
          <w:color w:val="auto"/>
          <w:kern w:val="2"/>
          <w:sz w:val="32"/>
          <w:szCs w:val="32"/>
          <w:highlight w:val="none"/>
          <w:lang w:val="en-US" w:eastAsia="zh-CN" w:bidi="ar-SA"/>
        </w:rPr>
        <w:t>辆，其他用车</w:t>
      </w:r>
      <w:r>
        <w:rPr>
          <w:rFonts w:hint="eastAsia" w:eastAsia="仿宋_GB2312" w:cs="Times New Roman"/>
          <w:color w:val="auto"/>
          <w:kern w:val="2"/>
          <w:sz w:val="32"/>
          <w:szCs w:val="32"/>
          <w:highlight w:val="none"/>
          <w:lang w:val="en-US" w:eastAsia="zh-CN" w:bidi="ar-SA"/>
        </w:rPr>
        <w:t>主要</w:t>
      </w:r>
      <w:r>
        <w:rPr>
          <w:rFonts w:hint="default" w:ascii="Times New Roman" w:hAnsi="Times New Roman" w:eastAsia="仿宋_GB2312" w:cs="Times New Roman"/>
          <w:color w:val="auto"/>
          <w:kern w:val="2"/>
          <w:sz w:val="32"/>
          <w:szCs w:val="32"/>
          <w:highlight w:val="none"/>
          <w:lang w:val="en-US" w:eastAsia="zh-CN" w:bidi="ar-SA"/>
        </w:rPr>
        <w:t>用于</w:t>
      </w:r>
      <w:r>
        <w:rPr>
          <w:rFonts w:hint="default" w:ascii="Times New Roman" w:hAnsi="Times New Roman" w:eastAsia="仿宋_GB2312" w:cs="Times New Roman"/>
          <w:color w:val="000000"/>
          <w:sz w:val="32"/>
          <w:szCs w:val="32"/>
        </w:rPr>
        <w:t>旅游厕所督查</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sz w:val="32"/>
          <w:szCs w:val="32"/>
          <w:shd w:val="clear" w:color="auto" w:fill="FFFFFF"/>
          <w:lang w:eastAsia="zh-CN"/>
        </w:rPr>
        <w:t>文化市场检查、联乡包村下乡、项目检查、日常出差</w:t>
      </w:r>
      <w:r>
        <w:rPr>
          <w:rFonts w:hint="default" w:ascii="Times New Roman" w:hAnsi="Times New Roman" w:eastAsia="仿宋_GB2312" w:cs="Times New Roman"/>
          <w:sz w:val="32"/>
          <w:szCs w:val="32"/>
          <w:shd w:val="clear" w:color="auto" w:fill="FFFFFF"/>
        </w:rPr>
        <w:t>等</w:t>
      </w:r>
      <w:r>
        <w:rPr>
          <w:rFonts w:hint="default" w:ascii="Times New Roman" w:hAnsi="Times New Roman" w:eastAsia="仿宋_GB2312" w:cs="Times New Roman"/>
          <w:color w:val="auto"/>
          <w:kern w:val="2"/>
          <w:sz w:val="32"/>
          <w:szCs w:val="32"/>
          <w:highlight w:val="none"/>
          <w:lang w:val="en-US" w:eastAsia="zh-CN" w:bidi="ar-SA"/>
        </w:rPr>
        <w:t>。单价100万元（含）以上设备（不含车辆）</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台（套）。</w:t>
      </w:r>
    </w:p>
    <w:p w14:paraId="0BD6B63E">
      <w:pPr>
        <w:pageBreakBefore w:val="0"/>
        <w:kinsoku/>
        <w:wordWrap/>
        <w:overflowPunct/>
        <w:topLinePunct w:val="0"/>
        <w:bidi w:val="0"/>
        <w:spacing w:line="578" w:lineRule="exact"/>
        <w:ind w:firstLine="643" w:firstLineChars="200"/>
        <w:textAlignment w:val="auto"/>
        <w:outlineLvl w:val="2"/>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楷体_GB2312" w:cs="Times New Roman"/>
          <w:b/>
          <w:color w:val="auto"/>
          <w:sz w:val="32"/>
          <w:szCs w:val="32"/>
          <w:highlight w:val="none"/>
        </w:rPr>
        <w:t>（四）预算绩效管理情况</w:t>
      </w:r>
      <w:r>
        <w:rPr>
          <w:rFonts w:hint="default" w:ascii="Times New Roman" w:hAnsi="Times New Roman" w:eastAsia="楷体_GB2312" w:cs="Times New Roman"/>
          <w:b/>
          <w:color w:val="auto"/>
          <w:sz w:val="32"/>
          <w:szCs w:val="32"/>
          <w:highlight w:val="none"/>
          <w:lang w:eastAsia="zh-CN"/>
        </w:rPr>
        <w:t>。</w:t>
      </w:r>
      <w:r>
        <w:rPr>
          <w:rFonts w:hint="default" w:ascii="Times New Roman" w:hAnsi="Times New Roman" w:eastAsia="仿宋_GB2312" w:cs="Times New Roman"/>
          <w:color w:val="auto"/>
          <w:kern w:val="2"/>
          <w:sz w:val="32"/>
          <w:szCs w:val="32"/>
          <w:highlight w:val="none"/>
          <w:lang w:val="en-US" w:eastAsia="zh-CN" w:bidi="ar-SA"/>
        </w:rPr>
        <w:t>根据预算绩效管理要求，</w:t>
      </w:r>
      <w:r>
        <w:rPr>
          <w:rFonts w:hint="default" w:ascii="Times New Roman" w:hAnsi="Times New Roman" w:eastAsia="仿宋_GB2312" w:cs="Times New Roman"/>
          <w:sz w:val="32"/>
          <w:szCs w:val="32"/>
        </w:rPr>
        <w:t>本单位</w:t>
      </w:r>
      <w:r>
        <w:rPr>
          <w:rFonts w:hint="default" w:ascii="Times New Roman" w:hAnsi="Times New Roman" w:eastAsia="仿宋_GB2312" w:cs="Times New Roman"/>
          <w:color w:val="auto"/>
          <w:kern w:val="2"/>
          <w:sz w:val="32"/>
          <w:szCs w:val="32"/>
          <w:highlight w:val="none"/>
          <w:lang w:val="en-US" w:eastAsia="zh-CN" w:bidi="ar-SA"/>
        </w:rPr>
        <w:t>在2025年度预算编制阶段，组织对美术馆</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公共图书馆</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文化馆（站）免费开放中央、省、州专项资金预算县级配套资金等20个项目开展了预算事前绩效评估，对20个项目编制了绩效目标。</w:t>
      </w:r>
    </w:p>
    <w:p w14:paraId="60FC5FB1">
      <w:pPr>
        <w:pageBreakBefore w:val="0"/>
        <w:kinsoku/>
        <w:wordWrap/>
        <w:overflowPunct/>
        <w:topLinePunct w:val="0"/>
        <w:bidi w:val="0"/>
        <w:spacing w:line="578" w:lineRule="exact"/>
        <w:textAlignment w:val="auto"/>
        <w:rPr>
          <w:rFonts w:hint="default" w:ascii="Times New Roman" w:hAnsi="Times New Roman" w:eastAsia="黑体" w:cs="Times New Roman"/>
          <w:color w:val="auto"/>
          <w:sz w:val="44"/>
          <w:szCs w:val="44"/>
          <w:highlight w:val="none"/>
        </w:rPr>
      </w:pPr>
      <w:r>
        <w:rPr>
          <w:rFonts w:hint="default" w:ascii="Times New Roman" w:hAnsi="Times New Roman" w:eastAsia="仿宋_GB2312" w:cs="Times New Roman"/>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组织对2025年度一般公共预算、政府性基金预算、国有资本经营预算、社会保险基金预算以及资本资产、债券资金等全面开展绩效自评，形成部门预算（含部门预算项目）绩效自评报告</w:t>
      </w:r>
      <w:bookmarkStart w:id="78" w:name="_Toc15377225"/>
      <w:bookmarkStart w:id="79" w:name="_Toc18829_WPSOffice_Level1"/>
      <w:bookmarkStart w:id="80" w:name="_Toc15396613"/>
      <w:r>
        <w:rPr>
          <w:rFonts w:hint="default" w:ascii="Times New Roman" w:hAnsi="Times New Roman" w:eastAsia="仿宋_GB2312" w:cs="Times New Roman"/>
          <w:color w:val="auto"/>
          <w:kern w:val="2"/>
          <w:sz w:val="32"/>
          <w:szCs w:val="32"/>
          <w:highlight w:val="none"/>
          <w:lang w:val="en-US" w:eastAsia="zh-CN" w:bidi="ar-SA"/>
        </w:rPr>
        <w:t>。</w:t>
      </w:r>
      <w:r>
        <w:rPr>
          <w:rFonts w:hint="default" w:ascii="Times New Roman" w:hAnsi="Times New Roman" w:eastAsia="黑体" w:cs="Times New Roman"/>
          <w:color w:val="auto"/>
          <w:sz w:val="44"/>
          <w:szCs w:val="44"/>
          <w:highlight w:val="none"/>
        </w:rPr>
        <w:br w:type="page"/>
      </w:r>
    </w:p>
    <w:p w14:paraId="0C46FBEA">
      <w:pPr>
        <w:pageBreakBefore w:val="0"/>
        <w:numPr>
          <w:ilvl w:val="0"/>
          <w:numId w:val="0"/>
        </w:numPr>
        <w:kinsoku/>
        <w:wordWrap/>
        <w:overflowPunct/>
        <w:topLinePunct w:val="0"/>
        <w:bidi w:val="0"/>
        <w:spacing w:line="578" w:lineRule="exact"/>
        <w:jc w:val="center"/>
        <w:textAlignment w:val="auto"/>
        <w:outlineLvl w:val="0"/>
        <w:rPr>
          <w:rFonts w:hint="default" w:ascii="Times New Roman" w:hAnsi="Times New Roman" w:eastAsia="黑体" w:cs="Times New Roman"/>
          <w:color w:val="auto"/>
          <w:sz w:val="44"/>
          <w:szCs w:val="44"/>
          <w:highlight w:val="none"/>
        </w:rPr>
      </w:pPr>
      <w:r>
        <w:rPr>
          <w:rFonts w:hint="default" w:ascii="Times New Roman" w:hAnsi="Times New Roman" w:eastAsia="黑体" w:cs="Times New Roman"/>
          <w:color w:val="auto"/>
          <w:sz w:val="44"/>
          <w:szCs w:val="44"/>
          <w:highlight w:val="none"/>
        </w:rPr>
        <w:t>第</w:t>
      </w:r>
      <w:r>
        <w:rPr>
          <w:rFonts w:hint="default" w:ascii="Times New Roman" w:hAnsi="Times New Roman" w:eastAsia="黑体" w:cs="Times New Roman"/>
          <w:color w:val="auto"/>
          <w:sz w:val="44"/>
          <w:szCs w:val="44"/>
          <w:highlight w:val="none"/>
          <w:lang w:eastAsia="zh-CN"/>
        </w:rPr>
        <w:t>三</w:t>
      </w:r>
      <w:r>
        <w:rPr>
          <w:rFonts w:hint="default" w:ascii="Times New Roman" w:hAnsi="Times New Roman" w:eastAsia="黑体" w:cs="Times New Roman"/>
          <w:color w:val="auto"/>
          <w:sz w:val="44"/>
          <w:szCs w:val="44"/>
          <w:highlight w:val="none"/>
        </w:rPr>
        <w:t>部分</w:t>
      </w:r>
      <w:r>
        <w:rPr>
          <w:rFonts w:hint="default" w:ascii="Times New Roman" w:hAnsi="Times New Roman" w:eastAsia="黑体" w:cs="Times New Roman"/>
          <w:color w:val="auto"/>
          <w:sz w:val="44"/>
          <w:szCs w:val="44"/>
          <w:highlight w:val="none"/>
          <w:lang w:val="en-US" w:eastAsia="zh-CN"/>
        </w:rPr>
        <w:t xml:space="preserve">  </w:t>
      </w:r>
      <w:r>
        <w:rPr>
          <w:rFonts w:hint="default" w:ascii="Times New Roman" w:hAnsi="Times New Roman" w:eastAsia="黑体" w:cs="Times New Roman"/>
          <w:color w:val="auto"/>
          <w:sz w:val="44"/>
          <w:szCs w:val="44"/>
          <w:highlight w:val="none"/>
        </w:rPr>
        <w:t>名词解释</w:t>
      </w:r>
      <w:bookmarkEnd w:id="78"/>
      <w:bookmarkEnd w:id="79"/>
      <w:bookmarkEnd w:id="80"/>
    </w:p>
    <w:p w14:paraId="69B4489B">
      <w:pPr>
        <w:pageBreakBefore w:val="0"/>
        <w:kinsoku/>
        <w:wordWrap/>
        <w:overflowPunct/>
        <w:topLinePunct w:val="0"/>
        <w:bidi w:val="0"/>
        <w:spacing w:line="578" w:lineRule="exact"/>
        <w:jc w:val="left"/>
        <w:textAlignment w:val="auto"/>
        <w:rPr>
          <w:rFonts w:hint="default" w:ascii="Times New Roman" w:hAnsi="Times New Roman" w:cs="Times New Roman"/>
          <w:b/>
          <w:color w:val="auto"/>
          <w:sz w:val="44"/>
          <w:szCs w:val="44"/>
          <w:highlight w:val="none"/>
        </w:rPr>
      </w:pPr>
    </w:p>
    <w:p w14:paraId="346F457A">
      <w:pPr>
        <w:pStyle w:val="31"/>
        <w:pageBreakBefore w:val="0"/>
        <w:kinsoku/>
        <w:wordWrap/>
        <w:overflowPunct/>
        <w:topLinePunct w:val="0"/>
        <w:bidi w:val="0"/>
        <w:spacing w:line="578" w:lineRule="exact"/>
        <w:ind w:firstLine="640" w:firstLineChars="200"/>
        <w:textAlignment w:val="auto"/>
        <w:outlineLvl w:val="1"/>
        <w:rPr>
          <w:rFonts w:hint="default" w:ascii="Times New Roman" w:hAnsi="Times New Roman" w:eastAsia="仿宋_GB2312" w:cs="Times New Roman"/>
          <w:color w:val="auto"/>
          <w:sz w:val="32"/>
          <w:szCs w:val="32"/>
        </w:rPr>
      </w:pPr>
      <w:bookmarkStart w:id="81" w:name="_Toc10511"/>
      <w:bookmarkStart w:id="82" w:name="_Toc18541"/>
      <w:r>
        <w:rPr>
          <w:rFonts w:hint="default" w:ascii="Times New Roman" w:hAnsi="Times New Roman" w:eastAsia="仿宋_GB2312" w:cs="Times New Roman"/>
          <w:color w:val="auto"/>
          <w:sz w:val="32"/>
          <w:szCs w:val="32"/>
        </w:rPr>
        <w:t>1.财政拨款收入：指单位从同级财政部门取得的财政预算资金。</w:t>
      </w:r>
      <w:bookmarkEnd w:id="81"/>
      <w:bookmarkEnd w:id="82"/>
    </w:p>
    <w:p w14:paraId="0150DDA6">
      <w:pPr>
        <w:pStyle w:val="31"/>
        <w:pageBreakBefore w:val="0"/>
        <w:kinsoku/>
        <w:wordWrap/>
        <w:overflowPunct/>
        <w:topLinePunct w:val="0"/>
        <w:bidi w:val="0"/>
        <w:spacing w:line="578"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2.事业收入：指事业单位开展专业业务活动及辅助活动取得的收入。（二级预算单位事业收入情况）等。</w:t>
      </w:r>
    </w:p>
    <w:p w14:paraId="2E725A19">
      <w:pPr>
        <w:pStyle w:val="31"/>
        <w:pageBreakBefore w:val="0"/>
        <w:kinsoku/>
        <w:wordWrap/>
        <w:overflowPunct/>
        <w:topLinePunct w:val="0"/>
        <w:bidi w:val="0"/>
        <w:spacing w:line="578"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3.经营收入：指事业单位在专业业务活动及其辅助活动之外开展非独立核算经营活动取得的收入。（二级预算单位经营收入情况）等。</w:t>
      </w:r>
    </w:p>
    <w:p w14:paraId="7C163985">
      <w:pPr>
        <w:pStyle w:val="31"/>
        <w:pageBreakBefore w:val="0"/>
        <w:kinsoku/>
        <w:wordWrap/>
        <w:overflowPunct/>
        <w:topLinePunct w:val="0"/>
        <w:bidi w:val="0"/>
        <w:spacing w:line="578"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4.其他收入：指单位取得的除上述收入以外的各项收入。主要是（收入类型）等。 </w:t>
      </w:r>
    </w:p>
    <w:p w14:paraId="7ED40008">
      <w:pPr>
        <w:pStyle w:val="31"/>
        <w:pageBreakBefore w:val="0"/>
        <w:kinsoku/>
        <w:wordWrap/>
        <w:overflowPunct/>
        <w:topLinePunct w:val="0"/>
        <w:bidi w:val="0"/>
        <w:spacing w:line="578"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w:t>
      </w:r>
      <w:r>
        <w:rPr>
          <w:rFonts w:hint="default" w:ascii="Times New Roman" w:hAnsi="Times New Roman" w:eastAsia="仿宋_GB2312" w:cs="Times New Roman"/>
          <w:sz w:val="32"/>
          <w:szCs w:val="32"/>
        </w:rPr>
        <w:t>使用非财政拨款结余（含专用结余）</w:t>
      </w:r>
      <w:r>
        <w:rPr>
          <w:rFonts w:hint="default" w:ascii="Times New Roman" w:hAnsi="Times New Roman" w:eastAsia="仿宋_GB2312" w:cs="Times New Roman"/>
          <w:color w:val="auto"/>
          <w:sz w:val="32"/>
          <w:szCs w:val="32"/>
        </w:rPr>
        <w:t xml:space="preserve">：指事业单位使用以前年度积累的非财政拨款结余弥补当年收支差额的金额。 </w:t>
      </w:r>
    </w:p>
    <w:p w14:paraId="20DD405C">
      <w:pPr>
        <w:pStyle w:val="31"/>
        <w:pageBreakBefore w:val="0"/>
        <w:kinsoku/>
        <w:wordWrap/>
        <w:overflowPunct/>
        <w:topLinePunct w:val="0"/>
        <w:bidi w:val="0"/>
        <w:spacing w:line="578"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6.年初结转和结余：指以前年度尚未完成、结转到本年按有关规定继续使用的资金。 </w:t>
      </w:r>
    </w:p>
    <w:p w14:paraId="733D4FD2">
      <w:pPr>
        <w:pStyle w:val="31"/>
        <w:pageBreakBefore w:val="0"/>
        <w:kinsoku/>
        <w:wordWrap/>
        <w:overflowPunct/>
        <w:topLinePunct w:val="0"/>
        <w:bidi w:val="0"/>
        <w:spacing w:line="578"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7.结余分配：指事业单位按照会计制度规定缴纳的所得税、提取的专用结余以及转入非财政拨款结余的金额等。</w:t>
      </w:r>
    </w:p>
    <w:p w14:paraId="607E8EBF">
      <w:pPr>
        <w:pStyle w:val="31"/>
        <w:pageBreakBefore w:val="0"/>
        <w:kinsoku/>
        <w:wordWrap/>
        <w:overflowPunct/>
        <w:topLinePunct w:val="0"/>
        <w:bidi w:val="0"/>
        <w:spacing w:line="578"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8.年末结转和结余：指单位按有关规定结转到下年或以后年度继续使用的资金。</w:t>
      </w:r>
    </w:p>
    <w:p w14:paraId="04291145">
      <w:pPr>
        <w:keepNext w:val="0"/>
        <w:keepLines w:val="0"/>
        <w:pageBreakBefore w:val="0"/>
        <w:widowControl/>
        <w:kinsoku/>
        <w:wordWrap/>
        <w:overflowPunct/>
        <w:topLinePunct w:val="0"/>
        <w:autoSpaceDE/>
        <w:autoSpaceDN/>
        <w:bidi w:val="0"/>
        <w:adjustRightInd/>
        <w:snapToGrid/>
        <w:spacing w:beforeAutospacing="0" w:afterAutospacing="0" w:line="578" w:lineRule="exact"/>
        <w:ind w:left="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9.</w:t>
      </w:r>
      <w:r>
        <w:rPr>
          <w:rFonts w:hint="default" w:ascii="Times New Roman" w:hAnsi="Times New Roman" w:eastAsia="仿宋_GB2312" w:cs="Times New Roman"/>
          <w:color w:val="auto"/>
          <w:sz w:val="32"/>
          <w:szCs w:val="32"/>
          <w:lang w:eastAsia="zh-CN"/>
        </w:rPr>
        <w:t>文化旅游体育与传媒</w:t>
      </w:r>
      <w:r>
        <w:rPr>
          <w:rFonts w:hint="default" w:ascii="Times New Roman" w:hAnsi="Times New Roman" w:eastAsia="仿宋_GB2312" w:cs="Times New Roman"/>
          <w:color w:val="auto"/>
          <w:sz w:val="32"/>
          <w:szCs w:val="32"/>
        </w:rPr>
        <w:t>（类）</w:t>
      </w:r>
      <w:r>
        <w:rPr>
          <w:rFonts w:hint="default" w:ascii="Times New Roman" w:hAnsi="Times New Roman" w:eastAsia="仿宋_GB2312" w:cs="Times New Roman"/>
          <w:color w:val="auto"/>
          <w:sz w:val="32"/>
          <w:szCs w:val="32"/>
          <w:lang w:val="en-US" w:eastAsia="zh-CN"/>
        </w:rPr>
        <w:t>207</w:t>
      </w:r>
      <w:r>
        <w:rPr>
          <w:rFonts w:hint="default" w:ascii="Times New Roman" w:hAnsi="Times New Roman" w:eastAsia="仿宋_GB2312" w:cs="Times New Roman"/>
          <w:color w:val="auto"/>
          <w:sz w:val="32"/>
          <w:szCs w:val="32"/>
        </w:rPr>
        <w:t>（款）</w:t>
      </w:r>
      <w:r>
        <w:rPr>
          <w:rFonts w:hint="default" w:ascii="Times New Roman" w:hAnsi="Times New Roman" w:eastAsia="仿宋_GB2312" w:cs="Times New Roman"/>
          <w:color w:val="auto"/>
          <w:sz w:val="32"/>
          <w:szCs w:val="32"/>
          <w:lang w:val="en-US" w:eastAsia="zh-CN"/>
        </w:rPr>
        <w:t>01</w:t>
      </w:r>
      <w:r>
        <w:rPr>
          <w:rFonts w:hint="default" w:ascii="Times New Roman" w:hAnsi="Times New Roman" w:eastAsia="仿宋_GB2312" w:cs="Times New Roman"/>
          <w:color w:val="auto"/>
          <w:sz w:val="32"/>
          <w:szCs w:val="32"/>
        </w:rPr>
        <w:t>（项）</w:t>
      </w:r>
      <w:r>
        <w:rPr>
          <w:rFonts w:hint="default" w:ascii="Times New Roman" w:hAnsi="Times New Roman" w:eastAsia="仿宋_GB2312" w:cs="Times New Roman"/>
          <w:color w:val="auto"/>
          <w:sz w:val="32"/>
          <w:szCs w:val="32"/>
          <w:lang w:val="en-US" w:eastAsia="zh-CN"/>
        </w:rPr>
        <w:t>01</w:t>
      </w:r>
      <w:r>
        <w:rPr>
          <w:rFonts w:hint="default" w:ascii="Times New Roman" w:hAnsi="Times New Roman" w:eastAsia="仿宋_GB2312" w:cs="Times New Roman"/>
          <w:color w:val="auto"/>
          <w:sz w:val="32"/>
          <w:szCs w:val="32"/>
        </w:rPr>
        <w:t>：指</w:t>
      </w:r>
      <w:r>
        <w:rPr>
          <w:rFonts w:hint="default" w:ascii="Times New Roman" w:hAnsi="Times New Roman" w:eastAsia="仿宋_GB2312" w:cs="Times New Roman"/>
          <w:color w:val="auto"/>
          <w:sz w:val="32"/>
          <w:szCs w:val="32"/>
          <w:lang w:eastAsia="zh-CN"/>
        </w:rPr>
        <w:t>行政运行</w:t>
      </w:r>
      <w:r>
        <w:rPr>
          <w:rFonts w:hint="default" w:ascii="Times New Roman" w:hAnsi="Times New Roman" w:eastAsia="仿宋_GB2312" w:cs="Times New Roman"/>
          <w:color w:val="auto"/>
          <w:sz w:val="32"/>
          <w:szCs w:val="32"/>
        </w:rPr>
        <w:t>。（类）207（款）01（项）</w:t>
      </w:r>
      <w:r>
        <w:rPr>
          <w:rFonts w:hint="default" w:ascii="Times New Roman" w:hAnsi="Times New Roman" w:eastAsia="仿宋_GB2312" w:cs="Times New Roman"/>
          <w:color w:val="auto"/>
          <w:sz w:val="32"/>
          <w:szCs w:val="32"/>
          <w:lang w:val="en-US" w:eastAsia="zh-CN"/>
        </w:rPr>
        <w:t>02</w:t>
      </w:r>
      <w:r>
        <w:rPr>
          <w:rFonts w:hint="default" w:ascii="Times New Roman" w:hAnsi="Times New Roman" w:eastAsia="仿宋_GB2312" w:cs="Times New Roman"/>
          <w:color w:val="auto"/>
          <w:sz w:val="32"/>
          <w:szCs w:val="32"/>
        </w:rPr>
        <w:t>：指</w:t>
      </w:r>
      <w:r>
        <w:rPr>
          <w:rFonts w:hint="default" w:ascii="Times New Roman" w:hAnsi="Times New Roman" w:eastAsia="仿宋_GB2312" w:cs="Times New Roman"/>
          <w:color w:val="auto"/>
          <w:sz w:val="32"/>
          <w:szCs w:val="32"/>
          <w:lang w:eastAsia="zh-CN"/>
        </w:rPr>
        <w:t>一般行政管理事务</w:t>
      </w:r>
      <w:r>
        <w:rPr>
          <w:rFonts w:hint="default" w:ascii="Times New Roman" w:hAnsi="Times New Roman" w:eastAsia="仿宋_GB2312" w:cs="Times New Roman"/>
          <w:color w:val="auto"/>
          <w:sz w:val="32"/>
          <w:szCs w:val="32"/>
        </w:rPr>
        <w:t>。（类）207（款）01（项）</w:t>
      </w:r>
      <w:r>
        <w:rPr>
          <w:rFonts w:hint="default" w:ascii="Times New Roman" w:hAnsi="Times New Roman" w:eastAsia="仿宋_GB2312" w:cs="Times New Roman"/>
          <w:color w:val="auto"/>
          <w:sz w:val="32"/>
          <w:szCs w:val="32"/>
          <w:lang w:val="en-US" w:eastAsia="zh-CN"/>
        </w:rPr>
        <w:t>11</w:t>
      </w:r>
      <w:r>
        <w:rPr>
          <w:rFonts w:hint="default" w:ascii="Times New Roman" w:hAnsi="Times New Roman" w:eastAsia="仿宋_GB2312" w:cs="Times New Roman"/>
          <w:color w:val="auto"/>
          <w:sz w:val="32"/>
          <w:szCs w:val="32"/>
        </w:rPr>
        <w:t>：指</w:t>
      </w:r>
      <w:r>
        <w:rPr>
          <w:rFonts w:hint="default" w:ascii="Times New Roman" w:hAnsi="Times New Roman" w:eastAsia="仿宋_GB2312" w:cs="Times New Roman"/>
          <w:color w:val="auto"/>
          <w:sz w:val="32"/>
          <w:szCs w:val="32"/>
          <w:lang w:eastAsia="zh-CN"/>
        </w:rPr>
        <w:t>文化创作与保护</w:t>
      </w:r>
      <w:r>
        <w:rPr>
          <w:rFonts w:hint="default" w:ascii="Times New Roman" w:hAnsi="Times New Roman" w:eastAsia="仿宋_GB2312" w:cs="Times New Roman"/>
          <w:color w:val="auto"/>
          <w:sz w:val="32"/>
          <w:szCs w:val="32"/>
        </w:rPr>
        <w:t>。（类）207（款）</w:t>
      </w:r>
      <w:r>
        <w:rPr>
          <w:rFonts w:hint="default" w:ascii="Times New Roman" w:hAnsi="Times New Roman" w:eastAsia="仿宋_GB2312" w:cs="Times New Roman"/>
          <w:color w:val="auto"/>
          <w:sz w:val="32"/>
          <w:szCs w:val="32"/>
          <w:lang w:val="en-US" w:eastAsia="zh-CN"/>
        </w:rPr>
        <w:t>01</w:t>
      </w:r>
      <w:r>
        <w:rPr>
          <w:rFonts w:hint="default" w:ascii="Times New Roman" w:hAnsi="Times New Roman" w:eastAsia="仿宋_GB2312" w:cs="Times New Roman"/>
          <w:color w:val="auto"/>
          <w:sz w:val="32"/>
          <w:szCs w:val="32"/>
        </w:rPr>
        <w:t>（项）</w:t>
      </w:r>
      <w:r>
        <w:rPr>
          <w:rFonts w:hint="default" w:ascii="Times New Roman" w:hAnsi="Times New Roman" w:eastAsia="仿宋_GB2312" w:cs="Times New Roman"/>
          <w:color w:val="auto"/>
          <w:sz w:val="32"/>
          <w:szCs w:val="32"/>
          <w:lang w:val="en-US" w:eastAsia="zh-CN"/>
        </w:rPr>
        <w:t>13</w:t>
      </w:r>
      <w:r>
        <w:rPr>
          <w:rFonts w:hint="default" w:ascii="Times New Roman" w:hAnsi="Times New Roman" w:eastAsia="仿宋_GB2312" w:cs="Times New Roman"/>
          <w:color w:val="auto"/>
          <w:sz w:val="32"/>
          <w:szCs w:val="32"/>
        </w:rPr>
        <w:t>：指</w:t>
      </w:r>
      <w:r>
        <w:rPr>
          <w:rFonts w:hint="default" w:ascii="Times New Roman" w:hAnsi="Times New Roman" w:eastAsia="仿宋_GB2312" w:cs="Times New Roman"/>
          <w:color w:val="auto"/>
          <w:sz w:val="32"/>
          <w:szCs w:val="32"/>
          <w:lang w:eastAsia="zh-CN"/>
        </w:rPr>
        <w:t>旅游宣传</w:t>
      </w:r>
      <w:r>
        <w:rPr>
          <w:rFonts w:hint="default" w:ascii="Times New Roman" w:hAnsi="Times New Roman" w:eastAsia="仿宋_GB2312" w:cs="Times New Roman"/>
          <w:color w:val="auto"/>
          <w:sz w:val="32"/>
          <w:szCs w:val="32"/>
        </w:rPr>
        <w:t>。（类）</w:t>
      </w:r>
      <w:r>
        <w:rPr>
          <w:rFonts w:hint="default" w:ascii="Times New Roman" w:hAnsi="Times New Roman" w:eastAsia="仿宋_GB2312" w:cs="Times New Roman"/>
          <w:color w:val="auto"/>
          <w:sz w:val="32"/>
          <w:szCs w:val="32"/>
          <w:lang w:val="en-US" w:eastAsia="zh-CN"/>
        </w:rPr>
        <w:t>207</w:t>
      </w:r>
      <w:r>
        <w:rPr>
          <w:rFonts w:hint="default" w:ascii="Times New Roman" w:hAnsi="Times New Roman" w:eastAsia="仿宋_GB2312" w:cs="Times New Roman"/>
          <w:color w:val="auto"/>
          <w:sz w:val="32"/>
          <w:szCs w:val="32"/>
        </w:rPr>
        <w:t>（款）</w:t>
      </w:r>
      <w:r>
        <w:rPr>
          <w:rFonts w:hint="default" w:ascii="Times New Roman" w:hAnsi="Times New Roman" w:eastAsia="仿宋_GB2312" w:cs="Times New Roman"/>
          <w:color w:val="auto"/>
          <w:sz w:val="32"/>
          <w:szCs w:val="32"/>
          <w:lang w:val="en-US" w:eastAsia="zh-CN"/>
        </w:rPr>
        <w:t>01</w:t>
      </w:r>
      <w:r>
        <w:rPr>
          <w:rFonts w:hint="default" w:ascii="Times New Roman" w:hAnsi="Times New Roman" w:eastAsia="仿宋_GB2312" w:cs="Times New Roman"/>
          <w:color w:val="auto"/>
          <w:sz w:val="32"/>
          <w:szCs w:val="32"/>
        </w:rPr>
        <w:t>（项）</w:t>
      </w:r>
      <w:r>
        <w:rPr>
          <w:rFonts w:hint="default" w:ascii="Times New Roman" w:hAnsi="Times New Roman" w:eastAsia="仿宋_GB2312" w:cs="Times New Roman"/>
          <w:color w:val="auto"/>
          <w:sz w:val="32"/>
          <w:szCs w:val="32"/>
          <w:lang w:val="en-US" w:eastAsia="zh-CN"/>
        </w:rPr>
        <w:t>14</w:t>
      </w:r>
      <w:r>
        <w:rPr>
          <w:rFonts w:hint="default" w:ascii="Times New Roman" w:hAnsi="Times New Roman" w:eastAsia="仿宋_GB2312" w:cs="Times New Roman"/>
          <w:color w:val="auto"/>
          <w:sz w:val="32"/>
          <w:szCs w:val="32"/>
        </w:rPr>
        <w:t>：指</w:t>
      </w:r>
      <w:r>
        <w:rPr>
          <w:rFonts w:hint="default" w:ascii="Times New Roman" w:hAnsi="Times New Roman" w:eastAsia="仿宋_GB2312" w:cs="Times New Roman"/>
          <w:color w:val="auto"/>
          <w:sz w:val="32"/>
          <w:szCs w:val="32"/>
          <w:lang w:eastAsia="zh-CN"/>
        </w:rPr>
        <w:t>文化和旅游管理事务</w:t>
      </w:r>
      <w:r>
        <w:rPr>
          <w:rFonts w:hint="default" w:ascii="Times New Roman" w:hAnsi="Times New Roman" w:eastAsia="仿宋_GB2312" w:cs="Times New Roman"/>
          <w:color w:val="auto"/>
          <w:sz w:val="32"/>
          <w:szCs w:val="32"/>
        </w:rPr>
        <w:t>。 （类）</w:t>
      </w:r>
      <w:r>
        <w:rPr>
          <w:rFonts w:hint="default" w:ascii="Times New Roman" w:hAnsi="Times New Roman" w:eastAsia="仿宋_GB2312" w:cs="Times New Roman"/>
          <w:color w:val="auto"/>
          <w:sz w:val="32"/>
          <w:szCs w:val="32"/>
          <w:lang w:val="en-US" w:eastAsia="zh-CN"/>
        </w:rPr>
        <w:t>207</w:t>
      </w:r>
      <w:r>
        <w:rPr>
          <w:rFonts w:hint="default" w:ascii="Times New Roman" w:hAnsi="Times New Roman" w:eastAsia="仿宋_GB2312" w:cs="Times New Roman"/>
          <w:color w:val="auto"/>
          <w:sz w:val="32"/>
          <w:szCs w:val="32"/>
        </w:rPr>
        <w:t>（款）</w:t>
      </w:r>
      <w:r>
        <w:rPr>
          <w:rFonts w:hint="default" w:ascii="Times New Roman" w:hAnsi="Times New Roman" w:eastAsia="仿宋_GB2312" w:cs="Times New Roman"/>
          <w:color w:val="auto"/>
          <w:sz w:val="32"/>
          <w:szCs w:val="32"/>
          <w:lang w:val="en-US" w:eastAsia="zh-CN"/>
        </w:rPr>
        <w:t>01</w:t>
      </w:r>
      <w:r>
        <w:rPr>
          <w:rFonts w:hint="default" w:ascii="Times New Roman" w:hAnsi="Times New Roman" w:eastAsia="仿宋_GB2312" w:cs="Times New Roman"/>
          <w:color w:val="auto"/>
          <w:sz w:val="32"/>
          <w:szCs w:val="32"/>
        </w:rPr>
        <w:t>（项）</w:t>
      </w:r>
      <w:r>
        <w:rPr>
          <w:rFonts w:hint="default" w:ascii="Times New Roman" w:hAnsi="Times New Roman" w:eastAsia="仿宋_GB2312" w:cs="Times New Roman"/>
          <w:color w:val="auto"/>
          <w:sz w:val="32"/>
          <w:szCs w:val="32"/>
          <w:lang w:val="en-US" w:eastAsia="zh-CN"/>
        </w:rPr>
        <w:t>99</w:t>
      </w:r>
      <w:r>
        <w:rPr>
          <w:rFonts w:hint="default" w:ascii="Times New Roman" w:hAnsi="Times New Roman" w:eastAsia="仿宋_GB2312" w:cs="Times New Roman"/>
          <w:color w:val="auto"/>
          <w:sz w:val="32"/>
          <w:szCs w:val="32"/>
        </w:rPr>
        <w:t>：指</w:t>
      </w:r>
      <w:r>
        <w:rPr>
          <w:rFonts w:hint="default" w:ascii="Times New Roman" w:hAnsi="Times New Roman" w:eastAsia="仿宋_GB2312" w:cs="Times New Roman"/>
          <w:color w:val="auto"/>
          <w:sz w:val="32"/>
          <w:szCs w:val="32"/>
          <w:lang w:eastAsia="zh-CN"/>
        </w:rPr>
        <w:t>其他文化和旅游支出</w:t>
      </w:r>
      <w:r>
        <w:rPr>
          <w:rFonts w:hint="default" w:ascii="Times New Roman" w:hAnsi="Times New Roman" w:eastAsia="仿宋_GB2312" w:cs="Times New Roman"/>
          <w:color w:val="auto"/>
          <w:sz w:val="32"/>
          <w:szCs w:val="32"/>
        </w:rPr>
        <w:t>。 （类）</w:t>
      </w:r>
      <w:r>
        <w:rPr>
          <w:rFonts w:hint="default" w:ascii="Times New Roman" w:hAnsi="Times New Roman" w:eastAsia="仿宋_GB2312" w:cs="Times New Roman"/>
          <w:color w:val="auto"/>
          <w:sz w:val="32"/>
          <w:szCs w:val="32"/>
          <w:lang w:val="en-US" w:eastAsia="zh-CN"/>
        </w:rPr>
        <w:t>207</w:t>
      </w:r>
      <w:r>
        <w:rPr>
          <w:rFonts w:hint="default" w:ascii="Times New Roman" w:hAnsi="Times New Roman" w:eastAsia="仿宋_GB2312" w:cs="Times New Roman"/>
          <w:color w:val="auto"/>
          <w:sz w:val="32"/>
          <w:szCs w:val="32"/>
        </w:rPr>
        <w:t>（款）</w:t>
      </w:r>
      <w:r>
        <w:rPr>
          <w:rFonts w:hint="default" w:ascii="Times New Roman" w:hAnsi="Times New Roman" w:eastAsia="仿宋_GB2312" w:cs="Times New Roman"/>
          <w:color w:val="auto"/>
          <w:sz w:val="32"/>
          <w:szCs w:val="32"/>
          <w:lang w:val="en-US" w:eastAsia="zh-CN"/>
        </w:rPr>
        <w:t>02</w:t>
      </w:r>
      <w:r>
        <w:rPr>
          <w:rFonts w:hint="default" w:ascii="Times New Roman" w:hAnsi="Times New Roman" w:eastAsia="仿宋_GB2312" w:cs="Times New Roman"/>
          <w:color w:val="auto"/>
          <w:sz w:val="32"/>
          <w:szCs w:val="32"/>
        </w:rPr>
        <w:t>（项）</w:t>
      </w:r>
      <w:r>
        <w:rPr>
          <w:rFonts w:hint="default" w:ascii="Times New Roman" w:hAnsi="Times New Roman" w:eastAsia="仿宋_GB2312" w:cs="Times New Roman"/>
          <w:color w:val="auto"/>
          <w:sz w:val="32"/>
          <w:szCs w:val="32"/>
          <w:lang w:val="en-US" w:eastAsia="zh-CN"/>
        </w:rPr>
        <w:t>04</w:t>
      </w:r>
      <w:r>
        <w:rPr>
          <w:rFonts w:hint="default" w:ascii="Times New Roman" w:hAnsi="Times New Roman" w:eastAsia="仿宋_GB2312" w:cs="Times New Roman"/>
          <w:color w:val="auto"/>
          <w:sz w:val="32"/>
          <w:szCs w:val="32"/>
        </w:rPr>
        <w:t>：指</w:t>
      </w:r>
      <w:r>
        <w:rPr>
          <w:rFonts w:hint="default" w:ascii="Times New Roman" w:hAnsi="Times New Roman" w:eastAsia="仿宋_GB2312" w:cs="Times New Roman"/>
          <w:color w:val="auto"/>
          <w:sz w:val="32"/>
          <w:szCs w:val="32"/>
          <w:lang w:eastAsia="zh-CN"/>
        </w:rPr>
        <w:t>文物保护</w:t>
      </w:r>
      <w:r>
        <w:rPr>
          <w:rFonts w:hint="default" w:ascii="Times New Roman" w:hAnsi="Times New Roman" w:eastAsia="仿宋_GB2312" w:cs="Times New Roman"/>
          <w:color w:val="auto"/>
          <w:sz w:val="32"/>
          <w:szCs w:val="32"/>
        </w:rPr>
        <w:t>。（类）207（款）</w:t>
      </w:r>
      <w:r>
        <w:rPr>
          <w:rFonts w:hint="default" w:ascii="Times New Roman" w:hAnsi="Times New Roman" w:eastAsia="仿宋_GB2312" w:cs="Times New Roman"/>
          <w:color w:val="auto"/>
          <w:sz w:val="32"/>
          <w:szCs w:val="32"/>
          <w:lang w:val="en-US" w:eastAsia="zh-CN"/>
        </w:rPr>
        <w:t>03</w:t>
      </w:r>
      <w:r>
        <w:rPr>
          <w:rFonts w:hint="default" w:ascii="Times New Roman" w:hAnsi="Times New Roman" w:eastAsia="仿宋_GB2312" w:cs="Times New Roman"/>
          <w:color w:val="auto"/>
          <w:sz w:val="32"/>
          <w:szCs w:val="32"/>
        </w:rPr>
        <w:t>（项）</w:t>
      </w:r>
      <w:r>
        <w:rPr>
          <w:rFonts w:hint="default" w:ascii="Times New Roman" w:hAnsi="Times New Roman" w:eastAsia="仿宋_GB2312" w:cs="Times New Roman"/>
          <w:color w:val="auto"/>
          <w:sz w:val="32"/>
          <w:szCs w:val="32"/>
          <w:lang w:val="en-US" w:eastAsia="zh-CN"/>
        </w:rPr>
        <w:t>05</w:t>
      </w:r>
      <w:r>
        <w:rPr>
          <w:rFonts w:hint="default" w:ascii="Times New Roman" w:hAnsi="Times New Roman" w:eastAsia="仿宋_GB2312" w:cs="Times New Roman"/>
          <w:color w:val="auto"/>
          <w:sz w:val="32"/>
          <w:szCs w:val="32"/>
        </w:rPr>
        <w:t>：指</w:t>
      </w:r>
      <w:r>
        <w:rPr>
          <w:rFonts w:hint="default" w:ascii="Times New Roman" w:hAnsi="Times New Roman" w:eastAsia="仿宋_GB2312" w:cs="Times New Roman"/>
          <w:color w:val="auto"/>
          <w:sz w:val="32"/>
          <w:szCs w:val="32"/>
          <w:lang w:eastAsia="zh-CN"/>
        </w:rPr>
        <w:t>体育竞赛</w:t>
      </w:r>
      <w:r>
        <w:rPr>
          <w:rFonts w:hint="default" w:ascii="Times New Roman" w:hAnsi="Times New Roman" w:eastAsia="仿宋_GB2312" w:cs="Times New Roman"/>
          <w:color w:val="auto"/>
          <w:sz w:val="32"/>
          <w:szCs w:val="32"/>
        </w:rPr>
        <w:t>。（类）207（款）</w:t>
      </w:r>
      <w:r>
        <w:rPr>
          <w:rFonts w:hint="default" w:ascii="Times New Roman" w:hAnsi="Times New Roman" w:eastAsia="仿宋_GB2312" w:cs="Times New Roman"/>
          <w:color w:val="auto"/>
          <w:sz w:val="32"/>
          <w:szCs w:val="32"/>
          <w:lang w:val="en-US" w:eastAsia="zh-CN"/>
        </w:rPr>
        <w:t>03</w:t>
      </w:r>
      <w:r>
        <w:rPr>
          <w:rFonts w:hint="default" w:ascii="Times New Roman" w:hAnsi="Times New Roman" w:eastAsia="仿宋_GB2312" w:cs="Times New Roman"/>
          <w:color w:val="auto"/>
          <w:sz w:val="32"/>
          <w:szCs w:val="32"/>
        </w:rPr>
        <w:t>（项）</w:t>
      </w:r>
      <w:r>
        <w:rPr>
          <w:rFonts w:hint="default" w:ascii="Times New Roman" w:hAnsi="Times New Roman" w:eastAsia="仿宋_GB2312" w:cs="Times New Roman"/>
          <w:color w:val="auto"/>
          <w:sz w:val="32"/>
          <w:szCs w:val="32"/>
          <w:lang w:val="en-US" w:eastAsia="zh-CN"/>
        </w:rPr>
        <w:t>07</w:t>
      </w:r>
      <w:r>
        <w:rPr>
          <w:rFonts w:hint="default" w:ascii="Times New Roman" w:hAnsi="Times New Roman" w:eastAsia="仿宋_GB2312" w:cs="Times New Roman"/>
          <w:color w:val="auto"/>
          <w:sz w:val="32"/>
          <w:szCs w:val="32"/>
        </w:rPr>
        <w:t>：指</w:t>
      </w:r>
      <w:r>
        <w:rPr>
          <w:rFonts w:hint="default" w:ascii="Times New Roman" w:hAnsi="Times New Roman" w:eastAsia="仿宋_GB2312" w:cs="Times New Roman"/>
          <w:color w:val="auto"/>
          <w:sz w:val="32"/>
          <w:szCs w:val="32"/>
          <w:lang w:eastAsia="zh-CN"/>
        </w:rPr>
        <w:t>体育场馆</w:t>
      </w:r>
      <w:r>
        <w:rPr>
          <w:rFonts w:hint="default" w:ascii="Times New Roman" w:hAnsi="Times New Roman" w:eastAsia="仿宋_GB2312" w:cs="Times New Roman"/>
          <w:color w:val="auto"/>
          <w:sz w:val="32"/>
          <w:szCs w:val="32"/>
        </w:rPr>
        <w:t>。</w:t>
      </w:r>
    </w:p>
    <w:p w14:paraId="35D65A6B">
      <w:pPr>
        <w:keepNext w:val="0"/>
        <w:keepLines w:val="0"/>
        <w:pageBreakBefore w:val="0"/>
        <w:widowControl/>
        <w:kinsoku/>
        <w:wordWrap/>
        <w:overflowPunct/>
        <w:topLinePunct w:val="0"/>
        <w:autoSpaceDE/>
        <w:autoSpaceDN/>
        <w:bidi w:val="0"/>
        <w:adjustRightInd/>
        <w:snapToGrid/>
        <w:spacing w:beforeAutospacing="0" w:afterAutospacing="0" w:line="578" w:lineRule="exact"/>
        <w:ind w:left="0"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val="en-US" w:eastAsia="zh-CN"/>
        </w:rPr>
        <w:t>10</w:t>
      </w:r>
      <w:r>
        <w:rPr>
          <w:rFonts w:hint="default" w:ascii="Times New Roman" w:hAnsi="Times New Roman" w:eastAsia="仿宋_GB2312" w:cs="Times New Roman"/>
          <w:color w:val="auto"/>
          <w:sz w:val="32"/>
          <w:szCs w:val="32"/>
        </w:rPr>
        <w:t>.社会保障和就业（类）208（款）05（项）05：指机关事业单位基本养老保险。（类）</w:t>
      </w:r>
      <w:r>
        <w:rPr>
          <w:rFonts w:hint="default" w:ascii="Times New Roman" w:hAnsi="Times New Roman" w:eastAsia="仿宋_GB2312" w:cs="Times New Roman"/>
          <w:color w:val="auto"/>
          <w:sz w:val="32"/>
          <w:szCs w:val="32"/>
          <w:lang w:val="en-US" w:eastAsia="zh-CN"/>
        </w:rPr>
        <w:t>208</w:t>
      </w:r>
      <w:r>
        <w:rPr>
          <w:rFonts w:hint="default" w:ascii="Times New Roman" w:hAnsi="Times New Roman" w:eastAsia="仿宋_GB2312" w:cs="Times New Roman"/>
          <w:color w:val="auto"/>
          <w:sz w:val="32"/>
          <w:szCs w:val="32"/>
        </w:rPr>
        <w:t>（款）</w:t>
      </w:r>
      <w:r>
        <w:rPr>
          <w:rFonts w:hint="default" w:ascii="Times New Roman" w:hAnsi="Times New Roman" w:eastAsia="仿宋_GB2312" w:cs="Times New Roman"/>
          <w:color w:val="auto"/>
          <w:sz w:val="32"/>
          <w:szCs w:val="32"/>
          <w:lang w:val="en-US" w:eastAsia="zh-CN"/>
        </w:rPr>
        <w:t>05</w:t>
      </w:r>
      <w:r>
        <w:rPr>
          <w:rFonts w:hint="default" w:ascii="Times New Roman" w:hAnsi="Times New Roman" w:eastAsia="仿宋_GB2312" w:cs="Times New Roman"/>
          <w:color w:val="auto"/>
          <w:sz w:val="32"/>
          <w:szCs w:val="32"/>
        </w:rPr>
        <w:t>（项）</w:t>
      </w:r>
      <w:r>
        <w:rPr>
          <w:rFonts w:hint="default" w:ascii="Times New Roman" w:hAnsi="Times New Roman" w:eastAsia="仿宋_GB2312" w:cs="Times New Roman"/>
          <w:color w:val="auto"/>
          <w:sz w:val="32"/>
          <w:szCs w:val="32"/>
          <w:lang w:val="en-US" w:eastAsia="zh-CN"/>
        </w:rPr>
        <w:t>06</w:t>
      </w:r>
      <w:r>
        <w:rPr>
          <w:rFonts w:hint="default" w:ascii="Times New Roman" w:hAnsi="Times New Roman" w:eastAsia="仿宋_GB2312" w:cs="Times New Roman"/>
          <w:color w:val="auto"/>
          <w:sz w:val="32"/>
          <w:szCs w:val="32"/>
        </w:rPr>
        <w:t>：指</w:t>
      </w:r>
      <w:r>
        <w:rPr>
          <w:rFonts w:hint="default" w:ascii="Times New Roman" w:hAnsi="Times New Roman" w:eastAsia="仿宋_GB2312" w:cs="Times New Roman"/>
          <w:color w:val="auto"/>
          <w:sz w:val="32"/>
          <w:szCs w:val="32"/>
          <w:lang w:eastAsia="zh-CN"/>
        </w:rPr>
        <w:t>机关事业单位职业年金缴费支出</w:t>
      </w:r>
      <w:r>
        <w:rPr>
          <w:rFonts w:hint="default" w:ascii="Times New Roman" w:hAnsi="Times New Roman" w:eastAsia="仿宋_GB2312" w:cs="Times New Roman"/>
          <w:color w:val="auto"/>
          <w:sz w:val="32"/>
          <w:szCs w:val="32"/>
        </w:rPr>
        <w:t xml:space="preserve">。 </w:t>
      </w:r>
    </w:p>
    <w:p w14:paraId="1D1A65F1">
      <w:pPr>
        <w:keepNext w:val="0"/>
        <w:keepLines w:val="0"/>
        <w:pageBreakBefore w:val="0"/>
        <w:widowControl/>
        <w:kinsoku/>
        <w:wordWrap/>
        <w:overflowPunct/>
        <w:topLinePunct w:val="0"/>
        <w:autoSpaceDE/>
        <w:autoSpaceDN/>
        <w:bidi w:val="0"/>
        <w:adjustRightInd/>
        <w:snapToGrid/>
        <w:spacing w:beforeAutospacing="0" w:afterAutospacing="0" w:line="578" w:lineRule="exact"/>
        <w:ind w:left="0"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val="en-US" w:eastAsia="zh-CN"/>
        </w:rPr>
        <w:t>11</w:t>
      </w:r>
      <w:r>
        <w:rPr>
          <w:rFonts w:hint="default" w:ascii="Times New Roman" w:hAnsi="Times New Roman" w:eastAsia="仿宋_GB2312" w:cs="Times New Roman"/>
          <w:color w:val="auto"/>
          <w:sz w:val="32"/>
          <w:szCs w:val="32"/>
        </w:rPr>
        <w:t>. 卫生健康支出（类）210（款）</w:t>
      </w:r>
      <w:r>
        <w:rPr>
          <w:rFonts w:hint="default" w:ascii="Times New Roman" w:hAnsi="Times New Roman" w:eastAsia="仿宋_GB2312" w:cs="Times New Roman"/>
          <w:color w:val="auto"/>
          <w:sz w:val="32"/>
          <w:szCs w:val="32"/>
          <w:lang w:val="en-US" w:eastAsia="zh-CN"/>
        </w:rPr>
        <w:t>11</w:t>
      </w:r>
      <w:r>
        <w:rPr>
          <w:rFonts w:hint="default" w:ascii="Times New Roman" w:hAnsi="Times New Roman" w:eastAsia="仿宋_GB2312" w:cs="Times New Roman"/>
          <w:color w:val="auto"/>
          <w:sz w:val="32"/>
          <w:szCs w:val="32"/>
        </w:rPr>
        <w:t>（项）</w:t>
      </w:r>
      <w:r>
        <w:rPr>
          <w:rFonts w:hint="default" w:ascii="Times New Roman" w:hAnsi="Times New Roman" w:eastAsia="仿宋_GB2312" w:cs="Times New Roman"/>
          <w:color w:val="auto"/>
          <w:sz w:val="32"/>
          <w:szCs w:val="32"/>
          <w:lang w:val="en-US" w:eastAsia="zh-CN"/>
        </w:rPr>
        <w:t>01</w:t>
      </w:r>
      <w:r>
        <w:rPr>
          <w:rFonts w:hint="default" w:ascii="Times New Roman" w:hAnsi="Times New Roman" w:eastAsia="仿宋_GB2312" w:cs="Times New Roman"/>
          <w:color w:val="auto"/>
          <w:sz w:val="32"/>
          <w:szCs w:val="32"/>
        </w:rPr>
        <w:t>：指</w:t>
      </w:r>
      <w:r>
        <w:rPr>
          <w:rFonts w:hint="default" w:ascii="Times New Roman" w:hAnsi="Times New Roman" w:eastAsia="仿宋_GB2312" w:cs="Times New Roman"/>
          <w:color w:val="auto"/>
          <w:sz w:val="32"/>
          <w:szCs w:val="32"/>
          <w:lang w:eastAsia="zh-CN"/>
        </w:rPr>
        <w:t>行政单位</w:t>
      </w:r>
      <w:r>
        <w:rPr>
          <w:rFonts w:hint="default" w:ascii="Times New Roman" w:hAnsi="Times New Roman" w:eastAsia="仿宋_GB2312" w:cs="Times New Roman"/>
          <w:color w:val="auto"/>
          <w:sz w:val="32"/>
          <w:szCs w:val="32"/>
        </w:rPr>
        <w:t>医疗。 （类）</w:t>
      </w:r>
      <w:r>
        <w:rPr>
          <w:rFonts w:hint="default" w:ascii="Times New Roman" w:hAnsi="Times New Roman" w:eastAsia="仿宋_GB2312" w:cs="Times New Roman"/>
          <w:color w:val="auto"/>
          <w:sz w:val="32"/>
          <w:szCs w:val="32"/>
          <w:lang w:val="en-US" w:eastAsia="zh-CN"/>
        </w:rPr>
        <w:t>210</w:t>
      </w:r>
      <w:r>
        <w:rPr>
          <w:rFonts w:hint="default" w:ascii="Times New Roman" w:hAnsi="Times New Roman" w:eastAsia="仿宋_GB2312" w:cs="Times New Roman"/>
          <w:color w:val="auto"/>
          <w:sz w:val="32"/>
          <w:szCs w:val="32"/>
        </w:rPr>
        <w:t>（款）</w:t>
      </w:r>
      <w:r>
        <w:rPr>
          <w:rFonts w:hint="default" w:ascii="Times New Roman" w:hAnsi="Times New Roman" w:eastAsia="仿宋_GB2312" w:cs="Times New Roman"/>
          <w:color w:val="auto"/>
          <w:sz w:val="32"/>
          <w:szCs w:val="32"/>
          <w:lang w:val="en-US" w:eastAsia="zh-CN"/>
        </w:rPr>
        <w:t>11</w:t>
      </w:r>
      <w:r>
        <w:rPr>
          <w:rFonts w:hint="default" w:ascii="Times New Roman" w:hAnsi="Times New Roman" w:eastAsia="仿宋_GB2312" w:cs="Times New Roman"/>
          <w:color w:val="auto"/>
          <w:sz w:val="32"/>
          <w:szCs w:val="32"/>
        </w:rPr>
        <w:t>（项）03：</w:t>
      </w:r>
      <w:r>
        <w:rPr>
          <w:rFonts w:hint="default" w:ascii="Times New Roman" w:hAnsi="Times New Roman" w:eastAsia="仿宋_GB2312" w:cs="Times New Roman"/>
          <w:color w:val="auto"/>
          <w:sz w:val="32"/>
          <w:szCs w:val="32"/>
          <w:lang w:eastAsia="zh-CN"/>
        </w:rPr>
        <w:t>公务员医疗补助</w:t>
      </w:r>
      <w:r>
        <w:rPr>
          <w:rFonts w:hint="default" w:ascii="Times New Roman" w:hAnsi="Times New Roman" w:eastAsia="仿宋_GB2312" w:cs="Times New Roman"/>
          <w:color w:val="auto"/>
          <w:sz w:val="32"/>
          <w:szCs w:val="32"/>
        </w:rPr>
        <w:t xml:space="preserve">。 </w:t>
      </w:r>
    </w:p>
    <w:p w14:paraId="505C17AC">
      <w:pPr>
        <w:keepNext w:val="0"/>
        <w:keepLines w:val="0"/>
        <w:pageBreakBefore w:val="0"/>
        <w:widowControl/>
        <w:kinsoku/>
        <w:wordWrap/>
        <w:overflowPunct/>
        <w:topLinePunct w:val="0"/>
        <w:autoSpaceDE/>
        <w:autoSpaceDN/>
        <w:bidi w:val="0"/>
        <w:adjustRightInd/>
        <w:snapToGrid/>
        <w:spacing w:beforeAutospacing="0" w:afterAutospacing="0" w:line="578" w:lineRule="exact"/>
        <w:ind w:left="0"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val="en-US" w:eastAsia="zh-CN"/>
        </w:rPr>
        <w:t>12</w:t>
      </w:r>
      <w:r>
        <w:rPr>
          <w:rFonts w:hint="default" w:ascii="Times New Roman" w:hAnsi="Times New Roman" w:eastAsia="仿宋_GB2312" w:cs="Times New Roman"/>
          <w:color w:val="auto"/>
          <w:sz w:val="32"/>
          <w:szCs w:val="32"/>
        </w:rPr>
        <w:t>.其他支出（类）229（款）60（项）03：指用于体育事业的彩票公益金支出。 （类）229（款）</w:t>
      </w:r>
      <w:r>
        <w:rPr>
          <w:rFonts w:hint="default" w:ascii="Times New Roman" w:hAnsi="Times New Roman" w:eastAsia="仿宋_GB2312" w:cs="Times New Roman"/>
          <w:color w:val="auto"/>
          <w:sz w:val="32"/>
          <w:szCs w:val="32"/>
          <w:lang w:val="en-US" w:eastAsia="zh-CN"/>
        </w:rPr>
        <w:t>04</w:t>
      </w:r>
      <w:r>
        <w:rPr>
          <w:rFonts w:hint="default" w:ascii="Times New Roman" w:hAnsi="Times New Roman" w:eastAsia="仿宋_GB2312" w:cs="Times New Roman"/>
          <w:color w:val="auto"/>
          <w:sz w:val="32"/>
          <w:szCs w:val="32"/>
        </w:rPr>
        <w:t>（项）</w:t>
      </w:r>
      <w:r>
        <w:rPr>
          <w:rFonts w:hint="default" w:ascii="Times New Roman" w:hAnsi="Times New Roman" w:eastAsia="仿宋_GB2312" w:cs="Times New Roman"/>
          <w:color w:val="auto"/>
          <w:sz w:val="32"/>
          <w:szCs w:val="32"/>
          <w:lang w:val="en-US" w:eastAsia="zh-CN"/>
        </w:rPr>
        <w:t>01</w:t>
      </w:r>
      <w:r>
        <w:rPr>
          <w:rFonts w:hint="default" w:ascii="Times New Roman" w:hAnsi="Times New Roman" w:eastAsia="仿宋_GB2312" w:cs="Times New Roman"/>
          <w:color w:val="auto"/>
          <w:sz w:val="32"/>
          <w:szCs w:val="32"/>
        </w:rPr>
        <w:t>：指</w:t>
      </w:r>
      <w:r>
        <w:rPr>
          <w:rFonts w:hint="default" w:ascii="Times New Roman" w:hAnsi="Times New Roman" w:eastAsia="仿宋_GB2312" w:cs="Times New Roman"/>
          <w:color w:val="auto"/>
          <w:sz w:val="32"/>
          <w:szCs w:val="32"/>
          <w:lang w:eastAsia="zh-CN"/>
        </w:rPr>
        <w:t>其他政府性基金安排的支出</w:t>
      </w:r>
      <w:r>
        <w:rPr>
          <w:rFonts w:hint="default" w:ascii="Times New Roman" w:hAnsi="Times New Roman" w:eastAsia="仿宋_GB2312" w:cs="Times New Roman"/>
          <w:color w:val="auto"/>
          <w:sz w:val="32"/>
          <w:szCs w:val="32"/>
        </w:rPr>
        <w:t xml:space="preserve">。 </w:t>
      </w:r>
    </w:p>
    <w:p w14:paraId="7A5F71F2">
      <w:pPr>
        <w:keepNext w:val="0"/>
        <w:keepLines w:val="0"/>
        <w:pageBreakBefore w:val="0"/>
        <w:widowControl/>
        <w:kinsoku/>
        <w:wordWrap/>
        <w:overflowPunct/>
        <w:topLinePunct w:val="0"/>
        <w:autoSpaceDE/>
        <w:autoSpaceDN/>
        <w:bidi w:val="0"/>
        <w:adjustRightInd/>
        <w:snapToGrid/>
        <w:spacing w:beforeAutospacing="0" w:afterAutospacing="0" w:line="578" w:lineRule="exact"/>
        <w:ind w:left="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13</w:t>
      </w:r>
      <w:r>
        <w:rPr>
          <w:rFonts w:hint="default" w:ascii="Times New Roman" w:hAnsi="Times New Roman" w:eastAsia="仿宋_GB2312" w:cs="Times New Roman"/>
          <w:color w:val="auto"/>
          <w:sz w:val="32"/>
          <w:szCs w:val="32"/>
        </w:rPr>
        <w:t xml:space="preserve">.住房保障（类）221（款）02（项）01：指住房公积金。 </w:t>
      </w:r>
    </w:p>
    <w:p w14:paraId="1A3BD4A5">
      <w:pPr>
        <w:keepNext w:val="0"/>
        <w:keepLines w:val="0"/>
        <w:pageBreakBefore w:val="0"/>
        <w:widowControl/>
        <w:kinsoku/>
        <w:wordWrap/>
        <w:overflowPunct/>
        <w:topLinePunct w:val="0"/>
        <w:autoSpaceDE/>
        <w:autoSpaceDN/>
        <w:bidi w:val="0"/>
        <w:adjustRightInd/>
        <w:snapToGrid/>
        <w:spacing w:beforeAutospacing="0" w:afterAutospacing="0" w:line="578" w:lineRule="exact"/>
        <w:ind w:left="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14.农林水</w:t>
      </w:r>
      <w:r>
        <w:rPr>
          <w:rFonts w:hint="default" w:ascii="Times New Roman" w:hAnsi="Times New Roman" w:eastAsia="仿宋_GB2312" w:cs="Times New Roman"/>
          <w:color w:val="auto"/>
          <w:sz w:val="32"/>
          <w:szCs w:val="32"/>
        </w:rPr>
        <w:t>（类）</w:t>
      </w:r>
      <w:r>
        <w:rPr>
          <w:rFonts w:hint="default" w:ascii="Times New Roman" w:hAnsi="Times New Roman" w:eastAsia="仿宋_GB2312" w:cs="Times New Roman"/>
          <w:color w:val="auto"/>
          <w:sz w:val="32"/>
          <w:szCs w:val="32"/>
          <w:lang w:val="en-US" w:eastAsia="zh-CN"/>
        </w:rPr>
        <w:t>213</w:t>
      </w:r>
      <w:r>
        <w:rPr>
          <w:rFonts w:hint="default" w:ascii="Times New Roman" w:hAnsi="Times New Roman" w:eastAsia="仿宋_GB2312" w:cs="Times New Roman"/>
          <w:color w:val="auto"/>
          <w:sz w:val="32"/>
          <w:szCs w:val="32"/>
        </w:rPr>
        <w:t>（款）</w:t>
      </w:r>
      <w:r>
        <w:rPr>
          <w:rFonts w:hint="default" w:ascii="Times New Roman" w:hAnsi="Times New Roman" w:eastAsia="仿宋_GB2312" w:cs="Times New Roman"/>
          <w:color w:val="auto"/>
          <w:sz w:val="32"/>
          <w:szCs w:val="32"/>
          <w:lang w:val="en-US" w:eastAsia="zh-CN"/>
        </w:rPr>
        <w:t>05</w:t>
      </w:r>
      <w:r>
        <w:rPr>
          <w:rFonts w:hint="default" w:ascii="Times New Roman" w:hAnsi="Times New Roman" w:eastAsia="仿宋_GB2312" w:cs="Times New Roman"/>
          <w:color w:val="auto"/>
          <w:sz w:val="32"/>
          <w:szCs w:val="32"/>
        </w:rPr>
        <w:t>（项）</w:t>
      </w:r>
      <w:r>
        <w:rPr>
          <w:rFonts w:hint="default" w:ascii="Times New Roman" w:hAnsi="Times New Roman" w:eastAsia="仿宋_GB2312" w:cs="Times New Roman"/>
          <w:color w:val="auto"/>
          <w:sz w:val="32"/>
          <w:szCs w:val="32"/>
          <w:lang w:val="en-US" w:eastAsia="zh-CN"/>
        </w:rPr>
        <w:t>99</w:t>
      </w:r>
      <w:r>
        <w:rPr>
          <w:rFonts w:hint="default" w:ascii="Times New Roman" w:hAnsi="Times New Roman" w:eastAsia="仿宋_GB2312" w:cs="Times New Roman"/>
          <w:color w:val="auto"/>
          <w:sz w:val="32"/>
          <w:szCs w:val="32"/>
        </w:rPr>
        <w:t>：指</w:t>
      </w:r>
      <w:r>
        <w:rPr>
          <w:rFonts w:hint="default" w:ascii="Times New Roman" w:hAnsi="Times New Roman" w:eastAsia="仿宋_GB2312" w:cs="Times New Roman"/>
          <w:color w:val="auto"/>
          <w:sz w:val="32"/>
          <w:szCs w:val="32"/>
          <w:lang w:eastAsia="zh-CN"/>
        </w:rPr>
        <w:t>其他扶贫支出</w:t>
      </w:r>
      <w:r>
        <w:rPr>
          <w:rFonts w:hint="default" w:ascii="Times New Roman" w:hAnsi="Times New Roman" w:eastAsia="仿宋_GB2312" w:cs="Times New Roman"/>
          <w:color w:val="auto"/>
          <w:sz w:val="32"/>
          <w:szCs w:val="32"/>
        </w:rPr>
        <w:t xml:space="preserve">。 </w:t>
      </w:r>
    </w:p>
    <w:p w14:paraId="6714C9AA">
      <w:pPr>
        <w:pageBreakBefore w:val="0"/>
        <w:kinsoku/>
        <w:wordWrap/>
        <w:overflowPunct/>
        <w:topLinePunct w:val="0"/>
        <w:bidi w:val="0"/>
        <w:spacing w:line="578"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spacing w:val="0"/>
          <w:w w:val="96"/>
          <w:kern w:val="0"/>
          <w:sz w:val="32"/>
          <w:szCs w:val="32"/>
          <w:highlight w:val="none"/>
          <w:fitText w:val="8640" w:id="1464408777"/>
          <w:lang w:val="en-US" w:eastAsia="zh-CN" w:bidi="ar-SA"/>
        </w:rPr>
        <w:t>（注：解释本部门决算报表中涉及的全部功能分类科目至项级）</w:t>
      </w:r>
    </w:p>
    <w:p w14:paraId="2AEEC115">
      <w:pPr>
        <w:pageBreakBefore w:val="0"/>
        <w:kinsoku/>
        <w:wordWrap/>
        <w:overflowPunct/>
        <w:topLinePunct w:val="0"/>
        <w:bidi w:val="0"/>
        <w:spacing w:line="578"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15.基本支出：指为保障机构正常运转、完成日常工作任务而发生的人员支出和公用支出。</w:t>
      </w:r>
    </w:p>
    <w:p w14:paraId="22ABD427">
      <w:pPr>
        <w:pageBreakBefore w:val="0"/>
        <w:kinsoku/>
        <w:wordWrap/>
        <w:overflowPunct/>
        <w:topLinePunct w:val="0"/>
        <w:bidi w:val="0"/>
        <w:spacing w:line="578"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 xml:space="preserve">16.项目支出：指在基本支出之外为完成特定行政任务和事业发展目标所发生的支出。 </w:t>
      </w:r>
    </w:p>
    <w:p w14:paraId="2F3F44E1">
      <w:pPr>
        <w:pageBreakBefore w:val="0"/>
        <w:kinsoku/>
        <w:wordWrap/>
        <w:overflowPunct/>
        <w:topLinePunct w:val="0"/>
        <w:bidi w:val="0"/>
        <w:spacing w:line="578"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17.经营支出：指事业单位在专业业务活动及其辅助活动之外开展非独立核算经营活动发生的支出。</w:t>
      </w:r>
    </w:p>
    <w:p w14:paraId="5A753B2D">
      <w:pPr>
        <w:pageBreakBefore w:val="0"/>
        <w:kinsoku/>
        <w:wordWrap/>
        <w:overflowPunct/>
        <w:topLinePunct w:val="0"/>
        <w:bidi w:val="0"/>
        <w:spacing w:line="578"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18.“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5A78479">
      <w:pPr>
        <w:pageBreakBefore w:val="0"/>
        <w:kinsoku/>
        <w:wordWrap/>
        <w:overflowPunct/>
        <w:topLinePunct w:val="0"/>
        <w:bidi w:val="0"/>
        <w:spacing w:line="578"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19.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33EF29C">
      <w:pPr>
        <w:pageBreakBefore w:val="0"/>
        <w:kinsoku/>
        <w:wordWrap/>
        <w:overflowPunct/>
        <w:topLinePunct w:val="0"/>
        <w:bidi w:val="0"/>
        <w:spacing w:line="578" w:lineRule="exact"/>
        <w:ind w:firstLine="640"/>
        <w:textAlignment w:val="auto"/>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（注：名词解释部分根据各部门实际列支情况罗列，并根据本部门职责职能增减名词解释内容）</w:t>
      </w:r>
    </w:p>
    <w:p w14:paraId="6374065D">
      <w:pPr>
        <w:pageBreakBefore w:val="0"/>
        <w:kinsoku/>
        <w:wordWrap/>
        <w:overflowPunct/>
        <w:topLinePunct w:val="0"/>
        <w:bidi w:val="0"/>
        <w:spacing w:line="578" w:lineRule="exact"/>
        <w:jc w:val="center"/>
        <w:textAlignment w:val="auto"/>
        <w:rPr>
          <w:rStyle w:val="33"/>
          <w:rFonts w:hint="default" w:ascii="Times New Roman" w:hAnsi="Times New Roman" w:eastAsia="黑体" w:cs="Times New Roman"/>
          <w:b w:val="0"/>
          <w:color w:val="auto"/>
          <w:highlight w:val="none"/>
          <w:lang w:eastAsia="zh-CN"/>
        </w:rPr>
      </w:pPr>
      <w:bookmarkStart w:id="83" w:name="_Toc15377226"/>
      <w:r>
        <w:rPr>
          <w:rFonts w:hint="default" w:ascii="Times New Roman" w:hAnsi="Times New Roman" w:eastAsia="仿宋_GB2312" w:cs="Times New Roman"/>
          <w:color w:val="auto"/>
          <w:kern w:val="2"/>
          <w:sz w:val="32"/>
          <w:szCs w:val="32"/>
          <w:highlight w:val="none"/>
          <w:lang w:val="en-US" w:eastAsia="zh-CN" w:bidi="ar-SA"/>
        </w:rPr>
        <w:br w:type="page"/>
      </w:r>
      <w:bookmarkStart w:id="84" w:name="_Toc4725_WPSOffice_Level1"/>
      <w:bookmarkStart w:id="85" w:name="_Toc15396614"/>
      <w:r>
        <w:rPr>
          <w:rFonts w:hint="default" w:ascii="Times New Roman" w:hAnsi="Times New Roman" w:eastAsia="黑体" w:cs="Times New Roman"/>
          <w:color w:val="auto"/>
          <w:sz w:val="44"/>
          <w:szCs w:val="44"/>
          <w:highlight w:val="none"/>
        </w:rPr>
        <w:t>第四部分</w:t>
      </w:r>
      <w:r>
        <w:rPr>
          <w:rFonts w:hint="default" w:ascii="Times New Roman" w:hAnsi="Times New Roman" w:eastAsia="黑体" w:cs="Times New Roman"/>
          <w:color w:val="auto"/>
          <w:sz w:val="44"/>
          <w:szCs w:val="44"/>
          <w:highlight w:val="none"/>
          <w:lang w:val="en-US" w:eastAsia="zh-CN"/>
        </w:rPr>
        <w:t xml:space="preserve"> </w:t>
      </w:r>
      <w:r>
        <w:rPr>
          <w:rFonts w:hint="default" w:ascii="Times New Roman" w:hAnsi="Times New Roman" w:eastAsia="黑体" w:cs="Times New Roman"/>
          <w:color w:val="auto"/>
          <w:sz w:val="44"/>
          <w:szCs w:val="44"/>
          <w:highlight w:val="none"/>
        </w:rPr>
        <w:t xml:space="preserve"> 附件</w:t>
      </w:r>
      <w:bookmarkEnd w:id="84"/>
      <w:bookmarkEnd w:id="85"/>
    </w:p>
    <w:p w14:paraId="5700A86E">
      <w:pPr>
        <w:keepNext w:val="0"/>
        <w:keepLines w:val="0"/>
        <w:pageBreakBefore w:val="0"/>
        <w:kinsoku/>
        <w:wordWrap/>
        <w:overflowPunct/>
        <w:topLinePunct w:val="0"/>
        <w:autoSpaceDE/>
        <w:autoSpaceDN/>
        <w:bidi w:val="0"/>
        <w:spacing w:line="578" w:lineRule="exact"/>
        <w:jc w:val="center"/>
        <w:textAlignment w:val="auto"/>
        <w:outlineLvl w:val="0"/>
        <w:rPr>
          <w:rFonts w:hint="default" w:ascii="Times New Roman" w:hAnsi="Times New Roman" w:eastAsia="宋体" w:cs="Times New Roman"/>
          <w:b/>
          <w:bCs/>
          <w:kern w:val="44"/>
          <w:sz w:val="44"/>
          <w:szCs w:val="44"/>
          <w:lang w:val="en-US" w:eastAsia="zh-CN" w:bidi="ar-SA"/>
        </w:rPr>
      </w:pPr>
    </w:p>
    <w:p w14:paraId="6C1E5CA8">
      <w:pPr>
        <w:keepNext w:val="0"/>
        <w:keepLines w:val="0"/>
        <w:pageBreakBefore w:val="0"/>
        <w:kinsoku/>
        <w:wordWrap/>
        <w:overflowPunct/>
        <w:topLinePunct w:val="0"/>
        <w:autoSpaceDE/>
        <w:autoSpaceDN/>
        <w:bidi w:val="0"/>
        <w:spacing w:line="578" w:lineRule="exact"/>
        <w:jc w:val="center"/>
        <w:textAlignment w:val="auto"/>
        <w:outlineLvl w:val="0"/>
        <w:rPr>
          <w:rFonts w:hint="default" w:ascii="Times New Roman" w:hAnsi="Times New Roman" w:eastAsia="宋体" w:cs="Times New Roman"/>
          <w:b/>
          <w:bCs/>
          <w:kern w:val="44"/>
          <w:sz w:val="44"/>
          <w:szCs w:val="44"/>
          <w:lang w:val="en-US" w:eastAsia="zh-CN" w:bidi="ar-SA"/>
        </w:rPr>
      </w:pPr>
      <w:r>
        <w:rPr>
          <w:rFonts w:hint="default" w:ascii="Times New Roman" w:hAnsi="Times New Roman" w:eastAsia="宋体" w:cs="Times New Roman"/>
          <w:b/>
          <w:bCs/>
          <w:kern w:val="44"/>
          <w:sz w:val="44"/>
          <w:szCs w:val="44"/>
          <w:lang w:val="en-US" w:eastAsia="zh-CN" w:bidi="ar-SA"/>
        </w:rPr>
        <w:t>部门预算绩效评价报告</w:t>
      </w:r>
    </w:p>
    <w:p w14:paraId="174C30B2">
      <w:pPr>
        <w:pageBreakBefore w:val="0"/>
        <w:numPr>
          <w:ilvl w:val="0"/>
          <w:numId w:val="0"/>
        </w:numPr>
        <w:kinsoku/>
        <w:wordWrap/>
        <w:overflowPunct/>
        <w:topLinePunct w:val="0"/>
        <w:bidi w:val="0"/>
        <w:spacing w:line="578" w:lineRule="exact"/>
        <w:ind w:left="630" w:leftChars="0"/>
        <w:textAlignment w:val="auto"/>
        <w:outlineLvl w:val="1"/>
        <w:rPr>
          <w:rStyle w:val="34"/>
          <w:rFonts w:hint="default" w:ascii="Times New Roman" w:hAnsi="Times New Roman" w:eastAsia="黑体" w:cs="Times New Roman"/>
          <w:b w:val="0"/>
          <w:color w:val="auto"/>
          <w:highlight w:val="none"/>
          <w:lang w:eastAsia="zh-CN"/>
        </w:rPr>
      </w:pPr>
      <w:bookmarkStart w:id="86" w:name="_Toc15396618"/>
    </w:p>
    <w:p w14:paraId="1650A992">
      <w:pPr>
        <w:pageBreakBefore w:val="0"/>
        <w:numPr>
          <w:ilvl w:val="0"/>
          <w:numId w:val="0"/>
        </w:numPr>
        <w:kinsoku/>
        <w:wordWrap/>
        <w:overflowPunct/>
        <w:topLinePunct w:val="0"/>
        <w:bidi w:val="0"/>
        <w:spacing w:line="578" w:lineRule="exact"/>
        <w:ind w:left="630" w:leftChars="0"/>
        <w:textAlignment w:val="auto"/>
        <w:outlineLvl w:val="1"/>
        <w:rPr>
          <w:rStyle w:val="34"/>
          <w:rFonts w:hint="default" w:ascii="Times New Roman" w:hAnsi="Times New Roman" w:eastAsia="黑体" w:cs="Times New Roman"/>
          <w:b w:val="0"/>
          <w:color w:val="auto"/>
          <w:highlight w:val="none"/>
          <w:lang w:eastAsia="zh-CN"/>
        </w:rPr>
      </w:pPr>
      <w:r>
        <w:rPr>
          <w:rStyle w:val="34"/>
          <w:rFonts w:hint="default" w:ascii="Times New Roman" w:hAnsi="Times New Roman" w:eastAsia="黑体" w:cs="Times New Roman"/>
          <w:b w:val="0"/>
          <w:color w:val="auto"/>
          <w:highlight w:val="none"/>
          <w:lang w:eastAsia="zh-CN"/>
        </w:rPr>
        <w:t>一、部门（单位）基本情况</w:t>
      </w:r>
    </w:p>
    <w:p w14:paraId="752F77B0">
      <w:pPr>
        <w:keepNext w:val="0"/>
        <w:keepLines w:val="0"/>
        <w:pageBreakBefore w:val="0"/>
        <w:numPr>
          <w:ilvl w:val="0"/>
          <w:numId w:val="0"/>
        </w:numPr>
        <w:kinsoku/>
        <w:wordWrap/>
        <w:overflowPunct/>
        <w:topLinePunct w:val="0"/>
        <w:autoSpaceDE/>
        <w:autoSpaceDN/>
        <w:bidi w:val="0"/>
        <w:snapToGrid/>
        <w:spacing w:line="578" w:lineRule="exact"/>
        <w:ind w:left="0" w:leftChars="0" w:firstLine="643"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楷体_GB2312" w:cs="Times New Roman"/>
          <w:b/>
          <w:bCs/>
          <w:sz w:val="32"/>
          <w:szCs w:val="32"/>
          <w:lang w:val="en-US" w:eastAsia="zh-CN"/>
        </w:rPr>
        <w:t>（一）机构组成</w:t>
      </w:r>
      <w:r>
        <w:rPr>
          <w:rFonts w:hint="eastAsia" w:ascii="Times New Roman" w:hAnsi="Times New Roman" w:eastAsia="楷体_GB2312" w:cs="Times New Roman"/>
          <w:b/>
          <w:bCs/>
          <w:sz w:val="32"/>
          <w:szCs w:val="32"/>
          <w:lang w:val="en-US" w:eastAsia="zh-CN"/>
        </w:rPr>
        <w:t>。</w:t>
      </w:r>
      <w:r>
        <w:rPr>
          <w:rFonts w:hint="eastAsia" w:eastAsia="仿宋_GB2312" w:cs="Times New Roman"/>
          <w:color w:val="auto"/>
          <w:kern w:val="2"/>
          <w:sz w:val="32"/>
          <w:szCs w:val="32"/>
          <w:highlight w:val="none"/>
          <w:lang w:val="en-US" w:eastAsia="zh-CN" w:bidi="ar-SA"/>
        </w:rPr>
        <w:t>松潘县文化广播电视体育和旅游局</w:t>
      </w:r>
      <w:r>
        <w:rPr>
          <w:rFonts w:hint="default" w:ascii="Times New Roman" w:hAnsi="Times New Roman" w:eastAsia="仿宋_GB2312" w:cs="Times New Roman"/>
          <w:color w:val="auto"/>
          <w:kern w:val="2"/>
          <w:sz w:val="32"/>
          <w:szCs w:val="32"/>
          <w:highlight w:val="none"/>
          <w:lang w:val="en-US" w:eastAsia="zh-CN" w:bidi="ar-SA"/>
        </w:rPr>
        <w:t>为县级主管文化、体育、旅游、文物、广播电视工作的行政主管部门，本次部门决算及绩效评价范围包含局机关本级及全部二级预算单位。</w:t>
      </w:r>
    </w:p>
    <w:p w14:paraId="325802F2">
      <w:pPr>
        <w:keepNext w:val="0"/>
        <w:keepLines w:val="0"/>
        <w:pageBreakBefore w:val="0"/>
        <w:numPr>
          <w:ilvl w:val="0"/>
          <w:numId w:val="0"/>
        </w:numPr>
        <w:kinsoku/>
        <w:wordWrap/>
        <w:overflowPunct/>
        <w:topLinePunct w:val="0"/>
        <w:autoSpaceDE/>
        <w:autoSpaceDN/>
        <w:bidi w:val="0"/>
        <w:snapToGrid/>
        <w:spacing w:line="578" w:lineRule="exact"/>
        <w:ind w:left="0" w:leftChars="0" w:firstLine="643"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楷体_GB2312" w:cs="Times New Roman"/>
          <w:b/>
          <w:bCs/>
          <w:sz w:val="32"/>
          <w:szCs w:val="32"/>
          <w:lang w:val="en-US" w:eastAsia="zh-CN"/>
        </w:rPr>
        <w:t>（二）机构职能</w:t>
      </w:r>
      <w:r>
        <w:rPr>
          <w:rFonts w:hint="eastAsia" w:ascii="Times New Roman" w:hAnsi="Times New Roman" w:eastAsia="楷体_GB2312" w:cs="Times New Roman"/>
          <w:b/>
          <w:bCs/>
          <w:sz w:val="32"/>
          <w:szCs w:val="32"/>
          <w:lang w:val="en-US" w:eastAsia="zh-CN"/>
        </w:rPr>
        <w:t>。</w:t>
      </w:r>
      <w:r>
        <w:rPr>
          <w:rFonts w:hint="eastAsia" w:eastAsia="仿宋_GB2312" w:cs="Times New Roman"/>
          <w:color w:val="auto"/>
          <w:kern w:val="2"/>
          <w:sz w:val="32"/>
          <w:szCs w:val="32"/>
          <w:highlight w:val="none"/>
          <w:lang w:val="en-US" w:eastAsia="zh-CN" w:bidi="ar-SA"/>
        </w:rPr>
        <w:t>松潘县文化广播电视体育和旅游局</w:t>
      </w:r>
      <w:r>
        <w:rPr>
          <w:rFonts w:hint="default" w:ascii="Times New Roman" w:hAnsi="Times New Roman" w:eastAsia="仿宋_GB2312" w:cs="Times New Roman"/>
          <w:color w:val="auto"/>
          <w:kern w:val="2"/>
          <w:sz w:val="32"/>
          <w:szCs w:val="32"/>
          <w:highlight w:val="none"/>
          <w:lang w:val="en-US" w:eastAsia="zh-CN" w:bidi="ar-SA"/>
        </w:rPr>
        <w:t>主要负责统筹全县文化事业、体育事业、文旅产业、文物保护、广播电视行业发展和监督管理工作。核心职能包括：贯彻执行国家、省、州关于文化、体育、旅游、文物、广播电视领域的法律法规和方针政策，拟订全县行业发展规划、年度工作计划并组织实施；统筹推进公共文化服务体系、体育公共服务体系建设，开展群众文化、全民健身、图书阅览、文艺展演等公益服务；负责全县文物保护、修缮、巡查及红色文化场馆管理、陈列展览、宣教讲解工作；统筹文旅资源普查、开发利用、品牌打造和市场监管，推动文旅产业融合发展；规范广播电视行业秩序，保障基层广电服务落地落实；承担上级交办的其他文化、体育、旅游、文物相关工作任务。各下属事业单位根据职能分工，具体承接公共文化服务、文物保护、红色场馆运营、图书服务、文旅配套保障等专项工作。</w:t>
      </w:r>
    </w:p>
    <w:p w14:paraId="60F948D0">
      <w:pPr>
        <w:keepNext w:val="0"/>
        <w:keepLines w:val="0"/>
        <w:pageBreakBefore w:val="0"/>
        <w:numPr>
          <w:ilvl w:val="0"/>
          <w:numId w:val="0"/>
        </w:numPr>
        <w:kinsoku/>
        <w:wordWrap/>
        <w:overflowPunct/>
        <w:topLinePunct w:val="0"/>
        <w:autoSpaceDE/>
        <w:autoSpaceDN/>
        <w:bidi w:val="0"/>
        <w:snapToGrid/>
        <w:spacing w:line="578" w:lineRule="exact"/>
        <w:ind w:left="0" w:leftChars="0" w:firstLine="643"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楷体_GB2312" w:cs="Times New Roman"/>
          <w:b/>
          <w:bCs/>
          <w:sz w:val="32"/>
          <w:szCs w:val="32"/>
          <w:lang w:val="en-US" w:eastAsia="zh-CN"/>
        </w:rPr>
        <w:t>（三）人员概况</w:t>
      </w:r>
      <w:r>
        <w:rPr>
          <w:rFonts w:hint="eastAsia" w:ascii="Times New Roman" w:hAnsi="Times New Roman" w:eastAsia="楷体_GB2312" w:cs="Times New Roman"/>
          <w:b/>
          <w:bCs/>
          <w:sz w:val="32"/>
          <w:szCs w:val="32"/>
          <w:lang w:val="en-US" w:eastAsia="zh-CN"/>
        </w:rPr>
        <w:t>。</w:t>
      </w:r>
      <w:r>
        <w:rPr>
          <w:rFonts w:hint="default" w:ascii="Times New Roman" w:hAnsi="Times New Roman" w:eastAsia="仿宋_GB2312" w:cs="Times New Roman"/>
          <w:color w:val="auto"/>
          <w:kern w:val="2"/>
          <w:sz w:val="32"/>
          <w:szCs w:val="32"/>
          <w:highlight w:val="none"/>
          <w:lang w:val="en-US" w:eastAsia="zh-CN" w:bidi="ar-SA"/>
        </w:rPr>
        <w:t>截至2025年末，</w:t>
      </w:r>
      <w:r>
        <w:rPr>
          <w:rFonts w:hint="eastAsia" w:eastAsia="仿宋_GB2312" w:cs="Times New Roman"/>
          <w:color w:val="auto"/>
          <w:kern w:val="2"/>
          <w:sz w:val="32"/>
          <w:szCs w:val="32"/>
          <w:highlight w:val="none"/>
          <w:lang w:val="en-US" w:eastAsia="zh-CN" w:bidi="ar-SA"/>
        </w:rPr>
        <w:t>松潘县文化广播电视体育和旅游局</w:t>
      </w:r>
      <w:r>
        <w:rPr>
          <w:rFonts w:hint="default" w:ascii="Times New Roman" w:hAnsi="Times New Roman" w:eastAsia="仿宋_GB2312" w:cs="Times New Roman"/>
          <w:color w:val="auto"/>
          <w:kern w:val="2"/>
          <w:sz w:val="32"/>
          <w:szCs w:val="32"/>
          <w:highlight w:val="none"/>
          <w:lang w:val="en-US" w:eastAsia="zh-CN" w:bidi="ar-SA"/>
        </w:rPr>
        <w:t>机关及下属所有事业单位编制、实有人数9人，严格按照机构编制部门核定标准配置，人员队伍稳定，整体人员配置适配年度公共文化服务、文旅项目实施、文物保护、场馆运营等履职工作需求，保障各项业务工作常态化、规范化开展。</w:t>
      </w:r>
    </w:p>
    <w:p w14:paraId="7B31D5E6">
      <w:pPr>
        <w:pageBreakBefore w:val="0"/>
        <w:numPr>
          <w:ilvl w:val="0"/>
          <w:numId w:val="0"/>
        </w:numPr>
        <w:kinsoku/>
        <w:wordWrap/>
        <w:overflowPunct/>
        <w:topLinePunct w:val="0"/>
        <w:bidi w:val="0"/>
        <w:spacing w:line="578" w:lineRule="exact"/>
        <w:ind w:left="630" w:leftChars="0"/>
        <w:textAlignment w:val="auto"/>
        <w:outlineLvl w:val="1"/>
        <w:rPr>
          <w:rStyle w:val="34"/>
          <w:rFonts w:hint="default" w:ascii="Times New Roman" w:hAnsi="Times New Roman" w:eastAsia="黑体" w:cs="Times New Roman"/>
          <w:b w:val="0"/>
          <w:color w:val="auto"/>
          <w:highlight w:val="none"/>
          <w:lang w:eastAsia="zh-CN"/>
        </w:rPr>
      </w:pPr>
      <w:r>
        <w:rPr>
          <w:rStyle w:val="34"/>
          <w:rFonts w:hint="default" w:ascii="Times New Roman" w:hAnsi="Times New Roman" w:eastAsia="黑体" w:cs="Times New Roman"/>
          <w:b w:val="0"/>
          <w:color w:val="auto"/>
          <w:highlight w:val="none"/>
          <w:lang w:eastAsia="zh-CN"/>
        </w:rPr>
        <w:t>二、部门资金收支决算情况说明</w:t>
      </w:r>
    </w:p>
    <w:p w14:paraId="7F91634C">
      <w:pPr>
        <w:keepNext w:val="0"/>
        <w:keepLines w:val="0"/>
        <w:pageBreakBefore w:val="0"/>
        <w:numPr>
          <w:ilvl w:val="0"/>
          <w:numId w:val="0"/>
        </w:numPr>
        <w:kinsoku/>
        <w:wordWrap/>
        <w:overflowPunct/>
        <w:topLinePunct w:val="0"/>
        <w:autoSpaceDE/>
        <w:autoSpaceDN/>
        <w:bidi w:val="0"/>
        <w:snapToGrid/>
        <w:spacing w:line="578" w:lineRule="exact"/>
        <w:ind w:left="0" w:leftChars="0" w:firstLine="643"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收入决算情况说明</w:t>
      </w:r>
      <w:r>
        <w:rPr>
          <w:rFonts w:hint="eastAsia" w:ascii="Times New Roman" w:hAnsi="Times New Roman" w:eastAsia="仿宋_GB2312" w:cs="Times New Roman"/>
          <w:b/>
          <w:bCs/>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2025年度本年收入合计2431.89万元，收入来源结构清晰、合规合法，具体构成如下：一般公共预算财政拨款收入2369.33万元，占本年总收入的97.43%；政府性基金预算财政拨款收入0.13万元，占比趋近于0%；国有资本经营预算财政拨款收入0万元；上级补助收入0万元；事业收入0万元；经营收入0万元；附属单位上缴收入0万元；其他收入10.67万元，占本年总收入的0.44%。年初结转和结余51.76万元占本年总收入的2.13%，收入结构稳定，无违规收入、未纳入预算管理收入等情况。</w:t>
      </w:r>
    </w:p>
    <w:p w14:paraId="7E8E2D46">
      <w:pPr>
        <w:pageBreakBefore w:val="0"/>
        <w:numPr>
          <w:ilvl w:val="0"/>
          <w:numId w:val="0"/>
        </w:numPr>
        <w:kinsoku/>
        <w:wordWrap/>
        <w:overflowPunct/>
        <w:topLinePunct w:val="0"/>
        <w:bidi w:val="0"/>
        <w:spacing w:line="578" w:lineRule="exact"/>
        <w:ind w:left="630" w:leftChars="0"/>
        <w:textAlignment w:val="auto"/>
        <w:outlineLvl w:val="1"/>
        <w:rPr>
          <w:rStyle w:val="34"/>
          <w:rFonts w:hint="default" w:ascii="Times New Roman" w:hAnsi="Times New Roman" w:eastAsia="黑体" w:cs="Times New Roman"/>
          <w:b w:val="0"/>
          <w:color w:val="auto"/>
          <w:highlight w:val="none"/>
          <w:lang w:eastAsia="zh-CN"/>
        </w:rPr>
      </w:pPr>
      <w:r>
        <w:rPr>
          <w:rStyle w:val="34"/>
          <w:rFonts w:hint="default" w:ascii="Times New Roman" w:hAnsi="Times New Roman" w:eastAsia="黑体" w:cs="Times New Roman"/>
          <w:b w:val="0"/>
          <w:color w:val="auto"/>
          <w:highlight w:val="none"/>
          <w:lang w:eastAsia="zh-CN"/>
        </w:rPr>
        <w:t>三、支出决算情况说明</w:t>
      </w:r>
    </w:p>
    <w:p w14:paraId="724AB24E">
      <w:pPr>
        <w:pageBreakBefore w:val="0"/>
        <w:kinsoku/>
        <w:wordWrap/>
        <w:overflowPunct/>
        <w:topLinePunct w:val="0"/>
        <w:bidi w:val="0"/>
        <w:spacing w:line="578" w:lineRule="exact"/>
        <w:ind w:firstLine="640"/>
        <w:textAlignment w:val="auto"/>
        <w:rPr>
          <w:rFonts w:hint="default" w:ascii="Times New Roman" w:hAnsi="Times New Roman" w:cs="Times New Roman"/>
        </w:rPr>
      </w:pPr>
      <w:r>
        <w:rPr>
          <w:rFonts w:hint="default" w:ascii="Times New Roman" w:hAnsi="Times New Roman" w:eastAsia="仿宋_GB2312" w:cs="Times New Roman"/>
          <w:color w:val="auto"/>
          <w:kern w:val="2"/>
          <w:sz w:val="32"/>
          <w:szCs w:val="32"/>
          <w:highlight w:val="none"/>
          <w:lang w:val="en-US" w:eastAsia="zh-CN" w:bidi="ar-SA"/>
        </w:rPr>
        <w:t>2025年度本年支出合计2413.45万元，年末结转结余18.44万元，支出分类规范、用途合规，具体结构如下：基本支出295.15万元，占本年总支出的12.22%，主要用于单位人员经费、公用经费、日常运转保障等基础性支出；项目支出2118.3万元，占本年总支出的87.77%，主要用于文化惠民、文体活动开展、文物保护修缮、红色场馆运维、文旅产业服务、公共文化设施运维等专项工作支出；上缴上级支出0万元、经营支出0万元、对附属单位补助支出0万元。本年度支出以专项项目支出为主，贴合文旅行业项目化、常态化履职工作特点。</w:t>
      </w:r>
    </w:p>
    <w:p w14:paraId="408169AC">
      <w:pPr>
        <w:pageBreakBefore w:val="0"/>
        <w:numPr>
          <w:ilvl w:val="0"/>
          <w:numId w:val="0"/>
        </w:numPr>
        <w:kinsoku/>
        <w:wordWrap/>
        <w:overflowPunct/>
        <w:topLinePunct w:val="0"/>
        <w:bidi w:val="0"/>
        <w:spacing w:line="578" w:lineRule="exact"/>
        <w:ind w:left="630" w:leftChars="0"/>
        <w:textAlignment w:val="auto"/>
        <w:outlineLvl w:val="1"/>
        <w:rPr>
          <w:rStyle w:val="34"/>
          <w:rFonts w:hint="default" w:ascii="Times New Roman" w:hAnsi="Times New Roman" w:eastAsia="黑体" w:cs="Times New Roman"/>
          <w:b w:val="0"/>
          <w:color w:val="auto"/>
          <w:highlight w:val="none"/>
          <w:lang w:eastAsia="zh-CN"/>
        </w:rPr>
      </w:pPr>
      <w:r>
        <w:rPr>
          <w:rStyle w:val="34"/>
          <w:rFonts w:hint="default" w:ascii="Times New Roman" w:hAnsi="Times New Roman" w:eastAsia="黑体" w:cs="Times New Roman"/>
          <w:b w:val="0"/>
          <w:color w:val="auto"/>
          <w:highlight w:val="none"/>
          <w:lang w:eastAsia="zh-CN"/>
        </w:rPr>
        <w:t>三、部门预算绩效分析</w:t>
      </w:r>
    </w:p>
    <w:p w14:paraId="3A5A7B3F">
      <w:pPr>
        <w:keepNext w:val="0"/>
        <w:keepLines w:val="0"/>
        <w:pageBreakBefore w:val="0"/>
        <w:numPr>
          <w:ilvl w:val="0"/>
          <w:numId w:val="0"/>
        </w:numPr>
        <w:kinsoku/>
        <w:wordWrap/>
        <w:overflowPunct/>
        <w:topLinePunct w:val="0"/>
        <w:autoSpaceDE/>
        <w:autoSpaceDN/>
        <w:bidi w:val="0"/>
        <w:snapToGrid/>
        <w:spacing w:line="578" w:lineRule="exact"/>
        <w:ind w:left="0" w:leftChars="0" w:firstLine="643" w:firstLineChars="200"/>
        <w:textAlignment w:val="auto"/>
        <w:rPr>
          <w:rFonts w:hint="default" w:ascii="Times New Roman" w:hAnsi="Times New Roman" w:cs="Times New Roman"/>
        </w:rPr>
      </w:pPr>
      <w:r>
        <w:rPr>
          <w:rFonts w:hint="default" w:ascii="Times New Roman" w:hAnsi="Times New Roman" w:eastAsia="楷体_GB2312" w:cs="Times New Roman"/>
          <w:b/>
          <w:bCs/>
          <w:sz w:val="32"/>
          <w:szCs w:val="32"/>
          <w:lang w:val="en-US" w:eastAsia="zh-CN"/>
        </w:rPr>
        <w:t>（一）部门预算总体绩效分析</w:t>
      </w:r>
      <w:r>
        <w:rPr>
          <w:rFonts w:hint="eastAsia" w:ascii="Times New Roman" w:hAnsi="Times New Roman" w:eastAsia="楷体_GB2312" w:cs="Times New Roman"/>
          <w:b/>
          <w:bCs/>
          <w:sz w:val="32"/>
          <w:szCs w:val="32"/>
          <w:lang w:val="en-US" w:eastAsia="zh-CN"/>
        </w:rPr>
        <w:t>。</w:t>
      </w:r>
      <w:r>
        <w:rPr>
          <w:rFonts w:hint="default" w:ascii="Times New Roman" w:hAnsi="Times New Roman" w:eastAsia="仿宋_GB2312" w:cs="Times New Roman"/>
          <w:color w:val="auto"/>
          <w:kern w:val="2"/>
          <w:sz w:val="32"/>
          <w:szCs w:val="32"/>
          <w:highlight w:val="none"/>
          <w:lang w:val="en-US" w:eastAsia="zh-CN" w:bidi="ar-SA"/>
        </w:rPr>
        <w:t>依据县级部门预算绩效评价指标体系，围绕履职效能、预算管理、财务管理、资产管理、采购管理五大核心维度，对我局2025年度机关及下属单位整体预算绩效开展逐项核查、分析及自评。本年度部门整体履职到位、预算执行规范、财务管控严谨、资产采购管理有序，整体绩效运行平稳，财政资金使用效益良好。</w:t>
      </w:r>
    </w:p>
    <w:p w14:paraId="08888CFA">
      <w:pPr>
        <w:keepNext w:val="0"/>
        <w:keepLines w:val="0"/>
        <w:pageBreakBefore w:val="0"/>
        <w:numPr>
          <w:ilvl w:val="0"/>
          <w:numId w:val="0"/>
        </w:numPr>
        <w:kinsoku/>
        <w:wordWrap/>
        <w:overflowPunct/>
        <w:topLinePunct w:val="0"/>
        <w:autoSpaceDE/>
        <w:autoSpaceDN/>
        <w:bidi w:val="0"/>
        <w:snapToGrid/>
        <w:spacing w:line="578" w:lineRule="exact"/>
        <w:ind w:left="0" w:leftChars="0" w:firstLine="643"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楷体_GB2312" w:cs="Times New Roman"/>
          <w:b/>
          <w:bCs/>
          <w:sz w:val="32"/>
          <w:szCs w:val="32"/>
          <w:lang w:val="en-US" w:eastAsia="zh-CN"/>
        </w:rPr>
        <w:t>1.履职效能</w:t>
      </w:r>
      <w:r>
        <w:rPr>
          <w:rFonts w:hint="eastAsia" w:ascii="Times New Roman" w:hAnsi="Times New Roman" w:eastAsia="楷体_GB2312" w:cs="Times New Roman"/>
          <w:b/>
          <w:bCs/>
          <w:sz w:val="32"/>
          <w:szCs w:val="32"/>
          <w:lang w:val="en-US" w:eastAsia="zh-CN"/>
        </w:rPr>
        <w:t>。</w:t>
      </w:r>
      <w:r>
        <w:rPr>
          <w:rFonts w:hint="default" w:ascii="Times New Roman" w:hAnsi="Times New Roman" w:eastAsia="仿宋_GB2312" w:cs="Times New Roman"/>
          <w:color w:val="auto"/>
          <w:kern w:val="2"/>
          <w:sz w:val="32"/>
          <w:szCs w:val="32"/>
          <w:highlight w:val="none"/>
          <w:lang w:val="en-US" w:eastAsia="zh-CN" w:bidi="ar-SA"/>
        </w:rPr>
        <w:t>2025年，我局聚焦文化、体育、旅游、文物保护、红色教育场馆运营五大核心职能，圆满完成年度既定工作目标。一是公共文化服务提质增效，文化馆、图书馆常态化免费开放，有序开展群众文艺演出、文化下乡、读书推广等惠民活动，覆盖城乡群众，圆满完成公共文化服务均等化建设任务；二是文物保护工作扎实推进，常态化开展县域文物巡查、维护修缮，严格落实文物安全监管制度，保障各级文物点位安全稳定运行，下属文管所、红色会议会址陈列馆规范开展场馆运维、展品管护、红色宣教工作；三是文体事业有序开展，组织开展全民健身、群众文体赛事等活动，丰富群众精神文化生活；四是文旅产业稳步发展，持续优化文旅服务、规范文旅市场秩序，助力县域文旅资源活化利用；五是行业监管全面到位，规范广播电视、文旅经营主体行业秩序，全年无重大行业安全事故、服务投诉事件。整体核心职能目标全面落地，履职成效显著。</w:t>
      </w:r>
    </w:p>
    <w:p w14:paraId="530373B8">
      <w:pPr>
        <w:keepNext w:val="0"/>
        <w:keepLines w:val="0"/>
        <w:pageBreakBefore w:val="0"/>
        <w:numPr>
          <w:ilvl w:val="0"/>
          <w:numId w:val="0"/>
        </w:numPr>
        <w:kinsoku/>
        <w:wordWrap/>
        <w:overflowPunct/>
        <w:topLinePunct w:val="0"/>
        <w:autoSpaceDE/>
        <w:autoSpaceDN/>
        <w:bidi w:val="0"/>
        <w:snapToGrid/>
        <w:spacing w:line="578" w:lineRule="exact"/>
        <w:ind w:left="0" w:leftChars="0" w:firstLine="643"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楷体_GB2312" w:cs="Times New Roman"/>
          <w:b/>
          <w:bCs/>
          <w:sz w:val="32"/>
          <w:szCs w:val="32"/>
          <w:lang w:val="en-US" w:eastAsia="zh-CN"/>
        </w:rPr>
        <w:t>2.预算管理</w:t>
      </w:r>
      <w:r>
        <w:rPr>
          <w:rFonts w:hint="eastAsia" w:ascii="Times New Roman" w:hAnsi="Times New Roman" w:eastAsia="楷体_GB2312" w:cs="Times New Roman"/>
          <w:b/>
          <w:bCs/>
          <w:sz w:val="32"/>
          <w:szCs w:val="32"/>
          <w:lang w:val="en-US" w:eastAsia="zh-CN"/>
        </w:rPr>
        <w:t>。</w:t>
      </w:r>
      <w:r>
        <w:rPr>
          <w:rFonts w:hint="default" w:ascii="Times New Roman" w:hAnsi="Times New Roman" w:eastAsia="仿宋_GB2312" w:cs="Times New Roman"/>
          <w:color w:val="auto"/>
          <w:kern w:val="2"/>
          <w:sz w:val="32"/>
          <w:szCs w:val="32"/>
          <w:highlight w:val="none"/>
          <w:lang w:val="en-US" w:eastAsia="zh-CN" w:bidi="ar-SA"/>
        </w:rPr>
        <w:t>2025年度，我局严格落实全口径预算管理要求，机关及下属单位全部收支纳入预算统一编制、统一管理。预算编制贴合年度工作实际，项目预算编制精准度较高，贴合文旅、文物、公共服务工作实际。全年严格统筹各项财政收入，规范资金归集管理，无截留、挪用、坐收坐支等问题。预算支出执行整体有序，年度资金支出进度贴合时间节点及项目实施进度。严格落实厉行节约要求，严控一般性支出，压减非刚性、非重点支出，优先保障民生文旅、文物保护、场馆运维等重点项目资金。年末结转结余资金管控规范，严格落实财政资金盘活清理要求，无长期沉淀、闲置低效财政资金，预算规范化管理水平持续提升。</w:t>
      </w:r>
    </w:p>
    <w:p w14:paraId="511A6525">
      <w:pPr>
        <w:keepNext w:val="0"/>
        <w:keepLines w:val="0"/>
        <w:pageBreakBefore w:val="0"/>
        <w:numPr>
          <w:ilvl w:val="0"/>
          <w:numId w:val="0"/>
        </w:numPr>
        <w:kinsoku/>
        <w:wordWrap/>
        <w:overflowPunct/>
        <w:topLinePunct w:val="0"/>
        <w:autoSpaceDE/>
        <w:autoSpaceDN/>
        <w:bidi w:val="0"/>
        <w:snapToGrid/>
        <w:spacing w:line="578" w:lineRule="exact"/>
        <w:ind w:left="0" w:leftChars="0" w:firstLine="643"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楷体_GB2312" w:cs="Times New Roman"/>
          <w:b/>
          <w:bCs/>
          <w:sz w:val="32"/>
          <w:szCs w:val="32"/>
          <w:lang w:val="en-US" w:eastAsia="zh-CN"/>
        </w:rPr>
        <w:t>3.财务管理</w:t>
      </w:r>
      <w:r>
        <w:rPr>
          <w:rFonts w:hint="eastAsia" w:ascii="Times New Roman" w:hAnsi="Times New Roman" w:eastAsia="楷体_GB2312" w:cs="Times New Roman"/>
          <w:b/>
          <w:bCs/>
          <w:sz w:val="32"/>
          <w:szCs w:val="32"/>
          <w:lang w:val="en-US" w:eastAsia="zh-CN"/>
        </w:rPr>
        <w:t>。</w:t>
      </w:r>
      <w:r>
        <w:rPr>
          <w:rFonts w:hint="default" w:ascii="Times New Roman" w:hAnsi="Times New Roman" w:eastAsia="仿宋_GB2312" w:cs="Times New Roman"/>
          <w:color w:val="auto"/>
          <w:kern w:val="2"/>
          <w:sz w:val="32"/>
          <w:szCs w:val="32"/>
          <w:highlight w:val="none"/>
          <w:lang w:val="en-US" w:eastAsia="zh-CN" w:bidi="ar-SA"/>
        </w:rPr>
        <w:t>我局建立健全财务管理制度、经费报销制度、资金审批制度等内控管理制度，财务制度体系完善、执行到位。严格设置财务、出纳岗位，岗位分工明确、权责分离，严格执行不相容岗位分离制度。全年所有财政资金使用严格遵循预算用途、财经法律法规及内控制度，资金拨付、报销审核、审批流程完整规范，原始凭证齐全、账务处理及时准确。全年未发生违规使用资金、超范围支出、违规报销等财务问题，财务运行规范严谨、风险可控。</w:t>
      </w:r>
    </w:p>
    <w:p w14:paraId="2EE7E386">
      <w:pPr>
        <w:keepNext w:val="0"/>
        <w:keepLines w:val="0"/>
        <w:pageBreakBefore w:val="0"/>
        <w:numPr>
          <w:ilvl w:val="0"/>
          <w:numId w:val="0"/>
        </w:numPr>
        <w:kinsoku/>
        <w:wordWrap/>
        <w:overflowPunct/>
        <w:topLinePunct w:val="0"/>
        <w:autoSpaceDE/>
        <w:autoSpaceDN/>
        <w:bidi w:val="0"/>
        <w:snapToGrid/>
        <w:spacing w:line="578" w:lineRule="exact"/>
        <w:ind w:left="0" w:leftChars="0" w:firstLine="643" w:firstLineChars="200"/>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4. 资产管理</w:t>
      </w:r>
    </w:p>
    <w:p w14:paraId="276764D1">
      <w:pPr>
        <w:pageBreakBefore w:val="0"/>
        <w:kinsoku/>
        <w:wordWrap/>
        <w:overflowPunct/>
        <w:topLinePunct w:val="0"/>
        <w:bidi w:val="0"/>
        <w:spacing w:line="578"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我局严格落实行政事业单位资产管理办法，对机关及下属场馆、事业单位固定资产、文体设备、办公资产、文物资产实行台账化、精细化管理。定期开展资产盘点、清查对账，动态更新资产台账，确保账账相符、账实相符。本年度结合工作实际优化资产配置，人均资产规模合理可控，无闲置浪费、超标配置资产情况。各类文体设施、场馆设备、办公资产常态化投入日常履职、公共服务、场馆运营工作，资产利用率、盘活率较高，有效保障了公共文化服务、文物保护、场馆开放等工作常态化开展，资产管理规范高效。</w:t>
      </w:r>
    </w:p>
    <w:p w14:paraId="0E6A6EC9">
      <w:pPr>
        <w:keepNext w:val="0"/>
        <w:keepLines w:val="0"/>
        <w:pageBreakBefore w:val="0"/>
        <w:numPr>
          <w:ilvl w:val="0"/>
          <w:numId w:val="0"/>
        </w:numPr>
        <w:kinsoku/>
        <w:wordWrap/>
        <w:overflowPunct/>
        <w:topLinePunct w:val="0"/>
        <w:autoSpaceDE/>
        <w:autoSpaceDN/>
        <w:bidi w:val="0"/>
        <w:snapToGrid/>
        <w:spacing w:line="578" w:lineRule="exact"/>
        <w:ind w:left="0" w:leftChars="0" w:firstLine="643"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楷体_GB2312" w:cs="Times New Roman"/>
          <w:b/>
          <w:bCs/>
          <w:sz w:val="32"/>
          <w:szCs w:val="32"/>
          <w:lang w:val="en-US" w:eastAsia="zh-CN"/>
        </w:rPr>
        <w:t>5.采购管理</w:t>
      </w:r>
      <w:r>
        <w:rPr>
          <w:rFonts w:hint="eastAsia" w:ascii="Times New Roman" w:hAnsi="Times New Roman" w:eastAsia="楷体_GB2312" w:cs="Times New Roman"/>
          <w:b/>
          <w:bCs/>
          <w:sz w:val="32"/>
          <w:szCs w:val="32"/>
          <w:lang w:val="en-US" w:eastAsia="zh-CN"/>
        </w:rPr>
        <w:t>。</w:t>
      </w:r>
      <w:r>
        <w:rPr>
          <w:rFonts w:hint="default" w:ascii="Times New Roman" w:hAnsi="Times New Roman" w:eastAsia="仿宋_GB2312" w:cs="Times New Roman"/>
          <w:color w:val="auto"/>
          <w:kern w:val="2"/>
          <w:sz w:val="32"/>
          <w:szCs w:val="32"/>
          <w:highlight w:val="none"/>
          <w:lang w:val="en-US" w:eastAsia="zh-CN" w:bidi="ar-SA"/>
        </w:rPr>
        <w:t>我局严格执行政府采购相关法律法规，2025年度各类设备采购、服务采购、项目采购全部依法依规履行采购程序，采购流程公开透明、资料台账完整规范。在政府采购工作中，积极落实扶持中小企业发展政策，优先面向中小企业开展采购项目，有效支持本地中小微企业发展。全年政府采购计划执行到位，采购执行率良好，无违规采购、规避采购、程序缺失等问题，采购管理合规有序、成效良好。</w:t>
      </w:r>
    </w:p>
    <w:p w14:paraId="3245F6E8">
      <w:pPr>
        <w:keepNext w:val="0"/>
        <w:keepLines w:val="0"/>
        <w:pageBreakBefore w:val="0"/>
        <w:numPr>
          <w:ilvl w:val="0"/>
          <w:numId w:val="0"/>
        </w:numPr>
        <w:kinsoku/>
        <w:wordWrap/>
        <w:overflowPunct/>
        <w:topLinePunct w:val="0"/>
        <w:autoSpaceDE/>
        <w:autoSpaceDN/>
        <w:bidi w:val="0"/>
        <w:snapToGrid/>
        <w:spacing w:line="578" w:lineRule="exact"/>
        <w:ind w:left="0" w:leftChars="0" w:firstLine="643"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楷体_GB2312" w:cs="Times New Roman"/>
          <w:b/>
          <w:bCs/>
          <w:sz w:val="32"/>
          <w:szCs w:val="32"/>
          <w:lang w:val="en-US" w:eastAsia="zh-CN"/>
        </w:rPr>
        <w:t>（二）部门预算项目绩效分析</w:t>
      </w:r>
      <w:r>
        <w:rPr>
          <w:rFonts w:hint="eastAsia" w:ascii="Times New Roman" w:hAnsi="Times New Roman" w:eastAsia="楷体_GB2312" w:cs="Times New Roman"/>
          <w:b/>
          <w:bCs/>
          <w:sz w:val="32"/>
          <w:szCs w:val="32"/>
          <w:lang w:val="en-US" w:eastAsia="zh-CN"/>
        </w:rPr>
        <w:t>。</w:t>
      </w:r>
      <w:r>
        <w:rPr>
          <w:rFonts w:hint="default" w:ascii="Times New Roman" w:hAnsi="Times New Roman" w:eastAsia="仿宋_GB2312" w:cs="Times New Roman"/>
          <w:color w:val="auto"/>
          <w:kern w:val="2"/>
          <w:sz w:val="32"/>
          <w:szCs w:val="32"/>
          <w:highlight w:val="none"/>
          <w:lang w:val="en-US" w:eastAsia="zh-CN" w:bidi="ar-SA"/>
        </w:rPr>
        <w:t>2025年度，我局严格规范常年项目、阶段性项目全过程绩效管理，覆盖一般公共预算、政府性基金预算、国有资本经营预算、政府购买服务等所有资金项目。全年各类项目立项合规、实施有序、管控到位，基本完成既定绩效目标。</w:t>
      </w:r>
    </w:p>
    <w:p w14:paraId="6559C5AC">
      <w:pPr>
        <w:pageBreakBefore w:val="0"/>
        <w:kinsoku/>
        <w:wordWrap/>
        <w:overflowPunct/>
        <w:topLinePunct w:val="0"/>
        <w:bidi w:val="0"/>
        <w:spacing w:line="578"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常年项目绩效分析：本年度常年持续性项目13个，涉及预算总金额395.83万元，1—12月预算执行总体进度100%。阶段（一次性）项目绩效分析：本年度阶段性、一次性专项项目25个，涉及预算总金额1332.94万元，1—12月预算执行总体进度100%。</w:t>
      </w:r>
    </w:p>
    <w:p w14:paraId="6ACEB699">
      <w:pPr>
        <w:keepNext w:val="0"/>
        <w:keepLines w:val="0"/>
        <w:pageBreakBefore w:val="0"/>
        <w:numPr>
          <w:ilvl w:val="0"/>
          <w:numId w:val="0"/>
        </w:numPr>
        <w:kinsoku/>
        <w:wordWrap/>
        <w:overflowPunct/>
        <w:topLinePunct w:val="0"/>
        <w:autoSpaceDE/>
        <w:autoSpaceDN/>
        <w:bidi w:val="0"/>
        <w:snapToGrid/>
        <w:spacing w:line="578" w:lineRule="exact"/>
        <w:ind w:left="0" w:leftChars="0" w:firstLine="643"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楷体_GB2312" w:cs="Times New Roman"/>
          <w:b/>
          <w:bCs/>
          <w:sz w:val="32"/>
          <w:szCs w:val="32"/>
          <w:lang w:val="en-US" w:eastAsia="zh-CN"/>
        </w:rPr>
        <w:t>1.项目决策</w:t>
      </w:r>
      <w:r>
        <w:rPr>
          <w:rFonts w:hint="eastAsia" w:ascii="Times New Roman" w:hAnsi="Times New Roman" w:eastAsia="楷体_GB2312" w:cs="Times New Roman"/>
          <w:b/>
          <w:bCs/>
          <w:sz w:val="32"/>
          <w:szCs w:val="32"/>
          <w:lang w:val="en-US" w:eastAsia="zh-CN"/>
        </w:rPr>
        <w:t>。</w:t>
      </w:r>
      <w:r>
        <w:rPr>
          <w:rFonts w:hint="default" w:ascii="Times New Roman" w:hAnsi="Times New Roman" w:eastAsia="仿宋_GB2312" w:cs="Times New Roman"/>
          <w:color w:val="auto"/>
          <w:kern w:val="2"/>
          <w:sz w:val="32"/>
          <w:szCs w:val="32"/>
          <w:highlight w:val="none"/>
          <w:lang w:val="en-US" w:eastAsia="zh-CN" w:bidi="ar-SA"/>
        </w:rPr>
        <w:t>本年度所有项目立项决策程序规范，严格按照单位议事规则、财政项目管理要求开展项目申报、立项评审，充分结合全县文旅发展、文物保护、公共文化服务实际需求谋划项目，项目立项依据充分、贴合民生需求。所有项目绩效目标设置科学合理、细化量化，贴合项目实施内容，具备可考核、可量化、可评价性。全部合规项目按要求纳入财政项目库统一管理，项目入库资料齐全、流程规范，无无立项、无依据、盲目申报项目的情况，项目决策科学性、规范性较强。</w:t>
      </w:r>
    </w:p>
    <w:p w14:paraId="14E4B1A3">
      <w:pPr>
        <w:keepNext w:val="0"/>
        <w:keepLines w:val="0"/>
        <w:pageBreakBefore w:val="0"/>
        <w:numPr>
          <w:ilvl w:val="0"/>
          <w:numId w:val="0"/>
        </w:numPr>
        <w:kinsoku/>
        <w:wordWrap/>
        <w:overflowPunct/>
        <w:topLinePunct w:val="0"/>
        <w:autoSpaceDE/>
        <w:autoSpaceDN/>
        <w:bidi w:val="0"/>
        <w:snapToGrid/>
        <w:spacing w:line="578" w:lineRule="exact"/>
        <w:ind w:left="0" w:leftChars="0" w:firstLine="643"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楷体_GB2312" w:cs="Times New Roman"/>
          <w:b/>
          <w:bCs/>
          <w:sz w:val="32"/>
          <w:szCs w:val="32"/>
          <w:lang w:val="en-US" w:eastAsia="zh-CN"/>
        </w:rPr>
        <w:t>2.项目执行</w:t>
      </w:r>
      <w:r>
        <w:rPr>
          <w:rFonts w:hint="eastAsia" w:ascii="Times New Roman" w:hAnsi="Times New Roman" w:eastAsia="楷体_GB2312" w:cs="Times New Roman"/>
          <w:b/>
          <w:bCs/>
          <w:sz w:val="32"/>
          <w:szCs w:val="32"/>
          <w:lang w:val="en-US" w:eastAsia="zh-CN"/>
        </w:rPr>
        <w:t>。</w:t>
      </w:r>
      <w:r>
        <w:rPr>
          <w:rFonts w:hint="default" w:ascii="Times New Roman" w:hAnsi="Times New Roman" w:eastAsia="仿宋_GB2312" w:cs="Times New Roman"/>
          <w:color w:val="auto"/>
          <w:kern w:val="2"/>
          <w:sz w:val="32"/>
          <w:szCs w:val="32"/>
          <w:highlight w:val="none"/>
          <w:lang w:val="en-US" w:eastAsia="zh-CN" w:bidi="ar-SA"/>
        </w:rPr>
        <w:t>2025年度各项目资金拨付与项目实施进度基本保持同向匹配，资金使用与项目实施环节衔接顺畅。项目实施过程中严格管控项目调整，确因实际工作需要调整的项目，均严格履行报批、备案程序，无擅自变更项目内容、调整资金用途、随意缩减项目规模等问题。全年各类文旅惠民、文物保护、场馆运维、文体活动项目均按期推进、落地实施，项目执行过程管控严谨，过程资料、验收资料、台账资料齐全完整，项目执行整体成效良好。</w:t>
      </w:r>
    </w:p>
    <w:p w14:paraId="0FDC7487">
      <w:pPr>
        <w:keepNext w:val="0"/>
        <w:keepLines w:val="0"/>
        <w:pageBreakBefore w:val="0"/>
        <w:numPr>
          <w:ilvl w:val="0"/>
          <w:numId w:val="0"/>
        </w:numPr>
        <w:kinsoku/>
        <w:wordWrap/>
        <w:overflowPunct/>
        <w:topLinePunct w:val="0"/>
        <w:autoSpaceDE/>
        <w:autoSpaceDN/>
        <w:bidi w:val="0"/>
        <w:snapToGrid/>
        <w:spacing w:line="578" w:lineRule="exact"/>
        <w:ind w:left="0" w:leftChars="0" w:firstLine="643"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楷体_GB2312" w:cs="Times New Roman"/>
          <w:b/>
          <w:bCs/>
          <w:sz w:val="32"/>
          <w:szCs w:val="32"/>
          <w:lang w:val="en-US" w:eastAsia="zh-CN"/>
        </w:rPr>
        <w:t>3.目标实现</w:t>
      </w:r>
      <w:r>
        <w:rPr>
          <w:rFonts w:hint="eastAsia" w:ascii="Times New Roman" w:hAnsi="Times New Roman" w:eastAsia="楷体_GB2312" w:cs="Times New Roman"/>
          <w:b/>
          <w:bCs/>
          <w:sz w:val="32"/>
          <w:szCs w:val="32"/>
          <w:lang w:val="en-US" w:eastAsia="zh-CN"/>
        </w:rPr>
        <w:t>。</w:t>
      </w:r>
      <w:r>
        <w:rPr>
          <w:rFonts w:hint="default" w:ascii="Times New Roman" w:hAnsi="Times New Roman" w:eastAsia="仿宋_GB2312" w:cs="Times New Roman"/>
          <w:color w:val="auto"/>
          <w:kern w:val="2"/>
          <w:sz w:val="32"/>
          <w:szCs w:val="32"/>
          <w:highlight w:val="none"/>
          <w:lang w:val="en-US" w:eastAsia="zh-CN" w:bidi="ar-SA"/>
        </w:rPr>
        <w:t>本年度部门各类常年项目、阶段性项目基本完成既定绩效目标，公共文化服务覆盖人次、文体活动开展场次、文物巡查保护频次、场馆免费开放时长、红色宣教服务人次等核心量化指标基本达标。少数项目因季节因素、施工周期、上级政策调整出现小幅进度偏离，均已及时整改纠偏、补齐工作短板。项目实施有效提升了全县公共文化服务水平、文物保护质效、文旅服务能力，丰富了群众精神文化生活，发挥了良好的社会效益和公共服务效益。</w:t>
      </w:r>
    </w:p>
    <w:p w14:paraId="7C87F5E9">
      <w:pPr>
        <w:pageBreakBefore w:val="0"/>
        <w:kinsoku/>
        <w:wordWrap/>
        <w:overflowPunct/>
        <w:topLinePunct w:val="0"/>
        <w:bidi w:val="0"/>
        <w:spacing w:line="578"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同时，本年度全面梳理一般公共预算、政府性基金预算、国有资本经营预算安排的各类项目，规范债券资金、政府购买服务项目管理，严格按照资金管理办法使用专项资金，政府购买服务项目程序合规、服务到位，有效补齐了文旅公共服务短板。</w:t>
      </w:r>
    </w:p>
    <w:p w14:paraId="4D5F54CE">
      <w:pPr>
        <w:keepNext w:val="0"/>
        <w:keepLines w:val="0"/>
        <w:pageBreakBefore w:val="0"/>
        <w:numPr>
          <w:ilvl w:val="0"/>
          <w:numId w:val="0"/>
        </w:numPr>
        <w:kinsoku/>
        <w:wordWrap/>
        <w:overflowPunct/>
        <w:topLinePunct w:val="0"/>
        <w:autoSpaceDE/>
        <w:autoSpaceDN/>
        <w:bidi w:val="0"/>
        <w:snapToGrid/>
        <w:spacing w:line="578" w:lineRule="exact"/>
        <w:ind w:left="0" w:leftChars="0" w:firstLine="643"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楷体_GB2312" w:cs="Times New Roman"/>
          <w:b/>
          <w:bCs/>
          <w:sz w:val="32"/>
          <w:szCs w:val="32"/>
          <w:lang w:val="en-US" w:eastAsia="zh-CN"/>
        </w:rPr>
        <w:t>（三）绩效结果应用情况</w:t>
      </w:r>
      <w:r>
        <w:rPr>
          <w:rFonts w:hint="eastAsia" w:ascii="Times New Roman" w:hAnsi="Times New Roman" w:eastAsia="楷体_GB2312" w:cs="Times New Roman"/>
          <w:b/>
          <w:bCs/>
          <w:sz w:val="32"/>
          <w:szCs w:val="32"/>
          <w:lang w:val="en-US" w:eastAsia="zh-CN"/>
        </w:rPr>
        <w:t>。</w:t>
      </w:r>
      <w:r>
        <w:rPr>
          <w:rFonts w:hint="default" w:ascii="Times New Roman" w:hAnsi="Times New Roman" w:eastAsia="仿宋_GB2312" w:cs="Times New Roman"/>
          <w:b/>
          <w:bCs/>
          <w:color w:val="auto"/>
          <w:kern w:val="2"/>
          <w:sz w:val="32"/>
          <w:szCs w:val="32"/>
          <w:highlight w:val="none"/>
          <w:lang w:val="en-US" w:eastAsia="zh-CN" w:bidi="ar-SA"/>
        </w:rPr>
        <w:t>一是</w:t>
      </w:r>
      <w:r>
        <w:rPr>
          <w:rFonts w:hint="default" w:ascii="Times New Roman" w:hAnsi="Times New Roman" w:eastAsia="仿宋_GB2312" w:cs="Times New Roman"/>
          <w:color w:val="auto"/>
          <w:kern w:val="2"/>
          <w:sz w:val="32"/>
          <w:szCs w:val="32"/>
          <w:highlight w:val="none"/>
          <w:lang w:val="en-US" w:eastAsia="zh-CN" w:bidi="ar-SA"/>
        </w:rPr>
        <w:t>内部应用到位。我局建立绩效评价结果与年度预算编制、项目安排、科室及下属单位考核挂钩机制，将年度绩效自评发现的问题、绩效完成情况作为下一年度预算编制、项目优化、资金统筹的重要依据，倒逼各科室、下属单位规范预算执行、提升资金效益。</w:t>
      </w:r>
      <w:r>
        <w:rPr>
          <w:rFonts w:hint="default" w:ascii="Times New Roman" w:hAnsi="Times New Roman" w:eastAsia="仿宋_GB2312" w:cs="Times New Roman"/>
          <w:b/>
          <w:bCs/>
          <w:color w:val="auto"/>
          <w:kern w:val="2"/>
          <w:sz w:val="32"/>
          <w:szCs w:val="32"/>
          <w:highlight w:val="none"/>
          <w:lang w:val="en-US" w:eastAsia="zh-CN" w:bidi="ar-SA"/>
        </w:rPr>
        <w:t>二是</w:t>
      </w:r>
      <w:r>
        <w:rPr>
          <w:rFonts w:hint="default" w:ascii="Times New Roman" w:hAnsi="Times New Roman" w:eastAsia="仿宋_GB2312" w:cs="Times New Roman"/>
          <w:color w:val="auto"/>
          <w:kern w:val="2"/>
          <w:sz w:val="32"/>
          <w:szCs w:val="32"/>
          <w:highlight w:val="none"/>
          <w:lang w:val="en-US" w:eastAsia="zh-CN" w:bidi="ar-SA"/>
        </w:rPr>
        <w:t>信息公开规范。严格按照财政公开要求，按时完成2025年度部门预算绩效自评报告、绩效指标完成情况等信息公开工作，公开内容真实、完整、规范，主动接受社会监督。</w:t>
      </w:r>
      <w:r>
        <w:rPr>
          <w:rFonts w:hint="default" w:ascii="Times New Roman" w:hAnsi="Times New Roman" w:eastAsia="仿宋_GB2312" w:cs="Times New Roman"/>
          <w:b/>
          <w:bCs/>
          <w:color w:val="auto"/>
          <w:kern w:val="2"/>
          <w:sz w:val="32"/>
          <w:szCs w:val="32"/>
          <w:highlight w:val="none"/>
          <w:lang w:val="en-US" w:eastAsia="zh-CN" w:bidi="ar-SA"/>
        </w:rPr>
        <w:t>三是</w:t>
      </w:r>
      <w:r>
        <w:rPr>
          <w:rFonts w:hint="default" w:ascii="Times New Roman" w:hAnsi="Times New Roman" w:eastAsia="仿宋_GB2312" w:cs="Times New Roman"/>
          <w:color w:val="auto"/>
          <w:kern w:val="2"/>
          <w:sz w:val="32"/>
          <w:szCs w:val="32"/>
          <w:highlight w:val="none"/>
          <w:lang w:val="en-US" w:eastAsia="zh-CN" w:bidi="ar-SA"/>
        </w:rPr>
        <w:t>整改反馈有效。针对历年及本年度绩效评价发现的薄弱环节，建立问题台账、整改台账，实行销号管理，逐项落实整改措施，及时反馈整改成效，持续优化预算绩效管理工作。</w:t>
      </w:r>
    </w:p>
    <w:p w14:paraId="530DDE77">
      <w:pPr>
        <w:pageBreakBefore w:val="0"/>
        <w:numPr>
          <w:ilvl w:val="0"/>
          <w:numId w:val="0"/>
        </w:numPr>
        <w:kinsoku/>
        <w:wordWrap/>
        <w:overflowPunct/>
        <w:topLinePunct w:val="0"/>
        <w:bidi w:val="0"/>
        <w:spacing w:line="578" w:lineRule="exact"/>
        <w:ind w:left="630" w:leftChars="0"/>
        <w:textAlignment w:val="auto"/>
        <w:outlineLvl w:val="1"/>
        <w:rPr>
          <w:rStyle w:val="34"/>
          <w:rFonts w:hint="default" w:ascii="Times New Roman" w:hAnsi="Times New Roman" w:eastAsia="黑体" w:cs="Times New Roman"/>
          <w:b w:val="0"/>
          <w:color w:val="auto"/>
          <w:highlight w:val="none"/>
          <w:lang w:eastAsia="zh-CN"/>
        </w:rPr>
      </w:pPr>
      <w:r>
        <w:rPr>
          <w:rStyle w:val="34"/>
          <w:rFonts w:hint="default" w:ascii="Times New Roman" w:hAnsi="Times New Roman" w:eastAsia="黑体" w:cs="Times New Roman"/>
          <w:b w:val="0"/>
          <w:color w:val="auto"/>
          <w:highlight w:val="none"/>
          <w:lang w:eastAsia="zh-CN"/>
        </w:rPr>
        <w:t>四、评价结论及建议</w:t>
      </w:r>
    </w:p>
    <w:p w14:paraId="610C65D0">
      <w:pPr>
        <w:keepNext w:val="0"/>
        <w:keepLines w:val="0"/>
        <w:pageBreakBefore w:val="0"/>
        <w:numPr>
          <w:ilvl w:val="0"/>
          <w:numId w:val="0"/>
        </w:numPr>
        <w:kinsoku/>
        <w:wordWrap/>
        <w:overflowPunct/>
        <w:topLinePunct w:val="0"/>
        <w:autoSpaceDE/>
        <w:autoSpaceDN/>
        <w:bidi w:val="0"/>
        <w:snapToGrid/>
        <w:spacing w:line="578" w:lineRule="exact"/>
        <w:ind w:left="0" w:leftChars="0" w:firstLine="643"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楷体_GB2312" w:cs="Times New Roman"/>
          <w:b/>
          <w:bCs/>
          <w:sz w:val="32"/>
          <w:szCs w:val="32"/>
          <w:lang w:val="en-US" w:eastAsia="zh-CN"/>
        </w:rPr>
        <w:t>（一）评价结论</w:t>
      </w:r>
      <w:r>
        <w:rPr>
          <w:rFonts w:hint="eastAsia" w:ascii="Times New Roman" w:hAnsi="Times New Roman" w:eastAsia="楷体_GB2312" w:cs="Times New Roman"/>
          <w:b/>
          <w:bCs/>
          <w:sz w:val="32"/>
          <w:szCs w:val="32"/>
          <w:lang w:val="en-US" w:eastAsia="zh-CN"/>
        </w:rPr>
        <w:t>。</w:t>
      </w:r>
      <w:r>
        <w:rPr>
          <w:rFonts w:hint="default" w:ascii="Times New Roman" w:hAnsi="Times New Roman" w:eastAsia="仿宋_GB2312" w:cs="Times New Roman"/>
          <w:color w:val="auto"/>
          <w:kern w:val="2"/>
          <w:sz w:val="32"/>
          <w:szCs w:val="32"/>
          <w:highlight w:val="none"/>
          <w:lang w:val="en-US" w:eastAsia="zh-CN" w:bidi="ar-SA"/>
        </w:rPr>
        <w:t>2025年度，</w:t>
      </w:r>
      <w:r>
        <w:rPr>
          <w:rFonts w:hint="eastAsia" w:eastAsia="仿宋_GB2312" w:cs="Times New Roman"/>
          <w:color w:val="auto"/>
          <w:kern w:val="2"/>
          <w:sz w:val="32"/>
          <w:szCs w:val="32"/>
          <w:highlight w:val="none"/>
          <w:lang w:val="en-US" w:eastAsia="zh-CN" w:bidi="ar-SA"/>
        </w:rPr>
        <w:t>松潘县文化广播电视体育和旅游局</w:t>
      </w:r>
      <w:r>
        <w:rPr>
          <w:rFonts w:hint="default" w:ascii="Times New Roman" w:hAnsi="Times New Roman" w:eastAsia="仿宋_GB2312" w:cs="Times New Roman"/>
          <w:color w:val="auto"/>
          <w:kern w:val="2"/>
          <w:sz w:val="32"/>
          <w:szCs w:val="32"/>
          <w:highlight w:val="none"/>
          <w:lang w:val="en-US" w:eastAsia="zh-CN" w:bidi="ar-SA"/>
        </w:rPr>
        <w:t>及下属二级预算单位预算管理规范、资金使用合规、履职成效突出、项目实施有序，整体预算绩效运行良好，圆满完成年度各项履职目标及预算绩效目标。本次部门整体绩效自评得分97.1分，绩效等级为优。全年财政资金投入产出效益较好，公共文化服务、文物保护、文旅发展、场馆运维等重点工作成效显著，财政资金保障效能和公共服务效益得到充分发挥。</w:t>
      </w:r>
    </w:p>
    <w:p w14:paraId="6E561240">
      <w:pPr>
        <w:keepNext w:val="0"/>
        <w:keepLines w:val="0"/>
        <w:pageBreakBefore w:val="0"/>
        <w:numPr>
          <w:ilvl w:val="0"/>
          <w:numId w:val="0"/>
        </w:numPr>
        <w:kinsoku/>
        <w:wordWrap/>
        <w:overflowPunct/>
        <w:topLinePunct w:val="0"/>
        <w:autoSpaceDE/>
        <w:autoSpaceDN/>
        <w:bidi w:val="0"/>
        <w:snapToGrid/>
        <w:spacing w:line="578" w:lineRule="exact"/>
        <w:ind w:left="0" w:leftChars="0" w:firstLine="643"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楷体_GB2312" w:cs="Times New Roman"/>
          <w:b/>
          <w:bCs/>
          <w:sz w:val="32"/>
          <w:szCs w:val="32"/>
          <w:lang w:val="en-US" w:eastAsia="zh-CN"/>
        </w:rPr>
        <w:t>（二）存在问题</w:t>
      </w:r>
      <w:r>
        <w:rPr>
          <w:rFonts w:hint="eastAsia" w:ascii="Times New Roman" w:hAnsi="Times New Roman" w:eastAsia="楷体_GB2312" w:cs="Times New Roman"/>
          <w:b/>
          <w:bCs/>
          <w:sz w:val="32"/>
          <w:szCs w:val="32"/>
          <w:lang w:val="en-US" w:eastAsia="zh-CN"/>
        </w:rPr>
        <w:t>。</w:t>
      </w:r>
      <w:r>
        <w:rPr>
          <w:rFonts w:hint="eastAsia" w:ascii="Times New Roman" w:hAnsi="Times New Roman" w:eastAsia="仿宋_GB2312" w:cs="Times New Roman"/>
          <w:b/>
          <w:bCs/>
          <w:color w:val="auto"/>
          <w:kern w:val="2"/>
          <w:sz w:val="32"/>
          <w:szCs w:val="32"/>
          <w:highlight w:val="none"/>
          <w:lang w:val="en-US" w:eastAsia="zh-CN" w:bidi="ar-SA"/>
        </w:rPr>
        <w:t>一是</w:t>
      </w:r>
      <w:r>
        <w:rPr>
          <w:rFonts w:hint="default" w:ascii="Times New Roman" w:hAnsi="Times New Roman" w:eastAsia="仿宋_GB2312" w:cs="Times New Roman"/>
          <w:color w:val="auto"/>
          <w:kern w:val="2"/>
          <w:sz w:val="32"/>
          <w:szCs w:val="32"/>
          <w:highlight w:val="none"/>
          <w:lang w:val="en-US" w:eastAsia="zh-CN" w:bidi="ar-SA"/>
        </w:rPr>
        <w:t>部分专项项目预算执行进度不均衡，项目实施进度与资金拨付节奏匹配度有待提升。</w:t>
      </w:r>
      <w:r>
        <w:rPr>
          <w:rFonts w:hint="eastAsia" w:ascii="Times New Roman" w:hAnsi="Times New Roman" w:eastAsia="仿宋_GB2312" w:cs="Times New Roman"/>
          <w:b/>
          <w:bCs/>
          <w:color w:val="auto"/>
          <w:kern w:val="2"/>
          <w:sz w:val="32"/>
          <w:szCs w:val="32"/>
          <w:highlight w:val="none"/>
          <w:lang w:val="en-US" w:eastAsia="zh-CN" w:bidi="ar-SA"/>
        </w:rPr>
        <w:t>二是</w:t>
      </w:r>
      <w:r>
        <w:rPr>
          <w:rFonts w:hint="default" w:ascii="Times New Roman" w:hAnsi="Times New Roman" w:eastAsia="仿宋_GB2312" w:cs="Times New Roman"/>
          <w:color w:val="auto"/>
          <w:kern w:val="2"/>
          <w:sz w:val="32"/>
          <w:szCs w:val="32"/>
          <w:highlight w:val="none"/>
          <w:lang w:val="en-US" w:eastAsia="zh-CN" w:bidi="ar-SA"/>
        </w:rPr>
        <w:t>项目绩效精细化管理水平仍有不足，部分项目绩效指标细化量化程度不够，过程绩效动态监管力度不足。</w:t>
      </w:r>
      <w:r>
        <w:rPr>
          <w:rFonts w:hint="eastAsia" w:ascii="Times New Roman" w:hAnsi="Times New Roman" w:eastAsia="仿宋_GB2312" w:cs="Times New Roman"/>
          <w:b/>
          <w:bCs/>
          <w:color w:val="auto"/>
          <w:kern w:val="2"/>
          <w:sz w:val="32"/>
          <w:szCs w:val="32"/>
          <w:highlight w:val="none"/>
          <w:lang w:val="en-US" w:eastAsia="zh-CN" w:bidi="ar-SA"/>
        </w:rPr>
        <w:t>三是</w:t>
      </w:r>
      <w:r>
        <w:rPr>
          <w:rFonts w:hint="default" w:ascii="Times New Roman" w:hAnsi="Times New Roman" w:eastAsia="仿宋_GB2312" w:cs="Times New Roman"/>
          <w:color w:val="auto"/>
          <w:kern w:val="2"/>
          <w:sz w:val="32"/>
          <w:szCs w:val="32"/>
          <w:highlight w:val="none"/>
          <w:lang w:val="en-US" w:eastAsia="zh-CN" w:bidi="ar-SA"/>
        </w:rPr>
        <w:t>绩效结果应用深度不足，绩效评价结果与预算编制、资源统筹的联动机制不够细化，以评促改、以评促管的效能有待进一步释放。</w:t>
      </w:r>
    </w:p>
    <w:p w14:paraId="3DBE2DD4">
      <w:pPr>
        <w:keepNext w:val="0"/>
        <w:keepLines w:val="0"/>
        <w:pageBreakBefore w:val="0"/>
        <w:numPr>
          <w:ilvl w:val="0"/>
          <w:numId w:val="0"/>
        </w:numPr>
        <w:kinsoku/>
        <w:wordWrap/>
        <w:overflowPunct/>
        <w:topLinePunct w:val="0"/>
        <w:autoSpaceDE/>
        <w:autoSpaceDN/>
        <w:bidi w:val="0"/>
        <w:snapToGrid/>
        <w:spacing w:line="578" w:lineRule="exact"/>
        <w:ind w:left="0" w:leftChars="0" w:firstLine="643" w:firstLineChars="200"/>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（三）改进建议</w:t>
      </w:r>
    </w:p>
    <w:p w14:paraId="39C91AB1">
      <w:pPr>
        <w:pageBreakBefore w:val="0"/>
        <w:kinsoku/>
        <w:wordWrap/>
        <w:overflowPunct/>
        <w:topLinePunct w:val="0"/>
        <w:bidi w:val="0"/>
        <w:spacing w:line="578"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严控项目预算执行进度。针对执行进度偏慢、结余偏高的项目，建立项目动态跟踪机制，定期梳理项目实施进度，提前谋划项目实施计划，统筹资金拨付与项目推进节奏，有效压减年末资金结转结余，提升财政资金执行效率。</w:t>
      </w:r>
    </w:p>
    <w:p w14:paraId="0DAB30F3">
      <w:pPr>
        <w:pageBreakBefore w:val="0"/>
        <w:kinsoku/>
        <w:wordWrap/>
        <w:overflowPunct/>
        <w:topLinePunct w:val="0"/>
        <w:bidi w:val="0"/>
        <w:spacing w:line="578"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深化项目绩效精细化管理。进一步优化项目绩效目标设置，细化量化各项绩效指标，强化项目全过程动态绩效监管，常态化开展项目绩效跟踪、核查，及时纠偏绩效偏离问题，提升项目绩效管理规范化、精细化水平。</w:t>
      </w:r>
    </w:p>
    <w:p w14:paraId="3B012D44">
      <w:pPr>
        <w:pageBreakBefore w:val="0"/>
        <w:kinsoku/>
        <w:wordWrap/>
        <w:overflowPunct/>
        <w:topLinePunct w:val="0"/>
        <w:bidi w:val="0"/>
        <w:spacing w:line="578"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3.强化绩效结果闭环应用。健全绩效评价结果与预算编制、项目安排、单位考核的深度联动机制，将绩效自评问题整改情况、绩效完成质量作为下年度预算资金分配的重要依据，切实发挥绩效管理“以评促改、以评促管、以评促效”的核心作用，持续提升部门整体预算绩效管理水平。</w:t>
      </w:r>
    </w:p>
    <w:p w14:paraId="6F8F359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br w:type="page"/>
      </w:r>
    </w:p>
    <w:p w14:paraId="102199FA">
      <w:pPr>
        <w:pageBreakBefore w:val="0"/>
        <w:widowControl/>
        <w:kinsoku/>
        <w:wordWrap/>
        <w:overflowPunct/>
        <w:topLinePunct w:val="0"/>
        <w:bidi w:val="0"/>
        <w:spacing w:line="578" w:lineRule="exact"/>
        <w:jc w:val="center"/>
        <w:textAlignment w:val="auto"/>
        <w:rPr>
          <w:rFonts w:hint="default" w:ascii="Times New Roman" w:hAnsi="Times New Roman" w:eastAsia="仿宋" w:cs="Times New Roman"/>
          <w:b w:val="0"/>
          <w:color w:val="auto"/>
          <w:highlight w:val="none"/>
        </w:rPr>
      </w:pPr>
      <w:bookmarkStart w:id="87" w:name="_Toc21269_WPSOffice_Level1"/>
      <w:r>
        <w:rPr>
          <w:rFonts w:hint="default" w:ascii="Times New Roman" w:hAnsi="Times New Roman" w:eastAsia="黑体" w:cs="Times New Roman"/>
          <w:color w:val="auto"/>
          <w:sz w:val="44"/>
          <w:szCs w:val="44"/>
          <w:highlight w:val="none"/>
        </w:rPr>
        <w:t>第</w:t>
      </w:r>
      <w:r>
        <w:rPr>
          <w:rStyle w:val="33"/>
          <w:rFonts w:hint="default" w:ascii="Times New Roman" w:hAnsi="Times New Roman" w:eastAsia="黑体" w:cs="Times New Roman"/>
          <w:b w:val="0"/>
          <w:color w:val="auto"/>
          <w:highlight w:val="none"/>
        </w:rPr>
        <w:t>五部分 附表</w:t>
      </w:r>
      <w:bookmarkEnd w:id="83"/>
      <w:bookmarkEnd w:id="86"/>
      <w:bookmarkEnd w:id="87"/>
      <w:bookmarkStart w:id="88" w:name="_Toc15396619"/>
    </w:p>
    <w:p w14:paraId="6B2570DB">
      <w:pPr>
        <w:pStyle w:val="16"/>
        <w:keepNext w:val="0"/>
        <w:keepLines w:val="0"/>
        <w:pageBreakBefore w:val="0"/>
        <w:kinsoku/>
        <w:wordWrap/>
        <w:overflowPunct/>
        <w:topLinePunct w:val="0"/>
        <w:autoSpaceDE/>
        <w:autoSpaceDN/>
        <w:bidi w:val="0"/>
        <w:adjustRightInd w:val="0"/>
        <w:snapToGrid w:val="0"/>
        <w:spacing w:line="578" w:lineRule="exact"/>
        <w:jc w:val="left"/>
        <w:textAlignment w:val="auto"/>
        <w:rPr>
          <w:rFonts w:hint="default" w:ascii="Times New Roman" w:hAnsi="Times New Roman" w:eastAsia="仿宋_GB2312" w:cs="Times New Roman"/>
          <w:color w:val="auto"/>
          <w:sz w:val="32"/>
          <w:szCs w:val="32"/>
          <w:highlight w:val="none"/>
        </w:rPr>
      </w:pPr>
    </w:p>
    <w:p w14:paraId="71D5A347">
      <w:pPr>
        <w:pStyle w:val="16"/>
        <w:keepNext w:val="0"/>
        <w:keepLines w:val="0"/>
        <w:pageBreakBefore w:val="0"/>
        <w:kinsoku/>
        <w:wordWrap/>
        <w:overflowPunct/>
        <w:topLinePunct w:val="0"/>
        <w:autoSpaceDE/>
        <w:autoSpaceDN/>
        <w:bidi w:val="0"/>
        <w:adjustRightInd w:val="0"/>
        <w:snapToGrid w:val="0"/>
        <w:spacing w:line="578" w:lineRule="exact"/>
        <w:jc w:val="left"/>
        <w:textAlignment w:val="auto"/>
        <w:rPr>
          <w:rFonts w:hint="default" w:ascii="Times New Roman" w:hAnsi="Times New Roman" w:eastAsia="仿宋_GB2312" w:cs="Times New Roman"/>
          <w:color w:val="auto"/>
          <w:sz w:val="32"/>
          <w:szCs w:val="32"/>
          <w:highlight w:val="none"/>
        </w:rPr>
      </w:pPr>
      <w:bookmarkStart w:id="89" w:name="_Toc12795_WPSOffice_Level2"/>
      <w:r>
        <w:rPr>
          <w:rFonts w:hint="default" w:ascii="Times New Roman" w:hAnsi="Times New Roman" w:eastAsia="仿宋_GB2312" w:cs="Times New Roman"/>
          <w:color w:val="auto"/>
          <w:sz w:val="32"/>
          <w:szCs w:val="32"/>
          <w:highlight w:val="none"/>
        </w:rPr>
        <w:t>一、收入支出决算总表</w:t>
      </w:r>
      <w:bookmarkEnd w:id="88"/>
      <w:bookmarkEnd w:id="89"/>
    </w:p>
    <w:p w14:paraId="1ADF6529">
      <w:pPr>
        <w:pStyle w:val="16"/>
        <w:keepNext w:val="0"/>
        <w:keepLines w:val="0"/>
        <w:pageBreakBefore w:val="0"/>
        <w:kinsoku/>
        <w:wordWrap/>
        <w:overflowPunct/>
        <w:topLinePunct w:val="0"/>
        <w:autoSpaceDE/>
        <w:autoSpaceDN/>
        <w:bidi w:val="0"/>
        <w:adjustRightInd w:val="0"/>
        <w:snapToGrid w:val="0"/>
        <w:spacing w:line="578" w:lineRule="exact"/>
        <w:jc w:val="left"/>
        <w:textAlignment w:val="auto"/>
        <w:rPr>
          <w:rFonts w:hint="default" w:ascii="Times New Roman" w:hAnsi="Times New Roman" w:eastAsia="仿宋_GB2312" w:cs="Times New Roman"/>
          <w:color w:val="auto"/>
          <w:sz w:val="32"/>
          <w:szCs w:val="32"/>
          <w:highlight w:val="none"/>
        </w:rPr>
      </w:pPr>
      <w:bookmarkStart w:id="90" w:name="_Toc3478_WPSOffice_Level2"/>
      <w:bookmarkStart w:id="91" w:name="_Toc15396620"/>
      <w:r>
        <w:rPr>
          <w:rFonts w:hint="default" w:ascii="Times New Roman" w:hAnsi="Times New Roman" w:eastAsia="仿宋_GB2312" w:cs="Times New Roman"/>
          <w:color w:val="auto"/>
          <w:sz w:val="32"/>
          <w:szCs w:val="32"/>
          <w:highlight w:val="none"/>
        </w:rPr>
        <w:t>二、收入决算表</w:t>
      </w:r>
      <w:bookmarkEnd w:id="90"/>
      <w:bookmarkEnd w:id="91"/>
    </w:p>
    <w:p w14:paraId="0517EDCC">
      <w:pPr>
        <w:pStyle w:val="16"/>
        <w:keepNext w:val="0"/>
        <w:keepLines w:val="0"/>
        <w:pageBreakBefore w:val="0"/>
        <w:kinsoku/>
        <w:wordWrap/>
        <w:overflowPunct/>
        <w:topLinePunct w:val="0"/>
        <w:autoSpaceDE/>
        <w:autoSpaceDN/>
        <w:bidi w:val="0"/>
        <w:adjustRightInd w:val="0"/>
        <w:snapToGrid w:val="0"/>
        <w:spacing w:line="578" w:lineRule="exact"/>
        <w:jc w:val="left"/>
        <w:textAlignment w:val="auto"/>
        <w:rPr>
          <w:rFonts w:hint="default" w:ascii="Times New Roman" w:hAnsi="Times New Roman" w:eastAsia="仿宋_GB2312" w:cs="Times New Roman"/>
          <w:color w:val="auto"/>
          <w:sz w:val="32"/>
          <w:szCs w:val="32"/>
          <w:highlight w:val="none"/>
        </w:rPr>
      </w:pPr>
      <w:bookmarkStart w:id="92" w:name="_Toc4397_WPSOffice_Level2"/>
      <w:bookmarkStart w:id="93" w:name="_Toc15396621"/>
      <w:r>
        <w:rPr>
          <w:rFonts w:hint="default" w:ascii="Times New Roman" w:hAnsi="Times New Roman" w:eastAsia="仿宋_GB2312" w:cs="Times New Roman"/>
          <w:color w:val="auto"/>
          <w:sz w:val="32"/>
          <w:szCs w:val="32"/>
          <w:highlight w:val="none"/>
        </w:rPr>
        <w:t>三、支出决算表</w:t>
      </w:r>
      <w:bookmarkEnd w:id="92"/>
      <w:bookmarkEnd w:id="93"/>
    </w:p>
    <w:p w14:paraId="7861F515">
      <w:pPr>
        <w:pStyle w:val="16"/>
        <w:keepNext w:val="0"/>
        <w:keepLines w:val="0"/>
        <w:pageBreakBefore w:val="0"/>
        <w:kinsoku/>
        <w:wordWrap/>
        <w:overflowPunct/>
        <w:topLinePunct w:val="0"/>
        <w:autoSpaceDE/>
        <w:autoSpaceDN/>
        <w:bidi w:val="0"/>
        <w:adjustRightInd w:val="0"/>
        <w:snapToGrid w:val="0"/>
        <w:spacing w:line="578" w:lineRule="exact"/>
        <w:jc w:val="left"/>
        <w:textAlignment w:val="auto"/>
        <w:rPr>
          <w:rFonts w:hint="default" w:ascii="Times New Roman" w:hAnsi="Times New Roman" w:eastAsia="仿宋_GB2312" w:cs="Times New Roman"/>
          <w:color w:val="auto"/>
          <w:sz w:val="32"/>
          <w:szCs w:val="32"/>
          <w:highlight w:val="none"/>
        </w:rPr>
      </w:pPr>
      <w:bookmarkStart w:id="94" w:name="_Toc15396622"/>
      <w:bookmarkStart w:id="95" w:name="_Toc5988_WPSOffice_Level2"/>
      <w:r>
        <w:rPr>
          <w:rFonts w:hint="default" w:ascii="Times New Roman" w:hAnsi="Times New Roman" w:eastAsia="仿宋_GB2312" w:cs="Times New Roman"/>
          <w:color w:val="auto"/>
          <w:sz w:val="32"/>
          <w:szCs w:val="32"/>
          <w:highlight w:val="none"/>
        </w:rPr>
        <w:t>四、财政拨款收入支出决算总表</w:t>
      </w:r>
      <w:bookmarkEnd w:id="94"/>
      <w:bookmarkEnd w:id="95"/>
    </w:p>
    <w:p w14:paraId="786036EE">
      <w:pPr>
        <w:pStyle w:val="16"/>
        <w:keepNext w:val="0"/>
        <w:keepLines w:val="0"/>
        <w:pageBreakBefore w:val="0"/>
        <w:kinsoku/>
        <w:wordWrap/>
        <w:overflowPunct/>
        <w:topLinePunct w:val="0"/>
        <w:autoSpaceDE/>
        <w:autoSpaceDN/>
        <w:bidi w:val="0"/>
        <w:adjustRightInd w:val="0"/>
        <w:snapToGrid w:val="0"/>
        <w:spacing w:line="578" w:lineRule="exact"/>
        <w:jc w:val="left"/>
        <w:textAlignment w:val="auto"/>
        <w:rPr>
          <w:rFonts w:hint="default" w:ascii="Times New Roman" w:hAnsi="Times New Roman" w:eastAsia="仿宋_GB2312" w:cs="Times New Roman"/>
          <w:color w:val="auto"/>
          <w:sz w:val="32"/>
          <w:szCs w:val="32"/>
          <w:highlight w:val="none"/>
        </w:rPr>
      </w:pPr>
      <w:bookmarkStart w:id="96" w:name="_Toc15396623"/>
      <w:bookmarkStart w:id="97" w:name="_Toc5440_WPSOffice_Level2"/>
      <w:r>
        <w:rPr>
          <w:rFonts w:hint="default" w:ascii="Times New Roman" w:hAnsi="Times New Roman" w:eastAsia="仿宋_GB2312" w:cs="Times New Roman"/>
          <w:color w:val="auto"/>
          <w:sz w:val="32"/>
          <w:szCs w:val="32"/>
          <w:highlight w:val="none"/>
        </w:rPr>
        <w:t>五、财政拨款支出决算明细表</w:t>
      </w:r>
      <w:bookmarkEnd w:id="96"/>
      <w:bookmarkEnd w:id="97"/>
      <w:bookmarkStart w:id="98" w:name="_Toc15396624"/>
    </w:p>
    <w:p w14:paraId="445E5411">
      <w:pPr>
        <w:pStyle w:val="16"/>
        <w:keepNext w:val="0"/>
        <w:keepLines w:val="0"/>
        <w:pageBreakBefore w:val="0"/>
        <w:kinsoku/>
        <w:wordWrap/>
        <w:overflowPunct/>
        <w:topLinePunct w:val="0"/>
        <w:autoSpaceDE/>
        <w:autoSpaceDN/>
        <w:bidi w:val="0"/>
        <w:adjustRightInd w:val="0"/>
        <w:snapToGrid w:val="0"/>
        <w:spacing w:line="578" w:lineRule="exact"/>
        <w:jc w:val="left"/>
        <w:textAlignment w:val="auto"/>
        <w:rPr>
          <w:rFonts w:hint="default" w:ascii="Times New Roman" w:hAnsi="Times New Roman" w:eastAsia="仿宋_GB2312" w:cs="Times New Roman"/>
          <w:color w:val="auto"/>
          <w:sz w:val="32"/>
          <w:szCs w:val="32"/>
          <w:highlight w:val="none"/>
        </w:rPr>
      </w:pPr>
      <w:bookmarkStart w:id="99" w:name="_Toc24533_WPSOffice_Level2"/>
      <w:r>
        <w:rPr>
          <w:rFonts w:hint="default" w:ascii="Times New Roman" w:hAnsi="Times New Roman" w:eastAsia="仿宋_GB2312" w:cs="Times New Roman"/>
          <w:color w:val="auto"/>
          <w:sz w:val="32"/>
          <w:szCs w:val="32"/>
          <w:highlight w:val="none"/>
        </w:rPr>
        <w:t>六、一般公共预算财政拨款支出决算表</w:t>
      </w:r>
      <w:bookmarkEnd w:id="98"/>
      <w:bookmarkEnd w:id="99"/>
    </w:p>
    <w:p w14:paraId="55B6DCE0">
      <w:pPr>
        <w:pStyle w:val="16"/>
        <w:keepNext w:val="0"/>
        <w:keepLines w:val="0"/>
        <w:pageBreakBefore w:val="0"/>
        <w:kinsoku/>
        <w:wordWrap/>
        <w:overflowPunct/>
        <w:topLinePunct w:val="0"/>
        <w:autoSpaceDE/>
        <w:autoSpaceDN/>
        <w:bidi w:val="0"/>
        <w:adjustRightInd w:val="0"/>
        <w:snapToGrid w:val="0"/>
        <w:spacing w:line="578" w:lineRule="exact"/>
        <w:jc w:val="left"/>
        <w:textAlignment w:val="auto"/>
        <w:rPr>
          <w:rFonts w:hint="default" w:ascii="Times New Roman" w:hAnsi="Times New Roman" w:eastAsia="仿宋_GB2312" w:cs="Times New Roman"/>
          <w:color w:val="auto"/>
          <w:sz w:val="32"/>
          <w:szCs w:val="32"/>
          <w:highlight w:val="none"/>
        </w:rPr>
      </w:pPr>
      <w:bookmarkStart w:id="100" w:name="_Toc15396625"/>
      <w:bookmarkStart w:id="101" w:name="_Toc4742_WPSOffice_Level2"/>
      <w:r>
        <w:rPr>
          <w:rFonts w:hint="default" w:ascii="Times New Roman" w:hAnsi="Times New Roman" w:eastAsia="仿宋_GB2312" w:cs="Times New Roman"/>
          <w:color w:val="auto"/>
          <w:sz w:val="32"/>
          <w:szCs w:val="32"/>
          <w:highlight w:val="none"/>
        </w:rPr>
        <w:t>七、一般公共预算财政拨款支出决算明细表</w:t>
      </w:r>
      <w:bookmarkEnd w:id="100"/>
      <w:bookmarkEnd w:id="101"/>
    </w:p>
    <w:p w14:paraId="003752E0">
      <w:pPr>
        <w:pStyle w:val="16"/>
        <w:keepNext w:val="0"/>
        <w:keepLines w:val="0"/>
        <w:pageBreakBefore w:val="0"/>
        <w:kinsoku/>
        <w:wordWrap/>
        <w:overflowPunct/>
        <w:topLinePunct w:val="0"/>
        <w:autoSpaceDE/>
        <w:autoSpaceDN/>
        <w:bidi w:val="0"/>
        <w:adjustRightInd w:val="0"/>
        <w:snapToGrid w:val="0"/>
        <w:spacing w:line="578" w:lineRule="exact"/>
        <w:jc w:val="left"/>
        <w:textAlignment w:val="auto"/>
        <w:rPr>
          <w:rFonts w:hint="default" w:ascii="Times New Roman" w:hAnsi="Times New Roman" w:eastAsia="仿宋_GB2312" w:cs="Times New Roman"/>
          <w:color w:val="auto"/>
          <w:sz w:val="32"/>
          <w:szCs w:val="32"/>
          <w:highlight w:val="none"/>
        </w:rPr>
      </w:pPr>
      <w:bookmarkStart w:id="102" w:name="_Toc15396626"/>
      <w:bookmarkStart w:id="103" w:name="_Toc26199_WPSOffice_Level2"/>
      <w:r>
        <w:rPr>
          <w:rFonts w:hint="default" w:ascii="Times New Roman" w:hAnsi="Times New Roman" w:eastAsia="仿宋_GB2312" w:cs="Times New Roman"/>
          <w:color w:val="auto"/>
          <w:sz w:val="32"/>
          <w:szCs w:val="32"/>
          <w:highlight w:val="none"/>
        </w:rPr>
        <w:t>八、一般公共预算财政拨款基本支出决算表</w:t>
      </w:r>
      <w:bookmarkEnd w:id="102"/>
      <w:bookmarkEnd w:id="103"/>
    </w:p>
    <w:p w14:paraId="3935B32D">
      <w:pPr>
        <w:pStyle w:val="16"/>
        <w:keepNext w:val="0"/>
        <w:keepLines w:val="0"/>
        <w:pageBreakBefore w:val="0"/>
        <w:kinsoku/>
        <w:wordWrap/>
        <w:overflowPunct/>
        <w:topLinePunct w:val="0"/>
        <w:autoSpaceDE/>
        <w:autoSpaceDN/>
        <w:bidi w:val="0"/>
        <w:adjustRightInd w:val="0"/>
        <w:snapToGrid w:val="0"/>
        <w:spacing w:line="578" w:lineRule="exact"/>
        <w:jc w:val="left"/>
        <w:textAlignment w:val="auto"/>
        <w:rPr>
          <w:rFonts w:hint="default" w:ascii="Times New Roman" w:hAnsi="Times New Roman" w:eastAsia="仿宋_GB2312" w:cs="Times New Roman"/>
          <w:color w:val="auto"/>
          <w:sz w:val="32"/>
          <w:szCs w:val="32"/>
          <w:highlight w:val="none"/>
        </w:rPr>
      </w:pPr>
      <w:bookmarkStart w:id="104" w:name="_Toc15396627"/>
      <w:bookmarkStart w:id="105" w:name="_Toc32170_WPSOffice_Level2"/>
      <w:r>
        <w:rPr>
          <w:rFonts w:hint="default" w:ascii="Times New Roman" w:hAnsi="Times New Roman" w:eastAsia="仿宋_GB2312" w:cs="Times New Roman"/>
          <w:color w:val="auto"/>
          <w:sz w:val="32"/>
          <w:szCs w:val="32"/>
          <w:highlight w:val="none"/>
        </w:rPr>
        <w:t>九、一般公共预算财政拨款项目支出决算表</w:t>
      </w:r>
      <w:bookmarkEnd w:id="104"/>
      <w:bookmarkEnd w:id="105"/>
    </w:p>
    <w:p w14:paraId="44198588">
      <w:pPr>
        <w:pStyle w:val="16"/>
        <w:keepNext w:val="0"/>
        <w:keepLines w:val="0"/>
        <w:pageBreakBefore w:val="0"/>
        <w:kinsoku/>
        <w:wordWrap/>
        <w:overflowPunct/>
        <w:topLinePunct w:val="0"/>
        <w:autoSpaceDE/>
        <w:autoSpaceDN/>
        <w:bidi w:val="0"/>
        <w:adjustRightInd w:val="0"/>
        <w:snapToGrid w:val="0"/>
        <w:spacing w:line="578" w:lineRule="exact"/>
        <w:jc w:val="left"/>
        <w:textAlignment w:val="auto"/>
        <w:rPr>
          <w:rFonts w:hint="default" w:ascii="Times New Roman" w:hAnsi="Times New Roman" w:eastAsia="仿宋_GB2312" w:cs="Times New Roman"/>
          <w:color w:val="auto"/>
          <w:sz w:val="32"/>
          <w:szCs w:val="32"/>
          <w:highlight w:val="none"/>
        </w:rPr>
      </w:pPr>
      <w:bookmarkStart w:id="106" w:name="_Toc15396628"/>
      <w:bookmarkStart w:id="107" w:name="_Toc15370_WPSOffice_Level2"/>
      <w:r>
        <w:rPr>
          <w:rFonts w:hint="default" w:ascii="Times New Roman" w:hAnsi="Times New Roman" w:eastAsia="仿宋_GB2312" w:cs="Times New Roman"/>
          <w:color w:val="auto"/>
          <w:sz w:val="32"/>
          <w:szCs w:val="32"/>
          <w:highlight w:val="none"/>
        </w:rPr>
        <w:t>十、</w:t>
      </w:r>
      <w:bookmarkEnd w:id="106"/>
      <w:r>
        <w:rPr>
          <w:rFonts w:hint="default" w:ascii="Times New Roman" w:hAnsi="Times New Roman" w:eastAsia="仿宋_GB2312" w:cs="Times New Roman"/>
          <w:color w:val="auto"/>
          <w:sz w:val="32"/>
          <w:szCs w:val="32"/>
          <w:highlight w:val="none"/>
        </w:rPr>
        <w:t>政府性基金预算财政拨款收入支出决算表</w:t>
      </w:r>
      <w:bookmarkEnd w:id="107"/>
    </w:p>
    <w:p w14:paraId="02D7E38F">
      <w:pPr>
        <w:pStyle w:val="16"/>
        <w:keepNext w:val="0"/>
        <w:keepLines w:val="0"/>
        <w:pageBreakBefore w:val="0"/>
        <w:kinsoku/>
        <w:wordWrap/>
        <w:overflowPunct/>
        <w:topLinePunct w:val="0"/>
        <w:autoSpaceDE/>
        <w:autoSpaceDN/>
        <w:bidi w:val="0"/>
        <w:adjustRightInd w:val="0"/>
        <w:snapToGrid w:val="0"/>
        <w:spacing w:line="578" w:lineRule="exact"/>
        <w:jc w:val="left"/>
        <w:textAlignment w:val="auto"/>
        <w:rPr>
          <w:rFonts w:hint="default" w:ascii="Times New Roman" w:hAnsi="Times New Roman" w:eastAsia="仿宋_GB2312" w:cs="Times New Roman"/>
          <w:color w:val="auto"/>
          <w:sz w:val="32"/>
          <w:szCs w:val="32"/>
          <w:highlight w:val="none"/>
        </w:rPr>
      </w:pPr>
      <w:bookmarkStart w:id="108" w:name="_Toc15396629"/>
      <w:bookmarkStart w:id="109" w:name="_Toc32206_WPSOffice_Level2"/>
      <w:r>
        <w:rPr>
          <w:rFonts w:hint="default" w:ascii="Times New Roman" w:hAnsi="Times New Roman" w:eastAsia="仿宋_GB2312" w:cs="Times New Roman"/>
          <w:color w:val="auto"/>
          <w:sz w:val="32"/>
          <w:szCs w:val="32"/>
          <w:highlight w:val="none"/>
        </w:rPr>
        <w:t>十一、</w:t>
      </w:r>
      <w:bookmarkEnd w:id="108"/>
      <w:r>
        <w:rPr>
          <w:rFonts w:hint="default" w:ascii="Times New Roman" w:hAnsi="Times New Roman" w:eastAsia="仿宋_GB2312" w:cs="Times New Roman"/>
          <w:color w:val="auto"/>
          <w:sz w:val="32"/>
          <w:szCs w:val="32"/>
          <w:highlight w:val="none"/>
        </w:rPr>
        <w:t>国有资本经营预算</w:t>
      </w:r>
      <w:r>
        <w:rPr>
          <w:rFonts w:hint="default" w:ascii="Times New Roman" w:hAnsi="Times New Roman" w:eastAsia="仿宋_GB2312" w:cs="Times New Roman"/>
          <w:color w:val="auto"/>
          <w:sz w:val="32"/>
          <w:szCs w:val="32"/>
          <w:highlight w:val="none"/>
          <w:lang w:eastAsia="zh-CN"/>
        </w:rPr>
        <w:t>财政拨款收入</w:t>
      </w:r>
      <w:r>
        <w:rPr>
          <w:rFonts w:hint="default" w:ascii="Times New Roman" w:hAnsi="Times New Roman" w:eastAsia="仿宋_GB2312" w:cs="Times New Roman"/>
          <w:color w:val="auto"/>
          <w:sz w:val="32"/>
          <w:szCs w:val="32"/>
          <w:highlight w:val="none"/>
        </w:rPr>
        <w:t>支出决算表</w:t>
      </w:r>
      <w:bookmarkEnd w:id="109"/>
    </w:p>
    <w:p w14:paraId="2B45FE43">
      <w:pPr>
        <w:pStyle w:val="16"/>
        <w:keepNext w:val="0"/>
        <w:keepLines w:val="0"/>
        <w:pageBreakBefore w:val="0"/>
        <w:kinsoku/>
        <w:wordWrap/>
        <w:overflowPunct/>
        <w:topLinePunct w:val="0"/>
        <w:autoSpaceDE/>
        <w:autoSpaceDN/>
        <w:bidi w:val="0"/>
        <w:adjustRightInd w:val="0"/>
        <w:snapToGrid w:val="0"/>
        <w:spacing w:line="578" w:lineRule="exact"/>
        <w:jc w:val="left"/>
        <w:textAlignment w:val="auto"/>
        <w:rPr>
          <w:rFonts w:hint="default" w:ascii="Times New Roman" w:hAnsi="Times New Roman" w:eastAsia="仿宋_GB2312" w:cs="Times New Roman"/>
          <w:color w:val="auto"/>
          <w:sz w:val="32"/>
          <w:szCs w:val="32"/>
          <w:highlight w:val="none"/>
        </w:rPr>
      </w:pPr>
      <w:bookmarkStart w:id="110" w:name="_Toc15396630"/>
      <w:bookmarkStart w:id="111" w:name="_Toc25608_WPSOffice_Level2"/>
      <w:r>
        <w:rPr>
          <w:rFonts w:hint="default" w:ascii="Times New Roman" w:hAnsi="Times New Roman" w:eastAsia="仿宋_GB2312" w:cs="Times New Roman"/>
          <w:color w:val="auto"/>
          <w:sz w:val="32"/>
          <w:szCs w:val="32"/>
          <w:highlight w:val="none"/>
        </w:rPr>
        <w:t>十二、</w:t>
      </w:r>
      <w:bookmarkEnd w:id="110"/>
      <w:r>
        <w:rPr>
          <w:rFonts w:hint="default" w:ascii="Times New Roman" w:hAnsi="Times New Roman" w:eastAsia="仿宋_GB2312" w:cs="Times New Roman"/>
          <w:color w:val="auto"/>
          <w:sz w:val="32"/>
          <w:szCs w:val="32"/>
          <w:highlight w:val="none"/>
          <w:lang w:eastAsia="zh-CN"/>
        </w:rPr>
        <w:t>国有资本经营预算财政拨款支出决算表</w:t>
      </w:r>
      <w:bookmarkEnd w:id="111"/>
    </w:p>
    <w:p w14:paraId="04579F7A">
      <w:pPr>
        <w:pStyle w:val="16"/>
        <w:keepNext w:val="0"/>
        <w:keepLines w:val="0"/>
        <w:pageBreakBefore w:val="0"/>
        <w:kinsoku/>
        <w:wordWrap/>
        <w:overflowPunct/>
        <w:topLinePunct w:val="0"/>
        <w:autoSpaceDE/>
        <w:autoSpaceDN/>
        <w:bidi w:val="0"/>
        <w:adjustRightInd w:val="0"/>
        <w:snapToGrid w:val="0"/>
        <w:spacing w:line="578" w:lineRule="exact"/>
        <w:jc w:val="left"/>
        <w:textAlignment w:val="auto"/>
        <w:rPr>
          <w:rFonts w:hint="default" w:ascii="Times New Roman" w:hAnsi="Times New Roman" w:eastAsia="仿宋_GB2312" w:cs="Times New Roman"/>
          <w:color w:val="auto"/>
          <w:sz w:val="32"/>
          <w:szCs w:val="32"/>
          <w:highlight w:val="none"/>
          <w:lang w:eastAsia="zh-CN"/>
        </w:rPr>
      </w:pPr>
      <w:bookmarkStart w:id="112" w:name="_Toc15396631"/>
      <w:bookmarkStart w:id="113" w:name="_Toc2100_WPSOffice_Level2"/>
      <w:r>
        <w:rPr>
          <w:rFonts w:hint="default" w:ascii="Times New Roman" w:hAnsi="Times New Roman" w:eastAsia="仿宋_GB2312" w:cs="Times New Roman"/>
          <w:color w:val="auto"/>
          <w:sz w:val="32"/>
          <w:szCs w:val="32"/>
          <w:highlight w:val="none"/>
        </w:rPr>
        <w:t>十三、</w:t>
      </w:r>
      <w:bookmarkEnd w:id="112"/>
      <w:r>
        <w:rPr>
          <w:rFonts w:hint="default" w:ascii="Times New Roman" w:hAnsi="Times New Roman" w:eastAsia="仿宋_GB2312" w:cs="Times New Roman"/>
          <w:color w:val="auto"/>
          <w:sz w:val="32"/>
          <w:szCs w:val="32"/>
          <w:highlight w:val="none"/>
          <w:lang w:eastAsia="zh-CN"/>
        </w:rPr>
        <w:t>财政拨款“三公”经费支出决算表</w:t>
      </w:r>
      <w:bookmarkEnd w:id="113"/>
    </w:p>
    <w:p w14:paraId="5F8D40D7">
      <w:pPr>
        <w:pageBreakBefore w:val="0"/>
        <w:kinsoku/>
        <w:wordWrap/>
        <w:overflowPunct/>
        <w:topLinePunct w:val="0"/>
        <w:bidi w:val="0"/>
        <w:spacing w:line="578" w:lineRule="exact"/>
        <w:textAlignment w:val="auto"/>
        <w:rPr>
          <w:rFonts w:hint="default" w:ascii="Times New Roman" w:hAnsi="Times New Roman" w:cs="Times New Roman"/>
          <w:lang w:eastAsia="zh-CN"/>
        </w:rPr>
      </w:pPr>
    </w:p>
    <w:sectPr>
      <w:footerReference r:id="rId7" w:type="first"/>
      <w:footerReference r:id="rId6" w:type="default"/>
      <w:pgSz w:w="11906" w:h="16838"/>
      <w:pgMar w:top="2098" w:right="1474" w:bottom="1984" w:left="1587" w:header="851" w:footer="1134" w:gutter="0"/>
      <w:pgNumType w:fmt="decimal"/>
      <w:cols w:space="425"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C4F4BB3-1B1B-4F51-9AE7-21DC229E247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embedRegular r:id="rId2" w:fontKey="{C34A4AE6-E6C7-4C46-8A09-CD983EDC785C}"/>
  </w:font>
  <w:font w:name="仿宋">
    <w:panose1 w:val="02010609060101010101"/>
    <w:charset w:val="86"/>
    <w:family w:val="auto"/>
    <w:pitch w:val="default"/>
    <w:sig w:usb0="800002BF" w:usb1="38CF7CFA" w:usb2="00000016" w:usb3="00000000" w:csb0="00040001" w:csb1="00000000"/>
    <w:embedRegular r:id="rId3" w:fontKey="{EA7BF654-8669-4DBD-916A-7159893F02BD}"/>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13457ECC-1EC8-4076-BB44-377FFEB4EEAC}"/>
  </w:font>
  <w:font w:name="楷体_GB2312">
    <w:panose1 w:val="02010609030101010101"/>
    <w:charset w:val="86"/>
    <w:family w:val="auto"/>
    <w:pitch w:val="default"/>
    <w:sig w:usb0="00000001" w:usb1="080E0000" w:usb2="00000000" w:usb3="00000000" w:csb0="00040000" w:csb1="00000000"/>
    <w:embedRegular r:id="rId5" w:fontKey="{4BB57ABD-3E8C-494B-AFE3-935B7BCED30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B2FD30">
    <w:pPr>
      <w:pStyle w:val="12"/>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DE26B9">
                          <w:pPr>
                            <w:pStyle w:val="12"/>
                          </w:pPr>
                          <w:r>
                            <w:t xml:space="preserve">— </w:t>
                          </w:r>
                          <w:r>
                            <w:fldChar w:fldCharType="begin"/>
                          </w:r>
                          <w:r>
                            <w:instrText xml:space="preserve"> PAGE  \* MERGEFORMAT </w:instrText>
                          </w:r>
                          <w:r>
                            <w:fldChar w:fldCharType="separate"/>
                          </w:r>
                          <w:r>
                            <w:t>- 1 -</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6BDE26B9">
                    <w:pPr>
                      <w:pStyle w:val="12"/>
                    </w:pPr>
                    <w:r>
                      <w:t xml:space="preserve">— </w:t>
                    </w:r>
                    <w:r>
                      <w:fldChar w:fldCharType="begin"/>
                    </w:r>
                    <w:r>
                      <w:instrText xml:space="preserve"> PAGE  \* MERGEFORMAT </w:instrText>
                    </w:r>
                    <w:r>
                      <w:fldChar w:fldCharType="separate"/>
                    </w:r>
                    <w:r>
                      <w:t>- 1 -</w:t>
                    </w:r>
                    <w:r>
                      <w:fldChar w:fldCharType="end"/>
                    </w:r>
                    <w:r>
                      <w:t xml:space="preserve"> —</w:t>
                    </w:r>
                  </w:p>
                </w:txbxContent>
              </v:textbox>
            </v:shape>
          </w:pict>
        </mc:Fallback>
      </mc:AlternateContent>
    </w:r>
  </w:p>
  <w:p w14:paraId="29A4EBAC">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A7158D">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5D2AC5">
                          <w:pPr>
                            <w:pStyle w:val="1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705D2AC5">
                    <w:pPr>
                      <w:pStyle w:val="1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B122AB">
    <w:pPr>
      <w:pStyle w:val="1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7B7CFA">
                          <w:pPr>
                            <w:pStyle w:val="1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7F7B7CFA">
                    <w:pPr>
                      <w:pStyle w:val="1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p w14:paraId="1333B315">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A2F0C6">
    <w:pPr>
      <w:pStyle w:val="12"/>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93511C">
                          <w:pPr>
                            <w:pStyle w:val="12"/>
                          </w:pPr>
                          <w:r>
                            <w:t xml:space="preserve">— </w:t>
                          </w:r>
                          <w:r>
                            <w:fldChar w:fldCharType="begin"/>
                          </w:r>
                          <w:r>
                            <w:instrText xml:space="preserve"> PAGE  \* MERGEFORMAT </w:instrText>
                          </w:r>
                          <w:r>
                            <w:fldChar w:fldCharType="separate"/>
                          </w:r>
                          <w:r>
                            <w:t>2</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0893511C">
                    <w:pPr>
                      <w:pStyle w:val="12"/>
                    </w:pPr>
                    <w:r>
                      <w:t xml:space="preserve">— </w:t>
                    </w:r>
                    <w:r>
                      <w:fldChar w:fldCharType="begin"/>
                    </w:r>
                    <w:r>
                      <w:instrText xml:space="preserve"> PAGE  \* MERGEFORMAT </w:instrText>
                    </w:r>
                    <w:r>
                      <w:fldChar w:fldCharType="separate"/>
                    </w:r>
                    <w:r>
                      <w:t>2</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C74AA8">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7F78B0"/>
    <w:multiLevelType w:val="singleLevel"/>
    <w:tmpl w:val="B07F78B0"/>
    <w:lvl w:ilvl="0" w:tentative="0">
      <w:start w:val="2"/>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FEBE30"/>
    <w:rsid w:val="044C6E68"/>
    <w:rsid w:val="04916F1E"/>
    <w:rsid w:val="061E35DE"/>
    <w:rsid w:val="066E0107"/>
    <w:rsid w:val="07996F6E"/>
    <w:rsid w:val="07DFD8BA"/>
    <w:rsid w:val="09867E8F"/>
    <w:rsid w:val="0A0E442F"/>
    <w:rsid w:val="0A2032A3"/>
    <w:rsid w:val="0CA8290A"/>
    <w:rsid w:val="0D35B1ED"/>
    <w:rsid w:val="0E254B6B"/>
    <w:rsid w:val="0F0D70B7"/>
    <w:rsid w:val="0F98263C"/>
    <w:rsid w:val="0F98310B"/>
    <w:rsid w:val="101860EC"/>
    <w:rsid w:val="101F47CC"/>
    <w:rsid w:val="10C055FF"/>
    <w:rsid w:val="114E421F"/>
    <w:rsid w:val="11694EBD"/>
    <w:rsid w:val="11772AA4"/>
    <w:rsid w:val="118107EC"/>
    <w:rsid w:val="11B36778"/>
    <w:rsid w:val="12E24EE2"/>
    <w:rsid w:val="13D50BC4"/>
    <w:rsid w:val="14B17F78"/>
    <w:rsid w:val="165E0673"/>
    <w:rsid w:val="16980A14"/>
    <w:rsid w:val="16B831D5"/>
    <w:rsid w:val="16BB723D"/>
    <w:rsid w:val="17E50567"/>
    <w:rsid w:val="182C7143"/>
    <w:rsid w:val="183B3F83"/>
    <w:rsid w:val="186504BB"/>
    <w:rsid w:val="187C78C4"/>
    <w:rsid w:val="19870E5E"/>
    <w:rsid w:val="19A445FC"/>
    <w:rsid w:val="19F91C20"/>
    <w:rsid w:val="1A7F5449"/>
    <w:rsid w:val="1AAF33F3"/>
    <w:rsid w:val="1B845BC7"/>
    <w:rsid w:val="1BE8440E"/>
    <w:rsid w:val="1C7D1E5D"/>
    <w:rsid w:val="1D155CEE"/>
    <w:rsid w:val="1D1638FE"/>
    <w:rsid w:val="1E312DEB"/>
    <w:rsid w:val="1E740ACF"/>
    <w:rsid w:val="1FF35744"/>
    <w:rsid w:val="1FF6BC77"/>
    <w:rsid w:val="20564E9E"/>
    <w:rsid w:val="2186353C"/>
    <w:rsid w:val="2311181C"/>
    <w:rsid w:val="23860B96"/>
    <w:rsid w:val="238C6BCD"/>
    <w:rsid w:val="240371BF"/>
    <w:rsid w:val="244F3473"/>
    <w:rsid w:val="24C97D99"/>
    <w:rsid w:val="255E0351"/>
    <w:rsid w:val="25A718F0"/>
    <w:rsid w:val="25BB59F6"/>
    <w:rsid w:val="260F557C"/>
    <w:rsid w:val="26970054"/>
    <w:rsid w:val="271C6206"/>
    <w:rsid w:val="281408E2"/>
    <w:rsid w:val="286345FC"/>
    <w:rsid w:val="28B44E58"/>
    <w:rsid w:val="2920604A"/>
    <w:rsid w:val="29FD04D3"/>
    <w:rsid w:val="2A4D723B"/>
    <w:rsid w:val="2A594C15"/>
    <w:rsid w:val="2BEA293F"/>
    <w:rsid w:val="2BFF7BC6"/>
    <w:rsid w:val="2C8A61B5"/>
    <w:rsid w:val="2DF04E50"/>
    <w:rsid w:val="2E586DFA"/>
    <w:rsid w:val="2F040D46"/>
    <w:rsid w:val="2F6B035B"/>
    <w:rsid w:val="2FAE5751"/>
    <w:rsid w:val="2FB1A395"/>
    <w:rsid w:val="2FD9A7D8"/>
    <w:rsid w:val="2FDBF714"/>
    <w:rsid w:val="30AB6865"/>
    <w:rsid w:val="319F7F4E"/>
    <w:rsid w:val="32AA20D0"/>
    <w:rsid w:val="32BD1EF1"/>
    <w:rsid w:val="3304709D"/>
    <w:rsid w:val="33A773CB"/>
    <w:rsid w:val="33C93811"/>
    <w:rsid w:val="349D6851"/>
    <w:rsid w:val="35B46497"/>
    <w:rsid w:val="36AA5135"/>
    <w:rsid w:val="36BE0DA7"/>
    <w:rsid w:val="37594DC5"/>
    <w:rsid w:val="376B6AA6"/>
    <w:rsid w:val="376D39B2"/>
    <w:rsid w:val="37E16F03"/>
    <w:rsid w:val="37F53A3B"/>
    <w:rsid w:val="37FB65FF"/>
    <w:rsid w:val="389B6C89"/>
    <w:rsid w:val="38D469F0"/>
    <w:rsid w:val="39627CCD"/>
    <w:rsid w:val="397BAF1F"/>
    <w:rsid w:val="39EF59A6"/>
    <w:rsid w:val="3A396F6B"/>
    <w:rsid w:val="3AAA1C17"/>
    <w:rsid w:val="3AB79AF3"/>
    <w:rsid w:val="3AE834C0"/>
    <w:rsid w:val="3B7EF35A"/>
    <w:rsid w:val="3B9FDB6C"/>
    <w:rsid w:val="3BF5BC2F"/>
    <w:rsid w:val="3C0E2679"/>
    <w:rsid w:val="3CEBA265"/>
    <w:rsid w:val="3D1B6F3E"/>
    <w:rsid w:val="3D98207C"/>
    <w:rsid w:val="3DDF7E2A"/>
    <w:rsid w:val="3DEE7CF3"/>
    <w:rsid w:val="3E740A63"/>
    <w:rsid w:val="3E78745D"/>
    <w:rsid w:val="3E8517B1"/>
    <w:rsid w:val="3EE17838"/>
    <w:rsid w:val="3F55381A"/>
    <w:rsid w:val="3F7F7599"/>
    <w:rsid w:val="3FF4CAE0"/>
    <w:rsid w:val="3FF7B227"/>
    <w:rsid w:val="40376DBC"/>
    <w:rsid w:val="41DF7B9F"/>
    <w:rsid w:val="44E268DA"/>
    <w:rsid w:val="450D13D7"/>
    <w:rsid w:val="45506656"/>
    <w:rsid w:val="45CD0EAF"/>
    <w:rsid w:val="46D71FE6"/>
    <w:rsid w:val="486A6C7A"/>
    <w:rsid w:val="48B15F23"/>
    <w:rsid w:val="4A627F82"/>
    <w:rsid w:val="4B0E749A"/>
    <w:rsid w:val="4B2477C4"/>
    <w:rsid w:val="4B4F25DA"/>
    <w:rsid w:val="4BE068DB"/>
    <w:rsid w:val="4D577224"/>
    <w:rsid w:val="4DBF1CEB"/>
    <w:rsid w:val="4DF0007C"/>
    <w:rsid w:val="4EAB630A"/>
    <w:rsid w:val="4ECE2238"/>
    <w:rsid w:val="4F111E0D"/>
    <w:rsid w:val="4F245FE4"/>
    <w:rsid w:val="4F833267"/>
    <w:rsid w:val="4FE9BD67"/>
    <w:rsid w:val="4FFB052F"/>
    <w:rsid w:val="50B10B52"/>
    <w:rsid w:val="537E6D0A"/>
    <w:rsid w:val="53F74C96"/>
    <w:rsid w:val="55170BA8"/>
    <w:rsid w:val="553218C9"/>
    <w:rsid w:val="567E1AA5"/>
    <w:rsid w:val="56E47B74"/>
    <w:rsid w:val="57175D52"/>
    <w:rsid w:val="57987942"/>
    <w:rsid w:val="57BD3DD4"/>
    <w:rsid w:val="588C0756"/>
    <w:rsid w:val="58EB36CF"/>
    <w:rsid w:val="59E92304"/>
    <w:rsid w:val="5AF92295"/>
    <w:rsid w:val="5B250254"/>
    <w:rsid w:val="5BDD79E6"/>
    <w:rsid w:val="5BF561CA"/>
    <w:rsid w:val="5BFF5DFC"/>
    <w:rsid w:val="5CD71FC4"/>
    <w:rsid w:val="5D1F11B5"/>
    <w:rsid w:val="5D417D61"/>
    <w:rsid w:val="5D695134"/>
    <w:rsid w:val="5DAE1B18"/>
    <w:rsid w:val="5DE7D9E5"/>
    <w:rsid w:val="5EB9176F"/>
    <w:rsid w:val="5ECEC941"/>
    <w:rsid w:val="5FBF9FF3"/>
    <w:rsid w:val="5FCD4E2C"/>
    <w:rsid w:val="5FEF394A"/>
    <w:rsid w:val="5FF67715"/>
    <w:rsid w:val="61502F36"/>
    <w:rsid w:val="62145A44"/>
    <w:rsid w:val="6294457B"/>
    <w:rsid w:val="62BF3928"/>
    <w:rsid w:val="633D721D"/>
    <w:rsid w:val="63B3701E"/>
    <w:rsid w:val="647F5392"/>
    <w:rsid w:val="65E66580"/>
    <w:rsid w:val="664B1D71"/>
    <w:rsid w:val="664B4E8E"/>
    <w:rsid w:val="67277B67"/>
    <w:rsid w:val="679F6B13"/>
    <w:rsid w:val="67AA3209"/>
    <w:rsid w:val="68FA67FF"/>
    <w:rsid w:val="69763FEF"/>
    <w:rsid w:val="698D0931"/>
    <w:rsid w:val="6A7FE5F3"/>
    <w:rsid w:val="6B053271"/>
    <w:rsid w:val="6BDD78B3"/>
    <w:rsid w:val="6C4A05C8"/>
    <w:rsid w:val="6C7549DA"/>
    <w:rsid w:val="6C8742B8"/>
    <w:rsid w:val="6D461177"/>
    <w:rsid w:val="6D5414DA"/>
    <w:rsid w:val="6DBF5E93"/>
    <w:rsid w:val="6DFF077E"/>
    <w:rsid w:val="6E714EF0"/>
    <w:rsid w:val="6E7E3605"/>
    <w:rsid w:val="6E7FDCC7"/>
    <w:rsid w:val="6ED6A62E"/>
    <w:rsid w:val="6EE00B15"/>
    <w:rsid w:val="6F6FB3EB"/>
    <w:rsid w:val="6F8731EA"/>
    <w:rsid w:val="6FCE6052"/>
    <w:rsid w:val="6FD57C00"/>
    <w:rsid w:val="6FEFFFD8"/>
    <w:rsid w:val="6FF5CC65"/>
    <w:rsid w:val="6FFB47EC"/>
    <w:rsid w:val="6FFF034A"/>
    <w:rsid w:val="70484440"/>
    <w:rsid w:val="704D6717"/>
    <w:rsid w:val="70691651"/>
    <w:rsid w:val="712A28F1"/>
    <w:rsid w:val="715C0E4B"/>
    <w:rsid w:val="71992E7C"/>
    <w:rsid w:val="72233669"/>
    <w:rsid w:val="72734D90"/>
    <w:rsid w:val="73160E6D"/>
    <w:rsid w:val="7332FE48"/>
    <w:rsid w:val="73AB61DA"/>
    <w:rsid w:val="73AD73D5"/>
    <w:rsid w:val="73AF7CC3"/>
    <w:rsid w:val="73B6EB34"/>
    <w:rsid w:val="73D56FFD"/>
    <w:rsid w:val="73FA497D"/>
    <w:rsid w:val="744731E5"/>
    <w:rsid w:val="74BBD01D"/>
    <w:rsid w:val="74ED5379"/>
    <w:rsid w:val="75DEEEC2"/>
    <w:rsid w:val="75E32345"/>
    <w:rsid w:val="75F714AD"/>
    <w:rsid w:val="76E3355F"/>
    <w:rsid w:val="76FF5125"/>
    <w:rsid w:val="7713409B"/>
    <w:rsid w:val="776F6FFA"/>
    <w:rsid w:val="778769C8"/>
    <w:rsid w:val="77A75DCA"/>
    <w:rsid w:val="77DC22F5"/>
    <w:rsid w:val="783E271A"/>
    <w:rsid w:val="78616DE9"/>
    <w:rsid w:val="78E875D7"/>
    <w:rsid w:val="79086DAD"/>
    <w:rsid w:val="79D7FD79"/>
    <w:rsid w:val="79EE5BA4"/>
    <w:rsid w:val="7A894339"/>
    <w:rsid w:val="7AC5601E"/>
    <w:rsid w:val="7AD284E8"/>
    <w:rsid w:val="7AFF7572"/>
    <w:rsid w:val="7B49514D"/>
    <w:rsid w:val="7B6C7DFB"/>
    <w:rsid w:val="7BBFBED0"/>
    <w:rsid w:val="7BC3E394"/>
    <w:rsid w:val="7C1F3737"/>
    <w:rsid w:val="7CBFC87B"/>
    <w:rsid w:val="7CFE0F48"/>
    <w:rsid w:val="7D272ABC"/>
    <w:rsid w:val="7D7EC23E"/>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33"/>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4"/>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23"/>
    <w:unhideWhenUsed/>
    <w:qFormat/>
    <w:uiPriority w:val="9"/>
    <w:pPr>
      <w:keepNext/>
      <w:keepLines/>
      <w:spacing w:before="260" w:after="260" w:line="416" w:lineRule="auto"/>
      <w:outlineLvl w:val="2"/>
    </w:pPr>
    <w:rPr>
      <w:b/>
      <w:bCs/>
      <w:sz w:val="32"/>
      <w:szCs w:val="32"/>
    </w:rPr>
  </w:style>
  <w:style w:type="character" w:default="1" w:styleId="20">
    <w:name w:val="Default Paragraph Font"/>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Salutation"/>
    <w:basedOn w:val="1"/>
    <w:next w:val="1"/>
    <w:qFormat/>
    <w:uiPriority w:val="0"/>
  </w:style>
  <w:style w:type="paragraph" w:styleId="9">
    <w:name w:val="Body Text"/>
    <w:basedOn w:val="1"/>
    <w:link w:val="30"/>
    <w:qFormat/>
    <w:uiPriority w:val="99"/>
    <w:pPr>
      <w:spacing w:beforeLines="30"/>
    </w:pPr>
    <w:rPr>
      <w:rFonts w:ascii="仿宋_GB2312" w:eastAsia="仿宋_GB2312"/>
      <w:kern w:val="0"/>
      <w:sz w:val="30"/>
    </w:r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6"/>
    <w:semiHidden/>
    <w:unhideWhenUsed/>
    <w:qFormat/>
    <w:uiPriority w:val="99"/>
    <w:rPr>
      <w:sz w:val="18"/>
      <w:szCs w:val="18"/>
    </w:rPr>
  </w:style>
  <w:style w:type="paragraph" w:styleId="12">
    <w:name w:val="footer"/>
    <w:basedOn w:val="1"/>
    <w:link w:val="28"/>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6"/>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table of figures"/>
    <w:basedOn w:val="1"/>
    <w:next w:val="1"/>
    <w:qFormat/>
    <w:uiPriority w:val="0"/>
    <w:pPr>
      <w:ind w:leftChars="200" w:hanging="200" w:hangingChars="200"/>
    </w:pPr>
  </w:style>
  <w:style w:type="paragraph" w:styleId="16">
    <w:name w:val="toc 2"/>
    <w:basedOn w:val="1"/>
    <w:next w:val="1"/>
    <w:unhideWhenUsed/>
    <w:qFormat/>
    <w:uiPriority w:val="39"/>
    <w:pPr>
      <w:tabs>
        <w:tab w:val="right" w:leader="dot" w:pos="8296"/>
      </w:tabs>
      <w:ind w:left="420" w:leftChars="200"/>
    </w:pPr>
  </w:style>
  <w:style w:type="paragraph" w:styleId="17">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8">
    <w:name w:val="Body Text First Indent"/>
    <w:basedOn w:val="9"/>
    <w:qFormat/>
    <w:uiPriority w:val="0"/>
    <w:pPr>
      <w:ind w:firstLine="420" w:firstLineChars="100"/>
    </w:pPr>
  </w:style>
  <w:style w:type="character" w:styleId="21">
    <w:name w:val="Strong"/>
    <w:basedOn w:val="20"/>
    <w:qFormat/>
    <w:uiPriority w:val="99"/>
    <w:rPr>
      <w:b/>
    </w:rPr>
  </w:style>
  <w:style w:type="character" w:styleId="22">
    <w:name w:val="Hyperlink"/>
    <w:basedOn w:val="20"/>
    <w:unhideWhenUsed/>
    <w:qFormat/>
    <w:uiPriority w:val="99"/>
    <w:rPr>
      <w:color w:val="0000FF" w:themeColor="hyperlink"/>
      <w:u w:val="single"/>
      <w14:textFill>
        <w14:solidFill>
          <w14:schemeClr w14:val="hlink"/>
        </w14:solidFill>
      </w14:textFill>
    </w:rPr>
  </w:style>
  <w:style w:type="character" w:customStyle="1" w:styleId="23">
    <w:name w:val="标题 3 Char"/>
    <w:basedOn w:val="20"/>
    <w:link w:val="7"/>
    <w:qFormat/>
    <w:uiPriority w:val="9"/>
    <w:rPr>
      <w:rFonts w:ascii="Times New Roman" w:hAnsi="Times New Roman"/>
      <w:b/>
      <w:bCs/>
      <w:kern w:val="2"/>
      <w:sz w:val="32"/>
      <w:szCs w:val="32"/>
    </w:rPr>
  </w:style>
  <w:style w:type="paragraph" w:customStyle="1" w:styleId="24">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5">
    <w:name w:val="Header Char"/>
    <w:basedOn w:val="20"/>
    <w:semiHidden/>
    <w:qFormat/>
    <w:uiPriority w:val="99"/>
    <w:rPr>
      <w:rFonts w:ascii="Times New Roman" w:hAnsi="Times New Roman"/>
      <w:sz w:val="18"/>
      <w:szCs w:val="18"/>
    </w:rPr>
  </w:style>
  <w:style w:type="character" w:customStyle="1" w:styleId="26">
    <w:name w:val="页眉 Char"/>
    <w:link w:val="13"/>
    <w:semiHidden/>
    <w:qFormat/>
    <w:locked/>
    <w:uiPriority w:val="99"/>
    <w:rPr>
      <w:sz w:val="18"/>
    </w:rPr>
  </w:style>
  <w:style w:type="character" w:customStyle="1" w:styleId="27">
    <w:name w:val="Footer Char"/>
    <w:basedOn w:val="20"/>
    <w:semiHidden/>
    <w:qFormat/>
    <w:uiPriority w:val="99"/>
    <w:rPr>
      <w:rFonts w:ascii="Times New Roman" w:hAnsi="Times New Roman"/>
      <w:sz w:val="18"/>
      <w:szCs w:val="18"/>
    </w:rPr>
  </w:style>
  <w:style w:type="character" w:customStyle="1" w:styleId="28">
    <w:name w:val="页脚 Char"/>
    <w:link w:val="12"/>
    <w:qFormat/>
    <w:locked/>
    <w:uiPriority w:val="99"/>
    <w:rPr>
      <w:sz w:val="18"/>
    </w:rPr>
  </w:style>
  <w:style w:type="character" w:customStyle="1" w:styleId="29">
    <w:name w:val="Body Text Char"/>
    <w:basedOn w:val="20"/>
    <w:semiHidden/>
    <w:qFormat/>
    <w:uiPriority w:val="99"/>
    <w:rPr>
      <w:rFonts w:ascii="Times New Roman" w:hAnsi="Times New Roman"/>
      <w:szCs w:val="24"/>
    </w:rPr>
  </w:style>
  <w:style w:type="character" w:customStyle="1" w:styleId="30">
    <w:name w:val="正文文本 Char"/>
    <w:link w:val="9"/>
    <w:qFormat/>
    <w:locked/>
    <w:uiPriority w:val="99"/>
    <w:rPr>
      <w:rFonts w:ascii="仿宋_GB2312" w:hAnsi="Times New Roman" w:eastAsia="仿宋_GB2312"/>
      <w:sz w:val="24"/>
    </w:rPr>
  </w:style>
  <w:style w:type="paragraph" w:customStyle="1" w:styleId="31">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2">
    <w:name w:val="List Paragraph"/>
    <w:basedOn w:val="1"/>
    <w:qFormat/>
    <w:uiPriority w:val="34"/>
    <w:pPr>
      <w:ind w:firstLine="420" w:firstLineChars="200"/>
    </w:pPr>
  </w:style>
  <w:style w:type="character" w:customStyle="1" w:styleId="33">
    <w:name w:val="标题 1 Char"/>
    <w:basedOn w:val="20"/>
    <w:link w:val="5"/>
    <w:qFormat/>
    <w:uiPriority w:val="9"/>
    <w:rPr>
      <w:rFonts w:ascii="Times New Roman" w:hAnsi="Times New Roman"/>
      <w:b/>
      <w:bCs/>
      <w:kern w:val="44"/>
      <w:sz w:val="44"/>
      <w:szCs w:val="44"/>
    </w:rPr>
  </w:style>
  <w:style w:type="character" w:customStyle="1" w:styleId="34">
    <w:name w:val="标题 2 Char"/>
    <w:basedOn w:val="20"/>
    <w:link w:val="6"/>
    <w:qFormat/>
    <w:uiPriority w:val="9"/>
    <w:rPr>
      <w:rFonts w:asciiTheme="majorHAnsi" w:hAnsiTheme="majorHAnsi" w:eastAsiaTheme="majorEastAsia" w:cstheme="majorBidi"/>
      <w:b/>
      <w:bCs/>
      <w:kern w:val="2"/>
      <w:sz w:val="32"/>
      <w:szCs w:val="32"/>
    </w:rPr>
  </w:style>
  <w:style w:type="paragraph" w:customStyle="1" w:styleId="35">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6">
    <w:name w:val="批注框文本 Char"/>
    <w:basedOn w:val="20"/>
    <w:link w:val="11"/>
    <w:semiHidden/>
    <w:qFormat/>
    <w:uiPriority w:val="99"/>
    <w:rPr>
      <w:rFonts w:ascii="Times New Roman" w:hAnsi="Times New Roman"/>
      <w:kern w:val="2"/>
      <w:sz w:val="18"/>
      <w:szCs w:val="18"/>
    </w:rPr>
  </w:style>
  <w:style w:type="paragraph" w:customStyle="1" w:styleId="37">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8">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9">
    <w:name w:val="font21"/>
    <w:basedOn w:val="20"/>
    <w:qFormat/>
    <w:uiPriority w:val="0"/>
    <w:rPr>
      <w:rFonts w:hint="default" w:ascii="Arial" w:hAnsi="Arial" w:cs="Arial"/>
      <w:color w:val="000000"/>
      <w:sz w:val="19"/>
      <w:szCs w:val="19"/>
      <w:u w:val="none"/>
    </w:rPr>
  </w:style>
  <w:style w:type="character" w:customStyle="1" w:styleId="40">
    <w:name w:val="font101"/>
    <w:basedOn w:val="20"/>
    <w:qFormat/>
    <w:uiPriority w:val="0"/>
    <w:rPr>
      <w:rFonts w:hint="eastAsia" w:ascii="宋体" w:hAnsi="宋体" w:eastAsia="宋体" w:cs="宋体"/>
      <w:color w:val="000000"/>
      <w:sz w:val="19"/>
      <w:szCs w:val="19"/>
      <w:u w:val="none"/>
    </w:rPr>
  </w:style>
  <w:style w:type="paragraph" w:customStyle="1" w:styleId="41">
    <w:name w:val="WPSOffice手动目录 1"/>
    <w:qFormat/>
    <w:uiPriority w:val="0"/>
    <w:pPr>
      <w:ind w:leftChars="0"/>
    </w:pPr>
    <w:rPr>
      <w:rFonts w:ascii="Times New Roman" w:hAnsi="Times New Roman" w:eastAsia="宋体" w:cs="Times New Roman"/>
      <w:sz w:val="20"/>
      <w:szCs w:val="20"/>
    </w:rPr>
  </w:style>
  <w:style w:type="paragraph" w:customStyle="1" w:styleId="42">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glossaryDocument" Target="glossary/document.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b8f50e7a-e0b2-4d40-ab6e-54221cc18532}"/>
        <w:style w:val=""/>
        <w:category>
          <w:name w:val="常规"/>
          <w:gallery w:val="placeholder"/>
        </w:category>
        <w:types>
          <w:type w:val="bbPlcHdr"/>
        </w:types>
        <w:behaviors>
          <w:behavior w:val="content"/>
        </w:behaviors>
        <w:description w:val=""/>
        <w:guid w:val="{b8f50e7a-e0b2-4d40-ab6e-54221cc18532}"/>
      </w:docPartPr>
      <w:docPartBody>
        <w:p w14:paraId="11B37C9A">
          <w:r>
            <w:rPr>
              <w:color w:val="808080"/>
            </w:rPr>
            <w:t>单击此处输入文字。</w:t>
          </w:r>
        </w:p>
      </w:docPartBody>
    </w:docPart>
    <w:docPart>
      <w:docPartPr>
        <w:name w:val="{b6de1b33-5aa2-48a7-b5a2-2dc7c91afbf0}"/>
        <w:style w:val=""/>
        <w:category>
          <w:name w:val="常规"/>
          <w:gallery w:val="placeholder"/>
        </w:category>
        <w:types>
          <w:type w:val="bbPlcHdr"/>
        </w:types>
        <w:behaviors>
          <w:behavior w:val="content"/>
        </w:behaviors>
        <w:description w:val=""/>
        <w:guid w:val="{b6de1b33-5aa2-48a7-b5a2-2dc7c91afbf0}"/>
      </w:docPartPr>
      <w:docPartBody>
        <w:p w14:paraId="73F892D2">
          <w:r>
            <w:rPr>
              <w:color w:val="808080"/>
            </w:rPr>
            <w:t>单击此处输入文字。</w:t>
          </w:r>
        </w:p>
      </w:docPartBody>
    </w:docPart>
    <w:docPart>
      <w:docPartPr>
        <w:name w:val="{0e262734-1964-41dd-bdcd-1f3a51b20bc1}"/>
        <w:style w:val=""/>
        <w:category>
          <w:name w:val="常规"/>
          <w:gallery w:val="placeholder"/>
        </w:category>
        <w:types>
          <w:type w:val="bbPlcHdr"/>
        </w:types>
        <w:behaviors>
          <w:behavior w:val="content"/>
        </w:behaviors>
        <w:description w:val=""/>
        <w:guid w:val="{0e262734-1964-41dd-bdcd-1f3a51b20bc1}"/>
      </w:docPartPr>
      <w:docPartBody>
        <w:p w14:paraId="6D7FEBA0">
          <w:r>
            <w:rPr>
              <w:color w:val="808080"/>
            </w:rPr>
            <w:t>单击此处输入文字。</w:t>
          </w:r>
        </w:p>
      </w:docPartBody>
    </w:docPart>
    <w:docPart>
      <w:docPartPr>
        <w:name w:val="{889554f6-d6cb-42a1-b100-21d91c11e309}"/>
        <w:style w:val=""/>
        <w:category>
          <w:name w:val="常规"/>
          <w:gallery w:val="placeholder"/>
        </w:category>
        <w:types>
          <w:type w:val="bbPlcHdr"/>
        </w:types>
        <w:behaviors>
          <w:behavior w:val="content"/>
        </w:behaviors>
        <w:description w:val=""/>
        <w:guid w:val="{889554f6-d6cb-42a1-b100-21d91c11e309}"/>
      </w:docPartPr>
      <w:docPartBody>
        <w:p w14:paraId="0B2254AA">
          <w:r>
            <w:rPr>
              <w:color w:val="808080"/>
            </w:rPr>
            <w:t>单击此处输入文字。</w:t>
          </w:r>
        </w:p>
      </w:docPartBody>
    </w:docPart>
    <w:docPart>
      <w:docPartPr>
        <w:name w:val="{799992f4-1dc7-4888-92c6-86a81711945d}"/>
        <w:style w:val=""/>
        <w:category>
          <w:name w:val="常规"/>
          <w:gallery w:val="placeholder"/>
        </w:category>
        <w:types>
          <w:type w:val="bbPlcHdr"/>
        </w:types>
        <w:behaviors>
          <w:behavior w:val="content"/>
        </w:behaviors>
        <w:description w:val=""/>
        <w:guid w:val="{799992f4-1dc7-4888-92c6-86a81711945d}"/>
      </w:docPartPr>
      <w:docPartBody>
        <w:p w14:paraId="4A8027C1">
          <w:r>
            <w:rPr>
              <w:color w:val="808080"/>
            </w:rPr>
            <w:t>单击此处输入文字。</w:t>
          </w:r>
        </w:p>
      </w:docPartBody>
    </w:docPart>
    <w:docPart>
      <w:docPartPr>
        <w:name w:val="{612e241b-4c8c-44a6-a652-cda860127d53}"/>
        <w:style w:val=""/>
        <w:category>
          <w:name w:val="常规"/>
          <w:gallery w:val="placeholder"/>
        </w:category>
        <w:types>
          <w:type w:val="bbPlcHdr"/>
        </w:types>
        <w:behaviors>
          <w:behavior w:val="content"/>
        </w:behaviors>
        <w:description w:val=""/>
        <w:guid w:val="{612e241b-4c8c-44a6-a652-cda860127d53}"/>
      </w:docPartPr>
      <w:docPartBody>
        <w:p w14:paraId="4A566981">
          <w:r>
            <w:rPr>
              <w:color w:val="808080"/>
            </w:rPr>
            <w:t>单击此处输入文字。</w:t>
          </w:r>
        </w:p>
      </w:docPartBody>
    </w:docPart>
    <w:docPart>
      <w:docPartPr>
        <w:name w:val="{284a0b8c-6f23-4f70-849f-188feddf1058}"/>
        <w:style w:val=""/>
        <w:category>
          <w:name w:val="常规"/>
          <w:gallery w:val="placeholder"/>
        </w:category>
        <w:types>
          <w:type w:val="bbPlcHdr"/>
        </w:types>
        <w:behaviors>
          <w:behavior w:val="content"/>
        </w:behaviors>
        <w:description w:val=""/>
        <w:guid w:val="{284a0b8c-6f23-4f70-849f-188feddf1058}"/>
      </w:docPartPr>
      <w:docPartBody>
        <w:p w14:paraId="4EEAE723">
          <w:r>
            <w:rPr>
              <w:color w:val="808080"/>
            </w:rPr>
            <w:t>单击此处输入文字。</w:t>
          </w:r>
        </w:p>
      </w:docPartBody>
    </w:docPart>
    <w:docPart>
      <w:docPartPr>
        <w:name w:val="{73d6c9de-7534-4208-a08e-ece750459b93}"/>
        <w:style w:val=""/>
        <w:category>
          <w:name w:val="常规"/>
          <w:gallery w:val="placeholder"/>
        </w:category>
        <w:types>
          <w:type w:val="bbPlcHdr"/>
        </w:types>
        <w:behaviors>
          <w:behavior w:val="content"/>
        </w:behaviors>
        <w:description w:val=""/>
        <w:guid w:val="{73d6c9de-7534-4208-a08e-ece750459b93}"/>
      </w:docPartPr>
      <w:docPartBody>
        <w:p w14:paraId="54EF3498">
          <w:r>
            <w:rPr>
              <w:color w:val="808080"/>
            </w:rPr>
            <w:t>单击此处输入文字。</w:t>
          </w:r>
        </w:p>
      </w:docPartBody>
    </w:docPart>
    <w:docPart>
      <w:docPartPr>
        <w:name w:val="{a3c89ce6-60cf-4dbd-9088-2388ae5ee344}"/>
        <w:style w:val=""/>
        <w:category>
          <w:name w:val="常规"/>
          <w:gallery w:val="placeholder"/>
        </w:category>
        <w:types>
          <w:type w:val="bbPlcHdr"/>
        </w:types>
        <w:behaviors>
          <w:behavior w:val="content"/>
        </w:behaviors>
        <w:description w:val=""/>
        <w:guid w:val="{a3c89ce6-60cf-4dbd-9088-2388ae5ee344}"/>
      </w:docPartPr>
      <w:docPartBody>
        <w:p w14:paraId="585F3C4E">
          <w:r>
            <w:rPr>
              <w:color w:val="808080"/>
            </w:rPr>
            <w:t>单击此处输入文字。</w:t>
          </w:r>
        </w:p>
      </w:docPartBody>
    </w:docPart>
    <w:docPart>
      <w:docPartPr>
        <w:name w:val="{34781b3a-e75e-42d0-ba20-6c4eb92d361a}"/>
        <w:style w:val=""/>
        <w:category>
          <w:name w:val="常规"/>
          <w:gallery w:val="placeholder"/>
        </w:category>
        <w:types>
          <w:type w:val="bbPlcHdr"/>
        </w:types>
        <w:behaviors>
          <w:behavior w:val="content"/>
        </w:behaviors>
        <w:description w:val=""/>
        <w:guid w:val="{34781b3a-e75e-42d0-ba20-6c4eb92d361a}"/>
      </w:docPartPr>
      <w:docPartBody>
        <w:p w14:paraId="1775D070">
          <w:r>
            <w:rPr>
              <w:color w:val="808080"/>
            </w:rPr>
            <w:t>单击此处输入文字。</w:t>
          </w:r>
        </w:p>
      </w:docPartBody>
    </w:docPart>
    <w:docPart>
      <w:docPartPr>
        <w:name w:val="{91acb14b-0931-4240-883b-a82bd360e33d}"/>
        <w:style w:val=""/>
        <w:category>
          <w:name w:val="常规"/>
          <w:gallery w:val="placeholder"/>
        </w:category>
        <w:types>
          <w:type w:val="bbPlcHdr"/>
        </w:types>
        <w:behaviors>
          <w:behavior w:val="content"/>
        </w:behaviors>
        <w:description w:val=""/>
        <w:guid w:val="{91acb14b-0931-4240-883b-a82bd360e33d}"/>
      </w:docPartPr>
      <w:docPartBody>
        <w:p w14:paraId="0B32E3E2">
          <w:r>
            <w:rPr>
              <w:color w:val="808080"/>
            </w:rPr>
            <w:t>单击此处输入文字。</w:t>
          </w:r>
        </w:p>
      </w:docPartBody>
    </w:docPart>
    <w:docPart>
      <w:docPartPr>
        <w:name w:val="{1fb4cf80-5c42-4edb-965a-d7e0ee612ff8}"/>
        <w:style w:val=""/>
        <w:category>
          <w:name w:val="常规"/>
          <w:gallery w:val="placeholder"/>
        </w:category>
        <w:types>
          <w:type w:val="bbPlcHdr"/>
        </w:types>
        <w:behaviors>
          <w:behavior w:val="content"/>
        </w:behaviors>
        <w:description w:val=""/>
        <w:guid w:val="{1fb4cf80-5c42-4edb-965a-d7e0ee612ff8}"/>
      </w:docPartPr>
      <w:docPartBody>
        <w:p w14:paraId="3904AF90">
          <w:r>
            <w:rPr>
              <w:color w:val="808080"/>
            </w:rPr>
            <w:t>单击此处输入文字。</w:t>
          </w:r>
        </w:p>
      </w:docPartBody>
    </w:docPart>
    <w:docPart>
      <w:docPartPr>
        <w:name w:val="{2edcb7aa-2410-456c-9139-c5591cb829a9}"/>
        <w:style w:val=""/>
        <w:category>
          <w:name w:val="常规"/>
          <w:gallery w:val="placeholder"/>
        </w:category>
        <w:types>
          <w:type w:val="bbPlcHdr"/>
        </w:types>
        <w:behaviors>
          <w:behavior w:val="content"/>
        </w:behaviors>
        <w:description w:val=""/>
        <w:guid w:val="{2edcb7aa-2410-456c-9139-c5591cb829a9}"/>
      </w:docPartPr>
      <w:docPartBody>
        <w:p w14:paraId="0FC0683E">
          <w:r>
            <w:rPr>
              <w:color w:val="808080"/>
            </w:rPr>
            <w:t>单击此处输入文字。</w:t>
          </w:r>
        </w:p>
      </w:docPartBody>
    </w:docPart>
    <w:docPart>
      <w:docPartPr>
        <w:name w:val="{0553a680-1a18-4521-bcff-87066d9b0b17}"/>
        <w:style w:val=""/>
        <w:category>
          <w:name w:val="常规"/>
          <w:gallery w:val="placeholder"/>
        </w:category>
        <w:types>
          <w:type w:val="bbPlcHdr"/>
        </w:types>
        <w:behaviors>
          <w:behavior w:val="content"/>
        </w:behaviors>
        <w:description w:val=""/>
        <w:guid w:val="{0553a680-1a18-4521-bcff-87066d9b0b17}"/>
      </w:docPartPr>
      <w:docPartBody>
        <w:p w14:paraId="547BE4E8">
          <w:r>
            <w:rPr>
              <w:color w:val="808080"/>
            </w:rPr>
            <w:t>单击此处输入文字。</w:t>
          </w:r>
        </w:p>
      </w:docPartBody>
    </w:docPart>
    <w:docPart>
      <w:docPartPr>
        <w:name w:val="{e7bd791c-f785-4487-a4f5-9f4ebb19bb2c}"/>
        <w:style w:val=""/>
        <w:category>
          <w:name w:val="常规"/>
          <w:gallery w:val="placeholder"/>
        </w:category>
        <w:types>
          <w:type w:val="bbPlcHdr"/>
        </w:types>
        <w:behaviors>
          <w:behavior w:val="content"/>
        </w:behaviors>
        <w:description w:val=""/>
        <w:guid w:val="{e7bd791c-f785-4487-a4f5-9f4ebb19bb2c}"/>
      </w:docPartPr>
      <w:docPartBody>
        <w:p w14:paraId="2E2077F5">
          <w:r>
            <w:rPr>
              <w:color w:val="808080"/>
            </w:rPr>
            <w:t>单击此处输入文字。</w:t>
          </w:r>
        </w:p>
      </w:docPartBody>
    </w:docPart>
    <w:docPart>
      <w:docPartPr>
        <w:name w:val="{baa67dfd-6d7b-465c-aa22-f8f05e0b5360}"/>
        <w:style w:val=""/>
        <w:category>
          <w:name w:val="常规"/>
          <w:gallery w:val="placeholder"/>
        </w:category>
        <w:types>
          <w:type w:val="bbPlcHdr"/>
        </w:types>
        <w:behaviors>
          <w:behavior w:val="content"/>
        </w:behaviors>
        <w:description w:val=""/>
        <w:guid w:val="{baa67dfd-6d7b-465c-aa22-f8f05e0b5360}"/>
      </w:docPartPr>
      <w:docPartBody>
        <w:p w14:paraId="4D8FA7F3">
          <w:r>
            <w:rPr>
              <w:color w:val="808080"/>
            </w:rPr>
            <w:t>单击此处输入文字。</w:t>
          </w:r>
        </w:p>
      </w:docPartBody>
    </w:docPart>
    <w:docPart>
      <w:docPartPr>
        <w:name w:val="{0eb3c99a-9bfa-4730-82a2-9b7379fd0b2d}"/>
        <w:style w:val=""/>
        <w:category>
          <w:name w:val="常规"/>
          <w:gallery w:val="placeholder"/>
        </w:category>
        <w:types>
          <w:type w:val="bbPlcHdr"/>
        </w:types>
        <w:behaviors>
          <w:behavior w:val="content"/>
        </w:behaviors>
        <w:description w:val=""/>
        <w:guid w:val="{0eb3c99a-9bfa-4730-82a2-9b7379fd0b2d}"/>
      </w:docPartPr>
      <w:docPartBody>
        <w:p w14:paraId="0739B2DD">
          <w:r>
            <w:rPr>
              <w:color w:val="808080"/>
            </w:rPr>
            <w:t>单击此处输入文字。</w:t>
          </w:r>
        </w:p>
      </w:docPartBody>
    </w:docPart>
    <w:docPart>
      <w:docPartPr>
        <w:name w:val="{3d3d9bf8-69de-4e11-b7b7-890cdf6c29f5}"/>
        <w:style w:val=""/>
        <w:category>
          <w:name w:val="常规"/>
          <w:gallery w:val="placeholder"/>
        </w:category>
        <w:types>
          <w:type w:val="bbPlcHdr"/>
        </w:types>
        <w:behaviors>
          <w:behavior w:val="content"/>
        </w:behaviors>
        <w:description w:val=""/>
        <w:guid w:val="{3d3d9bf8-69de-4e11-b7b7-890cdf6c29f5}"/>
      </w:docPartPr>
      <w:docPartBody>
        <w:p w14:paraId="2398E9A9">
          <w:r>
            <w:rPr>
              <w:color w:val="808080"/>
            </w:rPr>
            <w:t>单击此处输入文字。</w:t>
          </w:r>
        </w:p>
      </w:docPartBody>
    </w:docPart>
    <w:docPart>
      <w:docPartPr>
        <w:name w:val="{0e1ef47d-8efe-4cde-80ba-7efff29c22f4}"/>
        <w:style w:val=""/>
        <w:category>
          <w:name w:val="常规"/>
          <w:gallery w:val="placeholder"/>
        </w:category>
        <w:types>
          <w:type w:val="bbPlcHdr"/>
        </w:types>
        <w:behaviors>
          <w:behavior w:val="content"/>
        </w:behaviors>
        <w:description w:val=""/>
        <w:guid w:val="{0e1ef47d-8efe-4cde-80ba-7efff29c22f4}"/>
      </w:docPartPr>
      <w:docPartBody>
        <w:p w14:paraId="3A683A4F">
          <w:r>
            <w:rPr>
              <w:color w:val="808080"/>
            </w:rPr>
            <w:t>单击此处输入文字。</w:t>
          </w:r>
        </w:p>
      </w:docPartBody>
    </w:docPart>
    <w:docPart>
      <w:docPartPr>
        <w:name w:val="{afd9fb0b-bb20-4be6-aff8-27ce55ee9d9f}"/>
        <w:style w:val=""/>
        <w:category>
          <w:name w:val="常规"/>
          <w:gallery w:val="placeholder"/>
        </w:category>
        <w:types>
          <w:type w:val="bbPlcHdr"/>
        </w:types>
        <w:behaviors>
          <w:behavior w:val="content"/>
        </w:behaviors>
        <w:description w:val=""/>
        <w:guid w:val="{afd9fb0b-bb20-4be6-aff8-27ce55ee9d9f}"/>
      </w:docPartPr>
      <w:docPartBody>
        <w:p w14:paraId="2F32D0AE">
          <w:r>
            <w:rPr>
              <w:color w:val="808080"/>
            </w:rPr>
            <w:t>单击此处输入文字。</w:t>
          </w:r>
        </w:p>
      </w:docPartBody>
    </w:docPart>
    <w:docPart>
      <w:docPartPr>
        <w:name w:val="{f1913f85-38d3-44da-8f73-580a5c30eaf7}"/>
        <w:style w:val=""/>
        <w:category>
          <w:name w:val="常规"/>
          <w:gallery w:val="placeholder"/>
        </w:category>
        <w:types>
          <w:type w:val="bbPlcHdr"/>
        </w:types>
        <w:behaviors>
          <w:behavior w:val="content"/>
        </w:behaviors>
        <w:description w:val=""/>
        <w:guid w:val="{f1913f85-38d3-44da-8f73-580a5c30eaf7}"/>
      </w:docPartPr>
      <w:docPartBody>
        <w:p w14:paraId="6A68614E">
          <w:r>
            <w:rPr>
              <w:color w:val="808080"/>
            </w:rPr>
            <w:t>单击此处输入文字。</w:t>
          </w:r>
        </w:p>
      </w:docPartBody>
    </w:docPart>
    <w:docPart>
      <w:docPartPr>
        <w:name w:val="{8e40f7ee-cd88-4423-a4a4-1de07bb864fe}"/>
        <w:style w:val=""/>
        <w:category>
          <w:name w:val="常规"/>
          <w:gallery w:val="placeholder"/>
        </w:category>
        <w:types>
          <w:type w:val="bbPlcHdr"/>
        </w:types>
        <w:behaviors>
          <w:behavior w:val="content"/>
        </w:behaviors>
        <w:description w:val=""/>
        <w:guid w:val="{8e40f7ee-cd88-4423-a4a4-1de07bb864fe}"/>
      </w:docPartPr>
      <w:docPartBody>
        <w:p w14:paraId="40D1E24A">
          <w:r>
            <w:rPr>
              <w:color w:val="808080"/>
            </w:rPr>
            <w:t>单击此处输入文字。</w:t>
          </w:r>
        </w:p>
      </w:docPartBody>
    </w:docPart>
    <w:docPart>
      <w:docPartPr>
        <w:name w:val="{403d347d-ee5b-4439-a567-7a083a4af141}"/>
        <w:style w:val=""/>
        <w:category>
          <w:name w:val="常规"/>
          <w:gallery w:val="placeholder"/>
        </w:category>
        <w:types>
          <w:type w:val="bbPlcHdr"/>
        </w:types>
        <w:behaviors>
          <w:behavior w:val="content"/>
        </w:behaviors>
        <w:description w:val=""/>
        <w:guid w:val="{403d347d-ee5b-4439-a567-7a083a4af141}"/>
      </w:docPartPr>
      <w:docPartBody>
        <w:p w14:paraId="57E4E743">
          <w:r>
            <w:rPr>
              <w:color w:val="808080"/>
            </w:rPr>
            <w:t>单击此处输入文字。</w:t>
          </w:r>
        </w:p>
      </w:docPartBody>
    </w:docPart>
    <w:docPart>
      <w:docPartPr>
        <w:name w:val="{85fe9063-4e4a-43fe-80a8-56b0184ea95a}"/>
        <w:style w:val=""/>
        <w:category>
          <w:name w:val="常规"/>
          <w:gallery w:val="placeholder"/>
        </w:category>
        <w:types>
          <w:type w:val="bbPlcHdr"/>
        </w:types>
        <w:behaviors>
          <w:behavior w:val="content"/>
        </w:behaviors>
        <w:description w:val=""/>
        <w:guid w:val="{85fe9063-4e4a-43fe-80a8-56b0184ea95a}"/>
      </w:docPartPr>
      <w:docPartBody>
        <w:p w14:paraId="4A06DA22">
          <w:r>
            <w:rPr>
              <w:color w:val="808080"/>
            </w:rPr>
            <w:t>单击此处输入文字。</w:t>
          </w:r>
        </w:p>
      </w:docPartBody>
    </w:docPart>
    <w:docPart>
      <w:docPartPr>
        <w:name w:val="{e9f79e1e-7abe-4683-bb6d-35f825fa6bc0}"/>
        <w:style w:val=""/>
        <w:category>
          <w:name w:val="常规"/>
          <w:gallery w:val="placeholder"/>
        </w:category>
        <w:types>
          <w:type w:val="bbPlcHdr"/>
        </w:types>
        <w:behaviors>
          <w:behavior w:val="content"/>
        </w:behaviors>
        <w:description w:val=""/>
        <w:guid w:val="{e9f79e1e-7abe-4683-bb6d-35f825fa6bc0}"/>
      </w:docPartPr>
      <w:docPartBody>
        <w:p w14:paraId="0F6D957B">
          <w:r>
            <w:rPr>
              <w:color w:val="808080"/>
            </w:rPr>
            <w:t>单击此处输入文字。</w:t>
          </w:r>
        </w:p>
      </w:docPartBody>
    </w:docPart>
    <w:docPart>
      <w:docPartPr>
        <w:name w:val="{568b1834-d758-4c5b-97e7-8c46a803a3db}"/>
        <w:style w:val=""/>
        <w:category>
          <w:name w:val="常规"/>
          <w:gallery w:val="placeholder"/>
        </w:category>
        <w:types>
          <w:type w:val="bbPlcHdr"/>
        </w:types>
        <w:behaviors>
          <w:behavior w:val="content"/>
        </w:behaviors>
        <w:description w:val=""/>
        <w:guid w:val="{568b1834-d758-4c5b-97e7-8c46a803a3db}"/>
      </w:docPartPr>
      <w:docPartBody>
        <w:p w14:paraId="4DEEE67F">
          <w:r>
            <w:rPr>
              <w:color w:val="808080"/>
            </w:rPr>
            <w:t>单击此处输入文字。</w:t>
          </w:r>
        </w:p>
      </w:docPartBody>
    </w:docPart>
    <w:docPart>
      <w:docPartPr>
        <w:name w:val="{dc07097b-4646-47df-9cd4-8e9b9269b6dd}"/>
        <w:style w:val=""/>
        <w:category>
          <w:name w:val="常规"/>
          <w:gallery w:val="placeholder"/>
        </w:category>
        <w:types>
          <w:type w:val="bbPlcHdr"/>
        </w:types>
        <w:behaviors>
          <w:behavior w:val="content"/>
        </w:behaviors>
        <w:description w:val=""/>
        <w:guid w:val="{dc07097b-4646-47df-9cd4-8e9b9269b6dd}"/>
      </w:docPartPr>
      <w:docPartBody>
        <w:p w14:paraId="7FA07DE8">
          <w:r>
            <w:rPr>
              <w:color w:val="808080"/>
            </w:rPr>
            <w:t>单击此处输入文字。</w:t>
          </w:r>
        </w:p>
      </w:docPartBody>
    </w:docPart>
    <w:docPart>
      <w:docPartPr>
        <w:name w:val="{5758b508-9306-4320-9aa8-2006c1256424}"/>
        <w:style w:val=""/>
        <w:category>
          <w:name w:val="常规"/>
          <w:gallery w:val="placeholder"/>
        </w:category>
        <w:types>
          <w:type w:val="bbPlcHdr"/>
        </w:types>
        <w:behaviors>
          <w:behavior w:val="content"/>
        </w:behaviors>
        <w:description w:val=""/>
        <w:guid w:val="{5758b508-9306-4320-9aa8-2006c1256424}"/>
      </w:docPartPr>
      <w:docPartBody>
        <w:p w14:paraId="1A2BDA0B">
          <w:r>
            <w:rPr>
              <w:color w:val="808080"/>
            </w:rPr>
            <w:t>单击此处输入文字。</w:t>
          </w:r>
        </w:p>
      </w:docPartBody>
    </w:docPart>
    <w:docPart>
      <w:docPartPr>
        <w:name w:val="{90f83736-5b70-473e-bfaf-0e808dd205d9}"/>
        <w:style w:val=""/>
        <w:category>
          <w:name w:val="常规"/>
          <w:gallery w:val="placeholder"/>
        </w:category>
        <w:types>
          <w:type w:val="bbPlcHdr"/>
        </w:types>
        <w:behaviors>
          <w:behavior w:val="content"/>
        </w:behaviors>
        <w:description w:val=""/>
        <w:guid w:val="{90f83736-5b70-473e-bfaf-0e808dd205d9}"/>
      </w:docPartPr>
      <w:docPartBody>
        <w:p w14:paraId="48E98427">
          <w:r>
            <w:rPr>
              <w:color w:val="808080"/>
            </w:rPr>
            <w:t>单击此处输入文字。</w:t>
          </w:r>
        </w:p>
      </w:docPartBody>
    </w:docPart>
    <w:docPart>
      <w:docPartPr>
        <w:name w:val="{274ff5d7-fba2-40c8-b7cd-5071785309b4}"/>
        <w:style w:val=""/>
        <w:category>
          <w:name w:val="常规"/>
          <w:gallery w:val="placeholder"/>
        </w:category>
        <w:types>
          <w:type w:val="bbPlcHdr"/>
        </w:types>
        <w:behaviors>
          <w:behavior w:val="content"/>
        </w:behaviors>
        <w:description w:val=""/>
        <w:guid w:val="{274ff5d7-fba2-40c8-b7cd-5071785309b4}"/>
      </w:docPartPr>
      <w:docPartBody>
        <w:p w14:paraId="429DEC10">
          <w:r>
            <w:rPr>
              <w:color w:val="808080"/>
            </w:rPr>
            <w:t>单击此处输入文字。</w:t>
          </w:r>
        </w:p>
      </w:docPartBody>
    </w:docPart>
    <w:docPart>
      <w:docPartPr>
        <w:name w:val="{096bca47-0122-43ed-81ad-f5f856bea9c5}"/>
        <w:style w:val=""/>
        <w:category>
          <w:name w:val="常规"/>
          <w:gallery w:val="placeholder"/>
        </w:category>
        <w:types>
          <w:type w:val="bbPlcHdr"/>
        </w:types>
        <w:behaviors>
          <w:behavior w:val="content"/>
        </w:behaviors>
        <w:description w:val=""/>
        <w:guid w:val="{096bca47-0122-43ed-81ad-f5f856bea9c5}"/>
      </w:docPartPr>
      <w:docPartBody>
        <w:p w14:paraId="708275D9">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03d3e638-c064-475b-b01b-f736006bab8d</errorID>
      <errorWord>全民健身服务体系</errorWord>
      <group>L1_Political</group>
      <groupName>政治性问题</groupName>
      <ability>L2_Unpolitical</ability>
      <abilityName>政治敏感错误</abilityName>
      <candidateList>
        <item>全民健身公共服务体系</item>
      </candidateList>
      <explain/>
      <paraID> 24351C4</paraID>
      <start>39</start>
      <end>49</end>
      <status>modified</status>
      <modifiedWord>全民健身公共服务体系</modifiedWord>
      <trackRevisions>false</trackRevisions>
    </reviewItem>
    <reviewItem>
      <errorID>d6a0e499-8c80-4533-9425-6f3de37c2634</errorID>
      <errorWord>:</errorWord>
      <group>L1_Format</group>
      <groupName>格式问题</groupName>
      <ability>L2_HalfPunc_CN</ability>
      <abilityName>全半角问题</abilityName>
      <candidateList>
        <item>：</item>
      </candidateList>
      <explain>文本全半角错误。</explain>
      <paraID>1091ABC2</paraID>
      <start>7</start>
      <end>8</end>
      <status>modified</status>
      <modifiedWord>：</modifiedWord>
      <trackRevisions>false</trackRevisions>
    </reviewItem>
    <reviewItem>
      <errorID>d18fe368-652b-4f16-87f8-96442f36b1e3</errorID>
      <errorWord>主要是</errorWord>
      <group>L1_Word</group>
      <groupName>字词问题</groupName>
      <ability>L2_Typo</ability>
      <abilityName>字词错误</abilityName>
      <candidateList>
        <item>主要</item>
      </candidateList>
      <explain/>
      <paraID>3A77213A</paraID>
      <start>94</start>
      <end>96</end>
      <status>modified</status>
      <modifiedWord>主要</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46bcf84-fb5e-4853-af49-37ce6d7f0ecc}">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28</Pages>
  <Words>11144</Words>
  <Characters>11896</Characters>
  <Lines>61</Lines>
  <Paragraphs>17</Paragraphs>
  <TotalTime>8</TotalTime>
  <ScaleCrop>false</ScaleCrop>
  <LinksUpToDate>false</LinksUpToDate>
  <CharactersWithSpaces>12005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奕夕^_^</cp:lastModifiedBy>
  <cp:lastPrinted>2025-08-06T17:34:00Z</cp:lastPrinted>
  <dcterms:modified xsi:type="dcterms:W3CDTF">2026-10-15T03:03:16Z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8810FE2CC7054943893190626A4FF21D_13</vt:lpwstr>
  </property>
  <property fmtid="{D5CDD505-2E9C-101B-9397-08002B2CF9AE}" pid="4" name="KSOTemplateDocerSaveRecord">
    <vt:lpwstr>eyJoZGlkIjoiNTU1MWNhN2ZmY2ZhZmY3ODhlYTg0MWU5OGMyY2QwZmUiLCJ1c2VySWQiOiI0MzQ2NTM0NzEifQ==</vt:lpwstr>
  </property>
</Properties>
</file>