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6BBE5">
      <w:pPr>
        <w:pStyle w:val="8"/>
        <w:rPr>
          <w:rFonts w:hint="eastAsia" w:ascii="黑体" w:hAnsi="黑体" w:eastAsia="黑体" w:cs="黑体"/>
          <w:color w:val="auto"/>
          <w:kern w:val="2"/>
          <w:sz w:val="32"/>
          <w:szCs w:val="32"/>
          <w:highlight w:val="none"/>
          <w:lang w:val="en-US" w:eastAsia="zh-CN" w:bidi="ar-SA"/>
        </w:rPr>
      </w:pPr>
      <w:bookmarkStart w:id="0" w:name="_Toc15396597"/>
      <w:bookmarkStart w:id="1" w:name="_Toc15377193"/>
      <w:bookmarkStart w:id="2" w:name="_Toc15377425"/>
      <w:bookmarkStart w:id="3" w:name="_Toc15396475"/>
      <w:bookmarkStart w:id="4" w:name="_Toc15378441"/>
      <w:bookmarkStart w:id="5" w:name="_Toc15306267"/>
      <w:r>
        <w:rPr>
          <w:rFonts w:hint="eastAsia" w:ascii="黑体" w:hAnsi="黑体" w:eastAsia="黑体" w:cs="黑体"/>
          <w:color w:val="auto"/>
          <w:kern w:val="2"/>
          <w:sz w:val="32"/>
          <w:szCs w:val="32"/>
          <w:highlight w:val="none"/>
          <w:lang w:val="en-US" w:eastAsia="zh-CN" w:bidi="ar-SA"/>
        </w:rPr>
        <w:t>附件4</w:t>
      </w:r>
    </w:p>
    <w:p w14:paraId="374D2697">
      <w:pPr>
        <w:pStyle w:val="8"/>
        <w:rPr>
          <w:rFonts w:hint="eastAsia" w:ascii="Times New Roman" w:hAnsi="Times New Roman" w:eastAsia="方正小标宋简体" w:cs="Times New Roman"/>
          <w:color w:val="auto"/>
          <w:kern w:val="2"/>
          <w:sz w:val="72"/>
          <w:szCs w:val="72"/>
          <w:highlight w:val="none"/>
          <w:lang w:val="en-US" w:eastAsia="zh-CN" w:bidi="ar-SA"/>
        </w:rPr>
      </w:pPr>
    </w:p>
    <w:p w14:paraId="58B821DF">
      <w:pPr>
        <w:pStyle w:val="8"/>
        <w:rPr>
          <w:rFonts w:hint="eastAsia" w:ascii="Times New Roman" w:hAnsi="Times New Roman" w:eastAsia="方正小标宋简体" w:cs="Times New Roman"/>
          <w:color w:val="auto"/>
          <w:kern w:val="2"/>
          <w:sz w:val="72"/>
          <w:szCs w:val="72"/>
          <w:highlight w:val="none"/>
          <w:lang w:val="en-US" w:eastAsia="zh-CN" w:bidi="ar-SA"/>
        </w:rPr>
      </w:pPr>
    </w:p>
    <w:p w14:paraId="043F2247">
      <w:pPr>
        <w:pStyle w:val="8"/>
        <w:rPr>
          <w:rFonts w:hint="eastAsia" w:ascii="Times New Roman" w:hAnsi="Times New Roman" w:eastAsia="方正小标宋简体" w:cs="Times New Roman"/>
          <w:color w:val="auto"/>
          <w:kern w:val="2"/>
          <w:sz w:val="72"/>
          <w:szCs w:val="72"/>
          <w:highlight w:val="none"/>
          <w:lang w:val="en-US" w:eastAsia="zh-CN" w:bidi="ar-SA"/>
        </w:rPr>
      </w:pPr>
    </w:p>
    <w:p w14:paraId="3FB0AD6C">
      <w:pPr>
        <w:pStyle w:val="8"/>
        <w:rPr>
          <w:rFonts w:hint="eastAsia" w:ascii="Times New Roman" w:hAnsi="Times New Roman" w:eastAsia="方正小标宋简体" w:cs="Times New Roman"/>
          <w:color w:val="auto"/>
          <w:kern w:val="2"/>
          <w:sz w:val="72"/>
          <w:szCs w:val="72"/>
          <w:highlight w:val="none"/>
          <w:lang w:val="en-US" w:eastAsia="zh-CN" w:bidi="ar-SA"/>
        </w:rPr>
      </w:pPr>
    </w:p>
    <w:p w14:paraId="566BDAEF">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4556E862">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w:t>
      </w:r>
    </w:p>
    <w:p w14:paraId="63AAA7AA">
      <w:pPr>
        <w:spacing w:line="600" w:lineRule="exact"/>
        <w:jc w:val="center"/>
        <w:outlineLvl w:val="0"/>
        <w:rPr>
          <w:rFonts w:ascii="Times New Roman" w:hAnsi="Times New Roman" w:eastAsia="方正小标宋简体"/>
          <w:color w:val="auto"/>
          <w:sz w:val="72"/>
          <w:szCs w:val="72"/>
          <w:highlight w:val="none"/>
        </w:rPr>
      </w:pPr>
    </w:p>
    <w:p w14:paraId="61C891AB">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0CB9FC9">
      <w:pPr>
        <w:rPr>
          <w:rFonts w:ascii="Times New Roman" w:hAnsi="Times New Roman"/>
        </w:rPr>
      </w:pPr>
    </w:p>
    <w:p w14:paraId="2D74993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B51991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A693B0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2C9CDFC">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F05CB16">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96476"/>
      <w:bookmarkStart w:id="9" w:name="_Toc15377194"/>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仿宋" w:hAnsi="仿宋" w:eastAsia="仿宋"/>
          <w:b/>
          <w:bCs/>
          <w:sz w:val="44"/>
          <w:szCs w:val="44"/>
          <w:lang w:eastAsia="zh-CN"/>
        </w:rPr>
        <w:t>松潘县农产品质量安全监督检验检测站</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5FA40B1D">
      <w:pPr>
        <w:widowControl/>
        <w:jc w:val="center"/>
        <w:rPr>
          <w:rFonts w:hint="eastAsia" w:ascii="Times New Roman" w:hAnsi="Times New Roman" w:eastAsia="黑体"/>
          <w:color w:val="auto"/>
          <w:sz w:val="48"/>
          <w:szCs w:val="48"/>
          <w:highlight w:val="none"/>
        </w:rPr>
      </w:pPr>
    </w:p>
    <w:p w14:paraId="72C40A01">
      <w:pPr>
        <w:widowControl/>
        <w:jc w:val="center"/>
        <w:rPr>
          <w:rFonts w:hint="eastAsia" w:ascii="Times New Roman" w:hAnsi="Times New Roman" w:eastAsia="黑体"/>
          <w:color w:val="auto"/>
          <w:sz w:val="48"/>
          <w:szCs w:val="48"/>
          <w:highlight w:val="none"/>
        </w:rPr>
      </w:pPr>
    </w:p>
    <w:p w14:paraId="2F23AD85">
      <w:pPr>
        <w:widowControl/>
        <w:jc w:val="center"/>
        <w:rPr>
          <w:rFonts w:hint="eastAsia" w:ascii="Times New Roman" w:hAnsi="Times New Roman" w:eastAsia="黑体"/>
          <w:color w:val="auto"/>
          <w:sz w:val="48"/>
          <w:szCs w:val="48"/>
          <w:highlight w:val="none"/>
        </w:rPr>
      </w:pPr>
    </w:p>
    <w:p w14:paraId="4A1A1C5D">
      <w:pPr>
        <w:widowControl/>
        <w:jc w:val="center"/>
        <w:rPr>
          <w:rFonts w:hint="eastAsia" w:ascii="Times New Roman" w:hAnsi="Times New Roman" w:eastAsia="黑体"/>
          <w:color w:val="auto"/>
          <w:sz w:val="48"/>
          <w:szCs w:val="48"/>
          <w:highlight w:val="none"/>
        </w:rPr>
      </w:pPr>
    </w:p>
    <w:p w14:paraId="1DE6E19F">
      <w:pPr>
        <w:widowControl/>
        <w:jc w:val="center"/>
        <w:rPr>
          <w:rFonts w:hint="eastAsia" w:ascii="Times New Roman" w:hAnsi="Times New Roman" w:eastAsia="黑体"/>
          <w:color w:val="auto"/>
          <w:sz w:val="48"/>
          <w:szCs w:val="48"/>
          <w:highlight w:val="none"/>
        </w:rPr>
      </w:pPr>
    </w:p>
    <w:p w14:paraId="4AAB1B68">
      <w:pPr>
        <w:widowControl/>
        <w:jc w:val="center"/>
        <w:rPr>
          <w:rFonts w:hint="eastAsia" w:ascii="Times New Roman" w:hAnsi="Times New Roman" w:eastAsia="黑体"/>
          <w:color w:val="auto"/>
          <w:sz w:val="48"/>
          <w:szCs w:val="48"/>
          <w:highlight w:val="none"/>
        </w:rPr>
      </w:pPr>
    </w:p>
    <w:p w14:paraId="6C9BB028">
      <w:pPr>
        <w:widowControl/>
        <w:jc w:val="center"/>
        <w:rPr>
          <w:rFonts w:hint="eastAsia" w:ascii="Times New Roman" w:hAnsi="Times New Roman" w:eastAsia="黑体"/>
          <w:color w:val="auto"/>
          <w:sz w:val="48"/>
          <w:szCs w:val="48"/>
          <w:highlight w:val="none"/>
        </w:rPr>
      </w:pPr>
    </w:p>
    <w:p w14:paraId="680FA201">
      <w:pPr>
        <w:widowControl/>
        <w:jc w:val="center"/>
        <w:rPr>
          <w:rFonts w:hint="eastAsia" w:ascii="Times New Roman" w:hAnsi="Times New Roman" w:eastAsia="黑体"/>
          <w:color w:val="auto"/>
          <w:sz w:val="48"/>
          <w:szCs w:val="48"/>
          <w:highlight w:val="none"/>
        </w:rPr>
      </w:pPr>
    </w:p>
    <w:p w14:paraId="7147A928">
      <w:pPr>
        <w:widowControl/>
        <w:jc w:val="center"/>
        <w:rPr>
          <w:rFonts w:hint="eastAsia" w:ascii="Times New Roman" w:hAnsi="Times New Roman" w:eastAsia="黑体"/>
          <w:color w:val="auto"/>
          <w:sz w:val="48"/>
          <w:szCs w:val="48"/>
          <w:highlight w:val="none"/>
        </w:rPr>
      </w:pPr>
    </w:p>
    <w:p w14:paraId="0884584B">
      <w:pPr>
        <w:widowControl/>
        <w:jc w:val="center"/>
        <w:rPr>
          <w:rFonts w:hint="eastAsia" w:ascii="Times New Roman" w:hAnsi="Times New Roman" w:eastAsia="黑体"/>
          <w:color w:val="auto"/>
          <w:sz w:val="48"/>
          <w:szCs w:val="48"/>
          <w:highlight w:val="none"/>
        </w:rPr>
      </w:pPr>
    </w:p>
    <w:p w14:paraId="6E2449D0">
      <w:pPr>
        <w:widowControl/>
        <w:jc w:val="center"/>
        <w:rPr>
          <w:rFonts w:hint="eastAsia" w:ascii="Times New Roman" w:hAnsi="Times New Roman" w:eastAsia="黑体"/>
          <w:color w:val="auto"/>
          <w:sz w:val="48"/>
          <w:szCs w:val="48"/>
          <w:highlight w:val="none"/>
        </w:rPr>
      </w:pPr>
    </w:p>
    <w:p w14:paraId="5514CB7C">
      <w:pPr>
        <w:widowControl/>
        <w:jc w:val="center"/>
        <w:rPr>
          <w:rFonts w:hint="eastAsia" w:ascii="Times New Roman" w:hAnsi="Times New Roman" w:eastAsia="黑体"/>
          <w:color w:val="auto"/>
          <w:sz w:val="48"/>
          <w:szCs w:val="48"/>
          <w:highlight w:val="none"/>
        </w:rPr>
      </w:pPr>
    </w:p>
    <w:p w14:paraId="30219288">
      <w:pPr>
        <w:widowControl/>
        <w:jc w:val="center"/>
        <w:rPr>
          <w:rFonts w:hint="eastAsia" w:ascii="Times New Roman" w:hAnsi="Times New Roman" w:eastAsia="黑体"/>
          <w:color w:val="auto"/>
          <w:sz w:val="48"/>
          <w:szCs w:val="48"/>
          <w:highlight w:val="none"/>
        </w:rPr>
      </w:pPr>
    </w:p>
    <w:p w14:paraId="78A1162E">
      <w:pPr>
        <w:widowControl/>
        <w:jc w:val="center"/>
        <w:rPr>
          <w:rFonts w:hint="eastAsia" w:ascii="Times New Roman" w:hAnsi="Times New Roman" w:eastAsia="黑体"/>
          <w:color w:val="auto"/>
          <w:sz w:val="48"/>
          <w:szCs w:val="48"/>
          <w:highlight w:val="none"/>
        </w:rPr>
      </w:pPr>
    </w:p>
    <w:p w14:paraId="49330202">
      <w:pPr>
        <w:widowControl/>
        <w:jc w:val="center"/>
        <w:rPr>
          <w:rFonts w:hint="eastAsia" w:ascii="Times New Roman" w:hAnsi="Times New Roman" w:eastAsia="黑体"/>
          <w:color w:val="auto"/>
          <w:sz w:val="48"/>
          <w:szCs w:val="48"/>
          <w:highlight w:val="none"/>
        </w:rPr>
      </w:pPr>
    </w:p>
    <w:p w14:paraId="2BBC942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565E84E">
      <w:pPr>
        <w:widowControl/>
        <w:jc w:val="center"/>
        <w:rPr>
          <w:rFonts w:ascii="Times New Roman" w:hAnsi="Times New Roman" w:eastAsia="黑体" w:cstheme="minorBidi"/>
          <w:color w:val="auto"/>
          <w:sz w:val="28"/>
          <w:szCs w:val="28"/>
          <w:highlight w:val="none"/>
        </w:rPr>
      </w:pPr>
    </w:p>
    <w:p w14:paraId="7771F1C2">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2AE20094">
      <w:pPr>
        <w:rPr>
          <w:rFonts w:ascii="Times New Roman" w:hAnsi="Times New Roman"/>
          <w:color w:val="auto"/>
          <w:highlight w:val="none"/>
        </w:rPr>
      </w:pPr>
    </w:p>
    <w:p w14:paraId="531FAD33">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D3040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EE94B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A1DE3A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B88936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2C88DE9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0F967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6D70E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0907EDA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E0A3E5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6A1DB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DC924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4F270A1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C5058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2DCB94B">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50E56A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D79CE0A">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BE420B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078B11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89C861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C56F1A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3D8772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3C099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5AE9BC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E0E42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4E6A681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9701C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381819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A7B0FA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B08F88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1318DB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99E884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bookmarkEnd w:id="12"/>
    <w:bookmarkEnd w:id="13"/>
    <w:p w14:paraId="58B875DB">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p>
    <w:p w14:paraId="79E76958">
      <w:pPr>
        <w:pStyle w:val="6"/>
        <w:numPr>
          <w:ilvl w:val="0"/>
          <w:numId w:val="1"/>
        </w:numPr>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b w:val="0"/>
          <w:color w:val="auto"/>
          <w:highlight w:val="none"/>
          <w:lang w:eastAsia="zh-CN"/>
        </w:rPr>
        <w:t>部门职责</w:t>
      </w:r>
    </w:p>
    <w:p w14:paraId="70D41DE6">
      <w:pPr>
        <w:pStyle w:val="6"/>
        <w:ind w:firstLine="640" w:firstLineChars="200"/>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第一条  松潘县科学技术和农业畜牧局（简称县科学技术和农业畜牧局）是松潘县人民政府工作部门，为正科级单位。加挂松潘县乡村振兴局（简称县乡村振兴局）牌子。</w:t>
      </w:r>
    </w:p>
    <w:p w14:paraId="02A591C9">
      <w:pPr>
        <w:pStyle w:val="6"/>
        <w:ind w:firstLine="640" w:firstLineChars="200"/>
        <w:rPr>
          <w:rFonts w:hint="default"/>
          <w:lang w:val="en-US" w:eastAsia="zh-CN"/>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第二条  县科学技术和农业畜牧局负责贯彻落实国家、省州县关于科技、乡村振兴、农牧等工作的决策部署，把坚持和加强党中央对科技、乡村振兴、农牧等工作的集中统一领导落实到履行职责过程中。</w:t>
      </w:r>
    </w:p>
    <w:p w14:paraId="4244573B">
      <w:pPr>
        <w:pStyle w:val="6"/>
        <w:rPr>
          <w:rStyle w:val="30"/>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108456CC">
      <w:pPr>
        <w:pStyle w:val="10"/>
        <w:numPr>
          <w:ilvl w:val="0"/>
          <w:numId w:val="0"/>
        </w:numPr>
        <w:ind w:leftChars="100" w:firstLine="640" w:firstLineChars="200"/>
        <w:rPr>
          <w:rFonts w:hint="eastAsia"/>
          <w:sz w:val="32"/>
          <w:szCs w:val="32"/>
          <w:lang w:eastAsia="zh-CN"/>
        </w:rPr>
      </w:pPr>
      <w:r>
        <w:rPr>
          <w:rFonts w:hint="eastAsia"/>
          <w:sz w:val="32"/>
          <w:szCs w:val="32"/>
        </w:rPr>
        <w:t>乡村振兴服务中心（事业）、植保站（事业）、种子站（事业）、土肥站（事业）、农技站（事业）、中药材推广服务中心（事业）、生产力促进中心（事业）、畜牧工作站（事业）、动物疫病预防控制中心（事业）、农产品质量安全监督检验检测站（事业）</w:t>
      </w:r>
      <w:r>
        <w:rPr>
          <w:rFonts w:hint="eastAsia"/>
          <w:sz w:val="32"/>
          <w:szCs w:val="32"/>
          <w:lang w:eastAsia="zh-CN"/>
        </w:rPr>
        <w:t>。</w:t>
      </w:r>
    </w:p>
    <w:p w14:paraId="310E66AA">
      <w:pPr>
        <w:pStyle w:val="10"/>
        <w:numPr>
          <w:ilvl w:val="0"/>
          <w:numId w:val="0"/>
        </w:numPr>
        <w:ind w:leftChars="100" w:firstLine="640" w:firstLineChars="200"/>
        <w:rPr>
          <w:rFonts w:ascii="仿宋" w:hAnsi="仿宋" w:eastAsia="仿宋"/>
          <w:sz w:val="32"/>
          <w:szCs w:val="32"/>
        </w:rPr>
      </w:pPr>
      <w:r>
        <w:rPr>
          <w:rFonts w:hint="eastAsia" w:ascii="仿宋_GB2312" w:hAnsi="仿宋"/>
          <w:sz w:val="32"/>
          <w:szCs w:val="32"/>
          <w:lang w:val="en-US" w:eastAsia="zh-CN"/>
        </w:rPr>
        <w:t>事业单位10个，核定编制总数47人，在编47人。</w:t>
      </w:r>
    </w:p>
    <w:p w14:paraId="721FD6BC">
      <w:pPr>
        <w:pStyle w:val="8"/>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纳入202</w:t>
      </w:r>
      <w:r>
        <w:rPr>
          <w:rFonts w:hint="eastAsia" w:ascii="仿宋" w:hAnsi="仿宋" w:eastAsia="仿宋"/>
          <w:sz w:val="32"/>
          <w:szCs w:val="32"/>
          <w:lang w:val="en-US" w:eastAsia="zh-CN"/>
        </w:rPr>
        <w:t>5</w:t>
      </w:r>
      <w:r>
        <w:rPr>
          <w:rFonts w:hint="eastAsia" w:ascii="仿宋" w:hAnsi="仿宋" w:eastAsia="仿宋"/>
          <w:sz w:val="32"/>
          <w:szCs w:val="32"/>
        </w:rPr>
        <w:t>年度部门决算编制范围的二级预算单位包括：</w:t>
      </w:r>
    </w:p>
    <w:p w14:paraId="2862968A">
      <w:pPr>
        <w:pStyle w:val="8"/>
        <w:numPr>
          <w:ilvl w:val="0"/>
          <w:numId w:val="2"/>
        </w:numPr>
        <w:adjustRightInd w:val="0"/>
        <w:snapToGrid w:val="0"/>
        <w:spacing w:before="93" w:line="600" w:lineRule="exact"/>
        <w:outlineLvl w:val="2"/>
        <w:rPr>
          <w:rFonts w:hint="eastAsia" w:ascii="Times New Roman" w:hAnsi="Times New Roman" w:eastAsia="方正小标宋简体" w:cs="方正小标宋简体"/>
          <w:b w:val="0"/>
          <w:color w:val="auto"/>
          <w:highlight w:val="none"/>
        </w:rPr>
      </w:pPr>
      <w:r>
        <w:rPr>
          <w:rFonts w:hint="eastAsia" w:ascii="仿宋" w:hAnsi="仿宋" w:eastAsia="仿宋"/>
          <w:sz w:val="32"/>
          <w:szCs w:val="32"/>
          <w:lang w:eastAsia="zh-CN"/>
        </w:rPr>
        <w:t>松潘县农产品质量安全监督检验检测站</w:t>
      </w:r>
      <w:bookmarkStart w:id="16" w:name="_Toc15377204"/>
      <w:bookmarkStart w:id="17" w:name="_Toc15396602"/>
    </w:p>
    <w:p w14:paraId="73648E3D">
      <w:pPr>
        <w:pStyle w:val="5"/>
        <w:ind w:firstLine="440" w:firstLineChars="100"/>
        <w:jc w:val="both"/>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0CDEFD0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2195DA9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1233.32万元</w:t>
      </w:r>
      <w:r>
        <w:rPr>
          <w:rFonts w:hint="eastAsia" w:ascii="Times New Roman" w:hAnsi="Times New Roman" w:eastAsia="仿宋_GB2312" w:cs="仿宋_GB2312"/>
          <w:color w:val="auto"/>
          <w:sz w:val="32"/>
          <w:szCs w:val="32"/>
          <w:highlight w:val="none"/>
        </w:rPr>
        <w:t>、</w:t>
      </w:r>
      <w:bookmarkStart w:id="67" w:name="_GoBack"/>
      <w:r>
        <w:rPr>
          <w:rFonts w:hint="eastAsia" w:eastAsia="仿宋_GB2312" w:cs="仿宋_GB2312"/>
          <w:color w:val="auto"/>
          <w:sz w:val="32"/>
          <w:szCs w:val="32"/>
          <w:highlight w:val="none"/>
          <w:lang w:eastAsia="zh-CN"/>
        </w:rPr>
        <w:t>支出</w:t>
      </w:r>
      <w:bookmarkEnd w:id="67"/>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sz w:val="32"/>
          <w:szCs w:val="32"/>
          <w:highlight w:val="none"/>
        </w:rPr>
        <w:t>万元。</w:t>
      </w:r>
    </w:p>
    <w:p w14:paraId="2F37353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r>
        <w:rPr>
          <w:rFonts w:hint="eastAsia" w:ascii="Times New Roman" w:hAnsi="Times New Roman" w:eastAsia="黑体"/>
          <w:color w:val="auto"/>
          <w:sz w:val="32"/>
          <w:szCs w:val="32"/>
          <w:highlight w:val="none"/>
          <w:lang w:eastAsia="zh-CN"/>
        </w:rPr>
        <w:t>二、收入决算情况说明</w:t>
      </w:r>
      <w:bookmarkEnd w:id="20"/>
      <w:bookmarkEnd w:id="21"/>
    </w:p>
    <w:p w14:paraId="38CAD0B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Start w:id="22" w:name="_Toc15377207"/>
      <w:bookmarkStart w:id="23" w:name="_Toc15396605"/>
    </w:p>
    <w:p w14:paraId="61BA61E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220C21B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14:paraId="320EF415">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2EC610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kern w:val="2"/>
          <w:sz w:val="32"/>
          <w:szCs w:val="32"/>
          <w:highlight w:val="none"/>
          <w:lang w:val="en-US" w:eastAsia="zh-CN" w:bidi="ar-SA"/>
        </w:rPr>
        <w:t>万元。</w:t>
      </w:r>
    </w:p>
    <w:p w14:paraId="11A44871">
      <w:pPr>
        <w:spacing w:line="600" w:lineRule="exact"/>
        <w:ind w:firstLine="640" w:firstLineChars="200"/>
        <w:outlineLvl w:val="1"/>
        <w:rPr>
          <w:rStyle w:val="30"/>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0C60671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5082D4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748674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746F5DE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906.77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73.53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176.37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63.45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5.14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86.73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7.03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E970C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23EABB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31243CC4">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农林水2130104：</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906.77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23C5E2C">
      <w:pPr>
        <w:numPr>
          <w:ilvl w:val="0"/>
          <w:numId w:val="3"/>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住房保障2210201</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86.73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CB2D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176.37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74B04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2101102：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4B46BE0">
      <w:pPr>
        <w:tabs>
          <w:tab w:val="right" w:pos="8306"/>
        </w:tabs>
        <w:spacing w:line="600" w:lineRule="exact"/>
        <w:ind w:firstLine="640"/>
        <w:outlineLvl w:val="1"/>
        <w:rPr>
          <w:rStyle w:val="3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1E2B7C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1233.32</w:t>
      </w:r>
      <w:r>
        <w:rPr>
          <w:rFonts w:hint="eastAsia" w:ascii="Times New Roman" w:hAnsi="Times New Roman" w:eastAsia="仿宋_GB2312" w:cs="仿宋_GB2312"/>
          <w:color w:val="auto"/>
          <w:kern w:val="2"/>
          <w:sz w:val="32"/>
          <w:szCs w:val="32"/>
          <w:highlight w:val="none"/>
          <w:lang w:val="en-US" w:eastAsia="zh-CN" w:bidi="ar-SA"/>
        </w:rPr>
        <w:t>万元，其中：</w:t>
      </w:r>
    </w:p>
    <w:p w14:paraId="4A9C23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1175.71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57.62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7A782C5">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3BECCAB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712A6F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9.96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53.71</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w:t>
      </w:r>
      <w:r>
        <w:rPr>
          <w:rFonts w:hint="eastAsia" w:eastAsia="仿宋_GB2312" w:cs="仿宋_GB2312"/>
          <w:color w:val="auto"/>
          <w:kern w:val="2"/>
          <w:sz w:val="32"/>
          <w:szCs w:val="32"/>
          <w:highlight w:val="none"/>
          <w:lang w:val="en-US" w:eastAsia="zh-CN" w:bidi="ar-SA"/>
        </w:rPr>
        <w:t>主要原因</w:t>
      </w:r>
      <w:r>
        <w:rPr>
          <w:rFonts w:hint="eastAsia" w:ascii="Times New Roman" w:hAnsi="Times New Roman" w:eastAsia="仿宋_GB2312" w:cs="仿宋_GB2312"/>
          <w:color w:val="auto"/>
          <w:kern w:val="2"/>
          <w:sz w:val="32"/>
          <w:szCs w:val="32"/>
          <w:highlight w:val="none"/>
          <w:lang w:val="en-US" w:eastAsia="zh-CN" w:bidi="ar-SA"/>
        </w:rPr>
        <w:t>是</w:t>
      </w:r>
      <w:r>
        <w:rPr>
          <w:rFonts w:hint="eastAsia" w:eastAsia="仿宋_GB2312" w:cs="仿宋_GB2312"/>
          <w:color w:val="auto"/>
          <w:kern w:val="2"/>
          <w:sz w:val="32"/>
          <w:szCs w:val="32"/>
          <w:highlight w:val="none"/>
          <w:lang w:val="en-US" w:eastAsia="zh-CN" w:bidi="ar-SA"/>
        </w:rPr>
        <w:t>专项检查、基层调研、督导、下乡走访等公务出行里程增多，燃油、路桥费用相应上涨。</w:t>
      </w:r>
    </w:p>
    <w:p w14:paraId="14C20F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01A9BD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9.96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A76CF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33FAC41">
      <w:pPr>
        <w:numPr>
          <w:ilvl w:val="0"/>
          <w:numId w:val="3"/>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9.96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53.71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农业农村工作繁重，下乡检查各项农业、畜牧业务。</w:t>
      </w:r>
    </w:p>
    <w:p w14:paraId="6385392D">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A55A1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9.96</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571027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091370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w:t>
      </w:r>
      <w:r>
        <w:rPr>
          <w:rFonts w:hint="eastAsia" w:eastAsia="仿宋_GB2312" w:cs="仿宋_GB2312"/>
          <w:color w:val="auto"/>
          <w:kern w:val="2"/>
          <w:sz w:val="32"/>
          <w:szCs w:val="32"/>
          <w:highlight w:val="none"/>
          <w:lang w:val="en-US" w:eastAsia="zh-CN" w:bidi="ar-SA"/>
        </w:rPr>
        <w:t>于（</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F6F71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0" w:name="_Toc15377218"/>
      <w:bookmarkStart w:id="41" w:name="_Toc15396610"/>
    </w:p>
    <w:p w14:paraId="3B661D9C">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2863B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7DC2F60">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77219"/>
      <w:bookmarkStart w:id="43"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77EF8B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CD1564C">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0E54423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256A1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松潘县农产品质量安全监督检验检测站</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9EF35C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1C3401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松潘县农产品质量安全监督检验检测站</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7C6178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1BE607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松潘县农产品质量安全监督检验检测站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EBED8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DDAB4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BEB61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w:t>
      </w:r>
      <w:r>
        <w:rPr>
          <w:rFonts w:hint="eastAsia" w:eastAsia="仿宋_GB2312" w:cs="仿宋_GB2312"/>
          <w:color w:val="auto"/>
          <w:kern w:val="2"/>
          <w:sz w:val="32"/>
          <w:szCs w:val="32"/>
          <w:highlight w:val="none"/>
          <w:lang w:val="en-US" w:eastAsia="zh-CN" w:bidi="ar-SA"/>
        </w:rPr>
        <w:t>等</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专项预算项目绩效自评报告，其中，部门预算（含部门预算项目）绩效自评得分为分，绩效自评综述；专项预算项目绩效自评得分为分，绩效自评综述。绩效自评报告详见附件。</w:t>
      </w:r>
    </w:p>
    <w:p w14:paraId="07629F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693807">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22E4C34F">
      <w:pPr>
        <w:spacing w:line="600" w:lineRule="exact"/>
        <w:jc w:val="left"/>
        <w:rPr>
          <w:rFonts w:ascii="Times New Roman" w:hAnsi="Times New Roman"/>
          <w:b/>
          <w:color w:val="auto"/>
          <w:sz w:val="44"/>
          <w:szCs w:val="44"/>
          <w:highlight w:val="none"/>
        </w:rPr>
      </w:pPr>
    </w:p>
    <w:p w14:paraId="258C9F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5DDCA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4EDC32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0EED3B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7AA2A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356DF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32396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D6D93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E47C3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3453C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5F0C87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19D050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147F87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1594AC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5381F5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1BB050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53023B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31E06E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163575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43E4AE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4C84E1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1B5E43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99F1F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6359AD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13E5F0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A7167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350E99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3F49B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A9C24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5102D3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4245D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16CDD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ED75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0B438B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8"/>
    </w:p>
    <w:p w14:paraId="028E94D2">
      <w:pPr>
        <w:spacing w:line="600" w:lineRule="exact"/>
        <w:jc w:val="center"/>
        <w:rPr>
          <w:rStyle w:val="29"/>
          <w:rFonts w:hint="eastAsia" w:ascii="Times New Roman" w:hAnsi="Times New Roman" w:eastAsia="黑体"/>
          <w:b w:val="0"/>
          <w:color w:val="auto"/>
          <w:highlight w:val="none"/>
          <w:lang w:eastAsia="zh-CN"/>
        </w:rPr>
      </w:pPr>
      <w:bookmarkStart w:id="5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3"/>
    </w:p>
    <w:p w14:paraId="3623146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C8F613A">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BB1CF18">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B8BAED5">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07546E84">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367130E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620455D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7F325078">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20EFEC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0C86DAA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20AC455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4E1200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4F5ABFB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7BBAD10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4AABCB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1AE0DE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41E4838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5A924D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3B1171A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19E19B6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2855933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4EE86E8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0E7C14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45BC43A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60130B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0EBD02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7645F0A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76A8CB9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389559F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3CF703F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0B9AE89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2DAA01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3364E9B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4E26B8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2181F46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35E0FF98">
      <w:pPr>
        <w:widowControl/>
        <w:jc w:val="center"/>
        <w:rPr>
          <w:rFonts w:hint="eastAsia" w:ascii="Times New Roman" w:hAnsi="Times New Roman" w:eastAsia="黑体"/>
          <w:color w:val="auto"/>
          <w:sz w:val="44"/>
          <w:szCs w:val="44"/>
          <w:highlight w:val="none"/>
        </w:rPr>
      </w:pPr>
    </w:p>
    <w:p w14:paraId="4E61167C">
      <w:pPr>
        <w:widowControl/>
        <w:jc w:val="center"/>
        <w:rPr>
          <w:rFonts w:hint="eastAsia" w:ascii="Times New Roman" w:hAnsi="Times New Roman" w:eastAsia="黑体"/>
          <w:color w:val="auto"/>
          <w:sz w:val="44"/>
          <w:szCs w:val="44"/>
          <w:highlight w:val="none"/>
        </w:rPr>
      </w:pPr>
    </w:p>
    <w:p w14:paraId="2AFE6EC9">
      <w:pPr>
        <w:widowControl/>
        <w:jc w:val="center"/>
        <w:rPr>
          <w:rFonts w:hint="eastAsia" w:ascii="Times New Roman" w:hAnsi="Times New Roman" w:eastAsia="黑体"/>
          <w:color w:val="auto"/>
          <w:sz w:val="44"/>
          <w:szCs w:val="44"/>
          <w:highlight w:val="none"/>
        </w:rPr>
      </w:pPr>
    </w:p>
    <w:p w14:paraId="57F26941">
      <w:pPr>
        <w:widowControl/>
        <w:jc w:val="center"/>
        <w:rPr>
          <w:rFonts w:hint="eastAsia" w:ascii="Times New Roman" w:hAnsi="Times New Roman" w:eastAsia="黑体"/>
          <w:color w:val="auto"/>
          <w:sz w:val="44"/>
          <w:szCs w:val="44"/>
          <w:highlight w:val="none"/>
        </w:rPr>
      </w:pPr>
    </w:p>
    <w:p w14:paraId="5F902AB9">
      <w:pPr>
        <w:widowControl/>
        <w:jc w:val="center"/>
        <w:rPr>
          <w:rFonts w:hint="eastAsia" w:ascii="Times New Roman" w:hAnsi="Times New Roman" w:eastAsia="黑体"/>
          <w:color w:val="auto"/>
          <w:sz w:val="44"/>
          <w:szCs w:val="44"/>
          <w:highlight w:val="none"/>
        </w:rPr>
      </w:pPr>
    </w:p>
    <w:p w14:paraId="783709E5">
      <w:pPr>
        <w:widowControl/>
        <w:jc w:val="center"/>
        <w:rPr>
          <w:rFonts w:hint="eastAsia" w:ascii="Times New Roman" w:hAnsi="Times New Roman" w:eastAsia="黑体"/>
          <w:color w:val="auto"/>
          <w:sz w:val="44"/>
          <w:szCs w:val="44"/>
          <w:highlight w:val="none"/>
        </w:rPr>
      </w:pPr>
    </w:p>
    <w:p w14:paraId="6916EAC6">
      <w:pPr>
        <w:widowControl/>
        <w:jc w:val="center"/>
        <w:rPr>
          <w:rFonts w:hint="eastAsia" w:ascii="Times New Roman" w:hAnsi="Times New Roman" w:eastAsia="黑体"/>
          <w:color w:val="auto"/>
          <w:sz w:val="44"/>
          <w:szCs w:val="44"/>
          <w:highlight w:val="none"/>
        </w:rPr>
      </w:pPr>
    </w:p>
    <w:p w14:paraId="59D6B3CD">
      <w:pPr>
        <w:widowControl/>
        <w:jc w:val="center"/>
        <w:rPr>
          <w:rFonts w:hint="eastAsia" w:ascii="Times New Roman" w:hAnsi="Times New Roman" w:eastAsia="黑体"/>
          <w:color w:val="auto"/>
          <w:sz w:val="44"/>
          <w:szCs w:val="44"/>
          <w:highlight w:val="none"/>
        </w:rPr>
      </w:pPr>
    </w:p>
    <w:p w14:paraId="40A9DFD2">
      <w:pPr>
        <w:widowControl/>
        <w:ind w:firstLine="2200" w:firstLineChars="500"/>
        <w:jc w:val="both"/>
        <w:rPr>
          <w:rFonts w:hint="eastAsia" w:ascii="Times New Roman" w:hAnsi="Times New Roman" w:eastAsia="黑体"/>
          <w:color w:val="auto"/>
          <w:sz w:val="44"/>
          <w:szCs w:val="44"/>
          <w:highlight w:val="none"/>
        </w:rPr>
      </w:pPr>
    </w:p>
    <w:p w14:paraId="0AA9E09F">
      <w:pPr>
        <w:widowControl/>
        <w:ind w:firstLine="2200" w:firstLineChars="500"/>
        <w:jc w:val="both"/>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五</w:t>
      </w:r>
      <w:r>
        <w:rPr>
          <w:rStyle w:val="29"/>
          <w:rFonts w:hint="eastAsia" w:ascii="Times New Roman" w:hAnsi="Times New Roman" w:eastAsia="黑体"/>
          <w:b w:val="0"/>
          <w:color w:val="auto"/>
          <w:highlight w:val="none"/>
        </w:rPr>
        <w:t>部分 附表</w:t>
      </w:r>
      <w:bookmarkEnd w:id="51"/>
      <w:bookmarkEnd w:id="52"/>
      <w:bookmarkStart w:id="54" w:name="_Toc15396619"/>
    </w:p>
    <w:p w14:paraId="7DB069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7E7535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329D8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01546D4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09F464E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669508E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53EBD9E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30D30E2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0E74A80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0F42AFE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11C826C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2F8A85B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B10CC4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256339D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216386EC">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B468E7-5209-488E-8AF3-9EC7CBEBC5F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3E297FB-C66C-4FF7-8A5C-4F3D51132EFB}"/>
  </w:font>
  <w:font w:name="仿宋">
    <w:panose1 w:val="02010609060101010101"/>
    <w:charset w:val="86"/>
    <w:family w:val="modern"/>
    <w:pitch w:val="default"/>
    <w:sig w:usb0="800002BF" w:usb1="38CF7CFA" w:usb2="00000016" w:usb3="00000000" w:csb0="00040001" w:csb1="00000000"/>
    <w:embedRegular r:id="rId3" w:fontKey="{2DCD7630-D43D-4147-935D-BBAA318AFCC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C84A5F7C-02A0-498B-A8F9-177B0F97A380}"/>
  </w:font>
  <w:font w:name="楷体_GB2312">
    <w:panose1 w:val="02010609030101010101"/>
    <w:charset w:val="86"/>
    <w:family w:val="auto"/>
    <w:pitch w:val="default"/>
    <w:sig w:usb0="00000001" w:usb1="080E0000" w:usb2="00000000" w:usb3="00000000" w:csb0="00040000" w:csb1="00000000"/>
    <w:embedRegular r:id="rId5" w:fontKey="{793328B4-2F13-455E-8B9A-A6F5EB23EB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E9141">
    <w:pPr>
      <w:pStyle w:val="12"/>
      <w:jc w:val="center"/>
    </w:pPr>
  </w:p>
  <w:p w14:paraId="13CC1D11">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E48C8">
    <w:pPr>
      <w:pStyle w:val="12"/>
      <w:jc w:val="center"/>
    </w:pPr>
  </w:p>
  <w:p w14:paraId="56257530">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4D857">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444D2">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ED444D2">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DA6B4">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767922"/>
    <w:multiLevelType w:val="singleLevel"/>
    <w:tmpl w:val="94767922"/>
    <w:lvl w:ilvl="0" w:tentative="0">
      <w:start w:val="1"/>
      <w:numFmt w:val="chineseCounting"/>
      <w:suff w:val="nothing"/>
      <w:lvlText w:val="%1、"/>
      <w:lvlJc w:val="left"/>
      <w:rPr>
        <w:rFonts w:hint="eastAsia"/>
      </w:rPr>
    </w:lvl>
  </w:abstractNum>
  <w:abstractNum w:abstractNumId="1">
    <w:nsid w:val="CBB9C14D"/>
    <w:multiLevelType w:val="singleLevel"/>
    <w:tmpl w:val="CBB9C14D"/>
    <w:lvl w:ilvl="0" w:tentative="0">
      <w:start w:val="1"/>
      <w:numFmt w:val="decimal"/>
      <w:lvlText w:val="%1."/>
      <w:lvlJc w:val="left"/>
      <w:pPr>
        <w:tabs>
          <w:tab w:val="left" w:pos="312"/>
        </w:tabs>
      </w:p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C343F8"/>
    <w:rsid w:val="02317B1B"/>
    <w:rsid w:val="02A32EE4"/>
    <w:rsid w:val="02FEBE30"/>
    <w:rsid w:val="042042C5"/>
    <w:rsid w:val="061E35DE"/>
    <w:rsid w:val="066E0107"/>
    <w:rsid w:val="06EE6375"/>
    <w:rsid w:val="07996F6E"/>
    <w:rsid w:val="07DFD8BA"/>
    <w:rsid w:val="08C91A12"/>
    <w:rsid w:val="08DB07E4"/>
    <w:rsid w:val="09867E8F"/>
    <w:rsid w:val="0A2032A3"/>
    <w:rsid w:val="0C4845E9"/>
    <w:rsid w:val="0C6C4794"/>
    <w:rsid w:val="0CA8290A"/>
    <w:rsid w:val="0D35B1ED"/>
    <w:rsid w:val="0DE07E2B"/>
    <w:rsid w:val="0F98263C"/>
    <w:rsid w:val="101860EC"/>
    <w:rsid w:val="10C055FF"/>
    <w:rsid w:val="11772AA4"/>
    <w:rsid w:val="118107EC"/>
    <w:rsid w:val="125E68FF"/>
    <w:rsid w:val="13957196"/>
    <w:rsid w:val="13A73D99"/>
    <w:rsid w:val="13D50BC4"/>
    <w:rsid w:val="13ED5E76"/>
    <w:rsid w:val="14022904"/>
    <w:rsid w:val="1493417A"/>
    <w:rsid w:val="14940015"/>
    <w:rsid w:val="152F2A07"/>
    <w:rsid w:val="165E0673"/>
    <w:rsid w:val="16BB723D"/>
    <w:rsid w:val="16C1589A"/>
    <w:rsid w:val="16F13FCB"/>
    <w:rsid w:val="186504BB"/>
    <w:rsid w:val="1938089F"/>
    <w:rsid w:val="19A445FC"/>
    <w:rsid w:val="1B7D550C"/>
    <w:rsid w:val="1BE8440E"/>
    <w:rsid w:val="1D155CEE"/>
    <w:rsid w:val="1DE178F3"/>
    <w:rsid w:val="1E0706A2"/>
    <w:rsid w:val="1E740ACF"/>
    <w:rsid w:val="1E7E51BC"/>
    <w:rsid w:val="1FF35744"/>
    <w:rsid w:val="1FF6BC77"/>
    <w:rsid w:val="21962A9E"/>
    <w:rsid w:val="21AE7C77"/>
    <w:rsid w:val="224F7DF7"/>
    <w:rsid w:val="22BC3C41"/>
    <w:rsid w:val="23860B96"/>
    <w:rsid w:val="240371BF"/>
    <w:rsid w:val="25A95385"/>
    <w:rsid w:val="260D59D9"/>
    <w:rsid w:val="260F557C"/>
    <w:rsid w:val="27A64505"/>
    <w:rsid w:val="281408E2"/>
    <w:rsid w:val="28561DAD"/>
    <w:rsid w:val="28834C9E"/>
    <w:rsid w:val="29FD04D3"/>
    <w:rsid w:val="2BC7225D"/>
    <w:rsid w:val="2BFF7BC6"/>
    <w:rsid w:val="2C8A61B5"/>
    <w:rsid w:val="2D2E01CF"/>
    <w:rsid w:val="2D504197"/>
    <w:rsid w:val="2DF04E50"/>
    <w:rsid w:val="2E0375C9"/>
    <w:rsid w:val="2E9545B0"/>
    <w:rsid w:val="2F040D46"/>
    <w:rsid w:val="2FAE5751"/>
    <w:rsid w:val="2FB1A395"/>
    <w:rsid w:val="2FD9A7D8"/>
    <w:rsid w:val="308B3335"/>
    <w:rsid w:val="319F7F4E"/>
    <w:rsid w:val="321B2544"/>
    <w:rsid w:val="3304709D"/>
    <w:rsid w:val="34281836"/>
    <w:rsid w:val="349D6851"/>
    <w:rsid w:val="34A946DB"/>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5751B5A"/>
    <w:rsid w:val="486A6C7A"/>
    <w:rsid w:val="49176D9B"/>
    <w:rsid w:val="493F20C4"/>
    <w:rsid w:val="494006BD"/>
    <w:rsid w:val="4968553A"/>
    <w:rsid w:val="4A627F82"/>
    <w:rsid w:val="4B0E749A"/>
    <w:rsid w:val="4B4F25DA"/>
    <w:rsid w:val="4BDA0CFB"/>
    <w:rsid w:val="4BE068DB"/>
    <w:rsid w:val="4BF32C45"/>
    <w:rsid w:val="4D3C0CCC"/>
    <w:rsid w:val="4D577224"/>
    <w:rsid w:val="4DBF1CEB"/>
    <w:rsid w:val="4E0F1429"/>
    <w:rsid w:val="4EAB630A"/>
    <w:rsid w:val="4ECE2238"/>
    <w:rsid w:val="4F833267"/>
    <w:rsid w:val="4FE9BD67"/>
    <w:rsid w:val="4FFB052F"/>
    <w:rsid w:val="53083A92"/>
    <w:rsid w:val="537E6D0A"/>
    <w:rsid w:val="53AF27A2"/>
    <w:rsid w:val="53F74C96"/>
    <w:rsid w:val="54530CE1"/>
    <w:rsid w:val="545370B0"/>
    <w:rsid w:val="56E47B74"/>
    <w:rsid w:val="57BD3DD4"/>
    <w:rsid w:val="5AF92295"/>
    <w:rsid w:val="5BDD79E6"/>
    <w:rsid w:val="5BF561CA"/>
    <w:rsid w:val="5BFF5DFC"/>
    <w:rsid w:val="5CD71FC4"/>
    <w:rsid w:val="5D1F11B5"/>
    <w:rsid w:val="5DAE1B18"/>
    <w:rsid w:val="5DE7D9E5"/>
    <w:rsid w:val="5EA160D1"/>
    <w:rsid w:val="5ECEC941"/>
    <w:rsid w:val="5F493CB7"/>
    <w:rsid w:val="5FBF9FF3"/>
    <w:rsid w:val="5FCD4E2C"/>
    <w:rsid w:val="5FD15F49"/>
    <w:rsid w:val="5FEF394A"/>
    <w:rsid w:val="5FF67715"/>
    <w:rsid w:val="62BF3928"/>
    <w:rsid w:val="639666EA"/>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1066EF"/>
    <w:rsid w:val="712A28F1"/>
    <w:rsid w:val="715C0E4B"/>
    <w:rsid w:val="71D33DDD"/>
    <w:rsid w:val="72233669"/>
    <w:rsid w:val="72734D90"/>
    <w:rsid w:val="7332FE48"/>
    <w:rsid w:val="73AB61DA"/>
    <w:rsid w:val="73AD73D5"/>
    <w:rsid w:val="73B6EB34"/>
    <w:rsid w:val="73FA497D"/>
    <w:rsid w:val="744731E5"/>
    <w:rsid w:val="74527205"/>
    <w:rsid w:val="745D7100"/>
    <w:rsid w:val="74BBD01D"/>
    <w:rsid w:val="74BE7CA8"/>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DAE2F02"/>
    <w:rsid w:val="7E7347A5"/>
    <w:rsid w:val="7E8ADEBF"/>
    <w:rsid w:val="7EEF11D3"/>
    <w:rsid w:val="7F0971A6"/>
    <w:rsid w:val="7F3F679B"/>
    <w:rsid w:val="7F4FC4EF"/>
    <w:rsid w:val="7F5E4D54"/>
    <w:rsid w:val="7F6E0135"/>
    <w:rsid w:val="7FA30C79"/>
    <w:rsid w:val="7FAF8ABF"/>
    <w:rsid w:val="7FB7269E"/>
    <w:rsid w:val="7FC96657"/>
    <w:rsid w:val="7FDA9588"/>
    <w:rsid w:val="7FDF220F"/>
    <w:rsid w:val="7FE85B87"/>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qFormat/>
    <w:uiPriority w:val="0"/>
    <w:pPr>
      <w:widowControl w:val="0"/>
      <w:adjustRightInd/>
      <w:snapToGrid/>
      <w:spacing w:after="0"/>
      <w:jc w:val="both"/>
    </w:pPr>
    <w:rPr>
      <w:rFonts w:ascii="宋体" w:hAnsi="Courier New" w:cs="Courier New"/>
      <w:kern w:val="2"/>
      <w:sz w:val="21"/>
      <w:szCs w:val="21"/>
    </w:r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e7f47354-4716-4bc5-8043-b819ef3c171a</errorID>
      <errorWord>支出为</errorWord>
      <group>L1_Word</group>
      <groupName>字词问题</groupName>
      <ability>L2_Typo</ability>
      <abilityName>字词错误</abilityName>
      <candidateList>
        <item>支出</item>
      </candidateList>
      <explain/>
      <paraID>2195DA9E</paraID>
      <start>18</start>
      <end>20</end>
      <status>modified</status>
      <modifiedWord>支出</modifiedWord>
      <trackRevisions>false</trackRevisions>
    </reviewItem>
    <reviewItem>
      <errorID>e20dc046-5cbf-4d82-af3e-74bcb4392fb2</errorID>
      <errorWord>主要原因主要原因</errorWord>
      <group>L1_Word</group>
      <groupName>字词问题</groupName>
      <ability>L2_Typo</ability>
      <abilityName>字词错误</abilityName>
      <candidateList>
        <item>主要原因</item>
      </candidateList>
      <explain/>
      <paraID>712A6F42</paraID>
      <start>77</start>
      <end>81</end>
      <status>modified</status>
      <modifiedWord>主要原因</modifiedWord>
      <trackRevisions>false</trackRevisions>
    </reviewItem>
    <reviewItem>
      <errorID>d94e921d-b2d7-4b23-9c11-f0c6113bbf0f</errorID>
      <errorWord>，</errorWord>
      <group>L1_Word</group>
      <groupName>字词问题</groupName>
      <ability>L2_Typo</ability>
      <abilityName>字词错误</abilityName>
      <candidateList>
        <item>，在</item>
      </candidateList>
      <explain/>
      <paraID>3DDAB44D</paraID>
      <start>63</start>
      <end>65</end>
      <status>modified</status>
      <modifiedWord>，在</modifiedWord>
      <trackRevisions>false</trackRevisions>
    </reviewItem>
    <reviewItem>
      <errorID>826cc989-3bb1-4d6d-ac59-fa1c36087172</errorID>
      <errorWord>、等</errorWord>
      <group>L1_Punc</group>
      <groupName>标点问题</groupName>
      <ability>L2_Punc_CN</ability>
      <abilityName>标点符号问题</abilityName>
      <candidateList>
        <item>等</item>
      </candidateList>
      <explain>“及”“和”“等”连词前不宜使用顿号，建议删除（或使用逗号）。</explain>
      <paraID>5BEB61FA</paraID>
      <start>92</start>
      <end>93</end>
      <status>modified</status>
      <modifiedWord>等</modifiedWord>
      <trackRevisions>false</trackRevisions>
    </reviewItem>
    <reviewItem>
      <errorID>5be96665-16c3-4688-af06-9fffe5a0955e</errorID>
      <errorWord>用来</errorWord>
      <group>L1_Grammar</group>
      <groupName>语法问题</groupName>
      <ability>L2_Grammar</ability>
      <abilityName>语法错误</abilityName>
      <candidateList>
        <item>用于</item>
      </candidateList>
      <explain>“用来～开展”搭配不当，建议修改为“用于～开展”。</explain>
      <paraID>4AABCB98</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290353-ba5e-4348-a21f-a8fde9ce414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5606</Words>
  <Characters>5980</Characters>
  <Lines>61</Lines>
  <Paragraphs>17</Paragraphs>
  <TotalTime>4</TotalTime>
  <ScaleCrop>false</ScaleCrop>
  <LinksUpToDate>false</LinksUpToDate>
  <CharactersWithSpaces>6007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2026-10-15T06:50:32Z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