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FB52B">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bookmarkStart w:id="0" w:name="_Toc15377193"/>
      <w:bookmarkStart w:id="1" w:name="_Toc15378441"/>
      <w:bookmarkStart w:id="2" w:name="_Toc15396475"/>
      <w:bookmarkStart w:id="3" w:name="_Toc15377425"/>
      <w:bookmarkStart w:id="4" w:name="_Toc15396597"/>
      <w:bookmarkStart w:id="5" w:name="_Toc15306267"/>
    </w:p>
    <w:p w14:paraId="1AB795BC">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3C9076B5">
      <w:pPr>
        <w:adjustRightInd w:val="0"/>
        <w:snapToGrid w:val="0"/>
        <w:spacing w:line="360" w:lineRule="auto"/>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2025年度省级部门（单位）决算</w:t>
      </w:r>
    </w:p>
    <w:p w14:paraId="654098D2">
      <w:pPr>
        <w:adjustRightInd w:val="0"/>
        <w:snapToGrid w:val="0"/>
        <w:spacing w:line="360" w:lineRule="auto"/>
        <w:jc w:val="center"/>
        <w:outlineLvl w:val="0"/>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公开</w:t>
      </w:r>
      <w:bookmarkStart w:id="61" w:name="_GoBack"/>
      <w:bookmarkEnd w:id="61"/>
    </w:p>
    <w:p w14:paraId="6BA51107">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7186DF65">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50328B6C">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01FCE484">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42CF8CB5">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6CA30D99">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38D158EA">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224B888B">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43EB65E6">
      <w:pPr>
        <w:adjustRightInd w:val="0"/>
        <w:snapToGrid w:val="0"/>
        <w:spacing w:line="360" w:lineRule="auto"/>
        <w:jc w:val="center"/>
        <w:outlineLvl w:val="0"/>
        <w:rPr>
          <w:rFonts w:hint="eastAsia" w:ascii="仿宋" w:hAnsi="仿宋" w:eastAsia="仿宋" w:cs="仿宋"/>
          <w:b/>
          <w:bCs/>
          <w:sz w:val="44"/>
          <w:szCs w:val="44"/>
        </w:rPr>
      </w:pPr>
      <w:r>
        <w:rPr>
          <w:rFonts w:hint="eastAsia" w:ascii="仿宋" w:hAnsi="仿宋" w:eastAsia="仿宋" w:cs="仿宋"/>
          <w:b/>
          <w:bCs/>
          <w:sz w:val="44"/>
          <w:szCs w:val="44"/>
        </w:rPr>
        <w:t>202</w:t>
      </w:r>
      <w:r>
        <w:rPr>
          <w:rFonts w:hint="eastAsia" w:ascii="仿宋" w:hAnsi="仿宋" w:eastAsia="仿宋" w:cs="仿宋"/>
          <w:b/>
          <w:bCs/>
          <w:sz w:val="44"/>
          <w:szCs w:val="44"/>
          <w:lang w:val="en-US" w:eastAsia="zh-CN"/>
        </w:rPr>
        <w:t>5</w:t>
      </w:r>
      <w:r>
        <w:rPr>
          <w:rFonts w:hint="eastAsia" w:ascii="仿宋" w:hAnsi="仿宋" w:eastAsia="仿宋" w:cs="仿宋"/>
          <w:b/>
          <w:bCs/>
          <w:sz w:val="44"/>
          <w:szCs w:val="44"/>
        </w:rPr>
        <w:t>年度</w:t>
      </w:r>
    </w:p>
    <w:p w14:paraId="7132F693">
      <w:pPr>
        <w:adjustRightInd w:val="0"/>
        <w:snapToGrid w:val="0"/>
        <w:spacing w:line="360" w:lineRule="auto"/>
        <w:jc w:val="center"/>
        <w:outlineLvl w:val="0"/>
        <w:rPr>
          <w:rFonts w:hint="eastAsia" w:ascii="仿宋" w:hAnsi="仿宋" w:eastAsia="仿宋" w:cs="仿宋"/>
          <w:b/>
          <w:bCs/>
          <w:sz w:val="44"/>
          <w:szCs w:val="44"/>
          <w:lang w:eastAsia="zh-CN"/>
        </w:rPr>
      </w:pPr>
      <w:r>
        <w:rPr>
          <w:rFonts w:hint="eastAsia" w:ascii="仿宋" w:hAnsi="仿宋" w:eastAsia="仿宋" w:cs="仿宋"/>
          <w:b/>
          <w:bCs/>
          <w:sz w:val="44"/>
          <w:szCs w:val="44"/>
        </w:rPr>
        <w:t>四川省</w:t>
      </w:r>
      <w:r>
        <w:rPr>
          <w:rFonts w:hint="eastAsia" w:ascii="仿宋" w:hAnsi="仿宋" w:eastAsia="仿宋" w:cs="仿宋"/>
          <w:b/>
          <w:bCs/>
          <w:sz w:val="44"/>
          <w:szCs w:val="44"/>
          <w:lang w:eastAsia="zh-CN"/>
        </w:rPr>
        <w:t>松潘县科学技术和农业畜牧局</w:t>
      </w:r>
      <w:r>
        <w:rPr>
          <w:rFonts w:hint="eastAsia" w:ascii="仿宋" w:hAnsi="仿宋" w:eastAsia="仿宋" w:cs="仿宋"/>
          <w:b/>
          <w:bCs/>
          <w:sz w:val="44"/>
          <w:szCs w:val="44"/>
        </w:rPr>
        <w:t>决算</w:t>
      </w:r>
    </w:p>
    <w:bookmarkEnd w:id="0"/>
    <w:bookmarkEnd w:id="1"/>
    <w:bookmarkEnd w:id="2"/>
    <w:bookmarkEnd w:id="3"/>
    <w:bookmarkEnd w:id="4"/>
    <w:bookmarkEnd w:id="5"/>
    <w:p w14:paraId="25103231">
      <w:pPr>
        <w:widowControl/>
        <w:jc w:val="center"/>
        <w:rPr>
          <w:rFonts w:hint="eastAsia" w:ascii="Times New Roman" w:hAnsi="Times New Roman" w:eastAsia="黑体"/>
          <w:color w:val="auto"/>
          <w:sz w:val="48"/>
          <w:szCs w:val="48"/>
          <w:highlight w:val="none"/>
        </w:rPr>
      </w:pPr>
    </w:p>
    <w:p w14:paraId="3964DCE1">
      <w:pPr>
        <w:widowControl/>
        <w:jc w:val="center"/>
        <w:rPr>
          <w:rFonts w:hint="eastAsia" w:ascii="Times New Roman" w:hAnsi="Times New Roman" w:eastAsia="黑体"/>
          <w:color w:val="auto"/>
          <w:sz w:val="48"/>
          <w:szCs w:val="48"/>
          <w:highlight w:val="none"/>
        </w:rPr>
      </w:pPr>
    </w:p>
    <w:p w14:paraId="25C0F225">
      <w:pPr>
        <w:widowControl/>
        <w:jc w:val="center"/>
        <w:rPr>
          <w:rFonts w:hint="eastAsia" w:ascii="Times New Roman" w:hAnsi="Times New Roman" w:eastAsia="黑体"/>
          <w:color w:val="auto"/>
          <w:sz w:val="48"/>
          <w:szCs w:val="48"/>
          <w:highlight w:val="none"/>
        </w:rPr>
      </w:pPr>
    </w:p>
    <w:p w14:paraId="0E00A946">
      <w:pPr>
        <w:widowControl/>
        <w:jc w:val="center"/>
        <w:rPr>
          <w:rFonts w:hint="eastAsia" w:ascii="Times New Roman" w:hAnsi="Times New Roman" w:eastAsia="黑体"/>
          <w:color w:val="auto"/>
          <w:sz w:val="48"/>
          <w:szCs w:val="48"/>
          <w:highlight w:val="none"/>
        </w:rPr>
      </w:pPr>
    </w:p>
    <w:p w14:paraId="2686322B">
      <w:pPr>
        <w:widowControl/>
        <w:jc w:val="center"/>
        <w:rPr>
          <w:rFonts w:hint="eastAsia" w:ascii="Times New Roman" w:hAnsi="Times New Roman" w:eastAsia="黑体"/>
          <w:color w:val="auto"/>
          <w:sz w:val="48"/>
          <w:szCs w:val="48"/>
          <w:highlight w:val="none"/>
        </w:rPr>
      </w:pPr>
    </w:p>
    <w:p w14:paraId="708E0D34">
      <w:pPr>
        <w:widowControl/>
        <w:jc w:val="center"/>
        <w:rPr>
          <w:rFonts w:hint="eastAsia" w:ascii="Times New Roman" w:hAnsi="Times New Roman" w:eastAsia="黑体"/>
          <w:color w:val="auto"/>
          <w:sz w:val="48"/>
          <w:szCs w:val="48"/>
          <w:highlight w:val="none"/>
        </w:rPr>
      </w:pPr>
    </w:p>
    <w:p w14:paraId="2F286834">
      <w:pPr>
        <w:widowControl/>
        <w:jc w:val="center"/>
        <w:rPr>
          <w:rFonts w:hint="eastAsia" w:ascii="Times New Roman" w:hAnsi="Times New Roman" w:eastAsia="黑体"/>
          <w:color w:val="auto"/>
          <w:sz w:val="48"/>
          <w:szCs w:val="48"/>
          <w:highlight w:val="none"/>
        </w:rPr>
      </w:pPr>
    </w:p>
    <w:p w14:paraId="78737637">
      <w:pPr>
        <w:widowControl/>
        <w:jc w:val="center"/>
        <w:rPr>
          <w:rFonts w:hint="eastAsia" w:ascii="Times New Roman" w:hAnsi="Times New Roman" w:eastAsia="黑体"/>
          <w:color w:val="auto"/>
          <w:sz w:val="48"/>
          <w:szCs w:val="48"/>
          <w:highlight w:val="none"/>
        </w:rPr>
      </w:pPr>
    </w:p>
    <w:p w14:paraId="7E7042C8">
      <w:pPr>
        <w:widowControl/>
        <w:jc w:val="center"/>
        <w:rPr>
          <w:rFonts w:hint="eastAsia" w:ascii="Times New Roman" w:hAnsi="Times New Roman" w:eastAsia="黑体"/>
          <w:color w:val="auto"/>
          <w:sz w:val="48"/>
          <w:szCs w:val="48"/>
          <w:highlight w:val="none"/>
        </w:rPr>
      </w:pPr>
    </w:p>
    <w:p w14:paraId="031738FD">
      <w:pPr>
        <w:widowControl/>
        <w:jc w:val="center"/>
        <w:rPr>
          <w:rFonts w:hint="eastAsia" w:ascii="Times New Roman" w:hAnsi="Times New Roman" w:eastAsia="黑体"/>
          <w:color w:val="auto"/>
          <w:sz w:val="48"/>
          <w:szCs w:val="48"/>
          <w:highlight w:val="none"/>
        </w:rPr>
      </w:pPr>
    </w:p>
    <w:p w14:paraId="1DE9502E">
      <w:pPr>
        <w:widowControl/>
        <w:jc w:val="center"/>
        <w:rPr>
          <w:rFonts w:hint="eastAsia" w:ascii="Times New Roman" w:hAnsi="Times New Roman" w:eastAsia="黑体"/>
          <w:color w:val="auto"/>
          <w:sz w:val="48"/>
          <w:szCs w:val="48"/>
          <w:highlight w:val="none"/>
        </w:rPr>
      </w:pPr>
    </w:p>
    <w:p w14:paraId="5E6AFBF0">
      <w:pPr>
        <w:widowControl/>
        <w:jc w:val="center"/>
        <w:rPr>
          <w:rFonts w:hint="eastAsia" w:ascii="Times New Roman" w:hAnsi="Times New Roman" w:eastAsia="黑体"/>
          <w:color w:val="auto"/>
          <w:sz w:val="48"/>
          <w:szCs w:val="48"/>
          <w:highlight w:val="none"/>
        </w:rPr>
      </w:pPr>
    </w:p>
    <w:p w14:paraId="2D12EAAF">
      <w:pPr>
        <w:widowControl/>
        <w:ind w:firstLine="3360" w:firstLineChars="7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0C4198B">
      <w:pPr>
        <w:widowControl/>
        <w:jc w:val="center"/>
        <w:rPr>
          <w:rFonts w:ascii="Times New Roman" w:hAnsi="Times New Roman" w:eastAsia="黑体" w:cstheme="minorBidi"/>
          <w:color w:val="auto"/>
          <w:sz w:val="28"/>
          <w:szCs w:val="28"/>
          <w:highlight w:val="none"/>
        </w:rPr>
      </w:pPr>
    </w:p>
    <w:p w14:paraId="4E9DCC9B">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284EDB01">
      <w:pPr>
        <w:rPr>
          <w:rFonts w:ascii="Times New Roman" w:hAnsi="Times New Roman"/>
          <w:color w:val="auto"/>
          <w:highlight w:val="none"/>
        </w:rPr>
      </w:pPr>
    </w:p>
    <w:p w14:paraId="7A8852A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042F8C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910DAB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D10A01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786384A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76C23A2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20D9A4D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62F60EA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3DF5CE7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1589BB8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797424E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4AF92CF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50189A8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0F32CDC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05F7ACC3">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5495494">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6130753B">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B30BD7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387BA09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20E52C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BEEBFD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696276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67725BD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662444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59054C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4302D6E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67C23E5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8306BF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85D73A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17CF246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DBBFA5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3B63F40">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1797D235">
      <w:pPr>
        <w:pStyle w:val="5"/>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6971A717">
      <w:pPr>
        <w:pStyle w:val="6"/>
        <w:numPr>
          <w:ilvl w:val="0"/>
          <w:numId w:val="1"/>
        </w:numPr>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b w:val="0"/>
          <w:color w:val="auto"/>
          <w:highlight w:val="none"/>
          <w:lang w:eastAsia="zh-CN"/>
        </w:rPr>
        <w:t>部门职责</w:t>
      </w:r>
    </w:p>
    <w:p w14:paraId="46103B5B">
      <w:pPr>
        <w:pStyle w:val="6"/>
        <w:ind w:firstLine="640" w:firstLineChars="200"/>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bookmarkStart w:id="8" w:name="_Toc15396601"/>
      <w:bookmarkStart w:id="9" w:name="_Toc15377200"/>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第一条  松潘县科学技术和农业畜牧局（简称县科学技术和农业畜牧局）是松潘县人民政府工作部门，为正科级单位。加挂松潘县乡村振兴局（简称县乡村振兴局）牌子。</w:t>
      </w:r>
    </w:p>
    <w:p w14:paraId="5C9994ED">
      <w:pPr>
        <w:pStyle w:val="6"/>
        <w:ind w:firstLine="640" w:firstLineChars="200"/>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第二条  县科学技术和农业畜牧局负责贯彻落实国家、省州县关于科技、乡村振兴、农牧等工作的决策部署，把坚持和加强党中央对科技、乡村振兴、农牧等工作的集中统一领导落实到履行职责过程中。</w:t>
      </w:r>
    </w:p>
    <w:p w14:paraId="1E261C1C">
      <w:pPr>
        <w:pStyle w:val="6"/>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107EA225">
      <w:pPr>
        <w:pStyle w:val="10"/>
        <w:numPr>
          <w:ilvl w:val="0"/>
          <w:numId w:val="0"/>
        </w:numPr>
        <w:ind w:leftChars="100" w:firstLine="640" w:firstLineChars="200"/>
        <w:rPr>
          <w:rFonts w:hint="eastAsia" w:ascii="仿宋_GB2312" w:hAnsi="仿宋"/>
          <w:sz w:val="32"/>
          <w:szCs w:val="32"/>
          <w:lang w:val="en-US" w:eastAsia="zh-CN"/>
        </w:rPr>
      </w:pPr>
      <w:r>
        <w:rPr>
          <w:rFonts w:hint="eastAsia"/>
          <w:sz w:val="32"/>
          <w:szCs w:val="32"/>
        </w:rPr>
        <w:t>我局为党政机关，机构规格为正科。按照“三定”方案规定，内设8个职能股室，分别为办公室、政策法规股、科学技术股、农业综合股、畜牧综合股、乡村振兴股、财务股、项目投资管理股等，各科室运行情况职能边界清晰、分工明确、机构设置符合履职需要、无擅自增设机构、违规挂牌、变相设机构等情况。除“三定方案”规定的8个行政股室外，按照县上机构设置规定，我局还设有畜牧兽医服务中心（参公）、乡村振兴服务中心（事业）、农机监理站（参公）、农经站（参公）、植保站（事业）、种子站（事业）、土肥站（事业）、农技站（事业）、中药材推广服务中心（事业）、生产力促进中心（事业）、畜牧工作站（事业）、动物疫病预防控制中心（事业）、农产品质量安全监督检验检测站（事业）</w:t>
      </w:r>
      <w:r>
        <w:rPr>
          <w:rFonts w:hint="eastAsia"/>
          <w:sz w:val="32"/>
          <w:szCs w:val="32"/>
          <w:lang w:eastAsia="zh-CN"/>
        </w:rPr>
        <w:t>。</w:t>
      </w:r>
      <w:r>
        <w:rPr>
          <w:sz w:val="32"/>
          <w:szCs w:val="32"/>
        </w:rPr>
        <w:t>松潘县科学技术和农业畜牧局</w:t>
      </w:r>
      <w:r>
        <w:rPr>
          <w:rFonts w:hint="default" w:ascii="Times New Roman" w:hAnsi="Times New Roman" w:cs="Times New Roman"/>
          <w:sz w:val="32"/>
          <w:szCs w:val="32"/>
        </w:rPr>
        <w:t>截至202</w:t>
      </w:r>
      <w:r>
        <w:rPr>
          <w:rFonts w:hint="eastAsia" w:ascii="Times New Roman" w:hAnsi="Times New Roman" w:cs="Times New Roman"/>
          <w:sz w:val="32"/>
          <w:szCs w:val="32"/>
          <w:lang w:val="en-US" w:eastAsia="zh-CN"/>
        </w:rPr>
        <w:t>5</w:t>
      </w:r>
      <w:r>
        <w:rPr>
          <w:rFonts w:hint="default" w:ascii="Times New Roman" w:hAnsi="Times New Roman" w:cs="Times New Roman"/>
          <w:sz w:val="32"/>
          <w:szCs w:val="32"/>
        </w:rPr>
        <w:t>年末，</w:t>
      </w:r>
      <w:r>
        <w:rPr>
          <w:rFonts w:hint="eastAsia" w:ascii="仿宋_GB2312" w:hAnsi="仿宋" w:eastAsia="仿宋_GB2312"/>
          <w:sz w:val="32"/>
          <w:szCs w:val="32"/>
        </w:rPr>
        <w:t>松潘县</w:t>
      </w:r>
      <w:r>
        <w:rPr>
          <w:rFonts w:hint="eastAsia" w:ascii="仿宋_GB2312" w:hAnsi="仿宋"/>
          <w:sz w:val="32"/>
          <w:szCs w:val="32"/>
          <w:lang w:eastAsia="zh-CN"/>
        </w:rPr>
        <w:t>科学技术和农业畜牧局</w:t>
      </w:r>
      <w:r>
        <w:rPr>
          <w:rFonts w:hint="eastAsia" w:ascii="仿宋_GB2312" w:hAnsi="仿宋" w:eastAsia="仿宋_GB2312"/>
          <w:sz w:val="32"/>
          <w:szCs w:val="32"/>
        </w:rPr>
        <w:t>机关</w:t>
      </w:r>
      <w:r>
        <w:rPr>
          <w:rFonts w:hint="eastAsia" w:ascii="仿宋_GB2312" w:hAnsi="仿宋"/>
          <w:sz w:val="32"/>
          <w:szCs w:val="32"/>
          <w:lang w:eastAsia="zh-CN"/>
        </w:rPr>
        <w:t>编制总数</w:t>
      </w:r>
      <w:r>
        <w:rPr>
          <w:rFonts w:hint="eastAsia" w:ascii="仿宋_GB2312" w:hAnsi="仿宋"/>
          <w:sz w:val="32"/>
          <w:szCs w:val="32"/>
          <w:lang w:val="en-US" w:eastAsia="zh-CN"/>
        </w:rPr>
        <w:t>83名，实有人员82名。</w:t>
      </w:r>
    </w:p>
    <w:p w14:paraId="14AA4C74">
      <w:pPr>
        <w:pStyle w:val="10"/>
        <w:numPr>
          <w:ilvl w:val="0"/>
          <w:numId w:val="0"/>
        </w:numPr>
        <w:ind w:leftChars="100" w:firstLine="640" w:firstLineChars="200"/>
        <w:rPr>
          <w:rFonts w:hint="eastAsia" w:ascii="仿宋_GB2312" w:hAnsi="仿宋"/>
          <w:sz w:val="32"/>
          <w:szCs w:val="32"/>
          <w:lang w:val="en-US" w:eastAsia="zh-CN"/>
        </w:rPr>
      </w:pPr>
      <w:r>
        <w:rPr>
          <w:rFonts w:hint="eastAsia" w:ascii="仿宋_GB2312" w:hAnsi="仿宋"/>
          <w:sz w:val="32"/>
          <w:szCs w:val="32"/>
          <w:lang w:val="en-US" w:eastAsia="zh-CN"/>
        </w:rPr>
        <w:t>核定领导数10名（3正7副），实配领导10名（3正7副）。局机关核定行政编制总数13名，在编13人，工勤核定编制总数2名，在编3人。</w:t>
      </w:r>
    </w:p>
    <w:p w14:paraId="62271F89">
      <w:pPr>
        <w:pStyle w:val="10"/>
        <w:numPr>
          <w:ilvl w:val="0"/>
          <w:numId w:val="0"/>
        </w:numPr>
        <w:ind w:leftChars="100" w:firstLine="640" w:firstLineChars="200"/>
        <w:rPr>
          <w:rFonts w:ascii="仿宋" w:hAnsi="仿宋" w:eastAsia="仿宋"/>
          <w:sz w:val="32"/>
          <w:szCs w:val="32"/>
        </w:rPr>
      </w:pPr>
      <w:r>
        <w:rPr>
          <w:rFonts w:hint="eastAsia" w:ascii="仿宋_GB2312" w:hAnsi="仿宋"/>
          <w:sz w:val="32"/>
          <w:szCs w:val="32"/>
          <w:lang w:val="en-US" w:eastAsia="zh-CN"/>
        </w:rPr>
        <w:t>事业参公制单位3个，核定编制总数21名，在编19人。</w:t>
      </w:r>
    </w:p>
    <w:p w14:paraId="36FD5CB1">
      <w:pPr>
        <w:pStyle w:val="8"/>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w:t>
      </w:r>
      <w:r>
        <w:rPr>
          <w:rFonts w:ascii="Times New Roman" w:eastAsia="宋体"/>
          <w:kern w:val="2"/>
          <w:sz w:val="32"/>
          <w:szCs w:val="32"/>
        </w:rPr>
        <w:t>松潘县科学技术和农业畜牧局</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年度部门决算编制范围单位包括：</w:t>
      </w:r>
    </w:p>
    <w:p w14:paraId="59AFF779">
      <w:pPr>
        <w:pStyle w:val="8"/>
        <w:numPr>
          <w:ilvl w:val="0"/>
          <w:numId w:val="2"/>
        </w:numPr>
        <w:adjustRightInd w:val="0"/>
        <w:snapToGrid w:val="0"/>
        <w:spacing w:before="93" w:line="600" w:lineRule="exact"/>
        <w:outlineLvl w:val="2"/>
        <w:rPr>
          <w:rFonts w:ascii="仿宋" w:hAnsi="仿宋" w:eastAsia="仿宋"/>
          <w:sz w:val="32"/>
          <w:szCs w:val="32"/>
        </w:rPr>
      </w:pPr>
      <w:r>
        <w:rPr>
          <w:rFonts w:hint="eastAsia" w:ascii="仿宋" w:hAnsi="仿宋" w:eastAsia="仿宋"/>
          <w:sz w:val="32"/>
          <w:szCs w:val="32"/>
          <w:lang w:eastAsia="zh-CN"/>
        </w:rPr>
        <w:t>松潘县科学技术和农业畜牧局</w:t>
      </w:r>
    </w:p>
    <w:p w14:paraId="2E200257">
      <w:pPr>
        <w:pStyle w:val="8"/>
        <w:numPr>
          <w:ilvl w:val="0"/>
          <w:numId w:val="0"/>
        </w:numPr>
        <w:adjustRightInd w:val="0"/>
        <w:snapToGrid w:val="0"/>
        <w:spacing w:before="93" w:line="600" w:lineRule="exact"/>
        <w:outlineLvl w:val="2"/>
        <w:rPr>
          <w:rFonts w:ascii="仿宋" w:hAnsi="仿宋" w:eastAsia="仿宋"/>
          <w:sz w:val="32"/>
          <w:szCs w:val="32"/>
        </w:rPr>
      </w:pPr>
    </w:p>
    <w:p w14:paraId="1C0F8A01">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1252318">
      <w:pPr>
        <w:pStyle w:val="5"/>
        <w:jc w:val="center"/>
        <w:rPr>
          <w:rFonts w:ascii="Times New Roman" w:hAnsi="Times New Roman"/>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35412E8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6AC0EEE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eastAsia="zh-CN"/>
        </w:rPr>
        <w:t>均</w:t>
      </w:r>
      <w:r>
        <w:rPr>
          <w:rFonts w:hint="eastAsia" w:ascii="Times New Roman" w:hAnsi="Times New Roman" w:eastAsia="仿宋_GB2312" w:cs="仿宋_GB2312"/>
          <w:color w:val="auto"/>
          <w:sz w:val="32"/>
          <w:szCs w:val="32"/>
          <w:highlight w:val="none"/>
          <w:lang w:eastAsia="zh-CN"/>
        </w:rPr>
        <w:t>为</w:t>
      </w:r>
      <w:r>
        <w:rPr>
          <w:rFonts w:hint="eastAsia" w:ascii="仿宋_GB2312" w:hAnsi="仿宋_GB2312" w:eastAsia="仿宋_GB2312" w:cs="仿宋_GB2312"/>
          <w:sz w:val="32"/>
          <w:szCs w:val="32"/>
        </w:rPr>
        <w:t>15592.17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年相比，</w:t>
      </w:r>
      <w:r>
        <w:rPr>
          <w:rFonts w:hint="eastAsia" w:eastAsia="仿宋_GB2312" w:cs="仿宋_GB2312"/>
          <w:color w:val="auto"/>
          <w:sz w:val="32"/>
          <w:szCs w:val="32"/>
          <w:highlight w:val="none"/>
          <w:lang w:eastAsia="zh-CN"/>
        </w:rPr>
        <w:t>收入、支出总计各增加</w:t>
      </w:r>
      <w:r>
        <w:rPr>
          <w:rFonts w:hint="eastAsia" w:eastAsia="仿宋_GB2312" w:cs="仿宋_GB2312"/>
          <w:color w:val="auto"/>
          <w:sz w:val="32"/>
          <w:szCs w:val="32"/>
          <w:highlight w:val="none"/>
          <w:lang w:val="en-US" w:eastAsia="zh-CN"/>
        </w:rPr>
        <w:t>2830.72</w:t>
      </w:r>
      <w:r>
        <w:rPr>
          <w:rFonts w:hint="eastAsia"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eastAsia="zh-CN"/>
        </w:rPr>
        <w:t>率</w:t>
      </w:r>
      <w:r>
        <w:rPr>
          <w:rFonts w:hint="eastAsia" w:eastAsia="仿宋_GB2312" w:cs="仿宋_GB2312"/>
          <w:color w:val="auto"/>
          <w:sz w:val="32"/>
          <w:szCs w:val="32"/>
          <w:highlight w:val="none"/>
          <w:lang w:val="en-US" w:eastAsia="zh-CN"/>
        </w:rPr>
        <w:t>18.45</w:t>
      </w:r>
      <w:r>
        <w:rPr>
          <w:rFonts w:hint="eastAsia" w:ascii="Times New Roman" w:hAnsi="Times New Roman" w:eastAsia="仿宋_GB2312" w:cs="仿宋_GB2312"/>
          <w:color w:val="auto"/>
          <w:sz w:val="32"/>
          <w:szCs w:val="32"/>
          <w:highlight w:val="none"/>
        </w:rPr>
        <w:t>%。主要</w:t>
      </w:r>
      <w:r>
        <w:rPr>
          <w:rFonts w:hint="eastAsia" w:eastAsia="仿宋_GB2312" w:cs="仿宋_GB2312"/>
          <w:color w:val="auto"/>
          <w:sz w:val="32"/>
          <w:szCs w:val="32"/>
          <w:highlight w:val="none"/>
          <w:lang w:eastAsia="zh-CN"/>
        </w:rPr>
        <w:t>是本年度承担专项工作，项目数量增多、上级补助资金的增加以及机构人员变动等情况。</w:t>
      </w:r>
    </w:p>
    <w:p w14:paraId="5E34E59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3FC658B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15581.13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14993.95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96.23</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585.18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0.01</w:t>
      </w:r>
      <w:r>
        <w:rPr>
          <w:rFonts w:hint="eastAsia" w:ascii="Times New Roman" w:hAnsi="Times New Roman" w:eastAsia="仿宋_GB2312" w:cs="仿宋_GB2312"/>
          <w:color w:val="auto"/>
          <w:sz w:val="32"/>
          <w:szCs w:val="32"/>
          <w:highlight w:val="none"/>
          <w:lang w:eastAsia="zh-CN"/>
        </w:rPr>
        <w:t>%。</w:t>
      </w:r>
    </w:p>
    <w:p w14:paraId="20F1479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588945D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15592.17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956.06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6.1</w:t>
      </w:r>
      <w:r>
        <w:rPr>
          <w:rFonts w:hint="eastAsia" w:ascii="仿宋_GB2312" w:hAnsi="仿宋_GB2312" w:eastAsia="仿宋_GB2312" w:cs="仿宋_GB2312"/>
          <w:sz w:val="32"/>
          <w:szCs w:val="32"/>
          <w:lang w:val="en-US" w:eastAsia="zh-CN"/>
        </w:rPr>
        <w:t>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14636.11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93.86</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5541079">
      <w:pPr>
        <w:spacing w:line="600" w:lineRule="exact"/>
        <w:ind w:firstLine="640" w:firstLineChars="200"/>
        <w:outlineLvl w:val="1"/>
        <w:rPr>
          <w:rStyle w:val="30"/>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7B6EE90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1559</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.17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sz w:val="32"/>
          <w:szCs w:val="32"/>
          <w:highlight w:val="none"/>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val="en-US" w:eastAsia="zh-CN"/>
        </w:rPr>
        <w:t>2830.72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18.45</w:t>
      </w:r>
      <w:r>
        <w:rPr>
          <w:rFonts w:hint="eastAsia" w:ascii="Times New Roman" w:hAnsi="Times New Roman" w:eastAsia="仿宋_GB2312" w:cs="仿宋_GB2312"/>
          <w:color w:val="auto"/>
          <w:sz w:val="32"/>
          <w:szCs w:val="32"/>
          <w:highlight w:val="none"/>
        </w:rPr>
        <w:t>%。主要</w:t>
      </w:r>
      <w:r>
        <w:rPr>
          <w:rFonts w:hint="eastAsia" w:eastAsia="仿宋_GB2312" w:cs="仿宋_GB2312"/>
          <w:color w:val="auto"/>
          <w:sz w:val="32"/>
          <w:szCs w:val="32"/>
          <w:highlight w:val="none"/>
          <w:lang w:eastAsia="zh-CN"/>
        </w:rPr>
        <w:t>是本年度承担专项工作，项目数量增多、上级补助资金的增加以及机构人员变动等情况。</w:t>
      </w:r>
    </w:p>
    <w:p w14:paraId="6AEFDEFB">
      <w:pPr>
        <w:spacing w:line="600" w:lineRule="exact"/>
        <w:ind w:firstLine="640" w:firstLineChars="200"/>
        <w:outlineLvl w:val="1"/>
        <w:rPr>
          <w:rStyle w:val="30"/>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4904BE4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0DF0FA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15004.99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96.23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2223.54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14.81</w:t>
      </w:r>
      <w:r>
        <w:rPr>
          <w:rFonts w:hint="eastAsia" w:ascii="Times New Roman" w:hAnsi="Times New Roman" w:eastAsia="仿宋_GB2312" w:cs="仿宋_GB2312"/>
          <w:color w:val="auto"/>
          <w:kern w:val="2"/>
          <w:sz w:val="32"/>
          <w:szCs w:val="32"/>
          <w:highlight w:val="none"/>
          <w:lang w:val="en-US" w:eastAsia="zh-CN" w:bidi="ar-SA"/>
        </w:rPr>
        <w:t>%。</w:t>
      </w:r>
    </w:p>
    <w:p w14:paraId="59D7B07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13D379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color w:val="auto"/>
          <w:sz w:val="32"/>
          <w:szCs w:val="32"/>
        </w:rPr>
        <w:t>15004.99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13791.26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91.91</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103.42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商业服务</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3.58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0.02</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112.77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51.77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自然资源海洋气候支出41万元，占0.27%；节能环保支出842.47万元，占5.61%；住房保障支出58.72万元，占0.39%。</w:t>
      </w:r>
    </w:p>
    <w:p w14:paraId="482B7CD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3DEB84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213"/>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15004.99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bookmarkEnd w:id="25"/>
      <w:bookmarkEnd w:id="26"/>
      <w:bookmarkEnd w:id="27"/>
      <w:r>
        <w:rPr>
          <w:rFonts w:hint="eastAsia" w:eastAsia="仿宋_GB2312" w:cs="仿宋_GB2312"/>
          <w:color w:val="auto"/>
          <w:kern w:val="2"/>
          <w:sz w:val="32"/>
          <w:szCs w:val="32"/>
          <w:highlight w:val="none"/>
          <w:lang w:val="en-US" w:eastAsia="zh-CN" w:bidi="ar-SA"/>
        </w:rPr>
        <w:t>其中：</w:t>
      </w:r>
    </w:p>
    <w:p w14:paraId="61B69C30">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农林水2130101：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13791.26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B941F18">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科学技术</w:t>
      </w:r>
      <w:r>
        <w:rPr>
          <w:rFonts w:hint="eastAsia" w:eastAsia="仿宋_GB2312" w:cs="仿宋_GB2312"/>
          <w:color w:val="auto"/>
          <w:kern w:val="2"/>
          <w:sz w:val="32"/>
          <w:szCs w:val="32"/>
          <w:highlight w:val="none"/>
          <w:lang w:val="en-US" w:eastAsia="zh-CN" w:bidi="ar-SA"/>
        </w:rPr>
        <w:t>2060499</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103.42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EA057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商业服务2160299：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2FC93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自然资源海洋气候220：</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46B8DF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112.77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2AC47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w:t>
      </w:r>
      <w:r>
        <w:rPr>
          <w:rFonts w:hint="eastAsia" w:eastAsia="仿宋_GB2312" w:cs="仿宋_GB2312"/>
          <w:color w:val="auto"/>
          <w:kern w:val="2"/>
          <w:sz w:val="32"/>
          <w:szCs w:val="32"/>
          <w:highlight w:val="none"/>
          <w:lang w:val="en-US" w:eastAsia="zh-CN" w:bidi="ar-SA"/>
        </w:rPr>
        <w:t>2100409：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51.77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E3626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7.节能环保2110402：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842.47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AEBAD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8.住房保障2210201：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58.72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E86D414">
      <w:pPr>
        <w:tabs>
          <w:tab w:val="right" w:pos="8306"/>
        </w:tabs>
        <w:spacing w:line="600" w:lineRule="exact"/>
        <w:ind w:firstLine="640"/>
        <w:outlineLvl w:val="1"/>
        <w:rPr>
          <w:rStyle w:val="30"/>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587764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954.06</w:t>
      </w:r>
      <w:r>
        <w:rPr>
          <w:rFonts w:hint="eastAsia" w:ascii="Times New Roman" w:hAnsi="Times New Roman" w:eastAsia="仿宋_GB2312" w:cs="仿宋_GB2312"/>
          <w:color w:val="auto"/>
          <w:kern w:val="2"/>
          <w:sz w:val="32"/>
          <w:szCs w:val="32"/>
          <w:highlight w:val="none"/>
          <w:lang w:val="en-US" w:eastAsia="zh-CN" w:bidi="ar-SA"/>
        </w:rPr>
        <w:t>万元，其中：</w:t>
      </w:r>
    </w:p>
    <w:p w14:paraId="19B13B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886.28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67.78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67644BB">
      <w:pPr>
        <w:spacing w:line="600" w:lineRule="exact"/>
        <w:ind w:firstLine="640"/>
        <w:outlineLvl w:val="1"/>
        <w:rPr>
          <w:rStyle w:val="30"/>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08E71AC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7C7F86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0.75</w:t>
      </w:r>
      <w:r>
        <w:rPr>
          <w:rFonts w:hint="eastAsia" w:ascii="Times New Roman" w:hAnsi="Times New Roman" w:eastAsia="仿宋_GB2312" w:cs="仿宋_GB2312"/>
          <w:color w:val="auto"/>
          <w:kern w:val="2"/>
          <w:sz w:val="32"/>
          <w:szCs w:val="32"/>
          <w:highlight w:val="none"/>
          <w:lang w:val="en-US" w:eastAsia="zh-CN" w:bidi="ar-SA"/>
        </w:rPr>
        <w:t>%。</w:t>
      </w:r>
    </w:p>
    <w:p w14:paraId="1A7AD5F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53085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78D158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10A24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007EC8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0.75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专项检查、基层调研、督导、下乡走访等公务出行里程增多，燃油、路桥费用相应上涨。</w:t>
      </w:r>
    </w:p>
    <w:p w14:paraId="04DCC8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辆。</w:t>
      </w:r>
    </w:p>
    <w:p w14:paraId="181170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16</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319475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%。主要原因是。其中：</w:t>
      </w:r>
    </w:p>
    <w:p w14:paraId="6EE59F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万元，具体内容包括：（接待具体项目、金额）。</w:t>
      </w:r>
    </w:p>
    <w:p w14:paraId="480629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96610"/>
      <w:bookmarkStart w:id="35" w:name="_Toc15377218"/>
    </w:p>
    <w:p w14:paraId="04384E6B">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1BE032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585.18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3.75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563.26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1F1B545B">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96611"/>
      <w:bookmarkStart w:id="3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130FBF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ED522DA">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77221"/>
      <w:bookmarkStart w:id="3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39C2553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372BB5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松潘县科学技术和农业畜牧局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67.78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288591D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508D6B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松潘县科学技术和农业畜牧局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1775.06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1018.85</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440.4</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315.81</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1775.06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78C3BEA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469C5F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松潘县科学技术和农业畜牧局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本级</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7B799DC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B9CF4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根据预算绩效管理要求，在2025年度，组织对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（项目名称）等个项目涉及金额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77E34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组织对2025年度一般公共预算、政府性基金预算、国有资本经营预算、社会保险基金预算以及资本资产、债券资金等全面开展绩效自评，形成部门预算（含部门预算项目）绩效自评报告（此项单位不涉及）</w:t>
      </w:r>
      <w:r>
        <w:rPr>
          <w:rFonts w:hint="eastAsia"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t>专项预算项目绩效自评报告，其中，部门预算（含部门预算项目）绩效自评得分为分，绩效自评综述；专项预算项目绩效自评得分为分，绩效自评综述。绩效自评报告详见附件。（注：如不涉及，可根据实际修改表述。）</w:t>
      </w:r>
    </w:p>
    <w:p w14:paraId="09A645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A0C685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p>
    <w:p w14:paraId="01A7579B">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EF261C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C50F65E">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77E6A903">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05DAE8E3">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76924DF7">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31C1A174">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0DAF9065">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4BD45229">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53B35F78">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27BA0E61">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385F69D1">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1F7A8666">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2E41A19A">
      <w:pPr>
        <w:numPr>
          <w:ilvl w:val="0"/>
          <w:numId w:val="0"/>
        </w:numPr>
        <w:spacing w:line="600" w:lineRule="exact"/>
        <w:jc w:val="both"/>
        <w:outlineLvl w:val="0"/>
        <w:rPr>
          <w:rFonts w:hint="eastAsia" w:ascii="Times New Roman" w:hAnsi="Times New Roman" w:eastAsia="黑体"/>
          <w:color w:val="auto"/>
          <w:sz w:val="44"/>
          <w:szCs w:val="44"/>
          <w:highlight w:val="none"/>
        </w:rPr>
      </w:pPr>
    </w:p>
    <w:p w14:paraId="6D8FEB5F">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p>
    <w:p w14:paraId="6B3EAB01">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1B573B5A">
      <w:pPr>
        <w:spacing w:line="600" w:lineRule="exact"/>
        <w:jc w:val="left"/>
        <w:rPr>
          <w:rFonts w:ascii="Times New Roman" w:hAnsi="Times New Roman"/>
          <w:b/>
          <w:color w:val="auto"/>
          <w:sz w:val="44"/>
          <w:szCs w:val="44"/>
          <w:highlight w:val="none"/>
        </w:rPr>
      </w:pPr>
    </w:p>
    <w:p w14:paraId="14A1D2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85B3E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0F4A13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5C589A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6DA4B4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5C6190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383643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F69FB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8FDD7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26C3DC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15D03F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173DA0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25644B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0A7B0D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2A8998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4874E0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2B1C56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421C7C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36DD2D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42BA16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04CC9F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DFF72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937C3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1C338E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0D6D7A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472849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328F6B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3B6F8E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7F740B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F7EA5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C8496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EB1A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498EC93">
      <w:pPr>
        <w:spacing w:line="600" w:lineRule="exact"/>
        <w:jc w:val="center"/>
        <w:rPr>
          <w:rFonts w:hint="eastAsia" w:ascii="Times New Roman" w:hAnsi="Times New Roman" w:eastAsia="黑体"/>
          <w:color w:val="auto"/>
          <w:sz w:val="44"/>
          <w:szCs w:val="44"/>
          <w:highlight w:val="none"/>
        </w:rPr>
      </w:pPr>
      <w:bookmarkStart w:id="45" w:name="_Toc15396614"/>
      <w:bookmarkStart w:id="46" w:name="_Toc15377226"/>
    </w:p>
    <w:p w14:paraId="44F6CBFC">
      <w:pPr>
        <w:spacing w:line="600" w:lineRule="exact"/>
        <w:jc w:val="center"/>
        <w:rPr>
          <w:rFonts w:hint="eastAsia" w:ascii="Times New Roman" w:hAnsi="Times New Roman" w:eastAsia="黑体"/>
          <w:color w:val="auto"/>
          <w:sz w:val="44"/>
          <w:szCs w:val="44"/>
          <w:highlight w:val="none"/>
        </w:rPr>
      </w:pPr>
    </w:p>
    <w:p w14:paraId="53475667">
      <w:pPr>
        <w:spacing w:line="600" w:lineRule="exact"/>
        <w:jc w:val="center"/>
        <w:rPr>
          <w:rFonts w:hint="eastAsia" w:ascii="Times New Roman" w:hAnsi="Times New Roman" w:eastAsia="黑体"/>
          <w:color w:val="auto"/>
          <w:sz w:val="44"/>
          <w:szCs w:val="44"/>
          <w:highlight w:val="none"/>
        </w:rPr>
      </w:pPr>
    </w:p>
    <w:p w14:paraId="383C2E5B">
      <w:pPr>
        <w:spacing w:line="600" w:lineRule="exact"/>
        <w:jc w:val="center"/>
        <w:rPr>
          <w:rFonts w:hint="eastAsia" w:ascii="Times New Roman" w:hAnsi="Times New Roman" w:eastAsia="黑体"/>
          <w:color w:val="auto"/>
          <w:sz w:val="44"/>
          <w:szCs w:val="44"/>
          <w:highlight w:val="none"/>
        </w:rPr>
      </w:pPr>
    </w:p>
    <w:p w14:paraId="1170E813">
      <w:pPr>
        <w:spacing w:line="600" w:lineRule="exact"/>
        <w:jc w:val="center"/>
        <w:rPr>
          <w:rFonts w:hint="eastAsia" w:ascii="Times New Roman" w:hAnsi="Times New Roman" w:eastAsia="黑体"/>
          <w:color w:val="auto"/>
          <w:sz w:val="44"/>
          <w:szCs w:val="44"/>
          <w:highlight w:val="none"/>
        </w:rPr>
      </w:pPr>
    </w:p>
    <w:p w14:paraId="4AB08DA8">
      <w:pPr>
        <w:spacing w:line="600" w:lineRule="exact"/>
        <w:jc w:val="center"/>
        <w:rPr>
          <w:rFonts w:hint="eastAsia" w:ascii="Times New Roman" w:hAnsi="Times New Roman" w:eastAsia="黑体"/>
          <w:color w:val="auto"/>
          <w:sz w:val="44"/>
          <w:szCs w:val="44"/>
          <w:highlight w:val="none"/>
        </w:rPr>
      </w:pPr>
    </w:p>
    <w:p w14:paraId="1310F7F0">
      <w:pPr>
        <w:spacing w:line="600" w:lineRule="exact"/>
        <w:jc w:val="center"/>
        <w:rPr>
          <w:rFonts w:hint="eastAsia" w:ascii="Times New Roman" w:hAnsi="Times New Roman" w:eastAsia="黑体"/>
          <w:color w:val="auto"/>
          <w:sz w:val="44"/>
          <w:szCs w:val="44"/>
          <w:highlight w:val="none"/>
        </w:rPr>
      </w:pPr>
    </w:p>
    <w:p w14:paraId="1523F359">
      <w:pPr>
        <w:spacing w:line="600" w:lineRule="exact"/>
        <w:ind w:firstLine="1760" w:firstLineChars="400"/>
        <w:jc w:val="both"/>
        <w:rPr>
          <w:rStyle w:val="29"/>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14:paraId="2080F4EA">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00CF56F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411D18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E697EC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41BB3E0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2BF2C8A2">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86256A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915A66D">
      <w:pPr>
        <w:pStyle w:val="6"/>
        <w:ind w:firstLine="640" w:firstLineChars="200"/>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第一条  松潘县科学技术和农业畜牧局（简称县科学技术和农业畜牧局）是松潘县人民政府工作部门，为正科级单位。加挂松潘县乡村振兴局（简称县乡村振兴局）牌子。</w:t>
      </w:r>
    </w:p>
    <w:p w14:paraId="0451D919">
      <w:pPr>
        <w:pStyle w:val="6"/>
        <w:ind w:firstLine="640" w:firstLineChars="200"/>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第二条  县科学技术和农业畜牧局负责贯彻落实国家、省州县关于科技、乡村振兴、农牧等工作的决策部署，把坚持和加强党中央对科技、乡村振兴、农牧等工作的集中统一领导落实到履行职责过程中。</w:t>
      </w:r>
    </w:p>
    <w:p w14:paraId="7DD3A62F">
      <w:pPr>
        <w:pStyle w:val="10"/>
        <w:numPr>
          <w:ilvl w:val="0"/>
          <w:numId w:val="0"/>
        </w:numPr>
        <w:ind w:firstLine="643" w:firstLineChars="200"/>
        <w:rPr>
          <w:rFonts w:hint="eastAsia" w:ascii="仿宋_GB2312" w:hAnsi="仿宋"/>
          <w:sz w:val="32"/>
          <w:szCs w:val="32"/>
          <w:lang w:val="en-US" w:eastAsia="zh-CN"/>
        </w:rPr>
      </w:pPr>
      <w:r>
        <w:rPr>
          <w:rFonts w:hint="eastAsia"/>
          <w:b/>
          <w:bCs/>
          <w:sz w:val="32"/>
          <w:szCs w:val="32"/>
          <w:lang w:eastAsia="zh-CN"/>
        </w:rPr>
        <w:t>二、人员设置</w:t>
      </w:r>
      <w:r>
        <w:rPr>
          <w:rFonts w:hint="eastAsia"/>
          <w:b/>
          <w:bCs/>
          <w:sz w:val="32"/>
          <w:szCs w:val="32"/>
          <w:lang w:val="en-US" w:eastAsia="zh-CN"/>
        </w:rPr>
        <w:t xml:space="preserve"> </w:t>
      </w:r>
      <w:r>
        <w:rPr>
          <w:sz w:val="32"/>
          <w:szCs w:val="32"/>
        </w:rPr>
        <w:t>松潘县科学技术和农业畜牧局</w:t>
      </w:r>
      <w:r>
        <w:rPr>
          <w:rFonts w:hint="default" w:ascii="Times New Roman" w:hAnsi="Times New Roman" w:cs="Times New Roman"/>
          <w:sz w:val="32"/>
          <w:szCs w:val="32"/>
        </w:rPr>
        <w:t>截至202</w:t>
      </w:r>
      <w:r>
        <w:rPr>
          <w:rFonts w:hint="eastAsia" w:ascii="Times New Roman" w:hAnsi="Times New Roman" w:cs="Times New Roman"/>
          <w:sz w:val="32"/>
          <w:szCs w:val="32"/>
          <w:lang w:val="en-US" w:eastAsia="zh-CN"/>
        </w:rPr>
        <w:t>5</w:t>
      </w:r>
      <w:r>
        <w:rPr>
          <w:rFonts w:hint="default" w:ascii="Times New Roman" w:hAnsi="Times New Roman" w:cs="Times New Roman"/>
          <w:sz w:val="32"/>
          <w:szCs w:val="32"/>
        </w:rPr>
        <w:t>年末，</w:t>
      </w:r>
      <w:r>
        <w:rPr>
          <w:rFonts w:hint="eastAsia" w:ascii="仿宋_GB2312" w:hAnsi="仿宋" w:eastAsia="仿宋_GB2312"/>
          <w:sz w:val="32"/>
          <w:szCs w:val="32"/>
        </w:rPr>
        <w:t>松潘县</w:t>
      </w:r>
      <w:r>
        <w:rPr>
          <w:rFonts w:hint="eastAsia" w:ascii="仿宋_GB2312" w:hAnsi="仿宋"/>
          <w:sz w:val="32"/>
          <w:szCs w:val="32"/>
          <w:lang w:eastAsia="zh-CN"/>
        </w:rPr>
        <w:t>科学技术和农业畜牧局</w:t>
      </w:r>
      <w:r>
        <w:rPr>
          <w:rFonts w:hint="eastAsia" w:ascii="仿宋_GB2312" w:hAnsi="仿宋" w:eastAsia="仿宋_GB2312"/>
          <w:sz w:val="32"/>
          <w:szCs w:val="32"/>
        </w:rPr>
        <w:t>机关</w:t>
      </w:r>
      <w:r>
        <w:rPr>
          <w:rFonts w:hint="eastAsia" w:ascii="仿宋_GB2312" w:hAnsi="仿宋"/>
          <w:sz w:val="32"/>
          <w:szCs w:val="32"/>
          <w:lang w:eastAsia="zh-CN"/>
        </w:rPr>
        <w:t>编制总数</w:t>
      </w:r>
      <w:r>
        <w:rPr>
          <w:rFonts w:hint="eastAsia" w:ascii="仿宋_GB2312" w:hAnsi="仿宋"/>
          <w:sz w:val="32"/>
          <w:szCs w:val="32"/>
          <w:lang w:val="en-US" w:eastAsia="zh-CN"/>
        </w:rPr>
        <w:t>83名，实有人员82名。</w:t>
      </w:r>
    </w:p>
    <w:p w14:paraId="4EFC7F46">
      <w:pPr>
        <w:pStyle w:val="10"/>
        <w:numPr>
          <w:ilvl w:val="0"/>
          <w:numId w:val="0"/>
        </w:numPr>
        <w:ind w:leftChars="100" w:firstLine="640" w:firstLineChars="200"/>
        <w:rPr>
          <w:rFonts w:hint="eastAsia" w:ascii="仿宋_GB2312" w:hAnsi="仿宋"/>
          <w:sz w:val="32"/>
          <w:szCs w:val="32"/>
          <w:lang w:val="en-US" w:eastAsia="zh-CN"/>
        </w:rPr>
      </w:pPr>
      <w:r>
        <w:rPr>
          <w:rFonts w:hint="eastAsia" w:ascii="仿宋_GB2312" w:hAnsi="仿宋"/>
          <w:sz w:val="32"/>
          <w:szCs w:val="32"/>
          <w:lang w:val="en-US" w:eastAsia="zh-CN"/>
        </w:rPr>
        <w:t>核定领导数10名（3正7副），实配领导10名（3正7副）。局机关核定行政编制总数13名，在编13人，工勤核定编制总数2名，在编3人。</w:t>
      </w:r>
    </w:p>
    <w:p w14:paraId="706AB480">
      <w:pPr>
        <w:pStyle w:val="10"/>
        <w:numPr>
          <w:ilvl w:val="0"/>
          <w:numId w:val="0"/>
        </w:numPr>
        <w:ind w:leftChars="100" w:firstLine="640" w:firstLineChars="200"/>
        <w:rPr>
          <w:rFonts w:hint="default" w:ascii="Times New Roman" w:hAnsi="Times New Roman" w:cs="Times New Roman"/>
          <w:szCs w:val="32"/>
        </w:rPr>
      </w:pPr>
      <w:r>
        <w:rPr>
          <w:rFonts w:hint="eastAsia" w:ascii="仿宋_GB2312" w:hAnsi="仿宋"/>
          <w:sz w:val="32"/>
          <w:szCs w:val="32"/>
          <w:lang w:val="en-US" w:eastAsia="zh-CN"/>
        </w:rPr>
        <w:t>事业参公制单位3个，核定编制总数21名，在编19人。</w:t>
      </w:r>
    </w:p>
    <w:p w14:paraId="5112927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p>
    <w:p w14:paraId="3F14C63F">
      <w:pPr>
        <w:widowControl/>
        <w:jc w:val="center"/>
        <w:rPr>
          <w:rFonts w:hint="eastAsia" w:ascii="Times New Roman" w:hAnsi="Times New Roman" w:eastAsia="黑体"/>
          <w:color w:val="auto"/>
          <w:sz w:val="44"/>
          <w:szCs w:val="44"/>
          <w:highlight w:val="none"/>
        </w:rPr>
      </w:pPr>
    </w:p>
    <w:p w14:paraId="60C40016">
      <w:pPr>
        <w:widowControl/>
        <w:jc w:val="center"/>
        <w:rPr>
          <w:rFonts w:hint="eastAsia" w:ascii="Times New Roman" w:hAnsi="Times New Roman" w:eastAsia="黑体"/>
          <w:color w:val="auto"/>
          <w:sz w:val="44"/>
          <w:szCs w:val="44"/>
          <w:highlight w:val="none"/>
        </w:rPr>
      </w:pPr>
    </w:p>
    <w:p w14:paraId="0241428D">
      <w:pPr>
        <w:widowControl/>
        <w:jc w:val="center"/>
        <w:rPr>
          <w:rFonts w:hint="eastAsia" w:ascii="Times New Roman" w:hAnsi="Times New Roman" w:eastAsia="黑体"/>
          <w:color w:val="auto"/>
          <w:sz w:val="44"/>
          <w:szCs w:val="44"/>
          <w:highlight w:val="none"/>
        </w:rPr>
      </w:pPr>
    </w:p>
    <w:p w14:paraId="6FA0E65C">
      <w:pPr>
        <w:widowControl/>
        <w:jc w:val="center"/>
        <w:rPr>
          <w:rFonts w:hint="eastAsia" w:ascii="Times New Roman" w:hAnsi="Times New Roman" w:eastAsia="黑体"/>
          <w:color w:val="auto"/>
          <w:sz w:val="44"/>
          <w:szCs w:val="44"/>
          <w:highlight w:val="none"/>
        </w:rPr>
      </w:pPr>
    </w:p>
    <w:p w14:paraId="6C223385">
      <w:pPr>
        <w:widowControl/>
        <w:jc w:val="center"/>
        <w:rPr>
          <w:rFonts w:hint="eastAsia" w:ascii="Times New Roman" w:hAnsi="Times New Roman" w:eastAsia="黑体"/>
          <w:color w:val="auto"/>
          <w:sz w:val="44"/>
          <w:szCs w:val="44"/>
          <w:highlight w:val="none"/>
        </w:rPr>
      </w:pPr>
    </w:p>
    <w:p w14:paraId="037EB646">
      <w:pPr>
        <w:widowControl/>
        <w:jc w:val="center"/>
        <w:rPr>
          <w:rFonts w:hint="eastAsia" w:ascii="Times New Roman" w:hAnsi="Times New Roman" w:eastAsia="黑体"/>
          <w:color w:val="auto"/>
          <w:sz w:val="44"/>
          <w:szCs w:val="44"/>
          <w:highlight w:val="none"/>
        </w:rPr>
      </w:pPr>
    </w:p>
    <w:p w14:paraId="14472854">
      <w:pPr>
        <w:widowControl/>
        <w:jc w:val="center"/>
        <w:rPr>
          <w:rFonts w:hint="eastAsia" w:ascii="Times New Roman" w:hAnsi="Times New Roman" w:eastAsia="黑体"/>
          <w:color w:val="auto"/>
          <w:sz w:val="44"/>
          <w:szCs w:val="44"/>
          <w:highlight w:val="none"/>
        </w:rPr>
      </w:pPr>
    </w:p>
    <w:p w14:paraId="171F6257">
      <w:pPr>
        <w:widowControl/>
        <w:jc w:val="center"/>
        <w:rPr>
          <w:rFonts w:hint="eastAsia" w:ascii="Times New Roman" w:hAnsi="Times New Roman" w:eastAsia="黑体"/>
          <w:color w:val="auto"/>
          <w:sz w:val="44"/>
          <w:szCs w:val="44"/>
          <w:highlight w:val="none"/>
        </w:rPr>
      </w:pPr>
    </w:p>
    <w:p w14:paraId="1135B72C">
      <w:pPr>
        <w:widowControl/>
        <w:jc w:val="center"/>
        <w:rPr>
          <w:rFonts w:hint="eastAsia" w:ascii="Times New Roman" w:hAnsi="Times New Roman" w:eastAsia="黑体"/>
          <w:color w:val="auto"/>
          <w:sz w:val="44"/>
          <w:szCs w:val="44"/>
          <w:highlight w:val="none"/>
        </w:rPr>
      </w:pPr>
    </w:p>
    <w:p w14:paraId="71A02DFD">
      <w:pPr>
        <w:widowControl/>
        <w:jc w:val="center"/>
        <w:rPr>
          <w:rFonts w:hint="eastAsia" w:ascii="Times New Roman" w:hAnsi="Times New Roman" w:eastAsia="黑体"/>
          <w:color w:val="auto"/>
          <w:sz w:val="44"/>
          <w:szCs w:val="44"/>
          <w:highlight w:val="none"/>
        </w:rPr>
      </w:pPr>
    </w:p>
    <w:p w14:paraId="72FDFD27">
      <w:pPr>
        <w:widowControl/>
        <w:jc w:val="center"/>
        <w:rPr>
          <w:rFonts w:hint="eastAsia" w:ascii="Times New Roman" w:hAnsi="Times New Roman" w:eastAsia="黑体"/>
          <w:color w:val="auto"/>
          <w:sz w:val="44"/>
          <w:szCs w:val="44"/>
          <w:highlight w:val="none"/>
        </w:rPr>
      </w:pPr>
    </w:p>
    <w:p w14:paraId="1EEE3D55">
      <w:pPr>
        <w:widowControl/>
        <w:jc w:val="center"/>
        <w:rPr>
          <w:rFonts w:hint="eastAsia" w:ascii="Times New Roman" w:hAnsi="Times New Roman" w:eastAsia="黑体"/>
          <w:color w:val="auto"/>
          <w:sz w:val="44"/>
          <w:szCs w:val="44"/>
          <w:highlight w:val="none"/>
        </w:rPr>
      </w:pPr>
    </w:p>
    <w:p w14:paraId="3FC59D65">
      <w:pPr>
        <w:widowControl/>
        <w:jc w:val="center"/>
        <w:rPr>
          <w:rFonts w:hint="eastAsia" w:ascii="Times New Roman" w:hAnsi="Times New Roman" w:eastAsia="黑体"/>
          <w:color w:val="auto"/>
          <w:sz w:val="44"/>
          <w:szCs w:val="44"/>
          <w:highlight w:val="none"/>
        </w:rPr>
      </w:pPr>
    </w:p>
    <w:p w14:paraId="2420C0A8">
      <w:pPr>
        <w:widowControl/>
        <w:jc w:val="center"/>
        <w:rPr>
          <w:rFonts w:hint="eastAsia" w:ascii="Times New Roman" w:hAnsi="Times New Roman" w:eastAsia="黑体"/>
          <w:color w:val="auto"/>
          <w:sz w:val="44"/>
          <w:szCs w:val="44"/>
          <w:highlight w:val="none"/>
        </w:rPr>
      </w:pPr>
    </w:p>
    <w:p w14:paraId="462984CE">
      <w:pPr>
        <w:widowControl/>
        <w:jc w:val="center"/>
        <w:rPr>
          <w:rFonts w:hint="eastAsia" w:ascii="Times New Roman" w:hAnsi="Times New Roman" w:eastAsia="黑体"/>
          <w:color w:val="auto"/>
          <w:sz w:val="44"/>
          <w:szCs w:val="44"/>
          <w:highlight w:val="none"/>
        </w:rPr>
      </w:pPr>
    </w:p>
    <w:p w14:paraId="7B251B3F">
      <w:pPr>
        <w:widowControl/>
        <w:jc w:val="center"/>
        <w:rPr>
          <w:rFonts w:hint="eastAsia" w:ascii="Times New Roman" w:hAnsi="Times New Roman" w:eastAsia="黑体"/>
          <w:color w:val="auto"/>
          <w:sz w:val="44"/>
          <w:szCs w:val="44"/>
          <w:highlight w:val="none"/>
        </w:rPr>
      </w:pPr>
    </w:p>
    <w:p w14:paraId="475B89B0">
      <w:pPr>
        <w:widowControl/>
        <w:jc w:val="center"/>
        <w:rPr>
          <w:rFonts w:hint="eastAsia" w:ascii="Times New Roman" w:hAnsi="Times New Roman" w:eastAsia="黑体"/>
          <w:color w:val="auto"/>
          <w:sz w:val="44"/>
          <w:szCs w:val="44"/>
          <w:highlight w:val="none"/>
        </w:rPr>
      </w:pPr>
    </w:p>
    <w:p w14:paraId="099092A7">
      <w:pPr>
        <w:widowControl/>
        <w:jc w:val="center"/>
        <w:rPr>
          <w:rFonts w:hint="eastAsia" w:ascii="Times New Roman" w:hAnsi="Times New Roman" w:eastAsia="黑体"/>
          <w:color w:val="auto"/>
          <w:sz w:val="44"/>
          <w:szCs w:val="44"/>
          <w:highlight w:val="none"/>
        </w:rPr>
      </w:pPr>
    </w:p>
    <w:p w14:paraId="04D0F365">
      <w:pPr>
        <w:widowControl/>
        <w:ind w:firstLine="2200" w:firstLineChars="500"/>
        <w:jc w:val="both"/>
        <w:rPr>
          <w:rFonts w:hint="eastAsia" w:ascii="Times New Roman" w:hAnsi="Times New Roman" w:eastAsia="黑体"/>
          <w:color w:val="auto"/>
          <w:sz w:val="44"/>
          <w:szCs w:val="44"/>
          <w:highlight w:val="none"/>
        </w:rPr>
      </w:pPr>
    </w:p>
    <w:p w14:paraId="7D9B7237">
      <w:pPr>
        <w:widowControl/>
        <w:ind w:firstLine="2200" w:firstLineChars="500"/>
        <w:jc w:val="both"/>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6"/>
      <w:bookmarkEnd w:id="47"/>
      <w:bookmarkStart w:id="48" w:name="_Toc15396619"/>
    </w:p>
    <w:p w14:paraId="7FD82BA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57974C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14DBB99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4F6579E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34A4756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118BE45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07A4D16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0BCBE69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14C4405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258FAD1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3F8C8D6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002AC28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559A7E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50B3BDE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6DD80627">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13F969-5171-4520-A09C-F3EF55ED94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7DBB15D-8240-4240-BE85-B85ECD7B4E51}"/>
  </w:font>
  <w:font w:name="仿宋">
    <w:panose1 w:val="02010609060101010101"/>
    <w:charset w:val="86"/>
    <w:family w:val="modern"/>
    <w:pitch w:val="default"/>
    <w:sig w:usb0="800002BF" w:usb1="38CF7CFA" w:usb2="00000016" w:usb3="00000000" w:csb0="00040001" w:csb1="00000000"/>
    <w:embedRegular r:id="rId3" w:fontKey="{C7B7E154-87B2-4511-AC84-7F2EE008FF9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23004609-BFC1-4A1A-86E4-A7774E326583}"/>
  </w:font>
  <w:font w:name="楷体_GB2312">
    <w:panose1 w:val="02010609030101010101"/>
    <w:charset w:val="86"/>
    <w:family w:val="auto"/>
    <w:pitch w:val="default"/>
    <w:sig w:usb0="00000001" w:usb1="080E0000" w:usb2="00000000" w:usb3="00000000" w:csb0="00040000" w:csb1="00000000"/>
    <w:embedRegular r:id="rId5" w:fontKey="{36739DE4-5D0F-44CF-AFC7-3B6533CFEF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13160">
    <w:pPr>
      <w:pStyle w:val="12"/>
      <w:jc w:val="center"/>
    </w:pPr>
  </w:p>
  <w:p w14:paraId="722EFE1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1F320">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F4C7D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0F4C7D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DA80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767922"/>
    <w:multiLevelType w:val="singleLevel"/>
    <w:tmpl w:val="94767922"/>
    <w:lvl w:ilvl="0" w:tentative="0">
      <w:start w:val="1"/>
      <w:numFmt w:val="chineseCounting"/>
      <w:suff w:val="nothing"/>
      <w:lvlText w:val="%1、"/>
      <w:lvlJc w:val="left"/>
      <w:rPr>
        <w:rFonts w:hint="eastAsia"/>
      </w:rPr>
    </w:lvl>
  </w:abstractNum>
  <w:abstractNum w:abstractNumId="1">
    <w:nsid w:val="BCAB823A"/>
    <w:multiLevelType w:val="singleLevel"/>
    <w:tmpl w:val="BCAB823A"/>
    <w:lvl w:ilvl="0" w:tentative="0">
      <w:start w:val="1"/>
      <w:numFmt w:val="decimal"/>
      <w:lvlText w:val="%1."/>
      <w:lvlJc w:val="left"/>
      <w:pPr>
        <w:tabs>
          <w:tab w:val="left" w:pos="312"/>
        </w:tabs>
      </w:pPr>
    </w:lvl>
  </w:abstractNum>
  <w:abstractNum w:abstractNumId="2">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3EAC"/>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44D6A90"/>
    <w:rsid w:val="0513540B"/>
    <w:rsid w:val="061E35DE"/>
    <w:rsid w:val="066E0107"/>
    <w:rsid w:val="07772DE6"/>
    <w:rsid w:val="07996F6E"/>
    <w:rsid w:val="07DFD8BA"/>
    <w:rsid w:val="08DB07E4"/>
    <w:rsid w:val="09867E8F"/>
    <w:rsid w:val="0A2032A3"/>
    <w:rsid w:val="0C6C4794"/>
    <w:rsid w:val="0CA8290A"/>
    <w:rsid w:val="0D35B1ED"/>
    <w:rsid w:val="0D4657E4"/>
    <w:rsid w:val="0D646FD0"/>
    <w:rsid w:val="0DE07E2B"/>
    <w:rsid w:val="0F98263C"/>
    <w:rsid w:val="101860EC"/>
    <w:rsid w:val="10C055FF"/>
    <w:rsid w:val="10FD7E68"/>
    <w:rsid w:val="11772AA4"/>
    <w:rsid w:val="118107EC"/>
    <w:rsid w:val="12B27E49"/>
    <w:rsid w:val="12D559BD"/>
    <w:rsid w:val="13957196"/>
    <w:rsid w:val="13D50BC4"/>
    <w:rsid w:val="14022904"/>
    <w:rsid w:val="152F2A07"/>
    <w:rsid w:val="158834AB"/>
    <w:rsid w:val="165E0673"/>
    <w:rsid w:val="16BB723D"/>
    <w:rsid w:val="16CA1169"/>
    <w:rsid w:val="16F13FCB"/>
    <w:rsid w:val="186504BB"/>
    <w:rsid w:val="1938089F"/>
    <w:rsid w:val="19A445FC"/>
    <w:rsid w:val="1B7D550C"/>
    <w:rsid w:val="1BE8440E"/>
    <w:rsid w:val="1C934B16"/>
    <w:rsid w:val="1D155CEE"/>
    <w:rsid w:val="1DE178F3"/>
    <w:rsid w:val="1E740ACF"/>
    <w:rsid w:val="1FF35744"/>
    <w:rsid w:val="1FF6BC77"/>
    <w:rsid w:val="20F4124A"/>
    <w:rsid w:val="21962A9E"/>
    <w:rsid w:val="21AE7C77"/>
    <w:rsid w:val="22BC3C41"/>
    <w:rsid w:val="22E66967"/>
    <w:rsid w:val="23860B96"/>
    <w:rsid w:val="240371BF"/>
    <w:rsid w:val="24BA6669"/>
    <w:rsid w:val="252714DE"/>
    <w:rsid w:val="260F557C"/>
    <w:rsid w:val="27DD478B"/>
    <w:rsid w:val="28082B7C"/>
    <w:rsid w:val="281408E2"/>
    <w:rsid w:val="29704041"/>
    <w:rsid w:val="29CE0C41"/>
    <w:rsid w:val="29FD04D3"/>
    <w:rsid w:val="2BFF7BC6"/>
    <w:rsid w:val="2C482B06"/>
    <w:rsid w:val="2C8A61B5"/>
    <w:rsid w:val="2D2E01CF"/>
    <w:rsid w:val="2DF04E50"/>
    <w:rsid w:val="2E9545B0"/>
    <w:rsid w:val="2F040D46"/>
    <w:rsid w:val="2FAE5751"/>
    <w:rsid w:val="2FB1A395"/>
    <w:rsid w:val="2FD9A7D8"/>
    <w:rsid w:val="306D3573"/>
    <w:rsid w:val="319F7F4E"/>
    <w:rsid w:val="321B2544"/>
    <w:rsid w:val="3304709D"/>
    <w:rsid w:val="34281836"/>
    <w:rsid w:val="34872909"/>
    <w:rsid w:val="349D6851"/>
    <w:rsid w:val="35BA6CAF"/>
    <w:rsid w:val="35D37231"/>
    <w:rsid w:val="35DB7817"/>
    <w:rsid w:val="364D14C1"/>
    <w:rsid w:val="36AA5135"/>
    <w:rsid w:val="36BE0DA7"/>
    <w:rsid w:val="376B6AA6"/>
    <w:rsid w:val="376D39B2"/>
    <w:rsid w:val="37E16F03"/>
    <w:rsid w:val="37F53A3B"/>
    <w:rsid w:val="389B6C89"/>
    <w:rsid w:val="38D469F0"/>
    <w:rsid w:val="39627CCD"/>
    <w:rsid w:val="397BAF1F"/>
    <w:rsid w:val="39D54E8F"/>
    <w:rsid w:val="3AB79AF3"/>
    <w:rsid w:val="3B7EF35A"/>
    <w:rsid w:val="3B9FDB6C"/>
    <w:rsid w:val="3BF5BC2F"/>
    <w:rsid w:val="3CEBA265"/>
    <w:rsid w:val="3D98207C"/>
    <w:rsid w:val="3D9B0D99"/>
    <w:rsid w:val="3DEE7CF3"/>
    <w:rsid w:val="3DF02244"/>
    <w:rsid w:val="3E675A39"/>
    <w:rsid w:val="3E78745D"/>
    <w:rsid w:val="3FF4CAE0"/>
    <w:rsid w:val="3FF7B227"/>
    <w:rsid w:val="40E54C45"/>
    <w:rsid w:val="41313393"/>
    <w:rsid w:val="42204EB5"/>
    <w:rsid w:val="42E2439F"/>
    <w:rsid w:val="4302092F"/>
    <w:rsid w:val="43A407DF"/>
    <w:rsid w:val="43DF4E23"/>
    <w:rsid w:val="44515BEA"/>
    <w:rsid w:val="44E268DA"/>
    <w:rsid w:val="453F7E5B"/>
    <w:rsid w:val="47DD3216"/>
    <w:rsid w:val="486A6C7A"/>
    <w:rsid w:val="49176D9B"/>
    <w:rsid w:val="494006BD"/>
    <w:rsid w:val="4A627F82"/>
    <w:rsid w:val="4B0E749A"/>
    <w:rsid w:val="4B4F25DA"/>
    <w:rsid w:val="4BDA0CFB"/>
    <w:rsid w:val="4BE068DB"/>
    <w:rsid w:val="4D3C0CCC"/>
    <w:rsid w:val="4D467EC5"/>
    <w:rsid w:val="4D577224"/>
    <w:rsid w:val="4DBF1CEB"/>
    <w:rsid w:val="4E1F0380"/>
    <w:rsid w:val="4EAB630A"/>
    <w:rsid w:val="4ECE2238"/>
    <w:rsid w:val="4F3A3C8E"/>
    <w:rsid w:val="4F452C98"/>
    <w:rsid w:val="4F833267"/>
    <w:rsid w:val="4FE9BD67"/>
    <w:rsid w:val="4FFB052F"/>
    <w:rsid w:val="519A20E2"/>
    <w:rsid w:val="53083A92"/>
    <w:rsid w:val="537E6D0A"/>
    <w:rsid w:val="538434F5"/>
    <w:rsid w:val="53AD52E8"/>
    <w:rsid w:val="53AF27A2"/>
    <w:rsid w:val="53F74C96"/>
    <w:rsid w:val="56E47B74"/>
    <w:rsid w:val="57BD3DD4"/>
    <w:rsid w:val="58C621FC"/>
    <w:rsid w:val="59151910"/>
    <w:rsid w:val="5AF92295"/>
    <w:rsid w:val="5BD02A0E"/>
    <w:rsid w:val="5BDD79E6"/>
    <w:rsid w:val="5BF561CA"/>
    <w:rsid w:val="5BFF5DFC"/>
    <w:rsid w:val="5CD71FC4"/>
    <w:rsid w:val="5D1F11B5"/>
    <w:rsid w:val="5D8D744A"/>
    <w:rsid w:val="5DAE1B18"/>
    <w:rsid w:val="5DE7D9E5"/>
    <w:rsid w:val="5ECEC941"/>
    <w:rsid w:val="5F493CB7"/>
    <w:rsid w:val="5FBF9FF3"/>
    <w:rsid w:val="5FCD4E2C"/>
    <w:rsid w:val="5FD15F49"/>
    <w:rsid w:val="5FE231A1"/>
    <w:rsid w:val="5FEF394A"/>
    <w:rsid w:val="5FF67715"/>
    <w:rsid w:val="62BF3928"/>
    <w:rsid w:val="63B5531B"/>
    <w:rsid w:val="647F5392"/>
    <w:rsid w:val="65A92F4B"/>
    <w:rsid w:val="65F52031"/>
    <w:rsid w:val="664B1D71"/>
    <w:rsid w:val="67AA3209"/>
    <w:rsid w:val="681C4F0D"/>
    <w:rsid w:val="69046D0F"/>
    <w:rsid w:val="698D0931"/>
    <w:rsid w:val="6A993CED"/>
    <w:rsid w:val="6B053271"/>
    <w:rsid w:val="6BCE6674"/>
    <w:rsid w:val="6C4A05C8"/>
    <w:rsid w:val="6C805E3E"/>
    <w:rsid w:val="6C8742B8"/>
    <w:rsid w:val="6C8A170F"/>
    <w:rsid w:val="6CB54609"/>
    <w:rsid w:val="6DBF5E93"/>
    <w:rsid w:val="6DFB5D0A"/>
    <w:rsid w:val="6DFF077E"/>
    <w:rsid w:val="6E105A76"/>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C022FA"/>
    <w:rsid w:val="72233669"/>
    <w:rsid w:val="725620A9"/>
    <w:rsid w:val="72734D90"/>
    <w:rsid w:val="7332FE48"/>
    <w:rsid w:val="73AB61DA"/>
    <w:rsid w:val="73AD73D5"/>
    <w:rsid w:val="73B6EB34"/>
    <w:rsid w:val="73FA497D"/>
    <w:rsid w:val="744731E5"/>
    <w:rsid w:val="74527205"/>
    <w:rsid w:val="74BBD01D"/>
    <w:rsid w:val="74ED5379"/>
    <w:rsid w:val="74FC2395"/>
    <w:rsid w:val="75DEEEC2"/>
    <w:rsid w:val="76792A58"/>
    <w:rsid w:val="76E3355F"/>
    <w:rsid w:val="76FF5125"/>
    <w:rsid w:val="776F6FFA"/>
    <w:rsid w:val="778769C8"/>
    <w:rsid w:val="77DC22F5"/>
    <w:rsid w:val="79086DAD"/>
    <w:rsid w:val="79271120"/>
    <w:rsid w:val="79974F09"/>
    <w:rsid w:val="79D7FD79"/>
    <w:rsid w:val="79EE5BA4"/>
    <w:rsid w:val="7A894339"/>
    <w:rsid w:val="7AFF7572"/>
    <w:rsid w:val="7B6C7DFB"/>
    <w:rsid w:val="7BBFBED0"/>
    <w:rsid w:val="7BC3E394"/>
    <w:rsid w:val="7C1F3737"/>
    <w:rsid w:val="7C2D6F0B"/>
    <w:rsid w:val="7CBFC87B"/>
    <w:rsid w:val="7CFE0F48"/>
    <w:rsid w:val="7D7EC23E"/>
    <w:rsid w:val="7D916348"/>
    <w:rsid w:val="7E8ADEBF"/>
    <w:rsid w:val="7EEF11D3"/>
    <w:rsid w:val="7F0971A6"/>
    <w:rsid w:val="7F1B0283"/>
    <w:rsid w:val="7F3F679B"/>
    <w:rsid w:val="7F4FC4EF"/>
    <w:rsid w:val="7F5E4D54"/>
    <w:rsid w:val="7F6E0135"/>
    <w:rsid w:val="7FA30C79"/>
    <w:rsid w:val="7FAF8ABF"/>
    <w:rsid w:val="7FB7269E"/>
    <w:rsid w:val="7FC96657"/>
    <w:rsid w:val="7FDA9588"/>
    <w:rsid w:val="7FDF220F"/>
    <w:rsid w:val="7FDF74BC"/>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pPr>
      <w:widowControl w:val="0"/>
      <w:adjustRightInd/>
      <w:snapToGrid/>
      <w:spacing w:after="0"/>
      <w:jc w:val="both"/>
    </w:pPr>
    <w:rPr>
      <w:rFonts w:ascii="宋体" w:hAnsi="Courier New" w:cs="Courier New"/>
      <w:kern w:val="2"/>
      <w:sz w:val="21"/>
      <w:szCs w:val="21"/>
    </w:r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fcfe66c7-2554-45c7-82f2-45d73d41a4c2</errorID>
      <errorWord>编</errorWord>
      <group>L1_Word</group>
      <groupName>字词问题</groupName>
      <ability>L2_Typo</ability>
      <abilityName>字词错误</abilityName>
      <candidateList>
        <item>编制</item>
      </candidateList>
      <explain/>
      <paraID>14AA4C74</paraID>
      <start>36</start>
      <end>38</end>
      <status>modified</status>
      <modifiedWord>编制</modifiedWord>
      <trackRevisions>false</trackRevisions>
    </reviewItem>
    <reviewItem>
      <errorID>51664952-8f7d-44af-a04f-f888e9178a97</errorID>
      <errorWord>(</errorWord>
      <group>L1_Format</group>
      <groupName>格式问题</groupName>
      <ability>L2_HalfPunc_CN</ability>
      <abilityName>全半角问题</abilityName>
      <candidateList>
        <item>（</item>
      </candidateList>
      <explain>文本全半角错误。</explain>
      <paraID>469C5F89</paraID>
      <start>27</start>
      <end>28</end>
      <status>modified</status>
      <modifiedWord>（</modifiedWord>
      <trackRevisions>false</trackRevisions>
    </reviewItem>
    <reviewItem>
      <errorID>0eee2560-8bce-4c2b-8a57-3f98b95836b4</errorID>
      <errorWord>)</errorWord>
      <group>L1_Format</group>
      <groupName>格式问题</groupName>
      <ability>L2_HalfPunc_CN</ability>
      <abilityName>全半角问题</abilityName>
      <candidateList>
        <item>）</item>
      </candidateList>
      <explain>文本全半角错误。</explain>
      <paraID>469C5F89</paraID>
      <start>30</start>
      <end>31</end>
      <status>modified</status>
      <modifiedWord>）</modifiedWord>
      <trackRevisions>false</trackRevisions>
    </reviewItem>
    <reviewItem>
      <errorID>9f8d9402-de4b-4a08-ba1e-7dd27d6ba092</errorID>
      <errorWord>，</errorWord>
      <group>L1_Word</group>
      <groupName>字词问题</groupName>
      <ability>L2_Typo</ability>
      <abilityName>字词错误</abilityName>
      <candidateList>
        <item>，在</item>
      </candidateList>
      <explain/>
      <paraID>3B9CF40A</paraID>
      <start>62</start>
      <end>64</end>
      <status>modified</status>
      <modifiedWord>，在</modifiedWord>
      <trackRevisions>false</trackRevisions>
    </reviewItem>
    <reviewItem>
      <errorID>17891d76-7902-4f5f-b464-a5dfb22bbff3</errorID>
      <errorWord>、等</errorWord>
      <group>L1_Punc</group>
      <groupName>标点问题</groupName>
      <ability>L2_Punc_CN</ability>
      <abilityName>标点符号问题</abilityName>
      <candidateList>
        <item>等</item>
      </candidateList>
      <explain>“及”“和”“等”连词前不宜使用顿号，建议删除（或使用逗号）。</explain>
      <paraID>277E3442</paraID>
      <start>92</start>
      <end>93</end>
      <status>modified</status>
      <modifiedWord>等</modifiedWord>
      <trackRevisions>false</trackRevisions>
    </reviewItem>
    <reviewItem>
      <errorID>f37d93f8-7175-4bac-b3b0-2a17fd94199c</errorID>
      <errorWord>编</errorWord>
      <group>L1_Word</group>
      <groupName>字词问题</groupName>
      <ability>L2_Typo</ability>
      <abilityName>字词错误</abilityName>
      <candidateList>
        <item>编制</item>
      </candidateList>
      <explain/>
      <paraID>4EFC7F46</paraID>
      <start>36</start>
      <end>38</end>
      <status>modified</status>
      <modifiedWord>编制</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b59e2a-f784-424a-8814-11da23ba05b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5231</Words>
  <Characters>5792</Characters>
  <Lines>61</Lines>
  <Paragraphs>17</Paragraphs>
  <TotalTime>6</TotalTime>
  <ScaleCrop>false</ScaleCrop>
  <LinksUpToDate>false</LinksUpToDate>
  <CharactersWithSpaces>5817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2026-10-15T06:50:07Z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