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43530">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bookmarkStart w:id="0" w:name="_Toc15306267"/>
    </w:p>
    <w:p w14:paraId="0AA94589">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14:paraId="1ADD5D1B">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14:paraId="3949A176">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14:paraId="58C3FEBD">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1" w:name="_Toc15377425"/>
      <w:bookmarkStart w:id="2" w:name="_Toc15396597"/>
      <w:bookmarkStart w:id="3" w:name="_Toc15377193"/>
      <w:bookmarkStart w:id="4" w:name="_Toc15378441"/>
      <w:bookmarkStart w:id="5" w:name="_Toc15396475"/>
      <w:r>
        <w:rPr>
          <w:rFonts w:ascii="黑体" w:hAnsi="黑体" w:eastAsia="黑体"/>
          <w:color w:val="000000" w:themeColor="text1"/>
          <w:sz w:val="72"/>
          <w:szCs w:val="72"/>
          <w14:textFill>
            <w14:solidFill>
              <w14:schemeClr w14:val="tx1"/>
            </w14:solidFill>
          </w14:textFill>
        </w:rPr>
        <w:t>201</w:t>
      </w:r>
      <w:r>
        <w:rPr>
          <w:rFonts w:hint="eastAsia" w:ascii="黑体" w:hAnsi="黑体" w:eastAsia="黑体"/>
          <w:color w:val="000000" w:themeColor="text1"/>
          <w:sz w:val="72"/>
          <w:szCs w:val="72"/>
          <w14:textFill>
            <w14:solidFill>
              <w14:schemeClr w14:val="tx1"/>
            </w14:solidFill>
          </w14:textFill>
        </w:rPr>
        <w:t>9</w:t>
      </w:r>
      <w:r>
        <w:rPr>
          <w:rFonts w:hint="eastAsia" w:ascii="方正小标宋简体" w:hAnsi="宋体" w:eastAsia="方正小标宋简体"/>
          <w:color w:val="000000" w:themeColor="text1"/>
          <w:sz w:val="72"/>
          <w:szCs w:val="72"/>
          <w14:textFill>
            <w14:solidFill>
              <w14:schemeClr w14:val="tx1"/>
            </w14:solidFill>
          </w14:textFill>
        </w:rPr>
        <w:t>年度</w:t>
      </w:r>
      <w:bookmarkEnd w:id="1"/>
      <w:bookmarkEnd w:id="2"/>
      <w:bookmarkEnd w:id="3"/>
      <w:bookmarkEnd w:id="4"/>
      <w:bookmarkEnd w:id="5"/>
    </w:p>
    <w:p w14:paraId="72106E73">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6" w:name="_Toc15396598"/>
      <w:bookmarkStart w:id="7" w:name="_Toc15378442"/>
      <w:bookmarkStart w:id="8" w:name="_Toc15377194"/>
      <w:bookmarkStart w:id="9" w:name="_Toc15377426"/>
      <w:bookmarkStart w:id="10" w:name="_Toc15396476"/>
      <w:r>
        <w:rPr>
          <w:rFonts w:hint="eastAsia" w:ascii="方正小标宋简体" w:hAnsi="宋体" w:eastAsia="方正小标宋简体"/>
          <w:color w:val="000000" w:themeColor="text1"/>
          <w:sz w:val="72"/>
          <w:szCs w:val="72"/>
          <w14:textFill>
            <w14:solidFill>
              <w14:schemeClr w14:val="tx1"/>
            </w14:solidFill>
          </w14:textFill>
        </w:rPr>
        <w:t>四川省</w:t>
      </w:r>
      <w:bookmarkEnd w:id="0"/>
      <w:bookmarkStart w:id="11" w:name="_Toc15306268"/>
      <w:r>
        <w:rPr>
          <w:rFonts w:hint="eastAsia" w:ascii="方正小标宋简体" w:hAnsi="宋体" w:eastAsia="方正小标宋简体"/>
          <w:color w:val="000000" w:themeColor="text1"/>
          <w:sz w:val="72"/>
          <w:szCs w:val="72"/>
          <w14:textFill>
            <w14:solidFill>
              <w14:schemeClr w14:val="tx1"/>
            </w14:solidFill>
          </w14:textFill>
        </w:rPr>
        <w:t>松潘县科学技术和农业畜牧局决算</w:t>
      </w:r>
      <w:bookmarkEnd w:id="6"/>
      <w:bookmarkEnd w:id="7"/>
      <w:bookmarkEnd w:id="8"/>
      <w:bookmarkEnd w:id="9"/>
      <w:bookmarkEnd w:id="10"/>
      <w:bookmarkEnd w:id="11"/>
      <w:r>
        <w:rPr>
          <w:rFonts w:hint="eastAsia" w:ascii="方正小标宋简体" w:hAnsi="宋体" w:eastAsia="方正小标宋简体"/>
          <w:color w:val="000000" w:themeColor="text1"/>
          <w:sz w:val="72"/>
          <w:szCs w:val="72"/>
          <w14:textFill>
            <w14:solidFill>
              <w14:schemeClr w14:val="tx1"/>
            </w14:solidFill>
          </w14:textFill>
        </w:rPr>
        <w:t>公开编制说明</w:t>
      </w:r>
    </w:p>
    <w:p w14:paraId="7B6A3127">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3EC9D47">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175A8D3A">
      <w:pPr>
        <w:widowControl/>
        <w:jc w:val="center"/>
        <w:rPr>
          <w:rFonts w:ascii="方正小标宋简体" w:hAnsi="宋体" w:eastAsia="方正小标宋简体"/>
          <w:sz w:val="36"/>
          <w:szCs w:val="36"/>
        </w:rPr>
      </w:pPr>
    </w:p>
    <w:p w14:paraId="07E8BB25">
      <w:pPr>
        <w:widowControl/>
        <w:jc w:val="center"/>
        <w:rPr>
          <w:rFonts w:ascii="黑体" w:hAnsi="黑体" w:eastAsia="黑体"/>
          <w:color w:val="000000"/>
          <w:sz w:val="48"/>
          <w:szCs w:val="48"/>
        </w:rPr>
      </w:pPr>
      <w:r>
        <w:rPr>
          <w:rFonts w:ascii="方正小标宋简体" w:hAnsi="宋体" w:eastAsia="方正小标宋简体"/>
          <w:color w:val="000000" w:themeColor="text1"/>
          <w:sz w:val="36"/>
          <w:szCs w:val="36"/>
          <w14:textFill>
            <w14:solidFill>
              <w14:schemeClr w14:val="tx1"/>
            </w14:solidFill>
          </w14:textFill>
        </w:rPr>
        <w:br w:type="page"/>
      </w:r>
      <w:bookmarkStart w:id="12" w:name="_Toc15377196"/>
      <w:bookmarkStart w:id="13" w:name="_Toc15396599"/>
      <w:r>
        <w:rPr>
          <w:rFonts w:hint="eastAsia" w:ascii="黑体" w:hAnsi="黑体" w:eastAsia="黑体"/>
          <w:color w:val="000000"/>
          <w:sz w:val="48"/>
          <w:szCs w:val="48"/>
        </w:rPr>
        <w:t>目录</w:t>
      </w:r>
    </w:p>
    <w:p w14:paraId="06604274">
      <w:pPr>
        <w:widowControl/>
        <w:jc w:val="center"/>
        <w:rPr>
          <w:rFonts w:ascii="黑体" w:hAnsi="黑体" w:eastAsia="黑体"/>
          <w:sz w:val="28"/>
          <w:szCs w:val="28"/>
        </w:rPr>
      </w:pPr>
    </w:p>
    <w:p w14:paraId="35E1FE9C">
      <w:pPr>
        <w:pStyle w:val="12"/>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公开时间：2020年9月</w:t>
      </w:r>
      <w:r>
        <w:rPr>
          <w:rFonts w:ascii="Times New Roman" w:hAnsi="Times New Roman" w:eastAsia="仿宋_GB2312"/>
          <w:color w:val="000000" w:themeColor="text1"/>
          <w:sz w:val="32"/>
          <w:szCs w:val="32"/>
          <w14:textFill>
            <w14:solidFill>
              <w14:schemeClr w14:val="tx1"/>
            </w14:solidFill>
          </w14:textFill>
        </w:rPr>
        <w:t>25</w:t>
      </w:r>
      <w:r>
        <w:rPr>
          <w:rFonts w:hint="eastAsia" w:ascii="Times New Roman" w:hAnsi="Times New Roman" w:eastAsia="仿宋_GB2312"/>
          <w:color w:val="000000" w:themeColor="text1"/>
          <w:sz w:val="32"/>
          <w:szCs w:val="32"/>
          <w14:textFill>
            <w14:solidFill>
              <w14:schemeClr w14:val="tx1"/>
            </w14:solidFill>
          </w14:textFill>
        </w:rPr>
        <w:t>日</w:t>
      </w:r>
    </w:p>
    <w:p w14:paraId="39F16F6E">
      <w:pPr>
        <w:rPr>
          <w:rFonts w:eastAsia="仿宋_GB2312"/>
          <w:color w:val="000000" w:themeColor="text1"/>
          <w:sz w:val="32"/>
          <w:szCs w:val="32"/>
          <w14:textFill>
            <w14:solidFill>
              <w14:schemeClr w14:val="tx1"/>
            </w14:solidFill>
          </w14:textFill>
        </w:rPr>
      </w:pPr>
    </w:p>
    <w:p w14:paraId="7E4C90BF">
      <w:pPr>
        <w:pStyle w:val="12"/>
        <w:adjustRightInd w:val="0"/>
        <w:snapToGrid w:val="0"/>
        <w:spacing w:before="0" w:line="578" w:lineRule="exac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第一部分</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部门概况</w:t>
      </w:r>
    </w:p>
    <w:p w14:paraId="5A59DBA8">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一、基本职能及主要工作</w:t>
      </w:r>
    </w:p>
    <w:p w14:paraId="444CA801">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二、机构设置</w:t>
      </w:r>
    </w:p>
    <w:p w14:paraId="4BD5FE63">
      <w:pPr>
        <w:pStyle w:val="12"/>
        <w:adjustRightInd w:val="0"/>
        <w:snapToGrid w:val="0"/>
        <w:spacing w:before="0" w:line="578" w:lineRule="exac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第二部分度部门决算情况说明</w:t>
      </w:r>
    </w:p>
    <w:p w14:paraId="6B8CF580">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一、收入支出决算总体情况说明</w:t>
      </w:r>
    </w:p>
    <w:p w14:paraId="19B33207">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二、收入决算情况说明</w:t>
      </w:r>
    </w:p>
    <w:p w14:paraId="0A92FA35">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三、支出决算情况说明</w:t>
      </w:r>
    </w:p>
    <w:p w14:paraId="4395778E">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四、财政拨款收入支出决算总体情况说明</w:t>
      </w:r>
    </w:p>
    <w:p w14:paraId="5818542F">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五、一般公共预算财政拨款支出决算情况说明</w:t>
      </w:r>
    </w:p>
    <w:p w14:paraId="3862617F">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六、一般公共预算财政拨款基本支出决算情况说明</w:t>
      </w:r>
    </w:p>
    <w:p w14:paraId="3143177C">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七、</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三公”经费财政拨款支出决算情况说明</w:t>
      </w:r>
    </w:p>
    <w:p w14:paraId="75E8BB6C">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八、政府性基金预算支出决算情况说明</w:t>
      </w:r>
    </w:p>
    <w:p w14:paraId="7C6B1418">
      <w:pPr>
        <w:pStyle w:val="13"/>
        <w:adjustRightInd w:val="0"/>
        <w:snapToGrid w:val="0"/>
        <w:spacing w:line="578" w:lineRule="exact"/>
        <w:ind w:leftChars="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九、</w:t>
      </w:r>
      <w:r>
        <w:rPr>
          <w:rFonts w:eastAsia="仿宋_GB2312"/>
          <w:color w:val="000000" w:themeColor="text1"/>
          <w:sz w:val="32"/>
          <w:szCs w:val="32"/>
          <w14:textFill>
            <w14:solidFill>
              <w14:schemeClr w14:val="tx1"/>
            </w14:solidFill>
          </w14:textFill>
        </w:rPr>
        <w:t xml:space="preserve"> 国</w:t>
      </w:r>
      <w:r>
        <w:rPr>
          <w:rFonts w:hint="eastAsia" w:eastAsia="仿宋_GB2312"/>
          <w:color w:val="000000" w:themeColor="text1"/>
          <w:sz w:val="32"/>
          <w:szCs w:val="32"/>
          <w14:textFill>
            <w14:solidFill>
              <w14:schemeClr w14:val="tx1"/>
            </w14:solidFill>
          </w14:textFill>
        </w:rPr>
        <w:t>有资本经营预算支出决算情况说明</w:t>
      </w:r>
    </w:p>
    <w:p w14:paraId="32EED248">
      <w:pPr>
        <w:pStyle w:val="13"/>
        <w:adjustRightInd w:val="0"/>
        <w:snapToGrid w:val="0"/>
        <w:spacing w:line="578" w:lineRule="exact"/>
        <w:ind w:leftChars="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十、其他重要事项的情况说明</w:t>
      </w:r>
    </w:p>
    <w:p w14:paraId="0F05EDD9">
      <w:pPr>
        <w:pStyle w:val="12"/>
        <w:adjustRightInd w:val="0"/>
        <w:snapToGrid w:val="0"/>
        <w:spacing w:before="0" w:line="578" w:lineRule="exac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第三部分</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名词解释</w:t>
      </w:r>
    </w:p>
    <w:p w14:paraId="71826191">
      <w:pPr>
        <w:pStyle w:val="12"/>
        <w:adjustRightInd w:val="0"/>
        <w:snapToGrid w:val="0"/>
        <w:spacing w:before="0" w:line="578" w:lineRule="exac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第四部分</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附件</w:t>
      </w:r>
    </w:p>
    <w:p w14:paraId="31E5D94F">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附件</w:t>
      </w:r>
      <w:r>
        <w:rPr>
          <w:rFonts w:eastAsia="仿宋_GB2312"/>
          <w:color w:val="000000" w:themeColor="text1"/>
          <w:sz w:val="32"/>
          <w:szCs w:val="32"/>
          <w14:textFill>
            <w14:solidFill>
              <w14:schemeClr w14:val="tx1"/>
            </w14:solidFill>
          </w14:textFill>
        </w:rPr>
        <w:t>1</w:t>
      </w:r>
    </w:p>
    <w:p w14:paraId="59CE7940">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附件</w:t>
      </w:r>
      <w:r>
        <w:rPr>
          <w:rFonts w:eastAsia="仿宋_GB2312"/>
          <w:color w:val="000000" w:themeColor="text1"/>
          <w:sz w:val="32"/>
          <w:szCs w:val="32"/>
          <w14:textFill>
            <w14:solidFill>
              <w14:schemeClr w14:val="tx1"/>
            </w14:solidFill>
          </w14:textFill>
        </w:rPr>
        <w:t>2</w:t>
      </w:r>
    </w:p>
    <w:p w14:paraId="610E6603">
      <w:pPr>
        <w:pStyle w:val="12"/>
        <w:adjustRightInd w:val="0"/>
        <w:snapToGrid w:val="0"/>
        <w:spacing w:before="0" w:line="578" w:lineRule="exact"/>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第五部分</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附表</w:t>
      </w:r>
    </w:p>
    <w:p w14:paraId="006C7229">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一、收入支出决算总表</w:t>
      </w:r>
    </w:p>
    <w:p w14:paraId="5B64460A">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二、收入决算表</w:t>
      </w:r>
    </w:p>
    <w:p w14:paraId="30DFE1D9">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三、支出决算表</w:t>
      </w:r>
    </w:p>
    <w:p w14:paraId="17E81C93">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四、财政拨款收入支出决算总表</w:t>
      </w:r>
    </w:p>
    <w:p w14:paraId="3E9CE59B">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五、财政拨款支出决算明细表</w:t>
      </w:r>
    </w:p>
    <w:p w14:paraId="2421399C">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六、一般公共预算财政拨款支出决算表</w:t>
      </w:r>
    </w:p>
    <w:p w14:paraId="29ABE865">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七、一般公共预算财政拨款支出决算明细表</w:t>
      </w:r>
    </w:p>
    <w:p w14:paraId="42FF328C">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八、一般公共预算财政拨款基本支出决算表</w:t>
      </w:r>
    </w:p>
    <w:p w14:paraId="5343061E">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九、一般公共预算财政拨款项目支出决算表</w:t>
      </w:r>
    </w:p>
    <w:p w14:paraId="4D4E7DE5">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十、一般公共预算财政拨款“三公”经费支出决算表</w:t>
      </w:r>
    </w:p>
    <w:p w14:paraId="5740A197">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十一、政府性基金预算财政拨款收入支出决算表</w:t>
      </w:r>
    </w:p>
    <w:p w14:paraId="6584112B">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十二、政府性基金预算财政拨款“三公”经费支出决算表</w:t>
      </w:r>
    </w:p>
    <w:p w14:paraId="16938D5E">
      <w:pPr>
        <w:pStyle w:val="13"/>
        <w:adjustRightInd w:val="0"/>
        <w:snapToGrid w:val="0"/>
        <w:spacing w:line="578" w:lineRule="exact"/>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十三、国有资本经营预算支出决算表</w:t>
      </w:r>
    </w:p>
    <w:p w14:paraId="35A31475">
      <w:pPr>
        <w:pStyle w:val="13"/>
        <w:adjustRightInd w:val="0"/>
        <w:snapToGrid w:val="0"/>
        <w:spacing w:line="576" w:lineRule="exact"/>
        <w:jc w:val="left"/>
        <w:rPr>
          <w:rStyle w:val="28"/>
          <w:rFonts w:ascii="黑体" w:hAnsi="黑体" w:eastAsia="黑体"/>
          <w:b w:val="0"/>
          <w:bCs w:val="0"/>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br w:type="page"/>
      </w:r>
      <w:r>
        <w:rPr>
          <w:rStyle w:val="28"/>
          <w:rFonts w:hint="eastAsia" w:ascii="黑体" w:hAnsi="黑体"/>
        </w:rPr>
        <w:t xml:space="preserve">第一部分 </w:t>
      </w:r>
      <w:r>
        <w:rPr>
          <w:rStyle w:val="28"/>
          <w:rFonts w:hint="eastAsia" w:ascii="黑体" w:hAnsi="黑体" w:eastAsia="黑体"/>
          <w:color w:val="000000" w:themeColor="text1"/>
          <w14:textFill>
            <w14:solidFill>
              <w14:schemeClr w14:val="tx1"/>
            </w14:solidFill>
          </w14:textFill>
        </w:rPr>
        <w:t>部门</w:t>
      </w:r>
      <w:r>
        <w:rPr>
          <w:rStyle w:val="28"/>
          <w:rFonts w:hint="eastAsia" w:ascii="黑体" w:hAnsi="黑体" w:eastAsia="黑体"/>
          <w:b w:val="0"/>
          <w:bCs w:val="0"/>
          <w:color w:val="000000" w:themeColor="text1"/>
          <w14:textFill>
            <w14:solidFill>
              <w14:schemeClr w14:val="tx1"/>
            </w14:solidFill>
          </w14:textFill>
        </w:rPr>
        <w:t>概</w:t>
      </w:r>
      <w:r>
        <w:rPr>
          <w:rStyle w:val="28"/>
          <w:rFonts w:hint="eastAsia" w:ascii="黑体" w:hAnsi="黑体" w:eastAsia="黑体"/>
          <w:color w:val="000000" w:themeColor="text1"/>
          <w14:textFill>
            <w14:solidFill>
              <w14:schemeClr w14:val="tx1"/>
            </w14:solidFill>
          </w14:textFill>
        </w:rPr>
        <w:t>况</w:t>
      </w:r>
      <w:bookmarkEnd w:id="12"/>
      <w:bookmarkEnd w:id="13"/>
    </w:p>
    <w:p w14:paraId="4C54A704">
      <w:pPr>
        <w:pStyle w:val="5"/>
        <w:rPr>
          <w:rStyle w:val="29"/>
          <w:rFonts w:ascii="黑体" w:hAnsi="黑体" w:eastAsia="黑体"/>
          <w:b w:val="0"/>
          <w:bCs w:val="0"/>
          <w:color w:val="000000" w:themeColor="text1"/>
          <w14:textFill>
            <w14:solidFill>
              <w14:schemeClr w14:val="tx1"/>
            </w14:solidFill>
          </w14:textFill>
        </w:rPr>
      </w:pPr>
      <w:bookmarkStart w:id="14" w:name="_Toc15396600"/>
      <w:bookmarkStart w:id="15" w:name="_Toc15377197"/>
      <w:r>
        <w:rPr>
          <w:rFonts w:hint="eastAsia" w:ascii="黑体" w:hAnsi="黑体" w:eastAsia="黑体"/>
          <w:b w:val="0"/>
          <w:color w:val="000000" w:themeColor="text1"/>
          <w14:textFill>
            <w14:solidFill>
              <w14:schemeClr w14:val="tx1"/>
            </w14:solidFill>
          </w14:textFill>
        </w:rPr>
        <w:t>一、基</w:t>
      </w:r>
      <w:r>
        <w:rPr>
          <w:rStyle w:val="29"/>
          <w:rFonts w:hint="eastAsia" w:ascii="黑体" w:hAnsi="黑体" w:eastAsia="黑体"/>
          <w:b w:val="0"/>
          <w:bCs w:val="0"/>
          <w:color w:val="000000" w:themeColor="text1"/>
          <w14:textFill>
            <w14:solidFill>
              <w14:schemeClr w14:val="tx1"/>
            </w14:solidFill>
          </w14:textFill>
        </w:rPr>
        <w:t>本职能及主要工作</w:t>
      </w:r>
      <w:bookmarkEnd w:id="14"/>
      <w:bookmarkEnd w:id="15"/>
      <w:bookmarkStart w:id="16" w:name="_Toc15377199"/>
      <w:bookmarkStart w:id="17" w:name="_Toc15378446"/>
    </w:p>
    <w:p w14:paraId="66982E7A">
      <w:pPr>
        <w:pStyle w:val="5"/>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w:t>
      </w:r>
      <w:r>
        <w:rPr>
          <w:rFonts w:hint="eastAsia" w:ascii="仿宋_GB2312" w:hAnsi="仿宋_GB2312" w:eastAsia="仿宋_GB2312" w:cs="仿宋_GB2312"/>
          <w:bCs w:val="0"/>
          <w:color w:val="000000" w:themeColor="text1"/>
          <w14:textFill>
            <w14:solidFill>
              <w14:schemeClr w14:val="tx1"/>
            </w14:solidFill>
          </w14:textFill>
        </w:rPr>
        <w:t>一）主要职能。</w:t>
      </w:r>
    </w:p>
    <w:bookmarkEnd w:id="16"/>
    <w:bookmarkEnd w:id="17"/>
    <w:p w14:paraId="773BD8FB">
      <w:pPr>
        <w:spacing w:line="578" w:lineRule="exact"/>
        <w:ind w:firstLine="640" w:firstLineChars="200"/>
        <w:rPr>
          <w:rFonts w:eastAsia="仿宋_GB2312"/>
          <w:color w:val="000000" w:themeColor="text1"/>
          <w:sz w:val="32"/>
          <w:szCs w:val="32"/>
          <w14:textFill>
            <w14:solidFill>
              <w14:schemeClr w14:val="tx1"/>
            </w14:solidFill>
          </w14:textFill>
        </w:rPr>
      </w:pPr>
      <w:bookmarkStart w:id="18" w:name="_Toc15377200"/>
      <w:bookmarkStart w:id="19" w:name="_Toc15396601"/>
      <w:r>
        <w:rPr>
          <w:rFonts w:eastAsia="仿宋_GB2312"/>
          <w:color w:val="000000" w:themeColor="text1"/>
          <w:sz w:val="32"/>
          <w:szCs w:val="32"/>
          <w14:textFill>
            <w14:solidFill>
              <w14:schemeClr w14:val="tx1"/>
            </w14:solidFill>
          </w14:textFill>
        </w:rPr>
        <w:t>（一）拟订全县创新驱动发展战略以及科技发展、引进国外智力规划和政策并组织实施</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统筹推进全</w:t>
      </w:r>
      <w:r>
        <w:rPr>
          <w:rFonts w:hint="eastAsia" w:eastAsia="仿宋_GB2312"/>
          <w:color w:val="000000" w:themeColor="text1"/>
          <w:sz w:val="32"/>
          <w:szCs w:val="32"/>
          <w14:textFill>
            <w14:solidFill>
              <w14:schemeClr w14:val="tx1"/>
            </w14:solidFill>
          </w14:textFill>
        </w:rPr>
        <w:t>县科技</w:t>
      </w:r>
      <w:r>
        <w:rPr>
          <w:rFonts w:eastAsia="仿宋_GB2312"/>
          <w:color w:val="000000" w:themeColor="text1"/>
          <w:sz w:val="32"/>
          <w:szCs w:val="32"/>
          <w14:textFill>
            <w14:solidFill>
              <w14:schemeClr w14:val="tx1"/>
            </w14:solidFill>
          </w14:textFill>
        </w:rPr>
        <w:t>创新体系建设和体制改革，会同有关部门健全技术创新激励机制，推动企业科技创新能力建设</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牵头建立统一的全县科技管理平台和科研项目资金协调、实施、评估、监管机制</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会同有关部门提出</w:t>
      </w:r>
      <w:r>
        <w:rPr>
          <w:rFonts w:hint="eastAsia" w:eastAsia="仿宋_GB2312"/>
          <w:color w:val="000000" w:themeColor="text1"/>
          <w:sz w:val="32"/>
          <w:szCs w:val="32"/>
          <w:lang w:eastAsia="zh-CN"/>
          <w14:textFill>
            <w14:solidFill>
              <w14:schemeClr w14:val="tx1"/>
            </w14:solidFill>
          </w14:textFill>
        </w:rPr>
        <w:t>优化配置创新资源</w:t>
      </w:r>
      <w:r>
        <w:rPr>
          <w:rFonts w:eastAsia="仿宋_GB2312"/>
          <w:color w:val="000000" w:themeColor="text1"/>
          <w:sz w:val="32"/>
          <w:szCs w:val="32"/>
          <w14:textFill>
            <w14:solidFill>
              <w14:schemeClr w14:val="tx1"/>
            </w14:solidFill>
          </w14:textFill>
        </w:rPr>
        <w:t>的政策措施建议，推动多元化科技投入体系建设</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组织拟订县级财政科技计划（专项、基金）并监督和实施。</w:t>
      </w:r>
      <w:r>
        <w:rPr>
          <w:rFonts w:hint="eastAsia" w:eastAsia="仿宋_GB2312"/>
          <w:color w:val="000000" w:themeColor="text1"/>
          <w:sz w:val="32"/>
          <w:szCs w:val="32"/>
          <w14:textFill>
            <w14:solidFill>
              <w14:schemeClr w14:val="tx1"/>
            </w14:solidFill>
          </w14:textFill>
        </w:rPr>
        <w:t>负责农业先进实用技术的引进、试验示范和推广工作。</w:t>
      </w:r>
    </w:p>
    <w:p w14:paraId="4E000D25">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负责科学技术普及工作，指导、协调科普活动和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w:t>
      </w:r>
      <w:r>
        <w:rPr>
          <w:rFonts w:hint="eastAsia" w:eastAsia="仿宋_GB2312"/>
          <w:color w:val="000000" w:themeColor="text1"/>
          <w:sz w:val="32"/>
          <w:szCs w:val="32"/>
          <w:lang w:eastAsia="zh-CN"/>
          <w14:textFill>
            <w14:solidFill>
              <w14:schemeClr w14:val="tx1"/>
            </w14:solidFill>
          </w14:textFill>
        </w:rPr>
        <w:t>国际</w:t>
      </w:r>
      <w:r>
        <w:rPr>
          <w:rFonts w:hint="eastAsia" w:eastAsia="仿宋_GB2312"/>
          <w:color w:val="000000" w:themeColor="text1"/>
          <w:sz w:val="32"/>
          <w:szCs w:val="32"/>
          <w14:textFill>
            <w14:solidFill>
              <w14:schemeClr w14:val="tx1"/>
            </w14:solidFill>
          </w14:textFill>
        </w:rPr>
        <w:t>智力工作，</w:t>
      </w:r>
      <w:r>
        <w:rPr>
          <w:rFonts w:eastAsia="仿宋_GB2312"/>
          <w:color w:val="000000" w:themeColor="text1"/>
          <w:sz w:val="32"/>
          <w:szCs w:val="32"/>
          <w14:textFill>
            <w14:solidFill>
              <w14:schemeClr w14:val="tx1"/>
            </w14:solidFill>
          </w14:textFill>
        </w:rPr>
        <w:t>会同有关部门制定外国人来县工作政策、办理相关外国人工作许可。</w:t>
      </w:r>
    </w:p>
    <w:p w14:paraId="730516EF">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w:t>
      </w:r>
      <w:r>
        <w:rPr>
          <w:rFonts w:hint="eastAsia" w:eastAsia="仿宋_GB2312"/>
          <w:color w:val="000000" w:themeColor="text1"/>
          <w:sz w:val="32"/>
          <w:szCs w:val="32"/>
          <w14:textFill>
            <w14:solidFill>
              <w14:schemeClr w14:val="tx1"/>
            </w14:solidFill>
          </w14:textFill>
        </w:rPr>
        <w:t>负责</w:t>
      </w:r>
      <w:r>
        <w:rPr>
          <w:rFonts w:eastAsia="仿宋_GB2312"/>
          <w:color w:val="000000" w:themeColor="text1"/>
          <w:sz w:val="32"/>
          <w:szCs w:val="32"/>
          <w14:textFill>
            <w14:solidFill>
              <w14:schemeClr w14:val="tx1"/>
            </w14:solidFill>
          </w14:textFill>
        </w:rPr>
        <w:t>拟订全县科技人才队伍建设规划并组织实施，建立健全科技人才评价和激励机制，推动高端科技人才队伍建设。</w:t>
      </w:r>
      <w:r>
        <w:rPr>
          <w:rFonts w:hint="eastAsia" w:eastAsia="仿宋_GB2312"/>
          <w:color w:val="000000" w:themeColor="text1"/>
          <w:sz w:val="32"/>
          <w:szCs w:val="32"/>
          <w14:textFill>
            <w14:solidFill>
              <w14:schemeClr w14:val="tx1"/>
            </w14:solidFill>
          </w14:textFill>
        </w:rPr>
        <w:t>指导农牧业职业教育工作，参与实施农村实用人才培训工程，会同有关部门依法实施农业、农村人才专业技术资格和从业资格管理的有关工作</w:t>
      </w:r>
      <w:r>
        <w:rPr>
          <w:rFonts w:eastAsia="仿宋_GB2312"/>
          <w:color w:val="000000" w:themeColor="text1"/>
          <w:sz w:val="32"/>
          <w:szCs w:val="32"/>
          <w14:textFill>
            <w14:solidFill>
              <w14:schemeClr w14:val="tx1"/>
            </w14:solidFill>
          </w14:textFill>
        </w:rPr>
        <w:t>。</w:t>
      </w:r>
    </w:p>
    <w:p w14:paraId="254DCE81">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（四）贯彻执行</w:t>
      </w:r>
      <w:r>
        <w:fldChar w:fldCharType="begin"/>
      </w:r>
      <w:r>
        <w:instrText xml:space="preserve"> HYPERLINK "https://baike.baidu.com/item/%E5%9B%BD%E5%AE%B6/17205" \t "https://baike.baidu.com/item/%E4%B9%9D%E9%BE%99%E5%8E%BF%E5%86%9C%E7%89%A7%E5%92%8C%E7%A7%91%E6%8A%80%E5%B1%80/_blank" </w:instrText>
      </w:r>
      <w:r>
        <w:fldChar w:fldCharType="separate"/>
      </w:r>
      <w:r>
        <w:rPr>
          <w:rFonts w:eastAsia="仿宋_GB2312"/>
          <w:color w:val="000000" w:themeColor="text1"/>
          <w:sz w:val="32"/>
          <w:szCs w:val="32"/>
          <w14:textFill>
            <w14:solidFill>
              <w14:schemeClr w14:val="tx1"/>
            </w14:solidFill>
          </w14:textFill>
        </w:rPr>
        <w:t>国家</w:t>
      </w:r>
      <w:r>
        <w:rPr>
          <w:rFonts w:eastAsia="仿宋_GB2312"/>
          <w:color w:val="000000" w:themeColor="text1"/>
          <w:sz w:val="32"/>
          <w:szCs w:val="32"/>
          <w14:textFill>
            <w14:solidFill>
              <w14:schemeClr w14:val="tx1"/>
            </w14:solidFill>
          </w14:textFill>
        </w:rPr>
        <w:fldChar w:fldCharType="end"/>
      </w:r>
      <w:r>
        <w:rPr>
          <w:rFonts w:eastAsia="仿宋_GB2312"/>
          <w:color w:val="000000" w:themeColor="text1"/>
          <w:sz w:val="32"/>
          <w:szCs w:val="32"/>
          <w14:textFill>
            <w14:solidFill>
              <w14:schemeClr w14:val="tx1"/>
            </w14:solidFill>
          </w14:textFill>
        </w:rPr>
        <w:t>有关科学技术、农牧渔业、</w:t>
      </w:r>
      <w:r>
        <w:rPr>
          <w:rFonts w:hint="eastAsia" w:eastAsia="仿宋_GB2312"/>
          <w:color w:val="000000" w:themeColor="text1"/>
          <w:sz w:val="32"/>
          <w:szCs w:val="32"/>
          <w14:textFill>
            <w14:solidFill>
              <w14:schemeClr w14:val="tx1"/>
            </w14:solidFill>
          </w14:textFill>
        </w:rPr>
        <w:t>农</w:t>
      </w:r>
      <w:r>
        <w:rPr>
          <w:rFonts w:eastAsia="仿宋_GB2312"/>
          <w:color w:val="000000" w:themeColor="text1"/>
          <w:sz w:val="32"/>
          <w:szCs w:val="32"/>
          <w14:textFill>
            <w14:solidFill>
              <w14:schemeClr w14:val="tx1"/>
            </w14:solidFill>
          </w14:textFill>
        </w:rPr>
        <w:t>业机械化等领域工作的法律法规、政策以及省州县有关决策部署。拟订和组织实施“三农”工作、科学技术</w:t>
      </w:r>
      <w:r>
        <w:rPr>
          <w:rFonts w:hint="eastAsia" w:eastAsia="仿宋_GB2312"/>
          <w:color w:val="000000" w:themeColor="text1"/>
          <w:sz w:val="32"/>
          <w:szCs w:val="32"/>
          <w14:textFill>
            <w14:solidFill>
              <w14:schemeClr w14:val="tx1"/>
            </w14:solidFill>
          </w14:textFill>
        </w:rPr>
        <w:t>的重大政策</w:t>
      </w:r>
      <w:r>
        <w:rPr>
          <w:rFonts w:eastAsia="仿宋_GB2312"/>
          <w:color w:val="000000" w:themeColor="text1"/>
          <w:sz w:val="32"/>
          <w:szCs w:val="32"/>
          <w14:textFill>
            <w14:solidFill>
              <w14:schemeClr w14:val="tx1"/>
            </w14:solidFill>
          </w14:textFill>
        </w:rPr>
        <w:t>中长期规划和年度计划；起草农业农村、科学技术等有关</w:t>
      </w:r>
      <w:r>
        <w:rPr>
          <w:rFonts w:hint="eastAsia" w:eastAsia="仿宋_GB2312"/>
          <w:color w:val="000000" w:themeColor="text1"/>
          <w:sz w:val="32"/>
          <w:szCs w:val="32"/>
          <w14:textFill>
            <w14:solidFill>
              <w14:schemeClr w14:val="tx1"/>
            </w14:solidFill>
          </w14:textFill>
        </w:rPr>
        <w:t>地方性</w:t>
      </w:r>
      <w:r>
        <w:rPr>
          <w:rFonts w:eastAsia="仿宋_GB2312"/>
          <w:color w:val="000000" w:themeColor="text1"/>
          <w:sz w:val="32"/>
          <w:szCs w:val="32"/>
          <w14:textFill>
            <w14:solidFill>
              <w14:schemeClr w14:val="tx1"/>
            </w14:solidFill>
          </w14:textFill>
        </w:rPr>
        <w:t>行政规范性文件。参与拟订涉农财税、价格、金融保险等政策，提出农业产业保护的政策建议，推进依法行政。</w:t>
      </w:r>
    </w:p>
    <w:p w14:paraId="34F7F21F">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（五）统筹推进乡村振兴战略，牵头组织改善全县农村人居环境。统筹推动发展农村社会事业、农村公共服务、农村文化、农村基础设施和乡村治理。指导农业遗产的保护和开发利用</w:t>
      </w:r>
      <w:r>
        <w:rPr>
          <w:rFonts w:hint="eastAsia" w:eastAsia="仿宋_GB2312"/>
          <w:color w:val="000000" w:themeColor="text1"/>
          <w:sz w:val="32"/>
          <w:szCs w:val="32"/>
          <w14:textFill>
            <w14:solidFill>
              <w14:schemeClr w14:val="tx1"/>
            </w14:solidFill>
          </w14:textFill>
        </w:rPr>
        <w:t>以及</w:t>
      </w:r>
      <w:r>
        <w:rPr>
          <w:rFonts w:eastAsia="仿宋_GB2312"/>
          <w:color w:val="000000" w:themeColor="text1"/>
          <w:sz w:val="32"/>
          <w:szCs w:val="32"/>
          <w14:textFill>
            <w14:solidFill>
              <w14:schemeClr w14:val="tx1"/>
            </w14:solidFill>
          </w14:textFill>
        </w:rPr>
        <w:t>农村精神文明和优秀农耕文化建设。</w:t>
      </w:r>
    </w:p>
    <w:p w14:paraId="27105F23">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（六）贯彻落实农村经济体制和巩固完善农村基本经营制度的政策措施。负责农民承包地、农村宅基地管理和改革等有关工作。负责农村集体</w:t>
      </w:r>
      <w:r>
        <w:rPr>
          <w:rFonts w:hint="eastAsia" w:eastAsia="仿宋_GB2312"/>
          <w:color w:val="000000" w:themeColor="text1"/>
          <w:sz w:val="32"/>
          <w:szCs w:val="32"/>
          <w14:textFill>
            <w14:solidFill>
              <w14:schemeClr w14:val="tx1"/>
            </w14:solidFill>
          </w14:textFill>
        </w:rPr>
        <w:t>资</w:t>
      </w:r>
      <w:r>
        <w:rPr>
          <w:rFonts w:eastAsia="仿宋_GB2312"/>
          <w:color w:val="000000" w:themeColor="text1"/>
          <w:sz w:val="32"/>
          <w:szCs w:val="32"/>
          <w14:textFill>
            <w14:solidFill>
              <w14:schemeClr w14:val="tx1"/>
            </w14:solidFill>
          </w14:textFill>
        </w:rPr>
        <w:t>产</w:t>
      </w:r>
      <w:r>
        <w:rPr>
          <w:rFonts w:hint="eastAsia" w:eastAsia="仿宋_GB2312"/>
          <w:color w:val="000000" w:themeColor="text1"/>
          <w:sz w:val="32"/>
          <w:szCs w:val="32"/>
          <w14:textFill>
            <w14:solidFill>
              <w14:schemeClr w14:val="tx1"/>
            </w14:solidFill>
          </w14:textFill>
        </w:rPr>
        <w:t>监管和产</w:t>
      </w:r>
      <w:r>
        <w:rPr>
          <w:rFonts w:eastAsia="仿宋_GB2312"/>
          <w:color w:val="000000" w:themeColor="text1"/>
          <w:sz w:val="32"/>
          <w:szCs w:val="32"/>
          <w14:textFill>
            <w14:solidFill>
              <w14:schemeClr w14:val="tx1"/>
            </w14:solidFill>
          </w14:textFill>
        </w:rPr>
        <w:t>权制度改革，指导农村集体经济组织发展</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指导农民合作经济</w:t>
      </w:r>
      <w:r>
        <w:rPr>
          <w:rFonts w:hint="eastAsia" w:eastAsia="仿宋_GB2312"/>
          <w:color w:val="000000" w:themeColor="text1"/>
          <w:sz w:val="32"/>
          <w:szCs w:val="32"/>
          <w14:textFill>
            <w14:solidFill>
              <w14:schemeClr w14:val="tx1"/>
            </w14:solidFill>
          </w14:textFill>
        </w:rPr>
        <w:t>等</w:t>
      </w:r>
      <w:r>
        <w:rPr>
          <w:rFonts w:eastAsia="仿宋_GB2312"/>
          <w:color w:val="000000" w:themeColor="text1"/>
          <w:sz w:val="32"/>
          <w:szCs w:val="32"/>
          <w14:textFill>
            <w14:solidFill>
              <w14:schemeClr w14:val="tx1"/>
            </w14:solidFill>
          </w14:textFill>
        </w:rPr>
        <w:t>新型农业经营主体建设与发展。监督减轻农民负担和村民筹资筹劳</w:t>
      </w:r>
      <w:r>
        <w:rPr>
          <w:rFonts w:hint="eastAsia" w:eastAsia="仿宋_GB2312"/>
          <w:color w:val="000000" w:themeColor="text1"/>
          <w:sz w:val="32"/>
          <w:szCs w:val="32"/>
          <w14:textFill>
            <w14:solidFill>
              <w14:schemeClr w14:val="tx1"/>
            </w14:solidFill>
          </w14:textFill>
        </w:rPr>
        <w:t>等</w:t>
      </w:r>
      <w:r>
        <w:rPr>
          <w:rFonts w:eastAsia="仿宋_GB2312"/>
          <w:color w:val="000000" w:themeColor="text1"/>
          <w:sz w:val="32"/>
          <w:szCs w:val="32"/>
          <w14:textFill>
            <w14:solidFill>
              <w14:schemeClr w14:val="tx1"/>
            </w14:solidFill>
          </w14:textFill>
        </w:rPr>
        <w:t>。</w:t>
      </w:r>
    </w:p>
    <w:p w14:paraId="3A1E8D51">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（七）指导乡村特色产业、农产品加工业（产地初加工）、休闲农业和乡村企业发展工作。</w:t>
      </w:r>
      <w:r>
        <w:rPr>
          <w:rFonts w:hint="eastAsia" w:eastAsia="仿宋_GB2312"/>
          <w:color w:val="000000" w:themeColor="text1"/>
          <w:sz w:val="32"/>
          <w:szCs w:val="32"/>
          <w14:textFill>
            <w14:solidFill>
              <w14:schemeClr w14:val="tx1"/>
            </w14:solidFill>
          </w14:textFill>
        </w:rPr>
        <w:t>负责拟订全县</w:t>
      </w:r>
      <w:r>
        <w:rPr>
          <w:rFonts w:eastAsia="仿宋_GB2312"/>
          <w:color w:val="000000" w:themeColor="text1"/>
          <w:sz w:val="32"/>
          <w:szCs w:val="32"/>
          <w14:textFill>
            <w14:solidFill>
              <w14:schemeClr w14:val="tx1"/>
            </w14:solidFill>
          </w14:textFill>
        </w:rPr>
        <w:t>优势特色效益农业、现代农业产业基地建设规划并组织实施，提出促进农产品流通政策建议，</w:t>
      </w:r>
      <w:r>
        <w:rPr>
          <w:rFonts w:hint="eastAsia" w:eastAsia="仿宋_GB2312"/>
          <w:color w:val="000000" w:themeColor="text1"/>
          <w:sz w:val="32"/>
          <w:szCs w:val="32"/>
          <w14:textFill>
            <w14:solidFill>
              <w14:schemeClr w14:val="tx1"/>
            </w14:solidFill>
          </w14:textFill>
        </w:rPr>
        <w:t>负责全县</w:t>
      </w:r>
      <w:r>
        <w:rPr>
          <w:rFonts w:eastAsia="仿宋_GB2312"/>
          <w:color w:val="000000" w:themeColor="text1"/>
          <w:sz w:val="32"/>
          <w:szCs w:val="32"/>
          <w14:textFill>
            <w14:solidFill>
              <w14:schemeClr w14:val="tx1"/>
            </w14:solidFill>
          </w14:textFill>
        </w:rPr>
        <w:t>农产品</w:t>
      </w:r>
      <w:r>
        <w:rPr>
          <w:rFonts w:hint="eastAsia" w:eastAsia="仿宋_GB2312"/>
          <w:color w:val="000000" w:themeColor="text1"/>
          <w:sz w:val="32"/>
          <w:szCs w:val="32"/>
          <w14:textFill>
            <w14:solidFill>
              <w14:schemeClr w14:val="tx1"/>
            </w14:solidFill>
          </w14:textFill>
        </w:rPr>
        <w:t>“三品一标”</w:t>
      </w:r>
      <w:r>
        <w:rPr>
          <w:rFonts w:eastAsia="仿宋_GB2312"/>
          <w:color w:val="000000" w:themeColor="text1"/>
          <w:sz w:val="32"/>
          <w:szCs w:val="32"/>
          <w14:textFill>
            <w14:solidFill>
              <w14:schemeClr w14:val="tx1"/>
            </w14:solidFill>
          </w14:textFill>
        </w:rPr>
        <w:t>品牌</w:t>
      </w:r>
      <w:r>
        <w:rPr>
          <w:rFonts w:hint="eastAsia" w:eastAsia="仿宋_GB2312"/>
          <w:color w:val="000000" w:themeColor="text1"/>
          <w:sz w:val="32"/>
          <w:szCs w:val="32"/>
          <w14:textFill>
            <w14:solidFill>
              <w14:schemeClr w14:val="tx1"/>
            </w14:solidFill>
          </w14:textFill>
        </w:rPr>
        <w:t>培育和保护工作</w:t>
      </w:r>
      <w:r>
        <w:rPr>
          <w:rFonts w:eastAsia="仿宋_GB2312"/>
          <w:color w:val="000000" w:themeColor="text1"/>
          <w:sz w:val="32"/>
          <w:szCs w:val="32"/>
          <w14:textFill>
            <w14:solidFill>
              <w14:schemeClr w14:val="tx1"/>
            </w14:solidFill>
          </w14:textFill>
        </w:rPr>
        <w:t>。承担农业统计和农业农村信息化等相关工作；组织</w:t>
      </w:r>
      <w:r>
        <w:rPr>
          <w:rFonts w:hint="eastAsia" w:eastAsia="仿宋_GB2312"/>
          <w:color w:val="000000" w:themeColor="text1"/>
          <w:sz w:val="32"/>
          <w:szCs w:val="32"/>
          <w14:textFill>
            <w14:solidFill>
              <w14:schemeClr w14:val="tx1"/>
            </w14:solidFill>
          </w14:textFill>
        </w:rPr>
        <w:t>实施</w:t>
      </w:r>
      <w:r>
        <w:rPr>
          <w:rFonts w:eastAsia="仿宋_GB2312"/>
          <w:color w:val="000000" w:themeColor="text1"/>
          <w:sz w:val="32"/>
          <w:szCs w:val="32"/>
          <w14:textFill>
            <w14:solidFill>
              <w14:schemeClr w14:val="tx1"/>
            </w14:solidFill>
          </w14:textFill>
        </w:rPr>
        <w:t xml:space="preserve">“菜篮子”工程有关工作。                                                    </w:t>
      </w:r>
    </w:p>
    <w:p w14:paraId="412040D4">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（八）负责全县</w:t>
      </w:r>
      <w:r>
        <w:rPr>
          <w:rFonts w:hint="eastAsia" w:eastAsia="仿宋_GB2312"/>
          <w:color w:val="000000" w:themeColor="text1"/>
          <w:sz w:val="32"/>
          <w:szCs w:val="32"/>
          <w14:textFill>
            <w14:solidFill>
              <w14:schemeClr w14:val="tx1"/>
            </w14:solidFill>
          </w14:textFill>
        </w:rPr>
        <w:t>农</w:t>
      </w:r>
      <w:r>
        <w:rPr>
          <w:rFonts w:eastAsia="仿宋_GB2312"/>
          <w:color w:val="000000" w:themeColor="text1"/>
          <w:sz w:val="32"/>
          <w:szCs w:val="32"/>
          <w14:textFill>
            <w14:solidFill>
              <w14:schemeClr w14:val="tx1"/>
            </w14:solidFill>
          </w14:textFill>
        </w:rPr>
        <w:t>牧渔业、农业机械化等的监督管理。</w:t>
      </w:r>
      <w:r>
        <w:rPr>
          <w:rFonts w:hint="eastAsia" w:eastAsia="仿宋_GB2312"/>
          <w:color w:val="000000" w:themeColor="text1"/>
          <w:sz w:val="32"/>
          <w:szCs w:val="32"/>
          <w14:textFill>
            <w14:solidFill>
              <w14:schemeClr w14:val="tx1"/>
            </w14:solidFill>
          </w14:textFill>
        </w:rPr>
        <w:t>贯彻落实粮油、畜禽、水产等主要农产品生产发展的相关政策措施</w:t>
      </w:r>
      <w:r>
        <w:rPr>
          <w:rFonts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组织构建现代农业产业体系、生产体系、经营体系，指导农业标准化、规模化生产。引导农业产业结构调整和产品品质改善，促进农业绿色发展。</w:t>
      </w:r>
    </w:p>
    <w:p w14:paraId="0D63EE25">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（九）负责</w:t>
      </w:r>
      <w:r>
        <w:rPr>
          <w:rFonts w:hint="eastAsia" w:eastAsia="仿宋_GB2312"/>
          <w:color w:val="000000" w:themeColor="text1"/>
          <w:sz w:val="32"/>
          <w:szCs w:val="32"/>
          <w14:textFill>
            <w14:solidFill>
              <w14:schemeClr w14:val="tx1"/>
            </w14:solidFill>
          </w14:textFill>
        </w:rPr>
        <w:t>拟订</w:t>
      </w:r>
      <w:r>
        <w:rPr>
          <w:rFonts w:eastAsia="仿宋_GB2312"/>
          <w:color w:val="000000" w:themeColor="text1"/>
          <w:sz w:val="32"/>
          <w:szCs w:val="32"/>
          <w14:textFill>
            <w14:solidFill>
              <w14:schemeClr w14:val="tx1"/>
            </w14:solidFill>
          </w14:textFill>
        </w:rPr>
        <w:t>全县</w:t>
      </w:r>
      <w:r>
        <w:rPr>
          <w:rFonts w:hint="eastAsia" w:eastAsia="仿宋_GB2312"/>
          <w:color w:val="000000" w:themeColor="text1"/>
          <w:sz w:val="32"/>
          <w:szCs w:val="32"/>
          <w14:textFill>
            <w14:solidFill>
              <w14:schemeClr w14:val="tx1"/>
            </w14:solidFill>
          </w14:textFill>
        </w:rPr>
        <w:t>先进</w:t>
      </w:r>
      <w:r>
        <w:rPr>
          <w:rFonts w:eastAsia="仿宋_GB2312"/>
          <w:color w:val="000000" w:themeColor="text1"/>
          <w:sz w:val="32"/>
          <w:szCs w:val="32"/>
          <w14:textFill>
            <w14:solidFill>
              <w14:schemeClr w14:val="tx1"/>
            </w14:solidFill>
          </w14:textFill>
        </w:rPr>
        <w:t>农业机械化发展规划并组织实施。指导设施农业、农机库棚、机电提灌、机耕道等基础设施建设。</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 xml:space="preserve">    （十）负责全县农产品质量安全监督管理。组织开展农产品</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质量安全监测、追溯、风险评估。参与制定农产品质量安全地方标准并会同有关部门组织实施，指导农业检验检测体系建设</w:t>
      </w:r>
      <w:r>
        <w:rPr>
          <w:rFonts w:hint="eastAsia" w:eastAsia="仿宋_GB2312"/>
          <w:color w:val="000000" w:themeColor="text1"/>
          <w:sz w:val="32"/>
          <w:szCs w:val="32"/>
          <w14:textFill>
            <w14:solidFill>
              <w14:schemeClr w14:val="tx1"/>
            </w14:solidFill>
          </w14:textFill>
        </w:rPr>
        <w:t>，负责</w:t>
      </w:r>
      <w:r>
        <w:rPr>
          <w:rFonts w:eastAsia="仿宋_GB2312"/>
          <w:color w:val="000000" w:themeColor="text1"/>
          <w:sz w:val="32"/>
          <w:szCs w:val="32"/>
          <w14:textFill>
            <w14:solidFill>
              <w14:schemeClr w14:val="tx1"/>
            </w14:solidFill>
          </w14:textFill>
        </w:rPr>
        <w:t>农产品生产基地认定、产品认证、农产品地理标志登记保护和监督管理。</w:t>
      </w:r>
    </w:p>
    <w:p w14:paraId="4DB3AED9">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（十一）组织开展全县农业资源区划和资源保护工作。指导农牧</w:t>
      </w:r>
      <w:r>
        <w:rPr>
          <w:rFonts w:hint="eastAsia" w:eastAsia="仿宋_GB2312"/>
          <w:color w:val="000000" w:themeColor="text1"/>
          <w:sz w:val="32"/>
          <w:szCs w:val="32"/>
          <w14:textFill>
            <w14:solidFill>
              <w14:schemeClr w14:val="tx1"/>
            </w14:solidFill>
          </w14:textFill>
        </w:rPr>
        <w:t>业</w:t>
      </w:r>
      <w:r>
        <w:rPr>
          <w:rFonts w:eastAsia="仿宋_GB2312"/>
          <w:color w:val="000000" w:themeColor="text1"/>
          <w:sz w:val="32"/>
          <w:szCs w:val="32"/>
          <w14:textFill>
            <w14:solidFill>
              <w14:schemeClr w14:val="tx1"/>
            </w14:solidFill>
          </w14:textFill>
        </w:rPr>
        <w:t>用地、渔业水域以及农业生物物种资源的保护与管理，负责动植物</w:t>
      </w:r>
      <w:r>
        <w:rPr>
          <w:rFonts w:hint="eastAsia" w:eastAsia="仿宋_GB2312"/>
          <w:color w:val="000000" w:themeColor="text1"/>
          <w:sz w:val="32"/>
          <w:szCs w:val="32"/>
          <w14:textFill>
            <w14:solidFill>
              <w14:schemeClr w14:val="tx1"/>
            </w14:solidFill>
          </w14:textFill>
        </w:rPr>
        <w:t>（含水生）</w:t>
      </w:r>
      <w:r>
        <w:rPr>
          <w:rFonts w:eastAsia="仿宋_GB2312"/>
          <w:color w:val="000000" w:themeColor="text1"/>
          <w:sz w:val="32"/>
          <w:szCs w:val="32"/>
          <w14:textFill>
            <w14:solidFill>
              <w14:schemeClr w14:val="tx1"/>
            </w14:solidFill>
          </w14:textFill>
        </w:rPr>
        <w:t>保护、耕地及永久基本农田质量保护工作。负责农村能源建设和资源环境工作。指导农产品产地环境管理和农业清洁生产，提出划定农产品禁止生产区域的政策建议，指导生态循环农业、节水农业发展以及农村可再生能源综合开发利用</w:t>
      </w:r>
      <w:r>
        <w:rPr>
          <w:rFonts w:hint="eastAsia" w:eastAsia="仿宋_GB2312"/>
          <w:color w:val="000000" w:themeColor="text1"/>
          <w:sz w:val="32"/>
          <w:szCs w:val="32"/>
          <w14:textFill>
            <w14:solidFill>
              <w14:schemeClr w14:val="tx1"/>
            </w14:solidFill>
          </w14:textFill>
        </w:rPr>
        <w:t>等</w:t>
      </w:r>
      <w:r>
        <w:rPr>
          <w:rFonts w:eastAsia="仿宋_GB2312"/>
          <w:color w:val="000000" w:themeColor="text1"/>
          <w:sz w:val="32"/>
          <w:szCs w:val="32"/>
          <w14:textFill>
            <w14:solidFill>
              <w14:schemeClr w14:val="tx1"/>
            </w14:solidFill>
          </w14:textFill>
        </w:rPr>
        <w:t>。</w:t>
      </w:r>
    </w:p>
    <w:p w14:paraId="01479786">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（十二）负责全县农业生产资料的监督管理。</w:t>
      </w:r>
      <w:r>
        <w:rPr>
          <w:rFonts w:hint="eastAsia" w:eastAsia="仿宋_GB2312"/>
          <w:color w:val="000000" w:themeColor="text1"/>
          <w:sz w:val="32"/>
          <w:szCs w:val="32"/>
          <w14:textFill>
            <w14:solidFill>
              <w14:schemeClr w14:val="tx1"/>
            </w14:solidFill>
          </w14:textFill>
        </w:rPr>
        <w:t>参与</w:t>
      </w:r>
      <w:r>
        <w:rPr>
          <w:rFonts w:eastAsia="仿宋_GB2312"/>
          <w:color w:val="000000" w:themeColor="text1"/>
          <w:sz w:val="32"/>
          <w:szCs w:val="32"/>
          <w14:textFill>
            <w14:solidFill>
              <w14:schemeClr w14:val="tx1"/>
            </w14:solidFill>
          </w14:textFill>
        </w:rPr>
        <w:t>农业生产资料市场体系建设。</w:t>
      </w:r>
      <w:r>
        <w:rPr>
          <w:rFonts w:hint="eastAsia" w:eastAsia="仿宋_GB2312"/>
          <w:color w:val="000000" w:themeColor="text1"/>
          <w:sz w:val="32"/>
          <w:szCs w:val="32"/>
          <w14:textFill>
            <w14:solidFill>
              <w14:schemeClr w14:val="tx1"/>
            </w14:solidFill>
          </w14:textFill>
        </w:rPr>
        <w:t>负责</w:t>
      </w:r>
      <w:r>
        <w:rPr>
          <w:rFonts w:eastAsia="仿宋_GB2312"/>
          <w:color w:val="000000" w:themeColor="text1"/>
          <w:sz w:val="32"/>
          <w:szCs w:val="32"/>
          <w14:textFill>
            <w14:solidFill>
              <w14:schemeClr w14:val="tx1"/>
            </w14:solidFill>
          </w14:textFill>
        </w:rPr>
        <w:t>兽医医政、兽药（渔药）药政</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执业兽医和畜禽屠宰行业</w:t>
      </w:r>
      <w:r>
        <w:rPr>
          <w:rFonts w:hint="eastAsia" w:eastAsia="仿宋_GB2312"/>
          <w:color w:val="000000" w:themeColor="text1"/>
          <w:sz w:val="32"/>
          <w:szCs w:val="32"/>
          <w14:textFill>
            <w14:solidFill>
              <w14:schemeClr w14:val="tx1"/>
            </w14:solidFill>
          </w14:textFill>
        </w:rPr>
        <w:t>等的监</w:t>
      </w:r>
      <w:r>
        <w:rPr>
          <w:rFonts w:eastAsia="仿宋_GB2312"/>
          <w:color w:val="000000" w:themeColor="text1"/>
          <w:sz w:val="32"/>
          <w:szCs w:val="32"/>
          <w14:textFill>
            <w14:solidFill>
              <w14:schemeClr w14:val="tx1"/>
            </w14:solidFill>
          </w14:textFill>
        </w:rPr>
        <w:t>管。</w:t>
      </w:r>
    </w:p>
    <w:p w14:paraId="328C973E">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（十三）负责全县农业防灾减灾、</w:t>
      </w:r>
      <w:r>
        <w:rPr>
          <w:rFonts w:hint="eastAsia" w:eastAsia="仿宋_GB2312"/>
          <w:color w:val="000000" w:themeColor="text1"/>
          <w:sz w:val="32"/>
          <w:szCs w:val="32"/>
          <w14:textFill>
            <w14:solidFill>
              <w14:schemeClr w14:val="tx1"/>
            </w14:solidFill>
          </w14:textFill>
        </w:rPr>
        <w:t>动植物</w:t>
      </w:r>
      <w:r>
        <w:rPr>
          <w:rFonts w:eastAsia="仿宋_GB2312"/>
          <w:color w:val="000000" w:themeColor="text1"/>
          <w:sz w:val="32"/>
          <w:szCs w:val="32"/>
          <w14:textFill>
            <w14:solidFill>
              <w14:schemeClr w14:val="tx1"/>
            </w14:solidFill>
          </w14:textFill>
        </w:rPr>
        <w:t>病虫害防治和</w:t>
      </w:r>
      <w:r>
        <w:rPr>
          <w:rFonts w:hint="eastAsia" w:eastAsia="仿宋_GB2312"/>
          <w:color w:val="000000" w:themeColor="text1"/>
          <w:sz w:val="32"/>
          <w:szCs w:val="32"/>
          <w14:textFill>
            <w14:solidFill>
              <w14:schemeClr w14:val="tx1"/>
            </w14:solidFill>
          </w14:textFill>
        </w:rPr>
        <w:t>检</w:t>
      </w:r>
      <w:r>
        <w:rPr>
          <w:rFonts w:eastAsia="仿宋_GB2312"/>
          <w:color w:val="000000" w:themeColor="text1"/>
          <w:sz w:val="32"/>
          <w:szCs w:val="32"/>
          <w14:textFill>
            <w14:solidFill>
              <w14:schemeClr w14:val="tx1"/>
            </w14:solidFill>
          </w14:textFill>
        </w:rPr>
        <w:t>疫工作。牵头起草动植物防疫和检疫的行政规范性文件。指导动植物防疫检疫体系建设，发布</w:t>
      </w:r>
      <w:r>
        <w:rPr>
          <w:rFonts w:hint="eastAsia" w:eastAsia="仿宋_GB2312"/>
          <w:color w:val="000000" w:themeColor="text1"/>
          <w:sz w:val="32"/>
          <w:szCs w:val="32"/>
          <w14:textFill>
            <w14:solidFill>
              <w14:schemeClr w14:val="tx1"/>
            </w14:solidFill>
          </w14:textFill>
        </w:rPr>
        <w:t>动</w:t>
      </w:r>
      <w:r>
        <w:rPr>
          <w:rFonts w:hint="eastAsia" w:eastAsia="仿宋_GB2312"/>
          <w:color w:val="000000" w:themeColor="text1"/>
          <w:sz w:val="32"/>
          <w:szCs w:val="32"/>
          <w:lang w:eastAsia="zh-CN"/>
          <w14:textFill>
            <w14:solidFill>
              <w14:schemeClr w14:val="tx1"/>
            </w14:solidFill>
          </w14:textFill>
        </w:rPr>
        <w:t>植物</w:t>
      </w:r>
      <w:r>
        <w:rPr>
          <w:rFonts w:eastAsia="仿宋_GB2312"/>
          <w:color w:val="000000" w:themeColor="text1"/>
          <w:sz w:val="32"/>
          <w:szCs w:val="32"/>
          <w14:textFill>
            <w14:solidFill>
              <w14:schemeClr w14:val="tx1"/>
            </w14:solidFill>
          </w14:textFill>
        </w:rPr>
        <w:t>疫情并组织扑灭。牵头管理外来</w:t>
      </w:r>
      <w:r>
        <w:rPr>
          <w:rFonts w:hint="eastAsia" w:eastAsia="仿宋_GB2312"/>
          <w:color w:val="000000" w:themeColor="text1"/>
          <w:sz w:val="32"/>
          <w:szCs w:val="32"/>
          <w14:textFill>
            <w14:solidFill>
              <w14:schemeClr w14:val="tx1"/>
            </w14:solidFill>
          </w14:textFill>
        </w:rPr>
        <w:t>有害</w:t>
      </w:r>
      <w:r>
        <w:rPr>
          <w:rFonts w:eastAsia="仿宋_GB2312"/>
          <w:color w:val="000000" w:themeColor="text1"/>
          <w:sz w:val="32"/>
          <w:szCs w:val="32"/>
          <w14:textFill>
            <w14:solidFill>
              <w14:schemeClr w14:val="tx1"/>
            </w14:solidFill>
          </w14:textFill>
        </w:rPr>
        <w:t>农业物种。监测、核查、上报农业灾情，</w:t>
      </w:r>
      <w:r>
        <w:rPr>
          <w:rFonts w:hint="eastAsia" w:eastAsia="仿宋_GB2312"/>
          <w:color w:val="000000" w:themeColor="text1"/>
          <w:sz w:val="32"/>
          <w:szCs w:val="32"/>
          <w14:textFill>
            <w14:solidFill>
              <w14:schemeClr w14:val="tx1"/>
            </w14:solidFill>
          </w14:textFill>
        </w:rPr>
        <w:t>组织</w:t>
      </w:r>
      <w:r>
        <w:rPr>
          <w:rFonts w:eastAsia="仿宋_GB2312"/>
          <w:color w:val="000000" w:themeColor="text1"/>
          <w:sz w:val="32"/>
          <w:szCs w:val="32"/>
          <w14:textFill>
            <w14:solidFill>
              <w14:schemeClr w14:val="tx1"/>
            </w14:solidFill>
          </w14:textFill>
        </w:rPr>
        <w:t>农业生产救灾物资的储备和调拨，提出生产救灾资金安排建议，指导紧急救灾和灾后生产恢复。</w:t>
      </w:r>
    </w:p>
    <w:p w14:paraId="5692FBC4">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（十四）负责全县农业投资管理，提出农业投融资体制机制</w:t>
      </w:r>
    </w:p>
    <w:p w14:paraId="5FD1762A">
      <w:pPr>
        <w:spacing w:line="578"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改革建议。负责提出农业投资规模和方向、扶持农业农村发展财政项目的建议。</w:t>
      </w:r>
      <w:r>
        <w:rPr>
          <w:rFonts w:hint="eastAsia" w:eastAsia="仿宋_GB2312"/>
          <w:color w:val="000000" w:themeColor="text1"/>
          <w:sz w:val="32"/>
          <w:szCs w:val="32"/>
          <w14:textFill>
            <w14:solidFill>
              <w14:schemeClr w14:val="tx1"/>
            </w14:solidFill>
          </w14:textFill>
        </w:rPr>
        <w:t>编报部门预算并组织执行。</w:t>
      </w:r>
      <w:r>
        <w:rPr>
          <w:rFonts w:eastAsia="仿宋_GB2312"/>
          <w:color w:val="000000" w:themeColor="text1"/>
          <w:sz w:val="32"/>
          <w:szCs w:val="32"/>
          <w14:textFill>
            <w14:solidFill>
              <w14:schemeClr w14:val="tx1"/>
            </w14:solidFill>
          </w14:textFill>
        </w:rPr>
        <w:t>组织实施农业综合开发有关项目；按规定权限审批农业投资项目，负责农业投资项目资金安排和监督管理。参与农业政策性补贴实施。</w:t>
      </w:r>
    </w:p>
    <w:p w14:paraId="01AF1742">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（十五）负责全县农田建设管理。拟订农田建设发展规划，</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提出农田建设项目需求建议。负责全县高标准农田建设和耕地质量管理。编制农业综合开发项目</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农田整治项目、农田水利建设项目计划并组织实施和管理。</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 xml:space="preserve">    （十六）牵头开展全县农业对外合作工作。承办政府间农业</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涉外事务，参与拟订农业对外开放政策和外向型农业发展规划，</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指导外向型农业发展。组织开展农业贸易促进和农业投资促进活动，推动农业开放合作。</w:t>
      </w:r>
    </w:p>
    <w:p w14:paraId="351BE4F7">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十七</w:t>
      </w:r>
      <w:r>
        <w:rPr>
          <w:rFonts w:eastAsia="仿宋_GB2312"/>
          <w:color w:val="000000" w:themeColor="text1"/>
          <w:sz w:val="32"/>
          <w:szCs w:val="32"/>
          <w14:textFill>
            <w14:solidFill>
              <w14:schemeClr w14:val="tx1"/>
            </w14:solidFill>
          </w14:textFill>
        </w:rPr>
        <w:t>）推进农业依法行政。负责</w:t>
      </w:r>
      <w:r>
        <w:rPr>
          <w:rFonts w:hint="eastAsia" w:eastAsia="仿宋_GB2312"/>
          <w:color w:val="000000" w:themeColor="text1"/>
          <w:sz w:val="32"/>
          <w:szCs w:val="32"/>
          <w14:textFill>
            <w14:solidFill>
              <w14:schemeClr w14:val="tx1"/>
            </w14:solidFill>
          </w14:textFill>
        </w:rPr>
        <w:t>全</w:t>
      </w:r>
      <w:r>
        <w:rPr>
          <w:rFonts w:eastAsia="仿宋_GB2312"/>
          <w:color w:val="000000" w:themeColor="text1"/>
          <w:sz w:val="32"/>
          <w:szCs w:val="32"/>
          <w14:textFill>
            <w14:solidFill>
              <w14:schemeClr w14:val="tx1"/>
            </w14:solidFill>
          </w14:textFill>
        </w:rPr>
        <w:t>县涉农违法案件</w:t>
      </w:r>
      <w:r>
        <w:rPr>
          <w:rFonts w:hint="eastAsia" w:eastAsia="仿宋_GB2312"/>
          <w:color w:val="000000" w:themeColor="text1"/>
          <w:sz w:val="32"/>
          <w:szCs w:val="32"/>
          <w14:textFill>
            <w14:solidFill>
              <w14:schemeClr w14:val="tx1"/>
            </w14:solidFill>
          </w14:textFill>
        </w:rPr>
        <w:t>的查处</w:t>
      </w:r>
      <w:r>
        <w:rPr>
          <w:rFonts w:eastAsia="仿宋_GB2312"/>
          <w:color w:val="000000" w:themeColor="text1"/>
          <w:sz w:val="32"/>
          <w:szCs w:val="32"/>
          <w14:textFill>
            <w14:solidFill>
              <w14:schemeClr w14:val="tx1"/>
            </w14:solidFill>
          </w14:textFill>
        </w:rPr>
        <w:t>和</w:t>
      </w:r>
      <w:r>
        <w:rPr>
          <w:rFonts w:hint="eastAsia" w:eastAsia="仿宋_GB2312"/>
          <w:color w:val="000000" w:themeColor="text1"/>
          <w:sz w:val="32"/>
          <w:szCs w:val="32"/>
          <w14:textFill>
            <w14:solidFill>
              <w14:schemeClr w14:val="tx1"/>
            </w14:solidFill>
          </w14:textFill>
        </w:rPr>
        <w:t>协调</w:t>
      </w:r>
      <w:r>
        <w:rPr>
          <w:rFonts w:eastAsia="仿宋_GB2312"/>
          <w:color w:val="000000" w:themeColor="text1"/>
          <w:sz w:val="32"/>
          <w:szCs w:val="32"/>
          <w14:textFill>
            <w14:solidFill>
              <w14:schemeClr w14:val="tx1"/>
            </w14:solidFill>
          </w14:textFill>
        </w:rPr>
        <w:t>跨区域执法工作</w:t>
      </w:r>
      <w:r>
        <w:rPr>
          <w:rFonts w:hint="eastAsia" w:eastAsia="仿宋_GB2312"/>
          <w:color w:val="000000" w:themeColor="text1"/>
          <w:sz w:val="32"/>
          <w:szCs w:val="32"/>
          <w14:textFill>
            <w14:solidFill>
              <w14:schemeClr w14:val="tx1"/>
            </w14:solidFill>
          </w14:textFill>
        </w:rPr>
        <w:t>。</w:t>
      </w:r>
    </w:p>
    <w:p w14:paraId="0A2BB519">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w:t>
      </w:r>
      <w:r>
        <w:rPr>
          <w:rFonts w:hint="eastAsia" w:eastAsia="仿宋_GB2312"/>
          <w:color w:val="000000" w:themeColor="text1"/>
          <w:sz w:val="32"/>
          <w:szCs w:val="32"/>
          <w14:textFill>
            <w14:solidFill>
              <w14:schemeClr w14:val="tx1"/>
            </w14:solidFill>
          </w14:textFill>
        </w:rPr>
        <w:t>八</w:t>
      </w:r>
      <w:r>
        <w:rPr>
          <w:rFonts w:eastAsia="仿宋_GB2312"/>
          <w:color w:val="000000" w:themeColor="text1"/>
          <w:sz w:val="32"/>
          <w:szCs w:val="32"/>
          <w14:textFill>
            <w14:solidFill>
              <w14:schemeClr w14:val="tx1"/>
            </w14:solidFill>
          </w14:textFill>
        </w:rPr>
        <w:t>）依法依规负责农业安全生产和职业健康监督管理工作。负责农业机械、农（兽）药、饲料、渔业、畜禽屠宰行业农村沼气</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农业园区</w:t>
      </w:r>
      <w:r>
        <w:rPr>
          <w:rFonts w:hint="eastAsia" w:eastAsia="仿宋_GB2312"/>
          <w:color w:val="000000" w:themeColor="text1"/>
          <w:sz w:val="32"/>
          <w:szCs w:val="32"/>
          <w14:textFill>
            <w14:solidFill>
              <w14:schemeClr w14:val="tx1"/>
            </w14:solidFill>
          </w14:textFill>
        </w:rPr>
        <w:t>等的</w:t>
      </w:r>
      <w:r>
        <w:rPr>
          <w:rFonts w:eastAsia="仿宋_GB2312"/>
          <w:color w:val="000000" w:themeColor="text1"/>
          <w:sz w:val="32"/>
          <w:szCs w:val="32"/>
          <w14:textFill>
            <w14:solidFill>
              <w14:schemeClr w14:val="tx1"/>
            </w14:solidFill>
          </w14:textFill>
        </w:rPr>
        <w:t>安全生产和职业健康监督管理。负责制定职责范围内的安全生产年度监</w:t>
      </w:r>
      <w:r>
        <w:rPr>
          <w:rFonts w:hint="eastAsia" w:eastAsia="仿宋_GB2312"/>
          <w:color w:val="000000" w:themeColor="text1"/>
          <w:sz w:val="32"/>
          <w:szCs w:val="32"/>
          <w14:textFill>
            <w14:solidFill>
              <w14:schemeClr w14:val="tx1"/>
            </w14:solidFill>
          </w14:textFill>
        </w:rPr>
        <w:t>督</w:t>
      </w:r>
      <w:r>
        <w:rPr>
          <w:rFonts w:eastAsia="仿宋_GB2312"/>
          <w:color w:val="000000" w:themeColor="text1"/>
          <w:sz w:val="32"/>
          <w:szCs w:val="32"/>
          <w14:textFill>
            <w14:solidFill>
              <w14:schemeClr w14:val="tx1"/>
            </w14:solidFill>
          </w14:textFill>
        </w:rPr>
        <w:t>检查计划并组织实施。</w:t>
      </w:r>
    </w:p>
    <w:p w14:paraId="49CF30A3">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十九</w:t>
      </w:r>
      <w:r>
        <w:rPr>
          <w:rFonts w:eastAsia="仿宋_GB2312"/>
          <w:color w:val="000000" w:themeColor="text1"/>
          <w:sz w:val="32"/>
          <w:szCs w:val="32"/>
          <w14:textFill>
            <w14:solidFill>
              <w14:schemeClr w14:val="tx1"/>
            </w14:solidFill>
          </w14:textFill>
        </w:rPr>
        <w:t>）负责职责</w:t>
      </w:r>
      <w:r>
        <w:rPr>
          <w:rFonts w:hint="eastAsia" w:eastAsia="仿宋_GB2312"/>
          <w:color w:val="000000" w:themeColor="text1"/>
          <w:sz w:val="32"/>
          <w:szCs w:val="32"/>
          <w:lang w:eastAsia="zh-CN"/>
          <w14:textFill>
            <w14:solidFill>
              <w14:schemeClr w14:val="tx1"/>
            </w14:solidFill>
          </w14:textFill>
        </w:rPr>
        <w:t>范围</w:t>
      </w:r>
      <w:r>
        <w:rPr>
          <w:rFonts w:eastAsia="仿宋_GB2312"/>
          <w:color w:val="000000" w:themeColor="text1"/>
          <w:sz w:val="32"/>
          <w:szCs w:val="32"/>
          <w14:textFill>
            <w14:solidFill>
              <w14:schemeClr w14:val="tx1"/>
            </w14:solidFill>
          </w14:textFill>
        </w:rPr>
        <w:t>内的生态环境保护、审批服务便民化等工作。</w:t>
      </w:r>
    </w:p>
    <w:p w14:paraId="2C89ABAB">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（二十）完成县委、县政府交办的其他任务</w:t>
      </w:r>
    </w:p>
    <w:p w14:paraId="388B796B">
      <w:pPr>
        <w:pStyle w:val="5"/>
        <w:rPr>
          <w:rStyle w:val="29"/>
          <w:b w:val="0"/>
          <w:bCs w:val="0"/>
          <w:color w:val="000000" w:themeColor="text1"/>
          <w14:textFill>
            <w14:solidFill>
              <w14:schemeClr w14:val="tx1"/>
            </w14:solidFill>
          </w14:textFill>
        </w:rPr>
      </w:pPr>
      <w:r>
        <w:rPr>
          <w:rFonts w:hint="eastAsia" w:ascii="黑体" w:eastAsia="黑体"/>
          <w:b w:val="0"/>
          <w:color w:val="000000" w:themeColor="text1"/>
          <w14:textFill>
            <w14:solidFill>
              <w14:schemeClr w14:val="tx1"/>
            </w14:solidFill>
          </w14:textFill>
        </w:rPr>
        <w:t>二、</w:t>
      </w:r>
      <w:r>
        <w:rPr>
          <w:rFonts w:hint="eastAsia" w:ascii="黑体" w:hAnsi="黑体" w:eastAsia="黑体"/>
          <w:b w:val="0"/>
          <w:color w:val="000000" w:themeColor="text1"/>
          <w14:textFill>
            <w14:solidFill>
              <w14:schemeClr w14:val="tx1"/>
            </w14:solidFill>
          </w14:textFill>
        </w:rPr>
        <w:t>机</w:t>
      </w:r>
      <w:r>
        <w:rPr>
          <w:rStyle w:val="29"/>
          <w:rFonts w:hint="eastAsia" w:ascii="黑体" w:hAnsi="黑体" w:eastAsia="黑体"/>
          <w:b w:val="0"/>
          <w:bCs w:val="0"/>
          <w:color w:val="000000" w:themeColor="text1"/>
          <w14:textFill>
            <w14:solidFill>
              <w14:schemeClr w14:val="tx1"/>
            </w14:solidFill>
          </w14:textFill>
        </w:rPr>
        <w:t>构设置</w:t>
      </w:r>
      <w:bookmarkEnd w:id="18"/>
      <w:bookmarkEnd w:id="19"/>
    </w:p>
    <w:p w14:paraId="59BDBD7C">
      <w:pPr>
        <w:spacing w:line="578" w:lineRule="exact"/>
        <w:ind w:firstLine="640" w:firstLineChars="200"/>
        <w:rPr>
          <w:rFonts w:eastAsia="仿宋_GB2312"/>
          <w:color w:val="000000" w:themeColor="text1"/>
          <w:sz w:val="32"/>
          <w:szCs w:val="32"/>
          <w14:textFill>
            <w14:solidFill>
              <w14:schemeClr w14:val="tx1"/>
            </w14:solidFill>
          </w14:textFill>
        </w:rPr>
      </w:pPr>
      <w:bookmarkStart w:id="20" w:name="_Toc15377204"/>
      <w:bookmarkStart w:id="21" w:name="_Toc15396602"/>
      <w:r>
        <w:rPr>
          <w:rFonts w:eastAsia="仿宋_GB2312"/>
          <w:color w:val="000000" w:themeColor="text1"/>
          <w:sz w:val="32"/>
          <w:szCs w:val="32"/>
          <w14:textFill>
            <w14:solidFill>
              <w14:schemeClr w14:val="tx1"/>
            </w14:solidFill>
          </w14:textFill>
        </w:rPr>
        <w:t>县科技农牧局设下列内设机构：</w:t>
      </w:r>
    </w:p>
    <w:p w14:paraId="5F1B200D">
      <w:pPr>
        <w:spacing w:line="578"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（一）</w:t>
      </w:r>
      <w:r>
        <w:rPr>
          <w:rFonts w:hint="eastAsia" w:eastAsia="楷体_GB2312"/>
          <w:b/>
          <w:bCs/>
          <w:color w:val="000000" w:themeColor="text1"/>
          <w:sz w:val="32"/>
          <w:szCs w:val="32"/>
          <w14:textFill>
            <w14:solidFill>
              <w14:schemeClr w14:val="tx1"/>
            </w14:solidFill>
          </w14:textFill>
        </w:rPr>
        <w:t>办公室</w:t>
      </w:r>
      <w:r>
        <w:rPr>
          <w:rFonts w:eastAsia="楷体_GB2312"/>
          <w:b/>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负责局机关文电、会务、档案、机要等日常运转工作；负责全局网络建设、后勤管理等工作；承担综合性文件、报告、调研、信息、保密、信访、政务公开、新闻宣传</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专业技术人员职称评聘、考核及管理等工作，组织办理人大代表建议、政协委员提案，协调农业行业安全生产工作。</w:t>
      </w:r>
    </w:p>
    <w:p w14:paraId="2EA9830B">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负责部门预算并组织执行；做好行政经费、事业经费和项目专项经费的管理、使用、财务审计、监督以及各种财务报表及固定资产管理工作</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负责局机关和下属事业单位的工资调整、绩效管理等工作</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参与农业政策性补贴实施。</w:t>
      </w:r>
    </w:p>
    <w:p w14:paraId="3814FB30">
      <w:pPr>
        <w:spacing w:line="578" w:lineRule="exact"/>
        <w:ind w:firstLine="643" w:firstLineChars="200"/>
        <w:rPr>
          <w:rFonts w:eastAsia="仿宋_GB2312"/>
          <w:color w:val="000000" w:themeColor="text1"/>
          <w:sz w:val="32"/>
          <w:szCs w:val="32"/>
          <w:shd w:val="clear" w:color="auto" w:fill="FFFFFF"/>
          <w14:textFill>
            <w14:solidFill>
              <w14:schemeClr w14:val="tx1"/>
            </w14:solidFill>
          </w14:textFill>
        </w:rPr>
      </w:pPr>
      <w:r>
        <w:rPr>
          <w:rFonts w:eastAsia="楷体_GB2312"/>
          <w:b/>
          <w:bCs/>
          <w:color w:val="000000" w:themeColor="text1"/>
          <w:sz w:val="32"/>
          <w:szCs w:val="32"/>
          <w14:textFill>
            <w14:solidFill>
              <w14:schemeClr w14:val="tx1"/>
            </w14:solidFill>
          </w14:textFill>
        </w:rPr>
        <w:t>（二）</w:t>
      </w:r>
      <w:r>
        <w:rPr>
          <w:rFonts w:hint="eastAsia" w:eastAsia="楷体_GB2312"/>
          <w:b/>
          <w:bCs/>
          <w:color w:val="000000" w:themeColor="text1"/>
          <w:sz w:val="32"/>
          <w:szCs w:val="32"/>
          <w:lang w:eastAsia="zh-CN"/>
          <w14:textFill>
            <w14:solidFill>
              <w14:schemeClr w14:val="tx1"/>
            </w14:solidFill>
          </w14:textFill>
        </w:rPr>
        <w:t>科学技术</w:t>
      </w:r>
      <w:r>
        <w:rPr>
          <w:rFonts w:eastAsia="楷体_GB2312"/>
          <w:b/>
          <w:bCs/>
          <w:color w:val="000000" w:themeColor="text1"/>
          <w:sz w:val="32"/>
          <w:szCs w:val="32"/>
          <w14:textFill>
            <w14:solidFill>
              <w14:schemeClr w14:val="tx1"/>
            </w14:solidFill>
          </w14:textFill>
        </w:rPr>
        <w:t>股。</w:t>
      </w:r>
      <w:r>
        <w:rPr>
          <w:rFonts w:eastAsia="仿宋_GB2312"/>
          <w:color w:val="000000" w:themeColor="text1"/>
          <w:sz w:val="32"/>
          <w:szCs w:val="32"/>
          <w14:textFill>
            <w14:solidFill>
              <w14:schemeClr w14:val="tx1"/>
            </w14:solidFill>
          </w14:textFill>
        </w:rPr>
        <w:t>负责拟订科学技术、农业社会化服务体系、农业科技创新体系、农技推广体系建设规划并组织实施。承担科技人员和农牧民教育培训工作；组织申报和管理农业科技成果。会同有关主管部门依法实施农业农村人才专业技术资格和从业资格管理</w:t>
      </w:r>
      <w:r>
        <w:rPr>
          <w:rFonts w:hint="eastAsia" w:eastAsia="仿宋_GB2312"/>
          <w:color w:val="000000" w:themeColor="text1"/>
          <w:sz w:val="32"/>
          <w:szCs w:val="32"/>
          <w14:textFill>
            <w14:solidFill>
              <w14:schemeClr w14:val="tx1"/>
            </w14:solidFill>
          </w14:textFill>
        </w:rPr>
        <w:t>，负责农产品</w:t>
      </w:r>
      <w:r>
        <w:rPr>
          <w:rFonts w:eastAsia="仿宋_GB2312"/>
          <w:color w:val="000000" w:themeColor="text1"/>
          <w:sz w:val="32"/>
          <w:szCs w:val="32"/>
          <w14:textFill>
            <w14:solidFill>
              <w14:schemeClr w14:val="tx1"/>
            </w14:solidFill>
          </w14:textFill>
        </w:rPr>
        <w:t>市场拓展、农业对外交流合作和信息化工作</w:t>
      </w:r>
      <w:r>
        <w:rPr>
          <w:rFonts w:hint="eastAsia" w:eastAsia="仿宋_GB2312"/>
          <w:color w:val="000000" w:themeColor="text1"/>
          <w:sz w:val="32"/>
          <w:szCs w:val="32"/>
          <w14:textFill>
            <w14:solidFill>
              <w14:schemeClr w14:val="tx1"/>
            </w14:solidFill>
          </w14:textFill>
        </w:rPr>
        <w:t>，承担科技和农业审批服务工作</w:t>
      </w:r>
      <w:r>
        <w:rPr>
          <w:rFonts w:eastAsia="仿宋_GB2312"/>
          <w:color w:val="000000" w:themeColor="text1"/>
          <w:sz w:val="32"/>
          <w:szCs w:val="32"/>
          <w14:textFill>
            <w14:solidFill>
              <w14:schemeClr w14:val="tx1"/>
            </w14:solidFill>
          </w14:textFill>
        </w:rPr>
        <w:t>。</w:t>
      </w:r>
    </w:p>
    <w:p w14:paraId="17F53123">
      <w:pPr>
        <w:spacing w:line="578" w:lineRule="exact"/>
        <w:ind w:firstLine="321" w:firstLineChars="100"/>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（三）</w:t>
      </w:r>
      <w:r>
        <w:rPr>
          <w:rFonts w:hint="eastAsia" w:eastAsia="楷体_GB2312"/>
          <w:b/>
          <w:bCs/>
          <w:color w:val="000000" w:themeColor="text1"/>
          <w:sz w:val="32"/>
          <w:szCs w:val="32"/>
          <w14:textFill>
            <w14:solidFill>
              <w14:schemeClr w14:val="tx1"/>
            </w14:solidFill>
          </w14:textFill>
        </w:rPr>
        <w:t>产业发展股</w:t>
      </w:r>
      <w:r>
        <w:rPr>
          <w:rFonts w:eastAsia="楷体_GB2312"/>
          <w:b/>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负责拟订乡村特色产业、农业加工业、休闲农业和乡镇企业发展规划并组织实施，承担农业现代产业园区建设工作，指导村庄整治、村容村貌提升，协调推动农村社会事业发展、公共服务体系建设和基础设施建设。</w:t>
      </w:r>
    </w:p>
    <w:p w14:paraId="346AD73E">
      <w:pPr>
        <w:spacing w:line="578" w:lineRule="exact"/>
        <w:ind w:firstLine="321" w:firstLineChars="100"/>
        <w:rPr>
          <w:rFonts w:ascii="仿宋_GB2312" w:hAnsi="仿宋_GB2312" w:eastAsia="仿宋_GB2312" w:cs="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w:t>
      </w:r>
      <w:r>
        <w:rPr>
          <w:rFonts w:hint="eastAsia" w:eastAsia="楷体_GB2312"/>
          <w:b/>
          <w:bCs/>
          <w:color w:val="000000" w:themeColor="text1"/>
          <w:sz w:val="32"/>
          <w:szCs w:val="32"/>
          <w14:textFill>
            <w14:solidFill>
              <w14:schemeClr w14:val="tx1"/>
            </w14:solidFill>
          </w14:textFill>
        </w:rPr>
        <w:t>四</w:t>
      </w:r>
      <w:r>
        <w:rPr>
          <w:rFonts w:eastAsia="楷体_GB2312"/>
          <w:b/>
          <w:bCs/>
          <w:color w:val="000000" w:themeColor="text1"/>
          <w:sz w:val="32"/>
          <w:szCs w:val="32"/>
          <w14:textFill>
            <w14:solidFill>
              <w14:schemeClr w14:val="tx1"/>
            </w14:solidFill>
          </w14:textFill>
        </w:rPr>
        <w:t>）农畜产品质量安全监管股。</w:t>
      </w:r>
      <w:r>
        <w:rPr>
          <w:rFonts w:eastAsia="仿宋_GB2312"/>
          <w:color w:val="000000" w:themeColor="text1"/>
          <w:sz w:val="32"/>
          <w:szCs w:val="32"/>
          <w14:textFill>
            <w14:solidFill>
              <w14:schemeClr w14:val="tx1"/>
            </w14:solidFill>
          </w14:textFill>
        </w:rPr>
        <w:t>负责编制农产品市场体系建设，承担农产品“三品一标”培育</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农产品质量安全监督管理工作，负责组织农产品地方标准的拟订，依法实施农产品生产（养殖）基地认定、产品认证和地理标志登记保护监督管理工作，负责无公害、绿色食品、有机食品和农产品地理标志建设和监督管理等工作，负责农产品质量安全风险评估和信息发布工作，组织开展农产品质量安全检验检测工作，参与实施质量强县工作和农产品示范县创建工作。</w:t>
      </w:r>
    </w:p>
    <w:p w14:paraId="01D042F7">
      <w:pPr>
        <w:spacing w:line="578" w:lineRule="exact"/>
        <w:ind w:firstLine="640"/>
        <w:rPr>
          <w:rFonts w:eastAsia="仿宋_GB2312"/>
          <w:color w:val="000000" w:themeColor="text1"/>
          <w:sz w:val="32"/>
          <w:szCs w:val="32"/>
          <w14:textFill>
            <w14:solidFill>
              <w14:schemeClr w14:val="tx1"/>
            </w14:solidFill>
          </w14:textFill>
        </w:rPr>
      </w:pPr>
    </w:p>
    <w:p w14:paraId="2DA59E40">
      <w:pPr>
        <w:pStyle w:val="4"/>
        <w:ind w:right="440"/>
        <w:jc w:val="left"/>
        <w:rPr>
          <w:rStyle w:val="28"/>
          <w:rFonts w:ascii="黑体" w:hAnsi="黑体" w:eastAsia="黑体"/>
          <w:b w:val="0"/>
          <w:bCs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第二部分</w:t>
      </w:r>
      <w:r>
        <w:rPr>
          <w:rStyle w:val="28"/>
          <w:rFonts w:hint="eastAsia" w:ascii="黑体" w:hAnsi="黑体" w:eastAsia="黑体"/>
          <w:b w:val="0"/>
          <w:bCs w:val="0"/>
          <w:color w:val="000000" w:themeColor="text1"/>
          <w14:textFill>
            <w14:solidFill>
              <w14:schemeClr w14:val="tx1"/>
            </w14:solidFill>
          </w14:textFill>
        </w:rPr>
        <w:t>2019年度部门决算情况说明</w:t>
      </w:r>
      <w:bookmarkEnd w:id="20"/>
      <w:bookmarkEnd w:id="21"/>
    </w:p>
    <w:p w14:paraId="45B4D0A6">
      <w:pPr>
        <w:rPr>
          <w:color w:val="000000" w:themeColor="text1"/>
          <w14:textFill>
            <w14:solidFill>
              <w14:schemeClr w14:val="tx1"/>
            </w14:solidFill>
          </w14:textFill>
        </w:rPr>
      </w:pPr>
    </w:p>
    <w:p w14:paraId="44B54127">
      <w:pPr>
        <w:pStyle w:val="27"/>
        <w:numPr>
          <w:ilvl w:val="0"/>
          <w:numId w:val="1"/>
        </w:numPr>
        <w:spacing w:line="600" w:lineRule="exact"/>
        <w:ind w:firstLineChars="0"/>
        <w:outlineLvl w:val="1"/>
        <w:rPr>
          <w:rStyle w:val="29"/>
          <w:rFonts w:ascii="黑体" w:hAnsi="黑体" w:eastAsia="黑体"/>
          <w:b w:val="0"/>
          <w:color w:val="000000" w:themeColor="text1"/>
          <w14:textFill>
            <w14:solidFill>
              <w14:schemeClr w14:val="tx1"/>
            </w14:solidFill>
          </w14:textFill>
        </w:rPr>
      </w:pPr>
      <w:bookmarkStart w:id="22" w:name="_Toc15396603"/>
      <w:bookmarkStart w:id="23" w:name="_Toc15377205"/>
      <w:r>
        <w:rPr>
          <w:rFonts w:hint="eastAsia" w:ascii="黑体" w:hAnsi="黑体" w:eastAsia="黑体"/>
          <w:color w:val="000000" w:themeColor="text1"/>
          <w:sz w:val="32"/>
          <w:szCs w:val="32"/>
          <w14:textFill>
            <w14:solidFill>
              <w14:schemeClr w14:val="tx1"/>
            </w14:solidFill>
          </w14:textFill>
        </w:rPr>
        <w:t>收</w:t>
      </w:r>
      <w:r>
        <w:rPr>
          <w:rStyle w:val="29"/>
          <w:rFonts w:hint="eastAsia" w:ascii="黑体" w:hAnsi="黑体" w:eastAsia="黑体"/>
          <w:b w:val="0"/>
          <w:color w:val="000000" w:themeColor="text1"/>
          <w14:textFill>
            <w14:solidFill>
              <w14:schemeClr w14:val="tx1"/>
            </w14:solidFill>
          </w14:textFill>
        </w:rPr>
        <w:t>入支出决算总体情况说明</w:t>
      </w:r>
      <w:bookmarkEnd w:id="22"/>
      <w:bookmarkEnd w:id="23"/>
    </w:p>
    <w:p w14:paraId="78914EA1">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2019年本年收入合计9384.88万元，其中：一般公共预算财政拨款收入9384.88万元，占100%；与2018年相比增加3054.96万元，增长33%；主要原因为人员、项目及预算增加。</w:t>
      </w:r>
    </w:p>
    <w:p w14:paraId="7982720B">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2019年松潘县本年支出合计9306.8万元，其中：基本支出3427.48万元，占37%；项目支出5879.3万元，占63%；与2018年相比，本年支出增加2691.57万元，增长29%；主要原因为人员、项目及预算增加。</w:t>
      </w:r>
    </w:p>
    <w:p w14:paraId="1C5DFE11">
      <w:pPr>
        <w:pStyle w:val="27"/>
        <w:numPr>
          <w:ilvl w:val="0"/>
          <w:numId w:val="1"/>
        </w:numPr>
        <w:spacing w:line="600" w:lineRule="exact"/>
        <w:ind w:firstLineChars="0"/>
        <w:outlineLvl w:val="1"/>
        <w:rPr>
          <w:rStyle w:val="29"/>
          <w:rFonts w:ascii="黑体" w:hAnsi="黑体" w:eastAsia="黑体"/>
          <w:b w:val="0"/>
          <w:color w:val="000000" w:themeColor="text1"/>
          <w14:textFill>
            <w14:solidFill>
              <w14:schemeClr w14:val="tx1"/>
            </w14:solidFill>
          </w14:textFill>
        </w:rPr>
      </w:pPr>
      <w:bookmarkStart w:id="24" w:name="_Toc15396604"/>
      <w:bookmarkStart w:id="25" w:name="_Toc15377206"/>
      <w:r>
        <w:rPr>
          <w:rFonts w:hint="eastAsia" w:ascii="黑体" w:hAnsi="黑体" w:eastAsia="黑体"/>
          <w:color w:val="000000" w:themeColor="text1"/>
          <w:sz w:val="32"/>
          <w:szCs w:val="32"/>
          <w14:textFill>
            <w14:solidFill>
              <w14:schemeClr w14:val="tx1"/>
            </w14:solidFill>
          </w14:textFill>
        </w:rPr>
        <w:t>收</w:t>
      </w:r>
      <w:r>
        <w:rPr>
          <w:rStyle w:val="29"/>
          <w:rFonts w:hint="eastAsia" w:ascii="黑体" w:hAnsi="黑体" w:eastAsia="黑体"/>
          <w:b w:val="0"/>
          <w:color w:val="000000" w:themeColor="text1"/>
          <w14:textFill>
            <w14:solidFill>
              <w14:schemeClr w14:val="tx1"/>
            </w14:solidFill>
          </w14:textFill>
        </w:rPr>
        <w:t>入决算情况说明</w:t>
      </w:r>
      <w:bookmarkEnd w:id="24"/>
      <w:bookmarkEnd w:id="25"/>
    </w:p>
    <w:p w14:paraId="5CE8A592">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2019年本年收入合计</w:t>
      </w:r>
      <w:r>
        <w:rPr>
          <w:rFonts w:hint="eastAsia" w:ascii="仿宋_GB2312" w:hAnsi="仿宋_GB2312" w:eastAsia="仿宋_GB2312" w:cs="仿宋_GB2312"/>
          <w:color w:val="000000" w:themeColor="text1"/>
          <w:sz w:val="32"/>
          <w:szCs w:val="32"/>
          <w14:textFill>
            <w14:solidFill>
              <w14:schemeClr w14:val="tx1"/>
            </w14:solidFill>
          </w14:textFill>
        </w:rPr>
        <w:t>9384.88</w:t>
      </w:r>
      <w:r>
        <w:rPr>
          <w:rFonts w:hint="eastAsia" w:ascii="仿宋" w:hAnsi="仿宋" w:eastAsia="仿宋"/>
          <w:color w:val="000000" w:themeColor="text1"/>
          <w:sz w:val="32"/>
          <w:szCs w:val="32"/>
          <w14:textFill>
            <w14:solidFill>
              <w14:schemeClr w14:val="tx1"/>
            </w14:solidFill>
          </w14:textFill>
        </w:rPr>
        <w:t>万元，其中：一般公共预算财政拨款收入</w:t>
      </w:r>
      <w:r>
        <w:rPr>
          <w:rFonts w:hint="eastAsia" w:ascii="仿宋_GB2312" w:hAnsi="仿宋_GB2312" w:eastAsia="仿宋_GB2312" w:cs="仿宋_GB2312"/>
          <w:color w:val="000000" w:themeColor="text1"/>
          <w:sz w:val="32"/>
          <w:szCs w:val="32"/>
          <w14:textFill>
            <w14:solidFill>
              <w14:schemeClr w14:val="tx1"/>
            </w14:solidFill>
          </w14:textFill>
        </w:rPr>
        <w:t>9384.88</w:t>
      </w:r>
      <w:r>
        <w:rPr>
          <w:rFonts w:hint="eastAsia" w:ascii="仿宋" w:hAnsi="仿宋" w:eastAsia="仿宋"/>
          <w:color w:val="000000" w:themeColor="text1"/>
          <w:sz w:val="32"/>
          <w:szCs w:val="32"/>
          <w14:textFill>
            <w14:solidFill>
              <w14:schemeClr w14:val="tx1"/>
            </w14:solidFill>
          </w14:textFill>
        </w:rPr>
        <w:t>万元，占100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；政府性基金预算财政拨款收入0万元，占0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6424B23F">
      <w:pPr>
        <w:pStyle w:val="27"/>
        <w:numPr>
          <w:ilvl w:val="0"/>
          <w:numId w:val="1"/>
        </w:numPr>
        <w:spacing w:line="600" w:lineRule="exact"/>
        <w:ind w:firstLineChars="0"/>
        <w:outlineLvl w:val="1"/>
        <w:rPr>
          <w:rStyle w:val="29"/>
          <w:rFonts w:ascii="黑体" w:hAnsi="黑体" w:eastAsia="黑体"/>
          <w:b w:val="0"/>
          <w:color w:val="000000" w:themeColor="text1"/>
          <w14:textFill>
            <w14:solidFill>
              <w14:schemeClr w14:val="tx1"/>
            </w14:solidFill>
          </w14:textFill>
        </w:rPr>
      </w:pPr>
      <w:bookmarkStart w:id="26" w:name="_Toc15377207"/>
      <w:bookmarkStart w:id="27" w:name="_Toc15396605"/>
      <w:r>
        <w:rPr>
          <w:rFonts w:hint="eastAsia" w:ascii="黑体" w:hAnsi="黑体" w:eastAsia="黑体"/>
          <w:color w:val="000000" w:themeColor="text1"/>
          <w:sz w:val="32"/>
          <w:szCs w:val="32"/>
          <w14:textFill>
            <w14:solidFill>
              <w14:schemeClr w14:val="tx1"/>
            </w14:solidFill>
          </w14:textFill>
        </w:rPr>
        <w:t>支</w:t>
      </w:r>
      <w:r>
        <w:rPr>
          <w:rStyle w:val="29"/>
          <w:rFonts w:hint="eastAsia" w:ascii="黑体" w:hAnsi="黑体" w:eastAsia="黑体"/>
          <w:b w:val="0"/>
          <w:color w:val="000000" w:themeColor="text1"/>
          <w14:textFill>
            <w14:solidFill>
              <w14:schemeClr w14:val="tx1"/>
            </w14:solidFill>
          </w14:textFill>
        </w:rPr>
        <w:t>出决算情况说明</w:t>
      </w:r>
      <w:bookmarkEnd w:id="26"/>
      <w:bookmarkEnd w:id="27"/>
    </w:p>
    <w:p w14:paraId="6ED6FD6A">
      <w:pPr>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2019年本年支出合计</w:t>
      </w:r>
      <w:r>
        <w:rPr>
          <w:rFonts w:hint="eastAsia" w:ascii="仿宋_GB2312" w:hAnsi="仿宋_GB2312" w:eastAsia="仿宋_GB2312" w:cs="仿宋_GB2312"/>
          <w:color w:val="000000" w:themeColor="text1"/>
          <w:sz w:val="32"/>
          <w:szCs w:val="32"/>
          <w14:textFill>
            <w14:solidFill>
              <w14:schemeClr w14:val="tx1"/>
            </w14:solidFill>
          </w14:textFill>
        </w:rPr>
        <w:t>9306.8</w:t>
      </w:r>
      <w:r>
        <w:rPr>
          <w:rFonts w:hint="eastAsia" w:ascii="仿宋" w:hAnsi="仿宋" w:eastAsia="仿宋"/>
          <w:color w:val="000000" w:themeColor="text1"/>
          <w:sz w:val="32"/>
          <w:szCs w:val="32"/>
          <w14:textFill>
            <w14:solidFill>
              <w14:schemeClr w14:val="tx1"/>
            </w14:solidFill>
          </w14:textFill>
        </w:rPr>
        <w:t>万元，其中：基本支出</w:t>
      </w:r>
      <w:r>
        <w:rPr>
          <w:rFonts w:hint="eastAsia" w:ascii="仿宋_GB2312" w:hAnsi="仿宋_GB2312" w:eastAsia="仿宋_GB2312" w:cs="仿宋_GB2312"/>
          <w:color w:val="000000" w:themeColor="text1"/>
          <w:sz w:val="32"/>
          <w:szCs w:val="32"/>
          <w14:textFill>
            <w14:solidFill>
              <w14:schemeClr w14:val="tx1"/>
            </w14:solidFill>
          </w14:textFill>
        </w:rPr>
        <w:t>3427.48</w:t>
      </w:r>
      <w:r>
        <w:rPr>
          <w:rFonts w:hint="eastAsia" w:ascii="仿宋" w:hAnsi="仿宋" w:eastAsia="仿宋"/>
          <w:color w:val="000000" w:themeColor="text1"/>
          <w:sz w:val="32"/>
          <w:szCs w:val="32"/>
          <w14:textFill>
            <w14:solidFill>
              <w14:schemeClr w14:val="tx1"/>
            </w14:solidFill>
          </w14:textFill>
        </w:rPr>
        <w:t>万元，占37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sz w:val="32"/>
          <w:szCs w:val="32"/>
          <w14:textFill>
            <w14:solidFill>
              <w14:schemeClr w14:val="tx1"/>
            </w14:solidFill>
          </w14:textFill>
        </w:rPr>
        <w:t>5879.3</w:t>
      </w:r>
      <w:r>
        <w:rPr>
          <w:rFonts w:hint="eastAsia" w:ascii="仿宋" w:hAnsi="仿宋" w:eastAsia="仿宋"/>
          <w:color w:val="000000" w:themeColor="text1"/>
          <w:sz w:val="32"/>
          <w:szCs w:val="32"/>
          <w14:textFill>
            <w14:solidFill>
              <w14:schemeClr w14:val="tx1"/>
            </w14:solidFill>
          </w14:textFill>
        </w:rPr>
        <w:t>万元，占63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48C4C63D">
      <w:pPr>
        <w:spacing w:line="600" w:lineRule="exact"/>
        <w:ind w:firstLine="640" w:firstLineChars="200"/>
        <w:outlineLvl w:val="1"/>
        <w:rPr>
          <w:rStyle w:val="29"/>
          <w:rFonts w:ascii="黑体" w:hAnsi="黑体" w:eastAsia="黑体"/>
          <w:b w:val="0"/>
          <w:color w:val="000000" w:themeColor="text1"/>
          <w14:textFill>
            <w14:solidFill>
              <w14:schemeClr w14:val="tx1"/>
            </w14:solidFill>
          </w14:textFill>
        </w:rPr>
      </w:pPr>
      <w:bookmarkStart w:id="28" w:name="_Toc15396606"/>
      <w:bookmarkStart w:id="29" w:name="_Toc15377208"/>
      <w:r>
        <w:rPr>
          <w:rFonts w:hint="eastAsia" w:ascii="黑体" w:hAnsi="黑体" w:eastAsia="黑体"/>
          <w:color w:val="000000" w:themeColor="text1"/>
          <w:sz w:val="32"/>
          <w:szCs w:val="32"/>
          <w14:textFill>
            <w14:solidFill>
              <w14:schemeClr w14:val="tx1"/>
            </w14:solidFill>
          </w14:textFill>
        </w:rPr>
        <w:t>四、财</w:t>
      </w:r>
      <w:r>
        <w:rPr>
          <w:rStyle w:val="29"/>
          <w:rFonts w:hint="eastAsia" w:ascii="黑体" w:hAnsi="黑体" w:eastAsia="黑体"/>
          <w:b w:val="0"/>
          <w:color w:val="000000" w:themeColor="text1"/>
          <w14:textFill>
            <w14:solidFill>
              <w14:schemeClr w14:val="tx1"/>
            </w14:solidFill>
          </w14:textFill>
        </w:rPr>
        <w:t>政拨款收入支出决算总体情况说明</w:t>
      </w:r>
      <w:bookmarkEnd w:id="28"/>
      <w:bookmarkEnd w:id="29"/>
    </w:p>
    <w:p w14:paraId="3FF60061">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2019年松潘县本年收入合计9384.88万元，其中：一般公共预算财政拨款收入9384.88万元，占100%；与2018年相比增加3054.96万元，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增加</w:t>
      </w:r>
      <w:r>
        <w:rPr>
          <w:rFonts w:hint="eastAsia" w:ascii="仿宋_GB2312" w:hAnsi="仿宋_GB2312" w:eastAsia="仿宋_GB2312" w:cs="仿宋_GB2312"/>
          <w:color w:val="000000" w:themeColor="text1"/>
          <w:sz w:val="32"/>
          <w:szCs w:val="32"/>
          <w14:textFill>
            <w14:solidFill>
              <w14:schemeClr w14:val="tx1"/>
            </w14:solidFill>
          </w14:textFill>
        </w:rPr>
        <w:t>33%；主要原因为人员、项目及预算增加。</w:t>
      </w:r>
    </w:p>
    <w:p w14:paraId="5B796A7E">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30" w:name="_Toc15396607"/>
      <w:bookmarkStart w:id="31" w:name="_Toc15377209"/>
      <w:r>
        <w:rPr>
          <w:rFonts w:hint="eastAsia" w:ascii="仿宋_GB2312" w:hAnsi="仿宋_GB2312" w:eastAsia="仿宋_GB2312" w:cs="仿宋_GB2312"/>
          <w:color w:val="000000" w:themeColor="text1"/>
          <w:sz w:val="32"/>
          <w:szCs w:val="32"/>
          <w14:textFill>
            <w14:solidFill>
              <w14:schemeClr w14:val="tx1"/>
            </w14:solidFill>
          </w14:textFill>
        </w:rPr>
        <w:t>2019年松潘县本年支出合计9306.8万元，其中：基本支出3427.48万元，占37%；项目支出5879.3万元，占63%；与2018年相比，本年支出增加4372.51万元，增长47%；主要原因为人员、项目及预算增加。</w:t>
      </w:r>
    </w:p>
    <w:p w14:paraId="5BF75B22">
      <w:pPr>
        <w:spacing w:line="600" w:lineRule="exact"/>
        <w:ind w:firstLine="640" w:firstLineChars="200"/>
        <w:outlineLvl w:val="1"/>
        <w:rPr>
          <w:rStyle w:val="29"/>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29"/>
          <w:rFonts w:hint="eastAsia" w:ascii="黑体" w:hAnsi="黑体" w:eastAsia="黑体"/>
          <w:b w:val="0"/>
          <w:color w:val="000000" w:themeColor="text1"/>
          <w14:textFill>
            <w14:solidFill>
              <w14:schemeClr w14:val="tx1"/>
            </w14:solidFill>
          </w14:textFill>
        </w:rPr>
        <w:t>般公共预算财政拨款支出决算情况说明</w:t>
      </w:r>
      <w:bookmarkEnd w:id="30"/>
      <w:bookmarkEnd w:id="31"/>
    </w:p>
    <w:p w14:paraId="3B700EC1">
      <w:pP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32" w:name="_Toc15377210"/>
      <w:r>
        <w:rPr>
          <w:rFonts w:hint="eastAsia" w:ascii="仿宋" w:hAnsi="仿宋" w:eastAsia="仿宋"/>
          <w:b/>
          <w:color w:val="000000" w:themeColor="text1"/>
          <w:sz w:val="32"/>
          <w:szCs w:val="32"/>
          <w14:textFill>
            <w14:solidFill>
              <w14:schemeClr w14:val="tx1"/>
            </w14:solidFill>
          </w14:textFill>
        </w:rPr>
        <w:t>（一）一般公共预算财政拨款支出决算总体情况</w:t>
      </w:r>
      <w:bookmarkEnd w:id="32"/>
    </w:p>
    <w:p w14:paraId="54F2CF10">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2019年一般公共预算财政拨款支出</w:t>
      </w:r>
      <w:r>
        <w:rPr>
          <w:rFonts w:hint="eastAsia" w:ascii="仿宋_GB2312" w:hAnsi="仿宋_GB2312" w:eastAsia="仿宋_GB2312" w:cs="仿宋_GB2312"/>
          <w:color w:val="000000" w:themeColor="text1"/>
          <w:sz w:val="32"/>
          <w:szCs w:val="32"/>
          <w14:textFill>
            <w14:solidFill>
              <w14:schemeClr w14:val="tx1"/>
            </w14:solidFill>
          </w14:textFill>
        </w:rPr>
        <w:t>9306.8</w:t>
      </w:r>
      <w:r>
        <w:rPr>
          <w:rFonts w:hint="eastAsia" w:ascii="仿宋" w:hAnsi="仿宋" w:eastAsia="仿宋"/>
          <w:color w:val="000000" w:themeColor="text1"/>
          <w:sz w:val="32"/>
          <w:szCs w:val="32"/>
          <w14:textFill>
            <w14:solidFill>
              <w14:schemeClr w14:val="tx1"/>
            </w14:solidFill>
          </w14:textFill>
        </w:rPr>
        <w:t>万元，占本年支出合计的100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。与2018年相比，一般公共预算财政拨款增加</w:t>
      </w:r>
      <w:r>
        <w:rPr>
          <w:rFonts w:hint="eastAsia" w:ascii="仿宋_GB2312" w:hAnsi="仿宋_GB2312" w:eastAsia="仿宋_GB2312" w:cs="仿宋_GB2312"/>
          <w:color w:val="000000" w:themeColor="text1"/>
          <w:sz w:val="32"/>
          <w:szCs w:val="32"/>
          <w14:textFill>
            <w14:solidFill>
              <w14:schemeClr w14:val="tx1"/>
            </w14:solidFill>
          </w14:textFill>
        </w:rPr>
        <w:t>4372.51万元，增长47%，</w:t>
      </w:r>
      <w:r>
        <w:rPr>
          <w:rFonts w:hint="eastAsia" w:ascii="仿宋" w:hAnsi="仿宋" w:eastAsia="仿宋"/>
          <w:color w:val="000000" w:themeColor="text1"/>
          <w:sz w:val="32"/>
          <w:szCs w:val="32"/>
          <w14:textFill>
            <w14:solidFill>
              <w14:schemeClr w14:val="tx1"/>
            </w14:solidFill>
          </w14:textFill>
        </w:rPr>
        <w:t>主要变动原因人员</w:t>
      </w:r>
      <w:r>
        <w:rPr>
          <w:rFonts w:hint="eastAsia" w:ascii="仿宋_GB2312" w:hAnsi="仿宋_GB2312" w:eastAsia="仿宋_GB2312" w:cs="仿宋_GB2312"/>
          <w:color w:val="000000" w:themeColor="text1"/>
          <w:sz w:val="32"/>
          <w:szCs w:val="32"/>
          <w14:textFill>
            <w14:solidFill>
              <w14:schemeClr w14:val="tx1"/>
            </w14:solidFill>
          </w14:textFill>
        </w:rPr>
        <w:t>项目及预算增加。</w:t>
      </w:r>
      <w:bookmarkStart w:id="33" w:name="_Toc15377211"/>
    </w:p>
    <w:p w14:paraId="01FE8790">
      <w:pPr>
        <w:spacing w:line="600" w:lineRule="exact"/>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（二）一般公共预算财政拨款支出决算结构情况</w:t>
      </w:r>
      <w:bookmarkEnd w:id="33"/>
    </w:p>
    <w:p w14:paraId="1CA33E43">
      <w:pPr>
        <w:spacing w:line="600" w:lineRule="exact"/>
        <w:ind w:firstLine="640"/>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2019年一般公共预算财政拨款支出</w:t>
      </w:r>
      <w:r>
        <w:rPr>
          <w:rFonts w:hint="eastAsia" w:ascii="仿宋_GB2312" w:hAnsi="仿宋_GB2312" w:eastAsia="仿宋_GB2312" w:cs="仿宋_GB2312"/>
          <w:color w:val="000000" w:themeColor="text1"/>
          <w:sz w:val="32"/>
          <w:szCs w:val="32"/>
          <w14:textFill>
            <w14:solidFill>
              <w14:schemeClr w14:val="tx1"/>
            </w14:solidFill>
          </w14:textFill>
        </w:rPr>
        <w:t>9306.8</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支出0万元</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科学技术支出（类）</w:t>
      </w:r>
      <w:r>
        <w:rPr>
          <w:rFonts w:hint="eastAsia" w:ascii="仿宋" w:hAnsi="仿宋" w:eastAsia="仿宋"/>
          <w:color w:val="000000" w:themeColor="text1"/>
          <w:sz w:val="32"/>
          <w:szCs w:val="32"/>
          <w14:textFill>
            <w14:solidFill>
              <w14:schemeClr w14:val="tx1"/>
            </w14:solidFill>
          </w14:textFill>
        </w:rPr>
        <w:t>1033.47万元，占11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b/>
          <w:bCs/>
          <w:color w:val="000000" w:themeColor="text1"/>
          <w:sz w:val="32"/>
          <w:szCs w:val="32"/>
          <w14:textFill>
            <w14:solidFill>
              <w14:schemeClr w14:val="tx1"/>
            </w14:solidFill>
          </w14:textFill>
        </w:rPr>
        <w:t>309.3</w:t>
      </w:r>
      <w:r>
        <w:rPr>
          <w:rFonts w:hint="eastAsia" w:ascii="仿宋" w:hAnsi="仿宋" w:eastAsia="仿宋"/>
          <w:color w:val="000000" w:themeColor="text1"/>
          <w:sz w:val="32"/>
          <w:szCs w:val="32"/>
          <w14:textFill>
            <w14:solidFill>
              <w14:schemeClr w14:val="tx1"/>
            </w14:solidFill>
          </w14:textFill>
        </w:rPr>
        <w:t>万元，占3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医疗卫生支出</w:t>
      </w:r>
      <w:r>
        <w:rPr>
          <w:rFonts w:hint="eastAsia" w:ascii="仿宋" w:hAnsi="仿宋" w:eastAsia="仿宋"/>
          <w:b/>
          <w:color w:val="000000" w:themeColor="text1"/>
          <w:sz w:val="32"/>
          <w:szCs w:val="32"/>
          <w14:textFill>
            <w14:solidFill>
              <w14:schemeClr w14:val="tx1"/>
            </w14:solidFill>
          </w14:textFill>
        </w:rPr>
        <w:t>（类）179.26</w:t>
      </w:r>
      <w:r>
        <w:rPr>
          <w:rFonts w:hint="eastAsia" w:ascii="仿宋" w:hAnsi="仿宋" w:eastAsia="仿宋"/>
          <w:color w:val="000000" w:themeColor="text1"/>
          <w:sz w:val="32"/>
          <w:szCs w:val="32"/>
          <w14:textFill>
            <w14:solidFill>
              <w14:schemeClr w14:val="tx1"/>
            </w14:solidFill>
          </w14:textFill>
        </w:rPr>
        <w:t>万元，占2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节能环保（类）2281.52万元，</w:t>
      </w:r>
      <w:r>
        <w:rPr>
          <w:rFonts w:hint="eastAsia" w:ascii="仿宋" w:hAnsi="仿宋" w:eastAsia="仿宋"/>
          <w:color w:val="000000" w:themeColor="text1"/>
          <w:sz w:val="32"/>
          <w:szCs w:val="32"/>
          <w14:textFill>
            <w14:solidFill>
              <w14:schemeClr w14:val="tx1"/>
            </w14:solidFill>
          </w14:textFill>
        </w:rPr>
        <w:t>占25%；</w:t>
      </w:r>
      <w:r>
        <w:rPr>
          <w:rFonts w:hint="eastAsia" w:ascii="仿宋" w:hAnsi="仿宋" w:eastAsia="仿宋"/>
          <w:b/>
          <w:color w:val="000000" w:themeColor="text1"/>
          <w:sz w:val="32"/>
          <w:szCs w:val="32"/>
          <w14:textFill>
            <w14:solidFill>
              <w14:schemeClr w14:val="tx1"/>
            </w14:solidFill>
          </w14:textFill>
        </w:rPr>
        <w:t>城乡社区支出</w:t>
      </w:r>
      <w:r>
        <w:rPr>
          <w:rFonts w:hint="eastAsia" w:ascii="仿宋" w:hAnsi="仿宋" w:eastAsia="仿宋"/>
          <w:b/>
          <w:bCs/>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 xml:space="preserve">占 </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b/>
          <w:color w:val="000000" w:themeColor="text1"/>
          <w:sz w:val="32"/>
          <w:szCs w:val="32"/>
          <w14:textFill>
            <w14:solidFill>
              <w14:schemeClr w14:val="tx1"/>
            </w14:solidFill>
          </w14:textFill>
        </w:rPr>
        <w:t>（类）291.03</w:t>
      </w:r>
      <w:r>
        <w:rPr>
          <w:rFonts w:hint="eastAsia" w:ascii="仿宋" w:hAnsi="仿宋" w:eastAsia="仿宋"/>
          <w:color w:val="000000" w:themeColor="text1"/>
          <w:sz w:val="32"/>
          <w:szCs w:val="32"/>
          <w14:textFill>
            <w14:solidFill>
              <w14:schemeClr w14:val="tx1"/>
            </w14:solidFill>
          </w14:textFill>
        </w:rPr>
        <w:t>万元，占3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农林水支出5212.22万元，</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占56%。</w:t>
      </w:r>
    </w:p>
    <w:p w14:paraId="3D98447E">
      <w:pPr>
        <w:spacing w:line="600" w:lineRule="exact"/>
        <w:ind w:firstLine="643" w:firstLineChars="200"/>
        <w:outlineLvl w:val="2"/>
        <w:rPr>
          <w:rFonts w:ascii="仿宋" w:hAnsi="仿宋" w:eastAsia="仿宋"/>
          <w:b/>
          <w:color w:val="000000" w:themeColor="text1"/>
          <w:sz w:val="32"/>
          <w:szCs w:val="32"/>
          <w14:textFill>
            <w14:solidFill>
              <w14:schemeClr w14:val="tx1"/>
            </w14:solidFill>
          </w14:textFill>
        </w:rPr>
      </w:pPr>
      <w:bookmarkStart w:id="34" w:name="_Toc15377212"/>
      <w:r>
        <w:rPr>
          <w:rFonts w:hint="eastAsia" w:ascii="仿宋" w:hAnsi="仿宋" w:eastAsia="仿宋"/>
          <w:b/>
          <w:color w:val="000000" w:themeColor="text1"/>
          <w:sz w:val="32"/>
          <w:szCs w:val="32"/>
          <w14:textFill>
            <w14:solidFill>
              <w14:schemeClr w14:val="tx1"/>
            </w14:solidFill>
          </w14:textFill>
        </w:rPr>
        <w:t>（三）一般公共预算财政拨款支出决算具体情况</w:t>
      </w:r>
      <w:bookmarkEnd w:id="34"/>
    </w:p>
    <w:p w14:paraId="15887071">
      <w:pPr>
        <w:spacing w:line="600" w:lineRule="exact"/>
        <w:ind w:firstLine="643" w:firstLineChars="200"/>
        <w:outlineLvl w:val="2"/>
        <w:rPr>
          <w:rFonts w:ascii="仿宋" w:hAnsi="仿宋" w:eastAsia="仿宋"/>
          <w:color w:val="000000" w:themeColor="text1"/>
          <w:sz w:val="32"/>
          <w:szCs w:val="32"/>
          <w14:textFill>
            <w14:solidFill>
              <w14:schemeClr w14:val="tx1"/>
            </w14:solidFill>
          </w14:textFill>
        </w:rPr>
      </w:pPr>
      <w:bookmarkStart w:id="35" w:name="_Toc15377444"/>
      <w:bookmarkStart w:id="36" w:name="_Toc15378460"/>
      <w:bookmarkStart w:id="37" w:name="_Toc15377213"/>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年度</w:t>
      </w:r>
      <w:r>
        <w:rPr>
          <w:rFonts w:hint="eastAsia" w:ascii="仿宋" w:hAnsi="仿宋" w:eastAsia="仿宋"/>
          <w:b/>
          <w:color w:val="000000" w:themeColor="text1"/>
          <w:sz w:val="32"/>
          <w:szCs w:val="32"/>
          <w14:textFill>
            <w14:solidFill>
              <w14:schemeClr w14:val="tx1"/>
            </w14:solidFill>
          </w14:textFill>
        </w:rPr>
        <w:t>公共预算支出决算数为</w:t>
      </w:r>
      <w:r>
        <w:rPr>
          <w:rFonts w:hint="eastAsia" w:ascii="仿宋_GB2312" w:hAnsi="仿宋_GB2312" w:eastAsia="仿宋_GB2312" w:cs="仿宋_GB2312"/>
          <w:color w:val="000000" w:themeColor="text1"/>
          <w:sz w:val="32"/>
          <w:szCs w:val="32"/>
          <w14:textFill>
            <w14:solidFill>
              <w14:schemeClr w14:val="tx1"/>
            </w14:solidFill>
          </w14:textFill>
        </w:rPr>
        <w:t>9306.8</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完成预算100</w:t>
      </w:r>
      <w:r>
        <w:rPr>
          <w:rStyle w:val="17"/>
          <w:rFonts w:ascii="仿宋" w:hAnsi="仿宋" w:eastAsia="仿宋"/>
          <w:bCs/>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。其中：</w:t>
      </w:r>
      <w:bookmarkEnd w:id="35"/>
      <w:bookmarkEnd w:id="36"/>
      <w:bookmarkEnd w:id="37"/>
    </w:p>
    <w:p w14:paraId="2E4E4A49">
      <w:pPr>
        <w:numPr>
          <w:ilvl w:val="0"/>
          <w:numId w:val="2"/>
        </w:numPr>
        <w:ind w:firstLine="482" w:firstLineChars="150"/>
        <w:rPr>
          <w:rStyle w:val="17"/>
          <w:rFonts w:ascii="仿宋" w:hAnsi="仿宋" w:eastAsia="仿宋"/>
          <w:b w:val="0"/>
          <w:bCs/>
          <w:color w:val="000000" w:themeColor="text1"/>
          <w:sz w:val="32"/>
          <w:szCs w:val="32"/>
          <w14:textFill>
            <w14:solidFill>
              <w14:schemeClr w14:val="tx1"/>
            </w14:solidFill>
          </w14:textFill>
        </w:rPr>
      </w:pPr>
      <w:r>
        <w:rPr>
          <w:rStyle w:val="17"/>
          <w:rFonts w:hint="eastAsia" w:ascii="仿宋" w:hAnsi="仿宋" w:eastAsia="仿宋"/>
          <w:bCs/>
          <w:color w:val="000000" w:themeColor="text1"/>
          <w:sz w:val="32"/>
          <w:szCs w:val="32"/>
          <w14:textFill>
            <w14:solidFill>
              <w14:schemeClr w14:val="tx1"/>
            </w14:solidFill>
          </w14:textFill>
        </w:rPr>
        <w:t>农林水（类）</w:t>
      </w:r>
      <w:r>
        <w:rPr>
          <w:rStyle w:val="17"/>
          <w:rFonts w:hint="eastAsia" w:ascii="仿宋" w:hAnsi="仿宋" w:eastAsia="仿宋"/>
          <w:bCs/>
          <w:color w:val="000000" w:themeColor="text1"/>
          <w:sz w:val="32"/>
          <w:szCs w:val="32"/>
          <w:lang w:eastAsia="zh-CN"/>
          <w14:textFill>
            <w14:solidFill>
              <w14:schemeClr w14:val="tx1"/>
            </w14:solidFill>
          </w14:textFill>
        </w:rPr>
        <w:t>：</w:t>
      </w:r>
    </w:p>
    <w:p w14:paraId="0C84A4F2">
      <w:pPr>
        <w:ind w:firstLine="640" w:firstLineChars="200"/>
        <w:rPr>
          <w:rStyle w:val="17"/>
          <w:rFonts w:ascii="仿宋" w:hAnsi="仿宋" w:eastAsia="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2130101行政运行2019年决算数为</w:t>
      </w:r>
      <w:r>
        <w:rPr>
          <w:rFonts w:hint="eastAsia" w:ascii="仿宋" w:hAnsi="仿宋" w:eastAsia="仿宋"/>
          <w:b/>
          <w:color w:val="000000" w:themeColor="text1"/>
          <w:sz w:val="32"/>
          <w:szCs w:val="32"/>
          <w14:textFill>
            <w14:solidFill>
              <w14:schemeClr w14:val="tx1"/>
            </w14:solidFill>
          </w14:textFill>
        </w:rPr>
        <w:t>629.57</w:t>
      </w:r>
      <w:r>
        <w:rPr>
          <w:rFonts w:hint="eastAsia" w:ascii="仿宋_GB2312" w:hAnsi="仿宋_GB2312" w:eastAsia="仿宋_GB2312" w:cs="仿宋_GB2312"/>
          <w:color w:val="000000" w:themeColor="text1"/>
          <w:sz w:val="32"/>
          <w:szCs w:val="32"/>
          <w14:textFill>
            <w14:solidFill>
              <w14:schemeClr w14:val="tx1"/>
            </w14:solidFill>
          </w14:textFill>
        </w:rPr>
        <w:t>万元，完成预算100%；2130102一般行政管理事务2019年决算数为14.02万元，完成预算100%，2130104事业运行2019年决算数为1800.12万元，完成预算100%，2130108病虫害控制50.71万元，完成预算100%，2130112农业行业业务管理103.6万元，完成预算100%， 2130122农业生产支持补贴65.00万元，完成预算100%，2130199其他农业支出1420.57万元，完成预算100%。</w:t>
      </w:r>
    </w:p>
    <w:p w14:paraId="57B883E5">
      <w:pPr>
        <w:numPr>
          <w:ilvl w:val="0"/>
          <w:numId w:val="2"/>
        </w:numPr>
        <w:spacing w:line="600" w:lineRule="exact"/>
        <w:ind w:left="210" w:leftChars="100" w:right="210" w:rightChars="100" w:firstLine="482" w:firstLineChars="150"/>
        <w:rPr>
          <w:rStyle w:val="17"/>
          <w:rFonts w:ascii="仿宋" w:hAnsi="仿宋" w:eastAsia="仿宋"/>
          <w:b w:val="0"/>
          <w:bCs/>
          <w:color w:val="000000" w:themeColor="text1"/>
          <w:sz w:val="32"/>
          <w:szCs w:val="32"/>
          <w14:textFill>
            <w14:solidFill>
              <w14:schemeClr w14:val="tx1"/>
            </w14:solidFill>
          </w14:textFill>
        </w:rPr>
      </w:pPr>
      <w:r>
        <w:rPr>
          <w:rStyle w:val="17"/>
          <w:rFonts w:hint="eastAsia" w:ascii="仿宋" w:hAnsi="仿宋" w:eastAsia="仿宋"/>
          <w:bCs/>
          <w:color w:val="000000" w:themeColor="text1"/>
          <w:sz w:val="32"/>
          <w:szCs w:val="32"/>
          <w14:textFill>
            <w14:solidFill>
              <w14:schemeClr w14:val="tx1"/>
            </w14:solidFill>
          </w14:textFill>
        </w:rPr>
        <w:t>社会保障和就业（类）</w:t>
      </w:r>
      <w:r>
        <w:rPr>
          <w:rStyle w:val="17"/>
          <w:rFonts w:hint="eastAsia" w:ascii="仿宋" w:hAnsi="仿宋" w:eastAsia="仿宋"/>
          <w:bCs/>
          <w:color w:val="000000" w:themeColor="text1"/>
          <w:sz w:val="32"/>
          <w:szCs w:val="32"/>
          <w:lang w:eastAsia="zh-CN"/>
          <w14:textFill>
            <w14:solidFill>
              <w14:schemeClr w14:val="tx1"/>
            </w14:solidFill>
          </w14:textFill>
        </w:rPr>
        <w:t>：</w:t>
      </w:r>
    </w:p>
    <w:p w14:paraId="5CA8D9EE">
      <w:pPr>
        <w:spacing w:line="600" w:lineRule="exact"/>
        <w:ind w:firstLine="640" w:firstLineChars="200"/>
        <w:rPr>
          <w:rStyle w:val="17"/>
          <w:rFonts w:ascii="仿宋" w:hAnsi="仿宋" w:eastAsia="仿宋"/>
          <w:b w:val="0"/>
          <w:bCs/>
          <w:color w:val="000000" w:themeColor="text1"/>
          <w:sz w:val="32"/>
          <w:szCs w:val="32"/>
          <w14:textFill>
            <w14:solidFill>
              <w14:schemeClr w14:val="tx1"/>
            </w14:solidFill>
          </w14:textFill>
        </w:rPr>
      </w:pPr>
      <w:r>
        <w:rPr>
          <w:rStyle w:val="17"/>
          <w:rFonts w:hint="eastAsia" w:ascii="仿宋" w:hAnsi="仿宋" w:eastAsia="仿宋"/>
          <w:b w:val="0"/>
          <w:bCs/>
          <w:color w:val="000000" w:themeColor="text1"/>
          <w:sz w:val="32"/>
          <w:szCs w:val="32"/>
          <w14:textFill>
            <w14:solidFill>
              <w14:schemeClr w14:val="tx1"/>
            </w14:solidFill>
          </w14:textFill>
        </w:rPr>
        <w:t>2080505机关事业单位基本养老保险缴费支出决算为309.3万元，完成预算100</w:t>
      </w:r>
      <w:r>
        <w:rPr>
          <w:rStyle w:val="17"/>
          <w:rFonts w:ascii="仿宋" w:hAnsi="仿宋" w:eastAsia="仿宋"/>
          <w:b w:val="0"/>
          <w:bCs/>
          <w:color w:val="000000" w:themeColor="text1"/>
          <w:sz w:val="32"/>
          <w:szCs w:val="32"/>
          <w14:textFill>
            <w14:solidFill>
              <w14:schemeClr w14:val="tx1"/>
            </w14:solidFill>
          </w14:textFill>
        </w:rPr>
        <w:t>%</w:t>
      </w:r>
    </w:p>
    <w:p w14:paraId="54BD7552">
      <w:pPr>
        <w:spacing w:line="600" w:lineRule="exact"/>
        <w:ind w:firstLine="640" w:firstLineChars="200"/>
        <w:rPr>
          <w:rStyle w:val="17"/>
          <w:rFonts w:ascii="仿宋" w:hAnsi="仿宋" w:eastAsia="仿宋"/>
          <w:b w:val="0"/>
          <w:bCs/>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3.</w:t>
      </w:r>
      <w:r>
        <w:rPr>
          <w:rStyle w:val="17"/>
          <w:rFonts w:hint="eastAsia" w:ascii="仿宋" w:hAnsi="仿宋" w:eastAsia="仿宋"/>
          <w:bCs/>
          <w:color w:val="000000" w:themeColor="text1"/>
          <w:sz w:val="32"/>
          <w:szCs w:val="32"/>
          <w14:textFill>
            <w14:solidFill>
              <w14:schemeClr w14:val="tx1"/>
            </w14:solidFill>
          </w14:textFill>
        </w:rPr>
        <w:t>医疗卫生与计划生育（类）</w:t>
      </w:r>
      <w:r>
        <w:rPr>
          <w:rStyle w:val="17"/>
          <w:rFonts w:hint="eastAsia" w:ascii="仿宋" w:hAnsi="仿宋" w:eastAsia="仿宋"/>
          <w:bCs/>
          <w:color w:val="000000" w:themeColor="text1"/>
          <w:sz w:val="32"/>
          <w:szCs w:val="32"/>
          <w:lang w:eastAsia="zh-CN"/>
          <w14:textFill>
            <w14:solidFill>
              <w14:schemeClr w14:val="tx1"/>
            </w14:solidFill>
          </w14:textFill>
        </w:rPr>
        <w:t>：</w:t>
      </w:r>
    </w:p>
    <w:p w14:paraId="034AC048">
      <w:pPr>
        <w:spacing w:line="600" w:lineRule="exact"/>
        <w:ind w:firstLine="640" w:firstLineChars="200"/>
        <w:rPr>
          <w:rFonts w:ascii="仿宋" w:hAnsi="仿宋" w:eastAsia="仿宋"/>
          <w:b/>
          <w:color w:val="000000" w:themeColor="text1"/>
          <w:sz w:val="32"/>
          <w:szCs w:val="32"/>
          <w14:textFill>
            <w14:solidFill>
              <w14:schemeClr w14:val="tx1"/>
            </w14:solidFill>
          </w14:textFill>
        </w:rPr>
      </w:pPr>
      <w:r>
        <w:rPr>
          <w:rStyle w:val="17"/>
          <w:rFonts w:hint="eastAsia" w:ascii="仿宋" w:hAnsi="仿宋" w:eastAsia="仿宋"/>
          <w:b w:val="0"/>
          <w:bCs/>
          <w:color w:val="000000" w:themeColor="text1"/>
          <w:sz w:val="32"/>
          <w:szCs w:val="32"/>
          <w14:textFill>
            <w14:solidFill>
              <w14:schemeClr w14:val="tx1"/>
            </w14:solidFill>
          </w14:textFill>
        </w:rPr>
        <w:t>2101101行政单位医疗支出决算为42.3万元，完成预算100</w:t>
      </w:r>
      <w:r>
        <w:rPr>
          <w:rStyle w:val="17"/>
          <w:rFonts w:ascii="仿宋" w:hAnsi="仿宋" w:eastAsia="仿宋"/>
          <w:b w:val="0"/>
          <w:bCs/>
          <w:color w:val="000000" w:themeColor="text1"/>
          <w:sz w:val="32"/>
          <w:szCs w:val="32"/>
          <w14:textFill>
            <w14:solidFill>
              <w14:schemeClr w14:val="tx1"/>
            </w14:solidFill>
          </w14:textFill>
        </w:rPr>
        <w:t>%</w:t>
      </w:r>
      <w:r>
        <w:rPr>
          <w:rStyle w:val="17"/>
          <w:rFonts w:hint="eastAsia" w:ascii="仿宋" w:hAnsi="仿宋" w:eastAsia="仿宋"/>
          <w:b w:val="0"/>
          <w:bCs/>
          <w:color w:val="000000" w:themeColor="text1"/>
          <w:sz w:val="32"/>
          <w:szCs w:val="32"/>
          <w14:textFill>
            <w14:solidFill>
              <w14:schemeClr w14:val="tx1"/>
            </w14:solidFill>
          </w14:textFill>
        </w:rPr>
        <w:t>，2101102事业单位医疗决算数为94.17万元，完成预算100%；决算数等于预算数的主要原因是严格按照预算执行。</w:t>
      </w:r>
    </w:p>
    <w:p w14:paraId="65BF3670">
      <w:pPr>
        <w:pStyle w:val="34"/>
        <w:spacing w:line="600" w:lineRule="exact"/>
        <w:ind w:firstLine="640"/>
        <w:rPr>
          <w:rStyle w:val="17"/>
          <w:rFonts w:ascii="仿宋" w:hAnsi="仿宋" w:eastAsia="仿宋"/>
          <w:b w:val="0"/>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hint="eastAsia" w:ascii="仿宋" w:hAnsi="仿宋" w:eastAsia="仿宋"/>
          <w:b/>
          <w:bCs/>
          <w:color w:val="000000" w:themeColor="text1"/>
          <w:sz w:val="32"/>
          <w:szCs w:val="32"/>
          <w14:textFill>
            <w14:solidFill>
              <w14:schemeClr w14:val="tx1"/>
            </w14:solidFill>
          </w14:textFill>
        </w:rPr>
        <w:t>住房保障支出（类）</w:t>
      </w:r>
    </w:p>
    <w:p w14:paraId="73984DF0">
      <w:pPr>
        <w:spacing w:line="600" w:lineRule="exact"/>
        <w:ind w:firstLine="640" w:firstLineChars="200"/>
        <w:rPr>
          <w:rStyle w:val="17"/>
          <w:rFonts w:ascii="仿宋" w:hAnsi="仿宋" w:eastAsia="仿宋"/>
          <w:b w:val="0"/>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2210201住房公积金支出291.03万元，完成预算的100%，</w:t>
      </w:r>
      <w:r>
        <w:rPr>
          <w:rStyle w:val="17"/>
          <w:rFonts w:hint="eastAsia" w:ascii="仿宋" w:hAnsi="仿宋" w:eastAsia="仿宋"/>
          <w:b w:val="0"/>
          <w:bCs/>
          <w:color w:val="000000" w:themeColor="text1"/>
          <w:sz w:val="32"/>
          <w:szCs w:val="32"/>
          <w14:textFill>
            <w14:solidFill>
              <w14:schemeClr w14:val="tx1"/>
            </w14:solidFill>
          </w14:textFill>
        </w:rPr>
        <w:t>决算数等于预算数的主要原因是严格按照预算执行。</w:t>
      </w:r>
    </w:p>
    <w:p w14:paraId="34F2EC92">
      <w:pPr>
        <w:tabs>
          <w:tab w:val="right" w:pos="8306"/>
        </w:tabs>
        <w:spacing w:line="600" w:lineRule="exact"/>
        <w:ind w:firstLine="640"/>
        <w:outlineLvl w:val="1"/>
        <w:rPr>
          <w:rStyle w:val="29"/>
          <w:color w:val="000000" w:themeColor="text1"/>
          <w14:textFill>
            <w14:solidFill>
              <w14:schemeClr w14:val="tx1"/>
            </w14:solidFill>
          </w14:textFill>
        </w:rPr>
      </w:pPr>
      <w:bookmarkStart w:id="38" w:name="_Toc15396608"/>
      <w:bookmarkStart w:id="39" w:name="_Toc15377214"/>
      <w:r>
        <w:rPr>
          <w:rFonts w:hint="eastAsia" w:ascii="黑体" w:eastAsia="黑体"/>
          <w:color w:val="000000" w:themeColor="text1"/>
          <w:sz w:val="32"/>
          <w:szCs w:val="32"/>
          <w14:textFill>
            <w14:solidFill>
              <w14:schemeClr w14:val="tx1"/>
            </w14:solidFill>
          </w14:textFill>
        </w:rPr>
        <w:t>六</w:t>
      </w:r>
      <w:r>
        <w:rPr>
          <w:rFonts w:hint="eastAsia" w:asci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14:textFill>
            <w14:solidFill>
              <w14:schemeClr w14:val="tx1"/>
            </w14:solidFill>
          </w14:textFill>
        </w:rPr>
        <w:t>一</w:t>
      </w:r>
      <w:r>
        <w:rPr>
          <w:rStyle w:val="29"/>
          <w:rFonts w:hint="eastAsia" w:ascii="黑体" w:hAnsi="黑体" w:eastAsia="黑体"/>
          <w:b w:val="0"/>
          <w:color w:val="000000" w:themeColor="text1"/>
          <w14:textFill>
            <w14:solidFill>
              <w14:schemeClr w14:val="tx1"/>
            </w14:solidFill>
          </w14:textFill>
        </w:rPr>
        <w:t>般公共预算财政拨款基本支出决算情况说明</w:t>
      </w:r>
      <w:bookmarkEnd w:id="38"/>
      <w:bookmarkEnd w:id="39"/>
      <w:r>
        <w:rPr>
          <w:rStyle w:val="29"/>
          <w:rFonts w:ascii="黑体" w:hAnsi="黑体" w:eastAsia="黑体"/>
          <w:b w:val="0"/>
          <w:color w:val="000000" w:themeColor="text1"/>
          <w14:textFill>
            <w14:solidFill>
              <w14:schemeClr w14:val="tx1"/>
            </w14:solidFill>
          </w14:textFill>
        </w:rPr>
        <w:tab/>
      </w:r>
    </w:p>
    <w:p w14:paraId="666A6498">
      <w:pPr>
        <w:spacing w:line="600" w:lineRule="exact"/>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2019年一般公共预算财政拨款基本支出</w:t>
      </w:r>
      <w:r>
        <w:rPr>
          <w:rFonts w:hint="eastAsia" w:ascii="仿宋_GB2312" w:hAnsi="仿宋_GB2312" w:eastAsia="仿宋_GB2312" w:cs="仿宋_GB2312"/>
          <w:color w:val="000000" w:themeColor="text1"/>
          <w:sz w:val="32"/>
          <w:szCs w:val="32"/>
          <w14:textFill>
            <w14:solidFill>
              <w14:schemeClr w14:val="tx1"/>
            </w14:solidFill>
          </w14:textFill>
        </w:rPr>
        <w:t>9306.8</w:t>
      </w:r>
      <w:r>
        <w:rPr>
          <w:rFonts w:hint="eastAsia" w:ascii="仿宋" w:hAnsi="仿宋" w:eastAsia="仿宋"/>
          <w:color w:val="000000" w:themeColor="text1"/>
          <w:sz w:val="32"/>
          <w:szCs w:val="32"/>
          <w14:textFill>
            <w14:solidFill>
              <w14:schemeClr w14:val="tx1"/>
            </w14:solidFill>
          </w14:textFill>
        </w:rPr>
        <w:t>万元，其中：</w:t>
      </w:r>
    </w:p>
    <w:p w14:paraId="1AA206F8">
      <w:pPr>
        <w:spacing w:line="600" w:lineRule="exact"/>
        <w:ind w:firstLine="645"/>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员经费3227.63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themeColor="text1"/>
          <w:sz w:val="32"/>
          <w:szCs w:val="32"/>
          <w14:textFill>
            <w14:solidFill>
              <w14:schemeClr w14:val="tx1"/>
            </w14:solidFill>
          </w14:textFill>
        </w:rPr>
        <w:br w:type="textWrapping"/>
      </w:r>
      <w:r>
        <w:rPr>
          <w:rFonts w:hint="eastAsia" w:ascii="仿宋" w:hAnsi="仿宋" w:eastAsia="仿宋"/>
          <w:color w:val="000000" w:themeColor="text1"/>
          <w:sz w:val="32"/>
          <w:szCs w:val="32"/>
          <w14:textFill>
            <w14:solidFill>
              <w14:schemeClr w14:val="tx1"/>
            </w14:solidFill>
          </w14:textFill>
        </w:rPr>
        <w:t>　　公用经费199.86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4F21336">
      <w:pPr>
        <w:spacing w:line="600" w:lineRule="exact"/>
        <w:ind w:firstLine="640"/>
        <w:outlineLvl w:val="1"/>
        <w:rPr>
          <w:rStyle w:val="29"/>
          <w:rFonts w:ascii="黑体" w:hAnsi="黑体" w:eastAsia="黑体"/>
          <w:b w:val="0"/>
          <w:color w:val="000000" w:themeColor="text1"/>
          <w14:textFill>
            <w14:solidFill>
              <w14:schemeClr w14:val="tx1"/>
            </w14:solidFill>
          </w14:textFill>
        </w:rPr>
      </w:pPr>
      <w:bookmarkStart w:id="40" w:name="_Toc15396609"/>
      <w:bookmarkStart w:id="41" w:name="_Toc15377215"/>
      <w:r>
        <w:rPr>
          <w:rFonts w:hint="eastAsia" w:ascii="黑体" w:eastAsia="黑体"/>
          <w:color w:val="000000" w:themeColor="text1"/>
          <w:sz w:val="32"/>
          <w:szCs w:val="32"/>
          <w14:textFill>
            <w14:solidFill>
              <w14:schemeClr w14:val="tx1"/>
            </w14:solidFill>
          </w14:textFill>
        </w:rPr>
        <w:t>七、</w:t>
      </w:r>
      <w:r>
        <w:rPr>
          <w:rStyle w:val="29"/>
          <w:rFonts w:hint="eastAsia" w:ascii="黑体" w:hAnsi="黑体" w:eastAsia="黑体"/>
          <w:color w:val="000000" w:themeColor="text1"/>
          <w14:textFill>
            <w14:solidFill>
              <w14:schemeClr w14:val="tx1"/>
            </w14:solidFill>
          </w14:textFill>
        </w:rPr>
        <w:t>“</w:t>
      </w:r>
      <w:r>
        <w:rPr>
          <w:rStyle w:val="29"/>
          <w:rFonts w:hint="eastAsia" w:ascii="黑体" w:hAnsi="黑体" w:eastAsia="黑体"/>
          <w:b w:val="0"/>
          <w:color w:val="000000" w:themeColor="text1"/>
          <w14:textFill>
            <w14:solidFill>
              <w14:schemeClr w14:val="tx1"/>
            </w14:solidFill>
          </w14:textFill>
        </w:rPr>
        <w:t>三公”经费财政拨款支出决算情况说明</w:t>
      </w:r>
      <w:bookmarkEnd w:id="40"/>
      <w:bookmarkEnd w:id="41"/>
    </w:p>
    <w:p w14:paraId="65D7E485">
      <w:pPr>
        <w:spacing w:line="600" w:lineRule="exact"/>
        <w:ind w:firstLine="640"/>
        <w:outlineLvl w:val="2"/>
        <w:rPr>
          <w:rFonts w:ascii="仿宋" w:hAnsi="仿宋" w:eastAsia="仿宋"/>
          <w:b/>
          <w:color w:val="000000" w:themeColor="text1"/>
          <w:sz w:val="32"/>
          <w:szCs w:val="32"/>
          <w14:textFill>
            <w14:solidFill>
              <w14:schemeClr w14:val="tx1"/>
            </w14:solidFill>
          </w14:textFill>
        </w:rPr>
      </w:pPr>
      <w:bookmarkStart w:id="42" w:name="_Toc15377216"/>
      <w:r>
        <w:rPr>
          <w:rFonts w:hint="eastAsia" w:ascii="仿宋" w:hAnsi="仿宋" w:eastAsia="仿宋"/>
          <w:b/>
          <w:color w:val="000000" w:themeColor="text1"/>
          <w:sz w:val="32"/>
          <w:szCs w:val="32"/>
          <w14:textFill>
            <w14:solidFill>
              <w14:schemeClr w14:val="tx1"/>
            </w14:solidFill>
          </w14:textFill>
        </w:rPr>
        <w:t>（一）“三公”经费财政拨款支出决算总体情况说明</w:t>
      </w:r>
      <w:bookmarkEnd w:id="42"/>
    </w:p>
    <w:p w14:paraId="26669D5B">
      <w:pPr>
        <w:ind w:firstLine="800" w:firstLineChars="25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2019年“三公”经费财政拨款支出决算为40.94万元，完成预算100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，决算数小于预算数（或与预算数持平）的主要原因是</w:t>
      </w:r>
      <w:r>
        <w:rPr>
          <w:rFonts w:hint="eastAsia" w:ascii="仿宋_GB2312" w:hAnsi="仿宋_GB2312" w:eastAsia="仿宋_GB2312" w:cs="仿宋_GB2312"/>
          <w:color w:val="000000" w:themeColor="text1"/>
          <w:sz w:val="32"/>
          <w:szCs w:val="32"/>
          <w14:textFill>
            <w14:solidFill>
              <w14:schemeClr w14:val="tx1"/>
            </w14:solidFill>
          </w14:textFill>
        </w:rPr>
        <w:t>严格按照中央八项规定和行政单位会计制度执行。</w:t>
      </w:r>
      <w:bookmarkStart w:id="43" w:name="_Toc15377217"/>
      <w:r>
        <w:rPr>
          <w:rFonts w:hint="eastAsia" w:ascii="仿宋" w:hAnsi="仿宋" w:eastAsia="仿宋"/>
          <w:b/>
          <w:color w:val="000000" w:themeColor="text1"/>
          <w:sz w:val="32"/>
          <w:szCs w:val="32"/>
          <w14:textFill>
            <w14:solidFill>
              <w14:schemeClr w14:val="tx1"/>
            </w14:solidFill>
          </w14:textFill>
        </w:rPr>
        <w:t>（二）“三公”经费财政拨款支出决算具体情况说明</w:t>
      </w:r>
      <w:bookmarkEnd w:id="43"/>
    </w:p>
    <w:p w14:paraId="49AF7A22">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2019年“三公”经费财政拨款支出决算中，因公出国（境）费支出决算0万元，占0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；公务用车购置及运行维护费支出决算40.94万元，占100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；公务接待费支出决算0万元，占0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。具体情况如下：</w:t>
      </w:r>
    </w:p>
    <w:p w14:paraId="6BED4E87">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1、因公出国（境）经费支出</w:t>
      </w:r>
    </w:p>
    <w:p w14:paraId="09EA8BA1">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无开支内容</w:t>
      </w:r>
    </w:p>
    <w:p w14:paraId="05FB5943">
      <w:pPr>
        <w:numPr>
          <w:ilvl w:val="0"/>
          <w:numId w:val="3"/>
        </w:numPr>
        <w:spacing w:line="600" w:lineRule="exact"/>
        <w:ind w:firstLine="64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公务用车购置及运行维护费支出</w:t>
      </w:r>
      <w:r>
        <w:rPr>
          <w:rFonts w:hint="eastAsia" w:ascii="仿宋" w:hAnsi="仿宋" w:eastAsia="仿宋"/>
          <w:color w:val="000000" w:themeColor="text1"/>
          <w:sz w:val="32"/>
          <w:szCs w:val="32"/>
          <w14:textFill>
            <w14:solidFill>
              <w14:schemeClr w14:val="tx1"/>
            </w14:solidFill>
          </w14:textFill>
        </w:rPr>
        <w:t xml:space="preserve">40.94 </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Style w:val="17"/>
          <w:rFonts w:hint="eastAsia" w:ascii="仿宋" w:hAnsi="仿宋" w:eastAsia="仿宋"/>
          <w:b w:val="0"/>
          <w:bCs/>
          <w:color w:val="000000" w:themeColor="text1"/>
          <w:sz w:val="32"/>
          <w:szCs w:val="32"/>
          <w14:textFill>
            <w14:solidFill>
              <w14:schemeClr w14:val="tx1"/>
            </w14:solidFill>
          </w14:textFill>
        </w:rPr>
        <w:t>完成预算100</w:t>
      </w:r>
      <w:r>
        <w:rPr>
          <w:rStyle w:val="17"/>
          <w:rFonts w:ascii="仿宋" w:hAnsi="仿宋" w:eastAsia="仿宋"/>
          <w:b w:val="0"/>
          <w:bCs/>
          <w:color w:val="000000" w:themeColor="text1"/>
          <w:sz w:val="32"/>
          <w:szCs w:val="32"/>
          <w14:textFill>
            <w14:solidFill>
              <w14:schemeClr w14:val="tx1"/>
            </w14:solidFill>
          </w14:textFill>
        </w:rPr>
        <w:t>%</w:t>
      </w:r>
      <w:r>
        <w:rPr>
          <w:rStyle w:val="17"/>
          <w:rFonts w:hint="eastAsia" w:ascii="仿宋" w:hAnsi="仿宋" w:eastAsia="仿宋"/>
          <w:b w:val="0"/>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公务用车购置及运行维护费支出决算比2018年减少1.81万元，主要原因是厉行节约。</w:t>
      </w:r>
    </w:p>
    <w:p w14:paraId="169C148B">
      <w:pPr>
        <w:spacing w:line="600" w:lineRule="exac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无</w:t>
      </w:r>
      <w:r>
        <w:rPr>
          <w:rFonts w:hint="eastAsia" w:ascii="仿宋_GB2312" w:eastAsia="仿宋_GB2312"/>
          <w:b/>
          <w:color w:val="000000" w:themeColor="text1"/>
          <w:sz w:val="32"/>
          <w:szCs w:val="32"/>
          <w14:textFill>
            <w14:solidFill>
              <w14:schemeClr w14:val="tx1"/>
            </w14:solidFill>
          </w14:textFill>
        </w:rPr>
        <w:t>公务用车购置支出</w:t>
      </w:r>
      <w:r>
        <w:rPr>
          <w:rFonts w:hint="eastAsia" w:ascii="仿宋_GB2312" w:eastAsia="仿宋_GB2312"/>
          <w:color w:val="000000" w:themeColor="text1"/>
          <w:sz w:val="32"/>
          <w:szCs w:val="32"/>
          <w14:textFill>
            <w14:solidFill>
              <w14:schemeClr w14:val="tx1"/>
            </w14:solidFill>
          </w14:textFill>
        </w:rPr>
        <w:t>0万元。截至2019年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月底，单位共有</w:t>
      </w:r>
      <w:bookmarkStart w:id="71" w:name="_GoBack"/>
      <w:r>
        <w:rPr>
          <w:rFonts w:hint="eastAsia" w:ascii="仿宋_GB2312" w:eastAsia="仿宋_GB2312"/>
          <w:color w:val="000000" w:themeColor="text1"/>
          <w:sz w:val="32"/>
          <w:szCs w:val="32"/>
          <w:lang w:eastAsia="zh-CN"/>
          <w14:textFill>
            <w14:solidFill>
              <w14:schemeClr w14:val="tx1"/>
            </w14:solidFill>
          </w14:textFill>
        </w:rPr>
        <w:t>公务车</w:t>
      </w:r>
      <w:bookmarkEnd w:id="71"/>
      <w:r>
        <w:rPr>
          <w:rFonts w:hint="eastAsia" w:ascii="仿宋_GB2312" w:eastAsia="仿宋_GB2312"/>
          <w:color w:val="000000" w:themeColor="text1"/>
          <w:sz w:val="32"/>
          <w:szCs w:val="32"/>
          <w14:textFill>
            <w14:solidFill>
              <w14:schemeClr w14:val="tx1"/>
            </w14:solidFill>
          </w14:textFill>
        </w:rPr>
        <w:t>6辆。</w:t>
      </w:r>
    </w:p>
    <w:p w14:paraId="7CCCCA9F">
      <w:pPr>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公务用车运行维护费支出</w:t>
      </w:r>
      <w:r>
        <w:rPr>
          <w:rFonts w:hint="eastAsia" w:ascii="仿宋" w:hAnsi="仿宋" w:eastAsia="仿宋"/>
          <w:color w:val="000000" w:themeColor="text1"/>
          <w:sz w:val="32"/>
          <w:szCs w:val="32"/>
          <w14:textFill>
            <w14:solidFill>
              <w14:schemeClr w14:val="tx1"/>
            </w14:solidFill>
          </w14:textFill>
        </w:rPr>
        <w:t>40.94</w:t>
      </w:r>
      <w:r>
        <w:rPr>
          <w:rFonts w:hint="eastAsia" w:ascii="仿宋_GB2312" w:eastAsia="仿宋_GB2312"/>
          <w:color w:val="000000" w:themeColor="text1"/>
          <w:sz w:val="32"/>
          <w:szCs w:val="32"/>
          <w14:textFill>
            <w14:solidFill>
              <w14:schemeClr w14:val="tx1"/>
            </w14:solidFill>
          </w14:textFill>
        </w:rPr>
        <w:t>万元。主要用于日常工作等所需的公务用车燃料费、维修费、过路过桥费、保险费等支出。</w:t>
      </w:r>
    </w:p>
    <w:p w14:paraId="57862375">
      <w:pPr>
        <w:numPr>
          <w:ilvl w:val="0"/>
          <w:numId w:val="3"/>
        </w:numPr>
        <w:spacing w:line="600" w:lineRule="exact"/>
        <w:ind w:firstLine="64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公务接待费支出</w:t>
      </w:r>
    </w:p>
    <w:p w14:paraId="500B1658">
      <w:pPr>
        <w:spacing w:line="600" w:lineRule="exact"/>
        <w:ind w:left="640"/>
        <w:rPr>
          <w:rFonts w:ascii="黑体" w:eastAsia="黑体"/>
          <w:color w:val="000000" w:themeColor="text1"/>
          <w:sz w:val="32"/>
          <w:szCs w:val="32"/>
          <w14:textFill>
            <w14:solidFill>
              <w14:schemeClr w14:val="tx1"/>
            </w14:solidFill>
          </w14:textFill>
        </w:rPr>
      </w:pPr>
      <w:bookmarkStart w:id="44" w:name="_Toc15377218"/>
      <w:bookmarkStart w:id="45" w:name="_Toc15396610"/>
      <w:r>
        <w:rPr>
          <w:rFonts w:hint="eastAsia" w:ascii="仿宋_GB2312" w:eastAsia="仿宋_GB2312"/>
          <w:bCs/>
          <w:color w:val="000000" w:themeColor="text1"/>
          <w:sz w:val="32"/>
          <w:szCs w:val="32"/>
          <w14:textFill>
            <w14:solidFill>
              <w14:schemeClr w14:val="tx1"/>
            </w14:solidFill>
          </w14:textFill>
        </w:rPr>
        <w:t>0万元</w:t>
      </w:r>
    </w:p>
    <w:p w14:paraId="54651BD0">
      <w:pPr>
        <w:spacing w:line="600" w:lineRule="exact"/>
        <w:ind w:firstLine="640"/>
        <w:outlineLvl w:val="1"/>
        <w:rPr>
          <w:rStyle w:val="29"/>
          <w:rFonts w:ascii="黑体" w:hAnsi="黑体" w:eastAsia="黑体"/>
          <w:color w:val="000000" w:themeColor="text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w:t>
      </w:r>
      <w:r>
        <w:rPr>
          <w:rStyle w:val="29"/>
          <w:rFonts w:hint="eastAsia" w:ascii="黑体" w:hAnsi="黑体" w:eastAsia="黑体"/>
          <w:b w:val="0"/>
          <w:color w:val="000000" w:themeColor="text1"/>
          <w14:textFill>
            <w14:solidFill>
              <w14:schemeClr w14:val="tx1"/>
            </w14:solidFill>
          </w14:textFill>
        </w:rPr>
        <w:t>政府性基金预算支出决算情况说明</w:t>
      </w:r>
      <w:bookmarkEnd w:id="44"/>
      <w:bookmarkEnd w:id="45"/>
    </w:p>
    <w:p w14:paraId="45E8DF57">
      <w:pPr>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2019年政府性基金预算拨款支出0万元。</w:t>
      </w:r>
    </w:p>
    <w:p w14:paraId="11CCF236">
      <w:pPr>
        <w:spacing w:line="600" w:lineRule="exact"/>
        <w:ind w:firstLine="640"/>
        <w:rPr>
          <w:rFonts w:ascii="仿宋_GB2312" w:eastAsia="仿宋_GB2312"/>
          <w:color w:val="000000" w:themeColor="text1"/>
          <w:sz w:val="32"/>
          <w:szCs w:val="32"/>
          <w14:textFill>
            <w14:solidFill>
              <w14:schemeClr w14:val="tx1"/>
            </w14:solidFill>
          </w14:textFill>
        </w:rPr>
      </w:pPr>
    </w:p>
    <w:p w14:paraId="7E74C0C7">
      <w:pPr>
        <w:numPr>
          <w:ilvl w:val="0"/>
          <w:numId w:val="4"/>
        </w:numPr>
        <w:spacing w:line="600" w:lineRule="exact"/>
        <w:ind w:firstLine="640"/>
        <w:outlineLvl w:val="1"/>
        <w:rPr>
          <w:rStyle w:val="29"/>
          <w:rFonts w:ascii="黑体" w:hAnsi="黑体" w:eastAsia="黑体"/>
          <w:b w:val="0"/>
          <w:color w:val="000000" w:themeColor="text1"/>
          <w14:textFill>
            <w14:solidFill>
              <w14:schemeClr w14:val="tx1"/>
            </w14:solidFill>
          </w14:textFill>
        </w:rPr>
      </w:pPr>
      <w:bookmarkStart w:id="46" w:name="_Toc15396611"/>
      <w:bookmarkStart w:id="47" w:name="_Toc15377219"/>
      <w:r>
        <w:rPr>
          <w:rStyle w:val="29"/>
          <w:rFonts w:hint="eastAsia" w:ascii="黑体" w:hAnsi="黑体" w:eastAsia="黑体"/>
          <w:b w:val="0"/>
          <w:color w:val="000000" w:themeColor="text1"/>
          <w14:textFill>
            <w14:solidFill>
              <w14:schemeClr w14:val="tx1"/>
            </w14:solidFill>
          </w14:textFill>
        </w:rPr>
        <w:t>国有资本经营预算支出决算情况说明</w:t>
      </w:r>
      <w:bookmarkEnd w:id="46"/>
      <w:bookmarkEnd w:id="47"/>
    </w:p>
    <w:p w14:paraId="60149737">
      <w:pPr>
        <w:spacing w:line="600"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2019年国有资本经营预算拨款支出0万元。</w:t>
      </w:r>
    </w:p>
    <w:p w14:paraId="10F9FBD0">
      <w:pPr>
        <w:pStyle w:val="27"/>
        <w:spacing w:line="580" w:lineRule="exact"/>
        <w:ind w:left="709" w:firstLine="0" w:firstLineChars="0"/>
        <w:rPr>
          <w:rStyle w:val="29"/>
          <w:rFonts w:ascii="黑体" w:hAnsi="黑体" w:eastAsia="黑体"/>
          <w:b w:val="0"/>
          <w:color w:val="000000" w:themeColor="text1"/>
          <w:highlight w:val="yellow"/>
          <w14:textFill>
            <w14:solidFill>
              <w14:schemeClr w14:val="tx1"/>
            </w14:solidFill>
          </w14:textFill>
        </w:rPr>
      </w:pPr>
      <w:r>
        <w:rPr>
          <w:rStyle w:val="29"/>
          <w:rFonts w:hint="eastAsia" w:ascii="黑体" w:hAnsi="黑体" w:eastAsia="黑体"/>
          <w:b w:val="0"/>
          <w:color w:val="000000" w:themeColor="text1"/>
          <w14:textFill>
            <w14:solidFill>
              <w14:schemeClr w14:val="tx1"/>
            </w14:solidFill>
          </w14:textFill>
        </w:rPr>
        <w:t>十、预算绩效情况说明</w:t>
      </w:r>
    </w:p>
    <w:p w14:paraId="613E2471">
      <w:pPr>
        <w:spacing w:line="580" w:lineRule="exact"/>
        <w:ind w:firstLine="640" w:firstLineChars="200"/>
        <w:rPr>
          <w:rFonts w:ascii="仿宋" w:hAnsi="仿宋" w:eastAsia="仿宋" w:cs="楷体_GB2312"/>
          <w:color w:val="000000" w:themeColor="text1"/>
          <w:sz w:val="32"/>
          <w:szCs w:val="32"/>
          <w14:textFill>
            <w14:solidFill>
              <w14:schemeClr w14:val="tx1"/>
            </w14:solidFill>
          </w14:textFill>
        </w:rPr>
      </w:pPr>
      <w:r>
        <w:rPr>
          <w:rFonts w:hint="eastAsia" w:ascii="仿宋" w:hAnsi="仿宋" w:eastAsia="仿宋" w:cs="楷体_GB2312"/>
          <w:color w:val="000000" w:themeColor="text1"/>
          <w:sz w:val="32"/>
          <w:szCs w:val="32"/>
          <w14:textFill>
            <w14:solidFill>
              <w14:schemeClr w14:val="tx1"/>
            </w14:solidFill>
          </w14:textFill>
        </w:rPr>
        <w:t>（一）预算绩效管理工作开展情况。</w:t>
      </w:r>
    </w:p>
    <w:p w14:paraId="2808E0A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楷体_GB2312"/>
          <w:color w:val="000000" w:themeColor="text1"/>
          <w:sz w:val="32"/>
          <w:szCs w:val="32"/>
          <w14:textFill>
            <w14:solidFill>
              <w14:schemeClr w14:val="tx1"/>
            </w14:solidFill>
          </w14:textFill>
        </w:rPr>
        <w:t>（二）项目绩效目标完成情况。</w:t>
      </w:r>
    </w:p>
    <w:p w14:paraId="779EA208">
      <w:pPr>
        <w:pStyle w:val="27"/>
        <w:spacing w:line="580" w:lineRule="exact"/>
        <w:ind w:left="709" w:firstLine="0" w:firstLineChars="0"/>
        <w:rPr>
          <w:rStyle w:val="29"/>
          <w:rFonts w:ascii="黑体" w:hAnsi="黑体" w:eastAsia="黑体"/>
          <w:b w:val="0"/>
          <w:bCs w:val="0"/>
          <w:color w:val="000000" w:themeColor="text1"/>
          <w:highlight w:val="yellow"/>
          <w14:textFill>
            <w14:solidFill>
              <w14:schemeClr w14:val="tx1"/>
            </w14:solidFill>
          </w14:textFill>
        </w:rPr>
      </w:pPr>
      <w:r>
        <w:rPr>
          <w:rFonts w:hint="eastAsia" w:ascii="仿宋" w:hAnsi="仿宋" w:eastAsia="仿宋" w:cs="楷体_GB2312"/>
          <w:color w:val="000000" w:themeColor="text1"/>
          <w:sz w:val="32"/>
          <w:szCs w:val="32"/>
          <w14:textFill>
            <w14:solidFill>
              <w14:schemeClr w14:val="tx1"/>
            </w14:solidFill>
          </w14:textFill>
        </w:rPr>
        <w:t>（三）部门开展绩效评价结果</w:t>
      </w:r>
    </w:p>
    <w:p w14:paraId="1BBAFE6D">
      <w:pPr>
        <w:spacing w:line="600" w:lineRule="exact"/>
        <w:ind w:firstLine="800" w:firstLineChars="250"/>
        <w:outlineLvl w:val="1"/>
        <w:rPr>
          <w:rStyle w:val="29"/>
          <w:rFonts w:ascii="黑体" w:hAnsi="黑体" w:eastAsia="黑体"/>
          <w:color w:val="000000" w:themeColor="text1"/>
          <w14:textFill>
            <w14:solidFill>
              <w14:schemeClr w14:val="tx1"/>
            </w14:solidFill>
          </w14:textFill>
        </w:rPr>
      </w:pPr>
      <w:bookmarkStart w:id="48" w:name="_Toc15377221"/>
      <w:bookmarkStart w:id="49" w:name="_Toc15396612"/>
      <w:r>
        <w:rPr>
          <w:rFonts w:hint="eastAsia" w:ascii="黑体" w:hAnsi="黑体" w:eastAsia="黑体"/>
          <w:color w:val="000000" w:themeColor="text1"/>
          <w:sz w:val="32"/>
          <w:szCs w:val="32"/>
          <w14:textFill>
            <w14:solidFill>
              <w14:schemeClr w14:val="tx1"/>
            </w14:solidFill>
          </w14:textFill>
        </w:rPr>
        <w:t>十</w:t>
      </w:r>
      <w:r>
        <w:rPr>
          <w:rStyle w:val="29"/>
          <w:rFonts w:hint="eastAsia" w:ascii="黑体" w:hAnsi="黑体" w:eastAsia="黑体"/>
          <w:color w:val="000000" w:themeColor="text1"/>
          <w14:textFill>
            <w14:solidFill>
              <w14:schemeClr w14:val="tx1"/>
            </w14:solidFill>
          </w14:textFill>
        </w:rPr>
        <w:t>一、</w:t>
      </w:r>
      <w:r>
        <w:rPr>
          <w:rStyle w:val="29"/>
          <w:rFonts w:hint="eastAsia" w:ascii="黑体" w:hAnsi="黑体" w:eastAsia="黑体"/>
          <w:b w:val="0"/>
          <w:color w:val="000000" w:themeColor="text1"/>
          <w14:textFill>
            <w14:solidFill>
              <w14:schemeClr w14:val="tx1"/>
            </w14:solidFill>
          </w14:textFill>
        </w:rPr>
        <w:t>其他重要事项的情况说明</w:t>
      </w:r>
      <w:bookmarkEnd w:id="48"/>
      <w:bookmarkEnd w:id="49"/>
    </w:p>
    <w:p w14:paraId="6FBF5644">
      <w:pPr>
        <w:spacing w:line="600" w:lineRule="exact"/>
        <w:ind w:firstLine="643" w:firstLineChars="200"/>
        <w:outlineLvl w:val="2"/>
        <w:rPr>
          <w:rFonts w:ascii="仿宋" w:hAnsi="仿宋" w:eastAsia="仿宋"/>
          <w:color w:val="000000" w:themeColor="text1"/>
          <w:sz w:val="32"/>
          <w:szCs w:val="32"/>
          <w14:textFill>
            <w14:solidFill>
              <w14:schemeClr w14:val="tx1"/>
            </w14:solidFill>
          </w14:textFill>
        </w:rPr>
      </w:pPr>
      <w:bookmarkStart w:id="50" w:name="_Toc15377222"/>
      <w:r>
        <w:rPr>
          <w:rFonts w:hint="eastAsia" w:ascii="仿宋" w:hAnsi="仿宋" w:eastAsia="仿宋"/>
          <w:b/>
          <w:color w:val="000000" w:themeColor="text1"/>
          <w:sz w:val="32"/>
          <w:szCs w:val="32"/>
          <w14:textFill>
            <w14:solidFill>
              <w14:schemeClr w14:val="tx1"/>
            </w14:solidFill>
          </w14:textFill>
        </w:rPr>
        <w:t>（一）机关运行经费支出情况</w:t>
      </w:r>
      <w:bookmarkEnd w:id="50"/>
    </w:p>
    <w:p w14:paraId="1A5D5129">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2019年，机关运行经费支出</w:t>
      </w:r>
      <w:r>
        <w:rPr>
          <w:rFonts w:hint="eastAsia" w:ascii="仿宋" w:hAnsi="仿宋" w:eastAsia="仿宋"/>
          <w:b/>
          <w:color w:val="000000" w:themeColor="text1"/>
          <w:sz w:val="32"/>
          <w:szCs w:val="32"/>
          <w14:textFill>
            <w14:solidFill>
              <w14:schemeClr w14:val="tx1"/>
            </w14:solidFill>
          </w14:textFill>
        </w:rPr>
        <w:t>629.57</w:t>
      </w:r>
      <w:r>
        <w:rPr>
          <w:rFonts w:hint="eastAsia" w:ascii="仿宋_GB2312" w:eastAsia="仿宋_GB2312"/>
          <w:color w:val="000000" w:themeColor="text1"/>
          <w:sz w:val="32"/>
          <w:szCs w:val="32"/>
          <w14:textFill>
            <w14:solidFill>
              <w14:schemeClr w14:val="tx1"/>
            </w14:solidFill>
          </w14:textFill>
        </w:rPr>
        <w:t>万元。</w:t>
      </w:r>
    </w:p>
    <w:p w14:paraId="08FF5F73">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14:textFill>
            <w14:solidFill>
              <w14:schemeClr w14:val="tx1"/>
            </w14:solidFill>
          </w14:textFill>
        </w:rPr>
      </w:pPr>
      <w:bookmarkStart w:id="51" w:name="_Toc15377223"/>
      <w:r>
        <w:rPr>
          <w:rFonts w:hint="eastAsia" w:ascii="仿宋" w:hAnsi="仿宋" w:eastAsia="仿宋"/>
          <w:b/>
          <w:color w:val="000000" w:themeColor="text1"/>
          <w:sz w:val="32"/>
          <w:szCs w:val="32"/>
          <w14:textFill>
            <w14:solidFill>
              <w14:schemeClr w14:val="tx1"/>
            </w14:solidFill>
          </w14:textFill>
        </w:rPr>
        <w:t>（二）政府采购支出情况</w:t>
      </w:r>
      <w:bookmarkEnd w:id="51"/>
    </w:p>
    <w:p w14:paraId="47FD722E">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2019年，无政府采购</w:t>
      </w:r>
    </w:p>
    <w:p w14:paraId="6112196A">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14:textFill>
            <w14:solidFill>
              <w14:schemeClr w14:val="tx1"/>
            </w14:solidFill>
          </w14:textFill>
        </w:rPr>
      </w:pPr>
      <w:bookmarkStart w:id="52" w:name="_Toc15377224"/>
      <w:r>
        <w:rPr>
          <w:rFonts w:hint="eastAsia" w:ascii="仿宋" w:hAnsi="仿宋" w:eastAsia="仿宋"/>
          <w:b/>
          <w:color w:val="000000" w:themeColor="text1"/>
          <w:sz w:val="32"/>
          <w:szCs w:val="32"/>
          <w14:textFill>
            <w14:solidFill>
              <w14:schemeClr w14:val="tx1"/>
            </w14:solidFill>
          </w14:textFill>
        </w:rPr>
        <w:t>（三）国有资产占有使用情况</w:t>
      </w:r>
      <w:bookmarkEnd w:id="52"/>
    </w:p>
    <w:p w14:paraId="0E65D506">
      <w:pPr>
        <w:autoSpaceDE w:val="0"/>
        <w:autoSpaceDN w:val="0"/>
        <w:adjustRightInd w:val="0"/>
        <w:spacing w:line="60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截至2019年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日，松潘县科农局共有车辆6辆。</w:t>
      </w:r>
    </w:p>
    <w:p w14:paraId="73A9EEAA">
      <w:pPr>
        <w:autoSpaceDE w:val="0"/>
        <w:autoSpaceDN w:val="0"/>
        <w:adjustRightInd w:val="0"/>
        <w:spacing w:line="600" w:lineRule="exact"/>
        <w:ind w:firstLine="643" w:firstLineChars="200"/>
        <w:jc w:val="left"/>
        <w:rPr>
          <w:rFonts w:ascii="仿宋_GB2312" w:eastAsia="仿宋_GB2312"/>
          <w:b/>
          <w:color w:val="000000" w:themeColor="text1"/>
          <w:sz w:val="32"/>
          <w:szCs w:val="32"/>
          <w14:textFill>
            <w14:solidFill>
              <w14:schemeClr w14:val="tx1"/>
            </w14:solidFill>
          </w14:textFill>
        </w:rPr>
      </w:pPr>
    </w:p>
    <w:p w14:paraId="5935E565">
      <w:pPr>
        <w:widowControl/>
        <w:jc w:val="left"/>
        <w:rPr>
          <w:rFonts w:ascii="仿宋_GB2312" w:eastAsia="仿宋_GB2312"/>
          <w:b/>
          <w:color w:val="000000" w:themeColor="text1"/>
          <w:sz w:val="32"/>
          <w:szCs w:val="32"/>
          <w14:textFill>
            <w14:solidFill>
              <w14:schemeClr w14:val="tx1"/>
            </w14:solidFill>
          </w14:textFill>
        </w:rPr>
      </w:pPr>
    </w:p>
    <w:p w14:paraId="03AE346E">
      <w:pPr>
        <w:numPr>
          <w:ilvl w:val="0"/>
          <w:numId w:val="5"/>
        </w:numPr>
        <w:spacing w:line="600" w:lineRule="exact"/>
        <w:ind w:firstLine="663" w:firstLineChars="150"/>
        <w:jc w:val="center"/>
        <w:outlineLvl w:val="0"/>
        <w:rPr>
          <w:rStyle w:val="28"/>
          <w:rFonts w:ascii="黑体" w:hAnsi="黑体" w:eastAsia="黑体"/>
          <w:b w:val="0"/>
          <w:color w:val="000000" w:themeColor="text1"/>
          <w14:textFill>
            <w14:solidFill>
              <w14:schemeClr w14:val="tx1"/>
            </w14:solidFill>
          </w14:textFill>
        </w:rPr>
      </w:pPr>
      <w:bookmarkStart w:id="53" w:name="_Toc15396613"/>
      <w:bookmarkStart w:id="54" w:name="_Toc15377225"/>
      <w:r>
        <w:rPr>
          <w:rFonts w:hint="eastAsia" w:ascii="黑体" w:hAnsi="黑体" w:eastAsia="黑体"/>
          <w:b/>
          <w:color w:val="000000" w:themeColor="text1"/>
          <w:sz w:val="44"/>
          <w:szCs w:val="44"/>
          <w14:textFill>
            <w14:solidFill>
              <w14:schemeClr w14:val="tx1"/>
            </w14:solidFill>
          </w14:textFill>
        </w:rPr>
        <w:t>名</w:t>
      </w:r>
      <w:r>
        <w:rPr>
          <w:rStyle w:val="28"/>
          <w:rFonts w:hint="eastAsia" w:ascii="黑体" w:hAnsi="黑体" w:eastAsia="黑体"/>
          <w:b w:val="0"/>
          <w:color w:val="000000" w:themeColor="text1"/>
          <w14:textFill>
            <w14:solidFill>
              <w14:schemeClr w14:val="tx1"/>
            </w14:solidFill>
          </w14:textFill>
        </w:rPr>
        <w:t>词解释</w:t>
      </w:r>
      <w:bookmarkEnd w:id="53"/>
      <w:bookmarkEnd w:id="54"/>
    </w:p>
    <w:p w14:paraId="4D1E002E">
      <w:pPr>
        <w:spacing w:line="600" w:lineRule="exact"/>
        <w:jc w:val="left"/>
        <w:rPr>
          <w:rFonts w:ascii="宋体"/>
          <w:b/>
          <w:color w:val="000000" w:themeColor="text1"/>
          <w:sz w:val="44"/>
          <w:szCs w:val="44"/>
          <w14:textFill>
            <w14:solidFill>
              <w14:schemeClr w14:val="tx1"/>
            </w14:solidFill>
          </w14:textFill>
        </w:rPr>
      </w:pPr>
    </w:p>
    <w:p w14:paraId="12F9C299">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财政拨款收入：指单位从同级财政部门取得的财政预算资金。</w:t>
      </w:r>
    </w:p>
    <w:p w14:paraId="12AB31EA">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事业收入：指事业单位开展专业业务活动及辅助活动取得的收入。</w:t>
      </w:r>
    </w:p>
    <w:p w14:paraId="4CA698AD">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经营收入：指事业单位在专业业务活动及其辅助活动之外开展非独立核算经营活动取得的收入。</w:t>
      </w:r>
    </w:p>
    <w:p w14:paraId="2E3C074E">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其他收入：指单位取得的除上述收入以外的各项收入。</w:t>
      </w:r>
    </w:p>
    <w:p w14:paraId="4FF108BC">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CE9067C">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年初结转和结余：指以前年度尚未完成、结转到本年按有关规定继续使用的资金。</w:t>
      </w:r>
    </w:p>
    <w:p w14:paraId="42AABC5B">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结余分配：指事业单位按照事业单位会计制度的规定从非财政补助结余中分配的事业基金和职工福利基金等。</w:t>
      </w:r>
    </w:p>
    <w:p w14:paraId="2B08CBE5">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、年末结转和结余：指单位按有关规定结转到下年或以后年度继续使用的资金。</w:t>
      </w:r>
    </w:p>
    <w:p w14:paraId="0B82EC0F">
      <w:pPr>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一般公共服务（类）…（款）…（项）：指2010101人大事务行政运行、2010301政府相关行政运行、2010302一般行政管理事务。</w:t>
      </w:r>
    </w:p>
    <w:p w14:paraId="38A6A316">
      <w:pPr>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0</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文化体育与传媒（类）…（款）…（项）：指2079999其他文化体育与传媒。</w:t>
      </w:r>
    </w:p>
    <w:p w14:paraId="6BCB6033">
      <w:pPr>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社会保障和就业（类）…（款）…（项）：指2080505机关事业单位养老保险缴费。</w:t>
      </w:r>
    </w:p>
    <w:p w14:paraId="7436833A">
      <w:pPr>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医疗卫生与计划生育（类）…（款）…（项）：指2101101行政单位医疗支出、2101102事业单位医疗支出。</w:t>
      </w:r>
    </w:p>
    <w:p w14:paraId="6A554E44">
      <w:pPr>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城乡社区（类）…（款）…（项）：指2120399其他城乡社区公共设施支出。</w:t>
      </w:r>
    </w:p>
    <w:p w14:paraId="65A86CD4">
      <w:pPr>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4农林水（类）…（款）…（项）：指</w:t>
      </w:r>
      <w:r>
        <w:rPr>
          <w:rStyle w:val="17"/>
          <w:rFonts w:hint="eastAsia" w:ascii="仿宋" w:hAnsi="仿宋" w:eastAsia="仿宋"/>
          <w:b w:val="0"/>
          <w:color w:val="000000" w:themeColor="text1"/>
          <w:sz w:val="32"/>
          <w:szCs w:val="32"/>
          <w14:textFill>
            <w14:solidFill>
              <w14:schemeClr w14:val="tx1"/>
            </w14:solidFill>
          </w14:textFill>
        </w:rPr>
        <w:t>2130104事业</w:t>
      </w:r>
      <w:r>
        <w:rPr>
          <w:rStyle w:val="17"/>
          <w:rFonts w:hint="eastAsia" w:ascii="仿宋" w:hAnsi="仿宋" w:eastAsia="仿宋"/>
          <w:b w:val="0"/>
          <w:bCs/>
          <w:color w:val="000000" w:themeColor="text1"/>
          <w:sz w:val="32"/>
          <w:szCs w:val="32"/>
          <w14:textFill>
            <w14:solidFill>
              <w14:schemeClr w14:val="tx1"/>
            </w14:solidFill>
          </w14:textFill>
        </w:rPr>
        <w:t>支出、2130504农村设施建设支出、2130506社会发展支出、2130599其他扶贫支出、2130705对村民委员会和村党支部的补助支出</w:t>
      </w:r>
      <w:r>
        <w:rPr>
          <w:rFonts w:hint="eastAsia" w:ascii="仿宋_GB2312" w:eastAsia="仿宋_GB2312"/>
          <w:color w:val="000000" w:themeColor="text1"/>
          <w:sz w:val="32"/>
          <w:szCs w:val="32"/>
          <w14:textFill>
            <w14:solidFill>
              <w14:schemeClr w14:val="tx1"/>
            </w14:solidFill>
          </w14:textFill>
        </w:rPr>
        <w:t>。</w:t>
      </w:r>
    </w:p>
    <w:p w14:paraId="0963F0F6">
      <w:pPr>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5</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住房保障支出（类）…（款）…（项）：指2210201住房公积金支出。</w:t>
      </w:r>
    </w:p>
    <w:p w14:paraId="5A1FCF1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16</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其他支出（类）…（款）…（项）：指2290611用于扶贫的彩票公益金支出。</w:t>
      </w:r>
    </w:p>
    <w:p w14:paraId="1158179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14:paraId="7B8D05B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项目支出：指在基本支出之外为完成特定行政任务和事业发展目标所发生的支出。</w:t>
      </w:r>
    </w:p>
    <w:p w14:paraId="6C204658">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9.</w:t>
      </w:r>
      <w:r>
        <w:rPr>
          <w:rFonts w:hint="eastAsia" w:ascii="仿宋_GB2312" w:eastAsia="仿宋_GB2312"/>
          <w:color w:val="000000" w:themeColor="text1"/>
          <w:sz w:val="32"/>
          <w:szCs w:val="32"/>
          <w14:textFill>
            <w14:solidFill>
              <w14:schemeClr w14:val="tx1"/>
            </w14:solidFill>
          </w14:textFill>
        </w:rPr>
        <w:t>经营支出：指事业单位在专业业务活动及其辅助活动之外开展非独立核算经营活动发生的支出。</w:t>
      </w:r>
    </w:p>
    <w:p w14:paraId="2D377F4D">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1B8503">
      <w:pPr>
        <w:pStyle w:val="2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CAAE56">
      <w:pPr>
        <w:pStyle w:val="5"/>
        <w:rPr>
          <w:rStyle w:val="28"/>
          <w:rFonts w:ascii="仿宋" w:hAnsi="仿宋" w:eastAsia="仿宋"/>
          <w:b w:val="0"/>
          <w:bCs w:val="0"/>
          <w:color w:val="000000" w:themeColor="text1"/>
          <w:sz w:val="32"/>
          <w:szCs w:val="32"/>
          <w14:textFill>
            <w14:solidFill>
              <w14:schemeClr w14:val="tx1"/>
            </w14:solidFill>
          </w14:textFill>
        </w:rPr>
      </w:pPr>
      <w:bookmarkStart w:id="55" w:name="_Toc15377226"/>
      <w:r>
        <w:rPr>
          <w:rFonts w:ascii="宋体"/>
          <w:color w:val="000000" w:themeColor="text1"/>
          <w:sz w:val="44"/>
          <w:szCs w:val="44"/>
          <w14:textFill>
            <w14:solidFill>
              <w14:schemeClr w14:val="tx1"/>
            </w14:solidFill>
          </w14:textFill>
        </w:rPr>
        <w:br w:type="page"/>
      </w:r>
    </w:p>
    <w:p w14:paraId="398F08D0">
      <w:pPr>
        <w:spacing w:line="600" w:lineRule="exact"/>
        <w:jc w:val="center"/>
        <w:outlineLvl w:val="0"/>
        <w:rPr>
          <w:rStyle w:val="28"/>
          <w:rFonts w:ascii="黑体" w:hAnsi="黑体" w:eastAsia="黑体"/>
          <w:b w:val="0"/>
          <w:color w:val="000000" w:themeColor="text1"/>
          <w14:textFill>
            <w14:solidFill>
              <w14:schemeClr w14:val="tx1"/>
            </w14:solidFill>
          </w14:textFill>
        </w:rPr>
      </w:pPr>
      <w:bookmarkStart w:id="56" w:name="_Toc15396618"/>
      <w:r>
        <w:rPr>
          <w:rFonts w:hint="eastAsia" w:ascii="黑体" w:hAnsi="黑体" w:eastAsia="黑体"/>
          <w:color w:val="000000" w:themeColor="text1"/>
          <w:sz w:val="44"/>
          <w:szCs w:val="44"/>
          <w14:textFill>
            <w14:solidFill>
              <w14:schemeClr w14:val="tx1"/>
            </w14:solidFill>
          </w14:textFill>
        </w:rPr>
        <w:t>第</w:t>
      </w:r>
      <w:r>
        <w:rPr>
          <w:rStyle w:val="28"/>
          <w:rFonts w:hint="eastAsia" w:ascii="黑体" w:hAnsi="黑体" w:eastAsia="黑体"/>
          <w:b w:val="0"/>
          <w:color w:val="000000" w:themeColor="text1"/>
          <w14:textFill>
            <w14:solidFill>
              <w14:schemeClr w14:val="tx1"/>
            </w14:solidFill>
          </w14:textFill>
        </w:rPr>
        <w:t>四部分 附件</w:t>
      </w:r>
    </w:p>
    <w:p w14:paraId="3F51D8CC">
      <w:pPr>
        <w:spacing w:line="600" w:lineRule="exact"/>
        <w:jc w:val="center"/>
        <w:outlineLvl w:val="0"/>
        <w:rPr>
          <w:rStyle w:val="28"/>
          <w:color w:val="000000" w:themeColor="text1"/>
          <w14:textFill>
            <w14:solidFill>
              <w14:schemeClr w14:val="tx1"/>
            </w14:solidFill>
          </w14:textFill>
        </w:rPr>
      </w:pPr>
    </w:p>
    <w:p w14:paraId="41F6DDA8">
      <w:pPr>
        <w:pStyle w:val="5"/>
        <w:rPr>
          <w:rStyle w:val="28"/>
          <w:rFonts w:ascii="仿宋" w:hAnsi="仿宋" w:eastAsia="仿宋"/>
          <w:b w:val="0"/>
          <w:bCs w:val="0"/>
          <w:color w:val="000000" w:themeColor="text1"/>
          <w:sz w:val="32"/>
          <w:szCs w:val="32"/>
          <w14:textFill>
            <w14:solidFill>
              <w14:schemeClr w14:val="tx1"/>
            </w14:solidFill>
          </w14:textFill>
        </w:rPr>
      </w:pPr>
      <w:r>
        <w:rPr>
          <w:rStyle w:val="28"/>
          <w:rFonts w:hint="eastAsia" w:ascii="仿宋" w:hAnsi="仿宋" w:eastAsia="仿宋"/>
          <w:b w:val="0"/>
          <w:bCs w:val="0"/>
          <w:color w:val="000000" w:themeColor="text1"/>
          <w:sz w:val="32"/>
          <w:szCs w:val="32"/>
          <w14:textFill>
            <w14:solidFill>
              <w14:schemeClr w14:val="tx1"/>
            </w14:solidFill>
          </w14:textFill>
        </w:rPr>
        <w:t>附件1</w:t>
      </w:r>
    </w:p>
    <w:p w14:paraId="36A23DD0">
      <w:pPr>
        <w:spacing w:line="600" w:lineRule="exact"/>
        <w:jc w:val="center"/>
        <w:outlineLvl w:val="0"/>
        <w:rPr>
          <w:rFonts w:ascii="黑体" w:hAnsi="黑体" w:eastAsia="黑体" w:cs="方正小标宋简体"/>
          <w:color w:val="000000" w:themeColor="text1"/>
          <w:sz w:val="36"/>
          <w:szCs w:val="36"/>
          <w14:textFill>
            <w14:solidFill>
              <w14:schemeClr w14:val="tx1"/>
            </w14:solidFill>
          </w14:textFill>
        </w:rPr>
      </w:pPr>
      <w:bookmarkStart w:id="57" w:name="_Toc15396616"/>
      <w:r>
        <w:rPr>
          <w:rFonts w:hint="eastAsia" w:ascii="黑体" w:hAnsi="黑体" w:eastAsia="黑体" w:cs="方正小标宋简体"/>
          <w:color w:val="000000" w:themeColor="text1"/>
          <w:sz w:val="36"/>
          <w:szCs w:val="36"/>
          <w14:textFill>
            <w14:solidFill>
              <w14:schemeClr w14:val="tx1"/>
            </w14:solidFill>
          </w14:textFill>
        </w:rPr>
        <w:t>科农局2019年部门整体支出绩效评价报告</w:t>
      </w:r>
      <w:bookmarkEnd w:id="57"/>
    </w:p>
    <w:p w14:paraId="092A2EDB">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p>
    <w:p w14:paraId="32543651">
      <w:pPr>
        <w:numPr>
          <w:ilvl w:val="0"/>
          <w:numId w:val="6"/>
        </w:num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部门（单位）概况</w:t>
      </w:r>
    </w:p>
    <w:p w14:paraId="63B48216">
      <w:pPr>
        <w:pStyle w:val="2"/>
        <w:ind w:firstLine="640"/>
        <w:rPr>
          <w:color w:val="000000" w:themeColor="text1"/>
          <w14:textFill>
            <w14:solidFill>
              <w14:schemeClr w14:val="tx1"/>
            </w14:solidFill>
          </w14:textFill>
        </w:rPr>
      </w:pPr>
      <w:r>
        <w:rPr>
          <w:rFonts w:ascii="仿宋" w:hAnsi="仿宋" w:eastAsia="仿宋" w:cs="仿宋_GB2312"/>
          <w:color w:val="000000" w:themeColor="text1"/>
          <w:szCs w:val="32"/>
          <w14:textFill>
            <w14:solidFill>
              <w14:schemeClr w14:val="tx1"/>
            </w14:solidFill>
          </w14:textFill>
        </w:rPr>
        <w:t>（一）机构组成。</w:t>
      </w:r>
    </w:p>
    <w:p w14:paraId="1EEF7CD5">
      <w:pPr>
        <w:spacing w:line="578" w:lineRule="exact"/>
        <w:ind w:firstLine="643" w:firstLineChars="200"/>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（一）</w:t>
      </w:r>
      <w:r>
        <w:rPr>
          <w:rFonts w:hint="eastAsia" w:eastAsia="楷体_GB2312"/>
          <w:b/>
          <w:bCs/>
          <w:color w:val="000000" w:themeColor="text1"/>
          <w:sz w:val="32"/>
          <w:szCs w:val="32"/>
          <w14:textFill>
            <w14:solidFill>
              <w14:schemeClr w14:val="tx1"/>
            </w14:solidFill>
          </w14:textFill>
        </w:rPr>
        <w:t>办公室</w:t>
      </w:r>
      <w:r>
        <w:rPr>
          <w:rFonts w:eastAsia="楷体_GB2312"/>
          <w:b/>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负责局机关文电、会务、档案、机要等日常运转工作；负责全局网络建设、后勤管理等工作；承担综合性文件、报告、调研、信息、保密、信访、政务公开、新闻宣传</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专业技术人员职称评聘、考核及管理等工作，组织办理人大代表建议、政协委员提案，协调农业行业安全生产工作。</w:t>
      </w:r>
    </w:p>
    <w:p w14:paraId="6494AE00">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负责部门预算并组织执行；做好行政经费、事业经费和项目专项经费的管理、使用、财务审计、监督以及各种财务报表及固定资产管理工作</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负责局机关和下属事业单位的工资调整、绩效管理等工作</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参与农业政策性补贴实施。</w:t>
      </w:r>
    </w:p>
    <w:p w14:paraId="36E41FCD">
      <w:pPr>
        <w:spacing w:line="578" w:lineRule="exact"/>
        <w:ind w:firstLine="643" w:firstLineChars="200"/>
        <w:rPr>
          <w:rFonts w:eastAsia="仿宋_GB2312"/>
          <w:color w:val="000000" w:themeColor="text1"/>
          <w:sz w:val="32"/>
          <w:szCs w:val="32"/>
          <w:shd w:val="clear" w:color="auto" w:fill="FFFFFF"/>
          <w14:textFill>
            <w14:solidFill>
              <w14:schemeClr w14:val="tx1"/>
            </w14:solidFill>
          </w14:textFill>
        </w:rPr>
      </w:pPr>
      <w:r>
        <w:rPr>
          <w:rFonts w:eastAsia="楷体_GB2312"/>
          <w:b/>
          <w:bCs/>
          <w:color w:val="000000" w:themeColor="text1"/>
          <w:sz w:val="32"/>
          <w:szCs w:val="32"/>
          <w14:textFill>
            <w14:solidFill>
              <w14:schemeClr w14:val="tx1"/>
            </w14:solidFill>
          </w14:textFill>
        </w:rPr>
        <w:t>（二）</w:t>
      </w:r>
      <w:r>
        <w:rPr>
          <w:rFonts w:hint="eastAsia" w:eastAsia="楷体_GB2312"/>
          <w:b/>
          <w:bCs/>
          <w:color w:val="000000" w:themeColor="text1"/>
          <w:sz w:val="32"/>
          <w:szCs w:val="32"/>
          <w:lang w:eastAsia="zh-CN"/>
          <w14:textFill>
            <w14:solidFill>
              <w14:schemeClr w14:val="tx1"/>
            </w14:solidFill>
          </w14:textFill>
        </w:rPr>
        <w:t>科学技术</w:t>
      </w:r>
      <w:r>
        <w:rPr>
          <w:rFonts w:eastAsia="楷体_GB2312"/>
          <w:b/>
          <w:bCs/>
          <w:color w:val="000000" w:themeColor="text1"/>
          <w:sz w:val="32"/>
          <w:szCs w:val="32"/>
          <w14:textFill>
            <w14:solidFill>
              <w14:schemeClr w14:val="tx1"/>
            </w14:solidFill>
          </w14:textFill>
        </w:rPr>
        <w:t>股。</w:t>
      </w:r>
      <w:r>
        <w:rPr>
          <w:rFonts w:eastAsia="仿宋_GB2312"/>
          <w:color w:val="000000" w:themeColor="text1"/>
          <w:sz w:val="32"/>
          <w:szCs w:val="32"/>
          <w14:textFill>
            <w14:solidFill>
              <w14:schemeClr w14:val="tx1"/>
            </w14:solidFill>
          </w14:textFill>
        </w:rPr>
        <w:t>负责拟订科学技术、农业社会化服务体系、农业科技创新体系、农技推广体系建设规划并组织实施。承担科技人员和农牧民教育培训工作；组织申报和管理农业科技成果。会同有关主管部门依法实施农业农村人才专业技术资格和从业资格管理</w:t>
      </w:r>
      <w:r>
        <w:rPr>
          <w:rFonts w:hint="eastAsia" w:eastAsia="仿宋_GB2312"/>
          <w:color w:val="000000" w:themeColor="text1"/>
          <w:sz w:val="32"/>
          <w:szCs w:val="32"/>
          <w14:textFill>
            <w14:solidFill>
              <w14:schemeClr w14:val="tx1"/>
            </w14:solidFill>
          </w14:textFill>
        </w:rPr>
        <w:t>，负责农产品</w:t>
      </w:r>
      <w:r>
        <w:rPr>
          <w:rFonts w:eastAsia="仿宋_GB2312"/>
          <w:color w:val="000000" w:themeColor="text1"/>
          <w:sz w:val="32"/>
          <w:szCs w:val="32"/>
          <w14:textFill>
            <w14:solidFill>
              <w14:schemeClr w14:val="tx1"/>
            </w14:solidFill>
          </w14:textFill>
        </w:rPr>
        <w:t>市场拓展、农业对外交流合作和信息化工作</w:t>
      </w:r>
      <w:r>
        <w:rPr>
          <w:rFonts w:hint="eastAsia" w:eastAsia="仿宋_GB2312"/>
          <w:color w:val="000000" w:themeColor="text1"/>
          <w:sz w:val="32"/>
          <w:szCs w:val="32"/>
          <w14:textFill>
            <w14:solidFill>
              <w14:schemeClr w14:val="tx1"/>
            </w14:solidFill>
          </w14:textFill>
        </w:rPr>
        <w:t>，承担科技和农业审批服务工作</w:t>
      </w:r>
      <w:r>
        <w:rPr>
          <w:rFonts w:eastAsia="仿宋_GB2312"/>
          <w:color w:val="000000" w:themeColor="text1"/>
          <w:sz w:val="32"/>
          <w:szCs w:val="32"/>
          <w14:textFill>
            <w14:solidFill>
              <w14:schemeClr w14:val="tx1"/>
            </w14:solidFill>
          </w14:textFill>
        </w:rPr>
        <w:t>。</w:t>
      </w:r>
    </w:p>
    <w:p w14:paraId="68A4C13B">
      <w:pPr>
        <w:spacing w:line="578" w:lineRule="exact"/>
        <w:ind w:firstLine="321" w:firstLineChars="100"/>
        <w:rPr>
          <w:rFonts w:eastAsia="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（三）</w:t>
      </w:r>
      <w:r>
        <w:rPr>
          <w:rFonts w:hint="eastAsia" w:eastAsia="楷体_GB2312"/>
          <w:b/>
          <w:bCs/>
          <w:color w:val="000000" w:themeColor="text1"/>
          <w:sz w:val="32"/>
          <w:szCs w:val="32"/>
          <w14:textFill>
            <w14:solidFill>
              <w14:schemeClr w14:val="tx1"/>
            </w14:solidFill>
          </w14:textFill>
        </w:rPr>
        <w:t>产业发展股</w:t>
      </w:r>
      <w:r>
        <w:rPr>
          <w:rFonts w:eastAsia="楷体_GB2312"/>
          <w:b/>
          <w:bCs/>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负责拟订乡村特色产业、农业加工业、休闲农业和乡镇企业发展规划并组织实施，承担农业现代产业园区建设工作，指导村庄整治、村容村貌提升，协调推动农村社会事业发展、公共服务体系建设和基础设施建设。</w:t>
      </w:r>
    </w:p>
    <w:p w14:paraId="1395D266">
      <w:pPr>
        <w:spacing w:line="578" w:lineRule="exact"/>
        <w:ind w:firstLine="321" w:firstLineChars="100"/>
        <w:rPr>
          <w:rFonts w:ascii="仿宋_GB2312" w:hAnsi="仿宋_GB2312" w:eastAsia="仿宋_GB2312" w:cs="仿宋_GB2312"/>
          <w:color w:val="000000" w:themeColor="text1"/>
          <w:sz w:val="32"/>
          <w:szCs w:val="32"/>
          <w14:textFill>
            <w14:solidFill>
              <w14:schemeClr w14:val="tx1"/>
            </w14:solidFill>
          </w14:textFill>
        </w:rPr>
      </w:pPr>
      <w:r>
        <w:rPr>
          <w:rFonts w:eastAsia="楷体_GB2312"/>
          <w:b/>
          <w:bCs/>
          <w:color w:val="000000" w:themeColor="text1"/>
          <w:sz w:val="32"/>
          <w:szCs w:val="32"/>
          <w14:textFill>
            <w14:solidFill>
              <w14:schemeClr w14:val="tx1"/>
            </w14:solidFill>
          </w14:textFill>
        </w:rPr>
        <w:t>（</w:t>
      </w:r>
      <w:r>
        <w:rPr>
          <w:rFonts w:hint="eastAsia" w:eastAsia="楷体_GB2312"/>
          <w:b/>
          <w:bCs/>
          <w:color w:val="000000" w:themeColor="text1"/>
          <w:sz w:val="32"/>
          <w:szCs w:val="32"/>
          <w14:textFill>
            <w14:solidFill>
              <w14:schemeClr w14:val="tx1"/>
            </w14:solidFill>
          </w14:textFill>
        </w:rPr>
        <w:t>四</w:t>
      </w:r>
      <w:r>
        <w:rPr>
          <w:rFonts w:eastAsia="楷体_GB2312"/>
          <w:b/>
          <w:bCs/>
          <w:color w:val="000000" w:themeColor="text1"/>
          <w:sz w:val="32"/>
          <w:szCs w:val="32"/>
          <w14:textFill>
            <w14:solidFill>
              <w14:schemeClr w14:val="tx1"/>
            </w14:solidFill>
          </w14:textFill>
        </w:rPr>
        <w:t>）农畜产品质量安全监管股。</w:t>
      </w:r>
      <w:r>
        <w:rPr>
          <w:rFonts w:eastAsia="仿宋_GB2312"/>
          <w:color w:val="000000" w:themeColor="text1"/>
          <w:sz w:val="32"/>
          <w:szCs w:val="32"/>
          <w14:textFill>
            <w14:solidFill>
              <w14:schemeClr w14:val="tx1"/>
            </w14:solidFill>
          </w14:textFill>
        </w:rPr>
        <w:t>负责编制农产品市场体系建设，承担农产品“三品一标”培育</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农产品质量安全监督管理工作，负责组织农产品地方标准的拟订，依法实施农产品生产（养殖）基地认定、产品认证和地理标志登记保护监督管理工作，负责无公害、绿色食品、有机食品和农产品地理标志建设和监督管理等工作，负责农产品质量安全风险评估和信息发布工作，组织开展农产品质量安全检验检测工作，参与实施质量强县工作和农产品示范县创建工作。</w:t>
      </w:r>
    </w:p>
    <w:p w14:paraId="75B53DFC">
      <w:pPr>
        <w:spacing w:line="578" w:lineRule="exact"/>
        <w:ind w:firstLine="640"/>
        <w:rPr>
          <w:rFonts w:eastAsia="仿宋_GB2312"/>
          <w:color w:val="000000" w:themeColor="text1"/>
          <w:sz w:val="32"/>
          <w:szCs w:val="32"/>
          <w14:textFill>
            <w14:solidFill>
              <w14:schemeClr w14:val="tx1"/>
            </w14:solidFill>
          </w14:textFill>
        </w:rPr>
      </w:pPr>
    </w:p>
    <w:p w14:paraId="4517EFD2">
      <w:pPr>
        <w:spacing w:line="580" w:lineRule="exact"/>
        <w:rPr>
          <w:rFonts w:ascii="仿宋" w:hAnsi="仿宋" w:eastAsia="仿宋" w:cs="仿宋_GB2312"/>
          <w:color w:val="000000" w:themeColor="text1"/>
          <w:sz w:val="24"/>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（二）机构职能。</w:t>
      </w:r>
    </w:p>
    <w:p w14:paraId="42582E1F">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（一）拟订全县创新驱动发展战略以及科技发展、引进国外智力规划和政策并组织实施</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统筹推进全</w:t>
      </w:r>
      <w:r>
        <w:rPr>
          <w:rFonts w:hint="eastAsia" w:eastAsia="仿宋_GB2312"/>
          <w:color w:val="000000" w:themeColor="text1"/>
          <w:sz w:val="32"/>
          <w:szCs w:val="32"/>
          <w14:textFill>
            <w14:solidFill>
              <w14:schemeClr w14:val="tx1"/>
            </w14:solidFill>
          </w14:textFill>
        </w:rPr>
        <w:t>县科技</w:t>
      </w:r>
      <w:r>
        <w:rPr>
          <w:rFonts w:eastAsia="仿宋_GB2312"/>
          <w:color w:val="000000" w:themeColor="text1"/>
          <w:sz w:val="32"/>
          <w:szCs w:val="32"/>
          <w14:textFill>
            <w14:solidFill>
              <w14:schemeClr w14:val="tx1"/>
            </w14:solidFill>
          </w14:textFill>
        </w:rPr>
        <w:t>创新体系建设和体制改革，会同有关部门健全技术创新激励机制，推动企业科技创新能力建设</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牵头建立统一的全县科技管理平台和科研项目资金协调、实施、评估、监管机制</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会同有关部门提出</w:t>
      </w:r>
      <w:r>
        <w:rPr>
          <w:rFonts w:hint="eastAsia" w:eastAsia="仿宋_GB2312"/>
          <w:color w:val="000000" w:themeColor="text1"/>
          <w:sz w:val="32"/>
          <w:szCs w:val="32"/>
          <w:lang w:eastAsia="zh-CN"/>
          <w14:textFill>
            <w14:solidFill>
              <w14:schemeClr w14:val="tx1"/>
            </w14:solidFill>
          </w14:textFill>
        </w:rPr>
        <w:t>优化配置创新资源</w:t>
      </w:r>
      <w:r>
        <w:rPr>
          <w:rFonts w:eastAsia="仿宋_GB2312"/>
          <w:color w:val="000000" w:themeColor="text1"/>
          <w:sz w:val="32"/>
          <w:szCs w:val="32"/>
          <w14:textFill>
            <w14:solidFill>
              <w14:schemeClr w14:val="tx1"/>
            </w14:solidFill>
          </w14:textFill>
        </w:rPr>
        <w:t>的政策措施建议，推动多元化科技投入体系建设</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组织拟订县级财政科技计划（专项、基金）并监督和实施。</w:t>
      </w:r>
      <w:r>
        <w:rPr>
          <w:rFonts w:hint="eastAsia" w:eastAsia="仿宋_GB2312"/>
          <w:color w:val="000000" w:themeColor="text1"/>
          <w:sz w:val="32"/>
          <w:szCs w:val="32"/>
          <w14:textFill>
            <w14:solidFill>
              <w14:schemeClr w14:val="tx1"/>
            </w14:solidFill>
          </w14:textFill>
        </w:rPr>
        <w:t>负责农业先进实用技术的引进、试验示范和推广工作。</w:t>
      </w:r>
    </w:p>
    <w:p w14:paraId="4BEE2524">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w:t>
      </w:r>
      <w:r>
        <w:rPr>
          <w:rFonts w:hint="eastAsia" w:eastAsia="仿宋_GB2312"/>
          <w:color w:val="000000" w:themeColor="text1"/>
          <w:sz w:val="32"/>
          <w:szCs w:val="32"/>
          <w14:textFill>
            <w14:solidFill>
              <w14:schemeClr w14:val="tx1"/>
            </w14:solidFill>
          </w14:textFill>
        </w:rPr>
        <w:t>负责科学技术普及工作，指导、协调科普活动和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w:t>
      </w:r>
      <w:r>
        <w:rPr>
          <w:rFonts w:hint="eastAsia" w:eastAsia="仿宋_GB2312"/>
          <w:color w:val="000000" w:themeColor="text1"/>
          <w:sz w:val="32"/>
          <w:szCs w:val="32"/>
          <w:lang w:eastAsia="zh-CN"/>
          <w14:textFill>
            <w14:solidFill>
              <w14:schemeClr w14:val="tx1"/>
            </w14:solidFill>
          </w14:textFill>
        </w:rPr>
        <w:t>国际</w:t>
      </w:r>
      <w:r>
        <w:rPr>
          <w:rFonts w:hint="eastAsia" w:eastAsia="仿宋_GB2312"/>
          <w:color w:val="000000" w:themeColor="text1"/>
          <w:sz w:val="32"/>
          <w:szCs w:val="32"/>
          <w14:textFill>
            <w14:solidFill>
              <w14:schemeClr w14:val="tx1"/>
            </w14:solidFill>
          </w14:textFill>
        </w:rPr>
        <w:t>智力工作，</w:t>
      </w:r>
      <w:r>
        <w:rPr>
          <w:rFonts w:eastAsia="仿宋_GB2312"/>
          <w:color w:val="000000" w:themeColor="text1"/>
          <w:sz w:val="32"/>
          <w:szCs w:val="32"/>
          <w14:textFill>
            <w14:solidFill>
              <w14:schemeClr w14:val="tx1"/>
            </w14:solidFill>
          </w14:textFill>
        </w:rPr>
        <w:t>会同有关部门制定外国人来县工作政策、办理相关外国人工作许可。</w:t>
      </w:r>
    </w:p>
    <w:p w14:paraId="0A13B3AB">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w:t>
      </w:r>
      <w:r>
        <w:rPr>
          <w:rFonts w:hint="eastAsia" w:eastAsia="仿宋_GB2312"/>
          <w:color w:val="000000" w:themeColor="text1"/>
          <w:sz w:val="32"/>
          <w:szCs w:val="32"/>
          <w14:textFill>
            <w14:solidFill>
              <w14:schemeClr w14:val="tx1"/>
            </w14:solidFill>
          </w14:textFill>
        </w:rPr>
        <w:t>负责</w:t>
      </w:r>
      <w:r>
        <w:rPr>
          <w:rFonts w:eastAsia="仿宋_GB2312"/>
          <w:color w:val="000000" w:themeColor="text1"/>
          <w:sz w:val="32"/>
          <w:szCs w:val="32"/>
          <w14:textFill>
            <w14:solidFill>
              <w14:schemeClr w14:val="tx1"/>
            </w14:solidFill>
          </w14:textFill>
        </w:rPr>
        <w:t>拟订全县科技人才队伍建设规划并组织实施，建立健全科技人才评价和激励机制，推动高端科技人才队伍建设。</w:t>
      </w:r>
      <w:r>
        <w:rPr>
          <w:rFonts w:hint="eastAsia" w:eastAsia="仿宋_GB2312"/>
          <w:color w:val="000000" w:themeColor="text1"/>
          <w:sz w:val="32"/>
          <w:szCs w:val="32"/>
          <w14:textFill>
            <w14:solidFill>
              <w14:schemeClr w14:val="tx1"/>
            </w14:solidFill>
          </w14:textFill>
        </w:rPr>
        <w:t>指导农牧业职业教育工作，参与实施农村实用人才培训工程，会同有关部门依法实施农业、农村人才专业技术资格和从业资格管理的有关工作</w:t>
      </w:r>
      <w:r>
        <w:rPr>
          <w:rFonts w:eastAsia="仿宋_GB2312"/>
          <w:color w:val="000000" w:themeColor="text1"/>
          <w:sz w:val="32"/>
          <w:szCs w:val="32"/>
          <w14:textFill>
            <w14:solidFill>
              <w14:schemeClr w14:val="tx1"/>
            </w14:solidFill>
          </w14:textFill>
        </w:rPr>
        <w:t>。</w:t>
      </w:r>
    </w:p>
    <w:p w14:paraId="30E05594">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（四）贯彻执行</w:t>
      </w:r>
      <w:r>
        <w:fldChar w:fldCharType="begin"/>
      </w:r>
      <w:r>
        <w:instrText xml:space="preserve"> HYPERLINK "https://baike.baidu.com/item/%E5%9B%BD%E5%AE%B6/17205" \t "https://baike.baidu.com/item/%E4%B9%9D%E9%BE%99%E5%8E%BF%E5%86%9C%E7%89%A7%E5%92%8C%E7%A7%91%E6%8A%80%E5%B1%80/_blank" </w:instrText>
      </w:r>
      <w:r>
        <w:fldChar w:fldCharType="separate"/>
      </w:r>
      <w:r>
        <w:rPr>
          <w:rFonts w:eastAsia="仿宋_GB2312"/>
          <w:color w:val="000000" w:themeColor="text1"/>
          <w:sz w:val="32"/>
          <w:szCs w:val="32"/>
          <w14:textFill>
            <w14:solidFill>
              <w14:schemeClr w14:val="tx1"/>
            </w14:solidFill>
          </w14:textFill>
        </w:rPr>
        <w:t>国家</w:t>
      </w:r>
      <w:r>
        <w:rPr>
          <w:rFonts w:eastAsia="仿宋_GB2312"/>
          <w:color w:val="000000" w:themeColor="text1"/>
          <w:sz w:val="32"/>
          <w:szCs w:val="32"/>
          <w14:textFill>
            <w14:solidFill>
              <w14:schemeClr w14:val="tx1"/>
            </w14:solidFill>
          </w14:textFill>
        </w:rPr>
        <w:fldChar w:fldCharType="end"/>
      </w:r>
      <w:r>
        <w:rPr>
          <w:rFonts w:eastAsia="仿宋_GB2312"/>
          <w:color w:val="000000" w:themeColor="text1"/>
          <w:sz w:val="32"/>
          <w:szCs w:val="32"/>
          <w14:textFill>
            <w14:solidFill>
              <w14:schemeClr w14:val="tx1"/>
            </w14:solidFill>
          </w14:textFill>
        </w:rPr>
        <w:t>有关科学技术、农牧渔业、</w:t>
      </w:r>
      <w:r>
        <w:rPr>
          <w:rFonts w:hint="eastAsia" w:eastAsia="仿宋_GB2312"/>
          <w:color w:val="000000" w:themeColor="text1"/>
          <w:sz w:val="32"/>
          <w:szCs w:val="32"/>
          <w14:textFill>
            <w14:solidFill>
              <w14:schemeClr w14:val="tx1"/>
            </w14:solidFill>
          </w14:textFill>
        </w:rPr>
        <w:t>农</w:t>
      </w:r>
      <w:r>
        <w:rPr>
          <w:rFonts w:eastAsia="仿宋_GB2312"/>
          <w:color w:val="000000" w:themeColor="text1"/>
          <w:sz w:val="32"/>
          <w:szCs w:val="32"/>
          <w14:textFill>
            <w14:solidFill>
              <w14:schemeClr w14:val="tx1"/>
            </w14:solidFill>
          </w14:textFill>
        </w:rPr>
        <w:t>业机械化等领域工作的法律法规、政策以及省州县有关决策部署。拟订和组织实施“三农”工作、科学技术</w:t>
      </w:r>
      <w:r>
        <w:rPr>
          <w:rFonts w:hint="eastAsia" w:eastAsia="仿宋_GB2312"/>
          <w:color w:val="000000" w:themeColor="text1"/>
          <w:sz w:val="32"/>
          <w:szCs w:val="32"/>
          <w14:textFill>
            <w14:solidFill>
              <w14:schemeClr w14:val="tx1"/>
            </w14:solidFill>
          </w14:textFill>
        </w:rPr>
        <w:t>的重大政策</w:t>
      </w:r>
      <w:r>
        <w:rPr>
          <w:rFonts w:eastAsia="仿宋_GB2312"/>
          <w:color w:val="000000" w:themeColor="text1"/>
          <w:sz w:val="32"/>
          <w:szCs w:val="32"/>
          <w14:textFill>
            <w14:solidFill>
              <w14:schemeClr w14:val="tx1"/>
            </w14:solidFill>
          </w14:textFill>
        </w:rPr>
        <w:t>中长期规划和年度计划；起草农业农村、科学技术等有关</w:t>
      </w:r>
      <w:r>
        <w:rPr>
          <w:rFonts w:hint="eastAsia" w:eastAsia="仿宋_GB2312"/>
          <w:color w:val="000000" w:themeColor="text1"/>
          <w:sz w:val="32"/>
          <w:szCs w:val="32"/>
          <w14:textFill>
            <w14:solidFill>
              <w14:schemeClr w14:val="tx1"/>
            </w14:solidFill>
          </w14:textFill>
        </w:rPr>
        <w:t>地方性</w:t>
      </w:r>
      <w:r>
        <w:rPr>
          <w:rFonts w:eastAsia="仿宋_GB2312"/>
          <w:color w:val="000000" w:themeColor="text1"/>
          <w:sz w:val="32"/>
          <w:szCs w:val="32"/>
          <w14:textFill>
            <w14:solidFill>
              <w14:schemeClr w14:val="tx1"/>
            </w14:solidFill>
          </w14:textFill>
        </w:rPr>
        <w:t>行政规范性文件。参与拟订涉农财税、价格、金融保险等政策，提出农业产业保护的政策建议，推进依法行政。</w:t>
      </w:r>
    </w:p>
    <w:p w14:paraId="293FD9EC">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（五）统筹推进乡村振兴战略，牵头组织改善全县农村人居环境。统筹推动发展农村社会事业、农村公共服务、农村文化、农村基础设施和乡村治理。指导农业遗产的保护和开发利用</w:t>
      </w:r>
      <w:r>
        <w:rPr>
          <w:rFonts w:hint="eastAsia" w:eastAsia="仿宋_GB2312"/>
          <w:color w:val="000000" w:themeColor="text1"/>
          <w:sz w:val="32"/>
          <w:szCs w:val="32"/>
          <w14:textFill>
            <w14:solidFill>
              <w14:schemeClr w14:val="tx1"/>
            </w14:solidFill>
          </w14:textFill>
        </w:rPr>
        <w:t>以及</w:t>
      </w:r>
      <w:r>
        <w:rPr>
          <w:rFonts w:eastAsia="仿宋_GB2312"/>
          <w:color w:val="000000" w:themeColor="text1"/>
          <w:sz w:val="32"/>
          <w:szCs w:val="32"/>
          <w14:textFill>
            <w14:solidFill>
              <w14:schemeClr w14:val="tx1"/>
            </w14:solidFill>
          </w14:textFill>
        </w:rPr>
        <w:t>农村精神文明和优秀农耕文化建设。</w:t>
      </w:r>
    </w:p>
    <w:p w14:paraId="1197ED55">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（六）贯彻落实农村经济体制和巩固完善农村基本经营制度的政策措施。负责农民承包地、农村宅基地管理和改革等有关工作。负责农村集体</w:t>
      </w:r>
      <w:r>
        <w:rPr>
          <w:rFonts w:hint="eastAsia" w:eastAsia="仿宋_GB2312"/>
          <w:color w:val="000000" w:themeColor="text1"/>
          <w:sz w:val="32"/>
          <w:szCs w:val="32"/>
          <w14:textFill>
            <w14:solidFill>
              <w14:schemeClr w14:val="tx1"/>
            </w14:solidFill>
          </w14:textFill>
        </w:rPr>
        <w:t>资</w:t>
      </w:r>
      <w:r>
        <w:rPr>
          <w:rFonts w:eastAsia="仿宋_GB2312"/>
          <w:color w:val="000000" w:themeColor="text1"/>
          <w:sz w:val="32"/>
          <w:szCs w:val="32"/>
          <w14:textFill>
            <w14:solidFill>
              <w14:schemeClr w14:val="tx1"/>
            </w14:solidFill>
          </w14:textFill>
        </w:rPr>
        <w:t>产</w:t>
      </w:r>
      <w:r>
        <w:rPr>
          <w:rFonts w:hint="eastAsia" w:eastAsia="仿宋_GB2312"/>
          <w:color w:val="000000" w:themeColor="text1"/>
          <w:sz w:val="32"/>
          <w:szCs w:val="32"/>
          <w14:textFill>
            <w14:solidFill>
              <w14:schemeClr w14:val="tx1"/>
            </w14:solidFill>
          </w14:textFill>
        </w:rPr>
        <w:t>监管和产</w:t>
      </w:r>
      <w:r>
        <w:rPr>
          <w:rFonts w:eastAsia="仿宋_GB2312"/>
          <w:color w:val="000000" w:themeColor="text1"/>
          <w:sz w:val="32"/>
          <w:szCs w:val="32"/>
          <w14:textFill>
            <w14:solidFill>
              <w14:schemeClr w14:val="tx1"/>
            </w14:solidFill>
          </w14:textFill>
        </w:rPr>
        <w:t>权制度改革，指导农村集体经济组织发展</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指导农民合作经济</w:t>
      </w:r>
      <w:r>
        <w:rPr>
          <w:rFonts w:hint="eastAsia" w:eastAsia="仿宋_GB2312"/>
          <w:color w:val="000000" w:themeColor="text1"/>
          <w:sz w:val="32"/>
          <w:szCs w:val="32"/>
          <w14:textFill>
            <w14:solidFill>
              <w14:schemeClr w14:val="tx1"/>
            </w14:solidFill>
          </w14:textFill>
        </w:rPr>
        <w:t>等</w:t>
      </w:r>
      <w:r>
        <w:rPr>
          <w:rFonts w:eastAsia="仿宋_GB2312"/>
          <w:color w:val="000000" w:themeColor="text1"/>
          <w:sz w:val="32"/>
          <w:szCs w:val="32"/>
          <w14:textFill>
            <w14:solidFill>
              <w14:schemeClr w14:val="tx1"/>
            </w14:solidFill>
          </w14:textFill>
        </w:rPr>
        <w:t>新型农业经营主体建设与发展。监督减轻农民负担和村民筹资筹劳</w:t>
      </w:r>
      <w:r>
        <w:rPr>
          <w:rFonts w:hint="eastAsia" w:eastAsia="仿宋_GB2312"/>
          <w:color w:val="000000" w:themeColor="text1"/>
          <w:sz w:val="32"/>
          <w:szCs w:val="32"/>
          <w14:textFill>
            <w14:solidFill>
              <w14:schemeClr w14:val="tx1"/>
            </w14:solidFill>
          </w14:textFill>
        </w:rPr>
        <w:t>等</w:t>
      </w:r>
      <w:r>
        <w:rPr>
          <w:rFonts w:eastAsia="仿宋_GB2312"/>
          <w:color w:val="000000" w:themeColor="text1"/>
          <w:sz w:val="32"/>
          <w:szCs w:val="32"/>
          <w14:textFill>
            <w14:solidFill>
              <w14:schemeClr w14:val="tx1"/>
            </w14:solidFill>
          </w14:textFill>
        </w:rPr>
        <w:t>。</w:t>
      </w:r>
    </w:p>
    <w:p w14:paraId="0C788B02">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（七）指导乡村特色产业、农产品加工业（产地初加工）、休闲农业和乡村企业发展工作。</w:t>
      </w:r>
      <w:r>
        <w:rPr>
          <w:rFonts w:hint="eastAsia" w:eastAsia="仿宋_GB2312"/>
          <w:color w:val="000000" w:themeColor="text1"/>
          <w:sz w:val="32"/>
          <w:szCs w:val="32"/>
          <w14:textFill>
            <w14:solidFill>
              <w14:schemeClr w14:val="tx1"/>
            </w14:solidFill>
          </w14:textFill>
        </w:rPr>
        <w:t>负责拟订全县</w:t>
      </w:r>
      <w:r>
        <w:rPr>
          <w:rFonts w:eastAsia="仿宋_GB2312"/>
          <w:color w:val="000000" w:themeColor="text1"/>
          <w:sz w:val="32"/>
          <w:szCs w:val="32"/>
          <w14:textFill>
            <w14:solidFill>
              <w14:schemeClr w14:val="tx1"/>
            </w14:solidFill>
          </w14:textFill>
        </w:rPr>
        <w:t>优势特色效益农业、现代农业产业基地建设规划并组织实施，提出促进农产品流通政策建议，</w:t>
      </w:r>
      <w:r>
        <w:rPr>
          <w:rFonts w:hint="eastAsia" w:eastAsia="仿宋_GB2312"/>
          <w:color w:val="000000" w:themeColor="text1"/>
          <w:sz w:val="32"/>
          <w:szCs w:val="32"/>
          <w14:textFill>
            <w14:solidFill>
              <w14:schemeClr w14:val="tx1"/>
            </w14:solidFill>
          </w14:textFill>
        </w:rPr>
        <w:t>负责全县</w:t>
      </w:r>
      <w:r>
        <w:rPr>
          <w:rFonts w:eastAsia="仿宋_GB2312"/>
          <w:color w:val="000000" w:themeColor="text1"/>
          <w:sz w:val="32"/>
          <w:szCs w:val="32"/>
          <w14:textFill>
            <w14:solidFill>
              <w14:schemeClr w14:val="tx1"/>
            </w14:solidFill>
          </w14:textFill>
        </w:rPr>
        <w:t>农产品</w:t>
      </w:r>
      <w:r>
        <w:rPr>
          <w:rFonts w:hint="eastAsia" w:eastAsia="仿宋_GB2312"/>
          <w:color w:val="000000" w:themeColor="text1"/>
          <w:sz w:val="32"/>
          <w:szCs w:val="32"/>
          <w14:textFill>
            <w14:solidFill>
              <w14:schemeClr w14:val="tx1"/>
            </w14:solidFill>
          </w14:textFill>
        </w:rPr>
        <w:t>“三品一标”</w:t>
      </w:r>
      <w:r>
        <w:rPr>
          <w:rFonts w:eastAsia="仿宋_GB2312"/>
          <w:color w:val="000000" w:themeColor="text1"/>
          <w:sz w:val="32"/>
          <w:szCs w:val="32"/>
          <w14:textFill>
            <w14:solidFill>
              <w14:schemeClr w14:val="tx1"/>
            </w14:solidFill>
          </w14:textFill>
        </w:rPr>
        <w:t>品牌</w:t>
      </w:r>
      <w:r>
        <w:rPr>
          <w:rFonts w:hint="eastAsia" w:eastAsia="仿宋_GB2312"/>
          <w:color w:val="000000" w:themeColor="text1"/>
          <w:sz w:val="32"/>
          <w:szCs w:val="32"/>
          <w14:textFill>
            <w14:solidFill>
              <w14:schemeClr w14:val="tx1"/>
            </w14:solidFill>
          </w14:textFill>
        </w:rPr>
        <w:t>培育和保护工作</w:t>
      </w:r>
      <w:r>
        <w:rPr>
          <w:rFonts w:eastAsia="仿宋_GB2312"/>
          <w:color w:val="000000" w:themeColor="text1"/>
          <w:sz w:val="32"/>
          <w:szCs w:val="32"/>
          <w14:textFill>
            <w14:solidFill>
              <w14:schemeClr w14:val="tx1"/>
            </w14:solidFill>
          </w14:textFill>
        </w:rPr>
        <w:t>。承担农业统计和农业农村信息化等相关工作；组织</w:t>
      </w:r>
      <w:r>
        <w:rPr>
          <w:rFonts w:hint="eastAsia" w:eastAsia="仿宋_GB2312"/>
          <w:color w:val="000000" w:themeColor="text1"/>
          <w:sz w:val="32"/>
          <w:szCs w:val="32"/>
          <w14:textFill>
            <w14:solidFill>
              <w14:schemeClr w14:val="tx1"/>
            </w14:solidFill>
          </w14:textFill>
        </w:rPr>
        <w:t>实施</w:t>
      </w:r>
      <w:r>
        <w:rPr>
          <w:rFonts w:eastAsia="仿宋_GB2312"/>
          <w:color w:val="000000" w:themeColor="text1"/>
          <w:sz w:val="32"/>
          <w:szCs w:val="32"/>
          <w14:textFill>
            <w14:solidFill>
              <w14:schemeClr w14:val="tx1"/>
            </w14:solidFill>
          </w14:textFill>
        </w:rPr>
        <w:t xml:space="preserve">“菜篮子”工程有关工作。                                                    </w:t>
      </w:r>
    </w:p>
    <w:p w14:paraId="077976E4">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（八）负责全县</w:t>
      </w:r>
      <w:r>
        <w:rPr>
          <w:rFonts w:hint="eastAsia" w:eastAsia="仿宋_GB2312"/>
          <w:color w:val="000000" w:themeColor="text1"/>
          <w:sz w:val="32"/>
          <w:szCs w:val="32"/>
          <w14:textFill>
            <w14:solidFill>
              <w14:schemeClr w14:val="tx1"/>
            </w14:solidFill>
          </w14:textFill>
        </w:rPr>
        <w:t>农</w:t>
      </w:r>
      <w:r>
        <w:rPr>
          <w:rFonts w:eastAsia="仿宋_GB2312"/>
          <w:color w:val="000000" w:themeColor="text1"/>
          <w:sz w:val="32"/>
          <w:szCs w:val="32"/>
          <w14:textFill>
            <w14:solidFill>
              <w14:schemeClr w14:val="tx1"/>
            </w14:solidFill>
          </w14:textFill>
        </w:rPr>
        <w:t>牧渔业、农业机械化等的监督管理。</w:t>
      </w:r>
      <w:r>
        <w:rPr>
          <w:rFonts w:hint="eastAsia" w:eastAsia="仿宋_GB2312"/>
          <w:color w:val="000000" w:themeColor="text1"/>
          <w:sz w:val="32"/>
          <w:szCs w:val="32"/>
          <w14:textFill>
            <w14:solidFill>
              <w14:schemeClr w14:val="tx1"/>
            </w14:solidFill>
          </w14:textFill>
        </w:rPr>
        <w:t>贯彻落实粮油、畜禽、水产等主要农产品生产发展的相关政策措施</w:t>
      </w:r>
      <w:r>
        <w:rPr>
          <w:rFonts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组织构建现代农业产业体系、生产体系、经营体系，指导农业标准化、规模化生产。引导农业产业结构调整和产品品质改善，促进农业绿色发展。</w:t>
      </w:r>
    </w:p>
    <w:p w14:paraId="59D2ADEB">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（九）负责</w:t>
      </w:r>
      <w:r>
        <w:rPr>
          <w:rFonts w:hint="eastAsia" w:eastAsia="仿宋_GB2312"/>
          <w:color w:val="000000" w:themeColor="text1"/>
          <w:sz w:val="32"/>
          <w:szCs w:val="32"/>
          <w14:textFill>
            <w14:solidFill>
              <w14:schemeClr w14:val="tx1"/>
            </w14:solidFill>
          </w14:textFill>
        </w:rPr>
        <w:t>拟订</w:t>
      </w:r>
      <w:r>
        <w:rPr>
          <w:rFonts w:eastAsia="仿宋_GB2312"/>
          <w:color w:val="000000" w:themeColor="text1"/>
          <w:sz w:val="32"/>
          <w:szCs w:val="32"/>
          <w14:textFill>
            <w14:solidFill>
              <w14:schemeClr w14:val="tx1"/>
            </w14:solidFill>
          </w14:textFill>
        </w:rPr>
        <w:t>全县</w:t>
      </w:r>
      <w:r>
        <w:rPr>
          <w:rFonts w:hint="eastAsia" w:eastAsia="仿宋_GB2312"/>
          <w:color w:val="000000" w:themeColor="text1"/>
          <w:sz w:val="32"/>
          <w:szCs w:val="32"/>
          <w14:textFill>
            <w14:solidFill>
              <w14:schemeClr w14:val="tx1"/>
            </w14:solidFill>
          </w14:textFill>
        </w:rPr>
        <w:t>先进</w:t>
      </w:r>
      <w:r>
        <w:rPr>
          <w:rFonts w:eastAsia="仿宋_GB2312"/>
          <w:color w:val="000000" w:themeColor="text1"/>
          <w:sz w:val="32"/>
          <w:szCs w:val="32"/>
          <w14:textFill>
            <w14:solidFill>
              <w14:schemeClr w14:val="tx1"/>
            </w14:solidFill>
          </w14:textFill>
        </w:rPr>
        <w:t>农业机械化发展规划并组织实施。指导设施农业、农机库棚、机电提灌、机耕道等基础设施建设。</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 xml:space="preserve">    （十）负责全县农产品质量安全监督管理。组织开展农产品</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质量安全监测、追溯、风险评估。参与制定农产品质量安全地方标准并会同有关部门组织实施，指导农业检验检测体系建设</w:t>
      </w:r>
      <w:r>
        <w:rPr>
          <w:rFonts w:hint="eastAsia" w:eastAsia="仿宋_GB2312"/>
          <w:color w:val="000000" w:themeColor="text1"/>
          <w:sz w:val="32"/>
          <w:szCs w:val="32"/>
          <w14:textFill>
            <w14:solidFill>
              <w14:schemeClr w14:val="tx1"/>
            </w14:solidFill>
          </w14:textFill>
        </w:rPr>
        <w:t>，负责</w:t>
      </w:r>
      <w:r>
        <w:rPr>
          <w:rFonts w:eastAsia="仿宋_GB2312"/>
          <w:color w:val="000000" w:themeColor="text1"/>
          <w:sz w:val="32"/>
          <w:szCs w:val="32"/>
          <w14:textFill>
            <w14:solidFill>
              <w14:schemeClr w14:val="tx1"/>
            </w14:solidFill>
          </w14:textFill>
        </w:rPr>
        <w:t>农产品生产基地认定、产品认证、农产品地理标志登记保护和监督管理。</w:t>
      </w:r>
    </w:p>
    <w:p w14:paraId="0266E6D8">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（十一）组织开展全县农业资源区划和资源保护工作。指导农牧</w:t>
      </w:r>
      <w:r>
        <w:rPr>
          <w:rFonts w:hint="eastAsia" w:eastAsia="仿宋_GB2312"/>
          <w:color w:val="000000" w:themeColor="text1"/>
          <w:sz w:val="32"/>
          <w:szCs w:val="32"/>
          <w14:textFill>
            <w14:solidFill>
              <w14:schemeClr w14:val="tx1"/>
            </w14:solidFill>
          </w14:textFill>
        </w:rPr>
        <w:t>业</w:t>
      </w:r>
      <w:r>
        <w:rPr>
          <w:rFonts w:eastAsia="仿宋_GB2312"/>
          <w:color w:val="000000" w:themeColor="text1"/>
          <w:sz w:val="32"/>
          <w:szCs w:val="32"/>
          <w14:textFill>
            <w14:solidFill>
              <w14:schemeClr w14:val="tx1"/>
            </w14:solidFill>
          </w14:textFill>
        </w:rPr>
        <w:t>用地、渔业水域以及农业生物物种资源的保护与管理，负责动植物</w:t>
      </w:r>
      <w:r>
        <w:rPr>
          <w:rFonts w:hint="eastAsia" w:eastAsia="仿宋_GB2312"/>
          <w:color w:val="000000" w:themeColor="text1"/>
          <w:sz w:val="32"/>
          <w:szCs w:val="32"/>
          <w14:textFill>
            <w14:solidFill>
              <w14:schemeClr w14:val="tx1"/>
            </w14:solidFill>
          </w14:textFill>
        </w:rPr>
        <w:t>（含水生）</w:t>
      </w:r>
      <w:r>
        <w:rPr>
          <w:rFonts w:eastAsia="仿宋_GB2312"/>
          <w:color w:val="000000" w:themeColor="text1"/>
          <w:sz w:val="32"/>
          <w:szCs w:val="32"/>
          <w14:textFill>
            <w14:solidFill>
              <w14:schemeClr w14:val="tx1"/>
            </w14:solidFill>
          </w14:textFill>
        </w:rPr>
        <w:t>保护、耕地及永久基本农田质量保护工作。负责农村能源建设和资源环境工作。指导农产品产地环境管理和农业清洁生产，提出划定农产品禁止生产区域的政策建议，指导生态循环农业、节水农业发展以及农村可再生能源综合开发利用</w:t>
      </w:r>
      <w:r>
        <w:rPr>
          <w:rFonts w:hint="eastAsia" w:eastAsia="仿宋_GB2312"/>
          <w:color w:val="000000" w:themeColor="text1"/>
          <w:sz w:val="32"/>
          <w:szCs w:val="32"/>
          <w14:textFill>
            <w14:solidFill>
              <w14:schemeClr w14:val="tx1"/>
            </w14:solidFill>
          </w14:textFill>
        </w:rPr>
        <w:t>等</w:t>
      </w:r>
      <w:r>
        <w:rPr>
          <w:rFonts w:eastAsia="仿宋_GB2312"/>
          <w:color w:val="000000" w:themeColor="text1"/>
          <w:sz w:val="32"/>
          <w:szCs w:val="32"/>
          <w14:textFill>
            <w14:solidFill>
              <w14:schemeClr w14:val="tx1"/>
            </w14:solidFill>
          </w14:textFill>
        </w:rPr>
        <w:t>。</w:t>
      </w:r>
    </w:p>
    <w:p w14:paraId="40B2911C">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（十二）负责全县农业生产资料的监督管理。</w:t>
      </w:r>
      <w:r>
        <w:rPr>
          <w:rFonts w:hint="eastAsia" w:eastAsia="仿宋_GB2312"/>
          <w:color w:val="000000" w:themeColor="text1"/>
          <w:sz w:val="32"/>
          <w:szCs w:val="32"/>
          <w14:textFill>
            <w14:solidFill>
              <w14:schemeClr w14:val="tx1"/>
            </w14:solidFill>
          </w14:textFill>
        </w:rPr>
        <w:t>参与</w:t>
      </w:r>
      <w:r>
        <w:rPr>
          <w:rFonts w:eastAsia="仿宋_GB2312"/>
          <w:color w:val="000000" w:themeColor="text1"/>
          <w:sz w:val="32"/>
          <w:szCs w:val="32"/>
          <w14:textFill>
            <w14:solidFill>
              <w14:schemeClr w14:val="tx1"/>
            </w14:solidFill>
          </w14:textFill>
        </w:rPr>
        <w:t>农业生产资料市场体系建设。</w:t>
      </w:r>
      <w:r>
        <w:rPr>
          <w:rFonts w:hint="eastAsia" w:eastAsia="仿宋_GB2312"/>
          <w:color w:val="000000" w:themeColor="text1"/>
          <w:sz w:val="32"/>
          <w:szCs w:val="32"/>
          <w14:textFill>
            <w14:solidFill>
              <w14:schemeClr w14:val="tx1"/>
            </w14:solidFill>
          </w14:textFill>
        </w:rPr>
        <w:t>负责</w:t>
      </w:r>
      <w:r>
        <w:rPr>
          <w:rFonts w:eastAsia="仿宋_GB2312"/>
          <w:color w:val="000000" w:themeColor="text1"/>
          <w:sz w:val="32"/>
          <w:szCs w:val="32"/>
          <w14:textFill>
            <w14:solidFill>
              <w14:schemeClr w14:val="tx1"/>
            </w14:solidFill>
          </w14:textFill>
        </w:rPr>
        <w:t>兽医医政、兽药（渔药）药政</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执业兽医和畜禽屠宰行业</w:t>
      </w:r>
      <w:r>
        <w:rPr>
          <w:rFonts w:hint="eastAsia" w:eastAsia="仿宋_GB2312"/>
          <w:color w:val="000000" w:themeColor="text1"/>
          <w:sz w:val="32"/>
          <w:szCs w:val="32"/>
          <w14:textFill>
            <w14:solidFill>
              <w14:schemeClr w14:val="tx1"/>
            </w14:solidFill>
          </w14:textFill>
        </w:rPr>
        <w:t>等的监</w:t>
      </w:r>
      <w:r>
        <w:rPr>
          <w:rFonts w:eastAsia="仿宋_GB2312"/>
          <w:color w:val="000000" w:themeColor="text1"/>
          <w:sz w:val="32"/>
          <w:szCs w:val="32"/>
          <w14:textFill>
            <w14:solidFill>
              <w14:schemeClr w14:val="tx1"/>
            </w14:solidFill>
          </w14:textFill>
        </w:rPr>
        <w:t>管。</w:t>
      </w:r>
    </w:p>
    <w:p w14:paraId="1D75B232">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（十三）负责全县农业防灾减灾、</w:t>
      </w:r>
      <w:r>
        <w:rPr>
          <w:rFonts w:hint="eastAsia" w:eastAsia="仿宋_GB2312"/>
          <w:color w:val="000000" w:themeColor="text1"/>
          <w:sz w:val="32"/>
          <w:szCs w:val="32"/>
          <w14:textFill>
            <w14:solidFill>
              <w14:schemeClr w14:val="tx1"/>
            </w14:solidFill>
          </w14:textFill>
        </w:rPr>
        <w:t>动植物</w:t>
      </w:r>
      <w:r>
        <w:rPr>
          <w:rFonts w:eastAsia="仿宋_GB2312"/>
          <w:color w:val="000000" w:themeColor="text1"/>
          <w:sz w:val="32"/>
          <w:szCs w:val="32"/>
          <w14:textFill>
            <w14:solidFill>
              <w14:schemeClr w14:val="tx1"/>
            </w14:solidFill>
          </w14:textFill>
        </w:rPr>
        <w:t>病虫害防治和</w:t>
      </w:r>
      <w:r>
        <w:rPr>
          <w:rFonts w:hint="eastAsia" w:eastAsia="仿宋_GB2312"/>
          <w:color w:val="000000" w:themeColor="text1"/>
          <w:sz w:val="32"/>
          <w:szCs w:val="32"/>
          <w14:textFill>
            <w14:solidFill>
              <w14:schemeClr w14:val="tx1"/>
            </w14:solidFill>
          </w14:textFill>
        </w:rPr>
        <w:t>检</w:t>
      </w:r>
      <w:r>
        <w:rPr>
          <w:rFonts w:eastAsia="仿宋_GB2312"/>
          <w:color w:val="000000" w:themeColor="text1"/>
          <w:sz w:val="32"/>
          <w:szCs w:val="32"/>
          <w14:textFill>
            <w14:solidFill>
              <w14:schemeClr w14:val="tx1"/>
            </w14:solidFill>
          </w14:textFill>
        </w:rPr>
        <w:t>疫工作。牵头起草动植物防疫和检疫的行政规范性文件。指导动植物防疫检疫体系建设，发布</w:t>
      </w:r>
      <w:r>
        <w:rPr>
          <w:rFonts w:hint="eastAsia" w:eastAsia="仿宋_GB2312"/>
          <w:color w:val="000000" w:themeColor="text1"/>
          <w:sz w:val="32"/>
          <w:szCs w:val="32"/>
          <w14:textFill>
            <w14:solidFill>
              <w14:schemeClr w14:val="tx1"/>
            </w14:solidFill>
          </w14:textFill>
        </w:rPr>
        <w:t>动</w:t>
      </w:r>
      <w:r>
        <w:rPr>
          <w:rFonts w:hint="eastAsia" w:eastAsia="仿宋_GB2312"/>
          <w:color w:val="000000" w:themeColor="text1"/>
          <w:sz w:val="32"/>
          <w:szCs w:val="32"/>
          <w:lang w:eastAsia="zh-CN"/>
          <w14:textFill>
            <w14:solidFill>
              <w14:schemeClr w14:val="tx1"/>
            </w14:solidFill>
          </w14:textFill>
        </w:rPr>
        <w:t>植物</w:t>
      </w:r>
      <w:r>
        <w:rPr>
          <w:rFonts w:eastAsia="仿宋_GB2312"/>
          <w:color w:val="000000" w:themeColor="text1"/>
          <w:sz w:val="32"/>
          <w:szCs w:val="32"/>
          <w14:textFill>
            <w14:solidFill>
              <w14:schemeClr w14:val="tx1"/>
            </w14:solidFill>
          </w14:textFill>
        </w:rPr>
        <w:t>疫情并组织扑灭。牵头管理外来</w:t>
      </w:r>
      <w:r>
        <w:rPr>
          <w:rFonts w:hint="eastAsia" w:eastAsia="仿宋_GB2312"/>
          <w:color w:val="000000" w:themeColor="text1"/>
          <w:sz w:val="32"/>
          <w:szCs w:val="32"/>
          <w14:textFill>
            <w14:solidFill>
              <w14:schemeClr w14:val="tx1"/>
            </w14:solidFill>
          </w14:textFill>
        </w:rPr>
        <w:t>有害</w:t>
      </w:r>
      <w:r>
        <w:rPr>
          <w:rFonts w:eastAsia="仿宋_GB2312"/>
          <w:color w:val="000000" w:themeColor="text1"/>
          <w:sz w:val="32"/>
          <w:szCs w:val="32"/>
          <w14:textFill>
            <w14:solidFill>
              <w14:schemeClr w14:val="tx1"/>
            </w14:solidFill>
          </w14:textFill>
        </w:rPr>
        <w:t>农业物种。监测、核查、上报农业灾情，</w:t>
      </w:r>
      <w:r>
        <w:rPr>
          <w:rFonts w:hint="eastAsia" w:eastAsia="仿宋_GB2312"/>
          <w:color w:val="000000" w:themeColor="text1"/>
          <w:sz w:val="32"/>
          <w:szCs w:val="32"/>
          <w14:textFill>
            <w14:solidFill>
              <w14:schemeClr w14:val="tx1"/>
            </w14:solidFill>
          </w14:textFill>
        </w:rPr>
        <w:t>组织</w:t>
      </w:r>
      <w:r>
        <w:rPr>
          <w:rFonts w:eastAsia="仿宋_GB2312"/>
          <w:color w:val="000000" w:themeColor="text1"/>
          <w:sz w:val="32"/>
          <w:szCs w:val="32"/>
          <w14:textFill>
            <w14:solidFill>
              <w14:schemeClr w14:val="tx1"/>
            </w14:solidFill>
          </w14:textFill>
        </w:rPr>
        <w:t>农业生产救灾物资的储备和调拨，提出生产救灾资金安排建议，指导紧急救灾和灾后生产恢复。</w:t>
      </w:r>
    </w:p>
    <w:p w14:paraId="4741FC88">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（十四）负责全县农业投资管理，提出农业投融资体制机制</w:t>
      </w:r>
    </w:p>
    <w:p w14:paraId="4981DB7A">
      <w:pPr>
        <w:spacing w:line="578"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改革建议。负责提出农业投资规模和方向、扶持农业农村发展财政项目的建议。</w:t>
      </w:r>
      <w:r>
        <w:rPr>
          <w:rFonts w:hint="eastAsia" w:eastAsia="仿宋_GB2312"/>
          <w:color w:val="000000" w:themeColor="text1"/>
          <w:sz w:val="32"/>
          <w:szCs w:val="32"/>
          <w14:textFill>
            <w14:solidFill>
              <w14:schemeClr w14:val="tx1"/>
            </w14:solidFill>
          </w14:textFill>
        </w:rPr>
        <w:t>编报部门预算并组织执行。</w:t>
      </w:r>
      <w:r>
        <w:rPr>
          <w:rFonts w:eastAsia="仿宋_GB2312"/>
          <w:color w:val="000000" w:themeColor="text1"/>
          <w:sz w:val="32"/>
          <w:szCs w:val="32"/>
          <w14:textFill>
            <w14:solidFill>
              <w14:schemeClr w14:val="tx1"/>
            </w14:solidFill>
          </w14:textFill>
        </w:rPr>
        <w:t>组织实施农业综合开发有关项目；按规定权限审批农业投资项目，负责农业投资项目资金安排和监督管理。参与农业政策性补贴实施。</w:t>
      </w:r>
    </w:p>
    <w:p w14:paraId="15CDAAA5">
      <w:pPr>
        <w:widowControl/>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（十五）负责全县农田建设管理。拟订农田建设发展规划，提出农田建设项目需求建议。负责全县高标准农田建设和耕地质量管理。编制农业综合开发项目</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农田整治项目、农田水利建设项目计划并组织实施和管理。</w:t>
      </w:r>
      <w:r>
        <w:rPr>
          <w:rFonts w:eastAsia="仿宋_GB2312"/>
          <w:color w:val="000000" w:themeColor="text1"/>
          <w:sz w:val="32"/>
          <w:szCs w:val="32"/>
          <w14:textFill>
            <w14:solidFill>
              <w14:schemeClr w14:val="tx1"/>
            </w14:solidFill>
          </w14:textFill>
        </w:rPr>
        <w:br w:type="textWrapping"/>
      </w:r>
      <w:r>
        <w:rPr>
          <w:rFonts w:eastAsia="仿宋_GB2312"/>
          <w:color w:val="000000" w:themeColor="text1"/>
          <w:sz w:val="32"/>
          <w:szCs w:val="32"/>
          <w14:textFill>
            <w14:solidFill>
              <w14:schemeClr w14:val="tx1"/>
            </w14:solidFill>
          </w14:textFill>
        </w:rPr>
        <w:t xml:space="preserve">    （十六）牵头开展全县农业对外合作工作。承办政府间农业涉外事务，参与拟订农业对外开放政策和外向型农业发展规划，指导外向型农业发展。组织开展农业贸易促进和农业投资促进活动，推动农业开放合作。</w:t>
      </w:r>
    </w:p>
    <w:p w14:paraId="0E182ED2">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十七</w:t>
      </w:r>
      <w:r>
        <w:rPr>
          <w:rFonts w:eastAsia="仿宋_GB2312"/>
          <w:color w:val="000000" w:themeColor="text1"/>
          <w:sz w:val="32"/>
          <w:szCs w:val="32"/>
          <w14:textFill>
            <w14:solidFill>
              <w14:schemeClr w14:val="tx1"/>
            </w14:solidFill>
          </w14:textFill>
        </w:rPr>
        <w:t>）推进农业依法行政。负责</w:t>
      </w:r>
      <w:r>
        <w:rPr>
          <w:rFonts w:hint="eastAsia" w:eastAsia="仿宋_GB2312"/>
          <w:color w:val="000000" w:themeColor="text1"/>
          <w:sz w:val="32"/>
          <w:szCs w:val="32"/>
          <w14:textFill>
            <w14:solidFill>
              <w14:schemeClr w14:val="tx1"/>
            </w14:solidFill>
          </w14:textFill>
        </w:rPr>
        <w:t>全</w:t>
      </w:r>
      <w:r>
        <w:rPr>
          <w:rFonts w:eastAsia="仿宋_GB2312"/>
          <w:color w:val="000000" w:themeColor="text1"/>
          <w:sz w:val="32"/>
          <w:szCs w:val="32"/>
          <w14:textFill>
            <w14:solidFill>
              <w14:schemeClr w14:val="tx1"/>
            </w14:solidFill>
          </w14:textFill>
        </w:rPr>
        <w:t>县涉农违法案件</w:t>
      </w:r>
      <w:r>
        <w:rPr>
          <w:rFonts w:hint="eastAsia" w:eastAsia="仿宋_GB2312"/>
          <w:color w:val="000000" w:themeColor="text1"/>
          <w:sz w:val="32"/>
          <w:szCs w:val="32"/>
          <w14:textFill>
            <w14:solidFill>
              <w14:schemeClr w14:val="tx1"/>
            </w14:solidFill>
          </w14:textFill>
        </w:rPr>
        <w:t>的查处</w:t>
      </w:r>
      <w:r>
        <w:rPr>
          <w:rFonts w:eastAsia="仿宋_GB2312"/>
          <w:color w:val="000000" w:themeColor="text1"/>
          <w:sz w:val="32"/>
          <w:szCs w:val="32"/>
          <w14:textFill>
            <w14:solidFill>
              <w14:schemeClr w14:val="tx1"/>
            </w14:solidFill>
          </w14:textFill>
        </w:rPr>
        <w:t>和</w:t>
      </w:r>
      <w:r>
        <w:rPr>
          <w:rFonts w:hint="eastAsia" w:eastAsia="仿宋_GB2312"/>
          <w:color w:val="000000" w:themeColor="text1"/>
          <w:sz w:val="32"/>
          <w:szCs w:val="32"/>
          <w14:textFill>
            <w14:solidFill>
              <w14:schemeClr w14:val="tx1"/>
            </w14:solidFill>
          </w14:textFill>
        </w:rPr>
        <w:t>协调</w:t>
      </w:r>
      <w:r>
        <w:rPr>
          <w:rFonts w:eastAsia="仿宋_GB2312"/>
          <w:color w:val="000000" w:themeColor="text1"/>
          <w:sz w:val="32"/>
          <w:szCs w:val="32"/>
          <w14:textFill>
            <w14:solidFill>
              <w14:schemeClr w14:val="tx1"/>
            </w14:solidFill>
          </w14:textFill>
        </w:rPr>
        <w:t>跨区域执法工作</w:t>
      </w:r>
      <w:r>
        <w:rPr>
          <w:rFonts w:hint="eastAsia" w:eastAsia="仿宋_GB2312"/>
          <w:color w:val="000000" w:themeColor="text1"/>
          <w:sz w:val="32"/>
          <w:szCs w:val="32"/>
          <w14:textFill>
            <w14:solidFill>
              <w14:schemeClr w14:val="tx1"/>
            </w14:solidFill>
          </w14:textFill>
        </w:rPr>
        <w:t>。</w:t>
      </w:r>
    </w:p>
    <w:p w14:paraId="50C8EE94">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（十</w:t>
      </w:r>
      <w:r>
        <w:rPr>
          <w:rFonts w:hint="eastAsia" w:eastAsia="仿宋_GB2312"/>
          <w:color w:val="000000" w:themeColor="text1"/>
          <w:sz w:val="32"/>
          <w:szCs w:val="32"/>
          <w14:textFill>
            <w14:solidFill>
              <w14:schemeClr w14:val="tx1"/>
            </w14:solidFill>
          </w14:textFill>
        </w:rPr>
        <w:t>八</w:t>
      </w:r>
      <w:r>
        <w:rPr>
          <w:rFonts w:eastAsia="仿宋_GB2312"/>
          <w:color w:val="000000" w:themeColor="text1"/>
          <w:sz w:val="32"/>
          <w:szCs w:val="32"/>
          <w14:textFill>
            <w14:solidFill>
              <w14:schemeClr w14:val="tx1"/>
            </w14:solidFill>
          </w14:textFill>
        </w:rPr>
        <w:t>）依法依规负责农业安全生产和职业健康监督管理工作。负责农业机械、农（兽）药、饲料、渔业、畜禽屠宰行业农村沼气</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农业园区</w:t>
      </w:r>
      <w:r>
        <w:rPr>
          <w:rFonts w:hint="eastAsia" w:eastAsia="仿宋_GB2312"/>
          <w:color w:val="000000" w:themeColor="text1"/>
          <w:sz w:val="32"/>
          <w:szCs w:val="32"/>
          <w14:textFill>
            <w14:solidFill>
              <w14:schemeClr w14:val="tx1"/>
            </w14:solidFill>
          </w14:textFill>
        </w:rPr>
        <w:t>等的</w:t>
      </w:r>
      <w:r>
        <w:rPr>
          <w:rFonts w:eastAsia="仿宋_GB2312"/>
          <w:color w:val="000000" w:themeColor="text1"/>
          <w:sz w:val="32"/>
          <w:szCs w:val="32"/>
          <w14:textFill>
            <w14:solidFill>
              <w14:schemeClr w14:val="tx1"/>
            </w14:solidFill>
          </w14:textFill>
        </w:rPr>
        <w:t>安全生产和职业健康监督管理。负责制定职责范围内的安全生产年度监</w:t>
      </w:r>
      <w:r>
        <w:rPr>
          <w:rFonts w:hint="eastAsia" w:eastAsia="仿宋_GB2312"/>
          <w:color w:val="000000" w:themeColor="text1"/>
          <w:sz w:val="32"/>
          <w:szCs w:val="32"/>
          <w14:textFill>
            <w14:solidFill>
              <w14:schemeClr w14:val="tx1"/>
            </w14:solidFill>
          </w14:textFill>
        </w:rPr>
        <w:t>督</w:t>
      </w:r>
      <w:r>
        <w:rPr>
          <w:rFonts w:eastAsia="仿宋_GB2312"/>
          <w:color w:val="000000" w:themeColor="text1"/>
          <w:sz w:val="32"/>
          <w:szCs w:val="32"/>
          <w14:textFill>
            <w14:solidFill>
              <w14:schemeClr w14:val="tx1"/>
            </w14:solidFill>
          </w14:textFill>
        </w:rPr>
        <w:t>检查计划并组织实施。</w:t>
      </w:r>
    </w:p>
    <w:p w14:paraId="477577C3">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十九</w:t>
      </w:r>
      <w:r>
        <w:rPr>
          <w:rFonts w:eastAsia="仿宋_GB2312"/>
          <w:color w:val="000000" w:themeColor="text1"/>
          <w:sz w:val="32"/>
          <w:szCs w:val="32"/>
          <w14:textFill>
            <w14:solidFill>
              <w14:schemeClr w14:val="tx1"/>
            </w14:solidFill>
          </w14:textFill>
        </w:rPr>
        <w:t>）负责职责</w:t>
      </w:r>
      <w:r>
        <w:rPr>
          <w:rFonts w:hint="eastAsia" w:eastAsia="仿宋_GB2312"/>
          <w:color w:val="000000" w:themeColor="text1"/>
          <w:sz w:val="32"/>
          <w:szCs w:val="32"/>
          <w:lang w:eastAsia="zh-CN"/>
          <w14:textFill>
            <w14:solidFill>
              <w14:schemeClr w14:val="tx1"/>
            </w14:solidFill>
          </w14:textFill>
        </w:rPr>
        <w:t>范围</w:t>
      </w:r>
      <w:r>
        <w:rPr>
          <w:rFonts w:eastAsia="仿宋_GB2312"/>
          <w:color w:val="000000" w:themeColor="text1"/>
          <w:sz w:val="32"/>
          <w:szCs w:val="32"/>
          <w14:textFill>
            <w14:solidFill>
              <w14:schemeClr w14:val="tx1"/>
            </w14:solidFill>
          </w14:textFill>
        </w:rPr>
        <w:t>内的生态环境保护、审批服务便民化等工作。</w:t>
      </w:r>
    </w:p>
    <w:p w14:paraId="00803F12">
      <w:pPr>
        <w:spacing w:line="57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（二十）完成县委、县政府交办的其他任务</w:t>
      </w:r>
    </w:p>
    <w:p w14:paraId="5300571A">
      <w:pPr>
        <w:spacing w:line="580" w:lineRule="exact"/>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（三）</w:t>
      </w:r>
      <w:r>
        <w:rPr>
          <w:rFonts w:ascii="仿宋" w:hAnsi="仿宋" w:eastAsia="仿宋" w:cs="仿宋_GB2312"/>
          <w:color w:val="000000" w:themeColor="text1"/>
          <w:sz w:val="32"/>
          <w:szCs w:val="32"/>
          <w14:textFill>
            <w14:solidFill>
              <w14:schemeClr w14:val="tx1"/>
            </w14:solidFill>
          </w14:textFill>
        </w:rPr>
        <w:t>人员概况。</w:t>
      </w:r>
    </w:p>
    <w:p w14:paraId="4F1A57D0">
      <w:pPr>
        <w:spacing w:line="578" w:lineRule="exact"/>
        <w:ind w:firstLine="640"/>
        <w:rPr>
          <w:rFonts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县科技农牧局行政编制10名。其中，局长1名，副局长2名，</w:t>
      </w:r>
      <w:r>
        <w:rPr>
          <w:rFonts w:hint="eastAsia" w:eastAsia="仿宋_GB2312"/>
          <w:color w:val="000000" w:themeColor="text1"/>
          <w:sz w:val="32"/>
          <w:szCs w:val="32"/>
          <w14:textFill>
            <w14:solidFill>
              <w14:schemeClr w14:val="tx1"/>
            </w14:solidFill>
          </w14:textFill>
        </w:rPr>
        <w:t>县委农办专职副主任1名，</w:t>
      </w:r>
      <w:r>
        <w:rPr>
          <w:rFonts w:eastAsia="仿宋_GB2312"/>
          <w:color w:val="000000" w:themeColor="text1"/>
          <w:sz w:val="32"/>
          <w:szCs w:val="32"/>
          <w14:textFill>
            <w14:solidFill>
              <w14:schemeClr w14:val="tx1"/>
            </w14:solidFill>
          </w14:textFill>
        </w:rPr>
        <w:t>机关党委书记1名</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股级领导职数</w:t>
      </w:r>
      <w:r>
        <w:rPr>
          <w:rFonts w:hint="eastAsia" w:eastAsia="仿宋_GB2312"/>
          <w:color w:val="000000" w:themeColor="text1"/>
          <w:sz w:val="32"/>
          <w:szCs w:val="32"/>
          <w14:textFill>
            <w14:solidFill>
              <w14:schemeClr w14:val="tx1"/>
            </w14:solidFill>
          </w14:textFill>
        </w:rPr>
        <w:t>4</w:t>
      </w:r>
      <w:r>
        <w:rPr>
          <w:rFonts w:eastAsia="仿宋_GB2312"/>
          <w:color w:val="000000" w:themeColor="text1"/>
          <w:sz w:val="32"/>
          <w:szCs w:val="32"/>
          <w14:textFill>
            <w14:solidFill>
              <w14:schemeClr w14:val="tx1"/>
            </w14:solidFill>
          </w14:textFill>
        </w:rPr>
        <w:t>名。</w:t>
      </w:r>
    </w:p>
    <w:p w14:paraId="40A7A3EC">
      <w:pPr>
        <w:spacing w:line="600" w:lineRule="exact"/>
        <w:outlineLvl w:val="0"/>
        <w:rPr>
          <w:rFonts w:ascii="仿宋" w:hAnsi="仿宋" w:eastAsia="仿宋" w:cs="仿宋"/>
          <w:color w:val="000000" w:themeColor="text1"/>
          <w:sz w:val="32"/>
          <w:szCs w:val="32"/>
          <w14:textFill>
            <w14:solidFill>
              <w14:schemeClr w14:val="tx1"/>
            </w14:solidFill>
          </w14:textFill>
        </w:rPr>
      </w:pPr>
    </w:p>
    <w:p w14:paraId="7A487B02">
      <w:pPr>
        <w:spacing w:line="600" w:lineRule="exact"/>
        <w:jc w:val="center"/>
        <w:outlineLvl w:val="0"/>
        <w:rPr>
          <w:rFonts w:ascii="黑体" w:hAnsi="黑体" w:eastAsia="黑体"/>
          <w:color w:val="000000" w:themeColor="text1"/>
          <w:sz w:val="44"/>
          <w:szCs w:val="44"/>
          <w14:textFill>
            <w14:solidFill>
              <w14:schemeClr w14:val="tx1"/>
            </w14:solidFill>
          </w14:textFill>
        </w:rPr>
      </w:pPr>
    </w:p>
    <w:bookmarkEnd w:id="55"/>
    <w:bookmarkEnd w:id="56"/>
    <w:p w14:paraId="49A3F99B">
      <w:pPr>
        <w:widowControl/>
        <w:adjustRightInd w:val="0"/>
        <w:snapToGrid w:val="0"/>
        <w:spacing w:line="480" w:lineRule="exact"/>
        <w:ind w:firstLine="720"/>
        <w:jc w:val="left"/>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二、部门财政资金收支情况</w:t>
      </w:r>
    </w:p>
    <w:p w14:paraId="32AB8F25">
      <w:pPr>
        <w:widowControl/>
        <w:adjustRightInd w:val="0"/>
        <w:snapToGrid w:val="0"/>
        <w:spacing w:line="480" w:lineRule="exact"/>
        <w:ind w:firstLine="720"/>
        <w:jc w:val="left"/>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（一）部门财政资金收入情况。</w:t>
      </w:r>
    </w:p>
    <w:p w14:paraId="7A9F3E21">
      <w:pPr>
        <w:widowControl/>
        <w:adjustRightInd w:val="0"/>
        <w:snapToGrid w:val="0"/>
        <w:spacing w:line="480" w:lineRule="exact"/>
        <w:ind w:firstLine="720"/>
        <w:jc w:val="left"/>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本年收入合计：93,848,766.00元。其中：政府性基金预算财政拨款</w:t>
      </w:r>
      <w:r>
        <w:rPr>
          <w:rFonts w:hint="eastAsia" w:ascii="仿宋" w:hAnsi="仿宋" w:eastAsia="仿宋" w:cs="仿宋"/>
          <w:color w:val="000000" w:themeColor="text1"/>
          <w:kern w:val="0"/>
          <w:sz w:val="32"/>
          <w:szCs w:val="32"/>
          <w14:textFill>
            <w14:solidFill>
              <w14:schemeClr w14:val="tx1"/>
            </w14:solidFill>
          </w14:textFill>
        </w:rPr>
        <w:t>0</w:t>
      </w:r>
      <w:r>
        <w:rPr>
          <w:rFonts w:hint="eastAsia" w:ascii="仿宋" w:hAnsi="仿宋" w:eastAsia="仿宋" w:cs="仿宋"/>
          <w:color w:val="000000" w:themeColor="text1"/>
          <w:kern w:val="0"/>
          <w:sz w:val="32"/>
          <w:szCs w:val="32"/>
          <w:lang w:val="zh-CN"/>
          <w14:textFill>
            <w14:solidFill>
              <w14:schemeClr w14:val="tx1"/>
            </w14:solidFill>
          </w14:textFill>
        </w:rPr>
        <w:t>元</w:t>
      </w:r>
    </w:p>
    <w:p w14:paraId="4A1F60F6">
      <w:pPr>
        <w:widowControl/>
        <w:adjustRightInd w:val="0"/>
        <w:snapToGrid w:val="0"/>
        <w:spacing w:line="480" w:lineRule="exact"/>
        <w:ind w:firstLine="720"/>
        <w:jc w:val="left"/>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（二）部门财政资金支出情况。</w:t>
      </w:r>
    </w:p>
    <w:p w14:paraId="30D7A9A4">
      <w:pPr>
        <w:widowControl/>
        <w:adjustRightInd w:val="0"/>
        <w:snapToGrid w:val="0"/>
        <w:spacing w:line="480" w:lineRule="exact"/>
        <w:ind w:firstLine="720"/>
        <w:jc w:val="left"/>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本年支出合计：93,067,902.00元。其中人员经费32,276,317.00元，日常公用经费1,998,582.00元，行政事业类项目58,793,003.00元。</w:t>
      </w:r>
    </w:p>
    <w:p w14:paraId="5C93BE1C">
      <w:pPr>
        <w:widowControl/>
        <w:adjustRightInd w:val="0"/>
        <w:snapToGrid w:val="0"/>
        <w:spacing w:line="480" w:lineRule="exact"/>
        <w:ind w:firstLine="640" w:firstLineChars="200"/>
        <w:jc w:val="left"/>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三、部门财政支出管理情况</w:t>
      </w:r>
    </w:p>
    <w:p w14:paraId="2AF12798">
      <w:pPr>
        <w:spacing w:line="58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（一）部门预算管理。</w:t>
      </w:r>
    </w:p>
    <w:p w14:paraId="0088A985">
      <w:pPr>
        <w:spacing w:line="58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包括部门绩效目标制定、目标完成、预算编制准确、支出控制、预算动态调整、执行进度、预算完成情况和违规记录等情况。</w:t>
      </w:r>
    </w:p>
    <w:p w14:paraId="15DC08BE">
      <w:pPr>
        <w:tabs>
          <w:tab w:val="left" w:pos="750"/>
        </w:tabs>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1、预算编制质量</w:t>
      </w:r>
    </w:p>
    <w:p w14:paraId="3548280F">
      <w:pPr>
        <w:tabs>
          <w:tab w:val="left" w:pos="750"/>
        </w:tabs>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按照预算管理有关规定，目前部门预算的编制实行综合预算制度，即全部收入和支出都反映在预算中。本部门预算编制是由部门财务严格按照《</w:t>
      </w:r>
      <w:r>
        <w:rPr>
          <w:rFonts w:hint="eastAsia" w:ascii="仿宋" w:hAnsi="仿宋" w:eastAsia="仿宋" w:cs="仿宋"/>
          <w:color w:val="000000" w:themeColor="text1"/>
          <w:sz w:val="32"/>
          <w:szCs w:val="32"/>
          <w:lang w:eastAsia="zh-CN"/>
          <w14:textFill>
            <w14:solidFill>
              <w14:schemeClr w14:val="tx1"/>
            </w14:solidFill>
          </w14:textFill>
        </w:rPr>
        <w:t>中华人民共和国预算法</w:t>
      </w:r>
      <w:r>
        <w:rPr>
          <w:rFonts w:hint="eastAsia" w:ascii="仿宋" w:hAnsi="仿宋" w:eastAsia="仿宋" w:cs="仿宋"/>
          <w:color w:val="000000" w:themeColor="text1"/>
          <w:sz w:val="32"/>
          <w:szCs w:val="32"/>
          <w14:textFill>
            <w14:solidFill>
              <w14:schemeClr w14:val="tx1"/>
            </w14:solidFill>
          </w14:textFill>
        </w:rPr>
        <w:t>》的规定和财政部门预算股的要求，在</w:t>
      </w:r>
      <w:r>
        <w:rPr>
          <w:rFonts w:hint="eastAsia" w:ascii="仿宋" w:hAnsi="仿宋" w:eastAsia="仿宋" w:cs="仿宋"/>
          <w:color w:val="000000" w:themeColor="text1"/>
          <w:sz w:val="32"/>
          <w:szCs w:val="32"/>
          <w:lang w:eastAsia="zh-CN"/>
          <w14:textFill>
            <w14:solidFill>
              <w14:schemeClr w14:val="tx1"/>
            </w14:solidFill>
          </w14:textFill>
        </w:rPr>
        <w:t>既</w:t>
      </w:r>
      <w:r>
        <w:rPr>
          <w:rFonts w:hint="eastAsia" w:ascii="仿宋" w:hAnsi="仿宋" w:eastAsia="仿宋" w:cs="仿宋"/>
          <w:color w:val="000000" w:themeColor="text1"/>
          <w:sz w:val="32"/>
          <w:szCs w:val="32"/>
          <w14:textFill>
            <w14:solidFill>
              <w14:schemeClr w14:val="tx1"/>
            </w14:solidFill>
          </w14:textFill>
        </w:rPr>
        <w:t>能保证本部门日常业务工作顺利开展的需要，又不浪费资金的前提下，合理编制出本部门的年度预算。</w:t>
      </w:r>
    </w:p>
    <w:p w14:paraId="2C358DEC">
      <w:pPr>
        <w:tabs>
          <w:tab w:val="left" w:pos="750"/>
        </w:tabs>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2、绩效目标填报</w:t>
      </w:r>
    </w:p>
    <w:p w14:paraId="1D9256FD">
      <w:pPr>
        <w:tabs>
          <w:tab w:val="left" w:pos="750"/>
        </w:tabs>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本部门不涉及绩效考评相关项目。</w:t>
      </w:r>
    </w:p>
    <w:p w14:paraId="121FE53E">
      <w:pPr>
        <w:tabs>
          <w:tab w:val="left" w:pos="750"/>
        </w:tabs>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3、转移支付提前下达及专项转移支付分地区分项目编制情况</w:t>
      </w:r>
    </w:p>
    <w:p w14:paraId="6CAA35A1">
      <w:pPr>
        <w:tabs>
          <w:tab w:val="left" w:pos="750"/>
        </w:tabs>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本部门转移支付资金为中央转移、省级转移支付办案经费、业务装备经费、法律援助资金，转移支付资金本部门不参与预算编制，上级部门下达资金指标后，县财政部门按时足额将转移支付资金拨付到本部门。</w:t>
      </w:r>
    </w:p>
    <w:p w14:paraId="58D8493A">
      <w:pPr>
        <w:tabs>
          <w:tab w:val="left" w:pos="750"/>
        </w:tabs>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（二）执行管理情况</w:t>
      </w:r>
    </w:p>
    <w:p w14:paraId="7C7E0F4E">
      <w:pPr>
        <w:spacing w:line="56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财政及时足额下达年初预算，上级部门下达转移支付专项资金指标后，也能及时将资金落实给部门，为部门的业务工作顺利开展提供了强有力的财力保障。2019年执行管理情况按照财务制度严格要求，认真履行职责，及时完成各项工作任务，规范工作，促进了规范化、制度化管理。</w:t>
      </w:r>
    </w:p>
    <w:p w14:paraId="0B1E305B">
      <w:pPr>
        <w:widowControl/>
        <w:adjustRightInd w:val="0"/>
        <w:snapToGrid w:val="0"/>
        <w:spacing w:line="480" w:lineRule="exact"/>
        <w:ind w:firstLine="640" w:firstLineChars="200"/>
        <w:jc w:val="left"/>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（三）综合管理情况。</w:t>
      </w:r>
    </w:p>
    <w:p w14:paraId="2031C0D8">
      <w:pPr>
        <w:spacing w:line="560" w:lineRule="exact"/>
        <w:ind w:firstLine="960" w:firstLineChars="3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首先，非税收入按照规定的项目、标准、征收方式执收非税收入，并及时足额将非税收入缴入财政。其次，政府采购实施的计划</w:t>
      </w:r>
      <w:r>
        <w:rPr>
          <w:rFonts w:hint="eastAsia" w:ascii="仿宋" w:hAnsi="仿宋" w:eastAsia="仿宋" w:cs="仿宋"/>
          <w:color w:val="000000" w:themeColor="text1"/>
          <w:sz w:val="32"/>
          <w:szCs w:val="32"/>
          <w:lang w:eastAsia="zh-CN"/>
          <w14:textFill>
            <w14:solidFill>
              <w14:schemeClr w14:val="tx1"/>
            </w14:solidFill>
          </w14:textFill>
        </w:rPr>
        <w:t>与</w:t>
      </w:r>
      <w:r>
        <w:rPr>
          <w:rFonts w:hint="eastAsia" w:ascii="仿宋" w:hAnsi="仿宋" w:eastAsia="仿宋" w:cs="仿宋"/>
          <w:color w:val="000000" w:themeColor="text1"/>
          <w:sz w:val="32"/>
          <w:szCs w:val="32"/>
          <w14:textFill>
            <w14:solidFill>
              <w14:schemeClr w14:val="tx1"/>
            </w14:solidFill>
          </w14:textFill>
        </w:rPr>
        <w:t>政府采购预算一致，也与备案的实施计划一致。与此同时，资产管理中考核部门和单位将国有资产</w:t>
      </w:r>
      <w:r>
        <w:rPr>
          <w:rFonts w:hint="eastAsia" w:ascii="仿宋" w:hAnsi="仿宋" w:eastAsia="仿宋" w:cs="仿宋"/>
          <w:color w:val="000000" w:themeColor="text1"/>
          <w:sz w:val="32"/>
          <w:szCs w:val="32"/>
          <w:lang w:eastAsia="zh-CN"/>
          <w14:textFill>
            <w14:solidFill>
              <w14:schemeClr w14:val="tx1"/>
            </w14:solidFill>
          </w14:textFill>
        </w:rPr>
        <w:t>纳入</w:t>
      </w:r>
      <w:r>
        <w:rPr>
          <w:rFonts w:hint="eastAsia" w:ascii="仿宋" w:hAnsi="仿宋" w:eastAsia="仿宋" w:cs="仿宋"/>
          <w:color w:val="000000" w:themeColor="text1"/>
          <w:sz w:val="32"/>
          <w:szCs w:val="32"/>
          <w14:textFill>
            <w14:solidFill>
              <w14:schemeClr w14:val="tx1"/>
            </w14:solidFill>
          </w14:textFill>
        </w:rPr>
        <w:t>资产信息系统管理中，并对资产进行及时、准确、全面</w:t>
      </w:r>
      <w:r>
        <w:rPr>
          <w:rFonts w:hint="eastAsia" w:ascii="仿宋" w:hAnsi="仿宋" w:eastAsia="仿宋" w:cs="仿宋"/>
          <w:color w:val="000000" w:themeColor="text1"/>
          <w:sz w:val="32"/>
          <w:szCs w:val="32"/>
          <w:lang w:eastAsia="zh-CN"/>
          <w14:textFill>
            <w14:solidFill>
              <w14:schemeClr w14:val="tx1"/>
            </w14:solidFill>
          </w14:textFill>
        </w:rPr>
        <w:t>地</w:t>
      </w:r>
      <w:r>
        <w:rPr>
          <w:rFonts w:hint="eastAsia" w:ascii="仿宋" w:hAnsi="仿宋" w:eastAsia="仿宋" w:cs="仿宋"/>
          <w:color w:val="000000" w:themeColor="text1"/>
          <w:sz w:val="32"/>
          <w:szCs w:val="32"/>
          <w14:textFill>
            <w14:solidFill>
              <w14:schemeClr w14:val="tx1"/>
            </w14:solidFill>
          </w14:textFill>
        </w:rPr>
        <w:t>清查，并且除了涉密信息外，我局在财政部门批复后20日内向社会公开本部门预算。公开决算及绩效信息公开等。依法接受财政部门的监督。我局还制定了项目绩效管理办法和财务管理制度，保障了项目管理工作的有章可循和有序开展。项目资金管理做到了单独核算和专款专用。未发现截留、挪用等违规事项。</w:t>
      </w:r>
    </w:p>
    <w:p w14:paraId="2FBFD145">
      <w:pPr>
        <w:widowControl/>
        <w:adjustRightInd w:val="0"/>
        <w:snapToGrid w:val="0"/>
        <w:spacing w:line="480" w:lineRule="exact"/>
        <w:ind w:firstLine="720"/>
        <w:jc w:val="left"/>
        <w:rPr>
          <w:rFonts w:ascii="仿宋" w:hAnsi="仿宋" w:eastAsia="仿宋" w:cs="仿宋"/>
          <w:color w:val="000000" w:themeColor="text1"/>
          <w:kern w:val="0"/>
          <w:sz w:val="32"/>
          <w:szCs w:val="32"/>
          <w:lang w:val="zh-CN"/>
          <w14:textFill>
            <w14:solidFill>
              <w14:schemeClr w14:val="tx1"/>
            </w14:solidFill>
          </w14:textFill>
        </w:rPr>
      </w:pPr>
      <w:r>
        <w:rPr>
          <w:rFonts w:hint="eastAsia" w:ascii="仿宋" w:hAnsi="仿宋" w:eastAsia="仿宋" w:cs="仿宋"/>
          <w:color w:val="000000" w:themeColor="text1"/>
          <w:kern w:val="0"/>
          <w:sz w:val="32"/>
          <w:szCs w:val="32"/>
          <w:lang w:val="zh-CN"/>
          <w14:textFill>
            <w14:solidFill>
              <w14:schemeClr w14:val="tx1"/>
            </w14:solidFill>
          </w14:textFill>
        </w:rPr>
        <w:t>包括政府性债务管理、非税收入执收、政策采购实施计划、资产管理、内控制度管理、信息公开、绩效评价及依法接受财政监督情况等。</w:t>
      </w:r>
    </w:p>
    <w:p w14:paraId="6CCC23BF">
      <w:pPr>
        <w:spacing w:line="560" w:lineRule="exact"/>
        <w:ind w:firstLine="960" w:firstLineChars="3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（二）整体绩效</w:t>
      </w:r>
    </w:p>
    <w:p w14:paraId="6E8454DD">
      <w:pPr>
        <w:adjustRightInd w:val="0"/>
        <w:snapToGrid w:val="0"/>
        <w:spacing w:line="560" w:lineRule="atLeast"/>
        <w:ind w:firstLine="720"/>
        <w:jc w:val="left"/>
        <w:rPr>
          <w:rFonts w:ascii="仿宋_GB2312" w:hAnsi="宋体" w:eastAsia="仿宋_GB2312" w:cs="宋体"/>
          <w:color w:val="000000" w:themeColor="text1"/>
          <w:kern w:val="0"/>
          <w:sz w:val="32"/>
          <w:szCs w:val="32"/>
          <w:lang w:val="zh-CN"/>
          <w14:textFill>
            <w14:solidFill>
              <w14:schemeClr w14:val="tx1"/>
            </w14:solidFill>
          </w14:textFill>
        </w:rPr>
      </w:pPr>
      <w:r>
        <w:rPr>
          <w:rFonts w:hint="eastAsia" w:ascii="仿宋_GB2312" w:hAnsi="宋体" w:eastAsia="仿宋_GB2312" w:cs="宋体"/>
          <w:color w:val="000000" w:themeColor="text1"/>
          <w:kern w:val="0"/>
          <w:sz w:val="32"/>
          <w:szCs w:val="32"/>
          <w:lang w:val="zh-CN"/>
          <w14:textFill>
            <w14:solidFill>
              <w14:schemeClr w14:val="tx1"/>
            </w14:solidFill>
          </w14:textFill>
        </w:rPr>
        <w:t>包括部门职责履行结果、重点项目绩效评价结果和服务对象满意度等。</w:t>
      </w:r>
    </w:p>
    <w:p w14:paraId="65B89380">
      <w:pPr>
        <w:pStyle w:val="14"/>
        <w:spacing w:beforeAutospacing="0" w:afterAutospacing="0" w:line="560" w:lineRule="atLeast"/>
        <w:ind w:firstLine="579" w:firstLineChars="18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一）绩效评价目的</w:t>
      </w:r>
      <w:r>
        <w:rPr>
          <w:rFonts w:hint="eastAsia" w:ascii="仿宋_GB2312" w:eastAsia="仿宋_GB2312"/>
          <w:color w:val="000000" w:themeColor="text1"/>
          <w:sz w:val="32"/>
          <w:szCs w:val="32"/>
          <w:lang w:eastAsia="zh-CN"/>
          <w14:textFill>
            <w14:solidFill>
              <w14:schemeClr w14:val="tx1"/>
            </w14:solidFill>
          </w14:textFill>
        </w:rPr>
        <w:t>：</w:t>
      </w:r>
    </w:p>
    <w:p w14:paraId="74FF8105">
      <w:pPr>
        <w:pStyle w:val="14"/>
        <w:spacing w:beforeAutospacing="0" w:afterAutospacing="0"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此次绩效评价的目的是：严格落实《</w:t>
      </w:r>
      <w:r>
        <w:rPr>
          <w:rFonts w:hint="eastAsia" w:ascii="仿宋_GB2312" w:eastAsia="仿宋_GB2312"/>
          <w:color w:val="000000" w:themeColor="text1"/>
          <w:sz w:val="32"/>
          <w:szCs w:val="32"/>
          <w:lang w:eastAsia="zh-CN"/>
          <w14:textFill>
            <w14:solidFill>
              <w14:schemeClr w14:val="tx1"/>
            </w14:solidFill>
          </w14:textFill>
        </w:rPr>
        <w:t>中华人民共和国预算法</w:t>
      </w:r>
      <w:r>
        <w:rPr>
          <w:rFonts w:hint="eastAsia" w:ascii="仿宋_GB2312" w:eastAsia="仿宋_GB2312"/>
          <w:color w:val="000000" w:themeColor="text1"/>
          <w:sz w:val="32"/>
          <w:szCs w:val="32"/>
          <w14:textFill>
            <w14:solidFill>
              <w14:schemeClr w14:val="tx1"/>
            </w14:solidFill>
          </w14:textFill>
        </w:rPr>
        <w:t>》及省、州绩效管理工作的有关规定，进一步规范财政资金的管理，强化财政支出绩效理念，提升部门责任意识，提高资金使用效益。</w:t>
      </w:r>
    </w:p>
    <w:p w14:paraId="09058FC3">
      <w:pPr>
        <w:pStyle w:val="14"/>
        <w:spacing w:beforeAutospacing="0" w:afterAutospacing="0" w:line="560" w:lineRule="atLeast"/>
        <w:ind w:firstLine="42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（二）绩效评价的主要过程</w:t>
      </w:r>
      <w:r>
        <w:rPr>
          <w:rFonts w:hint="eastAsia" w:ascii="仿宋_GB2312" w:eastAsia="仿宋_GB2312"/>
          <w:color w:val="000000" w:themeColor="text1"/>
          <w:sz w:val="32"/>
          <w:szCs w:val="32"/>
          <w:lang w:eastAsia="zh-CN"/>
          <w14:textFill>
            <w14:solidFill>
              <w14:schemeClr w14:val="tx1"/>
            </w14:solidFill>
          </w14:textFill>
        </w:rPr>
        <w:t>：</w:t>
      </w:r>
    </w:p>
    <w:p w14:paraId="3568D188">
      <w:pPr>
        <w:widowControl/>
        <w:adjustRightInd w:val="0"/>
        <w:snapToGrid w:val="0"/>
        <w:spacing w:line="480" w:lineRule="exact"/>
        <w:ind w:firstLine="72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根据绩效评价的要求，我们成立了自评工作领导小组，对照自评方案进行研究和</w:t>
      </w:r>
      <w:r>
        <w:rPr>
          <w:rFonts w:hint="eastAsia" w:ascii="仿宋_GB2312" w:eastAsia="仿宋_GB2312"/>
          <w:color w:val="000000" w:themeColor="text1"/>
          <w:sz w:val="32"/>
          <w:szCs w:val="32"/>
          <w:lang w:eastAsia="zh-CN"/>
          <w14:textFill>
            <w14:solidFill>
              <w14:schemeClr w14:val="tx1"/>
            </w14:solidFill>
          </w14:textFill>
        </w:rPr>
        <w:t>部署</w:t>
      </w:r>
      <w:r>
        <w:rPr>
          <w:rFonts w:hint="eastAsia" w:ascii="仿宋_GB2312" w:eastAsia="仿宋_GB2312"/>
          <w:color w:val="000000" w:themeColor="text1"/>
          <w:sz w:val="32"/>
          <w:szCs w:val="32"/>
          <w14:textFill>
            <w14:solidFill>
              <w14:schemeClr w14:val="tx1"/>
            </w14:solidFill>
          </w14:textFill>
        </w:rPr>
        <w:t>，按照自评方案的要求，对照各实施项目的内容逐条逐项自评。在自评过</w:t>
      </w:r>
      <w:r>
        <w:rPr>
          <w:rFonts w:hint="eastAsia" w:ascii="仿宋_GB2312" w:eastAsia="仿宋_GB2312"/>
          <w:color w:val="000000" w:themeColor="text1"/>
          <w:sz w:val="32"/>
          <w:szCs w:val="32"/>
          <w:lang w:eastAsia="zh-CN"/>
          <w14:textFill>
            <w14:solidFill>
              <w14:schemeClr w14:val="tx1"/>
            </w14:solidFill>
          </w14:textFill>
        </w:rPr>
        <w:t>程中</w:t>
      </w:r>
      <w:r>
        <w:rPr>
          <w:rFonts w:hint="eastAsia" w:ascii="仿宋_GB2312" w:eastAsia="仿宋_GB2312"/>
          <w:color w:val="000000" w:themeColor="text1"/>
          <w:sz w:val="32"/>
          <w:szCs w:val="32"/>
          <w14:textFill>
            <w14:solidFill>
              <w14:schemeClr w14:val="tx1"/>
            </w14:solidFill>
          </w14:textFill>
        </w:rPr>
        <w:t>发现问题，查找原因，及时纠正偏差，为下一步工作夯实基础。</w:t>
      </w:r>
    </w:p>
    <w:p w14:paraId="113B0FE6">
      <w:pPr>
        <w:widowControl/>
        <w:adjustRightInd w:val="0"/>
        <w:snapToGrid w:val="0"/>
        <w:spacing w:line="480" w:lineRule="exact"/>
        <w:ind w:firstLine="720"/>
        <w:jc w:val="left"/>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四、评价结论及建议</w:t>
      </w:r>
    </w:p>
    <w:p w14:paraId="21DD9497">
      <w:pPr>
        <w:spacing w:line="58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（一）评价结论。</w:t>
      </w:r>
    </w:p>
    <w:p w14:paraId="4C9A3ADF">
      <w:pPr>
        <w:widowControl/>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2019年度我部门预算执行整体情况正常，按照各项工作有序开展的进度，财政资金收支情况同时也按进度执行。</w:t>
      </w:r>
    </w:p>
    <w:p w14:paraId="53D16AEE">
      <w:pPr>
        <w:numPr>
          <w:ilvl w:val="0"/>
          <w:numId w:val="7"/>
        </w:numPr>
        <w:spacing w:line="58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存在问题。</w:t>
      </w:r>
    </w:p>
    <w:p w14:paraId="24001836">
      <w:pPr>
        <w:pStyle w:val="14"/>
        <w:wordWrap w:val="0"/>
        <w:spacing w:before="0" w:beforeAutospacing="0" w:after="0" w:afterAutospacing="0" w:line="450" w:lineRule="atLeast"/>
        <w:ind w:firstLine="320" w:firstLineChars="1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1、需规范账务处理，提高财务信息质量</w:t>
      </w:r>
    </w:p>
    <w:p w14:paraId="32AD8ABD">
      <w:pPr>
        <w:pStyle w:val="14"/>
        <w:wordWrap w:val="0"/>
        <w:spacing w:before="0" w:beforeAutospacing="0" w:after="0" w:afterAutospacing="0" w:line="450" w:lineRule="atLeast"/>
        <w:ind w:firstLine="320" w:firstLineChars="1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2、需完善管理制度，进一步加强资产管理</w:t>
      </w:r>
    </w:p>
    <w:p w14:paraId="46B03433">
      <w:pPr>
        <w:spacing w:line="580" w:lineRule="exact"/>
        <w:ind w:firstLine="320" w:firstLineChars="100"/>
        <w:rPr>
          <w:rFonts w:ascii="仿宋" w:hAnsi="仿宋" w:eastAsia="仿宋"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3、需加强新行政单位会计制度和新预算法学习培训</w:t>
      </w:r>
    </w:p>
    <w:p w14:paraId="70CF6390">
      <w:pPr>
        <w:spacing w:line="58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ascii="仿宋" w:hAnsi="仿宋" w:eastAsia="仿宋" w:cs="仿宋_GB2312"/>
          <w:color w:val="000000" w:themeColor="text1"/>
          <w:sz w:val="32"/>
          <w:szCs w:val="32"/>
          <w14:textFill>
            <w14:solidFill>
              <w14:schemeClr w14:val="tx1"/>
            </w14:solidFill>
          </w14:textFill>
        </w:rPr>
        <w:t>（三）改进建议。</w:t>
      </w:r>
    </w:p>
    <w:p w14:paraId="5F2B7FC0">
      <w:pPr>
        <w:pStyle w:val="14"/>
        <w:wordWrap w:val="0"/>
        <w:spacing w:before="0" w:beforeAutospacing="0" w:after="0" w:afterAutospacing="0" w:line="450" w:lineRule="atLeast"/>
        <w:ind w:firstLine="320" w:firstLineChars="1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1、规范账务处理，提高财务信息质量</w:t>
      </w:r>
    </w:p>
    <w:p w14:paraId="22D0CD15">
      <w:pPr>
        <w:pStyle w:val="14"/>
        <w:wordWrap w:val="0"/>
        <w:spacing w:before="0" w:beforeAutospacing="0" w:after="0" w:afterAutospacing="0" w:line="450" w:lineRule="atLeas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严格按照《</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中华人民共和国会计法》《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行政单位会计制度</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行政单位财务规则》等规定执行财务核算，并结合实际情况，完整、准确地披露相关信息，尽可能地做到决算与预算相接。</w:t>
      </w:r>
    </w:p>
    <w:p w14:paraId="3F585A6C">
      <w:pPr>
        <w:pStyle w:val="14"/>
        <w:wordWrap w:val="0"/>
        <w:spacing w:before="0" w:beforeAutospacing="0" w:after="0" w:afterAutospacing="0" w:line="450" w:lineRule="atLeas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2、完善管理制度，进一步加强资产管理</w:t>
      </w:r>
    </w:p>
    <w:p w14:paraId="3B91B920">
      <w:pPr>
        <w:pStyle w:val="14"/>
        <w:wordWrap w:val="0"/>
        <w:spacing w:before="0" w:beforeAutospacing="0" w:after="0" w:afterAutospacing="0" w:line="450" w:lineRule="atLeas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进一步贯彻落实中央八项规定等建立本部门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“三公”经费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6077DCEF">
      <w:pPr>
        <w:pStyle w:val="14"/>
        <w:wordWrap w:val="0"/>
        <w:spacing w:before="0" w:beforeAutospacing="0" w:after="0" w:afterAutospacing="0" w:line="450" w:lineRule="atLeast"/>
        <w:ind w:firstLine="320" w:firstLineChars="1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3、加强新行政单位会计制度和新预算法学习培训</w:t>
      </w:r>
    </w:p>
    <w:p w14:paraId="7163B4A2">
      <w:pPr>
        <w:widowControl/>
        <w:spacing w:line="5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加强新《</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中华人民共和国预算法》《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191595B4">
      <w:pPr>
        <w:ind w:firstLine="640" w:firstLineChars="200"/>
        <w:rPr>
          <w:color w:val="000000" w:themeColor="text1"/>
          <w:sz w:val="32"/>
          <w:szCs w:val="32"/>
          <w14:textFill>
            <w14:solidFill>
              <w14:schemeClr w14:val="tx1"/>
            </w14:solidFill>
          </w14:textFill>
        </w:rPr>
      </w:pPr>
    </w:p>
    <w:p w14:paraId="6C1CCEC3">
      <w:pPr>
        <w:spacing w:line="600" w:lineRule="exact"/>
        <w:jc w:val="center"/>
        <w:outlineLvl w:val="0"/>
        <w:rPr>
          <w:rFonts w:ascii="仿宋" w:hAnsi="仿宋" w:eastAsia="仿宋"/>
          <w:color w:val="000000" w:themeColor="text1"/>
          <w14:textFill>
            <w14:solidFill>
              <w14:schemeClr w14:val="tx1"/>
            </w14:solidFill>
          </w14:textFill>
        </w:rPr>
      </w:pPr>
      <w:bookmarkStart w:id="58" w:name="_Toc15396619"/>
      <w:r>
        <w:rPr>
          <w:rFonts w:hint="eastAsia" w:ascii="黑体" w:hAnsi="黑体" w:eastAsia="黑体"/>
          <w:color w:val="000000" w:themeColor="text1"/>
          <w:sz w:val="44"/>
          <w:szCs w:val="44"/>
          <w14:textFill>
            <w14:solidFill>
              <w14:schemeClr w14:val="tx1"/>
            </w14:solidFill>
          </w14:textFill>
        </w:rPr>
        <w:t>第</w:t>
      </w:r>
      <w:r>
        <w:rPr>
          <w:rStyle w:val="28"/>
          <w:rFonts w:hint="eastAsia" w:ascii="黑体" w:hAnsi="黑体" w:eastAsia="黑体"/>
          <w:b w:val="0"/>
          <w:color w:val="000000" w:themeColor="text1"/>
          <w14:textFill>
            <w14:solidFill>
              <w14:schemeClr w14:val="tx1"/>
            </w14:solidFill>
          </w14:textFill>
        </w:rPr>
        <w:t>五部分 附表</w:t>
      </w:r>
    </w:p>
    <w:bookmarkEnd w:id="58"/>
    <w:p w14:paraId="28350DC5">
      <w:pPr>
        <w:pStyle w:val="5"/>
        <w:rPr>
          <w:rFonts w:ascii="仿宋" w:hAnsi="仿宋" w:eastAsia="仿宋"/>
          <w:color w:val="000000" w:themeColor="text1"/>
          <w14:textFill>
            <w14:solidFill>
              <w14:schemeClr w14:val="tx1"/>
            </w14:solidFill>
          </w14:textFill>
        </w:rPr>
      </w:pPr>
      <w:r>
        <w:rPr>
          <w:rFonts w:hint="eastAsia" w:ascii="仿宋" w:hAnsi="仿宋" w:eastAsia="仿宋"/>
          <w:b w:val="0"/>
          <w:color w:val="000000" w:themeColor="text1"/>
          <w14:textFill>
            <w14:solidFill>
              <w14:schemeClr w14:val="tx1"/>
            </w14:solidFill>
          </w14:textFill>
        </w:rPr>
        <w:t>一、收</w:t>
      </w:r>
      <w:r>
        <w:rPr>
          <w:rStyle w:val="29"/>
          <w:rFonts w:hint="eastAsia" w:ascii="仿宋" w:hAnsi="仿宋" w:eastAsia="仿宋"/>
          <w:b w:val="0"/>
          <w:bCs w:val="0"/>
          <w:color w:val="000000" w:themeColor="text1"/>
          <w14:textFill>
            <w14:solidFill>
              <w14:schemeClr w14:val="tx1"/>
            </w14:solidFill>
          </w14:textFill>
        </w:rPr>
        <w:t>入支出决算总表</w:t>
      </w:r>
    </w:p>
    <w:p w14:paraId="165E0D05">
      <w:pPr>
        <w:pStyle w:val="5"/>
        <w:rPr>
          <w:rFonts w:ascii="仿宋" w:hAnsi="仿宋" w:eastAsia="仿宋"/>
          <w:color w:val="000000" w:themeColor="text1"/>
          <w14:textFill>
            <w14:solidFill>
              <w14:schemeClr w14:val="tx1"/>
            </w14:solidFill>
          </w14:textFill>
        </w:rPr>
      </w:pPr>
      <w:bookmarkStart w:id="59" w:name="_Toc15396620"/>
      <w:r>
        <w:rPr>
          <w:rFonts w:hint="eastAsia" w:ascii="仿宋" w:hAnsi="仿宋" w:eastAsia="仿宋"/>
          <w:b w:val="0"/>
          <w:color w:val="000000" w:themeColor="text1"/>
          <w14:textFill>
            <w14:solidFill>
              <w14:schemeClr w14:val="tx1"/>
            </w14:solidFill>
          </w14:textFill>
        </w:rPr>
        <w:t>二、收</w:t>
      </w:r>
      <w:r>
        <w:rPr>
          <w:rStyle w:val="29"/>
          <w:rFonts w:hint="eastAsia" w:ascii="仿宋" w:hAnsi="仿宋" w:eastAsia="仿宋"/>
          <w:b w:val="0"/>
          <w:bCs w:val="0"/>
          <w:color w:val="000000" w:themeColor="text1"/>
          <w14:textFill>
            <w14:solidFill>
              <w14:schemeClr w14:val="tx1"/>
            </w14:solidFill>
          </w14:textFill>
        </w:rPr>
        <w:t>入决算表</w:t>
      </w:r>
      <w:bookmarkEnd w:id="59"/>
    </w:p>
    <w:p w14:paraId="3126331D">
      <w:pPr>
        <w:pStyle w:val="5"/>
        <w:rPr>
          <w:rFonts w:ascii="仿宋" w:hAnsi="仿宋" w:eastAsia="仿宋"/>
          <w:color w:val="000000" w:themeColor="text1"/>
          <w14:textFill>
            <w14:solidFill>
              <w14:schemeClr w14:val="tx1"/>
            </w14:solidFill>
          </w14:textFill>
        </w:rPr>
      </w:pPr>
      <w:bookmarkStart w:id="60" w:name="_Toc15396621"/>
      <w:r>
        <w:rPr>
          <w:rStyle w:val="29"/>
          <w:rFonts w:hint="eastAsia" w:ascii="仿宋" w:hAnsi="仿宋" w:eastAsia="仿宋"/>
          <w:b w:val="0"/>
          <w:bCs w:val="0"/>
          <w:color w:val="000000" w:themeColor="text1"/>
          <w14:textFill>
            <w14:solidFill>
              <w14:schemeClr w14:val="tx1"/>
            </w14:solidFill>
          </w14:textFill>
        </w:rPr>
        <w:t>三、</w:t>
      </w:r>
      <w:r>
        <w:rPr>
          <w:rFonts w:hint="eastAsia" w:ascii="仿宋" w:hAnsi="仿宋" w:eastAsia="仿宋"/>
          <w:b w:val="0"/>
          <w:color w:val="000000" w:themeColor="text1"/>
          <w14:textFill>
            <w14:solidFill>
              <w14:schemeClr w14:val="tx1"/>
            </w14:solidFill>
          </w14:textFill>
        </w:rPr>
        <w:t>支</w:t>
      </w:r>
      <w:r>
        <w:rPr>
          <w:rStyle w:val="29"/>
          <w:rFonts w:hint="eastAsia" w:ascii="仿宋" w:hAnsi="仿宋" w:eastAsia="仿宋"/>
          <w:b w:val="0"/>
          <w:bCs w:val="0"/>
          <w:color w:val="000000" w:themeColor="text1"/>
          <w14:textFill>
            <w14:solidFill>
              <w14:schemeClr w14:val="tx1"/>
            </w14:solidFill>
          </w14:textFill>
        </w:rPr>
        <w:t>出决算表</w:t>
      </w:r>
      <w:bookmarkEnd w:id="60"/>
    </w:p>
    <w:p w14:paraId="21839F27">
      <w:pPr>
        <w:pStyle w:val="5"/>
        <w:rPr>
          <w:rFonts w:ascii="仿宋" w:hAnsi="仿宋" w:eastAsia="仿宋"/>
          <w:b w:val="0"/>
          <w:color w:val="000000" w:themeColor="text1"/>
          <w14:textFill>
            <w14:solidFill>
              <w14:schemeClr w14:val="tx1"/>
            </w14:solidFill>
          </w14:textFill>
        </w:rPr>
      </w:pPr>
      <w:bookmarkStart w:id="61" w:name="_Toc15396622"/>
      <w:r>
        <w:rPr>
          <w:rStyle w:val="29"/>
          <w:rFonts w:hint="eastAsia" w:ascii="仿宋" w:hAnsi="仿宋" w:eastAsia="仿宋"/>
          <w:b w:val="0"/>
          <w:bCs w:val="0"/>
          <w:color w:val="000000" w:themeColor="text1"/>
          <w14:textFill>
            <w14:solidFill>
              <w14:schemeClr w14:val="tx1"/>
            </w14:solidFill>
          </w14:textFill>
        </w:rPr>
        <w:t>四、</w:t>
      </w:r>
      <w:r>
        <w:rPr>
          <w:rFonts w:hint="eastAsia" w:ascii="仿宋" w:hAnsi="仿宋" w:eastAsia="仿宋"/>
          <w:b w:val="0"/>
          <w:color w:val="000000" w:themeColor="text1"/>
          <w14:textFill>
            <w14:solidFill>
              <w14:schemeClr w14:val="tx1"/>
            </w14:solidFill>
          </w14:textFill>
        </w:rPr>
        <w:t>财</w:t>
      </w:r>
      <w:r>
        <w:rPr>
          <w:rStyle w:val="29"/>
          <w:rFonts w:hint="eastAsia" w:ascii="仿宋" w:hAnsi="仿宋" w:eastAsia="仿宋"/>
          <w:b w:val="0"/>
          <w:bCs w:val="0"/>
          <w:color w:val="000000" w:themeColor="text1"/>
          <w14:textFill>
            <w14:solidFill>
              <w14:schemeClr w14:val="tx1"/>
            </w14:solidFill>
          </w14:textFill>
        </w:rPr>
        <w:t>政拨款收入支出决算总表</w:t>
      </w:r>
      <w:bookmarkEnd w:id="61"/>
    </w:p>
    <w:p w14:paraId="517D56CF">
      <w:pPr>
        <w:pStyle w:val="5"/>
        <w:rPr>
          <w:rStyle w:val="29"/>
          <w:rFonts w:ascii="仿宋" w:hAnsi="仿宋" w:eastAsia="仿宋"/>
          <w:b w:val="0"/>
          <w:bCs w:val="0"/>
          <w:color w:val="000000" w:themeColor="text1"/>
          <w14:textFill>
            <w14:solidFill>
              <w14:schemeClr w14:val="tx1"/>
            </w14:solidFill>
          </w14:textFill>
        </w:rPr>
      </w:pPr>
      <w:bookmarkStart w:id="62" w:name="_Toc15396623"/>
      <w:r>
        <w:rPr>
          <w:rStyle w:val="29"/>
          <w:rFonts w:hint="eastAsia" w:ascii="仿宋" w:hAnsi="仿宋" w:eastAsia="仿宋"/>
          <w:b w:val="0"/>
          <w:bCs w:val="0"/>
          <w:color w:val="000000" w:themeColor="text1"/>
          <w14:textFill>
            <w14:solidFill>
              <w14:schemeClr w14:val="tx1"/>
            </w14:solidFill>
          </w14:textFill>
        </w:rPr>
        <w:t>五、</w:t>
      </w:r>
      <w:r>
        <w:rPr>
          <w:rFonts w:hint="eastAsia" w:ascii="仿宋" w:hAnsi="仿宋" w:eastAsia="仿宋"/>
          <w:b w:val="0"/>
          <w:color w:val="000000" w:themeColor="text1"/>
          <w14:textFill>
            <w14:solidFill>
              <w14:schemeClr w14:val="tx1"/>
            </w14:solidFill>
          </w14:textFill>
        </w:rPr>
        <w:t>财</w:t>
      </w:r>
      <w:r>
        <w:rPr>
          <w:rStyle w:val="29"/>
          <w:rFonts w:hint="eastAsia" w:ascii="仿宋" w:hAnsi="仿宋" w:eastAsia="仿宋"/>
          <w:b w:val="0"/>
          <w:bCs w:val="0"/>
          <w:color w:val="000000" w:themeColor="text1"/>
          <w14:textFill>
            <w14:solidFill>
              <w14:schemeClr w14:val="tx1"/>
            </w14:solidFill>
          </w14:textFill>
        </w:rPr>
        <w:t>政拨款支出决算明细表</w:t>
      </w:r>
      <w:bookmarkEnd w:id="62"/>
      <w:bookmarkStart w:id="63" w:name="_Toc15396624"/>
    </w:p>
    <w:p w14:paraId="50783384">
      <w:pPr>
        <w:pStyle w:val="5"/>
        <w:rPr>
          <w:rFonts w:ascii="仿宋" w:hAnsi="仿宋" w:eastAsia="仿宋"/>
          <w:color w:val="000000" w:themeColor="text1"/>
          <w14:textFill>
            <w14:solidFill>
              <w14:schemeClr w14:val="tx1"/>
            </w14:solidFill>
          </w14:textFill>
        </w:rPr>
      </w:pPr>
      <w:r>
        <w:rPr>
          <w:rStyle w:val="29"/>
          <w:rFonts w:hint="eastAsia" w:ascii="仿宋" w:hAnsi="仿宋" w:eastAsia="仿宋"/>
          <w:b w:val="0"/>
          <w:bCs w:val="0"/>
          <w:color w:val="000000" w:themeColor="text1"/>
          <w14:textFill>
            <w14:solidFill>
              <w14:schemeClr w14:val="tx1"/>
            </w14:solidFill>
          </w14:textFill>
        </w:rPr>
        <w:t>六、</w:t>
      </w:r>
      <w:r>
        <w:rPr>
          <w:rFonts w:hint="eastAsia" w:ascii="仿宋" w:hAnsi="仿宋" w:eastAsia="仿宋"/>
          <w:b w:val="0"/>
          <w:color w:val="000000" w:themeColor="text1"/>
          <w14:textFill>
            <w14:solidFill>
              <w14:schemeClr w14:val="tx1"/>
            </w14:solidFill>
          </w14:textFill>
        </w:rPr>
        <w:t>一</w:t>
      </w:r>
      <w:r>
        <w:rPr>
          <w:rStyle w:val="29"/>
          <w:rFonts w:hint="eastAsia" w:ascii="仿宋" w:hAnsi="仿宋" w:eastAsia="仿宋"/>
          <w:b w:val="0"/>
          <w:bCs w:val="0"/>
          <w:color w:val="000000" w:themeColor="text1"/>
          <w14:textFill>
            <w14:solidFill>
              <w14:schemeClr w14:val="tx1"/>
            </w14:solidFill>
          </w14:textFill>
        </w:rPr>
        <w:t>般公共预算财政拨款支出决算表</w:t>
      </w:r>
      <w:bookmarkEnd w:id="63"/>
    </w:p>
    <w:p w14:paraId="2E5D3382">
      <w:pPr>
        <w:pStyle w:val="5"/>
        <w:rPr>
          <w:rFonts w:ascii="仿宋" w:hAnsi="仿宋" w:eastAsia="仿宋"/>
          <w:color w:val="000000" w:themeColor="text1"/>
          <w14:textFill>
            <w14:solidFill>
              <w14:schemeClr w14:val="tx1"/>
            </w14:solidFill>
          </w14:textFill>
        </w:rPr>
      </w:pPr>
      <w:bookmarkStart w:id="64" w:name="_Toc15396625"/>
      <w:r>
        <w:rPr>
          <w:rStyle w:val="29"/>
          <w:rFonts w:hint="eastAsia" w:ascii="仿宋" w:hAnsi="仿宋" w:eastAsia="仿宋"/>
          <w:b w:val="0"/>
          <w:bCs w:val="0"/>
          <w:color w:val="000000" w:themeColor="text1"/>
          <w14:textFill>
            <w14:solidFill>
              <w14:schemeClr w14:val="tx1"/>
            </w14:solidFill>
          </w14:textFill>
        </w:rPr>
        <w:t>七、</w:t>
      </w:r>
      <w:r>
        <w:rPr>
          <w:rFonts w:hint="eastAsia" w:ascii="仿宋" w:hAnsi="仿宋" w:eastAsia="仿宋"/>
          <w:b w:val="0"/>
          <w:color w:val="000000" w:themeColor="text1"/>
          <w14:textFill>
            <w14:solidFill>
              <w14:schemeClr w14:val="tx1"/>
            </w14:solidFill>
          </w14:textFill>
        </w:rPr>
        <w:t>一</w:t>
      </w:r>
      <w:r>
        <w:rPr>
          <w:rStyle w:val="29"/>
          <w:rFonts w:hint="eastAsia" w:ascii="仿宋" w:hAnsi="仿宋" w:eastAsia="仿宋"/>
          <w:b w:val="0"/>
          <w:bCs w:val="0"/>
          <w:color w:val="000000" w:themeColor="text1"/>
          <w14:textFill>
            <w14:solidFill>
              <w14:schemeClr w14:val="tx1"/>
            </w14:solidFill>
          </w14:textFill>
        </w:rPr>
        <w:t>般公共预算财政拨款支出决算明细表</w:t>
      </w:r>
      <w:bookmarkEnd w:id="64"/>
    </w:p>
    <w:p w14:paraId="488DD2ED">
      <w:pPr>
        <w:pStyle w:val="5"/>
        <w:rPr>
          <w:rFonts w:ascii="仿宋" w:hAnsi="仿宋" w:eastAsia="仿宋"/>
          <w:color w:val="000000" w:themeColor="text1"/>
          <w14:textFill>
            <w14:solidFill>
              <w14:schemeClr w14:val="tx1"/>
            </w14:solidFill>
          </w14:textFill>
        </w:rPr>
      </w:pPr>
      <w:bookmarkStart w:id="65" w:name="_Toc15396626"/>
      <w:r>
        <w:rPr>
          <w:rStyle w:val="29"/>
          <w:rFonts w:hint="eastAsia" w:ascii="仿宋" w:hAnsi="仿宋" w:eastAsia="仿宋"/>
          <w:b w:val="0"/>
          <w:bCs w:val="0"/>
          <w:color w:val="000000" w:themeColor="text1"/>
          <w14:textFill>
            <w14:solidFill>
              <w14:schemeClr w14:val="tx1"/>
            </w14:solidFill>
          </w14:textFill>
        </w:rPr>
        <w:t>八、</w:t>
      </w:r>
      <w:r>
        <w:rPr>
          <w:rFonts w:hint="eastAsia" w:ascii="仿宋" w:hAnsi="仿宋" w:eastAsia="仿宋"/>
          <w:b w:val="0"/>
          <w:color w:val="000000" w:themeColor="text1"/>
          <w14:textFill>
            <w14:solidFill>
              <w14:schemeClr w14:val="tx1"/>
            </w14:solidFill>
          </w14:textFill>
        </w:rPr>
        <w:t>一</w:t>
      </w:r>
      <w:r>
        <w:rPr>
          <w:rStyle w:val="29"/>
          <w:rFonts w:hint="eastAsia" w:ascii="仿宋" w:hAnsi="仿宋" w:eastAsia="仿宋"/>
          <w:b w:val="0"/>
          <w:bCs w:val="0"/>
          <w:color w:val="000000" w:themeColor="text1"/>
          <w14:textFill>
            <w14:solidFill>
              <w14:schemeClr w14:val="tx1"/>
            </w14:solidFill>
          </w14:textFill>
        </w:rPr>
        <w:t>般公共预算财政拨款基本支出决算表</w:t>
      </w:r>
      <w:bookmarkEnd w:id="65"/>
    </w:p>
    <w:p w14:paraId="03E199A1">
      <w:pPr>
        <w:pStyle w:val="5"/>
        <w:rPr>
          <w:rFonts w:ascii="仿宋" w:hAnsi="仿宋" w:eastAsia="仿宋"/>
          <w:color w:val="000000" w:themeColor="text1"/>
          <w14:textFill>
            <w14:solidFill>
              <w14:schemeClr w14:val="tx1"/>
            </w14:solidFill>
          </w14:textFill>
        </w:rPr>
      </w:pPr>
      <w:bookmarkStart w:id="66" w:name="_Toc15396627"/>
      <w:r>
        <w:rPr>
          <w:rStyle w:val="29"/>
          <w:rFonts w:hint="eastAsia" w:ascii="仿宋" w:hAnsi="仿宋" w:eastAsia="仿宋"/>
          <w:b w:val="0"/>
          <w:bCs w:val="0"/>
          <w:color w:val="000000" w:themeColor="text1"/>
          <w14:textFill>
            <w14:solidFill>
              <w14:schemeClr w14:val="tx1"/>
            </w14:solidFill>
          </w14:textFill>
        </w:rPr>
        <w:t>九、</w:t>
      </w:r>
      <w:r>
        <w:rPr>
          <w:rFonts w:hint="eastAsia" w:ascii="仿宋" w:hAnsi="仿宋" w:eastAsia="仿宋"/>
          <w:b w:val="0"/>
          <w:color w:val="000000" w:themeColor="text1"/>
          <w14:textFill>
            <w14:solidFill>
              <w14:schemeClr w14:val="tx1"/>
            </w14:solidFill>
          </w14:textFill>
        </w:rPr>
        <w:t>一</w:t>
      </w:r>
      <w:r>
        <w:rPr>
          <w:rStyle w:val="29"/>
          <w:rFonts w:hint="eastAsia" w:ascii="仿宋" w:hAnsi="仿宋" w:eastAsia="仿宋"/>
          <w:b w:val="0"/>
          <w:bCs w:val="0"/>
          <w:color w:val="000000" w:themeColor="text1"/>
          <w14:textFill>
            <w14:solidFill>
              <w14:schemeClr w14:val="tx1"/>
            </w14:solidFill>
          </w14:textFill>
        </w:rPr>
        <w:t>般公共预算财政拨款项目支出决算表</w:t>
      </w:r>
      <w:bookmarkEnd w:id="66"/>
    </w:p>
    <w:p w14:paraId="00CF6C91">
      <w:pPr>
        <w:pStyle w:val="5"/>
        <w:rPr>
          <w:rFonts w:ascii="仿宋" w:hAnsi="仿宋" w:eastAsia="仿宋"/>
          <w:color w:val="000000" w:themeColor="text1"/>
          <w14:textFill>
            <w14:solidFill>
              <w14:schemeClr w14:val="tx1"/>
            </w14:solidFill>
          </w14:textFill>
        </w:rPr>
      </w:pPr>
      <w:bookmarkStart w:id="67" w:name="_Toc15396628"/>
      <w:r>
        <w:rPr>
          <w:rStyle w:val="29"/>
          <w:rFonts w:hint="eastAsia" w:ascii="仿宋" w:hAnsi="仿宋" w:eastAsia="仿宋"/>
          <w:b w:val="0"/>
          <w:bCs w:val="0"/>
          <w:color w:val="000000" w:themeColor="text1"/>
          <w14:textFill>
            <w14:solidFill>
              <w14:schemeClr w14:val="tx1"/>
            </w14:solidFill>
          </w14:textFill>
        </w:rPr>
        <w:t>十、</w:t>
      </w:r>
      <w:r>
        <w:rPr>
          <w:rFonts w:hint="eastAsia" w:ascii="仿宋" w:hAnsi="仿宋" w:eastAsia="仿宋"/>
          <w:b w:val="0"/>
          <w:color w:val="000000" w:themeColor="text1"/>
          <w14:textFill>
            <w14:solidFill>
              <w14:schemeClr w14:val="tx1"/>
            </w14:solidFill>
          </w14:textFill>
        </w:rPr>
        <w:t>一</w:t>
      </w:r>
      <w:r>
        <w:rPr>
          <w:rStyle w:val="29"/>
          <w:rFonts w:hint="eastAsia" w:ascii="仿宋" w:hAnsi="仿宋" w:eastAsia="仿宋"/>
          <w:b w:val="0"/>
          <w:bCs w:val="0"/>
          <w:color w:val="000000" w:themeColor="text1"/>
          <w14:textFill>
            <w14:solidFill>
              <w14:schemeClr w14:val="tx1"/>
            </w14:solidFill>
          </w14:textFill>
        </w:rPr>
        <w:t>般公共预算财政拨款“三公”经费支出决算表</w:t>
      </w:r>
      <w:bookmarkEnd w:id="67"/>
    </w:p>
    <w:p w14:paraId="30849732">
      <w:pPr>
        <w:pStyle w:val="5"/>
        <w:rPr>
          <w:rFonts w:ascii="仿宋" w:hAnsi="仿宋" w:eastAsia="仿宋"/>
          <w:color w:val="000000" w:themeColor="text1"/>
          <w14:textFill>
            <w14:solidFill>
              <w14:schemeClr w14:val="tx1"/>
            </w14:solidFill>
          </w14:textFill>
        </w:rPr>
      </w:pPr>
      <w:bookmarkStart w:id="68" w:name="_Toc15396629"/>
      <w:r>
        <w:rPr>
          <w:rStyle w:val="29"/>
          <w:rFonts w:hint="eastAsia" w:ascii="仿宋" w:hAnsi="仿宋" w:eastAsia="仿宋"/>
          <w:b w:val="0"/>
          <w:bCs w:val="0"/>
          <w:color w:val="000000" w:themeColor="text1"/>
          <w14:textFill>
            <w14:solidFill>
              <w14:schemeClr w14:val="tx1"/>
            </w14:solidFill>
          </w14:textFill>
        </w:rPr>
        <w:t>十一、</w:t>
      </w:r>
      <w:r>
        <w:rPr>
          <w:rFonts w:hint="eastAsia" w:ascii="仿宋" w:hAnsi="仿宋" w:eastAsia="仿宋"/>
          <w:b w:val="0"/>
          <w:color w:val="000000" w:themeColor="text1"/>
          <w14:textFill>
            <w14:solidFill>
              <w14:schemeClr w14:val="tx1"/>
            </w14:solidFill>
          </w14:textFill>
        </w:rPr>
        <w:t>政</w:t>
      </w:r>
      <w:r>
        <w:rPr>
          <w:rStyle w:val="29"/>
          <w:rFonts w:hint="eastAsia" w:ascii="仿宋" w:hAnsi="仿宋" w:eastAsia="仿宋"/>
          <w:b w:val="0"/>
          <w:bCs w:val="0"/>
          <w:color w:val="000000" w:themeColor="text1"/>
          <w14:textFill>
            <w14:solidFill>
              <w14:schemeClr w14:val="tx1"/>
            </w14:solidFill>
          </w14:textFill>
        </w:rPr>
        <w:t>府性基金预算财政拨款收入支出决算表</w:t>
      </w:r>
      <w:bookmarkEnd w:id="68"/>
    </w:p>
    <w:p w14:paraId="69A92C8F">
      <w:pPr>
        <w:pStyle w:val="5"/>
        <w:rPr>
          <w:rFonts w:ascii="仿宋" w:hAnsi="仿宋" w:eastAsia="仿宋"/>
          <w:color w:val="000000" w:themeColor="text1"/>
          <w14:textFill>
            <w14:solidFill>
              <w14:schemeClr w14:val="tx1"/>
            </w14:solidFill>
          </w14:textFill>
        </w:rPr>
      </w:pPr>
      <w:bookmarkStart w:id="69" w:name="_Toc15396630"/>
      <w:r>
        <w:rPr>
          <w:rStyle w:val="29"/>
          <w:rFonts w:hint="eastAsia" w:ascii="仿宋" w:hAnsi="仿宋" w:eastAsia="仿宋"/>
          <w:b w:val="0"/>
          <w:bCs w:val="0"/>
          <w:color w:val="000000" w:themeColor="text1"/>
          <w14:textFill>
            <w14:solidFill>
              <w14:schemeClr w14:val="tx1"/>
            </w14:solidFill>
          </w14:textFill>
        </w:rPr>
        <w:t>十二、</w:t>
      </w:r>
      <w:r>
        <w:rPr>
          <w:rFonts w:hint="eastAsia" w:ascii="仿宋" w:hAnsi="仿宋" w:eastAsia="仿宋"/>
          <w:b w:val="0"/>
          <w:color w:val="000000" w:themeColor="text1"/>
          <w14:textFill>
            <w14:solidFill>
              <w14:schemeClr w14:val="tx1"/>
            </w14:solidFill>
          </w14:textFill>
        </w:rPr>
        <w:t>政</w:t>
      </w:r>
      <w:r>
        <w:rPr>
          <w:rStyle w:val="29"/>
          <w:rFonts w:hint="eastAsia" w:ascii="仿宋" w:hAnsi="仿宋" w:eastAsia="仿宋"/>
          <w:b w:val="0"/>
          <w:bCs w:val="0"/>
          <w:color w:val="000000" w:themeColor="text1"/>
          <w14:textFill>
            <w14:solidFill>
              <w14:schemeClr w14:val="tx1"/>
            </w14:solidFill>
          </w14:textFill>
        </w:rPr>
        <w:t>府性基金预算财政拨款“三公”经费支出决算表</w:t>
      </w:r>
      <w:bookmarkEnd w:id="69"/>
    </w:p>
    <w:p w14:paraId="1A1F55A9">
      <w:pPr>
        <w:pStyle w:val="5"/>
        <w:rPr>
          <w:rFonts w:ascii="仿宋" w:hAnsi="仿宋" w:eastAsia="仿宋"/>
          <w:color w:val="000000" w:themeColor="text1"/>
          <w14:textFill>
            <w14:solidFill>
              <w14:schemeClr w14:val="tx1"/>
            </w14:solidFill>
          </w14:textFill>
        </w:rPr>
      </w:pPr>
      <w:bookmarkStart w:id="70" w:name="_Toc15396631"/>
      <w:r>
        <w:rPr>
          <w:rStyle w:val="29"/>
          <w:rFonts w:hint="eastAsia" w:ascii="仿宋" w:hAnsi="仿宋" w:eastAsia="仿宋"/>
          <w:b w:val="0"/>
          <w:bCs w:val="0"/>
          <w:color w:val="000000" w:themeColor="text1"/>
          <w14:textFill>
            <w14:solidFill>
              <w14:schemeClr w14:val="tx1"/>
            </w14:solidFill>
          </w14:textFill>
        </w:rPr>
        <w:t>十三、</w:t>
      </w:r>
      <w:r>
        <w:rPr>
          <w:rFonts w:hint="eastAsia" w:ascii="仿宋" w:hAnsi="仿宋" w:eastAsia="仿宋"/>
          <w:b w:val="0"/>
          <w:color w:val="000000" w:themeColor="text1"/>
          <w14:textFill>
            <w14:solidFill>
              <w14:schemeClr w14:val="tx1"/>
            </w14:solidFill>
          </w14:textFill>
        </w:rPr>
        <w:t>国</w:t>
      </w:r>
      <w:r>
        <w:rPr>
          <w:rStyle w:val="29"/>
          <w:rFonts w:hint="eastAsia" w:ascii="仿宋" w:hAnsi="仿宋" w:eastAsia="仿宋"/>
          <w:b w:val="0"/>
          <w:bCs w:val="0"/>
          <w:color w:val="000000" w:themeColor="text1"/>
          <w14:textFill>
            <w14:solidFill>
              <w14:schemeClr w14:val="tx1"/>
            </w14:solidFill>
          </w14:textFill>
        </w:rPr>
        <w:t>有资本经营预算支出决算表</w:t>
      </w:r>
      <w:bookmarkEnd w:id="70"/>
    </w:p>
    <w:p w14:paraId="3F25FF2C">
      <w:pPr>
        <w:rPr>
          <w:color w:val="000000" w:themeColor="text1"/>
          <w14:textFill>
            <w14:solidFill>
              <w14:schemeClr w14:val="tx1"/>
            </w14:solidFill>
          </w14:textFill>
        </w:rPr>
      </w:pPr>
    </w:p>
    <w:p w14:paraId="2FBB1F77">
      <w:pPr>
        <w:pStyle w:val="5"/>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769D91-CED6-4A4A-9B40-FF5F54254A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E4BCB11-4361-460B-8A53-FC99AF78ECB0}"/>
  </w:font>
  <w:font w:name="Cambria">
    <w:panose1 w:val="02040503050406030204"/>
    <w:charset w:val="00"/>
    <w:family w:val="roman"/>
    <w:pitch w:val="default"/>
    <w:sig w:usb0="E00006FF" w:usb1="420024FF" w:usb2="02000000" w:usb3="00000000" w:csb0="2000019F" w:csb1="00000000"/>
    <w:embedRegular r:id="rId3" w:fontKey="{012BB238-652D-4C33-8493-F5F2FE9FBC54}"/>
  </w:font>
  <w:font w:name="仿宋_GB2312">
    <w:panose1 w:val="02010609030101010101"/>
    <w:charset w:val="86"/>
    <w:family w:val="modern"/>
    <w:pitch w:val="default"/>
    <w:sig w:usb0="00000001" w:usb1="080E0000" w:usb2="00000000" w:usb3="00000000" w:csb0="00040000" w:csb1="00000000"/>
    <w:embedRegular r:id="rId4" w:fontKey="{489B7CCC-CFC9-4D65-BA0F-74F9B162150E}"/>
  </w:font>
  <w:font w:name="仿宋">
    <w:panose1 w:val="02010609060101010101"/>
    <w:charset w:val="86"/>
    <w:family w:val="modern"/>
    <w:pitch w:val="default"/>
    <w:sig w:usb0="800002BF" w:usb1="38CF7CFA" w:usb2="00000016" w:usb3="00000000" w:csb0="00040001" w:csb1="00000000"/>
    <w:embedRegular r:id="rId5" w:fontKey="{2BEBB649-FDD6-4D7A-8B77-C8CB4A92CFB8}"/>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6" w:fontKey="{51119F4B-28EC-4569-BFE6-0CB7CBE9AC3B}"/>
  </w:font>
  <w:font w:name="楷体_GB2312">
    <w:panose1 w:val="02010609030101010101"/>
    <w:charset w:val="86"/>
    <w:family w:val="modern"/>
    <w:pitch w:val="default"/>
    <w:sig w:usb0="00000001" w:usb1="080E0000" w:usb2="00000000" w:usb3="00000000" w:csb0="00040000" w:csb1="00000000"/>
    <w:embedRegular r:id="rId7" w:fontKey="{80316A79-8B5C-46C7-9B17-6AC6586373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65FE9FA">
        <w:pPr>
          <w:pStyle w:val="10"/>
          <w:jc w:val="center"/>
        </w:pPr>
        <w:r>
          <w:fldChar w:fldCharType="begin"/>
        </w:r>
        <w:r>
          <w:instrText xml:space="preserve">PAGE   \* MERGEFORMAT</w:instrText>
        </w:r>
        <w:r>
          <w:fldChar w:fldCharType="separate"/>
        </w:r>
        <w:r>
          <w:rPr>
            <w:lang w:val="zh-CN"/>
          </w:rPr>
          <w:t>28</w:t>
        </w:r>
        <w:r>
          <w:rPr>
            <w:lang w:val="zh-CN"/>
          </w:rPr>
          <w:fldChar w:fldCharType="end"/>
        </w:r>
      </w:p>
    </w:sdtContent>
  </w:sdt>
  <w:p w14:paraId="489FDAA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333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39EC7"/>
    <w:multiLevelType w:val="singleLevel"/>
    <w:tmpl w:val="85339EC7"/>
    <w:lvl w:ilvl="0" w:tentative="0">
      <w:start w:val="2"/>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AE49178"/>
    <w:multiLevelType w:val="singleLevel"/>
    <w:tmpl w:val="EAE49178"/>
    <w:lvl w:ilvl="0" w:tentative="0">
      <w:start w:val="1"/>
      <w:numFmt w:val="decimal"/>
      <w:lvlText w:val="%1."/>
      <w:lvlJc w:val="left"/>
      <w:pPr>
        <w:tabs>
          <w:tab w:val="left" w:pos="312"/>
        </w:tabs>
      </w:pPr>
    </w:lvl>
  </w:abstractNum>
  <w:abstractNum w:abstractNumId="4">
    <w:nsid w:val="FEE2EBCA"/>
    <w:multiLevelType w:val="singleLevel"/>
    <w:tmpl w:val="FEE2EBCA"/>
    <w:lvl w:ilvl="0" w:tentative="0">
      <w:start w:val="2"/>
      <w:numFmt w:val="chineseCounting"/>
      <w:suff w:val="nothing"/>
      <w:lvlText w:val="（%1）"/>
      <w:lvlJc w:val="left"/>
      <w:rPr>
        <w:rFonts w:hint="eastAsia"/>
      </w:rPr>
    </w:lvl>
  </w:abstractNum>
  <w:abstractNum w:abstractNumId="5">
    <w:nsid w:val="008789F6"/>
    <w:multiLevelType w:val="singleLevel"/>
    <w:tmpl w:val="008789F6"/>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288C"/>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03FE0"/>
    <w:rsid w:val="003216A9"/>
    <w:rsid w:val="00361959"/>
    <w:rsid w:val="0037013F"/>
    <w:rsid w:val="00374CD2"/>
    <w:rsid w:val="00380C92"/>
    <w:rsid w:val="003A01FD"/>
    <w:rsid w:val="003A484F"/>
    <w:rsid w:val="003A5684"/>
    <w:rsid w:val="003B0BE0"/>
    <w:rsid w:val="003B0C1B"/>
    <w:rsid w:val="003B688C"/>
    <w:rsid w:val="003C0291"/>
    <w:rsid w:val="003C39AE"/>
    <w:rsid w:val="003C7B60"/>
    <w:rsid w:val="003D1FB2"/>
    <w:rsid w:val="003D66DA"/>
    <w:rsid w:val="003E1310"/>
    <w:rsid w:val="003E6F55"/>
    <w:rsid w:val="00406254"/>
    <w:rsid w:val="004134CF"/>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5AD"/>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5719C"/>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A4513"/>
    <w:rsid w:val="008B768C"/>
    <w:rsid w:val="008C4DB1"/>
    <w:rsid w:val="008C4EAF"/>
    <w:rsid w:val="008C5176"/>
    <w:rsid w:val="008C7FD0"/>
    <w:rsid w:val="008D4996"/>
    <w:rsid w:val="008D5B56"/>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249F"/>
    <w:rsid w:val="009931C3"/>
    <w:rsid w:val="009953AE"/>
    <w:rsid w:val="009B2C43"/>
    <w:rsid w:val="009B4EAE"/>
    <w:rsid w:val="009B7573"/>
    <w:rsid w:val="009C22F4"/>
    <w:rsid w:val="009C2E98"/>
    <w:rsid w:val="009D3447"/>
    <w:rsid w:val="009D4711"/>
    <w:rsid w:val="009F0157"/>
    <w:rsid w:val="009F1185"/>
    <w:rsid w:val="009F18CD"/>
    <w:rsid w:val="009F2A13"/>
    <w:rsid w:val="00A04EB0"/>
    <w:rsid w:val="00A13CC1"/>
    <w:rsid w:val="00A16847"/>
    <w:rsid w:val="00A237D8"/>
    <w:rsid w:val="00A268C4"/>
    <w:rsid w:val="00A307CD"/>
    <w:rsid w:val="00A40A00"/>
    <w:rsid w:val="00A4142F"/>
    <w:rsid w:val="00A56DF2"/>
    <w:rsid w:val="00A67AB5"/>
    <w:rsid w:val="00A82232"/>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4F2"/>
    <w:rsid w:val="00C35554"/>
    <w:rsid w:val="00C42709"/>
    <w:rsid w:val="00C533CC"/>
    <w:rsid w:val="00C5751C"/>
    <w:rsid w:val="00C61BFC"/>
    <w:rsid w:val="00C62B85"/>
    <w:rsid w:val="00C65438"/>
    <w:rsid w:val="00C70366"/>
    <w:rsid w:val="00C84F2C"/>
    <w:rsid w:val="00C91CBB"/>
    <w:rsid w:val="00CA5F47"/>
    <w:rsid w:val="00CC09B6"/>
    <w:rsid w:val="00CC666F"/>
    <w:rsid w:val="00CD1E3F"/>
    <w:rsid w:val="00CE44F6"/>
    <w:rsid w:val="00CE49DA"/>
    <w:rsid w:val="00CE7B61"/>
    <w:rsid w:val="00D00095"/>
    <w:rsid w:val="00D20620"/>
    <w:rsid w:val="00D26091"/>
    <w:rsid w:val="00D34E7C"/>
    <w:rsid w:val="00D35489"/>
    <w:rsid w:val="00D40F24"/>
    <w:rsid w:val="00D51276"/>
    <w:rsid w:val="00D7035F"/>
    <w:rsid w:val="00DA65AC"/>
    <w:rsid w:val="00DB1913"/>
    <w:rsid w:val="00DC410D"/>
    <w:rsid w:val="00DC5B42"/>
    <w:rsid w:val="00DC604F"/>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C4F07"/>
    <w:rsid w:val="00FD3CC1"/>
    <w:rsid w:val="00FF1E02"/>
    <w:rsid w:val="00FF30B4"/>
    <w:rsid w:val="011C5CF9"/>
    <w:rsid w:val="01EF28A3"/>
    <w:rsid w:val="03FC47B6"/>
    <w:rsid w:val="04043290"/>
    <w:rsid w:val="04126867"/>
    <w:rsid w:val="047B7213"/>
    <w:rsid w:val="05BD0F92"/>
    <w:rsid w:val="06C77388"/>
    <w:rsid w:val="080A5427"/>
    <w:rsid w:val="093B0B27"/>
    <w:rsid w:val="0A0C6AFB"/>
    <w:rsid w:val="0A9816A5"/>
    <w:rsid w:val="0AC949C7"/>
    <w:rsid w:val="0C073B1B"/>
    <w:rsid w:val="0DAF3015"/>
    <w:rsid w:val="0E6B3626"/>
    <w:rsid w:val="0ECF13E3"/>
    <w:rsid w:val="100D315F"/>
    <w:rsid w:val="10572C73"/>
    <w:rsid w:val="10602865"/>
    <w:rsid w:val="10C055FF"/>
    <w:rsid w:val="11250A76"/>
    <w:rsid w:val="1157610A"/>
    <w:rsid w:val="116B47DA"/>
    <w:rsid w:val="11C049A9"/>
    <w:rsid w:val="11CE0850"/>
    <w:rsid w:val="11DA6ACC"/>
    <w:rsid w:val="13084545"/>
    <w:rsid w:val="13685315"/>
    <w:rsid w:val="13F022A0"/>
    <w:rsid w:val="143A01DA"/>
    <w:rsid w:val="14A01005"/>
    <w:rsid w:val="168B0CF9"/>
    <w:rsid w:val="168C3FC5"/>
    <w:rsid w:val="16BB723D"/>
    <w:rsid w:val="16D262AD"/>
    <w:rsid w:val="198F48F2"/>
    <w:rsid w:val="1A032AA1"/>
    <w:rsid w:val="1A1A50C7"/>
    <w:rsid w:val="1A4C3708"/>
    <w:rsid w:val="1AC61ED4"/>
    <w:rsid w:val="1B2D3CF6"/>
    <w:rsid w:val="1C644879"/>
    <w:rsid w:val="1CAE3B7F"/>
    <w:rsid w:val="1D7F7B8D"/>
    <w:rsid w:val="1E1708BA"/>
    <w:rsid w:val="1E185402"/>
    <w:rsid w:val="1E1E7366"/>
    <w:rsid w:val="1FDE5D28"/>
    <w:rsid w:val="20623995"/>
    <w:rsid w:val="20BB7CD2"/>
    <w:rsid w:val="21021B25"/>
    <w:rsid w:val="21197FC0"/>
    <w:rsid w:val="211A762B"/>
    <w:rsid w:val="21244BD2"/>
    <w:rsid w:val="2200011E"/>
    <w:rsid w:val="22A427AC"/>
    <w:rsid w:val="231C4C21"/>
    <w:rsid w:val="235E66B5"/>
    <w:rsid w:val="240371BF"/>
    <w:rsid w:val="261B0206"/>
    <w:rsid w:val="28AF3297"/>
    <w:rsid w:val="29865CD9"/>
    <w:rsid w:val="29883002"/>
    <w:rsid w:val="299F012B"/>
    <w:rsid w:val="29AA6BA3"/>
    <w:rsid w:val="29F36422"/>
    <w:rsid w:val="29FD04D3"/>
    <w:rsid w:val="2A3260DD"/>
    <w:rsid w:val="2A777A30"/>
    <w:rsid w:val="2A925F68"/>
    <w:rsid w:val="2B7863F2"/>
    <w:rsid w:val="2C9F5A67"/>
    <w:rsid w:val="2D125029"/>
    <w:rsid w:val="2DBE5937"/>
    <w:rsid w:val="2E787F96"/>
    <w:rsid w:val="304F7314"/>
    <w:rsid w:val="30C0092D"/>
    <w:rsid w:val="319F7F4E"/>
    <w:rsid w:val="33B73BDF"/>
    <w:rsid w:val="33DE3B5F"/>
    <w:rsid w:val="34FF7787"/>
    <w:rsid w:val="35001912"/>
    <w:rsid w:val="3580211E"/>
    <w:rsid w:val="358A6C6B"/>
    <w:rsid w:val="372B274A"/>
    <w:rsid w:val="385162D8"/>
    <w:rsid w:val="394A5431"/>
    <w:rsid w:val="3A19119B"/>
    <w:rsid w:val="3A252414"/>
    <w:rsid w:val="3AF00018"/>
    <w:rsid w:val="3B0D4761"/>
    <w:rsid w:val="3B7D25B0"/>
    <w:rsid w:val="3CA8682B"/>
    <w:rsid w:val="3E896438"/>
    <w:rsid w:val="3F9737B6"/>
    <w:rsid w:val="426055D7"/>
    <w:rsid w:val="431C6A0C"/>
    <w:rsid w:val="432977EA"/>
    <w:rsid w:val="439B0B7F"/>
    <w:rsid w:val="44524E72"/>
    <w:rsid w:val="44527FBC"/>
    <w:rsid w:val="45CF49A6"/>
    <w:rsid w:val="47523A73"/>
    <w:rsid w:val="4779105A"/>
    <w:rsid w:val="478F06BF"/>
    <w:rsid w:val="48043D18"/>
    <w:rsid w:val="482B15C5"/>
    <w:rsid w:val="49C45786"/>
    <w:rsid w:val="4B230C15"/>
    <w:rsid w:val="4B331F46"/>
    <w:rsid w:val="4B920F4B"/>
    <w:rsid w:val="4B934DB2"/>
    <w:rsid w:val="4BF44F1F"/>
    <w:rsid w:val="4CC2604B"/>
    <w:rsid w:val="4D7C2426"/>
    <w:rsid w:val="4D9D239B"/>
    <w:rsid w:val="4EE92922"/>
    <w:rsid w:val="4EFF2C5B"/>
    <w:rsid w:val="4F2A4649"/>
    <w:rsid w:val="4F482152"/>
    <w:rsid w:val="4F7C71E4"/>
    <w:rsid w:val="4FA5645F"/>
    <w:rsid w:val="4FBD366A"/>
    <w:rsid w:val="504F02CC"/>
    <w:rsid w:val="50F80249"/>
    <w:rsid w:val="52334308"/>
    <w:rsid w:val="529524B4"/>
    <w:rsid w:val="52D10A96"/>
    <w:rsid w:val="536A5C27"/>
    <w:rsid w:val="543C1451"/>
    <w:rsid w:val="54D24F7C"/>
    <w:rsid w:val="5502784F"/>
    <w:rsid w:val="553F64D6"/>
    <w:rsid w:val="558E56B7"/>
    <w:rsid w:val="569D3857"/>
    <w:rsid w:val="56A43EEC"/>
    <w:rsid w:val="56BF45C5"/>
    <w:rsid w:val="56BF4B18"/>
    <w:rsid w:val="57D613A4"/>
    <w:rsid w:val="58F43BC8"/>
    <w:rsid w:val="5BD15037"/>
    <w:rsid w:val="5FCB6BEE"/>
    <w:rsid w:val="60A85667"/>
    <w:rsid w:val="60BE55A0"/>
    <w:rsid w:val="60E813A7"/>
    <w:rsid w:val="6106332B"/>
    <w:rsid w:val="61371FE9"/>
    <w:rsid w:val="61B9555C"/>
    <w:rsid w:val="6363261F"/>
    <w:rsid w:val="639B3A9B"/>
    <w:rsid w:val="64894ADC"/>
    <w:rsid w:val="64E04239"/>
    <w:rsid w:val="65EE528E"/>
    <w:rsid w:val="65FD27F7"/>
    <w:rsid w:val="66E00263"/>
    <w:rsid w:val="6AF030B8"/>
    <w:rsid w:val="6B5466EC"/>
    <w:rsid w:val="6D642BFA"/>
    <w:rsid w:val="6D6C6A1E"/>
    <w:rsid w:val="6D7155AC"/>
    <w:rsid w:val="6DEE29D7"/>
    <w:rsid w:val="6E161169"/>
    <w:rsid w:val="6EB524DD"/>
    <w:rsid w:val="6F222EF6"/>
    <w:rsid w:val="6F9C1451"/>
    <w:rsid w:val="6FAC09E0"/>
    <w:rsid w:val="70A0138C"/>
    <w:rsid w:val="72C23FE3"/>
    <w:rsid w:val="742A112D"/>
    <w:rsid w:val="76035BCF"/>
    <w:rsid w:val="77FC78D5"/>
    <w:rsid w:val="79BC0CF8"/>
    <w:rsid w:val="79C127E2"/>
    <w:rsid w:val="7AD85FB9"/>
    <w:rsid w:val="7AFC1120"/>
    <w:rsid w:val="7BA158DD"/>
    <w:rsid w:val="7C791A52"/>
    <w:rsid w:val="7D4C7996"/>
    <w:rsid w:val="7E46664E"/>
    <w:rsid w:val="7EA8278A"/>
    <w:rsid w:val="7F275D16"/>
    <w:rsid w:val="7F5941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600" w:lineRule="exact"/>
      <w:ind w:firstLine="702"/>
    </w:pPr>
    <w:rPr>
      <w:rFonts w:ascii="仿宋_GB2312" w:eastAsia="仿宋_GB2312"/>
      <w:sz w:val="32"/>
      <w:szCs w:val="20"/>
    </w:r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Char"/>
    <w:basedOn w:val="1"/>
    <w:qFormat/>
    <w:uiPriority w:val="0"/>
    <w:pPr>
      <w:widowControl/>
      <w:spacing w:line="240" w:lineRule="exact"/>
      <w:jc w:val="left"/>
    </w:pPr>
    <w:rPr>
      <w:rFonts w:ascii="Verdana" w:hAnsi="Verdana" w:eastAsia="仿宋_GB2312"/>
      <w:kern w:val="0"/>
      <w:sz w:val="24"/>
      <w:szCs w:val="20"/>
      <w:lang w:eastAsia="en-US"/>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列出段落1"/>
    <w:basedOn w:val="1"/>
    <w:qFormat/>
    <w:uiPriority w:val="34"/>
    <w:pPr>
      <w:ind w:firstLine="420" w:firstLineChars="200"/>
    </w:pPr>
  </w:style>
  <w:style w:type="character" w:customStyle="1" w:styleId="28">
    <w:name w:val="标题 1 字符"/>
    <w:basedOn w:val="16"/>
    <w:link w:val="4"/>
    <w:qFormat/>
    <w:uiPriority w:val="9"/>
    <w:rPr>
      <w:rFonts w:ascii="Times New Roman" w:hAnsi="Times New Roman"/>
      <w:b/>
      <w:bCs/>
      <w:kern w:val="44"/>
      <w:sz w:val="44"/>
      <w:szCs w:val="44"/>
    </w:rPr>
  </w:style>
  <w:style w:type="character" w:customStyle="1" w:styleId="29">
    <w:name w:val="标题 2 字符"/>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6"/>
    <w:qFormat/>
    <w:uiPriority w:val="9"/>
    <w:rPr>
      <w:rFonts w:ascii="Times New Roman" w:hAnsi="Times New Roman"/>
      <w:b/>
      <w:bCs/>
      <w:kern w:val="2"/>
      <w:sz w:val="32"/>
      <w:szCs w:val="32"/>
    </w:rPr>
  </w:style>
  <w:style w:type="paragraph" w:customStyle="1" w:styleId="33">
    <w:name w:val="四号正文"/>
    <w:basedOn w:val="1"/>
    <w:link w:val="35"/>
    <w:qFormat/>
    <w:uiPriority w:val="0"/>
    <w:pPr>
      <w:spacing w:line="360" w:lineRule="auto"/>
    </w:pPr>
    <w:rPr>
      <w:rFonts w:ascii="??" w:hAnsi="??"/>
      <w:color w:val="000000"/>
      <w:kern w:val="0"/>
      <w:sz w:val="28"/>
      <w:szCs w:val="21"/>
    </w:rPr>
  </w:style>
  <w:style w:type="paragraph" w:styleId="34">
    <w:name w:val="List Paragraph"/>
    <w:basedOn w:val="1"/>
    <w:unhideWhenUsed/>
    <w:qFormat/>
    <w:uiPriority w:val="99"/>
    <w:pPr>
      <w:ind w:firstLine="420" w:firstLineChars="200"/>
    </w:pPr>
  </w:style>
  <w:style w:type="character" w:customStyle="1" w:styleId="35">
    <w:name w:val="四号正文 Char"/>
    <w:basedOn w:val="16"/>
    <w:link w:val="33"/>
    <w:qFormat/>
    <w:uiPriority w:val="0"/>
    <w:rPr>
      <w:rFonts w:ascii="??" w:hAnsi="??"/>
      <w:color w:val="000000"/>
      <w:sz w:val="28"/>
      <w:szCs w:val="21"/>
    </w:rPr>
  </w:style>
  <w:style w:type="paragraph" w:customStyle="1" w:styleId="3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AF6E-1AAD-465F-8AAF-C8C3E2BEAFB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11626</Words>
  <Characters>12320</Characters>
  <Lines>93</Lines>
  <Paragraphs>26</Paragraphs>
  <TotalTime>2</TotalTime>
  <ScaleCrop>false</ScaleCrop>
  <LinksUpToDate>false</LinksUpToDate>
  <CharactersWithSpaces>12464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2020-09-24T08:14:00Z</dcterms:created>
  <dc:creator>张彬茜</dc:creator>
  <cp:lastModifiedBy>奕夕^_^</cp:lastModifiedBy>
  <cp:lastPrinted>2020-09-24T08:07:00Z</cp:lastPrinted>
  <dcterms:modified xsi:type="dcterms:W3CDTF">2025-04-09T07:54:49Z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CBB44A0613804A81ADD65D5DACBFB7AA_12</vt:lpwstr>
  </property>
</Properties>
</file>