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C6A4F">
      <w:pPr>
        <w:spacing w:line="600" w:lineRule="exact"/>
        <w:jc w:val="center"/>
        <w:outlineLvl w:val="0"/>
        <w:rPr>
          <w:rFonts w:ascii="方正小标宋简体" w:hAnsi="宋体" w:eastAsia="方正小标宋简体"/>
          <w:color w:val="000000"/>
          <w:sz w:val="72"/>
          <w:szCs w:val="72"/>
        </w:rPr>
      </w:pPr>
      <w:bookmarkStart w:id="0" w:name="_Toc15306267"/>
    </w:p>
    <w:p w14:paraId="40A72966">
      <w:pPr>
        <w:spacing w:line="600" w:lineRule="exact"/>
        <w:jc w:val="center"/>
        <w:outlineLvl w:val="0"/>
        <w:rPr>
          <w:rFonts w:ascii="方正小标宋简体" w:hAnsi="宋体" w:eastAsia="方正小标宋简体"/>
          <w:color w:val="000000"/>
          <w:sz w:val="72"/>
          <w:szCs w:val="72"/>
        </w:rPr>
      </w:pPr>
    </w:p>
    <w:p w14:paraId="67EBF995">
      <w:pPr>
        <w:spacing w:line="600" w:lineRule="exact"/>
        <w:jc w:val="center"/>
        <w:outlineLvl w:val="0"/>
        <w:rPr>
          <w:rFonts w:ascii="方正小标宋简体" w:hAnsi="宋体" w:eastAsia="方正小标宋简体"/>
          <w:color w:val="000000"/>
          <w:sz w:val="72"/>
          <w:szCs w:val="72"/>
        </w:rPr>
      </w:pPr>
    </w:p>
    <w:p w14:paraId="62D2A690">
      <w:pPr>
        <w:spacing w:line="600" w:lineRule="exact"/>
        <w:jc w:val="center"/>
        <w:outlineLvl w:val="0"/>
        <w:rPr>
          <w:rFonts w:ascii="方正小标宋简体" w:hAnsi="宋体" w:eastAsia="方正小标宋简体"/>
          <w:color w:val="000000"/>
          <w:sz w:val="72"/>
          <w:szCs w:val="72"/>
        </w:rPr>
      </w:pPr>
    </w:p>
    <w:p w14:paraId="464CCF8F">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8441"/>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0BC3745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476"/>
      <w:bookmarkStart w:id="9" w:name="_Toc15396598"/>
      <w:bookmarkStart w:id="10" w:name="_Toc15377426"/>
      <w:r>
        <w:rPr>
          <w:rFonts w:hint="eastAsia" w:ascii="方正小标宋简体" w:hAnsi="宋体" w:eastAsia="方正小标宋简体"/>
          <w:color w:val="000000"/>
          <w:sz w:val="72"/>
          <w:szCs w:val="72"/>
        </w:rPr>
        <w:t>阿坝州松潘县</w:t>
      </w:r>
      <w:bookmarkEnd w:id="0"/>
      <w:bookmarkStart w:id="11" w:name="_Toc15306268"/>
      <w:r>
        <w:rPr>
          <w:rFonts w:hint="eastAsia" w:ascii="方正小标宋简体" w:hAnsi="宋体" w:eastAsia="方正小标宋简体"/>
          <w:color w:val="000000"/>
          <w:sz w:val="72"/>
          <w:szCs w:val="72"/>
        </w:rPr>
        <w:t>应急管理局部门决算</w:t>
      </w:r>
      <w:bookmarkEnd w:id="6"/>
      <w:bookmarkEnd w:id="7"/>
      <w:bookmarkEnd w:id="8"/>
      <w:bookmarkEnd w:id="9"/>
      <w:bookmarkEnd w:id="10"/>
      <w:bookmarkEnd w:id="11"/>
    </w:p>
    <w:p w14:paraId="6453342D">
      <w:pPr>
        <w:widowControl/>
        <w:jc w:val="center"/>
        <w:rPr>
          <w:rFonts w:ascii="方正小标宋简体" w:hAnsi="宋体" w:eastAsia="方正小标宋简体"/>
          <w:color w:val="000000"/>
          <w:sz w:val="36"/>
          <w:szCs w:val="36"/>
        </w:rPr>
      </w:pPr>
    </w:p>
    <w:p w14:paraId="670584E0">
      <w:pPr>
        <w:rPr>
          <w:rFonts w:ascii="方正小标宋简体" w:hAnsi="宋体" w:eastAsia="方正小标宋简体"/>
          <w:sz w:val="36"/>
          <w:szCs w:val="36"/>
        </w:rPr>
      </w:pPr>
    </w:p>
    <w:p w14:paraId="59C7801B">
      <w:pPr>
        <w:rPr>
          <w:rFonts w:ascii="方正小标宋简体" w:hAnsi="宋体" w:eastAsia="方正小标宋简体"/>
          <w:sz w:val="36"/>
          <w:szCs w:val="36"/>
        </w:rPr>
      </w:pPr>
    </w:p>
    <w:p w14:paraId="558A79E1">
      <w:pPr>
        <w:rPr>
          <w:rFonts w:ascii="方正小标宋简体" w:hAnsi="宋体" w:eastAsia="方正小标宋简体"/>
          <w:sz w:val="36"/>
          <w:szCs w:val="36"/>
        </w:rPr>
      </w:pPr>
    </w:p>
    <w:p w14:paraId="3C72800F">
      <w:pPr>
        <w:rPr>
          <w:rFonts w:ascii="方正小标宋简体" w:hAnsi="宋体" w:eastAsia="方正小标宋简体"/>
          <w:sz w:val="36"/>
          <w:szCs w:val="36"/>
        </w:rPr>
      </w:pPr>
    </w:p>
    <w:p w14:paraId="0FA798B1">
      <w:pPr>
        <w:rPr>
          <w:rFonts w:ascii="方正小标宋简体" w:hAnsi="宋体" w:eastAsia="方正小标宋简体"/>
          <w:sz w:val="36"/>
          <w:szCs w:val="36"/>
        </w:rPr>
      </w:pPr>
    </w:p>
    <w:p w14:paraId="2B997E97">
      <w:pPr>
        <w:rPr>
          <w:rFonts w:ascii="方正小标宋简体" w:hAnsi="宋体" w:eastAsia="方正小标宋简体"/>
          <w:sz w:val="36"/>
          <w:szCs w:val="36"/>
        </w:rPr>
      </w:pPr>
    </w:p>
    <w:p w14:paraId="3A9A3ADA">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49D0886C">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600E7F29">
      <w:pPr>
        <w:widowControl/>
        <w:jc w:val="center"/>
        <w:rPr>
          <w:rFonts w:ascii="方正小标宋简体" w:hAnsi="宋体" w:eastAsia="方正小标宋简体"/>
          <w:sz w:val="36"/>
          <w:szCs w:val="36"/>
        </w:rPr>
      </w:pPr>
    </w:p>
    <w:p w14:paraId="27311F43">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2891F3D">
      <w:pPr>
        <w:widowControl/>
        <w:jc w:val="center"/>
        <w:rPr>
          <w:rFonts w:ascii="黑体" w:hAnsi="黑体" w:eastAsia="黑体" w:cstheme="minorBidi"/>
          <w:sz w:val="28"/>
          <w:szCs w:val="28"/>
        </w:rPr>
      </w:pPr>
    </w:p>
    <w:p w14:paraId="01802F18">
      <w:pPr>
        <w:pStyle w:val="12"/>
      </w:pPr>
      <w:r>
        <w:rPr>
          <w:rFonts w:hint="eastAsia"/>
        </w:rPr>
        <w:t>公开时间：2020年9月</w:t>
      </w:r>
      <w:r>
        <w:t>25</w:t>
      </w:r>
      <w:r>
        <w:rPr>
          <w:rFonts w:hint="eastAsia"/>
        </w:rPr>
        <w:t>日</w:t>
      </w:r>
    </w:p>
    <w:p w14:paraId="2D9B6D95"/>
    <w:p w14:paraId="3EC7BA02">
      <w:pPr>
        <w:widowControl/>
        <w:jc w:val="center"/>
        <w:rPr>
          <w:rFonts w:ascii="黑体" w:hAnsi="黑体" w:eastAsia="黑体" w:cstheme="minorBidi"/>
          <w:sz w:val="28"/>
          <w:szCs w:val="28"/>
        </w:rPr>
      </w:pPr>
      <w:bookmarkStart w:id="12" w:name="_Toc15396599"/>
      <w:bookmarkStart w:id="13" w:name="_Toc15377196"/>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0F37ABA5">
      <w:pPr>
        <w:pStyle w:val="12"/>
        <w:rPr>
          <w:rFonts w:cstheme="minorBidi"/>
        </w:rPr>
      </w:pPr>
      <w:r>
        <w:fldChar w:fldCharType="begin"/>
      </w:r>
      <w:r>
        <w:instrText xml:space="preserve"> HYPERLINK \l "_Toc15396599" </w:instrText>
      </w:r>
      <w:r>
        <w:fldChar w:fldCharType="separate"/>
      </w:r>
      <w:r>
        <w:rPr>
          <w:rStyle w:val="18"/>
          <w:rFonts w:hint="eastAsia"/>
        </w:rPr>
        <w:t>第一部分</w:t>
      </w:r>
      <w:r>
        <w:rPr>
          <w:rStyle w:val="18"/>
        </w:rPr>
        <w:t xml:space="preserve"> </w:t>
      </w:r>
      <w:r>
        <w:rPr>
          <w:rStyle w:val="18"/>
          <w:rFonts w:hint="eastAsia"/>
        </w:rPr>
        <w:t>部门概况</w:t>
      </w:r>
      <w:r>
        <w:tab/>
      </w:r>
      <w:r>
        <w:rPr>
          <w:rFonts w:hint="eastAsia"/>
        </w:rPr>
        <w:t>4</w:t>
      </w:r>
      <w:r>
        <w:rPr>
          <w:rFonts w:hint="eastAsia"/>
        </w:rPr>
        <w:fldChar w:fldCharType="end"/>
      </w:r>
    </w:p>
    <w:p w14:paraId="65C08AB1">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26959985">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6</w:t>
      </w:r>
    </w:p>
    <w:p w14:paraId="542F4866">
      <w:pPr>
        <w:pStyle w:val="12"/>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rPr>
          <w:rFonts w:hint="eastAsia"/>
        </w:rPr>
        <w:t>1</w:t>
      </w:r>
      <w:r>
        <w:rPr>
          <w:rFonts w:hint="eastAsia"/>
        </w:rPr>
        <w:fldChar w:fldCharType="end"/>
      </w:r>
      <w:r>
        <w:rPr>
          <w:rFonts w:hint="eastAsia"/>
        </w:rPr>
        <w:t>7</w:t>
      </w:r>
    </w:p>
    <w:p w14:paraId="34F95D07">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rPr>
        <w:t>收</w:t>
      </w:r>
      <w:r>
        <w:rPr>
          <w:rStyle w:val="18"/>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14:paraId="5D72A591">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rPr>
        <w:t>收</w:t>
      </w:r>
      <w:r>
        <w:rPr>
          <w:rStyle w:val="18"/>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14:paraId="12468538">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rPr>
        <w:t>支</w:t>
      </w:r>
      <w:r>
        <w:rPr>
          <w:rStyle w:val="18"/>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8</w:t>
      </w:r>
    </w:p>
    <w:p w14:paraId="36716B25">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38282DF4">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7877B65D">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39C0DFD">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ascii="仿宋" w:hAnsi="仿宋" w:eastAsia="仿宋"/>
          <w:sz w:val="28"/>
          <w:szCs w:val="28"/>
        </w:rPr>
        <w:t>“</w:t>
      </w:r>
      <w:r>
        <w:rPr>
          <w:rStyle w:val="18"/>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4D174A8">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14:paraId="62753163">
      <w:pPr>
        <w:pStyle w:val="13"/>
        <w:rPr>
          <w:rFonts w:ascii="仿宋" w:hAnsi="仿宋" w:eastAsia="仿宋"/>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 xml:space="preserve"> 国</w:t>
      </w:r>
      <w:r>
        <w:rPr>
          <w:rStyle w:val="18"/>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14:paraId="44F4936F">
      <w:pPr>
        <w:pStyle w:val="13"/>
        <w:rPr>
          <w:rFonts w:ascii="仿宋" w:hAnsi="仿宋" w:eastAsia="仿宋"/>
          <w:sz w:val="28"/>
          <w:szCs w:val="28"/>
        </w:rPr>
      </w:pPr>
      <w:r>
        <w:rPr>
          <w:rStyle w:val="18"/>
          <w:rFonts w:hint="eastAsia" w:ascii="仿宋" w:hAnsi="仿宋" w:eastAsia="仿宋" w:cstheme="majorBidi"/>
          <w:bCs/>
          <w:sz w:val="28"/>
          <w:szCs w:val="28"/>
        </w:rPr>
        <w:t>十、</w:t>
      </w:r>
      <w:r>
        <w:fldChar w:fldCharType="begin"/>
      </w:r>
      <w:r>
        <w:instrText xml:space="preserve"> HYPERLINK \l "_Toc15396612" </w:instrText>
      </w:r>
      <w:r>
        <w:fldChar w:fldCharType="separate"/>
      </w:r>
      <w:r>
        <w:rPr>
          <w:rStyle w:val="18"/>
          <w:rFonts w:hint="eastAsia" w:ascii="仿宋" w:hAnsi="仿宋" w:eastAsia="仿宋" w:cstheme="majorBidi"/>
          <w:bCs/>
          <w:sz w:val="28"/>
          <w:szCs w:val="28"/>
        </w:rPr>
        <w:t>其他重要事项的情况说明</w:t>
      </w:r>
      <w:r>
        <w:fldChar w:fldCharType="begin"/>
      </w:r>
      <w:r>
        <w:instrText xml:space="preserve"> HYPERLINK \l "_Toc15396611" </w:instrText>
      </w:r>
      <w:r>
        <w:fldChar w:fldCharType="separate"/>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r>
        <w:rPr>
          <w:rStyle w:val="18"/>
          <w:rFonts w:hint="eastAsia" w:ascii="仿宋" w:hAnsi="仿宋" w:eastAsia="仿宋" w:cstheme="majorBidi"/>
          <w:bCs/>
          <w:sz w:val="28"/>
          <w:szCs w:val="28"/>
        </w:rPr>
        <w:fldChar w:fldCharType="end"/>
      </w:r>
    </w:p>
    <w:p w14:paraId="75C8D573">
      <w:pPr>
        <w:pStyle w:val="12"/>
        <w:rPr>
          <w:rFonts w:cstheme="minorBidi"/>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名</w:t>
      </w:r>
      <w:r>
        <w:rPr>
          <w:rStyle w:val="18"/>
          <w:rFonts w:hint="eastAsia"/>
          <w:bCs/>
          <w:kern w:val="44"/>
        </w:rPr>
        <w:t>词解释</w:t>
      </w:r>
      <w:r>
        <w:tab/>
      </w:r>
      <w:r>
        <w:fldChar w:fldCharType="begin"/>
      </w:r>
      <w:r>
        <w:instrText xml:space="preserve"> PAGEREF _Toc15396613 \h </w:instrText>
      </w:r>
      <w:r>
        <w:fldChar w:fldCharType="separate"/>
      </w:r>
      <w:r>
        <w:t>29</w:t>
      </w:r>
      <w:r>
        <w:fldChar w:fldCharType="end"/>
      </w:r>
      <w:r>
        <w:fldChar w:fldCharType="end"/>
      </w:r>
    </w:p>
    <w:p w14:paraId="34B18B99">
      <w:pPr>
        <w:pStyle w:val="12"/>
        <w:rPr>
          <w:rFonts w:cstheme="minorBidi"/>
        </w:rPr>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w:t>
      </w:r>
      <w:r>
        <w:rPr>
          <w:rStyle w:val="18"/>
          <w:bCs/>
          <w:kern w:val="44"/>
        </w:rPr>
        <w:t xml:space="preserve"> </w:t>
      </w:r>
      <w:r>
        <w:rPr>
          <w:rStyle w:val="18"/>
          <w:rFonts w:hint="eastAsia"/>
          <w:bCs/>
          <w:kern w:val="44"/>
        </w:rPr>
        <w:t>附件</w:t>
      </w:r>
      <w:r>
        <w:tab/>
      </w:r>
      <w:r>
        <w:fldChar w:fldCharType="begin"/>
      </w:r>
      <w:r>
        <w:instrText xml:space="preserve"> PAGEREF _Toc15396614 \h </w:instrText>
      </w:r>
      <w:r>
        <w:fldChar w:fldCharType="separate"/>
      </w:r>
      <w:r>
        <w:t>32</w:t>
      </w:r>
      <w:r>
        <w:fldChar w:fldCharType="end"/>
      </w:r>
      <w:r>
        <w:fldChar w:fldCharType="end"/>
      </w:r>
    </w:p>
    <w:p w14:paraId="1A4538F0">
      <w:pPr>
        <w:pStyle w:val="13"/>
        <w:rPr>
          <w:rFonts w:ascii="仿宋" w:hAnsi="仿宋" w:eastAsia="仿宋" w:cstheme="minorBidi"/>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rPr>
        <w:t>32</w:t>
      </w:r>
    </w:p>
    <w:p w14:paraId="6CA6062F">
      <w:pPr>
        <w:pStyle w:val="12"/>
        <w:rPr>
          <w:rFonts w:cstheme="minorBidi"/>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w:t>
      </w:r>
      <w:r>
        <w:rPr>
          <w:rStyle w:val="18"/>
          <w:bCs/>
          <w:kern w:val="44"/>
        </w:rPr>
        <w:t xml:space="preserve"> </w:t>
      </w:r>
      <w:r>
        <w:rPr>
          <w:rStyle w:val="18"/>
          <w:rFonts w:hint="eastAsia"/>
          <w:bCs/>
          <w:kern w:val="44"/>
        </w:rPr>
        <w:t>附表</w:t>
      </w:r>
      <w:r>
        <w:tab/>
      </w:r>
      <w:r>
        <w:fldChar w:fldCharType="begin"/>
      </w:r>
      <w:r>
        <w:instrText xml:space="preserve"> PAGEREF _Toc15396618 \h </w:instrText>
      </w:r>
      <w:r>
        <w:fldChar w:fldCharType="separate"/>
      </w:r>
      <w:r>
        <w:t>43</w:t>
      </w:r>
      <w:r>
        <w:fldChar w:fldCharType="end"/>
      </w:r>
      <w:r>
        <w:fldChar w:fldCharType="end"/>
      </w:r>
    </w:p>
    <w:p w14:paraId="38481F5A">
      <w:pPr>
        <w:pStyle w:val="13"/>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41E79749">
      <w:pPr>
        <w:pStyle w:val="13"/>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6CA3B252">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5EFCD5B8">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49FDD45">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3F86959">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0BEE478A">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4F3B2231">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A9BA052">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F62408F">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67536E76">
      <w:pPr>
        <w:pStyle w:val="13"/>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06C18DC5">
      <w:pPr>
        <w:pStyle w:val="13"/>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4A687D6E">
      <w:pPr>
        <w:pStyle w:val="13"/>
        <w:rPr>
          <w:rFonts w:ascii="仿宋" w:hAnsi="仿宋" w:eastAsia="仿宋"/>
          <w:color w:val="000000"/>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r>
        <w:rPr>
          <w:rFonts w:ascii="仿宋" w:hAnsi="仿宋" w:eastAsia="仿宋"/>
          <w:color w:val="000000"/>
          <w:sz w:val="24"/>
        </w:rPr>
        <w:fldChar w:fldCharType="end"/>
      </w:r>
    </w:p>
    <w:p w14:paraId="25A0CE03">
      <w:pPr>
        <w:rPr>
          <w:rFonts w:ascii="仿宋" w:hAnsi="仿宋" w:eastAsia="仿宋"/>
          <w:color w:val="000000"/>
          <w:sz w:val="24"/>
        </w:rPr>
      </w:pPr>
    </w:p>
    <w:p w14:paraId="250C15E5">
      <w:pPr>
        <w:rPr>
          <w:rFonts w:ascii="仿宋" w:hAnsi="仿宋" w:eastAsia="仿宋"/>
          <w:color w:val="000000"/>
          <w:sz w:val="24"/>
        </w:rPr>
      </w:pPr>
    </w:p>
    <w:p w14:paraId="5BB0ACA2">
      <w:pPr>
        <w:rPr>
          <w:rFonts w:ascii="仿宋" w:hAnsi="仿宋" w:eastAsia="仿宋"/>
          <w:color w:val="000000"/>
          <w:sz w:val="24"/>
        </w:rPr>
      </w:pPr>
    </w:p>
    <w:p w14:paraId="23DBB6C5">
      <w:pPr>
        <w:rPr>
          <w:rFonts w:ascii="仿宋" w:hAnsi="仿宋" w:eastAsia="仿宋"/>
          <w:color w:val="000000"/>
          <w:sz w:val="24"/>
        </w:rPr>
      </w:pPr>
    </w:p>
    <w:p w14:paraId="3EFF56F8">
      <w:pPr>
        <w:rPr>
          <w:rFonts w:ascii="仿宋" w:hAnsi="仿宋" w:eastAsia="仿宋"/>
          <w:color w:val="000000"/>
          <w:sz w:val="24"/>
        </w:rPr>
      </w:pPr>
    </w:p>
    <w:p w14:paraId="64B832CC">
      <w:pPr>
        <w:rPr>
          <w:rFonts w:ascii="仿宋" w:hAnsi="仿宋" w:eastAsia="仿宋"/>
          <w:color w:val="000000"/>
          <w:sz w:val="24"/>
        </w:rPr>
      </w:pPr>
    </w:p>
    <w:p w14:paraId="098199A0">
      <w:pPr>
        <w:rPr>
          <w:rFonts w:ascii="仿宋" w:hAnsi="仿宋" w:eastAsia="仿宋"/>
          <w:color w:val="000000"/>
          <w:sz w:val="24"/>
        </w:rPr>
      </w:pPr>
    </w:p>
    <w:p w14:paraId="4BEF369D">
      <w:pPr>
        <w:rPr>
          <w:rFonts w:ascii="仿宋" w:hAnsi="仿宋" w:eastAsia="仿宋"/>
          <w:color w:val="000000"/>
          <w:sz w:val="24"/>
        </w:rPr>
      </w:pPr>
    </w:p>
    <w:p w14:paraId="330EF44F">
      <w:pPr>
        <w:rPr>
          <w:rFonts w:ascii="仿宋" w:hAnsi="仿宋" w:eastAsia="仿宋"/>
          <w:color w:val="000000"/>
          <w:sz w:val="24"/>
        </w:rPr>
      </w:pPr>
    </w:p>
    <w:p w14:paraId="5FBF5B48">
      <w:pPr>
        <w:rPr>
          <w:rFonts w:ascii="仿宋" w:hAnsi="仿宋" w:eastAsia="仿宋"/>
          <w:color w:val="000000"/>
          <w:sz w:val="24"/>
        </w:rPr>
      </w:pPr>
    </w:p>
    <w:p w14:paraId="4B1DB82A">
      <w:pPr>
        <w:widowControl/>
        <w:spacing w:line="440" w:lineRule="exact"/>
        <w:jc w:val="left"/>
        <w:rPr>
          <w:rFonts w:ascii="仿宋" w:hAnsi="仿宋" w:eastAsia="仿宋"/>
          <w:bCs/>
          <w:kern w:val="44"/>
          <w:sz w:val="24"/>
        </w:rPr>
      </w:pPr>
      <w:r>
        <w:rPr>
          <w:rFonts w:ascii="仿宋" w:hAnsi="仿宋" w:eastAsia="仿宋"/>
          <w:b/>
          <w:sz w:val="24"/>
        </w:rPr>
        <w:br w:type="page"/>
      </w:r>
    </w:p>
    <w:p w14:paraId="4E2F0962">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7D87E48A">
      <w:pPr>
        <w:widowControl/>
        <w:jc w:val="left"/>
        <w:rPr>
          <w:rFonts w:ascii="黑体" w:eastAsia="黑体"/>
          <w:color w:val="000000"/>
          <w:sz w:val="32"/>
          <w:szCs w:val="32"/>
        </w:rPr>
      </w:pPr>
    </w:p>
    <w:p w14:paraId="61579092">
      <w:pPr>
        <w:pStyle w:val="5"/>
        <w:rPr>
          <w:rStyle w:val="29"/>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14:paraId="7752166A">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14:paraId="2332D77F">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b/>
          <w:sz w:val="32"/>
          <w:szCs w:val="32"/>
        </w:rPr>
        <w:t>主要职能。</w:t>
      </w:r>
    </w:p>
    <w:p w14:paraId="7081E7B2">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（一）负责应急管理工作，组织和指导各乡镇、各部门（单位）应对安全生产类、自然灾害类等突发事件和综合防灾减灾救灾工作。负责安全生产综合监督管理和工矿商贸安全生产监督管理工作。</w:t>
      </w:r>
    </w:p>
    <w:p w14:paraId="42A27939">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（二）拟订应急管理、安全生产等规范性文件，组织编制应急体系建设、安全生产和综合防灾减灾规划。</w:t>
      </w:r>
    </w:p>
    <w:p w14:paraId="6E11465D">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27C542A4">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（四）牵头建立统一的应急管理信息系统，负责信息传输渠道的规划和布局，建立监测预警和灾情报告制度，健全自然灾害信息资源获取和共享机制，依法统一发布灾情。</w:t>
      </w:r>
    </w:p>
    <w:p w14:paraId="559A53EF">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（五）负责组织、指导、协调安全生产类、自然灾害类等突发事件应急救援，承担全县应对一般及以上灾害指挥部工作，综合研判突发事件发展态势并提出应对建议，负责组织一般及以上灾害应急处置工作。</w:t>
      </w:r>
    </w:p>
    <w:p w14:paraId="1C92E72C">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（六）统一协调指挥各类应急专业队伍，建立应急协调联动机制，推进指挥平台对接。</w:t>
      </w:r>
    </w:p>
    <w:p w14:paraId="4ABB3350">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按照国家、省、州相关政策和规定负责消防、森林火灾扑救、抗洪抢险、地震和地质灾害救援、生产安全事故救援等专业应急救援力量建设，依法依规统筹指导各乡（镇）及社会应急救援力量和应急保障能力建设。</w:t>
      </w:r>
    </w:p>
    <w:p w14:paraId="0AAC63F9">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（八）按照国家、省、州相关政策和县委、县政府相关规定负责消防工作，组织和指导消防监督、火灾预防、火灾扑救等工作。</w:t>
      </w:r>
    </w:p>
    <w:p w14:paraId="12840E1E">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（九）负责自然灾害综合监测预警工作，承担自然灾害综合风险评估工作，指导协调森林和草原火灾、水旱灾害、地震和地质灾害等防治工作。</w:t>
      </w:r>
    </w:p>
    <w:p w14:paraId="6F1E5363">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（十）负责组织、协调灾害救助工作，组织和指导灾情核查、损失评估、救灾捐赠工作，管理、分配救灾款物并监督使用。</w:t>
      </w:r>
    </w:p>
    <w:p w14:paraId="7971E988">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（十一）依法承担县政府安全生产综合监督管理责任，指导协调、监督检查县直有关部门和各乡（镇）安全生产工作，组织开展安全生产督查、考核工作。</w:t>
      </w:r>
    </w:p>
    <w:p w14:paraId="22190E41">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p>
    <w:p w14:paraId="3644933A">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（十三）承担非煤矿山、危险化学品、非药品类易制毒化学品和烟花爆竹等生产经营单位安全生产准入管理责任。</w:t>
      </w:r>
    </w:p>
    <w:p w14:paraId="7FD0FA13">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（十四）依法组织、指导生产安全事故调查处理，监督事故查处和责任追究落实情况。组织开展自然灾害类突发事件的调查评估工作。</w:t>
      </w:r>
    </w:p>
    <w:p w14:paraId="0F169B39">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（十五）开展应急管理和安全生产方面的交流与合作，组织参与安全生产类、自然灾害类等突发事件的跨区域救援工作。</w:t>
      </w:r>
    </w:p>
    <w:p w14:paraId="714D97F8">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（十六）制定应急物资储备和应急救援装备规划并组织实施，会同县发展和改革局等部门建立健全应急物资信息平台和调拨制度，在救灾时统一调度。</w:t>
      </w:r>
    </w:p>
    <w:p w14:paraId="48CC031F">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（十七）负责应急管理、安全生产宣传教育和培训工作，组织和指导应急管理、安全生产的科学技术推广应用和信息化建设工作。</w:t>
      </w:r>
    </w:p>
    <w:p w14:paraId="55A0AA2E">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（十八）负责职责范围内的职业健康、生态环境保护、审批服务便民化工作。</w:t>
      </w:r>
    </w:p>
    <w:p w14:paraId="0FAD9276">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（十九）完成县委、县政府交办的其他任务。</w:t>
      </w:r>
    </w:p>
    <w:p w14:paraId="10D873FD">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5AE67073">
      <w:pPr>
        <w:adjustRightInd w:val="0"/>
        <w:snapToGrid w:val="0"/>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坚持以人为本和安全发展理念，县政府及安全生产各相关部门全面落实安全</w:t>
      </w:r>
      <w:r>
        <w:rPr>
          <w:rFonts w:hint="eastAsia" w:eastAsia="仿宋_GB2312"/>
          <w:color w:val="000000" w:themeColor="text1"/>
          <w:sz w:val="32"/>
          <w:szCs w:val="32"/>
          <w14:textFill>
            <w14:solidFill>
              <w14:schemeClr w14:val="tx1"/>
            </w14:solidFill>
          </w14:textFill>
        </w:rPr>
        <w:t>生产</w:t>
      </w:r>
      <w:r>
        <w:rPr>
          <w:rFonts w:eastAsia="仿宋_GB2312"/>
          <w:color w:val="000000" w:themeColor="text1"/>
          <w:sz w:val="32"/>
          <w:szCs w:val="32"/>
          <w14:textFill>
            <w14:solidFill>
              <w14:schemeClr w14:val="tx1"/>
            </w14:solidFill>
          </w14:textFill>
        </w:rPr>
        <w:t>工作责任，不断完善监管机制、创新监管举措，及时整改安全隐患、妥善解决突出问题，严密防范和有效遏制各类生产安全事故发生。截至目前，全县共发生各类事故</w:t>
      </w:r>
      <w:r>
        <w:rPr>
          <w:rFonts w:hint="eastAsia" w:eastAsia="仿宋_GB2312"/>
          <w:color w:val="000000" w:themeColor="text1"/>
          <w:sz w:val="32"/>
          <w:szCs w:val="32"/>
          <w14:textFill>
            <w14:solidFill>
              <w14:schemeClr w14:val="tx1"/>
            </w14:solidFill>
          </w14:textFill>
        </w:rPr>
        <w:t>21</w:t>
      </w:r>
      <w:r>
        <w:rPr>
          <w:rFonts w:eastAsia="仿宋_GB2312"/>
          <w:color w:val="000000" w:themeColor="text1"/>
          <w:sz w:val="32"/>
          <w:szCs w:val="32"/>
          <w14:textFill>
            <w14:solidFill>
              <w14:schemeClr w14:val="tx1"/>
            </w14:solidFill>
          </w14:textFill>
        </w:rPr>
        <w:t>起（道路交通</w:t>
      </w:r>
      <w:r>
        <w:rPr>
          <w:rFonts w:hint="eastAsia" w:eastAsia="仿宋_GB2312"/>
          <w:color w:val="000000" w:themeColor="text1"/>
          <w:sz w:val="32"/>
          <w:szCs w:val="32"/>
          <w14:textFill>
            <w14:solidFill>
              <w14:schemeClr w14:val="tx1"/>
            </w14:solidFill>
          </w14:textFill>
        </w:rPr>
        <w:t>15</w:t>
      </w:r>
      <w:r>
        <w:rPr>
          <w:rFonts w:eastAsia="仿宋_GB2312"/>
          <w:color w:val="000000" w:themeColor="text1"/>
          <w:sz w:val="32"/>
          <w:szCs w:val="32"/>
          <w14:textFill>
            <w14:solidFill>
              <w14:schemeClr w14:val="tx1"/>
            </w14:solidFill>
          </w14:textFill>
        </w:rPr>
        <w:t>起、火灾5起</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意外事故1起</w:t>
      </w:r>
      <w:r>
        <w:rPr>
          <w:rFonts w:eastAsia="仿宋_GB2312"/>
          <w:color w:val="000000" w:themeColor="text1"/>
          <w:sz w:val="32"/>
          <w:szCs w:val="32"/>
          <w14:textFill>
            <w14:solidFill>
              <w14:schemeClr w14:val="tx1"/>
            </w14:solidFill>
          </w14:textFill>
        </w:rPr>
        <w:t>），死亡</w:t>
      </w:r>
      <w:r>
        <w:rPr>
          <w:rFonts w:hint="eastAsia" w:eastAsia="仿宋_GB2312"/>
          <w:color w:val="000000" w:themeColor="text1"/>
          <w:sz w:val="32"/>
          <w:szCs w:val="32"/>
          <w14:textFill>
            <w14:solidFill>
              <w14:schemeClr w14:val="tx1"/>
            </w14:solidFill>
          </w14:textFill>
        </w:rPr>
        <w:t>12</w:t>
      </w:r>
      <w:r>
        <w:rPr>
          <w:rFonts w:eastAsia="仿宋_GB2312"/>
          <w:color w:val="000000" w:themeColor="text1"/>
          <w:sz w:val="32"/>
          <w:szCs w:val="32"/>
          <w14:textFill>
            <w14:solidFill>
              <w14:schemeClr w14:val="tx1"/>
            </w14:solidFill>
          </w14:textFill>
        </w:rPr>
        <w:t>人（道路交通</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人</w:t>
      </w:r>
      <w:r>
        <w:rPr>
          <w:rFonts w:hint="eastAsia" w:eastAsia="仿宋_GB2312"/>
          <w:color w:val="000000" w:themeColor="text1"/>
          <w:sz w:val="32"/>
          <w:szCs w:val="32"/>
          <w14:textFill>
            <w14:solidFill>
              <w14:schemeClr w14:val="tx1"/>
            </w14:solidFill>
          </w14:textFill>
        </w:rPr>
        <w:t>，意外事故8人</w:t>
      </w:r>
      <w:r>
        <w:rPr>
          <w:rFonts w:eastAsia="仿宋_GB2312"/>
          <w:color w:val="000000" w:themeColor="text1"/>
          <w:sz w:val="32"/>
          <w:szCs w:val="32"/>
          <w14:textFill>
            <w14:solidFill>
              <w14:schemeClr w14:val="tx1"/>
            </w14:solidFill>
          </w14:textFill>
        </w:rPr>
        <w:t>），受伤人数</w:t>
      </w:r>
      <w:r>
        <w:rPr>
          <w:rFonts w:hint="eastAsia" w:eastAsia="仿宋_GB2312"/>
          <w:color w:val="000000" w:themeColor="text1"/>
          <w:sz w:val="32"/>
          <w:szCs w:val="32"/>
          <w14:textFill>
            <w14:solidFill>
              <w14:schemeClr w14:val="tx1"/>
            </w14:solidFill>
          </w14:textFill>
        </w:rPr>
        <w:t>37</w:t>
      </w:r>
      <w:r>
        <w:rPr>
          <w:rFonts w:eastAsia="仿宋_GB2312"/>
          <w:color w:val="000000" w:themeColor="text1"/>
          <w:sz w:val="32"/>
          <w:szCs w:val="32"/>
          <w14:textFill>
            <w14:solidFill>
              <w14:schemeClr w14:val="tx1"/>
            </w14:solidFill>
          </w14:textFill>
        </w:rPr>
        <w:t>人（道路交通</w:t>
      </w:r>
      <w:r>
        <w:rPr>
          <w:rFonts w:hint="eastAsia" w:eastAsia="仿宋_GB2312"/>
          <w:color w:val="000000" w:themeColor="text1"/>
          <w:sz w:val="32"/>
          <w:szCs w:val="32"/>
          <w14:textFill>
            <w14:solidFill>
              <w14:schemeClr w14:val="tx1"/>
            </w14:solidFill>
          </w14:textFill>
        </w:rPr>
        <w:t>22，意外事故15人</w:t>
      </w:r>
      <w:r>
        <w:rPr>
          <w:rFonts w:eastAsia="仿宋_GB2312"/>
          <w:color w:val="000000" w:themeColor="text1"/>
          <w:sz w:val="32"/>
          <w:szCs w:val="32"/>
          <w14:textFill>
            <w14:solidFill>
              <w14:schemeClr w14:val="tx1"/>
            </w14:solidFill>
          </w14:textFill>
        </w:rPr>
        <w:t>），直接经济损失</w:t>
      </w:r>
      <w:r>
        <w:rPr>
          <w:rFonts w:hint="eastAsia" w:eastAsia="仿宋_GB2312"/>
          <w:color w:val="000000" w:themeColor="text1"/>
          <w:sz w:val="32"/>
          <w:szCs w:val="32"/>
          <w14:textFill>
            <w14:solidFill>
              <w14:schemeClr w14:val="tx1"/>
            </w14:solidFill>
          </w14:textFill>
        </w:rPr>
        <w:t>282.16</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道路交通</w:t>
      </w:r>
      <w:r>
        <w:rPr>
          <w:rFonts w:hint="eastAsia" w:eastAsia="仿宋_GB2312"/>
          <w:color w:val="000000" w:themeColor="text1"/>
          <w:sz w:val="32"/>
          <w:szCs w:val="32"/>
          <w14:textFill>
            <w14:solidFill>
              <w14:schemeClr w14:val="tx1"/>
            </w14:solidFill>
          </w14:textFill>
        </w:rPr>
        <w:t>32.16万元</w:t>
      </w:r>
      <w:r>
        <w:rPr>
          <w:rFonts w:eastAsia="仿宋_GB2312"/>
          <w:color w:val="000000" w:themeColor="text1"/>
          <w:sz w:val="32"/>
          <w:szCs w:val="32"/>
          <w14:textFill>
            <w14:solidFill>
              <w14:schemeClr w14:val="tx1"/>
            </w14:solidFill>
          </w14:textFill>
        </w:rPr>
        <w:t>、火灾</w:t>
      </w:r>
      <w:r>
        <w:rPr>
          <w:rFonts w:hint="eastAsia" w:eastAsia="仿宋_GB2312"/>
          <w:color w:val="000000" w:themeColor="text1"/>
          <w:sz w:val="32"/>
          <w:szCs w:val="32"/>
          <w14:textFill>
            <w14:solidFill>
              <w14:schemeClr w14:val="tx1"/>
            </w14:solidFill>
          </w14:textFill>
        </w:rPr>
        <w:t>250万元）</w:t>
      </w:r>
      <w:r>
        <w:rPr>
          <w:rFonts w:eastAsia="仿宋_GB2312"/>
          <w:color w:val="000000" w:themeColor="text1"/>
          <w:sz w:val="32"/>
          <w:szCs w:val="32"/>
          <w14:textFill>
            <w14:solidFill>
              <w14:schemeClr w14:val="tx1"/>
            </w14:solidFill>
          </w14:textFill>
        </w:rPr>
        <w:t>。事故件数同比上升</w:t>
      </w:r>
      <w:r>
        <w:rPr>
          <w:rFonts w:hint="eastAsia" w:eastAsia="仿宋_GB2312"/>
          <w:color w:val="000000" w:themeColor="text1"/>
          <w:sz w:val="32"/>
          <w:szCs w:val="32"/>
          <w14:textFill>
            <w14:solidFill>
              <w14:schemeClr w14:val="tx1"/>
            </w14:solidFill>
          </w14:textFill>
        </w:rPr>
        <w:t>24</w:t>
      </w:r>
      <w:r>
        <w:rPr>
          <w:rFonts w:eastAsia="仿宋_GB2312"/>
          <w:color w:val="000000" w:themeColor="text1"/>
          <w:sz w:val="32"/>
          <w:szCs w:val="32"/>
          <w14:textFill>
            <w14:solidFill>
              <w14:schemeClr w14:val="tx1"/>
            </w14:solidFill>
          </w14:textFill>
        </w:rPr>
        <w:t>%，死亡人数同比上升</w:t>
      </w:r>
      <w:r>
        <w:rPr>
          <w:rFonts w:hint="eastAsia" w:eastAsia="仿宋_GB2312"/>
          <w:color w:val="000000" w:themeColor="text1"/>
          <w:sz w:val="32"/>
          <w:szCs w:val="32"/>
          <w14:textFill>
            <w14:solidFill>
              <w14:schemeClr w14:val="tx1"/>
            </w14:solidFill>
          </w14:textFill>
        </w:rPr>
        <w:t>71</w:t>
      </w:r>
      <w:r>
        <w:rPr>
          <w:rFonts w:eastAsia="仿宋_GB2312"/>
          <w:color w:val="000000" w:themeColor="text1"/>
          <w:sz w:val="32"/>
          <w:szCs w:val="32"/>
          <w14:textFill>
            <w14:solidFill>
              <w14:schemeClr w14:val="tx1"/>
            </w14:solidFill>
          </w14:textFill>
        </w:rPr>
        <w:t>%，受伤人数同比上升</w:t>
      </w:r>
      <w:r>
        <w:rPr>
          <w:rFonts w:hint="eastAsia" w:eastAsia="仿宋_GB2312"/>
          <w:color w:val="000000" w:themeColor="text1"/>
          <w:sz w:val="32"/>
          <w:szCs w:val="32"/>
          <w14:textFill>
            <w14:solidFill>
              <w14:schemeClr w14:val="tx1"/>
            </w14:solidFill>
          </w14:textFill>
        </w:rPr>
        <w:t>76</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，经济损失同比</w:t>
      </w:r>
      <w:r>
        <w:rPr>
          <w:rFonts w:eastAsia="仿宋_GB2312"/>
          <w:color w:val="000000" w:themeColor="text1"/>
          <w:sz w:val="32"/>
          <w:szCs w:val="32"/>
          <w14:textFill>
            <w14:solidFill>
              <w14:schemeClr w14:val="tx1"/>
            </w14:solidFill>
          </w14:textFill>
        </w:rPr>
        <w:t>上升</w:t>
      </w:r>
      <w:r>
        <w:rPr>
          <w:rFonts w:hint="eastAsia" w:eastAsia="仿宋_GB2312"/>
          <w:color w:val="000000" w:themeColor="text1"/>
          <w:sz w:val="32"/>
          <w:szCs w:val="32"/>
          <w14:textFill>
            <w14:solidFill>
              <w14:schemeClr w14:val="tx1"/>
            </w14:solidFill>
          </w14:textFill>
        </w:rPr>
        <w:t>259</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以上事故均为一般事故和非生产性事故，全县安全生产形势平稳可控。</w:t>
      </w:r>
    </w:p>
    <w:p w14:paraId="5574C6D0">
      <w:pPr>
        <w:adjustRightInd w:val="0"/>
        <w:snapToGrid w:val="0"/>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（一）逐层级锁紧安全责任链条。</w:t>
      </w:r>
      <w:r>
        <w:rPr>
          <w:rFonts w:eastAsia="仿宋_GB2312"/>
          <w:b/>
          <w:bCs/>
          <w:color w:val="000000" w:themeColor="text1"/>
          <w:sz w:val="32"/>
          <w:szCs w:val="32"/>
          <w14:textFill>
            <w14:solidFill>
              <w14:schemeClr w14:val="tx1"/>
            </w14:solidFill>
          </w14:textFill>
        </w:rPr>
        <w:t>一是压实政府系统工作责任</w:t>
      </w:r>
      <w:r>
        <w:rPr>
          <w:rFonts w:eastAsia="仿宋_GB2312"/>
          <w:color w:val="000000" w:themeColor="text1"/>
          <w:sz w:val="32"/>
          <w:szCs w:val="32"/>
          <w14:textFill>
            <w14:solidFill>
              <w14:schemeClr w14:val="tx1"/>
            </w14:solidFill>
          </w14:textFill>
        </w:rPr>
        <w:t>。坚持将抓实安全生产工作作为政府维护经济社会持续健康发展的底线工作</w:t>
      </w:r>
      <w:r>
        <w:rPr>
          <w:rFonts w:eastAsia="仿宋_GB2312"/>
          <w:color w:val="000000"/>
          <w:sz w:val="32"/>
          <w:szCs w:val="32"/>
        </w:rPr>
        <w:t>，</w:t>
      </w:r>
      <w:r>
        <w:rPr>
          <w:rFonts w:hint="eastAsia" w:eastAsia="仿宋_GB2312"/>
          <w:color w:val="000000"/>
          <w:sz w:val="32"/>
          <w:szCs w:val="32"/>
        </w:rPr>
        <w:t>充分发挥县安办职能，</w:t>
      </w:r>
      <w:r>
        <w:rPr>
          <w:rFonts w:eastAsia="仿宋_GB2312"/>
          <w:color w:val="000000"/>
          <w:sz w:val="32"/>
          <w:szCs w:val="32"/>
        </w:rPr>
        <w:t>督促</w:t>
      </w:r>
      <w:r>
        <w:rPr>
          <w:rFonts w:hint="eastAsia" w:eastAsia="仿宋_GB2312"/>
          <w:color w:val="000000"/>
          <w:sz w:val="32"/>
          <w:szCs w:val="32"/>
        </w:rPr>
        <w:t>行业</w:t>
      </w:r>
      <w:r>
        <w:rPr>
          <w:rFonts w:eastAsia="仿宋_GB2312"/>
          <w:color w:val="000000"/>
          <w:sz w:val="32"/>
          <w:szCs w:val="32"/>
        </w:rPr>
        <w:t>部门和乡（镇）</w:t>
      </w:r>
      <w:r>
        <w:rPr>
          <w:rFonts w:eastAsia="仿宋_GB2312"/>
          <w:sz w:val="32"/>
          <w:szCs w:val="32"/>
        </w:rPr>
        <w:t>围绕行业监管和属地管理原则，强化措施、切实履职。</w:t>
      </w:r>
      <w:r>
        <w:rPr>
          <w:rFonts w:eastAsia="仿宋_GB2312"/>
          <w:color w:val="000000" w:themeColor="text1"/>
          <w:sz w:val="32"/>
          <w:szCs w:val="32"/>
          <w14:textFill>
            <w14:solidFill>
              <w14:schemeClr w14:val="tx1"/>
            </w14:solidFill>
          </w14:textFill>
        </w:rPr>
        <w:t>先后召开县安委会全体会议</w:t>
      </w:r>
      <w:r>
        <w:rPr>
          <w:rFonts w:hint="eastAsia" w:eastAsia="仿宋_GB2312"/>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次、各类专题会议</w:t>
      </w:r>
      <w:r>
        <w:rPr>
          <w:rFonts w:hint="eastAsia" w:eastAsia="仿宋_GB2312"/>
          <w:color w:val="000000" w:themeColor="text1"/>
          <w:sz w:val="32"/>
          <w:szCs w:val="32"/>
          <w14:textFill>
            <w14:solidFill>
              <w14:schemeClr w14:val="tx1"/>
            </w14:solidFill>
          </w14:textFill>
        </w:rPr>
        <w:t>10</w:t>
      </w:r>
      <w:r>
        <w:rPr>
          <w:rFonts w:eastAsia="仿宋_GB2312"/>
          <w:color w:val="000000" w:themeColor="text1"/>
          <w:sz w:val="32"/>
          <w:szCs w:val="32"/>
          <w14:textFill>
            <w14:solidFill>
              <w14:schemeClr w14:val="tx1"/>
            </w14:solidFill>
          </w14:textFill>
        </w:rPr>
        <w:t>次，听取安全生产工作情况报告，解决安全生产工作中存在的问题并专题研究部署各阶段安全生产重点工作，确保</w:t>
      </w:r>
      <w:r>
        <w:rPr>
          <w:rFonts w:eastAsia="仿宋_GB2312"/>
          <w:color w:val="000000"/>
          <w:sz w:val="32"/>
          <w:szCs w:val="32"/>
          <w:shd w:val="clear" w:color="auto" w:fill="FFFFFF"/>
        </w:rPr>
        <w:t>责任落实到岗到人</w:t>
      </w:r>
      <w:r>
        <w:rPr>
          <w:rFonts w:eastAsia="仿宋_GB2312"/>
          <w:color w:val="000000" w:themeColor="text1"/>
          <w:sz w:val="32"/>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二是压实部门乡</w:t>
      </w:r>
      <w:r>
        <w:rPr>
          <w:rFonts w:hint="eastAsia" w:eastAsia="仿宋_GB2312"/>
          <w:b/>
          <w:color w:val="000000" w:themeColor="text1"/>
          <w:sz w:val="32"/>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镇</w:t>
      </w:r>
      <w:r>
        <w:rPr>
          <w:rFonts w:hint="eastAsia" w:eastAsia="仿宋_GB2312"/>
          <w:b/>
          <w:color w:val="000000" w:themeColor="text1"/>
          <w:sz w:val="32"/>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监管责任。</w:t>
      </w:r>
      <w:r>
        <w:rPr>
          <w:rFonts w:eastAsia="仿宋_GB2312"/>
          <w:color w:val="000000" w:themeColor="text1"/>
          <w:sz w:val="32"/>
          <w:szCs w:val="32"/>
          <w14:textFill>
            <w14:solidFill>
              <w14:schemeClr w14:val="tx1"/>
            </w14:solidFill>
          </w14:textFill>
        </w:rPr>
        <w:t>相继出台实施《松潘县推进安全生产领域改革发展的实施办法》《松潘县党政领导干部安全生产责任制实施方案》《松潘县安全生产党政同责工作目标绩效管理实施方案（试行）》，明确</w:t>
      </w:r>
      <w:r>
        <w:rPr>
          <w:rFonts w:eastAsia="仿宋_GB2312"/>
          <w:color w:val="000000" w:themeColor="text1"/>
          <w:kern w:val="0"/>
          <w:sz w:val="32"/>
          <w:szCs w:val="32"/>
          <w14:textFill>
            <w14:solidFill>
              <w14:schemeClr w14:val="tx1"/>
            </w14:solidFill>
          </w14:textFill>
        </w:rPr>
        <w:t>行业主管部门直接监管、安全监管部门综合监管、2</w:t>
      </w:r>
      <w:r>
        <w:rPr>
          <w:rFonts w:hint="eastAsia" w:eastAsia="仿宋_GB2312"/>
          <w:color w:val="000000" w:themeColor="text1"/>
          <w:kern w:val="0"/>
          <w:sz w:val="32"/>
          <w:szCs w:val="32"/>
          <w14:textFill>
            <w14:solidFill>
              <w14:schemeClr w14:val="tx1"/>
            </w14:solidFill>
          </w14:textFill>
        </w:rPr>
        <w:t>4</w:t>
      </w:r>
      <w:r>
        <w:rPr>
          <w:rFonts w:eastAsia="仿宋_GB2312"/>
          <w:color w:val="000000" w:themeColor="text1"/>
          <w:kern w:val="0"/>
          <w:sz w:val="32"/>
          <w:szCs w:val="32"/>
          <w14:textFill>
            <w14:solidFill>
              <w14:schemeClr w14:val="tx1"/>
            </w14:solidFill>
          </w14:textFill>
        </w:rPr>
        <w:t>个</w:t>
      </w:r>
      <w:r>
        <w:rPr>
          <w:rFonts w:eastAsia="仿宋_GB2312"/>
          <w:color w:val="000000" w:themeColor="text1"/>
          <w:sz w:val="32"/>
          <w:szCs w:val="32"/>
          <w14:textFill>
            <w14:solidFill>
              <w14:schemeClr w14:val="tx1"/>
            </w14:solidFill>
          </w14:textFill>
        </w:rPr>
        <w:t>乡（镇）属地</w:t>
      </w:r>
      <w:r>
        <w:rPr>
          <w:rStyle w:val="17"/>
          <w:rFonts w:eastAsia="仿宋_GB2312"/>
          <w:i w:val="0"/>
          <w:iCs w:val="0"/>
          <w:color w:val="000000" w:themeColor="text1"/>
          <w:sz w:val="32"/>
          <w:szCs w:val="32"/>
          <w14:textFill>
            <w14:solidFill>
              <w14:schemeClr w14:val="tx1"/>
            </w14:solidFill>
          </w14:textFill>
        </w:rPr>
        <w:t>监管</w:t>
      </w:r>
      <w:r>
        <w:rPr>
          <w:rFonts w:eastAsia="仿宋_GB2312"/>
          <w:color w:val="000000" w:themeColor="text1"/>
          <w:sz w:val="32"/>
          <w:szCs w:val="32"/>
          <w14:textFill>
            <w14:solidFill>
              <w14:schemeClr w14:val="tx1"/>
            </w14:solidFill>
          </w14:textFill>
        </w:rPr>
        <w:t>职责，构建完善县、乡、村“三级五覆盖”工作责任体系。紧跟全县机构改革步伐，</w:t>
      </w:r>
      <w:r>
        <w:rPr>
          <w:rFonts w:eastAsia="仿宋_GB2312"/>
          <w:color w:val="000000" w:themeColor="text1"/>
          <w:kern w:val="0"/>
          <w:sz w:val="32"/>
          <w:szCs w:val="32"/>
          <w14:textFill>
            <w14:solidFill>
              <w14:schemeClr w14:val="tx1"/>
            </w14:solidFill>
          </w14:textFill>
        </w:rPr>
        <w:t>主动适应当前安全生产工作新形势、新要求，</w:t>
      </w:r>
      <w:r>
        <w:rPr>
          <w:rFonts w:eastAsia="仿宋_GB2312"/>
          <w:color w:val="000000" w:themeColor="text1"/>
          <w:sz w:val="32"/>
          <w:szCs w:val="32"/>
          <w14:textFill>
            <w14:solidFill>
              <w14:schemeClr w14:val="tx1"/>
            </w14:solidFill>
          </w14:textFill>
        </w:rPr>
        <w:t>及时充实调整县安委会成员单位，</w:t>
      </w:r>
      <w:r>
        <w:rPr>
          <w:rFonts w:eastAsia="仿宋_GB2312"/>
          <w:color w:val="000000" w:themeColor="text1"/>
          <w:kern w:val="0"/>
          <w:sz w:val="32"/>
          <w:szCs w:val="32"/>
          <w14:textFill>
            <w14:solidFill>
              <w14:schemeClr w14:val="tx1"/>
            </w14:solidFill>
          </w14:textFill>
        </w:rPr>
        <w:t>修订完善《松潘县安全生产目标管理考核办法》，进一步明确责任边界、量化工作任务</w:t>
      </w:r>
      <w:r>
        <w:rPr>
          <w:rFonts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三是压实生产企业主体责任。</w:t>
      </w:r>
      <w:r>
        <w:rPr>
          <w:rFonts w:eastAsia="仿宋_GB2312"/>
          <w:color w:val="000000" w:themeColor="text1"/>
          <w:kern w:val="0"/>
          <w:sz w:val="32"/>
          <w:szCs w:val="32"/>
          <w14:textFill>
            <w14:solidFill>
              <w14:schemeClr w14:val="tx1"/>
            </w14:solidFill>
          </w14:textFill>
        </w:rPr>
        <w:t>持续深化</w:t>
      </w:r>
      <w:r>
        <w:rPr>
          <w:rFonts w:eastAsia="仿宋_GB2312"/>
          <w:color w:val="000000" w:themeColor="text1"/>
          <w:sz w:val="32"/>
          <w:szCs w:val="32"/>
          <w14:textFill>
            <w14:solidFill>
              <w14:schemeClr w14:val="tx1"/>
            </w14:solidFill>
          </w14:textFill>
        </w:rPr>
        <w:t>企业“五落实、五到位”工作</w:t>
      </w:r>
      <w:r>
        <w:rPr>
          <w:rFonts w:eastAsia="仿宋_GB2312"/>
          <w:color w:val="000000" w:themeColor="text1"/>
          <w:kern w:val="0"/>
          <w:sz w:val="32"/>
          <w:szCs w:val="32"/>
          <w14:textFill>
            <w14:solidFill>
              <w14:schemeClr w14:val="tx1"/>
            </w14:solidFill>
          </w14:textFill>
        </w:rPr>
        <w:t>，积极采取日常检查和综合督查相结合的方式，严格督促各生产企业认真</w:t>
      </w:r>
      <w:r>
        <w:rPr>
          <w:rFonts w:eastAsia="仿宋_GB2312"/>
          <w:color w:val="000000" w:themeColor="text1"/>
          <w:sz w:val="32"/>
          <w:szCs w:val="32"/>
          <w14:textFill>
            <w14:solidFill>
              <w14:schemeClr w14:val="tx1"/>
            </w14:solidFill>
          </w14:textFill>
        </w:rPr>
        <w:t>践行安全红线意识，建</w:t>
      </w:r>
      <w:r>
        <w:rPr>
          <w:rFonts w:eastAsia="仿宋_GB2312"/>
          <w:color w:val="000000" w:themeColor="text1"/>
          <w:kern w:val="0"/>
          <w:sz w:val="32"/>
          <w:szCs w:val="32"/>
          <w14:textFill>
            <w14:solidFill>
              <w14:schemeClr w14:val="tx1"/>
            </w14:solidFill>
          </w14:textFill>
        </w:rPr>
        <w:t>立安全生产工作机构、配强安全管理人员，完善隐患排查、自查自纠工作机制，及时报送事故隐患排查记录和整改销号台账，以及安全生产教育培训情况等，促使生产经营单位由“被动抓”安全生产向“主动抓”安全生产转变。</w:t>
      </w:r>
    </w:p>
    <w:p w14:paraId="7BFC0DFF">
      <w:pPr>
        <w:spacing w:line="560" w:lineRule="exact"/>
        <w:ind w:firstLine="643" w:firstLineChars="200"/>
        <w:rPr>
          <w:rFonts w:eastAsia="仿宋_GB2312"/>
          <w:bCs/>
          <w:color w:val="000000" w:themeColor="text1"/>
          <w:sz w:val="32"/>
          <w:szCs w:val="32"/>
          <w14:textFill>
            <w14:solidFill>
              <w14:schemeClr w14:val="tx1"/>
            </w14:solidFill>
          </w14:textFill>
        </w:rPr>
      </w:pPr>
      <w:r>
        <w:rPr>
          <w:rStyle w:val="16"/>
          <w:rFonts w:eastAsia="楷体_GB2312"/>
          <w:color w:val="000000" w:themeColor="text1"/>
          <w:sz w:val="32"/>
          <w:szCs w:val="32"/>
          <w14:textFill>
            <w14:solidFill>
              <w14:schemeClr w14:val="tx1"/>
            </w14:solidFill>
          </w14:textFill>
        </w:rPr>
        <w:t>（二）常态化保持严管高压态势。</w:t>
      </w:r>
      <w:r>
        <w:rPr>
          <w:rStyle w:val="16"/>
          <w:rFonts w:eastAsia="仿宋_GB2312"/>
          <w:color w:val="000000" w:themeColor="text1"/>
          <w:sz w:val="32"/>
          <w:szCs w:val="32"/>
          <w14:textFill>
            <w14:solidFill>
              <w14:schemeClr w14:val="tx1"/>
            </w14:solidFill>
          </w14:textFill>
        </w:rPr>
        <w:t>一是宣传教育常态化。</w:t>
      </w:r>
      <w:r>
        <w:rPr>
          <w:rFonts w:eastAsia="仿宋_GB2312"/>
          <w:color w:val="000000" w:themeColor="text1"/>
          <w:sz w:val="32"/>
          <w:szCs w:val="32"/>
          <w14:textFill>
            <w14:solidFill>
              <w14:schemeClr w14:val="tx1"/>
            </w14:solidFill>
          </w14:textFill>
        </w:rPr>
        <w:t>认真开展“安全知识进乡村”活动，举办农村安全知识培训课堂，</w:t>
      </w:r>
      <w:r>
        <w:rPr>
          <w:rFonts w:eastAsia="仿宋_GB2312"/>
          <w:bCs/>
          <w:sz w:val="32"/>
          <w:szCs w:val="32"/>
        </w:rPr>
        <w:t>充分利用宣传资料、QQ、横幅、微信等多元化载体，广泛宣传安全</w:t>
      </w:r>
      <w:r>
        <w:rPr>
          <w:rFonts w:hint="eastAsia" w:eastAsia="仿宋_GB2312"/>
          <w:bCs/>
          <w:sz w:val="32"/>
          <w:szCs w:val="32"/>
        </w:rPr>
        <w:t>生产</w:t>
      </w:r>
      <w:r>
        <w:rPr>
          <w:rFonts w:eastAsia="仿宋_GB2312"/>
          <w:bCs/>
          <w:sz w:val="32"/>
          <w:szCs w:val="32"/>
        </w:rPr>
        <w:t>法律法规和职业健康知识。</w:t>
      </w:r>
      <w:r>
        <w:rPr>
          <w:rFonts w:eastAsia="仿宋_GB2312"/>
          <w:color w:val="000000" w:themeColor="text1"/>
          <w:sz w:val="32"/>
          <w:szCs w:val="32"/>
          <w14:textFill>
            <w14:solidFill>
              <w14:schemeClr w14:val="tx1"/>
            </w14:solidFill>
          </w14:textFill>
        </w:rPr>
        <w:t>组织</w:t>
      </w:r>
      <w:r>
        <w:rPr>
          <w:rFonts w:eastAsia="仿宋_GB2312"/>
          <w:sz w:val="32"/>
          <w:szCs w:val="32"/>
        </w:rPr>
        <w:t>乡村、企业和民间救援组织骨干150余人，采取</w:t>
      </w:r>
      <w:r>
        <w:rPr>
          <w:rFonts w:eastAsia="仿宋_GB2312"/>
          <w:color w:val="000000" w:themeColor="text1"/>
          <w:sz w:val="32"/>
          <w:szCs w:val="32"/>
          <w:shd w:val="clear" w:color="auto" w:fill="FFFFFF"/>
          <w14:textFill>
            <w14:solidFill>
              <w14:schemeClr w14:val="tx1"/>
            </w14:solidFill>
          </w14:textFill>
        </w:rPr>
        <w:t>课堂教学与现场教学相结合方式，开展</w:t>
      </w:r>
      <w:r>
        <w:rPr>
          <w:rFonts w:eastAsia="仿宋_GB2312"/>
          <w:color w:val="000000" w:themeColor="text1"/>
          <w:sz w:val="32"/>
          <w:szCs w:val="32"/>
          <w14:textFill>
            <w14:solidFill>
              <w14:schemeClr w14:val="tx1"/>
            </w14:solidFill>
          </w14:textFill>
        </w:rPr>
        <w:t>全县应急管理“提能铸魂”专题培训，切实提高干部队伍应急处置和救援能力</w:t>
      </w:r>
      <w:r>
        <w:rPr>
          <w:rFonts w:eastAsia="仿宋_GB2312"/>
          <w:color w:val="000000" w:themeColor="text1"/>
          <w:kern w:val="0"/>
          <w:sz w:val="32"/>
          <w:szCs w:val="32"/>
          <w:lang w:bidi="ar"/>
          <w14:textFill>
            <w14:solidFill>
              <w14:schemeClr w14:val="tx1"/>
            </w14:solidFill>
          </w14:textFill>
        </w:rPr>
        <w:t>。</w:t>
      </w:r>
      <w:r>
        <w:rPr>
          <w:rFonts w:hint="eastAsia" w:eastAsia="仿宋_GB2312"/>
          <w:color w:val="000000" w:themeColor="text1"/>
          <w:kern w:val="0"/>
          <w:sz w:val="32"/>
          <w:szCs w:val="32"/>
          <w:lang w:bidi="ar"/>
          <w14:textFill>
            <w14:solidFill>
              <w14:schemeClr w14:val="tx1"/>
            </w14:solidFill>
          </w14:textFill>
        </w:rPr>
        <w:t>5月29日举办了安全生产宣传月启动仪式。</w:t>
      </w:r>
      <w:r>
        <w:rPr>
          <w:rStyle w:val="16"/>
          <w:rFonts w:eastAsia="仿宋_GB2312"/>
          <w:color w:val="000000" w:themeColor="text1"/>
          <w:sz w:val="32"/>
          <w:szCs w:val="32"/>
          <w14:textFill>
            <w14:solidFill>
              <w14:schemeClr w14:val="tx1"/>
            </w14:solidFill>
          </w14:textFill>
        </w:rPr>
        <w:t>二是监管执法常态化。</w:t>
      </w:r>
      <w:r>
        <w:rPr>
          <w:rFonts w:eastAsia="仿宋_GB2312"/>
          <w:bCs/>
          <w:color w:val="000000" w:themeColor="text1"/>
          <w:sz w:val="32"/>
          <w:szCs w:val="32"/>
          <w14:textFill>
            <w14:solidFill>
              <w14:schemeClr w14:val="tx1"/>
            </w14:solidFill>
          </w14:textFill>
        </w:rPr>
        <w:t>认真制定安全生产监管执法计划，严格落实安全生产监管执法措施，</w:t>
      </w:r>
      <w:r>
        <w:rPr>
          <w:rFonts w:eastAsia="仿宋_GB2312"/>
          <w:color w:val="000000" w:themeColor="text1"/>
          <w:sz w:val="32"/>
          <w:szCs w:val="32"/>
          <w14:textFill>
            <w14:solidFill>
              <w14:schemeClr w14:val="tx1"/>
            </w14:solidFill>
          </w14:textFill>
        </w:rPr>
        <w:t>扎实开展道路交通安全等八项重点行业领域专项执法检查，</w:t>
      </w:r>
      <w:r>
        <w:rPr>
          <w:rFonts w:eastAsia="仿宋_GB2312"/>
          <w:bCs/>
          <w:color w:val="000000" w:themeColor="text1"/>
          <w:sz w:val="32"/>
          <w:szCs w:val="32"/>
          <w14:textFill>
            <w14:solidFill>
              <w14:schemeClr w14:val="tx1"/>
            </w14:solidFill>
          </w14:textFill>
        </w:rPr>
        <w:t>常态化保持对各类安全</w:t>
      </w:r>
      <w:r>
        <w:rPr>
          <w:rFonts w:hint="eastAsia" w:eastAsia="仿宋_GB2312"/>
          <w:bCs/>
          <w:color w:val="000000" w:themeColor="text1"/>
          <w:sz w:val="32"/>
          <w:szCs w:val="32"/>
          <w14:textFill>
            <w14:solidFill>
              <w14:schemeClr w14:val="tx1"/>
            </w14:solidFill>
          </w14:textFill>
        </w:rPr>
        <w:t>生产</w:t>
      </w:r>
      <w:r>
        <w:rPr>
          <w:rFonts w:eastAsia="仿宋_GB2312"/>
          <w:bCs/>
          <w:color w:val="000000" w:themeColor="text1"/>
          <w:sz w:val="32"/>
          <w:szCs w:val="32"/>
          <w14:textFill>
            <w14:solidFill>
              <w14:schemeClr w14:val="tx1"/>
            </w14:solidFill>
          </w14:textFill>
        </w:rPr>
        <w:t>违法行为的高压严打态势。今年以来，共</w:t>
      </w:r>
      <w:r>
        <w:rPr>
          <w:rFonts w:eastAsia="仿宋_GB2312"/>
          <w:color w:val="000000" w:themeColor="text1"/>
          <w:sz w:val="32"/>
          <w:szCs w:val="32"/>
          <w14:textFill>
            <w14:solidFill>
              <w14:schemeClr w14:val="tx1"/>
            </w14:solidFill>
          </w14:textFill>
        </w:rPr>
        <w:t>开展联合执法</w:t>
      </w:r>
      <w:r>
        <w:rPr>
          <w:rFonts w:hint="eastAsia" w:eastAsia="仿宋_GB2312"/>
          <w:color w:val="000000" w:themeColor="text1"/>
          <w:sz w:val="32"/>
          <w:szCs w:val="32"/>
          <w14:textFill>
            <w14:solidFill>
              <w14:schemeClr w14:val="tx1"/>
            </w14:solidFill>
          </w14:textFill>
        </w:rPr>
        <w:t>40</w:t>
      </w:r>
      <w:r>
        <w:rPr>
          <w:rFonts w:eastAsia="仿宋_GB2312"/>
          <w:color w:val="000000" w:themeColor="text1"/>
          <w:sz w:val="32"/>
          <w:szCs w:val="32"/>
          <w14:textFill>
            <w14:solidFill>
              <w14:schemeClr w14:val="tx1"/>
            </w14:solidFill>
          </w14:textFill>
        </w:rPr>
        <w:t>次，出具现场检查记录33份、处理决定书</w:t>
      </w: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份，排查整改安全隐患</w:t>
      </w:r>
      <w:r>
        <w:rPr>
          <w:rFonts w:hint="eastAsia" w:eastAsia="仿宋_GB2312"/>
          <w:color w:val="000000" w:themeColor="text1"/>
          <w:sz w:val="32"/>
          <w:szCs w:val="32"/>
          <w14:textFill>
            <w14:solidFill>
              <w14:schemeClr w14:val="tx1"/>
            </w14:solidFill>
          </w14:textFill>
        </w:rPr>
        <w:t>136</w:t>
      </w:r>
      <w:r>
        <w:rPr>
          <w:rFonts w:eastAsia="仿宋_GB2312"/>
          <w:color w:val="000000" w:themeColor="text1"/>
          <w:sz w:val="32"/>
          <w:szCs w:val="32"/>
          <w14:textFill>
            <w14:solidFill>
              <w14:schemeClr w14:val="tx1"/>
            </w14:solidFill>
          </w14:textFill>
        </w:rPr>
        <w:t>处</w:t>
      </w:r>
      <w:r>
        <w:rPr>
          <w:rFonts w:hint="eastAsia" w:eastAsia="仿宋_GB2312"/>
          <w:color w:val="000000" w:themeColor="text1"/>
          <w:sz w:val="32"/>
          <w:szCs w:val="32"/>
          <w14:textFill>
            <w14:solidFill>
              <w14:schemeClr w14:val="tx1"/>
            </w14:solidFill>
          </w14:textFill>
        </w:rPr>
        <w:t>。执法检查经济处罚4.98万元</w:t>
      </w:r>
      <w:r>
        <w:rPr>
          <w:rFonts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三是工作督导常态化</w:t>
      </w:r>
      <w:r>
        <w:rPr>
          <w:rStyle w:val="16"/>
          <w:rFonts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由县级领导带队成立安全生产督导组，</w:t>
      </w:r>
      <w:r>
        <w:rPr>
          <w:rFonts w:eastAsia="仿宋_GB2312"/>
          <w:color w:val="000000" w:themeColor="text1"/>
          <w:sz w:val="32"/>
          <w:szCs w:val="32"/>
          <w14:textFill>
            <w14:solidFill>
              <w14:schemeClr w14:val="tx1"/>
            </w14:solidFill>
          </w14:textFill>
        </w:rPr>
        <w:t>采取“四不两直”（不发通知、不打招呼、不听汇报、不用陪同接待，直奔基层、直插现场）方式，对全县2</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个乡（镇）、负有安全监管责任的行业主管部门及重点行业（领域）生产经营单位开展全面督查</w:t>
      </w:r>
      <w:r>
        <w:rPr>
          <w:rFonts w:hint="eastAsia" w:eastAsia="仿宋_GB2312"/>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次，切实加大暗查暗访和突击检查力度</w:t>
      </w:r>
      <w:r>
        <w:rPr>
          <w:rFonts w:eastAsia="仿宋_GB2312"/>
          <w:bCs/>
          <w:color w:val="000000" w:themeColor="text1"/>
          <w:sz w:val="32"/>
          <w:szCs w:val="32"/>
          <w14:textFill>
            <w14:solidFill>
              <w14:schemeClr w14:val="tx1"/>
            </w14:solidFill>
          </w14:textFill>
        </w:rPr>
        <w:t>。</w:t>
      </w:r>
    </w:p>
    <w:p w14:paraId="0FB1FA2F">
      <w:pPr>
        <w:spacing w:line="560" w:lineRule="exact"/>
        <w:ind w:firstLine="643" w:firstLineChars="200"/>
        <w:rPr>
          <w:rStyle w:val="16"/>
          <w:rFonts w:eastAsia="仿宋_GB2312"/>
          <w:b w:val="0"/>
          <w:color w:val="FF0000"/>
          <w:sz w:val="32"/>
          <w:szCs w:val="32"/>
        </w:rPr>
      </w:pPr>
      <w:r>
        <w:rPr>
          <w:rFonts w:eastAsia="楷体_GB2312"/>
          <w:b/>
          <w:bCs/>
          <w:color w:val="000000" w:themeColor="text1"/>
          <w:sz w:val="32"/>
          <w:szCs w:val="32"/>
          <w14:textFill>
            <w14:solidFill>
              <w14:schemeClr w14:val="tx1"/>
            </w14:solidFill>
          </w14:textFill>
        </w:rPr>
        <w:t>（三）全覆盖做实隐患排查整治。</w:t>
      </w:r>
      <w:r>
        <w:rPr>
          <w:rFonts w:eastAsia="仿宋_GB2312"/>
          <w:color w:val="000000" w:themeColor="text1"/>
          <w:sz w:val="32"/>
          <w:szCs w:val="32"/>
          <w14:textFill>
            <w14:solidFill>
              <w14:schemeClr w14:val="tx1"/>
            </w14:solidFill>
          </w14:textFill>
        </w:rPr>
        <w:t>坚持常态“打非”与集中整治相结合，按照“全覆盖、零容忍、严执法、重实效”要求，扎实开展安全生产大检查、大排查、大整改。</w:t>
      </w:r>
      <w:r>
        <w:rPr>
          <w:rFonts w:eastAsia="仿宋_GB2312"/>
          <w:b/>
          <w:color w:val="000000" w:themeColor="text1"/>
          <w:sz w:val="32"/>
          <w:szCs w:val="32"/>
          <w14:textFill>
            <w14:solidFill>
              <w14:schemeClr w14:val="tx1"/>
            </w14:solidFill>
          </w14:textFill>
        </w:rPr>
        <w:t>道路交通安全方面，</w:t>
      </w:r>
      <w:r>
        <w:rPr>
          <w:rFonts w:eastAsia="仿宋_GB2312"/>
          <w:bCs/>
          <w:color w:val="000000" w:themeColor="text1"/>
          <w:sz w:val="32"/>
          <w:szCs w:val="32"/>
          <w14:textFill>
            <w14:solidFill>
              <w14:schemeClr w14:val="tx1"/>
            </w14:solidFill>
          </w14:textFill>
        </w:rPr>
        <w:t>以道路交通安全监管整治活动为抓手，科学统筹交警、应急、</w:t>
      </w:r>
      <w:r>
        <w:rPr>
          <w:rFonts w:eastAsia="仿宋_GB2312"/>
          <w:color w:val="000000" w:themeColor="text1"/>
          <w:sz w:val="32"/>
          <w:szCs w:val="32"/>
          <w14:textFill>
            <w14:solidFill>
              <w14:schemeClr w14:val="tx1"/>
            </w14:solidFill>
          </w14:textFill>
        </w:rPr>
        <w:t>交通、公路等部门，深入开展国省干线隐患路段排查治理，着重强化对易受自然灾害威胁路段的监测监控巡查，并</w:t>
      </w:r>
      <w:r>
        <w:rPr>
          <w:rFonts w:hint="eastAsia" w:eastAsia="仿宋_GB2312"/>
          <w:color w:val="000000" w:themeColor="text1"/>
          <w:sz w:val="32"/>
          <w:szCs w:val="32"/>
          <w14:textFill>
            <w14:solidFill>
              <w14:schemeClr w14:val="tx1"/>
            </w14:solidFill>
          </w14:textFill>
        </w:rPr>
        <w:t>同步</w:t>
      </w:r>
      <w:r>
        <w:rPr>
          <w:rFonts w:eastAsia="仿宋_GB2312"/>
          <w:color w:val="000000" w:themeColor="text1"/>
          <w:sz w:val="32"/>
          <w:szCs w:val="32"/>
          <w14:textFill>
            <w14:solidFill>
              <w14:schemeClr w14:val="tx1"/>
            </w14:solidFill>
          </w14:textFill>
        </w:rPr>
        <w:t>落实专人现场值守、增设警示标牌等人防、技防措施。同时，大力推行路段交通安全管理责任承包制和24小时值班备勤制，加大客运车辆GPS车载终端检查监控力度，保持对客运车辆运营的严管态势；增设流动测速点、提升路面见警率，保持对交通违法行为的严打态势，确保道路交通安全形势总体平稳。</w:t>
      </w:r>
      <w:r>
        <w:rPr>
          <w:rFonts w:eastAsia="仿宋_GB2312"/>
          <w:b/>
          <w:bCs/>
          <w:sz w:val="32"/>
          <w:szCs w:val="32"/>
        </w:rPr>
        <w:t>防汛减灾方面，</w:t>
      </w:r>
      <w:r>
        <w:rPr>
          <w:rFonts w:eastAsia="仿宋_GB2312"/>
          <w:color w:val="000000" w:themeColor="text1"/>
          <w:sz w:val="32"/>
          <w:szCs w:val="32"/>
          <w14:textFill>
            <w14:solidFill>
              <w14:schemeClr w14:val="tx1"/>
            </w14:solidFill>
          </w14:textFill>
        </w:rPr>
        <w:t>聚焦提升主要河流、关键河段、重点区域行洪能力，加快推进河道疏浚工作，完成平松路（施家堡段）垮塌清理。突出抓好水库防洪影响区、山洪灾害威胁区、地质灾害易发区、在建工程施工区度汛防灾隐患排查，做到隐患早发现、早治理，坚决杜绝挂号带病度汛现象。</w:t>
      </w:r>
      <w:r>
        <w:rPr>
          <w:rFonts w:eastAsia="仿宋_GB2312"/>
          <w:b/>
          <w:bCs/>
          <w:color w:val="000000" w:themeColor="text1"/>
          <w:sz w:val="32"/>
          <w:szCs w:val="32"/>
          <w14:textFill>
            <w14:solidFill>
              <w14:schemeClr w14:val="tx1"/>
            </w14:solidFill>
          </w14:textFill>
        </w:rPr>
        <w:t>地灾防治方面，</w:t>
      </w:r>
      <w:r>
        <w:rPr>
          <w:rFonts w:eastAsia="仿宋_GB2312"/>
          <w:color w:val="000000" w:themeColor="text1"/>
          <w:sz w:val="32"/>
          <w:szCs w:val="32"/>
          <w14:textFill>
            <w14:solidFill>
              <w14:schemeClr w14:val="tx1"/>
            </w14:solidFill>
          </w14:textFill>
        </w:rPr>
        <w:t>全面落实基层联户防灾责任，</w:t>
      </w:r>
      <w:r>
        <w:rPr>
          <w:rFonts w:eastAsia="仿宋_GB2312"/>
          <w:snapToGrid w:val="0"/>
          <w:color w:val="000000" w:themeColor="text1"/>
          <w:sz w:val="32"/>
          <w:szCs w:val="32"/>
          <w14:textFill>
            <w14:solidFill>
              <w14:schemeClr w14:val="tx1"/>
            </w14:solidFill>
          </w14:textFill>
        </w:rPr>
        <w:t>构建</w:t>
      </w:r>
      <w:r>
        <w:rPr>
          <w:rFonts w:eastAsia="仿宋_GB2312"/>
          <w:color w:val="000000" w:themeColor="text1"/>
          <w:sz w:val="32"/>
          <w:szCs w:val="32"/>
          <w14:textFill>
            <w14:solidFill>
              <w14:schemeClr w14:val="tx1"/>
            </w14:solidFill>
          </w14:textFill>
        </w:rPr>
        <w:t>县、乡、村三级联动的群测群防体系，</w:t>
      </w:r>
      <w:r>
        <w:rPr>
          <w:rFonts w:eastAsia="仿宋_GB2312"/>
          <w:bCs/>
          <w:color w:val="000000" w:themeColor="text1"/>
          <w:kern w:val="0"/>
          <w:sz w:val="32"/>
          <w:szCs w:val="32"/>
          <w14:textFill>
            <w14:solidFill>
              <w14:schemeClr w14:val="tx1"/>
            </w14:solidFill>
          </w14:textFill>
        </w:rPr>
        <w:t>重点加强对</w:t>
      </w:r>
      <w:r>
        <w:rPr>
          <w:rFonts w:eastAsia="仿宋_GB2312"/>
          <w:bCs/>
          <w:color w:val="000000" w:themeColor="text1"/>
          <w:sz w:val="32"/>
          <w:szCs w:val="32"/>
          <w14:textFill>
            <w14:solidFill>
              <w14:schemeClr w14:val="tx1"/>
            </w14:solidFill>
          </w14:textFill>
        </w:rPr>
        <w:t>城镇、学校、景区、国道213线等人口密集区域和重要设施周边地质灾害隐患点的巡逻、监测，</w:t>
      </w:r>
      <w:r>
        <w:rPr>
          <w:rFonts w:eastAsia="仿宋_GB2312"/>
          <w:color w:val="000000" w:themeColor="text1"/>
          <w:sz w:val="32"/>
          <w:szCs w:val="32"/>
          <w14:textFill>
            <w14:solidFill>
              <w14:schemeClr w14:val="tx1"/>
            </w14:solidFill>
          </w14:textFill>
        </w:rPr>
        <w:t>盯死看牢全县478处地质灾害隐患点，逐一</w:t>
      </w:r>
      <w:r>
        <w:rPr>
          <w:rFonts w:eastAsia="仿宋_GB2312"/>
          <w:snapToGrid w:val="0"/>
          <w:color w:val="000000" w:themeColor="text1"/>
          <w:sz w:val="32"/>
          <w:szCs w:val="32"/>
          <w14:textFill>
            <w14:solidFill>
              <w14:schemeClr w14:val="tx1"/>
            </w14:solidFill>
          </w14:textFill>
        </w:rPr>
        <w:t>明确预警信号和撤离路线，</w:t>
      </w:r>
      <w:r>
        <w:rPr>
          <w:rFonts w:eastAsia="仿宋_GB2312"/>
          <w:color w:val="000000" w:themeColor="text1"/>
          <w:sz w:val="32"/>
          <w:szCs w:val="32"/>
          <w14:textFill>
            <w14:solidFill>
              <w14:schemeClr w14:val="tx1"/>
            </w14:solidFill>
          </w14:textFill>
        </w:rPr>
        <w:t>实现监测预警全覆盖。</w:t>
      </w:r>
      <w:r>
        <w:rPr>
          <w:rFonts w:eastAsia="仿宋_GB2312"/>
          <w:b/>
          <w:bCs/>
          <w:color w:val="000000" w:themeColor="text1"/>
          <w:sz w:val="32"/>
          <w:szCs w:val="32"/>
          <w14:textFill>
            <w14:solidFill>
              <w14:schemeClr w14:val="tx1"/>
            </w14:solidFill>
          </w14:textFill>
        </w:rPr>
        <w:t>建设施工安全方面，</w:t>
      </w:r>
      <w:r>
        <w:rPr>
          <w:rFonts w:eastAsia="仿宋_GB2312"/>
          <w:color w:val="000000" w:themeColor="text1"/>
          <w:sz w:val="32"/>
          <w:szCs w:val="32"/>
          <w14:textFill>
            <w14:solidFill>
              <w14:schemeClr w14:val="tx1"/>
            </w14:solidFill>
          </w14:textFill>
        </w:rPr>
        <w:t>深入开展建筑施工安全专项整治活动，集中对成兰铁路（松潘段）、灾后重建、涉水企业等在建项目进行安全隐患全面排查，严查严管施工现场安全制度执行、安全措施落实、安全人员值守、应急物资储备。</w:t>
      </w:r>
      <w:r>
        <w:rPr>
          <w:rFonts w:eastAsia="仿宋_GB2312"/>
          <w:b/>
          <w:bCs/>
          <w:color w:val="000000" w:themeColor="text1"/>
          <w:sz w:val="32"/>
          <w:szCs w:val="32"/>
          <w14:textFill>
            <w14:solidFill>
              <w14:schemeClr w14:val="tx1"/>
            </w14:solidFill>
          </w14:textFill>
        </w:rPr>
        <w:t>食品药品安全方面，</w:t>
      </w:r>
      <w:r>
        <w:rPr>
          <w:rFonts w:eastAsia="仿宋_GB2312"/>
          <w:color w:val="000000" w:themeColor="text1"/>
          <w:kern w:val="0"/>
          <w:sz w:val="32"/>
          <w:szCs w:val="32"/>
          <w14:textFill>
            <w14:solidFill>
              <w14:schemeClr w14:val="tx1"/>
            </w14:solidFill>
          </w14:textFill>
        </w:rPr>
        <w:t>全面落实餐饮企业和药品经营单位信用档案建设和风险分级管理制度，覆盖</w:t>
      </w:r>
      <w:r>
        <w:rPr>
          <w:rFonts w:eastAsia="仿宋_GB2312"/>
          <w:color w:val="000000" w:themeColor="text1"/>
          <w:sz w:val="32"/>
          <w:szCs w:val="32"/>
          <w14:textFill>
            <w14:solidFill>
              <w14:schemeClr w14:val="tx1"/>
            </w14:solidFill>
          </w14:textFill>
        </w:rPr>
        <w:t>食品药品采购、贮存、加工等各环节，</w:t>
      </w:r>
      <w:r>
        <w:rPr>
          <w:rFonts w:eastAsia="仿宋_GB2312"/>
          <w:color w:val="000000" w:themeColor="text1"/>
          <w:kern w:val="0"/>
          <w:sz w:val="32"/>
          <w:szCs w:val="32"/>
          <w14:textFill>
            <w14:solidFill>
              <w14:schemeClr w14:val="tx1"/>
            </w14:solidFill>
          </w14:textFill>
        </w:rPr>
        <w:t>定期</w:t>
      </w:r>
      <w:r>
        <w:rPr>
          <w:rFonts w:eastAsia="仿宋_GB2312"/>
          <w:color w:val="000000" w:themeColor="text1"/>
          <w:sz w:val="32"/>
          <w:szCs w:val="32"/>
          <w14:textFill>
            <w14:solidFill>
              <w14:schemeClr w14:val="tx1"/>
            </w14:solidFill>
          </w14:textFill>
        </w:rPr>
        <w:t>督查市场、学校、食堂、饭店、药房等单位安全管理制度执行和安全措施落实情况</w:t>
      </w:r>
      <w:r>
        <w:rPr>
          <w:rFonts w:hint="eastAsia"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旅游安全方面，</w:t>
      </w:r>
      <w:r>
        <w:rPr>
          <w:rFonts w:eastAsia="仿宋_GB2312"/>
          <w:color w:val="000000"/>
          <w:sz w:val="32"/>
          <w:szCs w:val="32"/>
        </w:rPr>
        <w:t>制定“黄金周”及小长假</w:t>
      </w:r>
      <w:r>
        <w:rPr>
          <w:rFonts w:hint="eastAsia" w:eastAsia="仿宋_GB2312"/>
          <w:color w:val="000000"/>
          <w:sz w:val="32"/>
          <w:szCs w:val="32"/>
        </w:rPr>
        <w:t>、国庆、九寨沟开园</w:t>
      </w:r>
      <w:r>
        <w:rPr>
          <w:rFonts w:eastAsia="仿宋_GB2312"/>
          <w:color w:val="000000"/>
          <w:sz w:val="32"/>
          <w:szCs w:val="32"/>
        </w:rPr>
        <w:t>等重点时段旅游安全工作方案，组织开展旅游行业安全大检查专项行动，</w:t>
      </w:r>
      <w:r>
        <w:rPr>
          <w:rFonts w:eastAsia="仿宋_GB2312"/>
          <w:color w:val="000000"/>
          <w:kern w:val="0"/>
          <w:sz w:val="32"/>
          <w:szCs w:val="32"/>
        </w:rPr>
        <w:t>集中检查整治各旅游购物场</w:t>
      </w:r>
      <w:r>
        <w:rPr>
          <w:rFonts w:hint="eastAsia" w:eastAsia="仿宋_GB2312"/>
          <w:color w:val="000000"/>
          <w:kern w:val="0"/>
          <w:sz w:val="32"/>
          <w:szCs w:val="32"/>
        </w:rPr>
        <w:t>所</w:t>
      </w:r>
      <w:r>
        <w:rPr>
          <w:rFonts w:eastAsia="仿宋_GB2312"/>
          <w:color w:val="000000"/>
          <w:kern w:val="0"/>
          <w:sz w:val="32"/>
          <w:szCs w:val="32"/>
        </w:rPr>
        <w:t>4</w:t>
      </w:r>
      <w:r>
        <w:rPr>
          <w:rFonts w:hint="eastAsia" w:eastAsia="仿宋_GB2312"/>
          <w:color w:val="000000"/>
          <w:kern w:val="0"/>
          <w:sz w:val="32"/>
          <w:szCs w:val="32"/>
        </w:rPr>
        <w:t>56</w:t>
      </w:r>
      <w:r>
        <w:rPr>
          <w:rFonts w:eastAsia="仿宋_GB2312"/>
          <w:color w:val="000000" w:themeColor="text1"/>
          <w:kern w:val="0"/>
          <w:sz w:val="32"/>
          <w:szCs w:val="32"/>
          <w14:textFill>
            <w14:solidFill>
              <w14:schemeClr w14:val="tx1"/>
            </w14:solidFill>
          </w14:textFill>
        </w:rPr>
        <w:t>家次、旅行社</w:t>
      </w:r>
      <w:r>
        <w:rPr>
          <w:rFonts w:hint="eastAsia" w:eastAsia="仿宋_GB2312"/>
          <w:color w:val="000000" w:themeColor="text1"/>
          <w:kern w:val="0"/>
          <w:sz w:val="32"/>
          <w:szCs w:val="32"/>
          <w14:textFill>
            <w14:solidFill>
              <w14:schemeClr w14:val="tx1"/>
            </w14:solidFill>
          </w14:textFill>
        </w:rPr>
        <w:t>78</w:t>
      </w:r>
      <w:r>
        <w:rPr>
          <w:rFonts w:eastAsia="仿宋_GB2312"/>
          <w:color w:val="000000" w:themeColor="text1"/>
          <w:kern w:val="0"/>
          <w:sz w:val="32"/>
          <w:szCs w:val="32"/>
          <w14:textFill>
            <w14:solidFill>
              <w14:schemeClr w14:val="tx1"/>
            </w14:solidFill>
          </w14:textFill>
        </w:rPr>
        <w:t>家次，</w:t>
      </w:r>
      <w:r>
        <w:rPr>
          <w:rFonts w:eastAsia="仿宋_GB2312"/>
          <w:color w:val="000000"/>
          <w:sz w:val="32"/>
          <w:szCs w:val="32"/>
        </w:rPr>
        <w:t>切实规范全县旅游安全秩序，实现春节、五一</w:t>
      </w:r>
      <w:r>
        <w:rPr>
          <w:rFonts w:hint="eastAsia" w:eastAsia="仿宋_GB2312"/>
          <w:color w:val="000000"/>
          <w:sz w:val="32"/>
          <w:szCs w:val="32"/>
        </w:rPr>
        <w:t>、国庆</w:t>
      </w:r>
      <w:r>
        <w:rPr>
          <w:rFonts w:eastAsia="仿宋_GB2312"/>
          <w:color w:val="000000"/>
          <w:sz w:val="32"/>
          <w:szCs w:val="32"/>
        </w:rPr>
        <w:t>等旅游高峰期旅游安全事故零发生。</w:t>
      </w:r>
      <w:r>
        <w:rPr>
          <w:rFonts w:eastAsia="仿宋_GB2312"/>
          <w:b/>
          <w:bCs/>
          <w:color w:val="000000" w:themeColor="text1"/>
          <w:sz w:val="32"/>
          <w:szCs w:val="32"/>
          <w14:textFill>
            <w14:solidFill>
              <w14:schemeClr w14:val="tx1"/>
            </w14:solidFill>
          </w14:textFill>
        </w:rPr>
        <w:t>消防安全方面，</w:t>
      </w:r>
      <w:r>
        <w:rPr>
          <w:rFonts w:eastAsia="仿宋_GB2312"/>
          <w:color w:val="000000" w:themeColor="text1"/>
          <w:sz w:val="32"/>
          <w:szCs w:val="32"/>
          <w14:textFill>
            <w14:solidFill>
              <w14:schemeClr w14:val="tx1"/>
            </w14:solidFill>
          </w14:textFill>
        </w:rPr>
        <w:t>以宾馆、饭店、商场、市场、车站、医院、学校等人员密集场所和古城区为重点，“拉网式”开展消防安全隐患排查整治，重点治理消防设施器材、消防安全标志配置、设置不规范，疏散通道、安全出口不畅通等问题，</w:t>
      </w:r>
      <w:r>
        <w:rPr>
          <w:rFonts w:hint="eastAsia" w:eastAsia="仿宋_GB2312"/>
          <w:color w:val="000000" w:themeColor="text1"/>
          <w:sz w:val="32"/>
          <w:szCs w:val="32"/>
          <w14:textFill>
            <w14:solidFill>
              <w14:schemeClr w14:val="tx1"/>
            </w14:solidFill>
          </w14:textFill>
        </w:rPr>
        <w:t>截至目前，共接警出动35次，火灾扑救35次，未发生重特大火灾事故，共计检查社会单位场所2776家次，</w:t>
      </w:r>
      <w:r>
        <w:rPr>
          <w:rFonts w:eastAsia="仿宋_GB2312"/>
          <w:color w:val="000000" w:themeColor="text1"/>
          <w:sz w:val="32"/>
          <w:szCs w:val="32"/>
          <w14:textFill>
            <w14:solidFill>
              <w14:schemeClr w14:val="tx1"/>
            </w14:solidFill>
          </w14:textFill>
        </w:rPr>
        <w:t>整改隐患</w:t>
      </w:r>
      <w:r>
        <w:rPr>
          <w:rFonts w:hint="eastAsia" w:eastAsia="仿宋_GB2312"/>
          <w:color w:val="000000" w:themeColor="text1"/>
          <w:sz w:val="32"/>
          <w:szCs w:val="32"/>
          <w14:textFill>
            <w14:solidFill>
              <w14:schemeClr w14:val="tx1"/>
            </w14:solidFill>
          </w14:textFill>
        </w:rPr>
        <w:t>1258</w:t>
      </w:r>
      <w:r>
        <w:rPr>
          <w:rFonts w:eastAsia="仿宋_GB2312"/>
          <w:color w:val="000000" w:themeColor="text1"/>
          <w:sz w:val="32"/>
          <w:szCs w:val="32"/>
          <w14:textFill>
            <w14:solidFill>
              <w14:schemeClr w14:val="tx1"/>
            </w14:solidFill>
          </w14:textFill>
        </w:rPr>
        <w:t>处，</w:t>
      </w:r>
      <w:r>
        <w:rPr>
          <w:rFonts w:hint="eastAsia" w:eastAsia="仿宋_GB2312"/>
          <w:color w:val="000000" w:themeColor="text1"/>
          <w:sz w:val="32"/>
          <w:szCs w:val="32"/>
          <w14:textFill>
            <w14:solidFill>
              <w14:schemeClr w14:val="tx1"/>
            </w14:solidFill>
          </w14:textFill>
        </w:rPr>
        <w:t>下发《责令改正通知书》856份，责令“三停”单位4家，临时查封4家，发行政处罚决定书10份</w:t>
      </w:r>
      <w:r>
        <w:rPr>
          <w:rFonts w:hint="eastAsia" w:eastAsia="仿宋_GB2312"/>
          <w:color w:val="000000" w:themeColor="text1"/>
          <w:sz w:val="32"/>
          <w:szCs w:val="32"/>
          <w:lang w:eastAsia="zh-CN"/>
          <w14:textFill>
            <w14:solidFill>
              <w14:schemeClr w14:val="tx1"/>
            </w14:solidFill>
          </w14:textFill>
        </w:rPr>
        <w:t>，一</w:t>
      </w:r>
      <w:r>
        <w:rPr>
          <w:rFonts w:eastAsia="仿宋_GB2312"/>
          <w:color w:val="000000" w:themeColor="text1"/>
          <w:sz w:val="32"/>
          <w:szCs w:val="32"/>
          <w14:textFill>
            <w14:solidFill>
              <w14:schemeClr w14:val="tx1"/>
            </w14:solidFill>
          </w14:textFill>
        </w:rPr>
        <w:t>起、经济处罚</w:t>
      </w:r>
      <w:r>
        <w:rPr>
          <w:rFonts w:hint="eastAsia" w:eastAsia="仿宋_GB2312"/>
          <w:color w:val="000000" w:themeColor="text1"/>
          <w:sz w:val="32"/>
          <w:szCs w:val="32"/>
          <w14:textFill>
            <w14:solidFill>
              <w14:schemeClr w14:val="tx1"/>
            </w14:solidFill>
          </w14:textFill>
        </w:rPr>
        <w:t>4.2</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14:textFill>
            <w14:solidFill>
              <w14:schemeClr w14:val="tx1"/>
            </w14:solidFill>
          </w14:textFill>
        </w:rPr>
        <w:t>，火灾事故调查3起</w:t>
      </w:r>
      <w:r>
        <w:rPr>
          <w:rFonts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危爆物品安全方面，</w:t>
      </w:r>
      <w:r>
        <w:rPr>
          <w:rFonts w:eastAsia="仿宋_GB2312"/>
          <w:color w:val="000000" w:themeColor="text1"/>
          <w:sz w:val="32"/>
          <w:szCs w:val="32"/>
          <w14:textFill>
            <w14:solidFill>
              <w14:schemeClr w14:val="tx1"/>
            </w14:solidFill>
          </w14:textFill>
        </w:rPr>
        <w:t>深刻吸取江苏响水天嘉宜“3</w:t>
      </w:r>
      <w:r>
        <w:rPr>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21”爆炸事故教训，紧盯危爆物品储存、经营、运输、使用和废弃处置各环节，整合应急、公安、经信、住建、市场监管等部门力量，深入17个液化天然（石油）气加注站</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12家加油站、3家生物醇油、2家燃气公司</w:t>
      </w:r>
      <w:r>
        <w:rPr>
          <w:rFonts w:hint="eastAsia" w:eastAsia="仿宋_GB2312"/>
          <w:color w:val="000000" w:themeColor="text1"/>
          <w:sz w:val="32"/>
          <w:szCs w:val="32"/>
          <w14:textFill>
            <w14:solidFill>
              <w14:schemeClr w14:val="tx1"/>
            </w14:solidFill>
          </w14:textFill>
        </w:rPr>
        <w:t>）和</w:t>
      </w:r>
      <w:r>
        <w:rPr>
          <w:rFonts w:eastAsia="仿宋_GB2312"/>
          <w:color w:val="000000" w:themeColor="text1"/>
          <w:sz w:val="32"/>
          <w:szCs w:val="32"/>
          <w14:textFill>
            <w14:solidFill>
              <w14:schemeClr w14:val="tx1"/>
            </w14:solidFill>
          </w14:textFill>
        </w:rPr>
        <w:t>1家乙炔经营点开展危爆物品专项整治行动，排查隐患</w:t>
      </w:r>
      <w:r>
        <w:rPr>
          <w:rFonts w:hint="eastAsia" w:eastAsia="仿宋_GB2312"/>
          <w:color w:val="000000" w:themeColor="text1"/>
          <w:sz w:val="32"/>
          <w:szCs w:val="32"/>
          <w14:textFill>
            <w14:solidFill>
              <w14:schemeClr w14:val="tx1"/>
            </w14:solidFill>
          </w14:textFill>
        </w:rPr>
        <w:t>39</w:t>
      </w:r>
      <w:r>
        <w:rPr>
          <w:rFonts w:eastAsia="仿宋_GB2312"/>
          <w:color w:val="000000" w:themeColor="text1"/>
          <w:sz w:val="32"/>
          <w:szCs w:val="32"/>
          <w14:textFill>
            <w14:solidFill>
              <w14:schemeClr w14:val="tx1"/>
            </w14:solidFill>
          </w14:textFill>
        </w:rPr>
        <w:t>条，现场整改</w:t>
      </w:r>
      <w:r>
        <w:rPr>
          <w:rFonts w:hint="eastAsia" w:eastAsia="仿宋_GB2312"/>
          <w:color w:val="000000" w:themeColor="text1"/>
          <w:sz w:val="32"/>
          <w:szCs w:val="32"/>
          <w14:textFill>
            <w14:solidFill>
              <w14:schemeClr w14:val="tx1"/>
            </w14:solidFill>
          </w14:textFill>
        </w:rPr>
        <w:t>33</w:t>
      </w:r>
      <w:r>
        <w:rPr>
          <w:rFonts w:eastAsia="仿宋_GB2312"/>
          <w:color w:val="000000" w:themeColor="text1"/>
          <w:sz w:val="32"/>
          <w:szCs w:val="32"/>
          <w14:textFill>
            <w14:solidFill>
              <w14:schemeClr w14:val="tx1"/>
            </w14:solidFill>
          </w14:textFill>
        </w:rPr>
        <w:t>条、限期整改</w:t>
      </w: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条；查处非法销售生物醇油点2个，给予行政处罚</w:t>
      </w:r>
      <w:r>
        <w:rPr>
          <w:rFonts w:hint="eastAsia" w:eastAsia="仿宋_GB2312"/>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次、行政拘留1人、经济处罚2</w:t>
      </w:r>
      <w:r>
        <w:rPr>
          <w:rFonts w:hint="eastAsia" w:eastAsia="仿宋_GB2312"/>
          <w:color w:val="000000" w:themeColor="text1"/>
          <w:sz w:val="32"/>
          <w:szCs w:val="32"/>
          <w14:textFill>
            <w14:solidFill>
              <w14:schemeClr w14:val="tx1"/>
            </w14:solidFill>
          </w14:textFill>
        </w:rPr>
        <w:t>.04</w:t>
      </w:r>
      <w:r>
        <w:rPr>
          <w:rFonts w:eastAsia="仿宋_GB2312"/>
          <w:color w:val="000000" w:themeColor="text1"/>
          <w:sz w:val="32"/>
          <w:szCs w:val="32"/>
          <w14:textFill>
            <w14:solidFill>
              <w14:schemeClr w14:val="tx1"/>
            </w14:solidFill>
          </w14:textFill>
        </w:rPr>
        <w:t>万元。</w:t>
      </w:r>
    </w:p>
    <w:p w14:paraId="39D78B02">
      <w:pPr>
        <w:snapToGrid w:val="0"/>
        <w:spacing w:line="560" w:lineRule="exact"/>
        <w:ind w:firstLine="643" w:firstLineChars="200"/>
        <w:rPr>
          <w:rFonts w:ascii="仿宋_GB2312" w:hAnsi="仿宋_GB2312" w:eastAsia="仿宋_GB2312" w:cs="仿宋_GB2312"/>
          <w:w w:val="95"/>
          <w:sz w:val="32"/>
          <w:szCs w:val="32"/>
        </w:rPr>
      </w:pPr>
      <w:r>
        <w:rPr>
          <w:rStyle w:val="16"/>
          <w:rFonts w:eastAsia="楷体_GB2312"/>
          <w:color w:val="000000" w:themeColor="text1"/>
          <w:sz w:val="32"/>
          <w:szCs w:val="32"/>
          <w14:textFill>
            <w14:solidFill>
              <w14:schemeClr w14:val="tx1"/>
            </w14:solidFill>
          </w14:textFill>
        </w:rPr>
        <w:t>（四）多维度抓好应急应对准备。</w:t>
      </w:r>
      <w:r>
        <w:rPr>
          <w:rFonts w:eastAsia="仿宋_GB2312"/>
          <w:b/>
          <w:bCs/>
          <w:color w:val="000000" w:themeColor="text1"/>
          <w:kern w:val="0"/>
          <w:sz w:val="32"/>
          <w:szCs w:val="32"/>
          <w14:textFill>
            <w14:solidFill>
              <w14:schemeClr w14:val="tx1"/>
            </w14:solidFill>
          </w14:textFill>
        </w:rPr>
        <w:t>一</w:t>
      </w:r>
      <w:r>
        <w:rPr>
          <w:rFonts w:hint="eastAsia" w:eastAsia="仿宋_GB2312"/>
          <w:b/>
          <w:bCs/>
          <w:color w:val="000000" w:themeColor="text1"/>
          <w:kern w:val="0"/>
          <w:sz w:val="32"/>
          <w:szCs w:val="32"/>
          <w14:textFill>
            <w14:solidFill>
              <w14:schemeClr w14:val="tx1"/>
            </w14:solidFill>
          </w14:textFill>
        </w:rPr>
        <w:t>是</w:t>
      </w:r>
      <w:r>
        <w:rPr>
          <w:rFonts w:eastAsia="仿宋_GB2312"/>
          <w:b/>
          <w:color w:val="000000" w:themeColor="text1"/>
          <w:sz w:val="32"/>
          <w:szCs w:val="32"/>
          <w14:textFill>
            <w14:solidFill>
              <w14:schemeClr w14:val="tx1"/>
            </w14:solidFill>
          </w14:textFill>
        </w:rPr>
        <w:t>完善应急预案体系。</w:t>
      </w:r>
      <w:r>
        <w:rPr>
          <w:rFonts w:eastAsia="仿宋_GB2312"/>
          <w:color w:val="000000" w:themeColor="text1"/>
          <w:kern w:val="0"/>
          <w:sz w:val="32"/>
          <w:szCs w:val="32"/>
          <w14:textFill>
            <w14:solidFill>
              <w14:schemeClr w14:val="tx1"/>
            </w14:solidFill>
          </w14:textFill>
        </w:rPr>
        <w:t>秉承“预案联系实际”的工作思路，紧密结合安全生产形势和应急处置工作实际，针对安全事故易发、高发领域修订完善应急预案，进一步增强预案的科学性、权威性和可操作性，同步建立健全应急物资储备调用</w:t>
      </w:r>
      <w:r>
        <w:rPr>
          <w:rFonts w:hint="eastAsia" w:eastAsia="仿宋_GB2312"/>
          <w:color w:val="000000" w:themeColor="text1"/>
          <w:kern w:val="0"/>
          <w:sz w:val="32"/>
          <w:szCs w:val="32"/>
          <w14:textFill>
            <w14:solidFill>
              <w14:schemeClr w14:val="tx1"/>
            </w14:solidFill>
          </w14:textFill>
        </w:rPr>
        <w:t>和抢险救灾机具设备统计筹备</w:t>
      </w:r>
      <w:r>
        <w:rPr>
          <w:rFonts w:eastAsia="仿宋_GB2312"/>
          <w:color w:val="000000" w:themeColor="text1"/>
          <w:kern w:val="0"/>
          <w:sz w:val="32"/>
          <w:szCs w:val="32"/>
          <w14:textFill>
            <w14:solidFill>
              <w14:schemeClr w14:val="tx1"/>
            </w14:solidFill>
          </w14:textFill>
        </w:rPr>
        <w:t>制度</w:t>
      </w:r>
      <w:r>
        <w:rPr>
          <w:rFonts w:hint="eastAsia" w:eastAsia="仿宋_GB2312"/>
          <w:color w:val="000000" w:themeColor="text1"/>
          <w:kern w:val="0"/>
          <w:sz w:val="32"/>
          <w:szCs w:val="32"/>
          <w14:textFill>
            <w14:solidFill>
              <w14:schemeClr w14:val="tx1"/>
            </w14:solidFill>
          </w14:textFill>
        </w:rPr>
        <w:t>。进一步摸清全县应急物资储备、救援力量。投入资金55.7万元</w:t>
      </w:r>
      <w:r>
        <w:rPr>
          <w:rFonts w:eastAsia="仿宋_GB2312"/>
          <w:color w:val="000000" w:themeColor="text1"/>
          <w:kern w:val="0"/>
          <w:sz w:val="32"/>
          <w:szCs w:val="32"/>
          <w14:textFill>
            <w14:solidFill>
              <w14:schemeClr w14:val="tx1"/>
            </w14:solidFill>
          </w14:textFill>
        </w:rPr>
        <w:t>充实专业救援设备和应急物资储备，确保应对处置事故灾害时调度有方、物资齐全</w:t>
      </w:r>
      <w:r>
        <w:rPr>
          <w:rFonts w:hint="eastAsia" w:eastAsia="仿宋_GB2312"/>
          <w:color w:val="000000" w:themeColor="text1"/>
          <w:kern w:val="0"/>
          <w:sz w:val="32"/>
          <w:szCs w:val="32"/>
          <w14:textFill>
            <w14:solidFill>
              <w14:schemeClr w14:val="tx1"/>
            </w14:solidFill>
          </w14:textFill>
        </w:rPr>
        <w:t>、机具齐备</w:t>
      </w:r>
      <w:r>
        <w:rPr>
          <w:rFonts w:eastAsia="仿宋_GB2312"/>
          <w:bCs/>
          <w:color w:val="000000" w:themeColor="text1"/>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二是注重应急队伍建设。</w:t>
      </w:r>
      <w:r>
        <w:rPr>
          <w:rStyle w:val="16"/>
          <w:rFonts w:eastAsia="仿宋_GB2312"/>
          <w:b w:val="0"/>
          <w:color w:val="000000"/>
          <w:kern w:val="0"/>
          <w:sz w:val="32"/>
          <w:szCs w:val="32"/>
          <w:shd w:val="clear" w:color="auto" w:fill="FFFFFF"/>
        </w:rPr>
        <w:t>统筹应急资源、整合应急力量、强化协作配合，力争</w:t>
      </w:r>
      <w:r>
        <w:rPr>
          <w:rStyle w:val="16"/>
          <w:rFonts w:hint="eastAsia" w:eastAsia="仿宋_GB2312"/>
          <w:b w:val="0"/>
          <w:color w:val="000000"/>
          <w:kern w:val="0"/>
          <w:sz w:val="32"/>
          <w:szCs w:val="32"/>
          <w:shd w:val="clear" w:color="auto" w:fill="FFFFFF"/>
        </w:rPr>
        <w:t>在</w:t>
      </w:r>
      <w:r>
        <w:rPr>
          <w:rStyle w:val="16"/>
          <w:rFonts w:eastAsia="仿宋_GB2312"/>
          <w:b w:val="0"/>
          <w:color w:val="000000"/>
          <w:kern w:val="0"/>
          <w:sz w:val="32"/>
          <w:szCs w:val="32"/>
          <w:shd w:val="clear" w:color="auto" w:fill="FFFFFF"/>
        </w:rPr>
        <w:t>6月底前构建</w:t>
      </w:r>
      <w:r>
        <w:rPr>
          <w:rStyle w:val="16"/>
          <w:rFonts w:hint="eastAsia" w:eastAsia="仿宋_GB2312"/>
          <w:b w:val="0"/>
          <w:color w:val="000000"/>
          <w:kern w:val="0"/>
          <w:sz w:val="32"/>
          <w:szCs w:val="32"/>
          <w:shd w:val="clear" w:color="auto" w:fill="FFFFFF"/>
        </w:rPr>
        <w:t>覆盖灾害事故</w:t>
      </w:r>
      <w:r>
        <w:rPr>
          <w:rFonts w:eastAsia="仿宋_GB2312"/>
          <w:color w:val="000000"/>
          <w:kern w:val="0"/>
          <w:sz w:val="32"/>
          <w:szCs w:val="32"/>
        </w:rPr>
        <w:t>事前预防、事中处置、事后补救全环节和</w:t>
      </w:r>
      <w:r>
        <w:rPr>
          <w:rStyle w:val="16"/>
          <w:rFonts w:eastAsia="仿宋_GB2312"/>
          <w:b w:val="0"/>
          <w:color w:val="000000"/>
          <w:kern w:val="0"/>
          <w:sz w:val="32"/>
          <w:szCs w:val="32"/>
          <w:shd w:val="clear" w:color="auto" w:fill="FFFFFF"/>
        </w:rPr>
        <w:t>统</w:t>
      </w:r>
      <w:r>
        <w:rPr>
          <w:rStyle w:val="16"/>
          <w:rFonts w:hint="eastAsia" w:eastAsia="仿宋_GB2312"/>
          <w:b w:val="0"/>
          <w:color w:val="000000"/>
          <w:kern w:val="0"/>
          <w:sz w:val="32"/>
          <w:szCs w:val="32"/>
          <w:shd w:val="clear" w:color="auto" w:fill="FFFFFF"/>
          <w:lang w:eastAsia="zh-CN"/>
        </w:rPr>
        <w:t>一</w:t>
      </w:r>
      <w:r>
        <w:rPr>
          <w:rStyle w:val="16"/>
          <w:rFonts w:eastAsia="仿宋_GB2312"/>
          <w:b w:val="0"/>
          <w:color w:val="000000"/>
          <w:kern w:val="0"/>
          <w:sz w:val="32"/>
          <w:szCs w:val="32"/>
          <w:shd w:val="clear" w:color="auto" w:fill="FFFFFF"/>
        </w:rPr>
        <w:t>指挥、专长兼备、反应灵敏、上下联运的应急管理机制</w:t>
      </w:r>
      <w:r>
        <w:rPr>
          <w:rStyle w:val="16"/>
          <w:rFonts w:hint="eastAsia" w:eastAsia="仿宋_GB2312"/>
          <w:b w:val="0"/>
          <w:color w:val="000000"/>
          <w:kern w:val="0"/>
          <w:sz w:val="32"/>
          <w:szCs w:val="32"/>
          <w:shd w:val="clear" w:color="auto" w:fill="FFFFFF"/>
        </w:rPr>
        <w:t>。</w:t>
      </w:r>
      <w:r>
        <w:rPr>
          <w:rFonts w:eastAsia="仿宋_GB2312"/>
          <w:color w:val="000000"/>
          <w:kern w:val="0"/>
          <w:sz w:val="32"/>
          <w:szCs w:val="32"/>
        </w:rPr>
        <w:t>加强应急队伍建设</w:t>
      </w:r>
      <w:r>
        <w:rPr>
          <w:rFonts w:hint="eastAsia" w:eastAsia="仿宋_GB2312"/>
          <w:color w:val="000000"/>
          <w:kern w:val="0"/>
          <w:sz w:val="32"/>
          <w:szCs w:val="32"/>
        </w:rPr>
        <w:t>，</w:t>
      </w:r>
      <w:r>
        <w:rPr>
          <w:rFonts w:eastAsia="仿宋_GB2312"/>
          <w:bCs/>
          <w:color w:val="000000"/>
          <w:kern w:val="0"/>
          <w:sz w:val="32"/>
          <w:szCs w:val="32"/>
        </w:rPr>
        <w:t>组织2</w:t>
      </w:r>
      <w:r>
        <w:rPr>
          <w:rFonts w:hint="eastAsia" w:eastAsia="仿宋_GB2312"/>
          <w:bCs/>
          <w:color w:val="000000"/>
          <w:kern w:val="0"/>
          <w:sz w:val="32"/>
          <w:szCs w:val="32"/>
        </w:rPr>
        <w:t>4</w:t>
      </w:r>
      <w:r>
        <w:rPr>
          <w:rFonts w:eastAsia="仿宋_GB2312"/>
          <w:bCs/>
          <w:color w:val="000000"/>
          <w:kern w:val="0"/>
          <w:sz w:val="32"/>
          <w:szCs w:val="32"/>
        </w:rPr>
        <w:t>个乡（镇）和147个村（社区）整合辖区退伍军人、民兵、青壮年力量，继续加强县综合应急救援大队和各类专业应急队伍建设，充实安全生产群防群治力量。注重以演代练、</w:t>
      </w:r>
      <w:r>
        <w:rPr>
          <w:rFonts w:eastAsia="仿宋_GB2312"/>
          <w:color w:val="000000"/>
          <w:kern w:val="0"/>
          <w:sz w:val="32"/>
          <w:szCs w:val="32"/>
        </w:rPr>
        <w:t>以练为战，5月10日</w:t>
      </w:r>
      <w:r>
        <w:rPr>
          <w:rFonts w:eastAsia="仿宋_GB2312"/>
          <w:bCs/>
          <w:color w:val="000000" w:themeColor="text1"/>
          <w:sz w:val="32"/>
          <w:szCs w:val="32"/>
          <w14:textFill>
            <w14:solidFill>
              <w14:schemeClr w14:val="tx1"/>
            </w14:solidFill>
          </w14:textFill>
        </w:rPr>
        <w:t>组织开展全县防灾减灾</w:t>
      </w:r>
      <w:r>
        <w:rPr>
          <w:rFonts w:hint="eastAsia" w:eastAsia="仿宋_GB2312"/>
          <w:bCs/>
          <w:color w:val="000000" w:themeColor="text1"/>
          <w:sz w:val="32"/>
          <w:szCs w:val="32"/>
          <w14:textFill>
            <w14:solidFill>
              <w14:schemeClr w14:val="tx1"/>
            </w14:solidFill>
          </w14:textFill>
        </w:rPr>
        <w:t>专题</w:t>
      </w:r>
      <w:r>
        <w:rPr>
          <w:rFonts w:eastAsia="仿宋_GB2312"/>
          <w:bCs/>
          <w:color w:val="000000" w:themeColor="text1"/>
          <w:sz w:val="32"/>
          <w:szCs w:val="32"/>
          <w14:textFill>
            <w14:solidFill>
              <w14:schemeClr w14:val="tx1"/>
            </w14:solidFill>
          </w14:textFill>
        </w:rPr>
        <w:t>演练，</w:t>
      </w:r>
      <w:r>
        <w:rPr>
          <w:rFonts w:eastAsia="仿宋_GB2312"/>
          <w:bCs/>
          <w:color w:val="000000"/>
          <w:kern w:val="0"/>
          <w:sz w:val="32"/>
          <w:szCs w:val="32"/>
        </w:rPr>
        <w:t>全面提升应急救援队伍应急处置、紧急避险、道路抢通、救护防疫等专项能力。</w:t>
      </w:r>
      <w:r>
        <w:rPr>
          <w:rFonts w:eastAsia="仿宋_GB2312"/>
          <w:b/>
          <w:color w:val="000000" w:themeColor="text1"/>
          <w:sz w:val="32"/>
          <w:szCs w:val="48"/>
          <w14:textFill>
            <w14:solidFill>
              <w14:schemeClr w14:val="tx1"/>
            </w14:solidFill>
          </w14:textFill>
        </w:rPr>
        <w:t>三是畅通信息报送渠道。</w:t>
      </w:r>
      <w:r>
        <w:rPr>
          <w:rFonts w:eastAsia="仿宋_GB2312"/>
          <w:bCs/>
          <w:color w:val="000000" w:themeColor="text1"/>
          <w:sz w:val="32"/>
          <w:szCs w:val="32"/>
          <w14:textFill>
            <w14:solidFill>
              <w14:schemeClr w14:val="tx1"/>
            </w14:solidFill>
          </w14:textFill>
        </w:rPr>
        <w:t>落实重要节假日和重点时段全天候应急值班制度，</w:t>
      </w:r>
      <w:r>
        <w:rPr>
          <w:rFonts w:eastAsia="仿宋_GB2312"/>
          <w:bCs/>
          <w:sz w:val="32"/>
          <w:szCs w:val="32"/>
        </w:rPr>
        <w:t>建立和完善各类安全预警机制，</w:t>
      </w:r>
      <w:r>
        <w:rPr>
          <w:rFonts w:eastAsia="仿宋_GB2312"/>
          <w:bCs/>
          <w:color w:val="000000" w:themeColor="text1"/>
          <w:sz w:val="32"/>
          <w:szCs w:val="32"/>
          <w14:textFill>
            <w14:solidFill>
              <w14:schemeClr w14:val="tx1"/>
            </w14:solidFill>
          </w14:textFill>
        </w:rPr>
        <w:t>确保突发情况第一时间掌握、预警信息第一时间发布。逐级落实信息报送人员，严格执行突发事件信息报告和归口上报制度，确保全县各类事故、灾害信息对外口径保持一致。</w:t>
      </w:r>
      <w:r>
        <w:rPr>
          <w:rFonts w:hint="eastAsia" w:eastAsia="仿宋_GB2312"/>
          <w:bCs/>
          <w:color w:val="000000" w:themeColor="text1"/>
          <w:sz w:val="32"/>
          <w:szCs w:val="32"/>
          <w14:textFill>
            <w14:solidFill>
              <w14:schemeClr w14:val="tx1"/>
            </w14:solidFill>
          </w14:textFill>
        </w:rPr>
        <w:t>每周一和周五向州应急管理局视频调度报告制度。</w:t>
      </w:r>
      <w:r>
        <w:rPr>
          <w:rFonts w:hint="eastAsia" w:eastAsia="仿宋_GB2312"/>
          <w:b/>
          <w:color w:val="000000" w:themeColor="text1"/>
          <w:szCs w:val="32"/>
          <w14:textFill>
            <w14:solidFill>
              <w14:schemeClr w14:val="tx1"/>
            </w14:solidFill>
          </w14:textFill>
        </w:rPr>
        <w:t>四</w:t>
      </w:r>
      <w:r>
        <w:rPr>
          <w:rFonts w:hint="eastAsia" w:ascii="仿宋" w:hAnsi="仿宋" w:eastAsia="仿宋" w:cs="仿宋"/>
          <w:b/>
          <w:bCs/>
          <w:color w:val="000000"/>
          <w:kern w:val="0"/>
          <w:sz w:val="32"/>
          <w:szCs w:val="32"/>
        </w:rPr>
        <w:t>是应急救援</w:t>
      </w:r>
      <w:r>
        <w:rPr>
          <w:rFonts w:hint="eastAsia" w:ascii="仿宋" w:hAnsi="仿宋" w:eastAsia="仿宋" w:cs="仿宋"/>
          <w:b/>
          <w:bCs/>
          <w:color w:val="000000"/>
          <w:sz w:val="32"/>
          <w:szCs w:val="32"/>
        </w:rPr>
        <w:t>成效突显。</w:t>
      </w:r>
      <w:r>
        <w:rPr>
          <w:rFonts w:eastAsia="仿宋_GB2312"/>
          <w:color w:val="000000"/>
          <w:sz w:val="32"/>
          <w:szCs w:val="32"/>
        </w:rPr>
        <w:t>秉承人命关乎所有的防灾救灾工作理念，</w:t>
      </w:r>
      <w:r>
        <w:rPr>
          <w:rFonts w:hint="eastAsia" w:eastAsia="仿宋_GB2312"/>
          <w:color w:val="000000"/>
          <w:sz w:val="32"/>
          <w:szCs w:val="32"/>
        </w:rPr>
        <w:t>在快速反应的基础上，坚持最大限度</w:t>
      </w:r>
      <w:r>
        <w:rPr>
          <w:rFonts w:hint="eastAsia" w:eastAsia="仿宋_GB2312"/>
          <w:color w:val="000000"/>
          <w:sz w:val="32"/>
          <w:szCs w:val="32"/>
          <w:lang w:eastAsia="zh-CN"/>
        </w:rPr>
        <w:t>地</w:t>
      </w:r>
      <w:r>
        <w:rPr>
          <w:rFonts w:hint="eastAsia" w:eastAsia="仿宋_GB2312"/>
          <w:color w:val="000000"/>
          <w:sz w:val="32"/>
          <w:szCs w:val="32"/>
        </w:rPr>
        <w:t>预防和减少突发事件造成的损害。</w:t>
      </w:r>
      <w:r>
        <w:rPr>
          <w:rFonts w:eastAsia="仿宋_GB2312"/>
          <w:color w:val="000000"/>
          <w:spacing w:val="8"/>
          <w:sz w:val="32"/>
          <w:szCs w:val="32"/>
          <w:shd w:val="clear" w:color="auto" w:fill="FFFFFF"/>
        </w:rPr>
        <w:t>树立“出现一例伤亡就是工作不到位”的理念，</w:t>
      </w:r>
      <w:r>
        <w:rPr>
          <w:rFonts w:hint="eastAsia" w:eastAsia="仿宋_GB2312"/>
          <w:color w:val="000000"/>
          <w:spacing w:val="8"/>
          <w:sz w:val="32"/>
          <w:szCs w:val="32"/>
          <w:shd w:val="clear" w:color="auto" w:fill="FFFFFF"/>
        </w:rPr>
        <w:t>消防救援大队抢险救援共21次，社会救助保安15次。</w:t>
      </w:r>
      <w:r>
        <w:rPr>
          <w:rFonts w:eastAsia="仿宋_GB2312"/>
          <w:color w:val="000000"/>
          <w:sz w:val="32"/>
          <w:szCs w:val="32"/>
        </w:rPr>
        <w:t>全力组织县、乡、村各级力量，</w:t>
      </w:r>
      <w:r>
        <w:rPr>
          <w:rFonts w:hint="eastAsia" w:ascii="仿宋_GB2312" w:hAnsi="仿宋_GB2312" w:eastAsia="仿宋_GB2312" w:cs="仿宋_GB2312"/>
          <w:color w:val="000000"/>
          <w:sz w:val="32"/>
          <w:szCs w:val="32"/>
        </w:rPr>
        <w:t>第一时间对“7·11”飞石砸旅游车事故、“6</w:t>
      </w:r>
      <w:r>
        <w:rPr>
          <w:rFonts w:hint="eastAsia" w:ascii="仿宋_GB2312" w:hAnsi="仿宋_GB2312" w:eastAsia="仿宋_GB2312" w:cs="仿宋_GB2312"/>
          <w:color w:val="000000"/>
          <w:spacing w:val="-23"/>
          <w:sz w:val="32"/>
          <w:szCs w:val="32"/>
        </w:rPr>
        <w:t>·25</w:t>
      </w:r>
      <w:r>
        <w:rPr>
          <w:rFonts w:hint="eastAsia" w:ascii="仿宋_GB2312" w:hAnsi="仿宋_GB2312" w:eastAsia="仿宋_GB2312" w:cs="仿宋_GB2312"/>
          <w:color w:val="000000"/>
          <w:spacing w:val="-23"/>
          <w:sz w:val="32"/>
          <w:szCs w:val="32"/>
          <w:lang w:eastAsia="zh-CN"/>
        </w:rPr>
        <w:t>”“</w:t>
      </w:r>
      <w:r>
        <w:rPr>
          <w:rFonts w:hint="eastAsia" w:ascii="仿宋_GB2312" w:hAnsi="仿宋_GB2312" w:eastAsia="仿宋_GB2312" w:cs="仿宋_GB2312"/>
          <w:color w:val="000000"/>
          <w:spacing w:val="-23"/>
          <w:sz w:val="32"/>
          <w:szCs w:val="32"/>
        </w:rPr>
        <w:t>8·20”和“9·13”强降雨洪涝灾害进行了应急抢险，确保实现了“三个零”（灾害零伤亡、抢险零事故、群众零上访），受灾损失降到最低。</w:t>
      </w:r>
      <w:r>
        <w:rPr>
          <w:rFonts w:hint="eastAsia" w:ascii="仿宋_GB2312" w:hAnsi="仿宋_GB2312" w:eastAsia="仿宋_GB2312" w:cs="仿宋_GB2312"/>
          <w:b/>
          <w:bCs/>
          <w:color w:val="000000"/>
          <w:spacing w:val="-23"/>
          <w:sz w:val="32"/>
          <w:szCs w:val="32"/>
        </w:rPr>
        <w:t>五是</w:t>
      </w:r>
      <w:r>
        <w:rPr>
          <w:rFonts w:eastAsia="楷体_GB2312"/>
          <w:b/>
          <w:bCs/>
          <w:sz w:val="32"/>
          <w:szCs w:val="32"/>
        </w:rPr>
        <w:t>严格应急值守报告。</w:t>
      </w:r>
      <w:r>
        <w:rPr>
          <w:rFonts w:eastAsia="仿宋_GB2312"/>
          <w:sz w:val="32"/>
          <w:szCs w:val="32"/>
        </w:rPr>
        <w:t>进一步建立完善汛期24小时值班制度，不定时抽查各部门、各乡（镇）值班值守情况，确保人员到岗到位。畅通信息报送渠道，严格按照州级相关规定和时限要求，及时、准确上报信息。</w:t>
      </w:r>
    </w:p>
    <w:p w14:paraId="1CFC8C78">
      <w:pPr>
        <w:pStyle w:val="2"/>
        <w:spacing w:line="560" w:lineRule="exact"/>
        <w:ind w:firstLine="640"/>
        <w:rPr>
          <w:rFonts w:ascii="仿宋_GB2312" w:eastAsia="仿宋_GB2312"/>
          <w:color w:val="000000"/>
          <w:sz w:val="32"/>
          <w:szCs w:val="32"/>
        </w:rPr>
      </w:pPr>
      <w:r>
        <w:rPr>
          <w:rFonts w:hint="eastAsia" w:eastAsia="黑体"/>
          <w:color w:val="000000" w:themeColor="text1"/>
          <w:sz w:val="32"/>
          <w:szCs w:val="32"/>
          <w14:textFill>
            <w14:solidFill>
              <w14:schemeClr w14:val="tx1"/>
            </w14:solidFill>
          </w14:textFill>
        </w:rPr>
        <w:t>（五）统筹推进</w:t>
      </w:r>
      <w:r>
        <w:rPr>
          <w:rFonts w:hint="eastAsia" w:ascii="黑体" w:hAnsi="黑体" w:eastAsia="黑体"/>
          <w:b/>
          <w:bCs/>
          <w:color w:val="000000"/>
          <w:sz w:val="32"/>
          <w:szCs w:val="32"/>
        </w:rPr>
        <w:t>其他工作开展。</w:t>
      </w:r>
      <w:r>
        <w:rPr>
          <w:rFonts w:hint="eastAsia" w:eastAsia="仿宋_GB2312"/>
          <w:color w:val="000000"/>
          <w:kern w:val="0"/>
          <w:sz w:val="32"/>
          <w:szCs w:val="32"/>
        </w:rPr>
        <w:t>扎实抓好了党建、党风廉政建设、“两联一进”、依法治县、民族宗教、社会治理、</w:t>
      </w:r>
      <w:r>
        <w:rPr>
          <w:rFonts w:hint="eastAsia" w:ascii="仿宋" w:hAnsi="仿宋" w:eastAsia="仿宋" w:cs="仿宋"/>
          <w:color w:val="000000"/>
          <w:sz w:val="32"/>
          <w:szCs w:val="32"/>
        </w:rPr>
        <w:t>驻村帮扶、</w:t>
      </w:r>
      <w:r>
        <w:rPr>
          <w:rFonts w:hint="eastAsia" w:ascii="仿宋_GB2312" w:hAnsi="仿宋_GB2312" w:eastAsia="仿宋_GB2312" w:cs="仿宋_GB2312"/>
          <w:color w:val="000000"/>
          <w:sz w:val="32"/>
          <w:szCs w:val="32"/>
          <w:shd w:val="clear" w:color="auto" w:fill="FFFFFF"/>
        </w:rPr>
        <w:t>档案管理、</w:t>
      </w:r>
      <w:r>
        <w:rPr>
          <w:rFonts w:hint="eastAsia" w:ascii="仿宋_GB2312" w:hAnsi="仿宋_GB2312" w:eastAsia="仿宋_GB2312" w:cs="仿宋_GB2312"/>
          <w:color w:val="000000"/>
          <w:sz w:val="32"/>
          <w:szCs w:val="32"/>
          <w:shd w:val="clear" w:color="auto" w:fill="FFFFFF"/>
          <w:lang w:eastAsia="zh-CN"/>
        </w:rPr>
        <w:t>人大、政协</w:t>
      </w:r>
      <w:r>
        <w:rPr>
          <w:rFonts w:hint="eastAsia" w:ascii="仿宋_GB2312" w:hAnsi="仿宋_GB2312" w:eastAsia="仿宋_GB2312" w:cs="仿宋_GB2312"/>
          <w:color w:val="000000"/>
          <w:sz w:val="32"/>
          <w:szCs w:val="32"/>
          <w:shd w:val="clear" w:color="auto" w:fill="FFFFFF"/>
        </w:rPr>
        <w:t>、放心舒心、全民纲要、信访、保密、</w:t>
      </w:r>
      <w:r>
        <w:rPr>
          <w:rFonts w:hint="eastAsia" w:ascii="仿宋_GB2312" w:eastAsia="仿宋_GB2312"/>
          <w:color w:val="000000"/>
          <w:sz w:val="32"/>
          <w:szCs w:val="32"/>
        </w:rPr>
        <w:t>工青妇、城乡环境治理、群众、</w:t>
      </w:r>
      <w:r>
        <w:rPr>
          <w:rFonts w:hint="eastAsia" w:ascii="仿宋_GB2312" w:hAnsi="仿宋_GB2312" w:eastAsia="仿宋_GB2312" w:cs="仿宋_GB2312"/>
          <w:color w:val="000000"/>
          <w:sz w:val="32"/>
          <w:szCs w:val="32"/>
        </w:rPr>
        <w:t>精神文明、</w:t>
      </w:r>
      <w:r>
        <w:rPr>
          <w:rFonts w:hint="eastAsia" w:ascii="仿宋" w:hAnsi="仿宋" w:eastAsia="仿宋" w:cs="仿宋"/>
          <w:color w:val="000000"/>
          <w:sz w:val="32"/>
          <w:szCs w:val="32"/>
          <w:shd w:val="clear" w:color="auto" w:fill="FFFFFF"/>
        </w:rPr>
        <w:t>乡村善治工作</w:t>
      </w:r>
      <w:r>
        <w:rPr>
          <w:rFonts w:hint="eastAsia" w:ascii="仿宋_GB2312" w:eastAsia="仿宋_GB2312"/>
          <w:color w:val="000000"/>
          <w:sz w:val="32"/>
          <w:szCs w:val="32"/>
        </w:rPr>
        <w:t>等各项工作。</w:t>
      </w:r>
    </w:p>
    <w:p w14:paraId="1FA588AD">
      <w:pPr>
        <w:pStyle w:val="2"/>
        <w:spacing w:line="560" w:lineRule="exact"/>
        <w:ind w:firstLine="640"/>
        <w:rPr>
          <w:rFonts w:ascii="仿宋_GB2312" w:hAnsi="新宋体" w:eastAsia="仿宋_GB2312" w:cs="宋体"/>
          <w:color w:val="000000"/>
          <w:kern w:val="0"/>
          <w:sz w:val="32"/>
          <w:szCs w:val="32"/>
        </w:rPr>
      </w:pPr>
      <w:r>
        <w:rPr>
          <w:rFonts w:hint="eastAsia" w:ascii="仿宋_GB2312" w:eastAsia="仿宋_GB2312"/>
          <w:color w:val="000000"/>
          <w:sz w:val="32"/>
          <w:szCs w:val="32"/>
        </w:rPr>
        <w:t xml:space="preserve">  </w:t>
      </w:r>
      <w:r>
        <w:rPr>
          <w:rFonts w:hint="eastAsia" w:ascii="仿宋_GB2312" w:hAnsi="仿宋_GB2312" w:eastAsia="仿宋_GB2312" w:cs="仿宋_GB2312"/>
          <w:b/>
          <w:bCs/>
          <w:color w:val="000000"/>
          <w:sz w:val="32"/>
          <w:szCs w:val="32"/>
        </w:rPr>
        <w:t>1.强化党风廉政建设。</w:t>
      </w:r>
      <w:r>
        <w:rPr>
          <w:rFonts w:hint="eastAsia" w:ascii="仿宋_GB2312" w:hAnsi="新宋体" w:eastAsia="仿宋_GB2312" w:cs="宋体"/>
          <w:color w:val="000000"/>
          <w:kern w:val="0"/>
          <w:sz w:val="32"/>
          <w:szCs w:val="32"/>
        </w:rPr>
        <w:t>建立健全党风廉政建设“两个主体责任”和“一岗双责”责任体系，与局各股室层层签订责任书，修改完善机关相关管理制度，严格管控</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三公</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经费，加大</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三公</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经费开支透明力度。加强对全局科级干部改进工作作风情况进行监督检查，强化重点岗位廉政风险防范。坚持推行班子成员每季度向党组汇报一次党风党纪执行情况，坚持“三重一大”制度，尤其是个人重大事项报告制度，保证了正风</w:t>
      </w:r>
      <w:r>
        <w:rPr>
          <w:rFonts w:hint="eastAsia" w:ascii="仿宋_GB2312" w:hAnsi="新宋体" w:eastAsia="仿宋_GB2312" w:cs="宋体"/>
          <w:color w:val="000000"/>
          <w:kern w:val="0"/>
          <w:sz w:val="32"/>
          <w:szCs w:val="32"/>
          <w:lang w:eastAsia="zh-CN"/>
        </w:rPr>
        <w:t>肃风</w:t>
      </w:r>
      <w:r>
        <w:rPr>
          <w:rFonts w:hint="eastAsia" w:ascii="仿宋_GB2312" w:hAnsi="新宋体" w:eastAsia="仿宋_GB2312" w:cs="宋体"/>
          <w:color w:val="000000"/>
          <w:kern w:val="0"/>
          <w:sz w:val="32"/>
          <w:szCs w:val="32"/>
        </w:rPr>
        <w:t>各项措施</w:t>
      </w:r>
      <w:r>
        <w:rPr>
          <w:rFonts w:hint="eastAsia" w:ascii="仿宋_GB2312" w:hAnsi="新宋体" w:eastAsia="仿宋_GB2312" w:cs="宋体"/>
          <w:color w:val="000000"/>
          <w:kern w:val="0"/>
          <w:sz w:val="32"/>
          <w:szCs w:val="32"/>
          <w:lang w:eastAsia="zh-CN"/>
        </w:rPr>
        <w:t>落到实处</w:t>
      </w:r>
      <w:r>
        <w:rPr>
          <w:rFonts w:hint="eastAsia" w:ascii="仿宋_GB2312" w:hAnsi="新宋体" w:eastAsia="仿宋_GB2312" w:cs="宋体"/>
          <w:color w:val="000000"/>
          <w:kern w:val="0"/>
          <w:sz w:val="32"/>
          <w:szCs w:val="32"/>
        </w:rPr>
        <w:t>取得了实效。</w:t>
      </w:r>
    </w:p>
    <w:p w14:paraId="2C79075A">
      <w:pPr>
        <w:spacing w:line="560" w:lineRule="exact"/>
        <w:ind w:firstLine="643" w:firstLineChars="200"/>
        <w:rPr>
          <w:rFonts w:ascii="仿宋_GB2312" w:hAnsi="宋体" w:eastAsia="仿宋_GB2312" w:cs="宋体"/>
          <w:color w:val="000000"/>
          <w:kern w:val="0"/>
          <w:sz w:val="32"/>
          <w:szCs w:val="32"/>
        </w:rPr>
      </w:pPr>
      <w:r>
        <w:rPr>
          <w:rFonts w:hint="eastAsia" w:ascii="仿宋" w:hAnsi="仿宋" w:eastAsia="仿宋" w:cs="仿宋"/>
          <w:b/>
          <w:bCs/>
          <w:color w:val="000000"/>
          <w:sz w:val="32"/>
          <w:szCs w:val="32"/>
        </w:rPr>
        <w:t>2.</w:t>
      </w:r>
      <w:r>
        <w:rPr>
          <w:rFonts w:hint="eastAsia" w:ascii="仿宋" w:hAnsi="仿宋" w:eastAsia="仿宋" w:cs="仿宋"/>
          <w:b/>
          <w:color w:val="000000"/>
          <w:sz w:val="32"/>
          <w:szCs w:val="32"/>
        </w:rPr>
        <w:t>强力推进党的建设。</w:t>
      </w:r>
      <w:r>
        <w:rPr>
          <w:rFonts w:hint="eastAsia" w:ascii="方正楷体简体" w:hAnsi="方正楷体简体" w:eastAsia="方正楷体简体" w:cs="方正楷体简体"/>
          <w:b/>
          <w:color w:val="000000"/>
          <w:sz w:val="32"/>
          <w:szCs w:val="32"/>
        </w:rPr>
        <w:t>一是</w:t>
      </w:r>
      <w:r>
        <w:rPr>
          <w:rFonts w:hint="eastAsia" w:ascii="仿宋_GB2312" w:hAnsi="宋体" w:eastAsia="仿宋_GB2312" w:cs="宋体"/>
          <w:color w:val="000000"/>
          <w:kern w:val="0"/>
          <w:sz w:val="32"/>
          <w:szCs w:val="32"/>
        </w:rPr>
        <w:t>始终坚持民主集中制，及时召开局党组会、局务会，讨论、决定重大事项。班子成员都能够正确处理集体领导和个人分工负责的关系，正确对待和处理矛盾和问题，主动加强沟通协调，凝心聚力做好各项工作，形成团结、统一、坚强的领导班子集体，充分发挥了领导核心作用。</w:t>
      </w:r>
      <w:r>
        <w:rPr>
          <w:rFonts w:hint="eastAsia" w:ascii="仿宋_GB2312" w:hAnsi="宋体" w:eastAsia="仿宋_GB2312" w:cs="宋体"/>
          <w:b/>
          <w:bCs/>
          <w:color w:val="000000"/>
          <w:kern w:val="0"/>
          <w:sz w:val="32"/>
          <w:szCs w:val="32"/>
        </w:rPr>
        <w:t>二是</w:t>
      </w:r>
      <w:r>
        <w:rPr>
          <w:rFonts w:hint="eastAsia" w:ascii="仿宋_GB2312" w:hAnsi="宋体" w:eastAsia="仿宋_GB2312" w:cs="宋体"/>
          <w:color w:val="000000"/>
          <w:kern w:val="0"/>
          <w:sz w:val="32"/>
          <w:szCs w:val="32"/>
        </w:rPr>
        <w:t>进一步健全党的组织生活制度，班子成员以普通党员的身份，积极带头参加党组织、民主生活会等活动。为了进一步发扬民主，及时掌握干部思想动态，我局还建立了定期谈心活动，主要领导</w:t>
      </w:r>
      <w:r>
        <w:rPr>
          <w:rFonts w:hint="eastAsia" w:ascii="仿宋_GB2312" w:hAnsi="宋体" w:eastAsia="仿宋_GB2312" w:cs="宋体"/>
          <w:color w:val="000000"/>
          <w:kern w:val="0"/>
          <w:sz w:val="32"/>
          <w:szCs w:val="32"/>
          <w:lang w:eastAsia="zh-CN"/>
        </w:rPr>
        <w:t>和党</w:t>
      </w:r>
      <w:r>
        <w:rPr>
          <w:rFonts w:hint="eastAsia" w:ascii="仿宋_GB2312" w:hAnsi="宋体" w:eastAsia="仿宋_GB2312" w:cs="宋体"/>
          <w:color w:val="000000"/>
          <w:kern w:val="0"/>
          <w:sz w:val="32"/>
          <w:szCs w:val="32"/>
        </w:rPr>
        <w:t>支部书记每月不少于一次对所有人员逐个交流谈心，充分征求意见、建议和对领导班子个人及其他同志的意见。</w:t>
      </w:r>
      <w:r>
        <w:rPr>
          <w:rFonts w:hint="eastAsia" w:ascii="仿宋_GB2312" w:hAnsi="宋体" w:eastAsia="仿宋_GB2312" w:cs="宋体"/>
          <w:b/>
          <w:bCs/>
          <w:color w:val="000000"/>
          <w:kern w:val="0"/>
          <w:sz w:val="32"/>
          <w:szCs w:val="32"/>
        </w:rPr>
        <w:t>三是</w:t>
      </w:r>
      <w:r>
        <w:rPr>
          <w:rFonts w:hint="eastAsia" w:ascii="仿宋_GB2312" w:hAnsi="新宋体" w:eastAsia="仿宋_GB2312" w:cs="宋体"/>
          <w:color w:val="000000"/>
          <w:kern w:val="0"/>
          <w:sz w:val="32"/>
          <w:szCs w:val="32"/>
        </w:rPr>
        <w:t>以学习党的十九大精神和新《中国共产党章程》和省委</w:t>
      </w:r>
      <w:r>
        <w:rPr>
          <w:rFonts w:hint="eastAsia" w:ascii="仿宋_GB2312" w:hAnsi="新宋体" w:eastAsia="仿宋_GB2312" w:cs="宋体"/>
          <w:color w:val="000000"/>
          <w:kern w:val="0"/>
          <w:sz w:val="32"/>
          <w:szCs w:val="32"/>
          <w:lang w:eastAsia="zh-CN"/>
        </w:rPr>
        <w:t>十一届</w:t>
      </w:r>
      <w:r>
        <w:rPr>
          <w:rFonts w:hint="eastAsia" w:ascii="仿宋_GB2312" w:eastAsia="仿宋_GB2312"/>
          <w:color w:val="000000"/>
          <w:sz w:val="32"/>
          <w:szCs w:val="32"/>
        </w:rPr>
        <w:t>三次全会、州委十一届五次全会和县委十三届五次全</w:t>
      </w:r>
      <w:r>
        <w:rPr>
          <w:rFonts w:hint="eastAsia" w:ascii="仿宋_GB2312" w:eastAsia="仿宋_GB2312"/>
          <w:color w:val="000000"/>
          <w:sz w:val="32"/>
          <w:szCs w:val="32"/>
          <w:lang w:eastAsia="zh-CN"/>
        </w:rPr>
        <w:t>会</w:t>
      </w:r>
      <w:r>
        <w:rPr>
          <w:rFonts w:hint="eastAsia" w:ascii="仿宋_GB2312" w:eastAsia="仿宋_GB2312"/>
          <w:color w:val="000000"/>
          <w:sz w:val="32"/>
          <w:szCs w:val="32"/>
        </w:rPr>
        <w:t>精神</w:t>
      </w:r>
      <w:r>
        <w:rPr>
          <w:rFonts w:hint="eastAsia" w:ascii="仿宋_GB2312" w:hAnsi="新宋体" w:eastAsia="仿宋_GB2312" w:cs="宋体"/>
          <w:color w:val="000000"/>
          <w:kern w:val="0"/>
          <w:sz w:val="32"/>
          <w:szCs w:val="32"/>
        </w:rPr>
        <w:t>为重点，</w:t>
      </w:r>
      <w:r>
        <w:rPr>
          <w:rFonts w:hint="eastAsia" w:ascii="仿宋_GB2312" w:hAnsi="仿宋_GB2312" w:eastAsia="仿宋_GB2312" w:cs="仿宋_GB2312"/>
          <w:bCs/>
          <w:color w:val="000000"/>
          <w:sz w:val="32"/>
          <w:szCs w:val="32"/>
          <w:shd w:val="clear" w:color="auto" w:fill="FFFFFF"/>
        </w:rPr>
        <w:t>切实加强思想政治建设，推进学习型党组织建设工作。</w:t>
      </w:r>
      <w:r>
        <w:rPr>
          <w:rFonts w:hint="eastAsia" w:ascii="仿宋_GB2312" w:eastAsia="仿宋_GB2312"/>
          <w:color w:val="000000"/>
          <w:sz w:val="32"/>
          <w:szCs w:val="32"/>
        </w:rPr>
        <w:t>全年先后组织10次党组中心组扩大会或职工大会，进行集中学习，重点对干部职工进行党的知识教育、社会公德、职业道德、家庭美德和社会主义荣辱观教育，在全局逐步形成良好的社会道德风尚。</w:t>
      </w:r>
      <w:r>
        <w:rPr>
          <w:rFonts w:hint="eastAsia" w:ascii="仿宋_GB2312" w:eastAsia="仿宋_GB2312"/>
          <w:b/>
          <w:bCs/>
          <w:color w:val="000000"/>
          <w:sz w:val="32"/>
          <w:szCs w:val="32"/>
        </w:rPr>
        <w:t>四是</w:t>
      </w:r>
      <w:r>
        <w:rPr>
          <w:rFonts w:hint="eastAsia" w:ascii="仿宋_GB2312" w:eastAsia="仿宋_GB2312"/>
          <w:b/>
          <w:bCs/>
          <w:color w:val="000000"/>
          <w:sz w:val="32"/>
          <w:szCs w:val="32"/>
          <w:lang w:eastAsia="zh-CN"/>
        </w:rPr>
        <w:t>以主</w:t>
      </w:r>
      <w:r>
        <w:rPr>
          <w:rFonts w:hint="eastAsia" w:ascii="仿宋_GB2312" w:eastAsia="仿宋_GB2312"/>
          <w:color w:val="000000"/>
          <w:sz w:val="32"/>
          <w:szCs w:val="32"/>
        </w:rPr>
        <w:t>题实践活动为载体，扎实开展了</w:t>
      </w:r>
      <w:r>
        <w:rPr>
          <w:rFonts w:hint="eastAsia" w:ascii="仿宋_GB2312" w:hAnsi="仿宋_GB2312" w:eastAsia="仿宋_GB2312" w:cs="仿宋_GB2312"/>
          <w:snapToGrid w:val="0"/>
          <w:color w:val="000000"/>
          <w:sz w:val="32"/>
          <w:szCs w:val="32"/>
        </w:rPr>
        <w:t>“户户访·人人忙</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践初心 一家亲</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bCs/>
          <w:color w:val="000000"/>
          <w:sz w:val="32"/>
          <w:szCs w:val="32"/>
          <w:shd w:val="clear" w:color="auto" w:fill="FFFFFF"/>
        </w:rPr>
        <w:t>不忘初心、牢记使命”主题教育活动等活动，进一步增强了干部职工干事激情，促进了干部作风转变。</w:t>
      </w:r>
    </w:p>
    <w:p w14:paraId="3A1BCB82">
      <w:pPr>
        <w:widowControl/>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3.强力</w:t>
      </w:r>
      <w:r>
        <w:rPr>
          <w:rFonts w:hint="eastAsia" w:ascii="仿宋_GB2312" w:hAnsi="仿宋_GB2312" w:eastAsia="仿宋_GB2312" w:cs="仿宋_GB2312"/>
          <w:b/>
          <w:bCs/>
          <w:color w:val="000000"/>
          <w:sz w:val="32"/>
          <w:szCs w:val="32"/>
          <w:lang w:eastAsia="zh-CN"/>
        </w:rPr>
        <w:t>推进法治建设</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建立学法常态化制度，按照年初制定的学法计划，坚持局党组会、领导班子会、干部职工会前学法，做到常年学、长期抓，引导干部职工在思想上崇尚法律、警车法律、遵守法律。</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““谁执法谁普法””</w:t>
      </w:r>
      <w:r>
        <w:rPr>
          <w:rFonts w:hint="eastAsia" w:ascii="仿宋_GB2312" w:hAnsi="仿宋_GB2312" w:eastAsia="仿宋_GB2312" w:cs="仿宋_GB2312"/>
          <w:color w:val="000000"/>
          <w:sz w:val="32"/>
          <w:szCs w:val="32"/>
        </w:rPr>
        <w:t>的原则，认真</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普法计划，开展普法宣传8次，配合司法局开展普法宣传2次，出动法律宣传车35台次，受益群众4000余人次，参加各类执法考试16人次。</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坚决贯彻落实</w:t>
      </w:r>
      <w:r>
        <w:rPr>
          <w:rFonts w:hint="eastAsia" w:ascii="仿宋_GB2312" w:hAnsi="仿宋_GB2312" w:eastAsia="仿宋_GB2312" w:cs="仿宋_GB2312"/>
          <w:color w:val="000000"/>
          <w:sz w:val="32"/>
          <w:szCs w:val="32"/>
          <w:lang w:eastAsia="zh-CN"/>
        </w:rPr>
        <w:t>《中华人民共和国安全生产法》</w:t>
      </w:r>
      <w:r>
        <w:rPr>
          <w:rFonts w:hint="eastAsia" w:ascii="仿宋_GB2312" w:hAnsi="仿宋_GB2312" w:eastAsia="仿宋_GB2312" w:cs="仿宋_GB2312"/>
          <w:color w:val="000000"/>
          <w:sz w:val="32"/>
          <w:szCs w:val="32"/>
        </w:rPr>
        <w:t>，严格依照计划开展执法，遵循</w:t>
      </w:r>
      <w:r>
        <w:rPr>
          <w:rFonts w:hint="eastAsia" w:ascii="仿宋_GB2312" w:hAnsi="仿宋_GB2312" w:eastAsia="仿宋_GB2312" w:cs="仿宋_GB2312"/>
          <w:color w:val="000000"/>
          <w:sz w:val="32"/>
          <w:szCs w:val="32"/>
          <w:lang w:eastAsia="zh-CN"/>
        </w:rPr>
        <w:t>法定程序</w:t>
      </w:r>
      <w:r>
        <w:rPr>
          <w:rFonts w:hint="eastAsia" w:ascii="仿宋_GB2312" w:hAnsi="仿宋_GB2312" w:eastAsia="仿宋_GB2312" w:cs="仿宋_GB2312"/>
          <w:color w:val="000000"/>
          <w:sz w:val="32"/>
          <w:szCs w:val="32"/>
        </w:rPr>
        <w:t>实施行政行为，落实安全生产行政执法责任制，实行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谁签字、谁负责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制度约束，全年未发生</w:t>
      </w:r>
      <w:r>
        <w:rPr>
          <w:rFonts w:hint="eastAsia" w:ascii="仿宋_GB2312" w:hAnsi="仿宋_GB2312" w:eastAsia="仿宋_GB2312" w:cs="仿宋_GB2312"/>
          <w:color w:val="000000"/>
          <w:sz w:val="32"/>
          <w:szCs w:val="32"/>
          <w:lang w:eastAsia="zh-CN"/>
        </w:rPr>
        <w:t>一起</w:t>
      </w:r>
      <w:r>
        <w:rPr>
          <w:rFonts w:hint="eastAsia" w:ascii="仿宋_GB2312" w:hAnsi="仿宋_GB2312" w:eastAsia="仿宋_GB2312" w:cs="仿宋_GB2312"/>
          <w:color w:val="000000"/>
          <w:sz w:val="32"/>
          <w:szCs w:val="32"/>
        </w:rPr>
        <w:t>行政复议和行政诉讼案件；依规聘请法律顾问，增强法律援助，注重规范执法、程序执法、文明执法，树立依法执法良好形象。</w:t>
      </w:r>
    </w:p>
    <w:p w14:paraId="575AFC76">
      <w:pPr>
        <w:spacing w:line="560" w:lineRule="exact"/>
        <w:ind w:firstLine="630" w:firstLineChars="196"/>
        <w:rPr>
          <w:rFonts w:ascii="仿宋_GB2312" w:hAnsi="仿宋_GB2312" w:eastAsia="仿宋_GB2312" w:cs="仿宋_GB2312"/>
          <w:color w:val="000000"/>
          <w:sz w:val="32"/>
          <w:szCs w:val="32"/>
          <w:shd w:val="clear" w:color="auto" w:fill="FFFFFF"/>
        </w:rPr>
      </w:pPr>
      <w:r>
        <w:rPr>
          <w:rFonts w:hint="eastAsia" w:ascii="仿宋" w:hAnsi="仿宋" w:eastAsia="仿宋" w:cs="仿宋"/>
          <w:b/>
          <w:bCs/>
          <w:color w:val="000000"/>
          <w:sz w:val="32"/>
          <w:szCs w:val="32"/>
        </w:rPr>
        <w:t>4.强化民宗统战工作。</w:t>
      </w:r>
      <w:r>
        <w:rPr>
          <w:rFonts w:hint="eastAsia" w:ascii="仿宋_GB2312" w:hAnsi="仿宋_GB2312" w:eastAsia="仿宋_GB2312" w:cs="仿宋_GB2312"/>
          <w:color w:val="000000"/>
          <w:sz w:val="32"/>
          <w:szCs w:val="32"/>
        </w:rPr>
        <w:t>我局高度重视党的统战工作，把统战工作纳入年度工作计划，实行目标管理，并</w:t>
      </w:r>
      <w:r>
        <w:rPr>
          <w:rFonts w:hint="eastAsia" w:ascii="仿宋_GB2312" w:hAnsi="仿宋_GB2312" w:eastAsia="仿宋_GB2312" w:cs="仿宋_GB2312"/>
          <w:color w:val="000000"/>
          <w:sz w:val="32"/>
          <w:szCs w:val="32"/>
          <w:lang w:eastAsia="zh-CN"/>
        </w:rPr>
        <w:t>纳入</w:t>
      </w:r>
      <w:r>
        <w:rPr>
          <w:rFonts w:hint="eastAsia" w:ascii="仿宋_GB2312" w:hAnsi="仿宋_GB2312" w:eastAsia="仿宋_GB2312" w:cs="仿宋_GB2312"/>
          <w:color w:val="000000"/>
          <w:sz w:val="32"/>
          <w:szCs w:val="32"/>
        </w:rPr>
        <w:t>党组工作的重要议事日程。</w:t>
      </w:r>
      <w:r>
        <w:rPr>
          <w:rFonts w:hint="eastAsia" w:ascii="仿宋_GB2312" w:hAnsi="仿宋_GB2312" w:eastAsia="仿宋_GB2312" w:cs="仿宋_GB2312"/>
          <w:color w:val="000000"/>
          <w:sz w:val="32"/>
          <w:szCs w:val="32"/>
          <w:shd w:val="clear" w:color="auto" w:fill="FFFFFF"/>
        </w:rPr>
        <w:t>积极开展民族团结进步活动，与联系的镇江乡清真寺在春节、元宵节、端午节等传统节日和开斋节期间组织开展形式多样的民族团结进步活动，看望慰问少数民族同胞。做好民族宗教工作，促进民族大团结。</w:t>
      </w:r>
    </w:p>
    <w:p w14:paraId="58942A96">
      <w:p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 w:hAnsi="仿宋" w:eastAsia="仿宋" w:cs="仿宋"/>
          <w:b/>
          <w:bCs/>
          <w:color w:val="000000"/>
          <w:sz w:val="32"/>
          <w:szCs w:val="32"/>
          <w:shd w:val="clear" w:color="auto" w:fill="FFFFFF"/>
        </w:rPr>
        <w:t>5.强化社会治理工作。</w:t>
      </w:r>
      <w:r>
        <w:rPr>
          <w:rFonts w:hint="eastAsia" w:ascii="仿宋_GB2312" w:hAnsi="仿宋_GB2312" w:eastAsia="仿宋_GB2312" w:cs="仿宋_GB2312"/>
          <w:color w:val="000000"/>
          <w:sz w:val="32"/>
          <w:szCs w:val="32"/>
          <w:shd w:val="clear" w:color="auto" w:fill="FFFFFF"/>
        </w:rPr>
        <w:t>认真贯彻落实上级有关社会治安</w:t>
      </w:r>
      <w:r>
        <w:rPr>
          <w:rFonts w:hint="eastAsia" w:ascii="仿宋_GB2312" w:hAnsi="仿宋_GB2312" w:eastAsia="仿宋_GB2312" w:cs="仿宋_GB2312"/>
          <w:color w:val="000000"/>
          <w:sz w:val="32"/>
          <w:szCs w:val="32"/>
          <w:shd w:val="clear" w:color="auto" w:fill="FFFFFF"/>
          <w:lang w:eastAsia="zh-CN"/>
        </w:rPr>
        <w:t>综合</w:t>
      </w:r>
      <w:r>
        <w:rPr>
          <w:rFonts w:hint="eastAsia" w:ascii="仿宋_GB2312" w:hAnsi="仿宋_GB2312" w:eastAsia="仿宋_GB2312" w:cs="仿宋_GB2312"/>
          <w:color w:val="000000"/>
          <w:sz w:val="32"/>
          <w:szCs w:val="32"/>
          <w:shd w:val="clear" w:color="auto" w:fill="FFFFFF"/>
        </w:rPr>
        <w:t>治理工作方针，紧紧围绕安全生产、经济建设这个中心，狠抓基层基础工作，坚持把社会治安综合治理工作摆上重要日程，认真开展普法宣传教育和禁毒、禁赌工作。在重要时段和敏感期，加强与联系的清真寺和联系的乡村开展平安创建工作。及时排除不稳定因素，在安全生产工作中矛盾纠纷“大调解”工作，成功调解5起矛盾纠纷。深入开展反邪教社区活动，维护社会和谐稳定，取得良好成效。</w:t>
      </w:r>
    </w:p>
    <w:p w14:paraId="47328FAA">
      <w:p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 w:hAnsi="仿宋" w:eastAsia="仿宋" w:cs="仿宋"/>
          <w:b/>
          <w:bCs/>
          <w:color w:val="000000"/>
          <w:sz w:val="32"/>
          <w:szCs w:val="32"/>
          <w:shd w:val="clear" w:color="auto" w:fill="FFFFFF"/>
        </w:rPr>
        <w:t>6.强化群团群治工作。</w:t>
      </w:r>
      <w:r>
        <w:rPr>
          <w:rFonts w:hint="eastAsia" w:ascii="仿宋_GB2312" w:hAnsi="仿宋_GB2312" w:eastAsia="仿宋_GB2312" w:cs="仿宋_GB2312"/>
          <w:color w:val="000000"/>
          <w:sz w:val="32"/>
          <w:szCs w:val="32"/>
          <w:shd w:val="clear" w:color="auto" w:fill="FFFFFF"/>
        </w:rPr>
        <w:t>按照“党建带动群建，群建服务党建”的基本思路，以服务型党组织创建为总抓手，始终把工会、共青团、妇联工作放到中心工作的大格局中通盘考虑，统筹安排，放到我县改革发展稳定的大局中统一部署，突出组织建设、工作创新、机制保障，推动了工会、共青团和妇联组织建设，形成了推动经济社会发展的强大合力。组织干部职工开展了“3.8”</w:t>
      </w:r>
      <w:r>
        <w:rPr>
          <w:rFonts w:hint="eastAsia" w:ascii="仿宋_GB2312" w:hAnsi="仿宋_GB2312" w:eastAsia="仿宋_GB2312" w:cs="仿宋_GB2312"/>
          <w:color w:val="000000"/>
          <w:sz w:val="32"/>
          <w:szCs w:val="32"/>
          <w:shd w:val="clear" w:color="auto" w:fill="FFFFFF"/>
          <w:lang w:eastAsia="zh-CN"/>
        </w:rPr>
        <w:t>“7·1”</w:t>
      </w:r>
      <w:r>
        <w:rPr>
          <w:rFonts w:hint="eastAsia" w:ascii="仿宋_GB2312" w:hAnsi="仿宋_GB2312" w:eastAsia="仿宋_GB2312" w:cs="仿宋_GB2312"/>
          <w:color w:val="000000"/>
          <w:sz w:val="32"/>
          <w:szCs w:val="32"/>
          <w:shd w:val="clear" w:color="auto" w:fill="FFFFFF"/>
        </w:rPr>
        <w:t>等活动，积极参加县上组织的各项活动。</w:t>
      </w:r>
    </w:p>
    <w:p w14:paraId="79BE380F">
      <w:pPr>
        <w:spacing w:line="560" w:lineRule="exact"/>
        <w:ind w:left="2" w:firstLine="630" w:firstLineChars="196"/>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7.强化意识形态工作。</w:t>
      </w:r>
      <w:r>
        <w:rPr>
          <w:rFonts w:hint="eastAsia" w:ascii="仿宋_GB2312" w:hAnsi="仿宋_GB2312" w:eastAsia="仿宋_GB2312" w:cs="仿宋_GB2312"/>
          <w:color w:val="000000"/>
          <w:sz w:val="32"/>
          <w:szCs w:val="32"/>
        </w:rPr>
        <w:t>全面落实中央、省、州和县委关于意识形态工作的有关</w:t>
      </w:r>
      <w:r>
        <w:fldChar w:fldCharType="begin"/>
      </w:r>
      <w:r>
        <w:instrText xml:space="preserve"> HYPERLINK "https://www.ruiwen.com/gongwen/guiding/" \t "http://www.ruiwen.com/gongwen/fangan/_blank" </w:instrText>
      </w:r>
      <w:r>
        <w:fldChar w:fldCharType="separate"/>
      </w:r>
      <w:r>
        <w:rPr>
          <w:rStyle w:val="18"/>
          <w:rFonts w:hint="eastAsia" w:ascii="仿宋_GB2312" w:hAnsi="仿宋_GB2312" w:eastAsia="仿宋_GB2312" w:cs="仿宋_GB2312"/>
          <w:color w:val="000000"/>
          <w:sz w:val="32"/>
          <w:szCs w:val="32"/>
          <w:u w:val="none"/>
        </w:rPr>
        <w:t>规定</w:t>
      </w:r>
      <w:r>
        <w:rPr>
          <w:rStyle w:val="18"/>
          <w:rFonts w:hint="eastAsia"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和精神，牢牢掌握意识形态工作的领导</w:t>
      </w:r>
      <w:r>
        <w:rPr>
          <w:rFonts w:hint="eastAsia" w:ascii="仿宋_GB2312" w:hAnsi="仿宋_GB2312" w:eastAsia="仿宋_GB2312" w:cs="仿宋_GB2312"/>
          <w:color w:val="000000"/>
          <w:sz w:val="32"/>
          <w:szCs w:val="32"/>
          <w:lang w:eastAsia="zh-CN"/>
        </w:rPr>
        <w:t>权和</w:t>
      </w:r>
      <w:r>
        <w:rPr>
          <w:rFonts w:hint="eastAsia" w:ascii="仿宋_GB2312" w:hAnsi="仿宋_GB2312" w:eastAsia="仿宋_GB2312" w:cs="仿宋_GB2312"/>
          <w:color w:val="000000"/>
          <w:sz w:val="32"/>
          <w:szCs w:val="32"/>
        </w:rPr>
        <w:t>主动权，根据我局实际</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本方案，把意识形态工作摆在全局工作的重要位置，纳入重要议事日程，纳入党建工作责任制，纳入党的纪律监督检查范围，纳入领导班子和领导干部目标管理，与经济建设、政治建设、文化建设、社会建设、生态文明建设和党的建设工作紧密结合，一同部署、一同落实、一同检查、一同考核。</w:t>
      </w:r>
    </w:p>
    <w:p w14:paraId="11798659">
      <w:pPr>
        <w:spacing w:line="560" w:lineRule="exact"/>
        <w:ind w:left="2" w:firstLine="630" w:firstLineChars="196"/>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8.强化</w:t>
      </w:r>
      <w:r>
        <w:rPr>
          <w:rFonts w:hint="eastAsia" w:ascii="楷体_GB2312" w:hAnsi="楷体_GB2312" w:eastAsia="楷体_GB2312" w:cs="楷体_GB2312"/>
          <w:b/>
          <w:bCs/>
          <w:color w:val="000000"/>
          <w:sz w:val="32"/>
          <w:szCs w:val="32"/>
        </w:rPr>
        <w:t>行政效能工作。</w:t>
      </w:r>
      <w:r>
        <w:rPr>
          <w:rFonts w:hint="eastAsia" w:ascii="仿宋_GB2312" w:hAnsi="仿宋_GB2312" w:eastAsia="仿宋_GB2312" w:cs="仿宋_GB2312"/>
          <w:color w:val="000000"/>
          <w:sz w:val="32"/>
          <w:szCs w:val="32"/>
        </w:rPr>
        <w:t>保持政令畅通，加强信息工作，目前上报政务信息47期，</w:t>
      </w:r>
      <w:r>
        <w:rPr>
          <w:rFonts w:hint="eastAsia" w:ascii="仿宋_GB2312" w:hAnsi="仿宋_GB2312" w:eastAsia="仿宋_GB2312" w:cs="仿宋_GB2312"/>
          <w:color w:val="000000"/>
          <w:sz w:val="32"/>
          <w:szCs w:val="32"/>
          <w:lang w:eastAsia="zh-CN"/>
        </w:rPr>
        <w:t>精简</w:t>
      </w:r>
      <w:r>
        <w:rPr>
          <w:rFonts w:hint="eastAsia" w:ascii="仿宋_GB2312" w:hAnsi="仿宋_GB2312" w:eastAsia="仿宋_GB2312" w:cs="仿宋_GB2312"/>
          <w:color w:val="000000"/>
          <w:sz w:val="32"/>
          <w:szCs w:val="32"/>
        </w:rPr>
        <w:t>文件，节能减排，节约办公用品。</w:t>
      </w:r>
    </w:p>
    <w:p w14:paraId="7E23B136">
      <w:pPr>
        <w:spacing w:line="560" w:lineRule="exact"/>
        <w:ind w:left="2" w:firstLine="627" w:firstLineChars="196"/>
        <w:rPr>
          <w:rFonts w:eastAsia="黑体"/>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shd w:val="clear" w:color="auto" w:fill="FFFFFF"/>
        </w:rPr>
        <w:t>同时抓好了</w:t>
      </w:r>
      <w:r>
        <w:rPr>
          <w:rFonts w:hint="eastAsia" w:ascii="仿宋" w:hAnsi="仿宋" w:eastAsia="仿宋" w:cs="仿宋"/>
          <w:color w:val="000000"/>
          <w:sz w:val="32"/>
          <w:szCs w:val="32"/>
        </w:rPr>
        <w:t>驻村帮扶、</w:t>
      </w:r>
      <w:r>
        <w:rPr>
          <w:rFonts w:hint="eastAsia" w:ascii="仿宋_GB2312" w:hAnsi="仿宋_GB2312" w:eastAsia="仿宋_GB2312" w:cs="仿宋_GB2312"/>
          <w:color w:val="000000"/>
          <w:sz w:val="32"/>
          <w:szCs w:val="32"/>
          <w:shd w:val="clear" w:color="auto" w:fill="FFFFFF"/>
        </w:rPr>
        <w:t>档案管理、人大、全民纲要、信访、保密、</w:t>
      </w:r>
      <w:r>
        <w:rPr>
          <w:rFonts w:hint="eastAsia" w:ascii="仿宋_GB2312" w:eastAsia="仿宋_GB2312"/>
          <w:color w:val="000000"/>
          <w:sz w:val="32"/>
          <w:szCs w:val="32"/>
        </w:rPr>
        <w:t>工青妇工作、城乡环境治理、群众、</w:t>
      </w:r>
      <w:r>
        <w:rPr>
          <w:rFonts w:hint="eastAsia" w:ascii="仿宋_GB2312" w:hAnsi="仿宋_GB2312" w:eastAsia="仿宋_GB2312" w:cs="仿宋_GB2312"/>
          <w:color w:val="000000"/>
          <w:sz w:val="32"/>
          <w:szCs w:val="32"/>
        </w:rPr>
        <w:t>精神文明、</w:t>
      </w:r>
      <w:r>
        <w:rPr>
          <w:rFonts w:hint="eastAsia" w:ascii="仿宋" w:hAnsi="仿宋" w:eastAsia="仿宋" w:cs="仿宋"/>
          <w:color w:val="000000"/>
          <w:sz w:val="32"/>
          <w:szCs w:val="32"/>
          <w:shd w:val="clear" w:color="auto" w:fill="FFFFFF"/>
        </w:rPr>
        <w:t>乡村善治工作</w:t>
      </w:r>
      <w:r>
        <w:rPr>
          <w:rFonts w:hint="eastAsia" w:ascii="仿宋_GB2312" w:eastAsia="仿宋_GB2312"/>
          <w:color w:val="000000"/>
          <w:sz w:val="32"/>
          <w:szCs w:val="32"/>
        </w:rPr>
        <w:t>等工作。</w:t>
      </w:r>
    </w:p>
    <w:p w14:paraId="3A525D41">
      <w:pPr>
        <w:pStyle w:val="5"/>
        <w:rPr>
          <w:rStyle w:val="29"/>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14:paraId="04D04B2D">
      <w:pPr>
        <w:ind w:firstLine="640" w:firstLineChars="200"/>
        <w:rPr>
          <w:rFonts w:ascii="仿宋" w:hAnsi="仿宋" w:eastAsia="仿宋"/>
          <w:sz w:val="32"/>
          <w:szCs w:val="32"/>
        </w:rPr>
      </w:pPr>
      <w:r>
        <w:rPr>
          <w:rFonts w:hint="eastAsia" w:ascii="仿宋" w:hAnsi="仿宋" w:eastAsia="仿宋"/>
          <w:sz w:val="32"/>
          <w:szCs w:val="32"/>
        </w:rPr>
        <w:t>松潘县应急管理局</w:t>
      </w:r>
      <w:r>
        <w:rPr>
          <w:rFonts w:hint="eastAsia" w:ascii="仿宋_GB2312" w:hAnsi="仿宋_GB2312" w:eastAsia="仿宋_GB2312" w:cs="仿宋_GB2312"/>
          <w:bCs/>
          <w:sz w:val="32"/>
          <w:szCs w:val="32"/>
        </w:rPr>
        <w:t>属行政单位，内设2个股室，安全监管股及应急指挥中心。</w:t>
      </w:r>
      <w:r>
        <w:rPr>
          <w:rFonts w:hint="eastAsia" w:ascii="仿宋" w:hAnsi="仿宋" w:eastAsia="仿宋"/>
          <w:sz w:val="32"/>
          <w:szCs w:val="32"/>
        </w:rPr>
        <w:t>下属二级单位3个，其中行政单位0个，参照公务员法管理的事业单位</w:t>
      </w:r>
      <w:r>
        <w:rPr>
          <w:rFonts w:hint="eastAsia" w:ascii="仿宋" w:hAnsi="仿宋" w:eastAsia="仿宋"/>
          <w:bCs/>
          <w:sz w:val="32"/>
          <w:szCs w:val="32"/>
        </w:rPr>
        <w:t>2</w:t>
      </w:r>
      <w:r>
        <w:rPr>
          <w:rFonts w:hint="eastAsia" w:ascii="仿宋" w:hAnsi="仿宋" w:eastAsia="仿宋"/>
          <w:sz w:val="32"/>
          <w:szCs w:val="32"/>
        </w:rPr>
        <w:t>个，为安全生产监察执法中队和应急保障中心，其他事业单位1个，为县消防队。</w:t>
      </w:r>
    </w:p>
    <w:p w14:paraId="45E0B88A">
      <w:pPr>
        <w:pStyle w:val="7"/>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纳入2019年度部门决算编制范围的二级预算单位包括：</w:t>
      </w:r>
    </w:p>
    <w:p w14:paraId="59147301">
      <w:pPr>
        <w:pStyle w:val="7"/>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78449"/>
      <w:bookmarkStart w:id="23" w:name="_Toc15377202"/>
      <w:bookmarkStart w:id="24" w:name="_Toc15306276"/>
      <w:bookmarkStart w:id="25" w:name="_Toc15377433"/>
      <w:r>
        <w:rPr>
          <w:rFonts w:hint="eastAsia" w:ascii="仿宋" w:hAnsi="仿宋" w:eastAsia="仿宋"/>
          <w:sz w:val="32"/>
          <w:szCs w:val="32"/>
        </w:rPr>
        <w:t>安全生产监察执法中队</w:t>
      </w:r>
      <w:bookmarkEnd w:id="22"/>
      <w:bookmarkEnd w:id="23"/>
      <w:bookmarkEnd w:id="24"/>
      <w:bookmarkEnd w:id="25"/>
    </w:p>
    <w:p w14:paraId="008CC449">
      <w:pPr>
        <w:pStyle w:val="7"/>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sz w:val="32"/>
          <w:szCs w:val="32"/>
        </w:rPr>
        <w:t>2.应急保障中心</w:t>
      </w:r>
    </w:p>
    <w:p w14:paraId="3352CC9B">
      <w:pPr>
        <w:widowControl/>
        <w:ind w:firstLine="640" w:firstLineChars="200"/>
        <w:jc w:val="left"/>
        <w:rPr>
          <w:rFonts w:ascii="仿宋" w:hAnsi="仿宋" w:eastAsia="仿宋"/>
          <w:color w:val="000000"/>
          <w:kern w:val="0"/>
          <w:sz w:val="32"/>
          <w:szCs w:val="32"/>
        </w:rPr>
      </w:pPr>
      <w:r>
        <w:rPr>
          <w:rFonts w:hint="eastAsia" w:ascii="仿宋" w:hAnsi="仿宋" w:eastAsia="仿宋"/>
          <w:color w:val="000000"/>
          <w:sz w:val="32"/>
          <w:szCs w:val="32"/>
        </w:rPr>
        <w:t>3.</w:t>
      </w:r>
      <w:r>
        <w:rPr>
          <w:rFonts w:hint="eastAsia" w:ascii="仿宋" w:hAnsi="仿宋" w:eastAsia="仿宋"/>
          <w:sz w:val="32"/>
          <w:szCs w:val="32"/>
        </w:rPr>
        <w:t>县消防队</w:t>
      </w:r>
    </w:p>
    <w:p w14:paraId="0A8036F9">
      <w:pPr>
        <w:pStyle w:val="4"/>
        <w:ind w:right="440"/>
        <w:jc w:val="right"/>
        <w:rPr>
          <w:rFonts w:ascii="黑体" w:hAnsi="黑体" w:eastAsia="黑体"/>
          <w:b w:val="0"/>
          <w:color w:val="000000"/>
        </w:rPr>
      </w:pPr>
      <w:bookmarkStart w:id="26" w:name="_Toc15396602"/>
      <w:bookmarkStart w:id="27" w:name="_Toc15377204"/>
    </w:p>
    <w:p w14:paraId="73C99335">
      <w:pPr>
        <w:rPr>
          <w:rFonts w:ascii="黑体" w:hAnsi="黑体" w:eastAsia="黑体"/>
          <w:color w:val="000000"/>
        </w:rPr>
      </w:pPr>
    </w:p>
    <w:p w14:paraId="172148E9">
      <w:pPr>
        <w:pStyle w:val="34"/>
        <w:rPr>
          <w:rFonts w:ascii="黑体" w:hAnsi="黑体" w:eastAsia="黑体"/>
          <w:b w:val="0"/>
        </w:rPr>
      </w:pPr>
    </w:p>
    <w:p w14:paraId="72F6DD0C">
      <w:pPr>
        <w:rPr>
          <w:rFonts w:ascii="黑体" w:hAnsi="黑体" w:eastAsia="黑体"/>
          <w:color w:val="000000"/>
        </w:rPr>
      </w:pPr>
    </w:p>
    <w:p w14:paraId="038AFD5D">
      <w:pPr>
        <w:pStyle w:val="34"/>
        <w:rPr>
          <w:rFonts w:ascii="黑体" w:hAnsi="黑体" w:eastAsia="黑体"/>
          <w:b w:val="0"/>
        </w:rPr>
      </w:pPr>
    </w:p>
    <w:p w14:paraId="062690C3">
      <w:pPr>
        <w:rPr>
          <w:rFonts w:ascii="黑体" w:hAnsi="黑体" w:eastAsia="黑体"/>
          <w:color w:val="000000"/>
        </w:rPr>
      </w:pPr>
    </w:p>
    <w:p w14:paraId="108C3041">
      <w:pPr>
        <w:pStyle w:val="34"/>
      </w:pPr>
    </w:p>
    <w:p w14:paraId="6D23F5EB">
      <w:pPr>
        <w:pStyle w:val="4"/>
        <w:ind w:right="440"/>
        <w:jc w:val="right"/>
        <w:rPr>
          <w:rStyle w:val="28"/>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2019年度部门决算情况说明</w:t>
      </w:r>
      <w:bookmarkEnd w:id="26"/>
      <w:bookmarkEnd w:id="27"/>
    </w:p>
    <w:p w14:paraId="179E1D14"/>
    <w:p w14:paraId="27CE408A">
      <w:pPr>
        <w:pStyle w:val="27"/>
        <w:numPr>
          <w:ilvl w:val="0"/>
          <w:numId w:val="2"/>
        </w:numPr>
        <w:spacing w:line="600" w:lineRule="exact"/>
        <w:ind w:firstLineChars="0"/>
        <w:outlineLvl w:val="1"/>
        <w:rPr>
          <w:rStyle w:val="29"/>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8"/>
      <w:bookmarkEnd w:id="29"/>
    </w:p>
    <w:p w14:paraId="2E8EB16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2019年度收、支总计826.23万元。与2018年相比，收、支总计各增加531.81万元，增长64.37</w:t>
      </w:r>
      <w:r>
        <w:rPr>
          <w:rFonts w:ascii="仿宋" w:hAnsi="仿宋" w:eastAsia="仿宋"/>
          <w:color w:val="000000"/>
          <w:sz w:val="32"/>
          <w:szCs w:val="32"/>
        </w:rPr>
        <w:t>%</w:t>
      </w:r>
      <w:r>
        <w:rPr>
          <w:rFonts w:hint="eastAsia" w:ascii="仿宋" w:hAnsi="仿宋" w:eastAsia="仿宋"/>
          <w:color w:val="000000"/>
          <w:sz w:val="32"/>
          <w:szCs w:val="32"/>
        </w:rPr>
        <w:t>。主要变动原因是项目、工资及社会保险增长。</w:t>
      </w:r>
    </w:p>
    <w:p w14:paraId="3339340F">
      <w:pPr>
        <w:pStyle w:val="34"/>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8EE34A">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68B25E6E">
      <w:pPr>
        <w:spacing w:line="600" w:lineRule="exact"/>
        <w:ind w:firstLine="640" w:firstLineChars="200"/>
        <w:jc w:val="left"/>
        <w:rPr>
          <w:rFonts w:ascii="仿宋_GB2312" w:eastAsia="仿宋_GB2312"/>
          <w:color w:val="000000"/>
          <w:sz w:val="32"/>
          <w:szCs w:val="32"/>
        </w:rPr>
      </w:pPr>
    </w:p>
    <w:p w14:paraId="1DDD85EB">
      <w:pPr>
        <w:pStyle w:val="27"/>
        <w:numPr>
          <w:ilvl w:val="0"/>
          <w:numId w:val="2"/>
        </w:numPr>
        <w:spacing w:line="600" w:lineRule="exact"/>
        <w:ind w:firstLineChars="0"/>
        <w:outlineLvl w:val="1"/>
        <w:rPr>
          <w:rStyle w:val="29"/>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30"/>
      <w:bookmarkEnd w:id="31"/>
    </w:p>
    <w:p w14:paraId="566747AF">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9年本年收入合计803.14万元，其中：一般公共预算财政拨款收入803.14万元，占100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5335F112">
      <w:pPr>
        <w:spacing w:line="600" w:lineRule="exact"/>
        <w:ind w:firstLine="420" w:firstLineChars="200"/>
        <w:outlineLvl w:val="1"/>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234950</wp:posOffset>
            </wp:positionH>
            <wp:positionV relativeFrom="paragraph">
              <wp:posOffset>50165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（图2：收入决算结构图）（饼状图）</w:t>
      </w:r>
    </w:p>
    <w:p w14:paraId="576E19FA">
      <w:pPr>
        <w:spacing w:line="600" w:lineRule="exact"/>
        <w:ind w:firstLine="640" w:firstLineChars="200"/>
        <w:rPr>
          <w:rFonts w:ascii="仿宋_GB2312" w:eastAsia="仿宋_GB2312"/>
          <w:color w:val="FF0000"/>
          <w:sz w:val="32"/>
          <w:szCs w:val="32"/>
        </w:rPr>
      </w:pPr>
    </w:p>
    <w:p w14:paraId="35E76EE0">
      <w:pPr>
        <w:pStyle w:val="27"/>
        <w:numPr>
          <w:ilvl w:val="0"/>
          <w:numId w:val="2"/>
        </w:numPr>
        <w:spacing w:line="600" w:lineRule="exact"/>
        <w:ind w:firstLineChars="0"/>
        <w:outlineLvl w:val="1"/>
        <w:rPr>
          <w:rStyle w:val="29"/>
          <w:rFonts w:ascii="黑体" w:hAnsi="黑体" w:eastAsia="黑体"/>
          <w:b w:val="0"/>
        </w:rPr>
      </w:pPr>
      <w:bookmarkStart w:id="32" w:name="_Toc15396605"/>
      <w:bookmarkStart w:id="33" w:name="_Toc15377207"/>
      <w:r>
        <w:rPr>
          <w:rFonts w:hint="eastAsia" w:ascii="黑体" w:hAnsi="黑体" w:eastAsia="黑体"/>
          <w:color w:val="000000"/>
          <w:sz w:val="32"/>
          <w:szCs w:val="32"/>
        </w:rPr>
        <w:t>支</w:t>
      </w:r>
      <w:r>
        <w:rPr>
          <w:rStyle w:val="29"/>
          <w:rFonts w:hint="eastAsia" w:ascii="黑体" w:hAnsi="黑体" w:eastAsia="黑体"/>
          <w:b w:val="0"/>
        </w:rPr>
        <w:t>出决算情况说明</w:t>
      </w:r>
      <w:bookmarkEnd w:id="32"/>
      <w:bookmarkEnd w:id="33"/>
    </w:p>
    <w:p w14:paraId="0A95662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9年本年支出合计529.09万元，其中：基本支出371.84万元，占70.28</w:t>
      </w:r>
      <w:r>
        <w:rPr>
          <w:rFonts w:ascii="仿宋" w:hAnsi="仿宋" w:eastAsia="仿宋"/>
          <w:color w:val="000000"/>
          <w:sz w:val="32"/>
          <w:szCs w:val="32"/>
        </w:rPr>
        <w:t>%</w:t>
      </w:r>
      <w:r>
        <w:rPr>
          <w:rFonts w:hint="eastAsia" w:ascii="仿宋" w:hAnsi="仿宋" w:eastAsia="仿宋"/>
          <w:color w:val="000000"/>
          <w:sz w:val="32"/>
          <w:szCs w:val="32"/>
        </w:rPr>
        <w:t>；项目支出157.25万元，占29.72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207D041E">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835660</wp:posOffset>
            </wp:positionH>
            <wp:positionV relativeFrom="paragraph">
              <wp:posOffset>356870</wp:posOffset>
            </wp:positionV>
            <wp:extent cx="3707765" cy="2084070"/>
            <wp:effectExtent l="4445" t="4445" r="21590" b="698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713C8D7">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4D0CC70E">
      <w:pPr>
        <w:spacing w:line="600" w:lineRule="exact"/>
        <w:ind w:firstLine="640" w:firstLineChars="200"/>
        <w:rPr>
          <w:rFonts w:ascii="仿宋_GB2312" w:eastAsia="仿宋_GB2312"/>
          <w:color w:val="FF0000"/>
          <w:sz w:val="32"/>
          <w:szCs w:val="32"/>
        </w:rPr>
      </w:pPr>
    </w:p>
    <w:p w14:paraId="7E3D541A">
      <w:pPr>
        <w:spacing w:line="600" w:lineRule="exact"/>
        <w:ind w:firstLine="640" w:firstLineChars="200"/>
        <w:outlineLvl w:val="1"/>
        <w:rPr>
          <w:rStyle w:val="29"/>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4"/>
      <w:bookmarkEnd w:id="35"/>
    </w:p>
    <w:p w14:paraId="11D0587E">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9年财政拨款收、支总计826.23万元。与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8年相比，财政拨款收、支总计增加513.81万元，增长64.37</w:t>
      </w:r>
      <w:r>
        <w:rPr>
          <w:rFonts w:ascii="仿宋" w:hAnsi="仿宋" w:eastAsia="仿宋"/>
          <w:color w:val="000000"/>
          <w:sz w:val="32"/>
          <w:szCs w:val="32"/>
        </w:rPr>
        <w:t>%</w:t>
      </w:r>
      <w:r>
        <w:rPr>
          <w:rFonts w:hint="eastAsia" w:ascii="仿宋" w:hAnsi="仿宋" w:eastAsia="仿宋"/>
          <w:color w:val="000000"/>
          <w:sz w:val="32"/>
          <w:szCs w:val="32"/>
        </w:rPr>
        <w:t>。主要变动原因是项目、工资及社会保险增长。</w:t>
      </w:r>
    </w:p>
    <w:p w14:paraId="00DF94BF">
      <w:pPr>
        <w:spacing w:line="600" w:lineRule="exact"/>
        <w:ind w:firstLine="64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627380</wp:posOffset>
            </wp:positionH>
            <wp:positionV relativeFrom="paragraph">
              <wp:posOffset>88900</wp:posOffset>
            </wp:positionV>
            <wp:extent cx="4264660" cy="2508885"/>
            <wp:effectExtent l="4445" t="5080" r="17145" b="196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1C5A14FE">
      <w:pPr>
        <w:spacing w:line="600" w:lineRule="exact"/>
        <w:ind w:firstLine="640"/>
        <w:rPr>
          <w:rFonts w:ascii="仿宋" w:hAnsi="仿宋" w:eastAsia="仿宋"/>
          <w:b/>
          <w:color w:val="00B050"/>
          <w:sz w:val="32"/>
          <w:szCs w:val="32"/>
        </w:rPr>
      </w:pPr>
    </w:p>
    <w:p w14:paraId="46E41131">
      <w:pPr>
        <w:spacing w:line="600" w:lineRule="exact"/>
        <w:ind w:firstLine="640" w:firstLineChars="200"/>
        <w:outlineLvl w:val="1"/>
        <w:rPr>
          <w:rStyle w:val="29"/>
          <w:rFonts w:ascii="黑体" w:hAnsi="黑体" w:eastAsia="黑体"/>
          <w:b w:val="0"/>
        </w:rPr>
      </w:pPr>
      <w:bookmarkStart w:id="36" w:name="_Toc15377209"/>
      <w:bookmarkStart w:id="3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6"/>
      <w:bookmarkEnd w:id="37"/>
    </w:p>
    <w:p w14:paraId="36745DA1">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14:paraId="2938BCF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9年一般公共预算财政拨款支出529.09万元，占本年支出合计的100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8年相比，一般公共预算财政拨款增加234.67万元，增长44.35</w:t>
      </w:r>
      <w:r>
        <w:rPr>
          <w:rFonts w:ascii="仿宋" w:hAnsi="仿宋" w:eastAsia="仿宋"/>
          <w:color w:val="000000"/>
          <w:sz w:val="32"/>
          <w:szCs w:val="32"/>
        </w:rPr>
        <w:t>%</w:t>
      </w:r>
      <w:r>
        <w:rPr>
          <w:rFonts w:hint="eastAsia" w:ascii="仿宋" w:hAnsi="仿宋" w:eastAsia="仿宋"/>
          <w:color w:val="000000"/>
          <w:sz w:val="32"/>
          <w:szCs w:val="32"/>
        </w:rPr>
        <w:t>。主要变动原因是项目、工资及社会保险增长。</w:t>
      </w:r>
    </w:p>
    <w:p w14:paraId="00B5EA2F">
      <w:pPr>
        <w:pStyle w:val="34"/>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E5C51E"/>
    <w:p w14:paraId="52C80B02">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5F5B1B60">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45360EF0">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14:paraId="45E7D797">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政拨款支出529.09万元，主要用于以下方面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支出117.82万元，占22.27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14:textFill>
            <w14:solidFill>
              <w14:schemeClr w14:val="tx1"/>
            </w14:solidFill>
          </w14:textFill>
        </w:rPr>
        <w:t>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文化旅游体育与传媒（类）支出0万元，占0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支出24.83万元，占4.69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13.62万元，占2.57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；住房保障支出19.37万元，占3.66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，灾害防治及应急管理支出353.45万元，占66.80%。</w:t>
      </w:r>
    </w:p>
    <w:p w14:paraId="6A46A3DB">
      <w:pPr>
        <w:pStyle w:val="34"/>
        <w:jc w:val="cente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08E6E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778EACF7">
      <w:pPr>
        <w:spacing w:line="600" w:lineRule="exact"/>
        <w:ind w:firstLine="640" w:firstLineChars="200"/>
        <w:rPr>
          <w:rFonts w:ascii="仿宋" w:hAnsi="仿宋" w:eastAsia="仿宋"/>
          <w:color w:val="000000"/>
          <w:sz w:val="32"/>
          <w:szCs w:val="32"/>
        </w:rPr>
      </w:pPr>
    </w:p>
    <w:p w14:paraId="378E6E67">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14:paraId="6E2E23D5">
      <w:pPr>
        <w:spacing w:line="600" w:lineRule="exact"/>
        <w:ind w:firstLine="643" w:firstLineChars="200"/>
        <w:outlineLvl w:val="2"/>
        <w:rPr>
          <w:rFonts w:ascii="仿宋" w:hAnsi="仿宋" w:eastAsia="仿宋"/>
          <w:color w:val="FF0000"/>
          <w:sz w:val="32"/>
          <w:szCs w:val="32"/>
        </w:rPr>
      </w:pPr>
      <w:bookmarkStart w:id="41" w:name="_Toc15377213"/>
      <w:bookmarkStart w:id="42" w:name="_Toc15377444"/>
      <w:bookmarkStart w:id="43" w:name="_Toc15378460"/>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般公共预算支出决算数为529.09</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41"/>
      <w:bookmarkEnd w:id="42"/>
      <w:bookmarkEnd w:id="43"/>
    </w:p>
    <w:p w14:paraId="7B2187FA">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一般公共服务201（类）03（款）01（项）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支出决算为117.83万元，完成预算100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06A8DB6">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教育（类）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支出决算为0万元，完成预算0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22CB5DC1">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科学技术（类）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支出决算为0万元，完成预算0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6ED87865">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文化旅游体育与传媒（类）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支出决算为0万元，完成预算0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18FBF3E">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社会保障和就业（类）208（款）05（项）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支出决算为24.82万元，完成预算100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2A86D71">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卫生健康210</w:t>
      </w:r>
      <w:r>
        <w:rPr>
          <w:rStyle w:val="16"/>
          <w:rFonts w:hint="eastAsia" w:ascii="仿宋" w:hAnsi="仿宋" w:eastAsia="仿宋"/>
          <w:bCs/>
          <w:color w:val="000000"/>
          <w:sz w:val="32"/>
          <w:szCs w:val="32"/>
        </w:rPr>
        <w:t>（类）11（款）</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支出决算为13.62万元，完成预算100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27B3935">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7.</w:t>
      </w:r>
      <w:r>
        <w:rPr>
          <w:rFonts w:hint="eastAsia" w:ascii="仿宋" w:hAnsi="仿宋" w:eastAsia="仿宋"/>
          <w:b/>
          <w:bCs/>
          <w:color w:val="000000" w:themeColor="text1"/>
          <w:sz w:val="32"/>
          <w:szCs w:val="32"/>
          <w14:textFill>
            <w14:solidFill>
              <w14:schemeClr w14:val="tx1"/>
            </w14:solidFill>
          </w14:textFill>
        </w:rPr>
        <w:t>住房保障221</w:t>
      </w:r>
      <w:r>
        <w:rPr>
          <w:rStyle w:val="16"/>
          <w:rFonts w:hint="eastAsia" w:ascii="仿宋" w:hAnsi="仿宋" w:eastAsia="仿宋"/>
          <w:bCs/>
          <w:color w:val="000000"/>
          <w:sz w:val="32"/>
          <w:szCs w:val="32"/>
        </w:rPr>
        <w:t>（类）02（款）：</w:t>
      </w:r>
      <w:r>
        <w:rPr>
          <w:rStyle w:val="16"/>
          <w:rFonts w:hint="eastAsia" w:ascii="仿宋" w:hAnsi="仿宋" w:eastAsia="仿宋"/>
          <w:b w:val="0"/>
          <w:bCs/>
          <w:color w:val="000000"/>
          <w:sz w:val="32"/>
          <w:szCs w:val="32"/>
        </w:rPr>
        <w:t>支出决算为19.37万元，完成预算100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C4E6B3A">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8.</w:t>
      </w:r>
      <w:r>
        <w:rPr>
          <w:rFonts w:hint="eastAsia" w:ascii="仿宋" w:hAnsi="仿宋" w:eastAsia="仿宋"/>
          <w:b/>
          <w:bCs/>
          <w:color w:val="000000" w:themeColor="text1"/>
          <w:sz w:val="32"/>
          <w:szCs w:val="32"/>
          <w14:textFill>
            <w14:solidFill>
              <w14:schemeClr w14:val="tx1"/>
            </w14:solidFill>
          </w14:textFill>
        </w:rPr>
        <w:t>灾害防治及应急管理224</w:t>
      </w:r>
      <w:r>
        <w:rPr>
          <w:rStyle w:val="16"/>
          <w:rFonts w:hint="eastAsia" w:ascii="仿宋" w:hAnsi="仿宋" w:eastAsia="仿宋"/>
          <w:bCs/>
          <w:color w:val="000000"/>
          <w:sz w:val="32"/>
          <w:szCs w:val="32"/>
        </w:rPr>
        <w:t>（类）01（款）：</w:t>
      </w:r>
      <w:r>
        <w:rPr>
          <w:rStyle w:val="16"/>
          <w:rFonts w:hint="eastAsia" w:ascii="仿宋" w:hAnsi="仿宋" w:eastAsia="仿宋"/>
          <w:b w:val="0"/>
          <w:bCs/>
          <w:color w:val="000000"/>
          <w:sz w:val="32"/>
          <w:szCs w:val="32"/>
        </w:rPr>
        <w:t>支出决算为353.45万元，完成预算100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7744769">
      <w:pPr>
        <w:tabs>
          <w:tab w:val="right" w:pos="8306"/>
        </w:tabs>
        <w:spacing w:line="600" w:lineRule="exact"/>
        <w:ind w:firstLine="640"/>
        <w:outlineLvl w:val="1"/>
        <w:rPr>
          <w:rStyle w:val="29"/>
        </w:rPr>
      </w:pPr>
      <w:bookmarkStart w:id="44" w:name="_Toc15377214"/>
      <w:bookmarkStart w:id="4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4"/>
      <w:bookmarkEnd w:id="45"/>
      <w:r>
        <w:rPr>
          <w:rStyle w:val="29"/>
          <w:rFonts w:ascii="黑体" w:hAnsi="黑体" w:eastAsia="黑体"/>
          <w:b w:val="0"/>
        </w:rPr>
        <w:tab/>
      </w:r>
    </w:p>
    <w:p w14:paraId="12E42CE0">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9年一般公共预算财政拨款基本支出371.85万元，其中：</w:t>
      </w:r>
    </w:p>
    <w:p w14:paraId="569A3F2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267.26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104.59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760FC6">
      <w:pPr>
        <w:spacing w:line="600" w:lineRule="exact"/>
        <w:ind w:firstLine="640"/>
        <w:outlineLvl w:val="1"/>
        <w:rPr>
          <w:rStyle w:val="29"/>
          <w:rFonts w:ascii="黑体" w:hAnsi="黑体" w:eastAsia="黑体"/>
          <w:b w:val="0"/>
        </w:rPr>
      </w:pPr>
      <w:bookmarkStart w:id="46" w:name="_Toc15377215"/>
      <w:bookmarkStart w:id="47"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6"/>
      <w:bookmarkEnd w:id="47"/>
    </w:p>
    <w:p w14:paraId="2A481B76">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14:paraId="2B525383">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9年“三公”经费财政拨款支出决算为8.96万元，完成预算100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105A93AC">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14:paraId="7DDFE11B">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；公务用车购置及运行维护费支出决算8.5万元，占94.87</w:t>
      </w:r>
      <w:r>
        <w:rPr>
          <w:rFonts w:ascii="仿宋" w:hAnsi="仿宋" w:eastAsia="仿宋"/>
          <w:color w:val="000000"/>
          <w:sz w:val="32"/>
          <w:szCs w:val="32"/>
        </w:rPr>
        <w:t>%</w:t>
      </w:r>
      <w:r>
        <w:rPr>
          <w:rFonts w:hint="eastAsia" w:ascii="仿宋" w:hAnsi="仿宋" w:eastAsia="仿宋"/>
          <w:color w:val="000000"/>
          <w:sz w:val="32"/>
          <w:szCs w:val="32"/>
        </w:rPr>
        <w:t>；公务接待费支出决算0.46万元，占5.13</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0CBCEC9">
      <w:pPr>
        <w:pStyle w:val="34"/>
        <w:jc w:val="cente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C89FC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2CA770D0">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2E9FA06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8.5万元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8年减少0.44万元，下降5.18</w:t>
      </w:r>
      <w:r>
        <w:rPr>
          <w:rFonts w:ascii="仿宋_GB2312" w:eastAsia="仿宋_GB2312"/>
          <w:color w:val="000000"/>
          <w:sz w:val="32"/>
          <w:szCs w:val="32"/>
        </w:rPr>
        <w:t>%</w:t>
      </w:r>
      <w:r>
        <w:rPr>
          <w:rFonts w:hint="eastAsia" w:ascii="仿宋_GB2312" w:eastAsia="仿宋_GB2312"/>
          <w:color w:val="000000"/>
          <w:sz w:val="32"/>
          <w:szCs w:val="32"/>
        </w:rPr>
        <w:t>。主要原因是…</w:t>
      </w:r>
    </w:p>
    <w:p w14:paraId="3CDA264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月底，单位共有公务用车2辆，其中：主要领导干部用车0辆、机要通信用车0辆、应急保障用车1辆、 执法执勤用车2辆。</w:t>
      </w:r>
    </w:p>
    <w:p w14:paraId="17FC345D">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8.5万元。主要用于执法检查、精准扶贫及出差等所需的公务用车燃料费、维修费、过路过桥费、保险费等支出。</w:t>
      </w:r>
    </w:p>
    <w:p w14:paraId="417185D6">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0.46万元，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8年减少0.02万元，下降4.38</w:t>
      </w:r>
      <w:r>
        <w:rPr>
          <w:rFonts w:ascii="仿宋_GB2312" w:eastAsia="仿宋_GB2312"/>
          <w:color w:val="000000"/>
          <w:sz w:val="32"/>
          <w:szCs w:val="32"/>
        </w:rPr>
        <w:t>%</w:t>
      </w:r>
      <w:r>
        <w:rPr>
          <w:rFonts w:hint="eastAsia" w:ascii="仿宋_GB2312" w:eastAsia="仿宋_GB2312"/>
          <w:color w:val="000000"/>
          <w:sz w:val="32"/>
          <w:szCs w:val="32"/>
        </w:rPr>
        <w:t>。主要原因是减少支出。</w:t>
      </w:r>
    </w:p>
    <w:p w14:paraId="3B284978">
      <w:pPr>
        <w:spacing w:line="600" w:lineRule="exact"/>
        <w:ind w:firstLine="640"/>
        <w:rPr>
          <w:rFonts w:ascii="黑体" w:eastAsia="黑体"/>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0.46</w:t>
      </w:r>
      <w:r>
        <w:rPr>
          <w:rFonts w:hint="eastAsia" w:ascii="仿宋_GB2312" w:eastAsia="仿宋_GB2312"/>
          <w:color w:val="000000"/>
          <w:sz w:val="32"/>
          <w:szCs w:val="32"/>
        </w:rPr>
        <w:t>万元，主要用于执行公务、开展业务活动开支的交通费、住宿费、用餐费等。</w:t>
      </w:r>
    </w:p>
    <w:p w14:paraId="13975B8F">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14:paraId="30A0440F">
      <w:pPr>
        <w:spacing w:line="600" w:lineRule="exact"/>
        <w:ind w:firstLine="640"/>
        <w:outlineLvl w:val="1"/>
        <w:rPr>
          <w:rFonts w:ascii="黑体" w:eastAsia="黑体"/>
          <w:color w:val="000000"/>
          <w:sz w:val="32"/>
          <w:szCs w:val="32"/>
        </w:rPr>
      </w:pPr>
      <w:bookmarkStart w:id="50" w:name="_Toc15396610"/>
      <w:bookmarkStart w:id="51" w:name="_Toc15377218"/>
    </w:p>
    <w:p w14:paraId="0F5FB564">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50"/>
      <w:bookmarkEnd w:id="51"/>
    </w:p>
    <w:p w14:paraId="65BE6AC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55146ADA">
      <w:pPr>
        <w:spacing w:line="600" w:lineRule="exact"/>
        <w:ind w:firstLine="640"/>
        <w:rPr>
          <w:rFonts w:ascii="仿宋_GB2312" w:eastAsia="仿宋_GB2312"/>
          <w:color w:val="000000"/>
          <w:sz w:val="32"/>
          <w:szCs w:val="32"/>
        </w:rPr>
      </w:pPr>
    </w:p>
    <w:p w14:paraId="0B541D5E">
      <w:pPr>
        <w:numPr>
          <w:ilvl w:val="0"/>
          <w:numId w:val="3"/>
        </w:numPr>
        <w:spacing w:line="600" w:lineRule="exact"/>
        <w:ind w:firstLine="640"/>
        <w:outlineLvl w:val="1"/>
        <w:rPr>
          <w:rStyle w:val="29"/>
          <w:rFonts w:ascii="黑体" w:hAnsi="黑体" w:eastAsia="黑体"/>
          <w:b w:val="0"/>
        </w:rPr>
      </w:pPr>
      <w:bookmarkStart w:id="52" w:name="_Toc15377219"/>
      <w:bookmarkStart w:id="53" w:name="_Toc15396611"/>
      <w:r>
        <w:rPr>
          <w:rStyle w:val="29"/>
          <w:rFonts w:hint="eastAsia" w:ascii="黑体" w:hAnsi="黑体" w:eastAsia="黑体"/>
          <w:b w:val="0"/>
        </w:rPr>
        <w:t>国有资本经营预算支出决算情况说明</w:t>
      </w:r>
      <w:bookmarkEnd w:id="52"/>
      <w:bookmarkEnd w:id="53"/>
    </w:p>
    <w:p w14:paraId="34F74F6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0EADFB5C">
      <w:pPr>
        <w:spacing w:line="580" w:lineRule="exact"/>
        <w:jc w:val="center"/>
        <w:rPr>
          <w:rFonts w:ascii="方正小标宋简体" w:hAnsi="方正小标宋简体" w:eastAsia="方正小标宋简体" w:cs="方正小标宋简体"/>
          <w:sz w:val="44"/>
          <w:szCs w:val="44"/>
        </w:rPr>
      </w:pPr>
    </w:p>
    <w:p w14:paraId="4390C333">
      <w:pPr>
        <w:spacing w:line="600" w:lineRule="exact"/>
        <w:ind w:firstLine="800" w:firstLineChars="250"/>
        <w:outlineLvl w:val="1"/>
        <w:rPr>
          <w:rStyle w:val="29"/>
          <w:rFonts w:ascii="黑体" w:hAnsi="黑体" w:eastAsia="黑体"/>
        </w:rPr>
      </w:pPr>
      <w:bookmarkStart w:id="54" w:name="_Toc15377221"/>
      <w:bookmarkStart w:id="55" w:name="_Toc15396612"/>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4"/>
      <w:bookmarkEnd w:id="55"/>
    </w:p>
    <w:p w14:paraId="239D6002">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14:paraId="6778F674">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9年，松潘县应急管理局机关运行经费支出104.59万元。</w:t>
      </w:r>
    </w:p>
    <w:p w14:paraId="2693B62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14:paraId="0BBFD33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9年，松潘县应急管理局政府采购支出总额0元。</w:t>
      </w:r>
    </w:p>
    <w:p w14:paraId="591748D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14:paraId="6D5221BD">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日，松潘县应急管理局共有车辆1辆，其中：主要领导干部用车0辆、机要通信用车0辆、应急保障用车0辆、其他用车1辆，</w:t>
      </w:r>
      <w:r>
        <w:rPr>
          <w:rFonts w:hint="eastAsia" w:ascii="仿宋_GB2312" w:eastAsia="仿宋_GB2312"/>
          <w:color w:val="000000" w:themeColor="text1"/>
          <w:sz w:val="32"/>
          <w:szCs w:val="32"/>
          <w14:textFill>
            <w14:solidFill>
              <w14:schemeClr w14:val="tx1"/>
            </w14:solidFill>
          </w14:textFill>
        </w:rPr>
        <w:t>其他用车</w:t>
      </w:r>
      <w:r>
        <w:rPr>
          <w:rFonts w:hint="eastAsia" w:ascii="仿宋_GB2312" w:eastAsia="仿宋_GB2312"/>
          <w:color w:val="000000" w:themeColor="text1"/>
          <w:sz w:val="32"/>
          <w:szCs w:val="32"/>
          <w:lang w:eastAsia="zh-CN"/>
          <w14:textFill>
            <w14:solidFill>
              <w14:schemeClr w14:val="tx1"/>
            </w14:solidFill>
          </w14:textFill>
        </w:rPr>
        <w:t>主要</w:t>
      </w:r>
      <w:r>
        <w:rPr>
          <w:rFonts w:hint="eastAsia" w:ascii="仿宋_GB2312" w:eastAsia="仿宋_GB2312"/>
          <w:color w:val="000000" w:themeColor="text1"/>
          <w:sz w:val="32"/>
          <w:szCs w:val="32"/>
          <w14:textFill>
            <w14:solidFill>
              <w14:schemeClr w14:val="tx1"/>
            </w14:solidFill>
          </w14:textFill>
        </w:rPr>
        <w:t>用于安全生产执法。单价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14:paraId="02E5545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32E21B4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根据预算绩效管理要求，本部门（单位）在年初预算编制阶段，组织对2019年自然灾害救助资金（冬春救助资金）开展了预算事前绩效评估，编制了绩效目标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预算执行过程中，开展绩效监控，年终执行完毕后，开展了绩效目标完成情况自评。</w:t>
      </w:r>
    </w:p>
    <w:p w14:paraId="273D1BB5">
      <w:pPr>
        <w:spacing w:line="580"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项目资金申报</w:t>
      </w:r>
      <w:r>
        <w:rPr>
          <w:rFonts w:hint="eastAsia" w:ascii="仿宋_GB2312" w:hAnsi="仿宋_GB2312" w:eastAsia="仿宋_GB2312" w:cs="仿宋_GB2312"/>
          <w:sz w:val="32"/>
          <w:szCs w:val="32"/>
        </w:rPr>
        <w:t>26万元，松潘县财政局发文（松财函</w:t>
      </w:r>
      <w:r>
        <w:rPr>
          <w:rFonts w:hint="eastAsia" w:ascii="仿宋_GB2312" w:hAnsi="仿宋_GB2312" w:eastAsia="仿宋_GB2312" w:cs="仿宋_GB2312"/>
          <w:sz w:val="32"/>
          <w:szCs w:val="32"/>
          <w:lang w:eastAsia="zh-CN"/>
        </w:rPr>
        <w:t>〔2020〕47号</w:t>
      </w:r>
      <w:r>
        <w:rPr>
          <w:rFonts w:hint="eastAsia" w:ascii="仿宋_GB2312" w:hAnsi="仿宋_GB2312" w:eastAsia="仿宋_GB2312" w:cs="仿宋_GB2312"/>
          <w:sz w:val="32"/>
          <w:szCs w:val="32"/>
        </w:rPr>
        <w:t>）下达资金。</w:t>
      </w:r>
      <w:r>
        <w:rPr>
          <w:rFonts w:hint="eastAsia" w:ascii="仿宋_GB2312" w:hAnsi="仿宋_GB2312" w:eastAsia="仿宋_GB2312" w:cs="仿宋_GB2312"/>
          <w:sz w:val="32"/>
          <w:szCs w:val="32"/>
          <w:lang w:val="zh-CN"/>
        </w:rPr>
        <w:t>申报和批复符合资金管理办法等相关规定。项目主要内容：</w:t>
      </w:r>
      <w:r>
        <w:rPr>
          <w:rFonts w:hint="eastAsia" w:ascii="仿宋_GB2312" w:hAnsi="仿宋_GB2312" w:eastAsia="仿宋_GB2312" w:cs="仿宋_GB2312"/>
          <w:sz w:val="32"/>
          <w:szCs w:val="32"/>
        </w:rPr>
        <w:t>2019年受灾困难群众冬春救助资金26万元。</w:t>
      </w:r>
      <w:r>
        <w:rPr>
          <w:rFonts w:hint="eastAsia" w:ascii="仿宋_GB2312" w:hAnsi="仿宋_GB2312" w:eastAsia="仿宋_GB2312" w:cs="仿宋_GB2312"/>
          <w:sz w:val="32"/>
          <w:szCs w:val="32"/>
          <w:lang w:val="zh-CN"/>
        </w:rPr>
        <w:t>项目应实现的具体绩效目标</w:t>
      </w:r>
      <w:r>
        <w:rPr>
          <w:rFonts w:hint="eastAsia" w:ascii="仿宋_GB2312" w:hAnsi="仿宋_GB2312" w:eastAsia="仿宋_GB2312" w:cs="仿宋_GB2312"/>
          <w:sz w:val="32"/>
          <w:szCs w:val="32"/>
        </w:rPr>
        <w:t>：帮助</w:t>
      </w:r>
      <w:r>
        <w:rPr>
          <w:rFonts w:hint="eastAsia" w:ascii="仿宋_GB2312" w:hAnsi="仿宋_GB2312" w:eastAsia="仿宋_GB2312" w:cs="仿宋_GB2312"/>
          <w:sz w:val="32"/>
          <w:szCs w:val="32"/>
          <w:lang w:eastAsia="zh-CN"/>
        </w:rPr>
        <w:t>困难群众</w:t>
      </w:r>
      <w:r>
        <w:rPr>
          <w:rFonts w:hint="eastAsia" w:ascii="仿宋_GB2312" w:hAnsi="仿宋_GB2312" w:eastAsia="仿宋_GB2312" w:cs="仿宋_GB2312"/>
          <w:sz w:val="32"/>
          <w:szCs w:val="32"/>
        </w:rPr>
        <w:t>解决突发事件保障基本生活，发放 2019年全额资助全县临时救助资金26元。</w:t>
      </w:r>
      <w:r>
        <w:rPr>
          <w:rFonts w:hint="eastAsia" w:ascii="仿宋_GB2312" w:hAnsi="仿宋_GB2312" w:eastAsia="仿宋_GB2312" w:cs="仿宋_GB2312"/>
          <w:sz w:val="32"/>
          <w:szCs w:val="32"/>
          <w:lang w:val="zh-CN"/>
        </w:rPr>
        <w:t>按照救助资金发放程序，于</w:t>
      </w:r>
      <w:r>
        <w:rPr>
          <w:rFonts w:hint="eastAsia" w:ascii="仿宋_GB2312" w:hAnsi="仿宋_GB2312" w:eastAsia="仿宋_GB2312" w:cs="仿宋_GB2312"/>
          <w:sz w:val="32"/>
          <w:szCs w:val="32"/>
        </w:rPr>
        <w:t>2020年1月完成资金拨付到各乡镇</w:t>
      </w:r>
      <w:r>
        <w:rPr>
          <w:rFonts w:hint="eastAsia" w:ascii="仿宋_GB2312" w:hAnsi="仿宋_GB2312" w:eastAsia="仿宋_GB2312" w:cs="仿宋_GB2312"/>
          <w:sz w:val="32"/>
          <w:szCs w:val="32"/>
          <w:lang w:val="zh-CN"/>
        </w:rPr>
        <w:t>。各乡镇及时足额通过信用社加密文件发放给困难群众。项目资金全部用于全县困难对象进行的补助，共计</w:t>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lang w:val="zh-CN"/>
        </w:rPr>
        <w:t>万元。支付进度完成</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14:paraId="6E5CBFF9">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按照救助资金发放程序，于</w:t>
      </w:r>
      <w:r>
        <w:rPr>
          <w:rFonts w:hint="eastAsia" w:ascii="仿宋_GB2312" w:hAnsi="仿宋_GB2312" w:eastAsia="仿宋_GB2312" w:cs="仿宋_GB2312"/>
          <w:sz w:val="32"/>
          <w:szCs w:val="32"/>
        </w:rPr>
        <w:t>2020年1月完成资金拨付到各乡镇</w:t>
      </w:r>
      <w:r>
        <w:rPr>
          <w:rFonts w:hint="eastAsia" w:ascii="仿宋_GB2312" w:hAnsi="仿宋_GB2312" w:eastAsia="仿宋_GB2312" w:cs="仿宋_GB2312"/>
          <w:sz w:val="32"/>
          <w:szCs w:val="32"/>
          <w:lang w:val="zh-CN"/>
        </w:rPr>
        <w:t>。各乡镇及时足额通过信用社加密文件发放给困难群众，共计</w:t>
      </w:r>
      <w:r>
        <w:rPr>
          <w:rFonts w:hint="eastAsia" w:ascii="仿宋_GB2312" w:hAnsi="仿宋_GB2312" w:eastAsia="仿宋_GB2312" w:cs="仿宋_GB2312"/>
          <w:sz w:val="32"/>
          <w:szCs w:val="32"/>
        </w:rPr>
        <w:t>26万元</w:t>
      </w:r>
      <w:r>
        <w:rPr>
          <w:rFonts w:hint="eastAsia" w:ascii="仿宋_GB2312" w:hAnsi="仿宋_GB2312" w:eastAsia="仿宋_GB2312" w:cs="仿宋_GB2312"/>
          <w:sz w:val="32"/>
          <w:szCs w:val="32"/>
          <w:lang w:val="zh-CN"/>
        </w:rPr>
        <w:t>。</w:t>
      </w:r>
    </w:p>
    <w:p w14:paraId="773DAFC3">
      <w:pPr>
        <w:spacing w:line="580" w:lineRule="exact"/>
        <w:ind w:firstLine="640" w:firstLineChars="200"/>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4B6BF3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48CB2D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6C76B4A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1C51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3F5BB">
            <w:pPr>
              <w:widowControl/>
              <w:jc w:val="center"/>
              <w:textAlignment w:val="center"/>
              <w:rPr>
                <w:rFonts w:ascii="宋体" w:hAnsi="宋体" w:cs="宋体"/>
                <w:color w:val="000000"/>
                <w:sz w:val="24"/>
              </w:rPr>
            </w:pPr>
            <w:r>
              <w:rPr>
                <w:rFonts w:hint="eastAsia" w:hAnsi="宋体"/>
              </w:rPr>
              <w:t>2019年自然灾害救助资金（冬春救助资金）</w:t>
            </w:r>
          </w:p>
        </w:tc>
      </w:tr>
      <w:tr w14:paraId="48BAA7E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CC9C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594D0">
            <w:pPr>
              <w:widowControl/>
              <w:jc w:val="center"/>
              <w:textAlignment w:val="center"/>
              <w:rPr>
                <w:rFonts w:ascii="宋体" w:hAnsi="宋体" w:cs="宋体"/>
                <w:color w:val="000000"/>
                <w:sz w:val="24"/>
              </w:rPr>
            </w:pPr>
            <w:r>
              <w:rPr>
                <w:rFonts w:hint="eastAsia" w:ascii="宋体" w:hAnsi="宋体" w:cs="宋体"/>
                <w:color w:val="000000"/>
                <w:sz w:val="24"/>
              </w:rPr>
              <w:t>松潘县应急管理局</w:t>
            </w:r>
          </w:p>
        </w:tc>
      </w:tr>
      <w:tr w14:paraId="56FBDE4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85FE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3D49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097FA">
            <w:pPr>
              <w:widowControl/>
              <w:jc w:val="center"/>
              <w:textAlignment w:val="center"/>
              <w:rPr>
                <w:rFonts w:ascii="宋体" w:hAnsi="宋体" w:cs="宋体"/>
                <w:color w:val="000000"/>
                <w:sz w:val="24"/>
              </w:rPr>
            </w:pPr>
            <w:r>
              <w:rPr>
                <w:rFonts w:hint="eastAsia" w:ascii="宋体" w:hAnsi="宋体" w:cs="宋体"/>
                <w:color w:val="000000"/>
                <w:sz w:val="24"/>
              </w:rPr>
              <w:t>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31ED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33A2D">
            <w:pPr>
              <w:widowControl/>
              <w:jc w:val="center"/>
              <w:textAlignment w:val="center"/>
              <w:rPr>
                <w:rFonts w:ascii="宋体" w:hAnsi="宋体" w:cs="宋体"/>
                <w:color w:val="000000"/>
                <w:sz w:val="24"/>
              </w:rPr>
            </w:pPr>
            <w:r>
              <w:rPr>
                <w:rFonts w:hint="eastAsia" w:ascii="宋体" w:hAnsi="宋体" w:cs="宋体"/>
                <w:color w:val="000000"/>
                <w:sz w:val="24"/>
              </w:rPr>
              <w:t>26万元</w:t>
            </w:r>
          </w:p>
        </w:tc>
      </w:tr>
      <w:tr w14:paraId="05BFD81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A8B6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1D650">
            <w:pPr>
              <w:widowControl/>
              <w:jc w:val="center"/>
              <w:textAlignment w:val="center"/>
              <w:rPr>
                <w:rFonts w:ascii="宋体" w:hAnsi="宋体" w:cs="宋体"/>
                <w:color w:val="000000"/>
                <w:sz w:val="24"/>
              </w:rPr>
            </w:pPr>
            <w:r>
              <w:rPr>
                <w:rFonts w:hint="eastAsia" w:ascii="宋体" w:hAnsi="宋体" w:cs="宋体"/>
                <w:color w:val="000000"/>
                <w:kern w:val="0"/>
                <w:sz w:val="24"/>
              </w:rPr>
              <w:t>其中县级财政拨款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79F3D">
            <w:pPr>
              <w:widowControl/>
              <w:jc w:val="center"/>
              <w:textAlignment w:val="center"/>
              <w:rPr>
                <w:rFonts w:ascii="宋体" w:hAnsi="宋体" w:cs="宋体"/>
                <w:color w:val="000000"/>
                <w:sz w:val="24"/>
              </w:rPr>
            </w:pPr>
            <w:r>
              <w:rPr>
                <w:rFonts w:hint="eastAsia" w:ascii="宋体" w:hAnsi="宋体" w:cs="宋体"/>
                <w:color w:val="000000"/>
                <w:sz w:val="24"/>
              </w:rPr>
              <w:t>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4E1BE">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51628">
            <w:pPr>
              <w:widowControl/>
              <w:jc w:val="center"/>
              <w:textAlignment w:val="center"/>
              <w:rPr>
                <w:rFonts w:ascii="宋体" w:hAnsi="宋体" w:cs="宋体"/>
                <w:color w:val="000000"/>
                <w:sz w:val="24"/>
              </w:rPr>
            </w:pPr>
          </w:p>
        </w:tc>
      </w:tr>
      <w:tr w14:paraId="3BF46B2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1E93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C83F3">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ED81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5E4BD">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531CD">
            <w:pPr>
              <w:jc w:val="center"/>
              <w:rPr>
                <w:rFonts w:ascii="宋体" w:hAnsi="宋体" w:cs="宋体"/>
                <w:color w:val="000000"/>
                <w:sz w:val="24"/>
              </w:rPr>
            </w:pPr>
          </w:p>
        </w:tc>
      </w:tr>
      <w:tr w14:paraId="0E743B5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F7D4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6CD6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3183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32091E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43D4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FEF76">
            <w:pPr>
              <w:widowControl/>
              <w:jc w:val="center"/>
              <w:textAlignment w:val="center"/>
              <w:rPr>
                <w:rFonts w:ascii="宋体" w:hAnsi="宋体" w:cs="宋体"/>
                <w:color w:val="000000"/>
                <w:sz w:val="24"/>
              </w:rPr>
            </w:pPr>
            <w:r>
              <w:rPr>
                <w:rFonts w:hint="eastAsia" w:ascii="仿宋_GB2312" w:hAnsi="宋体"/>
              </w:rPr>
              <w:t>完成拨付2019年受灾困难群众冬春救助资金26万元。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268D1">
            <w:pPr>
              <w:adjustRightInd w:val="0"/>
              <w:snapToGrid w:val="0"/>
              <w:spacing w:line="600" w:lineRule="exact"/>
              <w:ind w:firstLine="720"/>
              <w:rPr>
                <w:rFonts w:ascii="楷体_GB2312" w:hAnsi="宋体" w:eastAsia="楷体_GB2312"/>
                <w:b/>
                <w:lang w:val="zh-CN"/>
              </w:rPr>
            </w:pPr>
            <w:r>
              <w:rPr>
                <w:rFonts w:hint="eastAsia" w:ascii="仿宋_GB2312" w:hAnsi="宋体"/>
                <w:lang w:val="zh-CN"/>
              </w:rPr>
              <w:t>按照救助资金发放程序，于</w:t>
            </w:r>
            <w:r>
              <w:rPr>
                <w:rFonts w:hint="eastAsia" w:ascii="仿宋_GB2312" w:hAnsi="宋体"/>
              </w:rPr>
              <w:t>2020年1月完成资金拨付到各乡镇</w:t>
            </w:r>
            <w:r>
              <w:rPr>
                <w:rFonts w:hint="eastAsia" w:ascii="仿宋_GB2312" w:hAnsi="宋体"/>
                <w:lang w:val="zh-CN"/>
              </w:rPr>
              <w:t>。各乡镇及时足额通过信用社加密文件发放给困难群众，共计</w:t>
            </w:r>
            <w:r>
              <w:rPr>
                <w:rFonts w:hint="eastAsia" w:ascii="仿宋_GB2312" w:hAnsi="宋体"/>
              </w:rPr>
              <w:t>26万元</w:t>
            </w:r>
            <w:r>
              <w:rPr>
                <w:rFonts w:hint="eastAsia" w:ascii="仿宋_GB2312" w:hAnsi="宋体"/>
                <w:lang w:val="zh-CN"/>
              </w:rPr>
              <w:t>。</w:t>
            </w:r>
          </w:p>
          <w:p w14:paraId="2F4C09CC">
            <w:pPr>
              <w:widowControl/>
              <w:jc w:val="center"/>
              <w:textAlignment w:val="center"/>
              <w:rPr>
                <w:rFonts w:ascii="宋体" w:hAnsi="宋体" w:cs="宋体"/>
                <w:color w:val="000000"/>
                <w:sz w:val="24"/>
              </w:rPr>
            </w:pPr>
          </w:p>
        </w:tc>
      </w:tr>
      <w:tr w14:paraId="09F8A8A9">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38B217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0A3E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DD46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A3F79">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1C671">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6D3CF">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6D11F4C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6B03A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7261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CD15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8BF8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8FA6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B4991">
            <w:pPr>
              <w:widowControl/>
              <w:jc w:val="center"/>
              <w:textAlignment w:val="center"/>
              <w:rPr>
                <w:rFonts w:ascii="宋体" w:hAnsi="宋体" w:cs="宋体"/>
                <w:color w:val="000000"/>
                <w:sz w:val="24"/>
              </w:rPr>
            </w:pPr>
          </w:p>
        </w:tc>
      </w:tr>
      <w:tr w14:paraId="1FBD7D3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E92DF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65B1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157D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304A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6740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F1174">
            <w:pPr>
              <w:widowControl/>
              <w:jc w:val="center"/>
              <w:textAlignment w:val="center"/>
              <w:rPr>
                <w:rFonts w:ascii="宋体" w:hAnsi="宋体" w:cs="宋体"/>
                <w:color w:val="000000"/>
                <w:sz w:val="24"/>
              </w:rPr>
            </w:pPr>
          </w:p>
        </w:tc>
      </w:tr>
      <w:tr w14:paraId="42E7A03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7953F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5F76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1F74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7263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30A1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7E277">
            <w:pPr>
              <w:widowControl/>
              <w:jc w:val="center"/>
              <w:textAlignment w:val="center"/>
              <w:rPr>
                <w:rFonts w:ascii="宋体" w:hAnsi="宋体" w:cs="宋体"/>
                <w:color w:val="000000"/>
                <w:sz w:val="24"/>
              </w:rPr>
            </w:pPr>
          </w:p>
        </w:tc>
      </w:tr>
      <w:tr w14:paraId="7CA116C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FAEFB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A479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97A7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B344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1E2A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136D3">
            <w:pPr>
              <w:widowControl/>
              <w:jc w:val="center"/>
              <w:textAlignment w:val="center"/>
              <w:rPr>
                <w:rFonts w:ascii="宋体" w:hAnsi="宋体" w:cs="宋体"/>
                <w:color w:val="000000"/>
                <w:sz w:val="24"/>
              </w:rPr>
            </w:pPr>
          </w:p>
        </w:tc>
      </w:tr>
      <w:tr w14:paraId="7323215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F430E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5E38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61C9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48ED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7FBA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F49E8">
            <w:pPr>
              <w:widowControl/>
              <w:jc w:val="center"/>
              <w:textAlignment w:val="center"/>
              <w:rPr>
                <w:rFonts w:ascii="宋体" w:hAnsi="宋体" w:cs="宋体"/>
                <w:color w:val="000000"/>
                <w:sz w:val="24"/>
              </w:rPr>
            </w:pPr>
          </w:p>
        </w:tc>
      </w:tr>
      <w:tr w14:paraId="317CEF9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5C2310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015FD">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85E1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E16E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2975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5514D">
            <w:pPr>
              <w:widowControl/>
              <w:jc w:val="center"/>
              <w:textAlignment w:val="center"/>
              <w:rPr>
                <w:rFonts w:ascii="宋体" w:hAnsi="宋体" w:cs="宋体"/>
                <w:color w:val="000000"/>
                <w:sz w:val="24"/>
              </w:rPr>
            </w:pPr>
          </w:p>
        </w:tc>
      </w:tr>
      <w:tr w14:paraId="1DF47E0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00F83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FD0FE">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166C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0DD9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11ED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971ED">
            <w:pPr>
              <w:widowControl/>
              <w:jc w:val="center"/>
              <w:textAlignment w:val="center"/>
              <w:rPr>
                <w:rFonts w:ascii="宋体" w:hAnsi="宋体" w:cs="宋体"/>
                <w:color w:val="000000"/>
                <w:sz w:val="24"/>
              </w:rPr>
            </w:pPr>
          </w:p>
        </w:tc>
      </w:tr>
      <w:tr w14:paraId="689A427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9449E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32D6F">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2B5F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CB3B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7DA5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FE113">
            <w:pPr>
              <w:widowControl/>
              <w:jc w:val="center"/>
              <w:textAlignment w:val="center"/>
              <w:rPr>
                <w:rFonts w:ascii="宋体" w:hAnsi="宋体" w:cs="宋体"/>
                <w:color w:val="000000"/>
                <w:sz w:val="24"/>
              </w:rPr>
            </w:pPr>
          </w:p>
        </w:tc>
      </w:tr>
      <w:tr w14:paraId="43B6EB9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0F56BD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5B917">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A9FD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2E36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AE09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83DC7">
            <w:pPr>
              <w:widowControl/>
              <w:jc w:val="center"/>
              <w:textAlignment w:val="center"/>
              <w:rPr>
                <w:rFonts w:ascii="宋体" w:hAnsi="宋体" w:cs="宋体"/>
                <w:color w:val="000000"/>
                <w:sz w:val="24"/>
              </w:rPr>
            </w:pPr>
          </w:p>
        </w:tc>
      </w:tr>
      <w:tr w14:paraId="4D13CC20">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B79A43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15C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5F21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5602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6A56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4A6E7">
            <w:pPr>
              <w:widowControl/>
              <w:jc w:val="center"/>
              <w:textAlignment w:val="center"/>
              <w:rPr>
                <w:rFonts w:ascii="宋体" w:hAnsi="宋体" w:cs="宋体"/>
                <w:color w:val="000000"/>
                <w:sz w:val="24"/>
              </w:rPr>
            </w:pPr>
          </w:p>
        </w:tc>
      </w:tr>
    </w:tbl>
    <w:p w14:paraId="0B8ACA29">
      <w:pPr>
        <w:spacing w:line="580" w:lineRule="exact"/>
        <w:ind w:left="630"/>
        <w:rPr>
          <w:rFonts w:ascii="仿宋_GB2312" w:hAnsi="仿宋_GB2312" w:eastAsia="仿宋_GB2312" w:cs="仿宋_GB2312"/>
          <w:sz w:val="32"/>
          <w:szCs w:val="32"/>
        </w:rPr>
      </w:pPr>
    </w:p>
    <w:p w14:paraId="667A34E6">
      <w:pPr>
        <w:spacing w:line="580" w:lineRule="exact"/>
        <w:ind w:left="630"/>
        <w:rPr>
          <w:rFonts w:ascii="仿宋_GB2312" w:hAnsi="仿宋_GB2312" w:eastAsia="仿宋_GB2312" w:cs="仿宋_GB2312"/>
          <w:sz w:val="32"/>
          <w:szCs w:val="32"/>
        </w:rPr>
      </w:pPr>
    </w:p>
    <w:p w14:paraId="794C499F">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7EB1527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松潘县应急管理局部门2019年部门整体支出绩效评价报告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见附件（附件1）。</w:t>
      </w:r>
    </w:p>
    <w:p w14:paraId="73B4B8A7">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项目开展了绩效评价，《松潘县应急管理局项目2019年绩效评价报告》见附件（附件2）。（非涉密部门均需公开部门整体支出评价报告，部门自行组织的绩效评价情况根据部门实际公开，若未组织项目绩效评价，则只需说明部门整体支出绩效评价情况）</w:t>
      </w:r>
    </w:p>
    <w:p w14:paraId="771CC564">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5CD8EBB">
      <w:pPr>
        <w:numPr>
          <w:ilvl w:val="0"/>
          <w:numId w:val="4"/>
        </w:numPr>
        <w:spacing w:line="600" w:lineRule="exact"/>
        <w:ind w:firstLine="660" w:firstLineChars="150"/>
        <w:jc w:val="center"/>
        <w:outlineLvl w:val="0"/>
        <w:rPr>
          <w:rStyle w:val="28"/>
          <w:rFonts w:ascii="黑体" w:hAnsi="黑体" w:eastAsia="黑体"/>
          <w:b w:val="0"/>
        </w:rPr>
      </w:pPr>
      <w:bookmarkStart w:id="59" w:name="_Toc15377225"/>
      <w:bookmarkStart w:id="60"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59"/>
      <w:bookmarkEnd w:id="60"/>
    </w:p>
    <w:p w14:paraId="59E96A15">
      <w:pPr>
        <w:spacing w:line="600" w:lineRule="exact"/>
        <w:jc w:val="left"/>
        <w:rPr>
          <w:rFonts w:ascii="宋体"/>
          <w:b/>
          <w:color w:val="000000"/>
          <w:sz w:val="44"/>
          <w:szCs w:val="44"/>
        </w:rPr>
      </w:pPr>
    </w:p>
    <w:p w14:paraId="6A9792C6">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3E6AC64">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537058D6">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180CE1C9">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413E9FE8">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1A89507D">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0E190A5">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876DD7D">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531BCC31">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C754E16">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B419D79">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F4311F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15C118">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9D99AC">
      <w:pPr>
        <w:spacing w:line="600" w:lineRule="exact"/>
        <w:jc w:val="center"/>
        <w:outlineLvl w:val="0"/>
        <w:rPr>
          <w:rStyle w:val="28"/>
          <w:rFonts w:ascii="黑体" w:hAnsi="黑体" w:eastAsia="黑体"/>
          <w:b w:val="0"/>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62"/>
    </w:p>
    <w:p w14:paraId="751D4129">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E59AE76">
      <w:pPr>
        <w:spacing w:line="580" w:lineRule="exact"/>
        <w:jc w:val="center"/>
        <w:rPr>
          <w:rFonts w:ascii="方正小标宋简体" w:hAnsi="方正小标宋简体" w:eastAsia="方正小标宋简体" w:cs="方正小标宋简体"/>
          <w:sz w:val="44"/>
          <w:szCs w:val="44"/>
        </w:rPr>
      </w:pPr>
    </w:p>
    <w:p w14:paraId="5186ECB6">
      <w:pPr>
        <w:widowControl/>
        <w:spacing w:line="480" w:lineRule="exact"/>
        <w:jc w:val="center"/>
        <w:rPr>
          <w:rFonts w:ascii="方正小标宋简体" w:hAnsi="宋体" w:eastAsia="方正小标宋简体"/>
          <w:sz w:val="44"/>
          <w:szCs w:val="44"/>
        </w:rPr>
      </w:pPr>
    </w:p>
    <w:p w14:paraId="4033E818">
      <w:pPr>
        <w:widowControl/>
        <w:spacing w:line="54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松潘县应急管理局</w:t>
      </w:r>
    </w:p>
    <w:p w14:paraId="225BC2BA">
      <w:pPr>
        <w:widowControl/>
        <w:spacing w:line="54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2019年部门整体支出绩效报告</w:t>
      </w:r>
    </w:p>
    <w:p w14:paraId="354A2387">
      <w:pPr>
        <w:widowControl/>
        <w:spacing w:line="540" w:lineRule="exact"/>
        <w:jc w:val="center"/>
        <w:rPr>
          <w:rFonts w:ascii="宋体" w:hAnsi="宋体"/>
          <w:b/>
          <w:sz w:val="44"/>
          <w:szCs w:val="44"/>
          <w:shd w:val="clear" w:color="auto" w:fill="FFFFFF"/>
        </w:rPr>
      </w:pPr>
    </w:p>
    <w:p w14:paraId="7841B03B">
      <w:pPr>
        <w:spacing w:line="560" w:lineRule="exact"/>
        <w:ind w:firstLine="640" w:firstLineChars="200"/>
        <w:rPr>
          <w:rFonts w:ascii="黑体" w:hAnsi="黑体" w:eastAsia="黑体" w:cs="黑体"/>
          <w:bCs/>
          <w:color w:val="000000"/>
          <w:sz w:val="32"/>
          <w:szCs w:val="32"/>
          <w:lang w:val="zh-CN"/>
        </w:rPr>
      </w:pPr>
      <w:r>
        <w:rPr>
          <w:rFonts w:hint="eastAsia" w:ascii="黑体" w:hAnsi="黑体" w:eastAsia="黑体" w:cs="黑体"/>
          <w:bCs/>
          <w:color w:val="000000"/>
          <w:sz w:val="32"/>
          <w:szCs w:val="32"/>
        </w:rPr>
        <w:t>一、</w:t>
      </w:r>
      <w:r>
        <w:rPr>
          <w:rFonts w:hint="eastAsia" w:ascii="黑体" w:hAnsi="黑体" w:eastAsia="黑体" w:cs="黑体"/>
          <w:bCs/>
          <w:color w:val="000000"/>
          <w:sz w:val="32"/>
          <w:szCs w:val="32"/>
          <w:lang w:val="zh-CN"/>
        </w:rPr>
        <w:t>部门（单位）概况</w:t>
      </w:r>
    </w:p>
    <w:p w14:paraId="0B12BE80">
      <w:pPr>
        <w:widowControl/>
        <w:adjustRightInd w:val="0"/>
        <w:snapToGrid w:val="0"/>
        <w:spacing w:line="540" w:lineRule="exact"/>
        <w:ind w:firstLine="643" w:firstLineChars="200"/>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（一）机构组成</w:t>
      </w:r>
    </w:p>
    <w:p w14:paraId="6922D9BD">
      <w:pPr>
        <w:tabs>
          <w:tab w:val="left" w:pos="588"/>
        </w:tabs>
        <w:spacing w:line="560" w:lineRule="exact"/>
        <w:ind w:firstLine="640" w:firstLineChars="200"/>
        <w:rPr>
          <w:rFonts w:ascii="仿宋_GB2312" w:eastAsia="仿宋_GB2312"/>
          <w:color w:val="000000"/>
          <w:sz w:val="32"/>
          <w:szCs w:val="32"/>
        </w:rPr>
      </w:pPr>
      <w:r>
        <w:rPr>
          <w:rFonts w:eastAsia="仿宋_GB2312"/>
          <w:sz w:val="32"/>
          <w:szCs w:val="32"/>
        </w:rPr>
        <w:t>根据</w:t>
      </w:r>
      <w:r>
        <w:rPr>
          <w:rFonts w:hint="eastAsia" w:eastAsia="仿宋_GB2312"/>
          <w:sz w:val="32"/>
          <w:szCs w:val="32"/>
        </w:rPr>
        <w:t>中共松潘县委办公室 松潘县人民政府办公室关于印发《松潘县应急管理局职能配置、内设机构和人员编制规定》</w:t>
      </w:r>
      <w:r>
        <w:rPr>
          <w:rFonts w:hint="eastAsia" w:ascii="仿宋_GB2312" w:hAnsi="仿宋_GB2312" w:eastAsia="仿宋_GB2312" w:cs="仿宋_GB2312"/>
          <w:sz w:val="32"/>
          <w:szCs w:val="32"/>
        </w:rPr>
        <w:t>精神，松潘县应急管理局</w:t>
      </w:r>
      <w:r>
        <w:rPr>
          <w:rFonts w:hint="eastAsia" w:ascii="仿宋_GB2312" w:eastAsia="仿宋_GB2312"/>
          <w:sz w:val="32"/>
          <w:szCs w:val="32"/>
        </w:rPr>
        <w:t>为县政府工作部门，</w:t>
      </w:r>
      <w:r>
        <w:rPr>
          <w:rFonts w:hint="eastAsia" w:ascii="仿宋_GB2312" w:hAnsi="仿宋_GB2312" w:eastAsia="仿宋_GB2312" w:cs="仿宋_GB2312"/>
          <w:sz w:val="32"/>
          <w:szCs w:val="32"/>
        </w:rPr>
        <w:t>设2个内设机构：安全监管股、应急指挥中心。根据《关于核定县安全生产监察执法机构行政执法类事业编制的通知》（松编发〔2008〕16）号文件核定，设立松潘县安全生产监察执法大队（参公事业编制），为我局办公室管理的股级事业机构。</w:t>
      </w:r>
    </w:p>
    <w:p w14:paraId="79080C10">
      <w:pPr>
        <w:widowControl/>
        <w:adjustRightInd w:val="0"/>
        <w:snapToGrid w:val="0"/>
        <w:spacing w:line="540" w:lineRule="exact"/>
        <w:ind w:firstLine="643" w:firstLineChars="200"/>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（二）机构职能。</w:t>
      </w:r>
    </w:p>
    <w:p w14:paraId="44C3AAF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松潘县应急管理局的主要职责职能是：</w:t>
      </w:r>
    </w:p>
    <w:p w14:paraId="21818D09">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（一）负责应急管理工作，组织和指导各乡镇、各部门（单位）应对安全生产类、自然灾害类等突发事件和综合防灾减灾救灾工作。负责安全生产综合监督管理和工矿商贸安全生产监督管理工作。</w:t>
      </w:r>
    </w:p>
    <w:p w14:paraId="020C4F91">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（二）拟订应急管理、安全生产等规范性文件，组织编制应急体系建设、安全生产和综合防灾减灾规划。</w:t>
      </w:r>
    </w:p>
    <w:p w14:paraId="2D55111E">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337E828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（四）牵头建立统一的应急管理信息系统，负责信息传输渠道的规划和布局，建立监测预警和灾情报告制度，健全自然灾害信息资源获取和共享机制，依法统一发布灾情。</w:t>
      </w:r>
    </w:p>
    <w:p w14:paraId="1761F1E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（五）负责组织、指导、协调安全生产类、自然灾害类等突发事件应急救援，承担全县应对一般及以上灾害指挥部工作，综合研判突发事件发展态势并提出应对建议，负责组织一般及以上灾害应急处置工作。</w:t>
      </w:r>
    </w:p>
    <w:p w14:paraId="2389C64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（六）统一协调指挥各类应急专业队伍，建立应急协调联动机制，推进指挥平台对接。</w:t>
      </w:r>
    </w:p>
    <w:p w14:paraId="77880401">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按照国家、省、州相关政策和规定负责消防、森林火灾扑救、抗洪抢险、地震和地质灾害救援、生产安全事故救援等专业应急救援力量建设，依法依规统筹指导各乡（镇）及社会应急救援力量和应急保障能力建设。</w:t>
      </w:r>
    </w:p>
    <w:p w14:paraId="380E8A6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（八）按照国家、省、州相关政策和县委、县政府相关规定负责消防工作，组织和指导消防监督、火灾预防、火灾扑救等工作。</w:t>
      </w:r>
    </w:p>
    <w:p w14:paraId="20DF9A5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（九）负责自然灾害综合监测预警工作，承担自然灾害综合风险评估工作，指导协调森林和草原火灾、水旱灾害、地震和地质灾害等防治工作。</w:t>
      </w:r>
    </w:p>
    <w:p w14:paraId="3D317D3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（十）负责组织、协调灾害救助工作，组织和指导灾情核查、损失评估、救灾捐赠工作，管理、分配救灾款物并监督使用。</w:t>
      </w:r>
    </w:p>
    <w:p w14:paraId="2E9D468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（十一）依法承担县政府安全生产综合监督管理责任，指导协调、监督检查县直有关部门和各乡（镇）安全生产工作，组织开展安全生产督查、考核工作。</w:t>
      </w:r>
    </w:p>
    <w:p w14:paraId="62A76E9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二）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p>
    <w:p w14:paraId="4C49ECD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（十三）承担非煤矿山、危险化学品、非药品类易制毒化学品和烟花爆竹等生产经营单位安全生产准入管理责任。</w:t>
      </w:r>
    </w:p>
    <w:p w14:paraId="4B0F11F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（十四）依法组织、指导生产安全事故调查处理，监督事故查处和责任追究落实情况。组织开展自然灾害类突发事件的调查评估工作。</w:t>
      </w:r>
    </w:p>
    <w:p w14:paraId="1C307311">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（十五）开展应急管理和安全生产方面的交流与合作，组织参与安全生产类、自然灾害类等突发事件的跨区域救援工作。</w:t>
      </w:r>
    </w:p>
    <w:p w14:paraId="09BB1A3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（十六）制定应急物资储备和应急救援装备规划并组织实施，会同县发展和改革局等部门建立健全应急物资信息平台和调拨制度，在救灾时统一调度。</w:t>
      </w:r>
    </w:p>
    <w:p w14:paraId="69E9449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（十七）负责应急管理、安全生产宣传教育和培训工作，组织和指导应急管理、安全生产的科学技术推广应用和信息化建设工作。</w:t>
      </w:r>
    </w:p>
    <w:p w14:paraId="34F9067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（十八）负责职责范围内的职业健康、生态环境保护、审批服务便民化工作。</w:t>
      </w:r>
    </w:p>
    <w:p w14:paraId="507999C9">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（十九）完成县委、县政府交办的其他任务。</w:t>
      </w:r>
    </w:p>
    <w:p w14:paraId="640D815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十）职能转变。加强、优化、统筹应急能力建设，构建统一领导、权责一致、权威高效的应急能力体系，推动形成统一指挥、专常兼备、反应灵敏、上下联动、平战结合、特色鲜明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遏制较大事故、减少一般事故。</w:t>
      </w:r>
    </w:p>
    <w:p w14:paraId="7527F830">
      <w:pPr>
        <w:widowControl/>
        <w:adjustRightInd w:val="0"/>
        <w:snapToGrid w:val="0"/>
        <w:spacing w:line="540" w:lineRule="exact"/>
        <w:ind w:firstLine="643" w:firstLineChars="200"/>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（三）人员概况</w:t>
      </w:r>
    </w:p>
    <w:p w14:paraId="196946DF">
      <w:pPr>
        <w:spacing w:line="540" w:lineRule="exact"/>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rPr>
        <w:t>松潘县应急管理局机关</w:t>
      </w:r>
      <w:r>
        <w:rPr>
          <w:rFonts w:hint="eastAsia" w:ascii="仿宋_GB2312" w:hAnsi="仿宋_GB2312" w:eastAsia="仿宋_GB2312" w:cs="仿宋_GB2312"/>
          <w:sz w:val="32"/>
          <w:szCs w:val="32"/>
        </w:rPr>
        <w:t>行政编制5名。其中局长（兼县安委会办公室主任）1名、副局长2名（兼县安委办公室副主任）；股级领导职数2名（含兼职）；机关后勤人员事业编制1名；行政执法类事业编制5名，其中股级领导职数1名。</w:t>
      </w:r>
    </w:p>
    <w:p w14:paraId="76D08F2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我局现有在编干部职工16名，其中书记1名，局长1名、副局长2名，办公室1名，综合股1名，机关工勤1名，应急保障中心4人，执法大队5名。</w:t>
      </w:r>
    </w:p>
    <w:p w14:paraId="3A11E46D">
      <w:pPr>
        <w:widowControl/>
        <w:adjustRightInd w:val="0"/>
        <w:snapToGrid w:val="0"/>
        <w:spacing w:line="480" w:lineRule="exact"/>
        <w:ind w:firstLine="720"/>
        <w:jc w:val="left"/>
        <w:rPr>
          <w:rFonts w:ascii="黑体" w:hAnsi="宋体" w:eastAsia="黑体" w:cs="宋体"/>
          <w:color w:val="000000"/>
          <w:kern w:val="0"/>
          <w:sz w:val="32"/>
        </w:rPr>
      </w:pPr>
      <w:r>
        <w:rPr>
          <w:rFonts w:hint="eastAsia" w:ascii="黑体" w:hAnsi="宋体" w:eastAsia="黑体" w:cs="宋体"/>
          <w:color w:val="000000"/>
          <w:kern w:val="0"/>
          <w:sz w:val="32"/>
        </w:rPr>
        <w:t>二、部门财政资金收支情况</w:t>
      </w:r>
    </w:p>
    <w:p w14:paraId="5B75083B">
      <w:pPr>
        <w:tabs>
          <w:tab w:val="left" w:pos="750"/>
        </w:tabs>
        <w:ind w:firstLine="482" w:firstLineChars="150"/>
        <w:rPr>
          <w:rFonts w:ascii="仿宋" w:hAnsi="仿宋" w:eastAsia="仿宋" w:cs="仿宋"/>
          <w:b/>
          <w:sz w:val="32"/>
          <w:szCs w:val="32"/>
        </w:rPr>
      </w:pPr>
      <w:r>
        <w:rPr>
          <w:rFonts w:hint="eastAsia" w:ascii="仿宋" w:hAnsi="仿宋" w:eastAsia="仿宋" w:cs="仿宋"/>
          <w:b/>
          <w:sz w:val="32"/>
          <w:szCs w:val="32"/>
        </w:rPr>
        <w:t>（一）单位财政资金收入情况</w:t>
      </w:r>
    </w:p>
    <w:p w14:paraId="33C9A91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（1）2019年单位财政资金收入情况</w:t>
      </w:r>
    </w:p>
    <w:p w14:paraId="5A6868D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松潘县应急局2019年度财政拨款总收入803.14万元。</w:t>
      </w:r>
    </w:p>
    <w:p w14:paraId="7289D9C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6月单位财政资金收入情况</w:t>
      </w:r>
    </w:p>
    <w:p w14:paraId="2D7404C1">
      <w:pPr>
        <w:ind w:right="-334" w:rightChars="-159"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6月财政拨款收入541.22万元。</w:t>
      </w:r>
      <w:r>
        <w:rPr>
          <w:rFonts w:hint="eastAsia" w:ascii="仿宋_GB2312" w:hAnsi="仿宋_GB2312" w:eastAsia="仿宋_GB2312" w:cs="仿宋_GB2312"/>
          <w:kern w:val="0"/>
          <w:sz w:val="32"/>
          <w:szCs w:val="32"/>
        </w:rPr>
        <w:t>政府性基金财政拨款0万元，占总收入的0％。其中：人员经费225.08万元，商品和服务支出41.97万元，其他274.17万元。</w:t>
      </w:r>
    </w:p>
    <w:p w14:paraId="56E71DC7">
      <w:pPr>
        <w:tabs>
          <w:tab w:val="left" w:pos="750"/>
        </w:tabs>
        <w:ind w:firstLine="482" w:firstLineChars="150"/>
        <w:rPr>
          <w:rFonts w:ascii="仿宋" w:hAnsi="仿宋" w:eastAsia="仿宋" w:cs="仿宋"/>
          <w:b/>
          <w:sz w:val="32"/>
          <w:szCs w:val="32"/>
        </w:rPr>
      </w:pPr>
      <w:r>
        <w:rPr>
          <w:rFonts w:hint="eastAsia" w:ascii="仿宋" w:hAnsi="仿宋" w:eastAsia="仿宋" w:cs="仿宋"/>
          <w:b/>
          <w:sz w:val="32"/>
          <w:szCs w:val="32"/>
        </w:rPr>
        <w:t>（二）单位财政资金支出情况</w:t>
      </w:r>
    </w:p>
    <w:p w14:paraId="7B6E47F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（1）2019年单位财政资金支出情况</w:t>
      </w:r>
    </w:p>
    <w:p w14:paraId="50CAAA9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松潘县应急局2019年一般公共预算财政拨款支出529.08万元，其中：基本支出371.84万元，占70.28%；项目支出157.24万元，占29.72%。 </w:t>
      </w:r>
    </w:p>
    <w:p w14:paraId="09FE313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6月财政资金支出情况</w:t>
      </w:r>
    </w:p>
    <w:p w14:paraId="77B2580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6月基本支出107.97万元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行政机构的正常运转的日常支出，包括基本工资、津贴补贴、基本养老保险、医疗保险、住房公积金等人员经费以及办公费、印刷费、水电费、公务用车运行维护费、差旅费等日常公用经费。1-6月项目支出为252.22万元，主要为应急管理抢险工作经费。</w:t>
      </w:r>
    </w:p>
    <w:p w14:paraId="0FE7F0F8">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三、部门财政支出管理情况</w:t>
      </w:r>
    </w:p>
    <w:p w14:paraId="50140746">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（一）预算编制情况</w:t>
      </w:r>
    </w:p>
    <w:p w14:paraId="2B67F69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每年度按照上年度决算数据，</w:t>
      </w:r>
      <w:r>
        <w:rPr>
          <w:rFonts w:hint="eastAsia" w:ascii="仿宋_GB2312" w:hAnsi="仿宋_GB2312" w:eastAsia="仿宋_GB2312" w:cs="仿宋_GB2312"/>
          <w:kern w:val="0"/>
          <w:sz w:val="32"/>
          <w:szCs w:val="32"/>
        </w:rPr>
        <w:t>按照“收支平衡、留有结余”的原则，依照“二上”“二下”的程序，合理编制单位经费预算。</w:t>
      </w:r>
      <w:r>
        <w:rPr>
          <w:rFonts w:hint="eastAsia" w:ascii="仿宋_GB2312" w:eastAsia="仿宋_GB2312"/>
          <w:color w:val="000000"/>
          <w:sz w:val="32"/>
          <w:szCs w:val="32"/>
        </w:rPr>
        <w:t>对每年度支出、收入进行绩效目标填报，对所有专项预算都进行了提前的细化并严格按照细化目标执行，所有的结余结转资金严格按照用途进行管理并支出。</w:t>
      </w:r>
    </w:p>
    <w:p w14:paraId="4E6B3FB1">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（二）执行管理情况</w:t>
      </w:r>
    </w:p>
    <w:p w14:paraId="03773E6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（1）2019年执行管理情况</w:t>
      </w:r>
    </w:p>
    <w:p w14:paraId="10A275E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2019年决算数为529.08万元，完成预算100%。2010301行政运行支出117.82万元，完成预算100%。2080505机关事业单位基本养老保险缴费支出2019年决算数为21.18万元，完成预算100%。2101101行政单位医疗2019年决算数为11.19万元，完成预算100%。2210201住房公积金2019年决算数为19.37万元，完成预算100%。 </w:t>
      </w:r>
      <w:r>
        <w:rPr>
          <w:rFonts w:hint="eastAsia" w:ascii="仿宋_GB2312" w:eastAsia="仿宋_GB2312"/>
          <w:color w:val="000000"/>
          <w:sz w:val="32"/>
          <w:szCs w:val="32"/>
        </w:rPr>
        <w:br w:type="textWrapping"/>
      </w:r>
      <w:r>
        <w:rPr>
          <w:rFonts w:hint="eastAsia" w:ascii="仿宋_GB2312" w:eastAsia="仿宋_GB2312"/>
          <w:color w:val="000000"/>
          <w:sz w:val="32"/>
          <w:szCs w:val="32"/>
        </w:rPr>
        <w:t>（2）2020年1</w:t>
      </w:r>
      <w:r>
        <w:rPr>
          <w:rFonts w:hint="eastAsia" w:ascii="仿宋_GB2312" w:eastAsia="仿宋_GB2312"/>
          <w:color w:val="000000"/>
          <w:sz w:val="32"/>
          <w:szCs w:val="32"/>
          <w:lang w:eastAsia="zh-CN"/>
        </w:rPr>
        <w:t>—</w:t>
      </w:r>
      <w:r>
        <w:rPr>
          <w:rFonts w:hint="eastAsia" w:ascii="仿宋_GB2312" w:eastAsia="仿宋_GB2312"/>
          <w:color w:val="000000"/>
          <w:sz w:val="32"/>
          <w:szCs w:val="32"/>
        </w:rPr>
        <w:t>6月执行管理情况</w:t>
      </w:r>
    </w:p>
    <w:p w14:paraId="4391C907">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color w:val="000000"/>
          <w:sz w:val="32"/>
          <w:szCs w:val="32"/>
        </w:rPr>
        <w:t>按照本单位各项工作的开展进度，2020年1</w:t>
      </w:r>
      <w:r>
        <w:rPr>
          <w:rFonts w:hint="eastAsia" w:ascii="仿宋_GB2312" w:eastAsia="仿宋_GB2312"/>
          <w:color w:val="000000"/>
          <w:sz w:val="32"/>
          <w:szCs w:val="32"/>
          <w:lang w:eastAsia="zh-CN"/>
        </w:rPr>
        <w:t>—</w:t>
      </w:r>
      <w:r>
        <w:rPr>
          <w:rFonts w:hint="eastAsia" w:ascii="仿宋_GB2312" w:eastAsia="仿宋_GB2312"/>
          <w:color w:val="000000"/>
          <w:sz w:val="32"/>
          <w:szCs w:val="32"/>
        </w:rPr>
        <w:t>6月本单位各项预算资金的使用进度正常，</w:t>
      </w: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6月基本支出107.97万元，1-6月项目支出为252.22万元，</w:t>
      </w:r>
      <w:r>
        <w:rPr>
          <w:rFonts w:hint="eastAsia" w:ascii="仿宋_GB2312" w:hAnsi="仿宋_GB2312" w:eastAsia="仿宋_GB2312" w:cs="仿宋_GB2312"/>
          <w:kern w:val="0"/>
          <w:sz w:val="32"/>
          <w:szCs w:val="32"/>
        </w:rPr>
        <w:t>累计执行支出360.2万元，支出占预算执行的进度为66.55%。</w:t>
      </w:r>
    </w:p>
    <w:p w14:paraId="4AD9EE8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本单位一直提倡厉行节约</w:t>
      </w:r>
      <w:r>
        <w:rPr>
          <w:rFonts w:hint="eastAsia" w:ascii="仿宋_GB2312" w:eastAsia="仿宋_GB2312"/>
          <w:color w:val="000000"/>
          <w:sz w:val="32"/>
          <w:szCs w:val="32"/>
          <w:lang w:eastAsia="zh-CN"/>
        </w:rPr>
        <w:t>，以</w:t>
      </w:r>
      <w:r>
        <w:rPr>
          <w:rFonts w:hint="eastAsia" w:ascii="仿宋_GB2312" w:eastAsia="仿宋_GB2312"/>
          <w:color w:val="000000"/>
          <w:sz w:val="32"/>
          <w:szCs w:val="32"/>
        </w:rPr>
        <w:t>节能降耗的原则</w:t>
      </w:r>
      <w:r>
        <w:rPr>
          <w:rFonts w:hint="eastAsia" w:ascii="仿宋_GB2312" w:eastAsia="仿宋_GB2312"/>
          <w:color w:val="000000"/>
          <w:sz w:val="32"/>
          <w:szCs w:val="32"/>
          <w:lang w:eastAsia="zh-CN"/>
        </w:rPr>
        <w:t>严格执行</w:t>
      </w:r>
      <w:r>
        <w:rPr>
          <w:rFonts w:hint="eastAsia" w:ascii="仿宋_GB2312" w:eastAsia="仿宋_GB2312"/>
          <w:color w:val="000000"/>
          <w:sz w:val="32"/>
          <w:szCs w:val="32"/>
        </w:rPr>
        <w:t>中央八项规定。</w:t>
      </w:r>
    </w:p>
    <w:p w14:paraId="25A09AD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松潘县应急局2019年度“三公”经费财政拨款支出决算为8.95万元，完成预算100%，其中：因公出国（境）费支出决算为0万元；公务用车购置及运行维护费支出决算为8.5万元，完成预算100%；公务接待费支出决算为0.45万元，完成预算100%。2019年度“三公”经费支出决算数与预算数持平的主要原因是严格按照中央八项规定和行政单位会计制度执行。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2020年1</w:t>
      </w:r>
      <w:r>
        <w:rPr>
          <w:rFonts w:hint="eastAsia" w:ascii="仿宋_GB2312" w:eastAsia="仿宋_GB2312"/>
          <w:color w:val="000000"/>
          <w:sz w:val="32"/>
          <w:szCs w:val="32"/>
          <w:lang w:eastAsia="zh-CN"/>
        </w:rPr>
        <w:t>—</w:t>
      </w:r>
      <w:r>
        <w:rPr>
          <w:rFonts w:hint="eastAsia" w:ascii="仿宋_GB2312" w:eastAsia="仿宋_GB2312"/>
          <w:color w:val="000000"/>
          <w:sz w:val="32"/>
          <w:szCs w:val="32"/>
        </w:rPr>
        <w:t>6月“三公”经费预算数为10.73万元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公务用车运行维护费10.25万元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公务接待费0.48万元</w:t>
      </w:r>
      <w:r>
        <w:rPr>
          <w:rFonts w:hint="eastAsia" w:ascii="仿宋_GB2312" w:eastAsia="仿宋_GB2312"/>
          <w:color w:val="000000"/>
          <w:sz w:val="32"/>
          <w:szCs w:val="32"/>
          <w:lang w:eastAsia="zh-CN"/>
        </w:rPr>
        <w:t>），截至6</w:t>
      </w:r>
      <w:r>
        <w:rPr>
          <w:rFonts w:hint="eastAsia" w:ascii="仿宋_GB2312" w:eastAsia="仿宋_GB2312"/>
          <w:color w:val="000000"/>
          <w:sz w:val="32"/>
          <w:szCs w:val="32"/>
        </w:rPr>
        <w:t>月底我单位“三公”经费预算执行情况如下</w:t>
      </w:r>
      <w:r>
        <w:rPr>
          <w:rFonts w:hint="eastAsia" w:ascii="仿宋_GB2312" w:eastAsia="仿宋_GB2312"/>
          <w:color w:val="000000"/>
          <w:sz w:val="32"/>
          <w:szCs w:val="32"/>
          <w:lang w:eastAsia="zh-CN"/>
        </w:rPr>
        <w:t>，</w:t>
      </w:r>
      <w:r>
        <w:rPr>
          <w:rFonts w:hint="eastAsia" w:ascii="仿宋_GB2312" w:eastAsia="仿宋_GB2312"/>
          <w:color w:val="000000"/>
          <w:sz w:val="32"/>
          <w:szCs w:val="32"/>
        </w:rPr>
        <w:t>共支出5.62万元。</w:t>
      </w:r>
    </w:p>
    <w:p w14:paraId="1D61163B">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（三）支出绩效情况</w:t>
      </w:r>
    </w:p>
    <w:p w14:paraId="309E8D08">
      <w:p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部门执行厉行节约和节能降耗情况下，全面保障我局正常开展工作业务，为完成各项目标任务提供了经费保障。</w:t>
      </w:r>
    </w:p>
    <w:p w14:paraId="4D953D34">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（2）项目资金管理情况</w:t>
      </w:r>
    </w:p>
    <w:p w14:paraId="7159D0C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单位项目与</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项目管理不同，有严格的申报管理制度，其支付方式是转移支付，应用技术研究与开发项目、</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科学技术项目、社会科学项目、科技条件与服务项目，每个项目都有专门的管理办法，所以每个项目都会严格按照项目资金管理办法和申报时的执行进度安排进行项目的实施与资金拨付与使用。</w:t>
      </w:r>
    </w:p>
    <w:p w14:paraId="1DAC2B4E">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（四）财务管理情况</w:t>
      </w:r>
    </w:p>
    <w:p w14:paraId="7106194A">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按照国家政策法规规定和本单位实际情况，建立健全财务管理制度和约束机制，严格实行收支两条线和规范的会计核算方法，依法、有效地使用财政资金，提高财政资金使用效率。</w:t>
      </w:r>
    </w:p>
    <w:p w14:paraId="12051071">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四、评价结论及建议</w:t>
      </w:r>
    </w:p>
    <w:p w14:paraId="6754698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根据财政绩效评价的工作要求，我局每年都会开展绩效自评工作，对自评进行认</w:t>
      </w:r>
      <w:r>
        <w:rPr>
          <w:rFonts w:hint="eastAsia" w:ascii="仿宋_GB2312" w:eastAsia="仿宋_GB2312"/>
          <w:color w:val="000000"/>
          <w:sz w:val="32"/>
          <w:szCs w:val="32"/>
          <w:lang w:eastAsia="zh-CN"/>
        </w:rPr>
        <w:t>真的</w:t>
      </w:r>
      <w:r>
        <w:rPr>
          <w:rFonts w:hint="eastAsia" w:ascii="仿宋_GB2312" w:eastAsia="仿宋_GB2312"/>
          <w:color w:val="000000"/>
          <w:sz w:val="32"/>
          <w:szCs w:val="32"/>
        </w:rPr>
        <w:t>研究和部署，使自评工作顺利开展、并</w:t>
      </w:r>
      <w:r>
        <w:rPr>
          <w:rFonts w:hint="eastAsia" w:ascii="仿宋_GB2312" w:eastAsia="仿宋_GB2312"/>
          <w:color w:val="000000"/>
          <w:sz w:val="32"/>
          <w:szCs w:val="32"/>
          <w:lang w:eastAsia="zh-CN"/>
        </w:rPr>
        <w:t>针对</w:t>
      </w:r>
      <w:r>
        <w:rPr>
          <w:rFonts w:hint="eastAsia" w:ascii="仿宋_GB2312" w:eastAsia="仿宋_GB2312"/>
          <w:color w:val="000000"/>
          <w:sz w:val="32"/>
          <w:szCs w:val="32"/>
        </w:rPr>
        <w:t>问题找出解决方法。但仍存在一些问题，评价内容较宏观，不能全面具体地对本部门的绩效进行评价，故在来年的财政支出绩效评价工作中根据定性指标内容设置一些具体明细的指标体系进行评价，使财政支出绩效评价更客观和更具有参考价值。</w:t>
      </w:r>
    </w:p>
    <w:p w14:paraId="2C61863C">
      <w:pPr>
        <w:spacing w:line="560" w:lineRule="exact"/>
        <w:ind w:firstLine="640" w:firstLineChars="200"/>
        <w:rPr>
          <w:rFonts w:ascii="仿宋_GB2312" w:eastAsia="仿宋_GB2312"/>
          <w:color w:val="000000"/>
          <w:sz w:val="32"/>
          <w:szCs w:val="32"/>
        </w:rPr>
      </w:pPr>
    </w:p>
    <w:p w14:paraId="346780FE">
      <w:pPr>
        <w:spacing w:line="560" w:lineRule="exact"/>
        <w:ind w:firstLine="640" w:firstLineChars="200"/>
        <w:rPr>
          <w:rFonts w:ascii="仿宋_GB2312" w:eastAsia="仿宋_GB2312"/>
          <w:color w:val="000000"/>
          <w:sz w:val="32"/>
          <w:szCs w:val="32"/>
        </w:rPr>
      </w:pPr>
    </w:p>
    <w:p w14:paraId="01CC57E9">
      <w:pPr>
        <w:spacing w:line="560" w:lineRule="exact"/>
        <w:ind w:firstLine="640" w:firstLineChars="200"/>
        <w:rPr>
          <w:rFonts w:ascii="仿宋_GB2312" w:eastAsia="仿宋_GB2312"/>
          <w:color w:val="000000"/>
          <w:sz w:val="32"/>
          <w:szCs w:val="32"/>
        </w:rPr>
      </w:pPr>
    </w:p>
    <w:p w14:paraId="17552BA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松潘县应急管理局</w:t>
      </w:r>
    </w:p>
    <w:p w14:paraId="3977C337">
      <w:pPr>
        <w:spacing w:line="560" w:lineRule="exact"/>
        <w:ind w:firstLine="4480" w:firstLineChars="1400"/>
        <w:rPr>
          <w:rFonts w:ascii="仿宋_GB2312" w:eastAsia="仿宋_GB2312"/>
          <w:color w:val="000000"/>
          <w:sz w:val="32"/>
          <w:szCs w:val="32"/>
        </w:rPr>
      </w:pPr>
      <w:r>
        <w:rPr>
          <w:rFonts w:hint="eastAsia" w:ascii="仿宋_GB2312" w:eastAsia="仿宋_GB2312"/>
          <w:color w:val="000000"/>
          <w:sz w:val="32"/>
          <w:szCs w:val="32"/>
        </w:rPr>
        <w:t xml:space="preserve"> 2020年7月17日</w:t>
      </w:r>
    </w:p>
    <w:p w14:paraId="4288EBE6">
      <w:pPr>
        <w:rPr>
          <w:rFonts w:eastAsia="仿宋_GB2312"/>
          <w:sz w:val="32"/>
        </w:rPr>
      </w:pPr>
    </w:p>
    <w:p w14:paraId="19CEA502">
      <w:pPr>
        <w:spacing w:line="580" w:lineRule="exact"/>
        <w:ind w:firstLine="640" w:firstLineChars="200"/>
        <w:rPr>
          <w:rFonts w:ascii="仿宋_GB2312" w:hAnsi="仿宋_GB2312" w:eastAsia="仿宋_GB2312" w:cs="仿宋_GB2312"/>
          <w:sz w:val="32"/>
          <w:szCs w:val="32"/>
        </w:rPr>
      </w:pPr>
    </w:p>
    <w:p w14:paraId="279CF806">
      <w:pPr>
        <w:pStyle w:val="2"/>
        <w:ind w:firstLine="640"/>
        <w:rPr>
          <w:rFonts w:ascii="仿宋_GB2312" w:hAnsi="仿宋_GB2312" w:eastAsia="仿宋_GB2312" w:cs="仿宋_GB2312"/>
          <w:sz w:val="32"/>
          <w:szCs w:val="32"/>
        </w:rPr>
      </w:pPr>
    </w:p>
    <w:p w14:paraId="4BE3BDCB">
      <w:pPr>
        <w:pStyle w:val="2"/>
        <w:ind w:firstLine="640"/>
        <w:rPr>
          <w:rFonts w:ascii="仿宋_GB2312" w:hAnsi="仿宋_GB2312" w:eastAsia="仿宋_GB2312" w:cs="仿宋_GB2312"/>
          <w:sz w:val="32"/>
          <w:szCs w:val="32"/>
        </w:rPr>
      </w:pPr>
    </w:p>
    <w:p w14:paraId="7AF4F6C0">
      <w:pPr>
        <w:pStyle w:val="2"/>
        <w:ind w:firstLine="640"/>
        <w:rPr>
          <w:rFonts w:ascii="仿宋_GB2312" w:hAnsi="仿宋_GB2312" w:eastAsia="仿宋_GB2312" w:cs="仿宋_GB2312"/>
          <w:sz w:val="32"/>
          <w:szCs w:val="32"/>
        </w:rPr>
      </w:pPr>
    </w:p>
    <w:p w14:paraId="22AB1412">
      <w:pPr>
        <w:pStyle w:val="2"/>
        <w:ind w:firstLine="640"/>
        <w:rPr>
          <w:rFonts w:ascii="仿宋_GB2312" w:hAnsi="仿宋_GB2312" w:eastAsia="仿宋_GB2312" w:cs="仿宋_GB2312"/>
          <w:sz w:val="32"/>
          <w:szCs w:val="32"/>
        </w:rPr>
      </w:pPr>
    </w:p>
    <w:p w14:paraId="182DB4CF">
      <w:pPr>
        <w:pStyle w:val="2"/>
        <w:ind w:firstLine="640"/>
        <w:rPr>
          <w:rFonts w:ascii="仿宋_GB2312" w:hAnsi="仿宋_GB2312" w:eastAsia="仿宋_GB2312" w:cs="仿宋_GB2312"/>
          <w:sz w:val="32"/>
          <w:szCs w:val="32"/>
        </w:rPr>
      </w:pPr>
    </w:p>
    <w:p w14:paraId="2C7E1A81">
      <w:pPr>
        <w:pStyle w:val="2"/>
        <w:ind w:firstLine="640"/>
        <w:rPr>
          <w:rFonts w:ascii="仿宋_GB2312" w:hAnsi="仿宋_GB2312" w:eastAsia="仿宋_GB2312" w:cs="仿宋_GB2312"/>
          <w:sz w:val="32"/>
          <w:szCs w:val="32"/>
        </w:rPr>
      </w:pPr>
    </w:p>
    <w:p w14:paraId="7CCB8E44">
      <w:pPr>
        <w:pStyle w:val="2"/>
        <w:ind w:firstLine="640"/>
        <w:rPr>
          <w:rFonts w:ascii="仿宋_GB2312" w:hAnsi="仿宋_GB2312" w:eastAsia="仿宋_GB2312" w:cs="仿宋_GB2312"/>
          <w:sz w:val="32"/>
          <w:szCs w:val="32"/>
        </w:rPr>
      </w:pPr>
    </w:p>
    <w:p w14:paraId="281DCAE1">
      <w:pPr>
        <w:pStyle w:val="2"/>
        <w:ind w:firstLine="640"/>
        <w:rPr>
          <w:rFonts w:ascii="仿宋_GB2312" w:hAnsi="仿宋_GB2312" w:eastAsia="仿宋_GB2312" w:cs="仿宋_GB2312"/>
          <w:sz w:val="32"/>
          <w:szCs w:val="32"/>
        </w:rPr>
      </w:pPr>
    </w:p>
    <w:p w14:paraId="19FCDD1A">
      <w:pPr>
        <w:pStyle w:val="2"/>
        <w:ind w:firstLine="640"/>
        <w:rPr>
          <w:rFonts w:ascii="仿宋_GB2312" w:hAnsi="仿宋_GB2312" w:eastAsia="仿宋_GB2312" w:cs="仿宋_GB2312"/>
          <w:sz w:val="32"/>
          <w:szCs w:val="32"/>
        </w:rPr>
      </w:pPr>
    </w:p>
    <w:p w14:paraId="14BAED3D">
      <w:pPr>
        <w:pStyle w:val="2"/>
        <w:ind w:firstLine="640"/>
        <w:rPr>
          <w:rFonts w:ascii="仿宋_GB2312" w:hAnsi="仿宋_GB2312" w:eastAsia="仿宋_GB2312" w:cs="仿宋_GB2312"/>
          <w:sz w:val="32"/>
          <w:szCs w:val="32"/>
        </w:rPr>
      </w:pPr>
    </w:p>
    <w:p w14:paraId="622BF8E0">
      <w:pPr>
        <w:pStyle w:val="2"/>
        <w:ind w:firstLine="640"/>
        <w:rPr>
          <w:rFonts w:ascii="仿宋_GB2312" w:hAnsi="仿宋_GB2312" w:eastAsia="仿宋_GB2312" w:cs="仿宋_GB2312"/>
          <w:sz w:val="32"/>
          <w:szCs w:val="32"/>
        </w:rPr>
      </w:pPr>
    </w:p>
    <w:p w14:paraId="4BF7A0A9">
      <w:pPr>
        <w:pStyle w:val="2"/>
        <w:ind w:firstLine="640"/>
        <w:rPr>
          <w:rFonts w:ascii="仿宋_GB2312" w:hAnsi="仿宋_GB2312" w:eastAsia="仿宋_GB2312" w:cs="仿宋_GB2312"/>
          <w:sz w:val="32"/>
          <w:szCs w:val="32"/>
        </w:rPr>
      </w:pPr>
    </w:p>
    <w:p w14:paraId="75DB53D3">
      <w:pPr>
        <w:spacing w:line="600" w:lineRule="exact"/>
        <w:jc w:val="left"/>
        <w:outlineLvl w:val="0"/>
        <w:rPr>
          <w:rFonts w:ascii="方正小标宋简体" w:hAnsi="方正小标宋简体" w:eastAsia="黑体" w:cs="方正小标宋简体"/>
          <w:sz w:val="32"/>
          <w:szCs w:val="32"/>
        </w:rPr>
      </w:pPr>
      <w:r>
        <w:rPr>
          <w:rFonts w:hint="eastAsia" w:ascii="黑体" w:hAnsi="黑体" w:eastAsia="黑体" w:cs="黑体"/>
          <w:sz w:val="32"/>
          <w:szCs w:val="32"/>
        </w:rPr>
        <w:t>附件2</w:t>
      </w:r>
    </w:p>
    <w:p w14:paraId="7A2BBD16">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松潘县应急管理局</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w:t>
      </w:r>
      <w:r>
        <w:rPr>
          <w:rFonts w:hint="eastAsia" w:ascii="方正小标宋简体" w:hAnsi="宋体" w:eastAsia="方正小标宋简体"/>
          <w:color w:val="000000"/>
          <w:kern w:val="0"/>
          <w:sz w:val="44"/>
          <w:szCs w:val="44"/>
          <w:lang w:eastAsia="zh-CN"/>
        </w:rPr>
        <w:t>年度</w:t>
      </w:r>
      <w:r>
        <w:rPr>
          <w:rFonts w:hint="eastAsia" w:ascii="方正小标宋简体" w:hAnsi="宋体" w:eastAsia="方正小标宋简体"/>
          <w:color w:val="000000"/>
          <w:kern w:val="0"/>
          <w:sz w:val="44"/>
          <w:szCs w:val="44"/>
          <w:lang w:val="zh-CN"/>
        </w:rPr>
        <w:t>绩效评价</w:t>
      </w:r>
    </w:p>
    <w:p w14:paraId="7B01E382">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报告</w:t>
      </w:r>
    </w:p>
    <w:p w14:paraId="1281EF6F">
      <w:pPr>
        <w:spacing w:line="600" w:lineRule="exact"/>
        <w:rPr>
          <w:rFonts w:ascii="宋体" w:hAnsi="宋体"/>
          <w:sz w:val="32"/>
          <w:szCs w:val="32"/>
          <w:lang w:val="zh-CN"/>
        </w:rPr>
      </w:pPr>
    </w:p>
    <w:p w14:paraId="1DCB3CE2">
      <w:pPr>
        <w:tabs>
          <w:tab w:val="left" w:pos="3885"/>
        </w:tabs>
        <w:snapToGrid w:val="0"/>
        <w:spacing w:line="600" w:lineRule="exact"/>
        <w:jc w:val="center"/>
        <w:rPr>
          <w:rFonts w:hAnsi="宋体" w:eastAsia="仿宋_GB2312"/>
          <w:sz w:val="32"/>
          <w:szCs w:val="32"/>
        </w:rPr>
      </w:pPr>
      <w:r>
        <w:rPr>
          <w:rFonts w:hint="eastAsia" w:hAnsi="宋体" w:eastAsia="仿宋_GB2312"/>
          <w:sz w:val="32"/>
          <w:szCs w:val="32"/>
        </w:rPr>
        <w:t>（2019年自然灾害救助资金</w:t>
      </w:r>
      <w:bookmarkStart w:id="77" w:name="_GoBack"/>
      <w:r>
        <w:rPr>
          <w:rFonts w:hint="eastAsia" w:hAnsi="宋体" w:eastAsia="仿宋_GB2312"/>
          <w:sz w:val="32"/>
          <w:szCs w:val="32"/>
        </w:rPr>
        <w:t>（</w:t>
      </w:r>
      <w:bookmarkEnd w:id="77"/>
      <w:r>
        <w:rPr>
          <w:rFonts w:hint="eastAsia" w:hAnsi="宋体" w:eastAsia="仿宋_GB2312"/>
          <w:sz w:val="32"/>
          <w:szCs w:val="32"/>
        </w:rPr>
        <w:t>冬春救助资金））</w:t>
      </w:r>
    </w:p>
    <w:p w14:paraId="18EB6F7D">
      <w:pPr>
        <w:spacing w:line="600" w:lineRule="exact"/>
        <w:ind w:firstLine="640"/>
        <w:jc w:val="center"/>
        <w:rPr>
          <w:rFonts w:ascii="宋体" w:hAnsi="宋体"/>
          <w:sz w:val="32"/>
          <w:szCs w:val="32"/>
          <w:lang w:val="zh-CN"/>
        </w:rPr>
      </w:pPr>
    </w:p>
    <w:p w14:paraId="1B20C988">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3E025F2">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项目资金申报</w:t>
      </w:r>
      <w:r>
        <w:rPr>
          <w:rFonts w:hint="eastAsia" w:ascii="仿宋_GB2312" w:hAnsi="宋体" w:eastAsia="仿宋_GB2312"/>
          <w:sz w:val="32"/>
          <w:szCs w:val="32"/>
        </w:rPr>
        <w:t>26万元，松潘县财政局发文（松财函</w:t>
      </w:r>
      <w:r>
        <w:rPr>
          <w:rFonts w:hint="eastAsia" w:ascii="仿宋_GB2312" w:hAnsi="宋体" w:eastAsia="仿宋_GB2312"/>
          <w:sz w:val="32"/>
          <w:szCs w:val="32"/>
          <w:lang w:eastAsia="zh-CN"/>
        </w:rPr>
        <w:t>〔2020〕47号</w:t>
      </w:r>
      <w:r>
        <w:rPr>
          <w:rFonts w:hint="eastAsia" w:ascii="仿宋_GB2312" w:hAnsi="宋体" w:eastAsia="仿宋_GB2312"/>
          <w:sz w:val="32"/>
          <w:szCs w:val="32"/>
        </w:rPr>
        <w:t>）下达资金。</w:t>
      </w:r>
      <w:r>
        <w:rPr>
          <w:rFonts w:hint="eastAsia" w:ascii="仿宋_GB2312" w:hAnsi="宋体" w:eastAsia="仿宋_GB2312"/>
          <w:sz w:val="32"/>
          <w:szCs w:val="32"/>
          <w:lang w:val="zh-CN"/>
        </w:rPr>
        <w:t>申报和批复符合资金管理办法等相关规定。</w:t>
      </w:r>
    </w:p>
    <w:p w14:paraId="591C8FF3">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项目主要内容：</w:t>
      </w:r>
      <w:r>
        <w:rPr>
          <w:rFonts w:hint="eastAsia" w:ascii="仿宋_GB2312" w:hAnsi="宋体" w:eastAsia="仿宋_GB2312"/>
          <w:sz w:val="32"/>
          <w:szCs w:val="32"/>
        </w:rPr>
        <w:t>2019年受灾困难群众冬春救助资金26万元。</w:t>
      </w: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rPr>
        <w:t>：帮助</w:t>
      </w:r>
      <w:r>
        <w:rPr>
          <w:rFonts w:hint="eastAsia" w:ascii="仿宋_GB2312" w:hAnsi="宋体" w:eastAsia="仿宋_GB2312"/>
          <w:sz w:val="32"/>
          <w:szCs w:val="32"/>
          <w:lang w:eastAsia="zh-CN"/>
        </w:rPr>
        <w:t>困难群众</w:t>
      </w:r>
      <w:r>
        <w:rPr>
          <w:rFonts w:hint="eastAsia" w:ascii="仿宋_GB2312" w:hAnsi="宋体" w:eastAsia="仿宋_GB2312"/>
          <w:sz w:val="32"/>
          <w:szCs w:val="32"/>
        </w:rPr>
        <w:t>解决突发事件保障基本生活，发放 2019年全额资助全县临时救助资金26元。</w:t>
      </w:r>
      <w:r>
        <w:rPr>
          <w:rFonts w:hint="eastAsia" w:ascii="仿宋_GB2312" w:hAnsi="宋体" w:eastAsia="仿宋_GB2312"/>
          <w:sz w:val="32"/>
          <w:szCs w:val="32"/>
          <w:lang w:val="zh-CN"/>
        </w:rPr>
        <w:t>按照救助资金发放程序，于</w:t>
      </w:r>
      <w:r>
        <w:rPr>
          <w:rFonts w:hint="eastAsia" w:ascii="仿宋_GB2312" w:hAnsi="宋体" w:eastAsia="仿宋_GB2312"/>
          <w:sz w:val="32"/>
          <w:szCs w:val="32"/>
        </w:rPr>
        <w:t>2020年1月完成资金拨付到各乡镇</w:t>
      </w:r>
      <w:r>
        <w:rPr>
          <w:rFonts w:hint="eastAsia" w:ascii="仿宋_GB2312" w:hAnsi="宋体" w:eastAsia="仿宋_GB2312"/>
          <w:sz w:val="32"/>
          <w:szCs w:val="32"/>
          <w:lang w:val="zh-CN"/>
        </w:rPr>
        <w:t>。各乡镇及时足额通过信用社加密文件发放给困难群众。项目资金全部用于全县困难对象进行的补助，共计</w:t>
      </w:r>
      <w:r>
        <w:rPr>
          <w:rFonts w:hint="eastAsia" w:ascii="仿宋_GB2312" w:hAnsi="宋体" w:eastAsia="仿宋_GB2312"/>
          <w:sz w:val="32"/>
          <w:szCs w:val="32"/>
        </w:rPr>
        <w:t>26</w:t>
      </w:r>
      <w:r>
        <w:rPr>
          <w:rFonts w:hint="eastAsia" w:ascii="仿宋_GB2312" w:hAnsi="宋体" w:eastAsia="仿宋_GB2312"/>
          <w:sz w:val="32"/>
          <w:szCs w:val="32"/>
          <w:lang w:val="zh-CN"/>
        </w:rPr>
        <w:t>万元。支付进度完成</w:t>
      </w:r>
      <w:r>
        <w:rPr>
          <w:rFonts w:hint="eastAsia" w:ascii="仿宋_GB2312" w:hAnsi="宋体" w:eastAsia="仿宋_GB2312"/>
          <w:sz w:val="32"/>
          <w:szCs w:val="32"/>
        </w:rPr>
        <w:t>100%</w:t>
      </w:r>
      <w:r>
        <w:rPr>
          <w:rFonts w:hint="eastAsia" w:ascii="仿宋_GB2312" w:hAnsi="宋体" w:eastAsia="仿宋_GB2312"/>
          <w:sz w:val="32"/>
          <w:szCs w:val="32"/>
          <w:lang w:val="zh-CN"/>
        </w:rPr>
        <w:t>。</w:t>
      </w:r>
    </w:p>
    <w:p w14:paraId="37CB51B7">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说明项目申报内容是否与具体实施内容相符、申报目标是否合理可行等。</w:t>
      </w:r>
    </w:p>
    <w:p w14:paraId="0E0ABDA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14:paraId="4D1AD09D">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14:paraId="18C1F72C">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楷体_GB2312"/>
          <w:sz w:val="32"/>
          <w:szCs w:val="32"/>
        </w:rPr>
        <w:t xml:space="preserve"> 2019年自然灾害救灾资金（阿州财建</w:t>
      </w:r>
      <w:r>
        <w:rPr>
          <w:rFonts w:hint="eastAsia" w:ascii="宋体" w:hAnsi="宋体" w:cs="宋体"/>
          <w:sz w:val="32"/>
          <w:szCs w:val="32"/>
        </w:rPr>
        <w:t>〔2020〕5号</w:t>
      </w:r>
      <w:r>
        <w:rPr>
          <w:rFonts w:hint="eastAsia" w:ascii="仿宋_GB2312" w:hAnsi="宋体" w:eastAsia="楷体_GB2312"/>
          <w:sz w:val="32"/>
          <w:szCs w:val="32"/>
        </w:rPr>
        <w:t>）26万元。</w:t>
      </w:r>
      <w:r>
        <w:rPr>
          <w:rFonts w:hint="eastAsia" w:ascii="仿宋_GB2312" w:hAnsi="宋体" w:eastAsia="仿宋_GB2312"/>
          <w:sz w:val="32"/>
          <w:szCs w:val="32"/>
          <w:lang w:val="zh-CN"/>
        </w:rPr>
        <w:t>项目资金到位</w:t>
      </w:r>
      <w:r>
        <w:rPr>
          <w:rFonts w:hint="eastAsia" w:ascii="仿宋_GB2312" w:hAnsi="宋体" w:eastAsia="仿宋_GB2312"/>
          <w:sz w:val="32"/>
          <w:szCs w:val="32"/>
        </w:rPr>
        <w:t>100%</w:t>
      </w:r>
      <w:r>
        <w:rPr>
          <w:rFonts w:hint="eastAsia" w:ascii="仿宋_GB2312" w:hAnsi="宋体" w:eastAsia="仿宋_GB2312"/>
          <w:sz w:val="32"/>
          <w:szCs w:val="32"/>
          <w:lang w:val="zh-CN"/>
        </w:rPr>
        <w:t>。</w:t>
      </w:r>
    </w:p>
    <w:p w14:paraId="6434082E">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资金支付范围为</w:t>
      </w:r>
      <w:r>
        <w:rPr>
          <w:rFonts w:hint="eastAsia" w:ascii="仿宋_GB2312" w:hAnsi="宋体" w:eastAsia="仿宋_GB2312"/>
          <w:sz w:val="32"/>
          <w:szCs w:val="32"/>
        </w:rPr>
        <w:t>2019年受灾各乡镇，</w:t>
      </w:r>
      <w:r>
        <w:rPr>
          <w:rFonts w:hint="eastAsia" w:ascii="仿宋_GB2312" w:hAnsi="宋体" w:eastAsia="仿宋_GB2312"/>
          <w:sz w:val="32"/>
          <w:szCs w:val="32"/>
          <w:lang w:val="zh-CN"/>
        </w:rPr>
        <w:t>项目资金全部用于全县困难对象进行的补助，共计</w:t>
      </w:r>
      <w:r>
        <w:rPr>
          <w:rFonts w:hint="eastAsia" w:ascii="仿宋_GB2312" w:hAnsi="宋体" w:eastAsia="仿宋_GB2312"/>
          <w:sz w:val="32"/>
          <w:szCs w:val="32"/>
        </w:rPr>
        <w:t>26</w:t>
      </w:r>
      <w:r>
        <w:rPr>
          <w:rFonts w:hint="eastAsia" w:ascii="仿宋_GB2312" w:hAnsi="宋体" w:eastAsia="仿宋_GB2312"/>
          <w:sz w:val="32"/>
          <w:szCs w:val="32"/>
          <w:lang w:val="zh-CN"/>
        </w:rPr>
        <w:t>万元。支付进度完成</w:t>
      </w:r>
      <w:r>
        <w:rPr>
          <w:rFonts w:hint="eastAsia" w:ascii="仿宋_GB2312" w:hAnsi="宋体" w:eastAsia="仿宋_GB2312"/>
          <w:sz w:val="32"/>
          <w:szCs w:val="32"/>
        </w:rPr>
        <w:t>100%</w:t>
      </w:r>
      <w:r>
        <w:rPr>
          <w:rFonts w:hint="eastAsia" w:ascii="仿宋_GB2312" w:hAnsi="宋体" w:eastAsia="仿宋_GB2312"/>
          <w:sz w:val="32"/>
          <w:szCs w:val="32"/>
          <w:lang w:val="zh-CN"/>
        </w:rPr>
        <w:t>。支付依据合规合法，与预算相符。</w:t>
      </w:r>
    </w:p>
    <w:p w14:paraId="3B2ACB9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73D0410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松潘县应急管理监督财务管理制度健全，严格执行财务管理制度，账务处理及时，会计核算规范。</w:t>
      </w:r>
    </w:p>
    <w:p w14:paraId="175AC09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0F9A6899">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松潘县应急局</w:t>
      </w:r>
      <w:r>
        <w:rPr>
          <w:rFonts w:hint="eastAsia" w:ascii="仿宋_GB2312" w:hAnsi="宋体" w:eastAsia="仿宋_GB2312"/>
          <w:sz w:val="32"/>
          <w:szCs w:val="32"/>
          <w:lang w:val="zh-CN"/>
        </w:rPr>
        <w:t>组织机构健全，实施依据完善。由县应急局提出预算，由县财政局进行审核，县应急局根据各乡镇</w:t>
      </w:r>
      <w:r>
        <w:rPr>
          <w:rFonts w:hint="eastAsia" w:ascii="仿宋_GB2312" w:hAnsi="宋体" w:eastAsia="仿宋_GB2312"/>
          <w:sz w:val="32"/>
          <w:szCs w:val="32"/>
        </w:rPr>
        <w:t>2019年的受灾情况和资金需求上报情况</w:t>
      </w:r>
      <w:r>
        <w:rPr>
          <w:rFonts w:hint="eastAsia" w:ascii="仿宋_GB2312" w:hAnsi="宋体" w:eastAsia="仿宋_GB2312"/>
          <w:sz w:val="32"/>
          <w:szCs w:val="32"/>
          <w:lang w:val="zh-CN"/>
        </w:rPr>
        <w:t>审核拨付到各乡镇，各乡镇及时足额通过信用社加密文件发放给困难群众。</w:t>
      </w:r>
    </w:p>
    <w:p w14:paraId="31AB7AF8">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1A99373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2E7F886">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按照救助资金发放程序，于</w:t>
      </w:r>
      <w:r>
        <w:rPr>
          <w:rFonts w:hint="eastAsia" w:ascii="仿宋_GB2312" w:hAnsi="宋体" w:eastAsia="仿宋_GB2312"/>
          <w:sz w:val="32"/>
          <w:szCs w:val="32"/>
        </w:rPr>
        <w:t>2020年1月完成资金拨付到各乡镇</w:t>
      </w:r>
      <w:r>
        <w:rPr>
          <w:rFonts w:hint="eastAsia" w:ascii="仿宋_GB2312" w:hAnsi="宋体" w:eastAsia="仿宋_GB2312"/>
          <w:sz w:val="32"/>
          <w:szCs w:val="32"/>
          <w:lang w:val="zh-CN"/>
        </w:rPr>
        <w:t>。各乡镇及时足额通过信用社加密文件发放给困难群众，共计</w:t>
      </w:r>
      <w:r>
        <w:rPr>
          <w:rFonts w:hint="eastAsia" w:ascii="仿宋_GB2312" w:hAnsi="宋体" w:eastAsia="仿宋_GB2312"/>
          <w:sz w:val="32"/>
          <w:szCs w:val="32"/>
        </w:rPr>
        <w:t>26万元</w:t>
      </w:r>
      <w:r>
        <w:rPr>
          <w:rFonts w:hint="eastAsia" w:ascii="仿宋_GB2312" w:hAnsi="宋体" w:eastAsia="仿宋_GB2312"/>
          <w:sz w:val="32"/>
          <w:szCs w:val="32"/>
          <w:lang w:val="zh-CN"/>
        </w:rPr>
        <w:t>。</w:t>
      </w:r>
    </w:p>
    <w:p w14:paraId="1835E15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_GB2312" w:hAnsi="宋体" w:eastAsia="仿宋_GB2312"/>
          <w:sz w:val="32"/>
          <w:szCs w:val="32"/>
        </w:rPr>
        <w:t>1.</w:t>
      </w:r>
      <w:r>
        <w:rPr>
          <w:rFonts w:hint="eastAsia" w:ascii="仿宋_GB2312" w:hAnsi="宋体" w:eastAsia="仿宋_GB2312"/>
          <w:sz w:val="32"/>
          <w:szCs w:val="32"/>
          <w:lang w:val="zh-CN"/>
        </w:rPr>
        <w:t>项目资金全部拨付到位，确保了全县临时救助对象的权益。</w:t>
      </w:r>
    </w:p>
    <w:p w14:paraId="66132E2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项目实施对经济和社会的影响。缓解了困难群众的救助难问题，确保人人享有基本生活保障的权利，促进了社会公平正义与和谐进步。</w:t>
      </w:r>
    </w:p>
    <w:p w14:paraId="08DDC98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14:paraId="3F8957E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12FED9B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无。</w:t>
      </w:r>
    </w:p>
    <w:p w14:paraId="55F236CA">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（二）相关建议。</w:t>
      </w:r>
      <w:r>
        <w:rPr>
          <w:rFonts w:hint="eastAsia" w:ascii="仿宋_GB2312" w:hAnsi="宋体" w:eastAsia="仿宋_GB2312"/>
          <w:sz w:val="32"/>
          <w:szCs w:val="32"/>
          <w:lang w:val="zh-CN"/>
        </w:rPr>
        <w:t>无。</w:t>
      </w:r>
    </w:p>
    <w:p w14:paraId="482CB4E8">
      <w:pPr>
        <w:rPr>
          <w:rFonts w:eastAsia="仿宋_GB2312"/>
          <w:sz w:val="32"/>
          <w:szCs w:val="32"/>
        </w:rPr>
      </w:pPr>
    </w:p>
    <w:p w14:paraId="7624F3BB">
      <w:pPr>
        <w:ind w:firstLine="5120" w:firstLineChars="1600"/>
        <w:rPr>
          <w:rFonts w:eastAsia="仿宋_GB2312"/>
          <w:sz w:val="32"/>
          <w:szCs w:val="32"/>
        </w:rPr>
      </w:pPr>
      <w:r>
        <w:rPr>
          <w:rFonts w:hint="eastAsia" w:eastAsia="仿宋_GB2312"/>
          <w:sz w:val="32"/>
          <w:szCs w:val="32"/>
        </w:rPr>
        <w:t>松潘县应急管理局</w:t>
      </w:r>
    </w:p>
    <w:p w14:paraId="02A749C5">
      <w:pPr>
        <w:ind w:firstLine="5120" w:firstLineChars="1600"/>
        <w:rPr>
          <w:rFonts w:eastAsia="仿宋_GB2312"/>
          <w:sz w:val="32"/>
          <w:szCs w:val="32"/>
        </w:rPr>
      </w:pPr>
      <w:r>
        <w:rPr>
          <w:rFonts w:hint="eastAsia" w:eastAsia="仿宋_GB2312"/>
          <w:sz w:val="32"/>
          <w:szCs w:val="32"/>
        </w:rPr>
        <w:t>2020年8月31日</w:t>
      </w:r>
    </w:p>
    <w:p w14:paraId="66C5AF5B">
      <w:pPr>
        <w:rPr>
          <w:rFonts w:eastAsia="仿宋_GB2312"/>
          <w:sz w:val="32"/>
          <w:szCs w:val="32"/>
        </w:rPr>
      </w:pPr>
    </w:p>
    <w:p w14:paraId="48E51705">
      <w:pPr>
        <w:adjustRightInd w:val="0"/>
        <w:snapToGrid w:val="0"/>
        <w:spacing w:line="600" w:lineRule="exact"/>
        <w:ind w:firstLine="720"/>
        <w:rPr>
          <w:rFonts w:ascii="仿宋_GB2312" w:hAnsi="宋体" w:eastAsia="仿宋_GB2312"/>
          <w:sz w:val="32"/>
          <w:szCs w:val="32"/>
          <w:lang w:val="zh-CN"/>
        </w:rPr>
      </w:pPr>
    </w:p>
    <w:p w14:paraId="17B0E6F2">
      <w:pPr>
        <w:rPr>
          <w:rFonts w:eastAsia="仿宋_GB2312"/>
          <w:sz w:val="32"/>
          <w:szCs w:val="32"/>
        </w:rPr>
      </w:pPr>
    </w:p>
    <w:p w14:paraId="78989A5E">
      <w:pPr>
        <w:spacing w:line="580" w:lineRule="exact"/>
        <w:ind w:firstLine="640"/>
        <w:rPr>
          <w:rFonts w:ascii="仿宋_GB2312" w:hAnsi="仿宋_GB2312" w:eastAsia="仿宋_GB2312" w:cs="仿宋_GB2312"/>
          <w:sz w:val="32"/>
          <w:szCs w:val="32"/>
        </w:rPr>
      </w:pPr>
    </w:p>
    <w:p w14:paraId="1166FACB">
      <w:pPr>
        <w:spacing w:line="580" w:lineRule="exact"/>
        <w:ind w:firstLine="640"/>
        <w:rPr>
          <w:rFonts w:ascii="仿宋_GB2312" w:hAnsi="仿宋_GB2312" w:eastAsia="仿宋_GB2312" w:cs="仿宋_GB2312"/>
          <w:sz w:val="32"/>
          <w:szCs w:val="32"/>
        </w:rPr>
      </w:pPr>
    </w:p>
    <w:p w14:paraId="36AFEDED">
      <w:pPr>
        <w:widowControl/>
        <w:jc w:val="left"/>
        <w:rPr>
          <w:rStyle w:val="28"/>
          <w:rFonts w:ascii="黑体" w:hAnsi="黑体" w:eastAsia="黑体"/>
          <w:b w:val="0"/>
        </w:rPr>
      </w:pPr>
    </w:p>
    <w:p w14:paraId="16476F12">
      <w:pPr>
        <w:widowControl/>
        <w:jc w:val="left"/>
        <w:rPr>
          <w:rStyle w:val="28"/>
          <w:rFonts w:ascii="黑体" w:hAnsi="黑体" w:eastAsia="黑体"/>
          <w:b w:val="0"/>
        </w:rPr>
      </w:pPr>
      <w:r>
        <w:rPr>
          <w:rStyle w:val="28"/>
          <w:rFonts w:ascii="黑体" w:hAnsi="黑体" w:eastAsia="黑体"/>
          <w:b w:val="0"/>
        </w:rPr>
        <w:br w:type="page"/>
      </w:r>
    </w:p>
    <w:p w14:paraId="4D7CD470">
      <w:pPr>
        <w:spacing w:line="600" w:lineRule="exact"/>
        <w:jc w:val="center"/>
        <w:outlineLvl w:val="0"/>
        <w:rPr>
          <w:rStyle w:val="28"/>
          <w:rFonts w:ascii="黑体" w:hAnsi="黑体" w:eastAsia="黑体"/>
          <w:b w:val="0"/>
        </w:rPr>
      </w:pPr>
    </w:p>
    <w:p w14:paraId="48EEB0CB">
      <w:pPr>
        <w:spacing w:line="600" w:lineRule="exact"/>
        <w:jc w:val="center"/>
        <w:outlineLvl w:val="0"/>
        <w:rPr>
          <w:rStyle w:val="28"/>
          <w:rFonts w:ascii="黑体" w:hAnsi="黑体" w:eastAsia="黑体"/>
          <w:b w:val="0"/>
        </w:rPr>
      </w:pPr>
      <w:bookmarkStart w:id="63"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61"/>
      <w:bookmarkEnd w:id="63"/>
    </w:p>
    <w:p w14:paraId="08012900">
      <w:pPr>
        <w:spacing w:line="600" w:lineRule="exact"/>
        <w:jc w:val="center"/>
        <w:outlineLvl w:val="0"/>
        <w:rPr>
          <w:rFonts w:ascii="仿宋" w:hAnsi="仿宋" w:eastAsia="仿宋"/>
          <w:b/>
          <w:color w:val="000000"/>
          <w:sz w:val="44"/>
          <w:szCs w:val="44"/>
        </w:rPr>
      </w:pPr>
    </w:p>
    <w:p w14:paraId="2F8EA2E4">
      <w:pPr>
        <w:pStyle w:val="5"/>
        <w:rPr>
          <w:rFonts w:ascii="仿宋" w:hAnsi="仿宋" w:eastAsia="仿宋"/>
          <w:color w:val="000000"/>
        </w:rPr>
      </w:pPr>
      <w:bookmarkStart w:id="64"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4"/>
    </w:p>
    <w:p w14:paraId="0E0BE005">
      <w:pPr>
        <w:pStyle w:val="5"/>
        <w:rPr>
          <w:rFonts w:ascii="仿宋" w:hAnsi="仿宋" w:eastAsia="仿宋"/>
          <w:color w:val="000000"/>
        </w:rPr>
      </w:pPr>
      <w:bookmarkStart w:id="65"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65"/>
    </w:p>
    <w:p w14:paraId="789DD576">
      <w:pPr>
        <w:pStyle w:val="5"/>
        <w:rPr>
          <w:rFonts w:ascii="仿宋" w:hAnsi="仿宋" w:eastAsia="仿宋"/>
          <w:color w:val="000000"/>
        </w:rPr>
      </w:pPr>
      <w:bookmarkStart w:id="66"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6"/>
    </w:p>
    <w:p w14:paraId="5A13122B">
      <w:pPr>
        <w:pStyle w:val="5"/>
        <w:rPr>
          <w:rFonts w:ascii="仿宋" w:hAnsi="仿宋" w:eastAsia="仿宋"/>
          <w:b w:val="0"/>
          <w:color w:val="000000"/>
        </w:rPr>
      </w:pPr>
      <w:bookmarkStart w:id="67"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7"/>
    </w:p>
    <w:p w14:paraId="28ACD0AB">
      <w:pPr>
        <w:pStyle w:val="5"/>
        <w:rPr>
          <w:rStyle w:val="29"/>
          <w:rFonts w:ascii="仿宋" w:hAnsi="仿宋" w:eastAsia="仿宋"/>
          <w:b w:val="0"/>
          <w:bCs w:val="0"/>
        </w:rPr>
      </w:pPr>
      <w:bookmarkStart w:id="68"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8"/>
      <w:bookmarkStart w:id="69" w:name="_Toc15396624"/>
    </w:p>
    <w:p w14:paraId="08CDE9D2">
      <w:pPr>
        <w:pStyle w:val="5"/>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9"/>
    </w:p>
    <w:p w14:paraId="5E8FCB85">
      <w:pPr>
        <w:pStyle w:val="5"/>
        <w:rPr>
          <w:rFonts w:ascii="仿宋" w:hAnsi="仿宋" w:eastAsia="仿宋"/>
          <w:color w:val="000000"/>
        </w:rPr>
      </w:pPr>
      <w:bookmarkStart w:id="70"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70"/>
    </w:p>
    <w:p w14:paraId="4D7F89ED">
      <w:pPr>
        <w:pStyle w:val="5"/>
        <w:rPr>
          <w:rFonts w:ascii="仿宋" w:hAnsi="仿宋" w:eastAsia="仿宋"/>
          <w:color w:val="000000"/>
        </w:rPr>
      </w:pPr>
      <w:bookmarkStart w:id="71"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71"/>
    </w:p>
    <w:p w14:paraId="30DB366B">
      <w:pPr>
        <w:pStyle w:val="5"/>
        <w:rPr>
          <w:rFonts w:ascii="仿宋" w:hAnsi="仿宋" w:eastAsia="仿宋"/>
          <w:color w:val="000000"/>
        </w:rPr>
      </w:pPr>
      <w:bookmarkStart w:id="72"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72"/>
    </w:p>
    <w:p w14:paraId="64C3813C">
      <w:pPr>
        <w:pStyle w:val="5"/>
        <w:rPr>
          <w:rFonts w:ascii="仿宋" w:hAnsi="仿宋" w:eastAsia="仿宋"/>
          <w:color w:val="000000"/>
        </w:rPr>
      </w:pPr>
      <w:bookmarkStart w:id="73"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73"/>
    </w:p>
    <w:p w14:paraId="3B41B6E2">
      <w:pPr>
        <w:pStyle w:val="5"/>
        <w:rPr>
          <w:rFonts w:ascii="仿宋" w:hAnsi="仿宋" w:eastAsia="仿宋"/>
          <w:color w:val="000000"/>
        </w:rPr>
      </w:pPr>
      <w:bookmarkStart w:id="74"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4"/>
    </w:p>
    <w:p w14:paraId="6311DF01">
      <w:pPr>
        <w:pStyle w:val="5"/>
        <w:rPr>
          <w:rFonts w:ascii="仿宋" w:hAnsi="仿宋" w:eastAsia="仿宋"/>
          <w:color w:val="000000"/>
        </w:rPr>
      </w:pPr>
      <w:bookmarkStart w:id="75"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5"/>
    </w:p>
    <w:p w14:paraId="3FA52093">
      <w:pPr>
        <w:pStyle w:val="5"/>
        <w:rPr>
          <w:rFonts w:ascii="仿宋" w:hAnsi="仿宋" w:eastAsia="仿宋"/>
          <w:color w:val="000000" w:themeColor="text1"/>
          <w14:textFill>
            <w14:solidFill>
              <w14:schemeClr w14:val="tx1"/>
            </w14:solidFill>
          </w14:textFill>
        </w:rPr>
      </w:pPr>
      <w:bookmarkStart w:id="76"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02DE9-12D4-497B-8A7E-CB7F3CB893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8ECC50-4BEF-46F3-A343-F85784ACDBC7}"/>
  </w:font>
  <w:font w:name="Cambria">
    <w:panose1 w:val="02040503050406030204"/>
    <w:charset w:val="00"/>
    <w:family w:val="roman"/>
    <w:pitch w:val="default"/>
    <w:sig w:usb0="E00006FF" w:usb1="420024FF" w:usb2="02000000" w:usb3="00000000" w:csb0="2000019F" w:csb1="00000000"/>
    <w:embedRegular r:id="rId3" w:fontKey="{0083B689-F885-4929-B73E-A4EC6FB53D2C}"/>
  </w:font>
  <w:font w:name="仿宋_GB2312">
    <w:panose1 w:val="02010609030101010101"/>
    <w:charset w:val="86"/>
    <w:family w:val="modern"/>
    <w:pitch w:val="default"/>
    <w:sig w:usb0="00000001" w:usb1="080E0000" w:usb2="00000000" w:usb3="00000000" w:csb0="00040000" w:csb1="00000000"/>
    <w:embedRegular r:id="rId4" w:fontKey="{297079C1-152F-424F-8AF4-E7F44597E38C}"/>
  </w:font>
  <w:font w:name="仿宋">
    <w:panose1 w:val="02010609060101010101"/>
    <w:charset w:val="86"/>
    <w:family w:val="modern"/>
    <w:pitch w:val="default"/>
    <w:sig w:usb0="800002BF" w:usb1="38CF7CFA" w:usb2="00000016" w:usb3="00000000" w:csb0="00040001" w:csb1="00000000"/>
    <w:embedRegular r:id="rId5" w:fontKey="{7FC4A840-4EAC-46DE-B797-4337CA4656C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embedRegular r:id="rId6" w:fontKey="{D1E4DFB4-E580-4DBC-B5F4-F7B1FC440243}"/>
  </w:font>
  <w:font w:name="楷体_GB2312">
    <w:panose1 w:val="02010609030101010101"/>
    <w:charset w:val="86"/>
    <w:family w:val="modern"/>
    <w:pitch w:val="default"/>
    <w:sig w:usb0="00000001" w:usb1="080E0000" w:usb2="00000000" w:usb3="00000000" w:csb0="00040000" w:csb1="00000000"/>
    <w:embedRegular r:id="rId7" w:fontKey="{666417EE-F2B0-4A28-8123-DF2BDA70F801}"/>
  </w:font>
  <w:font w:name="新宋体">
    <w:panose1 w:val="02010609030101010101"/>
    <w:charset w:val="86"/>
    <w:family w:val="modern"/>
    <w:pitch w:val="default"/>
    <w:sig w:usb0="00000283" w:usb1="288F0000" w:usb2="00000006" w:usb3="00000000" w:csb0="00040001" w:csb1="00000000"/>
    <w:embedRegular r:id="rId8" w:fontKey="{461871A6-F78B-4451-9A5E-E49EE8664E1F}"/>
  </w:font>
  <w:font w:name="方正楷体简体">
    <w:altName w:val="楷体_GB2312"/>
    <w:panose1 w:val="02010601030101010101"/>
    <w:charset w:val="86"/>
    <w:family w:val="auto"/>
    <w:pitch w:val="default"/>
    <w:sig w:usb0="00000000" w:usb1="00000000" w:usb2="00000010" w:usb3="00000000" w:csb0="00040000" w:csb1="00000000"/>
    <w:embedRegular r:id="rId9" w:fontKey="{979D162A-DF10-46FC-B02D-BFFE1F78CB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DB5F709">
        <w:pPr>
          <w:pStyle w:val="10"/>
          <w:jc w:val="center"/>
        </w:pPr>
        <w:r>
          <w:fldChar w:fldCharType="begin"/>
        </w:r>
        <w:r>
          <w:instrText xml:space="preserve">PAGE   \* MERGEFORMAT</w:instrText>
        </w:r>
        <w:r>
          <w:fldChar w:fldCharType="separate"/>
        </w:r>
        <w:r>
          <w:rPr>
            <w:lang w:val="zh-CN"/>
          </w:rPr>
          <w:t>24</w:t>
        </w:r>
        <w:r>
          <w:fldChar w:fldCharType="end"/>
        </w:r>
      </w:p>
    </w:sdtContent>
  </w:sdt>
  <w:p w14:paraId="78D2F6D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470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381A"/>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55790"/>
    <w:rsid w:val="0036561B"/>
    <w:rsid w:val="0037013F"/>
    <w:rsid w:val="00380C92"/>
    <w:rsid w:val="003A484F"/>
    <w:rsid w:val="003A4883"/>
    <w:rsid w:val="003B0BE0"/>
    <w:rsid w:val="003B0C1B"/>
    <w:rsid w:val="003B688C"/>
    <w:rsid w:val="003C0291"/>
    <w:rsid w:val="003C30FE"/>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E2310"/>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1C09"/>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6874"/>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17A0"/>
    <w:rsid w:val="00A331C8"/>
    <w:rsid w:val="00A35117"/>
    <w:rsid w:val="00A40A00"/>
    <w:rsid w:val="00A4142F"/>
    <w:rsid w:val="00A422EB"/>
    <w:rsid w:val="00A45BB7"/>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56C2CF3"/>
    <w:rsid w:val="16BB723D"/>
    <w:rsid w:val="192B0CFB"/>
    <w:rsid w:val="19F71E93"/>
    <w:rsid w:val="1A4954C7"/>
    <w:rsid w:val="1F130856"/>
    <w:rsid w:val="240371BF"/>
    <w:rsid w:val="28D74EDD"/>
    <w:rsid w:val="29FD04D3"/>
    <w:rsid w:val="2C3F2F9B"/>
    <w:rsid w:val="319F7F4E"/>
    <w:rsid w:val="452F4FBA"/>
    <w:rsid w:val="4ECE2238"/>
    <w:rsid w:val="530C0A70"/>
    <w:rsid w:val="53C339A9"/>
    <w:rsid w:val="6991706F"/>
    <w:rsid w:val="6BC9617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firstLine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Emphasis"/>
    <w:basedOn w:val="15"/>
    <w:qFormat/>
    <w:uiPriority w:val="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Char"/>
    <w:basedOn w:val="1"/>
    <w:qFormat/>
    <w:uiPriority w:val="0"/>
    <w:pPr>
      <w:spacing w:line="360" w:lineRule="auto"/>
    </w:p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4"/>
    <w:qFormat/>
    <w:uiPriority w:val="9"/>
    <w:rPr>
      <w:rFonts w:ascii="Times New Roman" w:hAnsi="Times New Roman"/>
      <w:b/>
      <w:bCs/>
      <w:kern w:val="44"/>
      <w:sz w:val="44"/>
      <w:szCs w:val="44"/>
    </w:rPr>
  </w:style>
  <w:style w:type="character" w:customStyle="1" w:styleId="29">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9"/>
    <w:semiHidden/>
    <w:qFormat/>
    <w:uiPriority w:val="99"/>
    <w:rPr>
      <w:rFonts w:ascii="Times New Roman" w:hAnsi="Times New Roman"/>
      <w:kern w:val="2"/>
      <w:sz w:val="18"/>
      <w:szCs w:val="18"/>
    </w:rPr>
  </w:style>
  <w:style w:type="character" w:customStyle="1" w:styleId="32">
    <w:name w:val="标题 3 字符"/>
    <w:basedOn w:val="15"/>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标题3"/>
    <w:basedOn w:val="4"/>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[工作簿1]Sheet1!$B$1:$B$2</c:f>
              <c:strCache>
                <c:ptCount val="1"/>
                <c:pt idx="0">
                  <c:v>收、支决算总计变动情况图 单位：万元  </c:v>
                </c:pt>
              </c:strCache>
            </c:strRef>
          </c:tx>
          <c:spPr>
            <a:solidFill>
              <a:schemeClr val="accent1"/>
            </a:solidFill>
            <a:ln>
              <a:noFill/>
            </a:ln>
            <a:effectLst/>
          </c:spPr>
          <c:invertIfNegative val="0"/>
          <c:dLbls>
            <c:delete val="1"/>
          </c:dLbls>
          <c:cat>
            <c:strRef>
              <c:f>[工作簿1]Sheet1!$A$3:$A$5</c:f>
              <c:strCache>
                <c:ptCount val="3"/>
                <c:pt idx="0">
                  <c:v>2018</c:v>
                </c:pt>
                <c:pt idx="1">
                  <c:v>2019</c:v>
                </c:pt>
                <c:pt idx="2">
                  <c:v> </c:v>
                </c:pt>
              </c:strCache>
            </c:strRef>
          </c:cat>
          <c:val>
            <c:numRef>
              <c:f>[工作簿1]Sheet1!$B$3:$B$5</c:f>
              <c:numCache>
                <c:formatCode>General</c:formatCode>
                <c:ptCount val="3"/>
                <c:pt idx="0">
                  <c:v>294.42</c:v>
                </c:pt>
                <c:pt idx="1">
                  <c:v>826.23</c:v>
                </c:pt>
              </c:numCache>
            </c:numRef>
          </c:val>
        </c:ser>
        <c:dLbls>
          <c:showLegendKey val="0"/>
          <c:showVal val="0"/>
          <c:showCatName val="0"/>
          <c:showSerName val="0"/>
          <c:showPercent val="0"/>
          <c:showBubbleSize val="0"/>
        </c:dLbls>
        <c:gapWidth val="219"/>
        <c:overlap val="-27"/>
        <c:axId val="402103997"/>
        <c:axId val="220676799"/>
      </c:barChart>
      <c:catAx>
        <c:axId val="40210399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676799"/>
        <c:crosses val="autoZero"/>
        <c:auto val="1"/>
        <c:lblAlgn val="ctr"/>
        <c:lblOffset val="100"/>
        <c:noMultiLvlLbl val="0"/>
      </c:catAx>
      <c:valAx>
        <c:axId val="22067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3997"/>
        <c:crosses val="autoZero"/>
        <c:crossBetween val="between"/>
      </c:valAx>
      <c:spPr>
        <a:noFill/>
        <a:ln>
          <a:noFill/>
        </a:ln>
        <a:effectLst/>
      </c:spPr>
    </c:plotArea>
    <c:plotVisOnly val="1"/>
    <c:dispBlanksAs val="gap"/>
    <c:showDLblsOverMax val="0"/>
    <c:extLst>
      <c:ext uri="{0b15fc19-7d7d-44ad-8c2d-2c3a37ce22c3}">
        <chartProps xmlns="https://web.wps.cn/et/2018/main" chartId="{8dff0f76-e305-4977-845d-98248793d5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收入决算结构图</c:v>
                </c:pt>
                <c:pt idx="1">
                  <c:v>一般公共预算财政拨款收入</c:v>
                </c:pt>
              </c:strCache>
            </c:strRef>
          </c:cat>
          <c:val>
            <c:numRef>
              <c:f>[工作簿1]Sheet1!$B$1:$B$2</c:f>
              <c:numCache>
                <c:formatCode>General</c:formatCode>
                <c:ptCount val="2"/>
                <c:pt idx="1">
                  <c:v>803.14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f19275-0ab2-4740-ac3b-e4323bc34c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manualLayout>
          <c:layoutTarget val="inner"/>
          <c:xMode val="edge"/>
          <c:yMode val="edge"/>
          <c:x val="0.345138888888889"/>
          <c:y val="0.336111111111111"/>
          <c:w val="0.3625"/>
          <c:h val="0.604166666666667"/>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[工作簿1]Sheet1!$A$1:$A$6</c:f>
              <c:strCache>
                <c:ptCount val="6"/>
                <c:pt idx="0">
                  <c:v>支出决算结构图</c:v>
                </c:pt>
                <c:pt idx="1">
                  <c:v>基本支出</c:v>
                </c:pt>
                <c:pt idx="2">
                  <c:v>项目支出</c:v>
                </c:pt>
                <c:pt idx="3">
                  <c:v>上缴上级支出</c:v>
                </c:pt>
                <c:pt idx="4">
                  <c:v>经营支出</c:v>
                </c:pt>
                <c:pt idx="5">
                  <c:v>附属单位上缴收入</c:v>
                </c:pt>
              </c:strCache>
            </c:strRef>
          </c:cat>
          <c:val>
            <c:numRef>
              <c:f>[工作簿1]Sheet1!$B$1:$B$6</c:f>
              <c:numCache>
                <c:formatCode>General</c:formatCode>
                <c:ptCount val="6"/>
                <c:pt idx="1">
                  <c:v>374.84</c:v>
                </c:pt>
                <c:pt idx="2">
                  <c:v>157.25</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9238548-2bbb-4d70-a1f9-1731814e45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财政拨款收、支决算总计变动情况图 单位：万元  </a:t>
            </a:r>
            <a:endParaRPr lang="zh-CN" altLang="en-US"/>
          </a:p>
        </c:rich>
      </c:tx>
      <c:layout>
        <c:manualLayout>
          <c:xMode val="edge"/>
          <c:yMode val="edge"/>
          <c:x val="0.112430555555556"/>
          <c:y val="0.00694444444444444"/>
        </c:manualLayout>
      </c:layout>
      <c:overlay val="0"/>
      <c:spPr>
        <a:noFill/>
        <a:ln>
          <a:noFill/>
        </a:ln>
        <a:effectLst/>
      </c:spPr>
    </c:title>
    <c:autoTitleDeleted val="0"/>
    <c:plotArea>
      <c:layout/>
      <c:barChart>
        <c:barDir val="col"/>
        <c:grouping val="clustered"/>
        <c:varyColors val="0"/>
        <c:ser>
          <c:idx val="0"/>
          <c:order val="0"/>
          <c:tx>
            <c:strRef>
              <c:f>[工作簿1]Sheet1!$B$1:$B$2</c:f>
              <c:strCache>
                <c:ptCount val="1"/>
                <c:pt idx="0">
                  <c:v>收、支决算总计变动情况图 单位：万元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[工作簿1]Sheet1!$A$3:$A$5</c:f>
              <c:strCache>
                <c:ptCount val="3"/>
                <c:pt idx="0">
                  <c:v>2018</c:v>
                </c:pt>
                <c:pt idx="1">
                  <c:v>2019</c:v>
                </c:pt>
                <c:pt idx="2">
                  <c:v> </c:v>
                </c:pt>
              </c:strCache>
            </c:strRef>
          </c:cat>
          <c:val>
            <c:numRef>
              <c:f>[工作簿1]Sheet1!$B$3:$B$5</c:f>
              <c:numCache>
                <c:formatCode>General</c:formatCode>
                <c:ptCount val="3"/>
                <c:pt idx="0">
                  <c:v>294.42</c:v>
                </c:pt>
                <c:pt idx="1">
                  <c:v>826.23</c:v>
                </c:pt>
              </c:numCache>
            </c:numRef>
          </c:val>
        </c:ser>
        <c:dLbls>
          <c:showLegendKey val="0"/>
          <c:showVal val="1"/>
          <c:showCatName val="0"/>
          <c:showSerName val="0"/>
          <c:showPercent val="0"/>
          <c:showBubbleSize val="0"/>
        </c:dLbls>
        <c:gapWidth val="219"/>
        <c:overlap val="-27"/>
        <c:axId val="402103997"/>
        <c:axId val="220676799"/>
      </c:barChart>
      <c:catAx>
        <c:axId val="40210399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676799"/>
        <c:crosses val="autoZero"/>
        <c:auto val="1"/>
        <c:lblAlgn val="ctr"/>
        <c:lblOffset val="100"/>
        <c:noMultiLvlLbl val="0"/>
      </c:catAx>
      <c:valAx>
        <c:axId val="22067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3997"/>
        <c:crosses val="autoZero"/>
        <c:crossBetween val="between"/>
      </c:valAx>
      <c:spPr>
        <a:noFill/>
        <a:ln>
          <a:noFill/>
        </a:ln>
        <a:effectLst/>
      </c:spPr>
    </c:plotArea>
    <c:plotVisOnly val="1"/>
    <c:dispBlanksAs val="gap"/>
    <c:showDLblsOverMax val="0"/>
    <c:extLst>
      <c:ext uri="{0b15fc19-7d7d-44ad-8c2d-2c3a37ce22c3}">
        <chartProps xmlns="https://web.wps.cn/et/2018/main" chartId="{aad6ea78-d2ac-4672-8012-1fecfaf226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[工作簿1]Sheet1!$B$1:$B$2</c:f>
              <c:strCache>
                <c:ptCount val="1"/>
                <c:pt idx="0">
                  <c:v>一般公共预算财政拨款支出决算变动情况 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[工作簿1]Sheet1!$A$3:$A$5</c:f>
              <c:strCache>
                <c:ptCount val="3"/>
                <c:pt idx="0">
                  <c:v>2018</c:v>
                </c:pt>
                <c:pt idx="1">
                  <c:v>2019</c:v>
                </c:pt>
                <c:pt idx="2">
                  <c:v>增长率</c:v>
                </c:pt>
              </c:strCache>
            </c:strRef>
          </c:cat>
          <c:val>
            <c:numRef>
              <c:f>[工作簿1]Sheet1!$B$3:$B$5</c:f>
              <c:numCache>
                <c:formatCode>General</c:formatCode>
                <c:ptCount val="3"/>
                <c:pt idx="0">
                  <c:v>294.42</c:v>
                </c:pt>
                <c:pt idx="1">
                  <c:v>529.09</c:v>
                </c:pt>
                <c:pt idx="2" c:formatCode="0.00%">
                  <c:v>0.4435</c:v>
                </c:pt>
              </c:numCache>
            </c:numRef>
          </c:val>
        </c:ser>
        <c:dLbls>
          <c:showLegendKey val="0"/>
          <c:showVal val="1"/>
          <c:showCatName val="0"/>
          <c:showSerName val="0"/>
          <c:showPercent val="0"/>
          <c:showBubbleSize val="0"/>
        </c:dLbls>
        <c:gapWidth val="219"/>
        <c:overlap val="-27"/>
        <c:axId val="778323144"/>
        <c:axId val="906609592"/>
      </c:barChart>
      <c:catAx>
        <c:axId val="778323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6609592"/>
        <c:crosses val="autoZero"/>
        <c:auto val="1"/>
        <c:lblAlgn val="ctr"/>
        <c:lblOffset val="100"/>
        <c:noMultiLvlLbl val="0"/>
      </c:catAx>
      <c:valAx>
        <c:axId val="906609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323144"/>
        <c:crosses val="autoZero"/>
        <c:crossBetween val="between"/>
      </c:valAx>
      <c:spPr>
        <a:noFill/>
        <a:ln>
          <a:noFill/>
        </a:ln>
        <a:effectLst/>
      </c:spPr>
    </c:plotArea>
    <c:plotVisOnly val="1"/>
    <c:dispBlanksAs val="gap"/>
    <c:showDLblsOverMax val="0"/>
    <c:extLst>
      <c:ext uri="{0b15fc19-7d7d-44ad-8c2d-2c3a37ce22c3}">
        <chartProps xmlns="https://web.wps.cn/et/2018/main" chartId="{795f7ba6-f20d-4056-9933-efde9b7f4f1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[工作簿1]Sheet1!$B$1:$B$2</c:f>
              <c:strCache>
                <c:ptCount val="1"/>
                <c:pt idx="0">
                  <c:v>一般公共预算财政拨款支出决算结构 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[工作簿1]Sheet1!$A$3:$A$10</c:f>
              <c:strCache>
                <c:ptCount val="8"/>
                <c:pt idx="0">
                  <c:v>一般公共服务（类）</c:v>
                </c:pt>
                <c:pt idx="1">
                  <c:v>教育支出（类）</c:v>
                </c:pt>
                <c:pt idx="2">
                  <c:v>科学技术（类）</c:v>
                </c:pt>
                <c:pt idx="3">
                  <c:v>文化旅游体育与传媒（类）</c:v>
                </c:pt>
                <c:pt idx="4">
                  <c:v>社会保障和就业（类）</c:v>
                </c:pt>
                <c:pt idx="5">
                  <c:v>卫生健康支出</c:v>
                </c:pt>
                <c:pt idx="6">
                  <c:v>住房保障支出</c:v>
                </c:pt>
                <c:pt idx="7">
                  <c:v>灾害防治及应急管理支出</c:v>
                </c:pt>
              </c:strCache>
            </c:strRef>
          </c:cat>
          <c:val>
            <c:numRef>
              <c:f>[工作簿1]Sheet1!$B$3:$B$10</c:f>
              <c:numCache>
                <c:formatCode>General</c:formatCode>
                <c:ptCount val="8"/>
                <c:pt idx="0">
                  <c:v>117.82</c:v>
                </c:pt>
                <c:pt idx="1">
                  <c:v>0</c:v>
                </c:pt>
                <c:pt idx="2">
                  <c:v>0</c:v>
                </c:pt>
                <c:pt idx="3">
                  <c:v>0</c:v>
                </c:pt>
                <c:pt idx="4">
                  <c:v>24.83</c:v>
                </c:pt>
                <c:pt idx="5">
                  <c:v>13.62</c:v>
                </c:pt>
                <c:pt idx="6">
                  <c:v>19.37</c:v>
                </c:pt>
                <c:pt idx="7">
                  <c:v>353.45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a7cf66-2807-4297-91be-3896ea9e4d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[工作簿1]Sheet1!$B$1:$B$2</c:f>
              <c:strCache>
                <c:ptCount val="1"/>
                <c:pt idx="0">
                  <c:v>“三公”经费财政拨款支出结构 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[工作簿1]Sheet1!$A$3:$A$5</c:f>
              <c:strCache>
                <c:ptCount val="3"/>
                <c:pt idx="0">
                  <c:v>因公出国（境）经费</c:v>
                </c:pt>
                <c:pt idx="1">
                  <c:v>公务用车购置及运行维护费</c:v>
                </c:pt>
                <c:pt idx="2">
                  <c:v>公务接待费</c:v>
                </c:pt>
              </c:strCache>
            </c:strRef>
          </c:cat>
          <c:val>
            <c:numRef>
              <c:f>[工作簿1]Sheet1!$B$3:$B$5</c:f>
              <c:numCache>
                <c:formatCode>General</c:formatCode>
                <c:ptCount val="3"/>
                <c:pt idx="0">
                  <c:v>0</c:v>
                </c:pt>
                <c:pt idx="1">
                  <c:v>8.5</c:v>
                </c:pt>
                <c:pt idx="2">
                  <c:v>0.46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be1580-d0ed-402f-ab39-a62b606660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1512db81-ecf0-421e-a548-a0706936dc11</errorID>
      <errorWord>第十一届</errorWord>
      <group>L1_Word</group>
      <groupName>字词问题</groupName>
      <ability>L2_Typo</ability>
      <abilityName>字词错误</abilityName>
      <candidateList>
        <item>十一届</item>
      </candidateList>
      <explain/>
      <paraID>2C79075A</paraID>
      <start>298</start>
      <end>301</end>
      <status>modified</status>
      <modifiedWord>十一届</modifiedWord>
      <trackRevisions>false</trackRevisions>
    </reviewItem>
    <reviewItem>
      <errorID>9033c0dd-c4a0-4f75-8093-b6850490b07a</errorID>
      <errorWord>”“不忘初心、牢记使命</errorWord>
      <group>L1_Political</group>
      <groupName>政治性问题</groupName>
      <ability>L2_Keyword</ability>
      <abilityName>固定表述</abilityName>
      <candidateList>
        <item>“不忘初心、牢记使命”</item>
      </candidateList>
      <explain>词汇““不忘初心、牢记使命””在特定场景下为固定表述形式，请确认此处的“”“不忘初心、牢记使命”是否存在不当。</explain>
      <paraID>2C79075A</paraID>
      <start>478</start>
      <end>489</end>
      <status>ignored</status>
      <modifiedWord/>
      <trackRevisions>false</trackRevisions>
    </reviewItem>
    <reviewItem>
      <errorID>740a9326-8779-46f9-b9cb-8ba9775a1ac6</errorID>
      <errorWord>“3.8”</errorWord>
      <group>L1_Word</group>
      <groupName>字词问题</groupName>
      <ability>L2_Typo</ability>
      <abilityName>字词错误</abilityName>
      <candidateList/>
      <explain>无建议</explain>
      <paraID>47328FAA</paraID>
      <start>162</start>
      <end>167</end>
      <status>unmodified</status>
      <modifiedWord/>
      <trackRevisions>false</trackRevisions>
    </reviewItem>
    <reviewItem>
      <errorID>7787c760-714f-418c-9ab7-639a15fe7513</errorID>
      <errorWord>(</errorWord>
      <group>L1_Format</group>
      <groupName>格式问题</groupName>
      <ability>L2_HalfPunc_CN</ability>
      <abilityName>全半角问题</abilityName>
      <candidateList>
        <item>（</item>
      </candidateList>
      <explain>文本全半角错误。</explain>
      <paraID>148CB2DF</paraID>
      <start>12</start>
      <end>13</end>
      <status>unmodified</status>
      <modifiedWord/>
      <trackRevisions>false</trackRevisions>
    </reviewItem>
    <reviewItem>
      <errorID>811d1581-d52b-4fba-ae0d-a8d1b840ae7e</errorID>
      <errorWord>真地</errorWord>
      <group>L1_Word</group>
      <groupName>字词问题</groupName>
      <ability>L2_Typo</ability>
      <abilityName>字词错误</abilityName>
      <candidateList>
        <item>真的</item>
      </candidateList>
      <explain/>
      <paraID>67546988</paraID>
      <start>35</start>
      <end>37</end>
      <status>modified</status>
      <modifiedWord>真的</modifiedWord>
      <trackRevisions>false</trackRevisions>
    </reviewItem>
    <reviewItem>
      <errorID>8eee4218-b2bf-48b6-8de1-d7be12a62da2</errorID>
      <errorWord>（</errorWord>
      <group>L1_Punc</group>
      <groupName>标点问题</groupName>
      <ability>L2_Punc_CN</ability>
      <abilityName>标点符号问题</abilityName>
      <candidateList/>
      <explain>同一形式括号套用。</explain>
      <paraID>1DCB3CE2</paraID>
      <start>14</start>
      <end>15</end>
      <status>unmodified</status>
      <modifiedWord/>
      <trackRevisions>false</trackRevisions>
    </reviewItem>
    <reviewItem>
      <errorID>dafa3a50-3309-418c-90c0-8d898bc22a04</errorID>
      <errorWord>）</errorWord>
      <group>L1_Punc</group>
      <groupName>标点问题</groupName>
      <ability>L2_Punc_CN</ability>
      <abilityName>标点符号问题</abilityName>
      <candidateList/>
      <explain>同一形式括号套用。</explain>
      <paraID>1DCB3CE2</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886e95e8-da36-4c1e-9f1a-cfe7792e2cf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6167</Words>
  <Characters>6302</Characters>
  <Lines>137</Lines>
  <Paragraphs>38</Paragraphs>
  <TotalTime>2</TotalTime>
  <ScaleCrop>false</ScaleCrop>
  <LinksUpToDate>false</LinksUpToDate>
  <CharactersWithSpaces>6343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2020-09-23T09:21:00Z</cp:lastPrinted>
  <dcterms:modified xsi:type="dcterms:W3CDTF">2026-07-14T08:47:22Z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C23A814BE79D4848B31409C4522D7883_12</vt:lpwstr>
  </property>
</Properties>
</file>