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C1CFF">
      <w:pPr>
        <w:pStyle w:val="7"/>
        <w:pageBreakBefore w:val="0"/>
        <w:kinsoku/>
        <w:wordWrap/>
        <w:overflowPunct/>
        <w:topLinePunct w:val="0"/>
        <w:autoSpaceDN/>
        <w:bidi w:val="0"/>
        <w:adjustRightInd/>
        <w:spacing w:beforeLines="0"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96475"/>
      <w:bookmarkStart w:id="2" w:name="_Toc15377193"/>
      <w:bookmarkStart w:id="3" w:name="_Toc15396597"/>
      <w:bookmarkStart w:id="4" w:name="_Toc15377425"/>
      <w:bookmarkStart w:id="5" w:name="_Toc15306267"/>
    </w:p>
    <w:p w14:paraId="086EB9CD">
      <w:pPr>
        <w:pStyle w:val="7"/>
        <w:pageBreakBefore w:val="0"/>
        <w:kinsoku/>
        <w:wordWrap/>
        <w:overflowPunct/>
        <w:topLinePunct w:val="0"/>
        <w:autoSpaceDN/>
        <w:bidi w:val="0"/>
        <w:adjustRightInd/>
        <w:spacing w:beforeLines="0"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51B3E9E7">
      <w:pPr>
        <w:pStyle w:val="7"/>
        <w:pageBreakBefore w:val="0"/>
        <w:kinsoku/>
        <w:wordWrap/>
        <w:overflowPunct/>
        <w:topLinePunct w:val="0"/>
        <w:autoSpaceDN/>
        <w:bidi w:val="0"/>
        <w:adjustRightInd/>
        <w:spacing w:beforeLines="0"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7FDF0322">
      <w:pPr>
        <w:pStyle w:val="7"/>
        <w:pageBreakBefore w:val="0"/>
        <w:kinsoku/>
        <w:wordWrap/>
        <w:overflowPunct/>
        <w:topLinePunct w:val="0"/>
        <w:autoSpaceDN/>
        <w:bidi w:val="0"/>
        <w:adjustRightInd/>
        <w:spacing w:beforeLines="0"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3BA42D4D">
      <w:pPr>
        <w:pStyle w:val="7"/>
        <w:pageBreakBefore w:val="0"/>
        <w:kinsoku/>
        <w:wordWrap/>
        <w:overflowPunct/>
        <w:topLinePunct w:val="0"/>
        <w:autoSpaceDN/>
        <w:bidi w:val="0"/>
        <w:adjustRightInd/>
        <w:spacing w:beforeLines="0"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7EE795B7">
      <w:pPr>
        <w:pStyle w:val="7"/>
        <w:pageBreakBefore w:val="0"/>
        <w:kinsoku/>
        <w:wordWrap/>
        <w:overflowPunct/>
        <w:topLinePunct w:val="0"/>
        <w:autoSpaceDN/>
        <w:bidi w:val="0"/>
        <w:adjustRightInd/>
        <w:spacing w:beforeLines="0"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12F1FC46">
      <w:pPr>
        <w:pStyle w:val="7"/>
        <w:keepNext w:val="0"/>
        <w:keepLines w:val="0"/>
        <w:pageBreakBefore w:val="0"/>
        <w:widowControl w:val="0"/>
        <w:kinsoku/>
        <w:wordWrap/>
        <w:overflowPunct/>
        <w:topLinePunct w:val="0"/>
        <w:autoSpaceDE/>
        <w:autoSpaceDN/>
        <w:bidi w:val="0"/>
        <w:adjustRightInd/>
        <w:snapToGrid/>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7426"/>
      <w:bookmarkStart w:id="8" w:name="_Toc15378442"/>
      <w:bookmarkStart w:id="9" w:name="_Toc15396476"/>
      <w:bookmarkStart w:id="10" w:name="_Toc15396598"/>
      <w:r>
        <w:rPr>
          <w:rFonts w:hint="default" w:ascii="Times New Roman" w:hAnsi="Times New Roman" w:eastAsia="方正小标宋简体" w:cs="Times New Roman"/>
          <w:color w:val="auto"/>
          <w:kern w:val="2"/>
          <w:sz w:val="44"/>
          <w:szCs w:val="44"/>
          <w:highlight w:val="none"/>
          <w:lang w:val="en-US" w:eastAsia="zh-CN" w:bidi="ar-SA"/>
        </w:rPr>
        <w:t>2025年度</w:t>
      </w:r>
    </w:p>
    <w:p w14:paraId="4C543F20">
      <w:pPr>
        <w:pStyle w:val="7"/>
        <w:keepNext w:val="0"/>
        <w:keepLines w:val="0"/>
        <w:pageBreakBefore w:val="0"/>
        <w:widowControl w:val="0"/>
        <w:kinsoku/>
        <w:wordWrap/>
        <w:overflowPunct/>
        <w:topLinePunct w:val="0"/>
        <w:autoSpaceDE/>
        <w:autoSpaceDN/>
        <w:bidi w:val="0"/>
        <w:adjustRightInd/>
        <w:snapToGrid/>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default" w:ascii="Times New Roman" w:hAnsi="Times New Roman" w:eastAsia="方正小标宋简体" w:cs="Times New Roman"/>
          <w:sz w:val="44"/>
          <w:szCs w:val="44"/>
          <w:lang w:val="en-US" w:eastAsia="zh-CN"/>
        </w:rPr>
        <w:t>松潘县审计局</w:t>
      </w:r>
      <w:r>
        <w:rPr>
          <w:rFonts w:hint="default"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169EA16C">
      <w:pPr>
        <w:pageBreakBefore w:val="0"/>
        <w:widowControl/>
        <w:kinsoku/>
        <w:wordWrap/>
        <w:overflowPunct/>
        <w:topLinePunct w:val="0"/>
        <w:autoSpaceDN/>
        <w:bidi w:val="0"/>
        <w:adjustRightInd/>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114841B0">
      <w:pPr>
        <w:pageBreakBefore w:val="0"/>
        <w:widowControl/>
        <w:kinsoku/>
        <w:wordWrap/>
        <w:overflowPunct/>
        <w:topLinePunct w:val="0"/>
        <w:autoSpaceDN/>
        <w:bidi w:val="0"/>
        <w:adjustRightInd/>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6412AA11">
      <w:pPr>
        <w:pageBreakBefore w:val="0"/>
        <w:widowControl/>
        <w:kinsoku/>
        <w:wordWrap/>
        <w:overflowPunct/>
        <w:topLinePunct w:val="0"/>
        <w:autoSpaceDN/>
        <w:bidi w:val="0"/>
        <w:adjustRightInd/>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6BECD9C0">
      <w:pPr>
        <w:pageBreakBefore w:val="0"/>
        <w:widowControl/>
        <w:kinsoku/>
        <w:wordWrap/>
        <w:overflowPunct/>
        <w:topLinePunct w:val="0"/>
        <w:autoSpaceDN/>
        <w:bidi w:val="0"/>
        <w:adjustRightInd/>
        <w:spacing w:line="576" w:lineRule="exact"/>
        <w:ind w:left="0" w:leftChars="0"/>
        <w:jc w:val="center"/>
        <w:textAlignment w:val="auto"/>
        <w:rPr>
          <w:rFonts w:hint="default" w:ascii="Times New Roman" w:hAnsi="Times New Roman" w:eastAsia="黑体" w:cs="Times New Roman"/>
          <w:color w:val="auto"/>
          <w:sz w:val="48"/>
          <w:szCs w:val="48"/>
          <w:highlight w:val="none"/>
        </w:rPr>
        <w:sectPr>
          <w:footerReference r:id="rId5" w:type="first"/>
          <w:headerReference r:id="rId3" w:type="default"/>
          <w:footerReference r:id="rId4" w:type="default"/>
          <w:pgSz w:w="11906" w:h="16838"/>
          <w:pgMar w:top="2098" w:right="1474" w:bottom="1984" w:left="1587" w:header="851" w:footer="992" w:gutter="0"/>
          <w:pgNumType w:fmt="decimal" w:start="1"/>
          <w:cols w:space="425" w:num="1"/>
          <w:docGrid w:type="lines" w:linePitch="312" w:charSpace="0"/>
        </w:sectPr>
      </w:pPr>
    </w:p>
    <w:sdt>
      <w:sdtPr>
        <w:rPr>
          <w:rFonts w:hint="default" w:ascii="Times New Roman" w:hAnsi="Times New Roman" w:eastAsia="宋体" w:cs="Times New Roman"/>
          <w:b/>
          <w:bCs/>
          <w:kern w:val="2"/>
          <w:sz w:val="48"/>
          <w:szCs w:val="48"/>
          <w:lang w:val="en-US" w:eastAsia="zh-CN" w:bidi="ar-SA"/>
        </w:rPr>
        <w:id w:val="147473458"/>
        <w15:color w:val="DBDBDB"/>
        <w:docPartObj>
          <w:docPartGallery w:val="Table of Contents"/>
          <w:docPartUnique/>
        </w:docPartObj>
      </w:sdtPr>
      <w:sdtEndPr>
        <w:rPr>
          <w:rFonts w:hint="default" w:ascii="Times New Roman" w:hAnsi="Times New Roman" w:eastAsia="宋体" w:cs="Times New Roman"/>
          <w:b/>
          <w:bCs/>
          <w:kern w:val="2"/>
          <w:sz w:val="18"/>
          <w:szCs w:val="18"/>
          <w:lang w:val="en-US" w:eastAsia="zh-CN" w:bidi="ar-SA"/>
        </w:rPr>
      </w:sdtEndPr>
      <w:sdtContent>
        <w:p w14:paraId="74118655">
          <w:pPr>
            <w:pageBreakBefore w:val="0"/>
            <w:kinsoku/>
            <w:wordWrap/>
            <w:overflowPunct/>
            <w:topLinePunct w:val="0"/>
            <w:autoSpaceDN/>
            <w:bidi w:val="0"/>
            <w:adjustRightInd/>
            <w:spacing w:line="240" w:lineRule="auto"/>
            <w:ind w:left="0" w:leftChars="0" w:right="0" w:rightChars="0" w:firstLine="0" w:firstLineChars="0"/>
            <w:jc w:val="center"/>
            <w:textAlignment w:val="auto"/>
            <w:rPr>
              <w:rFonts w:hint="default" w:ascii="Times New Roman" w:hAnsi="Times New Roman" w:eastAsia="宋体" w:cs="Times New Roman"/>
              <w:b/>
              <w:bCs/>
              <w:sz w:val="48"/>
              <w:szCs w:val="48"/>
            </w:rPr>
          </w:pPr>
          <w:r>
            <w:rPr>
              <w:rFonts w:hint="default" w:ascii="Times New Roman" w:hAnsi="Times New Roman" w:eastAsia="宋体" w:cs="Times New Roman"/>
              <w:b/>
              <w:bCs/>
              <w:sz w:val="48"/>
              <w:szCs w:val="48"/>
            </w:rPr>
            <w:t>目</w:t>
          </w:r>
          <w:r>
            <w:rPr>
              <w:rFonts w:hint="eastAsia" w:ascii="Times New Roman" w:hAnsi="Times New Roman" w:eastAsia="宋体" w:cs="Times New Roman"/>
              <w:b/>
              <w:bCs/>
              <w:sz w:val="48"/>
              <w:szCs w:val="48"/>
              <w:lang w:val="en-US" w:eastAsia="zh-CN"/>
            </w:rPr>
            <w:t xml:space="preserve"> </w:t>
          </w:r>
          <w:r>
            <w:rPr>
              <w:rFonts w:hint="default" w:ascii="Times New Roman" w:hAnsi="Times New Roman" w:eastAsia="宋体" w:cs="Times New Roman"/>
              <w:b/>
              <w:bCs/>
              <w:sz w:val="48"/>
              <w:szCs w:val="48"/>
              <w:lang w:val="en-US" w:eastAsia="zh-CN"/>
            </w:rPr>
            <w:t xml:space="preserve"> </w:t>
          </w:r>
          <w:r>
            <w:rPr>
              <w:rFonts w:hint="default" w:ascii="Times New Roman" w:hAnsi="Times New Roman" w:eastAsia="宋体" w:cs="Times New Roman"/>
              <w:b/>
              <w:bCs/>
              <w:sz w:val="48"/>
              <w:szCs w:val="48"/>
            </w:rPr>
            <w:t>录</w:t>
          </w:r>
        </w:p>
        <w:p w14:paraId="541D9CC1">
          <w:pPr>
            <w:pStyle w:val="2"/>
            <w:rPr>
              <w:rFonts w:hint="default"/>
              <w:sz w:val="30"/>
              <w:szCs w:val="30"/>
            </w:rPr>
          </w:pPr>
        </w:p>
        <w:p w14:paraId="0B3327C0">
          <w:pPr>
            <w:pStyle w:val="14"/>
            <w:pageBreakBefore w:val="0"/>
            <w:kinsoku/>
            <w:wordWrap/>
            <w:overflowPunct/>
            <w:topLinePunct w:val="0"/>
            <w:autoSpaceDN/>
            <w:bidi w:val="0"/>
            <w:adjustRightInd/>
            <w:spacing w:before="0" w:line="576" w:lineRule="exact"/>
            <w:ind w:left="0" w:leftChars="0"/>
            <w:textAlignment w:val="auto"/>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公开时间：20</w:t>
          </w:r>
          <w:r>
            <w:rPr>
              <w:rFonts w:hint="default" w:ascii="Times New Roman" w:hAnsi="Times New Roman" w:eastAsia="仿宋_GB2312" w:cs="Times New Roman"/>
              <w:color w:val="auto"/>
              <w:sz w:val="30"/>
              <w:szCs w:val="30"/>
              <w:highlight w:val="none"/>
              <w:lang w:val="en-US" w:eastAsia="zh-CN"/>
            </w:rPr>
            <w:t>26</w:t>
          </w:r>
          <w:r>
            <w:rPr>
              <w:rFonts w:hint="default" w:ascii="Times New Roman" w:hAnsi="Times New Roman" w:eastAsia="仿宋_GB2312" w:cs="Times New Roman"/>
              <w:color w:val="auto"/>
              <w:sz w:val="30"/>
              <w:szCs w:val="30"/>
              <w:highlight w:val="none"/>
            </w:rPr>
            <w:t>年</w:t>
          </w:r>
          <w:r>
            <w:rPr>
              <w:rFonts w:hint="default" w:ascii="Times New Roman" w:hAnsi="Times New Roman" w:eastAsia="仿宋_GB2312" w:cs="Times New Roman"/>
              <w:color w:val="auto"/>
              <w:sz w:val="30"/>
              <w:szCs w:val="30"/>
              <w:highlight w:val="none"/>
              <w:lang w:val="en-US" w:eastAsia="zh-CN"/>
            </w:rPr>
            <w:t>10</w:t>
          </w:r>
          <w:r>
            <w:rPr>
              <w:rFonts w:hint="default" w:ascii="Times New Roman" w:hAnsi="Times New Roman" w:eastAsia="仿宋_GB2312" w:cs="Times New Roman"/>
              <w:color w:val="auto"/>
              <w:sz w:val="30"/>
              <w:szCs w:val="30"/>
              <w:highlight w:val="none"/>
            </w:rPr>
            <w:t>月</w:t>
          </w:r>
          <w:r>
            <w:rPr>
              <w:rFonts w:hint="default" w:ascii="Times New Roman" w:hAnsi="Times New Roman" w:eastAsia="仿宋_GB2312" w:cs="Times New Roman"/>
              <w:color w:val="auto"/>
              <w:sz w:val="30"/>
              <w:szCs w:val="30"/>
              <w:highlight w:val="none"/>
              <w:lang w:val="en-US" w:eastAsia="zh-CN"/>
            </w:rPr>
            <w:t>15</w:t>
          </w:r>
          <w:r>
            <w:rPr>
              <w:rFonts w:hint="default" w:ascii="Times New Roman" w:hAnsi="Times New Roman" w:eastAsia="仿宋_GB2312" w:cs="Times New Roman"/>
              <w:color w:val="auto"/>
              <w:sz w:val="30"/>
              <w:szCs w:val="30"/>
              <w:highlight w:val="none"/>
            </w:rPr>
            <w:t>日</w:t>
          </w:r>
        </w:p>
        <w:p w14:paraId="0640E874">
          <w:pPr>
            <w:pStyle w:val="2"/>
            <w:pageBreakBefore w:val="0"/>
            <w:kinsoku/>
            <w:wordWrap/>
            <w:overflowPunct/>
            <w:topLinePunct w:val="0"/>
            <w:autoSpaceDN/>
            <w:bidi w:val="0"/>
            <w:adjustRightInd/>
            <w:ind w:left="0" w:leftChars="0"/>
            <w:textAlignment w:val="auto"/>
            <w:rPr>
              <w:rFonts w:hint="default" w:ascii="Times New Roman" w:hAnsi="Times New Roman" w:cs="Times New Roman"/>
            </w:rPr>
          </w:pPr>
        </w:p>
        <w:p w14:paraId="5662F11B">
          <w:pPr>
            <w:pStyle w:val="14"/>
            <w:keepNext w:val="0"/>
            <w:keepLines w:val="0"/>
            <w:pageBreakBefore w:val="0"/>
            <w:widowControl w:val="0"/>
            <w:tabs>
              <w:tab w:val="right" w:leader="dot" w:pos="8845"/>
              <w:tab w:val="clear" w:pos="8296"/>
            </w:tabs>
            <w:kinsoku/>
            <w:wordWrap/>
            <w:overflowPunct/>
            <w:topLinePunct w:val="0"/>
            <w:autoSpaceDE/>
            <w:autoSpaceDN/>
            <w:bidi w:val="0"/>
            <w:adjustRightInd/>
            <w:spacing w:before="0"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_Toc31587 </w:instrText>
          </w:r>
          <w:r>
            <w:rPr>
              <w:rFonts w:hint="default" w:ascii="Times New Roman" w:hAnsi="Times New Roman" w:cs="Times New Roman"/>
            </w:rPr>
            <w:fldChar w:fldCharType="separate"/>
          </w:r>
          <w:r>
            <w:rPr>
              <w:rFonts w:hint="default" w:ascii="Times New Roman" w:hAnsi="Times New Roman" w:cs="Times New Roman"/>
            </w:rPr>
            <w:t>第一部分</w:t>
          </w:r>
          <w:r>
            <w:rPr>
              <w:rFonts w:hint="default" w:ascii="Times New Roman" w:hAnsi="Times New Roman" w:cs="Times New Roman"/>
              <w:lang w:val="en-US" w:eastAsia="zh-CN"/>
            </w:rPr>
            <w:t xml:space="preserve"> </w:t>
          </w:r>
          <w:r>
            <w:rPr>
              <w:rFonts w:hint="default" w:ascii="Times New Roman" w:hAnsi="Times New Roman" w:cs="Times New Roman"/>
            </w:rPr>
            <w:t xml:space="preserve"> 部门概况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_Toc31587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2EF9837C">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_Toc10560 </w:instrText>
          </w:r>
          <w:r>
            <w:rPr>
              <w:rFonts w:hint="default" w:ascii="Times New Roman" w:hAnsi="Times New Roman" w:cs="Times New Roman"/>
            </w:rPr>
            <w:fldChar w:fldCharType="separate"/>
          </w:r>
          <w:r>
            <w:rPr>
              <w:rFonts w:hint="default" w:ascii="Times New Roman" w:hAnsi="Times New Roman" w:cs="Times New Roman"/>
              <w:lang w:eastAsia="zh-CN"/>
            </w:rPr>
            <w:t>一、 部门职责</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_Toc10560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2086B90">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_Toc30861 </w:instrText>
          </w:r>
          <w:r>
            <w:rPr>
              <w:rFonts w:hint="default" w:ascii="Times New Roman" w:hAnsi="Times New Roman" w:cs="Times New Roman"/>
            </w:rPr>
            <w:fldChar w:fldCharType="separate"/>
          </w:r>
          <w:r>
            <w:rPr>
              <w:rFonts w:hint="default" w:ascii="Times New Roman" w:hAnsi="Times New Roman" w:cs="Times New Roman"/>
              <w:lang w:eastAsia="zh-CN"/>
            </w:rPr>
            <w:t>二、 机构设置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_Toc30861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6818D135">
          <w:pPr>
            <w:pStyle w:val="14"/>
            <w:keepNext w:val="0"/>
            <w:keepLines w:val="0"/>
            <w:pageBreakBefore w:val="0"/>
            <w:widowControl w:val="0"/>
            <w:tabs>
              <w:tab w:val="right" w:leader="dot" w:pos="8845"/>
              <w:tab w:val="clear" w:pos="8296"/>
            </w:tabs>
            <w:kinsoku/>
            <w:wordWrap/>
            <w:overflowPunct/>
            <w:topLinePunct w:val="0"/>
            <w:autoSpaceDE/>
            <w:autoSpaceDN/>
            <w:bidi w:val="0"/>
            <w:adjustRightInd/>
            <w:spacing w:before="0"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_Toc19495 </w:instrText>
          </w:r>
          <w:r>
            <w:rPr>
              <w:rFonts w:hint="default" w:ascii="Times New Roman" w:hAnsi="Times New Roman" w:cs="Times New Roman"/>
            </w:rPr>
            <w:fldChar w:fldCharType="separate"/>
          </w:r>
          <w:r>
            <w:rPr>
              <w:rFonts w:hint="default" w:ascii="Times New Roman" w:hAnsi="Times New Roman" w:cs="Times New Roman"/>
            </w:rPr>
            <w:t>第二部分</w:t>
          </w:r>
          <w:r>
            <w:rPr>
              <w:rFonts w:hint="default" w:ascii="Times New Roman" w:hAnsi="Times New Roman" w:cs="Times New Roman"/>
              <w:lang w:val="en-US" w:eastAsia="zh-CN"/>
            </w:rPr>
            <w:t xml:space="preserve"> </w:t>
          </w:r>
          <w:r>
            <w:rPr>
              <w:rFonts w:hint="default" w:ascii="Times New Roman" w:hAnsi="Times New Roman" w:cs="Times New Roman"/>
            </w:rPr>
            <w:t xml:space="preserve"> </w:t>
          </w:r>
          <w:r>
            <w:rPr>
              <w:rFonts w:hint="default" w:ascii="Times New Roman" w:hAnsi="Times New Roman" w:cs="Times New Roman"/>
              <w:lang w:val="en-US" w:eastAsia="zh-CN"/>
            </w:rPr>
            <w:t>2025年度</w:t>
          </w:r>
          <w:r>
            <w:rPr>
              <w:rFonts w:hint="default" w:ascii="Times New Roman" w:hAnsi="Times New Roman" w:cs="Times New Roman"/>
            </w:rPr>
            <w:t>部门决算情况说明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_Toc19495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10523399">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_Toc26697 </w:instrText>
          </w:r>
          <w:r>
            <w:rPr>
              <w:rFonts w:hint="default" w:ascii="Times New Roman" w:hAnsi="Times New Roman" w:cs="Times New Roman"/>
            </w:rPr>
            <w:fldChar w:fldCharType="separate"/>
          </w:r>
          <w:r>
            <w:rPr>
              <w:rFonts w:hint="default" w:ascii="Times New Roman" w:hAnsi="Times New Roman" w:cs="Times New Roman"/>
              <w:lang w:eastAsia="zh-CN"/>
            </w:rPr>
            <w:t>一、</w:t>
          </w:r>
          <w:r>
            <w:rPr>
              <w:rFonts w:hint="default" w:ascii="Times New Roman" w:hAnsi="Times New Roman" w:cs="Times New Roman"/>
            </w:rPr>
            <w:t>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_Toc26697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3F992DC4">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_Toc9548 </w:instrText>
          </w:r>
          <w:r>
            <w:rPr>
              <w:rFonts w:hint="default" w:ascii="Times New Roman" w:hAnsi="Times New Roman" w:cs="Times New Roman"/>
            </w:rPr>
            <w:fldChar w:fldCharType="separate"/>
          </w:r>
          <w:r>
            <w:rPr>
              <w:rFonts w:hint="default" w:ascii="Times New Roman" w:hAnsi="Times New Roman" w:cs="Times New Roman"/>
              <w:lang w:eastAsia="zh-CN"/>
            </w:rPr>
            <w:t>二、收入决算情况说明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_Toc9548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7E7AD840">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_Toc13250 </w:instrText>
          </w:r>
          <w:r>
            <w:rPr>
              <w:rFonts w:hint="default" w:ascii="Times New Roman" w:hAnsi="Times New Roman" w:cs="Times New Roman"/>
            </w:rPr>
            <w:fldChar w:fldCharType="separate"/>
          </w:r>
          <w:r>
            <w:rPr>
              <w:rFonts w:hint="default" w:ascii="Times New Roman" w:hAnsi="Times New Roman" w:cs="Times New Roman"/>
              <w:lang w:eastAsia="zh-CN"/>
            </w:rPr>
            <w:t>三、</w:t>
          </w:r>
          <w:r>
            <w:rPr>
              <w:rFonts w:hint="default" w:ascii="Times New Roman" w:hAnsi="Times New Roman" w:cs="Times New Roman"/>
            </w:rPr>
            <w:t>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_Toc13250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fldChar w:fldCharType="end"/>
          </w:r>
        </w:p>
        <w:p w14:paraId="73889E83">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_Toc10886 </w:instrText>
          </w:r>
          <w:r>
            <w:rPr>
              <w:rFonts w:hint="default" w:ascii="Times New Roman" w:hAnsi="Times New Roman" w:cs="Times New Roman"/>
            </w:rPr>
            <w:fldChar w:fldCharType="separate"/>
          </w:r>
          <w:r>
            <w:rPr>
              <w:rFonts w:hint="default" w:ascii="Times New Roman" w:hAnsi="Times New Roman" w:cs="Times New Roman"/>
            </w:rPr>
            <w:t>四、财政拨款收入支出决算总体情况说明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_Toc10886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50C27C66">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_Toc584 </w:instrText>
          </w:r>
          <w:r>
            <w:rPr>
              <w:rFonts w:hint="default" w:ascii="Times New Roman" w:hAnsi="Times New Roman" w:cs="Times New Roman"/>
            </w:rPr>
            <w:fldChar w:fldCharType="separate"/>
          </w:r>
          <w:r>
            <w:rPr>
              <w:rFonts w:hint="default" w:ascii="Times New Roman" w:hAnsi="Times New Roman" w:cs="Times New Roman"/>
            </w:rPr>
            <w:t>五、一般公共预算财政拨款支出决算情况说明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_Toc584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288EF8C8">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_Toc7176 </w:instrText>
          </w:r>
          <w:r>
            <w:rPr>
              <w:rFonts w:hint="default" w:ascii="Times New Roman" w:hAnsi="Times New Roman" w:cs="Times New Roman"/>
            </w:rPr>
            <w:fldChar w:fldCharType="separate"/>
          </w:r>
          <w:r>
            <w:rPr>
              <w:rFonts w:hint="default" w:ascii="Times New Roman" w:hAnsi="Times New Roman" w:cs="Times New Roman"/>
            </w:rPr>
            <w:t>六、一般公共预算财政拨款基本支出决算情况说明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_Toc7176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rPr>
            <w:fldChar w:fldCharType="end"/>
          </w:r>
        </w:p>
        <w:p w14:paraId="4D2AF32A">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_Toc13012 </w:instrText>
          </w:r>
          <w:r>
            <w:rPr>
              <w:rFonts w:hint="default" w:ascii="Times New Roman" w:hAnsi="Times New Roman" w:cs="Times New Roman"/>
            </w:rPr>
            <w:fldChar w:fldCharType="separate"/>
          </w:r>
          <w:r>
            <w:rPr>
              <w:rFonts w:hint="default" w:ascii="Times New Roman" w:hAnsi="Times New Roman" w:cs="Times New Roman"/>
            </w:rPr>
            <w:t>七、财政拨款“三公”经费支出决算情况说明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_Toc13012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rPr>
            <w:fldChar w:fldCharType="end"/>
          </w:r>
        </w:p>
        <w:p w14:paraId="37C647B5">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_Toc27259 </w:instrText>
          </w:r>
          <w:r>
            <w:rPr>
              <w:rFonts w:hint="default" w:ascii="Times New Roman" w:hAnsi="Times New Roman" w:cs="Times New Roman"/>
            </w:rPr>
            <w:fldChar w:fldCharType="separate"/>
          </w:r>
          <w:r>
            <w:rPr>
              <w:rFonts w:hint="default" w:ascii="Times New Roman" w:hAnsi="Times New Roman" w:cs="Times New Roman"/>
            </w:rPr>
            <w:t>八、政府性基金预算支出决算情况说明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_Toc27259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11167009">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_Toc5844 </w:instrText>
          </w:r>
          <w:r>
            <w:rPr>
              <w:rFonts w:hint="default" w:ascii="Times New Roman" w:hAnsi="Times New Roman" w:cs="Times New Roman"/>
            </w:rPr>
            <w:fldChar w:fldCharType="separate"/>
          </w:r>
          <w:r>
            <w:rPr>
              <w:rFonts w:hint="default" w:ascii="Times New Roman" w:hAnsi="Times New Roman" w:cs="Times New Roman"/>
              <w:lang w:eastAsia="zh-CN"/>
            </w:rPr>
            <w:t>九、</w:t>
          </w:r>
          <w:r>
            <w:rPr>
              <w:rFonts w:hint="default" w:ascii="Times New Roman" w:hAnsi="Times New Roman" w:cs="Times New Roman"/>
            </w:rPr>
            <w:t>国有资本经营预算支出决算情况说明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_Toc5844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51A3882D">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_Toc397 </w:instrText>
          </w:r>
          <w:r>
            <w:rPr>
              <w:rFonts w:hint="default" w:ascii="Times New Roman" w:hAnsi="Times New Roman" w:cs="Times New Roman"/>
            </w:rPr>
            <w:fldChar w:fldCharType="separate"/>
          </w:r>
          <w:r>
            <w:rPr>
              <w:rFonts w:hint="default" w:ascii="Times New Roman" w:hAnsi="Times New Roman" w:cs="Times New Roman"/>
              <w:lang w:eastAsia="zh-CN"/>
            </w:rPr>
            <w:t>十、</w:t>
          </w:r>
          <w:r>
            <w:rPr>
              <w:rFonts w:hint="default" w:ascii="Times New Roman" w:hAnsi="Times New Roman" w:cs="Times New Roman"/>
            </w:rPr>
            <w:t>其他重要事项的情况说明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_Toc397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6D9BFD51">
          <w:pPr>
            <w:pStyle w:val="14"/>
            <w:keepNext w:val="0"/>
            <w:keepLines w:val="0"/>
            <w:pageBreakBefore w:val="0"/>
            <w:widowControl w:val="0"/>
            <w:tabs>
              <w:tab w:val="right" w:leader="dot" w:pos="8845"/>
              <w:tab w:val="clear" w:pos="8296"/>
            </w:tabs>
            <w:kinsoku/>
            <w:wordWrap/>
            <w:overflowPunct/>
            <w:topLinePunct w:val="0"/>
            <w:autoSpaceDE/>
            <w:autoSpaceDN/>
            <w:bidi w:val="0"/>
            <w:adjustRightInd/>
            <w:spacing w:before="0"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_Toc29957 </w:instrText>
          </w:r>
          <w:r>
            <w:rPr>
              <w:rFonts w:hint="default" w:ascii="Times New Roman" w:hAnsi="Times New Roman" w:cs="Times New Roman"/>
            </w:rPr>
            <w:fldChar w:fldCharType="separate"/>
          </w:r>
          <w:r>
            <w:rPr>
              <w:rFonts w:hint="default" w:ascii="Times New Roman" w:hAnsi="Times New Roman" w:cs="Times New Roman"/>
            </w:rPr>
            <w:t>第</w:t>
          </w:r>
          <w:r>
            <w:rPr>
              <w:rFonts w:hint="default" w:ascii="Times New Roman" w:hAnsi="Times New Roman" w:cs="Times New Roman"/>
              <w:lang w:eastAsia="zh-CN"/>
            </w:rPr>
            <w:t>三</w:t>
          </w:r>
          <w:r>
            <w:rPr>
              <w:rFonts w:hint="default" w:ascii="Times New Roman" w:hAnsi="Times New Roman" w:cs="Times New Roman"/>
            </w:rPr>
            <w:t>部分</w:t>
          </w:r>
          <w:r>
            <w:rPr>
              <w:rFonts w:hint="default" w:ascii="Times New Roman" w:hAnsi="Times New Roman" w:cs="Times New Roman"/>
              <w:lang w:val="en-US" w:eastAsia="zh-CN"/>
            </w:rPr>
            <w:t xml:space="preserve">  </w:t>
          </w:r>
          <w:r>
            <w:rPr>
              <w:rFonts w:hint="default" w:ascii="Times New Roman" w:hAnsi="Times New Roman" w:cs="Times New Roman"/>
            </w:rPr>
            <w:t>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_Toc29957 \h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r>
            <w:rPr>
              <w:rFonts w:hint="default" w:ascii="Times New Roman" w:hAnsi="Times New Roman" w:cs="Times New Roman"/>
            </w:rPr>
            <w:fldChar w:fldCharType="end"/>
          </w:r>
        </w:p>
        <w:p w14:paraId="4B4CA727">
          <w:pPr>
            <w:pStyle w:val="14"/>
            <w:keepNext w:val="0"/>
            <w:keepLines w:val="0"/>
            <w:pageBreakBefore w:val="0"/>
            <w:widowControl w:val="0"/>
            <w:tabs>
              <w:tab w:val="right" w:leader="dot" w:pos="8845"/>
              <w:tab w:val="clear" w:pos="8296"/>
            </w:tabs>
            <w:kinsoku/>
            <w:wordWrap/>
            <w:overflowPunct/>
            <w:topLinePunct w:val="0"/>
            <w:autoSpaceDE/>
            <w:autoSpaceDN/>
            <w:bidi w:val="0"/>
            <w:adjustRightInd/>
            <w:spacing w:before="0"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_Toc14051 </w:instrText>
          </w:r>
          <w:r>
            <w:rPr>
              <w:rFonts w:hint="default" w:ascii="Times New Roman" w:hAnsi="Times New Roman" w:cs="Times New Roman"/>
            </w:rPr>
            <w:fldChar w:fldCharType="separate"/>
          </w:r>
          <w:r>
            <w:rPr>
              <w:rFonts w:hint="default" w:ascii="Times New Roman" w:hAnsi="Times New Roman" w:cs="Times New Roman"/>
            </w:rPr>
            <w:t>第五部分 附表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_Toc14051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12FB71B5">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_Toc14060 </w:instrText>
          </w:r>
          <w:r>
            <w:rPr>
              <w:rFonts w:hint="default" w:ascii="Times New Roman" w:hAnsi="Times New Roman" w:cs="Times New Roman"/>
            </w:rPr>
            <w:fldChar w:fldCharType="separate"/>
          </w:r>
          <w:r>
            <w:rPr>
              <w:rFonts w:hint="default" w:ascii="Times New Roman" w:hAnsi="Times New Roman" w:cs="Times New Roman"/>
              <w:bCs/>
            </w:rPr>
            <w:t>一、收入支出决算总表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_Toc14060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37042082">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_Toc22163 </w:instrText>
          </w:r>
          <w:r>
            <w:rPr>
              <w:rFonts w:hint="default" w:ascii="Times New Roman" w:hAnsi="Times New Roman" w:cs="Times New Roman"/>
            </w:rPr>
            <w:fldChar w:fldCharType="separate"/>
          </w:r>
          <w:r>
            <w:rPr>
              <w:rFonts w:hint="default" w:ascii="Times New Roman" w:hAnsi="Times New Roman" w:cs="Times New Roman"/>
              <w:bCs/>
            </w:rPr>
            <w:t>二、收入决算表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_Toc22163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159F090C">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_Toc1606 </w:instrText>
          </w:r>
          <w:r>
            <w:rPr>
              <w:rFonts w:hint="default" w:ascii="Times New Roman" w:hAnsi="Times New Roman" w:cs="Times New Roman"/>
            </w:rPr>
            <w:fldChar w:fldCharType="separate"/>
          </w:r>
          <w:r>
            <w:rPr>
              <w:rFonts w:hint="default" w:ascii="Times New Roman" w:hAnsi="Times New Roman" w:cs="Times New Roman"/>
              <w:bCs/>
            </w:rPr>
            <w:t>三、支出决算表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_Toc1606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3D906896">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_Toc16743 </w:instrText>
          </w:r>
          <w:r>
            <w:rPr>
              <w:rFonts w:hint="default" w:ascii="Times New Roman" w:hAnsi="Times New Roman" w:cs="Times New Roman"/>
            </w:rPr>
            <w:fldChar w:fldCharType="separate"/>
          </w:r>
          <w:r>
            <w:rPr>
              <w:rFonts w:hint="default" w:ascii="Times New Roman" w:hAnsi="Times New Roman" w:cs="Times New Roman"/>
              <w:bCs/>
            </w:rPr>
            <w:t>四、财政拨款收入支出决算总表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_Toc16743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3A232CDC">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_Toc3787 </w:instrText>
          </w:r>
          <w:r>
            <w:rPr>
              <w:rFonts w:hint="default" w:ascii="Times New Roman" w:hAnsi="Times New Roman" w:cs="Times New Roman"/>
            </w:rPr>
            <w:fldChar w:fldCharType="separate"/>
          </w:r>
          <w:r>
            <w:rPr>
              <w:rFonts w:hint="default" w:ascii="Times New Roman" w:hAnsi="Times New Roman" w:cs="Times New Roman"/>
              <w:bCs/>
            </w:rPr>
            <w:t>五、财政拨款支出决算明细表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_Toc3787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49BC83B9">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_Toc20988 </w:instrText>
          </w:r>
          <w:r>
            <w:rPr>
              <w:rFonts w:hint="default" w:ascii="Times New Roman" w:hAnsi="Times New Roman" w:cs="Times New Roman"/>
            </w:rPr>
            <w:fldChar w:fldCharType="separate"/>
          </w:r>
          <w:r>
            <w:rPr>
              <w:rFonts w:hint="default" w:ascii="Times New Roman" w:hAnsi="Times New Roman" w:cs="Times New Roman"/>
              <w:bCs/>
            </w:rPr>
            <w:t>六、一般公共预算财政拨款支出决算表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_Toc20988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4F16E4FE">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_Toc20286 </w:instrText>
          </w:r>
          <w:r>
            <w:rPr>
              <w:rFonts w:hint="default" w:ascii="Times New Roman" w:hAnsi="Times New Roman" w:cs="Times New Roman"/>
            </w:rPr>
            <w:fldChar w:fldCharType="separate"/>
          </w:r>
          <w:r>
            <w:rPr>
              <w:rFonts w:hint="default" w:ascii="Times New Roman" w:hAnsi="Times New Roman" w:cs="Times New Roman"/>
              <w:bCs/>
            </w:rPr>
            <w:t>七、一般公共预算财政拨款支出决算明细表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_Toc20286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6F8CF2E9">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_Toc26658 </w:instrText>
          </w:r>
          <w:r>
            <w:rPr>
              <w:rFonts w:hint="default" w:ascii="Times New Roman" w:hAnsi="Times New Roman" w:cs="Times New Roman"/>
            </w:rPr>
            <w:fldChar w:fldCharType="separate"/>
          </w:r>
          <w:r>
            <w:rPr>
              <w:rFonts w:hint="default" w:ascii="Times New Roman" w:hAnsi="Times New Roman" w:cs="Times New Roman"/>
              <w:bCs/>
            </w:rPr>
            <w:t>八、一般公共预算财政拨款基本支出决算表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_Toc26658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68138D22">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_Toc31724 </w:instrText>
          </w:r>
          <w:r>
            <w:rPr>
              <w:rFonts w:hint="default" w:ascii="Times New Roman" w:hAnsi="Times New Roman" w:cs="Times New Roman"/>
            </w:rPr>
            <w:fldChar w:fldCharType="separate"/>
          </w:r>
          <w:r>
            <w:rPr>
              <w:rFonts w:hint="default" w:ascii="Times New Roman" w:hAnsi="Times New Roman" w:cs="Times New Roman"/>
              <w:bCs/>
            </w:rPr>
            <w:t>九、一般公共预算财政拨款项目支出决算表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_Toc31724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7B0EE236">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_Toc13282 </w:instrText>
          </w:r>
          <w:r>
            <w:rPr>
              <w:rFonts w:hint="default" w:ascii="Times New Roman" w:hAnsi="Times New Roman" w:cs="Times New Roman"/>
            </w:rPr>
            <w:fldChar w:fldCharType="separate"/>
          </w:r>
          <w:r>
            <w:rPr>
              <w:rFonts w:hint="default" w:ascii="Times New Roman" w:hAnsi="Times New Roman" w:cs="Times New Roman"/>
              <w:bCs/>
            </w:rPr>
            <w:t>十、政府性基金预算财政拨款收入支出决算表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_Toc13282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4DB9B4C1">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_Toc17906 </w:instrText>
          </w:r>
          <w:r>
            <w:rPr>
              <w:rFonts w:hint="default" w:ascii="Times New Roman" w:hAnsi="Times New Roman" w:cs="Times New Roman"/>
            </w:rPr>
            <w:fldChar w:fldCharType="separate"/>
          </w:r>
          <w:r>
            <w:rPr>
              <w:rFonts w:hint="default" w:ascii="Times New Roman" w:hAnsi="Times New Roman" w:cs="Times New Roman"/>
              <w:bCs/>
            </w:rPr>
            <w:t>十一、国有资本经营预算</w:t>
          </w:r>
          <w:r>
            <w:rPr>
              <w:rFonts w:hint="default" w:ascii="Times New Roman" w:hAnsi="Times New Roman" w:cs="Times New Roman"/>
              <w:bCs/>
              <w:lang w:eastAsia="zh-CN"/>
            </w:rPr>
            <w:t>财政拨款收入</w:t>
          </w:r>
          <w:r>
            <w:rPr>
              <w:rFonts w:hint="default" w:ascii="Times New Roman" w:hAnsi="Times New Roman" w:cs="Times New Roman"/>
              <w:bCs/>
            </w:rPr>
            <w:t>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_Toc17906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0C3B2F64">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_Toc26136 </w:instrText>
          </w:r>
          <w:r>
            <w:rPr>
              <w:rFonts w:hint="default" w:ascii="Times New Roman" w:hAnsi="Times New Roman" w:cs="Times New Roman"/>
            </w:rPr>
            <w:fldChar w:fldCharType="separate"/>
          </w:r>
          <w:r>
            <w:rPr>
              <w:rFonts w:hint="default" w:ascii="Times New Roman" w:hAnsi="Times New Roman" w:cs="Times New Roman"/>
              <w:bCs/>
            </w:rPr>
            <w:t>十二、</w:t>
          </w:r>
          <w:r>
            <w:rPr>
              <w:rFonts w:hint="default" w:ascii="Times New Roman" w:hAnsi="Times New Roman" w:cs="Times New Roman"/>
              <w:bCs/>
              <w:lang w:eastAsia="zh-CN"/>
            </w:rPr>
            <w:t>国有资本经营预算财政拨款支出决算表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_Toc26136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0591E455">
          <w:pPr>
            <w:pStyle w:val="15"/>
            <w:keepNext w:val="0"/>
            <w:keepLines w:val="0"/>
            <w:pageBreakBefore w:val="0"/>
            <w:widowControl w:val="0"/>
            <w:tabs>
              <w:tab w:val="right" w:leader="dot" w:pos="8845"/>
              <w:tab w:val="clear" w:pos="8296"/>
            </w:tabs>
            <w:kinsoku/>
            <w:wordWrap/>
            <w:overflowPunct/>
            <w:topLinePunct w:val="0"/>
            <w:autoSpaceDE/>
            <w:autoSpaceDN/>
            <w:bidi w:val="0"/>
            <w:adjustRightInd/>
            <w:spacing w:line="576" w:lineRule="exact"/>
            <w:ind w:left="0" w:left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_Toc13844 </w:instrText>
          </w:r>
          <w:r>
            <w:rPr>
              <w:rFonts w:hint="default" w:ascii="Times New Roman" w:hAnsi="Times New Roman" w:cs="Times New Roman"/>
            </w:rPr>
            <w:fldChar w:fldCharType="separate"/>
          </w:r>
          <w:r>
            <w:rPr>
              <w:rFonts w:hint="default" w:ascii="Times New Roman" w:hAnsi="Times New Roman" w:cs="Times New Roman"/>
              <w:bCs/>
            </w:rPr>
            <w:t>十三、</w:t>
          </w:r>
          <w:r>
            <w:rPr>
              <w:rFonts w:hint="default" w:ascii="Times New Roman" w:hAnsi="Times New Roman" w:cs="Times New Roman"/>
              <w:bCs/>
              <w:lang w:eastAsia="zh-CN"/>
            </w:rPr>
            <w:t>财政拨款“三公”经费支出决算表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_Toc13844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14:paraId="762B38C7">
          <w:pPr>
            <w:pStyle w:val="2"/>
            <w:keepNext w:val="0"/>
            <w:keepLines w:val="0"/>
            <w:pageBreakBefore w:val="0"/>
            <w:widowControl w:val="0"/>
            <w:kinsoku/>
            <w:wordWrap/>
            <w:overflowPunct/>
            <w:topLinePunct w:val="0"/>
            <w:autoSpaceDE/>
            <w:autoSpaceDN/>
            <w:bidi w:val="0"/>
            <w:adjustRightInd/>
            <w:spacing w:line="576" w:lineRule="exact"/>
            <w:ind w:left="0" w:leftChars="0"/>
            <w:textAlignment w:val="auto"/>
            <w:rPr>
              <w:rFonts w:hint="default" w:ascii="Times New Roman" w:hAnsi="Times New Roman" w:eastAsia="宋体" w:cs="Times New Roman"/>
              <w:kern w:val="2"/>
              <w:sz w:val="18"/>
              <w:szCs w:val="18"/>
              <w:lang w:val="en-US" w:eastAsia="zh-CN" w:bidi="ar-SA"/>
            </w:rPr>
            <w:sectPr>
              <w:footerReference r:id="rId6" w:type="default"/>
              <w:pgSz w:w="11906" w:h="16838"/>
              <w:pgMar w:top="2098" w:right="1474" w:bottom="1984" w:left="1587" w:header="851" w:footer="992" w:gutter="0"/>
              <w:pgNumType w:fmt="decimal" w:start="1"/>
              <w:cols w:space="425" w:num="1"/>
              <w:docGrid w:type="lines" w:linePitch="312" w:charSpace="0"/>
            </w:sectPr>
          </w:pPr>
          <w:r>
            <w:rPr>
              <w:rFonts w:hint="default" w:ascii="Times New Roman" w:hAnsi="Times New Roman" w:cs="Times New Roman"/>
            </w:rPr>
            <w:fldChar w:fldCharType="end"/>
          </w:r>
        </w:p>
      </w:sdtContent>
    </w:sdt>
    <w:p w14:paraId="2681E876">
      <w:pPr>
        <w:pStyle w:val="3"/>
        <w:pageBreakBefore w:val="0"/>
        <w:kinsoku/>
        <w:wordWrap/>
        <w:overflowPunct/>
        <w:topLinePunct w:val="0"/>
        <w:autoSpaceDN/>
        <w:bidi w:val="0"/>
        <w:adjustRightInd/>
        <w:spacing w:before="0" w:after="0"/>
        <w:ind w:left="0" w:leftChars="0"/>
        <w:jc w:val="center"/>
        <w:textAlignment w:val="auto"/>
        <w:rPr>
          <w:rFonts w:hint="default" w:ascii="Times New Roman" w:hAnsi="Times New Roman" w:eastAsia="方正小标宋简体" w:cs="Times New Roman"/>
          <w:b w:val="0"/>
          <w:bCs w:val="0"/>
        </w:rPr>
      </w:pPr>
      <w:bookmarkStart w:id="12" w:name="_Toc15396599"/>
      <w:bookmarkStart w:id="13" w:name="_Toc15377196"/>
      <w:bookmarkStart w:id="14" w:name="_Toc31587"/>
      <w:r>
        <w:rPr>
          <w:rFonts w:hint="default" w:ascii="Times New Roman" w:hAnsi="Times New Roman" w:eastAsia="方正小标宋简体" w:cs="Times New Roman"/>
          <w:b w:val="0"/>
          <w:bCs w:val="0"/>
        </w:rPr>
        <w:t>第一部分</w:t>
      </w:r>
      <w:r>
        <w:rPr>
          <w:rFonts w:hint="default" w:ascii="Times New Roman" w:hAnsi="Times New Roman" w:eastAsia="方正小标宋简体" w:cs="Times New Roman"/>
          <w:b w:val="0"/>
          <w:bCs w:val="0"/>
          <w:lang w:val="en-US" w:eastAsia="zh-CN"/>
        </w:rPr>
        <w:t xml:space="preserve"> </w:t>
      </w:r>
      <w:r>
        <w:rPr>
          <w:rFonts w:hint="default" w:ascii="Times New Roman" w:hAnsi="Times New Roman" w:eastAsia="方正小标宋简体" w:cs="Times New Roman"/>
          <w:b w:val="0"/>
          <w:bCs w:val="0"/>
        </w:rPr>
        <w:t xml:space="preserve"> 部门概况</w:t>
      </w:r>
      <w:bookmarkEnd w:id="12"/>
      <w:bookmarkEnd w:id="13"/>
      <w:bookmarkEnd w:id="14"/>
    </w:p>
    <w:p w14:paraId="4C42B650">
      <w:pPr>
        <w:pStyle w:val="4"/>
        <w:keepNext/>
        <w:keepLines/>
        <w:pageBreakBefore w:val="0"/>
        <w:widowControl w:val="0"/>
        <w:numPr>
          <w:ilvl w:val="0"/>
          <w:numId w:val="1"/>
        </w:numPr>
        <w:kinsoku/>
        <w:wordWrap/>
        <w:overflowPunct/>
        <w:topLinePunct w:val="0"/>
        <w:autoSpaceDE/>
        <w:autoSpaceDN/>
        <w:bidi w:val="0"/>
        <w:adjustRightInd/>
        <w:snapToGrid/>
        <w:spacing w:before="0" w:after="0" w:line="416" w:lineRule="auto"/>
        <w:ind w:left="0" w:leftChars="0" w:firstLine="643" w:firstLineChars="200"/>
        <w:textAlignment w:val="auto"/>
        <w:rPr>
          <w:rFonts w:hint="default" w:ascii="Times New Roman" w:hAnsi="Times New Roman" w:cs="Times New Roman"/>
          <w:lang w:eastAsia="zh-CN"/>
        </w:rPr>
      </w:pPr>
      <w:bookmarkStart w:id="15" w:name="_Toc10560"/>
      <w:r>
        <w:rPr>
          <w:rFonts w:hint="eastAsia" w:ascii="Times New Roman" w:hAnsi="Times New Roman" w:cs="Times New Roman"/>
          <w:lang w:val="en-US" w:eastAsia="zh-CN"/>
        </w:rPr>
        <w:t xml:space="preserve"> </w:t>
      </w:r>
      <w:r>
        <w:rPr>
          <w:rFonts w:hint="default" w:ascii="Times New Roman" w:hAnsi="Times New Roman" w:cs="Times New Roman"/>
          <w:lang w:eastAsia="zh-CN"/>
        </w:rPr>
        <w:t>部门职责</w:t>
      </w:r>
      <w:bookmarkEnd w:id="15"/>
    </w:p>
    <w:p w14:paraId="2D67334B">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val="en-US" w:eastAsia="zh-CN" w:bidi="ar-SA"/>
        </w:rPr>
        <w:t>（一）</w:t>
      </w:r>
      <w:r>
        <w:rPr>
          <w:rFonts w:hint="default" w:ascii="Times New Roman" w:hAnsi="Times New Roman" w:eastAsia="仿宋_GB2312" w:cs="Times New Roman"/>
          <w:kern w:val="0"/>
          <w:sz w:val="32"/>
          <w:szCs w:val="32"/>
          <w:shd w:val="clear" w:fill="FFFFFF"/>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任中）审计，对国家和省、州、县有关重大政策措施贯彻落实情况进行跟踪审计。对审计、专项审计调查和核查社会审计机构相关审计报告的结果承担责任，并负有督促被审计单位整改的责任。</w:t>
      </w:r>
      <w:r>
        <w:rPr>
          <w:rFonts w:hint="default" w:ascii="Times New Roman" w:hAnsi="Times New Roman" w:eastAsia="仿宋_GB2312" w:cs="Times New Roman"/>
          <w:kern w:val="0"/>
          <w:sz w:val="32"/>
          <w:szCs w:val="32"/>
          <w:shd w:val="clear" w:fill="FFFFFF"/>
        </w:rPr>
        <w:br w:type="textWrapping"/>
      </w:r>
      <w:r>
        <w:rPr>
          <w:rFonts w:hint="default" w:ascii="Times New Roman" w:hAnsi="Times New Roman" w:eastAsia="仿宋_GB2312" w:cs="Times New Roman"/>
          <w:kern w:val="0"/>
          <w:sz w:val="32"/>
          <w:szCs w:val="32"/>
          <w:shd w:val="clear" w:fill="FFFFFF"/>
        </w:rPr>
        <w:t xml:space="preserve">   （二）贯彻执行国家和省、州、县有关审计工作的方针政策和法律法规。起草规范性文件草案。制定并组织实施全县专业领域审计工作规划。对直接审计、调查和核查的事项依法进行审计评价，做出审计决定或提出审计建议。</w:t>
      </w:r>
    </w:p>
    <w:p w14:paraId="55B61A06">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SA"/>
        </w:rPr>
        <w:t>（二）</w:t>
      </w:r>
      <w:r>
        <w:rPr>
          <w:rFonts w:hint="default" w:ascii="Times New Roman" w:hAnsi="Times New Roman" w:eastAsia="仿宋_GB2312" w:cs="Times New Roman"/>
          <w:kern w:val="0"/>
          <w:sz w:val="32"/>
          <w:szCs w:val="32"/>
          <w:shd w:val="clear" w:fill="FFFFFF"/>
        </w:rPr>
        <w:t>向县委审计委员会提出年度县级预算执行和其他财政收支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w:t>
      </w:r>
      <w:bookmarkStart w:id="108" w:name="_GoBack"/>
      <w:r>
        <w:rPr>
          <w:rFonts w:hint="eastAsia" w:eastAsia="仿宋_GB2312" w:cs="Times New Roman"/>
          <w:kern w:val="0"/>
          <w:sz w:val="32"/>
          <w:szCs w:val="32"/>
          <w:shd w:val="clear" w:fill="FFFFFF"/>
          <w:lang w:eastAsia="zh-CN"/>
        </w:rPr>
        <w:t>和</w:t>
      </w:r>
      <w:bookmarkEnd w:id="108"/>
      <w:r>
        <w:rPr>
          <w:rFonts w:hint="default" w:ascii="Times New Roman" w:hAnsi="Times New Roman" w:eastAsia="仿宋_GB2312" w:cs="Times New Roman"/>
          <w:kern w:val="0"/>
          <w:sz w:val="32"/>
          <w:szCs w:val="32"/>
          <w:shd w:val="clear" w:fill="FFFFFF"/>
        </w:rPr>
        <w:t>乡镇党委、政府通报审计情况和审计结果。</w:t>
      </w:r>
    </w:p>
    <w:p w14:paraId="4D4C6579">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（四）直接审计下列事项，出具审计报告，在法定职权范围内</w:t>
      </w:r>
      <w:r>
        <w:rPr>
          <w:rFonts w:hint="default" w:ascii="Times New Roman" w:hAnsi="Times New Roman" w:eastAsia="仿宋_GB2312" w:cs="Times New Roman"/>
          <w:kern w:val="0"/>
          <w:sz w:val="32"/>
          <w:szCs w:val="32"/>
          <w:shd w:val="clear" w:fill="FFFFFF"/>
          <w:lang w:eastAsia="zh-CN"/>
        </w:rPr>
        <w:t>作出</w:t>
      </w:r>
      <w:r>
        <w:rPr>
          <w:rFonts w:hint="default" w:ascii="Times New Roman" w:hAnsi="Times New Roman" w:eastAsia="仿宋_GB2312" w:cs="Times New Roman"/>
          <w:kern w:val="0"/>
          <w:sz w:val="32"/>
          <w:szCs w:val="32"/>
          <w:shd w:val="clear" w:fill="FFFFFF"/>
        </w:rPr>
        <w:t>审计决定，包括国家、省、州和县有关重大政策措施贯彻落实情况；县级预算执行和其他财政收支；县级决算（草案）和其他财政收支；县级各部门（含直属单位）预算执行情况、决算和其他财政收支；使用县级财政资金的事业单位（含直属单位）和社会团体的财务收支；县级政府投资和以县级政府投资为主的建设项目的预算执行情况和决算，县级重大公共工程项目的资金管理使用和建设运营情况；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根据省审计厅、州审计局授权的国际组织和外国政府援助、贷款项目。法律法规规定的其他事项。</w:t>
      </w:r>
    </w:p>
    <w:p w14:paraId="79F2C12B">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（五）按规定对县委、县政府确定的或接受县级有关部门委托的、党政主要领导干部和县属国有企业及国有控股企业领导干部实施经济责任审计和自然资源资产离任（任中）审计。</w:t>
      </w:r>
    </w:p>
    <w:p w14:paraId="4E632C85">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（六）组织实施对国家、省、州、县财经法律法规、规章、政策和宏观调控措施执行情况、财政预算管理及国有资产管理使用等与县级财政收支有关的特定事项进行专项审计调查。</w:t>
      </w:r>
    </w:p>
    <w:p w14:paraId="100D3CB5">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（七）依法检查审计决定执行情况，督促整改审计查出的问题，依法办理县政府裁决的有关事项，协助配合有关部门查处相关重大案件。</w:t>
      </w:r>
    </w:p>
    <w:p w14:paraId="632029AF">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（八）指导和监督内部审计工作，核查社会审计机构对依法属于审计监督对象的单位出具的相关审计报告。</w:t>
      </w:r>
    </w:p>
    <w:p w14:paraId="57163CFB">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（九）组织开展审计</w:t>
      </w:r>
      <w:r>
        <w:rPr>
          <w:rFonts w:hint="eastAsia" w:eastAsia="仿宋_GB2312" w:cs="Times New Roman"/>
          <w:kern w:val="0"/>
          <w:sz w:val="32"/>
          <w:szCs w:val="32"/>
          <w:shd w:val="clear" w:fill="FFFFFF"/>
          <w:lang w:eastAsia="zh-CN"/>
        </w:rPr>
        <w:t>领域</w:t>
      </w:r>
      <w:r>
        <w:rPr>
          <w:rFonts w:hint="default" w:ascii="Times New Roman" w:hAnsi="Times New Roman" w:eastAsia="仿宋_GB2312" w:cs="Times New Roman"/>
          <w:kern w:val="0"/>
          <w:sz w:val="32"/>
          <w:szCs w:val="32"/>
          <w:shd w:val="clear" w:fill="FFFFFF"/>
        </w:rPr>
        <w:t>的交流与合作，组织开展信息技术在审计领域的应用。</w:t>
      </w:r>
    </w:p>
    <w:p w14:paraId="06FC70A3">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（十）负责全县重大项目稽查和县级预算执行情况和其他财政收支情况、国有企业的监督检查。</w:t>
      </w:r>
    </w:p>
    <w:p w14:paraId="3E7019F5">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（十一）负责实施范围内的安全生产和职业健康、生态环境保护、审批服务便民化等工作。</w:t>
      </w:r>
    </w:p>
    <w:p w14:paraId="4C46AE94">
      <w:pPr>
        <w:pageBreakBefore w:val="0"/>
        <w:kinsoku/>
        <w:wordWrap/>
        <w:overflowPunct/>
        <w:topLinePunct w:val="0"/>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bookmarkStart w:id="16" w:name="_Toc9926"/>
      <w:bookmarkStart w:id="17" w:name="_Toc23128"/>
      <w:bookmarkStart w:id="18" w:name="_Toc23059"/>
      <w:r>
        <w:rPr>
          <w:rFonts w:hint="default" w:ascii="Times New Roman" w:hAnsi="Times New Roman" w:eastAsia="仿宋_GB2312" w:cs="Times New Roman"/>
          <w:sz w:val="32"/>
          <w:szCs w:val="32"/>
        </w:rPr>
        <w:t>（十二）完成县委、县政府交办的其他任务。</w:t>
      </w:r>
      <w:bookmarkEnd w:id="16"/>
      <w:bookmarkEnd w:id="17"/>
      <w:bookmarkEnd w:id="18"/>
    </w:p>
    <w:p w14:paraId="3376FC5B">
      <w:pPr>
        <w:keepNext w:val="0"/>
        <w:keepLines w:val="0"/>
        <w:pageBreakBefore w:val="0"/>
        <w:widowControl/>
        <w:suppressLineNumbers w:val="0"/>
        <w:kinsoku/>
        <w:wordWrap/>
        <w:overflowPunct/>
        <w:topLinePunct w:val="0"/>
        <w:autoSpaceDE w:val="0"/>
        <w:autoSpaceDN/>
        <w:bidi w:val="0"/>
        <w:adjustRightInd/>
        <w:snapToGrid/>
        <w:spacing w:afterAutospacing="0" w:line="576" w:lineRule="exact"/>
        <w:ind w:left="0" w:leftChars="0" w:right="0" w:rightChars="0" w:firstLine="640" w:firstLineChars="200"/>
        <w:textAlignment w:val="auto"/>
        <w:rPr>
          <w:rFonts w:hint="default" w:ascii="Times New Roman" w:hAnsi="Times New Roman" w:cs="Times New Roman"/>
          <w:lang w:eastAsia="zh-CN"/>
        </w:rPr>
      </w:pPr>
      <w:r>
        <w:rPr>
          <w:rFonts w:hint="default" w:ascii="Times New Roman" w:hAnsi="Times New Roman" w:eastAsia="仿宋_GB2312" w:cs="Times New Roman"/>
          <w:kern w:val="0"/>
          <w:sz w:val="32"/>
          <w:szCs w:val="32"/>
          <w:lang w:val="en-US" w:eastAsia="zh-CN"/>
        </w:rPr>
        <w:t>（十三）职能转变。进一步完善审计管理体制，加强全县审计工作统筹，明晰职能定位，理顺内部职责关系，优化审计资源配置，充实加强审计力量，构建集中统一、全面覆盖、权威高效的审计监督体系。优化审计工作机制，坚持科技强审，完善业务流程，改进工作方式，加强与有关部门的沟通协调，充分调动内部审计和社会审计力量，增强监督合力。</w:t>
      </w:r>
    </w:p>
    <w:p w14:paraId="3CD943B4">
      <w:pPr>
        <w:pStyle w:val="4"/>
        <w:keepNext/>
        <w:keepLines/>
        <w:pageBreakBefore w:val="0"/>
        <w:widowControl w:val="0"/>
        <w:numPr>
          <w:ilvl w:val="0"/>
          <w:numId w:val="1"/>
        </w:numPr>
        <w:kinsoku/>
        <w:wordWrap/>
        <w:overflowPunct/>
        <w:topLinePunct w:val="0"/>
        <w:autoSpaceDE/>
        <w:autoSpaceDN/>
        <w:bidi w:val="0"/>
        <w:adjustRightInd/>
        <w:snapToGrid/>
        <w:spacing w:before="0" w:after="0" w:line="416" w:lineRule="auto"/>
        <w:ind w:left="0" w:leftChars="0" w:firstLine="643" w:firstLineChars="200"/>
        <w:textAlignment w:val="auto"/>
        <w:rPr>
          <w:rFonts w:hint="default" w:ascii="Times New Roman" w:hAnsi="Times New Roman" w:cs="Times New Roman"/>
          <w:lang w:eastAsia="zh-CN"/>
        </w:rPr>
      </w:pPr>
      <w:bookmarkStart w:id="19" w:name="_Toc15396601"/>
      <w:bookmarkStart w:id="20" w:name="_Toc30861"/>
      <w:bookmarkStart w:id="21" w:name="_Toc15377200"/>
      <w:r>
        <w:rPr>
          <w:rFonts w:hint="default" w:ascii="Times New Roman" w:hAnsi="Times New Roman" w:cs="Times New Roman"/>
          <w:lang w:eastAsia="zh-CN"/>
        </w:rPr>
        <w:t>机构设置</w:t>
      </w:r>
      <w:bookmarkEnd w:id="19"/>
      <w:bookmarkEnd w:id="20"/>
      <w:bookmarkEnd w:id="21"/>
    </w:p>
    <w:p w14:paraId="0E048519">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（一）办公室</w:t>
      </w:r>
    </w:p>
    <w:p w14:paraId="65D1254F">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处理局机关日常政务，负责有关重要会议的组织和有关报告、文件及局机关管理制度的起草；编制全县审计工作计划，负责局机关目标管理、离退休人员的管理；负责审计调查研究、宣传、对外协调、新闻发布和机关文电处理、保密、信访、档案管理。</w:t>
      </w:r>
    </w:p>
    <w:p w14:paraId="5D85082A">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（二）财政审计股</w:t>
      </w:r>
    </w:p>
    <w:p w14:paraId="60CE12DE">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审计县级和县级各部门（含直属单位）预算执行情况、决算（草案）和其他财政收支。组织审计县属国有金融机构和县政府规定的国有资本占控股或主导地位金融机构的资产、负债和损益。负责与县人大财经工作委员会协调联系有关审计业务工作。组织实施对国家和省、州、县有关重大政策措施贯彻落实情况的跟踪审计工作，承担相关业务审计或专项审计调查工作。组织审计农业农村、扶贫开发以及其他相关公共资金和建设项目。</w:t>
      </w:r>
    </w:p>
    <w:p w14:paraId="0D97459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（三）固定资产投资审计股</w:t>
      </w:r>
    </w:p>
    <w:p w14:paraId="60A576DF">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审计县级政府投资、以县级政府投资为主的建设项目以及其他关系到国家利益和公共利益的重大公共工程项目；承担对有关部门和国家企事业单位网络安全、电子政务工程和信息化及信息系统审计；组织协调对社会审计机构出具的相关审计报告的核查。</w:t>
      </w:r>
    </w:p>
    <w:p w14:paraId="771D61B8">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（四）经济责任审计股</w:t>
      </w:r>
    </w:p>
    <w:p w14:paraId="610197AF">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组织开展党政主要领导干部、国有企事业单位领导干部经济责任审计、自然资源资产离任（任中）审计以及自然资源管理、污染防治和生态保护</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修复审计情况；承担县经济责任审计工作联席会议有关工作；组织审计县属国有及国有资本占控股或主导地位企业的资产、负债</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损益；组织审计县级有关部门、县政府管理和其他单位受县政府及其他部门委托管理的社会保障资金、社会捐赠资金、安全生产和职业健康财政资金以及其他有关基金、资金的财务收支。</w:t>
      </w:r>
    </w:p>
    <w:p w14:paraId="2DF2DE76">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松潘县审计局下属二级预算单位2个，其中行政单位</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个，参照公务员法管理的事业单位</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个，其他事业单位</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个。</w:t>
      </w:r>
    </w:p>
    <w:p w14:paraId="5E16B7EA">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纳入松潘县审计局202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年度部门决算编制范围的二级预算单位包括：</w:t>
      </w:r>
    </w:p>
    <w:p w14:paraId="755DAF7B">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松潘县审计局：预算代码</w:t>
      </w:r>
      <w:r>
        <w:rPr>
          <w:rFonts w:hint="default" w:ascii="Times New Roman" w:hAnsi="Times New Roman" w:eastAsia="仿宋_GB2312" w:cs="Times New Roman"/>
          <w:sz w:val="32"/>
          <w:szCs w:val="32"/>
          <w:lang w:val="en-US" w:eastAsia="zh-CN"/>
        </w:rPr>
        <w:t>107001；</w:t>
      </w:r>
    </w:p>
    <w:p w14:paraId="02CBD801">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松潘县固定资产投资审计中心：预算代码</w:t>
      </w:r>
      <w:r>
        <w:rPr>
          <w:rFonts w:hint="default" w:ascii="Times New Roman" w:hAnsi="Times New Roman" w:eastAsia="仿宋_GB2312" w:cs="Times New Roman"/>
          <w:sz w:val="32"/>
          <w:szCs w:val="32"/>
          <w:lang w:val="en-US" w:eastAsia="zh-CN"/>
        </w:rPr>
        <w:t>107002</w:t>
      </w:r>
    </w:p>
    <w:p w14:paraId="5A4E683B">
      <w:pPr>
        <w:pageBreakBefore w:val="0"/>
        <w:widowControl/>
        <w:kinsoku/>
        <w:wordWrap/>
        <w:overflowPunct/>
        <w:topLinePunct w:val="0"/>
        <w:autoSpaceDN/>
        <w:bidi w:val="0"/>
        <w:adjustRightInd/>
        <w:spacing w:line="576" w:lineRule="exact"/>
        <w:ind w:left="0" w:leftChars="0"/>
        <w:jc w:val="left"/>
        <w:textAlignment w:val="auto"/>
        <w:rPr>
          <w:rFonts w:hint="default" w:ascii="Times New Roman" w:hAnsi="Times New Roman" w:eastAsia="仿宋" w:cs="Times New Roman"/>
          <w:color w:val="auto"/>
          <w:kern w:val="0"/>
          <w:sz w:val="32"/>
          <w:szCs w:val="32"/>
          <w:highlight w:val="none"/>
        </w:rPr>
      </w:pPr>
    </w:p>
    <w:p w14:paraId="654465F9">
      <w:pPr>
        <w:pageBreakBefore w:val="0"/>
        <w:widowControl/>
        <w:kinsoku/>
        <w:wordWrap/>
        <w:overflowPunct/>
        <w:topLinePunct w:val="0"/>
        <w:autoSpaceDN/>
        <w:bidi w:val="0"/>
        <w:adjustRightInd/>
        <w:spacing w:line="576" w:lineRule="exact"/>
        <w:ind w:left="0" w:leftChars="0"/>
        <w:jc w:val="left"/>
        <w:textAlignment w:val="auto"/>
        <w:rPr>
          <w:rFonts w:hint="default" w:ascii="Times New Roman" w:hAnsi="Times New Roman" w:eastAsia="仿宋" w:cs="Times New Roman"/>
          <w:color w:val="auto"/>
          <w:kern w:val="0"/>
          <w:sz w:val="32"/>
          <w:szCs w:val="32"/>
          <w:highlight w:val="none"/>
        </w:rPr>
      </w:pPr>
    </w:p>
    <w:p w14:paraId="2AA72DCB">
      <w:pPr>
        <w:pageBreakBefore w:val="0"/>
        <w:widowControl/>
        <w:kinsoku/>
        <w:wordWrap/>
        <w:overflowPunct/>
        <w:topLinePunct w:val="0"/>
        <w:autoSpaceDN/>
        <w:bidi w:val="0"/>
        <w:adjustRightInd/>
        <w:spacing w:line="576" w:lineRule="exact"/>
        <w:ind w:left="0" w:leftChars="0"/>
        <w:jc w:val="left"/>
        <w:textAlignment w:val="auto"/>
        <w:rPr>
          <w:rFonts w:hint="default" w:ascii="Times New Roman" w:hAnsi="Times New Roman" w:eastAsia="仿宋" w:cs="Times New Roman"/>
          <w:color w:val="auto"/>
          <w:kern w:val="0"/>
          <w:sz w:val="32"/>
          <w:szCs w:val="32"/>
          <w:highlight w:val="none"/>
        </w:rPr>
      </w:pPr>
    </w:p>
    <w:p w14:paraId="61C58F6E">
      <w:pPr>
        <w:pageBreakBefore w:val="0"/>
        <w:widowControl/>
        <w:kinsoku/>
        <w:wordWrap/>
        <w:overflowPunct/>
        <w:topLinePunct w:val="0"/>
        <w:autoSpaceDN/>
        <w:bidi w:val="0"/>
        <w:adjustRightInd/>
        <w:spacing w:line="576" w:lineRule="exact"/>
        <w:ind w:left="0" w:leftChars="0"/>
        <w:jc w:val="left"/>
        <w:textAlignment w:val="auto"/>
        <w:rPr>
          <w:rFonts w:hint="default" w:ascii="Times New Roman" w:hAnsi="Times New Roman" w:eastAsia="仿宋" w:cs="Times New Roman"/>
          <w:color w:val="auto"/>
          <w:kern w:val="0"/>
          <w:sz w:val="32"/>
          <w:szCs w:val="32"/>
          <w:highlight w:val="none"/>
        </w:rPr>
      </w:pPr>
    </w:p>
    <w:p w14:paraId="782D47DA">
      <w:pPr>
        <w:pStyle w:val="2"/>
        <w:pageBreakBefore w:val="0"/>
        <w:kinsoku/>
        <w:wordWrap/>
        <w:overflowPunct/>
        <w:topLinePunct w:val="0"/>
        <w:autoSpaceDN/>
        <w:bidi w:val="0"/>
        <w:adjustRightInd/>
        <w:spacing w:line="576" w:lineRule="exact"/>
        <w:ind w:left="0" w:leftChars="0"/>
        <w:textAlignment w:val="auto"/>
        <w:rPr>
          <w:rFonts w:hint="default" w:ascii="Times New Roman" w:hAnsi="Times New Roman" w:cs="Times New Roman"/>
        </w:rPr>
      </w:pPr>
      <w:bookmarkStart w:id="22" w:name="_Toc15396602"/>
      <w:bookmarkStart w:id="23" w:name="_Toc15377204"/>
    </w:p>
    <w:p w14:paraId="12F4BA6E">
      <w:pPr>
        <w:pStyle w:val="3"/>
        <w:pageBreakBefore w:val="0"/>
        <w:kinsoku/>
        <w:wordWrap/>
        <w:overflowPunct/>
        <w:topLinePunct w:val="0"/>
        <w:autoSpaceDN/>
        <w:bidi w:val="0"/>
        <w:adjustRightInd/>
        <w:spacing w:before="0" w:after="0" w:line="576" w:lineRule="exact"/>
        <w:ind w:left="0" w:leftChars="0" w:firstLine="440" w:firstLineChars="100"/>
        <w:jc w:val="both"/>
        <w:textAlignment w:val="auto"/>
        <w:rPr>
          <w:rFonts w:hint="default" w:ascii="Times New Roman" w:hAnsi="Times New Roman" w:eastAsia="方正小标宋简体" w:cs="Times New Roman"/>
          <w:b w:val="0"/>
          <w:color w:val="auto"/>
          <w:highlight w:val="none"/>
        </w:rPr>
      </w:pPr>
    </w:p>
    <w:p w14:paraId="0CE96034">
      <w:pPr>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61D75275">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2E0698F1">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68C66DD8">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299754D2">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63EB6C56">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04C49B50">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57647493">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0FD3B5FA">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47CC7CED">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70F41413">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1A597806">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261660B2">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0EFEF45B">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69BB14E1">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1C8CF659">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515B3347">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7CD7E008">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2FF2F37E">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47B8E583">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6E298BBC">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08285F07">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color w:val="auto"/>
          <w:highlight w:val="none"/>
        </w:rPr>
      </w:pPr>
    </w:p>
    <w:p w14:paraId="3E18772E">
      <w:pPr>
        <w:pStyle w:val="3"/>
        <w:pageBreakBefore w:val="0"/>
        <w:kinsoku/>
        <w:wordWrap/>
        <w:overflowPunct/>
        <w:topLinePunct w:val="0"/>
        <w:autoSpaceDN/>
        <w:bidi w:val="0"/>
        <w:adjustRightInd/>
        <w:spacing w:before="0" w:after="0"/>
        <w:ind w:left="0" w:leftChars="0"/>
        <w:jc w:val="center"/>
        <w:textAlignment w:val="auto"/>
        <w:rPr>
          <w:rFonts w:hint="default" w:ascii="Times New Roman" w:hAnsi="Times New Roman" w:eastAsia="方正小标宋简体" w:cs="Times New Roman"/>
          <w:b w:val="0"/>
          <w:bCs w:val="0"/>
        </w:rPr>
      </w:pPr>
      <w:bookmarkStart w:id="24" w:name="_Toc19495"/>
      <w:r>
        <w:rPr>
          <w:rFonts w:hint="default" w:ascii="Times New Roman" w:hAnsi="Times New Roman" w:eastAsia="方正小标宋简体" w:cs="Times New Roman"/>
          <w:b w:val="0"/>
          <w:bCs w:val="0"/>
        </w:rPr>
        <w:t>第二部分</w:t>
      </w:r>
      <w:r>
        <w:rPr>
          <w:rFonts w:hint="default" w:ascii="Times New Roman" w:hAnsi="Times New Roman" w:eastAsia="方正小标宋简体" w:cs="Times New Roman"/>
          <w:b w:val="0"/>
          <w:bCs w:val="0"/>
          <w:lang w:val="en-US" w:eastAsia="zh-CN"/>
        </w:rPr>
        <w:t xml:space="preserve"> </w:t>
      </w:r>
      <w:r>
        <w:rPr>
          <w:rFonts w:hint="default" w:ascii="Times New Roman" w:hAnsi="Times New Roman" w:eastAsia="方正小标宋简体" w:cs="Times New Roman"/>
          <w:b w:val="0"/>
          <w:bCs w:val="0"/>
        </w:rPr>
        <w:t xml:space="preserve"> </w:t>
      </w:r>
      <w:r>
        <w:rPr>
          <w:rFonts w:hint="default" w:ascii="Times New Roman" w:hAnsi="Times New Roman" w:eastAsia="方正小标宋简体" w:cs="Times New Roman"/>
          <w:b w:val="0"/>
          <w:bCs w:val="0"/>
          <w:lang w:val="en-US" w:eastAsia="zh-CN"/>
        </w:rPr>
        <w:t>2025年度</w:t>
      </w:r>
      <w:r>
        <w:rPr>
          <w:rFonts w:hint="default" w:ascii="Times New Roman" w:hAnsi="Times New Roman" w:eastAsia="方正小标宋简体" w:cs="Times New Roman"/>
          <w:b w:val="0"/>
          <w:bCs w:val="0"/>
        </w:rPr>
        <w:t>部门决算情况说明</w:t>
      </w:r>
      <w:bookmarkEnd w:id="22"/>
      <w:bookmarkEnd w:id="23"/>
      <w:bookmarkEnd w:id="24"/>
    </w:p>
    <w:p w14:paraId="0D37F13A">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b/>
          <w:bCs/>
        </w:rPr>
      </w:pPr>
      <w:bookmarkStart w:id="25" w:name="_Toc15377205"/>
      <w:bookmarkStart w:id="26" w:name="_Toc15396603"/>
      <w:bookmarkStart w:id="27" w:name="_Toc26697"/>
      <w:r>
        <w:rPr>
          <w:rFonts w:hint="default" w:ascii="Times New Roman" w:hAnsi="Times New Roman" w:eastAsia="楷体_GB2312" w:cs="Times New Roman"/>
          <w:b/>
          <w:bCs/>
          <w:lang w:eastAsia="zh-CN"/>
        </w:rPr>
        <w:t>一、</w:t>
      </w:r>
      <w:r>
        <w:rPr>
          <w:rFonts w:hint="default" w:ascii="Times New Roman" w:hAnsi="Times New Roman" w:eastAsia="楷体_GB2312" w:cs="Times New Roman"/>
          <w:b/>
          <w:bCs/>
        </w:rPr>
        <w:t>收入支出决算总体情况说明</w:t>
      </w:r>
      <w:bookmarkEnd w:id="25"/>
      <w:bookmarkEnd w:id="26"/>
      <w:bookmarkEnd w:id="27"/>
    </w:p>
    <w:p w14:paraId="4157CD1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rPr>
      </w:pPr>
      <w:bookmarkStart w:id="28" w:name="_Toc31939"/>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465.42</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36.25</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8.45</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人员变动、工资变动。</w:t>
      </w:r>
      <w:bookmarkEnd w:id="28"/>
    </w:p>
    <w:p w14:paraId="6B99CD73">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jc w:val="center"/>
        <w:textAlignment w:val="auto"/>
        <w:outlineLvl w:val="1"/>
        <w:rPr>
          <w:rFonts w:hint="default" w:ascii="Times New Roman" w:hAnsi="Times New Roman" w:eastAsia="仿宋_GB2312" w:cs="Times New Roman"/>
          <w:color w:val="auto"/>
          <w:sz w:val="32"/>
          <w:szCs w:val="32"/>
          <w:highlight w:val="none"/>
          <w:lang w:eastAsia="zh-CN"/>
        </w:rPr>
      </w:pPr>
      <w:bookmarkStart w:id="29" w:name="_Toc15267"/>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287020</wp:posOffset>
            </wp:positionH>
            <wp:positionV relativeFrom="paragraph">
              <wp:posOffset>254000</wp:posOffset>
            </wp:positionV>
            <wp:extent cx="5210175" cy="3874135"/>
            <wp:effectExtent l="4445" t="4445" r="5080" b="7620"/>
            <wp:wrapSquare wrapText="bothSides"/>
            <wp:docPr id="2" name="图表 2" descr="7b0a202020202263686172745265734964223a202235303035333432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w:t>
      </w:r>
      <w:bookmarkEnd w:id="29"/>
    </w:p>
    <w:p w14:paraId="2A02FC2E">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cs="Times New Roman"/>
          <w:lang w:eastAsia="zh-CN"/>
        </w:rPr>
      </w:pPr>
      <w:bookmarkStart w:id="30" w:name="_Toc15377206"/>
      <w:bookmarkStart w:id="31" w:name="_Toc15396604"/>
    </w:p>
    <w:p w14:paraId="16BFCA56">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b/>
          <w:bCs/>
          <w:lang w:eastAsia="zh-CN"/>
        </w:rPr>
      </w:pPr>
      <w:bookmarkStart w:id="32" w:name="_Toc9548"/>
      <w:r>
        <w:rPr>
          <w:rFonts w:hint="default" w:ascii="Times New Roman" w:hAnsi="Times New Roman" w:eastAsia="楷体_GB2312" w:cs="Times New Roman"/>
          <w:b/>
          <w:bCs/>
          <w:lang w:eastAsia="zh-CN"/>
        </w:rPr>
        <w:t>二、收入决算情况说明</w:t>
      </w:r>
      <w:bookmarkEnd w:id="30"/>
      <w:bookmarkEnd w:id="31"/>
      <w:bookmarkEnd w:id="32"/>
    </w:p>
    <w:p w14:paraId="7CD2D9F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3" w:name="_Toc25574"/>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收入</w:t>
      </w:r>
      <w:r>
        <w:rPr>
          <w:rFonts w:hint="default" w:ascii="Times New Roman" w:hAnsi="Times New Roman" w:eastAsia="仿宋_GB2312" w:cs="Times New Roman"/>
          <w:sz w:val="32"/>
          <w:szCs w:val="32"/>
          <w:lang w:val="en-US" w:eastAsia="zh-CN"/>
        </w:rPr>
        <w:t>465.42</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464.84</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99.87</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0.58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0.12</w:t>
      </w:r>
      <w:r>
        <w:rPr>
          <w:rFonts w:hint="default" w:ascii="Times New Roman" w:hAnsi="Times New Roman" w:eastAsia="仿宋_GB2312" w:cs="Times New Roman"/>
          <w:color w:val="auto"/>
          <w:sz w:val="32"/>
          <w:szCs w:val="32"/>
          <w:highlight w:val="none"/>
          <w:lang w:eastAsia="zh-CN"/>
        </w:rPr>
        <w:t>%。</w:t>
      </w:r>
      <w:bookmarkEnd w:id="33"/>
    </w:p>
    <w:p w14:paraId="12465EB3">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center"/>
        <w:textAlignment w:val="auto"/>
        <w:outlineLvl w:val="1"/>
        <w:rPr>
          <w:rFonts w:hint="default" w:ascii="Times New Roman" w:hAnsi="Times New Roman" w:eastAsia="仿宋_GB2312" w:cs="Times New Roman"/>
          <w:color w:val="auto"/>
          <w:sz w:val="32"/>
          <w:szCs w:val="32"/>
          <w:highlight w:val="none"/>
          <w:lang w:eastAsia="zh-CN"/>
        </w:rPr>
      </w:pPr>
      <w:bookmarkStart w:id="34" w:name="_Toc10760"/>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135890</wp:posOffset>
            </wp:positionH>
            <wp:positionV relativeFrom="paragraph">
              <wp:posOffset>147955</wp:posOffset>
            </wp:positionV>
            <wp:extent cx="4864100" cy="3235325"/>
            <wp:effectExtent l="4445" t="4445" r="8255" b="17780"/>
            <wp:wrapTopAndBottom/>
            <wp:docPr id="5" name="图表 5" descr="7b0a202020202263686172745265734964223a2022323034373638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Times New Roman" w:hAnsi="Times New Roman" w:eastAsia="仿宋_GB2312" w:cs="Times New Roman"/>
          <w:color w:val="auto"/>
          <w:sz w:val="32"/>
          <w:szCs w:val="32"/>
          <w:highlight w:val="none"/>
          <w:lang w:eastAsia="zh-CN"/>
        </w:rPr>
        <w:t>（图2：收入决算结构图）</w:t>
      </w:r>
      <w:bookmarkEnd w:id="34"/>
    </w:p>
    <w:p w14:paraId="70011E2D">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b/>
          <w:bCs/>
        </w:rPr>
      </w:pPr>
      <w:bookmarkStart w:id="35" w:name="_Toc13250"/>
      <w:bookmarkStart w:id="36" w:name="_Toc15377207"/>
      <w:bookmarkStart w:id="37" w:name="_Toc15396605"/>
      <w:r>
        <w:rPr>
          <w:rFonts w:hint="default" w:ascii="Times New Roman" w:hAnsi="Times New Roman" w:eastAsia="楷体_GB2312" w:cs="Times New Roman"/>
          <w:b/>
          <w:bCs/>
          <w:lang w:eastAsia="zh-CN"/>
        </w:rPr>
        <w:t>三、</w:t>
      </w:r>
      <w:r>
        <w:rPr>
          <w:rFonts w:hint="default" w:ascii="Times New Roman" w:hAnsi="Times New Roman" w:eastAsia="楷体_GB2312" w:cs="Times New Roman"/>
          <w:b/>
          <w:bCs/>
        </w:rPr>
        <w:t>支出决算情况说明</w:t>
      </w:r>
      <w:bookmarkEnd w:id="35"/>
      <w:bookmarkEnd w:id="36"/>
      <w:bookmarkEnd w:id="37"/>
    </w:p>
    <w:p w14:paraId="520152B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b/>
          <w:bCs/>
          <w:color w:val="auto"/>
          <w:sz w:val="32"/>
          <w:szCs w:val="32"/>
          <w:highlight w:val="none"/>
          <w:lang w:eastAsia="zh-CN"/>
        </w:rPr>
      </w:pPr>
      <w:bookmarkStart w:id="38" w:name="_Toc7265"/>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465.2</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435.65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93.64</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29.55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6.35</w:t>
      </w:r>
      <w:r>
        <w:rPr>
          <w:rFonts w:hint="default" w:ascii="Times New Roman" w:hAnsi="Times New Roman" w:eastAsia="仿宋_GB2312" w:cs="Times New Roman"/>
          <w:color w:val="auto"/>
          <w:sz w:val="32"/>
          <w:szCs w:val="32"/>
          <w:highlight w:val="none"/>
          <w:lang w:eastAsia="zh-CN"/>
        </w:rPr>
        <w:t>%。</w:t>
      </w:r>
      <w:bookmarkEnd w:id="38"/>
    </w:p>
    <w:p w14:paraId="0FA56A7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668655</wp:posOffset>
            </wp:positionH>
            <wp:positionV relativeFrom="paragraph">
              <wp:posOffset>132715</wp:posOffset>
            </wp:positionV>
            <wp:extent cx="4971415" cy="3531870"/>
            <wp:effectExtent l="5080" t="4445" r="14605" b="64135"/>
            <wp:wrapTight wrapText="bothSides">
              <wp:wrapPolygon>
                <wp:start x="-22" y="-27"/>
                <wp:lineTo x="-22" y="21759"/>
                <wp:lineTo x="21498" y="21759"/>
                <wp:lineTo x="21498" y="-27"/>
                <wp:lineTo x="-22" y="-27"/>
              </wp:wrapPolygon>
            </wp:wrapTight>
            <wp:docPr id="9" name="图表 9" descr="7b0a202020202263686172745265734964223a2022323034373638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8E3A9FE">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960" w:firstLineChars="300"/>
        <w:jc w:val="center"/>
        <w:textAlignment w:val="auto"/>
        <w:outlineLvl w:val="1"/>
        <w:rPr>
          <w:rFonts w:hint="default" w:ascii="Times New Roman" w:hAnsi="Times New Roman" w:eastAsia="仿宋_GB2312" w:cs="Times New Roman"/>
          <w:color w:val="auto"/>
          <w:sz w:val="32"/>
          <w:szCs w:val="32"/>
          <w:highlight w:val="none"/>
          <w:lang w:eastAsia="zh-CN"/>
        </w:rPr>
      </w:pPr>
      <w:bookmarkStart w:id="39" w:name="_Toc7073"/>
      <w:r>
        <w:rPr>
          <w:rFonts w:hint="default" w:ascii="Times New Roman" w:hAnsi="Times New Roman" w:eastAsia="仿宋_GB2312" w:cs="Times New Roman"/>
          <w:color w:val="auto"/>
          <w:sz w:val="32"/>
          <w:szCs w:val="32"/>
          <w:highlight w:val="none"/>
          <w:lang w:eastAsia="zh-CN"/>
        </w:rPr>
        <w:t>（图3：支出决算结构图）</w:t>
      </w:r>
      <w:bookmarkEnd w:id="39"/>
    </w:p>
    <w:p w14:paraId="0B6DC87F">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b/>
          <w:bCs/>
        </w:rPr>
      </w:pPr>
      <w:bookmarkStart w:id="40" w:name="_Toc10886"/>
      <w:bookmarkStart w:id="41" w:name="_Toc15377208"/>
      <w:bookmarkStart w:id="42" w:name="_Toc15396606"/>
      <w:r>
        <w:rPr>
          <w:rFonts w:hint="default" w:ascii="Times New Roman" w:hAnsi="Times New Roman" w:eastAsia="楷体_GB2312" w:cs="Times New Roman"/>
          <w:b/>
          <w:bCs/>
        </w:rPr>
        <w:t>四、财政拨款收入支出决算总体情况说明</w:t>
      </w:r>
      <w:bookmarkEnd w:id="40"/>
      <w:bookmarkEnd w:id="41"/>
      <w:bookmarkEnd w:id="42"/>
    </w:p>
    <w:p w14:paraId="2310A51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43" w:name="_Toc30887"/>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464.84</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万元。与上年度相比，财政拨款收入、支出总计增加</w:t>
      </w:r>
      <w:r>
        <w:rPr>
          <w:rFonts w:hint="default" w:ascii="Times New Roman" w:hAnsi="Times New Roman" w:eastAsia="仿宋_GB2312" w:cs="Times New Roman"/>
          <w:color w:val="auto"/>
          <w:sz w:val="32"/>
          <w:szCs w:val="32"/>
          <w:highlight w:val="none"/>
          <w:lang w:val="en-US" w:eastAsia="zh-CN"/>
        </w:rPr>
        <w:t>36.25</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人员变动、工资变动。</w:t>
      </w:r>
      <w:bookmarkEnd w:id="43"/>
    </w:p>
    <w:p w14:paraId="7DEBDBDD">
      <w:pPr>
        <w:pageBreakBefore w:val="0"/>
        <w:kinsoku/>
        <w:wordWrap/>
        <w:overflowPunct/>
        <w:topLinePunct w:val="0"/>
        <w:autoSpaceDN/>
        <w:bidi w:val="0"/>
        <w:adjustRightInd/>
        <w:spacing w:line="576" w:lineRule="exact"/>
        <w:ind w:left="0" w:leftChars="0" w:firstLine="960" w:firstLineChars="3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-73660</wp:posOffset>
            </wp:positionH>
            <wp:positionV relativeFrom="paragraph">
              <wp:posOffset>188595</wp:posOffset>
            </wp:positionV>
            <wp:extent cx="5343525" cy="3796030"/>
            <wp:effectExtent l="5080" t="4445" r="4445" b="9525"/>
            <wp:wrapSquare wrapText="bothSides"/>
            <wp:docPr id="1" name="图表 1" descr="7b0a202020202263686172745265734964223a202235303037313239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w:t>
      </w:r>
    </w:p>
    <w:p w14:paraId="2A4475E4">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b/>
          <w:bCs/>
        </w:rPr>
      </w:pPr>
      <w:bookmarkStart w:id="44" w:name="_Toc15377209"/>
      <w:bookmarkStart w:id="45" w:name="_Toc15396607"/>
      <w:bookmarkStart w:id="46" w:name="_Toc584"/>
      <w:r>
        <w:rPr>
          <w:rFonts w:hint="default" w:ascii="Times New Roman" w:hAnsi="Times New Roman" w:eastAsia="楷体_GB2312" w:cs="Times New Roman"/>
          <w:b/>
          <w:bCs/>
        </w:rPr>
        <w:t>五、一般公共预算财政拨款支出决算情况说明</w:t>
      </w:r>
      <w:bookmarkEnd w:id="44"/>
      <w:bookmarkEnd w:id="45"/>
      <w:bookmarkEnd w:id="46"/>
    </w:p>
    <w:p w14:paraId="5825FBC2">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47" w:name="_Toc15377210"/>
      <w:r>
        <w:rPr>
          <w:rFonts w:hint="default" w:ascii="Times New Roman" w:hAnsi="Times New Roman" w:eastAsia="仿宋_GB2312" w:cs="Times New Roman"/>
        </w:rPr>
        <w:t>（一）一般公共预算财政拨款支出决算总体情况</w:t>
      </w:r>
      <w:bookmarkEnd w:id="47"/>
    </w:p>
    <w:p w14:paraId="3589D576">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464.84</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99.92</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%。与上年度相比，一般公共预算财政拨款支出增加35.67万元，增长8.31%。主要变动原因是</w:t>
      </w:r>
      <w:r>
        <w:rPr>
          <w:rFonts w:hint="default" w:ascii="Times New Roman" w:hAnsi="Times New Roman" w:eastAsia="仿宋_GB2312" w:cs="Times New Roman"/>
          <w:color w:val="auto"/>
          <w:sz w:val="32"/>
          <w:szCs w:val="32"/>
          <w:highlight w:val="none"/>
          <w:lang w:eastAsia="zh-CN"/>
        </w:rPr>
        <w:t>人员变动、工资变动。</w:t>
      </w:r>
    </w:p>
    <w:p w14:paraId="216B4B46">
      <w:pPr>
        <w:pageBreakBefore w:val="0"/>
        <w:kinsoku/>
        <w:wordWrap/>
        <w:overflowPunct/>
        <w:topLinePunct w:val="0"/>
        <w:autoSpaceDN/>
        <w:bidi w:val="0"/>
        <w:adjustRightInd/>
        <w:spacing w:line="576" w:lineRule="exact"/>
        <w:ind w:left="0" w:leftChars="0"/>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240030</wp:posOffset>
            </wp:positionH>
            <wp:positionV relativeFrom="paragraph">
              <wp:posOffset>224155</wp:posOffset>
            </wp:positionV>
            <wp:extent cx="5475605" cy="3827145"/>
            <wp:effectExtent l="4445" t="4445" r="6350" b="16510"/>
            <wp:wrapSquare wrapText="bothSides"/>
            <wp:docPr id="4" name="图表 4" descr="7b0a202020202263686172745265734964223a202235303037333237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w:t>
      </w:r>
    </w:p>
    <w:p w14:paraId="4F1F03A5">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48" w:name="_Toc15377211"/>
      <w:r>
        <w:rPr>
          <w:rFonts w:hint="default" w:ascii="Times New Roman" w:hAnsi="Times New Roman" w:eastAsia="仿宋_GB2312" w:cs="Times New Roman"/>
        </w:rPr>
        <w:t>（二）一般公共预算财政拨款支出决算结构情况</w:t>
      </w:r>
      <w:bookmarkEnd w:id="48"/>
    </w:p>
    <w:p w14:paraId="1CC2F5B5">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464.84</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万元，主要用于以下方面：一般公共服务支出358.35万元，占77.09%；社会保障和就业支出57.31万元，占12.33%；卫生健康支出19.9万元，占4.28%；住房保障支出29.28万元，占6.30%。</w:t>
      </w:r>
    </w:p>
    <w:p w14:paraId="6258FDC8">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4384" behindDoc="1" locked="0" layoutInCell="1" allowOverlap="1">
            <wp:simplePos x="0" y="0"/>
            <wp:positionH relativeFrom="column">
              <wp:posOffset>525145</wp:posOffset>
            </wp:positionH>
            <wp:positionV relativeFrom="paragraph">
              <wp:posOffset>16510</wp:posOffset>
            </wp:positionV>
            <wp:extent cx="5210175" cy="3425190"/>
            <wp:effectExtent l="4445" t="4445" r="5080" b="18415"/>
            <wp:wrapTight wrapText="bothSides">
              <wp:wrapPolygon>
                <wp:start x="-18" y="-28"/>
                <wp:lineTo x="-18" y="21476"/>
                <wp:lineTo x="21542" y="21476"/>
                <wp:lineTo x="21542" y="-28"/>
                <wp:lineTo x="-18" y="-28"/>
              </wp:wrapPolygon>
            </wp:wrapTight>
            <wp:docPr id="7" name="图表 7" descr="7b0a202020202263686172745265734964223a202232303436393939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Times New Roman" w:hAnsi="Times New Roman" w:eastAsia="仿宋_GB2312" w:cs="Times New Roman"/>
          <w:color w:val="auto"/>
          <w:kern w:val="2"/>
          <w:sz w:val="32"/>
          <w:szCs w:val="32"/>
          <w:highlight w:val="none"/>
          <w:lang w:val="en-US" w:eastAsia="zh-CN" w:bidi="ar-SA"/>
        </w:rPr>
        <w:t xml:space="preserve">     （图6：一般公共预算财政拨款支出决算结构）</w:t>
      </w:r>
    </w:p>
    <w:p w14:paraId="32DD795D">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49" w:name="_Toc15377212"/>
      <w:r>
        <w:rPr>
          <w:rFonts w:hint="default" w:ascii="Times New Roman" w:hAnsi="Times New Roman" w:eastAsia="仿宋_GB2312" w:cs="Times New Roman"/>
        </w:rPr>
        <w:t>（三）一般公共预算财政拨款支出决算具体情况</w:t>
      </w:r>
      <w:bookmarkEnd w:id="49"/>
    </w:p>
    <w:p w14:paraId="6874B6FB">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50" w:name="_Toc15377213"/>
      <w:bookmarkStart w:id="51" w:name="_Toc15377444"/>
      <w:bookmarkStart w:id="52" w:name="_Toc15378460"/>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464.84</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50"/>
      <w:bookmarkEnd w:id="51"/>
      <w:bookmarkEnd w:id="52"/>
    </w:p>
    <w:p w14:paraId="665BD4B9">
      <w:pPr>
        <w:pageBreakBefore w:val="0"/>
        <w:kinsoku/>
        <w:wordWrap/>
        <w:overflowPunct/>
        <w:topLinePunct w:val="0"/>
        <w:autoSpaceDN/>
        <w:bidi w:val="0"/>
        <w:adjustRightInd/>
        <w:spacing w:line="576" w:lineRule="exact"/>
        <w:ind w:left="0" w:leftChars="0" w:firstLine="643" w:firstLineChars="200"/>
        <w:textAlignment w:val="auto"/>
        <w:rPr>
          <w:rFonts w:hint="default" w:ascii="Times New Roman" w:hAnsi="Times New Roman" w:eastAsia="仿宋" w:cs="Times New Roman"/>
          <w:b/>
          <w:sz w:val="32"/>
          <w:szCs w:val="32"/>
          <w:lang w:eastAsia="zh-CN"/>
        </w:rPr>
      </w:pPr>
      <w:r>
        <w:rPr>
          <w:rFonts w:hint="default" w:ascii="Times New Roman" w:hAnsi="Times New Roman" w:eastAsia="仿宋_GB2312" w:cs="Times New Roman"/>
          <w:b/>
          <w:bCs/>
          <w:color w:val="auto"/>
          <w:kern w:val="2"/>
          <w:sz w:val="32"/>
          <w:szCs w:val="32"/>
          <w:highlight w:val="none"/>
          <w:lang w:val="en-US" w:eastAsia="zh-CN" w:bidi="ar-SA"/>
        </w:rPr>
        <w:t>1.一般公共服务201：</w:t>
      </w:r>
      <w:r>
        <w:rPr>
          <w:rFonts w:hint="default" w:ascii="Times New Roman" w:hAnsi="Times New Roman" w:eastAsia="仿宋_GB2312" w:cs="Times New Roman"/>
          <w:color w:val="auto"/>
          <w:kern w:val="2"/>
          <w:sz w:val="32"/>
          <w:szCs w:val="32"/>
          <w:highlight w:val="none"/>
          <w:lang w:val="en-US" w:eastAsia="zh-CN" w:bidi="ar-SA"/>
        </w:rPr>
        <w:t>支出决算为358.35万元，完成预算77.09%，</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p>
    <w:p w14:paraId="792ABFD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 w:cs="Times New Roman"/>
          <w:b/>
          <w:sz w:val="32"/>
          <w:szCs w:val="32"/>
        </w:rPr>
      </w:pPr>
      <w:r>
        <w:rPr>
          <w:rFonts w:hint="default" w:ascii="Times New Roman" w:hAnsi="Times New Roman" w:eastAsia="仿宋_GB2312" w:cs="Times New Roman"/>
          <w:color w:val="auto"/>
          <w:kern w:val="2"/>
          <w:sz w:val="32"/>
          <w:szCs w:val="32"/>
          <w:highlight w:val="none"/>
          <w:lang w:val="en-US" w:eastAsia="zh-CN" w:bidi="ar-SA"/>
        </w:rPr>
        <w:t>2.</w:t>
      </w:r>
      <w:r>
        <w:rPr>
          <w:rStyle w:val="18"/>
          <w:rFonts w:hint="default" w:ascii="Times New Roman" w:hAnsi="Times New Roman" w:eastAsia="仿宋" w:cs="Times New Roman"/>
          <w:bCs/>
          <w:sz w:val="32"/>
          <w:szCs w:val="32"/>
        </w:rPr>
        <w:t>社会保障和就业</w:t>
      </w:r>
      <w:r>
        <w:rPr>
          <w:rStyle w:val="18"/>
          <w:rFonts w:hint="default" w:ascii="Times New Roman" w:hAnsi="Times New Roman" w:eastAsia="仿宋" w:cs="Times New Roman"/>
          <w:bCs/>
          <w:sz w:val="32"/>
          <w:szCs w:val="32"/>
          <w:lang w:eastAsia="zh-CN"/>
        </w:rPr>
        <w:t>支出</w:t>
      </w:r>
      <w:r>
        <w:rPr>
          <w:rStyle w:val="18"/>
          <w:rFonts w:hint="default" w:ascii="Times New Roman" w:hAnsi="Times New Roman" w:eastAsia="仿宋" w:cs="Times New Roman"/>
          <w:bCs/>
          <w:sz w:val="32"/>
          <w:szCs w:val="32"/>
          <w:lang w:val="en-US" w:eastAsia="zh-CN"/>
        </w:rPr>
        <w:t>208</w:t>
      </w:r>
      <w:r>
        <w:rPr>
          <w:rStyle w:val="18"/>
          <w:rFonts w:hint="default" w:ascii="Times New Roman" w:hAnsi="Times New Roman" w:eastAsia="仿宋" w:cs="Times New Roman"/>
          <w:bCs/>
          <w:sz w:val="32"/>
          <w:szCs w:val="32"/>
        </w:rPr>
        <w:t>:</w:t>
      </w:r>
      <w:r>
        <w:rPr>
          <w:rStyle w:val="18"/>
          <w:rFonts w:hint="default" w:ascii="Times New Roman" w:hAnsi="Times New Roman" w:eastAsia="仿宋" w:cs="Times New Roman"/>
          <w:b w:val="0"/>
          <w:bCs/>
          <w:sz w:val="32"/>
          <w:szCs w:val="32"/>
        </w:rPr>
        <w:t xml:space="preserve"> 支出决算为</w:t>
      </w:r>
      <w:r>
        <w:rPr>
          <w:rFonts w:hint="default" w:ascii="Times New Roman" w:hAnsi="Times New Roman" w:eastAsia="仿宋_GB2312" w:cs="Times New Roman"/>
          <w:color w:val="auto"/>
          <w:kern w:val="2"/>
          <w:sz w:val="32"/>
          <w:szCs w:val="32"/>
          <w:highlight w:val="none"/>
          <w:lang w:val="en-US" w:eastAsia="zh-CN" w:bidi="ar-SA"/>
        </w:rPr>
        <w:t>57.31万元，</w:t>
      </w:r>
      <w:r>
        <w:rPr>
          <w:rStyle w:val="18"/>
          <w:rFonts w:hint="default" w:ascii="Times New Roman" w:hAnsi="Times New Roman" w:eastAsia="仿宋" w:cs="Times New Roman"/>
          <w:b w:val="0"/>
          <w:bCs/>
          <w:sz w:val="32"/>
          <w:szCs w:val="32"/>
        </w:rPr>
        <w:t>完成预算</w:t>
      </w:r>
      <w:r>
        <w:rPr>
          <w:rFonts w:hint="default" w:ascii="Times New Roman" w:hAnsi="Times New Roman" w:eastAsia="仿宋_GB2312" w:cs="Times New Roman"/>
          <w:color w:val="auto"/>
          <w:kern w:val="2"/>
          <w:sz w:val="32"/>
          <w:szCs w:val="32"/>
          <w:highlight w:val="none"/>
          <w:lang w:val="en-US" w:eastAsia="zh-CN" w:bidi="ar-SA"/>
        </w:rPr>
        <w:t>12.33%</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p>
    <w:p w14:paraId="1E91E1FD">
      <w:pPr>
        <w:pageBreakBefore w:val="0"/>
        <w:kinsoku/>
        <w:wordWrap/>
        <w:overflowPunct/>
        <w:topLinePunct w:val="0"/>
        <w:autoSpaceDN/>
        <w:bidi w:val="0"/>
        <w:adjustRightInd/>
        <w:spacing w:line="576" w:lineRule="exact"/>
        <w:ind w:left="0" w:leftChars="0" w:firstLine="643" w:firstLineChars="200"/>
        <w:textAlignment w:val="auto"/>
        <w:rPr>
          <w:rFonts w:hint="default" w:ascii="Times New Roman" w:hAnsi="Times New Roman" w:eastAsia="仿宋" w:cs="Times New Roman"/>
          <w:b/>
          <w:sz w:val="32"/>
          <w:szCs w:val="32"/>
          <w:lang w:eastAsia="zh-CN"/>
        </w:rPr>
      </w:pPr>
      <w:r>
        <w:rPr>
          <w:rFonts w:hint="default" w:ascii="Times New Roman" w:hAnsi="Times New Roman" w:eastAsia="仿宋_GB2312" w:cs="Times New Roman"/>
          <w:b/>
          <w:bCs/>
          <w:color w:val="auto"/>
          <w:kern w:val="2"/>
          <w:sz w:val="32"/>
          <w:szCs w:val="32"/>
          <w:highlight w:val="none"/>
          <w:lang w:val="en-US" w:eastAsia="zh-CN" w:bidi="ar-SA"/>
        </w:rPr>
        <w:t>3.卫生健康支出210：</w:t>
      </w:r>
      <w:r>
        <w:rPr>
          <w:rFonts w:hint="default" w:ascii="Times New Roman" w:hAnsi="Times New Roman" w:eastAsia="仿宋_GB2312" w:cs="Times New Roman"/>
          <w:color w:val="auto"/>
          <w:kern w:val="2"/>
          <w:sz w:val="32"/>
          <w:szCs w:val="32"/>
          <w:highlight w:val="none"/>
          <w:lang w:val="en-US" w:eastAsia="zh-CN" w:bidi="ar-SA"/>
        </w:rPr>
        <w:t>支出决算为19.90万元，完成预算4.28%，</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p>
    <w:p w14:paraId="76BF6C58">
      <w:pPr>
        <w:pageBreakBefore w:val="0"/>
        <w:kinsoku/>
        <w:wordWrap/>
        <w:overflowPunct/>
        <w:topLinePunct w:val="0"/>
        <w:autoSpaceDN/>
        <w:bidi w:val="0"/>
        <w:adjustRightInd/>
        <w:spacing w:line="576"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Style w:val="18"/>
          <w:rFonts w:hint="default" w:ascii="Times New Roman" w:hAnsi="Times New Roman" w:eastAsia="仿宋" w:cs="Times New Roman"/>
          <w:bCs/>
          <w:kern w:val="2"/>
          <w:sz w:val="32"/>
          <w:szCs w:val="32"/>
          <w:lang w:val="en-US" w:eastAsia="zh-CN" w:bidi="ar-SA"/>
        </w:rPr>
        <w:t>4.住房保障支出221：</w:t>
      </w:r>
      <w:r>
        <w:rPr>
          <w:rStyle w:val="36"/>
          <w:rFonts w:hint="default" w:ascii="Times New Roman" w:hAnsi="Times New Roman" w:eastAsia="仿宋_GB2312" w:cs="Times New Roman"/>
          <w:b w:val="0"/>
          <w:bCs/>
          <w:sz w:val="32"/>
          <w:szCs w:val="32"/>
          <w:shd w:val="clear" w:fill="FFFFFF"/>
        </w:rPr>
        <w:t>支出决算为</w:t>
      </w:r>
      <w:r>
        <w:rPr>
          <w:rStyle w:val="36"/>
          <w:rFonts w:hint="default" w:ascii="Times New Roman" w:hAnsi="Times New Roman" w:eastAsia="仿宋_GB2312" w:cs="Times New Roman"/>
          <w:b w:val="0"/>
          <w:bCs/>
          <w:sz w:val="32"/>
          <w:szCs w:val="32"/>
          <w:shd w:val="clear" w:fill="FFFFFF"/>
          <w:lang w:val="en-US" w:eastAsia="zh-CN"/>
        </w:rPr>
        <w:t>29.28</w:t>
      </w:r>
      <w:r>
        <w:rPr>
          <w:rStyle w:val="36"/>
          <w:rFonts w:hint="default" w:ascii="Times New Roman" w:hAnsi="Times New Roman" w:eastAsia="仿宋_GB2312" w:cs="Times New Roman"/>
          <w:b w:val="0"/>
          <w:bCs/>
          <w:sz w:val="32"/>
          <w:szCs w:val="32"/>
          <w:shd w:val="clear" w:fill="FFFFFF"/>
        </w:rPr>
        <w:t>万元，完成预算</w:t>
      </w:r>
      <w:r>
        <w:rPr>
          <w:rStyle w:val="36"/>
          <w:rFonts w:hint="default" w:ascii="Times New Roman" w:hAnsi="Times New Roman" w:eastAsia="仿宋_GB2312" w:cs="Times New Roman"/>
          <w:b w:val="0"/>
          <w:bCs/>
          <w:sz w:val="32"/>
          <w:szCs w:val="32"/>
          <w:shd w:val="clear" w:fill="FFFFFF"/>
          <w:lang w:val="en-US" w:eastAsia="zh-CN"/>
        </w:rPr>
        <w:t>6.30</w:t>
      </w:r>
      <w:r>
        <w:rPr>
          <w:rStyle w:val="36"/>
          <w:rFonts w:hint="default" w:ascii="Times New Roman" w:hAnsi="Times New Roman" w:eastAsia="仿宋_GB2312" w:cs="Times New Roman"/>
          <w:b w:val="0"/>
          <w:bCs/>
          <w:sz w:val="32"/>
          <w:szCs w:val="32"/>
          <w:shd w:val="clear" w:fill="FFFFFF"/>
        </w:rPr>
        <w:t>%</w:t>
      </w:r>
      <w:r>
        <w:rPr>
          <w:rStyle w:val="36"/>
          <w:rFonts w:hint="default" w:ascii="Times New Roman" w:hAnsi="Times New Roman" w:eastAsia="仿宋_GB2312" w:cs="Times New Roman"/>
          <w:b w:val="0"/>
          <w:bCs/>
          <w:sz w:val="32"/>
          <w:szCs w:val="32"/>
          <w:shd w:val="clear" w:fill="FFFFFF"/>
          <w:lang w:eastAsia="zh-CN"/>
        </w:rPr>
        <w:t>，</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p>
    <w:p w14:paraId="398D725A">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lang w:eastAsia="zh-CN"/>
        </w:rPr>
      </w:pPr>
      <w:bookmarkStart w:id="53" w:name="_Toc7176"/>
      <w:bookmarkStart w:id="54" w:name="_Toc15396608"/>
      <w:bookmarkStart w:id="55" w:name="_Toc15377214"/>
      <w:r>
        <w:rPr>
          <w:rFonts w:hint="default" w:ascii="Times New Roman" w:hAnsi="Times New Roman" w:eastAsia="楷体_GB2312" w:cs="Times New Roman"/>
          <w:lang w:eastAsia="zh-CN"/>
        </w:rPr>
        <w:t>六、一般公共预算财政拨款基本支出决算情况说明</w:t>
      </w:r>
      <w:bookmarkEnd w:id="53"/>
      <w:bookmarkEnd w:id="54"/>
      <w:bookmarkEnd w:id="55"/>
      <w:r>
        <w:rPr>
          <w:rFonts w:hint="default" w:ascii="Times New Roman" w:hAnsi="Times New Roman" w:eastAsia="楷体_GB2312" w:cs="Times New Roman"/>
          <w:lang w:eastAsia="zh-CN"/>
        </w:rPr>
        <w:tab/>
      </w:r>
    </w:p>
    <w:p w14:paraId="60CC0CA8">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435.65</w:t>
      </w:r>
      <w:r>
        <w:rPr>
          <w:rFonts w:hint="default" w:ascii="Times New Roman" w:hAnsi="Times New Roman" w:eastAsia="仿宋_GB2312" w:cs="Times New Roman"/>
          <w:color w:val="auto"/>
          <w:kern w:val="2"/>
          <w:sz w:val="32"/>
          <w:szCs w:val="32"/>
          <w:highlight w:val="none"/>
          <w:lang w:val="en-US" w:eastAsia="zh-CN" w:bidi="ar-SA"/>
        </w:rPr>
        <w:t>万元，其中：</w:t>
      </w:r>
    </w:p>
    <w:p w14:paraId="7661AB29">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388.07</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退休费、生活补助、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47.58</w:t>
      </w:r>
      <w:r>
        <w:rPr>
          <w:rFonts w:hint="default" w:ascii="Times New Roman" w:hAnsi="Times New Roman" w:eastAsia="仿宋_GB2312" w:cs="Times New Roman"/>
          <w:color w:val="auto"/>
          <w:kern w:val="2"/>
          <w:sz w:val="32"/>
          <w:szCs w:val="32"/>
          <w:highlight w:val="none"/>
          <w:lang w:val="en-US" w:eastAsia="zh-CN" w:bidi="ar-SA"/>
        </w:rPr>
        <w:t>万元，主要包括：办公费、手续费、水费、电费、邮电费、取暖费、差旅费、维修（护）费、工会经费、公务用车运行维护费、其他交通费、其他商品和服务支出等。</w:t>
      </w:r>
    </w:p>
    <w:p w14:paraId="70CECB1F">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lang w:eastAsia="zh-CN"/>
        </w:rPr>
      </w:pPr>
      <w:bookmarkStart w:id="56" w:name="_Toc15377215"/>
      <w:bookmarkStart w:id="57" w:name="_Toc15396609"/>
      <w:bookmarkStart w:id="58" w:name="_Toc13012"/>
      <w:r>
        <w:rPr>
          <w:rFonts w:hint="default" w:ascii="Times New Roman" w:hAnsi="Times New Roman" w:eastAsia="楷体_GB2312" w:cs="Times New Roman"/>
          <w:lang w:eastAsia="zh-CN"/>
        </w:rPr>
        <w:t>七、财政拨款“三公”经费支出决算情况说明</w:t>
      </w:r>
      <w:bookmarkEnd w:id="56"/>
      <w:bookmarkEnd w:id="57"/>
      <w:bookmarkEnd w:id="58"/>
    </w:p>
    <w:p w14:paraId="119094BA">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59" w:name="_Toc15377216"/>
      <w:r>
        <w:rPr>
          <w:rFonts w:hint="default" w:ascii="Times New Roman" w:hAnsi="Times New Roman" w:eastAsia="仿宋_GB2312" w:cs="Times New Roman"/>
        </w:rPr>
        <w:t>（一）财政拨款“三公”经费支出决算总体情况说明</w:t>
      </w:r>
      <w:bookmarkEnd w:id="59"/>
    </w:p>
    <w:p w14:paraId="59CF8405">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%，较上年度增加0.86万元，增长27.39%。决算数与预算数持平。</w:t>
      </w:r>
    </w:p>
    <w:p w14:paraId="466A8A32">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60" w:name="_Toc15377217"/>
      <w:r>
        <w:rPr>
          <w:rFonts w:hint="default" w:ascii="Times New Roman" w:hAnsi="Times New Roman" w:eastAsia="仿宋_GB2312" w:cs="Times New Roman"/>
        </w:rPr>
        <w:t>（二）财政拨款“三公”经费支出决算具体情况说明</w:t>
      </w:r>
      <w:bookmarkEnd w:id="60"/>
    </w:p>
    <w:p w14:paraId="36131800">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万元，占100%；公务接待费支出决算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万元，占0%。具体情况如下：</w:t>
      </w:r>
    </w:p>
    <w:p w14:paraId="4337B854">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7E60F943">
      <w:pPr>
        <w:pageBreakBefore w:val="0"/>
        <w:kinsoku/>
        <w:wordWrap/>
        <w:overflowPunct/>
        <w:topLinePunct w:val="0"/>
        <w:autoSpaceDN/>
        <w:bidi w:val="0"/>
        <w:adjustRightInd/>
        <w:spacing w:line="576" w:lineRule="exact"/>
        <w:ind w:left="0" w:leftChars="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5408" behindDoc="1" locked="0" layoutInCell="1" allowOverlap="1">
            <wp:simplePos x="0" y="0"/>
            <wp:positionH relativeFrom="column">
              <wp:posOffset>307340</wp:posOffset>
            </wp:positionH>
            <wp:positionV relativeFrom="paragraph">
              <wp:posOffset>272415</wp:posOffset>
            </wp:positionV>
            <wp:extent cx="5360670" cy="3683000"/>
            <wp:effectExtent l="4445" t="4445" r="6985" b="8255"/>
            <wp:wrapTight wrapText="bothSides">
              <wp:wrapPolygon>
                <wp:start x="-18" y="-26"/>
                <wp:lineTo x="-18" y="21537"/>
                <wp:lineTo x="21551" y="21537"/>
                <wp:lineTo x="21551" y="-26"/>
                <wp:lineTo x="-18" y="-26"/>
              </wp:wrapPolygon>
            </wp:wrapTight>
            <wp:docPr id="10" name="图表 10" descr="7b0a202020202263686172745265734964223a202232303437363436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6C5B3AB">
      <w:pPr>
        <w:pageBreakBefore w:val="0"/>
        <w:kinsoku/>
        <w:wordWrap/>
        <w:overflowPunct/>
        <w:topLinePunct w:val="0"/>
        <w:autoSpaceDN/>
        <w:bidi w:val="0"/>
        <w:adjustRightInd/>
        <w:spacing w:line="576" w:lineRule="exact"/>
        <w:ind w:left="0" w:leftChars="0"/>
        <w:textAlignment w:val="auto"/>
        <w:rPr>
          <w:rFonts w:hint="default" w:ascii="Times New Roman" w:hAnsi="Times New Roman" w:eastAsia="仿宋_GB2312" w:cs="Times New Roman"/>
          <w:color w:val="auto"/>
          <w:kern w:val="2"/>
          <w:sz w:val="32"/>
          <w:szCs w:val="32"/>
          <w:highlight w:val="none"/>
          <w:lang w:val="en-US" w:eastAsia="zh-CN" w:bidi="ar-SA"/>
        </w:rPr>
      </w:pPr>
    </w:p>
    <w:p w14:paraId="1897BDCF">
      <w:pPr>
        <w:pageBreakBefore w:val="0"/>
        <w:kinsoku/>
        <w:wordWrap/>
        <w:overflowPunct/>
        <w:topLinePunct w:val="0"/>
        <w:autoSpaceDN/>
        <w:bidi w:val="0"/>
        <w:adjustRightInd/>
        <w:spacing w:line="576" w:lineRule="exact"/>
        <w:ind w:left="0" w:leftChars="0" w:firstLine="1609" w:firstLineChars="503"/>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w:t>
      </w:r>
    </w:p>
    <w:p w14:paraId="72E69D00">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人。因公出国（境）支出决算比2024年持平。</w:t>
      </w:r>
    </w:p>
    <w:p w14:paraId="0AEEDA95">
      <w:pPr>
        <w:pStyle w:val="6"/>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76" w:lineRule="exact"/>
        <w:ind w:left="0" w:leftChars="0" w:firstLine="640" w:firstLineChars="200"/>
        <w:textAlignment w:val="auto"/>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val="0"/>
          <w:bCs/>
          <w:color w:val="auto"/>
          <w:kern w:val="2"/>
          <w:sz w:val="32"/>
          <w:szCs w:val="32"/>
          <w:lang w:val="en-US" w:eastAsia="zh-CN" w:bidi="ar-SA"/>
        </w:rPr>
        <w:t>2.</w:t>
      </w:r>
      <w:r>
        <w:rPr>
          <w:rFonts w:hint="default" w:ascii="Times New Roman" w:hAnsi="Times New Roman" w:eastAsia="仿宋_GB2312" w:cs="Times New Roman"/>
          <w:b w:val="0"/>
          <w:bCs/>
          <w:color w:val="auto"/>
          <w:kern w:val="2"/>
          <w:sz w:val="32"/>
          <w:szCs w:val="32"/>
          <w:highlight w:val="none"/>
          <w:lang w:val="en-US" w:eastAsia="zh-CN" w:bidi="ar-SA"/>
        </w:rPr>
        <w:t>公务用车购置及运行维护费支出4万元，完成预算100%。公务用车购置及运行维护费支出决算比上年度增加0.86万元，增长27.39%。主要原因是车辆年限增加、审计项目增加。</w:t>
      </w:r>
    </w:p>
    <w:p w14:paraId="30940803">
      <w:pPr>
        <w:pageBreakBefore w:val="0"/>
        <w:numPr>
          <w:ilvl w:val="0"/>
          <w:numId w:val="0"/>
        </w:numPr>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万元。全年按规定更新购置公务用车0辆，截至2025年12月31日，单位共有公务用车1辆，其中：越野车1辆。</w:t>
      </w:r>
    </w:p>
    <w:p w14:paraId="2C304DC2">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万元。主要用于审计业务所需的公务用车燃料费、维修费、过路过桥费、保险费等支出。</w:t>
      </w:r>
    </w:p>
    <w:p w14:paraId="52906035">
      <w:pPr>
        <w:pageBreakBefore w:val="0"/>
        <w:numPr>
          <w:ilvl w:val="0"/>
          <w:numId w:val="0"/>
        </w:numPr>
        <w:kinsoku/>
        <w:wordWrap/>
        <w:overflowPunct/>
        <w:topLinePunct w:val="0"/>
        <w:autoSpaceDN/>
        <w:bidi w:val="0"/>
        <w:adjustRightInd/>
        <w:spacing w:line="576" w:lineRule="exact"/>
        <w:ind w:left="0" w:leftChars="0" w:firstLine="640" w:firstLineChars="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highlight w:val="none"/>
          <w:lang w:val="en-US" w:eastAsia="zh-CN" w:bidi="ar-SA"/>
        </w:rPr>
        <w:t>公务接待费支出0万元，完成预算0%。</w:t>
      </w:r>
      <w:r>
        <w:rPr>
          <w:rFonts w:hint="default" w:ascii="Times New Roman" w:hAnsi="Times New Roman" w:eastAsia="仿宋_GB2312" w:cs="Times New Roman"/>
          <w:color w:val="auto"/>
          <w:kern w:val="2"/>
          <w:sz w:val="32"/>
          <w:szCs w:val="32"/>
          <w:highlight w:val="none"/>
          <w:lang w:val="en-US" w:eastAsia="zh-CN" w:bidi="ar-SA"/>
        </w:rPr>
        <w:t>公务接待费支出决算与2024年持平。</w:t>
      </w:r>
    </w:p>
    <w:p w14:paraId="21A3764F">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lang w:eastAsia="zh-CN"/>
        </w:rPr>
      </w:pPr>
      <w:bookmarkStart w:id="61" w:name="_Toc27259"/>
      <w:bookmarkStart w:id="62" w:name="_Toc15396610"/>
      <w:bookmarkStart w:id="63" w:name="_Toc15377218"/>
      <w:r>
        <w:rPr>
          <w:rFonts w:hint="default" w:ascii="Times New Roman" w:hAnsi="Times New Roman" w:eastAsia="楷体_GB2312" w:cs="Times New Roman"/>
          <w:lang w:eastAsia="zh-CN"/>
        </w:rPr>
        <w:t>八、政府性基金预算支出决算情况说明</w:t>
      </w:r>
      <w:bookmarkEnd w:id="61"/>
      <w:bookmarkEnd w:id="62"/>
      <w:bookmarkEnd w:id="63"/>
    </w:p>
    <w:p w14:paraId="4A47601B">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%。与上年度相比，政府性基金预算财政拨款支出与2024年持平。</w:t>
      </w:r>
    </w:p>
    <w:p w14:paraId="6FD8C2A6">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rPr>
      </w:pPr>
      <w:bookmarkStart w:id="64" w:name="_Toc5844"/>
      <w:bookmarkStart w:id="65" w:name="_Toc15377219"/>
      <w:bookmarkStart w:id="66" w:name="_Toc15396611"/>
      <w:r>
        <w:rPr>
          <w:rFonts w:hint="default" w:ascii="Times New Roman" w:hAnsi="Times New Roman" w:eastAsia="楷体_GB2312" w:cs="Times New Roman"/>
          <w:lang w:eastAsia="zh-CN"/>
        </w:rPr>
        <w:t>九、</w:t>
      </w:r>
      <w:r>
        <w:rPr>
          <w:rFonts w:hint="default" w:ascii="Times New Roman" w:hAnsi="Times New Roman" w:eastAsia="楷体_GB2312" w:cs="Times New Roman"/>
        </w:rPr>
        <w:t>国有资本经营预算支出决算情况说明</w:t>
      </w:r>
      <w:bookmarkEnd w:id="64"/>
      <w:bookmarkEnd w:id="65"/>
      <w:bookmarkEnd w:id="66"/>
    </w:p>
    <w:p w14:paraId="0EB9AE5A">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%。与上年度相比，国有资本经营预算财政拨款支出与2024年持平。</w:t>
      </w:r>
    </w:p>
    <w:p w14:paraId="58F4564D">
      <w:pPr>
        <w:pStyle w:val="4"/>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楷体_GB2312" w:cs="Times New Roman"/>
          <w:lang w:eastAsia="zh-CN"/>
        </w:rPr>
      </w:pPr>
      <w:bookmarkStart w:id="67" w:name="_Toc15377221"/>
      <w:bookmarkStart w:id="68" w:name="_Toc397"/>
      <w:bookmarkStart w:id="69" w:name="_Toc15396612"/>
      <w:r>
        <w:rPr>
          <w:rFonts w:hint="default" w:ascii="Times New Roman" w:hAnsi="Times New Roman" w:eastAsia="楷体_GB2312" w:cs="Times New Roman"/>
          <w:lang w:eastAsia="zh-CN"/>
        </w:rPr>
        <w:t>十、其他重要事项的情况说明</w:t>
      </w:r>
      <w:bookmarkEnd w:id="67"/>
      <w:bookmarkEnd w:id="68"/>
      <w:bookmarkEnd w:id="69"/>
    </w:p>
    <w:p w14:paraId="4017053C">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70" w:name="_Toc15377222"/>
      <w:r>
        <w:rPr>
          <w:rFonts w:hint="default" w:ascii="Times New Roman" w:hAnsi="Times New Roman" w:eastAsia="仿宋_GB2312" w:cs="Times New Roman"/>
        </w:rPr>
        <w:t>（一）机关运行经费支出情况</w:t>
      </w:r>
      <w:bookmarkEnd w:id="70"/>
    </w:p>
    <w:p w14:paraId="1EA97874">
      <w:pPr>
        <w:pStyle w:val="37"/>
        <w:keepNext w:val="0"/>
        <w:keepLines w:val="0"/>
        <w:widowControl/>
        <w:suppressLineNumbers w:val="0"/>
        <w:autoSpaceDE w:val="0"/>
        <w:autoSpaceDN/>
        <w:spacing w:before="0" w:beforeAutospacing="0" w:line="576" w:lineRule="exact"/>
        <w:ind w:left="0" w:firstLine="640" w:firstLineChars="200"/>
        <w:jc w:val="lef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松潘县审计局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kern w:val="0"/>
          <w:sz w:val="32"/>
          <w:szCs w:val="32"/>
          <w:shd w:val="clear" w:fill="FFFFFF"/>
        </w:rPr>
        <w:t>47.58</w:t>
      </w:r>
      <w:r>
        <w:rPr>
          <w:rFonts w:hint="default" w:ascii="Times New Roman" w:hAnsi="Times New Roman" w:eastAsia="仿宋_GB2312" w:cs="Times New Roman"/>
          <w:color w:val="auto"/>
          <w:kern w:val="2"/>
          <w:sz w:val="32"/>
          <w:szCs w:val="32"/>
          <w:highlight w:val="none"/>
          <w:lang w:val="en-US" w:eastAsia="zh-CN" w:bidi="ar-SA"/>
        </w:rPr>
        <w:t>万元，比上年度增加</w:t>
      </w:r>
      <w:r>
        <w:rPr>
          <w:rFonts w:hint="default" w:ascii="Times New Roman" w:hAnsi="Times New Roman" w:eastAsia="仿宋_GB2312" w:cs="Times New Roman"/>
          <w:kern w:val="0"/>
          <w:sz w:val="32"/>
          <w:szCs w:val="32"/>
          <w:shd w:val="clear" w:fill="FFFFFF"/>
        </w:rPr>
        <w:t>31.40</w:t>
      </w:r>
      <w:r>
        <w:rPr>
          <w:rFonts w:hint="default" w:ascii="Times New Roman" w:hAnsi="Times New Roman" w:eastAsia="仿宋_GB2312" w:cs="Times New Roman"/>
          <w:color w:val="auto"/>
          <w:kern w:val="2"/>
          <w:sz w:val="32"/>
          <w:szCs w:val="32"/>
          <w:highlight w:val="none"/>
          <w:lang w:val="en-US" w:eastAsia="zh-CN" w:bidi="ar-SA"/>
        </w:rPr>
        <w:t>万元，增长</w:t>
      </w:r>
      <w:r>
        <w:rPr>
          <w:rFonts w:hint="eastAsia" w:ascii="Times New Roman" w:hAnsi="Times New Roman" w:eastAsia="仿宋_GB2312" w:cs="Times New Roman"/>
          <w:color w:val="auto"/>
          <w:kern w:val="2"/>
          <w:sz w:val="32"/>
          <w:szCs w:val="32"/>
          <w:highlight w:val="none"/>
          <w:lang w:val="en-US" w:eastAsia="zh-CN" w:bidi="ar-SA"/>
        </w:rPr>
        <w:t>194.07</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kern w:val="0"/>
          <w:sz w:val="32"/>
          <w:szCs w:val="32"/>
          <w:shd w:val="clear" w:fill="FFFFFF"/>
        </w:rPr>
        <w:t>主要原因为人员变动</w:t>
      </w:r>
      <w:r>
        <w:rPr>
          <w:rFonts w:hint="eastAsia" w:ascii="Times New Roman" w:hAnsi="Times New Roman" w:eastAsia="仿宋_GB2312" w:cs="Times New Roman"/>
          <w:kern w:val="0"/>
          <w:sz w:val="32"/>
          <w:szCs w:val="32"/>
          <w:shd w:val="clear" w:fill="FFFFFF"/>
          <w:lang w:eastAsia="zh-CN"/>
        </w:rPr>
        <w:t>，</w:t>
      </w:r>
      <w:r>
        <w:rPr>
          <w:rFonts w:hint="default" w:ascii="Times New Roman" w:hAnsi="Times New Roman" w:eastAsia="仿宋_GB2312" w:cs="Times New Roman"/>
          <w:kern w:val="0"/>
          <w:sz w:val="32"/>
          <w:szCs w:val="32"/>
          <w:shd w:val="clear" w:fill="FFFFFF"/>
        </w:rPr>
        <w:t>公用经费增加，项目经费减少。</w:t>
      </w:r>
    </w:p>
    <w:p w14:paraId="3EF83A88">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71" w:name="_Toc15377223"/>
      <w:r>
        <w:rPr>
          <w:rFonts w:hint="default" w:ascii="Times New Roman" w:hAnsi="Times New Roman" w:eastAsia="仿宋_GB2312" w:cs="Times New Roman"/>
        </w:rPr>
        <w:t>（二）政府采购支出情况</w:t>
      </w:r>
      <w:bookmarkEnd w:id="71"/>
    </w:p>
    <w:p w14:paraId="3C8D6B67">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松潘县审计局</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631CA9E7">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bookmarkStart w:id="72" w:name="_Toc15377224"/>
      <w:r>
        <w:rPr>
          <w:rFonts w:hint="default" w:ascii="Times New Roman" w:hAnsi="Times New Roman" w:eastAsia="仿宋_GB2312" w:cs="Times New Roman"/>
        </w:rPr>
        <w:t>（三）国有资产占有使用情况</w:t>
      </w:r>
      <w:bookmarkEnd w:id="72"/>
    </w:p>
    <w:p w14:paraId="0D8E94D0">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松潘县审计局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辆，其中：其他用车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辆，其他用车主要是用于开展审计业务等用车。单价100万元（含）以上设备（不含车辆）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1F4A0E5A">
      <w:pPr>
        <w:pStyle w:val="5"/>
        <w:pageBreakBefore w:val="0"/>
        <w:kinsoku/>
        <w:wordWrap/>
        <w:overflowPunct/>
        <w:topLinePunct w:val="0"/>
        <w:autoSpaceDN/>
        <w:bidi w:val="0"/>
        <w:adjustRightInd/>
        <w:spacing w:before="0" w:after="0"/>
        <w:ind w:left="0" w:leftChars="0" w:firstLine="643"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（四）预算绩效管理情况</w:t>
      </w:r>
    </w:p>
    <w:p w14:paraId="160FF636">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根据预算绩效管理要求，松潘县审计局在2025年度，组织对审计业务工作经费等4个项目涉及金额55万元开展了事前绩效评估，对4个项目编制了绩效目标</w:t>
      </w:r>
      <w:r>
        <w:rPr>
          <w:rFonts w:hint="eastAsia" w:eastAsia="仿宋_GB2312" w:cs="Times New Roman"/>
          <w:color w:val="auto"/>
          <w:kern w:val="2"/>
          <w:sz w:val="32"/>
          <w:szCs w:val="32"/>
          <w:highlight w:val="none"/>
          <w:lang w:val="en-US" w:eastAsia="zh-CN" w:bidi="ar-SA"/>
        </w:rPr>
        <w:t>，在</w:t>
      </w:r>
      <w:r>
        <w:rPr>
          <w:rFonts w:hint="default" w:ascii="Times New Roman" w:hAnsi="Times New Roman" w:eastAsia="仿宋_GB2312" w:cs="Times New Roman"/>
          <w:color w:val="auto"/>
          <w:kern w:val="2"/>
          <w:sz w:val="32"/>
          <w:szCs w:val="32"/>
          <w:highlight w:val="none"/>
          <w:lang w:val="en-US" w:eastAsia="zh-CN" w:bidi="ar-SA"/>
        </w:rPr>
        <w:t>预算执行过程中，选取4个项目开展绩效监控。</w:t>
      </w:r>
    </w:p>
    <w:p w14:paraId="7BA66A4D">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bookmarkStart w:id="73" w:name="_Toc15377225"/>
      <w:bookmarkStart w:id="74" w:name="_Toc15396613"/>
    </w:p>
    <w:p w14:paraId="0B34262F">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1E93395D">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490E8796">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2ABC7DFF">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0DB84603">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16089F36">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0D438A77">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42FB115A">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3F5D7244">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14E74416">
      <w:pPr>
        <w:pStyle w:val="2"/>
        <w:pageBreakBefore w:val="0"/>
        <w:kinsoku/>
        <w:wordWrap/>
        <w:overflowPunct/>
        <w:topLinePunct w:val="0"/>
        <w:autoSpaceDN/>
        <w:bidi w:val="0"/>
        <w:adjustRightInd/>
        <w:ind w:left="0" w:leftChars="0"/>
        <w:textAlignment w:val="auto"/>
        <w:rPr>
          <w:rFonts w:hint="default" w:ascii="Times New Roman" w:hAnsi="Times New Roman" w:eastAsia="黑体" w:cs="Times New Roman"/>
          <w:color w:val="auto"/>
          <w:sz w:val="44"/>
          <w:szCs w:val="44"/>
          <w:highlight w:val="none"/>
        </w:rPr>
      </w:pPr>
    </w:p>
    <w:p w14:paraId="797A2828">
      <w:pPr>
        <w:pStyle w:val="2"/>
        <w:pageBreakBefore w:val="0"/>
        <w:kinsoku/>
        <w:wordWrap/>
        <w:overflowPunct/>
        <w:topLinePunct w:val="0"/>
        <w:autoSpaceDN/>
        <w:bidi w:val="0"/>
        <w:adjustRightInd/>
        <w:ind w:left="0" w:leftChars="0"/>
        <w:textAlignment w:val="auto"/>
        <w:rPr>
          <w:rFonts w:hint="default" w:ascii="Times New Roman" w:hAnsi="Times New Roman" w:eastAsia="黑体" w:cs="Times New Roman"/>
          <w:color w:val="auto"/>
          <w:sz w:val="44"/>
          <w:szCs w:val="44"/>
          <w:highlight w:val="none"/>
        </w:rPr>
      </w:pPr>
    </w:p>
    <w:p w14:paraId="3F99926D">
      <w:pPr>
        <w:pStyle w:val="2"/>
        <w:pageBreakBefore w:val="0"/>
        <w:kinsoku/>
        <w:wordWrap/>
        <w:overflowPunct/>
        <w:topLinePunct w:val="0"/>
        <w:autoSpaceDN/>
        <w:bidi w:val="0"/>
        <w:adjustRightInd/>
        <w:ind w:left="0" w:leftChars="0"/>
        <w:textAlignment w:val="auto"/>
        <w:rPr>
          <w:rFonts w:hint="default" w:ascii="Times New Roman" w:hAnsi="Times New Roman" w:eastAsia="黑体" w:cs="Times New Roman"/>
          <w:color w:val="auto"/>
          <w:sz w:val="44"/>
          <w:szCs w:val="44"/>
          <w:highlight w:val="none"/>
        </w:rPr>
      </w:pPr>
    </w:p>
    <w:p w14:paraId="34DCFD92">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06757C4B">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677431DA">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34FAAFCC">
      <w:pPr>
        <w:pageBreakBefore w:val="0"/>
        <w:numPr>
          <w:ilvl w:val="0"/>
          <w:numId w:val="0"/>
        </w:numPr>
        <w:kinsoku/>
        <w:wordWrap/>
        <w:overflowPunct/>
        <w:topLinePunct w:val="0"/>
        <w:autoSpaceDN/>
        <w:bidi w:val="0"/>
        <w:adjustRightInd/>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6385C1AE">
      <w:pPr>
        <w:pStyle w:val="3"/>
        <w:pageBreakBefore w:val="0"/>
        <w:kinsoku/>
        <w:wordWrap/>
        <w:overflowPunct/>
        <w:topLinePunct w:val="0"/>
        <w:autoSpaceDN/>
        <w:bidi w:val="0"/>
        <w:adjustRightInd/>
        <w:spacing w:before="0" w:after="0"/>
        <w:ind w:left="0" w:leftChars="0"/>
        <w:jc w:val="center"/>
        <w:textAlignment w:val="auto"/>
        <w:rPr>
          <w:rFonts w:hint="default" w:ascii="Times New Roman" w:hAnsi="Times New Roman" w:eastAsia="方正小标宋简体" w:cs="Times New Roman"/>
          <w:b w:val="0"/>
          <w:bCs w:val="0"/>
        </w:rPr>
      </w:pPr>
      <w:bookmarkStart w:id="75" w:name="_Toc29957"/>
      <w:r>
        <w:rPr>
          <w:rFonts w:hint="default" w:ascii="Times New Roman" w:hAnsi="Times New Roman" w:eastAsia="方正小标宋简体" w:cs="Times New Roman"/>
          <w:b w:val="0"/>
          <w:bCs w:val="0"/>
        </w:rPr>
        <w:t>第</w:t>
      </w:r>
      <w:r>
        <w:rPr>
          <w:rFonts w:hint="default" w:ascii="Times New Roman" w:hAnsi="Times New Roman" w:eastAsia="方正小标宋简体" w:cs="Times New Roman"/>
          <w:b w:val="0"/>
          <w:bCs w:val="0"/>
          <w:lang w:eastAsia="zh-CN"/>
        </w:rPr>
        <w:t>三</w:t>
      </w:r>
      <w:r>
        <w:rPr>
          <w:rFonts w:hint="default" w:ascii="Times New Roman" w:hAnsi="Times New Roman" w:eastAsia="方正小标宋简体" w:cs="Times New Roman"/>
          <w:b w:val="0"/>
          <w:bCs w:val="0"/>
        </w:rPr>
        <w:t>部分</w:t>
      </w:r>
      <w:r>
        <w:rPr>
          <w:rFonts w:hint="default" w:ascii="Times New Roman" w:hAnsi="Times New Roman" w:eastAsia="方正小标宋简体" w:cs="Times New Roman"/>
          <w:b w:val="0"/>
          <w:bCs w:val="0"/>
          <w:lang w:val="en-US" w:eastAsia="zh-CN"/>
        </w:rPr>
        <w:t xml:space="preserve">  </w:t>
      </w:r>
      <w:r>
        <w:rPr>
          <w:rFonts w:hint="default" w:ascii="Times New Roman" w:hAnsi="Times New Roman" w:eastAsia="方正小标宋简体" w:cs="Times New Roman"/>
          <w:b w:val="0"/>
          <w:bCs w:val="0"/>
        </w:rPr>
        <w:t>名词解释</w:t>
      </w:r>
      <w:bookmarkEnd w:id="73"/>
      <w:bookmarkEnd w:id="74"/>
      <w:bookmarkEnd w:id="75"/>
    </w:p>
    <w:p w14:paraId="09E36705">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6A33BD22">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14:paraId="268E311E">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14:paraId="0A9935D1">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4.其他收入：指单位取得的除上述收入以外的各项收入。</w:t>
      </w:r>
    </w:p>
    <w:p w14:paraId="559D689D">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631BC01">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14:paraId="3C0E2931">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14:paraId="3F353A68">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14:paraId="76A43F62">
      <w:pPr>
        <w:keepNext w:val="0"/>
        <w:keepLines w:val="0"/>
        <w:pageBreakBefore w:val="0"/>
        <w:widowControl/>
        <w:suppressLineNumbers w:val="0"/>
        <w:kinsoku/>
        <w:wordWrap/>
        <w:overflowPunct/>
        <w:topLinePunct w:val="0"/>
        <w:autoSpaceDE w:val="0"/>
        <w:autoSpaceDN/>
        <w:bidi w:val="0"/>
        <w:adjustRightInd/>
        <w:spacing w:line="576" w:lineRule="exact"/>
        <w:ind w:left="0" w:leftChars="0" w:right="0" w:rightChars="0" w:firstLine="640" w:firstLineChars="200"/>
        <w:textAlignment w:val="auto"/>
        <w:rPr>
          <w:rFonts w:hint="default" w:ascii="Times New Roman" w:hAnsi="Times New Roman" w:eastAsia="仿宋_GB2312" w:cs="Times New Roman"/>
          <w:b w:val="0"/>
          <w:bCs/>
          <w:kern w:val="0"/>
          <w:sz w:val="32"/>
          <w:szCs w:val="32"/>
          <w:shd w:val="clear" w:fill="FFFFFF"/>
        </w:rPr>
      </w:pPr>
      <w:r>
        <w:rPr>
          <w:rStyle w:val="38"/>
          <w:rFonts w:hint="default" w:ascii="Times New Roman" w:hAnsi="Times New Roman" w:eastAsia="仿宋_GB2312" w:cs="Times New Roman"/>
          <w:b w:val="0"/>
          <w:bCs/>
          <w:sz w:val="32"/>
          <w:szCs w:val="32"/>
          <w:shd w:val="clear" w:fill="FFFFFF"/>
        </w:rPr>
        <w:t>9.一般公共服务201：</w:t>
      </w:r>
      <w:r>
        <w:rPr>
          <w:rFonts w:hint="default" w:ascii="Times New Roman" w:hAnsi="Times New Roman" w:eastAsia="仿宋_GB2312" w:cs="Times New Roman"/>
          <w:kern w:val="0"/>
          <w:sz w:val="32"/>
          <w:szCs w:val="32"/>
        </w:rPr>
        <w:t>指审计行政事务运行，审计事务一般行政管理事务。</w:t>
      </w:r>
    </w:p>
    <w:p w14:paraId="73C4114C">
      <w:pPr>
        <w:keepNext w:val="0"/>
        <w:keepLines w:val="0"/>
        <w:pageBreakBefore w:val="0"/>
        <w:widowControl/>
        <w:suppressLineNumbers w:val="0"/>
        <w:kinsoku/>
        <w:wordWrap/>
        <w:overflowPunct/>
        <w:topLinePunct w:val="0"/>
        <w:autoSpaceDE w:val="0"/>
        <w:autoSpaceDN/>
        <w:bidi w:val="0"/>
        <w:adjustRightInd/>
        <w:spacing w:afterAutospacing="0" w:line="576" w:lineRule="exact"/>
        <w:ind w:left="0" w:leftChars="0" w:right="0" w:rightChars="0" w:firstLine="640"/>
        <w:textAlignment w:val="auto"/>
        <w:rPr>
          <w:rFonts w:hint="default" w:ascii="Times New Roman" w:hAnsi="Times New Roman" w:eastAsia="仿宋_GB2312" w:cs="Times New Roman"/>
          <w:color w:val="333333"/>
          <w:kern w:val="0"/>
          <w:sz w:val="32"/>
          <w:szCs w:val="32"/>
        </w:rPr>
      </w:pPr>
      <w:r>
        <w:rPr>
          <w:rStyle w:val="38"/>
          <w:rFonts w:hint="default" w:ascii="Times New Roman" w:hAnsi="Times New Roman" w:eastAsia="仿宋_GB2312" w:cs="Times New Roman"/>
          <w:b w:val="0"/>
          <w:bCs/>
          <w:sz w:val="32"/>
          <w:szCs w:val="32"/>
          <w:shd w:val="clear" w:fill="FFFFFF"/>
        </w:rPr>
        <w:t>10.社会保障和就业208：</w:t>
      </w:r>
      <w:r>
        <w:rPr>
          <w:rFonts w:hint="default" w:ascii="Times New Roman" w:hAnsi="Times New Roman" w:eastAsia="仿宋_GB2312" w:cs="Times New Roman"/>
          <w:color w:val="333333"/>
          <w:kern w:val="0"/>
          <w:sz w:val="32"/>
          <w:szCs w:val="32"/>
        </w:rPr>
        <w:t>社会保障和就业：指基本工资、津贴补贴、奖金、绩效工资、机关事业单位基本养老保险缴费、职业年金缴费、其他社会保障缴费、其他工资福利支出、生活补助、医疗费、住房公积金、其他对个人和家庭的补助支出以及公用经费，主要包括：办公费、水费、电费、邮电费、取暖费、差旅费、公务接待费、委托业务费、工会经费、福利费、其他交通费</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其他商品和服务支出。</w:t>
      </w:r>
    </w:p>
    <w:p w14:paraId="1AC8F9D6">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76" w:name="_Toc28365"/>
      <w:bookmarkStart w:id="77" w:name="_Toc17931"/>
      <w:bookmarkStart w:id="78" w:name="_Toc23234"/>
      <w:r>
        <w:rPr>
          <w:rFonts w:hint="default" w:ascii="Times New Roman" w:hAnsi="Times New Roman" w:eastAsia="仿宋_GB2312" w:cs="Times New Roman"/>
          <w:color w:val="auto"/>
          <w:kern w:val="2"/>
          <w:sz w:val="32"/>
          <w:szCs w:val="32"/>
          <w:highlight w:val="none"/>
          <w:lang w:val="en-US" w:eastAsia="zh-CN" w:bidi="ar-SA"/>
        </w:rPr>
        <w:t>11.住房保障221：指职工的住房公积金。</w:t>
      </w:r>
      <w:bookmarkEnd w:id="76"/>
      <w:bookmarkEnd w:id="77"/>
      <w:bookmarkEnd w:id="78"/>
    </w:p>
    <w:p w14:paraId="1077E4A3">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12.基本支出：指为保障机构正常运转、完成日常工作任务而发生的人员支出和公用支出。</w:t>
      </w:r>
    </w:p>
    <w:p w14:paraId="52C637B5">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13.项目支出：指在基本支出之外为完成特定行政任务和事业发展目标所发生的支出。</w:t>
      </w:r>
    </w:p>
    <w:p w14:paraId="666C0821">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14.经营支出：指事业单位在专业业务活动及其辅助活动之外开展非独立核算经营活动发生的支出。</w:t>
      </w:r>
    </w:p>
    <w:p w14:paraId="1839C4C1">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0F3C7AA">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机关运行经费：为保障行政单位（含参照公务员法管理的事业单位）运行用于购买货物和服务的各项资金，包括办公及印刷费、邮电费、差旅费、会议费、福利费、日常维修费、一般设备购置费、办公用房水电费、办公用房取暖费、公务用车运行维护费以及其他费用。</w:t>
      </w:r>
    </w:p>
    <w:p w14:paraId="0D188E48">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17.基本支出：指为保障机构正常运转、完成日常工作任务而发生的人员支出和公用支出。</w:t>
      </w:r>
    </w:p>
    <w:p w14:paraId="56C916AB">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18.项目支出：指在基本支出之外为完成特定行政任务和事业发展目标所发生的支出。 </w:t>
      </w:r>
    </w:p>
    <w:p w14:paraId="64CFD1F8">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0C21A4">
      <w:pPr>
        <w:pageBreakBefore w:val="0"/>
        <w:kinsoku/>
        <w:wordWrap/>
        <w:overflowPunct/>
        <w:topLinePunct w:val="0"/>
        <w:autoSpaceDN/>
        <w:bidi w:val="0"/>
        <w:adjustRightInd/>
        <w:spacing w:line="576" w:lineRule="exact"/>
        <w:ind w:left="0" w:leftChars="0" w:firstLine="640"/>
        <w:textAlignment w:val="auto"/>
        <w:rPr>
          <w:rFonts w:hint="default" w:ascii="Times New Roman" w:hAnsi="Times New Roman" w:eastAsia="方正小标宋简体" w:cs="Times New Roman"/>
          <w:b w:val="0"/>
          <w:bCs w:val="0"/>
        </w:rPr>
      </w:pPr>
      <w:r>
        <w:rPr>
          <w:rFonts w:hint="default" w:ascii="Times New Roman" w:hAnsi="Times New Roman" w:eastAsia="仿宋_GB2312" w:cs="Times New Roman"/>
          <w:color w:val="auto"/>
          <w:kern w:val="2"/>
          <w:sz w:val="32"/>
          <w:szCs w:val="32"/>
          <w:highlight w:val="none"/>
          <w:lang w:val="en-US" w:eastAsia="zh-CN" w:bidi="ar-SA"/>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79" w:name="_Toc25580"/>
      <w:bookmarkStart w:id="80" w:name="_Toc15377226"/>
    </w:p>
    <w:p w14:paraId="49E0D240">
      <w:pPr>
        <w:pStyle w:val="3"/>
        <w:pageBreakBefore w:val="0"/>
        <w:kinsoku/>
        <w:wordWrap/>
        <w:overflowPunct/>
        <w:topLinePunct w:val="0"/>
        <w:autoSpaceDN/>
        <w:bidi w:val="0"/>
        <w:adjustRightInd/>
        <w:spacing w:before="0" w:after="0" w:line="576" w:lineRule="exact"/>
        <w:ind w:left="0" w:leftChars="0"/>
        <w:jc w:val="both"/>
        <w:textAlignment w:val="auto"/>
        <w:rPr>
          <w:rFonts w:hint="default" w:ascii="Times New Roman" w:hAnsi="Times New Roman" w:eastAsia="方正小标宋简体" w:cs="Times New Roman"/>
          <w:b w:val="0"/>
          <w:bCs w:val="0"/>
        </w:rPr>
      </w:pPr>
    </w:p>
    <w:p w14:paraId="3D4464A8">
      <w:pPr>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bCs w:val="0"/>
        </w:rPr>
      </w:pPr>
    </w:p>
    <w:p w14:paraId="6673963A">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bCs w:val="0"/>
        </w:rPr>
      </w:pPr>
    </w:p>
    <w:p w14:paraId="635C7207">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bCs w:val="0"/>
        </w:rPr>
      </w:pPr>
    </w:p>
    <w:p w14:paraId="558CCB98">
      <w:pPr>
        <w:pStyle w:val="2"/>
        <w:pageBreakBefore w:val="0"/>
        <w:kinsoku/>
        <w:wordWrap/>
        <w:overflowPunct/>
        <w:topLinePunct w:val="0"/>
        <w:autoSpaceDN/>
        <w:bidi w:val="0"/>
        <w:adjustRightInd/>
        <w:ind w:left="0" w:leftChars="0"/>
        <w:textAlignment w:val="auto"/>
        <w:rPr>
          <w:rFonts w:hint="default" w:ascii="Times New Roman" w:hAnsi="Times New Roman" w:eastAsia="方正小标宋简体" w:cs="Times New Roman"/>
          <w:b w:val="0"/>
          <w:bCs w:val="0"/>
        </w:rPr>
      </w:pPr>
    </w:p>
    <w:p w14:paraId="695667A8">
      <w:pPr>
        <w:pStyle w:val="3"/>
        <w:pageBreakBefore w:val="0"/>
        <w:kinsoku/>
        <w:wordWrap/>
        <w:overflowPunct/>
        <w:topLinePunct w:val="0"/>
        <w:autoSpaceDN/>
        <w:bidi w:val="0"/>
        <w:adjustRightInd/>
        <w:spacing w:before="0" w:after="0"/>
        <w:ind w:left="0" w:leftChars="0"/>
        <w:jc w:val="center"/>
        <w:textAlignment w:val="auto"/>
        <w:rPr>
          <w:rFonts w:hint="default" w:ascii="Times New Roman" w:hAnsi="Times New Roman" w:eastAsia="方正小标宋简体" w:cs="Times New Roman"/>
          <w:b w:val="0"/>
          <w:bCs w:val="0"/>
        </w:rPr>
      </w:pPr>
      <w:bookmarkStart w:id="81" w:name="_Toc14051"/>
      <w:r>
        <w:rPr>
          <w:rFonts w:hint="default" w:ascii="Times New Roman" w:hAnsi="Times New Roman" w:eastAsia="方正小标宋简体" w:cs="Times New Roman"/>
          <w:b w:val="0"/>
          <w:bCs w:val="0"/>
        </w:rPr>
        <w:t>第五部分 附表</w:t>
      </w:r>
      <w:bookmarkEnd w:id="79"/>
      <w:bookmarkEnd w:id="80"/>
      <w:bookmarkEnd w:id="81"/>
      <w:bookmarkStart w:id="82" w:name="_Toc15396619"/>
    </w:p>
    <w:p w14:paraId="1695D09B">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83" w:name="_Toc14060"/>
      <w:r>
        <w:rPr>
          <w:rFonts w:hint="default" w:ascii="Times New Roman" w:hAnsi="Times New Roman" w:eastAsia="楷体_GB2312" w:cs="Times New Roman"/>
          <w:b w:val="0"/>
          <w:bCs w:val="0"/>
        </w:rPr>
        <w:t>一、收入支出决算总表</w:t>
      </w:r>
      <w:bookmarkEnd w:id="82"/>
      <w:bookmarkEnd w:id="83"/>
    </w:p>
    <w:p w14:paraId="4EA31454">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84" w:name="_Toc22163"/>
      <w:bookmarkStart w:id="85" w:name="_Toc15396620"/>
      <w:r>
        <w:rPr>
          <w:rFonts w:hint="default" w:ascii="Times New Roman" w:hAnsi="Times New Roman" w:eastAsia="楷体_GB2312" w:cs="Times New Roman"/>
          <w:b w:val="0"/>
          <w:bCs w:val="0"/>
        </w:rPr>
        <w:t>二、收入决算表</w:t>
      </w:r>
      <w:bookmarkEnd w:id="84"/>
      <w:bookmarkEnd w:id="85"/>
    </w:p>
    <w:p w14:paraId="4AA82FAD">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86" w:name="_Toc1606"/>
      <w:bookmarkStart w:id="87" w:name="_Toc15396621"/>
      <w:r>
        <w:rPr>
          <w:rFonts w:hint="default" w:ascii="Times New Roman" w:hAnsi="Times New Roman" w:eastAsia="楷体_GB2312" w:cs="Times New Roman"/>
          <w:b w:val="0"/>
          <w:bCs w:val="0"/>
        </w:rPr>
        <w:t>三、支出决算表</w:t>
      </w:r>
      <w:bookmarkEnd w:id="86"/>
      <w:bookmarkEnd w:id="87"/>
    </w:p>
    <w:p w14:paraId="11459A71">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88" w:name="_Toc15396622"/>
      <w:bookmarkStart w:id="89" w:name="_Toc16743"/>
      <w:r>
        <w:rPr>
          <w:rFonts w:hint="default" w:ascii="Times New Roman" w:hAnsi="Times New Roman" w:eastAsia="楷体_GB2312" w:cs="Times New Roman"/>
          <w:b w:val="0"/>
          <w:bCs w:val="0"/>
        </w:rPr>
        <w:t>四、财政拨款收入支出决算总表</w:t>
      </w:r>
      <w:bookmarkEnd w:id="88"/>
      <w:bookmarkEnd w:id="89"/>
    </w:p>
    <w:p w14:paraId="3F3D7719">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90" w:name="_Toc3787"/>
      <w:bookmarkStart w:id="91" w:name="_Toc15396623"/>
      <w:r>
        <w:rPr>
          <w:rFonts w:hint="default" w:ascii="Times New Roman" w:hAnsi="Times New Roman" w:eastAsia="楷体_GB2312" w:cs="Times New Roman"/>
          <w:b w:val="0"/>
          <w:bCs w:val="0"/>
        </w:rPr>
        <w:t>五、财政拨款支出决算明细表</w:t>
      </w:r>
      <w:bookmarkEnd w:id="90"/>
      <w:bookmarkEnd w:id="91"/>
      <w:bookmarkStart w:id="92" w:name="_Toc15396624"/>
    </w:p>
    <w:p w14:paraId="14F33B4B">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93" w:name="_Toc20988"/>
      <w:r>
        <w:rPr>
          <w:rFonts w:hint="default" w:ascii="Times New Roman" w:hAnsi="Times New Roman" w:eastAsia="楷体_GB2312" w:cs="Times New Roman"/>
          <w:b w:val="0"/>
          <w:bCs w:val="0"/>
        </w:rPr>
        <w:t>六、一般公共预算财政拨款支出决算表</w:t>
      </w:r>
      <w:bookmarkEnd w:id="92"/>
      <w:bookmarkEnd w:id="93"/>
    </w:p>
    <w:p w14:paraId="1D259930">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94" w:name="_Toc20286"/>
      <w:bookmarkStart w:id="95" w:name="_Toc15396625"/>
      <w:r>
        <w:rPr>
          <w:rFonts w:hint="default" w:ascii="Times New Roman" w:hAnsi="Times New Roman" w:eastAsia="楷体_GB2312" w:cs="Times New Roman"/>
          <w:b w:val="0"/>
          <w:bCs w:val="0"/>
        </w:rPr>
        <w:t>七、一般公共预算财政拨款支出决算明细表</w:t>
      </w:r>
      <w:bookmarkEnd w:id="94"/>
      <w:bookmarkEnd w:id="95"/>
    </w:p>
    <w:p w14:paraId="7E30C3FB">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96" w:name="_Toc26658"/>
      <w:bookmarkStart w:id="97" w:name="_Toc15396626"/>
      <w:r>
        <w:rPr>
          <w:rFonts w:hint="default" w:ascii="Times New Roman" w:hAnsi="Times New Roman" w:eastAsia="楷体_GB2312" w:cs="Times New Roman"/>
          <w:b w:val="0"/>
          <w:bCs w:val="0"/>
        </w:rPr>
        <w:t>八、一般公共预算财政拨款基本支出决算表</w:t>
      </w:r>
      <w:bookmarkEnd w:id="96"/>
      <w:bookmarkEnd w:id="97"/>
    </w:p>
    <w:p w14:paraId="1A472F9E">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98" w:name="_Toc15396627"/>
      <w:bookmarkStart w:id="99" w:name="_Toc31724"/>
      <w:r>
        <w:rPr>
          <w:rFonts w:hint="default" w:ascii="Times New Roman" w:hAnsi="Times New Roman" w:eastAsia="楷体_GB2312" w:cs="Times New Roman"/>
          <w:b w:val="0"/>
          <w:bCs w:val="0"/>
        </w:rPr>
        <w:t>九、一般公共预算财政拨款项目支出决算表</w:t>
      </w:r>
      <w:bookmarkEnd w:id="98"/>
      <w:bookmarkEnd w:id="99"/>
    </w:p>
    <w:p w14:paraId="74C62305">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100" w:name="_Toc15396628"/>
      <w:bookmarkStart w:id="101" w:name="_Toc13282"/>
      <w:r>
        <w:rPr>
          <w:rFonts w:hint="default" w:ascii="Times New Roman" w:hAnsi="Times New Roman" w:eastAsia="楷体_GB2312" w:cs="Times New Roman"/>
          <w:b w:val="0"/>
          <w:bCs w:val="0"/>
        </w:rPr>
        <w:t>十、</w:t>
      </w:r>
      <w:bookmarkEnd w:id="100"/>
      <w:r>
        <w:rPr>
          <w:rFonts w:hint="default" w:ascii="Times New Roman" w:hAnsi="Times New Roman" w:eastAsia="楷体_GB2312" w:cs="Times New Roman"/>
          <w:b w:val="0"/>
          <w:bCs w:val="0"/>
        </w:rPr>
        <w:t>政府性基金预算财政拨款收入支出决算表</w:t>
      </w:r>
      <w:bookmarkEnd w:id="101"/>
    </w:p>
    <w:p w14:paraId="09203200">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102" w:name="_Toc15396629"/>
      <w:bookmarkStart w:id="103" w:name="_Toc17906"/>
      <w:r>
        <w:rPr>
          <w:rFonts w:hint="default" w:ascii="Times New Roman" w:hAnsi="Times New Roman" w:eastAsia="楷体_GB2312" w:cs="Times New Roman"/>
          <w:b w:val="0"/>
          <w:bCs w:val="0"/>
        </w:rPr>
        <w:t>十一、</w:t>
      </w:r>
      <w:bookmarkEnd w:id="102"/>
      <w:r>
        <w:rPr>
          <w:rFonts w:hint="default" w:ascii="Times New Roman" w:hAnsi="Times New Roman" w:eastAsia="楷体_GB2312" w:cs="Times New Roman"/>
          <w:b w:val="0"/>
          <w:bCs w:val="0"/>
        </w:rPr>
        <w:t>国有资本经营预算</w:t>
      </w:r>
      <w:r>
        <w:rPr>
          <w:rFonts w:hint="default" w:ascii="Times New Roman" w:hAnsi="Times New Roman" w:eastAsia="楷体_GB2312" w:cs="Times New Roman"/>
          <w:b w:val="0"/>
          <w:bCs w:val="0"/>
          <w:lang w:eastAsia="zh-CN"/>
        </w:rPr>
        <w:t>财政拨款收入</w:t>
      </w:r>
      <w:r>
        <w:rPr>
          <w:rFonts w:hint="default" w:ascii="Times New Roman" w:hAnsi="Times New Roman" w:eastAsia="楷体_GB2312" w:cs="Times New Roman"/>
          <w:b w:val="0"/>
          <w:bCs w:val="0"/>
        </w:rPr>
        <w:t>支出决算表</w:t>
      </w:r>
      <w:bookmarkEnd w:id="103"/>
    </w:p>
    <w:p w14:paraId="4A946766">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rPr>
      </w:pPr>
      <w:bookmarkStart w:id="104" w:name="_Toc15396630"/>
      <w:bookmarkStart w:id="105" w:name="_Toc26136"/>
      <w:r>
        <w:rPr>
          <w:rFonts w:hint="default" w:ascii="Times New Roman" w:hAnsi="Times New Roman" w:eastAsia="楷体_GB2312" w:cs="Times New Roman"/>
          <w:b w:val="0"/>
          <w:bCs w:val="0"/>
        </w:rPr>
        <w:t>十二、</w:t>
      </w:r>
      <w:bookmarkEnd w:id="104"/>
      <w:r>
        <w:rPr>
          <w:rFonts w:hint="default" w:ascii="Times New Roman" w:hAnsi="Times New Roman" w:eastAsia="楷体_GB2312" w:cs="Times New Roman"/>
          <w:b w:val="0"/>
          <w:bCs w:val="0"/>
          <w:lang w:eastAsia="zh-CN"/>
        </w:rPr>
        <w:t>国有资本经营预算财政拨款支出决算表</w:t>
      </w:r>
      <w:bookmarkEnd w:id="105"/>
    </w:p>
    <w:p w14:paraId="40CE808D">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ascii="Times New Roman" w:hAnsi="Times New Roman" w:eastAsia="楷体_GB2312" w:cs="Times New Roman"/>
          <w:b w:val="0"/>
          <w:bCs w:val="0"/>
          <w:lang w:eastAsia="zh-CN"/>
        </w:rPr>
      </w:pPr>
      <w:bookmarkStart w:id="106" w:name="_Toc15396631"/>
      <w:bookmarkStart w:id="107" w:name="_Toc13844"/>
      <w:r>
        <w:rPr>
          <w:rFonts w:hint="default" w:ascii="Times New Roman" w:hAnsi="Times New Roman" w:eastAsia="楷体_GB2312" w:cs="Times New Roman"/>
          <w:b w:val="0"/>
          <w:bCs w:val="0"/>
        </w:rPr>
        <w:t>十三、</w:t>
      </w:r>
      <w:bookmarkEnd w:id="106"/>
      <w:r>
        <w:rPr>
          <w:rFonts w:hint="default" w:ascii="Times New Roman" w:hAnsi="Times New Roman" w:eastAsia="楷体_GB2312" w:cs="Times New Roman"/>
          <w:b w:val="0"/>
          <w:bCs w:val="0"/>
          <w:lang w:eastAsia="zh-CN"/>
        </w:rPr>
        <w:t>财政拨款“三公”经费支出决算表</w:t>
      </w:r>
      <w:bookmarkEnd w:id="107"/>
    </w:p>
    <w:sectPr>
      <w:footerReference r:id="rId7"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85FD71-3B0C-4014-9318-B949B428E3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8CD3FFE-2AA5-4546-AF5D-C318FFA657E7}"/>
  </w:font>
  <w:font w:name="仿宋">
    <w:panose1 w:val="02010609060101010101"/>
    <w:charset w:val="86"/>
    <w:family w:val="modern"/>
    <w:pitch w:val="default"/>
    <w:sig w:usb0="800002BF" w:usb1="38CF7CFA" w:usb2="00000016" w:usb3="00000000" w:csb0="00040001" w:csb1="00000000"/>
    <w:embedRegular r:id="rId3" w:fontKey="{57BE1025-7162-4EBA-AB30-A5A80C5CEFD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586BEAB0-5A46-431A-9A6F-4377F408323F}"/>
  </w:font>
  <w:font w:name="楷体_GB2312">
    <w:panose1 w:val="02010609030101010101"/>
    <w:charset w:val="86"/>
    <w:family w:val="auto"/>
    <w:pitch w:val="default"/>
    <w:sig w:usb0="00000001" w:usb1="080E0000" w:usb2="00000000" w:usb3="00000000" w:csb0="00040000" w:csb1="00000000"/>
    <w:embedRegular r:id="rId5" w:fontKey="{3A57F46E-7422-4FDB-A331-092E582FA32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65851">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BC315">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DDBC315">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159B415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618D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04B0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2204B0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F4AC3">
    <w:pPr>
      <w:pStyle w:val="12"/>
      <w:jc w:val="center"/>
    </w:pPr>
  </w:p>
  <w:p w14:paraId="4BCDA81B">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B6D74">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15AA6">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8C15AA6">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73C85897">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E0CE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66F530"/>
    <w:multiLevelType w:val="singleLevel"/>
    <w:tmpl w:val="7266F53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DB1C83"/>
    <w:rsid w:val="02317B1B"/>
    <w:rsid w:val="02FEBE30"/>
    <w:rsid w:val="054D733B"/>
    <w:rsid w:val="05ED5FD3"/>
    <w:rsid w:val="061E35DE"/>
    <w:rsid w:val="066E0107"/>
    <w:rsid w:val="07996F6E"/>
    <w:rsid w:val="07DFD8BA"/>
    <w:rsid w:val="083202DA"/>
    <w:rsid w:val="08AC25CB"/>
    <w:rsid w:val="08DB07E4"/>
    <w:rsid w:val="08FC0BC0"/>
    <w:rsid w:val="09061CDB"/>
    <w:rsid w:val="091A12E3"/>
    <w:rsid w:val="09867E8F"/>
    <w:rsid w:val="0A2032A3"/>
    <w:rsid w:val="0A21162A"/>
    <w:rsid w:val="0B8D0492"/>
    <w:rsid w:val="0C4C20FB"/>
    <w:rsid w:val="0C6C4794"/>
    <w:rsid w:val="0CA8290A"/>
    <w:rsid w:val="0D105D99"/>
    <w:rsid w:val="0D35B1ED"/>
    <w:rsid w:val="0D6671EC"/>
    <w:rsid w:val="0DE07E2B"/>
    <w:rsid w:val="0E582C0E"/>
    <w:rsid w:val="0EA55AF2"/>
    <w:rsid w:val="0F220EF1"/>
    <w:rsid w:val="0F98263C"/>
    <w:rsid w:val="0FA07ECB"/>
    <w:rsid w:val="101860EC"/>
    <w:rsid w:val="10294306"/>
    <w:rsid w:val="10C055FF"/>
    <w:rsid w:val="11333889"/>
    <w:rsid w:val="1141413D"/>
    <w:rsid w:val="11772AA4"/>
    <w:rsid w:val="118107EC"/>
    <w:rsid w:val="13957196"/>
    <w:rsid w:val="13D50BC4"/>
    <w:rsid w:val="14022904"/>
    <w:rsid w:val="152F2A07"/>
    <w:rsid w:val="157B57FF"/>
    <w:rsid w:val="163A1216"/>
    <w:rsid w:val="165E0673"/>
    <w:rsid w:val="16BB723D"/>
    <w:rsid w:val="16F13FCB"/>
    <w:rsid w:val="17C4348D"/>
    <w:rsid w:val="186504BB"/>
    <w:rsid w:val="18E65685"/>
    <w:rsid w:val="1938089F"/>
    <w:rsid w:val="19742C91"/>
    <w:rsid w:val="19A445FC"/>
    <w:rsid w:val="19B17A41"/>
    <w:rsid w:val="1AE45B64"/>
    <w:rsid w:val="1B5338BA"/>
    <w:rsid w:val="1B7D550C"/>
    <w:rsid w:val="1BE8440E"/>
    <w:rsid w:val="1BF956CF"/>
    <w:rsid w:val="1C2C1601"/>
    <w:rsid w:val="1CF33ECD"/>
    <w:rsid w:val="1D155CEE"/>
    <w:rsid w:val="1DE178F3"/>
    <w:rsid w:val="1E6D7CAF"/>
    <w:rsid w:val="1E740ACF"/>
    <w:rsid w:val="1F78690B"/>
    <w:rsid w:val="1FF35744"/>
    <w:rsid w:val="1FF6BC77"/>
    <w:rsid w:val="2120725A"/>
    <w:rsid w:val="218477E9"/>
    <w:rsid w:val="21962A9E"/>
    <w:rsid w:val="21AE7C77"/>
    <w:rsid w:val="22BC3C41"/>
    <w:rsid w:val="232F19D7"/>
    <w:rsid w:val="233D2346"/>
    <w:rsid w:val="23860B96"/>
    <w:rsid w:val="240371BF"/>
    <w:rsid w:val="249F5334"/>
    <w:rsid w:val="260F557C"/>
    <w:rsid w:val="26686622"/>
    <w:rsid w:val="27435A51"/>
    <w:rsid w:val="274E2D73"/>
    <w:rsid w:val="281408E2"/>
    <w:rsid w:val="287E31E4"/>
    <w:rsid w:val="28E15521"/>
    <w:rsid w:val="290822BE"/>
    <w:rsid w:val="29FD04D3"/>
    <w:rsid w:val="2A067935"/>
    <w:rsid w:val="2BFF7BC6"/>
    <w:rsid w:val="2C8A61B5"/>
    <w:rsid w:val="2D2E01CF"/>
    <w:rsid w:val="2DF04E50"/>
    <w:rsid w:val="2E195B6E"/>
    <w:rsid w:val="2E6F3CA8"/>
    <w:rsid w:val="2E9545B0"/>
    <w:rsid w:val="2F040D46"/>
    <w:rsid w:val="2FAE5751"/>
    <w:rsid w:val="2FB1A395"/>
    <w:rsid w:val="2FD9A7D8"/>
    <w:rsid w:val="2FDB2CCA"/>
    <w:rsid w:val="30087837"/>
    <w:rsid w:val="30522B7A"/>
    <w:rsid w:val="318B6972"/>
    <w:rsid w:val="319F7F4E"/>
    <w:rsid w:val="321B2544"/>
    <w:rsid w:val="32E53E60"/>
    <w:rsid w:val="3304709D"/>
    <w:rsid w:val="337E678E"/>
    <w:rsid w:val="34281836"/>
    <w:rsid w:val="349D6851"/>
    <w:rsid w:val="34C401D1"/>
    <w:rsid w:val="353E22BB"/>
    <w:rsid w:val="35BA6CAF"/>
    <w:rsid w:val="35D37231"/>
    <w:rsid w:val="364D14C1"/>
    <w:rsid w:val="36502630"/>
    <w:rsid w:val="36AA5135"/>
    <w:rsid w:val="36BE0DA7"/>
    <w:rsid w:val="376B6AA6"/>
    <w:rsid w:val="376D39B2"/>
    <w:rsid w:val="37E16F03"/>
    <w:rsid w:val="37F53A3B"/>
    <w:rsid w:val="382C4744"/>
    <w:rsid w:val="3881462B"/>
    <w:rsid w:val="389B6C89"/>
    <w:rsid w:val="38D469F0"/>
    <w:rsid w:val="3905700A"/>
    <w:rsid w:val="392F3D24"/>
    <w:rsid w:val="39627CCD"/>
    <w:rsid w:val="397BAF1F"/>
    <w:rsid w:val="3AB79AF3"/>
    <w:rsid w:val="3B7EF35A"/>
    <w:rsid w:val="3B9FDB6C"/>
    <w:rsid w:val="3BB16FD5"/>
    <w:rsid w:val="3BF5BC2F"/>
    <w:rsid w:val="3C7A386B"/>
    <w:rsid w:val="3CEBA265"/>
    <w:rsid w:val="3D98207C"/>
    <w:rsid w:val="3D9B0D99"/>
    <w:rsid w:val="3DEE7CF3"/>
    <w:rsid w:val="3DF02244"/>
    <w:rsid w:val="3E78745D"/>
    <w:rsid w:val="3FF4CAE0"/>
    <w:rsid w:val="3FF7B227"/>
    <w:rsid w:val="40955117"/>
    <w:rsid w:val="40E54C45"/>
    <w:rsid w:val="40E56C00"/>
    <w:rsid w:val="40F462E2"/>
    <w:rsid w:val="40F77B80"/>
    <w:rsid w:val="41313393"/>
    <w:rsid w:val="41354204"/>
    <w:rsid w:val="42853347"/>
    <w:rsid w:val="43A407DF"/>
    <w:rsid w:val="44515BEA"/>
    <w:rsid w:val="44E268DA"/>
    <w:rsid w:val="453F7E5B"/>
    <w:rsid w:val="468A0B4E"/>
    <w:rsid w:val="486A6C7A"/>
    <w:rsid w:val="487321E2"/>
    <w:rsid w:val="490D6193"/>
    <w:rsid w:val="49176D9B"/>
    <w:rsid w:val="494006BD"/>
    <w:rsid w:val="4A627F82"/>
    <w:rsid w:val="4A730277"/>
    <w:rsid w:val="4B0E749A"/>
    <w:rsid w:val="4B4F25DA"/>
    <w:rsid w:val="4B7520DB"/>
    <w:rsid w:val="4BDA0CFB"/>
    <w:rsid w:val="4BE068DB"/>
    <w:rsid w:val="4C4E289C"/>
    <w:rsid w:val="4CE0771A"/>
    <w:rsid w:val="4D3C0CCC"/>
    <w:rsid w:val="4D577224"/>
    <w:rsid w:val="4DBF1CEB"/>
    <w:rsid w:val="4EAB630A"/>
    <w:rsid w:val="4ECE2238"/>
    <w:rsid w:val="4F5C7016"/>
    <w:rsid w:val="4F833267"/>
    <w:rsid w:val="4FE9BD67"/>
    <w:rsid w:val="4FFB052F"/>
    <w:rsid w:val="528D5C4E"/>
    <w:rsid w:val="53083A92"/>
    <w:rsid w:val="537E6D0A"/>
    <w:rsid w:val="53AF27A2"/>
    <w:rsid w:val="53F74C96"/>
    <w:rsid w:val="56206DD9"/>
    <w:rsid w:val="563A7E9B"/>
    <w:rsid w:val="56E47B74"/>
    <w:rsid w:val="56F4418C"/>
    <w:rsid w:val="57AF48B9"/>
    <w:rsid w:val="57BD3DD4"/>
    <w:rsid w:val="57CC546B"/>
    <w:rsid w:val="59170968"/>
    <w:rsid w:val="596F2552"/>
    <w:rsid w:val="598D467B"/>
    <w:rsid w:val="59A57D21"/>
    <w:rsid w:val="5ADC59C5"/>
    <w:rsid w:val="5AF92295"/>
    <w:rsid w:val="5BDD79E6"/>
    <w:rsid w:val="5BF561CA"/>
    <w:rsid w:val="5BFF5DFC"/>
    <w:rsid w:val="5C2C0286"/>
    <w:rsid w:val="5CC20BEA"/>
    <w:rsid w:val="5CD71FC4"/>
    <w:rsid w:val="5CEE7C31"/>
    <w:rsid w:val="5D1F11B5"/>
    <w:rsid w:val="5DAE1B18"/>
    <w:rsid w:val="5DE7D9E5"/>
    <w:rsid w:val="5DEF1EB3"/>
    <w:rsid w:val="5E60057E"/>
    <w:rsid w:val="5ECEC941"/>
    <w:rsid w:val="5F493CB7"/>
    <w:rsid w:val="5FBF9FF3"/>
    <w:rsid w:val="5FCD4E2C"/>
    <w:rsid w:val="5FD15F49"/>
    <w:rsid w:val="5FEF394A"/>
    <w:rsid w:val="5FF67715"/>
    <w:rsid w:val="61664D00"/>
    <w:rsid w:val="62791D4B"/>
    <w:rsid w:val="62BF3928"/>
    <w:rsid w:val="636C34ED"/>
    <w:rsid w:val="63C96D02"/>
    <w:rsid w:val="63E91153"/>
    <w:rsid w:val="647F5392"/>
    <w:rsid w:val="64BA216D"/>
    <w:rsid w:val="64CA4AE0"/>
    <w:rsid w:val="66091638"/>
    <w:rsid w:val="664B1D71"/>
    <w:rsid w:val="67061EC6"/>
    <w:rsid w:val="679A77F5"/>
    <w:rsid w:val="67AA3209"/>
    <w:rsid w:val="68024591"/>
    <w:rsid w:val="681C4F0D"/>
    <w:rsid w:val="69046D0F"/>
    <w:rsid w:val="69660CDE"/>
    <w:rsid w:val="698D0931"/>
    <w:rsid w:val="69B52A9F"/>
    <w:rsid w:val="6A993CED"/>
    <w:rsid w:val="6B053271"/>
    <w:rsid w:val="6BCE6674"/>
    <w:rsid w:val="6C4A05C8"/>
    <w:rsid w:val="6C8742B8"/>
    <w:rsid w:val="6C8A170F"/>
    <w:rsid w:val="6CB54609"/>
    <w:rsid w:val="6D2356D5"/>
    <w:rsid w:val="6DBF5E93"/>
    <w:rsid w:val="6DFF077E"/>
    <w:rsid w:val="6E1A0886"/>
    <w:rsid w:val="6E494CC8"/>
    <w:rsid w:val="6E7E3605"/>
    <w:rsid w:val="6E7FDCC7"/>
    <w:rsid w:val="6ED6A62E"/>
    <w:rsid w:val="6EE00B15"/>
    <w:rsid w:val="6F544B20"/>
    <w:rsid w:val="6F6FB3EB"/>
    <w:rsid w:val="6F784160"/>
    <w:rsid w:val="6F8731EA"/>
    <w:rsid w:val="6FCE6052"/>
    <w:rsid w:val="6FD57C00"/>
    <w:rsid w:val="6FD85363"/>
    <w:rsid w:val="6FEFFFD8"/>
    <w:rsid w:val="6FF5CC65"/>
    <w:rsid w:val="6FFB47EC"/>
    <w:rsid w:val="6FFF034A"/>
    <w:rsid w:val="70496804"/>
    <w:rsid w:val="70DC1002"/>
    <w:rsid w:val="712A28F1"/>
    <w:rsid w:val="715C0E4B"/>
    <w:rsid w:val="72233669"/>
    <w:rsid w:val="72734D90"/>
    <w:rsid w:val="727D7636"/>
    <w:rsid w:val="72DA05E4"/>
    <w:rsid w:val="7332FE48"/>
    <w:rsid w:val="73840550"/>
    <w:rsid w:val="73AB61DA"/>
    <w:rsid w:val="73AD73D5"/>
    <w:rsid w:val="73B6EB34"/>
    <w:rsid w:val="73FA497D"/>
    <w:rsid w:val="744731E5"/>
    <w:rsid w:val="74527205"/>
    <w:rsid w:val="74BBD01D"/>
    <w:rsid w:val="74ED5379"/>
    <w:rsid w:val="74FC2395"/>
    <w:rsid w:val="755C1784"/>
    <w:rsid w:val="75A03D67"/>
    <w:rsid w:val="75DEEEC2"/>
    <w:rsid w:val="76197675"/>
    <w:rsid w:val="76E3355F"/>
    <w:rsid w:val="76FF5125"/>
    <w:rsid w:val="7758241F"/>
    <w:rsid w:val="7762504C"/>
    <w:rsid w:val="776F6FFA"/>
    <w:rsid w:val="778769C8"/>
    <w:rsid w:val="77DC22F5"/>
    <w:rsid w:val="78B51750"/>
    <w:rsid w:val="79086DAD"/>
    <w:rsid w:val="79974F09"/>
    <w:rsid w:val="79D7FD79"/>
    <w:rsid w:val="79EE5BA4"/>
    <w:rsid w:val="7A894339"/>
    <w:rsid w:val="7AC06311"/>
    <w:rsid w:val="7AFF7572"/>
    <w:rsid w:val="7B6C7DFB"/>
    <w:rsid w:val="7BBFBED0"/>
    <w:rsid w:val="7BC3E394"/>
    <w:rsid w:val="7C1F3737"/>
    <w:rsid w:val="7CBFC87B"/>
    <w:rsid w:val="7CFE0F48"/>
    <w:rsid w:val="7D3923AB"/>
    <w:rsid w:val="7D7EC23E"/>
    <w:rsid w:val="7D916348"/>
    <w:rsid w:val="7DF74740"/>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semiHidden/>
    <w:qFormat/>
    <w:uiPriority w:val="0"/>
    <w:pPr>
      <w:snapToGrid w:val="0"/>
      <w:jc w:val="left"/>
    </w:pPr>
    <w:rPr>
      <w:sz w:val="18"/>
      <w:szCs w:val="18"/>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23"/>
    <w:basedOn w:val="17"/>
    <w:qFormat/>
    <w:uiPriority w:val="0"/>
    <w:rPr>
      <w:rFonts w:hint="default" w:ascii="Times New Roman" w:hAnsi="Times New Roman" w:cs="Times New Roman"/>
      <w:b/>
    </w:rPr>
  </w:style>
  <w:style w:type="paragraph" w:customStyle="1" w:styleId="37">
    <w:name w:val="普通(网站) Char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8">
    <w:name w:val="21"/>
    <w:basedOn w:val="17"/>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1.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image" Target="../media/image1.png"/><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5280000" scaled="0"/>
              </a:gradFill>
            </a:ln>
            <a:effectLst/>
          </c:spPr>
          <c:invertIfNegative val="0"/>
          <c:dPt>
            <c:idx val="0"/>
            <c:invertIfNegative val="0"/>
            <c:bubble3D val="0"/>
          </c:dPt>
          <c:dPt>
            <c:idx val="1"/>
            <c:invertIfNegative val="0"/>
            <c:bubble3D val="0"/>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429.17</c:v>
                </c:pt>
                <c:pt idx="1">
                  <c:v>465.32</c:v>
                </c:pt>
              </c:numCache>
            </c:numRef>
          </c:val>
        </c:ser>
        <c:ser>
          <c:idx val="1"/>
          <c:order val="1"/>
          <c:tx>
            <c:strRef>
              <c:f>Sheet1!$C$1</c:f>
              <c:strCache>
                <c:ptCount val="1"/>
                <c:pt idx="0">
                  <c:v>支出</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5280000" scaled="0"/>
              </a:gradFill>
            </a:ln>
            <a:effectLst/>
          </c:spPr>
          <c:invertIfNegative val="0"/>
          <c:dPt>
            <c:idx val="0"/>
            <c:invertIfNegative val="0"/>
            <c:bubble3D val="0"/>
          </c:dPt>
          <c:dPt>
            <c:idx val="1"/>
            <c:invertIfNegative val="0"/>
            <c:bubble3D val="0"/>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Sheet1!$C$2:$C$3</c:f>
              <c:numCache>
                <c:formatCode>General</c:formatCode>
                <c:ptCount val="2"/>
                <c:pt idx="0">
                  <c:v>429.17</c:v>
                </c:pt>
                <c:pt idx="1">
                  <c:v>465.32</c:v>
                </c:pt>
              </c:numCache>
            </c:numRef>
          </c:val>
        </c:ser>
        <c:dLbls>
          <c:showLegendKey val="0"/>
          <c:showVal val="1"/>
          <c:showCatName val="0"/>
          <c:showSerName val="0"/>
          <c:showPercent val="0"/>
          <c:showBubbleSize val="0"/>
        </c:dLbls>
        <c:gapWidth val="500"/>
        <c:overlap val="-50"/>
        <c:axId val="811406487"/>
        <c:axId val="82152542"/>
      </c:barChart>
      <c:catAx>
        <c:axId val="811406487"/>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82152542"/>
        <c:crosses val="autoZero"/>
        <c:auto val="1"/>
        <c:lblAlgn val="ctr"/>
        <c:lblOffset val="100"/>
        <c:noMultiLvlLbl val="0"/>
      </c:catAx>
      <c:valAx>
        <c:axId val="82152542"/>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dk1">
                        <a:lumMod val="65000"/>
                        <a:lumOff val="35000"/>
                      </a:schemeClr>
                    </a:solidFill>
                    <a:latin typeface="+mn-lt"/>
                    <a:ea typeface="+mn-ea"/>
                    <a:cs typeface="+mn-cs"/>
                  </a:defRPr>
                </a:pPr>
                <a:r>
                  <a:t>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811406487"/>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33c8f074-0bb5-4de2-b6e8-6d1a7b2af078}"/>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收入</c:v>
                </c:pt>
              </c:strCache>
            </c:strRef>
          </c:tx>
          <c:spPr>
            <a:gradFill>
              <a:gsLst>
                <a:gs pos="100000">
                  <a:srgbClr val="F5C5D6"/>
                </a:gs>
                <a:gs pos="0">
                  <a:srgbClr val="9A97EF"/>
                </a:gs>
              </a:gsLst>
              <a:lin ang="2700000" scaled="1"/>
            </a:gradFill>
          </c:spPr>
          <c:explosion val="0"/>
          <c:dPt>
            <c:idx val="0"/>
            <c:bubble3D val="0"/>
            <c:spPr>
              <a:gradFill>
                <a:gsLst>
                  <a:gs pos="100000">
                    <a:srgbClr val="F5C5D6"/>
                  </a:gs>
                  <a:gs pos="0">
                    <a:srgbClr val="9A97EF"/>
                  </a:gs>
                </a:gsLst>
                <a:lin ang="2700000" scaled="1"/>
              </a:gradFill>
              <a:ln>
                <a:solidFill>
                  <a:schemeClr val="bg1"/>
                </a:solidFill>
              </a:ln>
              <a:effectLst/>
            </c:spPr>
          </c:dPt>
          <c:dPt>
            <c:idx val="1"/>
            <c:bubble3D val="0"/>
            <c:spPr>
              <a:solidFill>
                <a:srgbClr val="00B0F0"/>
              </a:solidFill>
              <a:ln>
                <a:solidFill>
                  <a:schemeClr val="bg1"/>
                </a:solidFill>
              </a:ln>
              <a:effectLst/>
            </c:spPr>
          </c:dPt>
          <c:dLbls>
            <c:dLbl>
              <c:idx val="0"/>
              <c:layout>
                <c:manualLayout>
                  <c:x val="0.249619125747099"/>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464.84</c:v>
                </c:pt>
                <c:pt idx="1">
                  <c:v>0.58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0351576233446619"/>
          <c:y val="0.30720703498375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f108cc-071a-4651-8e39-4c6dcb4b303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a:solidFill>
              <a:schemeClr val="accent1"/>
            </a:solidFill>
            <a:ln w="19050">
              <a:noFill/>
            </a:ln>
          </c:spPr>
          <c:explosion val="0"/>
          <c:dPt>
            <c:idx val="0"/>
            <c:bubble3D val="0"/>
            <c:spPr>
              <a:solidFill>
                <a:schemeClr val="accent1"/>
              </a:solidFill>
              <a:ln w="152400">
                <a:solidFill>
                  <a:schemeClr val="accent1"/>
                </a:solidFill>
              </a:ln>
              <a:effectLst/>
              <a:sp3d contourW="152400"/>
            </c:spPr>
          </c:dPt>
          <c:dPt>
            <c:idx val="1"/>
            <c:bubble3D val="0"/>
            <c:spPr>
              <a:solidFill>
                <a:schemeClr val="accent1">
                  <a:lumMod val="60000"/>
                  <a:lumOff val="40000"/>
                </a:schemeClr>
              </a:solidFill>
              <a:ln w="19050">
                <a:noFill/>
              </a:ln>
              <a:effectLst/>
            </c:spPr>
          </c:dPt>
          <c:dLbls>
            <c:dLbl>
              <c:idx val="0"/>
              <c:layout>
                <c:manualLayout>
                  <c:x val="0.267857142857143"/>
                  <c:y val="-0.0086772078673351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accent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435.65</c:v>
                </c:pt>
                <c:pt idx="1">
                  <c:v>29.55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4dd27c60-1b0f-4e80-aa50-41740ccb6df2}"/>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b="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财政拨款收、支决算总计变动图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blipFill rotWithShape="1">
              <a:blip xmlns:r="http://schemas.openxmlformats.org/officeDocument/2006/relationships" r:embed="rId2">
                <a:duotone>
                  <a:schemeClr val="accent1"/>
                  <a:prstClr val="white"/>
                </a:duotone>
              </a:blip>
              <a:stretch>
                <a:fillRect/>
              </a:stretch>
            </a:blipFill>
            <a:ln>
              <a:noFill/>
            </a:ln>
            <a:effectLst/>
          </c:spPr>
          <c:invertIfNegative val="0"/>
          <c:dPt>
            <c:idx val="0"/>
            <c:invertIfNegative val="0"/>
            <c:bubble3D val="0"/>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429.17</c:v>
                </c:pt>
                <c:pt idx="1">
                  <c:v>464.84</c:v>
                </c:pt>
              </c:numCache>
            </c:numRef>
          </c:val>
        </c:ser>
        <c:ser>
          <c:idx val="1"/>
          <c:order val="1"/>
          <c:tx>
            <c:strRef>
              <c:f>Sheet1!$C$1</c:f>
              <c:strCache>
                <c:ptCount val="1"/>
                <c:pt idx="0">
                  <c:v>支出</c:v>
                </c:pt>
              </c:strCache>
            </c:strRef>
          </c:tx>
          <c:spPr>
            <a:blipFill rotWithShape="1">
              <a:blip xmlns:r="http://schemas.openxmlformats.org/officeDocument/2006/relationships" r:embed="rId2">
                <a:duotone>
                  <a:schemeClr val="accent2"/>
                  <a:prstClr val="white"/>
                </a:duotone>
              </a:blip>
              <a:stretch>
                <a:fillRect/>
              </a:stretch>
            </a:blip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429.17</c:v>
                </c:pt>
                <c:pt idx="1">
                  <c:v>464.84</c:v>
                </c:pt>
              </c:numCache>
            </c:numRef>
          </c:val>
        </c:ser>
        <c:dLbls>
          <c:showLegendKey val="0"/>
          <c:showVal val="1"/>
          <c:showCatName val="0"/>
          <c:showSerName val="0"/>
          <c:showPercent val="0"/>
          <c:showBubbleSize val="0"/>
        </c:dLbls>
        <c:gapWidth val="125"/>
        <c:overlap val="-8"/>
        <c:axId val="383501248"/>
        <c:axId val="690970330"/>
      </c:barChart>
      <c:catAx>
        <c:axId val="38350124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90970330"/>
        <c:crosses val="autoZero"/>
        <c:auto val="1"/>
        <c:lblAlgn val="ctr"/>
        <c:lblOffset val="100"/>
        <c:noMultiLvlLbl val="0"/>
      </c:catAx>
      <c:valAx>
        <c:axId val="69097033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83501248"/>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1d512245-3a28-41ea-b119-eabb4c709c90}"/>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一般公共预算财政拨款支出决算变动表</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gradFill>
              <a:gsLst>
                <a:gs pos="100000">
                  <a:srgbClr val="F5C5D6"/>
                </a:gs>
                <a:gs pos="0">
                  <a:srgbClr val="9A97EF"/>
                </a:gs>
              </a:gsLst>
              <a:lin ang="2700000" scaled="1"/>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支出</c:v>
                </c:pt>
              </c:strCache>
            </c:strRef>
          </c:cat>
          <c:val>
            <c:numRef>
              <c:f>Sheet1!$B$2</c:f>
              <c:numCache>
                <c:formatCode>General</c:formatCode>
                <c:ptCount val="1"/>
                <c:pt idx="0">
                  <c:v>429.17</c:v>
                </c:pt>
              </c:numCache>
            </c:numRef>
          </c:val>
        </c:ser>
        <c:ser>
          <c:idx val="1"/>
          <c:order val="1"/>
          <c:tx>
            <c:strRef>
              <c:f>Sheet1!$C$1</c:f>
              <c:strCache>
                <c:ptCount val="1"/>
                <c:pt idx="0">
                  <c:v>2025年度</c:v>
                </c:pt>
              </c:strCache>
            </c:strRef>
          </c:tx>
          <c:spPr>
            <a:gradFill>
              <a:gsLst>
                <a:gs pos="0">
                  <a:srgbClr val="CFF9AE"/>
                </a:gs>
                <a:gs pos="90000">
                  <a:srgbClr val="49E7CE"/>
                </a:gs>
              </a:gsLst>
              <a:path path="circle">
                <a:fillToRect l="100000" t="100000"/>
              </a:path>
              <a:tileRect r="-100000" b="-100000"/>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支出</c:v>
                </c:pt>
              </c:strCache>
            </c:strRef>
          </c:cat>
          <c:val>
            <c:numRef>
              <c:f>Sheet1!$C$2</c:f>
              <c:numCache>
                <c:formatCode>General</c:formatCode>
                <c:ptCount val="1"/>
                <c:pt idx="0">
                  <c:v>464.84</c:v>
                </c:pt>
              </c:numCache>
            </c:numRef>
          </c:val>
        </c:ser>
        <c:dLbls>
          <c:showLegendKey val="0"/>
          <c:showVal val="1"/>
          <c:showCatName val="0"/>
          <c:showSerName val="0"/>
          <c:showPercent val="0"/>
          <c:showBubbleSize val="0"/>
        </c:dLbls>
        <c:gapWidth val="216"/>
        <c:overlap val="-32"/>
        <c:axId val="404402221"/>
        <c:axId val="548544260"/>
      </c:barChart>
      <c:catAx>
        <c:axId val="40440222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544260"/>
        <c:crosses val="autoZero"/>
        <c:auto val="1"/>
        <c:lblAlgn val="ctr"/>
        <c:lblOffset val="100"/>
        <c:noMultiLvlLbl val="0"/>
      </c:catAx>
      <c:valAx>
        <c:axId val="548544260"/>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40222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da8de964-d930-46f4-b071-4c43d5616c5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3"/>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c:spPr>
          </c:dPt>
          <c:dLbls>
            <c:dLbl>
              <c:idx val="0"/>
              <c:layout>
                <c:manualLayout>
                  <c:x val="0.101516480762"/>
                  <c:y val="-0.037295363719057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28451469498642"/>
                      <c:h val="0.189098998887653"/>
                    </c:manualLayout>
                  </c15:layout>
                </c:ext>
              </c:extLst>
            </c:dLbl>
            <c:dLbl>
              <c:idx val="1"/>
              <c:layout>
                <c:manualLayout>
                  <c:x val="-0.0695575886702594"/>
                  <c:y val="0.12770363552692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51296616448506"/>
                      <c:h val="0.189098998887653"/>
                    </c:manualLayout>
                  </c15:layout>
                </c:ext>
              </c:extLst>
            </c:dLbl>
            <c:dLbl>
              <c:idx val="2"/>
              <c:layout>
                <c:manualLayout>
                  <c:x val="-0.0733174583281113"/>
                  <c:y val="0.0034514496088357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198073598419363"/>
                      <c:h val="0.144605116796441"/>
                    </c:manualLayout>
                  </c15:layout>
                </c:ext>
              </c:extLst>
            </c:dLbl>
            <c:dLbl>
              <c:idx val="3"/>
              <c:layout>
                <c:manualLayout>
                  <c:x val="0.181551142631106"/>
                  <c:y val="0.050055981896914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168066189182514"/>
                      <c:h val="0.144605116796441"/>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358.35</c:v>
                </c:pt>
                <c:pt idx="1">
                  <c:v>57.31</c:v>
                </c:pt>
                <c:pt idx="2">
                  <c:v>19.9</c:v>
                </c:pt>
                <c:pt idx="3">
                  <c:v>29.28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d151feda-1e33-4068-8c16-0b0f18c1ee1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财政拨款“三公”经费支出表</a:t>
            </a:r>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a:gradFill>
              <a:gsLst>
                <a:gs pos="0">
                  <a:srgbClr val="CFF9AE"/>
                </a:gs>
                <a:gs pos="90000">
                  <a:srgbClr val="49E7CE"/>
                </a:gs>
              </a:gsLst>
              <a:path path="circle">
                <a:fillToRect l="100000" t="100000"/>
              </a:path>
              <a:tileRect r="-100000" b="-100000"/>
            </a:gradFill>
          </c:spPr>
          <c:explosion val="0"/>
          <c:dPt>
            <c:idx val="0"/>
            <c:bubble3D val="0"/>
            <c:spPr>
              <a:solidFill>
                <a:srgbClr val="00B0F0"/>
              </a:solidFill>
              <a:ln>
                <a:gradFill>
                  <a:gsLst>
                    <a:gs pos="0">
                      <a:schemeClr val="accent1">
                        <a:lumMod val="75000"/>
                        <a:hueOff val="-1670000"/>
                      </a:schemeClr>
                    </a:gs>
                    <a:gs pos="100000">
                      <a:schemeClr val="accent1">
                        <a:lumMod val="75000"/>
                      </a:schemeClr>
                    </a:gs>
                  </a:gsLst>
                  <a:lin ang="5160000" scaled="1"/>
                </a:gradFill>
              </a:ln>
              <a:effectLst/>
            </c:spPr>
          </c:dPt>
          <c:dPt>
            <c:idx val="1"/>
            <c:bubble3D val="0"/>
            <c:spPr>
              <a:gradFill>
                <a:gsLst>
                  <a:gs pos="0">
                    <a:srgbClr val="CFF9AE"/>
                  </a:gs>
                  <a:gs pos="90000">
                    <a:srgbClr val="49E7CE"/>
                  </a:gs>
                </a:gsLst>
                <a:path path="circle">
                  <a:fillToRect l="100000" t="100000"/>
                </a:path>
                <a:tileRect r="-100000" b="-100000"/>
              </a:gradFill>
              <a:ln>
                <a:gradFill>
                  <a:gsLst>
                    <a:gs pos="0">
                      <a:schemeClr val="accent2">
                        <a:lumMod val="75000"/>
                        <a:hueOff val="-1670000"/>
                      </a:schemeClr>
                    </a:gs>
                    <a:gs pos="100000">
                      <a:schemeClr val="accent2">
                        <a:lumMod val="75000"/>
                      </a:schemeClr>
                    </a:gs>
                  </a:gsLst>
                  <a:lin ang="5160000" scaled="1"/>
                </a:gradFill>
              </a:ln>
              <a:effectLst/>
            </c:spPr>
          </c:dPt>
          <c:dPt>
            <c:idx val="2"/>
            <c:bubble3D val="0"/>
            <c:spPr>
              <a:solidFill>
                <a:srgbClr val="FFC000"/>
              </a:solidFill>
              <a:ln>
                <a:gradFill>
                  <a:gsLst>
                    <a:gs pos="0">
                      <a:schemeClr val="accent3">
                        <a:lumMod val="75000"/>
                        <a:hueOff val="-1670000"/>
                      </a:schemeClr>
                    </a:gs>
                    <a:gs pos="100000">
                      <a:schemeClr val="accent3">
                        <a:lumMod val="75000"/>
                      </a:schemeClr>
                    </a:gs>
                  </a:gsLst>
                  <a:lin ang="5160000" scaled="1"/>
                </a:gradFill>
              </a:ln>
              <a:effectLst/>
            </c:spPr>
          </c:dPt>
          <c:dLbls>
            <c:dLbl>
              <c:idx val="0"/>
              <c:layout>
                <c:manualLayout>
                  <c:x val="0.204758956628674"/>
                  <c:y val="0.0748261229686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1"/>
              <c:showCatName val="1"/>
              <c:showSerName val="0"/>
              <c:showPercent val="1"/>
              <c:showBubbleSize val="0"/>
              <c:extLst>
                <c:ext xmlns:c15="http://schemas.microsoft.com/office/drawing/2012/chart" uri="{CE6537A1-D6FC-4f65-9D91-7224C49458BB}"/>
              </c:extLst>
            </c:dLbl>
            <c:dLbl>
              <c:idx val="2"/>
              <c:layout>
                <c:manualLayout>
                  <c:x val="-0.213820404835935"/>
                  <c:y val="0.0670876302063243"/>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Sheet1!$A$2:$A$4</c:f>
              <c:strCache>
                <c:ptCount val="3"/>
                <c:pt idx="0">
                  <c:v>因公出国（境）费支出</c:v>
                </c:pt>
                <c:pt idx="1">
                  <c:v>公务用车购置及运行维护费支出</c:v>
                </c:pt>
                <c:pt idx="2">
                  <c:v>公务接待费</c:v>
                </c:pt>
              </c:strCache>
            </c:strRef>
          </c:cat>
          <c:val>
            <c:numRef>
              <c:f>Sheet1!$B$2:$B$4</c:f>
              <c:numCache>
                <c:formatCode>General</c:formatCode>
                <c:ptCount val="3"/>
                <c:pt idx="0">
                  <c:v>0</c:v>
                </c:pt>
                <c:pt idx="1">
                  <c:v>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d21f0f-736c-44ae-845b-413e91966e04}"/>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9">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9">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528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16">
    <a:dk1>
      <a:srgbClr val="000000"/>
    </a:dk1>
    <a:lt1>
      <a:srgbClr val="FFFFFF"/>
    </a:lt1>
    <a:dk2>
      <a:srgbClr val="44546A"/>
    </a:dk2>
    <a:lt2>
      <a:srgbClr val="E7E6E6"/>
    </a:lt2>
    <a:accent1>
      <a:srgbClr val="6780FB"/>
    </a:accent1>
    <a:accent2>
      <a:srgbClr val="AC68FB"/>
    </a:accent2>
    <a:accent3>
      <a:srgbClr val="F75090"/>
    </a:accent3>
    <a:accent4>
      <a:srgbClr val="FF5958"/>
    </a:accent4>
    <a:accent5>
      <a:srgbClr val="FF920C"/>
    </a:accent5>
    <a:accent6>
      <a:srgbClr val="ABD500"/>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50e589ca-912b-4563-8b84-50d5d6555910</errorID>
      <errorWord>和县</errorWord>
      <group>L1_Word</group>
      <groupName>字词问题</groupName>
      <ability>L2_Typo</ability>
      <abilityName>字词错误</abilityName>
      <candidateList>
        <item>和</item>
      </candidateList>
      <explain/>
      <paraID>55B61A06</paraID>
      <start>171</start>
      <end>172</end>
      <status>modified</status>
      <modifiedWord>和</modifiedWord>
      <trackRevisions>false</trackRevisions>
    </reviewItem>
    <reviewItem>
      <errorID>5ef838b9-c352-43bc-a9e1-d85e358d91c3</errorID>
      <errorWord>领域内</errorWord>
      <group>L1_Word</group>
      <groupName>字词问题</groupName>
      <ability>L2_Typo</ability>
      <abilityName>字词错误</abilityName>
      <candidateList>
        <item>领域</item>
      </candidateList>
      <explain/>
      <paraID>57163CFB</paraID>
      <start>9</start>
      <end>11</end>
      <status>modified</status>
      <modifiedWord>领域</modifiedWord>
      <trackRevisions>false</trackRevisions>
    </reviewItem>
    <reviewItem>
      <errorID>2d4c47a9-b6a2-437b-bc0a-d51a014ab9af</errorID>
      <errorWord>,</errorWord>
      <group>L1_Format</group>
      <groupName>格式问题</groupName>
      <ability>L2_HalfPunc_CN</ability>
      <abilityName>全半角问题</abilityName>
      <candidateList>
        <item>，</item>
      </candidateList>
      <explain>文本全半角错误。</explain>
      <paraID>1EA97874</paraID>
      <start>62</start>
      <end>63</end>
      <status>modified</status>
      <modifiedWord>，</modifiedWord>
      <trackRevisions>false</trackRevisions>
    </reviewItem>
    <reviewItem>
      <errorID>30d9f12b-1fc4-46d5-8b51-063b75a2a056</errorID>
      <errorWord>，</errorWord>
      <group>L1_Word</group>
      <groupName>字词问题</groupName>
      <ability>L2_Typo</ability>
      <abilityName>字词错误</abilityName>
      <candidateList>
        <item>，在</item>
      </candidateList>
      <explain/>
      <paraID>160FF636</paraID>
      <start>71</start>
      <end>73</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b76f5b-ad17-4342-8485-08f3baf9b647}">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6271</Words>
  <Characters>6670</Characters>
  <Lines>61</Lines>
  <Paragraphs>17</Paragraphs>
  <TotalTime>1</TotalTime>
  <ScaleCrop>false</ScaleCrop>
  <LinksUpToDate>false</LinksUpToDate>
  <CharactersWithSpaces>6791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2026-10-15T02:59:06Z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