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59491">
      <w:pPr>
        <w:pStyle w:val="6"/>
        <w:pageBreakBefore w:val="0"/>
        <w:kinsoku/>
        <w:wordWrap/>
        <w:overflowPunct/>
        <w:topLinePunct w:val="0"/>
        <w:autoSpaceDN/>
        <w:bidi w:val="0"/>
        <w:spacing w:beforeLines="0" w:line="576"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bookmarkStart w:id="0" w:name="_Toc15396475"/>
      <w:bookmarkStart w:id="1" w:name="_Toc15377425"/>
      <w:bookmarkStart w:id="2" w:name="_Toc15396597"/>
      <w:bookmarkStart w:id="3" w:name="_Toc15378441"/>
      <w:bookmarkStart w:id="4" w:name="_Toc15377193"/>
      <w:bookmarkStart w:id="5" w:name="_Toc15306267"/>
    </w:p>
    <w:p w14:paraId="5D63AF26">
      <w:pPr>
        <w:pStyle w:val="6"/>
        <w:pageBreakBefore w:val="0"/>
        <w:kinsoku/>
        <w:wordWrap/>
        <w:overflowPunct/>
        <w:topLinePunct w:val="0"/>
        <w:autoSpaceDN/>
        <w:bidi w:val="0"/>
        <w:spacing w:beforeLines="0" w:line="576"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185FF70F">
      <w:pPr>
        <w:pStyle w:val="6"/>
        <w:pageBreakBefore w:val="0"/>
        <w:kinsoku/>
        <w:wordWrap/>
        <w:overflowPunct/>
        <w:topLinePunct w:val="0"/>
        <w:autoSpaceDN/>
        <w:bidi w:val="0"/>
        <w:spacing w:beforeLines="0" w:line="576"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2029BE63">
      <w:pPr>
        <w:pStyle w:val="6"/>
        <w:pageBreakBefore w:val="0"/>
        <w:kinsoku/>
        <w:wordWrap/>
        <w:overflowPunct/>
        <w:topLinePunct w:val="0"/>
        <w:autoSpaceDN/>
        <w:bidi w:val="0"/>
        <w:spacing w:beforeLines="0" w:line="576"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7CA24887">
      <w:pPr>
        <w:keepNext w:val="0"/>
        <w:keepLines w:val="0"/>
        <w:pageBreakBefore w:val="0"/>
        <w:kinsoku/>
        <w:wordWrap/>
        <w:overflowPunct/>
        <w:topLinePunct w:val="0"/>
        <w:autoSpaceDE/>
        <w:autoSpaceDN/>
        <w:bidi w:val="0"/>
        <w:adjustRightInd w:val="0"/>
        <w:snapToGrid w:val="0"/>
        <w:spacing w:line="576" w:lineRule="exact"/>
        <w:ind w:left="0" w:leftChars="0"/>
        <w:jc w:val="center"/>
        <w:textAlignment w:val="auto"/>
        <w:outlineLvl w:val="9"/>
        <w:rPr>
          <w:rFonts w:hint="default"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78442"/>
      <w:bookmarkStart w:id="8" w:name="_Toc15396598"/>
      <w:bookmarkStart w:id="9" w:name="_Toc15377194"/>
      <w:bookmarkStart w:id="10" w:name="_Toc15396476"/>
      <w:r>
        <w:rPr>
          <w:rFonts w:hint="default" w:ascii="Times New Roman" w:hAnsi="Times New Roman" w:eastAsia="方正小标宋简体" w:cs="Times New Roman"/>
          <w:color w:val="auto"/>
          <w:kern w:val="2"/>
          <w:sz w:val="44"/>
          <w:szCs w:val="44"/>
          <w:highlight w:val="none"/>
          <w:lang w:val="en-US" w:eastAsia="zh-CN" w:bidi="ar-SA"/>
        </w:rPr>
        <w:t>2025年度</w:t>
      </w:r>
      <w:bookmarkEnd w:id="5"/>
      <w:bookmarkEnd w:id="6"/>
      <w:bookmarkEnd w:id="7"/>
      <w:bookmarkEnd w:id="8"/>
      <w:bookmarkEnd w:id="9"/>
      <w:bookmarkEnd w:id="10"/>
    </w:p>
    <w:p w14:paraId="6FCD08B8">
      <w:pPr>
        <w:keepNext w:val="0"/>
        <w:keepLines w:val="0"/>
        <w:pageBreakBefore w:val="0"/>
        <w:kinsoku/>
        <w:wordWrap/>
        <w:overflowPunct/>
        <w:topLinePunct w:val="0"/>
        <w:autoSpaceDE/>
        <w:autoSpaceDN/>
        <w:bidi w:val="0"/>
        <w:adjustRightInd w:val="0"/>
        <w:snapToGrid w:val="0"/>
        <w:spacing w:line="576" w:lineRule="exact"/>
        <w:ind w:left="0" w:leftChars="0"/>
        <w:jc w:val="center"/>
        <w:textAlignment w:val="auto"/>
        <w:outlineLvl w:val="9"/>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四川省阿坝州松潘县固定资产投资审计</w:t>
      </w:r>
    </w:p>
    <w:p w14:paraId="5269FB5A">
      <w:pPr>
        <w:keepNext w:val="0"/>
        <w:keepLines w:val="0"/>
        <w:pageBreakBefore w:val="0"/>
        <w:kinsoku/>
        <w:wordWrap/>
        <w:overflowPunct/>
        <w:topLinePunct w:val="0"/>
        <w:autoSpaceDE/>
        <w:autoSpaceDN/>
        <w:bidi w:val="0"/>
        <w:adjustRightInd w:val="0"/>
        <w:snapToGrid w:val="0"/>
        <w:spacing w:line="576" w:lineRule="exact"/>
        <w:ind w:left="0" w:leftChars="0"/>
        <w:jc w:val="center"/>
        <w:textAlignment w:val="auto"/>
        <w:outlineLvl w:val="9"/>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中心单位决算</w:t>
      </w:r>
    </w:p>
    <w:p w14:paraId="4E98EC41">
      <w:pPr>
        <w:pStyle w:val="6"/>
        <w:pageBreakBefore w:val="0"/>
        <w:kinsoku/>
        <w:wordWrap/>
        <w:overflowPunct/>
        <w:topLinePunct w:val="0"/>
        <w:autoSpaceDN/>
        <w:bidi w:val="0"/>
        <w:spacing w:beforeLines="0" w:line="576"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28DFAC88">
      <w:pPr>
        <w:pStyle w:val="6"/>
        <w:pageBreakBefore w:val="0"/>
        <w:kinsoku/>
        <w:wordWrap/>
        <w:overflowPunct/>
        <w:topLinePunct w:val="0"/>
        <w:autoSpaceDN/>
        <w:bidi w:val="0"/>
        <w:spacing w:beforeLines="0" w:line="576"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7A1D1334">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439E1A63">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163FB018">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7025EEAB">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58367250">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351A6595">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5467B91B">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7D0BC672">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43C874F8">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3DCEE999">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6192D37F">
      <w:pPr>
        <w:pStyle w:val="2"/>
        <w:rPr>
          <w:rFonts w:hint="default" w:ascii="Times New Roman" w:hAnsi="Times New Roman" w:eastAsia="黑体" w:cs="Times New Roman"/>
          <w:color w:val="auto"/>
          <w:sz w:val="48"/>
          <w:szCs w:val="48"/>
          <w:highlight w:val="none"/>
        </w:rPr>
      </w:pPr>
    </w:p>
    <w:p w14:paraId="2D955E0D">
      <w:pPr>
        <w:pStyle w:val="2"/>
        <w:rPr>
          <w:rFonts w:hint="default" w:ascii="Times New Roman" w:hAnsi="Times New Roman" w:eastAsia="黑体" w:cs="Times New Roman"/>
          <w:color w:val="auto"/>
          <w:sz w:val="48"/>
          <w:szCs w:val="48"/>
          <w:highlight w:val="none"/>
        </w:rPr>
      </w:pPr>
    </w:p>
    <w:p w14:paraId="7BD98D25">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1E8EBAC0">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1306067C">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48"/>
          <w:szCs w:val="48"/>
          <w:highlight w:val="none"/>
        </w:rPr>
      </w:pPr>
    </w:p>
    <w:p w14:paraId="7FF4894A">
      <w:pPr>
        <w:pageBreakBefore w:val="0"/>
        <w:widowControl/>
        <w:kinsoku/>
        <w:wordWrap/>
        <w:overflowPunct/>
        <w:topLinePunct w:val="0"/>
        <w:autoSpaceDN/>
        <w:bidi w:val="0"/>
        <w:spacing w:line="576" w:lineRule="exact"/>
        <w:ind w:left="0" w:leftChars="0"/>
        <w:jc w:val="center"/>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48"/>
          <w:szCs w:val="48"/>
          <w:highlight w:val="none"/>
        </w:rPr>
        <w:t>目</w:t>
      </w:r>
      <w:r>
        <w:rPr>
          <w:rFonts w:hint="eastAsia" w:ascii="Times New Roman" w:hAnsi="Times New Roman" w:eastAsia="黑体" w:cs="Times New Roman"/>
          <w:color w:val="auto"/>
          <w:sz w:val="48"/>
          <w:szCs w:val="48"/>
          <w:highlight w:val="none"/>
          <w:lang w:val="en-US" w:eastAsia="zh-CN"/>
        </w:rPr>
        <w:t xml:space="preserve">  </w:t>
      </w:r>
      <w:r>
        <w:rPr>
          <w:rFonts w:hint="default" w:ascii="Times New Roman" w:hAnsi="Times New Roman" w:eastAsia="黑体" w:cs="Times New Roman"/>
          <w:color w:val="auto"/>
          <w:sz w:val="48"/>
          <w:szCs w:val="48"/>
          <w:highlight w:val="none"/>
        </w:rPr>
        <w:t>录</w:t>
      </w:r>
    </w:p>
    <w:p w14:paraId="1FA38767">
      <w:pPr>
        <w:pStyle w:val="13"/>
        <w:pageBreakBefore w:val="0"/>
        <w:kinsoku/>
        <w:wordWrap/>
        <w:overflowPunct/>
        <w:topLinePunct w:val="0"/>
        <w:autoSpaceDN/>
        <w:bidi w:val="0"/>
        <w:spacing w:before="0" w:line="576" w:lineRule="exact"/>
        <w:ind w:left="0" w:leftChars="0"/>
        <w:textAlignment w:val="auto"/>
        <w:rPr>
          <w:rFonts w:hint="default" w:ascii="Times New Roman" w:hAnsi="Times New Roman" w:eastAsia="方正小标宋简体" w:cs="Times New Roman"/>
          <w:b w:val="0"/>
          <w:color w:val="auto"/>
          <w:sz w:val="28"/>
          <w:szCs w:val="28"/>
          <w:highlight w:val="none"/>
        </w:rPr>
      </w:pPr>
      <w:r>
        <w:rPr>
          <w:rFonts w:hint="default" w:ascii="Times New Roman" w:hAnsi="Times New Roman" w:eastAsia="仿宋_GB2312" w:cs="Times New Roman"/>
          <w:color w:val="auto"/>
          <w:sz w:val="28"/>
          <w:szCs w:val="28"/>
          <w:highlight w:val="none"/>
        </w:rPr>
        <w:t>公开时间：20</w:t>
      </w:r>
      <w:r>
        <w:rPr>
          <w:rFonts w:hint="default" w:ascii="Times New Roman" w:hAnsi="Times New Roman" w:eastAsia="仿宋_GB2312" w:cs="Times New Roman"/>
          <w:color w:val="auto"/>
          <w:sz w:val="28"/>
          <w:szCs w:val="28"/>
          <w:highlight w:val="none"/>
          <w:lang w:val="en-US" w:eastAsia="zh-CN"/>
        </w:rPr>
        <w:t>26</w:t>
      </w:r>
      <w:r>
        <w:rPr>
          <w:rFonts w:hint="default" w:ascii="Times New Roman" w:hAnsi="Times New Roman" w:eastAsia="仿宋_GB2312" w:cs="Times New Roman"/>
          <w:color w:val="auto"/>
          <w:sz w:val="28"/>
          <w:szCs w:val="28"/>
          <w:highlight w:val="none"/>
        </w:rPr>
        <w:t>年</w:t>
      </w:r>
      <w:r>
        <w:rPr>
          <w:rFonts w:hint="eastAsia" w:ascii="Times New Roman" w:hAnsi="Times New Roman" w:eastAsia="仿宋_GB2312" w:cs="Times New Roman"/>
          <w:color w:val="auto"/>
          <w:sz w:val="28"/>
          <w:szCs w:val="28"/>
          <w:highlight w:val="none"/>
          <w:lang w:val="en-US" w:eastAsia="zh-CN"/>
        </w:rPr>
        <w:t>10</w:t>
      </w:r>
      <w:r>
        <w:rPr>
          <w:rFonts w:hint="default" w:ascii="Times New Roman" w:hAnsi="Times New Roman" w:eastAsia="仿宋_GB2312" w:cs="Times New Roman"/>
          <w:color w:val="auto"/>
          <w:sz w:val="28"/>
          <w:szCs w:val="28"/>
          <w:highlight w:val="none"/>
        </w:rPr>
        <w:t>月</w:t>
      </w:r>
      <w:r>
        <w:rPr>
          <w:rFonts w:hint="eastAsia" w:ascii="Times New Roman" w:hAnsi="Times New Roman" w:eastAsia="仿宋_GB2312" w:cs="Times New Roman"/>
          <w:color w:val="auto"/>
          <w:sz w:val="28"/>
          <w:szCs w:val="28"/>
          <w:highlight w:val="none"/>
          <w:lang w:val="en-US" w:eastAsia="zh-CN"/>
        </w:rPr>
        <w:t>15</w:t>
      </w:r>
      <w:r>
        <w:rPr>
          <w:rFonts w:hint="default" w:ascii="Times New Roman" w:hAnsi="Times New Roman" w:eastAsia="仿宋_GB2312" w:cs="Times New Roman"/>
          <w:color w:val="auto"/>
          <w:sz w:val="28"/>
          <w:szCs w:val="28"/>
          <w:highlight w:val="none"/>
        </w:rPr>
        <w:t>日</w:t>
      </w:r>
      <w:bookmarkStart w:id="11" w:name="_Toc15396599"/>
      <w:bookmarkStart w:id="12" w:name="_Toc15377196"/>
    </w:p>
    <w:sdt>
      <w:sdtPr>
        <w:rPr>
          <w:rFonts w:ascii="宋体" w:hAnsi="宋体" w:eastAsia="宋体" w:cs="Times New Roman"/>
          <w:kern w:val="2"/>
          <w:sz w:val="21"/>
          <w:szCs w:val="24"/>
          <w:lang w:val="en-US" w:eastAsia="zh-CN" w:bidi="ar-SA"/>
        </w:rPr>
        <w:id w:val="147470703"/>
        <w15:color w:val="DBDBDB"/>
        <w:docPartObj>
          <w:docPartGallery w:val="Table of Contents"/>
          <w:docPartUnique/>
        </w:docPartObj>
      </w:sdtPr>
      <w:sdtEndPr>
        <w:rPr>
          <w:rFonts w:hint="default" w:ascii="Times New Roman" w:hAnsi="Times New Roman" w:eastAsia="方正小标宋简体" w:cs="Times New Roman"/>
          <w:b/>
          <w:bCs/>
          <w:color w:val="auto"/>
          <w:kern w:val="44"/>
          <w:sz w:val="44"/>
          <w:szCs w:val="44"/>
          <w:highlight w:val="none"/>
          <w:lang w:val="en-US" w:eastAsia="zh-CN" w:bidi="ar-SA"/>
        </w:rPr>
      </w:sdtEndPr>
      <w:sdtContent>
        <w:p w14:paraId="27E75415">
          <w:pPr>
            <w:pageBreakBefore w:val="0"/>
            <w:kinsoku/>
            <w:wordWrap/>
            <w:overflowPunct/>
            <w:topLinePunct w:val="0"/>
            <w:autoSpaceDN/>
            <w:bidi w:val="0"/>
            <w:spacing w:line="576" w:lineRule="exact"/>
            <w:ind w:left="0" w:leftChars="0" w:right="0" w:rightChars="0" w:firstLine="0" w:firstLineChars="0"/>
            <w:jc w:val="center"/>
            <w:textAlignment w:val="auto"/>
          </w:pPr>
        </w:p>
        <w:p w14:paraId="2B46DDD0">
          <w:pPr>
            <w:pStyle w:val="13"/>
            <w:pageBreakBefore w:val="0"/>
            <w:tabs>
              <w:tab w:val="right" w:leader="dot" w:pos="8306"/>
              <w:tab w:val="clear" w:pos="8296"/>
            </w:tabs>
            <w:kinsoku/>
            <w:wordWrap/>
            <w:overflowPunct/>
            <w:topLinePunct w:val="0"/>
            <w:autoSpaceDN/>
            <w:bidi w:val="0"/>
            <w:spacing w:before="0" w:line="576" w:lineRule="exact"/>
            <w:ind w:left="0" w:leftChars="0"/>
            <w:textAlignment w:val="auto"/>
          </w:pPr>
          <w:r>
            <w:rPr>
              <w:rFonts w:hint="default" w:ascii="Times New Roman" w:hAnsi="Times New Roman" w:eastAsia="方正小标宋简体" w:cs="Times New Roman"/>
              <w:b w:val="0"/>
              <w:color w:val="auto"/>
              <w:highlight w:val="none"/>
            </w:rPr>
            <w:fldChar w:fldCharType="begin"/>
          </w:r>
          <w:r>
            <w:rPr>
              <w:rFonts w:hint="default" w:ascii="Times New Roman" w:hAnsi="Times New Roman" w:eastAsia="方正小标宋简体" w:cs="Times New Roman"/>
              <w:b w:val="0"/>
              <w:color w:val="auto"/>
              <w:highlight w:val="none"/>
            </w:rPr>
            <w:instrText xml:space="preserve">TOC \o "1-2" \h \u </w:instrText>
          </w:r>
          <w:r>
            <w:rPr>
              <w:rFonts w:hint="default" w:ascii="Times New Roman" w:hAnsi="Times New Roman" w:eastAsia="方正小标宋简体" w:cs="Times New Roman"/>
              <w:b w:val="0"/>
              <w:color w:val="auto"/>
              <w:highlight w:val="none"/>
            </w:rPr>
            <w:fldChar w:fldCharType="separate"/>
          </w: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_Toc8697 </w:instrText>
          </w:r>
          <w:r>
            <w:rPr>
              <w:rFonts w:hint="default" w:ascii="Times New Roman" w:hAnsi="Times New Roman" w:eastAsia="方正小标宋简体" w:cs="Times New Roman"/>
              <w:highlight w:val="none"/>
            </w:rPr>
            <w:fldChar w:fldCharType="separate"/>
          </w:r>
          <w:r>
            <w:rPr>
              <w:rFonts w:hint="default"/>
            </w:rPr>
            <w:t>第一部分</w:t>
          </w:r>
          <w:r>
            <w:rPr>
              <w:rFonts w:hint="default"/>
              <w:lang w:val="en-US" w:eastAsia="zh-CN"/>
            </w:rPr>
            <w:t xml:space="preserve"> </w:t>
          </w:r>
          <w:r>
            <w:rPr>
              <w:rFonts w:hint="default"/>
            </w:rPr>
            <w:t xml:space="preserve"> 部门概况</w:t>
          </w:r>
          <w:r>
            <w:tab/>
          </w:r>
          <w:r>
            <w:fldChar w:fldCharType="begin"/>
          </w:r>
          <w:r>
            <w:instrText xml:space="preserve"> PAGEREF _Toc8697 \h </w:instrText>
          </w:r>
          <w:r>
            <w:fldChar w:fldCharType="separate"/>
          </w:r>
          <w:r>
            <w:t>1</w:t>
          </w:r>
          <w:r>
            <w:fldChar w:fldCharType="end"/>
          </w:r>
          <w:r>
            <w:rPr>
              <w:rFonts w:hint="default" w:ascii="Times New Roman" w:hAnsi="Times New Roman" w:eastAsia="方正小标宋简体" w:cs="Times New Roman"/>
              <w:color w:val="auto"/>
              <w:highlight w:val="none"/>
            </w:rPr>
            <w:fldChar w:fldCharType="end"/>
          </w:r>
        </w:p>
        <w:p w14:paraId="345D39E8">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_Toc24225 </w:instrText>
          </w:r>
          <w:r>
            <w:rPr>
              <w:rFonts w:hint="default" w:ascii="Times New Roman" w:hAnsi="Times New Roman" w:eastAsia="方正小标宋简体" w:cs="Times New Roman"/>
              <w:highlight w:val="none"/>
            </w:rPr>
            <w:fldChar w:fldCharType="separate"/>
          </w:r>
          <w:r>
            <w:rPr>
              <w:rFonts w:hint="eastAsia" w:ascii="Times New Roman" w:hAnsi="Times New Roman" w:eastAsia="黑体" w:cs="Times New Roman"/>
              <w:bCs w:val="0"/>
            </w:rPr>
            <w:t xml:space="preserve">一、 </w:t>
          </w:r>
          <w:r>
            <w:rPr>
              <w:rFonts w:hint="default" w:ascii="Times New Roman" w:hAnsi="Times New Roman" w:eastAsia="黑体" w:cs="Times New Roman"/>
              <w:bCs w:val="0"/>
            </w:rPr>
            <w:t>主要职责</w:t>
          </w:r>
          <w:r>
            <w:tab/>
          </w:r>
          <w:r>
            <w:fldChar w:fldCharType="begin"/>
          </w:r>
          <w:r>
            <w:instrText xml:space="preserve"> PAGEREF _Toc24225 \h </w:instrText>
          </w:r>
          <w:r>
            <w:fldChar w:fldCharType="separate"/>
          </w:r>
          <w:r>
            <w:t>1</w:t>
          </w:r>
          <w:r>
            <w:fldChar w:fldCharType="end"/>
          </w:r>
          <w:r>
            <w:rPr>
              <w:rFonts w:hint="default" w:ascii="Times New Roman" w:hAnsi="Times New Roman" w:eastAsia="方正小标宋简体" w:cs="Times New Roman"/>
              <w:color w:val="auto"/>
              <w:highlight w:val="none"/>
            </w:rPr>
            <w:fldChar w:fldCharType="end"/>
          </w:r>
        </w:p>
        <w:p w14:paraId="1C3ED7E5">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_Toc13158 </w:instrText>
          </w:r>
          <w:r>
            <w:rPr>
              <w:rFonts w:hint="default" w:ascii="Times New Roman" w:hAnsi="Times New Roman" w:eastAsia="方正小标宋简体" w:cs="Times New Roman"/>
              <w:highlight w:val="none"/>
            </w:rPr>
            <w:fldChar w:fldCharType="separate"/>
          </w:r>
          <w:r>
            <w:rPr>
              <w:rFonts w:hint="default" w:ascii="Times New Roman" w:hAnsi="Times New Roman" w:eastAsia="黑体" w:cs="Times New Roman"/>
            </w:rPr>
            <w:t>二、机构设置</w:t>
          </w:r>
          <w:r>
            <w:tab/>
          </w:r>
          <w:r>
            <w:fldChar w:fldCharType="begin"/>
          </w:r>
          <w:r>
            <w:instrText xml:space="preserve"> PAGEREF _Toc13158 \h </w:instrText>
          </w:r>
          <w:r>
            <w:fldChar w:fldCharType="separate"/>
          </w:r>
          <w:r>
            <w:t>1</w:t>
          </w:r>
          <w:r>
            <w:fldChar w:fldCharType="end"/>
          </w:r>
          <w:r>
            <w:rPr>
              <w:rFonts w:hint="default" w:ascii="Times New Roman" w:hAnsi="Times New Roman" w:eastAsia="方正小标宋简体" w:cs="Times New Roman"/>
              <w:color w:val="auto"/>
              <w:highlight w:val="none"/>
            </w:rPr>
            <w:fldChar w:fldCharType="end"/>
          </w:r>
        </w:p>
        <w:p w14:paraId="0D20BDF5">
          <w:pPr>
            <w:pStyle w:val="13"/>
            <w:pageBreakBefore w:val="0"/>
            <w:tabs>
              <w:tab w:val="right" w:leader="dot" w:pos="8306"/>
              <w:tab w:val="clear" w:pos="8296"/>
            </w:tabs>
            <w:kinsoku/>
            <w:wordWrap/>
            <w:overflowPunct/>
            <w:topLinePunct w:val="0"/>
            <w:autoSpaceDN/>
            <w:bidi w:val="0"/>
            <w:spacing w:before="0"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_Toc31641 </w:instrText>
          </w:r>
          <w:r>
            <w:rPr>
              <w:rFonts w:hint="default" w:ascii="Times New Roman" w:hAnsi="Times New Roman" w:eastAsia="方正小标宋简体" w:cs="Times New Roman"/>
              <w:highlight w:val="none"/>
            </w:rPr>
            <w:fldChar w:fldCharType="separate"/>
          </w:r>
          <w:r>
            <w:rPr>
              <w:rFonts w:hint="default"/>
            </w:rPr>
            <w:t>第二部分</w:t>
          </w:r>
          <w:r>
            <w:rPr>
              <w:rFonts w:hint="default"/>
              <w:lang w:val="en-US" w:eastAsia="zh-CN"/>
            </w:rPr>
            <w:t xml:space="preserve"> </w:t>
          </w:r>
          <w:r>
            <w:rPr>
              <w:rFonts w:hint="default"/>
            </w:rPr>
            <w:t xml:space="preserve"> </w:t>
          </w:r>
          <w:r>
            <w:rPr>
              <w:rFonts w:hint="default"/>
              <w:lang w:val="en-US" w:eastAsia="zh-CN"/>
            </w:rPr>
            <w:t>2025年度</w:t>
          </w:r>
          <w:r>
            <w:rPr>
              <w:rFonts w:hint="default"/>
            </w:rPr>
            <w:t>部门决算情况说明</w:t>
          </w:r>
          <w:r>
            <w:tab/>
          </w:r>
          <w:r>
            <w:fldChar w:fldCharType="begin"/>
          </w:r>
          <w:r>
            <w:instrText xml:space="preserve"> PAGEREF _Toc31641 \h </w:instrText>
          </w:r>
          <w:r>
            <w:fldChar w:fldCharType="separate"/>
          </w:r>
          <w:r>
            <w:t>2</w:t>
          </w:r>
          <w:r>
            <w:fldChar w:fldCharType="end"/>
          </w:r>
          <w:r>
            <w:rPr>
              <w:rFonts w:hint="default" w:ascii="Times New Roman" w:hAnsi="Times New Roman" w:eastAsia="方正小标宋简体" w:cs="Times New Roman"/>
              <w:color w:val="auto"/>
              <w:highlight w:val="none"/>
            </w:rPr>
            <w:fldChar w:fldCharType="end"/>
          </w:r>
        </w:p>
        <w:p w14:paraId="696BBF5A">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_Toc22047 </w:instrText>
          </w:r>
          <w:r>
            <w:rPr>
              <w:rFonts w:hint="default" w:ascii="Times New Roman" w:hAnsi="Times New Roman" w:eastAsia="方正小标宋简体" w:cs="Times New Roman"/>
              <w:highlight w:val="none"/>
            </w:rPr>
            <w:fldChar w:fldCharType="separate"/>
          </w:r>
          <w:r>
            <w:rPr>
              <w:rFonts w:hint="default"/>
              <w:lang w:eastAsia="zh-CN"/>
            </w:rPr>
            <w:t>一、</w:t>
          </w:r>
          <w:r>
            <w:rPr>
              <w:rFonts w:hint="default"/>
            </w:rPr>
            <w:t>收入支出决算总体情况说明</w:t>
          </w:r>
          <w:r>
            <w:tab/>
          </w:r>
          <w:r>
            <w:fldChar w:fldCharType="begin"/>
          </w:r>
          <w:r>
            <w:instrText xml:space="preserve"> PAGEREF _Toc22047 \h </w:instrText>
          </w:r>
          <w:r>
            <w:fldChar w:fldCharType="separate"/>
          </w:r>
          <w:r>
            <w:t>2</w:t>
          </w:r>
          <w:r>
            <w:fldChar w:fldCharType="end"/>
          </w:r>
          <w:r>
            <w:rPr>
              <w:rFonts w:hint="default" w:ascii="Times New Roman" w:hAnsi="Times New Roman" w:eastAsia="方正小标宋简体" w:cs="Times New Roman"/>
              <w:color w:val="auto"/>
              <w:highlight w:val="none"/>
            </w:rPr>
            <w:fldChar w:fldCharType="end"/>
          </w:r>
        </w:p>
        <w:p w14:paraId="3BB79BEA">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_Toc18963 </w:instrText>
          </w:r>
          <w:r>
            <w:rPr>
              <w:rFonts w:hint="default" w:ascii="Times New Roman" w:hAnsi="Times New Roman" w:eastAsia="方正小标宋简体" w:cs="Times New Roman"/>
              <w:highlight w:val="none"/>
            </w:rPr>
            <w:fldChar w:fldCharType="separate"/>
          </w:r>
          <w:r>
            <w:rPr>
              <w:rFonts w:hint="default"/>
              <w:lang w:eastAsia="zh-CN"/>
            </w:rPr>
            <w:t>二、收入决算情况说明</w:t>
          </w:r>
          <w:r>
            <w:tab/>
          </w:r>
          <w:r>
            <w:fldChar w:fldCharType="begin"/>
          </w:r>
          <w:r>
            <w:instrText xml:space="preserve"> PAGEREF _Toc18963 \h </w:instrText>
          </w:r>
          <w:r>
            <w:fldChar w:fldCharType="separate"/>
          </w:r>
          <w:r>
            <w:t>2</w:t>
          </w:r>
          <w:r>
            <w:fldChar w:fldCharType="end"/>
          </w:r>
          <w:r>
            <w:rPr>
              <w:rFonts w:hint="default" w:ascii="Times New Roman" w:hAnsi="Times New Roman" w:eastAsia="方正小标宋简体" w:cs="Times New Roman"/>
              <w:color w:val="auto"/>
              <w:highlight w:val="none"/>
            </w:rPr>
            <w:fldChar w:fldCharType="end"/>
          </w:r>
        </w:p>
        <w:p w14:paraId="75970826">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_Toc10548 </w:instrText>
          </w:r>
          <w:r>
            <w:rPr>
              <w:rFonts w:hint="default" w:ascii="Times New Roman" w:hAnsi="Times New Roman" w:eastAsia="方正小标宋简体" w:cs="Times New Roman"/>
              <w:highlight w:val="none"/>
            </w:rPr>
            <w:fldChar w:fldCharType="separate"/>
          </w:r>
          <w:r>
            <w:rPr>
              <w:rFonts w:hint="default"/>
              <w:lang w:eastAsia="zh-CN"/>
            </w:rPr>
            <w:t>三、支出决算情况说明</w:t>
          </w:r>
          <w:r>
            <w:tab/>
          </w:r>
          <w:r>
            <w:fldChar w:fldCharType="begin"/>
          </w:r>
          <w:r>
            <w:instrText xml:space="preserve"> PAGEREF _Toc10548 \h </w:instrText>
          </w:r>
          <w:r>
            <w:fldChar w:fldCharType="separate"/>
          </w:r>
          <w:r>
            <w:t>2</w:t>
          </w:r>
          <w:r>
            <w:fldChar w:fldCharType="end"/>
          </w:r>
          <w:r>
            <w:rPr>
              <w:rFonts w:hint="default" w:ascii="Times New Roman" w:hAnsi="Times New Roman" w:eastAsia="方正小标宋简体" w:cs="Times New Roman"/>
              <w:color w:val="auto"/>
              <w:highlight w:val="none"/>
            </w:rPr>
            <w:fldChar w:fldCharType="end"/>
          </w:r>
        </w:p>
        <w:p w14:paraId="7F870C3A">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_Toc19241 </w:instrText>
          </w:r>
          <w:r>
            <w:rPr>
              <w:rFonts w:hint="default" w:ascii="Times New Roman" w:hAnsi="Times New Roman" w:eastAsia="方正小标宋简体" w:cs="Times New Roman"/>
              <w:highlight w:val="none"/>
            </w:rPr>
            <w:fldChar w:fldCharType="separate"/>
          </w:r>
          <w:r>
            <w:rPr>
              <w:rFonts w:hint="default"/>
              <w:lang w:eastAsia="zh-CN"/>
            </w:rPr>
            <w:t>四、财政拨款收入支出决算总体情况说明</w:t>
          </w:r>
          <w:r>
            <w:tab/>
          </w:r>
          <w:r>
            <w:fldChar w:fldCharType="begin"/>
          </w:r>
          <w:r>
            <w:instrText xml:space="preserve"> PAGEREF _Toc19241 \h </w:instrText>
          </w:r>
          <w:r>
            <w:fldChar w:fldCharType="separate"/>
          </w:r>
          <w:r>
            <w:t>2</w:t>
          </w:r>
          <w:r>
            <w:fldChar w:fldCharType="end"/>
          </w:r>
          <w:r>
            <w:rPr>
              <w:rFonts w:hint="default" w:ascii="Times New Roman" w:hAnsi="Times New Roman" w:eastAsia="方正小标宋简体" w:cs="Times New Roman"/>
              <w:color w:val="auto"/>
              <w:highlight w:val="none"/>
            </w:rPr>
            <w:fldChar w:fldCharType="end"/>
          </w:r>
        </w:p>
        <w:p w14:paraId="44190C57">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_Toc14334 </w:instrText>
          </w:r>
          <w:r>
            <w:rPr>
              <w:rFonts w:hint="default" w:ascii="Times New Roman" w:hAnsi="Times New Roman" w:eastAsia="方正小标宋简体" w:cs="Times New Roman"/>
              <w:highlight w:val="none"/>
            </w:rPr>
            <w:fldChar w:fldCharType="separate"/>
          </w:r>
          <w:r>
            <w:rPr>
              <w:rFonts w:hint="default"/>
              <w:lang w:eastAsia="zh-CN"/>
            </w:rPr>
            <w:t>五、一般公共预算财政拨款支出决算情况说明</w:t>
          </w:r>
          <w:r>
            <w:tab/>
          </w:r>
          <w:r>
            <w:fldChar w:fldCharType="begin"/>
          </w:r>
          <w:r>
            <w:instrText xml:space="preserve"> PAGEREF _Toc14334 \h </w:instrText>
          </w:r>
          <w:r>
            <w:fldChar w:fldCharType="separate"/>
          </w:r>
          <w:r>
            <w:t>2</w:t>
          </w:r>
          <w:r>
            <w:fldChar w:fldCharType="end"/>
          </w:r>
          <w:r>
            <w:rPr>
              <w:rFonts w:hint="default" w:ascii="Times New Roman" w:hAnsi="Times New Roman" w:eastAsia="方正小标宋简体" w:cs="Times New Roman"/>
              <w:color w:val="auto"/>
              <w:highlight w:val="none"/>
            </w:rPr>
            <w:fldChar w:fldCharType="end"/>
          </w:r>
        </w:p>
        <w:p w14:paraId="0731CB8F">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_Toc1162 </w:instrText>
          </w:r>
          <w:r>
            <w:rPr>
              <w:rFonts w:hint="default" w:ascii="Times New Roman" w:hAnsi="Times New Roman" w:eastAsia="方正小标宋简体" w:cs="Times New Roman"/>
              <w:highlight w:val="none"/>
            </w:rPr>
            <w:fldChar w:fldCharType="separate"/>
          </w:r>
          <w:r>
            <w:rPr>
              <w:rFonts w:hint="default"/>
              <w:lang w:eastAsia="zh-CN"/>
            </w:rPr>
            <w:t>六、一般公共预算财政拨款基本支出决算情况说明</w:t>
          </w:r>
          <w:r>
            <w:tab/>
          </w:r>
          <w:r>
            <w:fldChar w:fldCharType="begin"/>
          </w:r>
          <w:r>
            <w:instrText xml:space="preserve"> PAGEREF _Toc1162 \h </w:instrText>
          </w:r>
          <w:r>
            <w:fldChar w:fldCharType="separate"/>
          </w:r>
          <w:r>
            <w:t>3</w:t>
          </w:r>
          <w:r>
            <w:fldChar w:fldCharType="end"/>
          </w:r>
          <w:r>
            <w:rPr>
              <w:rFonts w:hint="default" w:ascii="Times New Roman" w:hAnsi="Times New Roman" w:eastAsia="方正小标宋简体" w:cs="Times New Roman"/>
              <w:color w:val="auto"/>
              <w:highlight w:val="none"/>
            </w:rPr>
            <w:fldChar w:fldCharType="end"/>
          </w:r>
        </w:p>
        <w:p w14:paraId="061B9220">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_Toc28618 </w:instrText>
          </w:r>
          <w:r>
            <w:rPr>
              <w:rFonts w:hint="default" w:ascii="Times New Roman" w:hAnsi="Times New Roman" w:eastAsia="方正小标宋简体" w:cs="Times New Roman"/>
              <w:highlight w:val="none"/>
            </w:rPr>
            <w:fldChar w:fldCharType="separate"/>
          </w:r>
          <w:r>
            <w:rPr>
              <w:rFonts w:hint="default"/>
              <w:lang w:eastAsia="zh-CN"/>
            </w:rPr>
            <w:t>七、财政拨款“三公”经费支出决算情况说明</w:t>
          </w:r>
          <w:r>
            <w:tab/>
          </w:r>
          <w:r>
            <w:fldChar w:fldCharType="begin"/>
          </w:r>
          <w:r>
            <w:instrText xml:space="preserve"> PAGEREF _Toc28618 \h </w:instrText>
          </w:r>
          <w:r>
            <w:fldChar w:fldCharType="separate"/>
          </w:r>
          <w:r>
            <w:t>4</w:t>
          </w:r>
          <w:r>
            <w:fldChar w:fldCharType="end"/>
          </w:r>
          <w:r>
            <w:rPr>
              <w:rFonts w:hint="default" w:ascii="Times New Roman" w:hAnsi="Times New Roman" w:eastAsia="方正小标宋简体" w:cs="Times New Roman"/>
              <w:color w:val="auto"/>
              <w:highlight w:val="none"/>
            </w:rPr>
            <w:fldChar w:fldCharType="end"/>
          </w:r>
        </w:p>
        <w:p w14:paraId="56270ECE">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_Toc22465 </w:instrText>
          </w:r>
          <w:r>
            <w:rPr>
              <w:rFonts w:hint="default" w:ascii="Times New Roman" w:hAnsi="Times New Roman" w:eastAsia="方正小标宋简体" w:cs="Times New Roman"/>
              <w:highlight w:val="none"/>
            </w:rPr>
            <w:fldChar w:fldCharType="separate"/>
          </w:r>
          <w:r>
            <w:rPr>
              <w:rFonts w:hint="default"/>
              <w:lang w:eastAsia="zh-CN"/>
            </w:rPr>
            <w:t>八、政府性基金预算支出决算情况说明</w:t>
          </w:r>
          <w:r>
            <w:tab/>
          </w:r>
          <w:r>
            <w:fldChar w:fldCharType="begin"/>
          </w:r>
          <w:r>
            <w:instrText xml:space="preserve"> PAGEREF _Toc22465 \h </w:instrText>
          </w:r>
          <w:r>
            <w:fldChar w:fldCharType="separate"/>
          </w:r>
          <w:r>
            <w:t>4</w:t>
          </w:r>
          <w:r>
            <w:fldChar w:fldCharType="end"/>
          </w:r>
          <w:r>
            <w:rPr>
              <w:rFonts w:hint="default" w:ascii="Times New Roman" w:hAnsi="Times New Roman" w:eastAsia="方正小标宋简体" w:cs="Times New Roman"/>
              <w:color w:val="auto"/>
              <w:highlight w:val="none"/>
            </w:rPr>
            <w:fldChar w:fldCharType="end"/>
          </w:r>
        </w:p>
        <w:p w14:paraId="18302D3C">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_Toc19372 </w:instrText>
          </w:r>
          <w:r>
            <w:rPr>
              <w:rFonts w:hint="default" w:ascii="Times New Roman" w:hAnsi="Times New Roman" w:eastAsia="方正小标宋简体" w:cs="Times New Roman"/>
              <w:highlight w:val="none"/>
            </w:rPr>
            <w:fldChar w:fldCharType="separate"/>
          </w:r>
          <w:r>
            <w:rPr>
              <w:rFonts w:hint="default"/>
              <w:lang w:eastAsia="zh-CN"/>
            </w:rPr>
            <w:t>九、国有资本经营预算支出决算情况说明</w:t>
          </w:r>
          <w:r>
            <w:tab/>
          </w:r>
          <w:r>
            <w:fldChar w:fldCharType="begin"/>
          </w:r>
          <w:r>
            <w:instrText xml:space="preserve"> PAGEREF _Toc19372 \h </w:instrText>
          </w:r>
          <w:r>
            <w:fldChar w:fldCharType="separate"/>
          </w:r>
          <w:r>
            <w:t>4</w:t>
          </w:r>
          <w:r>
            <w:fldChar w:fldCharType="end"/>
          </w:r>
          <w:r>
            <w:rPr>
              <w:rFonts w:hint="default" w:ascii="Times New Roman" w:hAnsi="Times New Roman" w:eastAsia="方正小标宋简体" w:cs="Times New Roman"/>
              <w:color w:val="auto"/>
              <w:highlight w:val="none"/>
            </w:rPr>
            <w:fldChar w:fldCharType="end"/>
          </w:r>
        </w:p>
        <w:p w14:paraId="42E71608">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_Toc12715 </w:instrText>
          </w:r>
          <w:r>
            <w:rPr>
              <w:rFonts w:hint="default" w:ascii="Times New Roman" w:hAnsi="Times New Roman" w:eastAsia="方正小标宋简体" w:cs="Times New Roman"/>
              <w:highlight w:val="none"/>
            </w:rPr>
            <w:fldChar w:fldCharType="separate"/>
          </w:r>
          <w:r>
            <w:rPr>
              <w:rFonts w:hint="default"/>
              <w:lang w:eastAsia="zh-CN"/>
            </w:rPr>
            <w:t>十、其他重要事项的情况说明</w:t>
          </w:r>
          <w:r>
            <w:tab/>
          </w:r>
          <w:r>
            <w:fldChar w:fldCharType="begin"/>
          </w:r>
          <w:r>
            <w:instrText xml:space="preserve"> PAGEREF _Toc12715 \h </w:instrText>
          </w:r>
          <w:r>
            <w:fldChar w:fldCharType="separate"/>
          </w:r>
          <w:r>
            <w:t>4</w:t>
          </w:r>
          <w:r>
            <w:fldChar w:fldCharType="end"/>
          </w:r>
          <w:r>
            <w:rPr>
              <w:rFonts w:hint="default" w:ascii="Times New Roman" w:hAnsi="Times New Roman" w:eastAsia="方正小标宋简体" w:cs="Times New Roman"/>
              <w:color w:val="auto"/>
              <w:highlight w:val="none"/>
            </w:rPr>
            <w:fldChar w:fldCharType="end"/>
          </w:r>
        </w:p>
        <w:p w14:paraId="7C03BA15">
          <w:pPr>
            <w:pStyle w:val="13"/>
            <w:pageBreakBefore w:val="0"/>
            <w:tabs>
              <w:tab w:val="right" w:leader="dot" w:pos="8306"/>
              <w:tab w:val="clear" w:pos="8296"/>
            </w:tabs>
            <w:kinsoku/>
            <w:wordWrap/>
            <w:overflowPunct/>
            <w:topLinePunct w:val="0"/>
            <w:autoSpaceDN/>
            <w:bidi w:val="0"/>
            <w:spacing w:before="0"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_Toc10970 </w:instrText>
          </w:r>
          <w:r>
            <w:rPr>
              <w:rFonts w:hint="default" w:ascii="Times New Roman" w:hAnsi="Times New Roman" w:eastAsia="方正小标宋简体" w:cs="Times New Roman"/>
              <w:highlight w:val="none"/>
            </w:rPr>
            <w:fldChar w:fldCharType="separate"/>
          </w:r>
          <w:r>
            <w:rPr>
              <w:rFonts w:hint="default"/>
              <w:bCs/>
            </w:rPr>
            <w:t>第</w:t>
          </w:r>
          <w:r>
            <w:rPr>
              <w:rFonts w:hint="default"/>
              <w:bCs/>
              <w:lang w:eastAsia="zh-CN"/>
            </w:rPr>
            <w:t>三</w:t>
          </w:r>
          <w:r>
            <w:rPr>
              <w:rFonts w:hint="default"/>
              <w:bCs/>
            </w:rPr>
            <w:t>部分</w:t>
          </w:r>
          <w:r>
            <w:rPr>
              <w:rFonts w:hint="default"/>
              <w:bCs/>
              <w:lang w:val="en-US" w:eastAsia="zh-CN"/>
            </w:rPr>
            <w:t xml:space="preserve">  </w:t>
          </w:r>
          <w:r>
            <w:rPr>
              <w:rFonts w:hint="default"/>
              <w:bCs/>
            </w:rPr>
            <w:t>名词解释</w:t>
          </w:r>
          <w:r>
            <w:tab/>
          </w:r>
          <w:r>
            <w:fldChar w:fldCharType="begin"/>
          </w:r>
          <w:r>
            <w:instrText xml:space="preserve"> PAGEREF _Toc10970 \h </w:instrText>
          </w:r>
          <w:r>
            <w:fldChar w:fldCharType="separate"/>
          </w:r>
          <w:r>
            <w:t>6</w:t>
          </w:r>
          <w:r>
            <w:fldChar w:fldCharType="end"/>
          </w:r>
          <w:r>
            <w:rPr>
              <w:rFonts w:hint="default" w:ascii="Times New Roman" w:hAnsi="Times New Roman" w:eastAsia="方正小标宋简体" w:cs="Times New Roman"/>
              <w:color w:val="auto"/>
              <w:highlight w:val="none"/>
            </w:rPr>
            <w:fldChar w:fldCharType="end"/>
          </w:r>
        </w:p>
        <w:p w14:paraId="0875555A">
          <w:pPr>
            <w:pStyle w:val="13"/>
            <w:pageBreakBefore w:val="0"/>
            <w:tabs>
              <w:tab w:val="right" w:leader="dot" w:pos="8306"/>
              <w:tab w:val="clear" w:pos="8296"/>
            </w:tabs>
            <w:kinsoku/>
            <w:wordWrap/>
            <w:overflowPunct/>
            <w:topLinePunct w:val="0"/>
            <w:autoSpaceDN/>
            <w:bidi w:val="0"/>
            <w:spacing w:before="0"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_Toc11386 </w:instrText>
          </w:r>
          <w:r>
            <w:rPr>
              <w:rFonts w:hint="default" w:ascii="Times New Roman" w:hAnsi="Times New Roman" w:eastAsia="方正小标宋简体" w:cs="Times New Roman"/>
              <w:highlight w:val="none"/>
            </w:rPr>
            <w:fldChar w:fldCharType="separate"/>
          </w:r>
          <w:r>
            <w:rPr>
              <w:rFonts w:hint="default"/>
            </w:rPr>
            <w:t>第五部分 附表</w:t>
          </w:r>
          <w:r>
            <w:tab/>
          </w:r>
          <w:r>
            <w:fldChar w:fldCharType="begin"/>
          </w:r>
          <w:r>
            <w:instrText xml:space="preserve"> PAGEREF _Toc11386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55F67830">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_Toc21508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一、收入支出决算总表</w:t>
          </w:r>
          <w:r>
            <w:tab/>
          </w:r>
          <w:r>
            <w:fldChar w:fldCharType="begin"/>
          </w:r>
          <w:r>
            <w:instrText xml:space="preserve"> PAGEREF _Toc21508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4DD7C351">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_Toc15446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二、收入决算表</w:t>
          </w:r>
          <w:r>
            <w:tab/>
          </w:r>
          <w:r>
            <w:fldChar w:fldCharType="begin"/>
          </w:r>
          <w:r>
            <w:instrText xml:space="preserve"> PAGEREF _Toc15446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59A7F259">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_Toc31237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三、支出决算表</w:t>
          </w:r>
          <w:r>
            <w:tab/>
          </w:r>
          <w:r>
            <w:fldChar w:fldCharType="begin"/>
          </w:r>
          <w:r>
            <w:instrText xml:space="preserve"> PAGEREF _Toc31237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1D7E56C5">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_Toc25271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四、财政拨款收入支出决算总表</w:t>
          </w:r>
          <w:r>
            <w:tab/>
          </w:r>
          <w:r>
            <w:fldChar w:fldCharType="begin"/>
          </w:r>
          <w:r>
            <w:instrText xml:space="preserve"> PAGEREF _Toc25271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436DE017">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_Toc29268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五、财政拨款支出决算明细表</w:t>
          </w:r>
          <w:r>
            <w:tab/>
          </w:r>
          <w:r>
            <w:fldChar w:fldCharType="begin"/>
          </w:r>
          <w:r>
            <w:instrText xml:space="preserve"> PAGEREF _Toc29268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0DDDF349">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_Toc6547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六、一般公共预算财政拨款支出决算表</w:t>
          </w:r>
          <w:r>
            <w:tab/>
          </w:r>
          <w:r>
            <w:fldChar w:fldCharType="begin"/>
          </w:r>
          <w:r>
            <w:instrText xml:space="preserve"> PAGEREF _Toc6547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34850349">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_Toc18435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七、一般公共预算财政拨款支出决算明细表</w:t>
          </w:r>
          <w:r>
            <w:tab/>
          </w:r>
          <w:r>
            <w:fldChar w:fldCharType="begin"/>
          </w:r>
          <w:r>
            <w:instrText xml:space="preserve"> PAGEREF _Toc18435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0289FCFE">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_Toc7392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八、一般公共预算财政拨款基本支出决算表</w:t>
          </w:r>
          <w:r>
            <w:tab/>
          </w:r>
          <w:r>
            <w:fldChar w:fldCharType="begin"/>
          </w:r>
          <w:r>
            <w:instrText xml:space="preserve"> PAGEREF _Toc7392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0747C7B4">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_Toc22448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九、一般公共预算财政拨款项目支出决算表</w:t>
          </w:r>
          <w:r>
            <w:tab/>
          </w:r>
          <w:r>
            <w:fldChar w:fldCharType="begin"/>
          </w:r>
          <w:r>
            <w:instrText xml:space="preserve"> PAGEREF _Toc22448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4B196EEF">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_Toc11578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十、政府性基金预算财政拨款收入支出决算表</w:t>
          </w:r>
          <w:r>
            <w:tab/>
          </w:r>
          <w:r>
            <w:fldChar w:fldCharType="begin"/>
          </w:r>
          <w:r>
            <w:instrText xml:space="preserve"> PAGEREF _Toc11578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31F258B0">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_Toc17434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十一、国有资本经营预算</w:t>
          </w:r>
          <w:r>
            <w:rPr>
              <w:rFonts w:hint="default" w:ascii="Times New Roman" w:hAnsi="Times New Roman" w:eastAsia="楷体_GB2312" w:cs="Times New Roman"/>
              <w:bCs w:val="0"/>
              <w:lang w:eastAsia="zh-CN"/>
            </w:rPr>
            <w:t>财政拨款收入</w:t>
          </w:r>
          <w:r>
            <w:rPr>
              <w:rFonts w:hint="default" w:ascii="Times New Roman" w:hAnsi="Times New Roman" w:eastAsia="楷体_GB2312" w:cs="Times New Roman"/>
              <w:bCs w:val="0"/>
            </w:rPr>
            <w:t>支出决算表</w:t>
          </w:r>
          <w:r>
            <w:tab/>
          </w:r>
          <w:r>
            <w:fldChar w:fldCharType="begin"/>
          </w:r>
          <w:r>
            <w:instrText xml:space="preserve"> PAGEREF _Toc17434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13007F59">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_Toc31921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十二、</w:t>
          </w:r>
          <w:r>
            <w:rPr>
              <w:rFonts w:hint="default" w:ascii="Times New Roman" w:hAnsi="Times New Roman" w:eastAsia="楷体_GB2312" w:cs="Times New Roman"/>
              <w:bCs w:val="0"/>
              <w:lang w:eastAsia="zh-CN"/>
            </w:rPr>
            <w:t>国有资本经营预算财政拨款支出决算表</w:t>
          </w:r>
          <w:r>
            <w:tab/>
          </w:r>
          <w:r>
            <w:fldChar w:fldCharType="begin"/>
          </w:r>
          <w:r>
            <w:instrText xml:space="preserve"> PAGEREF _Toc31921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22F1C010">
          <w:pPr>
            <w:pStyle w:val="14"/>
            <w:pageBreakBefore w:val="0"/>
            <w:tabs>
              <w:tab w:val="right" w:leader="dot" w:pos="8306"/>
              <w:tab w:val="clear" w:pos="8296"/>
            </w:tabs>
            <w:kinsoku/>
            <w:wordWrap/>
            <w:overflowPunct/>
            <w:topLinePunct w:val="0"/>
            <w:autoSpaceDN/>
            <w:bidi w:val="0"/>
            <w:spacing w:line="576" w:lineRule="exact"/>
            <w:ind w:left="0" w:leftChars="0"/>
            <w:textAlignment w:val="auto"/>
          </w:pPr>
          <w:r>
            <w:rPr>
              <w:rFonts w:hint="default" w:ascii="Times New Roman" w:hAnsi="Times New Roman" w:eastAsia="方正小标宋简体" w:cs="Times New Roman"/>
              <w:color w:val="auto"/>
              <w:highlight w:val="none"/>
            </w:rPr>
            <w:fldChar w:fldCharType="begin"/>
          </w:r>
          <w:r>
            <w:rPr>
              <w:rFonts w:hint="default" w:ascii="Times New Roman" w:hAnsi="Times New Roman" w:eastAsia="方正小标宋简体" w:cs="Times New Roman"/>
              <w:highlight w:val="none"/>
            </w:rPr>
            <w:instrText xml:space="preserve"> HYPERLINK \l _Toc20532 </w:instrText>
          </w:r>
          <w:r>
            <w:rPr>
              <w:rFonts w:hint="default" w:ascii="Times New Roman" w:hAnsi="Times New Roman" w:eastAsia="方正小标宋简体" w:cs="Times New Roman"/>
              <w:highlight w:val="none"/>
            </w:rPr>
            <w:fldChar w:fldCharType="separate"/>
          </w:r>
          <w:r>
            <w:rPr>
              <w:rFonts w:hint="default" w:ascii="Times New Roman" w:hAnsi="Times New Roman" w:eastAsia="楷体_GB2312" w:cs="Times New Roman"/>
              <w:bCs w:val="0"/>
            </w:rPr>
            <w:t>十三、</w:t>
          </w:r>
          <w:r>
            <w:rPr>
              <w:rFonts w:hint="default" w:ascii="Times New Roman" w:hAnsi="Times New Roman" w:eastAsia="楷体_GB2312" w:cs="Times New Roman"/>
              <w:bCs w:val="0"/>
              <w:lang w:eastAsia="zh-CN"/>
            </w:rPr>
            <w:t>财政拨款“三公”经费支出决算表</w:t>
          </w:r>
          <w:r>
            <w:tab/>
          </w:r>
          <w:r>
            <w:fldChar w:fldCharType="begin"/>
          </w:r>
          <w:r>
            <w:instrText xml:space="preserve"> PAGEREF _Toc20532 \h </w:instrText>
          </w:r>
          <w:r>
            <w:fldChar w:fldCharType="separate"/>
          </w:r>
          <w:r>
            <w:t>9</w:t>
          </w:r>
          <w:r>
            <w:fldChar w:fldCharType="end"/>
          </w:r>
          <w:r>
            <w:rPr>
              <w:rFonts w:hint="default" w:ascii="Times New Roman" w:hAnsi="Times New Roman" w:eastAsia="方正小标宋简体" w:cs="Times New Roman"/>
              <w:color w:val="auto"/>
              <w:highlight w:val="none"/>
            </w:rPr>
            <w:fldChar w:fldCharType="end"/>
          </w:r>
        </w:p>
        <w:p w14:paraId="3BE903ED">
          <w:pPr>
            <w:pageBreakBefore w:val="0"/>
            <w:kinsoku/>
            <w:wordWrap/>
            <w:overflowPunct/>
            <w:topLinePunct w:val="0"/>
            <w:autoSpaceDN/>
            <w:bidi w:val="0"/>
            <w:spacing w:line="576" w:lineRule="exact"/>
            <w:ind w:left="0" w:leftChars="0"/>
            <w:textAlignment w:val="auto"/>
            <w:rPr>
              <w:rFonts w:hint="default" w:ascii="Times New Roman" w:hAnsi="Times New Roman" w:eastAsia="方正小标宋简体" w:cs="Times New Roman"/>
              <w:b w:val="0"/>
              <w:color w:val="auto"/>
              <w:highlight w:val="none"/>
            </w:rPr>
          </w:pPr>
          <w:r>
            <w:rPr>
              <w:rFonts w:hint="default" w:ascii="Times New Roman" w:hAnsi="Times New Roman" w:eastAsia="方正小标宋简体" w:cs="Times New Roman"/>
              <w:color w:val="auto"/>
              <w:highlight w:val="none"/>
            </w:rPr>
            <w:fldChar w:fldCharType="end"/>
          </w:r>
        </w:p>
      </w:sdtContent>
    </w:sdt>
    <w:p w14:paraId="62BD8317">
      <w:pPr>
        <w:pStyle w:val="3"/>
        <w:pageBreakBefore w:val="0"/>
        <w:kinsoku/>
        <w:wordWrap/>
        <w:overflowPunct/>
        <w:topLinePunct w:val="0"/>
        <w:autoSpaceDN/>
        <w:bidi w:val="0"/>
        <w:spacing w:before="0" w:after="0" w:line="576" w:lineRule="exact"/>
        <w:ind w:left="0" w:leftChars="0"/>
        <w:jc w:val="center"/>
        <w:textAlignment w:val="auto"/>
        <w:rPr>
          <w:rFonts w:hint="default"/>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bookmarkStart w:id="13" w:name="_Toc8697"/>
    </w:p>
    <w:p w14:paraId="12C16074">
      <w:pPr>
        <w:pStyle w:val="3"/>
        <w:pageBreakBefore w:val="0"/>
        <w:numPr>
          <w:ilvl w:val="0"/>
          <w:numId w:val="1"/>
        </w:numPr>
        <w:kinsoku/>
        <w:wordWrap/>
        <w:overflowPunct/>
        <w:topLinePunct w:val="0"/>
        <w:autoSpaceDN/>
        <w:bidi w:val="0"/>
        <w:spacing w:before="0" w:after="0" w:line="576" w:lineRule="exact"/>
        <w:ind w:left="0" w:leftChars="0"/>
        <w:jc w:val="center"/>
        <w:textAlignment w:val="auto"/>
        <w:rPr>
          <w:rFonts w:hint="default"/>
        </w:rPr>
      </w:pPr>
      <w:r>
        <w:rPr>
          <w:rFonts w:hint="default"/>
        </w:rPr>
        <w:t xml:space="preserve"> 部门概况</w:t>
      </w:r>
      <w:bookmarkEnd w:id="11"/>
      <w:bookmarkEnd w:id="12"/>
      <w:bookmarkEnd w:id="13"/>
    </w:p>
    <w:p w14:paraId="3129966A">
      <w:pPr>
        <w:numPr>
          <w:ilvl w:val="0"/>
          <w:numId w:val="0"/>
        </w:numPr>
        <w:rPr>
          <w:rFonts w:hint="default"/>
        </w:rPr>
      </w:pPr>
    </w:p>
    <w:p w14:paraId="40828993">
      <w:pPr>
        <w:pStyle w:val="4"/>
        <w:pageBreakBefore w:val="0"/>
        <w:numPr>
          <w:ilvl w:val="0"/>
          <w:numId w:val="2"/>
        </w:numPr>
        <w:kinsoku/>
        <w:wordWrap/>
        <w:overflowPunct/>
        <w:topLinePunct w:val="0"/>
        <w:autoSpaceDN/>
        <w:bidi w:val="0"/>
        <w:spacing w:before="0" w:after="0" w:line="576" w:lineRule="exact"/>
        <w:ind w:left="0" w:leftChars="0"/>
        <w:textAlignment w:val="auto"/>
        <w:rPr>
          <w:rStyle w:val="36"/>
          <w:rFonts w:hint="default" w:ascii="Times New Roman" w:hAnsi="Times New Roman" w:eastAsia="黑体" w:cs="Times New Roman"/>
          <w:b w:val="0"/>
          <w:bCs w:val="0"/>
        </w:rPr>
      </w:pPr>
      <w:bookmarkStart w:id="14" w:name="_Toc31897"/>
      <w:bookmarkStart w:id="15" w:name="_Toc24225"/>
      <w:bookmarkStart w:id="16" w:name="_Toc15396600"/>
      <w:bookmarkStart w:id="17" w:name="_Toc15377197"/>
      <w:bookmarkStart w:id="18" w:name="_Toc15377204"/>
      <w:bookmarkStart w:id="19" w:name="_Toc15396602"/>
      <w:r>
        <w:rPr>
          <w:rStyle w:val="36"/>
          <w:rFonts w:hint="default" w:ascii="Times New Roman" w:hAnsi="Times New Roman" w:eastAsia="黑体" w:cs="Times New Roman"/>
          <w:b w:val="0"/>
          <w:bCs w:val="0"/>
        </w:rPr>
        <w:t>主要职责</w:t>
      </w:r>
      <w:bookmarkEnd w:id="14"/>
      <w:bookmarkEnd w:id="15"/>
    </w:p>
    <w:p w14:paraId="0D8062D7">
      <w:pPr>
        <w:keepNext w:val="0"/>
        <w:keepLines w:val="0"/>
        <w:pageBreakBefore w:val="0"/>
        <w:widowControl/>
        <w:suppressLineNumbers w:val="0"/>
        <w:kinsoku/>
        <w:wordWrap/>
        <w:overflowPunct/>
        <w:topLinePunct w:val="0"/>
        <w:autoSpaceDE w:val="0"/>
        <w:autoSpaceDN/>
        <w:bidi w:val="0"/>
        <w:spacing w:afterAutospacing="0" w:line="576" w:lineRule="exact"/>
        <w:ind w:left="0" w:leftChars="0" w:firstLine="640" w:firstLineChars="200"/>
        <w:textAlignment w:val="auto"/>
        <w:rPr>
          <w:rFonts w:hint="default" w:ascii="Times New Roman" w:hAnsi="Times New Roman" w:cs="Times New Roman"/>
        </w:rPr>
      </w:pPr>
      <w:bookmarkStart w:id="20" w:name="_Toc11864"/>
      <w:r>
        <w:rPr>
          <w:rFonts w:hint="default" w:ascii="Times New Roman" w:hAnsi="Times New Roman" w:eastAsia="仿宋_GB2312" w:cs="Times New Roman"/>
          <w:kern w:val="0"/>
          <w:sz w:val="32"/>
          <w:szCs w:val="32"/>
        </w:rPr>
        <w:t>负</w:t>
      </w:r>
      <w:bookmarkEnd w:id="20"/>
      <w:r>
        <w:rPr>
          <w:rFonts w:hint="default" w:ascii="Times New Roman" w:hAnsi="Times New Roman" w:eastAsia="仿宋_GB2312" w:cs="Times New Roman"/>
          <w:kern w:val="0"/>
          <w:sz w:val="32"/>
          <w:szCs w:val="32"/>
        </w:rPr>
        <w:t>责对政府投资和以政府投资为主的建设项目预算、结算和竣工决算情况进行审计监督；对与政府投资和以政府投资为主的项目直接有关的建设、勘察、设计、施工、监理、采购、供货等单位的招投标、工程承发包及其财务收支情况进行审计监督。对政府投资和以政府投资为主的项目进行绩效审计或专项审计调查；对资金投入大、建设周期长、工程复杂的政府投资项目实施全过程跟踪审计；完成县政府和上级主管部门交办的其他审计任务。</w:t>
      </w:r>
    </w:p>
    <w:p w14:paraId="5500A83C">
      <w:pPr>
        <w:pStyle w:val="4"/>
        <w:pageBreakBefore w:val="0"/>
        <w:kinsoku/>
        <w:wordWrap/>
        <w:overflowPunct/>
        <w:topLinePunct w:val="0"/>
        <w:autoSpaceDN/>
        <w:bidi w:val="0"/>
        <w:spacing w:before="0" w:after="0" w:line="576" w:lineRule="exact"/>
        <w:ind w:left="0" w:leftChars="0"/>
        <w:textAlignment w:val="auto"/>
        <w:rPr>
          <w:rFonts w:hint="default" w:ascii="Times New Roman" w:hAnsi="Times New Roman" w:eastAsia="黑体" w:cs="Times New Roman"/>
          <w:b w:val="0"/>
        </w:rPr>
      </w:pPr>
      <w:bookmarkStart w:id="21" w:name="_Toc20336"/>
      <w:bookmarkStart w:id="22" w:name="_Toc13158"/>
      <w:r>
        <w:rPr>
          <w:rFonts w:hint="default" w:ascii="Times New Roman" w:hAnsi="Times New Roman" w:eastAsia="黑体" w:cs="Times New Roman"/>
          <w:b w:val="0"/>
        </w:rPr>
        <w:t>二、机构设置</w:t>
      </w:r>
      <w:bookmarkEnd w:id="21"/>
      <w:bookmarkEnd w:id="22"/>
    </w:p>
    <w:bookmarkEnd w:id="16"/>
    <w:bookmarkEnd w:id="17"/>
    <w:p w14:paraId="571E98F1">
      <w:pPr>
        <w:keepNext w:val="0"/>
        <w:keepLines w:val="0"/>
        <w:pageBreakBefore w:val="0"/>
        <w:widowControl w:val="0"/>
        <w:suppressLineNumbers w:val="0"/>
        <w:kinsoku/>
        <w:wordWrap/>
        <w:overflowPunct/>
        <w:topLinePunct w:val="0"/>
        <w:autoSpaceDE w:val="0"/>
        <w:autoSpaceDN/>
        <w:bidi w:val="0"/>
        <w:spacing w:line="576" w:lineRule="exact"/>
        <w:ind w:left="0" w:leftChars="0" w:right="0" w:rightChars="0" w:firstLine="640" w:firstLineChars="200"/>
        <w:jc w:val="left"/>
        <w:textAlignment w:val="auto"/>
        <w:outlineLvl w:val="0"/>
        <w:rPr>
          <w:rFonts w:hint="default" w:ascii="Times New Roman" w:hAnsi="Times New Roman" w:eastAsia="仿宋_GB2312" w:cs="Times New Roman"/>
          <w:kern w:val="0"/>
          <w:sz w:val="32"/>
          <w:szCs w:val="32"/>
        </w:rPr>
      </w:pPr>
      <w:bookmarkStart w:id="23" w:name="_Toc1935"/>
      <w:bookmarkStart w:id="24" w:name="_Toc8421"/>
      <w:bookmarkStart w:id="25" w:name="_Toc25962"/>
      <w:r>
        <w:rPr>
          <w:rFonts w:hint="default" w:ascii="Times New Roman" w:hAnsi="Times New Roman" w:eastAsia="仿宋_GB2312" w:cs="Times New Roman"/>
          <w:kern w:val="0"/>
          <w:sz w:val="32"/>
          <w:szCs w:val="32"/>
        </w:rPr>
        <w:t>松潘县</w:t>
      </w:r>
      <w:r>
        <w:rPr>
          <w:rFonts w:hint="default" w:ascii="Times New Roman" w:hAnsi="Times New Roman" w:eastAsia="仿宋_GB2312" w:cs="Times New Roman"/>
          <w:kern w:val="0"/>
          <w:sz w:val="32"/>
          <w:szCs w:val="32"/>
          <w:lang w:eastAsia="zh-CN"/>
        </w:rPr>
        <w:t>固定资产投资审计中心</w:t>
      </w:r>
      <w:bookmarkEnd w:id="23"/>
      <w:bookmarkEnd w:id="24"/>
      <w:bookmarkEnd w:id="25"/>
    </w:p>
    <w:p w14:paraId="0F236226">
      <w:pPr>
        <w:keepNext w:val="0"/>
        <w:keepLines w:val="0"/>
        <w:pageBreakBefore w:val="0"/>
        <w:widowControl w:val="0"/>
        <w:suppressLineNumbers w:val="0"/>
        <w:kinsoku/>
        <w:wordWrap/>
        <w:overflowPunct/>
        <w:topLinePunct w:val="0"/>
        <w:autoSpaceDE w:val="0"/>
        <w:autoSpaceDN/>
        <w:bidi w:val="0"/>
        <w:spacing w:line="576" w:lineRule="exact"/>
        <w:ind w:left="0" w:leftChars="0" w:right="0" w:rightChars="0" w:firstLine="640" w:firstLineChars="200"/>
        <w:jc w:val="left"/>
        <w:textAlignment w:val="auto"/>
        <w:rPr>
          <w:rFonts w:hint="default" w:ascii="Times New Roman" w:hAnsi="Times New Roman" w:eastAsia="方正小标宋简体" w:cs="Times New Roman"/>
          <w:b w:val="0"/>
          <w:color w:val="auto"/>
          <w:highlight w:val="none"/>
        </w:rPr>
      </w:pPr>
      <w:r>
        <w:rPr>
          <w:rFonts w:hint="default" w:ascii="Times New Roman" w:hAnsi="Times New Roman" w:eastAsia="仿宋_GB2312" w:cs="Times New Roman"/>
          <w:kern w:val="0"/>
          <w:sz w:val="32"/>
          <w:szCs w:val="32"/>
        </w:rPr>
        <w:t>负责对政府投资和以政府投资为主的建设项目预算、结算和竣工决算情况进行审计监督；对与政府投资和以政府投资为主的项目直接有关的建设、勘察、设计、施工、监理、采购、供货等单位的招投标、工程承发包及其财务收支情况进行审计监督。对政府投资和以政府投资为主的项目进行绩效审计或专项审计调查；对资金投入大、建设周期长、工程复杂的政府投资项目实施全过程跟踪审计；完成县政府和上级主管部门交办的其他审计任务。</w:t>
      </w:r>
    </w:p>
    <w:p w14:paraId="7C459458">
      <w:pPr>
        <w:pStyle w:val="3"/>
        <w:pageBreakBefore w:val="0"/>
        <w:kinsoku/>
        <w:wordWrap/>
        <w:overflowPunct/>
        <w:topLinePunct w:val="0"/>
        <w:autoSpaceDN/>
        <w:bidi w:val="0"/>
        <w:spacing w:before="0" w:after="0" w:line="576" w:lineRule="exact"/>
        <w:ind w:left="0" w:leftChars="0"/>
        <w:textAlignment w:val="auto"/>
        <w:rPr>
          <w:rFonts w:hint="default"/>
        </w:rPr>
      </w:pPr>
      <w:bookmarkStart w:id="26" w:name="_Toc31641"/>
    </w:p>
    <w:p w14:paraId="2C064E5F">
      <w:pPr>
        <w:pStyle w:val="3"/>
        <w:pageBreakBefore w:val="0"/>
        <w:kinsoku/>
        <w:wordWrap/>
        <w:overflowPunct/>
        <w:topLinePunct w:val="0"/>
        <w:autoSpaceDN/>
        <w:bidi w:val="0"/>
        <w:spacing w:before="0" w:after="0" w:line="576" w:lineRule="exact"/>
        <w:ind w:left="0" w:leftChars="0"/>
        <w:textAlignment w:val="auto"/>
        <w:rPr>
          <w:rFonts w:hint="default" w:ascii="Times New Roman" w:hAnsi="Times New Roman" w:cs="Times New Roman"/>
          <w:color w:val="auto"/>
          <w:highlight w:val="none"/>
        </w:rPr>
      </w:pPr>
      <w:r>
        <w:rPr>
          <w:rFonts w:hint="eastAsia"/>
          <w:lang w:val="en-US" w:eastAsia="zh-CN"/>
        </w:rPr>
        <w:t xml:space="preserve"> </w:t>
      </w:r>
      <w:r>
        <w:rPr>
          <w:rFonts w:hint="default"/>
        </w:rPr>
        <w:t>第二部分</w:t>
      </w:r>
      <w:r>
        <w:rPr>
          <w:rFonts w:hint="default"/>
          <w:lang w:val="en-US" w:eastAsia="zh-CN"/>
        </w:rPr>
        <w:t xml:space="preserve"> </w:t>
      </w:r>
      <w:r>
        <w:rPr>
          <w:rFonts w:hint="default"/>
        </w:rPr>
        <w:t xml:space="preserve"> </w:t>
      </w:r>
      <w:r>
        <w:rPr>
          <w:rFonts w:hint="default"/>
          <w:lang w:val="en-US" w:eastAsia="zh-CN"/>
        </w:rPr>
        <w:t>2025年度</w:t>
      </w:r>
      <w:r>
        <w:rPr>
          <w:rFonts w:hint="default"/>
        </w:rPr>
        <w:t>部门决算情况说明</w:t>
      </w:r>
      <w:bookmarkEnd w:id="18"/>
      <w:bookmarkEnd w:id="19"/>
      <w:bookmarkEnd w:id="26"/>
    </w:p>
    <w:p w14:paraId="5058471E">
      <w:pPr>
        <w:pStyle w:val="4"/>
        <w:pageBreakBefore w:val="0"/>
        <w:kinsoku/>
        <w:wordWrap/>
        <w:overflowPunct/>
        <w:topLinePunct w:val="0"/>
        <w:autoSpaceDN/>
        <w:bidi w:val="0"/>
        <w:spacing w:before="0" w:after="0" w:line="576" w:lineRule="exact"/>
        <w:ind w:left="0" w:leftChars="0"/>
        <w:textAlignment w:val="auto"/>
        <w:rPr>
          <w:rFonts w:hint="eastAsia"/>
          <w:lang w:val="en-US" w:eastAsia="zh-CN"/>
        </w:rPr>
      </w:pPr>
      <w:bookmarkStart w:id="27" w:name="_Toc15377205"/>
      <w:bookmarkStart w:id="28" w:name="_Toc22047"/>
      <w:bookmarkStart w:id="29" w:name="_Toc15396603"/>
      <w:r>
        <w:rPr>
          <w:rFonts w:hint="eastAsia"/>
          <w:lang w:val="en-US" w:eastAsia="zh-CN"/>
        </w:rPr>
        <w:t xml:space="preserve">   </w:t>
      </w:r>
    </w:p>
    <w:p w14:paraId="7A59EA0A">
      <w:pPr>
        <w:pStyle w:val="4"/>
        <w:pageBreakBefore w:val="0"/>
        <w:kinsoku/>
        <w:wordWrap/>
        <w:overflowPunct/>
        <w:topLinePunct w:val="0"/>
        <w:autoSpaceDN/>
        <w:bidi w:val="0"/>
        <w:spacing w:before="0" w:after="0" w:line="576" w:lineRule="exact"/>
        <w:ind w:left="0" w:leftChars="0"/>
        <w:textAlignment w:val="auto"/>
        <w:rPr>
          <w:rFonts w:hint="default"/>
        </w:rPr>
      </w:pPr>
      <w:r>
        <w:rPr>
          <w:rFonts w:hint="eastAsia"/>
          <w:lang w:val="en-US" w:eastAsia="zh-CN"/>
        </w:rPr>
        <w:t xml:space="preserve">   </w:t>
      </w:r>
      <w:r>
        <w:rPr>
          <w:rFonts w:hint="default"/>
          <w:lang w:eastAsia="zh-CN"/>
        </w:rPr>
        <w:t>一、</w:t>
      </w:r>
      <w:r>
        <w:rPr>
          <w:rFonts w:hint="default"/>
        </w:rPr>
        <w:t>收入支出决算总体情况说明</w:t>
      </w:r>
      <w:bookmarkEnd w:id="27"/>
      <w:bookmarkEnd w:id="28"/>
      <w:bookmarkEnd w:id="29"/>
    </w:p>
    <w:p w14:paraId="28A6B41C">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175.03</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总计各增加</w:t>
      </w:r>
      <w:r>
        <w:rPr>
          <w:rFonts w:hint="default" w:ascii="Times New Roman" w:hAnsi="Times New Roman" w:eastAsia="仿宋_GB2312" w:cs="Times New Roman"/>
          <w:color w:val="auto"/>
          <w:sz w:val="32"/>
          <w:szCs w:val="32"/>
          <w:highlight w:val="none"/>
          <w:lang w:val="en-US" w:eastAsia="zh-CN"/>
        </w:rPr>
        <w:t>11.04</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color w:val="auto"/>
          <w:sz w:val="32"/>
          <w:szCs w:val="32"/>
          <w:highlight w:val="none"/>
          <w:lang w:val="en-US" w:eastAsia="zh-CN"/>
        </w:rPr>
        <w:t>6.73</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eastAsia="zh-CN"/>
        </w:rPr>
        <w:t>人员变动、工资变动。</w:t>
      </w:r>
    </w:p>
    <w:p w14:paraId="48177B4E">
      <w:pPr>
        <w:pStyle w:val="4"/>
        <w:pageBreakBefore w:val="0"/>
        <w:kinsoku/>
        <w:wordWrap/>
        <w:overflowPunct/>
        <w:topLinePunct w:val="0"/>
        <w:autoSpaceDN/>
        <w:bidi w:val="0"/>
        <w:spacing w:before="0" w:after="0" w:line="576" w:lineRule="exact"/>
        <w:ind w:left="0" w:leftChars="0"/>
        <w:textAlignment w:val="auto"/>
        <w:rPr>
          <w:rFonts w:hint="default"/>
          <w:lang w:eastAsia="zh-CN"/>
        </w:rPr>
      </w:pPr>
      <w:bookmarkStart w:id="30" w:name="_Toc15377206"/>
      <w:bookmarkStart w:id="31" w:name="_Toc18963"/>
      <w:bookmarkStart w:id="32" w:name="_Toc15396604"/>
      <w:r>
        <w:rPr>
          <w:rFonts w:hint="eastAsia"/>
          <w:lang w:val="en-US" w:eastAsia="zh-CN"/>
        </w:rPr>
        <w:t xml:space="preserve">   </w:t>
      </w:r>
      <w:r>
        <w:rPr>
          <w:rFonts w:hint="default"/>
          <w:lang w:eastAsia="zh-CN"/>
        </w:rPr>
        <w:t>二、收入决算情况说明</w:t>
      </w:r>
      <w:bookmarkEnd w:id="30"/>
      <w:bookmarkEnd w:id="31"/>
      <w:bookmarkEnd w:id="32"/>
    </w:p>
    <w:p w14:paraId="221EAA45">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33" w:name="_Toc11601"/>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sz w:val="32"/>
          <w:szCs w:val="32"/>
        </w:rPr>
        <w:t>175.03</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default" w:ascii="Times New Roman" w:hAnsi="Times New Roman" w:eastAsia="仿宋_GB2312" w:cs="Times New Roman"/>
          <w:sz w:val="32"/>
          <w:szCs w:val="32"/>
        </w:rPr>
        <w:t>175.03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sz w:val="32"/>
          <w:szCs w:val="32"/>
          <w:highlight w:val="none"/>
          <w:lang w:eastAsia="zh-CN"/>
        </w:rPr>
        <w:t>%。</w:t>
      </w:r>
      <w:bookmarkEnd w:id="33"/>
      <w:bookmarkStart w:id="34" w:name="_Toc15377207"/>
      <w:bookmarkStart w:id="35" w:name="_Toc15396605"/>
    </w:p>
    <w:p w14:paraId="6A428653">
      <w:pPr>
        <w:pStyle w:val="4"/>
        <w:pageBreakBefore w:val="0"/>
        <w:kinsoku/>
        <w:wordWrap/>
        <w:overflowPunct/>
        <w:topLinePunct w:val="0"/>
        <w:autoSpaceDN/>
        <w:bidi w:val="0"/>
        <w:spacing w:before="0" w:after="0" w:line="576" w:lineRule="exact"/>
        <w:ind w:left="0" w:leftChars="0"/>
        <w:textAlignment w:val="auto"/>
        <w:rPr>
          <w:rFonts w:hint="default"/>
          <w:lang w:eastAsia="zh-CN"/>
        </w:rPr>
      </w:pPr>
      <w:bookmarkStart w:id="36" w:name="_Toc10548"/>
      <w:r>
        <w:rPr>
          <w:rFonts w:hint="eastAsia"/>
          <w:lang w:val="en-US" w:eastAsia="zh-CN"/>
        </w:rPr>
        <w:t xml:space="preserve">   </w:t>
      </w:r>
      <w:r>
        <w:rPr>
          <w:rFonts w:hint="default"/>
          <w:lang w:eastAsia="zh-CN"/>
        </w:rPr>
        <w:t>三、支出决算情况说明</w:t>
      </w:r>
      <w:bookmarkEnd w:id="34"/>
      <w:bookmarkEnd w:id="35"/>
      <w:bookmarkEnd w:id="36"/>
    </w:p>
    <w:p w14:paraId="05DE26E8">
      <w:pPr>
        <w:pageBreakBefore w:val="0"/>
        <w:kinsoku/>
        <w:wordWrap/>
        <w:overflowPunct/>
        <w:topLinePunct w:val="0"/>
        <w:autoSpaceDN/>
        <w:bidi w:val="0"/>
        <w:spacing w:line="576" w:lineRule="exact"/>
        <w:ind w:left="0" w:leftChars="0"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37" w:name="_Toc23527"/>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sz w:val="32"/>
          <w:szCs w:val="32"/>
        </w:rPr>
        <w:t>175.03</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175.03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sz w:val="32"/>
          <w:szCs w:val="32"/>
          <w:highlight w:val="none"/>
          <w:lang w:eastAsia="zh-CN"/>
        </w:rPr>
        <w:t>%。</w:t>
      </w:r>
      <w:bookmarkEnd w:id="37"/>
      <w:bookmarkStart w:id="38" w:name="_Toc15396606"/>
      <w:bookmarkStart w:id="39" w:name="_Toc15377208"/>
    </w:p>
    <w:p w14:paraId="4AE49A34">
      <w:pPr>
        <w:pStyle w:val="4"/>
        <w:pageBreakBefore w:val="0"/>
        <w:kinsoku/>
        <w:wordWrap/>
        <w:overflowPunct/>
        <w:topLinePunct w:val="0"/>
        <w:autoSpaceDN/>
        <w:bidi w:val="0"/>
        <w:spacing w:before="0" w:after="0" w:line="576" w:lineRule="exact"/>
        <w:ind w:left="0" w:leftChars="0"/>
        <w:textAlignment w:val="auto"/>
        <w:rPr>
          <w:rFonts w:hint="default"/>
          <w:lang w:eastAsia="zh-CN"/>
        </w:rPr>
      </w:pPr>
      <w:bookmarkStart w:id="40" w:name="_Toc19241"/>
      <w:r>
        <w:rPr>
          <w:rFonts w:hint="eastAsia"/>
          <w:lang w:val="en-US" w:eastAsia="zh-CN"/>
        </w:rPr>
        <w:t xml:space="preserve">    </w:t>
      </w:r>
      <w:r>
        <w:rPr>
          <w:rFonts w:hint="default"/>
          <w:lang w:eastAsia="zh-CN"/>
        </w:rPr>
        <w:t>四、财政拨款收入支出决算总体情况说明</w:t>
      </w:r>
      <w:bookmarkEnd w:id="38"/>
      <w:bookmarkEnd w:id="39"/>
      <w:bookmarkEnd w:id="40"/>
    </w:p>
    <w:p w14:paraId="4E80F4CC">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175.03</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w:t>
      </w:r>
      <w:r>
        <w:rPr>
          <w:rFonts w:hint="default" w:ascii="Times New Roman" w:hAnsi="Times New Roman" w:eastAsia="仿宋_GB2312" w:cs="Times New Roman"/>
          <w:color w:val="auto"/>
          <w:sz w:val="32"/>
          <w:szCs w:val="32"/>
          <w:highlight w:val="none"/>
        </w:rPr>
        <w:t>增加</w:t>
      </w:r>
      <w:r>
        <w:rPr>
          <w:rFonts w:hint="default" w:ascii="Times New Roman" w:hAnsi="Times New Roman" w:eastAsia="仿宋_GB2312" w:cs="Times New Roman"/>
          <w:color w:val="auto"/>
          <w:sz w:val="32"/>
          <w:szCs w:val="32"/>
          <w:highlight w:val="none"/>
          <w:lang w:val="en-US" w:eastAsia="zh-CN"/>
        </w:rPr>
        <w:t>11.04</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color w:val="auto"/>
          <w:sz w:val="32"/>
          <w:szCs w:val="32"/>
          <w:highlight w:val="none"/>
          <w:lang w:val="en-US" w:eastAsia="zh-CN"/>
        </w:rPr>
        <w:t>6.73</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eastAsia="zh-CN"/>
        </w:rPr>
        <w:t>人员变动、工资变动。</w:t>
      </w:r>
    </w:p>
    <w:p w14:paraId="63185C0F">
      <w:pPr>
        <w:pStyle w:val="4"/>
        <w:pageBreakBefore w:val="0"/>
        <w:kinsoku/>
        <w:wordWrap/>
        <w:overflowPunct/>
        <w:topLinePunct w:val="0"/>
        <w:autoSpaceDN/>
        <w:bidi w:val="0"/>
        <w:spacing w:before="0" w:after="0" w:line="576" w:lineRule="exact"/>
        <w:ind w:left="0" w:leftChars="0"/>
        <w:textAlignment w:val="auto"/>
        <w:rPr>
          <w:rFonts w:hint="default"/>
          <w:lang w:eastAsia="zh-CN"/>
        </w:rPr>
      </w:pPr>
      <w:bookmarkStart w:id="41" w:name="_Toc14334"/>
      <w:bookmarkStart w:id="42" w:name="_Toc15377209"/>
      <w:bookmarkStart w:id="43" w:name="_Toc15396607"/>
      <w:r>
        <w:rPr>
          <w:rFonts w:hint="eastAsia"/>
          <w:lang w:val="en-US" w:eastAsia="zh-CN"/>
        </w:rPr>
        <w:t xml:space="preserve">    </w:t>
      </w:r>
      <w:r>
        <w:rPr>
          <w:rFonts w:hint="default"/>
          <w:lang w:eastAsia="zh-CN"/>
        </w:rPr>
        <w:t>五、一般公共预算财政拨款支出决算情况说明</w:t>
      </w:r>
      <w:bookmarkEnd w:id="41"/>
      <w:bookmarkEnd w:id="42"/>
      <w:bookmarkEnd w:id="43"/>
    </w:p>
    <w:p w14:paraId="527606CC">
      <w:pPr>
        <w:pStyle w:val="5"/>
        <w:pageBreakBefore w:val="0"/>
        <w:kinsoku/>
        <w:wordWrap/>
        <w:overflowPunct/>
        <w:topLinePunct w:val="0"/>
        <w:autoSpaceDN/>
        <w:bidi w:val="0"/>
        <w:spacing w:before="0" w:after="0" w:line="576" w:lineRule="exact"/>
        <w:ind w:left="0" w:leftChars="0"/>
        <w:textAlignment w:val="auto"/>
        <w:rPr>
          <w:rFonts w:hint="default"/>
        </w:rPr>
      </w:pPr>
      <w:bookmarkStart w:id="44" w:name="_Toc15377210"/>
      <w:r>
        <w:rPr>
          <w:rFonts w:hint="eastAsia"/>
          <w:lang w:val="en-US" w:eastAsia="zh-CN"/>
        </w:rPr>
        <w:t xml:space="preserve">   </w:t>
      </w:r>
      <w:r>
        <w:rPr>
          <w:rFonts w:hint="default"/>
        </w:rPr>
        <w:t>（一）一般公共预算财政拨款支出决算总体情况</w:t>
      </w:r>
      <w:bookmarkEnd w:id="44"/>
    </w:p>
    <w:p w14:paraId="252C1542">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175.03</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%。与上年度相比，一般公共预算财政拨款支出</w:t>
      </w:r>
      <w:r>
        <w:rPr>
          <w:rFonts w:hint="default" w:ascii="Times New Roman" w:hAnsi="Times New Roman" w:eastAsia="仿宋_GB2312" w:cs="Times New Roman"/>
          <w:color w:val="auto"/>
          <w:sz w:val="32"/>
          <w:szCs w:val="32"/>
          <w:highlight w:val="none"/>
        </w:rPr>
        <w:t>增加</w:t>
      </w:r>
      <w:r>
        <w:rPr>
          <w:rFonts w:hint="default" w:ascii="Times New Roman" w:hAnsi="Times New Roman" w:eastAsia="仿宋_GB2312" w:cs="Times New Roman"/>
          <w:color w:val="auto"/>
          <w:sz w:val="32"/>
          <w:szCs w:val="32"/>
          <w:highlight w:val="none"/>
          <w:lang w:val="en-US" w:eastAsia="zh-CN"/>
        </w:rPr>
        <w:t>11.04</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color w:val="auto"/>
          <w:sz w:val="32"/>
          <w:szCs w:val="32"/>
          <w:highlight w:val="none"/>
          <w:lang w:val="en-US" w:eastAsia="zh-CN"/>
        </w:rPr>
        <w:t>6.73</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eastAsia="zh-CN"/>
        </w:rPr>
        <w:t>人员变动、工资变动。</w:t>
      </w:r>
    </w:p>
    <w:p w14:paraId="77667769">
      <w:pPr>
        <w:pStyle w:val="5"/>
        <w:pageBreakBefore w:val="0"/>
        <w:kinsoku/>
        <w:wordWrap/>
        <w:overflowPunct/>
        <w:topLinePunct w:val="0"/>
        <w:autoSpaceDN/>
        <w:bidi w:val="0"/>
        <w:spacing w:before="0" w:after="0" w:line="576" w:lineRule="exact"/>
        <w:ind w:left="0" w:leftChars="0"/>
        <w:textAlignment w:val="auto"/>
        <w:rPr>
          <w:rFonts w:hint="default"/>
        </w:rPr>
      </w:pPr>
      <w:bookmarkStart w:id="45" w:name="_Toc15377211"/>
      <w:r>
        <w:rPr>
          <w:rFonts w:hint="eastAsia"/>
          <w:lang w:val="en-US" w:eastAsia="zh-CN"/>
        </w:rPr>
        <w:t xml:space="preserve">   </w:t>
      </w:r>
      <w:r>
        <w:rPr>
          <w:rFonts w:hint="default"/>
        </w:rPr>
        <w:t>（二）一般公共预算财政拨款支出决算结构情况</w:t>
      </w:r>
      <w:bookmarkEnd w:id="45"/>
    </w:p>
    <w:p w14:paraId="36073A02">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175.03</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万元，主要用于以下方面：一般公共服务支出131.09万元，占74.90%；社会保障和就业支出22.66万元，占12.95%；卫生健康支出8.62万元；住房保障支出12.65万元，占7.23%。</w:t>
      </w:r>
    </w:p>
    <w:p w14:paraId="50F0E0EE">
      <w:pPr>
        <w:pStyle w:val="5"/>
        <w:pageBreakBefore w:val="0"/>
        <w:kinsoku/>
        <w:wordWrap/>
        <w:overflowPunct/>
        <w:topLinePunct w:val="0"/>
        <w:autoSpaceDN/>
        <w:bidi w:val="0"/>
        <w:spacing w:before="0" w:after="0" w:line="576" w:lineRule="exact"/>
        <w:ind w:left="0" w:leftChars="0"/>
        <w:textAlignment w:val="auto"/>
        <w:rPr>
          <w:rFonts w:hint="default"/>
        </w:rPr>
      </w:pPr>
      <w:bookmarkStart w:id="46" w:name="_Toc15377212"/>
      <w:r>
        <w:rPr>
          <w:rFonts w:hint="eastAsia"/>
          <w:lang w:val="en-US" w:eastAsia="zh-CN"/>
        </w:rPr>
        <w:t xml:space="preserve">  </w:t>
      </w:r>
      <w:r>
        <w:rPr>
          <w:rFonts w:hint="default"/>
        </w:rPr>
        <w:t>（三）一般公共预算财政拨款支出决算具体情况</w:t>
      </w:r>
      <w:bookmarkEnd w:id="46"/>
    </w:p>
    <w:p w14:paraId="6DFEC03A">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47" w:name="_Toc15378460"/>
      <w:bookmarkStart w:id="48" w:name="_Toc15377213"/>
      <w:bookmarkStart w:id="49" w:name="_Toc15377444"/>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default" w:ascii="Times New Roman" w:hAnsi="Times New Roman" w:eastAsia="仿宋_GB2312" w:cs="Times New Roman"/>
          <w:sz w:val="32"/>
          <w:szCs w:val="32"/>
        </w:rPr>
        <w:t>175.03</w:t>
      </w:r>
      <w:r>
        <w:rPr>
          <w:rFonts w:hint="default" w:ascii="Times New Roman" w:hAnsi="Times New Roman" w:eastAsia="仿宋_GB2312" w:cs="Times New Roman"/>
          <w:color w:val="auto"/>
          <w:kern w:val="2"/>
          <w:sz w:val="32"/>
          <w:szCs w:val="32"/>
          <w:highlight w:val="none"/>
          <w:lang w:val="en-US" w:eastAsia="zh-CN" w:bidi="ar-SA"/>
        </w:rPr>
        <w:t>，完成预算</w:t>
      </w:r>
      <w:r>
        <w:rPr>
          <w:rFonts w:hint="eastAsia" w:ascii="Times New Roman" w:hAnsi="Times New Roman"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%。其中：</w:t>
      </w:r>
      <w:bookmarkEnd w:id="47"/>
      <w:bookmarkEnd w:id="48"/>
      <w:bookmarkEnd w:id="49"/>
    </w:p>
    <w:p w14:paraId="1CAF0766">
      <w:pPr>
        <w:pageBreakBefore w:val="0"/>
        <w:numPr>
          <w:ilvl w:val="0"/>
          <w:numId w:val="3"/>
        </w:numPr>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Style w:val="17"/>
          <w:rFonts w:hint="default" w:ascii="Times New Roman" w:hAnsi="Times New Roman" w:eastAsia="仿宋" w:cs="Times New Roman"/>
          <w:bCs/>
          <w:sz w:val="32"/>
          <w:szCs w:val="32"/>
          <w:lang w:val="en-US" w:eastAsia="zh-CN"/>
        </w:rPr>
        <w:t>一般公共服务</w:t>
      </w:r>
      <w:r>
        <w:rPr>
          <w:rStyle w:val="17"/>
          <w:rFonts w:hint="eastAsia" w:ascii="Times New Roman" w:hAnsi="Times New Roman" w:eastAsia="仿宋" w:cs="Times New Roman"/>
          <w:bCs/>
          <w:sz w:val="32"/>
          <w:szCs w:val="32"/>
          <w:lang w:val="en-US" w:eastAsia="zh-CN"/>
        </w:rPr>
        <w:t>201：</w:t>
      </w:r>
      <w:r>
        <w:rPr>
          <w:rStyle w:val="17"/>
          <w:rFonts w:hint="default" w:ascii="Times New Roman" w:hAnsi="Times New Roman" w:eastAsia="仿宋" w:cs="Times New Roman"/>
          <w:b w:val="0"/>
          <w:bCs/>
          <w:sz w:val="32"/>
          <w:szCs w:val="32"/>
        </w:rPr>
        <w:t>支出决算</w:t>
      </w:r>
      <w:r>
        <w:rPr>
          <w:rFonts w:hint="default" w:ascii="Times New Roman" w:hAnsi="Times New Roman" w:eastAsia="仿宋_GB2312" w:cs="Times New Roman"/>
          <w:color w:val="auto"/>
          <w:kern w:val="2"/>
          <w:sz w:val="32"/>
          <w:szCs w:val="32"/>
          <w:highlight w:val="none"/>
          <w:lang w:val="en-US" w:eastAsia="zh-CN" w:bidi="ar-SA"/>
        </w:rPr>
        <w:t>131.09万元，</w:t>
      </w:r>
      <w:r>
        <w:rPr>
          <w:rStyle w:val="17"/>
          <w:rFonts w:hint="default" w:ascii="Times New Roman" w:hAnsi="Times New Roman" w:eastAsia="仿宋" w:cs="Times New Roman"/>
          <w:b w:val="0"/>
          <w:bCs/>
          <w:sz w:val="32"/>
          <w:szCs w:val="32"/>
        </w:rPr>
        <w:t>完成预算</w:t>
      </w:r>
      <w:r>
        <w:rPr>
          <w:rFonts w:hint="default" w:ascii="Times New Roman" w:hAnsi="Times New Roman" w:eastAsia="仿宋_GB2312" w:cs="Times New Roman"/>
          <w:color w:val="auto"/>
          <w:kern w:val="2"/>
          <w:sz w:val="32"/>
          <w:szCs w:val="32"/>
          <w:highlight w:val="none"/>
          <w:lang w:val="en-US" w:eastAsia="zh-CN" w:bidi="ar-SA"/>
        </w:rPr>
        <w:t>74.90%；</w:t>
      </w:r>
    </w:p>
    <w:p w14:paraId="6E8F9062">
      <w:pPr>
        <w:pageBreakBefore w:val="0"/>
        <w:numPr>
          <w:ilvl w:val="0"/>
          <w:numId w:val="3"/>
        </w:numPr>
        <w:kinsoku/>
        <w:wordWrap/>
        <w:overflowPunct/>
        <w:topLinePunct w:val="0"/>
        <w:autoSpaceDN/>
        <w:bidi w:val="0"/>
        <w:spacing w:line="576" w:lineRule="exact"/>
        <w:ind w:left="0" w:leftChars="0" w:firstLine="640" w:firstLineChars="0"/>
        <w:textAlignment w:val="auto"/>
        <w:rPr>
          <w:rFonts w:hint="default" w:ascii="Times New Roman" w:hAnsi="Times New Roman" w:eastAsia="仿宋" w:cs="Times New Roman"/>
          <w:b/>
          <w:sz w:val="32"/>
          <w:szCs w:val="32"/>
          <w:lang w:eastAsia="zh-CN"/>
        </w:rPr>
      </w:pPr>
      <w:bookmarkStart w:id="50" w:name="_Toc15377214"/>
      <w:bookmarkStart w:id="51" w:name="_Toc15396608"/>
      <w:r>
        <w:rPr>
          <w:rStyle w:val="17"/>
          <w:rFonts w:hint="default" w:ascii="Times New Roman" w:hAnsi="Times New Roman" w:eastAsia="仿宋" w:cs="Times New Roman"/>
          <w:bCs/>
          <w:sz w:val="32"/>
          <w:szCs w:val="32"/>
        </w:rPr>
        <w:t>社会保障和就业</w:t>
      </w:r>
      <w:r>
        <w:rPr>
          <w:rStyle w:val="17"/>
          <w:rFonts w:hint="default" w:ascii="Times New Roman" w:hAnsi="Times New Roman" w:eastAsia="仿宋" w:cs="Times New Roman"/>
          <w:bCs/>
          <w:sz w:val="32"/>
          <w:szCs w:val="32"/>
          <w:lang w:eastAsia="zh-CN"/>
        </w:rPr>
        <w:t>支出</w:t>
      </w:r>
      <w:r>
        <w:rPr>
          <w:rStyle w:val="17"/>
          <w:rFonts w:hint="default" w:ascii="Times New Roman" w:hAnsi="Times New Roman" w:eastAsia="仿宋" w:cs="Times New Roman"/>
          <w:bCs/>
          <w:sz w:val="32"/>
          <w:szCs w:val="32"/>
          <w:lang w:val="en-US" w:eastAsia="zh-CN"/>
        </w:rPr>
        <w:t>208</w:t>
      </w:r>
      <w:r>
        <w:rPr>
          <w:rStyle w:val="17"/>
          <w:rFonts w:hint="default" w:ascii="Times New Roman" w:hAnsi="Times New Roman" w:eastAsia="仿宋" w:cs="Times New Roman"/>
          <w:bCs/>
          <w:sz w:val="32"/>
          <w:szCs w:val="32"/>
        </w:rPr>
        <w:t>:</w:t>
      </w:r>
      <w:r>
        <w:rPr>
          <w:rStyle w:val="17"/>
          <w:rFonts w:hint="default" w:ascii="Times New Roman" w:hAnsi="Times New Roman" w:eastAsia="仿宋" w:cs="Times New Roman"/>
          <w:b w:val="0"/>
          <w:bCs/>
          <w:sz w:val="32"/>
          <w:szCs w:val="32"/>
        </w:rPr>
        <w:t xml:space="preserve"> 支出决算为</w:t>
      </w:r>
      <w:r>
        <w:rPr>
          <w:rFonts w:hint="default" w:ascii="Times New Roman" w:hAnsi="Times New Roman" w:eastAsia="仿宋_GB2312" w:cs="Times New Roman"/>
          <w:color w:val="auto"/>
          <w:kern w:val="2"/>
          <w:sz w:val="32"/>
          <w:szCs w:val="32"/>
          <w:highlight w:val="none"/>
          <w:lang w:val="en-US" w:eastAsia="zh-CN" w:bidi="ar-SA"/>
        </w:rPr>
        <w:t>22.66</w:t>
      </w:r>
      <w:r>
        <w:rPr>
          <w:rStyle w:val="17"/>
          <w:rFonts w:hint="default" w:ascii="Times New Roman" w:hAnsi="Times New Roman" w:eastAsia="仿宋" w:cs="Times New Roman"/>
          <w:b w:val="0"/>
          <w:bCs/>
          <w:sz w:val="32"/>
          <w:szCs w:val="32"/>
        </w:rPr>
        <w:t>万元，完成预算</w:t>
      </w:r>
      <w:r>
        <w:rPr>
          <w:rFonts w:hint="default" w:ascii="Times New Roman" w:hAnsi="Times New Roman" w:eastAsia="仿宋_GB2312" w:cs="Times New Roman"/>
          <w:color w:val="auto"/>
          <w:kern w:val="2"/>
          <w:sz w:val="32"/>
          <w:szCs w:val="32"/>
          <w:highlight w:val="none"/>
          <w:lang w:val="en-US" w:eastAsia="zh-CN" w:bidi="ar-SA"/>
        </w:rPr>
        <w:t>12.95</w:t>
      </w:r>
      <w:r>
        <w:rPr>
          <w:rStyle w:val="17"/>
          <w:rFonts w:hint="default" w:ascii="Times New Roman" w:hAnsi="Times New Roman" w:eastAsia="仿宋" w:cs="Times New Roman"/>
          <w:b w:val="0"/>
          <w:bCs/>
          <w:sz w:val="32"/>
          <w:szCs w:val="32"/>
        </w:rPr>
        <w:t>%</w:t>
      </w:r>
      <w:r>
        <w:rPr>
          <w:rStyle w:val="17"/>
          <w:rFonts w:hint="eastAsia" w:ascii="Times New Roman" w:hAnsi="Times New Roman" w:eastAsia="仿宋" w:cs="Times New Roman"/>
          <w:b w:val="0"/>
          <w:bCs/>
          <w:sz w:val="32"/>
          <w:szCs w:val="32"/>
          <w:lang w:eastAsia="zh-CN"/>
        </w:rPr>
        <w:t>。</w:t>
      </w:r>
    </w:p>
    <w:p w14:paraId="01E85A12">
      <w:pPr>
        <w:pageBreakBefore w:val="0"/>
        <w:numPr>
          <w:ilvl w:val="0"/>
          <w:numId w:val="3"/>
        </w:numPr>
        <w:kinsoku/>
        <w:wordWrap/>
        <w:overflowPunct/>
        <w:topLinePunct w:val="0"/>
        <w:autoSpaceDN/>
        <w:bidi w:val="0"/>
        <w:spacing w:line="576" w:lineRule="exact"/>
        <w:ind w:left="0" w:leftChars="0" w:firstLine="640" w:firstLineChars="0"/>
        <w:textAlignment w:val="auto"/>
        <w:rPr>
          <w:rFonts w:hint="default" w:ascii="Times New Roman" w:hAnsi="Times New Roman" w:eastAsia="仿宋" w:cs="Times New Roman"/>
          <w:b/>
          <w:sz w:val="32"/>
          <w:szCs w:val="32"/>
          <w:lang w:eastAsia="zh-CN"/>
        </w:rPr>
      </w:pPr>
      <w:r>
        <w:rPr>
          <w:rFonts w:hint="default" w:ascii="Times New Roman" w:hAnsi="Times New Roman" w:eastAsia="仿宋" w:cs="Times New Roman"/>
          <w:b/>
          <w:bCs/>
          <w:sz w:val="32"/>
          <w:szCs w:val="32"/>
        </w:rPr>
        <w:t>卫生健康</w:t>
      </w:r>
      <w:r>
        <w:rPr>
          <w:rStyle w:val="17"/>
          <w:rFonts w:hint="default" w:ascii="Times New Roman" w:hAnsi="Times New Roman" w:eastAsia="仿宋" w:cs="Times New Roman"/>
          <w:bCs/>
          <w:sz w:val="32"/>
          <w:szCs w:val="32"/>
          <w:lang w:eastAsia="zh-CN"/>
        </w:rPr>
        <w:t>支出</w:t>
      </w:r>
      <w:r>
        <w:rPr>
          <w:rStyle w:val="17"/>
          <w:rFonts w:hint="default" w:ascii="Times New Roman" w:hAnsi="Times New Roman" w:eastAsia="仿宋" w:cs="Times New Roman"/>
          <w:bCs/>
          <w:sz w:val="32"/>
          <w:szCs w:val="32"/>
          <w:lang w:val="en-US" w:eastAsia="zh-CN"/>
        </w:rPr>
        <w:t>210：</w:t>
      </w:r>
      <w:r>
        <w:rPr>
          <w:rStyle w:val="17"/>
          <w:rFonts w:hint="default" w:ascii="Times New Roman" w:hAnsi="Times New Roman" w:eastAsia="仿宋" w:cs="Times New Roman"/>
          <w:b w:val="0"/>
          <w:bCs/>
          <w:sz w:val="32"/>
          <w:szCs w:val="32"/>
        </w:rPr>
        <w:t>支出决算为</w:t>
      </w:r>
      <w:r>
        <w:rPr>
          <w:rFonts w:hint="default" w:ascii="Times New Roman" w:hAnsi="Times New Roman" w:eastAsia="仿宋_GB2312" w:cs="Times New Roman"/>
          <w:color w:val="auto"/>
          <w:kern w:val="2"/>
          <w:sz w:val="32"/>
          <w:szCs w:val="32"/>
          <w:highlight w:val="none"/>
          <w:lang w:val="en-US" w:eastAsia="zh-CN" w:bidi="ar-SA"/>
        </w:rPr>
        <w:t>8.62</w:t>
      </w:r>
      <w:r>
        <w:rPr>
          <w:rStyle w:val="17"/>
          <w:rFonts w:hint="default" w:ascii="Times New Roman" w:hAnsi="Times New Roman" w:eastAsia="仿宋" w:cs="Times New Roman"/>
          <w:b w:val="0"/>
          <w:bCs/>
          <w:sz w:val="32"/>
          <w:szCs w:val="32"/>
        </w:rPr>
        <w:t>万元，完成预算</w:t>
      </w:r>
      <w:r>
        <w:rPr>
          <w:rFonts w:hint="default" w:ascii="Times New Roman" w:hAnsi="Times New Roman" w:eastAsia="仿宋_GB2312" w:cs="Times New Roman"/>
          <w:color w:val="auto"/>
          <w:kern w:val="2"/>
          <w:sz w:val="32"/>
          <w:szCs w:val="32"/>
          <w:highlight w:val="none"/>
          <w:lang w:val="en-US" w:eastAsia="zh-CN" w:bidi="ar-SA"/>
        </w:rPr>
        <w:t>4.92%</w:t>
      </w:r>
      <w:r>
        <w:rPr>
          <w:rStyle w:val="17"/>
          <w:rFonts w:hint="eastAsia" w:ascii="Times New Roman" w:hAnsi="Times New Roman" w:eastAsia="仿宋" w:cs="Times New Roman"/>
          <w:b w:val="0"/>
          <w:bCs/>
          <w:sz w:val="32"/>
          <w:szCs w:val="32"/>
          <w:lang w:eastAsia="zh-CN"/>
        </w:rPr>
        <w:t>。</w:t>
      </w:r>
    </w:p>
    <w:p w14:paraId="15371FC8">
      <w:pPr>
        <w:pageBreakBefore w:val="0"/>
        <w:tabs>
          <w:tab w:val="right" w:pos="8306"/>
        </w:tabs>
        <w:kinsoku/>
        <w:wordWrap/>
        <w:overflowPunct/>
        <w:topLinePunct w:val="0"/>
        <w:autoSpaceDN/>
        <w:bidi w:val="0"/>
        <w:spacing w:line="576" w:lineRule="exact"/>
        <w:ind w:left="0" w:leftChars="0" w:firstLine="640"/>
        <w:textAlignment w:val="auto"/>
        <w:outlineLvl w:val="1"/>
        <w:rPr>
          <w:rStyle w:val="37"/>
          <w:rFonts w:hint="eastAsia" w:ascii="Times New Roman" w:hAnsi="Times New Roman" w:eastAsia="仿宋_GB2312" w:cs="Times New Roman"/>
          <w:b w:val="0"/>
          <w:bCs/>
          <w:sz w:val="32"/>
          <w:szCs w:val="32"/>
          <w:shd w:val="clear" w:fill="FFFFFF"/>
          <w:lang w:eastAsia="zh-CN"/>
        </w:rPr>
      </w:pPr>
      <w:bookmarkStart w:id="52" w:name="_Toc4000"/>
      <w:r>
        <w:rPr>
          <w:rStyle w:val="17"/>
          <w:rFonts w:hint="default" w:ascii="Times New Roman" w:hAnsi="Times New Roman" w:eastAsia="仿宋" w:cs="Times New Roman"/>
          <w:bCs/>
          <w:kern w:val="2"/>
          <w:sz w:val="32"/>
          <w:szCs w:val="32"/>
          <w:lang w:val="en-US" w:eastAsia="zh-CN" w:bidi="ar-SA"/>
        </w:rPr>
        <w:t>4.住房保障支出221：</w:t>
      </w:r>
      <w:r>
        <w:rPr>
          <w:rStyle w:val="37"/>
          <w:rFonts w:hint="default" w:ascii="Times New Roman" w:hAnsi="Times New Roman" w:eastAsia="仿宋_GB2312" w:cs="Times New Roman"/>
          <w:b w:val="0"/>
          <w:bCs/>
          <w:sz w:val="32"/>
          <w:szCs w:val="32"/>
          <w:shd w:val="clear" w:fill="FFFFFF"/>
        </w:rPr>
        <w:t>支出决算为</w:t>
      </w:r>
      <w:r>
        <w:rPr>
          <w:rFonts w:hint="default" w:ascii="Times New Roman" w:hAnsi="Times New Roman" w:eastAsia="仿宋_GB2312" w:cs="Times New Roman"/>
          <w:color w:val="auto"/>
          <w:kern w:val="2"/>
          <w:sz w:val="32"/>
          <w:szCs w:val="32"/>
          <w:highlight w:val="none"/>
          <w:lang w:val="en-US" w:eastAsia="zh-CN" w:bidi="ar-SA"/>
        </w:rPr>
        <w:t>12.65</w:t>
      </w:r>
      <w:r>
        <w:rPr>
          <w:rStyle w:val="37"/>
          <w:rFonts w:hint="default" w:ascii="Times New Roman" w:hAnsi="Times New Roman" w:eastAsia="仿宋_GB2312" w:cs="Times New Roman"/>
          <w:b w:val="0"/>
          <w:bCs/>
          <w:sz w:val="32"/>
          <w:szCs w:val="32"/>
          <w:shd w:val="clear" w:fill="FFFFFF"/>
        </w:rPr>
        <w:t>万元，完成预算</w:t>
      </w:r>
      <w:r>
        <w:rPr>
          <w:rFonts w:hint="default" w:ascii="Times New Roman" w:hAnsi="Times New Roman" w:eastAsia="仿宋_GB2312" w:cs="Times New Roman"/>
          <w:color w:val="auto"/>
          <w:kern w:val="2"/>
          <w:sz w:val="32"/>
          <w:szCs w:val="32"/>
          <w:highlight w:val="none"/>
          <w:lang w:val="en-US" w:eastAsia="zh-CN" w:bidi="ar-SA"/>
        </w:rPr>
        <w:t>7.23%</w:t>
      </w:r>
      <w:r>
        <w:rPr>
          <w:rStyle w:val="37"/>
          <w:rFonts w:hint="eastAsia" w:ascii="Times New Roman" w:hAnsi="Times New Roman" w:eastAsia="仿宋_GB2312" w:cs="Times New Roman"/>
          <w:b w:val="0"/>
          <w:bCs/>
          <w:sz w:val="32"/>
          <w:szCs w:val="32"/>
          <w:shd w:val="clear" w:fill="FFFFFF"/>
          <w:lang w:eastAsia="zh-CN"/>
        </w:rPr>
        <w:t>。</w:t>
      </w:r>
      <w:bookmarkEnd w:id="52"/>
    </w:p>
    <w:p w14:paraId="5013FB90">
      <w:pPr>
        <w:pStyle w:val="4"/>
        <w:pageBreakBefore w:val="0"/>
        <w:kinsoku/>
        <w:wordWrap/>
        <w:overflowPunct/>
        <w:topLinePunct w:val="0"/>
        <w:autoSpaceDN/>
        <w:bidi w:val="0"/>
        <w:spacing w:before="0" w:after="0" w:line="576" w:lineRule="exact"/>
        <w:ind w:left="0" w:leftChars="0"/>
        <w:textAlignment w:val="auto"/>
        <w:rPr>
          <w:rFonts w:hint="default"/>
          <w:lang w:eastAsia="zh-CN"/>
        </w:rPr>
      </w:pPr>
      <w:bookmarkStart w:id="53" w:name="_Toc1162"/>
      <w:r>
        <w:rPr>
          <w:rFonts w:hint="eastAsia"/>
          <w:lang w:val="en-US" w:eastAsia="zh-CN"/>
        </w:rPr>
        <w:t xml:space="preserve">    </w:t>
      </w:r>
      <w:r>
        <w:rPr>
          <w:rFonts w:hint="default"/>
          <w:lang w:eastAsia="zh-CN"/>
        </w:rPr>
        <w:t>六、一般公共预算财政拨款基本支出决算情况说明</w:t>
      </w:r>
      <w:bookmarkEnd w:id="50"/>
      <w:bookmarkEnd w:id="51"/>
      <w:bookmarkEnd w:id="53"/>
      <w:r>
        <w:rPr>
          <w:rFonts w:hint="default"/>
          <w:lang w:eastAsia="zh-CN"/>
        </w:rPr>
        <w:tab/>
      </w:r>
    </w:p>
    <w:p w14:paraId="1E0C4ABD">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sz w:val="32"/>
          <w:szCs w:val="32"/>
        </w:rPr>
        <w:t>175.03</w:t>
      </w:r>
      <w:r>
        <w:rPr>
          <w:rFonts w:hint="default" w:ascii="Times New Roman" w:hAnsi="Times New Roman" w:eastAsia="仿宋_GB2312" w:cs="Times New Roman"/>
          <w:color w:val="auto"/>
          <w:kern w:val="2"/>
          <w:sz w:val="32"/>
          <w:szCs w:val="32"/>
          <w:highlight w:val="none"/>
          <w:lang w:val="en-US" w:eastAsia="zh-CN" w:bidi="ar-SA"/>
        </w:rPr>
        <w:t>万元，其中：</w:t>
      </w:r>
    </w:p>
    <w:p w14:paraId="784BAD45">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165.83</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退休费、生活补助、医疗费补助、奖励金、住房公积金、其他对个人和家庭的补助支出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w:t>
      </w:r>
      <w:r>
        <w:rPr>
          <w:rFonts w:hint="default" w:ascii="Times New Roman" w:hAnsi="Times New Roman" w:eastAsia="仿宋_GB2312" w:cs="Times New Roman"/>
          <w:sz w:val="32"/>
          <w:szCs w:val="32"/>
        </w:rPr>
        <w:t>9.21</w:t>
      </w:r>
      <w:r>
        <w:rPr>
          <w:rFonts w:hint="default" w:ascii="Times New Roman" w:hAnsi="Times New Roman" w:eastAsia="仿宋_GB2312" w:cs="Times New Roman"/>
          <w:color w:val="auto"/>
          <w:kern w:val="2"/>
          <w:sz w:val="32"/>
          <w:szCs w:val="32"/>
          <w:highlight w:val="none"/>
          <w:lang w:val="en-US" w:eastAsia="zh-CN" w:bidi="ar-SA"/>
        </w:rPr>
        <w:t>万元，主要包括：办公费、水费、电费、邮电费、取暖费、差旅费、因公出国（境）费用、维修（护）费、公务接待费、劳务费、工会经费、福利费、公务用车运行维护费、其他交通费、其他商品和服务支出、办公设备购置、专用设备购置等。</w:t>
      </w:r>
    </w:p>
    <w:p w14:paraId="2F69DA65">
      <w:pPr>
        <w:pStyle w:val="4"/>
        <w:pageBreakBefore w:val="0"/>
        <w:kinsoku/>
        <w:wordWrap/>
        <w:overflowPunct/>
        <w:topLinePunct w:val="0"/>
        <w:autoSpaceDN/>
        <w:bidi w:val="0"/>
        <w:spacing w:before="0" w:after="0" w:line="576" w:lineRule="exact"/>
        <w:ind w:left="0" w:leftChars="0"/>
        <w:textAlignment w:val="auto"/>
        <w:rPr>
          <w:rFonts w:hint="default"/>
          <w:lang w:eastAsia="zh-CN"/>
        </w:rPr>
      </w:pPr>
      <w:bookmarkStart w:id="54" w:name="_Toc28618"/>
      <w:bookmarkStart w:id="55" w:name="_Toc15377215"/>
      <w:bookmarkStart w:id="56" w:name="_Toc15396609"/>
      <w:r>
        <w:rPr>
          <w:rFonts w:hint="eastAsia"/>
          <w:lang w:val="en-US" w:eastAsia="zh-CN"/>
        </w:rPr>
        <w:t xml:space="preserve">    </w:t>
      </w:r>
      <w:r>
        <w:rPr>
          <w:rFonts w:hint="default"/>
          <w:lang w:eastAsia="zh-CN"/>
        </w:rPr>
        <w:t>七、财政拨款“三公”经费支出决算情况说明</w:t>
      </w:r>
      <w:bookmarkEnd w:id="54"/>
      <w:bookmarkEnd w:id="55"/>
      <w:bookmarkEnd w:id="56"/>
    </w:p>
    <w:p w14:paraId="638F85FC">
      <w:pPr>
        <w:pStyle w:val="5"/>
        <w:pageBreakBefore w:val="0"/>
        <w:kinsoku/>
        <w:wordWrap/>
        <w:overflowPunct/>
        <w:topLinePunct w:val="0"/>
        <w:autoSpaceDN/>
        <w:bidi w:val="0"/>
        <w:spacing w:before="0" w:after="0" w:line="576" w:lineRule="exact"/>
        <w:ind w:left="0" w:leftChars="0"/>
        <w:textAlignment w:val="auto"/>
        <w:rPr>
          <w:rFonts w:hint="default"/>
        </w:rPr>
      </w:pPr>
      <w:bookmarkStart w:id="57" w:name="_Toc15377216"/>
      <w:r>
        <w:rPr>
          <w:rFonts w:hint="eastAsia"/>
          <w:lang w:val="en-US" w:eastAsia="zh-CN"/>
        </w:rPr>
        <w:t xml:space="preserve">    </w:t>
      </w:r>
      <w:r>
        <w:rPr>
          <w:rFonts w:hint="default"/>
        </w:rPr>
        <w:t>（一）财政拨款“三公”经费支出决算总体情况说明</w:t>
      </w:r>
      <w:bookmarkEnd w:id="57"/>
    </w:p>
    <w:p w14:paraId="4E29F90F">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w:t>
      </w:r>
      <w:bookmarkStart w:id="106" w:name="_GoBack"/>
      <w:bookmarkEnd w:id="106"/>
      <w:r>
        <w:rPr>
          <w:rFonts w:hint="default" w:ascii="Times New Roman" w:hAnsi="Times New Roman" w:eastAsia="仿宋_GB2312" w:cs="Times New Roman"/>
          <w:color w:val="auto"/>
          <w:kern w:val="2"/>
          <w:sz w:val="32"/>
          <w:szCs w:val="32"/>
          <w:highlight w:val="none"/>
          <w:lang w:val="en-US" w:eastAsia="zh-CN" w:bidi="ar-SA"/>
        </w:rPr>
        <w:t>度“三公”经费财政拨款支出决算为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%，较上年度</w:t>
      </w:r>
      <w:r>
        <w:rPr>
          <w:rFonts w:hint="eastAsia" w:eastAsia="仿宋_GB2312" w:cs="Times New Roman"/>
          <w:color w:val="auto"/>
          <w:kern w:val="2"/>
          <w:sz w:val="32"/>
          <w:szCs w:val="32"/>
          <w:highlight w:val="none"/>
          <w:lang w:val="en-US" w:eastAsia="zh-CN" w:bidi="ar-SA"/>
        </w:rPr>
        <w:t>持平。</w:t>
      </w:r>
    </w:p>
    <w:p w14:paraId="0ECD50A8">
      <w:pPr>
        <w:pStyle w:val="5"/>
        <w:pageBreakBefore w:val="0"/>
        <w:kinsoku/>
        <w:wordWrap/>
        <w:overflowPunct/>
        <w:topLinePunct w:val="0"/>
        <w:autoSpaceDN/>
        <w:bidi w:val="0"/>
        <w:spacing w:before="0" w:after="0" w:line="576" w:lineRule="exact"/>
        <w:ind w:left="0" w:leftChars="0"/>
        <w:textAlignment w:val="auto"/>
        <w:rPr>
          <w:rFonts w:hint="default"/>
        </w:rPr>
      </w:pPr>
      <w:bookmarkStart w:id="58" w:name="_Toc15377217"/>
      <w:r>
        <w:rPr>
          <w:rFonts w:hint="eastAsia"/>
          <w:lang w:val="en-US" w:eastAsia="zh-CN"/>
        </w:rPr>
        <w:t xml:space="preserve">   </w:t>
      </w:r>
      <w:r>
        <w:rPr>
          <w:rFonts w:hint="default"/>
        </w:rPr>
        <w:t>（二）财政拨款“三公”经费支出决算具体情况说明</w:t>
      </w:r>
      <w:bookmarkEnd w:id="58"/>
    </w:p>
    <w:p w14:paraId="428C1FFA">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2025年度“三公”经费财政拨款支出决算中，因公出国（境）费支出决算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r>
        <w:rPr>
          <w:rFonts w:hint="eastAsia" w:eastAsia="仿宋_GB2312" w:cs="Times New Roman"/>
          <w:color w:val="auto"/>
          <w:kern w:val="2"/>
          <w:sz w:val="32"/>
          <w:szCs w:val="32"/>
          <w:highlight w:val="none"/>
          <w:lang w:val="en-US" w:eastAsia="zh-CN" w:bidi="ar-SA"/>
        </w:rPr>
        <w:t>。</w:t>
      </w:r>
    </w:p>
    <w:p w14:paraId="4D2E2D20">
      <w:pPr>
        <w:pageBreakBefore w:val="0"/>
        <w:numPr>
          <w:ilvl w:val="0"/>
          <w:numId w:val="4"/>
        </w:numPr>
        <w:kinsoku/>
        <w:wordWrap/>
        <w:overflowPunct/>
        <w:topLinePunct w:val="0"/>
        <w:autoSpaceDN/>
        <w:bidi w:val="0"/>
        <w:spacing w:line="576" w:lineRule="exact"/>
        <w:ind w:left="0" w:leftChars="0" w:firstLine="640"/>
        <w:textAlignment w:val="auto"/>
        <w:rPr>
          <w:rFonts w:hint="eastAsia"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color w:val="auto"/>
          <w:kern w:val="2"/>
          <w:sz w:val="32"/>
          <w:szCs w:val="32"/>
          <w:highlight w:val="none"/>
          <w:lang w:val="en-US" w:eastAsia="zh-CN" w:bidi="ar-SA"/>
        </w:rPr>
        <w:t>万元</w:t>
      </w:r>
      <w:r>
        <w:rPr>
          <w:rFonts w:hint="eastAsia" w:ascii="Times New Roman" w:hAnsi="Times New Roman" w:eastAsia="仿宋_GB2312" w:cs="Times New Roman"/>
          <w:b/>
          <w:bCs/>
          <w:color w:val="auto"/>
          <w:kern w:val="2"/>
          <w:sz w:val="32"/>
          <w:szCs w:val="32"/>
          <w:highlight w:val="none"/>
          <w:lang w:val="en-US" w:eastAsia="zh-CN" w:bidi="ar-SA"/>
        </w:rPr>
        <w:t>。</w:t>
      </w:r>
    </w:p>
    <w:p w14:paraId="2DF59629">
      <w:pPr>
        <w:pageBreakBefore w:val="0"/>
        <w:numPr>
          <w:ilvl w:val="0"/>
          <w:numId w:val="0"/>
        </w:numPr>
        <w:kinsoku/>
        <w:wordWrap/>
        <w:overflowPunct/>
        <w:topLinePunct w:val="0"/>
        <w:autoSpaceDN/>
        <w:bidi w:val="0"/>
        <w:spacing w:line="576" w:lineRule="exact"/>
        <w:ind w:left="0" w:leftChars="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b/>
          <w:bCs/>
          <w:color w:val="auto"/>
          <w:kern w:val="2"/>
          <w:sz w:val="32"/>
          <w:szCs w:val="32"/>
          <w:highlight w:val="none"/>
          <w:lang w:val="en-US" w:eastAsia="zh-CN" w:bidi="ar-SA"/>
        </w:rPr>
        <w:t xml:space="preserve">    </w:t>
      </w: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2.公务用车购置及运行维护费支出0万元。</w:t>
      </w:r>
    </w:p>
    <w:p w14:paraId="20526882">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3.公务接待费支出0万元。</w:t>
      </w:r>
      <w:bookmarkStart w:id="59" w:name="_Toc15377218"/>
      <w:bookmarkStart w:id="60" w:name="_Toc15396610"/>
    </w:p>
    <w:p w14:paraId="3A9FE6DA">
      <w:pPr>
        <w:pStyle w:val="4"/>
        <w:pageBreakBefore w:val="0"/>
        <w:kinsoku/>
        <w:wordWrap/>
        <w:overflowPunct/>
        <w:topLinePunct w:val="0"/>
        <w:autoSpaceDN/>
        <w:bidi w:val="0"/>
        <w:spacing w:before="0" w:after="0" w:line="576" w:lineRule="exact"/>
        <w:ind w:left="0" w:leftChars="0"/>
        <w:textAlignment w:val="auto"/>
        <w:rPr>
          <w:rFonts w:hint="default"/>
          <w:lang w:eastAsia="zh-CN"/>
        </w:rPr>
      </w:pPr>
      <w:bookmarkStart w:id="61" w:name="_Toc22465"/>
      <w:r>
        <w:rPr>
          <w:rFonts w:hint="eastAsia"/>
          <w:lang w:val="en-US" w:eastAsia="zh-CN"/>
        </w:rPr>
        <w:t xml:space="preserve">   </w:t>
      </w:r>
      <w:r>
        <w:rPr>
          <w:rFonts w:hint="default"/>
          <w:lang w:eastAsia="zh-CN"/>
        </w:rPr>
        <w:t>八、政府性基金预算支出决算情况说明</w:t>
      </w:r>
      <w:bookmarkEnd w:id="59"/>
      <w:bookmarkEnd w:id="60"/>
      <w:bookmarkEnd w:id="61"/>
    </w:p>
    <w:p w14:paraId="735D276B">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r>
        <w:rPr>
          <w:rFonts w:hint="eastAsia" w:ascii="Times New Roman" w:hAnsi="Times New Roman" w:eastAsia="仿宋_GB2312" w:cs="Times New Roman"/>
          <w:color w:val="auto"/>
          <w:kern w:val="2"/>
          <w:sz w:val="32"/>
          <w:szCs w:val="32"/>
          <w:highlight w:val="none"/>
          <w:lang w:val="en-US" w:eastAsia="zh-CN" w:bidi="ar-SA"/>
        </w:rPr>
        <w:t>。</w:t>
      </w:r>
    </w:p>
    <w:p w14:paraId="688700DE">
      <w:pPr>
        <w:pStyle w:val="4"/>
        <w:pageBreakBefore w:val="0"/>
        <w:kinsoku/>
        <w:wordWrap/>
        <w:overflowPunct/>
        <w:topLinePunct w:val="0"/>
        <w:autoSpaceDN/>
        <w:bidi w:val="0"/>
        <w:spacing w:before="0" w:after="0" w:line="576" w:lineRule="exact"/>
        <w:ind w:left="0" w:leftChars="0"/>
        <w:textAlignment w:val="auto"/>
        <w:rPr>
          <w:rFonts w:hint="default"/>
          <w:lang w:eastAsia="zh-CN"/>
        </w:rPr>
      </w:pPr>
      <w:bookmarkStart w:id="62" w:name="_Toc15396611"/>
      <w:bookmarkStart w:id="63" w:name="_Toc15377219"/>
      <w:bookmarkStart w:id="64" w:name="_Toc19372"/>
      <w:r>
        <w:rPr>
          <w:rFonts w:hint="eastAsia"/>
          <w:lang w:val="en-US" w:eastAsia="zh-CN"/>
        </w:rPr>
        <w:t xml:space="preserve">   </w:t>
      </w:r>
      <w:r>
        <w:rPr>
          <w:rFonts w:hint="default"/>
          <w:lang w:eastAsia="zh-CN"/>
        </w:rPr>
        <w:t>九、国有资本经营预算支出决算情况说明</w:t>
      </w:r>
      <w:bookmarkEnd w:id="62"/>
      <w:bookmarkEnd w:id="63"/>
      <w:bookmarkEnd w:id="64"/>
    </w:p>
    <w:p w14:paraId="090490C8">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r>
        <w:rPr>
          <w:rFonts w:hint="eastAsia" w:ascii="Times New Roman" w:hAnsi="Times New Roman" w:eastAsia="仿宋_GB2312" w:cs="Times New Roman"/>
          <w:color w:val="auto"/>
          <w:kern w:val="2"/>
          <w:sz w:val="32"/>
          <w:szCs w:val="32"/>
          <w:highlight w:val="none"/>
          <w:lang w:val="en-US" w:eastAsia="zh-CN" w:bidi="ar-SA"/>
        </w:rPr>
        <w:t>。</w:t>
      </w:r>
    </w:p>
    <w:p w14:paraId="4D30A31E">
      <w:pPr>
        <w:pStyle w:val="4"/>
        <w:pageBreakBefore w:val="0"/>
        <w:kinsoku/>
        <w:wordWrap/>
        <w:overflowPunct/>
        <w:topLinePunct w:val="0"/>
        <w:autoSpaceDN/>
        <w:bidi w:val="0"/>
        <w:spacing w:before="0" w:after="0" w:line="576" w:lineRule="exact"/>
        <w:ind w:left="0" w:leftChars="0"/>
        <w:textAlignment w:val="auto"/>
        <w:rPr>
          <w:rFonts w:hint="default"/>
          <w:lang w:eastAsia="zh-CN"/>
        </w:rPr>
      </w:pPr>
      <w:bookmarkStart w:id="65" w:name="_Toc15377221"/>
      <w:bookmarkStart w:id="66" w:name="_Toc15396612"/>
      <w:bookmarkStart w:id="67" w:name="_Toc12715"/>
      <w:r>
        <w:rPr>
          <w:rFonts w:hint="eastAsia"/>
          <w:lang w:val="en-US" w:eastAsia="zh-CN"/>
        </w:rPr>
        <w:t xml:space="preserve">   </w:t>
      </w:r>
      <w:r>
        <w:rPr>
          <w:rFonts w:hint="default"/>
          <w:lang w:eastAsia="zh-CN"/>
        </w:rPr>
        <w:t>十、其他重要事项的情况说明</w:t>
      </w:r>
      <w:bookmarkEnd w:id="65"/>
      <w:bookmarkEnd w:id="66"/>
      <w:bookmarkEnd w:id="67"/>
    </w:p>
    <w:p w14:paraId="7BAE299D">
      <w:pPr>
        <w:pStyle w:val="5"/>
        <w:pageBreakBefore w:val="0"/>
        <w:kinsoku/>
        <w:wordWrap/>
        <w:overflowPunct/>
        <w:topLinePunct w:val="0"/>
        <w:autoSpaceDN/>
        <w:bidi w:val="0"/>
        <w:spacing w:before="0" w:after="0" w:line="576" w:lineRule="exact"/>
        <w:ind w:left="0" w:leftChars="0"/>
        <w:textAlignment w:val="auto"/>
        <w:rPr>
          <w:rFonts w:hint="default"/>
        </w:rPr>
      </w:pPr>
      <w:bookmarkStart w:id="68" w:name="_Toc15377222"/>
      <w:r>
        <w:rPr>
          <w:rFonts w:hint="eastAsia"/>
          <w:lang w:val="en-US" w:eastAsia="zh-CN"/>
        </w:rPr>
        <w:t xml:space="preserve">   </w:t>
      </w:r>
      <w:r>
        <w:rPr>
          <w:rFonts w:hint="default"/>
        </w:rPr>
        <w:t>（一）机关运行经费支出情况</w:t>
      </w:r>
      <w:bookmarkEnd w:id="68"/>
    </w:p>
    <w:p w14:paraId="4B6D9633">
      <w:pPr>
        <w:pageBreakBefore w:val="0"/>
        <w:kinsoku/>
        <w:wordWrap/>
        <w:overflowPunct/>
        <w:topLinePunct w:val="0"/>
        <w:autoSpaceDN/>
        <w:bidi w:val="0"/>
        <w:spacing w:line="576" w:lineRule="exact"/>
        <w:ind w:left="0" w:leftChars="0" w:firstLine="640" w:firstLineChars="200"/>
        <w:textAlignment w:val="auto"/>
        <w:outlineLvl w:val="2"/>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松潘县固定资产投资审计中心</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eastAsia" w:ascii="Times New Roman" w:hAnsi="Times New Roman" w:eastAsia="仿宋_GB2312" w:cs="Times New Roman"/>
          <w:sz w:val="32"/>
          <w:szCs w:val="32"/>
          <w:lang w:val="en-US" w:eastAsia="zh-CN"/>
        </w:rPr>
        <w:t>9.21</w:t>
      </w:r>
      <w:r>
        <w:rPr>
          <w:rFonts w:hint="default" w:ascii="Times New Roman" w:hAnsi="Times New Roman" w:eastAsia="仿宋_GB2312" w:cs="Times New Roman"/>
          <w:color w:val="auto"/>
          <w:kern w:val="2"/>
          <w:sz w:val="32"/>
          <w:szCs w:val="32"/>
          <w:highlight w:val="none"/>
          <w:lang w:val="en-US" w:eastAsia="zh-CN" w:bidi="ar-SA"/>
        </w:rPr>
        <w:t>万元，比上年度增加</w:t>
      </w:r>
      <w:r>
        <w:rPr>
          <w:rFonts w:hint="eastAsia" w:ascii="Times New Roman" w:hAnsi="Times New Roman" w:eastAsia="仿宋_GB2312" w:cs="Times New Roman"/>
          <w:color w:val="auto"/>
          <w:kern w:val="2"/>
          <w:sz w:val="32"/>
          <w:szCs w:val="32"/>
          <w:highlight w:val="none"/>
          <w:lang w:val="en-US" w:eastAsia="zh-CN" w:bidi="ar-SA"/>
        </w:rPr>
        <w:t>2.39</w:t>
      </w:r>
      <w:r>
        <w:rPr>
          <w:rFonts w:hint="default" w:ascii="Times New Roman" w:hAnsi="Times New Roman" w:eastAsia="仿宋_GB2312" w:cs="Times New Roman"/>
          <w:color w:val="auto"/>
          <w:kern w:val="2"/>
          <w:sz w:val="32"/>
          <w:szCs w:val="32"/>
          <w:highlight w:val="none"/>
          <w:lang w:val="en-US" w:eastAsia="zh-CN" w:bidi="ar-SA"/>
        </w:rPr>
        <w:t>万元，增长</w:t>
      </w:r>
      <w:r>
        <w:rPr>
          <w:rFonts w:hint="eastAsia" w:ascii="Times New Roman" w:hAnsi="Times New Roman" w:eastAsia="仿宋_GB2312" w:cs="Times New Roman"/>
          <w:color w:val="auto"/>
          <w:kern w:val="2"/>
          <w:sz w:val="32"/>
          <w:szCs w:val="32"/>
          <w:highlight w:val="none"/>
          <w:lang w:val="en-US" w:eastAsia="zh-CN" w:bidi="ar-SA"/>
        </w:rPr>
        <w:t>35.04</w:t>
      </w:r>
      <w:r>
        <w:rPr>
          <w:rFonts w:hint="default" w:ascii="Times New Roman" w:hAnsi="Times New Roman" w:eastAsia="仿宋_GB2312" w:cs="Times New Roman"/>
          <w:color w:val="auto"/>
          <w:kern w:val="2"/>
          <w:sz w:val="32"/>
          <w:szCs w:val="32"/>
          <w:highlight w:val="none"/>
          <w:lang w:val="en-US" w:eastAsia="zh-CN" w:bidi="ar-SA"/>
        </w:rPr>
        <w:t>%。主要原因是</w:t>
      </w:r>
      <w:bookmarkStart w:id="69" w:name="_Toc15377223"/>
      <w:r>
        <w:rPr>
          <w:rFonts w:hint="eastAsia" w:ascii="Times New Roman" w:hAnsi="Times New Roman" w:eastAsia="仿宋_GB2312" w:cs="Times New Roman"/>
          <w:color w:val="auto"/>
          <w:kern w:val="2"/>
          <w:sz w:val="32"/>
          <w:szCs w:val="32"/>
          <w:highlight w:val="none"/>
          <w:lang w:val="en-US" w:eastAsia="zh-CN" w:bidi="ar-SA"/>
        </w:rPr>
        <w:t>人员增加。</w:t>
      </w:r>
    </w:p>
    <w:p w14:paraId="26E0974C">
      <w:pPr>
        <w:pStyle w:val="5"/>
        <w:pageBreakBefore w:val="0"/>
        <w:kinsoku/>
        <w:wordWrap/>
        <w:overflowPunct/>
        <w:topLinePunct w:val="0"/>
        <w:autoSpaceDN/>
        <w:bidi w:val="0"/>
        <w:spacing w:before="0" w:after="0" w:line="576" w:lineRule="exact"/>
        <w:ind w:left="0" w:leftChars="0"/>
        <w:textAlignment w:val="auto"/>
        <w:rPr>
          <w:rFonts w:hint="default"/>
        </w:rPr>
      </w:pPr>
      <w:r>
        <w:rPr>
          <w:rFonts w:hint="eastAsia"/>
          <w:lang w:val="en-US" w:eastAsia="zh-CN"/>
        </w:rPr>
        <w:t xml:space="preserve">   </w:t>
      </w:r>
      <w:r>
        <w:rPr>
          <w:rFonts w:hint="default"/>
        </w:rPr>
        <w:t>（二）政府采购支出情况</w:t>
      </w:r>
      <w:bookmarkEnd w:id="69"/>
    </w:p>
    <w:p w14:paraId="53D0F2E2">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松潘县固定资产投资审计中心</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p>
    <w:p w14:paraId="445D7FAE">
      <w:pPr>
        <w:pStyle w:val="5"/>
        <w:pageBreakBefore w:val="0"/>
        <w:kinsoku/>
        <w:wordWrap/>
        <w:overflowPunct/>
        <w:topLinePunct w:val="0"/>
        <w:autoSpaceDN/>
        <w:bidi w:val="0"/>
        <w:spacing w:before="0" w:after="0" w:line="576" w:lineRule="exact"/>
        <w:ind w:left="0" w:leftChars="0"/>
        <w:textAlignment w:val="auto"/>
        <w:rPr>
          <w:rFonts w:hint="default"/>
        </w:rPr>
      </w:pPr>
      <w:bookmarkStart w:id="70" w:name="_Toc15377224"/>
      <w:r>
        <w:rPr>
          <w:rFonts w:hint="eastAsia"/>
          <w:lang w:val="en-US" w:eastAsia="zh-CN"/>
        </w:rPr>
        <w:t xml:space="preserve">   </w:t>
      </w:r>
      <w:r>
        <w:rPr>
          <w:rFonts w:hint="default"/>
        </w:rPr>
        <w:t>（三）国有资产占有使用情况</w:t>
      </w:r>
      <w:bookmarkEnd w:id="70"/>
    </w:p>
    <w:p w14:paraId="2740D4E3">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松潘县固定资产投资审计中心</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w:t>
      </w:r>
    </w:p>
    <w:p w14:paraId="43636CA4">
      <w:pPr>
        <w:pStyle w:val="5"/>
        <w:pageBreakBefore w:val="0"/>
        <w:kinsoku/>
        <w:wordWrap/>
        <w:overflowPunct/>
        <w:topLinePunct w:val="0"/>
        <w:autoSpaceDN/>
        <w:bidi w:val="0"/>
        <w:spacing w:before="0" w:after="0" w:line="576" w:lineRule="exact"/>
        <w:ind w:left="0" w:leftChars="0"/>
        <w:textAlignment w:val="auto"/>
        <w:rPr>
          <w:rFonts w:hint="default"/>
        </w:rPr>
      </w:pPr>
      <w:r>
        <w:rPr>
          <w:rFonts w:hint="eastAsia"/>
          <w:lang w:val="en-US" w:eastAsia="zh-CN"/>
        </w:rPr>
        <w:t xml:space="preserve">   </w:t>
      </w:r>
      <w:r>
        <w:rPr>
          <w:rFonts w:hint="default"/>
        </w:rPr>
        <w:t>（四）预算绩效管理情况</w:t>
      </w:r>
    </w:p>
    <w:p w14:paraId="536E0D24">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sz w:val="32"/>
          <w:szCs w:val="32"/>
          <w:lang w:eastAsia="zh-CN"/>
        </w:rPr>
      </w:pPr>
      <w:bookmarkStart w:id="71" w:name="_Toc15377225"/>
      <w:bookmarkStart w:id="72" w:name="_Toc15396613"/>
      <w:r>
        <w:rPr>
          <w:rFonts w:hint="default" w:ascii="Times New Roman" w:hAnsi="Times New Roman" w:eastAsia="仿宋_GB2312" w:cs="Times New Roman"/>
          <w:sz w:val="32"/>
          <w:szCs w:val="32"/>
        </w:rPr>
        <w:t>2023年度松潘县固定资产投资审计中心</w:t>
      </w:r>
      <w:r>
        <w:rPr>
          <w:rFonts w:hint="default" w:ascii="Times New Roman" w:hAnsi="Times New Roman" w:eastAsia="仿宋_GB2312" w:cs="Times New Roman"/>
          <w:sz w:val="32"/>
          <w:szCs w:val="32"/>
          <w:lang w:eastAsia="zh-CN"/>
        </w:rPr>
        <w:t>均为人员经费和公用经费，无项目经费。</w:t>
      </w:r>
    </w:p>
    <w:p w14:paraId="2087F02A">
      <w:pPr>
        <w:pageBreakBefore w:val="0"/>
        <w:numPr>
          <w:ilvl w:val="0"/>
          <w:numId w:val="0"/>
        </w:numPr>
        <w:kinsoku/>
        <w:wordWrap/>
        <w:overflowPunct/>
        <w:topLinePunct w:val="0"/>
        <w:autoSpaceDN/>
        <w:bidi w:val="0"/>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56787031">
      <w:pPr>
        <w:pageBreakBefore w:val="0"/>
        <w:numPr>
          <w:ilvl w:val="0"/>
          <w:numId w:val="0"/>
        </w:numPr>
        <w:kinsoku/>
        <w:wordWrap/>
        <w:overflowPunct/>
        <w:topLinePunct w:val="0"/>
        <w:autoSpaceDN/>
        <w:bidi w:val="0"/>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00773943">
      <w:pPr>
        <w:pageBreakBefore w:val="0"/>
        <w:numPr>
          <w:ilvl w:val="0"/>
          <w:numId w:val="0"/>
        </w:numPr>
        <w:kinsoku/>
        <w:wordWrap/>
        <w:overflowPunct/>
        <w:topLinePunct w:val="0"/>
        <w:autoSpaceDN/>
        <w:bidi w:val="0"/>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66FB775C">
      <w:pPr>
        <w:pageBreakBefore w:val="0"/>
        <w:numPr>
          <w:ilvl w:val="0"/>
          <w:numId w:val="0"/>
        </w:numPr>
        <w:kinsoku/>
        <w:wordWrap/>
        <w:overflowPunct/>
        <w:topLinePunct w:val="0"/>
        <w:autoSpaceDN/>
        <w:bidi w:val="0"/>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1FCF31EA">
      <w:pPr>
        <w:pageBreakBefore w:val="0"/>
        <w:numPr>
          <w:ilvl w:val="0"/>
          <w:numId w:val="0"/>
        </w:numPr>
        <w:kinsoku/>
        <w:wordWrap/>
        <w:overflowPunct/>
        <w:topLinePunct w:val="0"/>
        <w:autoSpaceDN/>
        <w:bidi w:val="0"/>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1474CB2E">
      <w:pPr>
        <w:pageBreakBefore w:val="0"/>
        <w:numPr>
          <w:ilvl w:val="0"/>
          <w:numId w:val="0"/>
        </w:numPr>
        <w:kinsoku/>
        <w:wordWrap/>
        <w:overflowPunct/>
        <w:topLinePunct w:val="0"/>
        <w:autoSpaceDN/>
        <w:bidi w:val="0"/>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033DCDB4">
      <w:pPr>
        <w:pageBreakBefore w:val="0"/>
        <w:numPr>
          <w:ilvl w:val="0"/>
          <w:numId w:val="0"/>
        </w:numPr>
        <w:kinsoku/>
        <w:wordWrap/>
        <w:overflowPunct/>
        <w:topLinePunct w:val="0"/>
        <w:autoSpaceDN/>
        <w:bidi w:val="0"/>
        <w:spacing w:line="576" w:lineRule="exact"/>
        <w:ind w:left="0" w:leftChars="0"/>
        <w:jc w:val="center"/>
        <w:textAlignment w:val="auto"/>
        <w:outlineLvl w:val="0"/>
        <w:rPr>
          <w:rFonts w:hint="default" w:ascii="Times New Roman" w:hAnsi="Times New Roman" w:eastAsia="黑体" w:cs="Times New Roman"/>
          <w:color w:val="auto"/>
          <w:sz w:val="44"/>
          <w:szCs w:val="44"/>
          <w:highlight w:val="none"/>
        </w:rPr>
      </w:pPr>
    </w:p>
    <w:p w14:paraId="7DD34CEE">
      <w:pPr>
        <w:pStyle w:val="2"/>
        <w:rPr>
          <w:rFonts w:hint="default" w:ascii="Times New Roman" w:hAnsi="Times New Roman" w:eastAsia="黑体" w:cs="Times New Roman"/>
          <w:color w:val="auto"/>
          <w:sz w:val="44"/>
          <w:szCs w:val="44"/>
          <w:highlight w:val="none"/>
        </w:rPr>
      </w:pPr>
    </w:p>
    <w:p w14:paraId="542A49C3">
      <w:pPr>
        <w:pStyle w:val="2"/>
        <w:rPr>
          <w:rFonts w:hint="default" w:ascii="Times New Roman" w:hAnsi="Times New Roman" w:eastAsia="黑体" w:cs="Times New Roman"/>
          <w:color w:val="auto"/>
          <w:sz w:val="44"/>
          <w:szCs w:val="44"/>
          <w:highlight w:val="none"/>
        </w:rPr>
      </w:pPr>
    </w:p>
    <w:p w14:paraId="549978D2">
      <w:pPr>
        <w:pStyle w:val="2"/>
        <w:rPr>
          <w:rFonts w:hint="default" w:ascii="Times New Roman" w:hAnsi="Times New Roman" w:eastAsia="黑体" w:cs="Times New Roman"/>
          <w:color w:val="auto"/>
          <w:sz w:val="44"/>
          <w:szCs w:val="44"/>
          <w:highlight w:val="none"/>
        </w:rPr>
      </w:pPr>
    </w:p>
    <w:p w14:paraId="2BCE1A11">
      <w:pPr>
        <w:pStyle w:val="2"/>
        <w:rPr>
          <w:rFonts w:hint="default" w:ascii="Times New Roman" w:hAnsi="Times New Roman" w:eastAsia="黑体" w:cs="Times New Roman"/>
          <w:color w:val="auto"/>
          <w:sz w:val="44"/>
          <w:szCs w:val="44"/>
          <w:highlight w:val="none"/>
        </w:rPr>
      </w:pPr>
    </w:p>
    <w:p w14:paraId="62F06871">
      <w:pPr>
        <w:pStyle w:val="2"/>
        <w:rPr>
          <w:rFonts w:hint="default" w:ascii="Times New Roman" w:hAnsi="Times New Roman" w:eastAsia="黑体" w:cs="Times New Roman"/>
          <w:color w:val="auto"/>
          <w:sz w:val="44"/>
          <w:szCs w:val="44"/>
          <w:highlight w:val="none"/>
        </w:rPr>
      </w:pPr>
    </w:p>
    <w:p w14:paraId="02F20347">
      <w:pPr>
        <w:pStyle w:val="3"/>
        <w:pageBreakBefore w:val="0"/>
        <w:kinsoku/>
        <w:wordWrap/>
        <w:overflowPunct/>
        <w:topLinePunct w:val="0"/>
        <w:autoSpaceDN/>
        <w:bidi w:val="0"/>
        <w:spacing w:before="0" w:after="0" w:line="576" w:lineRule="exact"/>
        <w:ind w:left="0" w:leftChars="0"/>
        <w:textAlignment w:val="auto"/>
        <w:rPr>
          <w:rFonts w:hint="eastAsia"/>
          <w:lang w:val="en-US" w:eastAsia="zh-CN"/>
        </w:rPr>
      </w:pPr>
    </w:p>
    <w:p w14:paraId="5A95087A">
      <w:pPr>
        <w:pageBreakBefore w:val="0"/>
        <w:kinsoku/>
        <w:wordWrap/>
        <w:overflowPunct/>
        <w:topLinePunct w:val="0"/>
        <w:autoSpaceDN/>
        <w:bidi w:val="0"/>
        <w:spacing w:line="576" w:lineRule="exact"/>
        <w:ind w:left="0" w:leftChars="0"/>
        <w:textAlignment w:val="auto"/>
        <w:rPr>
          <w:rFonts w:hint="eastAsia"/>
          <w:lang w:val="en-US" w:eastAsia="zh-CN"/>
        </w:rPr>
      </w:pPr>
    </w:p>
    <w:p w14:paraId="1D733DAF">
      <w:pPr>
        <w:pStyle w:val="3"/>
        <w:pageBreakBefore w:val="0"/>
        <w:kinsoku/>
        <w:wordWrap/>
        <w:overflowPunct/>
        <w:topLinePunct w:val="0"/>
        <w:autoSpaceDN/>
        <w:bidi w:val="0"/>
        <w:spacing w:before="0" w:after="0" w:line="576" w:lineRule="exact"/>
        <w:ind w:left="0" w:leftChars="0"/>
        <w:textAlignment w:val="auto"/>
        <w:rPr>
          <w:rStyle w:val="28"/>
          <w:rFonts w:hint="default"/>
          <w:b/>
          <w:bCs/>
        </w:rPr>
      </w:pPr>
      <w:r>
        <w:rPr>
          <w:rFonts w:hint="eastAsia"/>
          <w:lang w:val="en-US" w:eastAsia="zh-CN"/>
        </w:rPr>
        <w:t xml:space="preserve">    </w:t>
      </w:r>
      <w:r>
        <w:rPr>
          <w:rStyle w:val="28"/>
          <w:rFonts w:hint="eastAsia"/>
          <w:b/>
          <w:bCs/>
          <w:lang w:val="en-US" w:eastAsia="zh-CN"/>
        </w:rPr>
        <w:t xml:space="preserve"> </w:t>
      </w:r>
      <w:bookmarkStart w:id="73" w:name="_Toc10970"/>
      <w:r>
        <w:rPr>
          <w:rStyle w:val="28"/>
          <w:rFonts w:hint="default"/>
          <w:b/>
          <w:bCs/>
        </w:rPr>
        <w:t>第</w:t>
      </w:r>
      <w:r>
        <w:rPr>
          <w:rStyle w:val="28"/>
          <w:rFonts w:hint="default"/>
          <w:b/>
          <w:bCs/>
          <w:lang w:eastAsia="zh-CN"/>
        </w:rPr>
        <w:t>三</w:t>
      </w:r>
      <w:r>
        <w:rPr>
          <w:rStyle w:val="28"/>
          <w:rFonts w:hint="default"/>
          <w:b/>
          <w:bCs/>
        </w:rPr>
        <w:t>部分</w:t>
      </w:r>
      <w:r>
        <w:rPr>
          <w:rStyle w:val="28"/>
          <w:rFonts w:hint="default"/>
          <w:b/>
          <w:bCs/>
          <w:lang w:val="en-US" w:eastAsia="zh-CN"/>
        </w:rPr>
        <w:t xml:space="preserve">  </w:t>
      </w:r>
      <w:r>
        <w:rPr>
          <w:rStyle w:val="28"/>
          <w:rFonts w:hint="default"/>
          <w:b/>
          <w:bCs/>
        </w:rPr>
        <w:t>名词解释</w:t>
      </w:r>
      <w:bookmarkEnd w:id="71"/>
      <w:bookmarkEnd w:id="72"/>
      <w:bookmarkEnd w:id="73"/>
    </w:p>
    <w:p w14:paraId="6A7D76EC">
      <w:pPr>
        <w:pageBreakBefore w:val="0"/>
        <w:kinsoku/>
        <w:wordWrap/>
        <w:overflowPunct/>
        <w:topLinePunct w:val="0"/>
        <w:autoSpaceDN/>
        <w:bidi w:val="0"/>
        <w:spacing w:line="576" w:lineRule="exact"/>
        <w:ind w:left="0" w:leftChars="0"/>
        <w:jc w:val="left"/>
        <w:textAlignment w:val="auto"/>
        <w:rPr>
          <w:rFonts w:hint="default" w:ascii="Times New Roman" w:hAnsi="Times New Roman" w:cs="Times New Roman"/>
          <w:b/>
          <w:color w:val="auto"/>
          <w:sz w:val="44"/>
          <w:szCs w:val="44"/>
          <w:highlight w:val="none"/>
        </w:rPr>
      </w:pPr>
    </w:p>
    <w:p w14:paraId="09E36705">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14:paraId="6A33BD22">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2.事业收入：指事业单位开展专业业务活动及辅助活动取得的收入。</w:t>
      </w:r>
    </w:p>
    <w:p w14:paraId="268E311E">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14:paraId="0A9935D1">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4.其他收入：指单位取得的除上述收入以外的各项收入。</w:t>
      </w:r>
    </w:p>
    <w:p w14:paraId="559D689D">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631BC01">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6.年初结转和结余：指以前年度尚未完成、结转到本年按有关规定继续使用的资金。 </w:t>
      </w:r>
    </w:p>
    <w:p w14:paraId="3C0E2931">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14:paraId="3F353A68">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14:paraId="76A43F62">
      <w:pPr>
        <w:keepNext w:val="0"/>
        <w:keepLines w:val="0"/>
        <w:pageBreakBefore w:val="0"/>
        <w:widowControl/>
        <w:suppressLineNumbers w:val="0"/>
        <w:kinsoku/>
        <w:wordWrap/>
        <w:overflowPunct/>
        <w:topLinePunct w:val="0"/>
        <w:autoSpaceDE w:val="0"/>
        <w:autoSpaceDN/>
        <w:bidi w:val="0"/>
        <w:adjustRightInd/>
        <w:spacing w:line="576" w:lineRule="exact"/>
        <w:ind w:left="0" w:leftChars="0" w:right="0" w:rightChars="0" w:firstLine="640" w:firstLineChars="200"/>
        <w:textAlignment w:val="auto"/>
        <w:rPr>
          <w:rFonts w:hint="default" w:ascii="Times New Roman" w:hAnsi="Times New Roman" w:eastAsia="仿宋_GB2312" w:cs="Times New Roman"/>
          <w:b w:val="0"/>
          <w:bCs/>
          <w:kern w:val="0"/>
          <w:sz w:val="32"/>
          <w:szCs w:val="32"/>
          <w:shd w:val="clear" w:fill="FFFFFF"/>
        </w:rPr>
      </w:pPr>
      <w:r>
        <w:rPr>
          <w:rStyle w:val="38"/>
          <w:rFonts w:hint="default" w:ascii="Times New Roman" w:hAnsi="Times New Roman" w:eastAsia="仿宋_GB2312" w:cs="Times New Roman"/>
          <w:b w:val="0"/>
          <w:bCs/>
          <w:sz w:val="32"/>
          <w:szCs w:val="32"/>
          <w:shd w:val="clear" w:fill="FFFFFF"/>
        </w:rPr>
        <w:t>9.一般公共服务201：</w:t>
      </w:r>
      <w:r>
        <w:rPr>
          <w:rFonts w:hint="default" w:ascii="Times New Roman" w:hAnsi="Times New Roman" w:eastAsia="仿宋_GB2312" w:cs="Times New Roman"/>
          <w:kern w:val="0"/>
          <w:sz w:val="32"/>
          <w:szCs w:val="32"/>
        </w:rPr>
        <w:t>指审计行政事务运行，审计事务一般行政管理事务。</w:t>
      </w:r>
    </w:p>
    <w:p w14:paraId="73C4114C">
      <w:pPr>
        <w:keepNext w:val="0"/>
        <w:keepLines w:val="0"/>
        <w:pageBreakBefore w:val="0"/>
        <w:widowControl/>
        <w:suppressLineNumbers w:val="0"/>
        <w:kinsoku/>
        <w:wordWrap/>
        <w:overflowPunct/>
        <w:topLinePunct w:val="0"/>
        <w:autoSpaceDE w:val="0"/>
        <w:autoSpaceDN/>
        <w:bidi w:val="0"/>
        <w:adjustRightInd/>
        <w:spacing w:afterAutospacing="0" w:line="576" w:lineRule="exact"/>
        <w:ind w:left="0" w:leftChars="0" w:right="0" w:rightChars="0" w:firstLine="640" w:firstLineChars="200"/>
        <w:textAlignment w:val="auto"/>
        <w:rPr>
          <w:rFonts w:hint="default" w:ascii="Times New Roman" w:hAnsi="Times New Roman" w:eastAsia="仿宋_GB2312" w:cs="Times New Roman"/>
          <w:color w:val="333333"/>
          <w:kern w:val="0"/>
          <w:sz w:val="32"/>
          <w:szCs w:val="32"/>
        </w:rPr>
      </w:pPr>
      <w:r>
        <w:rPr>
          <w:rStyle w:val="38"/>
          <w:rFonts w:hint="default" w:ascii="Times New Roman" w:hAnsi="Times New Roman" w:eastAsia="仿宋_GB2312" w:cs="Times New Roman"/>
          <w:b w:val="0"/>
          <w:bCs/>
          <w:sz w:val="32"/>
          <w:szCs w:val="32"/>
          <w:shd w:val="clear" w:fill="FFFFFF"/>
        </w:rPr>
        <w:t>10.社会保障和就业208：</w:t>
      </w:r>
      <w:r>
        <w:rPr>
          <w:rFonts w:hint="default" w:ascii="Times New Roman" w:hAnsi="Times New Roman" w:eastAsia="仿宋_GB2312" w:cs="Times New Roman"/>
          <w:color w:val="333333"/>
          <w:kern w:val="0"/>
          <w:sz w:val="32"/>
          <w:szCs w:val="32"/>
        </w:rPr>
        <w:t>社会保障和就业：指基本工资、津贴补贴、奖金、绩效工资、机关事业单位基本养老保险缴费、职业年金缴费、其他社会保障缴费、其他工资福利支出、生活补助、医疗费、住房公积金、其他对个人和家庭的补助支出以及公用经费，主要包括：办公费、水费、电费、邮电费、取暖费、差旅费、公务接待费、委托业务费、工会经费、福利费、其他交通费</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其他商品和服务支出。</w:t>
      </w:r>
    </w:p>
    <w:p w14:paraId="1AC8F9D6">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bookmarkStart w:id="74" w:name="_Toc23234"/>
      <w:bookmarkStart w:id="75" w:name="_Toc17931"/>
      <w:bookmarkStart w:id="76" w:name="_Toc28365"/>
      <w:r>
        <w:rPr>
          <w:rFonts w:hint="default" w:ascii="Times New Roman" w:hAnsi="Times New Roman" w:eastAsia="仿宋_GB2312" w:cs="Times New Roman"/>
          <w:color w:val="auto"/>
          <w:kern w:val="2"/>
          <w:sz w:val="32"/>
          <w:szCs w:val="32"/>
          <w:highlight w:val="none"/>
          <w:lang w:val="en-US" w:eastAsia="zh-CN" w:bidi="ar-SA"/>
        </w:rPr>
        <w:t>11.住房保障221：指职工的住房公积金。</w:t>
      </w:r>
      <w:bookmarkEnd w:id="74"/>
      <w:bookmarkEnd w:id="75"/>
      <w:bookmarkEnd w:id="76"/>
    </w:p>
    <w:p w14:paraId="1077E4A3">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12.基本支出：指为保障机构正常运转、完成日常工作任务而发生的人员支出和公用支出。</w:t>
      </w:r>
    </w:p>
    <w:p w14:paraId="52C637B5">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13.项目支出：指在基本支出之外为完成特定行政任务和事业发展目标所发生的支出。</w:t>
      </w:r>
    </w:p>
    <w:p w14:paraId="666C0821">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14.经营支出：指事业单位在专业业务活动及其辅助活动之外开展非独立核算经营活动发生的支出。</w:t>
      </w:r>
    </w:p>
    <w:p w14:paraId="1839C4C1">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0F3C7AA">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16.机关运行经费：为保障行政单位（含参照公务员法管理的事业单位）运行用于购买货物和服务的各项资金，包括办公及印刷费、邮电费、差旅费、会议费、福利费、日常维修费、一般设备购置费、办公用房水电费、办公用房取暖费、公务用车运行维护费以及其他费用。</w:t>
      </w:r>
    </w:p>
    <w:p w14:paraId="0D188E48">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17.基本支出：指为保障机构正常运转、完成日常工作任务而发生的人员支出和公用支出。</w:t>
      </w:r>
    </w:p>
    <w:p w14:paraId="56C916AB">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18.项目支出：指在基本支出之外为完成特定行政任务和事业发展目标所发生的支出。 </w:t>
      </w:r>
    </w:p>
    <w:p w14:paraId="64CFD1F8">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0C21A4">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方正小标宋简体" w:cs="Times New Roman"/>
          <w:b w:val="0"/>
          <w:bCs w:val="0"/>
        </w:rPr>
      </w:pPr>
      <w:r>
        <w:rPr>
          <w:rFonts w:hint="default" w:ascii="Times New Roman" w:hAnsi="Times New Roman" w:eastAsia="仿宋_GB2312" w:cs="Times New Roman"/>
          <w:color w:val="auto"/>
          <w:kern w:val="2"/>
          <w:sz w:val="32"/>
          <w:szCs w:val="32"/>
          <w:highlight w:val="none"/>
          <w:lang w:val="en-US" w:eastAsia="zh-CN" w:bidi="ar-SA"/>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C56AF07">
      <w:pPr>
        <w:pageBreakBefore w:val="0"/>
        <w:kinsoku/>
        <w:wordWrap/>
        <w:overflowPunct/>
        <w:topLinePunct w:val="0"/>
        <w:autoSpaceDN/>
        <w:bidi w:val="0"/>
        <w:spacing w:line="576" w:lineRule="exact"/>
        <w:ind w:left="0" w:leftChars="0" w:firstLine="640"/>
        <w:textAlignment w:val="auto"/>
        <w:rPr>
          <w:rFonts w:hint="default" w:ascii="Times New Roman" w:hAnsi="Times New Roman" w:eastAsia="仿宋_GB2312" w:cs="Times New Roman"/>
          <w:b/>
          <w:bCs/>
          <w:color w:val="auto"/>
          <w:kern w:val="2"/>
          <w:sz w:val="32"/>
          <w:szCs w:val="32"/>
          <w:highlight w:val="none"/>
          <w:lang w:val="en-US" w:eastAsia="zh-CN" w:bidi="ar-SA"/>
        </w:rPr>
      </w:pPr>
    </w:p>
    <w:p w14:paraId="1F245882">
      <w:pPr>
        <w:keepNext w:val="0"/>
        <w:keepLines w:val="0"/>
        <w:pageBreakBefore w:val="0"/>
        <w:widowControl w:val="0"/>
        <w:kinsoku/>
        <w:wordWrap/>
        <w:overflowPunct/>
        <w:topLinePunct w:val="0"/>
        <w:autoSpaceDE/>
        <w:autoSpaceDN/>
        <w:bidi w:val="0"/>
        <w:spacing w:line="576" w:lineRule="exact"/>
        <w:ind w:left="0" w:leftChars="0"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bookmarkStart w:id="77"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78" w:name="_Toc15396618"/>
    </w:p>
    <w:p w14:paraId="3BAC05DA">
      <w:pPr>
        <w:pStyle w:val="3"/>
        <w:pageBreakBefore w:val="0"/>
        <w:kinsoku/>
        <w:wordWrap/>
        <w:overflowPunct/>
        <w:topLinePunct w:val="0"/>
        <w:autoSpaceDN/>
        <w:bidi w:val="0"/>
        <w:spacing w:before="0" w:after="0" w:line="576" w:lineRule="exact"/>
        <w:ind w:left="0" w:leftChars="0"/>
        <w:jc w:val="center"/>
        <w:textAlignment w:val="auto"/>
        <w:rPr>
          <w:rFonts w:hint="default"/>
        </w:rPr>
      </w:pPr>
      <w:bookmarkStart w:id="79" w:name="_Toc11386"/>
      <w:r>
        <w:rPr>
          <w:rFonts w:hint="default"/>
        </w:rPr>
        <w:t>第五部分 附表</w:t>
      </w:r>
      <w:bookmarkEnd w:id="77"/>
      <w:bookmarkEnd w:id="78"/>
      <w:bookmarkEnd w:id="79"/>
      <w:bookmarkStart w:id="80" w:name="_Toc15396619"/>
    </w:p>
    <w:p w14:paraId="066135AB">
      <w:pPr>
        <w:pStyle w:val="14"/>
        <w:keepNext w:val="0"/>
        <w:keepLines w:val="0"/>
        <w:pageBreakBefore w:val="0"/>
        <w:kinsoku/>
        <w:wordWrap/>
        <w:overflowPunct/>
        <w:topLinePunct w:val="0"/>
        <w:autoSpaceDE/>
        <w:autoSpaceDN/>
        <w:bidi w:val="0"/>
        <w:adjustRightInd w:val="0"/>
        <w:snapToGrid w:val="0"/>
        <w:spacing w:line="576" w:lineRule="exact"/>
        <w:ind w:left="0" w:leftChars="0"/>
        <w:jc w:val="left"/>
        <w:textAlignment w:val="auto"/>
        <w:rPr>
          <w:rFonts w:hint="default" w:ascii="Times New Roman" w:hAnsi="Times New Roman" w:eastAsia="仿宋_GB2312" w:cs="Times New Roman"/>
          <w:color w:val="auto"/>
          <w:sz w:val="32"/>
          <w:szCs w:val="32"/>
          <w:highlight w:val="none"/>
        </w:rPr>
      </w:pPr>
    </w:p>
    <w:p w14:paraId="6C9751FF">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81" w:name="_Toc21508"/>
      <w:r>
        <w:rPr>
          <w:rFonts w:hint="default" w:ascii="Times New Roman" w:hAnsi="Times New Roman" w:eastAsia="楷体_GB2312" w:cs="Times New Roman"/>
          <w:b w:val="0"/>
          <w:bCs w:val="0"/>
        </w:rPr>
        <w:t>一、收入支出决算总表</w:t>
      </w:r>
      <w:bookmarkEnd w:id="80"/>
      <w:bookmarkEnd w:id="81"/>
    </w:p>
    <w:p w14:paraId="5C76BFC3">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82" w:name="_Toc15396620"/>
      <w:bookmarkStart w:id="83" w:name="_Toc15446"/>
      <w:r>
        <w:rPr>
          <w:rFonts w:hint="default" w:ascii="Times New Roman" w:hAnsi="Times New Roman" w:eastAsia="楷体_GB2312" w:cs="Times New Roman"/>
          <w:b w:val="0"/>
          <w:bCs w:val="0"/>
        </w:rPr>
        <w:t>二、收入决算表</w:t>
      </w:r>
      <w:bookmarkEnd w:id="82"/>
      <w:bookmarkEnd w:id="83"/>
    </w:p>
    <w:p w14:paraId="2D839BF9">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84" w:name="_Toc31237"/>
      <w:bookmarkStart w:id="85" w:name="_Toc15396621"/>
      <w:r>
        <w:rPr>
          <w:rFonts w:hint="default" w:ascii="Times New Roman" w:hAnsi="Times New Roman" w:eastAsia="楷体_GB2312" w:cs="Times New Roman"/>
          <w:b w:val="0"/>
          <w:bCs w:val="0"/>
        </w:rPr>
        <w:t>三、支出决算表</w:t>
      </w:r>
      <w:bookmarkEnd w:id="84"/>
      <w:bookmarkEnd w:id="85"/>
    </w:p>
    <w:p w14:paraId="54463CF8">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86" w:name="_Toc15396622"/>
      <w:bookmarkStart w:id="87" w:name="_Toc25271"/>
      <w:r>
        <w:rPr>
          <w:rFonts w:hint="default" w:ascii="Times New Roman" w:hAnsi="Times New Roman" w:eastAsia="楷体_GB2312" w:cs="Times New Roman"/>
          <w:b w:val="0"/>
          <w:bCs w:val="0"/>
        </w:rPr>
        <w:t>四、财政拨款收入支出决算总表</w:t>
      </w:r>
      <w:bookmarkEnd w:id="86"/>
      <w:bookmarkEnd w:id="87"/>
    </w:p>
    <w:p w14:paraId="59A68640">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88" w:name="_Toc15396623"/>
      <w:bookmarkStart w:id="89" w:name="_Toc29268"/>
      <w:r>
        <w:rPr>
          <w:rFonts w:hint="default" w:ascii="Times New Roman" w:hAnsi="Times New Roman" w:eastAsia="楷体_GB2312" w:cs="Times New Roman"/>
          <w:b w:val="0"/>
          <w:bCs w:val="0"/>
        </w:rPr>
        <w:t>五、财政拨款支出决算明细表</w:t>
      </w:r>
      <w:bookmarkEnd w:id="88"/>
      <w:bookmarkEnd w:id="89"/>
      <w:bookmarkStart w:id="90" w:name="_Toc15396624"/>
    </w:p>
    <w:p w14:paraId="23884549">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91" w:name="_Toc6547"/>
      <w:r>
        <w:rPr>
          <w:rFonts w:hint="default" w:ascii="Times New Roman" w:hAnsi="Times New Roman" w:eastAsia="楷体_GB2312" w:cs="Times New Roman"/>
          <w:b w:val="0"/>
          <w:bCs w:val="0"/>
        </w:rPr>
        <w:t>六、一般公共预算财政拨款支出决算表</w:t>
      </w:r>
      <w:bookmarkEnd w:id="90"/>
      <w:bookmarkEnd w:id="91"/>
    </w:p>
    <w:p w14:paraId="707B5220">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92" w:name="_Toc18435"/>
      <w:bookmarkStart w:id="93" w:name="_Toc15396625"/>
      <w:r>
        <w:rPr>
          <w:rFonts w:hint="default" w:ascii="Times New Roman" w:hAnsi="Times New Roman" w:eastAsia="楷体_GB2312" w:cs="Times New Roman"/>
          <w:b w:val="0"/>
          <w:bCs w:val="0"/>
        </w:rPr>
        <w:t>七、一般公共预算财政拨款支出决算明细表</w:t>
      </w:r>
      <w:bookmarkEnd w:id="92"/>
      <w:bookmarkEnd w:id="93"/>
    </w:p>
    <w:p w14:paraId="59E39806">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94" w:name="_Toc15396626"/>
      <w:bookmarkStart w:id="95" w:name="_Toc7392"/>
      <w:r>
        <w:rPr>
          <w:rFonts w:hint="default" w:ascii="Times New Roman" w:hAnsi="Times New Roman" w:eastAsia="楷体_GB2312" w:cs="Times New Roman"/>
          <w:b w:val="0"/>
          <w:bCs w:val="0"/>
        </w:rPr>
        <w:t>八、一般公共预算财政拨款基本支出决算表</w:t>
      </w:r>
      <w:bookmarkEnd w:id="94"/>
      <w:bookmarkEnd w:id="95"/>
    </w:p>
    <w:p w14:paraId="792DC33D">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96" w:name="_Toc22448"/>
      <w:bookmarkStart w:id="97" w:name="_Toc15396627"/>
      <w:r>
        <w:rPr>
          <w:rFonts w:hint="default" w:ascii="Times New Roman" w:hAnsi="Times New Roman" w:eastAsia="楷体_GB2312" w:cs="Times New Roman"/>
          <w:b w:val="0"/>
          <w:bCs w:val="0"/>
        </w:rPr>
        <w:t>九、一般公共预算财政拨款项目支出决算表</w:t>
      </w:r>
      <w:bookmarkEnd w:id="96"/>
      <w:bookmarkEnd w:id="97"/>
    </w:p>
    <w:p w14:paraId="15210401">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98" w:name="_Toc15396628"/>
      <w:bookmarkStart w:id="99" w:name="_Toc11578"/>
      <w:r>
        <w:rPr>
          <w:rFonts w:hint="default" w:ascii="Times New Roman" w:hAnsi="Times New Roman" w:eastAsia="楷体_GB2312" w:cs="Times New Roman"/>
          <w:b w:val="0"/>
          <w:bCs w:val="0"/>
        </w:rPr>
        <w:t>十、</w:t>
      </w:r>
      <w:bookmarkEnd w:id="98"/>
      <w:r>
        <w:rPr>
          <w:rFonts w:hint="default" w:ascii="Times New Roman" w:hAnsi="Times New Roman" w:eastAsia="楷体_GB2312" w:cs="Times New Roman"/>
          <w:b w:val="0"/>
          <w:bCs w:val="0"/>
        </w:rPr>
        <w:t>政府性基金预算财政拨款收入支出决算表</w:t>
      </w:r>
      <w:bookmarkEnd w:id="99"/>
    </w:p>
    <w:p w14:paraId="18A33966">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100" w:name="_Toc15396629"/>
      <w:bookmarkStart w:id="101" w:name="_Toc17434"/>
      <w:r>
        <w:rPr>
          <w:rFonts w:hint="default" w:ascii="Times New Roman" w:hAnsi="Times New Roman" w:eastAsia="楷体_GB2312" w:cs="Times New Roman"/>
          <w:b w:val="0"/>
          <w:bCs w:val="0"/>
        </w:rPr>
        <w:t>十一、</w:t>
      </w:r>
      <w:bookmarkEnd w:id="100"/>
      <w:r>
        <w:rPr>
          <w:rFonts w:hint="default" w:ascii="Times New Roman" w:hAnsi="Times New Roman" w:eastAsia="楷体_GB2312" w:cs="Times New Roman"/>
          <w:b w:val="0"/>
          <w:bCs w:val="0"/>
        </w:rPr>
        <w:t>国有资本经营预算</w:t>
      </w:r>
      <w:r>
        <w:rPr>
          <w:rFonts w:hint="default" w:ascii="Times New Roman" w:hAnsi="Times New Roman" w:eastAsia="楷体_GB2312" w:cs="Times New Roman"/>
          <w:b w:val="0"/>
          <w:bCs w:val="0"/>
          <w:lang w:eastAsia="zh-CN"/>
        </w:rPr>
        <w:t>财政拨款收入</w:t>
      </w:r>
      <w:r>
        <w:rPr>
          <w:rFonts w:hint="default" w:ascii="Times New Roman" w:hAnsi="Times New Roman" w:eastAsia="楷体_GB2312" w:cs="Times New Roman"/>
          <w:b w:val="0"/>
          <w:bCs w:val="0"/>
        </w:rPr>
        <w:t>支出决算表</w:t>
      </w:r>
      <w:bookmarkEnd w:id="101"/>
    </w:p>
    <w:p w14:paraId="14F75DFB">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rPr>
      </w:pPr>
      <w:bookmarkStart w:id="102" w:name="_Toc15396630"/>
      <w:bookmarkStart w:id="103" w:name="_Toc31921"/>
      <w:r>
        <w:rPr>
          <w:rFonts w:hint="default" w:ascii="Times New Roman" w:hAnsi="Times New Roman" w:eastAsia="楷体_GB2312" w:cs="Times New Roman"/>
          <w:b w:val="0"/>
          <w:bCs w:val="0"/>
        </w:rPr>
        <w:t>十二、</w:t>
      </w:r>
      <w:bookmarkEnd w:id="102"/>
      <w:r>
        <w:rPr>
          <w:rFonts w:hint="default" w:ascii="Times New Roman" w:hAnsi="Times New Roman" w:eastAsia="楷体_GB2312" w:cs="Times New Roman"/>
          <w:b w:val="0"/>
          <w:bCs w:val="0"/>
          <w:lang w:eastAsia="zh-CN"/>
        </w:rPr>
        <w:t>国有资本经营预算财政拨款支出决算表</w:t>
      </w:r>
      <w:bookmarkEnd w:id="103"/>
    </w:p>
    <w:p w14:paraId="3149D05C">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default" w:ascii="Times New Roman" w:hAnsi="Times New Roman" w:eastAsia="楷体_GB2312" w:cs="Times New Roman"/>
          <w:b w:val="0"/>
          <w:bCs w:val="0"/>
          <w:lang w:eastAsia="zh-CN"/>
        </w:rPr>
      </w:pPr>
      <w:bookmarkStart w:id="104" w:name="_Toc15396631"/>
      <w:bookmarkStart w:id="105" w:name="_Toc20532"/>
      <w:r>
        <w:rPr>
          <w:rFonts w:hint="default" w:ascii="Times New Roman" w:hAnsi="Times New Roman" w:eastAsia="楷体_GB2312" w:cs="Times New Roman"/>
          <w:b w:val="0"/>
          <w:bCs w:val="0"/>
        </w:rPr>
        <w:t>十三、</w:t>
      </w:r>
      <w:bookmarkEnd w:id="104"/>
      <w:r>
        <w:rPr>
          <w:rFonts w:hint="default" w:ascii="Times New Roman" w:hAnsi="Times New Roman" w:eastAsia="楷体_GB2312" w:cs="Times New Roman"/>
          <w:b w:val="0"/>
          <w:bCs w:val="0"/>
          <w:lang w:eastAsia="zh-CN"/>
        </w:rPr>
        <w:t>财政拨款“三公”经费支出决算表</w:t>
      </w:r>
      <w:bookmarkEnd w:id="105"/>
    </w:p>
    <w:p w14:paraId="1B6A0853">
      <w:pPr>
        <w:pStyle w:val="4"/>
        <w:keepNext/>
        <w:keepLines/>
        <w:pageBreakBefore w:val="0"/>
        <w:widowControl w:val="0"/>
        <w:kinsoku/>
        <w:wordWrap/>
        <w:overflowPunct/>
        <w:topLinePunct w:val="0"/>
        <w:autoSpaceDE/>
        <w:autoSpaceDN/>
        <w:bidi w:val="0"/>
        <w:adjustRightInd/>
        <w:snapToGrid/>
        <w:spacing w:before="0" w:after="0" w:line="576" w:lineRule="exact"/>
        <w:ind w:left="0" w:leftChars="0"/>
        <w:textAlignment w:val="auto"/>
        <w:rPr>
          <w:rFonts w:hint="default"/>
          <w:b w:val="0"/>
          <w:bCs w:val="0"/>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B1F4F5-E40A-4557-A7BE-72C7DCB3D2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EFE21C4F-97DC-4865-91BF-80473D041AF4}"/>
  </w:font>
  <w:font w:name="仿宋">
    <w:panose1 w:val="02010609060101010101"/>
    <w:charset w:val="86"/>
    <w:family w:val="modern"/>
    <w:pitch w:val="default"/>
    <w:sig w:usb0="800002BF" w:usb1="38CF7CFA" w:usb2="00000016" w:usb3="00000000" w:csb0="00040001" w:csb1="00000000"/>
    <w:embedRegular r:id="rId3" w:fontKey="{5671FE6A-C5C7-4D92-A59D-191C8A25D118}"/>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894F3D72-794E-4860-9E9A-242EC13023A4}"/>
  </w:font>
  <w:font w:name="楷体_GB2312">
    <w:panose1 w:val="02010609030101010101"/>
    <w:charset w:val="86"/>
    <w:family w:val="auto"/>
    <w:pitch w:val="default"/>
    <w:sig w:usb0="00000001" w:usb1="080E0000" w:usb2="00000000" w:usb3="00000000" w:csb0="00040000" w:csb1="00000000"/>
    <w:embedRegular r:id="rId5" w:fontKey="{C28634A8-9FBD-4842-9A9B-F27921C5D5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F5212">
    <w:pPr>
      <w:pStyle w:val="11"/>
      <w:jc w:val="center"/>
    </w:pPr>
  </w:p>
  <w:p w14:paraId="4414DA61">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52AD0">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B6F13A">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6B6F13A">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D3C0E">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AD0CBD">
                          <w:pPr>
                            <w:pStyle w:val="11"/>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AD0CBD">
                    <w:pPr>
                      <w:pStyle w:val="11"/>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p w14:paraId="3611637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FD632">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8243AE"/>
    <w:multiLevelType w:val="singleLevel"/>
    <w:tmpl w:val="DB8243AE"/>
    <w:lvl w:ilvl="0" w:tentative="0">
      <w:start w:val="1"/>
      <w:numFmt w:val="chineseCounting"/>
      <w:suff w:val="space"/>
      <w:lvlText w:val="第%1部分"/>
      <w:lvlJc w:val="left"/>
      <w:rPr>
        <w:rFonts w:hint="eastAsia"/>
      </w:rPr>
    </w:lvl>
  </w:abstractNum>
  <w:abstractNum w:abstractNumId="1">
    <w:nsid w:val="E0F8D798"/>
    <w:multiLevelType w:val="singleLevel"/>
    <w:tmpl w:val="E0F8D798"/>
    <w:lvl w:ilvl="0" w:tentative="0">
      <w:start w:val="1"/>
      <w:numFmt w:val="decimal"/>
      <w:lvlText w:val="%1."/>
      <w:lvlJc w:val="left"/>
      <w:pPr>
        <w:tabs>
          <w:tab w:val="left" w:pos="312"/>
        </w:tabs>
      </w:pPr>
      <w:rPr>
        <w:rFonts w:hint="default"/>
        <w:b/>
        <w:bCs/>
      </w:rPr>
    </w:lvl>
  </w:abstractNum>
  <w:abstractNum w:abstractNumId="2">
    <w:nsid w:val="18598A1B"/>
    <w:multiLevelType w:val="singleLevel"/>
    <w:tmpl w:val="18598A1B"/>
    <w:lvl w:ilvl="0" w:tentative="0">
      <w:start w:val="1"/>
      <w:numFmt w:val="decimal"/>
      <w:lvlText w:val="%1."/>
      <w:lvlJc w:val="left"/>
      <w:pPr>
        <w:tabs>
          <w:tab w:val="left" w:pos="312"/>
        </w:tabs>
      </w:pPr>
    </w:lvl>
  </w:abstractNum>
  <w:abstractNum w:abstractNumId="3">
    <w:nsid w:val="3818A09A"/>
    <w:multiLevelType w:val="singleLevel"/>
    <w:tmpl w:val="3818A09A"/>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8968DD"/>
    <w:rsid w:val="08DB07E4"/>
    <w:rsid w:val="09867E8F"/>
    <w:rsid w:val="0A2032A3"/>
    <w:rsid w:val="0C603A20"/>
    <w:rsid w:val="0C6C4794"/>
    <w:rsid w:val="0CA8290A"/>
    <w:rsid w:val="0D35B1ED"/>
    <w:rsid w:val="0DE07E2B"/>
    <w:rsid w:val="0F98263C"/>
    <w:rsid w:val="101860EC"/>
    <w:rsid w:val="10C055FF"/>
    <w:rsid w:val="11772AA4"/>
    <w:rsid w:val="118107EC"/>
    <w:rsid w:val="11C86F43"/>
    <w:rsid w:val="13902E99"/>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6CE5912"/>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6D072CA"/>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5CA08BA"/>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3B7C00"/>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CC2F08"/>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semiHidden/>
    <w:qFormat/>
    <w:uiPriority w:val="0"/>
    <w:pPr>
      <w:snapToGrid w:val="0"/>
      <w:jc w:val="left"/>
    </w:pPr>
    <w:rPr>
      <w:sz w:val="18"/>
      <w:szCs w:val="18"/>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36">
    <w:name w:val="标题 2 字符"/>
    <w:basedOn w:val="16"/>
    <w:link w:val="4"/>
    <w:qFormat/>
    <w:uiPriority w:val="9"/>
    <w:rPr>
      <w:rFonts w:asciiTheme="majorHAnsi" w:hAnsiTheme="majorHAnsi" w:eastAsiaTheme="majorEastAsia" w:cstheme="majorBidi"/>
      <w:b/>
      <w:bCs/>
      <w:kern w:val="2"/>
      <w:sz w:val="32"/>
      <w:szCs w:val="32"/>
    </w:rPr>
  </w:style>
  <w:style w:type="character" w:customStyle="1" w:styleId="37">
    <w:name w:val="23"/>
    <w:basedOn w:val="16"/>
    <w:qFormat/>
    <w:uiPriority w:val="0"/>
    <w:rPr>
      <w:rFonts w:hint="default" w:ascii="Times New Roman" w:hAnsi="Times New Roman" w:cs="Times New Roman"/>
      <w:b/>
    </w:rPr>
  </w:style>
  <w:style w:type="character" w:customStyle="1" w:styleId="38">
    <w:name w:val="21"/>
    <w:basedOn w:val="16"/>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70ea8e6c-cf94-4a22-a42c-6eb3b762893b</errorID>
      <errorWord>年度年度</errorWord>
      <group>L1_Word</group>
      <groupName>字词问题</groupName>
      <ability>L2_Typo</ability>
      <abilityName>字词错误</abilityName>
      <candidateList>
        <item>年度</item>
      </candidateList>
      <explain/>
      <paraID>4E29F90F</paraID>
      <start>4</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1dc10e-e79d-476f-bc70-16a8eaf33907}">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12</Pages>
  <Words>3826</Words>
  <Characters>4111</Characters>
  <Lines>61</Lines>
  <Paragraphs>17</Paragraphs>
  <TotalTime>5</TotalTime>
  <ScaleCrop>false</ScaleCrop>
  <LinksUpToDate>false</LinksUpToDate>
  <CharactersWithSpaces>4295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2026-10-15T03:00:25Z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