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89BF1">
      <w:pPr>
        <w:pStyle w:val="7"/>
        <w:pageBreakBefore w:val="0"/>
        <w:kinsoku/>
        <w:wordWrap/>
        <w:overflowPunct/>
        <w:topLinePunct w:val="0"/>
        <w:autoSpaceDN/>
        <w:bidi w:val="0"/>
        <w:adjustRightInd/>
        <w:spacing w:beforeLines="0" w:line="576" w:lineRule="exact"/>
        <w:ind w:firstLine="1440" w:firstLineChars="200"/>
        <w:textAlignment w:val="auto"/>
        <w:rPr>
          <w:rFonts w:hint="default"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8441"/>
      <w:bookmarkStart w:id="2" w:name="_Toc15396597"/>
      <w:bookmarkStart w:id="3" w:name="_Toc15396475"/>
      <w:bookmarkStart w:id="4" w:name="_Toc15377193"/>
      <w:bookmarkStart w:id="5" w:name="_Toc15306267"/>
    </w:p>
    <w:p w14:paraId="7FDF47B1">
      <w:pPr>
        <w:pStyle w:val="7"/>
        <w:pageBreakBefore w:val="0"/>
        <w:kinsoku/>
        <w:wordWrap/>
        <w:overflowPunct/>
        <w:topLinePunct w:val="0"/>
        <w:autoSpaceDN/>
        <w:bidi w:val="0"/>
        <w:adjustRightInd/>
        <w:spacing w:beforeLines="0" w:line="576" w:lineRule="exact"/>
        <w:ind w:firstLine="1440" w:firstLineChars="200"/>
        <w:textAlignment w:val="auto"/>
        <w:rPr>
          <w:rFonts w:hint="default" w:ascii="Times New Roman" w:hAnsi="Times New Roman" w:eastAsia="方正小标宋简体" w:cs="Times New Roman"/>
          <w:color w:val="auto"/>
          <w:kern w:val="2"/>
          <w:sz w:val="72"/>
          <w:szCs w:val="72"/>
          <w:highlight w:val="none"/>
          <w:lang w:val="en-US" w:eastAsia="zh-CN" w:bidi="ar-SA"/>
        </w:rPr>
      </w:pPr>
    </w:p>
    <w:p w14:paraId="30E2CEDE">
      <w:pPr>
        <w:pStyle w:val="7"/>
        <w:pageBreakBefore w:val="0"/>
        <w:kinsoku/>
        <w:wordWrap/>
        <w:overflowPunct/>
        <w:topLinePunct w:val="0"/>
        <w:autoSpaceDN/>
        <w:bidi w:val="0"/>
        <w:adjustRightInd/>
        <w:spacing w:beforeLines="0" w:line="576" w:lineRule="exact"/>
        <w:ind w:firstLine="1440" w:firstLineChars="200"/>
        <w:textAlignment w:val="auto"/>
        <w:rPr>
          <w:rFonts w:hint="default" w:ascii="Times New Roman" w:hAnsi="Times New Roman" w:eastAsia="方正小标宋简体" w:cs="Times New Roman"/>
          <w:color w:val="auto"/>
          <w:kern w:val="2"/>
          <w:sz w:val="72"/>
          <w:szCs w:val="72"/>
          <w:highlight w:val="none"/>
          <w:lang w:val="en-US" w:eastAsia="zh-CN" w:bidi="ar-SA"/>
        </w:rPr>
      </w:pPr>
    </w:p>
    <w:p w14:paraId="57357F6F">
      <w:pPr>
        <w:pageBreakBefore w:val="0"/>
        <w:kinsoku/>
        <w:wordWrap/>
        <w:overflowPunct/>
        <w:topLinePunct w:val="0"/>
        <w:autoSpaceDN/>
        <w:bidi w:val="0"/>
        <w:adjustRightInd/>
        <w:spacing w:line="576" w:lineRule="exact"/>
        <w:ind w:firstLine="420" w:firstLineChars="200"/>
        <w:textAlignment w:val="auto"/>
        <w:rPr>
          <w:rFonts w:hint="default" w:ascii="Times New Roman" w:hAnsi="Times New Roman" w:cs="Times New Roman"/>
        </w:rPr>
      </w:pPr>
    </w:p>
    <w:p w14:paraId="34DB3153">
      <w:pPr>
        <w:pStyle w:val="7"/>
        <w:pageBreakBefore w:val="0"/>
        <w:kinsoku/>
        <w:wordWrap/>
        <w:overflowPunct/>
        <w:topLinePunct w:val="0"/>
        <w:autoSpaceDN/>
        <w:bidi w:val="0"/>
        <w:adjustRightInd/>
        <w:spacing w:beforeLines="0" w:line="576" w:lineRule="exact"/>
        <w:ind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64613952">
      <w:pPr>
        <w:pStyle w:val="7"/>
        <w:pageBreakBefore w:val="0"/>
        <w:kinsoku/>
        <w:wordWrap/>
        <w:overflowPunct/>
        <w:topLinePunct w:val="0"/>
        <w:autoSpaceDN/>
        <w:bidi w:val="0"/>
        <w:adjustRightInd/>
        <w:spacing w:beforeLines="0" w:line="576" w:lineRule="exact"/>
        <w:ind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2C967AB1">
      <w:pPr>
        <w:pStyle w:val="7"/>
        <w:pageBreakBefore w:val="0"/>
        <w:kinsoku/>
        <w:wordWrap/>
        <w:overflowPunct/>
        <w:topLinePunct w:val="0"/>
        <w:autoSpaceDN/>
        <w:bidi w:val="0"/>
        <w:adjustRightInd/>
        <w:spacing w:beforeLines="0" w:line="576" w:lineRule="exact"/>
        <w:ind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5A56ABD1">
      <w:pPr>
        <w:pStyle w:val="7"/>
        <w:pageBreakBefore w:val="0"/>
        <w:kinsoku/>
        <w:wordWrap/>
        <w:overflowPunct/>
        <w:topLinePunct w:val="0"/>
        <w:autoSpaceDN/>
        <w:bidi w:val="0"/>
        <w:adjustRightInd/>
        <w:spacing w:beforeLines="0" w:line="576" w:lineRule="exact"/>
        <w:ind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731B6258">
      <w:pPr>
        <w:pageBreakBefore w:val="0"/>
        <w:kinsoku/>
        <w:wordWrap/>
        <w:overflowPunct/>
        <w:topLinePunct w:val="0"/>
        <w:autoSpaceDN/>
        <w:bidi w:val="0"/>
        <w:adjustRightInd/>
        <w:spacing w:line="576" w:lineRule="exact"/>
        <w:ind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77194"/>
      <w:bookmarkStart w:id="8" w:name="_Toc15396476"/>
      <w:bookmarkStart w:id="9" w:name="_Toc15378442"/>
      <w:bookmarkStart w:id="10" w:name="_Toc15377426"/>
      <w:r>
        <w:rPr>
          <w:rFonts w:hint="default" w:ascii="Times New Roman" w:hAnsi="Times New Roman" w:eastAsia="方正小标宋简体" w:cs="Times New Roman"/>
          <w:color w:val="auto"/>
          <w:kern w:val="2"/>
          <w:sz w:val="44"/>
          <w:szCs w:val="44"/>
          <w:highlight w:val="none"/>
          <w:lang w:val="en-US" w:eastAsia="zh-CN" w:bidi="ar-SA"/>
        </w:rPr>
        <w:t>2025年度</w:t>
      </w:r>
      <w:bookmarkEnd w:id="5"/>
      <w:bookmarkEnd w:id="6"/>
      <w:bookmarkEnd w:id="7"/>
      <w:bookmarkEnd w:id="8"/>
      <w:bookmarkEnd w:id="9"/>
      <w:bookmarkEnd w:id="10"/>
      <w:bookmarkStart w:id="11" w:name="_Toc24643"/>
    </w:p>
    <w:p w14:paraId="632D6959">
      <w:pPr>
        <w:pageBreakBefore w:val="0"/>
        <w:kinsoku/>
        <w:wordWrap/>
        <w:overflowPunct/>
        <w:topLinePunct w:val="0"/>
        <w:autoSpaceDN/>
        <w:bidi w:val="0"/>
        <w:adjustRightInd/>
        <w:spacing w:line="576" w:lineRule="exact"/>
        <w:ind w:firstLine="880" w:firstLineChars="20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四川省阿坝州松潘县审计局单位决算</w:t>
      </w:r>
      <w:bookmarkEnd w:id="11"/>
    </w:p>
    <w:p w14:paraId="1335044B">
      <w:pPr>
        <w:pStyle w:val="7"/>
        <w:pageBreakBefore w:val="0"/>
        <w:kinsoku/>
        <w:wordWrap/>
        <w:overflowPunct/>
        <w:topLinePunct w:val="0"/>
        <w:autoSpaceDN/>
        <w:bidi w:val="0"/>
        <w:adjustRightInd/>
        <w:spacing w:beforeLines="0" w:line="576" w:lineRule="exact"/>
        <w:ind w:firstLine="880" w:firstLineChars="20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59B4D1A3">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51C1B902">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4B35FC7C">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50A4F477">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42BCA495">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243D825A">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16F50C30">
      <w:pPr>
        <w:pageBreakBefore w:val="0"/>
        <w:widowControl/>
        <w:kinsoku/>
        <w:wordWrap/>
        <w:overflowPunct/>
        <w:topLinePunct w:val="0"/>
        <w:autoSpaceDN/>
        <w:bidi w:val="0"/>
        <w:adjustRightInd/>
        <w:spacing w:line="576"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p w14:paraId="65A945AB">
      <w:pPr>
        <w:pageBreakBefore w:val="0"/>
        <w:widowControl/>
        <w:kinsoku/>
        <w:wordWrap/>
        <w:overflowPunct/>
        <w:topLinePunct w:val="0"/>
        <w:autoSpaceDN/>
        <w:bidi w:val="0"/>
        <w:adjustRightInd/>
        <w:spacing w:line="576" w:lineRule="exact"/>
        <w:ind w:firstLine="960" w:firstLineChars="200"/>
        <w:jc w:val="both"/>
        <w:textAlignment w:val="auto"/>
        <w:rPr>
          <w:rFonts w:hint="default" w:ascii="Times New Roman" w:hAnsi="Times New Roman" w:eastAsia="黑体" w:cs="Times New Roman"/>
          <w:color w:val="auto"/>
          <w:sz w:val="48"/>
          <w:szCs w:val="48"/>
          <w:highlight w:val="none"/>
        </w:rPr>
      </w:pPr>
    </w:p>
    <w:p w14:paraId="737644B5">
      <w:pPr>
        <w:pageBreakBefore w:val="0"/>
        <w:widowControl/>
        <w:kinsoku/>
        <w:wordWrap/>
        <w:overflowPunct/>
        <w:topLinePunct w:val="0"/>
        <w:autoSpaceDN/>
        <w:bidi w:val="0"/>
        <w:adjustRightInd/>
        <w:spacing w:line="576" w:lineRule="exact"/>
        <w:ind w:firstLine="960" w:firstLineChars="200"/>
        <w:jc w:val="center"/>
        <w:textAlignment w:val="auto"/>
        <w:rPr>
          <w:rFonts w:hint="default" w:ascii="Times New Roman" w:hAnsi="Times New Roman" w:eastAsia="黑体" w:cs="Times New Roman"/>
          <w:color w:val="auto"/>
          <w:sz w:val="48"/>
          <w:szCs w:val="48"/>
          <w:highlight w:val="none"/>
        </w:rPr>
      </w:pPr>
    </w:p>
    <w:p w14:paraId="53A815EE">
      <w:pPr>
        <w:pageBreakBefore w:val="0"/>
        <w:widowControl/>
        <w:kinsoku/>
        <w:wordWrap/>
        <w:overflowPunct/>
        <w:topLinePunct w:val="0"/>
        <w:autoSpaceDN/>
        <w:bidi w:val="0"/>
        <w:adjustRightInd/>
        <w:spacing w:line="576" w:lineRule="exact"/>
        <w:ind w:firstLine="960" w:firstLineChars="200"/>
        <w:jc w:val="center"/>
        <w:textAlignment w:val="auto"/>
        <w:rPr>
          <w:rFonts w:hint="default" w:ascii="Times New Roman" w:hAnsi="Times New Roman" w:eastAsia="黑体" w:cs="Times New Roman"/>
          <w:color w:val="auto"/>
          <w:sz w:val="48"/>
          <w:szCs w:val="48"/>
          <w:highlight w:val="none"/>
        </w:rPr>
      </w:pPr>
    </w:p>
    <w:p w14:paraId="5349AD48">
      <w:pPr>
        <w:pageBreakBefore w:val="0"/>
        <w:widowControl/>
        <w:kinsoku/>
        <w:wordWrap/>
        <w:overflowPunct/>
        <w:topLinePunct w:val="0"/>
        <w:autoSpaceDN/>
        <w:bidi w:val="0"/>
        <w:adjustRightInd/>
        <w:spacing w:line="576" w:lineRule="exact"/>
        <w:ind w:firstLine="960" w:firstLineChars="200"/>
        <w:jc w:val="center"/>
        <w:textAlignment w:val="auto"/>
        <w:rPr>
          <w:rFonts w:hint="default" w:ascii="Times New Roman" w:hAnsi="Times New Roman" w:eastAsia="黑体" w:cs="Times New Roman"/>
          <w:color w:val="auto"/>
          <w:sz w:val="48"/>
          <w:szCs w:val="48"/>
          <w:highlight w:val="none"/>
        </w:rPr>
      </w:pPr>
    </w:p>
    <w:p w14:paraId="38675BAC">
      <w:pPr>
        <w:pageBreakBefore w:val="0"/>
        <w:widowControl/>
        <w:kinsoku/>
        <w:wordWrap/>
        <w:overflowPunct/>
        <w:topLinePunct w:val="0"/>
        <w:autoSpaceDN/>
        <w:bidi w:val="0"/>
        <w:adjustRightInd/>
        <w:spacing w:line="576" w:lineRule="exact"/>
        <w:ind w:firstLine="960" w:firstLineChars="200"/>
        <w:jc w:val="center"/>
        <w:textAlignment w:val="auto"/>
        <w:rPr>
          <w:rFonts w:hint="default" w:ascii="Times New Roman" w:hAnsi="Times New Roman" w:eastAsia="黑体" w:cs="Times New Roman"/>
          <w:color w:val="auto"/>
          <w:sz w:val="48"/>
          <w:szCs w:val="48"/>
          <w:highlight w:val="none"/>
        </w:rPr>
      </w:pPr>
    </w:p>
    <w:p w14:paraId="159095A0">
      <w:pPr>
        <w:pageBreakBefore w:val="0"/>
        <w:widowControl/>
        <w:kinsoku/>
        <w:wordWrap/>
        <w:overflowPunct/>
        <w:topLinePunct w:val="0"/>
        <w:autoSpaceDN/>
        <w:bidi w:val="0"/>
        <w:adjustRightInd/>
        <w:spacing w:line="576" w:lineRule="exact"/>
        <w:ind w:firstLine="960" w:firstLineChars="200"/>
        <w:jc w:val="center"/>
        <w:textAlignment w:val="auto"/>
        <w:rPr>
          <w:rFonts w:hint="default" w:ascii="Times New Roman" w:hAnsi="Times New Roman" w:eastAsia="黑体" w:cs="Times New Roman"/>
          <w:color w:val="auto"/>
          <w:sz w:val="48"/>
          <w:szCs w:val="48"/>
          <w:highlight w:val="none"/>
        </w:rPr>
      </w:pPr>
    </w:p>
    <w:p w14:paraId="6A9D341E">
      <w:pPr>
        <w:keepNext w:val="0"/>
        <w:keepLines w:val="0"/>
        <w:pageBreakBefore w:val="0"/>
        <w:widowControl/>
        <w:kinsoku/>
        <w:wordWrap/>
        <w:overflowPunct/>
        <w:topLinePunct w:val="0"/>
        <w:autoSpaceDE/>
        <w:autoSpaceDN/>
        <w:bidi w:val="0"/>
        <w:adjustRightInd/>
        <w:snapToGrid/>
        <w:spacing w:line="576" w:lineRule="exact"/>
        <w:ind w:firstLine="0" w:firstLineChars="0"/>
        <w:jc w:val="center"/>
        <w:textAlignment w:val="auto"/>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w:t>
      </w:r>
      <w:r>
        <w:rPr>
          <w:rFonts w:hint="eastAsia"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24301B60">
      <w:pPr>
        <w:pageBreakBefore w:val="0"/>
        <w:widowControl/>
        <w:kinsoku/>
        <w:wordWrap/>
        <w:overflowPunct/>
        <w:topLinePunct w:val="0"/>
        <w:autoSpaceDN/>
        <w:bidi w:val="0"/>
        <w:adjustRightInd/>
        <w:spacing w:line="576" w:lineRule="exact"/>
        <w:ind w:firstLine="560" w:firstLineChars="200"/>
        <w:jc w:val="center"/>
        <w:textAlignment w:val="auto"/>
        <w:rPr>
          <w:rFonts w:hint="default" w:ascii="Times New Roman" w:hAnsi="Times New Roman" w:eastAsia="黑体" w:cs="Times New Roman"/>
          <w:color w:val="auto"/>
          <w:sz w:val="28"/>
          <w:szCs w:val="28"/>
          <w:highlight w:val="none"/>
        </w:rPr>
      </w:pPr>
    </w:p>
    <w:p w14:paraId="3E4A67D5">
      <w:pPr>
        <w:pStyle w:val="14"/>
        <w:pageBreakBefore w:val="0"/>
        <w:kinsoku/>
        <w:wordWrap/>
        <w:overflowPunct/>
        <w:topLinePunct w:val="0"/>
        <w:autoSpaceDN/>
        <w:bidi w:val="0"/>
        <w:adjustRightInd/>
        <w:spacing w:before="0" w:line="576" w:lineRule="exact"/>
        <w:ind w:firstLine="600" w:firstLineChars="200"/>
        <w:textAlignment w:val="auto"/>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公开时间：20</w:t>
      </w:r>
      <w:r>
        <w:rPr>
          <w:rFonts w:hint="default" w:ascii="Times New Roman" w:hAnsi="Times New Roman" w:eastAsia="仿宋_GB2312" w:cs="Times New Roman"/>
          <w:color w:val="auto"/>
          <w:sz w:val="30"/>
          <w:szCs w:val="30"/>
          <w:highlight w:val="none"/>
          <w:lang w:val="en-US" w:eastAsia="zh-CN"/>
        </w:rPr>
        <w:t>26</w:t>
      </w:r>
      <w:r>
        <w:rPr>
          <w:rFonts w:hint="default" w:ascii="Times New Roman" w:hAnsi="Times New Roman" w:eastAsia="仿宋_GB2312" w:cs="Times New Roman"/>
          <w:color w:val="auto"/>
          <w:sz w:val="30"/>
          <w:szCs w:val="30"/>
          <w:highlight w:val="none"/>
        </w:rPr>
        <w:t>年</w:t>
      </w:r>
      <w:r>
        <w:rPr>
          <w:rFonts w:hint="default" w:ascii="Times New Roman" w:hAnsi="Times New Roman" w:eastAsia="仿宋_GB2312" w:cs="Times New Roman"/>
          <w:color w:val="auto"/>
          <w:sz w:val="30"/>
          <w:szCs w:val="30"/>
          <w:highlight w:val="none"/>
          <w:lang w:val="en-US" w:eastAsia="zh-CN"/>
        </w:rPr>
        <w:t>10</w:t>
      </w:r>
      <w:r>
        <w:rPr>
          <w:rFonts w:hint="default" w:ascii="Times New Roman" w:hAnsi="Times New Roman" w:eastAsia="仿宋_GB2312" w:cs="Times New Roman"/>
          <w:color w:val="auto"/>
          <w:sz w:val="30"/>
          <w:szCs w:val="30"/>
          <w:highlight w:val="none"/>
        </w:rPr>
        <w:t>月</w:t>
      </w:r>
      <w:r>
        <w:rPr>
          <w:rFonts w:hint="default" w:ascii="Times New Roman" w:hAnsi="Times New Roman" w:eastAsia="仿宋_GB2312" w:cs="Times New Roman"/>
          <w:color w:val="auto"/>
          <w:sz w:val="30"/>
          <w:szCs w:val="30"/>
          <w:highlight w:val="none"/>
          <w:lang w:val="en-US" w:eastAsia="zh-CN"/>
        </w:rPr>
        <w:t>15</w:t>
      </w:r>
      <w:r>
        <w:rPr>
          <w:rFonts w:hint="default" w:ascii="Times New Roman" w:hAnsi="Times New Roman" w:eastAsia="仿宋_GB2312" w:cs="Times New Roman"/>
          <w:color w:val="auto"/>
          <w:sz w:val="30"/>
          <w:szCs w:val="30"/>
          <w:highlight w:val="none"/>
        </w:rPr>
        <w:t>日</w:t>
      </w:r>
    </w:p>
    <w:sdt>
      <w:sdtPr>
        <w:rPr>
          <w:rFonts w:ascii="宋体" w:hAnsi="宋体" w:eastAsia="宋体" w:cs="Times New Roman"/>
          <w:kern w:val="2"/>
          <w:sz w:val="21"/>
          <w:szCs w:val="24"/>
          <w:lang w:val="en-US" w:eastAsia="zh-CN" w:bidi="ar-SA"/>
        </w:rPr>
        <w:id w:val="147451115"/>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375770ED">
          <w:pPr>
            <w:spacing w:before="0" w:beforeLines="0" w:after="0" w:afterLines="0" w:line="240" w:lineRule="auto"/>
            <w:ind w:left="0" w:leftChars="0" w:right="0" w:rightChars="0" w:firstLine="0" w:firstLineChars="0"/>
            <w:jc w:val="center"/>
          </w:pPr>
        </w:p>
        <w:p w14:paraId="5EF8396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TOC \o "1-2" \h \u </w:instrText>
          </w:r>
          <w:r>
            <w:rPr>
              <w:rFonts w:hint="default"/>
            </w:rPr>
            <w:fldChar w:fldCharType="separate"/>
          </w:r>
        </w:p>
        <w:p w14:paraId="1BB675D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_Toc10157 </w:instrText>
          </w:r>
          <w:r>
            <w:rPr>
              <w:rFonts w:hint="default"/>
            </w:rPr>
            <w:fldChar w:fldCharType="separate"/>
          </w:r>
          <w:r>
            <w:rPr>
              <w:rFonts w:hint="eastAsia"/>
              <w:lang w:eastAsia="zh-CN"/>
            </w:rPr>
            <w:t xml:space="preserve">一、 </w:t>
          </w:r>
          <w:r>
            <w:rPr>
              <w:rFonts w:hint="default"/>
              <w:lang w:eastAsia="zh-CN"/>
            </w:rPr>
            <w:t>部门职责</w:t>
          </w:r>
          <w:r>
            <w:tab/>
          </w:r>
          <w:r>
            <w:fldChar w:fldCharType="begin"/>
          </w:r>
          <w:r>
            <w:instrText xml:space="preserve"> PAGEREF _Toc10157 \h </w:instrText>
          </w:r>
          <w:r>
            <w:fldChar w:fldCharType="separate"/>
          </w:r>
          <w:r>
            <w:t>1</w:t>
          </w:r>
          <w:r>
            <w:fldChar w:fldCharType="end"/>
          </w:r>
          <w:r>
            <w:rPr>
              <w:rFonts w:hint="default"/>
            </w:rPr>
            <w:fldChar w:fldCharType="end"/>
          </w:r>
        </w:p>
        <w:p w14:paraId="6FD023D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_Toc14340 </w:instrText>
          </w:r>
          <w:r>
            <w:rPr>
              <w:rFonts w:hint="default"/>
            </w:rPr>
            <w:fldChar w:fldCharType="separate"/>
          </w:r>
          <w:r>
            <w:rPr>
              <w:rFonts w:hint="default" w:ascii="Times New Roman" w:hAnsi="Times New Roman" w:cs="Times New Roman"/>
            </w:rPr>
            <w:t>二、机构设置</w:t>
          </w:r>
          <w:r>
            <w:tab/>
          </w:r>
          <w:r>
            <w:fldChar w:fldCharType="begin"/>
          </w:r>
          <w:r>
            <w:instrText xml:space="preserve"> PAGEREF _Toc14340 \h </w:instrText>
          </w:r>
          <w:r>
            <w:fldChar w:fldCharType="separate"/>
          </w:r>
          <w:r>
            <w:t>3</w:t>
          </w:r>
          <w:r>
            <w:fldChar w:fldCharType="end"/>
          </w:r>
          <w:r>
            <w:rPr>
              <w:rFonts w:hint="default"/>
            </w:rPr>
            <w:fldChar w:fldCharType="end"/>
          </w:r>
        </w:p>
        <w:p w14:paraId="559133B2">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_Toc9178 </w:instrText>
          </w:r>
          <w:r>
            <w:rPr>
              <w:rFonts w:hint="default"/>
            </w:rPr>
            <w:fldChar w:fldCharType="separate"/>
          </w:r>
          <w:r>
            <w:rPr>
              <w:rFonts w:hint="eastAsia" w:ascii="Times New Roman" w:hAnsi="Times New Roman" w:cs="Times New Roman"/>
            </w:rPr>
            <w:t xml:space="preserve">第二部分 </w:t>
          </w:r>
          <w:r>
            <w:rPr>
              <w:rFonts w:hint="default" w:ascii="Times New Roman" w:hAnsi="Times New Roman" w:cs="Times New Roman"/>
              <w:lang w:val="en-US" w:eastAsia="zh-CN"/>
            </w:rPr>
            <w:t>2025年度</w:t>
          </w:r>
          <w:r>
            <w:rPr>
              <w:rFonts w:hint="default" w:ascii="Times New Roman" w:hAnsi="Times New Roman" w:cs="Times New Roman"/>
            </w:rPr>
            <w:t>部门决算情况说明</w:t>
          </w:r>
          <w:r>
            <w:tab/>
          </w:r>
          <w:r>
            <w:fldChar w:fldCharType="begin"/>
          </w:r>
          <w:r>
            <w:instrText xml:space="preserve"> PAGEREF _Toc9178 \h </w:instrText>
          </w:r>
          <w:r>
            <w:fldChar w:fldCharType="separate"/>
          </w:r>
          <w:r>
            <w:t>5</w:t>
          </w:r>
          <w:r>
            <w:fldChar w:fldCharType="end"/>
          </w:r>
          <w:r>
            <w:rPr>
              <w:rFonts w:hint="default"/>
            </w:rPr>
            <w:fldChar w:fldCharType="end"/>
          </w:r>
        </w:p>
        <w:p w14:paraId="2810E11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_Toc3064 </w:instrText>
          </w:r>
          <w:r>
            <w:rPr>
              <w:rFonts w:hint="default"/>
            </w:rPr>
            <w:fldChar w:fldCharType="separate"/>
          </w:r>
          <w:r>
            <w:rPr>
              <w:rFonts w:hint="default" w:ascii="Times New Roman" w:hAnsi="Times New Roman" w:eastAsia="楷体_GB2312" w:cs="Times New Roman"/>
              <w:lang w:eastAsia="zh-CN"/>
            </w:rPr>
            <w:t>一、</w:t>
          </w:r>
          <w:r>
            <w:rPr>
              <w:rFonts w:hint="default" w:ascii="Times New Roman" w:hAnsi="Times New Roman" w:eastAsia="楷体_GB2312" w:cs="Times New Roman"/>
            </w:rPr>
            <w:t>收入支出决算总体情况说明</w:t>
          </w:r>
          <w:r>
            <w:tab/>
          </w:r>
          <w:r>
            <w:fldChar w:fldCharType="begin"/>
          </w:r>
          <w:r>
            <w:instrText xml:space="preserve"> PAGEREF _Toc3064 \h </w:instrText>
          </w:r>
          <w:r>
            <w:fldChar w:fldCharType="separate"/>
          </w:r>
          <w:r>
            <w:t>5</w:t>
          </w:r>
          <w:r>
            <w:fldChar w:fldCharType="end"/>
          </w:r>
          <w:r>
            <w:rPr>
              <w:rFonts w:hint="default"/>
            </w:rPr>
            <w:fldChar w:fldCharType="end"/>
          </w:r>
        </w:p>
        <w:p w14:paraId="1B6104A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_Toc32648 </w:instrText>
          </w:r>
          <w:r>
            <w:rPr>
              <w:rFonts w:hint="default"/>
            </w:rPr>
            <w:fldChar w:fldCharType="separate"/>
          </w:r>
          <w:r>
            <w:rPr>
              <w:rFonts w:hint="default" w:ascii="Times New Roman" w:hAnsi="Times New Roman" w:eastAsia="楷体_GB2312" w:cs="Times New Roman"/>
              <w:lang w:eastAsia="zh-CN"/>
            </w:rPr>
            <w:t>二、收入决算情况说明</w:t>
          </w:r>
          <w:r>
            <w:tab/>
          </w:r>
          <w:r>
            <w:fldChar w:fldCharType="begin"/>
          </w:r>
          <w:r>
            <w:instrText xml:space="preserve"> PAGEREF _Toc32648 \h </w:instrText>
          </w:r>
          <w:r>
            <w:fldChar w:fldCharType="separate"/>
          </w:r>
          <w:r>
            <w:t>5</w:t>
          </w:r>
          <w:r>
            <w:fldChar w:fldCharType="end"/>
          </w:r>
          <w:r>
            <w:rPr>
              <w:rFonts w:hint="default"/>
            </w:rPr>
            <w:fldChar w:fldCharType="end"/>
          </w:r>
        </w:p>
        <w:p w14:paraId="047A223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_Toc26601 </w:instrText>
          </w:r>
          <w:r>
            <w:rPr>
              <w:rFonts w:hint="default"/>
            </w:rPr>
            <w:fldChar w:fldCharType="separate"/>
          </w:r>
          <w:r>
            <w:rPr>
              <w:rFonts w:hint="default" w:ascii="Times New Roman" w:hAnsi="Times New Roman" w:eastAsia="楷体_GB2312" w:cs="Times New Roman"/>
              <w:lang w:eastAsia="zh-CN"/>
            </w:rPr>
            <w:t>三、支出决算情况说明</w:t>
          </w:r>
          <w:r>
            <w:tab/>
          </w:r>
          <w:r>
            <w:fldChar w:fldCharType="begin"/>
          </w:r>
          <w:r>
            <w:instrText xml:space="preserve"> PAGEREF _Toc26601 \h </w:instrText>
          </w:r>
          <w:r>
            <w:fldChar w:fldCharType="separate"/>
          </w:r>
          <w:r>
            <w:t>5</w:t>
          </w:r>
          <w:r>
            <w:fldChar w:fldCharType="end"/>
          </w:r>
          <w:r>
            <w:rPr>
              <w:rFonts w:hint="default"/>
            </w:rPr>
            <w:fldChar w:fldCharType="end"/>
          </w:r>
        </w:p>
        <w:p w14:paraId="791360B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_Toc19162 </w:instrText>
          </w:r>
          <w:r>
            <w:rPr>
              <w:rFonts w:hint="default"/>
            </w:rPr>
            <w:fldChar w:fldCharType="separate"/>
          </w:r>
          <w:r>
            <w:rPr>
              <w:rFonts w:hint="default" w:ascii="Times New Roman" w:hAnsi="Times New Roman" w:eastAsia="楷体_GB2312" w:cs="Times New Roman"/>
              <w:lang w:eastAsia="zh-CN"/>
            </w:rPr>
            <w:t>四、财政拨款收入支出决算总体情况说明</w:t>
          </w:r>
          <w:r>
            <w:tab/>
          </w:r>
          <w:r>
            <w:fldChar w:fldCharType="begin"/>
          </w:r>
          <w:r>
            <w:instrText xml:space="preserve"> PAGEREF _Toc19162 \h </w:instrText>
          </w:r>
          <w:r>
            <w:fldChar w:fldCharType="separate"/>
          </w:r>
          <w:r>
            <w:t>6</w:t>
          </w:r>
          <w:r>
            <w:fldChar w:fldCharType="end"/>
          </w:r>
          <w:r>
            <w:rPr>
              <w:rFonts w:hint="default"/>
            </w:rPr>
            <w:fldChar w:fldCharType="end"/>
          </w:r>
        </w:p>
        <w:p w14:paraId="4592E50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Cs/>
              <w:szCs w:val="32"/>
              <w:lang w:val="en-US" w:eastAsia="zh-CN"/>
            </w:rPr>
          </w:pPr>
          <w:r>
            <w:rPr>
              <w:rFonts w:hint="default"/>
            </w:rPr>
            <w:fldChar w:fldCharType="begin"/>
          </w:r>
          <w:r>
            <w:rPr>
              <w:rFonts w:hint="default"/>
            </w:rPr>
            <w:instrText xml:space="preserve"> HYPERLINK \l _Toc14712 </w:instrText>
          </w:r>
          <w:r>
            <w:rPr>
              <w:rFonts w:hint="default"/>
            </w:rPr>
            <w:fldChar w:fldCharType="separate"/>
          </w:r>
          <w:r>
            <w:rPr>
              <w:rFonts w:hint="default" w:ascii="Times New Roman" w:hAnsi="Times New Roman" w:eastAsia="楷体_GB2312" w:cs="Times New Roman"/>
              <w:lang w:eastAsia="zh-CN"/>
            </w:rPr>
            <w:t>五、一般公共预算财政拨款支出决算情况说明</w:t>
          </w:r>
          <w:r>
            <w:tab/>
          </w:r>
          <w:r>
            <w:fldChar w:fldCharType="begin"/>
          </w:r>
          <w:r>
            <w:instrText xml:space="preserve"> PAGEREF _Toc14712 \h </w:instrText>
          </w:r>
          <w:r>
            <w:fldChar w:fldCharType="separate"/>
          </w:r>
          <w:r>
            <w:t>6</w:t>
          </w:r>
          <w:r>
            <w:fldChar w:fldCharType="end"/>
          </w:r>
          <w:r>
            <w:rPr>
              <w:rFonts w:hint="default"/>
            </w:rPr>
            <w:fldChar w:fldCharType="end"/>
          </w:r>
          <w:r>
            <w:rPr>
              <w:rFonts w:hint="default"/>
            </w:rPr>
            <w:fldChar w:fldCharType="begin"/>
          </w:r>
          <w:r>
            <w:rPr>
              <w:rFonts w:hint="default"/>
            </w:rPr>
            <w:instrText xml:space="preserve"> HYPERLINK \l _Toc14051 </w:instrText>
          </w:r>
          <w:r>
            <w:rPr>
              <w:rFonts w:hint="default"/>
            </w:rPr>
            <w:fldChar w:fldCharType="separate"/>
          </w:r>
        </w:p>
        <w:p w14:paraId="6EC9960E">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ascii="Times New Roman" w:hAnsi="Times New Roman" w:eastAsia="楷体_GB2312" w:cs="Times New Roman"/>
              <w:bCs/>
              <w:kern w:val="2"/>
              <w:szCs w:val="32"/>
              <w:lang w:val="en-US" w:eastAsia="zh-CN" w:bidi="ar-SA"/>
            </w:rPr>
            <w:t>六、一般公共预算财政拨款基本支出决算情况说明</w:t>
          </w:r>
          <w:r>
            <w:tab/>
          </w:r>
          <w:r>
            <w:fldChar w:fldCharType="begin"/>
          </w:r>
          <w:r>
            <w:instrText xml:space="preserve"> PAGEREF _Toc14051 \h </w:instrText>
          </w:r>
          <w:r>
            <w:fldChar w:fldCharType="separate"/>
          </w:r>
          <w:r>
            <w:t>7</w:t>
          </w:r>
          <w:r>
            <w:fldChar w:fldCharType="end"/>
          </w:r>
          <w:r>
            <w:rPr>
              <w:rFonts w:hint="default"/>
            </w:rPr>
            <w:fldChar w:fldCharType="end"/>
          </w:r>
        </w:p>
        <w:p w14:paraId="53B2D14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_Toc22615 </w:instrText>
          </w:r>
          <w:r>
            <w:rPr>
              <w:rFonts w:hint="default"/>
            </w:rPr>
            <w:fldChar w:fldCharType="separate"/>
          </w:r>
          <w:r>
            <w:rPr>
              <w:rFonts w:hint="default" w:ascii="Times New Roman" w:hAnsi="Times New Roman" w:eastAsia="楷体_GB2312" w:cs="Times New Roman"/>
              <w:lang w:eastAsia="zh-CN"/>
            </w:rPr>
            <w:t>七、财政拨款“三公”经费支出决算情况说明</w:t>
          </w:r>
          <w:r>
            <w:tab/>
          </w:r>
          <w:r>
            <w:fldChar w:fldCharType="begin"/>
          </w:r>
          <w:r>
            <w:instrText xml:space="preserve"> PAGEREF _Toc22615 \h </w:instrText>
          </w:r>
          <w:r>
            <w:fldChar w:fldCharType="separate"/>
          </w:r>
          <w:r>
            <w:t>7</w:t>
          </w:r>
          <w:r>
            <w:fldChar w:fldCharType="end"/>
          </w:r>
          <w:r>
            <w:rPr>
              <w:rFonts w:hint="default"/>
            </w:rPr>
            <w:fldChar w:fldCharType="end"/>
          </w:r>
        </w:p>
        <w:p w14:paraId="3A1717B9">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_Toc12530 </w:instrText>
          </w:r>
          <w:r>
            <w:rPr>
              <w:rFonts w:hint="default"/>
            </w:rPr>
            <w:fldChar w:fldCharType="separate"/>
          </w:r>
          <w:r>
            <w:rPr>
              <w:rFonts w:hint="default" w:ascii="Times New Roman" w:hAnsi="Times New Roman" w:eastAsia="楷体_GB2312" w:cs="Times New Roman"/>
              <w:lang w:eastAsia="zh-CN"/>
            </w:rPr>
            <w:t>八、政府性基金预算支出决算情况说明</w:t>
          </w:r>
          <w:r>
            <w:tab/>
          </w:r>
          <w:r>
            <w:fldChar w:fldCharType="begin"/>
          </w:r>
          <w:r>
            <w:instrText xml:space="preserve"> PAGEREF _Toc12530 \h </w:instrText>
          </w:r>
          <w:r>
            <w:fldChar w:fldCharType="separate"/>
          </w:r>
          <w:r>
            <w:t>8</w:t>
          </w:r>
          <w:r>
            <w:fldChar w:fldCharType="end"/>
          </w:r>
          <w:r>
            <w:rPr>
              <w:rFonts w:hint="default"/>
            </w:rPr>
            <w:fldChar w:fldCharType="end"/>
          </w:r>
        </w:p>
        <w:p w14:paraId="3916DB1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_Toc891 </w:instrText>
          </w:r>
          <w:r>
            <w:rPr>
              <w:rFonts w:hint="default"/>
            </w:rPr>
            <w:fldChar w:fldCharType="separate"/>
          </w:r>
          <w:r>
            <w:rPr>
              <w:rFonts w:hint="default" w:ascii="Times New Roman" w:hAnsi="Times New Roman" w:eastAsia="楷体_GB2312" w:cs="Times New Roman"/>
              <w:lang w:eastAsia="zh-CN"/>
            </w:rPr>
            <w:t>九、国有资本经营预算支出决算情况说明</w:t>
          </w:r>
          <w:r>
            <w:tab/>
          </w:r>
          <w:r>
            <w:fldChar w:fldCharType="begin"/>
          </w:r>
          <w:r>
            <w:instrText xml:space="preserve"> PAGEREF _Toc891 \h </w:instrText>
          </w:r>
          <w:r>
            <w:fldChar w:fldCharType="separate"/>
          </w:r>
          <w:r>
            <w:t>9</w:t>
          </w:r>
          <w:r>
            <w:fldChar w:fldCharType="end"/>
          </w:r>
          <w:r>
            <w:rPr>
              <w:rFonts w:hint="default"/>
            </w:rPr>
            <w:fldChar w:fldCharType="end"/>
          </w:r>
        </w:p>
        <w:p w14:paraId="339A90C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_Toc9467 </w:instrText>
          </w:r>
          <w:r>
            <w:rPr>
              <w:rFonts w:hint="default"/>
            </w:rPr>
            <w:fldChar w:fldCharType="separate"/>
          </w:r>
          <w:r>
            <w:rPr>
              <w:rFonts w:hint="default" w:ascii="Times New Roman" w:hAnsi="Times New Roman" w:eastAsia="楷体_GB2312" w:cs="Times New Roman"/>
              <w:lang w:eastAsia="zh-CN"/>
            </w:rPr>
            <w:t>十、其他重要事项的情况说明</w:t>
          </w:r>
          <w:r>
            <w:tab/>
          </w:r>
          <w:r>
            <w:fldChar w:fldCharType="begin"/>
          </w:r>
          <w:r>
            <w:instrText xml:space="preserve"> PAGEREF _Toc9467 \h </w:instrText>
          </w:r>
          <w:r>
            <w:fldChar w:fldCharType="separate"/>
          </w:r>
          <w:r>
            <w:t>9</w:t>
          </w:r>
          <w:r>
            <w:fldChar w:fldCharType="end"/>
          </w:r>
          <w:r>
            <w:rPr>
              <w:rFonts w:hint="default"/>
            </w:rPr>
            <w:fldChar w:fldCharType="end"/>
          </w:r>
        </w:p>
        <w:p w14:paraId="156B3C30">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_Toc772 </w:instrText>
          </w:r>
          <w:r>
            <w:rPr>
              <w:rFonts w:hint="default"/>
            </w:rPr>
            <w:fldChar w:fldCharType="separate"/>
          </w:r>
          <w:r>
            <w:rPr>
              <w:rFonts w:hint="default" w:ascii="Times New Roman" w:hAnsi="Times New Roman" w:cs="Times New Roman"/>
            </w:rPr>
            <w:t>第</w:t>
          </w:r>
          <w:r>
            <w:rPr>
              <w:rFonts w:hint="default" w:ascii="Times New Roman" w:hAnsi="Times New Roman" w:cs="Times New Roman"/>
              <w:lang w:eastAsia="zh-CN"/>
            </w:rPr>
            <w:t>三</w:t>
          </w:r>
          <w:r>
            <w:rPr>
              <w:rFonts w:hint="default" w:ascii="Times New Roman" w:hAnsi="Times New Roman" w:cs="Times New Roman"/>
            </w:rPr>
            <w:t>部分</w:t>
          </w:r>
          <w:r>
            <w:rPr>
              <w:rFonts w:hint="default" w:ascii="Times New Roman" w:hAnsi="Times New Roman" w:cs="Times New Roman"/>
              <w:lang w:val="en-US" w:eastAsia="zh-CN"/>
            </w:rPr>
            <w:t xml:space="preserve">  </w:t>
          </w:r>
          <w:r>
            <w:rPr>
              <w:rFonts w:hint="default" w:ascii="Times New Roman" w:hAnsi="Times New Roman" w:cs="Times New Roman"/>
            </w:rPr>
            <w:t>名词解释</w:t>
          </w:r>
          <w:r>
            <w:tab/>
          </w:r>
          <w:r>
            <w:fldChar w:fldCharType="begin"/>
          </w:r>
          <w:r>
            <w:instrText xml:space="preserve"> PAGEREF _Toc772 \h </w:instrText>
          </w:r>
          <w:r>
            <w:fldChar w:fldCharType="separate"/>
          </w:r>
          <w:r>
            <w:t>10</w:t>
          </w:r>
          <w:r>
            <w:fldChar w:fldCharType="end"/>
          </w:r>
          <w:r>
            <w:rPr>
              <w:rFonts w:hint="default"/>
            </w:rPr>
            <w:fldChar w:fldCharType="end"/>
          </w:r>
        </w:p>
        <w:p w14:paraId="2F2DA0B3">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_Toc18105 </w:instrText>
          </w:r>
          <w:r>
            <w:rPr>
              <w:rFonts w:hint="default"/>
            </w:rPr>
            <w:fldChar w:fldCharType="separate"/>
          </w:r>
          <w:r>
            <w:rPr>
              <w:rFonts w:hint="default" w:ascii="Times New Roman" w:hAnsi="Times New Roman" w:cs="Times New Roman"/>
            </w:rPr>
            <w:t>第五部分 附表</w:t>
          </w:r>
          <w:r>
            <w:tab/>
          </w:r>
          <w:r>
            <w:fldChar w:fldCharType="begin"/>
          </w:r>
          <w:r>
            <w:instrText xml:space="preserve"> PAGEREF _Toc18105 \h </w:instrText>
          </w:r>
          <w:r>
            <w:fldChar w:fldCharType="separate"/>
          </w:r>
          <w:r>
            <w:t>13</w:t>
          </w:r>
          <w:r>
            <w:fldChar w:fldCharType="end"/>
          </w:r>
          <w:r>
            <w:rPr>
              <w:rFonts w:hint="default"/>
            </w:rPr>
            <w:fldChar w:fldCharType="end"/>
          </w:r>
        </w:p>
        <w:p w14:paraId="4C6B4C5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_Toc12761 </w:instrText>
          </w:r>
          <w:r>
            <w:rPr>
              <w:rFonts w:hint="default"/>
            </w:rPr>
            <w:fldChar w:fldCharType="separate"/>
          </w:r>
          <w:r>
            <w:rPr>
              <w:rFonts w:hint="default" w:ascii="Times New Roman" w:hAnsi="Times New Roman" w:eastAsia="楷体_GB2312" w:cs="Times New Roman"/>
              <w:bCs w:val="0"/>
            </w:rPr>
            <w:t>一、收入支出决算总表</w:t>
          </w:r>
          <w:r>
            <w:tab/>
          </w:r>
          <w:r>
            <w:fldChar w:fldCharType="begin"/>
          </w:r>
          <w:r>
            <w:instrText xml:space="preserve"> PAGEREF _Toc12761 \h </w:instrText>
          </w:r>
          <w:r>
            <w:fldChar w:fldCharType="separate"/>
          </w:r>
          <w:r>
            <w:t>13</w:t>
          </w:r>
          <w:r>
            <w:fldChar w:fldCharType="end"/>
          </w:r>
          <w:r>
            <w:rPr>
              <w:rFonts w:hint="default"/>
            </w:rPr>
            <w:fldChar w:fldCharType="end"/>
          </w:r>
        </w:p>
        <w:p w14:paraId="031B965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_Toc7851 </w:instrText>
          </w:r>
          <w:r>
            <w:rPr>
              <w:rFonts w:hint="default"/>
            </w:rPr>
            <w:fldChar w:fldCharType="separate"/>
          </w:r>
          <w:r>
            <w:rPr>
              <w:rFonts w:hint="default" w:ascii="Times New Roman" w:hAnsi="Times New Roman" w:eastAsia="楷体_GB2312" w:cs="Times New Roman"/>
              <w:bCs w:val="0"/>
            </w:rPr>
            <w:t>二、收入决算表</w:t>
          </w:r>
          <w:r>
            <w:tab/>
          </w:r>
          <w:r>
            <w:fldChar w:fldCharType="begin"/>
          </w:r>
          <w:r>
            <w:instrText xml:space="preserve"> PAGEREF _Toc7851 \h </w:instrText>
          </w:r>
          <w:r>
            <w:fldChar w:fldCharType="separate"/>
          </w:r>
          <w:r>
            <w:t>13</w:t>
          </w:r>
          <w:r>
            <w:fldChar w:fldCharType="end"/>
          </w:r>
          <w:r>
            <w:rPr>
              <w:rFonts w:hint="default"/>
            </w:rPr>
            <w:fldChar w:fldCharType="end"/>
          </w:r>
        </w:p>
        <w:p w14:paraId="6D88CC2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_Toc6865 </w:instrText>
          </w:r>
          <w:r>
            <w:rPr>
              <w:rFonts w:hint="default"/>
            </w:rPr>
            <w:fldChar w:fldCharType="separate"/>
          </w:r>
          <w:r>
            <w:rPr>
              <w:rFonts w:hint="default" w:ascii="Times New Roman" w:hAnsi="Times New Roman" w:eastAsia="楷体_GB2312" w:cs="Times New Roman"/>
              <w:bCs w:val="0"/>
            </w:rPr>
            <w:t>三、支出决算表</w:t>
          </w:r>
          <w:r>
            <w:tab/>
          </w:r>
          <w:r>
            <w:fldChar w:fldCharType="begin"/>
          </w:r>
          <w:r>
            <w:instrText xml:space="preserve"> PAGEREF _Toc6865 \h </w:instrText>
          </w:r>
          <w:r>
            <w:fldChar w:fldCharType="separate"/>
          </w:r>
          <w:r>
            <w:t>13</w:t>
          </w:r>
          <w:r>
            <w:fldChar w:fldCharType="end"/>
          </w:r>
          <w:r>
            <w:rPr>
              <w:rFonts w:hint="default"/>
            </w:rPr>
            <w:fldChar w:fldCharType="end"/>
          </w:r>
        </w:p>
        <w:p w14:paraId="0C3081B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_Toc14077 </w:instrText>
          </w:r>
          <w:r>
            <w:rPr>
              <w:rFonts w:hint="default"/>
            </w:rPr>
            <w:fldChar w:fldCharType="separate"/>
          </w:r>
          <w:r>
            <w:rPr>
              <w:rFonts w:hint="default" w:ascii="Times New Roman" w:hAnsi="Times New Roman" w:eastAsia="楷体_GB2312" w:cs="Times New Roman"/>
              <w:bCs w:val="0"/>
            </w:rPr>
            <w:t>四、财政拨款收入支出决算总表</w:t>
          </w:r>
          <w:r>
            <w:tab/>
          </w:r>
          <w:r>
            <w:fldChar w:fldCharType="begin"/>
          </w:r>
          <w:r>
            <w:instrText xml:space="preserve"> PAGEREF _Toc14077 \h </w:instrText>
          </w:r>
          <w:r>
            <w:fldChar w:fldCharType="separate"/>
          </w:r>
          <w:r>
            <w:t>13</w:t>
          </w:r>
          <w:r>
            <w:fldChar w:fldCharType="end"/>
          </w:r>
          <w:r>
            <w:rPr>
              <w:rFonts w:hint="default"/>
            </w:rPr>
            <w:fldChar w:fldCharType="end"/>
          </w:r>
        </w:p>
        <w:p w14:paraId="5D7B10B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_Toc26446 </w:instrText>
          </w:r>
          <w:r>
            <w:rPr>
              <w:rFonts w:hint="default"/>
            </w:rPr>
            <w:fldChar w:fldCharType="separate"/>
          </w:r>
          <w:r>
            <w:rPr>
              <w:rFonts w:hint="default" w:ascii="Times New Roman" w:hAnsi="Times New Roman" w:eastAsia="楷体_GB2312" w:cs="Times New Roman"/>
              <w:bCs w:val="0"/>
            </w:rPr>
            <w:t>五、财政拨款支出决算明细表</w:t>
          </w:r>
          <w:r>
            <w:tab/>
          </w:r>
          <w:r>
            <w:fldChar w:fldCharType="begin"/>
          </w:r>
          <w:r>
            <w:instrText xml:space="preserve"> PAGEREF _Toc26446 \h </w:instrText>
          </w:r>
          <w:r>
            <w:fldChar w:fldCharType="separate"/>
          </w:r>
          <w:r>
            <w:t>13</w:t>
          </w:r>
          <w:r>
            <w:fldChar w:fldCharType="end"/>
          </w:r>
          <w:r>
            <w:rPr>
              <w:rFonts w:hint="default"/>
            </w:rPr>
            <w:fldChar w:fldCharType="end"/>
          </w:r>
        </w:p>
        <w:p w14:paraId="377ACFBD">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_Toc25545 </w:instrText>
          </w:r>
          <w:r>
            <w:rPr>
              <w:rFonts w:hint="default"/>
            </w:rPr>
            <w:fldChar w:fldCharType="separate"/>
          </w:r>
          <w:r>
            <w:rPr>
              <w:rFonts w:hint="default" w:ascii="Times New Roman" w:hAnsi="Times New Roman" w:eastAsia="楷体_GB2312" w:cs="Times New Roman"/>
              <w:bCs w:val="0"/>
            </w:rPr>
            <w:t>六、一般公共预算财政拨款支出决算表</w:t>
          </w:r>
          <w:r>
            <w:tab/>
          </w:r>
          <w:r>
            <w:fldChar w:fldCharType="begin"/>
          </w:r>
          <w:r>
            <w:instrText xml:space="preserve"> PAGEREF _Toc25545 \h </w:instrText>
          </w:r>
          <w:r>
            <w:fldChar w:fldCharType="separate"/>
          </w:r>
          <w:r>
            <w:t>13</w:t>
          </w:r>
          <w:r>
            <w:fldChar w:fldCharType="end"/>
          </w:r>
          <w:r>
            <w:rPr>
              <w:rFonts w:hint="default"/>
            </w:rPr>
            <w:fldChar w:fldCharType="end"/>
          </w:r>
        </w:p>
        <w:p w14:paraId="0296530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_Toc12866 </w:instrText>
          </w:r>
          <w:r>
            <w:rPr>
              <w:rFonts w:hint="default"/>
            </w:rPr>
            <w:fldChar w:fldCharType="separate"/>
          </w:r>
          <w:r>
            <w:rPr>
              <w:rFonts w:hint="default" w:ascii="Times New Roman" w:hAnsi="Times New Roman" w:eastAsia="楷体_GB2312" w:cs="Times New Roman"/>
              <w:bCs w:val="0"/>
            </w:rPr>
            <w:t>七、一般公共预算财政拨款支出决算明细表</w:t>
          </w:r>
          <w:r>
            <w:tab/>
          </w:r>
          <w:r>
            <w:fldChar w:fldCharType="begin"/>
          </w:r>
          <w:r>
            <w:instrText xml:space="preserve"> PAGEREF _Toc12866 \h </w:instrText>
          </w:r>
          <w:r>
            <w:fldChar w:fldCharType="separate"/>
          </w:r>
          <w:r>
            <w:t>13</w:t>
          </w:r>
          <w:r>
            <w:fldChar w:fldCharType="end"/>
          </w:r>
          <w:r>
            <w:rPr>
              <w:rFonts w:hint="default"/>
            </w:rPr>
            <w:fldChar w:fldCharType="end"/>
          </w:r>
        </w:p>
        <w:p w14:paraId="0C5904A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_Toc30350 </w:instrText>
          </w:r>
          <w:r>
            <w:rPr>
              <w:rFonts w:hint="default"/>
            </w:rPr>
            <w:fldChar w:fldCharType="separate"/>
          </w:r>
          <w:r>
            <w:rPr>
              <w:rFonts w:hint="default" w:ascii="Times New Roman" w:hAnsi="Times New Roman" w:eastAsia="楷体_GB2312" w:cs="Times New Roman"/>
              <w:bCs w:val="0"/>
            </w:rPr>
            <w:t>八、一般公共预算财政拨款基本支出决算表</w:t>
          </w:r>
          <w:r>
            <w:tab/>
          </w:r>
          <w:r>
            <w:fldChar w:fldCharType="begin"/>
          </w:r>
          <w:r>
            <w:instrText xml:space="preserve"> PAGEREF _Toc30350 \h </w:instrText>
          </w:r>
          <w:r>
            <w:fldChar w:fldCharType="separate"/>
          </w:r>
          <w:r>
            <w:t>13</w:t>
          </w:r>
          <w:r>
            <w:fldChar w:fldCharType="end"/>
          </w:r>
          <w:r>
            <w:rPr>
              <w:rFonts w:hint="default"/>
            </w:rPr>
            <w:fldChar w:fldCharType="end"/>
          </w:r>
        </w:p>
        <w:p w14:paraId="50F0485C">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_Toc26676 </w:instrText>
          </w:r>
          <w:r>
            <w:rPr>
              <w:rFonts w:hint="default"/>
            </w:rPr>
            <w:fldChar w:fldCharType="separate"/>
          </w:r>
          <w:r>
            <w:rPr>
              <w:rFonts w:hint="default" w:ascii="Times New Roman" w:hAnsi="Times New Roman" w:eastAsia="楷体_GB2312" w:cs="Times New Roman"/>
              <w:bCs w:val="0"/>
            </w:rPr>
            <w:t>九、一般公共预算财政拨款项目支出决算表</w:t>
          </w:r>
          <w:r>
            <w:tab/>
          </w:r>
          <w:r>
            <w:fldChar w:fldCharType="begin"/>
          </w:r>
          <w:r>
            <w:instrText xml:space="preserve"> PAGEREF _Toc26676 \h </w:instrText>
          </w:r>
          <w:r>
            <w:fldChar w:fldCharType="separate"/>
          </w:r>
          <w:r>
            <w:t>13</w:t>
          </w:r>
          <w:r>
            <w:fldChar w:fldCharType="end"/>
          </w:r>
          <w:r>
            <w:rPr>
              <w:rFonts w:hint="default"/>
            </w:rPr>
            <w:fldChar w:fldCharType="end"/>
          </w:r>
        </w:p>
        <w:p w14:paraId="76FE92F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_Toc11927 </w:instrText>
          </w:r>
          <w:r>
            <w:rPr>
              <w:rFonts w:hint="default"/>
            </w:rPr>
            <w:fldChar w:fldCharType="separate"/>
          </w:r>
          <w:r>
            <w:rPr>
              <w:rFonts w:hint="default" w:ascii="Times New Roman" w:hAnsi="Times New Roman" w:eastAsia="楷体_GB2312" w:cs="Times New Roman"/>
              <w:bCs w:val="0"/>
            </w:rPr>
            <w:t>十、政府性基金预算财政拨款收入支出决算表</w:t>
          </w:r>
          <w:r>
            <w:tab/>
          </w:r>
          <w:r>
            <w:fldChar w:fldCharType="begin"/>
          </w:r>
          <w:r>
            <w:instrText xml:space="preserve"> PAGEREF _Toc11927 \h </w:instrText>
          </w:r>
          <w:r>
            <w:fldChar w:fldCharType="separate"/>
          </w:r>
          <w:r>
            <w:t>13</w:t>
          </w:r>
          <w:r>
            <w:fldChar w:fldCharType="end"/>
          </w:r>
          <w:r>
            <w:rPr>
              <w:rFonts w:hint="default"/>
            </w:rPr>
            <w:fldChar w:fldCharType="end"/>
          </w:r>
        </w:p>
        <w:p w14:paraId="7D361229">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_Toc17565 </w:instrText>
          </w:r>
          <w:r>
            <w:rPr>
              <w:rFonts w:hint="default"/>
            </w:rPr>
            <w:fldChar w:fldCharType="separate"/>
          </w:r>
          <w:r>
            <w:rPr>
              <w:rFonts w:hint="default" w:ascii="Times New Roman" w:hAnsi="Times New Roman" w:eastAsia="楷体_GB2312" w:cs="Times New Roman"/>
              <w:bCs w:val="0"/>
            </w:rPr>
            <w:t>十一、国有资本经营预算</w:t>
          </w:r>
          <w:r>
            <w:rPr>
              <w:rFonts w:hint="default" w:ascii="Times New Roman" w:hAnsi="Times New Roman" w:eastAsia="楷体_GB2312" w:cs="Times New Roman"/>
              <w:bCs w:val="0"/>
              <w:lang w:eastAsia="zh-CN"/>
            </w:rPr>
            <w:t>财政拨款收入</w:t>
          </w:r>
          <w:r>
            <w:rPr>
              <w:rFonts w:hint="default" w:ascii="Times New Roman" w:hAnsi="Times New Roman" w:eastAsia="楷体_GB2312" w:cs="Times New Roman"/>
              <w:bCs w:val="0"/>
            </w:rPr>
            <w:t>支出决算表</w:t>
          </w:r>
          <w:r>
            <w:tab/>
          </w:r>
          <w:r>
            <w:fldChar w:fldCharType="begin"/>
          </w:r>
          <w:r>
            <w:instrText xml:space="preserve"> PAGEREF _Toc17565 \h </w:instrText>
          </w:r>
          <w:r>
            <w:fldChar w:fldCharType="separate"/>
          </w:r>
          <w:r>
            <w:t>13</w:t>
          </w:r>
          <w:r>
            <w:fldChar w:fldCharType="end"/>
          </w:r>
          <w:r>
            <w:rPr>
              <w:rFonts w:hint="default"/>
            </w:rPr>
            <w:fldChar w:fldCharType="end"/>
          </w:r>
        </w:p>
        <w:p w14:paraId="7285C6E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_Toc21864 </w:instrText>
          </w:r>
          <w:r>
            <w:rPr>
              <w:rFonts w:hint="default"/>
            </w:rPr>
            <w:fldChar w:fldCharType="separate"/>
          </w:r>
          <w:r>
            <w:rPr>
              <w:rFonts w:hint="default" w:ascii="Times New Roman" w:hAnsi="Times New Roman" w:eastAsia="楷体_GB2312" w:cs="Times New Roman"/>
              <w:bCs w:val="0"/>
            </w:rPr>
            <w:t>十二、</w:t>
          </w:r>
          <w:r>
            <w:rPr>
              <w:rFonts w:hint="default" w:ascii="Times New Roman" w:hAnsi="Times New Roman" w:eastAsia="楷体_GB2312" w:cs="Times New Roman"/>
              <w:bCs w:val="0"/>
              <w:lang w:eastAsia="zh-CN"/>
            </w:rPr>
            <w:t>国有资本经营预算财政拨款支出决算表</w:t>
          </w:r>
          <w:r>
            <w:tab/>
          </w:r>
          <w:r>
            <w:fldChar w:fldCharType="begin"/>
          </w:r>
          <w:r>
            <w:instrText xml:space="preserve"> PAGEREF _Toc21864 \h </w:instrText>
          </w:r>
          <w:r>
            <w:fldChar w:fldCharType="separate"/>
          </w:r>
          <w:r>
            <w:t>13</w:t>
          </w:r>
          <w:r>
            <w:fldChar w:fldCharType="end"/>
          </w:r>
          <w:r>
            <w:rPr>
              <w:rFonts w:hint="default"/>
            </w:rPr>
            <w:fldChar w:fldCharType="end"/>
          </w:r>
        </w:p>
        <w:p w14:paraId="1EABD69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pPr>
          <w:r>
            <w:rPr>
              <w:rFonts w:hint="default"/>
            </w:rPr>
            <w:fldChar w:fldCharType="begin"/>
          </w:r>
          <w:r>
            <w:rPr>
              <w:rFonts w:hint="default"/>
            </w:rPr>
            <w:instrText xml:space="preserve"> HYPERLINK \l _Toc16161 </w:instrText>
          </w:r>
          <w:r>
            <w:rPr>
              <w:rFonts w:hint="default"/>
            </w:rPr>
            <w:fldChar w:fldCharType="separate"/>
          </w:r>
          <w:r>
            <w:rPr>
              <w:rFonts w:hint="default" w:ascii="Times New Roman" w:hAnsi="Times New Roman" w:eastAsia="楷体_GB2312" w:cs="Times New Roman"/>
              <w:bCs w:val="0"/>
            </w:rPr>
            <w:t>十三、</w:t>
          </w:r>
          <w:r>
            <w:rPr>
              <w:rFonts w:hint="default" w:ascii="Times New Roman" w:hAnsi="Times New Roman" w:eastAsia="楷体_GB2312" w:cs="Times New Roman"/>
              <w:bCs w:val="0"/>
              <w:lang w:eastAsia="zh-CN"/>
            </w:rPr>
            <w:t>财政拨款“三公”经费支出决算表</w:t>
          </w:r>
          <w:r>
            <w:tab/>
          </w:r>
          <w:r>
            <w:fldChar w:fldCharType="begin"/>
          </w:r>
          <w:r>
            <w:instrText xml:space="preserve"> PAGEREF _Toc16161 \h </w:instrText>
          </w:r>
          <w:r>
            <w:fldChar w:fldCharType="separate"/>
          </w:r>
          <w:r>
            <w:t>13</w:t>
          </w:r>
          <w:r>
            <w:fldChar w:fldCharType="end"/>
          </w:r>
          <w:r>
            <w:rPr>
              <w:rFonts w:hint="default"/>
            </w:rPr>
            <w:fldChar w:fldCharType="end"/>
          </w:r>
        </w:p>
        <w:p w14:paraId="4C40B95E">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宋体" w:cs="Times New Roman"/>
              <w:kern w:val="2"/>
              <w:sz w:val="21"/>
              <w:szCs w:val="24"/>
              <w:lang w:val="en-US" w:eastAsia="zh-CN" w:bidi="ar-SA"/>
            </w:rPr>
          </w:pPr>
          <w:r>
            <w:rPr>
              <w:rFonts w:hint="default"/>
            </w:rPr>
            <w:fldChar w:fldCharType="end"/>
          </w:r>
        </w:p>
      </w:sdtContent>
    </w:sdt>
    <w:p w14:paraId="7F691533">
      <w:pPr>
        <w:pStyle w:val="2"/>
        <w:rPr>
          <w:rFonts w:hint="default"/>
        </w:rPr>
      </w:pPr>
    </w:p>
    <w:p w14:paraId="3190889E">
      <w:pPr>
        <w:pageBreakBefore w:val="0"/>
        <w:kinsoku/>
        <w:wordWrap/>
        <w:overflowPunct/>
        <w:topLinePunct w:val="0"/>
        <w:autoSpaceDN/>
        <w:bidi w:val="0"/>
        <w:adjustRightInd/>
        <w:spacing w:line="576" w:lineRule="exact"/>
        <w:ind w:firstLine="420" w:firstLineChars="200"/>
        <w:textAlignment w:val="auto"/>
        <w:rPr>
          <w:rFonts w:hint="default" w:ascii="Times New Roman" w:hAnsi="Times New Roman" w:cs="Times New Roman"/>
          <w:color w:val="auto"/>
          <w:highlight w:val="none"/>
        </w:rPr>
      </w:pPr>
    </w:p>
    <w:p w14:paraId="3086FC20">
      <w:pPr>
        <w:pStyle w:val="3"/>
        <w:pageBreakBefore w:val="0"/>
        <w:kinsoku/>
        <w:wordWrap/>
        <w:overflowPunct/>
        <w:topLinePunct w:val="0"/>
        <w:autoSpaceDN/>
        <w:bidi w:val="0"/>
        <w:adjustRightInd/>
        <w:spacing w:before="0" w:after="0" w:line="576" w:lineRule="exact"/>
        <w:ind w:firstLine="883" w:firstLineChars="200"/>
        <w:jc w:val="center"/>
        <w:textAlignment w:val="auto"/>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bookmarkStart w:id="12" w:name="_Toc31204"/>
      <w:bookmarkStart w:id="13" w:name="_Toc15377196"/>
      <w:bookmarkStart w:id="14" w:name="_Toc15396599"/>
    </w:p>
    <w:p w14:paraId="1467F699">
      <w:pPr>
        <w:pStyle w:val="3"/>
        <w:pageBreakBefore w:val="0"/>
        <w:kinsoku/>
        <w:wordWrap/>
        <w:overflowPunct/>
        <w:topLinePunct w:val="0"/>
        <w:autoSpaceDN/>
        <w:bidi w:val="0"/>
        <w:adjustRightInd/>
        <w:spacing w:before="0" w:after="0" w:line="576" w:lineRule="exact"/>
        <w:ind w:firstLine="883" w:firstLineChars="200"/>
        <w:jc w:val="center"/>
        <w:textAlignment w:val="auto"/>
        <w:rPr>
          <w:rFonts w:hint="default" w:ascii="Times New Roman" w:hAnsi="Times New Roman" w:cs="Times New Roman"/>
        </w:rPr>
      </w:pPr>
      <w:r>
        <w:rPr>
          <w:rFonts w:hint="default" w:ascii="Times New Roman" w:hAnsi="Times New Roman" w:cs="Times New Roman"/>
        </w:rPr>
        <w:t>第一部分</w:t>
      </w:r>
      <w:r>
        <w:rPr>
          <w:rFonts w:hint="default" w:ascii="Times New Roman" w:hAnsi="Times New Roman" w:cs="Times New Roman"/>
          <w:lang w:val="en-US" w:eastAsia="zh-CN"/>
        </w:rPr>
        <w:t xml:space="preserve"> </w:t>
      </w:r>
      <w:r>
        <w:rPr>
          <w:rFonts w:hint="default" w:ascii="Times New Roman" w:hAnsi="Times New Roman" w:cs="Times New Roman"/>
        </w:rPr>
        <w:t xml:space="preserve"> 部门概况</w:t>
      </w:r>
      <w:bookmarkEnd w:id="12"/>
      <w:bookmarkEnd w:id="13"/>
      <w:bookmarkEnd w:id="14"/>
    </w:p>
    <w:p w14:paraId="1F7C5995">
      <w:pPr>
        <w:pStyle w:val="4"/>
        <w:keepNext/>
        <w:keepLines/>
        <w:pageBreakBefore w:val="0"/>
        <w:widowControl w:val="0"/>
        <w:numPr>
          <w:ilvl w:val="0"/>
          <w:numId w:val="1"/>
        </w:numPr>
        <w:kinsoku/>
        <w:wordWrap/>
        <w:overflowPunct/>
        <w:topLinePunct w:val="0"/>
        <w:autoSpaceDE/>
        <w:autoSpaceDN/>
        <w:bidi w:val="0"/>
        <w:adjustRightInd/>
        <w:snapToGrid/>
        <w:spacing w:line="416" w:lineRule="auto"/>
        <w:ind w:firstLine="643" w:firstLineChars="200"/>
        <w:textAlignment w:val="auto"/>
        <w:rPr>
          <w:rFonts w:hint="default"/>
          <w:lang w:eastAsia="zh-CN"/>
        </w:rPr>
      </w:pPr>
      <w:bookmarkStart w:id="15" w:name="_Toc10157"/>
      <w:r>
        <w:rPr>
          <w:rFonts w:hint="default"/>
          <w:lang w:eastAsia="zh-CN"/>
        </w:rPr>
        <w:t>部门职责</w:t>
      </w:r>
      <w:bookmarkEnd w:id="15"/>
    </w:p>
    <w:p w14:paraId="2DC95422">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lang w:val="en-US" w:eastAsia="zh-CN" w:bidi="ar-SA"/>
        </w:rPr>
        <w:t>（一）</w:t>
      </w:r>
      <w:r>
        <w:rPr>
          <w:rFonts w:hint="default" w:ascii="Times New Roman" w:hAnsi="Times New Roman" w:eastAsia="仿宋_GB2312" w:cs="Times New Roman"/>
          <w:kern w:val="0"/>
          <w:sz w:val="32"/>
          <w:szCs w:val="32"/>
          <w:shd w:val="clear" w:fill="FFFFFF"/>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任中）审计，对国家和省、州、县有关重大政策措施贯彻落实情况进行跟踪审计。对审计、专项审计调查和核查社会审计机构相关审计报告的结果承担责任，并负有督促被审计单位整改的责任。</w:t>
      </w:r>
      <w:r>
        <w:rPr>
          <w:rFonts w:hint="default" w:ascii="Times New Roman" w:hAnsi="Times New Roman" w:eastAsia="仿宋_GB2312" w:cs="Times New Roman"/>
          <w:kern w:val="0"/>
          <w:sz w:val="32"/>
          <w:szCs w:val="32"/>
          <w:shd w:val="clear" w:fill="FFFFFF"/>
        </w:rPr>
        <w:br w:type="textWrapping"/>
      </w:r>
      <w:r>
        <w:rPr>
          <w:rFonts w:hint="default" w:ascii="Times New Roman" w:hAnsi="Times New Roman" w:eastAsia="仿宋_GB2312" w:cs="Times New Roman"/>
          <w:kern w:val="0"/>
          <w:sz w:val="32"/>
          <w:szCs w:val="32"/>
          <w:shd w:val="clear" w:fill="FFFFFF"/>
        </w:rPr>
        <w:t xml:space="preserve">   （二）贯彻执行国家和省、州、县有关审计工作的方针政策和法律法规。起草规范性文件草案。制定并组织实施全县专业领域审计工作规划。对直接审计、调查和核查的事项依法进行审计评价，做出审计决定或提出审计建议。</w:t>
      </w:r>
    </w:p>
    <w:p w14:paraId="7DA11475">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SA"/>
        </w:rPr>
        <w:t>（二）</w:t>
      </w:r>
      <w:r>
        <w:rPr>
          <w:rFonts w:hint="default" w:ascii="Times New Roman" w:hAnsi="Times New Roman" w:eastAsia="仿宋_GB2312" w:cs="Times New Roman"/>
          <w:kern w:val="0"/>
          <w:sz w:val="32"/>
          <w:szCs w:val="32"/>
          <w:shd w:val="clear" w:fill="FFFFFF"/>
        </w:rPr>
        <w:t>向县委审计委员会提出年度县级预算执行和其他财政收支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w:t>
      </w:r>
      <w:bookmarkStart w:id="123" w:name="_GoBack"/>
      <w:r>
        <w:rPr>
          <w:rFonts w:hint="eastAsia" w:eastAsia="仿宋_GB2312" w:cs="Times New Roman"/>
          <w:kern w:val="0"/>
          <w:sz w:val="32"/>
          <w:szCs w:val="32"/>
          <w:shd w:val="clear" w:fill="FFFFFF"/>
          <w:lang w:eastAsia="zh-CN"/>
        </w:rPr>
        <w:t>和</w:t>
      </w:r>
      <w:bookmarkEnd w:id="123"/>
      <w:r>
        <w:rPr>
          <w:rFonts w:hint="default" w:ascii="Times New Roman" w:hAnsi="Times New Roman" w:eastAsia="仿宋_GB2312" w:cs="Times New Roman"/>
          <w:kern w:val="0"/>
          <w:sz w:val="32"/>
          <w:szCs w:val="32"/>
          <w:shd w:val="clear" w:fill="FFFFFF"/>
        </w:rPr>
        <w:t>乡镇党委、政府通报审计情况和审计结果。</w:t>
      </w:r>
    </w:p>
    <w:p w14:paraId="50834B98">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四）直接审计下列事项，出具审计报告，在法定职权范围内做出审计决定，包括国家、省、州和县有关重大政策措施贯彻落实情况；县级预算执行和其他财政收支；县级决算（草案）和其他财政收支；县级各部门（含直属单位）预算执行情况、决算和其他财政收支；使用县级财政资金的事业单位（含直属单位）和社会团体的财务收支；县级政府投资和以县级政府投资为主的建设项目的预算执行情况和决算，县级重大公共工程项目的资金管理使用和建设运营情况；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根据省审计厅、州审计局授权的国际组织和外国政府援助、贷款项目。法律法规规定的其他事项。</w:t>
      </w:r>
    </w:p>
    <w:p w14:paraId="4FC4CDD0">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（五）按规定对县委、县政府确定的或接受县级有关部门委托的、党政主要领导干部和县属国有企业及国有控股企业领导干部实施经济责任审计和自然资源资产离任（任中）审计。</w:t>
      </w:r>
    </w:p>
    <w:p w14:paraId="31225FBE">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（六）组织实施对国家、省、州、县财经法律法规、规章、政策和宏观调控措施执行情况、财政预算管理及国有资产管理使用等与县级财政收支有关的特定事项进行专项审计调查。</w:t>
      </w:r>
    </w:p>
    <w:p w14:paraId="5DA2E2EC">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（七）依法检查审计决定执行情况，督促整改审计查出的问题，依法办理县政府裁决的有关事项，协助配合有关部门查处相关重大案件。</w:t>
      </w:r>
    </w:p>
    <w:p w14:paraId="34120C57">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（八）指导和监督内部审计工作，核查社会审计机构对依法属于审计监督对象的单位出具的相关审计报告。</w:t>
      </w:r>
    </w:p>
    <w:p w14:paraId="7F7F18A7">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（九）组织开展审计</w:t>
      </w:r>
      <w:r>
        <w:rPr>
          <w:rFonts w:hint="eastAsia" w:eastAsia="仿宋_GB2312" w:cs="Times New Roman"/>
          <w:kern w:val="0"/>
          <w:sz w:val="32"/>
          <w:szCs w:val="32"/>
          <w:shd w:val="clear" w:fill="FFFFFF"/>
          <w:lang w:eastAsia="zh-CN"/>
        </w:rPr>
        <w:t>领域</w:t>
      </w:r>
      <w:r>
        <w:rPr>
          <w:rFonts w:hint="default" w:ascii="Times New Roman" w:hAnsi="Times New Roman" w:eastAsia="仿宋_GB2312" w:cs="Times New Roman"/>
          <w:kern w:val="0"/>
          <w:sz w:val="32"/>
          <w:szCs w:val="32"/>
          <w:shd w:val="clear" w:fill="FFFFFF"/>
        </w:rPr>
        <w:t>的交流与合作，组织开展信息技术在审计领域的应用。</w:t>
      </w:r>
    </w:p>
    <w:p w14:paraId="4D59D42D">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（十）负责全县重大项目稽查和县级预算执行情况和其他财政收支情况、国有企业的监督检查。</w:t>
      </w:r>
    </w:p>
    <w:p w14:paraId="20AC3351">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rPr>
        <w:t>（十一）负责实施范围内的安全生产和职业健康、生态环境保护、审批服务便民化等工作。</w:t>
      </w:r>
    </w:p>
    <w:p w14:paraId="63E4AF84">
      <w:pPr>
        <w:keepNext w:val="0"/>
        <w:keepLines w:val="0"/>
        <w:pageBreakBefore w:val="0"/>
        <w:widowControl w:val="0"/>
        <w:numPr>
          <w:ilvl w:val="0"/>
          <w:numId w:val="0"/>
        </w:numPr>
        <w:kinsoku/>
        <w:wordWrap/>
        <w:overflowPunct/>
        <w:topLinePunct w:val="0"/>
        <w:autoSpaceDE/>
        <w:autoSpaceDN/>
        <w:bidi w:val="0"/>
        <w:adjustRightInd/>
        <w:snapToGrid/>
        <w:spacing w:afterAutospacing="0" w:line="576" w:lineRule="exact"/>
        <w:ind w:left="0" w:leftChars="0" w:firstLine="640" w:firstLineChars="200"/>
        <w:textAlignment w:val="auto"/>
        <w:rPr>
          <w:rFonts w:hint="default" w:ascii="Times New Roman" w:hAnsi="Times New Roman" w:eastAsia="仿宋_GB2312" w:cs="Times New Roman"/>
          <w:kern w:val="0"/>
          <w:sz w:val="32"/>
          <w:szCs w:val="32"/>
          <w:shd w:val="clear" w:fill="FFFFFF"/>
        </w:rPr>
      </w:pPr>
      <w:bookmarkStart w:id="16" w:name="_Toc9926"/>
      <w:bookmarkStart w:id="17" w:name="_Toc23059"/>
      <w:r>
        <w:rPr>
          <w:rFonts w:hint="default" w:ascii="Times New Roman" w:hAnsi="Times New Roman" w:eastAsia="仿宋_GB2312" w:cs="Times New Roman"/>
          <w:kern w:val="0"/>
          <w:sz w:val="32"/>
          <w:szCs w:val="32"/>
          <w:shd w:val="clear" w:fill="FFFFFF"/>
        </w:rPr>
        <w:t>（十二）完成县委、县政府交办的其他任务。</w:t>
      </w:r>
      <w:bookmarkEnd w:id="16"/>
      <w:bookmarkEnd w:id="17"/>
    </w:p>
    <w:p w14:paraId="7BA73972">
      <w:pPr>
        <w:keepNext w:val="0"/>
        <w:keepLines w:val="0"/>
        <w:pageBreakBefore w:val="0"/>
        <w:widowControl/>
        <w:suppressLineNumbers w:val="0"/>
        <w:kinsoku/>
        <w:wordWrap/>
        <w:overflowPunct/>
        <w:topLinePunct w:val="0"/>
        <w:autoSpaceDE w:val="0"/>
        <w:autoSpaceDN/>
        <w:bidi w:val="0"/>
        <w:adjustRightInd/>
        <w:snapToGrid/>
        <w:spacing w:afterAutospacing="0" w:line="576" w:lineRule="exact"/>
        <w:ind w:left="0" w:leftChars="0" w:right="0" w:rightChars="0"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十三）职能转变。进一步完善审计管理体制，加强全县审计工作统筹，明晰职能定位，理顺内部职责关系，优化审计资源配置，充实加强审计力量，构建集中统一、全面覆盖、权威高效的审计监督体系。优化审计工作机制，坚持科技强审，完善业务流程，改进工作方式，加强与有关部门的沟通协调，充分调动内部审计和社会审计力量，增强监督合力。</w:t>
      </w:r>
    </w:p>
    <w:p w14:paraId="110DB42E">
      <w:pPr>
        <w:pStyle w:val="4"/>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cs="Times New Roman"/>
        </w:rPr>
      </w:pPr>
      <w:bookmarkStart w:id="18" w:name="_Toc15216"/>
      <w:bookmarkStart w:id="19" w:name="_Toc14340"/>
      <w:r>
        <w:rPr>
          <w:rFonts w:hint="default" w:ascii="Times New Roman" w:hAnsi="Times New Roman" w:cs="Times New Roman"/>
        </w:rPr>
        <w:t>二、机构设置</w:t>
      </w:r>
      <w:bookmarkEnd w:id="18"/>
      <w:bookmarkEnd w:id="19"/>
    </w:p>
    <w:p w14:paraId="143726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（一）办公室</w:t>
      </w:r>
    </w:p>
    <w:p w14:paraId="572C707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处理局机关日常政务，负责有关重要会议的组织和有关报告、文件及局机关管理制度的起草；编制全县审计工作计划，负责局机关目标管理、离退休人员的管理；负责审计调查研究、宣传、对外协调、新闻发布和机关文电处理、保密、信访、档案管理。</w:t>
      </w:r>
    </w:p>
    <w:p w14:paraId="2B42627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楷体_GB2312" w:cs="Times New Roman"/>
          <w:sz w:val="32"/>
          <w:szCs w:val="32"/>
          <w:lang w:eastAsia="zh-CN"/>
        </w:rPr>
      </w:pPr>
      <w:bookmarkStart w:id="20" w:name="_Toc4657"/>
      <w:bookmarkEnd w:id="20"/>
      <w:bookmarkStart w:id="21" w:name="_Toc15946"/>
      <w:bookmarkEnd w:id="21"/>
      <w:bookmarkStart w:id="22" w:name="_Toc32743"/>
      <w:bookmarkEnd w:id="22"/>
      <w:bookmarkStart w:id="23" w:name="_Toc12009"/>
      <w:bookmarkEnd w:id="23"/>
      <w:bookmarkStart w:id="24" w:name="_Toc30933"/>
      <w:bookmarkStart w:id="25" w:name="_Toc27581"/>
      <w:r>
        <w:rPr>
          <w:rFonts w:hint="default" w:ascii="Times New Roman" w:hAnsi="Times New Roman" w:eastAsia="楷体_GB2312" w:cs="Times New Roman"/>
          <w:sz w:val="32"/>
          <w:szCs w:val="32"/>
          <w:lang w:eastAsia="zh-CN"/>
        </w:rPr>
        <w:t>（二）财政审计股</w:t>
      </w:r>
      <w:bookmarkEnd w:id="24"/>
      <w:bookmarkEnd w:id="25"/>
    </w:p>
    <w:p w14:paraId="408292B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审计县级和县级各部门（含直属单位）预算执行情况、决算（草案）和其他财政收支。组织审计县属国有金融机构和县政府规定的国有资本占控股或主导地位金融机构的资产、负债和损益。负责与县人大财经工作委员会协调联系有关审计业务工作。组织实施对国家和省、州、县有关重大政策措施贯彻落实情况的跟踪审计工作，承担相关业务审计或专项审计调查工作。组织审计农业农村、扶贫开发以及其他相关公共资金和建设项目。</w:t>
      </w:r>
    </w:p>
    <w:p w14:paraId="0079397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楷体_GB2312" w:cs="Times New Roman"/>
          <w:sz w:val="32"/>
          <w:szCs w:val="32"/>
          <w:lang w:eastAsia="zh-CN"/>
        </w:rPr>
      </w:pPr>
      <w:bookmarkStart w:id="26" w:name="_Toc16978"/>
      <w:bookmarkEnd w:id="26"/>
      <w:bookmarkStart w:id="27" w:name="_Toc22847"/>
      <w:bookmarkEnd w:id="27"/>
      <w:bookmarkStart w:id="28" w:name="_Toc17788"/>
      <w:bookmarkEnd w:id="28"/>
      <w:bookmarkStart w:id="29" w:name="_Toc3332"/>
      <w:bookmarkEnd w:id="29"/>
      <w:bookmarkStart w:id="30" w:name="_Toc19442"/>
      <w:bookmarkStart w:id="31" w:name="_Toc5844"/>
      <w:r>
        <w:rPr>
          <w:rFonts w:hint="default" w:ascii="Times New Roman" w:hAnsi="Times New Roman" w:eastAsia="楷体_GB2312" w:cs="Times New Roman"/>
          <w:sz w:val="32"/>
          <w:szCs w:val="32"/>
          <w:lang w:eastAsia="zh-CN"/>
        </w:rPr>
        <w:t>（三）固定资产投资审计股</w:t>
      </w:r>
      <w:bookmarkEnd w:id="30"/>
      <w:bookmarkEnd w:id="31"/>
    </w:p>
    <w:p w14:paraId="3E45E9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审计县级政府投资、以县级政府投资为主的建设项目以及其他关系到国家利益和公共利益的重大公共工程项目；承担对有关部门和国家企事业单位网络安全、电子政务工程和信息化及信息系统审计；组织协调对社会审计机构出具的相关审计报告的核查。</w:t>
      </w:r>
    </w:p>
    <w:p w14:paraId="23F3301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楷体_GB2312" w:cs="Times New Roman"/>
          <w:sz w:val="32"/>
          <w:szCs w:val="32"/>
          <w:lang w:eastAsia="zh-CN"/>
        </w:rPr>
      </w:pPr>
      <w:bookmarkStart w:id="32" w:name="_Toc28065"/>
      <w:bookmarkEnd w:id="32"/>
      <w:bookmarkStart w:id="33" w:name="_Toc27435"/>
      <w:bookmarkEnd w:id="33"/>
      <w:bookmarkStart w:id="34" w:name="_Toc22686"/>
      <w:bookmarkEnd w:id="34"/>
      <w:bookmarkStart w:id="35" w:name="_Toc7999"/>
      <w:bookmarkEnd w:id="35"/>
      <w:bookmarkStart w:id="36" w:name="_Toc15019"/>
      <w:bookmarkStart w:id="37" w:name="_Toc14384"/>
      <w:r>
        <w:rPr>
          <w:rFonts w:hint="default" w:ascii="Times New Roman" w:hAnsi="Times New Roman" w:eastAsia="楷体_GB2312" w:cs="Times New Roman"/>
          <w:sz w:val="32"/>
          <w:szCs w:val="32"/>
          <w:lang w:eastAsia="zh-CN"/>
        </w:rPr>
        <w:t>（四）经济责任审计股</w:t>
      </w:r>
      <w:bookmarkEnd w:id="36"/>
      <w:bookmarkEnd w:id="37"/>
    </w:p>
    <w:p w14:paraId="41EF14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组织开展党政主要领导干部、国有企事业单位领导干部经济责任审计、自然资源资产离任（任中）审计以及自然资源管理、污染防治和生态保护</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修复审计情况；承担县经济责任审计工作联席会议有关工作；组织审计县属国有及国有资本占控股或主导地位企业的资产、负债</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损益；组织审计县级有关部门、县政府管理和其他单位受县政府及其他部门委托管理的社会保障资金、社会捐赠资金、安全生产和职业健康财政资金以及其他有关基金、资金的财务收支。</w:t>
      </w:r>
    </w:p>
    <w:p w14:paraId="6D3BFF56">
      <w:pPr>
        <w:pageBreakBefore w:val="0"/>
        <w:numPr>
          <w:ilvl w:val="0"/>
          <w:numId w:val="0"/>
        </w:numPr>
        <w:kinsoku/>
        <w:wordWrap/>
        <w:overflowPunct/>
        <w:topLinePunct w:val="0"/>
        <w:autoSpaceDN/>
        <w:bidi w:val="0"/>
        <w:adjustRightInd/>
        <w:spacing w:line="576" w:lineRule="exact"/>
        <w:ind w:firstLine="420" w:firstLineChars="200"/>
        <w:textAlignment w:val="auto"/>
        <w:rPr>
          <w:rFonts w:hint="default" w:ascii="Times New Roman" w:hAnsi="Times New Roman" w:cs="Times New Roman"/>
          <w:lang w:eastAsia="zh-CN"/>
        </w:rPr>
      </w:pPr>
    </w:p>
    <w:p w14:paraId="6C6D982E">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602CE4E4">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3967B167">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47C1E267">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62B1BD45">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2F3B4EC9">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75B0E661">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23AD2376">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3838AD40">
      <w:pPr>
        <w:pageBreakBefore w:val="0"/>
        <w:widowControl/>
        <w:kinsoku/>
        <w:wordWrap/>
        <w:overflowPunct/>
        <w:topLinePunct w:val="0"/>
        <w:autoSpaceDN/>
        <w:bidi w:val="0"/>
        <w:adjustRightInd/>
        <w:spacing w:line="576" w:lineRule="exact"/>
        <w:ind w:firstLine="640" w:firstLineChars="200"/>
        <w:jc w:val="left"/>
        <w:textAlignment w:val="auto"/>
        <w:rPr>
          <w:rFonts w:hint="default" w:ascii="Times New Roman" w:hAnsi="Times New Roman" w:eastAsia="仿宋" w:cs="Times New Roman"/>
          <w:color w:val="auto"/>
          <w:kern w:val="0"/>
          <w:sz w:val="32"/>
          <w:szCs w:val="32"/>
          <w:highlight w:val="none"/>
        </w:rPr>
      </w:pPr>
    </w:p>
    <w:p w14:paraId="6CF01F2D">
      <w:pPr>
        <w:pStyle w:val="3"/>
        <w:pageBreakBefore w:val="0"/>
        <w:numPr>
          <w:ilvl w:val="0"/>
          <w:numId w:val="2"/>
        </w:numPr>
        <w:kinsoku/>
        <w:wordWrap/>
        <w:overflowPunct/>
        <w:topLinePunct w:val="0"/>
        <w:autoSpaceDN/>
        <w:bidi w:val="0"/>
        <w:adjustRightInd/>
        <w:spacing w:before="0" w:after="0" w:line="576" w:lineRule="exact"/>
        <w:ind w:firstLine="442" w:firstLineChars="100"/>
        <w:jc w:val="both"/>
        <w:textAlignment w:val="auto"/>
        <w:rPr>
          <w:rFonts w:hint="default" w:ascii="Times New Roman" w:hAnsi="Times New Roman" w:cs="Times New Roman"/>
        </w:rPr>
      </w:pPr>
      <w:bookmarkStart w:id="38" w:name="_Toc15396602"/>
      <w:bookmarkStart w:id="39" w:name="_Toc15377204"/>
      <w:r>
        <w:rPr>
          <w:rFonts w:hint="default" w:ascii="Times New Roman" w:hAnsi="Times New Roman" w:cs="Times New Roman"/>
        </w:rPr>
        <w:t xml:space="preserve"> </w:t>
      </w:r>
      <w:bookmarkStart w:id="40" w:name="_Toc9178"/>
      <w:r>
        <w:rPr>
          <w:rFonts w:hint="default" w:ascii="Times New Roman" w:hAnsi="Times New Roman" w:cs="Times New Roman"/>
          <w:lang w:val="en-US" w:eastAsia="zh-CN"/>
        </w:rPr>
        <w:t>2025年度</w:t>
      </w:r>
      <w:r>
        <w:rPr>
          <w:rFonts w:hint="default" w:ascii="Times New Roman" w:hAnsi="Times New Roman" w:cs="Times New Roman"/>
        </w:rPr>
        <w:t>部门决算情况说明</w:t>
      </w:r>
      <w:bookmarkEnd w:id="38"/>
      <w:bookmarkEnd w:id="39"/>
      <w:bookmarkEnd w:id="40"/>
    </w:p>
    <w:p w14:paraId="17E55BFF">
      <w:pPr>
        <w:numPr>
          <w:ilvl w:val="0"/>
          <w:numId w:val="0"/>
        </w:numPr>
        <w:rPr>
          <w:rFonts w:hint="default"/>
        </w:rPr>
      </w:pPr>
    </w:p>
    <w:p w14:paraId="7F02D2F5">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rPr>
      </w:pPr>
      <w:bookmarkStart w:id="41" w:name="_Toc15377205"/>
      <w:bookmarkStart w:id="42" w:name="_Toc15396603"/>
      <w:bookmarkStart w:id="43" w:name="_Toc3064"/>
      <w:r>
        <w:rPr>
          <w:rFonts w:hint="default" w:ascii="Times New Roman" w:hAnsi="Times New Roman" w:eastAsia="楷体_GB2312" w:cs="Times New Roman"/>
          <w:lang w:eastAsia="zh-CN"/>
        </w:rPr>
        <w:t>一、</w:t>
      </w:r>
      <w:r>
        <w:rPr>
          <w:rFonts w:hint="default" w:ascii="Times New Roman" w:hAnsi="Times New Roman" w:eastAsia="楷体_GB2312" w:cs="Times New Roman"/>
        </w:rPr>
        <w:t>收入支出决算总体情况说明</w:t>
      </w:r>
      <w:bookmarkEnd w:id="41"/>
      <w:bookmarkEnd w:id="42"/>
      <w:bookmarkEnd w:id="43"/>
    </w:p>
    <w:p w14:paraId="350307A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44" w:name="_Toc2607"/>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290.39</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25.21</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9.51</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eastAsia="zh-CN"/>
        </w:rPr>
        <w:t>人员变动、工资变动。</w:t>
      </w:r>
      <w:bookmarkEnd w:id="44"/>
      <w:bookmarkStart w:id="45" w:name="_Toc15396604"/>
      <w:bookmarkStart w:id="46" w:name="_Toc15377206"/>
    </w:p>
    <w:p w14:paraId="09F6DEC0">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47" w:name="_Toc32648"/>
      <w:r>
        <w:rPr>
          <w:rFonts w:hint="default" w:ascii="Times New Roman" w:hAnsi="Times New Roman" w:eastAsia="楷体_GB2312" w:cs="Times New Roman"/>
          <w:lang w:eastAsia="zh-CN"/>
        </w:rPr>
        <w:t>二、收入决算情况说明</w:t>
      </w:r>
      <w:bookmarkEnd w:id="45"/>
      <w:bookmarkEnd w:id="46"/>
      <w:bookmarkEnd w:id="47"/>
    </w:p>
    <w:p w14:paraId="6D48BFE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48" w:name="_Toc21623"/>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290.39</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289.81</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99.79</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0.58</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0.2</w:t>
      </w:r>
      <w:r>
        <w:rPr>
          <w:rFonts w:hint="default" w:ascii="Times New Roman" w:hAnsi="Times New Roman" w:eastAsia="仿宋_GB2312" w:cs="Times New Roman"/>
          <w:color w:val="auto"/>
          <w:sz w:val="32"/>
          <w:szCs w:val="32"/>
          <w:highlight w:val="none"/>
          <w:lang w:eastAsia="zh-CN"/>
        </w:rPr>
        <w:t>%。</w:t>
      </w:r>
      <w:bookmarkEnd w:id="48"/>
      <w:bookmarkStart w:id="49" w:name="_Toc15396605"/>
      <w:bookmarkStart w:id="50" w:name="_Toc15377207"/>
    </w:p>
    <w:p w14:paraId="2BA1B685">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51" w:name="_Toc26601"/>
      <w:r>
        <w:rPr>
          <w:rFonts w:hint="default" w:ascii="Times New Roman" w:hAnsi="Times New Roman" w:eastAsia="楷体_GB2312" w:cs="Times New Roman"/>
          <w:lang w:eastAsia="zh-CN"/>
        </w:rPr>
        <w:t>三、支出决算情况说明</w:t>
      </w:r>
      <w:bookmarkEnd w:id="49"/>
      <w:bookmarkEnd w:id="50"/>
      <w:bookmarkEnd w:id="51"/>
    </w:p>
    <w:p w14:paraId="3C1EADA9">
      <w:pPr>
        <w:pageBreakBefore w:val="0"/>
        <w:kinsoku/>
        <w:wordWrap/>
        <w:overflowPunct/>
        <w:topLinePunct w:val="0"/>
        <w:autoSpaceDN/>
        <w:bidi w:val="0"/>
        <w:adjustRightInd/>
        <w:spacing w:line="576"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52" w:name="_Toc9026"/>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290.17</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260.62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89.81</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29.55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10.18</w:t>
      </w:r>
      <w:r>
        <w:rPr>
          <w:rFonts w:hint="default" w:ascii="Times New Roman" w:hAnsi="Times New Roman" w:eastAsia="仿宋_GB2312" w:cs="Times New Roman"/>
          <w:color w:val="auto"/>
          <w:sz w:val="32"/>
          <w:szCs w:val="32"/>
          <w:highlight w:val="none"/>
          <w:lang w:eastAsia="zh-CN"/>
        </w:rPr>
        <w:t>%。</w:t>
      </w:r>
      <w:bookmarkEnd w:id="52"/>
      <w:bookmarkStart w:id="53" w:name="_Toc15396606"/>
      <w:bookmarkStart w:id="54" w:name="_Toc15377208"/>
    </w:p>
    <w:p w14:paraId="56C407F9">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55" w:name="_Toc19162"/>
      <w:r>
        <w:rPr>
          <w:rFonts w:hint="default" w:ascii="Times New Roman" w:hAnsi="Times New Roman" w:eastAsia="楷体_GB2312" w:cs="Times New Roman"/>
          <w:lang w:eastAsia="zh-CN"/>
        </w:rPr>
        <w:t>四、财政拨款收入支出决算总体情况说明</w:t>
      </w:r>
      <w:bookmarkEnd w:id="53"/>
      <w:bookmarkEnd w:id="54"/>
      <w:bookmarkEnd w:id="55"/>
    </w:p>
    <w:p w14:paraId="7B3F796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bookmarkStart w:id="56" w:name="_Toc22297"/>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289.81</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万元。与上年度相比，财政拨款收入、支出总计各增加24.99万元，增长9.42%。主要变动原因是</w:t>
      </w:r>
      <w:r>
        <w:rPr>
          <w:rFonts w:hint="default" w:ascii="Times New Roman" w:hAnsi="Times New Roman" w:eastAsia="仿宋_GB2312" w:cs="Times New Roman"/>
          <w:color w:val="auto"/>
          <w:sz w:val="32"/>
          <w:szCs w:val="32"/>
          <w:highlight w:val="none"/>
          <w:lang w:eastAsia="zh-CN"/>
        </w:rPr>
        <w:t>人员变动、工资变动。</w:t>
      </w:r>
      <w:bookmarkEnd w:id="56"/>
    </w:p>
    <w:p w14:paraId="2A06A9E8">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57" w:name="_Toc15377209"/>
      <w:bookmarkStart w:id="58" w:name="_Toc14712"/>
      <w:bookmarkStart w:id="59" w:name="_Toc15396607"/>
      <w:r>
        <w:rPr>
          <w:rFonts w:hint="default" w:ascii="Times New Roman" w:hAnsi="Times New Roman" w:eastAsia="楷体_GB2312" w:cs="Times New Roman"/>
          <w:lang w:eastAsia="zh-CN"/>
        </w:rPr>
        <w:t>五、一般公共预算财政拨款支出决算情况说明</w:t>
      </w:r>
      <w:bookmarkEnd w:id="57"/>
      <w:bookmarkEnd w:id="58"/>
      <w:bookmarkEnd w:id="59"/>
    </w:p>
    <w:p w14:paraId="6D580BBA">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bookmarkStart w:id="60" w:name="_Toc15377210"/>
      <w:r>
        <w:rPr>
          <w:rFonts w:hint="default" w:ascii="Times New Roman" w:hAnsi="Times New Roman" w:eastAsia="仿宋_GB2312" w:cs="Times New Roman"/>
          <w:b/>
          <w:bCs/>
        </w:rPr>
        <w:t>（一）一般公共预算财政拨款支出决算总体情况</w:t>
      </w:r>
      <w:bookmarkEnd w:id="60"/>
    </w:p>
    <w:p w14:paraId="7E789C4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61" w:name="_Toc3189"/>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289.81</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99.87</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%。与上年度相比，一般公共预算财政拨款支出增加24.63万元，增长9.29%。主要变动原因是</w:t>
      </w:r>
      <w:r>
        <w:rPr>
          <w:rFonts w:hint="default" w:ascii="Times New Roman" w:hAnsi="Times New Roman" w:eastAsia="仿宋_GB2312" w:cs="Times New Roman"/>
          <w:color w:val="auto"/>
          <w:sz w:val="32"/>
          <w:szCs w:val="32"/>
          <w:highlight w:val="none"/>
          <w:lang w:eastAsia="zh-CN"/>
        </w:rPr>
        <w:t>人员变动、工资变动。</w:t>
      </w:r>
      <w:bookmarkEnd w:id="61"/>
    </w:p>
    <w:p w14:paraId="43BD6D3F">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bookmarkStart w:id="62" w:name="_Toc15377211"/>
      <w:r>
        <w:rPr>
          <w:rFonts w:hint="default" w:ascii="Times New Roman" w:hAnsi="Times New Roman" w:eastAsia="仿宋_GB2312" w:cs="Times New Roman"/>
          <w:b/>
          <w:bCs/>
        </w:rPr>
        <w:t>（二）一般公共预算财政拨款支出决算结构情况</w:t>
      </w:r>
      <w:bookmarkEnd w:id="62"/>
    </w:p>
    <w:p w14:paraId="5A0F0B7D">
      <w:pPr>
        <w:pageBreakBefore w:val="0"/>
        <w:kinsoku/>
        <w:wordWrap/>
        <w:overflowPunct/>
        <w:topLinePunct w:val="0"/>
        <w:autoSpaceDN/>
        <w:bidi w:val="0"/>
        <w:adjustRightInd/>
        <w:spacing w:line="576" w:lineRule="exact"/>
        <w:ind w:firstLine="640" w:firstLineChars="200"/>
        <w:textAlignment w:val="auto"/>
        <w:outlineLvl w:val="2"/>
        <w:rPr>
          <w:rStyle w:val="33"/>
          <w:rFonts w:hint="default" w:ascii="Times New Roman" w:hAnsi="Times New Roman" w:cs="Times New Roman"/>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289.81</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万元，主要用于以下方面：一般公共服务支出227.62万元，占78.54%；社会保障和就业支出34.65万元，占11.96%；卫生健康支出11.28万元，占3.89%；住房保障支出16.62万元，占5.73%。</w:t>
      </w:r>
      <w:bookmarkStart w:id="63" w:name="_Toc15377212"/>
      <w:r>
        <w:rPr>
          <w:rFonts w:hint="default" w:ascii="Times New Roman" w:hAnsi="Times New Roman" w:eastAsia="仿宋_GB2312" w:cs="Times New Roman"/>
          <w:b/>
          <w:bCs/>
          <w:kern w:val="2"/>
          <w:sz w:val="32"/>
          <w:szCs w:val="32"/>
          <w:lang w:val="en-US" w:eastAsia="zh-CN" w:bidi="ar-SA"/>
        </w:rPr>
        <w:t>（三）一般公共预算财政拨款支出决算具体情况</w:t>
      </w:r>
      <w:bookmarkEnd w:id="63"/>
    </w:p>
    <w:p w14:paraId="4A552F50">
      <w:pPr>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64" w:name="_Toc15377444"/>
      <w:bookmarkStart w:id="65" w:name="_Toc15377213"/>
      <w:bookmarkStart w:id="66" w:name="_Toc15378460"/>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w:t>
      </w:r>
      <w:r>
        <w:rPr>
          <w:rFonts w:hint="default" w:ascii="Times New Roman" w:hAnsi="Times New Roman" w:eastAsia="仿宋_GB2312" w:cs="Times New Roman"/>
          <w:sz w:val="32"/>
          <w:szCs w:val="32"/>
        </w:rPr>
        <w:t>289.81</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64"/>
      <w:bookmarkEnd w:id="65"/>
      <w:bookmarkEnd w:id="66"/>
    </w:p>
    <w:p w14:paraId="13D9836B">
      <w:pPr>
        <w:pageBreakBefore w:val="0"/>
        <w:numPr>
          <w:ilvl w:val="0"/>
          <w:numId w:val="0"/>
        </w:numPr>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lang w:val="en-US" w:eastAsia="zh-CN" w:bidi="ar-SA"/>
        </w:rPr>
        <w:t>1.</w:t>
      </w:r>
      <w:r>
        <w:rPr>
          <w:rFonts w:hint="default" w:ascii="Times New Roman" w:hAnsi="Times New Roman" w:eastAsia="仿宋_GB2312" w:cs="Times New Roman"/>
          <w:b/>
          <w:bCs/>
          <w:color w:val="auto"/>
          <w:kern w:val="2"/>
          <w:sz w:val="32"/>
          <w:szCs w:val="32"/>
          <w:highlight w:val="none"/>
          <w:lang w:val="en-US" w:eastAsia="zh-CN" w:bidi="ar-SA"/>
        </w:rPr>
        <w:t>一般公共服务201：</w:t>
      </w:r>
      <w:r>
        <w:rPr>
          <w:rFonts w:hint="default" w:ascii="Times New Roman" w:hAnsi="Times New Roman" w:eastAsia="仿宋_GB2312" w:cs="Times New Roman"/>
          <w:color w:val="auto"/>
          <w:kern w:val="2"/>
          <w:sz w:val="32"/>
          <w:szCs w:val="32"/>
          <w:highlight w:val="none"/>
          <w:lang w:val="en-US" w:eastAsia="zh-CN" w:bidi="ar-SA"/>
        </w:rPr>
        <w:t>支出决算为227.62万元，完成预算78.54%。</w:t>
      </w:r>
    </w:p>
    <w:p w14:paraId="1FC597A4">
      <w:pPr>
        <w:pageBreakBefore w:val="0"/>
        <w:kinsoku/>
        <w:wordWrap/>
        <w:overflowPunct/>
        <w:topLinePunct w:val="0"/>
        <w:autoSpaceDN/>
        <w:bidi w:val="0"/>
        <w:adjustRightInd/>
        <w:spacing w:line="576" w:lineRule="exact"/>
        <w:ind w:firstLine="643" w:firstLineChars="200"/>
        <w:textAlignment w:val="auto"/>
        <w:rPr>
          <w:rFonts w:hint="default" w:ascii="Times New Roman" w:hAnsi="Times New Roman" w:eastAsia="仿宋" w:cs="Times New Roman"/>
          <w:b/>
          <w:sz w:val="32"/>
          <w:szCs w:val="32"/>
        </w:rPr>
      </w:pPr>
      <w:bookmarkStart w:id="67" w:name="_Toc15377214"/>
      <w:bookmarkStart w:id="68" w:name="_Toc15396608"/>
      <w:r>
        <w:rPr>
          <w:rStyle w:val="18"/>
          <w:rFonts w:hint="default" w:ascii="Times New Roman" w:hAnsi="Times New Roman" w:eastAsia="仿宋" w:cs="Times New Roman"/>
          <w:bCs/>
          <w:sz w:val="32"/>
          <w:szCs w:val="32"/>
          <w:lang w:val="en-US" w:eastAsia="zh-CN"/>
        </w:rPr>
        <w:t>2</w:t>
      </w:r>
      <w:r>
        <w:rPr>
          <w:rStyle w:val="18"/>
          <w:rFonts w:hint="default" w:ascii="Times New Roman" w:hAnsi="Times New Roman" w:eastAsia="仿宋" w:cs="Times New Roman"/>
          <w:bCs/>
          <w:sz w:val="32"/>
          <w:szCs w:val="32"/>
        </w:rPr>
        <w:t>.社会保障和就业</w:t>
      </w:r>
      <w:r>
        <w:rPr>
          <w:rStyle w:val="18"/>
          <w:rFonts w:hint="default" w:ascii="Times New Roman" w:hAnsi="Times New Roman" w:eastAsia="仿宋" w:cs="Times New Roman"/>
          <w:bCs/>
          <w:sz w:val="32"/>
          <w:szCs w:val="32"/>
          <w:lang w:eastAsia="zh-CN"/>
        </w:rPr>
        <w:t>支出</w:t>
      </w:r>
      <w:r>
        <w:rPr>
          <w:rStyle w:val="18"/>
          <w:rFonts w:hint="default" w:ascii="Times New Roman" w:hAnsi="Times New Roman" w:eastAsia="仿宋" w:cs="Times New Roman"/>
          <w:bCs/>
          <w:sz w:val="32"/>
          <w:szCs w:val="32"/>
          <w:lang w:val="en-US" w:eastAsia="zh-CN"/>
        </w:rPr>
        <w:t>208</w:t>
      </w:r>
      <w:r>
        <w:rPr>
          <w:rStyle w:val="18"/>
          <w:rFonts w:hint="default" w:ascii="Times New Roman" w:hAnsi="Times New Roman" w:eastAsia="仿宋" w:cs="Times New Roman"/>
          <w:bCs/>
          <w:sz w:val="32"/>
          <w:szCs w:val="32"/>
        </w:rPr>
        <w:t>:</w:t>
      </w:r>
      <w:r>
        <w:rPr>
          <w:rStyle w:val="18"/>
          <w:rFonts w:hint="default" w:ascii="Times New Roman" w:hAnsi="Times New Roman" w:eastAsia="仿宋" w:cs="Times New Roman"/>
          <w:b w:val="0"/>
          <w:bCs/>
          <w:sz w:val="32"/>
          <w:szCs w:val="32"/>
        </w:rPr>
        <w:t xml:space="preserve"> 支出决算为</w:t>
      </w:r>
      <w:r>
        <w:rPr>
          <w:rFonts w:hint="default" w:ascii="Times New Roman" w:hAnsi="Times New Roman" w:eastAsia="仿宋_GB2312" w:cs="Times New Roman"/>
          <w:color w:val="auto"/>
          <w:kern w:val="2"/>
          <w:sz w:val="32"/>
          <w:szCs w:val="32"/>
          <w:highlight w:val="none"/>
          <w:lang w:val="en-US" w:eastAsia="zh-CN" w:bidi="ar-SA"/>
        </w:rPr>
        <w:t>34.65万元，占</w:t>
      </w:r>
      <w:r>
        <w:rPr>
          <w:rFonts w:hint="default" w:ascii="Times New Roman" w:hAnsi="Times New Roman" w:eastAsia="仿宋" w:cs="Times New Roman"/>
          <w:sz w:val="32"/>
          <w:szCs w:val="32"/>
        </w:rPr>
        <w:t>，</w:t>
      </w:r>
      <w:r>
        <w:rPr>
          <w:rStyle w:val="18"/>
          <w:rFonts w:hint="default" w:ascii="Times New Roman" w:hAnsi="Times New Roman" w:eastAsia="仿宋" w:cs="Times New Roman"/>
          <w:b w:val="0"/>
          <w:bCs/>
          <w:sz w:val="32"/>
          <w:szCs w:val="32"/>
        </w:rPr>
        <w:t>完成预算</w:t>
      </w:r>
      <w:r>
        <w:rPr>
          <w:rFonts w:hint="default" w:ascii="Times New Roman" w:hAnsi="Times New Roman" w:eastAsia="仿宋_GB2312" w:cs="Times New Roman"/>
          <w:color w:val="auto"/>
          <w:kern w:val="2"/>
          <w:sz w:val="32"/>
          <w:szCs w:val="32"/>
          <w:highlight w:val="none"/>
          <w:lang w:val="en-US" w:eastAsia="zh-CN" w:bidi="ar-SA"/>
        </w:rPr>
        <w:t>11.96%</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p>
    <w:p w14:paraId="0A5C07D1">
      <w:pPr>
        <w:pageBreakBefore w:val="0"/>
        <w:kinsoku/>
        <w:wordWrap/>
        <w:overflowPunct/>
        <w:topLinePunct w:val="0"/>
        <w:autoSpaceDN/>
        <w:bidi w:val="0"/>
        <w:adjustRightInd/>
        <w:spacing w:line="576" w:lineRule="exact"/>
        <w:ind w:firstLine="643" w:firstLineChars="200"/>
        <w:textAlignment w:val="auto"/>
        <w:rPr>
          <w:rStyle w:val="18"/>
          <w:rFonts w:hint="default" w:ascii="Times New Roman" w:hAnsi="Times New Roman" w:eastAsia="仿宋" w:cs="Times New Roman"/>
          <w:b w:val="0"/>
          <w:bCs/>
          <w:sz w:val="32"/>
          <w:szCs w:val="32"/>
          <w:lang w:eastAsia="zh-CN"/>
        </w:rPr>
      </w:pPr>
      <w:r>
        <w:rPr>
          <w:rStyle w:val="18"/>
          <w:rFonts w:hint="default" w:ascii="Times New Roman" w:hAnsi="Times New Roman" w:eastAsia="仿宋" w:cs="Times New Roman"/>
          <w:bCs/>
          <w:sz w:val="32"/>
          <w:szCs w:val="32"/>
          <w:lang w:val="en-US" w:eastAsia="zh-CN"/>
        </w:rPr>
        <w:t>3</w:t>
      </w:r>
      <w:r>
        <w:rPr>
          <w:rStyle w:val="18"/>
          <w:rFonts w:hint="default" w:ascii="Times New Roman" w:hAnsi="Times New Roman" w:eastAsia="仿宋" w:cs="Times New Roman"/>
          <w:bCs/>
          <w:sz w:val="32"/>
          <w:szCs w:val="32"/>
        </w:rPr>
        <w:t>.</w:t>
      </w:r>
      <w:r>
        <w:rPr>
          <w:rFonts w:hint="default" w:ascii="Times New Roman" w:hAnsi="Times New Roman" w:eastAsia="仿宋" w:cs="Times New Roman"/>
          <w:b/>
          <w:bCs/>
          <w:sz w:val="32"/>
          <w:szCs w:val="32"/>
        </w:rPr>
        <w:t>卫生健康</w:t>
      </w:r>
      <w:r>
        <w:rPr>
          <w:rStyle w:val="18"/>
          <w:rFonts w:hint="default" w:ascii="Times New Roman" w:hAnsi="Times New Roman" w:eastAsia="仿宋" w:cs="Times New Roman"/>
          <w:bCs/>
          <w:sz w:val="32"/>
          <w:szCs w:val="32"/>
          <w:lang w:eastAsia="zh-CN"/>
        </w:rPr>
        <w:t>支出</w:t>
      </w:r>
      <w:r>
        <w:rPr>
          <w:rStyle w:val="18"/>
          <w:rFonts w:hint="default" w:ascii="Times New Roman" w:hAnsi="Times New Roman" w:eastAsia="仿宋" w:cs="Times New Roman"/>
          <w:bCs/>
          <w:sz w:val="32"/>
          <w:szCs w:val="32"/>
          <w:lang w:val="en-US" w:eastAsia="zh-CN"/>
        </w:rPr>
        <w:t>210：</w:t>
      </w:r>
      <w:r>
        <w:rPr>
          <w:rStyle w:val="18"/>
          <w:rFonts w:hint="default" w:ascii="Times New Roman" w:hAnsi="Times New Roman" w:eastAsia="仿宋" w:cs="Times New Roman"/>
          <w:b w:val="0"/>
          <w:bCs/>
          <w:sz w:val="32"/>
          <w:szCs w:val="32"/>
        </w:rPr>
        <w:t>支出决算为</w:t>
      </w:r>
      <w:r>
        <w:rPr>
          <w:rFonts w:hint="default" w:ascii="Times New Roman" w:hAnsi="Times New Roman" w:eastAsia="仿宋_GB2312" w:cs="Times New Roman"/>
          <w:color w:val="auto"/>
          <w:kern w:val="2"/>
          <w:sz w:val="32"/>
          <w:szCs w:val="32"/>
          <w:highlight w:val="none"/>
          <w:lang w:val="en-US" w:eastAsia="zh-CN" w:bidi="ar-SA"/>
        </w:rPr>
        <w:t>11.28</w:t>
      </w:r>
      <w:r>
        <w:rPr>
          <w:rStyle w:val="18"/>
          <w:rFonts w:hint="default" w:ascii="Times New Roman" w:hAnsi="Times New Roman" w:eastAsia="仿宋" w:cs="Times New Roman"/>
          <w:b w:val="0"/>
          <w:bCs/>
          <w:sz w:val="32"/>
          <w:szCs w:val="32"/>
        </w:rPr>
        <w:t>万元，完成预算</w:t>
      </w:r>
      <w:r>
        <w:rPr>
          <w:rStyle w:val="18"/>
          <w:rFonts w:hint="default" w:ascii="Times New Roman" w:hAnsi="Times New Roman" w:eastAsia="仿宋" w:cs="Times New Roman"/>
          <w:b w:val="0"/>
          <w:bCs/>
          <w:sz w:val="32"/>
          <w:szCs w:val="32"/>
          <w:lang w:val="en-US" w:eastAsia="zh-CN"/>
        </w:rPr>
        <w:t>3.89</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p>
    <w:p w14:paraId="61F5E492">
      <w:pPr>
        <w:pageBreakBefore w:val="0"/>
        <w:tabs>
          <w:tab w:val="right" w:pos="8306"/>
        </w:tabs>
        <w:kinsoku/>
        <w:wordWrap/>
        <w:overflowPunct/>
        <w:topLinePunct w:val="0"/>
        <w:autoSpaceDN/>
        <w:bidi w:val="0"/>
        <w:adjustRightInd/>
        <w:spacing w:line="576" w:lineRule="exact"/>
        <w:ind w:firstLine="643" w:firstLineChars="200"/>
        <w:textAlignment w:val="auto"/>
        <w:outlineLvl w:val="1"/>
        <w:rPr>
          <w:rStyle w:val="30"/>
          <w:rFonts w:hint="default" w:ascii="Times New Roman" w:hAnsi="Times New Roman" w:cs="Times New Roman"/>
        </w:rPr>
      </w:pPr>
      <w:bookmarkStart w:id="69" w:name="_Toc14051"/>
      <w:r>
        <w:rPr>
          <w:rStyle w:val="18"/>
          <w:rFonts w:hint="default" w:ascii="Times New Roman" w:hAnsi="Times New Roman" w:eastAsia="仿宋" w:cs="Times New Roman"/>
          <w:bCs/>
          <w:kern w:val="2"/>
          <w:sz w:val="32"/>
          <w:szCs w:val="32"/>
          <w:lang w:val="en-US" w:eastAsia="zh-CN" w:bidi="ar-SA"/>
        </w:rPr>
        <w:t>4.住房保障支出221：</w:t>
      </w:r>
      <w:r>
        <w:rPr>
          <w:rStyle w:val="36"/>
          <w:rFonts w:hint="default" w:ascii="Times New Roman" w:hAnsi="Times New Roman" w:eastAsia="仿宋_GB2312" w:cs="Times New Roman"/>
          <w:b w:val="0"/>
          <w:bCs/>
          <w:sz w:val="32"/>
          <w:szCs w:val="32"/>
          <w:shd w:val="clear" w:color="auto" w:fill="FFFFFF"/>
        </w:rPr>
        <w:t>支出决算为</w:t>
      </w:r>
      <w:r>
        <w:rPr>
          <w:rFonts w:hint="default" w:ascii="Times New Roman" w:hAnsi="Times New Roman" w:eastAsia="仿宋_GB2312" w:cs="Times New Roman"/>
          <w:color w:val="auto"/>
          <w:kern w:val="2"/>
          <w:sz w:val="32"/>
          <w:szCs w:val="32"/>
          <w:highlight w:val="none"/>
          <w:lang w:val="en-US" w:eastAsia="zh-CN" w:bidi="ar-SA"/>
        </w:rPr>
        <w:t>16.62</w:t>
      </w:r>
      <w:r>
        <w:rPr>
          <w:rStyle w:val="36"/>
          <w:rFonts w:hint="default" w:ascii="Times New Roman" w:hAnsi="Times New Roman" w:eastAsia="仿宋_GB2312" w:cs="Times New Roman"/>
          <w:b w:val="0"/>
          <w:bCs/>
          <w:sz w:val="32"/>
          <w:szCs w:val="32"/>
          <w:shd w:val="clear" w:color="auto" w:fill="FFFFFF"/>
        </w:rPr>
        <w:t>万元，完成预算</w:t>
      </w:r>
      <w:r>
        <w:rPr>
          <w:rStyle w:val="36"/>
          <w:rFonts w:hint="default" w:ascii="Times New Roman" w:hAnsi="Times New Roman" w:eastAsia="仿宋_GB2312" w:cs="Times New Roman"/>
          <w:b w:val="0"/>
          <w:bCs/>
          <w:sz w:val="32"/>
          <w:szCs w:val="32"/>
          <w:shd w:val="clear" w:color="auto" w:fill="FFFFFF"/>
          <w:lang w:val="en-US" w:eastAsia="zh-CN"/>
        </w:rPr>
        <w:t>5.73</w:t>
      </w:r>
      <w:r>
        <w:rPr>
          <w:rStyle w:val="36"/>
          <w:rFonts w:hint="default" w:ascii="Times New Roman" w:hAnsi="Times New Roman" w:eastAsia="仿宋_GB2312" w:cs="Times New Roman"/>
          <w:b w:val="0"/>
          <w:bCs/>
          <w:sz w:val="32"/>
          <w:szCs w:val="32"/>
          <w:shd w:val="clear" w:color="auto" w:fill="FFFFFF"/>
        </w:rPr>
        <w:t>%</w:t>
      </w:r>
      <w:r>
        <w:rPr>
          <w:rStyle w:val="36"/>
          <w:rFonts w:hint="default" w:ascii="Times New Roman" w:hAnsi="Times New Roman" w:eastAsia="仿宋_GB2312" w:cs="Times New Roman"/>
          <w:b w:val="0"/>
          <w:bCs/>
          <w:sz w:val="32"/>
          <w:szCs w:val="32"/>
          <w:shd w:val="clear" w:color="auto" w:fill="FFFFFF"/>
          <w:lang w:eastAsia="zh-CN"/>
        </w:rPr>
        <w:t>，</w:t>
      </w:r>
      <w:r>
        <w:rPr>
          <w:rStyle w:val="18"/>
          <w:rFonts w:hint="default" w:ascii="Times New Roman" w:hAnsi="Times New Roman" w:eastAsia="仿宋" w:cs="Times New Roman"/>
          <w:b w:val="0"/>
          <w:bCs/>
          <w:sz w:val="32"/>
          <w:szCs w:val="32"/>
        </w:rPr>
        <w:t>决算数等于预算数的主要原因是严格按预算执行</w:t>
      </w:r>
      <w:r>
        <w:rPr>
          <w:rStyle w:val="18"/>
          <w:rFonts w:hint="default" w:ascii="Times New Roman" w:hAnsi="Times New Roman" w:eastAsia="仿宋" w:cs="Times New Roman"/>
          <w:b w:val="0"/>
          <w:bCs/>
          <w:sz w:val="32"/>
          <w:szCs w:val="32"/>
          <w:lang w:eastAsia="zh-CN"/>
        </w:rPr>
        <w:t>。</w:t>
      </w:r>
      <w:r>
        <w:rPr>
          <w:rStyle w:val="18"/>
          <w:rFonts w:hint="default" w:ascii="Times New Roman" w:hAnsi="Times New Roman" w:eastAsia="仿宋" w:cs="Times New Roman"/>
          <w:b w:val="0"/>
          <w:bCs/>
          <w:sz w:val="32"/>
          <w:szCs w:val="32"/>
          <w:lang w:val="en-US" w:eastAsia="zh-CN"/>
        </w:rPr>
        <w:t xml:space="preserve">  </w:t>
      </w:r>
      <w:r>
        <w:rPr>
          <w:rFonts w:hint="default" w:ascii="Times New Roman" w:hAnsi="Times New Roman" w:eastAsia="楷体_GB2312" w:cs="Times New Roman"/>
          <w:b/>
          <w:bCs/>
          <w:kern w:val="2"/>
          <w:sz w:val="32"/>
          <w:szCs w:val="32"/>
          <w:lang w:val="en-US" w:eastAsia="zh-CN" w:bidi="ar-SA"/>
        </w:rPr>
        <w:t>六、一般公共预算财政拨款基本支出决算情况说明</w:t>
      </w:r>
      <w:bookmarkEnd w:id="67"/>
      <w:bookmarkEnd w:id="68"/>
      <w:bookmarkEnd w:id="69"/>
      <w:r>
        <w:rPr>
          <w:rStyle w:val="30"/>
          <w:rFonts w:hint="default" w:ascii="Times New Roman" w:hAnsi="Times New Roman" w:cs="Times New Roman"/>
        </w:rPr>
        <w:tab/>
      </w:r>
    </w:p>
    <w:p w14:paraId="24CA0E77">
      <w:pPr>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260.62</w:t>
      </w:r>
      <w:r>
        <w:rPr>
          <w:rFonts w:hint="default" w:ascii="Times New Roman" w:hAnsi="Times New Roman" w:eastAsia="仿宋_GB2312" w:cs="Times New Roman"/>
          <w:color w:val="auto"/>
          <w:kern w:val="2"/>
          <w:sz w:val="32"/>
          <w:szCs w:val="32"/>
          <w:highlight w:val="none"/>
          <w:lang w:val="en-US" w:eastAsia="zh-CN" w:bidi="ar-SA"/>
        </w:rPr>
        <w:t>万元，其中：</w:t>
      </w:r>
    </w:p>
    <w:p w14:paraId="733E619D">
      <w:pPr>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222.24</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38.37</w:t>
      </w:r>
      <w:r>
        <w:rPr>
          <w:rFonts w:hint="default" w:ascii="Times New Roman" w:hAnsi="Times New Roman" w:eastAsia="仿宋_GB2312" w:cs="Times New Roman"/>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3A017FB">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70" w:name="_Toc15396609"/>
      <w:bookmarkStart w:id="71" w:name="_Toc22615"/>
      <w:bookmarkStart w:id="72" w:name="_Toc15377215"/>
      <w:r>
        <w:rPr>
          <w:rFonts w:hint="default" w:ascii="Times New Roman" w:hAnsi="Times New Roman" w:eastAsia="楷体_GB2312" w:cs="Times New Roman"/>
          <w:lang w:eastAsia="zh-CN"/>
        </w:rPr>
        <w:t>七、财政拨款“三公”经费支出决算情况说明</w:t>
      </w:r>
      <w:bookmarkEnd w:id="70"/>
      <w:bookmarkEnd w:id="71"/>
      <w:bookmarkEnd w:id="72"/>
    </w:p>
    <w:p w14:paraId="3C5B6B1C">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bookmarkStart w:id="73" w:name="_Toc15377216"/>
      <w:r>
        <w:rPr>
          <w:rFonts w:hint="default" w:ascii="Times New Roman" w:hAnsi="Times New Roman" w:eastAsia="仿宋_GB2312" w:cs="Times New Roman"/>
          <w:b/>
          <w:bCs/>
        </w:rPr>
        <w:t>（一）财政拨款“三公”经费支出决算总体情况说明</w:t>
      </w:r>
      <w:bookmarkEnd w:id="73"/>
    </w:p>
    <w:p w14:paraId="59CF8405">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%，较上年度增加0.86万元，增长27.39%。决算数与预算数持平。</w:t>
      </w:r>
    </w:p>
    <w:p w14:paraId="466A8A32">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bookmarkStart w:id="74" w:name="_Toc15377217"/>
      <w:r>
        <w:rPr>
          <w:rFonts w:hint="default" w:ascii="Times New Roman" w:hAnsi="Times New Roman" w:eastAsia="仿宋_GB2312" w:cs="Times New Roman"/>
          <w:b/>
          <w:bCs/>
        </w:rPr>
        <w:t>（二）财政拨款“三公”经费支出决算具体情况说明</w:t>
      </w:r>
      <w:bookmarkEnd w:id="74"/>
    </w:p>
    <w:p w14:paraId="4337B854">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万元，占100%；公务接待费支出决算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万元，占0%。具体情况如下：</w:t>
      </w:r>
    </w:p>
    <w:p w14:paraId="72E69D00">
      <w:pPr>
        <w:pageBreakBefore w:val="0"/>
        <w:kinsoku/>
        <w:wordWrap/>
        <w:overflowPunct/>
        <w:topLinePunct w:val="0"/>
        <w:autoSpaceDN/>
        <w:bidi w:val="0"/>
        <w:adjustRightInd/>
        <w:spacing w:line="576"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人。因公出国（境）支出决算比2024年持平。</w:t>
      </w:r>
    </w:p>
    <w:p w14:paraId="0AEEDA95">
      <w:pPr>
        <w:pStyle w:val="6"/>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76" w:lineRule="exact"/>
        <w:ind w:left="0" w:leftChars="0" w:firstLine="640" w:firstLineChars="200"/>
        <w:textAlignment w:val="auto"/>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val="0"/>
          <w:bCs/>
          <w:color w:val="auto"/>
          <w:kern w:val="2"/>
          <w:sz w:val="32"/>
          <w:szCs w:val="32"/>
          <w:lang w:val="en-US" w:eastAsia="zh-CN" w:bidi="ar-SA"/>
        </w:rPr>
        <w:t>2.</w:t>
      </w:r>
      <w:r>
        <w:rPr>
          <w:rFonts w:hint="default" w:ascii="Times New Roman" w:hAnsi="Times New Roman" w:eastAsia="仿宋_GB2312" w:cs="Times New Roman"/>
          <w:b w:val="0"/>
          <w:bCs/>
          <w:color w:val="auto"/>
          <w:kern w:val="2"/>
          <w:sz w:val="32"/>
          <w:szCs w:val="32"/>
          <w:highlight w:val="none"/>
          <w:lang w:val="en-US" w:eastAsia="zh-CN" w:bidi="ar-SA"/>
        </w:rPr>
        <w:t>公务用车购置及运行维护费支出4万元，完成预算100%。公务用车购置及运行维护费支出决算比上年度增加0.86万元，增长27.39%。主要原因是车辆年限增加、审计项目增加。</w:t>
      </w:r>
    </w:p>
    <w:p w14:paraId="30940803">
      <w:pPr>
        <w:pageBreakBefore w:val="0"/>
        <w:numPr>
          <w:ilvl w:val="0"/>
          <w:numId w:val="0"/>
        </w:numPr>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万元。全年按规定更新购置公务用车0辆，截至2025年12月31日，单位共有公务用车1辆，其中：越野车1辆。</w:t>
      </w:r>
    </w:p>
    <w:p w14:paraId="2C304DC2">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万元。主要用于审计业务所需的公务用车燃料费、维修费、过路过桥费、保险费等支出。</w:t>
      </w:r>
    </w:p>
    <w:p w14:paraId="52906035">
      <w:pPr>
        <w:pageBreakBefore w:val="0"/>
        <w:numPr>
          <w:ilvl w:val="0"/>
          <w:numId w:val="0"/>
        </w:numPr>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highlight w:val="none"/>
          <w:lang w:val="en-US" w:eastAsia="zh-CN" w:bidi="ar-SA"/>
        </w:rPr>
        <w:t>公务接待费支出0万元，完成预算0%。</w:t>
      </w:r>
      <w:r>
        <w:rPr>
          <w:rFonts w:hint="default" w:ascii="Times New Roman" w:hAnsi="Times New Roman" w:eastAsia="仿宋_GB2312" w:cs="Times New Roman"/>
          <w:color w:val="auto"/>
          <w:kern w:val="2"/>
          <w:sz w:val="32"/>
          <w:szCs w:val="32"/>
          <w:highlight w:val="none"/>
          <w:lang w:val="en-US" w:eastAsia="zh-CN" w:bidi="ar-SA"/>
        </w:rPr>
        <w:t>公务接待费支出决算与2024年持平。</w:t>
      </w:r>
    </w:p>
    <w:p w14:paraId="30043A2D">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75" w:name="_Toc15396610"/>
      <w:bookmarkStart w:id="76" w:name="_Toc15377218"/>
      <w:bookmarkStart w:id="77" w:name="_Toc12530"/>
      <w:r>
        <w:rPr>
          <w:rFonts w:hint="default" w:ascii="Times New Roman" w:hAnsi="Times New Roman" w:eastAsia="楷体_GB2312" w:cs="Times New Roman"/>
          <w:lang w:eastAsia="zh-CN"/>
        </w:rPr>
        <w:t>八、政府性基金预算支出决算情况说明</w:t>
      </w:r>
      <w:bookmarkEnd w:id="75"/>
      <w:bookmarkEnd w:id="76"/>
      <w:bookmarkEnd w:id="77"/>
      <w:bookmarkStart w:id="78" w:name="_Toc15396611"/>
      <w:bookmarkStart w:id="79" w:name="_Toc15377219"/>
    </w:p>
    <w:p w14:paraId="714D69F0">
      <w:pPr>
        <w:pageBreakBefore w:val="0"/>
        <w:kinsoku/>
        <w:wordWrap/>
        <w:overflowPunct/>
        <w:topLinePunct w:val="0"/>
        <w:autoSpaceDN/>
        <w:bidi w:val="0"/>
        <w:adjustRightInd/>
        <w:spacing w:line="576" w:lineRule="exact"/>
        <w:ind w:firstLine="640"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80" w:name="_Toc21168"/>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%。与上年度相比，政府性基金预算财政拨款支出与2024年持平。</w:t>
      </w:r>
      <w:bookmarkEnd w:id="80"/>
    </w:p>
    <w:p w14:paraId="0ADD087D">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81" w:name="_Toc891"/>
      <w:r>
        <w:rPr>
          <w:rFonts w:hint="default" w:ascii="Times New Roman" w:hAnsi="Times New Roman" w:eastAsia="楷体_GB2312" w:cs="Times New Roman"/>
          <w:lang w:eastAsia="zh-CN"/>
        </w:rPr>
        <w:t>九、国有资本经营预算支出决算情况说明</w:t>
      </w:r>
      <w:bookmarkEnd w:id="78"/>
      <w:bookmarkEnd w:id="79"/>
      <w:bookmarkEnd w:id="81"/>
    </w:p>
    <w:p w14:paraId="551DDE0C">
      <w:pPr>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%。与上年度相比，国有资本经营预算财政拨款支出与2024年持平。</w:t>
      </w:r>
    </w:p>
    <w:p w14:paraId="2779745B">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default" w:ascii="Times New Roman" w:hAnsi="Times New Roman" w:eastAsia="楷体_GB2312" w:cs="Times New Roman"/>
          <w:lang w:eastAsia="zh-CN"/>
        </w:rPr>
      </w:pPr>
      <w:bookmarkStart w:id="82" w:name="_Toc15377221"/>
      <w:bookmarkStart w:id="83" w:name="_Toc9467"/>
      <w:bookmarkStart w:id="84" w:name="_Toc15396612"/>
      <w:r>
        <w:rPr>
          <w:rFonts w:hint="default" w:ascii="Times New Roman" w:hAnsi="Times New Roman" w:eastAsia="楷体_GB2312" w:cs="Times New Roman"/>
          <w:lang w:eastAsia="zh-CN"/>
        </w:rPr>
        <w:t>十、其他重要事项的情况说明</w:t>
      </w:r>
      <w:bookmarkEnd w:id="82"/>
      <w:bookmarkEnd w:id="83"/>
      <w:bookmarkEnd w:id="84"/>
    </w:p>
    <w:p w14:paraId="25971BE0">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bookmarkStart w:id="85" w:name="_Toc15377222"/>
      <w:r>
        <w:rPr>
          <w:rFonts w:hint="default" w:ascii="Times New Roman" w:hAnsi="Times New Roman" w:eastAsia="仿宋_GB2312" w:cs="Times New Roman"/>
          <w:b/>
          <w:bCs/>
        </w:rPr>
        <w:t>（一）机关运行经费支出情况</w:t>
      </w:r>
      <w:bookmarkEnd w:id="85"/>
    </w:p>
    <w:p w14:paraId="754E0113">
      <w:pPr>
        <w:pStyle w:val="37"/>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76" w:lineRule="exact"/>
        <w:ind w:left="0" w:leftChars="0"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bookmarkStart w:id="86" w:name="_Toc15377223"/>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松潘县审计局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38.37</w:t>
      </w:r>
      <w:r>
        <w:rPr>
          <w:rFonts w:hint="default" w:ascii="Times New Roman" w:hAnsi="Times New Roman" w:eastAsia="仿宋_GB2312" w:cs="Times New Roman"/>
          <w:color w:val="auto"/>
          <w:kern w:val="2"/>
          <w:sz w:val="32"/>
          <w:szCs w:val="32"/>
          <w:highlight w:val="none"/>
          <w:lang w:val="en-US" w:eastAsia="zh-CN" w:bidi="ar-SA"/>
        </w:rPr>
        <w:t>万元，比上年度增加29.28万元，增长322.11%。主要原因是</w:t>
      </w:r>
      <w:r>
        <w:rPr>
          <w:rFonts w:hint="default" w:ascii="Times New Roman" w:hAnsi="Times New Roman" w:eastAsia="仿宋_GB2312" w:cs="Times New Roman"/>
          <w:kern w:val="0"/>
          <w:sz w:val="32"/>
          <w:szCs w:val="32"/>
          <w:shd w:val="clear" w:fill="FFFFFF"/>
        </w:rPr>
        <w:t>，主要原因为人员变动</w:t>
      </w:r>
      <w:r>
        <w:rPr>
          <w:rFonts w:hint="eastAsia" w:ascii="Times New Roman" w:hAnsi="Times New Roman" w:eastAsia="仿宋_GB2312" w:cs="Times New Roman"/>
          <w:kern w:val="0"/>
          <w:sz w:val="32"/>
          <w:szCs w:val="32"/>
          <w:shd w:val="clear" w:fill="FFFFFF"/>
          <w:lang w:eastAsia="zh-CN"/>
        </w:rPr>
        <w:t>，</w:t>
      </w:r>
      <w:r>
        <w:rPr>
          <w:rFonts w:hint="default" w:ascii="Times New Roman" w:hAnsi="Times New Roman" w:eastAsia="仿宋_GB2312" w:cs="Times New Roman"/>
          <w:kern w:val="0"/>
          <w:sz w:val="32"/>
          <w:szCs w:val="32"/>
          <w:shd w:val="clear" w:fill="FFFFFF"/>
        </w:rPr>
        <w:t>公用经费增加，项目经费减少。</w:t>
      </w:r>
    </w:p>
    <w:p w14:paraId="48D14C5B">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r>
        <w:rPr>
          <w:rFonts w:hint="default" w:ascii="Times New Roman" w:hAnsi="Times New Roman" w:eastAsia="仿宋_GB2312" w:cs="Times New Roman"/>
          <w:b/>
          <w:bCs/>
        </w:rPr>
        <w:t>（二）政府采购支出情况</w:t>
      </w:r>
      <w:bookmarkEnd w:id="86"/>
    </w:p>
    <w:p w14:paraId="3C8D6B67">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87" w:name="_Toc15377224"/>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松潘县审计局</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4892470D">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r>
        <w:rPr>
          <w:rFonts w:hint="default" w:ascii="Times New Roman" w:hAnsi="Times New Roman" w:eastAsia="仿宋_GB2312" w:cs="Times New Roman"/>
          <w:b/>
          <w:bCs/>
        </w:rPr>
        <w:t>（三）国有资产占有使用情况</w:t>
      </w:r>
      <w:bookmarkEnd w:id="87"/>
    </w:p>
    <w:p w14:paraId="0D8E94D0">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松潘县审计局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辆，其中：其他用车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辆，其他用车主要是用于开展审计业务等用车。单价100万元（含）以上设备（不含车辆）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26EEF713">
      <w:pPr>
        <w:pStyle w:val="5"/>
        <w:pageBreakBefore w:val="0"/>
        <w:kinsoku/>
        <w:wordWrap/>
        <w:overflowPunct/>
        <w:topLinePunct w:val="0"/>
        <w:autoSpaceDN/>
        <w:bidi w:val="0"/>
        <w:adjustRightInd/>
        <w:spacing w:before="0" w:after="0" w:line="576" w:lineRule="exact"/>
        <w:ind w:firstLine="643" w:firstLineChars="200"/>
        <w:textAlignment w:val="auto"/>
        <w:rPr>
          <w:rFonts w:hint="default" w:ascii="Times New Roman" w:hAnsi="Times New Roman" w:eastAsia="仿宋_GB2312" w:cs="Times New Roman"/>
          <w:b/>
          <w:bCs/>
        </w:rPr>
      </w:pPr>
      <w:r>
        <w:rPr>
          <w:rFonts w:hint="default" w:ascii="Times New Roman" w:hAnsi="Times New Roman" w:eastAsia="仿宋_GB2312" w:cs="Times New Roman"/>
          <w:b/>
          <w:bCs/>
        </w:rPr>
        <w:t>（四）预算绩效管理情况</w:t>
      </w:r>
    </w:p>
    <w:p w14:paraId="160FF636">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根据预算绩效管理要求，松潘县审计局在2025年度，组织对审计业务工作经费等4个项目涉及金额55万元开展了事前绩效评估，对4个项目编制了绩效目标</w:t>
      </w:r>
      <w:r>
        <w:rPr>
          <w:rFonts w:hint="eastAsia" w:eastAsia="仿宋_GB2312" w:cs="Times New Roman"/>
          <w:color w:val="auto"/>
          <w:kern w:val="2"/>
          <w:sz w:val="32"/>
          <w:szCs w:val="32"/>
          <w:highlight w:val="none"/>
          <w:lang w:val="en-US" w:eastAsia="zh-CN" w:bidi="ar-SA"/>
        </w:rPr>
        <w:t>，在</w:t>
      </w:r>
      <w:r>
        <w:rPr>
          <w:rFonts w:hint="default" w:ascii="Times New Roman" w:hAnsi="Times New Roman" w:eastAsia="仿宋_GB2312" w:cs="Times New Roman"/>
          <w:color w:val="auto"/>
          <w:kern w:val="2"/>
          <w:sz w:val="32"/>
          <w:szCs w:val="32"/>
          <w:highlight w:val="none"/>
          <w:lang w:val="en-US" w:eastAsia="zh-CN" w:bidi="ar-SA"/>
        </w:rPr>
        <w:t>预算执行过程中，选取4个项目开展绩效监控。</w:t>
      </w:r>
    </w:p>
    <w:p w14:paraId="2411B137">
      <w:pPr>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p>
    <w:p w14:paraId="2E71EAE0">
      <w:pPr>
        <w:pStyle w:val="2"/>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p>
    <w:p w14:paraId="4C396D1F">
      <w:pPr>
        <w:pStyle w:val="2"/>
        <w:pageBreakBefore w:val="0"/>
        <w:kinsoku/>
        <w:wordWrap/>
        <w:overflowPunct/>
        <w:topLinePunct w:val="0"/>
        <w:autoSpaceDN/>
        <w:bidi w:val="0"/>
        <w:adjustRightIn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p>
    <w:p w14:paraId="7ACBBD89">
      <w:pPr>
        <w:pStyle w:val="2"/>
        <w:pageBreakBefore w:val="0"/>
        <w:kinsoku/>
        <w:wordWrap/>
        <w:overflowPunct/>
        <w:topLinePunct w:val="0"/>
        <w:autoSpaceDN/>
        <w:bidi w:val="0"/>
        <w:adjustRightInd/>
        <w:spacing w:line="576" w:lineRule="exact"/>
        <w:textAlignment w:val="auto"/>
        <w:rPr>
          <w:rFonts w:hint="default" w:ascii="Times New Roman" w:hAnsi="Times New Roman" w:cs="Times New Roman"/>
        </w:rPr>
      </w:pPr>
      <w:bookmarkStart w:id="88" w:name="_Toc15377225"/>
      <w:bookmarkStart w:id="89" w:name="_Toc15396613"/>
    </w:p>
    <w:p w14:paraId="1DFEAD7E">
      <w:pPr>
        <w:pStyle w:val="3"/>
        <w:pageBreakBefore w:val="0"/>
        <w:kinsoku/>
        <w:wordWrap/>
        <w:overflowPunct/>
        <w:topLinePunct w:val="0"/>
        <w:autoSpaceDN/>
        <w:bidi w:val="0"/>
        <w:adjustRightInd/>
        <w:spacing w:before="0" w:after="0" w:line="576" w:lineRule="exact"/>
        <w:ind w:firstLine="883" w:firstLineChars="200"/>
        <w:jc w:val="center"/>
        <w:textAlignment w:val="auto"/>
        <w:rPr>
          <w:rFonts w:hint="default" w:ascii="Times New Roman" w:hAnsi="Times New Roman" w:cs="Times New Roman"/>
        </w:rPr>
      </w:pPr>
      <w:bookmarkStart w:id="90" w:name="_Toc772"/>
      <w:r>
        <w:rPr>
          <w:rFonts w:hint="default" w:ascii="Times New Roman" w:hAnsi="Times New Roman" w:cs="Times New Roman"/>
        </w:rPr>
        <w:t>第</w:t>
      </w:r>
      <w:r>
        <w:rPr>
          <w:rFonts w:hint="default" w:ascii="Times New Roman" w:hAnsi="Times New Roman" w:cs="Times New Roman"/>
          <w:lang w:eastAsia="zh-CN"/>
        </w:rPr>
        <w:t>三</w:t>
      </w:r>
      <w:r>
        <w:rPr>
          <w:rFonts w:hint="default" w:ascii="Times New Roman" w:hAnsi="Times New Roman" w:cs="Times New Roman"/>
        </w:rPr>
        <w:t>部分</w:t>
      </w:r>
      <w:r>
        <w:rPr>
          <w:rFonts w:hint="default" w:ascii="Times New Roman" w:hAnsi="Times New Roman" w:cs="Times New Roman"/>
          <w:lang w:val="en-US" w:eastAsia="zh-CN"/>
        </w:rPr>
        <w:t xml:space="preserve">  </w:t>
      </w:r>
      <w:r>
        <w:rPr>
          <w:rFonts w:hint="default" w:ascii="Times New Roman" w:hAnsi="Times New Roman" w:cs="Times New Roman"/>
        </w:rPr>
        <w:t>名词解释</w:t>
      </w:r>
      <w:bookmarkEnd w:id="88"/>
      <w:bookmarkEnd w:id="89"/>
      <w:bookmarkEnd w:id="90"/>
    </w:p>
    <w:p w14:paraId="6A40C637">
      <w:pPr>
        <w:pageBreakBefore w:val="0"/>
        <w:kinsoku/>
        <w:wordWrap/>
        <w:overflowPunct/>
        <w:topLinePunct w:val="0"/>
        <w:autoSpaceDN/>
        <w:bidi w:val="0"/>
        <w:adjustRightInd/>
        <w:spacing w:line="576" w:lineRule="exact"/>
        <w:ind w:firstLine="883" w:firstLineChars="200"/>
        <w:jc w:val="left"/>
        <w:textAlignment w:val="auto"/>
        <w:rPr>
          <w:rFonts w:hint="default" w:ascii="Times New Roman" w:hAnsi="Times New Roman" w:cs="Times New Roman"/>
          <w:b/>
          <w:color w:val="auto"/>
          <w:sz w:val="44"/>
          <w:szCs w:val="44"/>
          <w:highlight w:val="none"/>
        </w:rPr>
      </w:pPr>
    </w:p>
    <w:p w14:paraId="09E36705">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91" w:name="_Toc15377226"/>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6A33BD22">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2.事业收入：指事业单位开展专业业务活动及辅助活动取得的收入。</w:t>
      </w:r>
    </w:p>
    <w:p w14:paraId="268E311E">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14:paraId="0A9935D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4.其他收入：指单位取得的除上述收入以外的各项收入。</w:t>
      </w:r>
    </w:p>
    <w:p w14:paraId="559D689D">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631BC0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6.年初结转和结余：指以前年度尚未完成、结转到本年按有关规定继续使用的资金。 </w:t>
      </w:r>
    </w:p>
    <w:p w14:paraId="3C0E293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14:paraId="3F353A6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14:paraId="76A43F62">
      <w:pPr>
        <w:keepNext w:val="0"/>
        <w:keepLines w:val="0"/>
        <w:pageBreakBefore w:val="0"/>
        <w:widowControl/>
        <w:suppressLineNumbers w:val="0"/>
        <w:kinsoku/>
        <w:wordWrap/>
        <w:overflowPunct/>
        <w:topLinePunct w:val="0"/>
        <w:autoSpaceDE w:val="0"/>
        <w:autoSpaceDN/>
        <w:bidi w:val="0"/>
        <w:adjustRightInd/>
        <w:spacing w:line="576" w:lineRule="exact"/>
        <w:ind w:left="0" w:leftChars="0" w:right="0" w:rightChars="0" w:firstLine="640" w:firstLineChars="200"/>
        <w:textAlignment w:val="auto"/>
        <w:rPr>
          <w:rFonts w:hint="default" w:ascii="Times New Roman" w:hAnsi="Times New Roman" w:eastAsia="仿宋_GB2312" w:cs="Times New Roman"/>
          <w:b w:val="0"/>
          <w:bCs/>
          <w:kern w:val="0"/>
          <w:sz w:val="32"/>
          <w:szCs w:val="32"/>
          <w:shd w:val="clear" w:fill="FFFFFF"/>
        </w:rPr>
      </w:pPr>
      <w:r>
        <w:rPr>
          <w:rStyle w:val="38"/>
          <w:rFonts w:hint="default" w:ascii="Times New Roman" w:hAnsi="Times New Roman" w:eastAsia="仿宋_GB2312" w:cs="Times New Roman"/>
          <w:b w:val="0"/>
          <w:bCs/>
          <w:sz w:val="32"/>
          <w:szCs w:val="32"/>
          <w:shd w:val="clear" w:fill="FFFFFF"/>
        </w:rPr>
        <w:t>9.一般公共服务201：</w:t>
      </w:r>
      <w:r>
        <w:rPr>
          <w:rFonts w:hint="default" w:ascii="Times New Roman" w:hAnsi="Times New Roman" w:eastAsia="仿宋_GB2312" w:cs="Times New Roman"/>
          <w:kern w:val="0"/>
          <w:sz w:val="32"/>
          <w:szCs w:val="32"/>
        </w:rPr>
        <w:t>指审计行政事务运行，审计事务一般行政管理事务。</w:t>
      </w:r>
    </w:p>
    <w:p w14:paraId="73C4114C">
      <w:pPr>
        <w:keepNext w:val="0"/>
        <w:keepLines w:val="0"/>
        <w:pageBreakBefore w:val="0"/>
        <w:widowControl/>
        <w:suppressLineNumbers w:val="0"/>
        <w:kinsoku/>
        <w:wordWrap/>
        <w:overflowPunct/>
        <w:topLinePunct w:val="0"/>
        <w:autoSpaceDE w:val="0"/>
        <w:autoSpaceDN/>
        <w:bidi w:val="0"/>
        <w:adjustRightInd/>
        <w:spacing w:afterAutospacing="0" w:line="576" w:lineRule="exact"/>
        <w:ind w:left="0" w:leftChars="0" w:right="0" w:rightChars="0" w:firstLine="640" w:firstLineChars="200"/>
        <w:textAlignment w:val="auto"/>
        <w:rPr>
          <w:rFonts w:hint="default" w:ascii="Times New Roman" w:hAnsi="Times New Roman" w:eastAsia="仿宋_GB2312" w:cs="Times New Roman"/>
          <w:color w:val="333333"/>
          <w:kern w:val="0"/>
          <w:sz w:val="32"/>
          <w:szCs w:val="32"/>
        </w:rPr>
      </w:pPr>
      <w:r>
        <w:rPr>
          <w:rStyle w:val="38"/>
          <w:rFonts w:hint="default" w:ascii="Times New Roman" w:hAnsi="Times New Roman" w:eastAsia="仿宋_GB2312" w:cs="Times New Roman"/>
          <w:b w:val="0"/>
          <w:bCs/>
          <w:sz w:val="32"/>
          <w:szCs w:val="32"/>
          <w:shd w:val="clear" w:fill="FFFFFF"/>
        </w:rPr>
        <w:t>10.社会保障和就业208：</w:t>
      </w:r>
      <w:r>
        <w:rPr>
          <w:rFonts w:hint="default" w:ascii="Times New Roman" w:hAnsi="Times New Roman" w:eastAsia="仿宋_GB2312" w:cs="Times New Roman"/>
          <w:color w:val="333333"/>
          <w:kern w:val="0"/>
          <w:sz w:val="32"/>
          <w:szCs w:val="32"/>
        </w:rPr>
        <w:t>社会保障和就业：指基本工资、津贴补贴、奖金、绩效工资、机关事业单位基本养老保险缴费、职业年金缴费、其他社会保障缴费、其他工资福利支出、生活补助、医疗费、住房公积金、其他对个人和家庭的补助支出以及公用经费，主要包括：办公费、水费、电费、邮电费、取暖费、差旅费、公务接待费、委托业务费、工会经费、福利费、其他交通费</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其他商品和服务支出。</w:t>
      </w:r>
    </w:p>
    <w:p w14:paraId="1AC8F9D6">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92" w:name="_Toc28365"/>
      <w:bookmarkStart w:id="93" w:name="_Toc17931"/>
      <w:bookmarkStart w:id="94" w:name="_Toc23234"/>
      <w:r>
        <w:rPr>
          <w:rFonts w:hint="default" w:ascii="Times New Roman" w:hAnsi="Times New Roman" w:eastAsia="仿宋_GB2312" w:cs="Times New Roman"/>
          <w:color w:val="auto"/>
          <w:kern w:val="2"/>
          <w:sz w:val="32"/>
          <w:szCs w:val="32"/>
          <w:highlight w:val="none"/>
          <w:lang w:val="en-US" w:eastAsia="zh-CN" w:bidi="ar-SA"/>
        </w:rPr>
        <w:t>11.住房保障221：指职工的住房公积金。</w:t>
      </w:r>
      <w:bookmarkEnd w:id="92"/>
      <w:bookmarkEnd w:id="93"/>
      <w:bookmarkEnd w:id="94"/>
    </w:p>
    <w:p w14:paraId="1077E4A3">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12.基本支出：指为保障机构正常运转、完成日常工作任务而发生的人员支出和公用支出。</w:t>
      </w:r>
    </w:p>
    <w:p w14:paraId="52C637B5">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13.项目支出：指在基本支出之外为完成特定行政任务和事业发展目标所发生的支出。</w:t>
      </w:r>
    </w:p>
    <w:p w14:paraId="666C082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14.经营支出：指事业单位在专业业务活动及其辅助活动之外开展非独立核算经营活动发生的支出。</w:t>
      </w:r>
    </w:p>
    <w:p w14:paraId="1839C4C1">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0F3C7AA">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机关运行经费：为保障行政单位（含参照公务员法管理的事业单位）运行用于购买货物和服务的各项资金，包括办公及印刷费、邮电费、差旅费、会议费、福利费、日常维修费、一般设备购置费、办公用房水电费、办公用房取暖费、公务用车运行维护费以及其他费用。</w:t>
      </w:r>
    </w:p>
    <w:p w14:paraId="0D188E4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17.基本支出：指为保障机构正常运转、完成日常工作任务而发生的人员支出和公用支出。</w:t>
      </w:r>
    </w:p>
    <w:p w14:paraId="56C916AB">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18.项目支出：指在基本支出之外为完成特定行政任务和事业发展目标所发生的支出。 </w:t>
      </w:r>
    </w:p>
    <w:p w14:paraId="64CFD1F8">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0C21A4">
      <w:pPr>
        <w:pageBreakBefore w:val="0"/>
        <w:kinsoku/>
        <w:wordWrap/>
        <w:overflowPunct/>
        <w:topLinePunct w:val="0"/>
        <w:autoSpaceDN/>
        <w:bidi w:val="0"/>
        <w:adjustRightInd/>
        <w:spacing w:line="576" w:lineRule="exact"/>
        <w:ind w:left="0" w:leftChars="0" w:firstLine="640" w:firstLineChars="200"/>
        <w:textAlignment w:val="auto"/>
        <w:rPr>
          <w:rFonts w:hint="default" w:ascii="Times New Roman" w:hAnsi="Times New Roman" w:eastAsia="方正小标宋简体" w:cs="Times New Roman"/>
          <w:b w:val="0"/>
          <w:bCs w:val="0"/>
        </w:rPr>
      </w:pPr>
      <w:r>
        <w:rPr>
          <w:rFonts w:hint="default" w:ascii="Times New Roman" w:hAnsi="Times New Roman" w:eastAsia="仿宋_GB2312" w:cs="Times New Roman"/>
          <w:color w:val="auto"/>
          <w:kern w:val="2"/>
          <w:sz w:val="32"/>
          <w:szCs w:val="32"/>
          <w:highlight w:val="none"/>
          <w:lang w:val="en-US" w:eastAsia="zh-CN" w:bidi="ar-SA"/>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B6E2D33">
      <w:pPr>
        <w:pStyle w:val="3"/>
        <w:pageBreakBefore w:val="0"/>
        <w:kinsoku/>
        <w:wordWrap/>
        <w:overflowPunct/>
        <w:topLinePunct w:val="0"/>
        <w:autoSpaceDN/>
        <w:bidi w:val="0"/>
        <w:adjustRightInd/>
        <w:spacing w:before="0" w:after="0" w:line="576" w:lineRule="exact"/>
        <w:ind w:firstLine="883" w:firstLineChars="200"/>
        <w:jc w:val="center"/>
        <w:textAlignment w:val="auto"/>
        <w:rPr>
          <w:rFonts w:hint="default" w:ascii="Times New Roman" w:hAnsi="Times New Roman" w:cs="Times New Roman"/>
        </w:rPr>
      </w:pPr>
      <w:bookmarkStart w:id="95" w:name="_Toc15396618"/>
    </w:p>
    <w:p w14:paraId="79B8C69A">
      <w:pPr>
        <w:pStyle w:val="3"/>
        <w:pageBreakBefore w:val="0"/>
        <w:kinsoku/>
        <w:wordWrap/>
        <w:overflowPunct/>
        <w:topLinePunct w:val="0"/>
        <w:autoSpaceDN/>
        <w:bidi w:val="0"/>
        <w:adjustRightInd/>
        <w:spacing w:before="0" w:after="0" w:line="576" w:lineRule="exact"/>
        <w:ind w:firstLine="883" w:firstLineChars="200"/>
        <w:jc w:val="both"/>
        <w:textAlignment w:val="auto"/>
        <w:rPr>
          <w:rFonts w:hint="default" w:ascii="Times New Roman" w:hAnsi="Times New Roman" w:cs="Times New Roman"/>
        </w:rPr>
      </w:pPr>
    </w:p>
    <w:p w14:paraId="791371B6">
      <w:pPr>
        <w:pageBreakBefore w:val="0"/>
        <w:kinsoku/>
        <w:wordWrap/>
        <w:overflowPunct/>
        <w:topLinePunct w:val="0"/>
        <w:autoSpaceDN/>
        <w:bidi w:val="0"/>
        <w:adjustRightInd/>
        <w:spacing w:line="576" w:lineRule="exact"/>
        <w:ind w:firstLine="420" w:firstLineChars="200"/>
        <w:textAlignment w:val="auto"/>
        <w:rPr>
          <w:rFonts w:hint="default" w:ascii="Times New Roman" w:hAnsi="Times New Roman" w:cs="Times New Roman"/>
        </w:rPr>
      </w:pPr>
    </w:p>
    <w:p w14:paraId="157FD602">
      <w:pPr>
        <w:pStyle w:val="3"/>
        <w:pageBreakBefore w:val="0"/>
        <w:kinsoku/>
        <w:wordWrap/>
        <w:overflowPunct/>
        <w:topLinePunct w:val="0"/>
        <w:autoSpaceDN/>
        <w:bidi w:val="0"/>
        <w:adjustRightInd/>
        <w:spacing w:before="0" w:after="0" w:line="576" w:lineRule="exact"/>
        <w:ind w:firstLine="883" w:firstLineChars="200"/>
        <w:jc w:val="center"/>
        <w:textAlignment w:val="auto"/>
        <w:rPr>
          <w:rFonts w:hint="default" w:ascii="Times New Roman" w:hAnsi="Times New Roman" w:eastAsia="仿宋_GB2312" w:cs="Times New Roman"/>
          <w:color w:val="auto"/>
          <w:sz w:val="32"/>
          <w:szCs w:val="32"/>
          <w:highlight w:val="none"/>
        </w:rPr>
      </w:pPr>
      <w:bookmarkStart w:id="96" w:name="_Toc18105"/>
      <w:r>
        <w:rPr>
          <w:rFonts w:hint="default" w:ascii="Times New Roman" w:hAnsi="Times New Roman" w:cs="Times New Roman"/>
        </w:rPr>
        <w:t>第五部分 附表</w:t>
      </w:r>
      <w:bookmarkEnd w:id="91"/>
      <w:bookmarkEnd w:id="95"/>
      <w:bookmarkEnd w:id="96"/>
      <w:bookmarkStart w:id="97" w:name="_Toc15396619"/>
    </w:p>
    <w:p w14:paraId="4391E902">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98" w:name="_Toc12761"/>
      <w:r>
        <w:rPr>
          <w:rFonts w:hint="default" w:ascii="Times New Roman" w:hAnsi="Times New Roman" w:eastAsia="楷体_GB2312" w:cs="Times New Roman"/>
          <w:b w:val="0"/>
          <w:bCs w:val="0"/>
        </w:rPr>
        <w:t>一、收入支出决算总表</w:t>
      </w:r>
      <w:bookmarkEnd w:id="97"/>
      <w:bookmarkEnd w:id="98"/>
    </w:p>
    <w:p w14:paraId="7590F826">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99" w:name="_Toc15396620"/>
      <w:bookmarkStart w:id="100" w:name="_Toc7851"/>
      <w:r>
        <w:rPr>
          <w:rFonts w:hint="default" w:ascii="Times New Roman" w:hAnsi="Times New Roman" w:eastAsia="楷体_GB2312" w:cs="Times New Roman"/>
          <w:b w:val="0"/>
          <w:bCs w:val="0"/>
        </w:rPr>
        <w:t>二、收入决算表</w:t>
      </w:r>
      <w:bookmarkEnd w:id="99"/>
      <w:bookmarkEnd w:id="100"/>
    </w:p>
    <w:p w14:paraId="59913EB6">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01" w:name="_Toc6865"/>
      <w:bookmarkStart w:id="102" w:name="_Toc15396621"/>
      <w:r>
        <w:rPr>
          <w:rFonts w:hint="default" w:ascii="Times New Roman" w:hAnsi="Times New Roman" w:eastAsia="楷体_GB2312" w:cs="Times New Roman"/>
          <w:b w:val="0"/>
          <w:bCs w:val="0"/>
        </w:rPr>
        <w:t>三、支出决算表</w:t>
      </w:r>
      <w:bookmarkEnd w:id="101"/>
      <w:bookmarkEnd w:id="102"/>
    </w:p>
    <w:p w14:paraId="3186B995">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03" w:name="_Toc14077"/>
      <w:bookmarkStart w:id="104" w:name="_Toc15396622"/>
      <w:r>
        <w:rPr>
          <w:rFonts w:hint="default" w:ascii="Times New Roman" w:hAnsi="Times New Roman" w:eastAsia="楷体_GB2312" w:cs="Times New Roman"/>
          <w:b w:val="0"/>
          <w:bCs w:val="0"/>
        </w:rPr>
        <w:t>四、财政拨款收入支出决算总表</w:t>
      </w:r>
      <w:bookmarkEnd w:id="103"/>
      <w:bookmarkEnd w:id="104"/>
    </w:p>
    <w:p w14:paraId="78C4F97D">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05" w:name="_Toc26446"/>
      <w:bookmarkStart w:id="106" w:name="_Toc15396623"/>
      <w:r>
        <w:rPr>
          <w:rFonts w:hint="default" w:ascii="Times New Roman" w:hAnsi="Times New Roman" w:eastAsia="楷体_GB2312" w:cs="Times New Roman"/>
          <w:b w:val="0"/>
          <w:bCs w:val="0"/>
        </w:rPr>
        <w:t>五、财政拨款支出决算明细表</w:t>
      </w:r>
      <w:bookmarkEnd w:id="105"/>
      <w:bookmarkEnd w:id="106"/>
      <w:bookmarkStart w:id="107" w:name="_Toc15396624"/>
    </w:p>
    <w:p w14:paraId="77751AC9">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08" w:name="_Toc25545"/>
      <w:r>
        <w:rPr>
          <w:rFonts w:hint="default" w:ascii="Times New Roman" w:hAnsi="Times New Roman" w:eastAsia="楷体_GB2312" w:cs="Times New Roman"/>
          <w:b w:val="0"/>
          <w:bCs w:val="0"/>
        </w:rPr>
        <w:t>六、一般公共预算财政拨款支出决算表</w:t>
      </w:r>
      <w:bookmarkEnd w:id="107"/>
      <w:bookmarkEnd w:id="108"/>
    </w:p>
    <w:p w14:paraId="201E50F7">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09" w:name="_Toc15396625"/>
      <w:bookmarkStart w:id="110" w:name="_Toc12866"/>
      <w:r>
        <w:rPr>
          <w:rFonts w:hint="default" w:ascii="Times New Roman" w:hAnsi="Times New Roman" w:eastAsia="楷体_GB2312" w:cs="Times New Roman"/>
          <w:b w:val="0"/>
          <w:bCs w:val="0"/>
        </w:rPr>
        <w:t>七、一般公共预算财政拨款支出决算明细表</w:t>
      </w:r>
      <w:bookmarkEnd w:id="109"/>
      <w:bookmarkEnd w:id="110"/>
    </w:p>
    <w:p w14:paraId="2E6C4DFB">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11" w:name="_Toc15396626"/>
      <w:bookmarkStart w:id="112" w:name="_Toc30350"/>
      <w:r>
        <w:rPr>
          <w:rFonts w:hint="default" w:ascii="Times New Roman" w:hAnsi="Times New Roman" w:eastAsia="楷体_GB2312" w:cs="Times New Roman"/>
          <w:b w:val="0"/>
          <w:bCs w:val="0"/>
        </w:rPr>
        <w:t>八、一般公共预算财政拨款基本支出决算表</w:t>
      </w:r>
      <w:bookmarkEnd w:id="111"/>
      <w:bookmarkEnd w:id="112"/>
    </w:p>
    <w:p w14:paraId="79587145">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13" w:name="_Toc26676"/>
      <w:bookmarkStart w:id="114" w:name="_Toc15396627"/>
      <w:r>
        <w:rPr>
          <w:rFonts w:hint="default" w:ascii="Times New Roman" w:hAnsi="Times New Roman" w:eastAsia="楷体_GB2312" w:cs="Times New Roman"/>
          <w:b w:val="0"/>
          <w:bCs w:val="0"/>
        </w:rPr>
        <w:t>九、一般公共预算财政拨款项目支出决算表</w:t>
      </w:r>
      <w:bookmarkEnd w:id="113"/>
      <w:bookmarkEnd w:id="114"/>
    </w:p>
    <w:p w14:paraId="19B10C24">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15" w:name="_Toc15396628"/>
      <w:bookmarkStart w:id="116" w:name="_Toc11927"/>
      <w:r>
        <w:rPr>
          <w:rFonts w:hint="default" w:ascii="Times New Roman" w:hAnsi="Times New Roman" w:eastAsia="楷体_GB2312" w:cs="Times New Roman"/>
          <w:b w:val="0"/>
          <w:bCs w:val="0"/>
        </w:rPr>
        <w:t>十、</w:t>
      </w:r>
      <w:bookmarkEnd w:id="115"/>
      <w:r>
        <w:rPr>
          <w:rFonts w:hint="default" w:ascii="Times New Roman" w:hAnsi="Times New Roman" w:eastAsia="楷体_GB2312" w:cs="Times New Roman"/>
          <w:b w:val="0"/>
          <w:bCs w:val="0"/>
        </w:rPr>
        <w:t>政府性基金预算财政拨款收入支出决算表</w:t>
      </w:r>
      <w:bookmarkEnd w:id="116"/>
    </w:p>
    <w:p w14:paraId="27D6A13A">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17" w:name="_Toc15396629"/>
      <w:bookmarkStart w:id="118" w:name="_Toc17565"/>
      <w:r>
        <w:rPr>
          <w:rFonts w:hint="default" w:ascii="Times New Roman" w:hAnsi="Times New Roman" w:eastAsia="楷体_GB2312" w:cs="Times New Roman"/>
          <w:b w:val="0"/>
          <w:bCs w:val="0"/>
        </w:rPr>
        <w:t>十一、</w:t>
      </w:r>
      <w:bookmarkEnd w:id="117"/>
      <w:r>
        <w:rPr>
          <w:rFonts w:hint="default" w:ascii="Times New Roman" w:hAnsi="Times New Roman" w:eastAsia="楷体_GB2312" w:cs="Times New Roman"/>
          <w:b w:val="0"/>
          <w:bCs w:val="0"/>
        </w:rPr>
        <w:t>国有资本经营预算</w:t>
      </w:r>
      <w:r>
        <w:rPr>
          <w:rFonts w:hint="default" w:ascii="Times New Roman" w:hAnsi="Times New Roman" w:eastAsia="楷体_GB2312" w:cs="Times New Roman"/>
          <w:b w:val="0"/>
          <w:bCs w:val="0"/>
          <w:lang w:eastAsia="zh-CN"/>
        </w:rPr>
        <w:t>财政拨款收入</w:t>
      </w:r>
      <w:r>
        <w:rPr>
          <w:rFonts w:hint="default" w:ascii="Times New Roman" w:hAnsi="Times New Roman" w:eastAsia="楷体_GB2312" w:cs="Times New Roman"/>
          <w:b w:val="0"/>
          <w:bCs w:val="0"/>
        </w:rPr>
        <w:t>支出决算表</w:t>
      </w:r>
      <w:bookmarkEnd w:id="118"/>
    </w:p>
    <w:p w14:paraId="2EC9D10D">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rPr>
      </w:pPr>
      <w:bookmarkStart w:id="119" w:name="_Toc15396630"/>
      <w:bookmarkStart w:id="120" w:name="_Toc21864"/>
      <w:r>
        <w:rPr>
          <w:rFonts w:hint="default" w:ascii="Times New Roman" w:hAnsi="Times New Roman" w:eastAsia="楷体_GB2312" w:cs="Times New Roman"/>
          <w:b w:val="0"/>
          <w:bCs w:val="0"/>
        </w:rPr>
        <w:t>十二、</w:t>
      </w:r>
      <w:bookmarkEnd w:id="119"/>
      <w:r>
        <w:rPr>
          <w:rFonts w:hint="default" w:ascii="Times New Roman" w:hAnsi="Times New Roman" w:eastAsia="楷体_GB2312" w:cs="Times New Roman"/>
          <w:b w:val="0"/>
          <w:bCs w:val="0"/>
          <w:lang w:eastAsia="zh-CN"/>
        </w:rPr>
        <w:t>国有资本经营预算财政拨款支出决算表</w:t>
      </w:r>
      <w:bookmarkEnd w:id="120"/>
    </w:p>
    <w:p w14:paraId="6B64252E">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楷体_GB2312" w:cs="Times New Roman"/>
          <w:b w:val="0"/>
          <w:bCs w:val="0"/>
          <w:lang w:eastAsia="zh-CN"/>
        </w:rPr>
      </w:pPr>
      <w:bookmarkStart w:id="121" w:name="_Toc15396631"/>
      <w:bookmarkStart w:id="122" w:name="_Toc16161"/>
      <w:r>
        <w:rPr>
          <w:rFonts w:hint="default" w:ascii="Times New Roman" w:hAnsi="Times New Roman" w:eastAsia="楷体_GB2312" w:cs="Times New Roman"/>
          <w:b w:val="0"/>
          <w:bCs w:val="0"/>
        </w:rPr>
        <w:t>十三、</w:t>
      </w:r>
      <w:bookmarkEnd w:id="121"/>
      <w:r>
        <w:rPr>
          <w:rFonts w:hint="default" w:ascii="Times New Roman" w:hAnsi="Times New Roman" w:eastAsia="楷体_GB2312" w:cs="Times New Roman"/>
          <w:b w:val="0"/>
          <w:bCs w:val="0"/>
          <w:lang w:eastAsia="zh-CN"/>
        </w:rPr>
        <w:t>财政拨款“三公”经费支出决算表</w:t>
      </w:r>
      <w:bookmarkEnd w:id="122"/>
    </w:p>
    <w:p w14:paraId="463F2F8D">
      <w:pPr>
        <w:pageBreakBefore w:val="0"/>
        <w:kinsoku/>
        <w:wordWrap/>
        <w:overflowPunct/>
        <w:topLinePunct w:val="0"/>
        <w:autoSpaceDN/>
        <w:bidi w:val="0"/>
        <w:adjustRightInd/>
        <w:spacing w:line="576" w:lineRule="exact"/>
        <w:ind w:firstLine="420" w:firstLineChars="200"/>
        <w:textAlignment w:val="auto"/>
        <w:rPr>
          <w:rFonts w:hint="default" w:ascii="Times New Roman" w:hAnsi="Times New Roman" w:cs="Times New Roman"/>
          <w:lang w:eastAsia="zh-C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2F4A48-B718-4AD2-AF6F-FD393C96B2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15C7B36-E046-4E70-9C65-50DEF96FCACB}"/>
  </w:font>
  <w:font w:name="仿宋">
    <w:panose1 w:val="02010609060101010101"/>
    <w:charset w:val="86"/>
    <w:family w:val="modern"/>
    <w:pitch w:val="default"/>
    <w:sig w:usb0="800002BF" w:usb1="38CF7CFA" w:usb2="00000016" w:usb3="00000000" w:csb0="00040001" w:csb1="00000000"/>
    <w:embedRegular r:id="rId3" w:fontKey="{CFB1E65F-4D49-4D24-ADB9-2782BECF4BA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4A289510-B2C4-4800-9299-3A20CE927012}"/>
  </w:font>
  <w:font w:name="楷体_GB2312">
    <w:panose1 w:val="02010609030101010101"/>
    <w:charset w:val="86"/>
    <w:family w:val="auto"/>
    <w:pitch w:val="default"/>
    <w:sig w:usb0="00000001" w:usb1="080E0000" w:usb2="00000000" w:usb3="00000000" w:csb0="00040000" w:csb1="00000000"/>
    <w:embedRegular r:id="rId5" w:fontKey="{1625F4B1-8116-4224-A5EF-DF77C39881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02D3A">
    <w:pPr>
      <w:pStyle w:val="12"/>
      <w:jc w:val="center"/>
    </w:pPr>
  </w:p>
  <w:p w14:paraId="02A1BE5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BDEBD">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C2BF7">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3C2BF7">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26DB34E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981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A01D97"/>
    <w:multiLevelType w:val="singleLevel"/>
    <w:tmpl w:val="24A01D97"/>
    <w:lvl w:ilvl="0" w:tentative="0">
      <w:start w:val="1"/>
      <w:numFmt w:val="chineseCounting"/>
      <w:suff w:val="nothing"/>
      <w:lvlText w:val="%1、"/>
      <w:lvlJc w:val="left"/>
      <w:rPr>
        <w:rFonts w:hint="eastAsia"/>
      </w:rPr>
    </w:lvl>
  </w:abstractNum>
  <w:abstractNum w:abstractNumId="1">
    <w:nsid w:val="5C840083"/>
    <w:multiLevelType w:val="singleLevel"/>
    <w:tmpl w:val="5C840083"/>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CF14A50"/>
    <w:rsid w:val="0D273B03"/>
    <w:rsid w:val="0D35B1ED"/>
    <w:rsid w:val="0DE07E2B"/>
    <w:rsid w:val="0F98263C"/>
    <w:rsid w:val="101860EC"/>
    <w:rsid w:val="10C055FF"/>
    <w:rsid w:val="11772AA4"/>
    <w:rsid w:val="118107EC"/>
    <w:rsid w:val="13957196"/>
    <w:rsid w:val="13D50BC4"/>
    <w:rsid w:val="13F37300"/>
    <w:rsid w:val="14022904"/>
    <w:rsid w:val="144B0EEA"/>
    <w:rsid w:val="152F2A07"/>
    <w:rsid w:val="165E0673"/>
    <w:rsid w:val="16BB723D"/>
    <w:rsid w:val="16F13FCB"/>
    <w:rsid w:val="186504BB"/>
    <w:rsid w:val="18D47700"/>
    <w:rsid w:val="1938089F"/>
    <w:rsid w:val="19A445FC"/>
    <w:rsid w:val="1B7D550C"/>
    <w:rsid w:val="1BE8440E"/>
    <w:rsid w:val="1D155CEE"/>
    <w:rsid w:val="1D6078F3"/>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84FEB"/>
    <w:rsid w:val="2FAE5751"/>
    <w:rsid w:val="2FB1A395"/>
    <w:rsid w:val="2FD9A7D8"/>
    <w:rsid w:val="319F7F4E"/>
    <w:rsid w:val="31C143D8"/>
    <w:rsid w:val="321B2544"/>
    <w:rsid w:val="327318E0"/>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17116E0"/>
    <w:rsid w:val="43A407DF"/>
    <w:rsid w:val="44515BEA"/>
    <w:rsid w:val="44E268DA"/>
    <w:rsid w:val="453F7E5B"/>
    <w:rsid w:val="486A6C7A"/>
    <w:rsid w:val="49176D9B"/>
    <w:rsid w:val="494006BD"/>
    <w:rsid w:val="4A627F82"/>
    <w:rsid w:val="4B0E749A"/>
    <w:rsid w:val="4B441C14"/>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5E53FF3"/>
    <w:rsid w:val="56E47B74"/>
    <w:rsid w:val="57BD3DD4"/>
    <w:rsid w:val="5A463142"/>
    <w:rsid w:val="5AF92295"/>
    <w:rsid w:val="5BDD79E6"/>
    <w:rsid w:val="5BF561CA"/>
    <w:rsid w:val="5BFF5DFC"/>
    <w:rsid w:val="5C25339C"/>
    <w:rsid w:val="5CD71FC4"/>
    <w:rsid w:val="5D1F11B5"/>
    <w:rsid w:val="5DAE1B18"/>
    <w:rsid w:val="5DE7D9E5"/>
    <w:rsid w:val="5ECEC941"/>
    <w:rsid w:val="5F493CB7"/>
    <w:rsid w:val="5FBF9FF3"/>
    <w:rsid w:val="5FCD4E2C"/>
    <w:rsid w:val="5FD15F49"/>
    <w:rsid w:val="5FEF394A"/>
    <w:rsid w:val="5FF67715"/>
    <w:rsid w:val="60E5134B"/>
    <w:rsid w:val="61EF2C7F"/>
    <w:rsid w:val="62BF3928"/>
    <w:rsid w:val="647F5392"/>
    <w:rsid w:val="64803865"/>
    <w:rsid w:val="664B1D71"/>
    <w:rsid w:val="67AA3209"/>
    <w:rsid w:val="681C4F0D"/>
    <w:rsid w:val="69046D0F"/>
    <w:rsid w:val="698D0931"/>
    <w:rsid w:val="6A993CED"/>
    <w:rsid w:val="6B053271"/>
    <w:rsid w:val="6BCE6674"/>
    <w:rsid w:val="6C4A05C8"/>
    <w:rsid w:val="6C8742B8"/>
    <w:rsid w:val="6C8A170F"/>
    <w:rsid w:val="6CB54609"/>
    <w:rsid w:val="6D57537F"/>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6D6CC1"/>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D16771"/>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semiHidden/>
    <w:qFormat/>
    <w:uiPriority w:val="0"/>
    <w:pPr>
      <w:snapToGrid w:val="0"/>
      <w:jc w:val="left"/>
    </w:pPr>
    <w:rPr>
      <w:sz w:val="18"/>
      <w:szCs w:val="18"/>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23"/>
    <w:basedOn w:val="17"/>
    <w:qFormat/>
    <w:uiPriority w:val="0"/>
    <w:rPr>
      <w:rFonts w:hint="default" w:ascii="Times New Roman" w:hAnsi="Times New Roman" w:cs="Times New Roman"/>
      <w:b/>
    </w:rPr>
  </w:style>
  <w:style w:type="paragraph" w:customStyle="1" w:styleId="37">
    <w:name w:val="普通(网站) Char Char"/>
    <w:basedOn w:val="1"/>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8">
    <w:name w:val="21"/>
    <w:basedOn w:val="17"/>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22dc49da-27dd-4447-a5b3-0fb71385f98e</errorID>
      <errorWord>和县</errorWord>
      <group>L1_Word</group>
      <groupName>字词问题</groupName>
      <ability>L2_Typo</ability>
      <abilityName>字词错误</abilityName>
      <candidateList>
        <item>和</item>
      </candidateList>
      <explain/>
      <paraID>7DA11475</paraID>
      <start>171</start>
      <end>172</end>
      <status>modified</status>
      <modifiedWord>和</modifiedWord>
      <trackRevisions>false</trackRevisions>
    </reviewItem>
    <reviewItem>
      <errorID>72e9c791-c8b0-4b08-b088-754df0b887a9</errorID>
      <errorWord>领域内</errorWord>
      <group>L1_Word</group>
      <groupName>字词问题</groupName>
      <ability>L2_Typo</ability>
      <abilityName>字词错误</abilityName>
      <candidateList>
        <item>领域</item>
      </candidateList>
      <explain/>
      <paraID>7F7F18A7</paraID>
      <start>9</start>
      <end>11</end>
      <status>modified</status>
      <modifiedWord>领域</modifiedWord>
      <trackRevisions>false</trackRevisions>
    </reviewItem>
    <reviewItem>
      <errorID>28014c82-5b53-4ed9-ac6a-66060547b31b</errorID>
      <errorWord>,</errorWord>
      <group>L1_Format</group>
      <groupName>格式问题</groupName>
      <ability>L2_HalfPunc_CN</ability>
      <abilityName>全半角问题</abilityName>
      <candidateList>
        <item>，</item>
      </candidateList>
      <explain>文本全半角错误。</explain>
      <paraID>754E0113</paraID>
      <start>68</start>
      <end>69</end>
      <status>modified</status>
      <modifiedWord>，</modifiedWord>
      <trackRevisions>false</trackRevisions>
    </reviewItem>
    <reviewItem>
      <errorID>64429cc9-abf0-45b6-9c08-e4653b996fb3</errorID>
      <errorWord>，</errorWord>
      <group>L1_Word</group>
      <groupName>字词问题</groupName>
      <ability>L2_Typo</ability>
      <abilityName>字词错误</abilityName>
      <candidateList>
        <item>，在</item>
      </candidateList>
      <explain/>
      <paraID>160FF636</paraID>
      <start>71</start>
      <end>73</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43497c-89d3-4d3a-afee-e8d797afa9c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6134</Words>
  <Characters>6519</Characters>
  <Lines>61</Lines>
  <Paragraphs>17</Paragraphs>
  <TotalTime>2</TotalTime>
  <ScaleCrop>false</ScaleCrop>
  <LinksUpToDate>false</LinksUpToDate>
  <CharactersWithSpaces>6628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2026-10-15T02:59:42Z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