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77F94">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06267"/>
      <w:bookmarkStart w:id="2" w:name="_Toc15378441"/>
      <w:bookmarkStart w:id="3" w:name="_Toc15377193"/>
      <w:bookmarkStart w:id="4" w:name="_Toc15396597"/>
      <w:bookmarkStart w:id="5" w:name="_Toc15396475"/>
    </w:p>
    <w:p w14:paraId="0CEFDCAF">
      <w:pPr>
        <w:pStyle w:val="6"/>
        <w:rPr>
          <w:rFonts w:hint="eastAsia" w:ascii="Times New Roman" w:hAnsi="Times New Roman" w:eastAsia="方正小标宋简体" w:cs="Times New Roman"/>
          <w:color w:val="auto"/>
          <w:kern w:val="2"/>
          <w:sz w:val="72"/>
          <w:szCs w:val="72"/>
          <w:highlight w:val="none"/>
          <w:lang w:val="en-US" w:eastAsia="zh-CN" w:bidi="ar-SA"/>
        </w:rPr>
      </w:pPr>
    </w:p>
    <w:p w14:paraId="5F3AFE9B">
      <w:pPr>
        <w:pStyle w:val="6"/>
        <w:rPr>
          <w:rFonts w:hint="eastAsia" w:ascii="Times New Roman" w:hAnsi="Times New Roman" w:eastAsia="方正小标宋简体" w:cs="Times New Roman"/>
          <w:color w:val="auto"/>
          <w:kern w:val="2"/>
          <w:sz w:val="72"/>
          <w:szCs w:val="72"/>
          <w:highlight w:val="none"/>
          <w:lang w:val="en-US" w:eastAsia="zh-CN" w:bidi="ar-SA"/>
        </w:rPr>
      </w:pPr>
    </w:p>
    <w:p w14:paraId="767FFD36">
      <w:pPr>
        <w:pStyle w:val="6"/>
        <w:rPr>
          <w:rFonts w:hint="eastAsia" w:ascii="Times New Roman" w:hAnsi="Times New Roman" w:eastAsia="方正小标宋简体" w:cs="Times New Roman"/>
          <w:color w:val="auto"/>
          <w:kern w:val="2"/>
          <w:sz w:val="72"/>
          <w:szCs w:val="72"/>
          <w:highlight w:val="none"/>
          <w:lang w:val="en-US" w:eastAsia="zh-CN" w:bidi="ar-SA"/>
        </w:rPr>
      </w:pPr>
    </w:p>
    <w:p w14:paraId="70E28A48">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val="en-US" w:eastAsia="zh-CN"/>
        </w:rPr>
      </w:pPr>
      <w:bookmarkStart w:id="6" w:name="_Toc7420"/>
      <w:bookmarkStart w:id="7" w:name="_Toc9245"/>
      <w:bookmarkStart w:id="8" w:name="_Toc28256"/>
      <w:r>
        <w:rPr>
          <w:rFonts w:hint="eastAsia" w:ascii="方正小标宋简体" w:hAnsi="方正小标宋简体" w:eastAsia="方正小标宋简体" w:cs="方正小标宋简体"/>
          <w:sz w:val="72"/>
          <w:szCs w:val="72"/>
          <w:lang w:val="en-US" w:eastAsia="zh-CN"/>
        </w:rPr>
        <w:t>2025年度</w:t>
      </w:r>
      <w:bookmarkEnd w:id="6"/>
      <w:bookmarkEnd w:id="7"/>
      <w:bookmarkEnd w:id="8"/>
    </w:p>
    <w:p w14:paraId="5C771131">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val="en-US" w:eastAsia="zh-CN"/>
        </w:rPr>
      </w:pPr>
      <w:bookmarkStart w:id="9" w:name="_Toc32075"/>
      <w:bookmarkStart w:id="10" w:name="_Toc22916"/>
      <w:bookmarkStart w:id="11" w:name="_Toc7729"/>
      <w:r>
        <w:rPr>
          <w:rFonts w:hint="eastAsia" w:ascii="方正小标宋简体" w:hAnsi="方正小标宋简体" w:eastAsia="方正小标宋简体" w:cs="方正小标宋简体"/>
          <w:sz w:val="72"/>
          <w:szCs w:val="72"/>
          <w:lang w:val="en-US" w:eastAsia="zh-CN"/>
        </w:rPr>
        <w:t>四川省阿坝州松潘县</w:t>
      </w:r>
      <w:bookmarkEnd w:id="9"/>
      <w:bookmarkEnd w:id="10"/>
      <w:bookmarkEnd w:id="11"/>
    </w:p>
    <w:p w14:paraId="1B0E7B4D">
      <w:pPr>
        <w:adjustRightInd w:val="0"/>
        <w:snapToGrid w:val="0"/>
        <w:spacing w:line="360" w:lineRule="auto"/>
        <w:jc w:val="center"/>
        <w:outlineLvl w:val="0"/>
        <w:rPr>
          <w:rFonts w:hint="eastAsia" w:ascii="Times New Roman" w:hAnsi="Times New Roman" w:eastAsia="黑体"/>
          <w:color w:val="auto"/>
          <w:sz w:val="48"/>
          <w:szCs w:val="48"/>
          <w:highlight w:val="none"/>
          <w:lang w:val="en-US" w:eastAsia="zh-C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bookmarkStart w:id="12" w:name="_Toc4681"/>
      <w:bookmarkStart w:id="13" w:name="_Toc5142"/>
      <w:bookmarkStart w:id="14" w:name="_Toc26469"/>
      <w:r>
        <w:rPr>
          <w:rFonts w:hint="eastAsia" w:ascii="方正小标宋简体" w:hAnsi="方正小标宋简体" w:eastAsia="方正小标宋简体" w:cs="方正小标宋简体"/>
          <w:sz w:val="72"/>
          <w:szCs w:val="72"/>
          <w:lang w:val="en-US" w:eastAsia="zh-CN"/>
        </w:rPr>
        <w:t>中藏医院决算</w:t>
      </w:r>
      <w:bookmarkEnd w:id="12"/>
      <w:r>
        <w:rPr>
          <w:rFonts w:hint="eastAsia" w:ascii="方正小标宋简体" w:hAnsi="方正小标宋简体" w:eastAsia="方正小标宋简体" w:cs="方正小标宋简体"/>
          <w:sz w:val="72"/>
          <w:szCs w:val="72"/>
          <w:lang w:val="en-US" w:eastAsia="zh-CN"/>
        </w:rPr>
        <w:t>公开</w:t>
      </w:r>
      <w:bookmarkEnd w:id="13"/>
      <w:bookmarkEnd w:id="14"/>
    </w:p>
    <w:p w14:paraId="24B4FAC4">
      <w:pPr>
        <w:rPr>
          <w:rFonts w:ascii="Times New Roman" w:hAnsi="Times New Roman"/>
        </w:rPr>
      </w:pPr>
    </w:p>
    <w:bookmarkEnd w:id="0"/>
    <w:bookmarkEnd w:id="1"/>
    <w:bookmarkEnd w:id="2"/>
    <w:bookmarkEnd w:id="3"/>
    <w:bookmarkEnd w:id="4"/>
    <w:bookmarkEnd w:id="5"/>
    <w:p w14:paraId="5BD454B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458090C8">
      <w:pPr>
        <w:widowControl/>
        <w:jc w:val="center"/>
        <w:rPr>
          <w:rFonts w:ascii="Times New Roman" w:hAnsi="Times New Roman" w:eastAsia="黑体" w:cstheme="minorBidi"/>
          <w:color w:val="auto"/>
          <w:sz w:val="28"/>
          <w:szCs w:val="28"/>
          <w:highlight w:val="none"/>
        </w:rPr>
      </w:pPr>
    </w:p>
    <w:p w14:paraId="0469EC72">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80524"/>
        <w15:color w:val="DBDBDB"/>
        <w:docPartObj>
          <w:docPartGallery w:val="Table of Contents"/>
          <w:docPartUnique/>
        </w:docPartObj>
      </w:sdtPr>
      <w:sdtEndPr>
        <w:rPr>
          <w:rFonts w:ascii="Times New Roman" w:hAnsi="Times New Roman" w:eastAsia="宋体" w:cs="Times New Roman"/>
          <w:b/>
          <w:color w:val="auto"/>
          <w:kern w:val="2"/>
          <w:sz w:val="21"/>
          <w:szCs w:val="24"/>
          <w:highlight w:val="none"/>
          <w:lang w:val="en-US" w:eastAsia="zh-CN" w:bidi="ar-SA"/>
        </w:rPr>
      </w:sdtEndPr>
      <w:sdtContent>
        <w:p w14:paraId="551FC5AD">
          <w:pPr>
            <w:spacing w:before="0" w:beforeLines="0" w:after="0" w:afterLines="0" w:line="240" w:lineRule="auto"/>
            <w:ind w:left="0" w:leftChars="0" w:right="0" w:rightChars="0" w:firstLine="0" w:firstLineChars="0"/>
            <w:jc w:val="center"/>
          </w:pPr>
        </w:p>
        <w:p w14:paraId="7E64926D">
          <w:pPr>
            <w:pStyle w:val="37"/>
            <w:tabs>
              <w:tab w:val="right" w:leader="dot" w:pos="8306"/>
            </w:tabs>
            <w:rPr>
              <w:b/>
            </w:rPr>
          </w:pPr>
          <w:r>
            <w:rPr>
              <w:rFonts w:ascii="Times New Roman" w:hAnsi="Times New Roman"/>
              <w:color w:val="auto"/>
              <w:highlight w:val="none"/>
            </w:rPr>
            <w:fldChar w:fldCharType="begin"/>
          </w:r>
          <w:r>
            <w:rPr>
              <w:rFonts w:ascii="Times New Roman" w:hAnsi="Times New Roman"/>
              <w:color w:val="auto"/>
              <w:highlight w:val="none"/>
            </w:rPr>
            <w:instrText xml:space="preserve">TOC \o "1-2" \h \u </w:instrText>
          </w:r>
          <w:r>
            <w:rPr>
              <w:rFonts w:ascii="Times New Roman" w:hAnsi="Times New Roman"/>
              <w:color w:val="auto"/>
              <w:highlight w:val="none"/>
            </w:rPr>
            <w:fldChar w:fldCharType="separate"/>
          </w:r>
        </w:p>
        <w:p w14:paraId="35AF4F9B">
          <w:pPr>
            <w:pStyle w:val="37"/>
            <w:tabs>
              <w:tab w:val="right" w:leader="dot" w:pos="8306"/>
            </w:tabs>
            <w:rPr>
              <w:b/>
            </w:rPr>
          </w:pPr>
          <w:r>
            <w:rPr>
              <w:rFonts w:ascii="Times New Roman" w:hAnsi="Times New Roman"/>
              <w:b/>
              <w:color w:val="auto"/>
              <w:highlight w:val="none"/>
            </w:rPr>
            <w:fldChar w:fldCharType="begin"/>
          </w:r>
          <w:r>
            <w:rPr>
              <w:rFonts w:ascii="Times New Roman" w:hAnsi="Times New Roman"/>
              <w:b/>
              <w:highlight w:val="none"/>
            </w:rPr>
            <w:instrText xml:space="preserve"> HYPERLINK \l _Toc13263 </w:instrText>
          </w:r>
          <w:r>
            <w:rPr>
              <w:rFonts w:ascii="Times New Roman" w:hAnsi="Times New Roman"/>
              <w:b/>
              <w:highlight w:val="none"/>
            </w:rPr>
            <w:fldChar w:fldCharType="separate"/>
          </w:r>
          <w:r>
            <w:rPr>
              <w:rFonts w:hint="eastAsia" w:ascii="Times New Roman" w:hAnsi="Times New Roman" w:eastAsia="方正小标宋简体" w:cs="方正小标宋简体"/>
              <w:b/>
              <w:highlight w:val="none"/>
            </w:rPr>
            <w:t>第一部分</w:t>
          </w:r>
          <w:r>
            <w:rPr>
              <w:rFonts w:hint="eastAsia" w:ascii="Times New Roman" w:hAnsi="Times New Roman" w:eastAsia="方正小标宋简体" w:cs="方正小标宋简体"/>
              <w:b/>
              <w:highlight w:val="none"/>
              <w:lang w:val="en-US" w:eastAsia="zh-CN"/>
            </w:rPr>
            <w:t xml:space="preserve"> </w:t>
          </w:r>
          <w:r>
            <w:rPr>
              <w:rFonts w:hint="eastAsia" w:ascii="Times New Roman" w:hAnsi="Times New Roman" w:eastAsia="方正小标宋简体" w:cs="方正小标宋简体"/>
              <w:b/>
              <w:highlight w:val="none"/>
            </w:rPr>
            <w:t xml:space="preserve"> </w:t>
          </w:r>
          <w:r>
            <w:rPr>
              <w:rFonts w:hint="eastAsia" w:ascii="Times New Roman" w:hAnsi="Times New Roman" w:eastAsia="方正小标宋简体" w:cs="方正小标宋简体"/>
              <w:b/>
              <w:bCs w:val="0"/>
              <w:highlight w:val="none"/>
            </w:rPr>
            <w:t>部门概况</w:t>
          </w:r>
          <w:r>
            <w:rPr>
              <w:b/>
            </w:rPr>
            <w:tab/>
          </w:r>
          <w:r>
            <w:rPr>
              <w:b/>
            </w:rPr>
            <w:fldChar w:fldCharType="begin"/>
          </w:r>
          <w:r>
            <w:rPr>
              <w:b/>
            </w:rPr>
            <w:instrText xml:space="preserve"> PAGEREF _Toc13263 \h </w:instrText>
          </w:r>
          <w:r>
            <w:rPr>
              <w:b/>
            </w:rPr>
            <w:fldChar w:fldCharType="separate"/>
          </w:r>
          <w:r>
            <w:rPr>
              <w:b/>
            </w:rPr>
            <w:t>2</w:t>
          </w:r>
          <w:r>
            <w:rPr>
              <w:b/>
            </w:rPr>
            <w:fldChar w:fldCharType="end"/>
          </w:r>
          <w:r>
            <w:rPr>
              <w:rFonts w:ascii="Times New Roman" w:hAnsi="Times New Roman"/>
              <w:b/>
              <w:color w:val="auto"/>
              <w:highlight w:val="none"/>
            </w:rPr>
            <w:fldChar w:fldCharType="end"/>
          </w:r>
        </w:p>
        <w:p w14:paraId="71D0BA25">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_Toc18075 </w:instrText>
          </w:r>
          <w:r>
            <w:rPr>
              <w:rFonts w:ascii="Times New Roman" w:hAnsi="Times New Roman"/>
              <w:highlight w:val="none"/>
            </w:rPr>
            <w:fldChar w:fldCharType="separate"/>
          </w:r>
          <w:r>
            <w:rPr>
              <w:rFonts w:hint="eastAsia" w:ascii="Times New Roman" w:hAnsi="Times New Roman" w:eastAsia="黑体"/>
              <w:lang w:eastAsia="zh-CN"/>
            </w:rPr>
            <w:t xml:space="preserve">一、 </w:t>
          </w:r>
          <w:r>
            <w:rPr>
              <w:rFonts w:hint="eastAsia" w:ascii="Times New Roman" w:hAnsi="Times New Roman" w:eastAsia="黑体"/>
              <w:highlight w:val="none"/>
              <w:lang w:eastAsia="zh-CN"/>
            </w:rPr>
            <w:t>部门职责</w:t>
          </w:r>
          <w:r>
            <w:tab/>
          </w:r>
          <w:r>
            <w:fldChar w:fldCharType="begin"/>
          </w:r>
          <w:r>
            <w:instrText xml:space="preserve"> PAGEREF _Toc18075 \h </w:instrText>
          </w:r>
          <w:r>
            <w:fldChar w:fldCharType="separate"/>
          </w:r>
          <w:r>
            <w:t>2</w:t>
          </w:r>
          <w:r>
            <w:fldChar w:fldCharType="end"/>
          </w:r>
          <w:r>
            <w:rPr>
              <w:rFonts w:ascii="Times New Roman" w:hAnsi="Times New Roman"/>
              <w:color w:val="auto"/>
              <w:highlight w:val="none"/>
            </w:rPr>
            <w:fldChar w:fldCharType="end"/>
          </w:r>
        </w:p>
        <w:p w14:paraId="54242804">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_Toc5565 </w:instrText>
          </w:r>
          <w:r>
            <w:rPr>
              <w:rFonts w:ascii="Times New Roman" w:hAnsi="Times New Roman"/>
              <w:highlight w:val="none"/>
            </w:rP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_Toc5565 \h </w:instrText>
          </w:r>
          <w:r>
            <w:fldChar w:fldCharType="separate"/>
          </w:r>
          <w:r>
            <w:t>3</w:t>
          </w:r>
          <w:r>
            <w:fldChar w:fldCharType="end"/>
          </w:r>
          <w:r>
            <w:rPr>
              <w:rFonts w:ascii="Times New Roman" w:hAnsi="Times New Roman"/>
              <w:color w:val="auto"/>
              <w:highlight w:val="none"/>
            </w:rPr>
            <w:fldChar w:fldCharType="end"/>
          </w:r>
        </w:p>
        <w:p w14:paraId="400A8E80">
          <w:pPr>
            <w:pStyle w:val="37"/>
            <w:tabs>
              <w:tab w:val="right" w:leader="dot" w:pos="8306"/>
            </w:tabs>
            <w:rPr>
              <w:b/>
            </w:rPr>
          </w:pPr>
          <w:r>
            <w:rPr>
              <w:rFonts w:ascii="Times New Roman" w:hAnsi="Times New Roman"/>
              <w:b/>
              <w:color w:val="auto"/>
              <w:highlight w:val="none"/>
            </w:rPr>
            <w:fldChar w:fldCharType="begin"/>
          </w:r>
          <w:r>
            <w:rPr>
              <w:rFonts w:ascii="Times New Roman" w:hAnsi="Times New Roman"/>
              <w:b/>
              <w:highlight w:val="none"/>
            </w:rPr>
            <w:instrText xml:space="preserve"> HYPERLINK \l _Toc14708 </w:instrText>
          </w:r>
          <w:r>
            <w:rPr>
              <w:rFonts w:ascii="Times New Roman" w:hAnsi="Times New Roman"/>
              <w:b/>
              <w:highlight w:val="none"/>
            </w:rPr>
            <w:fldChar w:fldCharType="separate"/>
          </w:r>
          <w:r>
            <w:rPr>
              <w:rFonts w:hint="eastAsia" w:ascii="Times New Roman" w:hAnsi="Times New Roman" w:eastAsia="方正小标宋简体" w:cs="方正小标宋简体"/>
              <w:b/>
              <w:highlight w:val="none"/>
            </w:rPr>
            <w:t>第二部分</w:t>
          </w:r>
          <w:r>
            <w:rPr>
              <w:rFonts w:hint="eastAsia" w:ascii="Times New Roman" w:hAnsi="Times New Roman" w:eastAsia="方正小标宋简体" w:cs="方正小标宋简体"/>
              <w:b/>
              <w:highlight w:val="none"/>
              <w:lang w:val="en-US" w:eastAsia="zh-CN"/>
            </w:rPr>
            <w:t xml:space="preserve"> </w:t>
          </w:r>
          <w:r>
            <w:rPr>
              <w:rFonts w:hint="eastAsia" w:ascii="Times New Roman" w:hAnsi="Times New Roman" w:eastAsia="方正小标宋简体" w:cs="方正小标宋简体"/>
              <w:b/>
              <w:highlight w:val="none"/>
            </w:rPr>
            <w:t xml:space="preserve"> </w:t>
          </w:r>
          <w:r>
            <w:rPr>
              <w:rFonts w:hint="eastAsia" w:eastAsia="方正小标宋简体" w:cs="方正小标宋简体"/>
              <w:b/>
              <w:highlight w:val="none"/>
              <w:lang w:val="en-US" w:eastAsia="zh-CN"/>
            </w:rPr>
            <w:t>2025年度</w:t>
          </w:r>
          <w:r>
            <w:rPr>
              <w:rFonts w:hint="eastAsia" w:ascii="Times New Roman" w:hAnsi="Times New Roman" w:eastAsia="方正小标宋简体" w:cs="方正小标宋简体"/>
              <w:b/>
              <w:highlight w:val="none"/>
            </w:rPr>
            <w:t>部门决算情况说明</w:t>
          </w:r>
          <w:r>
            <w:rPr>
              <w:b/>
            </w:rPr>
            <w:tab/>
          </w:r>
          <w:r>
            <w:rPr>
              <w:b/>
            </w:rPr>
            <w:fldChar w:fldCharType="begin"/>
          </w:r>
          <w:r>
            <w:rPr>
              <w:b/>
            </w:rPr>
            <w:instrText xml:space="preserve"> PAGEREF _Toc14708 \h </w:instrText>
          </w:r>
          <w:r>
            <w:rPr>
              <w:b/>
            </w:rPr>
            <w:fldChar w:fldCharType="separate"/>
          </w:r>
          <w:r>
            <w:rPr>
              <w:b/>
            </w:rPr>
            <w:t>3</w:t>
          </w:r>
          <w:r>
            <w:rPr>
              <w:b/>
            </w:rPr>
            <w:fldChar w:fldCharType="end"/>
          </w:r>
          <w:r>
            <w:rPr>
              <w:rFonts w:ascii="Times New Roman" w:hAnsi="Times New Roman"/>
              <w:b/>
              <w:color w:val="auto"/>
              <w:highlight w:val="none"/>
            </w:rPr>
            <w:fldChar w:fldCharType="end"/>
          </w:r>
        </w:p>
        <w:p w14:paraId="1ACCD44F">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_Toc25576 </w:instrText>
          </w:r>
          <w:r>
            <w:rPr>
              <w:rFonts w:ascii="Times New Roman" w:hAnsi="Times New Roman"/>
              <w:highlight w:val="none"/>
            </w:rP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_Toc25576 \h </w:instrText>
          </w:r>
          <w:r>
            <w:fldChar w:fldCharType="separate"/>
          </w:r>
          <w:r>
            <w:t>3</w:t>
          </w:r>
          <w:r>
            <w:fldChar w:fldCharType="end"/>
          </w:r>
          <w:r>
            <w:rPr>
              <w:rFonts w:ascii="Times New Roman" w:hAnsi="Times New Roman"/>
              <w:color w:val="auto"/>
              <w:highlight w:val="none"/>
            </w:rPr>
            <w:fldChar w:fldCharType="end"/>
          </w:r>
        </w:p>
        <w:p w14:paraId="4D249941">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_Toc15617 </w:instrText>
          </w:r>
          <w:r>
            <w:rPr>
              <w:rFonts w:ascii="Times New Roman" w:hAnsi="Times New Roman"/>
              <w:highlight w:val="none"/>
            </w:rP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_Toc15617 \h </w:instrText>
          </w:r>
          <w:r>
            <w:fldChar w:fldCharType="separate"/>
          </w:r>
          <w:r>
            <w:t>4</w:t>
          </w:r>
          <w:r>
            <w:fldChar w:fldCharType="end"/>
          </w:r>
          <w:r>
            <w:rPr>
              <w:rFonts w:ascii="Times New Roman" w:hAnsi="Times New Roman"/>
              <w:color w:val="auto"/>
              <w:highlight w:val="none"/>
            </w:rPr>
            <w:fldChar w:fldCharType="end"/>
          </w:r>
        </w:p>
        <w:p w14:paraId="134D9039">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_Toc20432 </w:instrText>
          </w:r>
          <w:r>
            <w:rPr>
              <w:rFonts w:ascii="Times New Roman" w:hAnsi="Times New Roman"/>
              <w:highlight w:val="none"/>
            </w:rP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_Toc20432 \h </w:instrText>
          </w:r>
          <w:r>
            <w:fldChar w:fldCharType="separate"/>
          </w:r>
          <w:r>
            <w:t>5</w:t>
          </w:r>
          <w:r>
            <w:fldChar w:fldCharType="end"/>
          </w:r>
          <w:r>
            <w:rPr>
              <w:rFonts w:ascii="Times New Roman" w:hAnsi="Times New Roman"/>
              <w:color w:val="auto"/>
              <w:highlight w:val="none"/>
            </w:rPr>
            <w:fldChar w:fldCharType="end"/>
          </w:r>
        </w:p>
        <w:p w14:paraId="29926C16">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_Toc20479 </w:instrText>
          </w:r>
          <w:r>
            <w:rPr>
              <w:rFonts w:ascii="Times New Roman" w:hAnsi="Times New Roman"/>
              <w:highlight w:val="none"/>
            </w:rP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_Toc20479 \h </w:instrText>
          </w:r>
          <w:r>
            <w:fldChar w:fldCharType="separate"/>
          </w:r>
          <w:r>
            <w:t>6</w:t>
          </w:r>
          <w:r>
            <w:fldChar w:fldCharType="end"/>
          </w:r>
          <w:r>
            <w:rPr>
              <w:rFonts w:ascii="Times New Roman" w:hAnsi="Times New Roman"/>
              <w:color w:val="auto"/>
              <w:highlight w:val="none"/>
            </w:rPr>
            <w:fldChar w:fldCharType="end"/>
          </w:r>
        </w:p>
        <w:p w14:paraId="70FF80E9">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_Toc2838 </w:instrText>
          </w:r>
          <w:r>
            <w:rPr>
              <w:rFonts w:ascii="Times New Roman" w:hAnsi="Times New Roman"/>
              <w:highlight w:val="none"/>
            </w:rP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_Toc2838 \h </w:instrText>
          </w:r>
          <w:r>
            <w:fldChar w:fldCharType="separate"/>
          </w:r>
          <w:r>
            <w:t>7</w:t>
          </w:r>
          <w:r>
            <w:fldChar w:fldCharType="end"/>
          </w:r>
          <w:r>
            <w:rPr>
              <w:rFonts w:ascii="Times New Roman" w:hAnsi="Times New Roman"/>
              <w:color w:val="auto"/>
              <w:highlight w:val="none"/>
            </w:rPr>
            <w:fldChar w:fldCharType="end"/>
          </w:r>
        </w:p>
        <w:p w14:paraId="5844A1A1">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_Toc12876 </w:instrText>
          </w:r>
          <w:r>
            <w:rPr>
              <w:rFonts w:ascii="Times New Roman" w:hAnsi="Times New Roman"/>
              <w:highlight w:val="none"/>
            </w:rP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_Toc12876 \h </w:instrText>
          </w:r>
          <w:r>
            <w:fldChar w:fldCharType="separate"/>
          </w:r>
          <w:r>
            <w:t>10</w:t>
          </w:r>
          <w:r>
            <w:fldChar w:fldCharType="end"/>
          </w:r>
          <w:r>
            <w:rPr>
              <w:rFonts w:ascii="Times New Roman" w:hAnsi="Times New Roman"/>
              <w:color w:val="auto"/>
              <w:highlight w:val="none"/>
            </w:rPr>
            <w:fldChar w:fldCharType="end"/>
          </w:r>
        </w:p>
        <w:p w14:paraId="75CF78D0">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_Toc1640 </w:instrText>
          </w:r>
          <w:r>
            <w:rPr>
              <w:rFonts w:ascii="Times New Roman" w:hAnsi="Times New Roman"/>
              <w:highlight w:val="none"/>
            </w:rP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_Toc1640 \h </w:instrText>
          </w:r>
          <w:r>
            <w:fldChar w:fldCharType="separate"/>
          </w:r>
          <w:r>
            <w:t>11</w:t>
          </w:r>
          <w:r>
            <w:fldChar w:fldCharType="end"/>
          </w:r>
          <w:r>
            <w:rPr>
              <w:rFonts w:ascii="Times New Roman" w:hAnsi="Times New Roman"/>
              <w:color w:val="auto"/>
              <w:highlight w:val="none"/>
            </w:rPr>
            <w:fldChar w:fldCharType="end"/>
          </w:r>
        </w:p>
        <w:p w14:paraId="05B66EEA">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_Toc29512 </w:instrText>
          </w:r>
          <w:r>
            <w:rPr>
              <w:rFonts w:ascii="Times New Roman" w:hAnsi="Times New Roman"/>
              <w:highlight w:val="none"/>
            </w:rP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_Toc29512 \h </w:instrText>
          </w:r>
          <w:r>
            <w:fldChar w:fldCharType="separate"/>
          </w:r>
          <w:r>
            <w:t>12</w:t>
          </w:r>
          <w:r>
            <w:fldChar w:fldCharType="end"/>
          </w:r>
          <w:r>
            <w:rPr>
              <w:rFonts w:ascii="Times New Roman" w:hAnsi="Times New Roman"/>
              <w:color w:val="auto"/>
              <w:highlight w:val="none"/>
            </w:rPr>
            <w:fldChar w:fldCharType="end"/>
          </w:r>
        </w:p>
        <w:p w14:paraId="2763CCCB">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_Toc23999 </w:instrText>
          </w:r>
          <w:r>
            <w:rPr>
              <w:rFonts w:ascii="Times New Roman" w:hAnsi="Times New Roman"/>
              <w:highlight w:val="none"/>
            </w:rP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_Toc23999 \h </w:instrText>
          </w:r>
          <w:r>
            <w:fldChar w:fldCharType="separate"/>
          </w:r>
          <w:r>
            <w:t>12</w:t>
          </w:r>
          <w:r>
            <w:fldChar w:fldCharType="end"/>
          </w:r>
          <w:r>
            <w:rPr>
              <w:rFonts w:ascii="Times New Roman" w:hAnsi="Times New Roman"/>
              <w:color w:val="auto"/>
              <w:highlight w:val="none"/>
            </w:rPr>
            <w:fldChar w:fldCharType="end"/>
          </w:r>
        </w:p>
        <w:p w14:paraId="6308512B">
          <w:pPr>
            <w:pStyle w:val="37"/>
            <w:tabs>
              <w:tab w:val="right" w:leader="dot" w:pos="8306"/>
            </w:tabs>
          </w:pPr>
          <w:r>
            <w:rPr>
              <w:rFonts w:ascii="Times New Roman" w:hAnsi="Times New Roman"/>
              <w:b/>
              <w:color w:val="auto"/>
              <w:highlight w:val="none"/>
            </w:rPr>
            <w:fldChar w:fldCharType="begin"/>
          </w:r>
          <w:r>
            <w:rPr>
              <w:rFonts w:ascii="Times New Roman" w:hAnsi="Times New Roman"/>
              <w:b/>
              <w:highlight w:val="none"/>
            </w:rPr>
            <w:instrText xml:space="preserve"> HYPERLINK \l _Toc11601 </w:instrText>
          </w:r>
          <w:r>
            <w:rPr>
              <w:rFonts w:ascii="Times New Roman" w:hAnsi="Times New Roman"/>
              <w:b/>
              <w:highlight w:val="none"/>
            </w:rPr>
            <w:fldChar w:fldCharType="separate"/>
          </w:r>
          <w:r>
            <w:rPr>
              <w:rFonts w:hint="eastAsia" w:ascii="Times New Roman" w:hAnsi="Times New Roman" w:eastAsia="黑体"/>
              <w:b/>
              <w:szCs w:val="44"/>
              <w:highlight w:val="none"/>
            </w:rPr>
            <w:t>第</w:t>
          </w:r>
          <w:r>
            <w:rPr>
              <w:rFonts w:hint="eastAsia" w:eastAsia="黑体"/>
              <w:b/>
              <w:szCs w:val="44"/>
              <w:highlight w:val="none"/>
              <w:lang w:eastAsia="zh-CN"/>
            </w:rPr>
            <w:t>三</w:t>
          </w:r>
          <w:r>
            <w:rPr>
              <w:rFonts w:hint="eastAsia" w:ascii="Times New Roman" w:hAnsi="Times New Roman" w:eastAsia="黑体"/>
              <w:b/>
              <w:szCs w:val="44"/>
              <w:highlight w:val="none"/>
            </w:rPr>
            <w:t>部分</w:t>
          </w:r>
          <w:r>
            <w:rPr>
              <w:rFonts w:hint="eastAsia" w:ascii="Times New Roman" w:hAnsi="Times New Roman" w:eastAsia="黑体"/>
              <w:b/>
              <w:szCs w:val="44"/>
              <w:highlight w:val="none"/>
              <w:lang w:val="en-US" w:eastAsia="zh-CN"/>
            </w:rPr>
            <w:t xml:space="preserve"> </w:t>
          </w:r>
          <w:r>
            <w:rPr>
              <w:rFonts w:hint="eastAsia" w:eastAsia="黑体"/>
              <w:b/>
              <w:szCs w:val="44"/>
              <w:highlight w:val="none"/>
              <w:lang w:val="en-US" w:eastAsia="zh-CN"/>
            </w:rPr>
            <w:t xml:space="preserve"> </w:t>
          </w:r>
          <w:r>
            <w:rPr>
              <w:rFonts w:hint="eastAsia" w:ascii="Times New Roman" w:hAnsi="Times New Roman" w:eastAsia="黑体"/>
              <w:b/>
              <w:szCs w:val="44"/>
              <w:highlight w:val="none"/>
            </w:rPr>
            <w:t>名词解释</w:t>
          </w:r>
          <w:r>
            <w:rPr>
              <w:b/>
            </w:rPr>
            <w:tab/>
          </w:r>
          <w:r>
            <w:rPr>
              <w:b/>
            </w:rPr>
            <w:fldChar w:fldCharType="begin"/>
          </w:r>
          <w:r>
            <w:rPr>
              <w:b/>
            </w:rPr>
            <w:instrText xml:space="preserve"> PAGEREF _Toc11601 \h </w:instrText>
          </w:r>
          <w:r>
            <w:rPr>
              <w:b/>
            </w:rPr>
            <w:fldChar w:fldCharType="separate"/>
          </w:r>
          <w:r>
            <w:rPr>
              <w:b/>
            </w:rPr>
            <w:t>13</w:t>
          </w:r>
          <w:r>
            <w:rPr>
              <w:b/>
            </w:rPr>
            <w:fldChar w:fldCharType="end"/>
          </w:r>
          <w:r>
            <w:rPr>
              <w:rFonts w:ascii="Times New Roman" w:hAnsi="Times New Roman"/>
              <w:b/>
              <w:color w:val="auto"/>
              <w:highlight w:val="none"/>
            </w:rPr>
            <w:fldChar w:fldCharType="end"/>
          </w:r>
        </w:p>
        <w:p w14:paraId="753A2C2D">
          <w:pPr>
            <w:pStyle w:val="37"/>
            <w:tabs>
              <w:tab w:val="right" w:leader="dot" w:pos="8306"/>
            </w:tabs>
            <w:rPr>
              <w:b/>
            </w:rPr>
          </w:pPr>
          <w:r>
            <w:rPr>
              <w:rFonts w:ascii="Times New Roman" w:hAnsi="Times New Roman"/>
              <w:b/>
              <w:color w:val="auto"/>
              <w:highlight w:val="none"/>
            </w:rPr>
            <w:fldChar w:fldCharType="begin"/>
          </w:r>
          <w:r>
            <w:rPr>
              <w:rFonts w:ascii="Times New Roman" w:hAnsi="Times New Roman"/>
              <w:b/>
              <w:highlight w:val="none"/>
            </w:rPr>
            <w:instrText xml:space="preserve"> HYPERLINK \l _Toc3126 </w:instrText>
          </w:r>
          <w:r>
            <w:rPr>
              <w:rFonts w:ascii="Times New Roman" w:hAnsi="Times New Roman"/>
              <w:b/>
              <w:highlight w:val="none"/>
            </w:rPr>
            <w:fldChar w:fldCharType="separate"/>
          </w:r>
          <w:r>
            <w:rPr>
              <w:rFonts w:hint="eastAsia" w:ascii="Times New Roman" w:hAnsi="Times New Roman" w:eastAsia="黑体"/>
              <w:b/>
              <w:szCs w:val="44"/>
              <w:highlight w:val="none"/>
            </w:rPr>
            <w:t>第</w:t>
          </w:r>
          <w:r>
            <w:rPr>
              <w:rFonts w:hint="eastAsia" w:ascii="Times New Roman" w:hAnsi="Times New Roman" w:eastAsia="黑体"/>
              <w:b/>
              <w:highlight w:val="none"/>
            </w:rPr>
            <w:t>五部分 附表</w:t>
          </w:r>
          <w:r>
            <w:rPr>
              <w:b/>
            </w:rPr>
            <w:tab/>
          </w:r>
          <w:r>
            <w:rPr>
              <w:b/>
            </w:rPr>
            <w:fldChar w:fldCharType="begin"/>
          </w:r>
          <w:r>
            <w:rPr>
              <w:b/>
            </w:rPr>
            <w:instrText xml:space="preserve"> PAGEREF _Toc3126 \h </w:instrText>
          </w:r>
          <w:r>
            <w:rPr>
              <w:b/>
            </w:rPr>
            <w:fldChar w:fldCharType="separate"/>
          </w:r>
          <w:r>
            <w:rPr>
              <w:b/>
            </w:rPr>
            <w:t>15</w:t>
          </w:r>
          <w:r>
            <w:rPr>
              <w:b/>
            </w:rPr>
            <w:fldChar w:fldCharType="end"/>
          </w:r>
          <w:r>
            <w:rPr>
              <w:rFonts w:ascii="Times New Roman" w:hAnsi="Times New Roman"/>
              <w:b/>
              <w:color w:val="auto"/>
              <w:highlight w:val="none"/>
            </w:rPr>
            <w:fldChar w:fldCharType="end"/>
          </w:r>
        </w:p>
        <w:p w14:paraId="24D5B605">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_Toc31871 </w:instrText>
          </w:r>
          <w:r>
            <w:rPr>
              <w:rFonts w:ascii="Times New Roman" w:hAnsi="Times New Roman"/>
              <w:highlight w:val="none"/>
            </w:rPr>
            <w:fldChar w:fldCharType="separate"/>
          </w:r>
          <w:r>
            <w:rPr>
              <w:rFonts w:hint="eastAsia" w:ascii="Times New Roman" w:hAnsi="Times New Roman" w:eastAsia="黑体"/>
              <w:highlight w:val="none"/>
              <w:lang w:eastAsia="zh-CN"/>
            </w:rPr>
            <w:t>一、收入支出决算总表</w:t>
          </w:r>
          <w:r>
            <w:tab/>
          </w:r>
          <w:r>
            <w:fldChar w:fldCharType="begin"/>
          </w:r>
          <w:r>
            <w:instrText xml:space="preserve"> PAGEREF _Toc31871 \h </w:instrText>
          </w:r>
          <w:r>
            <w:fldChar w:fldCharType="separate"/>
          </w:r>
          <w:r>
            <w:t>15</w:t>
          </w:r>
          <w:r>
            <w:fldChar w:fldCharType="end"/>
          </w:r>
          <w:r>
            <w:rPr>
              <w:rFonts w:ascii="Times New Roman" w:hAnsi="Times New Roman"/>
              <w:color w:val="auto"/>
              <w:highlight w:val="none"/>
            </w:rPr>
            <w:fldChar w:fldCharType="end"/>
          </w:r>
        </w:p>
        <w:p w14:paraId="09899ECD">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_Toc15878 </w:instrText>
          </w:r>
          <w:r>
            <w:rPr>
              <w:rFonts w:ascii="Times New Roman" w:hAnsi="Times New Roman"/>
              <w:highlight w:val="none"/>
            </w:rPr>
            <w:fldChar w:fldCharType="separate"/>
          </w:r>
          <w:r>
            <w:rPr>
              <w:rFonts w:hint="eastAsia" w:ascii="Times New Roman" w:hAnsi="Times New Roman" w:eastAsia="黑体"/>
              <w:highlight w:val="none"/>
              <w:lang w:eastAsia="zh-CN"/>
            </w:rPr>
            <w:t>二、收入决算表</w:t>
          </w:r>
          <w:r>
            <w:tab/>
          </w:r>
          <w:r>
            <w:fldChar w:fldCharType="begin"/>
          </w:r>
          <w:r>
            <w:instrText xml:space="preserve"> PAGEREF _Toc15878 \h </w:instrText>
          </w:r>
          <w:r>
            <w:fldChar w:fldCharType="separate"/>
          </w:r>
          <w:r>
            <w:t>15</w:t>
          </w:r>
          <w:r>
            <w:fldChar w:fldCharType="end"/>
          </w:r>
          <w:r>
            <w:rPr>
              <w:rFonts w:ascii="Times New Roman" w:hAnsi="Times New Roman"/>
              <w:color w:val="auto"/>
              <w:highlight w:val="none"/>
            </w:rPr>
            <w:fldChar w:fldCharType="end"/>
          </w:r>
        </w:p>
        <w:p w14:paraId="6976B627">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_Toc19706 </w:instrText>
          </w:r>
          <w:r>
            <w:rPr>
              <w:rFonts w:ascii="Times New Roman" w:hAnsi="Times New Roman"/>
              <w:highlight w:val="none"/>
            </w:rPr>
            <w:fldChar w:fldCharType="separate"/>
          </w:r>
          <w:r>
            <w:rPr>
              <w:rFonts w:hint="eastAsia" w:ascii="Times New Roman" w:hAnsi="Times New Roman" w:eastAsia="黑体"/>
              <w:highlight w:val="none"/>
              <w:lang w:eastAsia="zh-CN"/>
            </w:rPr>
            <w:t>三、支出决算表</w:t>
          </w:r>
          <w:r>
            <w:tab/>
          </w:r>
          <w:r>
            <w:fldChar w:fldCharType="begin"/>
          </w:r>
          <w:r>
            <w:instrText xml:space="preserve"> PAGEREF _Toc19706 \h </w:instrText>
          </w:r>
          <w:r>
            <w:fldChar w:fldCharType="separate"/>
          </w:r>
          <w:r>
            <w:t>15</w:t>
          </w:r>
          <w:r>
            <w:fldChar w:fldCharType="end"/>
          </w:r>
          <w:r>
            <w:rPr>
              <w:rFonts w:ascii="Times New Roman" w:hAnsi="Times New Roman"/>
              <w:color w:val="auto"/>
              <w:highlight w:val="none"/>
            </w:rPr>
            <w:fldChar w:fldCharType="end"/>
          </w:r>
        </w:p>
        <w:p w14:paraId="0CA0698A">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_Toc17784 </w:instrText>
          </w:r>
          <w:r>
            <w:rPr>
              <w:rFonts w:ascii="Times New Roman" w:hAnsi="Times New Roman"/>
              <w:highlight w:val="none"/>
            </w:rPr>
            <w:fldChar w:fldCharType="separate"/>
          </w:r>
          <w:r>
            <w:rPr>
              <w:rFonts w:hint="eastAsia" w:ascii="Times New Roman" w:hAnsi="Times New Roman" w:eastAsia="黑体"/>
              <w:highlight w:val="none"/>
              <w:lang w:eastAsia="zh-CN"/>
            </w:rPr>
            <w:t>四、财政拨款收入支出决算总表</w:t>
          </w:r>
          <w:r>
            <w:tab/>
          </w:r>
          <w:r>
            <w:fldChar w:fldCharType="begin"/>
          </w:r>
          <w:r>
            <w:instrText xml:space="preserve"> PAGEREF _Toc17784 \h </w:instrText>
          </w:r>
          <w:r>
            <w:fldChar w:fldCharType="separate"/>
          </w:r>
          <w:r>
            <w:t>15</w:t>
          </w:r>
          <w:r>
            <w:fldChar w:fldCharType="end"/>
          </w:r>
          <w:r>
            <w:rPr>
              <w:rFonts w:ascii="Times New Roman" w:hAnsi="Times New Roman"/>
              <w:color w:val="auto"/>
              <w:highlight w:val="none"/>
            </w:rPr>
            <w:fldChar w:fldCharType="end"/>
          </w:r>
        </w:p>
        <w:p w14:paraId="0BEBDFE0">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_Toc19487 </w:instrText>
          </w:r>
          <w:r>
            <w:rPr>
              <w:rFonts w:ascii="Times New Roman" w:hAnsi="Times New Roman"/>
              <w:highlight w:val="none"/>
            </w:rPr>
            <w:fldChar w:fldCharType="separate"/>
          </w:r>
          <w:r>
            <w:rPr>
              <w:rFonts w:hint="eastAsia" w:ascii="Times New Roman" w:hAnsi="Times New Roman" w:eastAsia="黑体"/>
              <w:highlight w:val="none"/>
              <w:lang w:eastAsia="zh-CN"/>
            </w:rPr>
            <w:t>五、财政拨款支出决算明细表</w:t>
          </w:r>
          <w:r>
            <w:tab/>
          </w:r>
          <w:r>
            <w:fldChar w:fldCharType="begin"/>
          </w:r>
          <w:r>
            <w:instrText xml:space="preserve"> PAGEREF _Toc19487 \h </w:instrText>
          </w:r>
          <w:r>
            <w:fldChar w:fldCharType="separate"/>
          </w:r>
          <w:r>
            <w:t>15</w:t>
          </w:r>
          <w:r>
            <w:fldChar w:fldCharType="end"/>
          </w:r>
          <w:r>
            <w:rPr>
              <w:rFonts w:ascii="Times New Roman" w:hAnsi="Times New Roman"/>
              <w:color w:val="auto"/>
              <w:highlight w:val="none"/>
            </w:rPr>
            <w:fldChar w:fldCharType="end"/>
          </w:r>
        </w:p>
        <w:p w14:paraId="68D8D62F">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_Toc1846 </w:instrText>
          </w:r>
          <w:r>
            <w:rPr>
              <w:rFonts w:ascii="Times New Roman" w:hAnsi="Times New Roman"/>
              <w:highlight w:val="none"/>
            </w:rPr>
            <w:fldChar w:fldCharType="separate"/>
          </w:r>
          <w:r>
            <w:rPr>
              <w:rFonts w:hint="eastAsia" w:ascii="Times New Roman" w:hAnsi="Times New Roman" w:eastAsia="黑体"/>
              <w:highlight w:val="none"/>
              <w:lang w:eastAsia="zh-CN"/>
            </w:rPr>
            <w:t>六、一般公共预算财政拨款支出决算表</w:t>
          </w:r>
          <w:r>
            <w:tab/>
          </w:r>
          <w:r>
            <w:fldChar w:fldCharType="begin"/>
          </w:r>
          <w:r>
            <w:instrText xml:space="preserve"> PAGEREF _Toc1846 \h </w:instrText>
          </w:r>
          <w:r>
            <w:fldChar w:fldCharType="separate"/>
          </w:r>
          <w:r>
            <w:t>16</w:t>
          </w:r>
          <w:r>
            <w:fldChar w:fldCharType="end"/>
          </w:r>
          <w:r>
            <w:rPr>
              <w:rFonts w:ascii="Times New Roman" w:hAnsi="Times New Roman"/>
              <w:color w:val="auto"/>
              <w:highlight w:val="none"/>
            </w:rPr>
            <w:fldChar w:fldCharType="end"/>
          </w:r>
        </w:p>
        <w:p w14:paraId="5585811C">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_Toc19066 </w:instrText>
          </w:r>
          <w:r>
            <w:rPr>
              <w:rFonts w:ascii="Times New Roman" w:hAnsi="Times New Roman"/>
              <w:highlight w:val="none"/>
            </w:rPr>
            <w:fldChar w:fldCharType="separate"/>
          </w:r>
          <w:r>
            <w:rPr>
              <w:rFonts w:hint="eastAsia" w:ascii="Times New Roman" w:hAnsi="Times New Roman" w:eastAsia="黑体"/>
              <w:highlight w:val="none"/>
              <w:lang w:eastAsia="zh-CN"/>
            </w:rPr>
            <w:t>七、一般公共预算财政拨款支出决算明细表</w:t>
          </w:r>
          <w:r>
            <w:tab/>
          </w:r>
          <w:r>
            <w:fldChar w:fldCharType="begin"/>
          </w:r>
          <w:r>
            <w:instrText xml:space="preserve"> PAGEREF _Toc19066 \h </w:instrText>
          </w:r>
          <w:r>
            <w:fldChar w:fldCharType="separate"/>
          </w:r>
          <w:r>
            <w:t>16</w:t>
          </w:r>
          <w:r>
            <w:fldChar w:fldCharType="end"/>
          </w:r>
          <w:r>
            <w:rPr>
              <w:rFonts w:ascii="Times New Roman" w:hAnsi="Times New Roman"/>
              <w:color w:val="auto"/>
              <w:highlight w:val="none"/>
            </w:rPr>
            <w:fldChar w:fldCharType="end"/>
          </w:r>
        </w:p>
        <w:p w14:paraId="7060F6F2">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_Toc15872 </w:instrText>
          </w:r>
          <w:r>
            <w:rPr>
              <w:rFonts w:ascii="Times New Roman" w:hAnsi="Times New Roman"/>
              <w:highlight w:val="none"/>
            </w:rPr>
            <w:fldChar w:fldCharType="separate"/>
          </w:r>
          <w:r>
            <w:rPr>
              <w:rFonts w:hint="eastAsia" w:ascii="Times New Roman" w:hAnsi="Times New Roman" w:eastAsia="黑体"/>
              <w:highlight w:val="none"/>
              <w:lang w:eastAsia="zh-CN"/>
            </w:rPr>
            <w:t>八、一般公共预算财政拨款基本支出决算表</w:t>
          </w:r>
          <w:r>
            <w:tab/>
          </w:r>
          <w:r>
            <w:fldChar w:fldCharType="begin"/>
          </w:r>
          <w:r>
            <w:instrText xml:space="preserve"> PAGEREF _Toc15872 \h </w:instrText>
          </w:r>
          <w:r>
            <w:fldChar w:fldCharType="separate"/>
          </w:r>
          <w:r>
            <w:t>16</w:t>
          </w:r>
          <w:r>
            <w:fldChar w:fldCharType="end"/>
          </w:r>
          <w:r>
            <w:rPr>
              <w:rFonts w:ascii="Times New Roman" w:hAnsi="Times New Roman"/>
              <w:color w:val="auto"/>
              <w:highlight w:val="none"/>
            </w:rPr>
            <w:fldChar w:fldCharType="end"/>
          </w:r>
        </w:p>
        <w:p w14:paraId="73CDABA9">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_Toc6825 </w:instrText>
          </w:r>
          <w:r>
            <w:rPr>
              <w:rFonts w:ascii="Times New Roman" w:hAnsi="Times New Roman"/>
              <w:highlight w:val="none"/>
            </w:rPr>
            <w:fldChar w:fldCharType="separate"/>
          </w:r>
          <w:r>
            <w:rPr>
              <w:rFonts w:hint="eastAsia" w:ascii="Times New Roman" w:hAnsi="Times New Roman" w:eastAsia="黑体"/>
              <w:highlight w:val="none"/>
              <w:lang w:eastAsia="zh-CN"/>
            </w:rPr>
            <w:t>九、一般公共预算财政拨款项目支出决算表</w:t>
          </w:r>
          <w:r>
            <w:tab/>
          </w:r>
          <w:r>
            <w:fldChar w:fldCharType="begin"/>
          </w:r>
          <w:r>
            <w:instrText xml:space="preserve"> PAGEREF _Toc6825 \h </w:instrText>
          </w:r>
          <w:r>
            <w:fldChar w:fldCharType="separate"/>
          </w:r>
          <w:r>
            <w:t>16</w:t>
          </w:r>
          <w:r>
            <w:fldChar w:fldCharType="end"/>
          </w:r>
          <w:r>
            <w:rPr>
              <w:rFonts w:ascii="Times New Roman" w:hAnsi="Times New Roman"/>
              <w:color w:val="auto"/>
              <w:highlight w:val="none"/>
            </w:rPr>
            <w:fldChar w:fldCharType="end"/>
          </w:r>
        </w:p>
        <w:p w14:paraId="4F035A70">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_Toc20847 </w:instrText>
          </w:r>
          <w:r>
            <w:rPr>
              <w:rFonts w:ascii="Times New Roman" w:hAnsi="Times New Roman"/>
              <w:highlight w:val="none"/>
            </w:rPr>
            <w:fldChar w:fldCharType="separate"/>
          </w:r>
          <w:r>
            <w:rPr>
              <w:rFonts w:hint="eastAsia" w:ascii="Times New Roman" w:hAnsi="Times New Roman" w:eastAsia="黑体"/>
              <w:highlight w:val="none"/>
              <w:lang w:eastAsia="zh-CN"/>
            </w:rPr>
            <w:t>十、政府性基金预算财政拨款收入支出决算表</w:t>
          </w:r>
          <w:r>
            <w:tab/>
          </w:r>
          <w:r>
            <w:fldChar w:fldCharType="begin"/>
          </w:r>
          <w:r>
            <w:instrText xml:space="preserve"> PAGEREF _Toc20847 \h </w:instrText>
          </w:r>
          <w:r>
            <w:fldChar w:fldCharType="separate"/>
          </w:r>
          <w:r>
            <w:t>16</w:t>
          </w:r>
          <w:r>
            <w:fldChar w:fldCharType="end"/>
          </w:r>
          <w:r>
            <w:rPr>
              <w:rFonts w:ascii="Times New Roman" w:hAnsi="Times New Roman"/>
              <w:color w:val="auto"/>
              <w:highlight w:val="none"/>
            </w:rPr>
            <w:fldChar w:fldCharType="end"/>
          </w:r>
        </w:p>
        <w:p w14:paraId="6C8CD8C8">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_Toc12167 </w:instrText>
          </w:r>
          <w:r>
            <w:rPr>
              <w:rFonts w:ascii="Times New Roman" w:hAnsi="Times New Roman"/>
              <w:highlight w:val="none"/>
            </w:rPr>
            <w:fldChar w:fldCharType="separate"/>
          </w:r>
          <w:r>
            <w:rPr>
              <w:rFonts w:hint="eastAsia" w:ascii="Times New Roman" w:hAnsi="Times New Roman" w:eastAsia="黑体"/>
              <w:highlight w:val="none"/>
              <w:lang w:eastAsia="zh-CN"/>
            </w:rPr>
            <w:t>十一、国有资本经营预算财政拨款收入支出决算表</w:t>
          </w:r>
          <w:r>
            <w:tab/>
          </w:r>
          <w:r>
            <w:fldChar w:fldCharType="begin"/>
          </w:r>
          <w:r>
            <w:instrText xml:space="preserve"> PAGEREF _Toc12167 \h </w:instrText>
          </w:r>
          <w:r>
            <w:fldChar w:fldCharType="separate"/>
          </w:r>
          <w:r>
            <w:t>16</w:t>
          </w:r>
          <w:r>
            <w:fldChar w:fldCharType="end"/>
          </w:r>
          <w:r>
            <w:rPr>
              <w:rFonts w:ascii="Times New Roman" w:hAnsi="Times New Roman"/>
              <w:color w:val="auto"/>
              <w:highlight w:val="none"/>
            </w:rPr>
            <w:fldChar w:fldCharType="end"/>
          </w:r>
        </w:p>
        <w:p w14:paraId="2E9BCD56">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_Toc5109 </w:instrText>
          </w:r>
          <w:r>
            <w:rPr>
              <w:rFonts w:ascii="Times New Roman" w:hAnsi="Times New Roman"/>
              <w:highlight w:val="none"/>
            </w:rPr>
            <w:fldChar w:fldCharType="separate"/>
          </w:r>
          <w:r>
            <w:rPr>
              <w:rFonts w:hint="eastAsia" w:ascii="Times New Roman" w:hAnsi="Times New Roman" w:eastAsia="黑体"/>
              <w:highlight w:val="none"/>
              <w:lang w:eastAsia="zh-CN"/>
            </w:rPr>
            <w:t>十二、国有资本经营预算财政拨款支出决算表</w:t>
          </w:r>
          <w:r>
            <w:tab/>
          </w:r>
          <w:r>
            <w:fldChar w:fldCharType="begin"/>
          </w:r>
          <w:r>
            <w:instrText xml:space="preserve"> PAGEREF _Toc5109 \h </w:instrText>
          </w:r>
          <w:r>
            <w:fldChar w:fldCharType="separate"/>
          </w:r>
          <w:r>
            <w:t>16</w:t>
          </w:r>
          <w:r>
            <w:fldChar w:fldCharType="end"/>
          </w:r>
          <w:r>
            <w:rPr>
              <w:rFonts w:ascii="Times New Roman" w:hAnsi="Times New Roman"/>
              <w:color w:val="auto"/>
              <w:highlight w:val="none"/>
            </w:rPr>
            <w:fldChar w:fldCharType="end"/>
          </w:r>
        </w:p>
        <w:p w14:paraId="2C69EB2F">
          <w:pPr>
            <w:pStyle w:val="38"/>
            <w:tabs>
              <w:tab w:val="right" w:leader="dot" w:pos="8306"/>
            </w:tabs>
          </w:pPr>
          <w:r>
            <w:rPr>
              <w:rFonts w:ascii="Times New Roman" w:hAnsi="Times New Roman"/>
              <w:color w:val="auto"/>
              <w:highlight w:val="none"/>
            </w:rPr>
            <w:fldChar w:fldCharType="begin"/>
          </w:r>
          <w:r>
            <w:rPr>
              <w:rFonts w:ascii="Times New Roman" w:hAnsi="Times New Roman"/>
              <w:highlight w:val="none"/>
            </w:rPr>
            <w:instrText xml:space="preserve"> HYPERLINK \l _Toc6328 </w:instrText>
          </w:r>
          <w:r>
            <w:rPr>
              <w:rFonts w:ascii="Times New Roman" w:hAnsi="Times New Roman"/>
              <w:highlight w:val="none"/>
            </w:rPr>
            <w:fldChar w:fldCharType="separate"/>
          </w:r>
          <w:r>
            <w:rPr>
              <w:rFonts w:hint="eastAsia" w:ascii="Times New Roman" w:hAnsi="Times New Roman" w:eastAsia="黑体"/>
              <w:highlight w:val="none"/>
              <w:lang w:eastAsia="zh-CN"/>
            </w:rPr>
            <w:t>十三、财政拨款“三公”经费支出决算表</w:t>
          </w:r>
          <w:r>
            <w:tab/>
          </w:r>
          <w:r>
            <w:fldChar w:fldCharType="begin"/>
          </w:r>
          <w:r>
            <w:instrText xml:space="preserve"> PAGEREF _Toc6328 \h </w:instrText>
          </w:r>
          <w:r>
            <w:fldChar w:fldCharType="separate"/>
          </w:r>
          <w:r>
            <w:t>16</w:t>
          </w:r>
          <w:r>
            <w:fldChar w:fldCharType="end"/>
          </w:r>
          <w:r>
            <w:rPr>
              <w:rFonts w:ascii="Times New Roman" w:hAnsi="Times New Roman"/>
              <w:color w:val="auto"/>
              <w:highlight w:val="none"/>
            </w:rPr>
            <w:fldChar w:fldCharType="end"/>
          </w:r>
        </w:p>
        <w:p w14:paraId="50AE8A2D">
          <w:pPr>
            <w:rPr>
              <w:rFonts w:ascii="Times New Roman" w:hAnsi="Times New Roman"/>
              <w:color w:val="auto"/>
              <w:highlight w:val="none"/>
            </w:rPr>
          </w:pPr>
          <w:r>
            <w:rPr>
              <w:rFonts w:ascii="Times New Roman" w:hAnsi="Times New Roman"/>
              <w:b/>
              <w:color w:val="auto"/>
              <w:highlight w:val="none"/>
            </w:rPr>
            <w:fldChar w:fldCharType="end"/>
          </w:r>
        </w:p>
      </w:sdtContent>
    </w:sdt>
    <w:p w14:paraId="186CE974">
      <w:pPr>
        <w:pStyle w:val="3"/>
        <w:jc w:val="center"/>
        <w:rPr>
          <w:rStyle w:val="29"/>
          <w:rFonts w:hint="eastAsia" w:ascii="Times New Roman" w:hAnsi="Times New Roman" w:eastAsia="方正小标宋简体" w:cs="方正小标宋简体"/>
          <w:b/>
          <w:bCs w:val="0"/>
          <w:color w:val="auto"/>
          <w:highlight w:val="none"/>
        </w:rPr>
      </w:pPr>
      <w:bookmarkStart w:id="15" w:name="_Toc15377196"/>
      <w:bookmarkStart w:id="16" w:name="_Toc15396599"/>
      <w:bookmarkStart w:id="17" w:name="_Toc13263"/>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5"/>
      <w:bookmarkEnd w:id="16"/>
      <w:bookmarkEnd w:id="17"/>
    </w:p>
    <w:p w14:paraId="6D32B7F3">
      <w:pPr>
        <w:widowControl/>
        <w:jc w:val="left"/>
        <w:rPr>
          <w:rFonts w:ascii="Times New Roman" w:hAnsi="Times New Roman" w:eastAsia="黑体"/>
          <w:color w:val="auto"/>
          <w:sz w:val="32"/>
          <w:szCs w:val="32"/>
          <w:highlight w:val="none"/>
        </w:rPr>
      </w:pPr>
    </w:p>
    <w:p w14:paraId="62DB11E4">
      <w:pPr>
        <w:pStyle w:val="4"/>
        <w:numPr>
          <w:ilvl w:val="0"/>
          <w:numId w:val="1"/>
        </w:numPr>
        <w:rPr>
          <w:rFonts w:hint="eastAsia" w:ascii="Times New Roman" w:hAnsi="Times New Roman" w:eastAsia="黑体"/>
          <w:b w:val="0"/>
          <w:color w:val="auto"/>
          <w:highlight w:val="none"/>
          <w:lang w:eastAsia="zh-CN"/>
        </w:rPr>
      </w:pPr>
      <w:bookmarkStart w:id="18" w:name="_Toc18075"/>
      <w:r>
        <w:rPr>
          <w:rFonts w:hint="eastAsia" w:ascii="Times New Roman" w:hAnsi="Times New Roman" w:eastAsia="黑体"/>
          <w:b w:val="0"/>
          <w:color w:val="auto"/>
          <w:highlight w:val="none"/>
          <w:lang w:eastAsia="zh-CN"/>
        </w:rPr>
        <w:t>部门职责</w:t>
      </w:r>
      <w:bookmarkEnd w:id="18"/>
    </w:p>
    <w:p w14:paraId="6B15C388">
      <w:pPr>
        <w:pStyle w:val="6"/>
        <w:adjustRightInd w:val="0"/>
        <w:snapToGrid w:val="0"/>
        <w:spacing w:before="93" w:line="600" w:lineRule="exact"/>
        <w:ind w:firstLine="672" w:firstLineChars="210"/>
        <w:outlineLvl w:val="2"/>
        <w:rPr>
          <w:rFonts w:hint="eastAsia" w:ascii="仿宋_GB2312" w:hAnsi="Times New Roman" w:eastAsia="仿宋_GB2312" w:cs="仿宋_GB2312"/>
          <w:color w:val="000000"/>
          <w:kern w:val="0"/>
          <w:sz w:val="32"/>
          <w:szCs w:val="32"/>
          <w:lang w:val="en-US" w:eastAsia="zh-CN" w:bidi="ar-SA"/>
        </w:rPr>
      </w:pPr>
      <w:bookmarkStart w:id="19" w:name="_Toc5617"/>
      <w:bookmarkStart w:id="20" w:name="_Toc2769"/>
      <w:bookmarkStart w:id="21" w:name="_Toc3736"/>
      <w:bookmarkStart w:id="135" w:name="_GoBack"/>
      <w:r>
        <w:rPr>
          <w:rFonts w:hint="eastAsia" w:cs="仿宋_GB2312"/>
          <w:color w:val="000000"/>
          <w:kern w:val="0"/>
          <w:sz w:val="32"/>
          <w:szCs w:val="32"/>
          <w:lang w:val="en-US" w:eastAsia="zh-CN" w:bidi="ar-SA"/>
        </w:rPr>
        <w:t>1.</w:t>
      </w:r>
      <w:bookmarkEnd w:id="135"/>
      <w:r>
        <w:rPr>
          <w:rFonts w:hint="eastAsia" w:ascii="仿宋_GB2312" w:hAnsi="Times New Roman" w:eastAsia="仿宋_GB2312" w:cs="仿宋_GB2312"/>
          <w:color w:val="000000"/>
          <w:kern w:val="0"/>
          <w:sz w:val="32"/>
          <w:szCs w:val="32"/>
          <w:lang w:val="en-US" w:eastAsia="zh-CN" w:bidi="ar-SA"/>
        </w:rPr>
        <w:t>贯彻执行国家、省、州、县有关</w:t>
      </w:r>
      <w:r>
        <w:rPr>
          <w:rFonts w:hint="eastAsia" w:cs="仿宋_GB2312"/>
          <w:color w:val="000000"/>
          <w:kern w:val="0"/>
          <w:sz w:val="32"/>
          <w:szCs w:val="32"/>
          <w:lang w:val="en-US" w:eastAsia="zh-CN" w:bidi="ar-SA"/>
        </w:rPr>
        <w:t>法律法规</w:t>
      </w:r>
      <w:r>
        <w:rPr>
          <w:rFonts w:hint="eastAsia" w:ascii="仿宋_GB2312" w:hAnsi="Times New Roman" w:eastAsia="仿宋_GB2312" w:cs="仿宋_GB2312"/>
          <w:color w:val="000000"/>
          <w:kern w:val="0"/>
          <w:sz w:val="32"/>
          <w:szCs w:val="32"/>
          <w:lang w:val="en-US" w:eastAsia="zh-CN" w:bidi="ar-SA"/>
        </w:rPr>
        <w:t>和发展规划以及卫生行业标准、技术服务规范等，接受卫生健康行政主管部门的行业管理和业务指导。</w:t>
      </w:r>
      <w:bookmarkEnd w:id="19"/>
      <w:bookmarkEnd w:id="20"/>
      <w:bookmarkEnd w:id="21"/>
    </w:p>
    <w:p w14:paraId="4F4525A9">
      <w:pPr>
        <w:pStyle w:val="6"/>
        <w:adjustRightInd w:val="0"/>
        <w:snapToGrid w:val="0"/>
        <w:spacing w:before="93" w:line="600" w:lineRule="exact"/>
        <w:ind w:firstLine="672" w:firstLineChars="210"/>
        <w:outlineLvl w:val="2"/>
        <w:rPr>
          <w:rFonts w:hint="eastAsia" w:ascii="仿宋_GB2312" w:hAnsi="Times New Roman" w:eastAsia="仿宋_GB2312" w:cs="仿宋_GB2312"/>
          <w:color w:val="000000"/>
          <w:kern w:val="0"/>
          <w:sz w:val="32"/>
          <w:szCs w:val="32"/>
          <w:lang w:val="en-US" w:eastAsia="zh-CN" w:bidi="ar-SA"/>
        </w:rPr>
      </w:pPr>
      <w:bookmarkStart w:id="22" w:name="_Toc12442"/>
      <w:bookmarkStart w:id="23" w:name="_Toc9535"/>
      <w:bookmarkStart w:id="24" w:name="_Toc26071"/>
      <w:r>
        <w:rPr>
          <w:rFonts w:hint="eastAsia" w:cs="仿宋_GB2312"/>
          <w:color w:val="000000"/>
          <w:kern w:val="0"/>
          <w:sz w:val="32"/>
          <w:szCs w:val="32"/>
          <w:lang w:val="en-US" w:eastAsia="zh-CN" w:bidi="ar-SA"/>
        </w:rPr>
        <w:t>2.</w:t>
      </w:r>
      <w:r>
        <w:rPr>
          <w:rFonts w:hint="eastAsia" w:ascii="仿宋_GB2312" w:hAnsi="Times New Roman" w:eastAsia="仿宋_GB2312" w:cs="仿宋_GB2312"/>
          <w:color w:val="000000"/>
          <w:kern w:val="0"/>
          <w:sz w:val="32"/>
          <w:szCs w:val="32"/>
          <w:lang w:val="en-US" w:eastAsia="zh-CN" w:bidi="ar-SA"/>
        </w:rPr>
        <w:t>在卫生健康行政主管部门的领导下，负责并配合做好全县突发事件的医疗救援任务，承担辖区内预防、保健、医疗及急救任务。</w:t>
      </w:r>
      <w:bookmarkEnd w:id="22"/>
      <w:bookmarkEnd w:id="23"/>
      <w:bookmarkEnd w:id="24"/>
    </w:p>
    <w:p w14:paraId="600471B1">
      <w:pPr>
        <w:pStyle w:val="6"/>
        <w:adjustRightInd w:val="0"/>
        <w:snapToGrid w:val="0"/>
        <w:spacing w:before="93" w:line="600" w:lineRule="exact"/>
        <w:ind w:firstLine="672" w:firstLineChars="210"/>
        <w:outlineLvl w:val="2"/>
        <w:rPr>
          <w:rFonts w:hint="eastAsia" w:ascii="仿宋_GB2312" w:hAnsi="Times New Roman" w:eastAsia="仿宋_GB2312" w:cs="仿宋_GB2312"/>
          <w:color w:val="000000"/>
          <w:kern w:val="0"/>
          <w:sz w:val="32"/>
          <w:szCs w:val="32"/>
          <w:lang w:val="en-US" w:eastAsia="zh-CN" w:bidi="ar-SA"/>
        </w:rPr>
      </w:pPr>
      <w:bookmarkStart w:id="25" w:name="_Toc23556"/>
      <w:bookmarkStart w:id="26" w:name="_Toc12103"/>
      <w:bookmarkStart w:id="27" w:name="_Toc23763"/>
      <w:r>
        <w:rPr>
          <w:rFonts w:hint="eastAsia" w:cs="仿宋_GB2312"/>
          <w:color w:val="000000"/>
          <w:kern w:val="0"/>
          <w:sz w:val="32"/>
          <w:szCs w:val="32"/>
          <w:lang w:val="en-US" w:eastAsia="zh-CN" w:bidi="ar-SA"/>
        </w:rPr>
        <w:t>3.</w:t>
      </w:r>
      <w:r>
        <w:rPr>
          <w:rFonts w:hint="eastAsia" w:ascii="仿宋_GB2312" w:hAnsi="Times New Roman" w:eastAsia="仿宋_GB2312" w:cs="仿宋_GB2312"/>
          <w:color w:val="000000"/>
          <w:kern w:val="0"/>
          <w:sz w:val="32"/>
          <w:szCs w:val="32"/>
          <w:lang w:val="en-US" w:eastAsia="zh-CN" w:bidi="ar-SA"/>
        </w:rPr>
        <w:t>承担本地常见病、多发病</w:t>
      </w:r>
      <w:r>
        <w:rPr>
          <w:rFonts w:hint="eastAsia" w:cs="仿宋_GB2312"/>
          <w:color w:val="000000"/>
          <w:kern w:val="0"/>
          <w:sz w:val="32"/>
          <w:szCs w:val="32"/>
          <w:lang w:val="en-US" w:eastAsia="zh-CN" w:bidi="ar-SA"/>
        </w:rPr>
        <w:t>和</w:t>
      </w:r>
      <w:r>
        <w:rPr>
          <w:rFonts w:hint="eastAsia" w:ascii="仿宋_GB2312" w:hAnsi="Times New Roman" w:eastAsia="仿宋_GB2312" w:cs="仿宋_GB2312"/>
          <w:color w:val="000000"/>
          <w:kern w:val="0"/>
          <w:sz w:val="32"/>
          <w:szCs w:val="32"/>
          <w:lang w:val="en-US" w:eastAsia="zh-CN" w:bidi="ar-SA"/>
        </w:rPr>
        <w:t>疑难病症的诊治任务，接受下级医疗机构的转诊。</w:t>
      </w:r>
      <w:bookmarkEnd w:id="25"/>
      <w:bookmarkEnd w:id="26"/>
      <w:bookmarkEnd w:id="27"/>
    </w:p>
    <w:p w14:paraId="18D0D952">
      <w:pPr>
        <w:pStyle w:val="6"/>
        <w:adjustRightInd w:val="0"/>
        <w:snapToGrid w:val="0"/>
        <w:spacing w:before="93" w:line="600" w:lineRule="exact"/>
        <w:ind w:firstLine="672" w:firstLineChars="210"/>
        <w:outlineLvl w:val="2"/>
        <w:rPr>
          <w:rFonts w:hint="eastAsia" w:ascii="仿宋_GB2312" w:hAnsi="Times New Roman" w:eastAsia="仿宋_GB2312" w:cs="仿宋_GB2312"/>
          <w:color w:val="000000"/>
          <w:kern w:val="0"/>
          <w:sz w:val="32"/>
          <w:szCs w:val="32"/>
          <w:lang w:val="en-US" w:eastAsia="zh-CN" w:bidi="ar-SA"/>
        </w:rPr>
      </w:pPr>
      <w:bookmarkStart w:id="28" w:name="_Toc21697"/>
      <w:bookmarkStart w:id="29" w:name="_Toc9701"/>
      <w:bookmarkStart w:id="30" w:name="_Toc1315"/>
      <w:r>
        <w:rPr>
          <w:rFonts w:hint="eastAsia" w:cs="仿宋_GB2312"/>
          <w:color w:val="000000"/>
          <w:kern w:val="0"/>
          <w:sz w:val="32"/>
          <w:szCs w:val="32"/>
          <w:lang w:val="en-US" w:eastAsia="zh-CN" w:bidi="ar-SA"/>
        </w:rPr>
        <w:t>4.</w:t>
      </w:r>
      <w:r>
        <w:rPr>
          <w:rFonts w:hint="eastAsia" w:ascii="仿宋_GB2312" w:hAnsi="Times New Roman" w:eastAsia="仿宋_GB2312" w:cs="仿宋_GB2312"/>
          <w:color w:val="000000"/>
          <w:kern w:val="0"/>
          <w:sz w:val="32"/>
          <w:szCs w:val="32"/>
          <w:lang w:val="en-US" w:eastAsia="zh-CN" w:bidi="ar-SA"/>
        </w:rPr>
        <w:t>贯彻执行传染病预防和管理工作、并做好各种常见病和多发病的诊断治疗工作。</w:t>
      </w:r>
      <w:bookmarkEnd w:id="28"/>
      <w:bookmarkEnd w:id="29"/>
      <w:bookmarkEnd w:id="30"/>
    </w:p>
    <w:p w14:paraId="506AEA38">
      <w:pPr>
        <w:pStyle w:val="6"/>
        <w:adjustRightInd w:val="0"/>
        <w:snapToGrid w:val="0"/>
        <w:spacing w:before="93" w:line="600" w:lineRule="exact"/>
        <w:ind w:firstLine="672" w:firstLineChars="210"/>
        <w:outlineLvl w:val="2"/>
        <w:rPr>
          <w:rFonts w:hint="eastAsia" w:ascii="仿宋_GB2312" w:hAnsi="Times New Roman" w:eastAsia="仿宋_GB2312" w:cs="仿宋_GB2312"/>
          <w:color w:val="000000"/>
          <w:kern w:val="0"/>
          <w:sz w:val="32"/>
          <w:szCs w:val="32"/>
          <w:lang w:val="en-US" w:eastAsia="zh-CN" w:bidi="ar-SA"/>
        </w:rPr>
      </w:pPr>
      <w:bookmarkStart w:id="31" w:name="_Toc19940"/>
      <w:bookmarkStart w:id="32" w:name="_Toc15510"/>
      <w:bookmarkStart w:id="33" w:name="_Toc25474"/>
      <w:r>
        <w:rPr>
          <w:rFonts w:hint="eastAsia" w:cs="仿宋_GB2312"/>
          <w:color w:val="000000"/>
          <w:kern w:val="0"/>
          <w:sz w:val="32"/>
          <w:szCs w:val="32"/>
          <w:lang w:val="en-US" w:eastAsia="zh-CN" w:bidi="ar-SA"/>
        </w:rPr>
        <w:t>5.</w:t>
      </w:r>
      <w:r>
        <w:rPr>
          <w:rFonts w:hint="eastAsia" w:ascii="仿宋_GB2312" w:hAnsi="Times New Roman" w:eastAsia="仿宋_GB2312" w:cs="仿宋_GB2312"/>
          <w:color w:val="000000"/>
          <w:kern w:val="0"/>
          <w:sz w:val="32"/>
          <w:szCs w:val="32"/>
          <w:lang w:val="en-US" w:eastAsia="zh-CN" w:bidi="ar-SA"/>
        </w:rPr>
        <w:t>做好各种传染病、流行病的预防、宣传、治疗、后期保健及网络</w:t>
      </w:r>
      <w:r>
        <w:rPr>
          <w:rFonts w:hint="eastAsia" w:cs="仿宋_GB2312"/>
          <w:color w:val="000000"/>
          <w:kern w:val="0"/>
          <w:sz w:val="32"/>
          <w:szCs w:val="32"/>
          <w:lang w:val="en-US" w:eastAsia="zh-CN" w:bidi="ar-SA"/>
        </w:rPr>
        <w:t>直播</w:t>
      </w:r>
      <w:r>
        <w:rPr>
          <w:rFonts w:hint="eastAsia" w:ascii="仿宋_GB2312" w:hAnsi="Times New Roman" w:eastAsia="仿宋_GB2312" w:cs="仿宋_GB2312"/>
          <w:color w:val="000000"/>
          <w:kern w:val="0"/>
          <w:sz w:val="32"/>
          <w:szCs w:val="32"/>
          <w:lang w:val="en-US" w:eastAsia="zh-CN" w:bidi="ar-SA"/>
        </w:rPr>
        <w:t>工作。</w:t>
      </w:r>
      <w:bookmarkEnd w:id="31"/>
      <w:bookmarkEnd w:id="32"/>
      <w:bookmarkEnd w:id="33"/>
    </w:p>
    <w:p w14:paraId="11D77DA7">
      <w:pPr>
        <w:pStyle w:val="6"/>
        <w:adjustRightInd w:val="0"/>
        <w:snapToGrid w:val="0"/>
        <w:spacing w:before="93" w:line="600" w:lineRule="exact"/>
        <w:ind w:firstLine="672" w:firstLineChars="210"/>
        <w:outlineLvl w:val="2"/>
        <w:rPr>
          <w:rFonts w:hint="eastAsia" w:ascii="仿宋_GB2312" w:hAnsi="Times New Roman" w:eastAsia="仿宋_GB2312" w:cs="仿宋_GB2312"/>
          <w:color w:val="000000"/>
          <w:kern w:val="0"/>
          <w:sz w:val="32"/>
          <w:szCs w:val="32"/>
          <w:lang w:val="en-US" w:eastAsia="zh-CN" w:bidi="ar-SA"/>
        </w:rPr>
      </w:pPr>
      <w:bookmarkStart w:id="34" w:name="_Toc20853"/>
      <w:bookmarkStart w:id="35" w:name="_Toc27661"/>
      <w:bookmarkStart w:id="36" w:name="_Toc25108"/>
      <w:r>
        <w:rPr>
          <w:rFonts w:hint="eastAsia" w:cs="仿宋_GB2312"/>
          <w:color w:val="000000"/>
          <w:kern w:val="0"/>
          <w:sz w:val="32"/>
          <w:szCs w:val="32"/>
          <w:lang w:val="en-US" w:eastAsia="zh-CN" w:bidi="ar-SA"/>
        </w:rPr>
        <w:t>6.</w:t>
      </w:r>
      <w:r>
        <w:rPr>
          <w:rFonts w:hint="eastAsia" w:ascii="仿宋_GB2312" w:hAnsi="Times New Roman" w:eastAsia="仿宋_GB2312" w:cs="仿宋_GB2312"/>
          <w:color w:val="000000"/>
          <w:kern w:val="0"/>
          <w:sz w:val="32"/>
          <w:szCs w:val="32"/>
          <w:lang w:val="en-US" w:eastAsia="zh-CN" w:bidi="ar-SA"/>
        </w:rPr>
        <w:t>做好城镇职工医疗保险和城乡居民医疗保险患者的诊治工作。</w:t>
      </w:r>
      <w:bookmarkEnd w:id="34"/>
      <w:bookmarkEnd w:id="35"/>
      <w:bookmarkEnd w:id="36"/>
    </w:p>
    <w:p w14:paraId="3F65833E">
      <w:pPr>
        <w:pStyle w:val="6"/>
        <w:adjustRightInd w:val="0"/>
        <w:snapToGrid w:val="0"/>
        <w:spacing w:before="93" w:line="600" w:lineRule="exact"/>
        <w:ind w:firstLine="672" w:firstLineChars="210"/>
        <w:outlineLvl w:val="2"/>
        <w:rPr>
          <w:rFonts w:hint="eastAsia" w:ascii="仿宋_GB2312" w:hAnsi="Times New Roman" w:eastAsia="仿宋_GB2312" w:cs="仿宋_GB2312"/>
          <w:color w:val="000000"/>
          <w:kern w:val="0"/>
          <w:sz w:val="32"/>
          <w:szCs w:val="32"/>
          <w:lang w:val="en-US" w:eastAsia="zh-CN" w:bidi="ar-SA"/>
        </w:rPr>
      </w:pPr>
      <w:bookmarkStart w:id="37" w:name="_Toc12765"/>
      <w:bookmarkStart w:id="38" w:name="_Toc10932"/>
      <w:bookmarkStart w:id="39" w:name="_Toc9780"/>
      <w:r>
        <w:rPr>
          <w:rFonts w:hint="eastAsia" w:cs="仿宋_GB2312"/>
          <w:color w:val="000000"/>
          <w:kern w:val="0"/>
          <w:sz w:val="32"/>
          <w:szCs w:val="32"/>
          <w:lang w:val="en-US" w:eastAsia="zh-CN" w:bidi="ar-SA"/>
        </w:rPr>
        <w:t>7.</w:t>
      </w:r>
      <w:r>
        <w:rPr>
          <w:rFonts w:hint="eastAsia" w:ascii="仿宋_GB2312" w:hAnsi="Times New Roman" w:eastAsia="仿宋_GB2312" w:cs="仿宋_GB2312"/>
          <w:color w:val="000000"/>
          <w:kern w:val="0"/>
          <w:sz w:val="32"/>
          <w:szCs w:val="32"/>
          <w:lang w:val="en-US" w:eastAsia="zh-CN" w:bidi="ar-SA"/>
        </w:rPr>
        <w:t>承担全县乡镇医疗机构的技术帮带、技术支持、业务指导、技术骨干培养等任务。</w:t>
      </w:r>
      <w:bookmarkEnd w:id="37"/>
      <w:bookmarkEnd w:id="38"/>
      <w:bookmarkEnd w:id="39"/>
    </w:p>
    <w:p w14:paraId="5CF8CA24">
      <w:pPr>
        <w:pStyle w:val="6"/>
        <w:adjustRightInd w:val="0"/>
        <w:snapToGrid w:val="0"/>
        <w:spacing w:before="93" w:line="600" w:lineRule="exact"/>
        <w:ind w:firstLine="672" w:firstLineChars="210"/>
        <w:outlineLvl w:val="2"/>
        <w:rPr>
          <w:rFonts w:hint="eastAsia" w:ascii="仿宋_GB2312" w:hAnsi="Times New Roman" w:eastAsia="仿宋_GB2312" w:cs="仿宋_GB2312"/>
          <w:color w:val="000000"/>
          <w:kern w:val="0"/>
          <w:sz w:val="32"/>
          <w:szCs w:val="32"/>
          <w:lang w:val="en-US" w:eastAsia="zh-CN" w:bidi="ar-SA"/>
        </w:rPr>
      </w:pPr>
      <w:bookmarkStart w:id="40" w:name="_Toc22116"/>
      <w:bookmarkStart w:id="41" w:name="_Toc21335"/>
      <w:bookmarkStart w:id="42" w:name="_Toc16861"/>
      <w:r>
        <w:rPr>
          <w:rFonts w:hint="eastAsia" w:cs="仿宋_GB2312"/>
          <w:color w:val="000000"/>
          <w:kern w:val="0"/>
          <w:sz w:val="32"/>
          <w:szCs w:val="32"/>
          <w:lang w:val="en-US" w:eastAsia="zh-CN" w:bidi="ar-SA"/>
        </w:rPr>
        <w:t>8.</w:t>
      </w:r>
      <w:r>
        <w:rPr>
          <w:rFonts w:hint="eastAsia" w:ascii="仿宋_GB2312" w:hAnsi="Times New Roman" w:eastAsia="仿宋_GB2312" w:cs="仿宋_GB2312"/>
          <w:color w:val="000000"/>
          <w:kern w:val="0"/>
          <w:sz w:val="32"/>
          <w:szCs w:val="32"/>
          <w:lang w:val="en-US" w:eastAsia="zh-CN" w:bidi="ar-SA"/>
        </w:rPr>
        <w:t>提供预防保健、基本医疗与护理、疑难重症转诊、院前急救和卫生专业技术人员继续医学教育，基层卫生院医务人员进修培训和医学院校实习生带教等综合性服务工作。</w:t>
      </w:r>
      <w:bookmarkEnd w:id="40"/>
      <w:bookmarkEnd w:id="41"/>
      <w:bookmarkEnd w:id="42"/>
    </w:p>
    <w:p w14:paraId="66019C1B">
      <w:pPr>
        <w:pStyle w:val="6"/>
        <w:adjustRightInd w:val="0"/>
        <w:snapToGrid w:val="0"/>
        <w:spacing w:before="93" w:line="600" w:lineRule="exact"/>
        <w:ind w:firstLine="672" w:firstLineChars="210"/>
        <w:outlineLvl w:val="2"/>
        <w:rPr>
          <w:rFonts w:hint="eastAsia" w:ascii="仿宋_GB2312" w:hAnsi="Times New Roman" w:eastAsia="仿宋_GB2312" w:cs="仿宋_GB2312"/>
          <w:color w:val="000000"/>
          <w:kern w:val="0"/>
          <w:sz w:val="32"/>
          <w:szCs w:val="32"/>
          <w:lang w:val="en-US" w:eastAsia="zh-CN" w:bidi="ar-SA"/>
        </w:rPr>
      </w:pPr>
      <w:bookmarkStart w:id="43" w:name="_Toc12089"/>
      <w:bookmarkStart w:id="44" w:name="_Toc22910"/>
      <w:bookmarkStart w:id="45" w:name="_Toc16982"/>
      <w:r>
        <w:rPr>
          <w:rFonts w:hint="eastAsia" w:cs="仿宋_GB2312"/>
          <w:color w:val="000000"/>
          <w:kern w:val="0"/>
          <w:sz w:val="32"/>
          <w:szCs w:val="32"/>
          <w:lang w:val="en-US" w:eastAsia="zh-CN" w:bidi="ar-SA"/>
        </w:rPr>
        <w:t>9.</w:t>
      </w:r>
      <w:r>
        <w:rPr>
          <w:rFonts w:hint="eastAsia" w:ascii="仿宋_GB2312" w:hAnsi="Times New Roman" w:eastAsia="仿宋_GB2312" w:cs="仿宋_GB2312"/>
          <w:color w:val="000000"/>
          <w:kern w:val="0"/>
          <w:sz w:val="32"/>
          <w:szCs w:val="32"/>
          <w:lang w:val="en-US" w:eastAsia="zh-CN" w:bidi="ar-SA"/>
        </w:rPr>
        <w:t>开展医学科学研究、技术开发与诊疗服务。</w:t>
      </w:r>
      <w:bookmarkEnd w:id="43"/>
      <w:bookmarkEnd w:id="44"/>
      <w:bookmarkEnd w:id="45"/>
    </w:p>
    <w:p w14:paraId="03740CC3">
      <w:pPr>
        <w:pStyle w:val="6"/>
        <w:adjustRightInd w:val="0"/>
        <w:snapToGrid w:val="0"/>
        <w:spacing w:before="93" w:line="600" w:lineRule="exact"/>
        <w:ind w:firstLine="672" w:firstLineChars="210"/>
        <w:outlineLvl w:val="2"/>
        <w:rPr>
          <w:rFonts w:hint="default" w:ascii="仿宋_GB2312" w:hAnsi="Times New Roman" w:eastAsia="仿宋_GB2312" w:cs="仿宋_GB2312"/>
          <w:color w:val="000000"/>
          <w:kern w:val="0"/>
          <w:sz w:val="32"/>
          <w:szCs w:val="32"/>
          <w:lang w:val="en-US" w:eastAsia="zh-CN" w:bidi="ar-SA"/>
        </w:rPr>
      </w:pPr>
      <w:bookmarkStart w:id="46" w:name="_Toc2572"/>
      <w:bookmarkStart w:id="47" w:name="_Toc29280"/>
      <w:bookmarkStart w:id="48" w:name="_Toc12106"/>
      <w:r>
        <w:rPr>
          <w:rFonts w:hint="eastAsia" w:cs="仿宋_GB2312"/>
          <w:color w:val="000000"/>
          <w:kern w:val="0"/>
          <w:sz w:val="32"/>
          <w:szCs w:val="32"/>
          <w:lang w:val="en-US" w:eastAsia="zh-CN" w:bidi="ar-SA"/>
        </w:rPr>
        <w:t>10.</w:t>
      </w:r>
      <w:r>
        <w:rPr>
          <w:rFonts w:hint="eastAsia" w:ascii="仿宋_GB2312" w:hAnsi="Times New Roman" w:eastAsia="仿宋_GB2312" w:cs="仿宋_GB2312"/>
          <w:color w:val="000000"/>
          <w:kern w:val="0"/>
          <w:sz w:val="32"/>
          <w:szCs w:val="32"/>
          <w:lang w:val="en-US" w:eastAsia="zh-CN" w:bidi="ar-SA"/>
        </w:rPr>
        <w:t>承担县委、县政府和上级主管部门交办的其他任务。</w:t>
      </w:r>
      <w:bookmarkEnd w:id="46"/>
      <w:bookmarkEnd w:id="47"/>
      <w:bookmarkEnd w:id="48"/>
    </w:p>
    <w:p w14:paraId="3750DC9C">
      <w:pPr>
        <w:numPr>
          <w:ilvl w:val="0"/>
          <w:numId w:val="0"/>
        </w:numPr>
        <w:rPr>
          <w:rFonts w:hint="eastAsia"/>
          <w:lang w:eastAsia="zh-CN"/>
        </w:rPr>
      </w:pPr>
    </w:p>
    <w:p w14:paraId="00917C66">
      <w:pPr>
        <w:pStyle w:val="4"/>
        <w:rPr>
          <w:rStyle w:val="30"/>
          <w:rFonts w:ascii="Times New Roman" w:hAnsi="Times New Roman"/>
          <w:b w:val="0"/>
          <w:bCs w:val="0"/>
          <w:color w:val="auto"/>
          <w:highlight w:val="none"/>
        </w:rPr>
      </w:pPr>
      <w:bookmarkStart w:id="49" w:name="_Toc15377200"/>
      <w:bookmarkStart w:id="50" w:name="_Toc15396601"/>
      <w:bookmarkStart w:id="51" w:name="_Toc5565"/>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49"/>
      <w:bookmarkEnd w:id="50"/>
      <w:bookmarkEnd w:id="51"/>
    </w:p>
    <w:p w14:paraId="5F73C70C">
      <w:pPr>
        <w:ind w:firstLine="800" w:firstLineChars="250"/>
        <w:rPr>
          <w:rFonts w:ascii="Times New Roman" w:hAnsi="Times New Roman" w:eastAsia="仿宋"/>
          <w:color w:val="auto"/>
          <w:kern w:val="0"/>
          <w:sz w:val="32"/>
          <w:szCs w:val="32"/>
          <w:highlight w:val="none"/>
        </w:rPr>
      </w:pPr>
      <w:r>
        <w:rPr>
          <w:rFonts w:hint="eastAsia" w:ascii="仿宋_GB2312" w:hAnsi="仿宋_GB2312" w:eastAsia="仿宋_GB2312" w:cs="仿宋_GB2312"/>
          <w:color w:val="auto"/>
          <w:sz w:val="32"/>
          <w:szCs w:val="32"/>
          <w:highlight w:val="none"/>
        </w:rPr>
        <w:t>松潘县中藏医院</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0DBA2F9F">
      <w:pPr>
        <w:pStyle w:val="3"/>
        <w:jc w:val="center"/>
        <w:rPr>
          <w:rFonts w:hint="eastAsia" w:ascii="Times New Roman" w:hAnsi="Times New Roman" w:eastAsia="方正小标宋简体" w:cs="方正小标宋简体"/>
          <w:b w:val="0"/>
          <w:color w:val="auto"/>
          <w:highlight w:val="none"/>
        </w:rPr>
      </w:pPr>
      <w:bookmarkStart w:id="52" w:name="_Toc14708"/>
      <w:bookmarkStart w:id="53" w:name="_Toc15377204"/>
      <w:bookmarkStart w:id="54"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52"/>
      <w:bookmarkEnd w:id="53"/>
      <w:bookmarkEnd w:id="54"/>
    </w:p>
    <w:p w14:paraId="13B044D0">
      <w:pPr>
        <w:rPr>
          <w:rFonts w:ascii="Times New Roman" w:hAnsi="Times New Roman"/>
          <w:color w:val="auto"/>
          <w:highlight w:val="none"/>
        </w:rPr>
      </w:pPr>
    </w:p>
    <w:p w14:paraId="4D0883A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55" w:name="_Toc15377205"/>
      <w:bookmarkStart w:id="56" w:name="_Toc15396603"/>
      <w:bookmarkStart w:id="57" w:name="_Toc25576"/>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55"/>
      <w:bookmarkEnd w:id="56"/>
      <w:bookmarkEnd w:id="57"/>
    </w:p>
    <w:p w14:paraId="0E744A4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bookmarkStart w:id="58" w:name="_Toc2293"/>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2372.19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172.68</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6.79</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业务收入减少及人员变动。</w:t>
      </w:r>
      <w:bookmarkEnd w:id="58"/>
    </w:p>
    <w:p w14:paraId="32B803F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cs="仿宋_GB2312"/>
          <w:color w:val="auto"/>
          <w:sz w:val="32"/>
          <w:szCs w:val="32"/>
          <w:highlight w:val="none"/>
          <w:lang w:val="en-US" w:eastAsia="zh-CN"/>
        </w:rPr>
      </w:pPr>
    </w:p>
    <w:p w14:paraId="446F04A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cs="仿宋_GB2312"/>
          <w:color w:val="auto"/>
          <w:sz w:val="32"/>
          <w:szCs w:val="32"/>
          <w:highlight w:val="none"/>
          <w:lang w:val="en-US" w:eastAsia="zh-CN"/>
        </w:rPr>
      </w:pPr>
    </w:p>
    <w:p w14:paraId="7C4EF94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cs="仿宋_GB2312"/>
          <w:color w:val="auto"/>
          <w:sz w:val="32"/>
          <w:szCs w:val="32"/>
          <w:highlight w:val="none"/>
          <w:lang w:val="en-US" w:eastAsia="zh-CN"/>
        </w:rPr>
      </w:pPr>
    </w:p>
    <w:p w14:paraId="7454DC4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cs="仿宋_GB2312"/>
          <w:color w:val="auto"/>
          <w:sz w:val="32"/>
          <w:szCs w:val="32"/>
          <w:highlight w:val="none"/>
          <w:lang w:val="en-US" w:eastAsia="zh-CN"/>
        </w:rPr>
      </w:pPr>
    </w:p>
    <w:p w14:paraId="6A8405D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cs="仿宋_GB2312"/>
          <w:color w:val="auto"/>
          <w:sz w:val="32"/>
          <w:szCs w:val="32"/>
          <w:highlight w:val="none"/>
          <w:lang w:val="en-US" w:eastAsia="zh-CN"/>
        </w:rPr>
      </w:pPr>
    </w:p>
    <w:p w14:paraId="5576F30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cs="仿宋_GB2312"/>
          <w:color w:val="auto"/>
          <w:sz w:val="32"/>
          <w:szCs w:val="32"/>
          <w:highlight w:val="none"/>
          <w:lang w:val="en-US" w:eastAsia="zh-CN"/>
        </w:rPr>
      </w:pPr>
    </w:p>
    <w:p w14:paraId="7D9F1B29">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9"/>
        <w:rPr>
          <w:rFonts w:hint="default" w:eastAsia="仿宋_GB2312" w:cs="仿宋_GB2312"/>
          <w:color w:val="auto"/>
          <w:sz w:val="32"/>
          <w:szCs w:val="32"/>
          <w:highlight w:val="none"/>
          <w:lang w:val="en-US" w:eastAsia="zh-CN"/>
        </w:rPr>
      </w:pPr>
      <w:r>
        <w:rPr>
          <w:rFonts w:hint="default" w:eastAsia="仿宋_GB2312" w:cs="仿宋_GB2312"/>
          <w:color w:val="auto"/>
          <w:sz w:val="32"/>
          <w:szCs w:val="32"/>
          <w:highlight w:val="none"/>
          <w:lang w:val="en-US" w:eastAsia="zh-CN"/>
        </w:rPr>
        <w:drawing>
          <wp:inline distT="0" distB="0" distL="114300" distR="114300">
            <wp:extent cx="5273040" cy="3641725"/>
            <wp:effectExtent l="0" t="0" r="3810" b="15875"/>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9"/>
                    <a:stretch>
                      <a:fillRect/>
                    </a:stretch>
                  </pic:blipFill>
                  <pic:spPr>
                    <a:xfrm>
                      <a:off x="0" y="0"/>
                      <a:ext cx="5273040" cy="3641725"/>
                    </a:xfrm>
                    <a:prstGeom prst="rect">
                      <a:avLst/>
                    </a:prstGeom>
                  </pic:spPr>
                </pic:pic>
              </a:graphicData>
            </a:graphic>
          </wp:inline>
        </w:drawing>
      </w:r>
    </w:p>
    <w:p w14:paraId="335E740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21ABDFED">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color w:val="auto"/>
          <w:sz w:val="32"/>
          <w:szCs w:val="32"/>
          <w:highlight w:val="none"/>
        </w:rPr>
      </w:pPr>
    </w:p>
    <w:p w14:paraId="476F648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59" w:name="_Toc15377206"/>
      <w:bookmarkStart w:id="60" w:name="_Toc15396604"/>
      <w:bookmarkStart w:id="61" w:name="_Toc15617"/>
      <w:r>
        <w:rPr>
          <w:rFonts w:hint="eastAsia" w:ascii="Times New Roman" w:hAnsi="Times New Roman" w:eastAsia="黑体"/>
          <w:color w:val="auto"/>
          <w:sz w:val="32"/>
          <w:szCs w:val="32"/>
          <w:highlight w:val="none"/>
          <w:lang w:eastAsia="zh-CN"/>
        </w:rPr>
        <w:t>二、收入决算情况说明</w:t>
      </w:r>
      <w:bookmarkEnd w:id="59"/>
      <w:bookmarkEnd w:id="60"/>
      <w:bookmarkEnd w:id="61"/>
    </w:p>
    <w:p w14:paraId="6226547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62" w:name="_Toc17907"/>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2372.19</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1698.92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71.61</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673.27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28.38</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bookmarkEnd w:id="62"/>
    </w:p>
    <w:p w14:paraId="74D21868">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72405" cy="3983990"/>
            <wp:effectExtent l="0" t="0" r="4445" b="16510"/>
            <wp:docPr id="2" name="图片 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2"/>
                    <pic:cNvPicPr>
                      <a:picLocks noChangeAspect="1"/>
                    </pic:cNvPicPr>
                  </pic:nvPicPr>
                  <pic:blipFill>
                    <a:blip r:embed="rId10"/>
                    <a:stretch>
                      <a:fillRect/>
                    </a:stretch>
                  </pic:blipFill>
                  <pic:spPr>
                    <a:xfrm>
                      <a:off x="0" y="0"/>
                      <a:ext cx="5272405" cy="3983990"/>
                    </a:xfrm>
                    <a:prstGeom prst="rect">
                      <a:avLst/>
                    </a:prstGeom>
                  </pic:spPr>
                </pic:pic>
              </a:graphicData>
            </a:graphic>
          </wp:inline>
        </w:drawing>
      </w:r>
    </w:p>
    <w:p w14:paraId="5B4530B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2"/>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1E7E0BE2">
      <w:pPr>
        <w:ind w:firstLine="800" w:firstLineChars="250"/>
        <w:jc w:val="center"/>
        <w:rPr>
          <w:rFonts w:hint="eastAsia" w:ascii="Times New Roman" w:hAnsi="Times New Roman" w:eastAsia="仿宋_GB2312" w:cs="仿宋_GB2312"/>
          <w:color w:val="auto"/>
          <w:sz w:val="32"/>
          <w:szCs w:val="32"/>
          <w:highlight w:val="none"/>
          <w:lang w:eastAsia="zh-CN"/>
        </w:rPr>
      </w:pPr>
    </w:p>
    <w:p w14:paraId="4E9DF35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63" w:name="_Toc15396605"/>
      <w:bookmarkStart w:id="64" w:name="_Toc15377207"/>
      <w:bookmarkStart w:id="65" w:name="_Toc20432"/>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63"/>
      <w:bookmarkEnd w:id="64"/>
      <w:bookmarkEnd w:id="65"/>
    </w:p>
    <w:p w14:paraId="3C3F505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66" w:name="_Toc18511"/>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2372.19</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2327.99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98.13</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44.2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1.86</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bookmarkEnd w:id="66"/>
    </w:p>
    <w:p w14:paraId="3D9F2D0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1980AF7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208F6472">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69865" cy="3439160"/>
            <wp:effectExtent l="0" t="0" r="6985" b="8890"/>
            <wp:docPr id="3" name="图片 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3"/>
                    <pic:cNvPicPr>
                      <a:picLocks noChangeAspect="1"/>
                    </pic:cNvPicPr>
                  </pic:nvPicPr>
                  <pic:blipFill>
                    <a:blip r:embed="rId11"/>
                    <a:stretch>
                      <a:fillRect/>
                    </a:stretch>
                  </pic:blipFill>
                  <pic:spPr>
                    <a:xfrm>
                      <a:off x="0" y="0"/>
                      <a:ext cx="5269865" cy="3439160"/>
                    </a:xfrm>
                    <a:prstGeom prst="rect">
                      <a:avLst/>
                    </a:prstGeom>
                  </pic:spPr>
                </pic:pic>
              </a:graphicData>
            </a:graphic>
          </wp:inline>
        </w:drawing>
      </w:r>
    </w:p>
    <w:p w14:paraId="0D67684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2"/>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3C4717A0">
      <w:pPr>
        <w:spacing w:line="600" w:lineRule="exact"/>
        <w:ind w:firstLine="640" w:firstLineChars="200"/>
        <w:outlineLvl w:val="1"/>
        <w:rPr>
          <w:rStyle w:val="30"/>
          <w:rFonts w:ascii="Times New Roman" w:hAnsi="Times New Roman" w:eastAsia="黑体"/>
          <w:b w:val="0"/>
          <w:color w:val="auto"/>
          <w:highlight w:val="none"/>
        </w:rPr>
      </w:pPr>
      <w:bookmarkStart w:id="67" w:name="_Toc15377208"/>
      <w:bookmarkStart w:id="68" w:name="_Toc15396606"/>
      <w:bookmarkStart w:id="69" w:name="_Toc20479"/>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67"/>
      <w:bookmarkEnd w:id="68"/>
      <w:bookmarkEnd w:id="69"/>
    </w:p>
    <w:p w14:paraId="62E0E9A3">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1698.92</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w:t>
      </w:r>
      <w:r>
        <w:rPr>
          <w:rFonts w:hint="eastAsia" w:eastAsia="仿宋_GB2312" w:cs="仿宋_GB2312"/>
          <w:color w:val="auto"/>
          <w:kern w:val="2"/>
          <w:sz w:val="32"/>
          <w:szCs w:val="32"/>
          <w:highlight w:val="none"/>
          <w:lang w:val="en-US" w:eastAsia="zh-CN" w:bidi="ar-SA"/>
        </w:rPr>
        <w:t>34.03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下降</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人员变动及项目支出减少。</w:t>
      </w:r>
    </w:p>
    <w:p w14:paraId="2DBDAC3B">
      <w:pPr>
        <w:pStyle w:val="2"/>
        <w:rPr>
          <w:rFonts w:hint="eastAsia" w:eastAsia="仿宋_GB2312" w:cs="仿宋_GB2312"/>
          <w:color w:val="auto"/>
          <w:kern w:val="2"/>
          <w:sz w:val="32"/>
          <w:szCs w:val="32"/>
          <w:highlight w:val="none"/>
          <w:lang w:val="en-US" w:eastAsia="zh-CN" w:bidi="ar-SA"/>
        </w:rPr>
      </w:pPr>
    </w:p>
    <w:p w14:paraId="50D83481">
      <w:pPr>
        <w:rPr>
          <w:rFonts w:hint="default"/>
          <w:lang w:val="en-US" w:eastAsia="zh-CN"/>
        </w:rPr>
      </w:pPr>
      <w:r>
        <w:rPr>
          <w:rFonts w:hint="default"/>
          <w:lang w:val="en-US" w:eastAsia="zh-CN"/>
        </w:rPr>
        <w:drawing>
          <wp:inline distT="0" distB="0" distL="114300" distR="114300">
            <wp:extent cx="4888865" cy="3566160"/>
            <wp:effectExtent l="0" t="0" r="6985" b="15240"/>
            <wp:docPr id="4" name="图片 4"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4"/>
                    <pic:cNvPicPr>
                      <a:picLocks noChangeAspect="1"/>
                    </pic:cNvPicPr>
                  </pic:nvPicPr>
                  <pic:blipFill>
                    <a:blip r:embed="rId12"/>
                    <a:stretch>
                      <a:fillRect/>
                    </a:stretch>
                  </pic:blipFill>
                  <pic:spPr>
                    <a:xfrm>
                      <a:off x="0" y="0"/>
                      <a:ext cx="4888865" cy="3566160"/>
                    </a:xfrm>
                    <a:prstGeom prst="rect">
                      <a:avLst/>
                    </a:prstGeom>
                  </pic:spPr>
                </pic:pic>
              </a:graphicData>
            </a:graphic>
          </wp:inline>
        </w:drawing>
      </w:r>
    </w:p>
    <w:p w14:paraId="73534386">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55220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C672C4F">
      <w:pPr>
        <w:spacing w:line="600" w:lineRule="exact"/>
        <w:ind w:firstLine="640" w:firstLineChars="200"/>
        <w:outlineLvl w:val="1"/>
        <w:rPr>
          <w:rStyle w:val="30"/>
          <w:rFonts w:ascii="Times New Roman" w:hAnsi="Times New Roman" w:eastAsia="黑体"/>
          <w:b w:val="0"/>
          <w:color w:val="auto"/>
          <w:highlight w:val="none"/>
        </w:rPr>
      </w:pPr>
      <w:bookmarkStart w:id="70" w:name="_Toc15377209"/>
      <w:bookmarkStart w:id="71" w:name="_Toc2838"/>
      <w:bookmarkStart w:id="72"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70"/>
      <w:bookmarkEnd w:id="71"/>
      <w:bookmarkEnd w:id="72"/>
    </w:p>
    <w:p w14:paraId="32EDA2B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73"/>
    </w:p>
    <w:p w14:paraId="31ED76D6">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1698.92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71.61</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34.03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人员变动及项目支出减少。</w:t>
      </w:r>
    </w:p>
    <w:p w14:paraId="1D13BDAE">
      <w:pPr>
        <w:pStyle w:val="2"/>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drawing>
          <wp:inline distT="0" distB="0" distL="114300" distR="114300">
            <wp:extent cx="4888865" cy="3566160"/>
            <wp:effectExtent l="0" t="0" r="6985" b="15240"/>
            <wp:docPr id="5" name="图片 5"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5"/>
                    <pic:cNvPicPr>
                      <a:picLocks noChangeAspect="1"/>
                    </pic:cNvPicPr>
                  </pic:nvPicPr>
                  <pic:blipFill>
                    <a:blip r:embed="rId13"/>
                    <a:stretch>
                      <a:fillRect/>
                    </a:stretch>
                  </pic:blipFill>
                  <pic:spPr>
                    <a:xfrm>
                      <a:off x="0" y="0"/>
                      <a:ext cx="4888865" cy="3566160"/>
                    </a:xfrm>
                    <a:prstGeom prst="rect">
                      <a:avLst/>
                    </a:prstGeom>
                  </pic:spPr>
                </pic:pic>
              </a:graphicData>
            </a:graphic>
          </wp:inline>
        </w:drawing>
      </w:r>
    </w:p>
    <w:p w14:paraId="431ECD01">
      <w:pPr>
        <w:pStyle w:val="2"/>
        <w:ind w:left="0" w:leftChars="0" w:firstLine="0" w:firstLineChars="0"/>
        <w:rPr>
          <w:rFonts w:hint="default"/>
          <w:lang w:val="en-US" w:eastAsia="zh-CN"/>
        </w:rPr>
      </w:pPr>
    </w:p>
    <w:p w14:paraId="4336F44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166A859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713D80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74"/>
    </w:p>
    <w:p w14:paraId="1CE2DB1F">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1698.92</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274.93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1300.94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77</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123.05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F3206D9">
      <w:pPr>
        <w:pStyle w:val="2"/>
        <w:rPr>
          <w:rFonts w:hint="eastAsia" w:eastAsia="仿宋_GB2312" w:cs="仿宋_GB2312"/>
          <w:color w:val="auto"/>
          <w:kern w:val="2"/>
          <w:sz w:val="32"/>
          <w:szCs w:val="32"/>
          <w:highlight w:val="none"/>
          <w:lang w:val="en-US" w:eastAsia="zh-CN" w:bidi="ar-SA"/>
        </w:rPr>
      </w:pPr>
    </w:p>
    <w:p w14:paraId="46CC799D">
      <w:pPr>
        <w:rPr>
          <w:rFonts w:hint="eastAsia" w:eastAsia="仿宋_GB2312" w:cs="仿宋_GB2312"/>
          <w:color w:val="auto"/>
          <w:kern w:val="2"/>
          <w:sz w:val="32"/>
          <w:szCs w:val="32"/>
          <w:highlight w:val="none"/>
          <w:lang w:val="en-US" w:eastAsia="zh-CN" w:bidi="ar-SA"/>
        </w:rPr>
      </w:pPr>
    </w:p>
    <w:p w14:paraId="45A9407E">
      <w:pPr>
        <w:pStyle w:val="2"/>
        <w:rPr>
          <w:rFonts w:hint="eastAsia" w:eastAsia="仿宋_GB2312" w:cs="仿宋_GB2312"/>
          <w:color w:val="auto"/>
          <w:kern w:val="2"/>
          <w:sz w:val="32"/>
          <w:szCs w:val="32"/>
          <w:highlight w:val="none"/>
          <w:lang w:val="en-US" w:eastAsia="zh-CN" w:bidi="ar-SA"/>
        </w:rPr>
      </w:pPr>
    </w:p>
    <w:p w14:paraId="13C7B7BF">
      <w:pPr>
        <w:rPr>
          <w:rFonts w:hint="eastAsia"/>
          <w:lang w:val="en-US" w:eastAsia="zh-CN"/>
        </w:rPr>
      </w:pPr>
      <w:r>
        <w:rPr>
          <w:rFonts w:hint="eastAsia"/>
          <w:lang w:val="en-US" w:eastAsia="zh-CN"/>
        </w:rPr>
        <w:drawing>
          <wp:inline distT="0" distB="0" distL="114300" distR="114300">
            <wp:extent cx="5269865" cy="4024630"/>
            <wp:effectExtent l="0" t="0" r="6985" b="13970"/>
            <wp:docPr id="8" name="图片 8"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7"/>
                    <pic:cNvPicPr>
                      <a:picLocks noChangeAspect="1"/>
                    </pic:cNvPicPr>
                  </pic:nvPicPr>
                  <pic:blipFill>
                    <a:blip r:embed="rId14"/>
                    <a:stretch>
                      <a:fillRect/>
                    </a:stretch>
                  </pic:blipFill>
                  <pic:spPr>
                    <a:xfrm>
                      <a:off x="0" y="0"/>
                      <a:ext cx="5269865" cy="4024630"/>
                    </a:xfrm>
                    <a:prstGeom prst="rect">
                      <a:avLst/>
                    </a:prstGeom>
                  </pic:spPr>
                </pic:pic>
              </a:graphicData>
            </a:graphic>
          </wp:inline>
        </w:drawing>
      </w:r>
    </w:p>
    <w:p w14:paraId="3A6E68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373EFB1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75"/>
    </w:p>
    <w:p w14:paraId="5AF7B3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76" w:name="_Toc15378460"/>
      <w:bookmarkStart w:id="77" w:name="_Toc15377213"/>
      <w:bookmarkStart w:id="78"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1698.92</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76"/>
      <w:bookmarkEnd w:id="77"/>
      <w:bookmarkEnd w:id="78"/>
    </w:p>
    <w:p w14:paraId="259EAC20">
      <w:pPr>
        <w:numPr>
          <w:ilvl w:val="0"/>
          <w:numId w:val="2"/>
        </w:numPr>
        <w:spacing w:line="600" w:lineRule="exact"/>
        <w:ind w:left="-10" w:leftChars="0" w:firstLine="640" w:firstLineChars="0"/>
        <w:rPr>
          <w:rFonts w:hint="eastAsia" w:ascii="仿宋" w:hAnsi="仿宋" w:eastAsia="仿宋" w:cs="Times New Roman"/>
          <w:color w:val="000000"/>
          <w:sz w:val="32"/>
          <w:szCs w:val="32"/>
          <w:lang w:val="en-US" w:eastAsia="zh-CN"/>
        </w:rPr>
      </w:pPr>
      <w:bookmarkStart w:id="79" w:name="_Toc15396608"/>
      <w:bookmarkStart w:id="80" w:name="_Toc15377214"/>
      <w:r>
        <w:rPr>
          <w:rFonts w:hint="eastAsia" w:ascii="仿宋" w:hAnsi="仿宋" w:eastAsia="仿宋" w:cs="Times New Roman"/>
          <w:color w:val="000000"/>
          <w:sz w:val="32"/>
          <w:szCs w:val="32"/>
          <w:lang w:val="en-US" w:eastAsia="zh-CN"/>
        </w:rPr>
        <w:t>社会保障和就业（208）行政事业单位养老支出（20805）机关事业单位养老保险费支出（2080505） 支出决算为184.25万元，完成预算100%。</w:t>
      </w:r>
    </w:p>
    <w:p w14:paraId="2243219F">
      <w:pPr>
        <w:numPr>
          <w:ilvl w:val="0"/>
          <w:numId w:val="2"/>
        </w:numPr>
        <w:spacing w:line="600" w:lineRule="exact"/>
        <w:ind w:left="-10" w:leftChars="0" w:firstLine="640" w:firstLineChars="0"/>
        <w:rPr>
          <w:rFonts w:hint="eastAsia" w:ascii="仿宋" w:hAnsi="仿宋" w:eastAsia="仿宋" w:cs="Times New Roman"/>
          <w:color w:val="000000"/>
          <w:sz w:val="32"/>
          <w:szCs w:val="32"/>
          <w:lang w:val="en-US" w:eastAsia="zh-CN"/>
        </w:rPr>
      </w:pPr>
      <w:r>
        <w:rPr>
          <w:rFonts w:hint="eastAsia" w:ascii="仿宋" w:hAnsi="仿宋" w:eastAsia="仿宋" w:cs="Times New Roman"/>
          <w:color w:val="000000"/>
          <w:sz w:val="32"/>
          <w:szCs w:val="32"/>
          <w:lang w:val="en-US" w:eastAsia="zh-CN"/>
        </w:rPr>
        <w:t>社会保障和就业（208）行政事业单位养老支出（20805）机关事业单位职业年金缴费支出（2080506）支出决算为90.68万元，完成预算100%。</w:t>
      </w:r>
    </w:p>
    <w:p w14:paraId="4B67F5E5">
      <w:pPr>
        <w:numPr>
          <w:ilvl w:val="0"/>
          <w:numId w:val="2"/>
        </w:numPr>
        <w:spacing w:line="600" w:lineRule="exact"/>
        <w:ind w:left="-10" w:leftChars="0" w:firstLine="640" w:firstLineChars="0"/>
        <w:rPr>
          <w:rFonts w:hint="eastAsia" w:ascii="仿宋" w:hAnsi="仿宋" w:eastAsia="仿宋" w:cs="Times New Roman"/>
          <w:color w:val="000000"/>
          <w:sz w:val="32"/>
          <w:szCs w:val="32"/>
          <w:lang w:val="en-US" w:eastAsia="zh-CN"/>
        </w:rPr>
      </w:pPr>
      <w:r>
        <w:rPr>
          <w:rFonts w:hint="eastAsia" w:ascii="仿宋" w:hAnsi="仿宋" w:eastAsia="仿宋" w:cs="Times New Roman"/>
          <w:color w:val="000000"/>
          <w:kern w:val="2"/>
          <w:sz w:val="32"/>
          <w:szCs w:val="32"/>
          <w:lang w:val="en-US" w:eastAsia="zh-CN" w:bidi="ar-SA"/>
        </w:rPr>
        <w:t>卫生健康支出（210）公立医院（21002）综合医院支出（2100202）</w:t>
      </w:r>
      <w:r>
        <w:rPr>
          <w:rFonts w:hint="eastAsia" w:ascii="仿宋" w:hAnsi="仿宋" w:eastAsia="仿宋" w:cs="Times New Roman"/>
          <w:color w:val="000000"/>
          <w:sz w:val="32"/>
          <w:szCs w:val="32"/>
          <w:lang w:val="en-US" w:eastAsia="zh-CN"/>
        </w:rPr>
        <w:t>支出决算为1164.61万元，完成预算100%。</w:t>
      </w:r>
    </w:p>
    <w:p w14:paraId="3FDE99A2">
      <w:pPr>
        <w:numPr>
          <w:ilvl w:val="0"/>
          <w:numId w:val="2"/>
        </w:numPr>
        <w:spacing w:line="600" w:lineRule="exact"/>
        <w:ind w:left="-10" w:leftChars="0" w:firstLine="640" w:firstLineChars="0"/>
        <w:rPr>
          <w:rFonts w:hint="eastAsia" w:ascii="仿宋" w:hAnsi="仿宋" w:eastAsia="仿宋" w:cs="Times New Roman"/>
          <w:color w:val="000000"/>
          <w:sz w:val="32"/>
          <w:szCs w:val="32"/>
          <w:lang w:val="en-US" w:eastAsia="zh-CN"/>
        </w:rPr>
      </w:pPr>
      <w:r>
        <w:rPr>
          <w:rFonts w:hint="eastAsia" w:ascii="仿宋" w:hAnsi="仿宋" w:eastAsia="仿宋" w:cs="Times New Roman"/>
          <w:color w:val="000000"/>
          <w:kern w:val="2"/>
          <w:sz w:val="32"/>
          <w:szCs w:val="32"/>
          <w:lang w:val="en-US" w:eastAsia="zh-CN" w:bidi="ar-SA"/>
        </w:rPr>
        <w:t>卫生健康支出（210）行政事业单位医疗（21011）事业单位医疗（2101102）</w:t>
      </w:r>
      <w:r>
        <w:rPr>
          <w:rFonts w:hint="eastAsia" w:ascii="仿宋" w:hAnsi="仿宋" w:eastAsia="仿宋" w:cs="Times New Roman"/>
          <w:color w:val="000000"/>
          <w:sz w:val="32"/>
          <w:szCs w:val="32"/>
          <w:lang w:val="en-US" w:eastAsia="zh-CN"/>
        </w:rPr>
        <w:t>支出决算为79.77万元，完成预算100%。</w:t>
      </w:r>
    </w:p>
    <w:p w14:paraId="1792C0D1">
      <w:pPr>
        <w:numPr>
          <w:ilvl w:val="0"/>
          <w:numId w:val="2"/>
        </w:numPr>
        <w:spacing w:line="600" w:lineRule="exact"/>
        <w:ind w:left="-10" w:leftChars="0" w:firstLine="640" w:firstLineChars="0"/>
        <w:rPr>
          <w:rFonts w:hint="default"/>
          <w:lang w:val="en-US" w:eastAsia="zh-CN"/>
        </w:rPr>
      </w:pPr>
      <w:r>
        <w:rPr>
          <w:rFonts w:hint="eastAsia" w:ascii="仿宋" w:hAnsi="仿宋" w:eastAsia="仿宋" w:cs="Times New Roman"/>
          <w:color w:val="000000"/>
          <w:kern w:val="2"/>
          <w:sz w:val="32"/>
          <w:szCs w:val="32"/>
          <w:lang w:val="en-US" w:eastAsia="zh-CN" w:bidi="ar-SA"/>
        </w:rPr>
        <w:t>卫生健康支出（210）行政事业单位医疗（21011）其他行政事业单位医疗（2101199）</w:t>
      </w:r>
      <w:r>
        <w:rPr>
          <w:rFonts w:hint="eastAsia" w:ascii="仿宋" w:hAnsi="仿宋" w:eastAsia="仿宋" w:cs="Times New Roman"/>
          <w:color w:val="000000"/>
          <w:sz w:val="32"/>
          <w:szCs w:val="32"/>
          <w:lang w:val="en-US" w:eastAsia="zh-CN"/>
        </w:rPr>
        <w:t>支出决算为12.36万元，完成预算100%。</w:t>
      </w:r>
    </w:p>
    <w:p w14:paraId="5A1AB134">
      <w:pPr>
        <w:numPr>
          <w:ilvl w:val="0"/>
          <w:numId w:val="2"/>
        </w:numPr>
        <w:spacing w:line="600" w:lineRule="exact"/>
        <w:ind w:left="-10" w:leftChars="0" w:firstLine="640" w:firstLineChars="0"/>
        <w:rPr>
          <w:rFonts w:hint="default"/>
          <w:lang w:val="en-US" w:eastAsia="zh-CN"/>
        </w:rPr>
      </w:pPr>
      <w:r>
        <w:rPr>
          <w:rFonts w:hint="eastAsia" w:ascii="仿宋" w:hAnsi="仿宋" w:eastAsia="仿宋" w:cs="Times New Roman"/>
          <w:color w:val="000000"/>
          <w:kern w:val="2"/>
          <w:sz w:val="32"/>
          <w:szCs w:val="32"/>
          <w:lang w:val="en-US" w:eastAsia="zh-CN" w:bidi="ar-SA"/>
        </w:rPr>
        <w:t>卫生健康支出（210）基层医疗卫生机构（21003）其他医疗卫生机构支出（2100399）</w:t>
      </w:r>
      <w:r>
        <w:rPr>
          <w:rFonts w:hint="eastAsia" w:ascii="仿宋" w:hAnsi="仿宋" w:eastAsia="仿宋" w:cs="Times New Roman"/>
          <w:color w:val="000000"/>
          <w:sz w:val="32"/>
          <w:szCs w:val="32"/>
          <w:lang w:val="en-US" w:eastAsia="zh-CN"/>
        </w:rPr>
        <w:t>支出决算为44.2万元，完成预算100%。</w:t>
      </w:r>
    </w:p>
    <w:p w14:paraId="56E05782">
      <w:pPr>
        <w:tabs>
          <w:tab w:val="right" w:pos="8306"/>
        </w:tabs>
        <w:spacing w:line="600" w:lineRule="exact"/>
        <w:ind w:firstLine="640"/>
        <w:outlineLvl w:val="1"/>
        <w:rPr>
          <w:rStyle w:val="30"/>
          <w:rFonts w:ascii="Times New Roman" w:hAnsi="Times New Roman"/>
          <w:color w:val="auto"/>
          <w:highlight w:val="none"/>
        </w:rPr>
      </w:pPr>
      <w:bookmarkStart w:id="81" w:name="_Toc12876"/>
      <w:r>
        <w:rPr>
          <w:rFonts w:hint="eastAsia" w:ascii="仿宋" w:hAnsi="仿宋" w:eastAsia="仿宋" w:cs="Times New Roman"/>
          <w:color w:val="000000"/>
          <w:sz w:val="32"/>
          <w:szCs w:val="32"/>
          <w:lang w:val="en-US" w:eastAsia="zh-CN"/>
        </w:rPr>
        <w:t xml:space="preserve">7.住房保障支出（221）住房改革支出（22102）住房公积金（2210201）支出决算为123.05万元，完成预算100%。      </w:t>
      </w:r>
      <w:r>
        <w:rPr>
          <w:rFonts w:hint="eastAsia" w:ascii="Times New Roman" w:hAnsi="Times New Roman" w:eastAsia="黑体" w:cs="Times New Roman"/>
          <w:color w:val="auto"/>
          <w:sz w:val="32"/>
          <w:szCs w:val="32"/>
          <w:highlight w:val="none"/>
        </w:rPr>
        <w:t>六、一般公共预算财政拨款基本支出决算情况说明</w:t>
      </w:r>
      <w:bookmarkEnd w:id="79"/>
      <w:bookmarkEnd w:id="80"/>
      <w:bookmarkEnd w:id="81"/>
      <w:r>
        <w:rPr>
          <w:rStyle w:val="30"/>
          <w:rFonts w:ascii="Times New Roman" w:hAnsi="Times New Roman" w:eastAsia="黑体"/>
          <w:b w:val="0"/>
          <w:color w:val="auto"/>
          <w:highlight w:val="none"/>
        </w:rPr>
        <w:tab/>
      </w:r>
    </w:p>
    <w:p w14:paraId="7581066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1654.72</w:t>
      </w:r>
      <w:r>
        <w:rPr>
          <w:rFonts w:hint="eastAsia" w:ascii="Times New Roman" w:hAnsi="Times New Roman" w:eastAsia="仿宋_GB2312" w:cs="仿宋_GB2312"/>
          <w:color w:val="auto"/>
          <w:kern w:val="2"/>
          <w:sz w:val="32"/>
          <w:szCs w:val="32"/>
          <w:highlight w:val="none"/>
          <w:lang w:val="en-US" w:eastAsia="zh-CN" w:bidi="ar-SA"/>
        </w:rPr>
        <w:t>万元，其中：</w:t>
      </w:r>
    </w:p>
    <w:p w14:paraId="3DAD21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1641.01</w:t>
      </w:r>
      <w:r>
        <w:rPr>
          <w:rFonts w:hint="eastAsia" w:ascii="Times New Roman" w:hAnsi="Times New Roman" w:eastAsia="仿宋_GB2312" w:cs="仿宋_GB2312"/>
          <w:color w:val="auto"/>
          <w:kern w:val="2"/>
          <w:sz w:val="32"/>
          <w:szCs w:val="32"/>
          <w:highlight w:val="none"/>
          <w:lang w:val="en-US" w:eastAsia="zh-CN" w:bidi="ar-SA"/>
        </w:rPr>
        <w:t>万元，主要包括：基本工资</w:t>
      </w:r>
      <w:r>
        <w:rPr>
          <w:rFonts w:hint="eastAsia" w:eastAsia="仿宋_GB2312" w:cs="仿宋_GB2312"/>
          <w:color w:val="auto"/>
          <w:kern w:val="2"/>
          <w:sz w:val="32"/>
          <w:szCs w:val="32"/>
          <w:highlight w:val="none"/>
          <w:lang w:val="en-US" w:eastAsia="zh-CN" w:bidi="ar-SA"/>
        </w:rPr>
        <w:t>323.21万元</w:t>
      </w:r>
      <w:r>
        <w:rPr>
          <w:rFonts w:hint="eastAsia" w:ascii="Times New Roman" w:hAnsi="Times New Roman" w:eastAsia="仿宋_GB2312" w:cs="仿宋_GB2312"/>
          <w:color w:val="auto"/>
          <w:kern w:val="2"/>
          <w:sz w:val="32"/>
          <w:szCs w:val="32"/>
          <w:highlight w:val="none"/>
          <w:lang w:val="en-US" w:eastAsia="zh-CN" w:bidi="ar-SA"/>
        </w:rPr>
        <w:t>、津贴补贴</w:t>
      </w:r>
      <w:r>
        <w:rPr>
          <w:rFonts w:hint="eastAsia" w:eastAsia="仿宋_GB2312" w:cs="仿宋_GB2312"/>
          <w:color w:val="auto"/>
          <w:kern w:val="2"/>
          <w:sz w:val="32"/>
          <w:szCs w:val="32"/>
          <w:highlight w:val="none"/>
          <w:lang w:val="en-US" w:eastAsia="zh-CN" w:bidi="ar-SA"/>
        </w:rPr>
        <w:t>243.32万元</w:t>
      </w:r>
      <w:r>
        <w:rPr>
          <w:rFonts w:hint="eastAsia" w:ascii="Times New Roman" w:hAnsi="Times New Roman" w:eastAsia="仿宋_GB2312" w:cs="仿宋_GB2312"/>
          <w:color w:val="auto"/>
          <w:kern w:val="2"/>
          <w:sz w:val="32"/>
          <w:szCs w:val="32"/>
          <w:highlight w:val="none"/>
          <w:lang w:val="en-US" w:eastAsia="zh-CN" w:bidi="ar-SA"/>
        </w:rPr>
        <w:t>、奖金</w:t>
      </w:r>
      <w:r>
        <w:rPr>
          <w:rFonts w:hint="eastAsia" w:eastAsia="仿宋_GB2312" w:cs="仿宋_GB2312"/>
          <w:color w:val="auto"/>
          <w:kern w:val="2"/>
          <w:sz w:val="32"/>
          <w:szCs w:val="32"/>
          <w:highlight w:val="none"/>
          <w:lang w:val="en-US" w:eastAsia="zh-CN" w:bidi="ar-SA"/>
        </w:rPr>
        <w:t>347.37万元</w:t>
      </w:r>
      <w:r>
        <w:rPr>
          <w:rFonts w:hint="eastAsia" w:ascii="Times New Roman" w:hAnsi="Times New Roman" w:eastAsia="仿宋_GB2312" w:cs="仿宋_GB2312"/>
          <w:color w:val="auto"/>
          <w:kern w:val="2"/>
          <w:sz w:val="32"/>
          <w:szCs w:val="32"/>
          <w:highlight w:val="none"/>
          <w:lang w:val="en-US" w:eastAsia="zh-CN" w:bidi="ar-SA"/>
        </w:rPr>
        <w:t>、伙食补助费、绩效工资</w:t>
      </w:r>
      <w:r>
        <w:rPr>
          <w:rFonts w:hint="eastAsia" w:eastAsia="仿宋_GB2312" w:cs="仿宋_GB2312"/>
          <w:color w:val="auto"/>
          <w:kern w:val="2"/>
          <w:sz w:val="32"/>
          <w:szCs w:val="32"/>
          <w:highlight w:val="none"/>
          <w:lang w:val="en-US" w:eastAsia="zh-CN" w:bidi="ar-SA"/>
        </w:rPr>
        <w:t>225.78</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w:t>
      </w:r>
      <w:r>
        <w:rPr>
          <w:rFonts w:hint="eastAsia" w:eastAsia="仿宋_GB2312" w:cs="仿宋_GB2312"/>
          <w:color w:val="auto"/>
          <w:kern w:val="2"/>
          <w:sz w:val="32"/>
          <w:szCs w:val="32"/>
          <w:highlight w:val="none"/>
          <w:lang w:val="en-US" w:eastAsia="zh-CN" w:bidi="ar-SA"/>
        </w:rPr>
        <w:t>184.25万元</w:t>
      </w:r>
      <w:r>
        <w:rPr>
          <w:rFonts w:hint="eastAsia" w:ascii="Times New Roman" w:hAnsi="Times New Roman" w:eastAsia="仿宋_GB2312" w:cs="仿宋_GB2312"/>
          <w:color w:val="auto"/>
          <w:kern w:val="2"/>
          <w:sz w:val="32"/>
          <w:szCs w:val="32"/>
          <w:highlight w:val="none"/>
          <w:lang w:val="en-US" w:eastAsia="zh-CN" w:bidi="ar-SA"/>
        </w:rPr>
        <w:t>、职业年金缴费</w:t>
      </w:r>
      <w:r>
        <w:rPr>
          <w:rFonts w:hint="eastAsia" w:eastAsia="仿宋_GB2312" w:cs="仿宋_GB2312"/>
          <w:color w:val="auto"/>
          <w:kern w:val="2"/>
          <w:sz w:val="32"/>
          <w:szCs w:val="32"/>
          <w:highlight w:val="none"/>
          <w:lang w:val="en-US" w:eastAsia="zh-CN" w:bidi="ar-SA"/>
        </w:rPr>
        <w:t>90.68万元</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8.98万元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职工基本医疗保险缴费79.77万元，公务员医疗补助缴费13.44万元、</w:t>
      </w:r>
      <w:r>
        <w:rPr>
          <w:rFonts w:hint="eastAsia" w:ascii="Times New Roman" w:hAnsi="Times New Roman" w:eastAsia="仿宋_GB2312" w:cs="仿宋_GB2312"/>
          <w:color w:val="auto"/>
          <w:kern w:val="2"/>
          <w:sz w:val="32"/>
          <w:szCs w:val="32"/>
          <w:highlight w:val="none"/>
          <w:lang w:val="en-US" w:eastAsia="zh-CN" w:bidi="ar-SA"/>
        </w:rPr>
        <w:t>生活补助</w:t>
      </w:r>
      <w:r>
        <w:rPr>
          <w:rFonts w:hint="eastAsia" w:eastAsia="仿宋_GB2312" w:cs="仿宋_GB2312"/>
          <w:color w:val="auto"/>
          <w:kern w:val="2"/>
          <w:sz w:val="32"/>
          <w:szCs w:val="32"/>
          <w:highlight w:val="none"/>
          <w:lang w:val="en-US" w:eastAsia="zh-CN" w:bidi="ar-SA"/>
        </w:rPr>
        <w:t>1.15万元、</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123.05万元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13.71</w:t>
      </w:r>
      <w:r>
        <w:rPr>
          <w:rFonts w:hint="eastAsia" w:ascii="Times New Roman" w:hAnsi="Times New Roman" w:eastAsia="仿宋_GB2312" w:cs="仿宋_GB2312"/>
          <w:color w:val="auto"/>
          <w:kern w:val="2"/>
          <w:sz w:val="32"/>
          <w:szCs w:val="32"/>
          <w:highlight w:val="none"/>
          <w:lang w:val="en-US" w:eastAsia="zh-CN" w:bidi="ar-SA"/>
        </w:rPr>
        <w:t>万元，主要包括：工会经费</w:t>
      </w:r>
      <w:r>
        <w:rPr>
          <w:rFonts w:hint="eastAsia" w:eastAsia="仿宋_GB2312" w:cs="仿宋_GB2312"/>
          <w:color w:val="auto"/>
          <w:kern w:val="2"/>
          <w:sz w:val="32"/>
          <w:szCs w:val="32"/>
          <w:highlight w:val="none"/>
          <w:lang w:val="en-US" w:eastAsia="zh-CN" w:bidi="ar-SA"/>
        </w:rPr>
        <w:t>13.71万元</w:t>
      </w:r>
      <w:r>
        <w:rPr>
          <w:rFonts w:hint="eastAsia" w:ascii="Times New Roman" w:hAnsi="Times New Roman" w:eastAsia="仿宋_GB2312" w:cs="仿宋_GB2312"/>
          <w:color w:val="auto"/>
          <w:kern w:val="2"/>
          <w:sz w:val="32"/>
          <w:szCs w:val="32"/>
          <w:highlight w:val="none"/>
          <w:lang w:val="en-US" w:eastAsia="zh-CN" w:bidi="ar-SA"/>
        </w:rPr>
        <w:t>。</w:t>
      </w:r>
    </w:p>
    <w:p w14:paraId="26F9D3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EFFE69E">
      <w:pPr>
        <w:spacing w:line="600" w:lineRule="exact"/>
        <w:ind w:firstLine="640"/>
        <w:outlineLvl w:val="1"/>
        <w:rPr>
          <w:rStyle w:val="30"/>
          <w:rFonts w:ascii="Times New Roman" w:hAnsi="Times New Roman" w:eastAsia="黑体"/>
          <w:b w:val="0"/>
          <w:color w:val="auto"/>
          <w:highlight w:val="none"/>
        </w:rPr>
      </w:pPr>
      <w:bookmarkStart w:id="82" w:name="_Toc15377215"/>
      <w:bookmarkStart w:id="83" w:name="_Toc15396609"/>
      <w:bookmarkStart w:id="84" w:name="_Toc1640"/>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82"/>
      <w:bookmarkEnd w:id="83"/>
      <w:bookmarkEnd w:id="84"/>
    </w:p>
    <w:p w14:paraId="7C43FE3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5"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85"/>
    </w:p>
    <w:p w14:paraId="144E13A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1E2DF7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6"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86"/>
    </w:p>
    <w:p w14:paraId="73EED4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11B6F414">
      <w:pPr>
        <w:pStyle w:val="2"/>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895215" cy="3267710"/>
            <wp:effectExtent l="0" t="0" r="635" b="8890"/>
            <wp:docPr id="10" name="图片 1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1"/>
                    <pic:cNvPicPr>
                      <a:picLocks noChangeAspect="1"/>
                    </pic:cNvPicPr>
                  </pic:nvPicPr>
                  <pic:blipFill>
                    <a:blip r:embed="rId15"/>
                    <a:stretch>
                      <a:fillRect/>
                    </a:stretch>
                  </pic:blipFill>
                  <pic:spPr>
                    <a:xfrm>
                      <a:off x="0" y="0"/>
                      <a:ext cx="4895215" cy="3267710"/>
                    </a:xfrm>
                    <a:prstGeom prst="rect">
                      <a:avLst/>
                    </a:prstGeom>
                  </pic:spPr>
                </pic:pic>
              </a:graphicData>
            </a:graphic>
          </wp:inline>
        </w:drawing>
      </w:r>
    </w:p>
    <w:p w14:paraId="292E4FA4">
      <w:pPr>
        <w:pStyle w:val="2"/>
        <w:ind w:left="0" w:leftChars="0" w:firstLine="0" w:firstLineChars="0"/>
        <w:rPr>
          <w:rFonts w:hint="eastAsia"/>
          <w:lang w:val="en-US" w:eastAsia="zh-CN"/>
        </w:rPr>
      </w:pPr>
    </w:p>
    <w:p w14:paraId="72A163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1B7B30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w:t>
      </w:r>
    </w:p>
    <w:p w14:paraId="3EA2B0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56B647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0A1C0854">
      <w:pPr>
        <w:numPr>
          <w:ilvl w:val="0"/>
          <w:numId w:val="3"/>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bookmarkStart w:id="87" w:name="_Toc15377218"/>
      <w:bookmarkStart w:id="88" w:name="_Toc15396610"/>
    </w:p>
    <w:p w14:paraId="1D0BA2B7">
      <w:pPr>
        <w:spacing w:line="600" w:lineRule="exact"/>
        <w:ind w:firstLine="640"/>
        <w:outlineLvl w:val="1"/>
        <w:rPr>
          <w:rStyle w:val="30"/>
          <w:rFonts w:ascii="Times New Roman" w:hAnsi="Times New Roman" w:eastAsia="黑体"/>
          <w:color w:val="auto"/>
          <w:highlight w:val="none"/>
        </w:rPr>
      </w:pPr>
      <w:bookmarkStart w:id="89" w:name="_Toc29512"/>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87"/>
      <w:bookmarkEnd w:id="88"/>
      <w:bookmarkEnd w:id="89"/>
    </w:p>
    <w:p w14:paraId="2AF8C0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59F2D89A">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90" w:name="_Toc23999"/>
      <w:bookmarkStart w:id="91" w:name="_Toc15396611"/>
      <w:bookmarkStart w:id="92"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90"/>
      <w:bookmarkEnd w:id="91"/>
      <w:bookmarkEnd w:id="92"/>
    </w:p>
    <w:p w14:paraId="10DA0A64">
      <w:pPr>
        <w:numPr>
          <w:ilvl w:val="0"/>
          <w:numId w:val="0"/>
        </w:numPr>
        <w:spacing w:line="600" w:lineRule="exact"/>
        <w:ind w:firstLine="640" w:firstLineChars="200"/>
        <w:outlineLvl w:val="1"/>
        <w:rPr>
          <w:rFonts w:hint="eastAsia" w:ascii="Times New Roman" w:hAnsi="Times New Roman" w:eastAsia="仿宋_GB2312" w:cs="仿宋_GB2312"/>
          <w:color w:val="auto"/>
          <w:kern w:val="2"/>
          <w:sz w:val="32"/>
          <w:szCs w:val="32"/>
          <w:highlight w:val="none"/>
          <w:lang w:val="en-US" w:eastAsia="zh-CN" w:bidi="ar-SA"/>
        </w:rPr>
      </w:pPr>
      <w:bookmarkStart w:id="93" w:name="_Toc1288"/>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bookmarkStart w:id="94" w:name="_Toc15396612"/>
      <w:bookmarkStart w:id="95" w:name="_Toc15377221"/>
    </w:p>
    <w:p w14:paraId="2926D7D5">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93"/>
      <w:bookmarkEnd w:id="94"/>
      <w:bookmarkEnd w:id="95"/>
    </w:p>
    <w:p w14:paraId="1A880C4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6" w:name="_Toc15377222"/>
      <w:r>
        <w:rPr>
          <w:rFonts w:hint="eastAsia" w:ascii="Times New Roman" w:hAnsi="Times New Roman" w:eastAsia="楷体_GB2312" w:cs="楷体_GB2312"/>
          <w:b/>
          <w:color w:val="auto"/>
          <w:sz w:val="32"/>
          <w:szCs w:val="32"/>
          <w:highlight w:val="none"/>
        </w:rPr>
        <w:t>（一）机关运行经费支出情况</w:t>
      </w:r>
      <w:bookmarkEnd w:id="96"/>
    </w:p>
    <w:p w14:paraId="1055BB45">
      <w:pPr>
        <w:spacing w:line="600" w:lineRule="exact"/>
        <w:ind w:firstLine="640" w:firstLineChars="200"/>
        <w:outlineLvl w:val="2"/>
        <w:rPr>
          <w:rFonts w:hint="eastAsia" w:ascii="Times New Roman" w:hAnsi="Times New Roman" w:eastAsia="楷体_GB2312" w:cs="楷体_GB2312"/>
          <w:b/>
          <w:color w:val="auto"/>
          <w:sz w:val="32"/>
          <w:szCs w:val="32"/>
          <w:highlight w:val="none"/>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松潘县中藏医院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bookmarkStart w:id="97" w:name="_Toc15377223"/>
      <w:r>
        <w:rPr>
          <w:rFonts w:hint="eastAsia" w:ascii="Times New Roman" w:hAnsi="Times New Roman" w:eastAsia="楷体_GB2312" w:cs="楷体_GB2312"/>
          <w:b/>
          <w:color w:val="auto"/>
          <w:sz w:val="32"/>
          <w:szCs w:val="32"/>
          <w:highlight w:val="none"/>
        </w:rPr>
        <w:t>（二）政府采购支出情况</w:t>
      </w:r>
      <w:bookmarkEnd w:id="97"/>
    </w:p>
    <w:p w14:paraId="29A8DF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松潘县中藏医院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44.2</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44.2</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7EA1556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8" w:name="_Toc15377224"/>
      <w:r>
        <w:rPr>
          <w:rFonts w:hint="eastAsia" w:ascii="Times New Roman" w:hAnsi="Times New Roman" w:eastAsia="楷体_GB2312" w:cs="楷体_GB2312"/>
          <w:b/>
          <w:color w:val="auto"/>
          <w:sz w:val="32"/>
          <w:szCs w:val="32"/>
          <w:highlight w:val="none"/>
        </w:rPr>
        <w:t>（三）国有资产占有使用情况</w:t>
      </w:r>
      <w:bookmarkEnd w:id="98"/>
    </w:p>
    <w:p w14:paraId="6451F5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松潘县中藏医院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6</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6</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病人转运及下乡。</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29988D67">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99" w:name="_Toc15377225"/>
      <w:bookmarkStart w:id="100" w:name="_Toc11601"/>
      <w:bookmarkStart w:id="101"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99"/>
      <w:bookmarkEnd w:id="100"/>
      <w:bookmarkEnd w:id="101"/>
    </w:p>
    <w:p w14:paraId="7096DDEF">
      <w:pPr>
        <w:spacing w:line="600" w:lineRule="exact"/>
        <w:jc w:val="left"/>
        <w:rPr>
          <w:rFonts w:ascii="Times New Roman" w:hAnsi="Times New Roman"/>
          <w:b/>
          <w:color w:val="auto"/>
          <w:sz w:val="44"/>
          <w:szCs w:val="44"/>
          <w:highlight w:val="none"/>
        </w:rPr>
      </w:pPr>
    </w:p>
    <w:p w14:paraId="6F028365">
      <w:pPr>
        <w:spacing w:line="600" w:lineRule="exact"/>
        <w:ind w:firstLine="640"/>
        <w:outlineLvl w:val="1"/>
        <w:rPr>
          <w:rFonts w:hint="eastAsia" w:ascii="Times New Roman" w:hAnsi="Times New Roman" w:eastAsia="仿宋_GB2312" w:cs="仿宋_GB2312"/>
          <w:color w:val="auto"/>
          <w:kern w:val="2"/>
          <w:sz w:val="32"/>
          <w:szCs w:val="32"/>
          <w:highlight w:val="none"/>
          <w:lang w:val="en-US" w:eastAsia="zh-CN" w:bidi="ar-SA"/>
        </w:rPr>
      </w:pPr>
      <w:bookmarkStart w:id="102" w:name="_Toc9081"/>
      <w:bookmarkStart w:id="103" w:name="_Toc15396614"/>
      <w:bookmarkStart w:id="104" w:name="_Toc15377226"/>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bookmarkEnd w:id="102"/>
    </w:p>
    <w:p w14:paraId="6D666615">
      <w:pPr>
        <w:pStyle w:val="27"/>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仿宋_GB2312" w:eastAsia="仿宋_GB2312"/>
          <w:color w:val="auto"/>
          <w:sz w:val="32"/>
          <w:szCs w:val="32"/>
        </w:rPr>
        <w:t>事业收入：指事业单位开展专业业务活动及辅助活动取得的收入。如</w:t>
      </w:r>
      <w:r>
        <w:rPr>
          <w:rFonts w:hint="eastAsia" w:ascii="仿宋_GB2312" w:eastAsia="仿宋_GB2312"/>
          <w:color w:val="auto"/>
          <w:sz w:val="32"/>
          <w:szCs w:val="32"/>
          <w:lang w:val="en-US" w:eastAsia="zh-CN"/>
        </w:rPr>
        <w:t>县级医疗机构及乡镇卫生院开展医疗服务收入</w:t>
      </w:r>
      <w:r>
        <w:rPr>
          <w:rFonts w:hint="eastAsia" w:ascii="仿宋_GB2312" w:eastAsia="仿宋_GB2312"/>
          <w:color w:val="auto"/>
          <w:sz w:val="32"/>
          <w:szCs w:val="32"/>
        </w:rPr>
        <w:t>等。</w:t>
      </w:r>
    </w:p>
    <w:p w14:paraId="4E23FD3A">
      <w:pPr>
        <w:pStyle w:val="27"/>
        <w:spacing w:line="560" w:lineRule="exact"/>
        <w:ind w:firstLine="640" w:firstLineChars="200"/>
        <w:rPr>
          <w:rFonts w:hint="eastAsia" w:ascii="仿宋_GB2312" w:eastAsia="仿宋_GB2312"/>
          <w:color w:val="auto"/>
          <w:sz w:val="32"/>
          <w:szCs w:val="32"/>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仿宋_GB2312" w:eastAsia="仿宋_GB2312"/>
          <w:color w:val="auto"/>
          <w:sz w:val="32"/>
          <w:szCs w:val="32"/>
        </w:rPr>
        <w:t>经营收入：指事业单位在专业业务活动及其辅助活动之外开展非独立核算经营活动取得的收入。</w:t>
      </w:r>
    </w:p>
    <w:p w14:paraId="7232420C">
      <w:pPr>
        <w:spacing w:line="600" w:lineRule="exact"/>
        <w:ind w:firstLine="640"/>
        <w:outlineLvl w:val="1"/>
        <w:rPr>
          <w:rFonts w:hint="eastAsia" w:ascii="Times New Roman" w:hAnsi="Times New Roman" w:eastAsia="仿宋_GB2312" w:cs="仿宋_GB2312"/>
          <w:color w:val="auto"/>
          <w:kern w:val="2"/>
          <w:sz w:val="32"/>
          <w:szCs w:val="32"/>
          <w:highlight w:val="none"/>
          <w:lang w:val="en-US" w:eastAsia="zh-CN" w:bidi="ar-SA"/>
        </w:rPr>
      </w:pPr>
      <w:bookmarkStart w:id="105" w:name="_Toc22434"/>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w:t>
      </w:r>
      <w:bookmarkEnd w:id="105"/>
      <w:r>
        <w:rPr>
          <w:rFonts w:hint="eastAsia" w:ascii="Times New Roman" w:hAnsi="Times New Roman" w:eastAsia="仿宋_GB2312" w:cs="仿宋_GB2312"/>
          <w:color w:val="auto"/>
          <w:kern w:val="2"/>
          <w:sz w:val="32"/>
          <w:szCs w:val="32"/>
          <w:highlight w:val="none"/>
          <w:lang w:val="en-US" w:eastAsia="zh-CN" w:bidi="ar-SA"/>
        </w:rPr>
        <w:t xml:space="preserve"> </w:t>
      </w:r>
    </w:p>
    <w:p w14:paraId="28CA75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65CBD2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33FE64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31D252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2EC48AAF">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9</w:t>
      </w:r>
      <w:r>
        <w:rPr>
          <w:rFonts w:ascii="仿宋_GB2312" w:eastAsia="仿宋_GB2312"/>
          <w:sz w:val="32"/>
          <w:szCs w:val="32"/>
        </w:rPr>
        <w:t>.</w:t>
      </w:r>
      <w:r>
        <w:rPr>
          <w:rFonts w:hint="eastAsia" w:ascii="仿宋_GB2312" w:eastAsia="仿宋_GB2312"/>
          <w:sz w:val="32"/>
          <w:szCs w:val="32"/>
        </w:rPr>
        <w:t>社会保障和就业（类）</w:t>
      </w:r>
      <w:r>
        <w:rPr>
          <w:rFonts w:hint="eastAsia" w:ascii="仿宋_GB2312" w:eastAsia="仿宋_GB2312"/>
          <w:sz w:val="32"/>
          <w:szCs w:val="32"/>
          <w:lang w:val="en-US" w:eastAsia="zh-CN"/>
        </w:rPr>
        <w:t>行政事业单位养老支出</w:t>
      </w:r>
      <w:r>
        <w:rPr>
          <w:rFonts w:hint="eastAsia" w:ascii="仿宋_GB2312" w:eastAsia="仿宋_GB2312"/>
          <w:sz w:val="32"/>
          <w:szCs w:val="32"/>
        </w:rPr>
        <w:t>（款）</w:t>
      </w:r>
      <w:r>
        <w:rPr>
          <w:rFonts w:hint="eastAsia" w:ascii="仿宋_GB2312" w:eastAsia="仿宋_GB2312"/>
          <w:sz w:val="32"/>
          <w:szCs w:val="32"/>
          <w:lang w:val="en-US" w:eastAsia="zh-CN"/>
        </w:rPr>
        <w:t>机关事业单位养老保险缴费支出</w:t>
      </w:r>
      <w:r>
        <w:rPr>
          <w:rFonts w:hint="eastAsia" w:ascii="仿宋_GB2312" w:eastAsia="仿宋_GB2312"/>
          <w:sz w:val="32"/>
          <w:szCs w:val="32"/>
        </w:rPr>
        <w:t>（项）：指</w:t>
      </w:r>
      <w:r>
        <w:rPr>
          <w:rFonts w:hint="eastAsia" w:ascii="仿宋_GB2312" w:eastAsia="仿宋_GB2312"/>
          <w:sz w:val="32"/>
          <w:szCs w:val="32"/>
          <w:lang w:val="en-US" w:eastAsia="zh-CN"/>
        </w:rPr>
        <w:t>单位缴纳基本养老保险费用</w:t>
      </w:r>
      <w:r>
        <w:rPr>
          <w:rFonts w:hint="eastAsia" w:ascii="仿宋_GB2312" w:eastAsia="仿宋_GB2312"/>
          <w:sz w:val="32"/>
          <w:szCs w:val="32"/>
        </w:rPr>
        <w:t>。</w:t>
      </w:r>
    </w:p>
    <w:p w14:paraId="76E693FE">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10</w:t>
      </w:r>
      <w:r>
        <w:rPr>
          <w:rFonts w:ascii="仿宋_GB2312" w:eastAsia="仿宋_GB2312"/>
          <w:sz w:val="32"/>
          <w:szCs w:val="32"/>
        </w:rPr>
        <w:t>.</w:t>
      </w:r>
      <w:r>
        <w:rPr>
          <w:rFonts w:hint="eastAsia" w:ascii="仿宋_GB2312" w:eastAsia="仿宋_GB2312"/>
          <w:sz w:val="32"/>
          <w:szCs w:val="32"/>
        </w:rPr>
        <w:t>社会保障和就业（类）</w:t>
      </w:r>
      <w:r>
        <w:rPr>
          <w:rFonts w:hint="eastAsia" w:ascii="仿宋_GB2312" w:eastAsia="仿宋_GB2312"/>
          <w:sz w:val="32"/>
          <w:szCs w:val="32"/>
          <w:lang w:val="en-US" w:eastAsia="zh-CN"/>
        </w:rPr>
        <w:t>行政事业单位养老支出</w:t>
      </w:r>
      <w:r>
        <w:rPr>
          <w:rFonts w:hint="eastAsia" w:ascii="仿宋_GB2312" w:eastAsia="仿宋_GB2312"/>
          <w:sz w:val="32"/>
          <w:szCs w:val="32"/>
        </w:rPr>
        <w:t>（款）</w:t>
      </w:r>
      <w:r>
        <w:rPr>
          <w:rFonts w:hint="eastAsia" w:ascii="仿宋_GB2312" w:eastAsia="仿宋_GB2312"/>
          <w:sz w:val="32"/>
          <w:szCs w:val="32"/>
          <w:lang w:val="en-US" w:eastAsia="zh-CN"/>
        </w:rPr>
        <w:t>机关事业单位职业年金缴费支出</w:t>
      </w:r>
      <w:r>
        <w:rPr>
          <w:rFonts w:hint="eastAsia" w:ascii="仿宋_GB2312" w:eastAsia="仿宋_GB2312"/>
          <w:sz w:val="32"/>
          <w:szCs w:val="32"/>
        </w:rPr>
        <w:t>（项）：指</w:t>
      </w:r>
      <w:r>
        <w:rPr>
          <w:rFonts w:hint="eastAsia" w:ascii="仿宋_GB2312" w:eastAsia="仿宋_GB2312"/>
          <w:sz w:val="32"/>
          <w:szCs w:val="32"/>
          <w:lang w:val="en-US" w:eastAsia="zh-CN"/>
        </w:rPr>
        <w:t>单位缴纳职业年金费用</w:t>
      </w:r>
      <w:r>
        <w:rPr>
          <w:rFonts w:hint="eastAsia" w:ascii="仿宋_GB2312" w:eastAsia="仿宋_GB2312"/>
          <w:sz w:val="32"/>
          <w:szCs w:val="32"/>
        </w:rPr>
        <w:t>。</w:t>
      </w:r>
    </w:p>
    <w:p w14:paraId="4AE3F37F">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11</w:t>
      </w:r>
      <w:r>
        <w:rPr>
          <w:rFonts w:ascii="仿宋_GB2312" w:eastAsia="仿宋_GB2312"/>
          <w:sz w:val="32"/>
          <w:szCs w:val="32"/>
        </w:rPr>
        <w:t>.</w:t>
      </w:r>
      <w:bookmarkStart w:id="106" w:name="OLE_LINK1"/>
      <w:r>
        <w:rPr>
          <w:rFonts w:hint="eastAsia" w:ascii="仿宋_GB2312" w:eastAsia="仿宋_GB2312"/>
          <w:sz w:val="32"/>
          <w:szCs w:val="32"/>
        </w:rPr>
        <w:t>卫生健康（类）</w:t>
      </w:r>
      <w:r>
        <w:rPr>
          <w:rFonts w:hint="eastAsia" w:ascii="仿宋_GB2312" w:eastAsia="仿宋_GB2312"/>
          <w:sz w:val="32"/>
          <w:szCs w:val="32"/>
          <w:lang w:val="en-US" w:eastAsia="zh-CN"/>
        </w:rPr>
        <w:t>公立医院</w:t>
      </w:r>
      <w:r>
        <w:rPr>
          <w:rFonts w:hint="eastAsia" w:ascii="仿宋_GB2312" w:eastAsia="仿宋_GB2312"/>
          <w:sz w:val="32"/>
          <w:szCs w:val="32"/>
        </w:rPr>
        <w:t>（款）</w:t>
      </w:r>
      <w:r>
        <w:rPr>
          <w:rFonts w:hint="eastAsia" w:ascii="仿宋_GB2312" w:eastAsia="仿宋_GB2312"/>
          <w:sz w:val="32"/>
          <w:szCs w:val="32"/>
          <w:lang w:val="en-US" w:eastAsia="zh-CN"/>
        </w:rPr>
        <w:t>中医（民族）医院</w:t>
      </w:r>
      <w:r>
        <w:rPr>
          <w:rFonts w:hint="eastAsia" w:ascii="仿宋_GB2312" w:eastAsia="仿宋_GB2312"/>
          <w:sz w:val="32"/>
          <w:szCs w:val="32"/>
        </w:rPr>
        <w:t>（项）：指</w:t>
      </w:r>
      <w:r>
        <w:rPr>
          <w:rFonts w:hint="eastAsia" w:ascii="仿宋_GB2312" w:eastAsia="仿宋_GB2312"/>
          <w:sz w:val="32"/>
          <w:szCs w:val="32"/>
          <w:lang w:val="en-US" w:eastAsia="zh-CN"/>
        </w:rPr>
        <w:t>用于单位基本工资、津贴补贴等</w:t>
      </w:r>
      <w:r>
        <w:rPr>
          <w:rFonts w:hint="eastAsia" w:ascii="仿宋_GB2312" w:eastAsia="仿宋_GB2312"/>
          <w:sz w:val="32"/>
          <w:szCs w:val="32"/>
        </w:rPr>
        <w:t>。</w:t>
      </w:r>
    </w:p>
    <w:bookmarkEnd w:id="106"/>
    <w:p w14:paraId="668489F2">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12</w:t>
      </w:r>
      <w:r>
        <w:rPr>
          <w:rFonts w:ascii="仿宋_GB2312" w:eastAsia="仿宋_GB2312"/>
          <w:sz w:val="32"/>
          <w:szCs w:val="32"/>
        </w:rPr>
        <w:t>.</w:t>
      </w:r>
      <w:r>
        <w:rPr>
          <w:rFonts w:hint="eastAsia" w:ascii="仿宋_GB2312" w:eastAsia="仿宋_GB2312"/>
          <w:sz w:val="32"/>
          <w:szCs w:val="32"/>
        </w:rPr>
        <w:t>卫生健康（类</w:t>
      </w:r>
      <w:r>
        <w:rPr>
          <w:rFonts w:hint="eastAsia" w:ascii="仿宋_GB2312" w:eastAsia="仿宋_GB2312"/>
          <w:sz w:val="32"/>
          <w:szCs w:val="32"/>
          <w:lang w:eastAsia="zh-CN"/>
        </w:rPr>
        <w:t>）</w:t>
      </w:r>
      <w:r>
        <w:rPr>
          <w:rFonts w:hint="eastAsia" w:ascii="仿宋_GB2312" w:eastAsia="仿宋_GB2312"/>
          <w:sz w:val="32"/>
          <w:szCs w:val="32"/>
          <w:lang w:val="en-US" w:eastAsia="zh-CN"/>
        </w:rPr>
        <w:t>其他卫生健康</w:t>
      </w:r>
      <w:r>
        <w:rPr>
          <w:rFonts w:hint="eastAsia" w:ascii="仿宋_GB2312" w:eastAsia="仿宋_GB2312"/>
          <w:sz w:val="32"/>
          <w:szCs w:val="32"/>
        </w:rPr>
        <w:t>（款）</w:t>
      </w:r>
      <w:r>
        <w:rPr>
          <w:rFonts w:hint="eastAsia" w:ascii="仿宋_GB2312" w:eastAsia="仿宋_GB2312"/>
          <w:sz w:val="32"/>
          <w:szCs w:val="32"/>
          <w:lang w:val="en-US" w:eastAsia="zh-CN"/>
        </w:rPr>
        <w:t>其他卫生健康</w:t>
      </w:r>
      <w:r>
        <w:rPr>
          <w:rFonts w:hint="eastAsia" w:ascii="仿宋_GB2312" w:eastAsia="仿宋_GB2312"/>
          <w:sz w:val="32"/>
          <w:szCs w:val="32"/>
        </w:rPr>
        <w:t>（项）：指</w:t>
      </w:r>
      <w:r>
        <w:rPr>
          <w:rFonts w:hint="eastAsia" w:ascii="仿宋_GB2312" w:eastAsia="仿宋_GB2312"/>
          <w:sz w:val="32"/>
          <w:szCs w:val="32"/>
          <w:lang w:val="en-US" w:eastAsia="zh-CN"/>
        </w:rPr>
        <w:t>公立医院支出的费用</w:t>
      </w:r>
      <w:r>
        <w:rPr>
          <w:rFonts w:hint="eastAsia" w:ascii="仿宋_GB2312" w:eastAsia="仿宋_GB2312"/>
          <w:sz w:val="32"/>
          <w:szCs w:val="32"/>
        </w:rPr>
        <w:t>。</w:t>
      </w:r>
    </w:p>
    <w:p w14:paraId="415DE011">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13</w:t>
      </w:r>
      <w:r>
        <w:rPr>
          <w:rFonts w:ascii="仿宋_GB2312" w:eastAsia="仿宋_GB2312"/>
          <w:sz w:val="32"/>
          <w:szCs w:val="32"/>
        </w:rPr>
        <w:t>.</w:t>
      </w:r>
      <w:r>
        <w:rPr>
          <w:rFonts w:hint="eastAsia" w:ascii="仿宋_GB2312" w:eastAsia="仿宋_GB2312"/>
          <w:sz w:val="32"/>
          <w:szCs w:val="32"/>
          <w:lang w:val="en-US" w:eastAsia="zh-CN"/>
        </w:rPr>
        <w:t>住房保障</w:t>
      </w:r>
      <w:r>
        <w:rPr>
          <w:rFonts w:hint="eastAsia" w:ascii="仿宋_GB2312" w:eastAsia="仿宋_GB2312"/>
          <w:sz w:val="32"/>
          <w:szCs w:val="32"/>
        </w:rPr>
        <w:t>（类）</w:t>
      </w:r>
      <w:r>
        <w:rPr>
          <w:rFonts w:hint="eastAsia" w:ascii="仿宋_GB2312" w:eastAsia="仿宋_GB2312"/>
          <w:sz w:val="32"/>
          <w:szCs w:val="32"/>
          <w:lang w:val="en-US" w:eastAsia="zh-CN"/>
        </w:rPr>
        <w:t>住房改革</w:t>
      </w:r>
      <w:r>
        <w:rPr>
          <w:rFonts w:hint="eastAsia" w:ascii="仿宋_GB2312" w:eastAsia="仿宋_GB2312"/>
          <w:sz w:val="32"/>
          <w:szCs w:val="32"/>
        </w:rPr>
        <w:t>（款）</w:t>
      </w:r>
      <w:r>
        <w:rPr>
          <w:rFonts w:hint="eastAsia" w:ascii="仿宋_GB2312" w:eastAsia="仿宋_GB2312"/>
          <w:sz w:val="32"/>
          <w:szCs w:val="32"/>
          <w:lang w:val="en-US" w:eastAsia="zh-CN"/>
        </w:rPr>
        <w:t>住房改革</w:t>
      </w:r>
      <w:r>
        <w:rPr>
          <w:rFonts w:hint="eastAsia" w:ascii="仿宋_GB2312" w:eastAsia="仿宋_GB2312"/>
          <w:sz w:val="32"/>
          <w:szCs w:val="32"/>
        </w:rPr>
        <w:t>（项）：指</w:t>
      </w:r>
      <w:r>
        <w:rPr>
          <w:rFonts w:hint="eastAsia" w:ascii="仿宋_GB2312" w:eastAsia="仿宋_GB2312"/>
          <w:sz w:val="32"/>
          <w:szCs w:val="32"/>
          <w:lang w:val="en-US" w:eastAsia="zh-CN"/>
        </w:rPr>
        <w:t>单位缴纳住房公积金费用</w:t>
      </w:r>
      <w:r>
        <w:rPr>
          <w:rFonts w:hint="eastAsia" w:ascii="仿宋_GB2312" w:eastAsia="仿宋_GB2312"/>
          <w:sz w:val="32"/>
          <w:szCs w:val="32"/>
        </w:rPr>
        <w:t>。</w:t>
      </w:r>
    </w:p>
    <w:p w14:paraId="32BBD1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340BE2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3F9D1B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7A101D1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87DA9C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bookmarkEnd w:id="103"/>
    <w:p w14:paraId="2F0D3FBC">
      <w:pPr>
        <w:widowControl/>
        <w:jc w:val="center"/>
        <w:outlineLvl w:val="0"/>
        <w:rPr>
          <w:rFonts w:hint="eastAsia" w:ascii="Times New Roman" w:hAnsi="Times New Roman" w:eastAsia="仿宋"/>
          <w:b w:val="0"/>
          <w:color w:val="auto"/>
          <w:highlight w:val="none"/>
        </w:rPr>
      </w:pPr>
      <w:bookmarkStart w:id="107" w:name="_Toc15396618"/>
      <w:bookmarkStart w:id="108" w:name="_Toc3126"/>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val="en-US" w:eastAsia="zh-CN"/>
        </w:rPr>
        <w:t>四</w:t>
      </w:r>
      <w:r>
        <w:rPr>
          <w:rStyle w:val="29"/>
          <w:rFonts w:hint="eastAsia" w:ascii="Times New Roman" w:hAnsi="Times New Roman" w:eastAsia="黑体"/>
          <w:b w:val="0"/>
          <w:color w:val="auto"/>
          <w:highlight w:val="none"/>
        </w:rPr>
        <w:t>部分 附表</w:t>
      </w:r>
      <w:bookmarkEnd w:id="104"/>
      <w:bookmarkEnd w:id="107"/>
      <w:bookmarkEnd w:id="108"/>
      <w:bookmarkStart w:id="109" w:name="_Toc15396619"/>
    </w:p>
    <w:p w14:paraId="65EE647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E4943B6">
      <w:pPr>
        <w:numPr>
          <w:ilvl w:val="0"/>
          <w:numId w:val="0"/>
        </w:numPr>
        <w:spacing w:line="600" w:lineRule="exact"/>
        <w:ind w:left="630" w:leftChars="0"/>
        <w:outlineLvl w:val="1"/>
        <w:rPr>
          <w:rStyle w:val="30"/>
          <w:rFonts w:hint="eastAsia" w:ascii="Times New Roman" w:hAnsi="Times New Roman" w:eastAsia="黑体"/>
          <w:b w:val="0"/>
          <w:color w:val="auto"/>
          <w:highlight w:val="none"/>
          <w:lang w:eastAsia="zh-CN"/>
        </w:rPr>
      </w:pPr>
      <w:bookmarkStart w:id="110" w:name="_Toc31871"/>
      <w:r>
        <w:rPr>
          <w:rStyle w:val="30"/>
          <w:rFonts w:hint="eastAsia" w:ascii="Times New Roman" w:hAnsi="Times New Roman" w:eastAsia="黑体"/>
          <w:b w:val="0"/>
          <w:color w:val="auto"/>
          <w:highlight w:val="none"/>
          <w:lang w:eastAsia="zh-CN"/>
        </w:rPr>
        <w:t>一、收入支出决算总表</w:t>
      </w:r>
      <w:bookmarkEnd w:id="109"/>
      <w:bookmarkEnd w:id="110"/>
    </w:p>
    <w:p w14:paraId="4167C18B">
      <w:pPr>
        <w:numPr>
          <w:ilvl w:val="0"/>
          <w:numId w:val="0"/>
        </w:numPr>
        <w:spacing w:line="600" w:lineRule="exact"/>
        <w:ind w:left="630" w:leftChars="0"/>
        <w:outlineLvl w:val="1"/>
        <w:rPr>
          <w:rStyle w:val="30"/>
          <w:rFonts w:hint="eastAsia" w:ascii="Times New Roman" w:hAnsi="Times New Roman" w:eastAsia="黑体"/>
          <w:b w:val="0"/>
          <w:color w:val="auto"/>
          <w:highlight w:val="none"/>
          <w:lang w:eastAsia="zh-CN"/>
        </w:rPr>
      </w:pPr>
      <w:bookmarkStart w:id="111" w:name="_Toc15396620"/>
      <w:bookmarkStart w:id="112" w:name="_Toc15878"/>
      <w:r>
        <w:rPr>
          <w:rStyle w:val="30"/>
          <w:rFonts w:hint="eastAsia" w:ascii="Times New Roman" w:hAnsi="Times New Roman" w:eastAsia="黑体"/>
          <w:b w:val="0"/>
          <w:color w:val="auto"/>
          <w:highlight w:val="none"/>
          <w:lang w:eastAsia="zh-CN"/>
        </w:rPr>
        <w:t>二、收入决算表</w:t>
      </w:r>
      <w:bookmarkEnd w:id="111"/>
      <w:bookmarkEnd w:id="112"/>
    </w:p>
    <w:p w14:paraId="1CEEC8EB">
      <w:pPr>
        <w:numPr>
          <w:ilvl w:val="0"/>
          <w:numId w:val="0"/>
        </w:numPr>
        <w:spacing w:line="600" w:lineRule="exact"/>
        <w:ind w:left="630" w:leftChars="0"/>
        <w:outlineLvl w:val="1"/>
        <w:rPr>
          <w:rStyle w:val="30"/>
          <w:rFonts w:hint="eastAsia" w:ascii="Times New Roman" w:hAnsi="Times New Roman" w:eastAsia="黑体"/>
          <w:b w:val="0"/>
          <w:color w:val="auto"/>
          <w:highlight w:val="none"/>
          <w:lang w:eastAsia="zh-CN"/>
        </w:rPr>
      </w:pPr>
      <w:bookmarkStart w:id="113" w:name="_Toc15396621"/>
      <w:bookmarkStart w:id="114" w:name="_Toc19706"/>
      <w:r>
        <w:rPr>
          <w:rStyle w:val="30"/>
          <w:rFonts w:hint="eastAsia" w:ascii="Times New Roman" w:hAnsi="Times New Roman" w:eastAsia="黑体"/>
          <w:b w:val="0"/>
          <w:color w:val="auto"/>
          <w:highlight w:val="none"/>
          <w:lang w:eastAsia="zh-CN"/>
        </w:rPr>
        <w:t>三、支出决算表</w:t>
      </w:r>
      <w:bookmarkEnd w:id="113"/>
      <w:bookmarkEnd w:id="114"/>
    </w:p>
    <w:p w14:paraId="463CA107">
      <w:pPr>
        <w:numPr>
          <w:ilvl w:val="0"/>
          <w:numId w:val="0"/>
        </w:numPr>
        <w:spacing w:line="600" w:lineRule="exact"/>
        <w:ind w:left="630" w:leftChars="0"/>
        <w:outlineLvl w:val="1"/>
        <w:rPr>
          <w:rStyle w:val="30"/>
          <w:rFonts w:hint="eastAsia" w:ascii="Times New Roman" w:hAnsi="Times New Roman" w:eastAsia="黑体"/>
          <w:b w:val="0"/>
          <w:color w:val="auto"/>
          <w:highlight w:val="none"/>
          <w:lang w:eastAsia="zh-CN"/>
        </w:rPr>
      </w:pPr>
      <w:bookmarkStart w:id="115" w:name="_Toc17784"/>
      <w:bookmarkStart w:id="116" w:name="_Toc15396622"/>
      <w:r>
        <w:rPr>
          <w:rStyle w:val="30"/>
          <w:rFonts w:hint="eastAsia" w:ascii="Times New Roman" w:hAnsi="Times New Roman" w:eastAsia="黑体"/>
          <w:b w:val="0"/>
          <w:color w:val="auto"/>
          <w:highlight w:val="none"/>
          <w:lang w:eastAsia="zh-CN"/>
        </w:rPr>
        <w:t>四、财政拨款收入支出决算总表</w:t>
      </w:r>
      <w:bookmarkEnd w:id="115"/>
      <w:bookmarkEnd w:id="116"/>
    </w:p>
    <w:p w14:paraId="00CA42E7">
      <w:pPr>
        <w:numPr>
          <w:ilvl w:val="0"/>
          <w:numId w:val="0"/>
        </w:numPr>
        <w:spacing w:line="600" w:lineRule="exact"/>
        <w:ind w:left="630" w:leftChars="0"/>
        <w:outlineLvl w:val="1"/>
        <w:rPr>
          <w:rStyle w:val="30"/>
          <w:rFonts w:hint="eastAsia" w:ascii="Times New Roman" w:hAnsi="Times New Roman" w:eastAsia="黑体"/>
          <w:b w:val="0"/>
          <w:color w:val="auto"/>
          <w:highlight w:val="none"/>
          <w:lang w:eastAsia="zh-CN"/>
        </w:rPr>
      </w:pPr>
      <w:bookmarkStart w:id="117" w:name="_Toc15396623"/>
      <w:bookmarkStart w:id="118" w:name="_Toc19487"/>
      <w:r>
        <w:rPr>
          <w:rStyle w:val="30"/>
          <w:rFonts w:hint="eastAsia" w:ascii="Times New Roman" w:hAnsi="Times New Roman" w:eastAsia="黑体"/>
          <w:b w:val="0"/>
          <w:color w:val="auto"/>
          <w:highlight w:val="none"/>
          <w:lang w:eastAsia="zh-CN"/>
        </w:rPr>
        <w:t>五、财政拨款支出决算明细表</w:t>
      </w:r>
      <w:bookmarkEnd w:id="117"/>
      <w:bookmarkEnd w:id="118"/>
      <w:bookmarkStart w:id="119" w:name="_Toc15396624"/>
    </w:p>
    <w:p w14:paraId="432929F9">
      <w:pPr>
        <w:numPr>
          <w:ilvl w:val="0"/>
          <w:numId w:val="0"/>
        </w:numPr>
        <w:spacing w:line="600" w:lineRule="exact"/>
        <w:ind w:left="630" w:leftChars="0"/>
        <w:outlineLvl w:val="1"/>
        <w:rPr>
          <w:rStyle w:val="30"/>
          <w:rFonts w:hint="eastAsia" w:ascii="Times New Roman" w:hAnsi="Times New Roman" w:eastAsia="黑体"/>
          <w:b w:val="0"/>
          <w:color w:val="auto"/>
          <w:highlight w:val="none"/>
          <w:lang w:eastAsia="zh-CN"/>
        </w:rPr>
      </w:pPr>
      <w:bookmarkStart w:id="120" w:name="_Toc1846"/>
      <w:r>
        <w:rPr>
          <w:rStyle w:val="30"/>
          <w:rFonts w:hint="eastAsia" w:ascii="Times New Roman" w:hAnsi="Times New Roman" w:eastAsia="黑体"/>
          <w:b w:val="0"/>
          <w:color w:val="auto"/>
          <w:highlight w:val="none"/>
          <w:lang w:eastAsia="zh-CN"/>
        </w:rPr>
        <w:t>六、一般公共预算财政拨款支出决算表</w:t>
      </w:r>
      <w:bookmarkEnd w:id="119"/>
      <w:bookmarkEnd w:id="120"/>
    </w:p>
    <w:p w14:paraId="4C35F78A">
      <w:pPr>
        <w:numPr>
          <w:ilvl w:val="0"/>
          <w:numId w:val="0"/>
        </w:numPr>
        <w:spacing w:line="600" w:lineRule="exact"/>
        <w:ind w:left="630" w:leftChars="0"/>
        <w:outlineLvl w:val="1"/>
        <w:rPr>
          <w:rStyle w:val="30"/>
          <w:rFonts w:hint="eastAsia" w:ascii="Times New Roman" w:hAnsi="Times New Roman" w:eastAsia="黑体"/>
          <w:b w:val="0"/>
          <w:color w:val="auto"/>
          <w:highlight w:val="none"/>
          <w:lang w:eastAsia="zh-CN"/>
        </w:rPr>
      </w:pPr>
      <w:bookmarkStart w:id="121" w:name="_Toc15396625"/>
      <w:bookmarkStart w:id="122" w:name="_Toc19066"/>
      <w:r>
        <w:rPr>
          <w:rStyle w:val="30"/>
          <w:rFonts w:hint="eastAsia" w:ascii="Times New Roman" w:hAnsi="Times New Roman" w:eastAsia="黑体"/>
          <w:b w:val="0"/>
          <w:color w:val="auto"/>
          <w:highlight w:val="none"/>
          <w:lang w:eastAsia="zh-CN"/>
        </w:rPr>
        <w:t>七、一般公共预算财政拨款支出决算明细表</w:t>
      </w:r>
      <w:bookmarkEnd w:id="121"/>
      <w:bookmarkEnd w:id="122"/>
    </w:p>
    <w:p w14:paraId="2570A87C">
      <w:pPr>
        <w:numPr>
          <w:ilvl w:val="0"/>
          <w:numId w:val="0"/>
        </w:numPr>
        <w:spacing w:line="600" w:lineRule="exact"/>
        <w:ind w:left="630" w:leftChars="0"/>
        <w:outlineLvl w:val="1"/>
        <w:rPr>
          <w:rStyle w:val="30"/>
          <w:rFonts w:hint="eastAsia" w:ascii="Times New Roman" w:hAnsi="Times New Roman" w:eastAsia="黑体"/>
          <w:b w:val="0"/>
          <w:color w:val="auto"/>
          <w:highlight w:val="none"/>
          <w:lang w:eastAsia="zh-CN"/>
        </w:rPr>
      </w:pPr>
      <w:bookmarkStart w:id="123" w:name="_Toc15396626"/>
      <w:bookmarkStart w:id="124" w:name="_Toc15872"/>
      <w:r>
        <w:rPr>
          <w:rStyle w:val="30"/>
          <w:rFonts w:hint="eastAsia" w:ascii="Times New Roman" w:hAnsi="Times New Roman" w:eastAsia="黑体"/>
          <w:b w:val="0"/>
          <w:color w:val="auto"/>
          <w:highlight w:val="none"/>
          <w:lang w:eastAsia="zh-CN"/>
        </w:rPr>
        <w:t>八、一般公共预算财政拨款基本支出决算表</w:t>
      </w:r>
      <w:bookmarkEnd w:id="123"/>
      <w:bookmarkEnd w:id="124"/>
    </w:p>
    <w:p w14:paraId="2AAC8323">
      <w:pPr>
        <w:numPr>
          <w:ilvl w:val="0"/>
          <w:numId w:val="0"/>
        </w:numPr>
        <w:spacing w:line="600" w:lineRule="exact"/>
        <w:ind w:left="630" w:leftChars="0"/>
        <w:outlineLvl w:val="1"/>
        <w:rPr>
          <w:rStyle w:val="30"/>
          <w:rFonts w:hint="eastAsia" w:ascii="Times New Roman" w:hAnsi="Times New Roman" w:eastAsia="黑体"/>
          <w:b w:val="0"/>
          <w:color w:val="auto"/>
          <w:highlight w:val="none"/>
          <w:lang w:eastAsia="zh-CN"/>
        </w:rPr>
      </w:pPr>
      <w:bookmarkStart w:id="125" w:name="_Toc6825"/>
      <w:bookmarkStart w:id="126" w:name="_Toc15396627"/>
      <w:r>
        <w:rPr>
          <w:rStyle w:val="30"/>
          <w:rFonts w:hint="eastAsia" w:ascii="Times New Roman" w:hAnsi="Times New Roman" w:eastAsia="黑体"/>
          <w:b w:val="0"/>
          <w:color w:val="auto"/>
          <w:highlight w:val="none"/>
          <w:lang w:eastAsia="zh-CN"/>
        </w:rPr>
        <w:t>九、一般公共预算财政拨款项目支出决算表</w:t>
      </w:r>
      <w:bookmarkEnd w:id="125"/>
      <w:bookmarkEnd w:id="126"/>
    </w:p>
    <w:p w14:paraId="540ECD98">
      <w:pPr>
        <w:numPr>
          <w:ilvl w:val="0"/>
          <w:numId w:val="0"/>
        </w:numPr>
        <w:spacing w:line="600" w:lineRule="exact"/>
        <w:ind w:left="630" w:leftChars="0"/>
        <w:outlineLvl w:val="1"/>
        <w:rPr>
          <w:rStyle w:val="30"/>
          <w:rFonts w:hint="eastAsia" w:ascii="Times New Roman" w:hAnsi="Times New Roman" w:eastAsia="黑体"/>
          <w:b w:val="0"/>
          <w:color w:val="auto"/>
          <w:highlight w:val="none"/>
          <w:lang w:eastAsia="zh-CN"/>
        </w:rPr>
      </w:pPr>
      <w:bookmarkStart w:id="127" w:name="_Toc15396628"/>
      <w:bookmarkStart w:id="128" w:name="_Toc20847"/>
      <w:r>
        <w:rPr>
          <w:rStyle w:val="30"/>
          <w:rFonts w:hint="eastAsia" w:ascii="Times New Roman" w:hAnsi="Times New Roman" w:eastAsia="黑体"/>
          <w:b w:val="0"/>
          <w:color w:val="auto"/>
          <w:highlight w:val="none"/>
          <w:lang w:eastAsia="zh-CN"/>
        </w:rPr>
        <w:t>十、</w:t>
      </w:r>
      <w:bookmarkEnd w:id="127"/>
      <w:r>
        <w:rPr>
          <w:rStyle w:val="30"/>
          <w:rFonts w:hint="eastAsia" w:ascii="Times New Roman" w:hAnsi="Times New Roman" w:eastAsia="黑体"/>
          <w:b w:val="0"/>
          <w:color w:val="auto"/>
          <w:highlight w:val="none"/>
          <w:lang w:eastAsia="zh-CN"/>
        </w:rPr>
        <w:t>政府性基金预算财政拨款收入支出决算表</w:t>
      </w:r>
      <w:bookmarkEnd w:id="128"/>
    </w:p>
    <w:p w14:paraId="6FFBB8CE">
      <w:pPr>
        <w:numPr>
          <w:ilvl w:val="0"/>
          <w:numId w:val="0"/>
        </w:numPr>
        <w:spacing w:line="600" w:lineRule="exact"/>
        <w:ind w:left="630" w:leftChars="0"/>
        <w:outlineLvl w:val="1"/>
        <w:rPr>
          <w:rStyle w:val="30"/>
          <w:rFonts w:hint="eastAsia" w:ascii="Times New Roman" w:hAnsi="Times New Roman" w:eastAsia="黑体"/>
          <w:b w:val="0"/>
          <w:color w:val="auto"/>
          <w:highlight w:val="none"/>
          <w:lang w:eastAsia="zh-CN"/>
        </w:rPr>
      </w:pPr>
      <w:bookmarkStart w:id="129" w:name="_Toc15396629"/>
      <w:bookmarkStart w:id="130" w:name="_Toc12167"/>
      <w:r>
        <w:rPr>
          <w:rStyle w:val="30"/>
          <w:rFonts w:hint="eastAsia" w:ascii="Times New Roman" w:hAnsi="Times New Roman" w:eastAsia="黑体"/>
          <w:b w:val="0"/>
          <w:color w:val="auto"/>
          <w:highlight w:val="none"/>
          <w:lang w:eastAsia="zh-CN"/>
        </w:rPr>
        <w:t>十一、</w:t>
      </w:r>
      <w:bookmarkEnd w:id="129"/>
      <w:r>
        <w:rPr>
          <w:rStyle w:val="30"/>
          <w:rFonts w:hint="eastAsia" w:ascii="Times New Roman" w:hAnsi="Times New Roman" w:eastAsia="黑体"/>
          <w:b w:val="0"/>
          <w:color w:val="auto"/>
          <w:highlight w:val="none"/>
          <w:lang w:eastAsia="zh-CN"/>
        </w:rPr>
        <w:t>国有资本经营预算财政拨款收入支出决算表</w:t>
      </w:r>
      <w:bookmarkEnd w:id="130"/>
    </w:p>
    <w:p w14:paraId="13EAB8A8">
      <w:pPr>
        <w:numPr>
          <w:ilvl w:val="0"/>
          <w:numId w:val="0"/>
        </w:numPr>
        <w:spacing w:line="600" w:lineRule="exact"/>
        <w:ind w:left="630" w:leftChars="0"/>
        <w:outlineLvl w:val="1"/>
        <w:rPr>
          <w:rStyle w:val="30"/>
          <w:rFonts w:hint="eastAsia" w:ascii="Times New Roman" w:hAnsi="Times New Roman" w:eastAsia="黑体"/>
          <w:b w:val="0"/>
          <w:color w:val="auto"/>
          <w:highlight w:val="none"/>
          <w:lang w:eastAsia="zh-CN"/>
        </w:rPr>
      </w:pPr>
      <w:bookmarkStart w:id="131" w:name="_Toc15396630"/>
      <w:bookmarkStart w:id="132" w:name="_Toc5109"/>
      <w:r>
        <w:rPr>
          <w:rStyle w:val="30"/>
          <w:rFonts w:hint="eastAsia" w:ascii="Times New Roman" w:hAnsi="Times New Roman" w:eastAsia="黑体"/>
          <w:b w:val="0"/>
          <w:color w:val="auto"/>
          <w:highlight w:val="none"/>
          <w:lang w:eastAsia="zh-CN"/>
        </w:rPr>
        <w:t>十二、</w:t>
      </w:r>
      <w:bookmarkEnd w:id="131"/>
      <w:r>
        <w:rPr>
          <w:rStyle w:val="30"/>
          <w:rFonts w:hint="eastAsia" w:ascii="Times New Roman" w:hAnsi="Times New Roman" w:eastAsia="黑体"/>
          <w:b w:val="0"/>
          <w:color w:val="auto"/>
          <w:highlight w:val="none"/>
          <w:lang w:eastAsia="zh-CN"/>
        </w:rPr>
        <w:t>国有资本经营预算财政拨款支出决算表</w:t>
      </w:r>
      <w:bookmarkEnd w:id="132"/>
    </w:p>
    <w:p w14:paraId="29DA5B3A">
      <w:pPr>
        <w:numPr>
          <w:ilvl w:val="0"/>
          <w:numId w:val="0"/>
        </w:numPr>
        <w:spacing w:line="600" w:lineRule="exact"/>
        <w:ind w:left="630" w:leftChars="0"/>
        <w:outlineLvl w:val="1"/>
        <w:rPr>
          <w:rStyle w:val="30"/>
          <w:rFonts w:hint="eastAsia" w:ascii="Times New Roman" w:hAnsi="Times New Roman" w:eastAsia="黑体"/>
          <w:b w:val="0"/>
          <w:color w:val="auto"/>
          <w:highlight w:val="none"/>
          <w:lang w:eastAsia="zh-CN"/>
        </w:rPr>
      </w:pPr>
      <w:bookmarkStart w:id="133" w:name="_Toc15396631"/>
      <w:bookmarkStart w:id="134" w:name="_Toc6328"/>
      <w:r>
        <w:rPr>
          <w:rStyle w:val="30"/>
          <w:rFonts w:hint="eastAsia" w:ascii="Times New Roman" w:hAnsi="Times New Roman" w:eastAsia="黑体"/>
          <w:b w:val="0"/>
          <w:color w:val="auto"/>
          <w:highlight w:val="none"/>
          <w:lang w:eastAsia="zh-CN"/>
        </w:rPr>
        <w:t>十三、</w:t>
      </w:r>
      <w:bookmarkEnd w:id="133"/>
      <w:r>
        <w:rPr>
          <w:rStyle w:val="30"/>
          <w:rFonts w:hint="eastAsia" w:ascii="Times New Roman" w:hAnsi="Times New Roman" w:eastAsia="黑体"/>
          <w:b w:val="0"/>
          <w:color w:val="auto"/>
          <w:highlight w:val="none"/>
          <w:lang w:eastAsia="zh-CN"/>
        </w:rPr>
        <w:t>财政拨款“三公”经费支出决算表</w:t>
      </w:r>
      <w:bookmarkEnd w:id="134"/>
    </w:p>
    <w:p w14:paraId="045FD92C">
      <w:pPr>
        <w:rPr>
          <w:rFonts w:hint="eastAsia" w:ascii="Times New Roman" w:hAnsi="Times New Roman"/>
          <w:lang w:eastAsia="zh-CN"/>
        </w:rPr>
      </w:pPr>
    </w:p>
    <w:sectPr>
      <w:footerReference r:id="rId7" w:type="first"/>
      <w:headerReference r:id="rId5" w:type="defaul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ECA2CA2-30CB-404A-BBFB-3624D492D1C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2A27BBCF-D43E-49C1-BD18-B3DB6B33EFFD}"/>
  </w:font>
  <w:font w:name="仿宋">
    <w:panose1 w:val="02010609060101010101"/>
    <w:charset w:val="86"/>
    <w:family w:val="auto"/>
    <w:pitch w:val="default"/>
    <w:sig w:usb0="800002BF" w:usb1="38CF7CFA" w:usb2="00000016" w:usb3="00000000" w:csb0="00040001" w:csb1="00000000"/>
    <w:embedRegular r:id="rId3" w:fontKey="{523094D9-6F7E-4E5F-94E9-944071A7A7EF}"/>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F17D6190-6074-4C36-A7C7-C4EA503B15C1}"/>
  </w:font>
  <w:font w:name="楷体_GB2312">
    <w:panose1 w:val="02010609030101010101"/>
    <w:charset w:val="86"/>
    <w:family w:val="auto"/>
    <w:pitch w:val="default"/>
    <w:sig w:usb0="00000001" w:usb1="080E0000" w:usb2="00000000" w:usb3="00000000" w:csb0="00040000" w:csb1="00000000"/>
    <w:embedRegular r:id="rId5" w:fontKey="{80D78839-DDA1-4579-9397-00D6890633C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4D7C1">
    <w:pPr>
      <w:pStyle w:val="11"/>
      <w:jc w:val="center"/>
    </w:pPr>
  </w:p>
  <w:p w14:paraId="267F22CF">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B1653">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52BFC6">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852BFC6">
                    <w:pPr>
                      <w:pStyle w:val="11"/>
                    </w:pPr>
                    <w:r>
                      <w:fldChar w:fldCharType="begin"/>
                    </w:r>
                    <w:r>
                      <w:instrText xml:space="preserve"> PAGE  \* MERGEFORMAT </w:instrText>
                    </w:r>
                    <w:r>
                      <w:fldChar w:fldCharType="separate"/>
                    </w:r>
                    <w:r>
                      <w:t>- 1 -</w:t>
                    </w:r>
                    <w:r>
                      <w:fldChar w:fldCharType="end"/>
                    </w:r>
                  </w:p>
                </w:txbxContent>
              </v:textbox>
            </v:shape>
          </w:pict>
        </mc:Fallback>
      </mc:AlternateContent>
    </w:r>
  </w:p>
  <w:p w14:paraId="344BC98A">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2BC66">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087FE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D087FE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13608">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EE20E">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A41831"/>
    <w:multiLevelType w:val="singleLevel"/>
    <w:tmpl w:val="90A41831"/>
    <w:lvl w:ilvl="0" w:tentative="0">
      <w:start w:val="1"/>
      <w:numFmt w:val="decimal"/>
      <w:suff w:val="nothing"/>
      <w:lvlText w:val="%1、"/>
      <w:lvlJc w:val="left"/>
      <w:pPr>
        <w:ind w:left="-10"/>
      </w:pPr>
    </w:lvl>
  </w:abstractNum>
  <w:abstractNum w:abstractNumId="1">
    <w:nsid w:val="1A5DB44E"/>
    <w:multiLevelType w:val="singleLevel"/>
    <w:tmpl w:val="1A5DB44E"/>
    <w:lvl w:ilvl="0" w:tentative="0">
      <w:start w:val="3"/>
      <w:numFmt w:val="decimal"/>
      <w:lvlText w:val="%1."/>
      <w:lvlJc w:val="left"/>
      <w:pPr>
        <w:tabs>
          <w:tab w:val="left" w:pos="312"/>
        </w:tabs>
      </w:pPr>
    </w:lvl>
  </w:abstractNum>
  <w:abstractNum w:abstractNumId="2">
    <w:nsid w:val="307B8C28"/>
    <w:multiLevelType w:val="singleLevel"/>
    <w:tmpl w:val="307B8C28"/>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5ZjExN2U5MzMxMmI1ZmI4Y2YyZGZlMTJhZmU3MzQ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89939CB"/>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C27EF8"/>
    <w:rsid w:val="56E47B74"/>
    <w:rsid w:val="57BD3DD4"/>
    <w:rsid w:val="5AAC6858"/>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AAA2A10"/>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DA55EC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称呼1"/>
    <w:basedOn w:val="1"/>
    <w:next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paragraph" w:customStyle="1" w:styleId="37">
    <w:name w:val="WPSOffice手动目录 1"/>
    <w:uiPriority w:val="0"/>
    <w:pPr>
      <w:ind w:leftChars="0"/>
    </w:pPr>
    <w:rPr>
      <w:rFonts w:ascii="Times New Roman" w:hAnsi="Times New Roman" w:eastAsia="宋体" w:cs="Times New Roman"/>
      <w:sz w:val="20"/>
      <w:szCs w:val="20"/>
    </w:rPr>
  </w:style>
  <w:style w:type="paragraph" w:customStyle="1" w:styleId="38">
    <w:name w:val="WPSOffice手动目录 2"/>
    <w:uiPriority w:val="0"/>
    <w:pPr>
      <w:ind w:leftChars="200"/>
    </w:pPr>
    <w:rPr>
      <w:rFonts w:ascii="Times New Roman" w:hAnsi="Times New Roman" w:eastAsia="宋体" w:cs="Times New Roman"/>
      <w:sz w:val="20"/>
      <w:szCs w:val="20"/>
    </w:rPr>
  </w:style>
  <w:style w:type="paragraph" w:customStyle="1" w:styleId="39">
    <w:name w:val="WPSOffice手动目录 3"/>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20</Words>
  <Characters>23</Characters>
  <Lines>61</Lines>
  <Paragraphs>17</Paragraphs>
  <TotalTime>6</TotalTime>
  <ScaleCrop>false</ScaleCrop>
  <LinksUpToDate>false</LinksUpToDate>
  <CharactersWithSpaces>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2026-10-20T08:46:41Z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