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5B4A9">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475"/>
      <w:bookmarkStart w:id="2" w:name="_Toc15396597"/>
      <w:bookmarkStart w:id="3" w:name="_Toc15377425"/>
      <w:bookmarkStart w:id="4" w:name="_Toc15377193"/>
      <w:bookmarkStart w:id="5" w:name="_Toc15306267"/>
    </w:p>
    <w:bookmarkEnd w:id="0"/>
    <w:bookmarkEnd w:id="1"/>
    <w:bookmarkEnd w:id="2"/>
    <w:bookmarkEnd w:id="3"/>
    <w:bookmarkEnd w:id="4"/>
    <w:p w14:paraId="16AB2530">
      <w:pPr>
        <w:pStyle w:val="5"/>
        <w:jc w:val="center"/>
        <w:rPr>
          <w:rFonts w:hint="eastAsia" w:ascii="Times New Roman" w:eastAsia="方正小标宋简体" w:cs="Times New Roman"/>
          <w:color w:val="auto"/>
          <w:kern w:val="2"/>
          <w:sz w:val="52"/>
          <w:szCs w:val="52"/>
          <w:highlight w:val="none"/>
          <w:lang w:val="en-US" w:eastAsia="zh-CN" w:bidi="ar-SA"/>
        </w:rPr>
      </w:pPr>
      <w:bookmarkStart w:id="6" w:name="_Toc15378442"/>
      <w:bookmarkStart w:id="7" w:name="_Toc15396598"/>
      <w:bookmarkStart w:id="8" w:name="_Toc15377426"/>
      <w:bookmarkStart w:id="9" w:name="_Toc15396476"/>
      <w:bookmarkStart w:id="10" w:name="_Toc15377194"/>
    </w:p>
    <w:p w14:paraId="4F7F9990">
      <w:pPr>
        <w:pStyle w:val="5"/>
        <w:jc w:val="center"/>
        <w:rPr>
          <w:rFonts w:hint="eastAsia" w:ascii="Times New Roman" w:eastAsia="方正小标宋简体" w:cs="Times New Roman"/>
          <w:color w:val="auto"/>
          <w:kern w:val="2"/>
          <w:sz w:val="52"/>
          <w:szCs w:val="52"/>
          <w:highlight w:val="none"/>
          <w:lang w:val="en-US" w:eastAsia="zh-CN" w:bidi="ar-SA"/>
        </w:rPr>
      </w:pPr>
    </w:p>
    <w:p w14:paraId="18CF93F1">
      <w:pPr>
        <w:pStyle w:val="5"/>
        <w:jc w:val="center"/>
        <w:rPr>
          <w:rFonts w:hint="eastAsia" w:ascii="Times New Roman" w:eastAsia="方正小标宋简体" w:cs="Times New Roman"/>
          <w:color w:val="auto"/>
          <w:kern w:val="2"/>
          <w:sz w:val="84"/>
          <w:szCs w:val="84"/>
          <w:highlight w:val="none"/>
          <w:lang w:val="en-US" w:eastAsia="zh-CN" w:bidi="ar-SA"/>
        </w:rPr>
      </w:pPr>
      <w:r>
        <w:rPr>
          <w:rFonts w:hint="eastAsia" w:ascii="Times New Roman" w:eastAsia="方正小标宋简体" w:cs="Times New Roman"/>
          <w:color w:val="auto"/>
          <w:kern w:val="2"/>
          <w:sz w:val="84"/>
          <w:szCs w:val="84"/>
          <w:highlight w:val="none"/>
          <w:lang w:val="en-US" w:eastAsia="zh-CN" w:bidi="ar-SA"/>
        </w:rPr>
        <w:t>2025年度</w:t>
      </w:r>
    </w:p>
    <w:p w14:paraId="633BD1FA">
      <w:pPr>
        <w:pStyle w:val="5"/>
        <w:jc w:val="center"/>
        <w:rPr>
          <w:rFonts w:hint="default" w:ascii="Times New Roman" w:hAnsi="Times New Roman" w:eastAsia="方正小标宋简体" w:cs="Times New Roman"/>
          <w:color w:val="auto"/>
          <w:kern w:val="2"/>
          <w:sz w:val="84"/>
          <w:szCs w:val="84"/>
          <w:highlight w:val="none"/>
          <w:lang w:val="en-US" w:eastAsia="zh-CN" w:bidi="ar-SA"/>
        </w:rPr>
      </w:pPr>
      <w:r>
        <w:rPr>
          <w:rFonts w:hint="eastAsia" w:ascii="Times New Roman" w:eastAsia="方正小标宋简体" w:cs="Times New Roman"/>
          <w:color w:val="auto"/>
          <w:kern w:val="2"/>
          <w:sz w:val="84"/>
          <w:szCs w:val="84"/>
          <w:highlight w:val="none"/>
          <w:lang w:val="en-US" w:eastAsia="zh-CN" w:bidi="ar-SA"/>
        </w:rPr>
        <w:t>松潘县</w:t>
      </w:r>
      <w:bookmarkEnd w:id="5"/>
      <w:bookmarkStart w:id="11" w:name="_Toc15306268"/>
      <w:r>
        <w:rPr>
          <w:rFonts w:hint="eastAsia" w:ascii="Times New Roman" w:eastAsia="方正小标宋简体" w:cs="Times New Roman"/>
          <w:color w:val="auto"/>
          <w:kern w:val="2"/>
          <w:sz w:val="84"/>
          <w:szCs w:val="84"/>
          <w:highlight w:val="none"/>
          <w:lang w:val="en-US" w:eastAsia="zh-CN" w:bidi="ar-SA"/>
        </w:rPr>
        <w:t>妇幼保健院</w:t>
      </w:r>
      <w:r>
        <w:rPr>
          <w:rFonts w:hint="eastAsia" w:ascii="Times New Roman" w:hAnsi="Times New Roman" w:eastAsia="方正小标宋简体" w:cs="Times New Roman"/>
          <w:color w:val="auto"/>
          <w:kern w:val="2"/>
          <w:sz w:val="84"/>
          <w:szCs w:val="84"/>
          <w:highlight w:val="none"/>
          <w:lang w:val="en-US" w:eastAsia="zh-CN" w:bidi="ar-SA"/>
        </w:rPr>
        <w:t>部门决算</w:t>
      </w:r>
      <w:bookmarkEnd w:id="6"/>
      <w:bookmarkEnd w:id="7"/>
      <w:bookmarkEnd w:id="8"/>
      <w:bookmarkEnd w:id="9"/>
      <w:bookmarkEnd w:id="10"/>
      <w:bookmarkEnd w:id="11"/>
      <w:r>
        <w:rPr>
          <w:rFonts w:hint="eastAsia" w:ascii="Times New Roman" w:eastAsia="方正小标宋简体" w:cs="Times New Roman"/>
          <w:color w:val="auto"/>
          <w:kern w:val="2"/>
          <w:sz w:val="84"/>
          <w:szCs w:val="84"/>
          <w:highlight w:val="none"/>
          <w:lang w:val="en-US" w:eastAsia="zh-CN" w:bidi="ar-SA"/>
        </w:rPr>
        <w:t>公开</w:t>
      </w:r>
    </w:p>
    <w:p w14:paraId="7791ACBB">
      <w:pPr>
        <w:widowControl/>
        <w:jc w:val="center"/>
        <w:rPr>
          <w:rFonts w:hint="eastAsia" w:ascii="Times New Roman" w:hAnsi="Times New Roman" w:eastAsia="黑体"/>
          <w:color w:val="auto"/>
          <w:sz w:val="48"/>
          <w:szCs w:val="48"/>
          <w:highlight w:val="none"/>
        </w:rPr>
      </w:pPr>
    </w:p>
    <w:p w14:paraId="2538ABC4">
      <w:pPr>
        <w:widowControl/>
        <w:jc w:val="center"/>
        <w:rPr>
          <w:rFonts w:hint="eastAsia" w:ascii="Times New Roman" w:hAnsi="Times New Roman" w:eastAsia="黑体"/>
          <w:color w:val="auto"/>
          <w:sz w:val="48"/>
          <w:szCs w:val="48"/>
          <w:highlight w:val="none"/>
        </w:rPr>
      </w:pPr>
    </w:p>
    <w:p w14:paraId="72A06819">
      <w:pPr>
        <w:widowControl/>
        <w:jc w:val="center"/>
        <w:rPr>
          <w:rFonts w:hint="eastAsia" w:ascii="Times New Roman" w:hAnsi="Times New Roman" w:eastAsia="黑体"/>
          <w:color w:val="auto"/>
          <w:sz w:val="48"/>
          <w:szCs w:val="48"/>
          <w:highlight w:val="none"/>
        </w:rPr>
      </w:pPr>
    </w:p>
    <w:p w14:paraId="7E190A15">
      <w:pPr>
        <w:widowControl/>
        <w:jc w:val="center"/>
        <w:rPr>
          <w:rFonts w:hint="eastAsia" w:ascii="Times New Roman" w:hAnsi="Times New Roman" w:eastAsia="黑体"/>
          <w:color w:val="auto"/>
          <w:sz w:val="48"/>
          <w:szCs w:val="48"/>
          <w:highlight w:val="none"/>
        </w:rPr>
      </w:pPr>
    </w:p>
    <w:p w14:paraId="52688C08">
      <w:pPr>
        <w:widowControl/>
        <w:jc w:val="center"/>
        <w:rPr>
          <w:rFonts w:hint="eastAsia" w:ascii="Times New Roman" w:hAnsi="Times New Roman" w:eastAsia="黑体"/>
          <w:color w:val="auto"/>
          <w:sz w:val="48"/>
          <w:szCs w:val="48"/>
          <w:highlight w:val="none"/>
        </w:rPr>
      </w:pPr>
    </w:p>
    <w:p w14:paraId="57B23D3E">
      <w:pPr>
        <w:widowControl/>
        <w:jc w:val="center"/>
        <w:rPr>
          <w:rFonts w:hint="eastAsia" w:ascii="Times New Roman" w:hAnsi="Times New Roman" w:eastAsia="黑体"/>
          <w:color w:val="auto"/>
          <w:sz w:val="48"/>
          <w:szCs w:val="48"/>
          <w:highlight w:val="none"/>
        </w:rPr>
      </w:pPr>
    </w:p>
    <w:p w14:paraId="232DD491">
      <w:pPr>
        <w:widowControl/>
        <w:jc w:val="center"/>
        <w:rPr>
          <w:rFonts w:hint="eastAsia" w:ascii="Times New Roman" w:hAnsi="Times New Roman" w:eastAsia="黑体"/>
          <w:color w:val="auto"/>
          <w:sz w:val="48"/>
          <w:szCs w:val="48"/>
          <w:highlight w:val="none"/>
        </w:rPr>
      </w:pPr>
    </w:p>
    <w:p w14:paraId="71827030">
      <w:pPr>
        <w:widowControl/>
        <w:jc w:val="center"/>
        <w:rPr>
          <w:rFonts w:hint="eastAsia" w:ascii="Times New Roman" w:hAnsi="Times New Roman" w:eastAsia="黑体"/>
          <w:color w:val="auto"/>
          <w:sz w:val="48"/>
          <w:szCs w:val="48"/>
          <w:highlight w:val="none"/>
        </w:rPr>
      </w:pPr>
    </w:p>
    <w:p w14:paraId="002C5F3E">
      <w:pPr>
        <w:widowControl/>
        <w:jc w:val="center"/>
        <w:rPr>
          <w:rFonts w:hint="eastAsia" w:ascii="Times New Roman" w:hAnsi="Times New Roman" w:eastAsia="黑体"/>
          <w:color w:val="auto"/>
          <w:sz w:val="48"/>
          <w:szCs w:val="48"/>
          <w:highlight w:val="none"/>
        </w:rPr>
      </w:pPr>
    </w:p>
    <w:p w14:paraId="22AAAC9C">
      <w:pPr>
        <w:widowControl/>
        <w:jc w:val="center"/>
        <w:rPr>
          <w:rFonts w:hint="eastAsia" w:ascii="Times New Roman" w:hAnsi="Times New Roman" w:eastAsia="黑体"/>
          <w:color w:val="auto"/>
          <w:sz w:val="48"/>
          <w:szCs w:val="48"/>
          <w:highlight w:val="none"/>
        </w:rPr>
      </w:pPr>
    </w:p>
    <w:p w14:paraId="53D0741B">
      <w:pPr>
        <w:widowControl/>
        <w:jc w:val="both"/>
        <w:rPr>
          <w:rFonts w:hint="eastAsia" w:ascii="Times New Roman" w:hAnsi="Times New Roman" w:eastAsia="黑体"/>
          <w:color w:val="auto"/>
          <w:sz w:val="32"/>
          <w:szCs w:val="32"/>
          <w:highlight w:val="none"/>
        </w:rPr>
      </w:pPr>
    </w:p>
    <w:p w14:paraId="5D7E5E46">
      <w:pPr>
        <w:widowControl/>
        <w:jc w:val="center"/>
        <w:rPr>
          <w:rFonts w:hint="eastAsia" w:ascii="Times New Roman" w:hAnsi="Times New Roman" w:eastAsia="黑体"/>
          <w:color w:val="auto"/>
          <w:sz w:val="32"/>
          <w:szCs w:val="32"/>
          <w:highlight w:val="none"/>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pPr>
    </w:p>
    <w:p w14:paraId="7DD58487">
      <w:pPr>
        <w:widowControl/>
        <w:jc w:val="center"/>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目录</w:t>
      </w:r>
    </w:p>
    <w:p w14:paraId="0089F85A">
      <w:pPr>
        <w:pStyle w:val="12"/>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7466"/>
        <w15:color w:val="DBDBDB"/>
        <w:docPartObj>
          <w:docPartGallery w:val="Table of Contents"/>
          <w:docPartUnique/>
        </w:docPartObj>
      </w:sdtPr>
      <w:sdtEndPr>
        <w:rPr>
          <w:rFonts w:hint="eastAsia" w:ascii="Times New Roman" w:hAnsi="Times New Roman" w:eastAsia="仿宋_GB2312" w:cs="仿宋_GB2312"/>
          <w:color w:val="auto"/>
          <w:kern w:val="2"/>
          <w:sz w:val="28"/>
          <w:szCs w:val="28"/>
          <w:highlight w:val="none"/>
          <w:lang w:val="en-US" w:eastAsia="zh-CN" w:bidi="ar-SA"/>
        </w:rPr>
      </w:sdtEndPr>
      <w:sdtContent>
        <w:p w14:paraId="5F3FC7DC">
          <w:pPr>
            <w:spacing w:before="0" w:beforeLines="0" w:after="0" w:afterLines="0" w:line="240" w:lineRule="auto"/>
            <w:ind w:left="0" w:leftChars="0" w:right="0" w:rightChars="0" w:firstLine="0" w:firstLineChars="0"/>
            <w:jc w:val="center"/>
          </w:pPr>
        </w:p>
        <w:p w14:paraId="4703F5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TOC \o "1-2" \h \u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黑体" w:hAnsi="黑体" w:eastAsia="黑体" w:cs="黑体"/>
              <w:kern w:val="2"/>
              <w:sz w:val="32"/>
              <w:szCs w:val="32"/>
              <w:lang w:val="en-US" w:eastAsia="zh-CN" w:bidi="ar-SA"/>
            </w:rPr>
            <w:fldChar w:fldCharType="begin"/>
          </w:r>
          <w:r>
            <w:rPr>
              <w:rFonts w:hint="eastAsia" w:ascii="黑体" w:hAnsi="黑体" w:eastAsia="黑体" w:cs="黑体"/>
              <w:kern w:val="2"/>
              <w:sz w:val="32"/>
              <w:szCs w:val="32"/>
              <w:lang w:val="en-US" w:eastAsia="zh-CN" w:bidi="ar-SA"/>
            </w:rPr>
            <w:instrText xml:space="preserve"> HYPERLINK \l _Toc5742 </w:instrText>
          </w:r>
          <w:r>
            <w:rPr>
              <w:rFonts w:hint="eastAsia" w:ascii="黑体" w:hAnsi="黑体" w:eastAsia="黑体" w:cs="黑体"/>
              <w:kern w:val="2"/>
              <w:sz w:val="32"/>
              <w:szCs w:val="32"/>
              <w:lang w:val="en-US" w:eastAsia="zh-CN" w:bidi="ar-SA"/>
            </w:rPr>
            <w:fldChar w:fldCharType="separate"/>
          </w:r>
          <w:r>
            <w:rPr>
              <w:rFonts w:hint="eastAsia" w:ascii="黑体" w:hAnsi="黑体" w:eastAsia="黑体" w:cs="黑体"/>
              <w:kern w:val="2"/>
              <w:sz w:val="32"/>
              <w:szCs w:val="32"/>
              <w:lang w:val="en-US" w:eastAsia="zh-CN" w:bidi="ar-SA"/>
            </w:rPr>
            <w:t>第一部分  部门概况</w:t>
          </w:r>
          <w:r>
            <w:rPr>
              <w:rFonts w:hint="eastAsia" w:ascii="黑体" w:hAnsi="黑体" w:eastAsia="黑体" w:cs="黑体"/>
              <w:kern w:val="2"/>
              <w:sz w:val="32"/>
              <w:szCs w:val="32"/>
              <w:lang w:val="en-US" w:eastAsia="zh-CN" w:bidi="ar-SA"/>
            </w:rPr>
            <w:tab/>
          </w:r>
          <w:r>
            <w:rPr>
              <w:rFonts w:hint="eastAsia" w:ascii="黑体" w:hAnsi="黑体" w:eastAsia="黑体" w:cs="黑体"/>
              <w:kern w:val="2"/>
              <w:sz w:val="28"/>
              <w:szCs w:val="28"/>
              <w:lang w:val="en-US" w:eastAsia="zh-CN" w:bidi="ar-SA"/>
            </w:rPr>
            <w:fldChar w:fldCharType="begin"/>
          </w:r>
          <w:r>
            <w:rPr>
              <w:rFonts w:hint="eastAsia" w:ascii="黑体" w:hAnsi="黑体" w:eastAsia="黑体" w:cs="黑体"/>
              <w:kern w:val="2"/>
              <w:sz w:val="28"/>
              <w:szCs w:val="28"/>
              <w:lang w:val="en-US" w:eastAsia="zh-CN" w:bidi="ar-SA"/>
            </w:rPr>
            <w:instrText xml:space="preserve"> PAGEREF _Toc5742 \h </w:instrText>
          </w:r>
          <w:r>
            <w:rPr>
              <w:rFonts w:hint="eastAsia" w:ascii="黑体" w:hAnsi="黑体" w:eastAsia="黑体" w:cs="黑体"/>
              <w:kern w:val="2"/>
              <w:sz w:val="28"/>
              <w:szCs w:val="28"/>
              <w:lang w:val="en-US" w:eastAsia="zh-CN" w:bidi="ar-SA"/>
            </w:rPr>
            <w:fldChar w:fldCharType="separate"/>
          </w:r>
          <w:r>
            <w:rPr>
              <w:rFonts w:hint="eastAsia" w:ascii="黑体" w:hAnsi="黑体" w:eastAsia="黑体" w:cs="黑体"/>
              <w:kern w:val="2"/>
              <w:sz w:val="28"/>
              <w:szCs w:val="28"/>
              <w:lang w:val="en-US" w:eastAsia="zh-CN" w:bidi="ar-SA"/>
            </w:rPr>
            <w:t>- 4 -</w:t>
          </w:r>
          <w:r>
            <w:rPr>
              <w:rFonts w:hint="eastAsia" w:ascii="黑体" w:hAnsi="黑体" w:eastAsia="黑体" w:cs="黑体"/>
              <w:kern w:val="2"/>
              <w:sz w:val="28"/>
              <w:szCs w:val="28"/>
              <w:lang w:val="en-US" w:eastAsia="zh-CN" w:bidi="ar-SA"/>
            </w:rPr>
            <w:fldChar w:fldCharType="end"/>
          </w:r>
          <w:r>
            <w:rPr>
              <w:rFonts w:hint="eastAsia" w:ascii="黑体" w:hAnsi="黑体" w:eastAsia="黑体" w:cs="黑体"/>
              <w:kern w:val="2"/>
              <w:sz w:val="32"/>
              <w:szCs w:val="32"/>
              <w:lang w:val="en-US" w:eastAsia="zh-CN" w:bidi="ar-SA"/>
            </w:rPr>
            <w:fldChar w:fldCharType="end"/>
          </w:r>
        </w:p>
        <w:p w14:paraId="776CF78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_Toc9731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一、部门职责</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_Toc9731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6746F56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_Toc31799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二、机构设置</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_Toc31799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23D904E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fldChar w:fldCharType="begin"/>
          </w:r>
          <w:r>
            <w:rPr>
              <w:rFonts w:hint="eastAsia" w:ascii="黑体" w:hAnsi="黑体" w:eastAsia="黑体" w:cs="黑体"/>
              <w:kern w:val="2"/>
              <w:sz w:val="32"/>
              <w:szCs w:val="32"/>
              <w:lang w:val="en-US" w:eastAsia="zh-CN" w:bidi="ar-SA"/>
            </w:rPr>
            <w:instrText xml:space="preserve"> HYPERLINK \l _Toc10354 </w:instrText>
          </w:r>
          <w:r>
            <w:rPr>
              <w:rFonts w:hint="eastAsia" w:ascii="黑体" w:hAnsi="黑体" w:eastAsia="黑体" w:cs="黑体"/>
              <w:kern w:val="2"/>
              <w:sz w:val="32"/>
              <w:szCs w:val="32"/>
              <w:lang w:val="en-US" w:eastAsia="zh-CN" w:bidi="ar-SA"/>
            </w:rPr>
            <w:fldChar w:fldCharType="separate"/>
          </w:r>
          <w:r>
            <w:rPr>
              <w:rFonts w:hint="eastAsia" w:ascii="黑体" w:hAnsi="黑体" w:eastAsia="黑体" w:cs="黑体"/>
              <w:kern w:val="2"/>
              <w:sz w:val="32"/>
              <w:szCs w:val="32"/>
              <w:lang w:val="en-US" w:eastAsia="zh-CN" w:bidi="ar-SA"/>
            </w:rPr>
            <w:t>第二部分  2025年度部门决算情况说明</w:t>
          </w:r>
          <w:r>
            <w:rPr>
              <w:rFonts w:hint="eastAsia" w:ascii="黑体" w:hAnsi="黑体" w:eastAsia="黑体" w:cs="黑体"/>
              <w:kern w:val="2"/>
              <w:sz w:val="32"/>
              <w:szCs w:val="32"/>
              <w:lang w:val="en-US" w:eastAsia="zh-CN" w:bidi="ar-SA"/>
            </w:rPr>
            <w:tab/>
          </w:r>
          <w:r>
            <w:rPr>
              <w:rFonts w:hint="eastAsia" w:ascii="黑体" w:hAnsi="黑体" w:eastAsia="黑体" w:cs="黑体"/>
              <w:kern w:val="2"/>
              <w:sz w:val="28"/>
              <w:szCs w:val="28"/>
              <w:lang w:val="en-US" w:eastAsia="zh-CN" w:bidi="ar-SA"/>
            </w:rPr>
            <w:t xml:space="preserve"> </w:t>
          </w:r>
          <w:r>
            <w:rPr>
              <w:rFonts w:hint="eastAsia" w:ascii="黑体" w:hAnsi="黑体" w:eastAsia="黑体" w:cs="黑体"/>
              <w:kern w:val="2"/>
              <w:sz w:val="28"/>
              <w:szCs w:val="28"/>
              <w:lang w:val="en-US" w:eastAsia="zh-CN" w:bidi="ar-SA"/>
            </w:rPr>
            <w:fldChar w:fldCharType="begin"/>
          </w:r>
          <w:r>
            <w:rPr>
              <w:rFonts w:hint="eastAsia" w:ascii="黑体" w:hAnsi="黑体" w:eastAsia="黑体" w:cs="黑体"/>
              <w:kern w:val="2"/>
              <w:sz w:val="28"/>
              <w:szCs w:val="28"/>
              <w:lang w:val="en-US" w:eastAsia="zh-CN" w:bidi="ar-SA"/>
            </w:rPr>
            <w:instrText xml:space="preserve"> PAGEREF _Toc10354 \h </w:instrText>
          </w:r>
          <w:r>
            <w:rPr>
              <w:rFonts w:hint="eastAsia" w:ascii="黑体" w:hAnsi="黑体" w:eastAsia="黑体" w:cs="黑体"/>
              <w:kern w:val="2"/>
              <w:sz w:val="28"/>
              <w:szCs w:val="28"/>
              <w:lang w:val="en-US" w:eastAsia="zh-CN" w:bidi="ar-SA"/>
            </w:rPr>
            <w:fldChar w:fldCharType="separate"/>
          </w:r>
          <w:r>
            <w:rPr>
              <w:rFonts w:hint="eastAsia" w:ascii="黑体" w:hAnsi="黑体" w:eastAsia="黑体" w:cs="黑体"/>
              <w:kern w:val="2"/>
              <w:sz w:val="28"/>
              <w:szCs w:val="28"/>
              <w:lang w:val="en-US" w:eastAsia="zh-CN" w:bidi="ar-SA"/>
            </w:rPr>
            <w:t>- 5 -</w:t>
          </w:r>
          <w:r>
            <w:rPr>
              <w:rFonts w:hint="eastAsia" w:ascii="黑体" w:hAnsi="黑体" w:eastAsia="黑体" w:cs="黑体"/>
              <w:kern w:val="2"/>
              <w:sz w:val="28"/>
              <w:szCs w:val="28"/>
              <w:lang w:val="en-US" w:eastAsia="zh-CN" w:bidi="ar-SA"/>
            </w:rPr>
            <w:fldChar w:fldCharType="end"/>
          </w:r>
          <w:r>
            <w:rPr>
              <w:rFonts w:hint="eastAsia" w:ascii="黑体" w:hAnsi="黑体" w:eastAsia="黑体" w:cs="黑体"/>
              <w:kern w:val="2"/>
              <w:sz w:val="32"/>
              <w:szCs w:val="32"/>
              <w:lang w:val="en-US" w:eastAsia="zh-CN" w:bidi="ar-SA"/>
            </w:rPr>
            <w:fldChar w:fldCharType="end"/>
          </w:r>
        </w:p>
        <w:p w14:paraId="0ECB746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_Toc7730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一、收入支出决算总体情况说明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_Toc7730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- 5 -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2CD009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_Toc26344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二、收入决算情况说明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_Toc26344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- 6 -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7452009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_Toc24086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三、支出决算情况说明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_Toc24086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- 6 -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5B9F48F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_Toc23541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四、财政拨款收入支出决算总体情况说明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_Toc23541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- 7 -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3FEE502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_Toc1459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五、一般公共预算财政拨款支出决算情况说明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_Toc1459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- 8 -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7B240D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_Toc5581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六、一般公共预算财政拨款基本支出决算情况说明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_Toc5581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- 11 -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2A5BFE3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_Toc5488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七、财政拨款“三公”经费支出决算情况说明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_Toc5488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- 12 -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73E0DD0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_Toc16102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八、政府性基金预算支出决算情况说明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_Toc16102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- 13 -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402D221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_Toc24790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九、国有资本经营预算支出决算情况说明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_Toc24790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- 13 -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0F7B7F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_Toc6590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十、其他重要事项的情况说明</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_Toc6590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- 14 -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18488B2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fldChar w:fldCharType="begin"/>
          </w:r>
          <w:r>
            <w:rPr>
              <w:rFonts w:hint="eastAsia" w:ascii="黑体" w:hAnsi="黑体" w:eastAsia="黑体" w:cs="黑体"/>
              <w:kern w:val="2"/>
              <w:sz w:val="32"/>
              <w:szCs w:val="32"/>
              <w:lang w:val="en-US" w:eastAsia="zh-CN" w:bidi="ar-SA"/>
            </w:rPr>
            <w:instrText xml:space="preserve"> HYPERLINK \l _Toc26062 </w:instrText>
          </w:r>
          <w:r>
            <w:rPr>
              <w:rFonts w:hint="eastAsia" w:ascii="黑体" w:hAnsi="黑体" w:eastAsia="黑体" w:cs="黑体"/>
              <w:kern w:val="2"/>
              <w:sz w:val="32"/>
              <w:szCs w:val="32"/>
              <w:lang w:val="en-US" w:eastAsia="zh-CN" w:bidi="ar-SA"/>
            </w:rPr>
            <w:fldChar w:fldCharType="separate"/>
          </w:r>
          <w:r>
            <w:rPr>
              <w:rFonts w:hint="eastAsia" w:ascii="黑体" w:hAnsi="黑体" w:eastAsia="黑体" w:cs="黑体"/>
              <w:kern w:val="2"/>
              <w:sz w:val="32"/>
              <w:szCs w:val="32"/>
              <w:lang w:val="en-US" w:eastAsia="zh-CN" w:bidi="ar-SA"/>
            </w:rPr>
            <w:t>第三部分  名词解释</w:t>
          </w:r>
          <w:r>
            <w:rPr>
              <w:rFonts w:hint="eastAsia" w:ascii="黑体" w:hAnsi="黑体" w:eastAsia="黑体" w:cs="黑体"/>
              <w:kern w:val="2"/>
              <w:sz w:val="32"/>
              <w:szCs w:val="32"/>
              <w:lang w:val="en-US" w:eastAsia="zh-CN" w:bidi="ar-SA"/>
            </w:rPr>
            <w:tab/>
          </w:r>
          <w:r>
            <w:rPr>
              <w:rFonts w:hint="eastAsia" w:ascii="黑体" w:hAnsi="黑体" w:eastAsia="黑体" w:cs="黑体"/>
              <w:kern w:val="2"/>
              <w:sz w:val="28"/>
              <w:szCs w:val="28"/>
              <w:lang w:val="en-US" w:eastAsia="zh-CN" w:bidi="ar-SA"/>
            </w:rPr>
            <w:fldChar w:fldCharType="begin"/>
          </w:r>
          <w:r>
            <w:rPr>
              <w:rFonts w:hint="eastAsia" w:ascii="黑体" w:hAnsi="黑体" w:eastAsia="黑体" w:cs="黑体"/>
              <w:kern w:val="2"/>
              <w:sz w:val="28"/>
              <w:szCs w:val="28"/>
              <w:lang w:val="en-US" w:eastAsia="zh-CN" w:bidi="ar-SA"/>
            </w:rPr>
            <w:instrText xml:space="preserve"> PAGEREF _Toc26062 \h </w:instrText>
          </w:r>
          <w:r>
            <w:rPr>
              <w:rFonts w:hint="eastAsia" w:ascii="黑体" w:hAnsi="黑体" w:eastAsia="黑体" w:cs="黑体"/>
              <w:kern w:val="2"/>
              <w:sz w:val="28"/>
              <w:szCs w:val="28"/>
              <w:lang w:val="en-US" w:eastAsia="zh-CN" w:bidi="ar-SA"/>
            </w:rPr>
            <w:fldChar w:fldCharType="separate"/>
          </w:r>
          <w:r>
            <w:rPr>
              <w:rFonts w:hint="eastAsia" w:ascii="黑体" w:hAnsi="黑体" w:eastAsia="黑体" w:cs="黑体"/>
              <w:kern w:val="2"/>
              <w:sz w:val="28"/>
              <w:szCs w:val="28"/>
              <w:lang w:val="en-US" w:eastAsia="zh-CN" w:bidi="ar-SA"/>
            </w:rPr>
            <w:t>- 15 -</w:t>
          </w:r>
          <w:r>
            <w:rPr>
              <w:rFonts w:hint="eastAsia" w:ascii="黑体" w:hAnsi="黑体" w:eastAsia="黑体" w:cs="黑体"/>
              <w:kern w:val="2"/>
              <w:sz w:val="28"/>
              <w:szCs w:val="28"/>
              <w:lang w:val="en-US" w:eastAsia="zh-CN" w:bidi="ar-SA"/>
            </w:rPr>
            <w:fldChar w:fldCharType="end"/>
          </w:r>
          <w:r>
            <w:rPr>
              <w:rFonts w:hint="eastAsia" w:ascii="黑体" w:hAnsi="黑体" w:eastAsia="黑体" w:cs="黑体"/>
              <w:kern w:val="2"/>
              <w:sz w:val="32"/>
              <w:szCs w:val="32"/>
              <w:lang w:val="en-US" w:eastAsia="zh-CN" w:bidi="ar-SA"/>
            </w:rPr>
            <w:fldChar w:fldCharType="end"/>
          </w:r>
        </w:p>
        <w:p w14:paraId="35323A9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fldChar w:fldCharType="begin"/>
          </w:r>
          <w:r>
            <w:rPr>
              <w:rFonts w:hint="eastAsia" w:ascii="黑体" w:hAnsi="黑体" w:eastAsia="黑体" w:cs="黑体"/>
              <w:kern w:val="2"/>
              <w:sz w:val="32"/>
              <w:szCs w:val="32"/>
              <w:lang w:val="en-US" w:eastAsia="zh-CN" w:bidi="ar-SA"/>
            </w:rPr>
            <w:instrText xml:space="preserve"> HYPERLINK \l _Toc25718 </w:instrText>
          </w:r>
          <w:r>
            <w:rPr>
              <w:rFonts w:hint="eastAsia" w:ascii="黑体" w:hAnsi="黑体" w:eastAsia="黑体" w:cs="黑体"/>
              <w:kern w:val="2"/>
              <w:sz w:val="32"/>
              <w:szCs w:val="32"/>
              <w:lang w:val="en-US" w:eastAsia="zh-CN" w:bidi="ar-SA"/>
            </w:rPr>
            <w:fldChar w:fldCharType="separate"/>
          </w:r>
          <w:r>
            <w:rPr>
              <w:rFonts w:hint="eastAsia" w:ascii="黑体" w:hAnsi="黑体" w:eastAsia="黑体" w:cs="黑体"/>
              <w:kern w:val="2"/>
              <w:sz w:val="32"/>
              <w:szCs w:val="32"/>
              <w:lang w:val="en-US" w:eastAsia="zh-CN" w:bidi="ar-SA"/>
            </w:rPr>
            <w:t>第四部分  附件</w:t>
          </w:r>
          <w:r>
            <w:rPr>
              <w:rFonts w:hint="eastAsia" w:ascii="黑体" w:hAnsi="黑体" w:eastAsia="黑体" w:cs="黑体"/>
              <w:kern w:val="2"/>
              <w:sz w:val="32"/>
              <w:szCs w:val="32"/>
              <w:lang w:val="en-US" w:eastAsia="zh-CN" w:bidi="ar-SA"/>
            </w:rPr>
            <w:tab/>
          </w:r>
          <w:r>
            <w:rPr>
              <w:rFonts w:hint="eastAsia" w:ascii="黑体" w:hAnsi="黑体" w:eastAsia="黑体" w:cs="黑体"/>
              <w:kern w:val="2"/>
              <w:sz w:val="28"/>
              <w:szCs w:val="28"/>
              <w:lang w:val="en-US" w:eastAsia="zh-CN" w:bidi="ar-SA"/>
            </w:rPr>
            <w:fldChar w:fldCharType="begin"/>
          </w:r>
          <w:r>
            <w:rPr>
              <w:rFonts w:hint="eastAsia" w:ascii="黑体" w:hAnsi="黑体" w:eastAsia="黑体" w:cs="黑体"/>
              <w:kern w:val="2"/>
              <w:sz w:val="28"/>
              <w:szCs w:val="28"/>
              <w:lang w:val="en-US" w:eastAsia="zh-CN" w:bidi="ar-SA"/>
            </w:rPr>
            <w:instrText xml:space="preserve"> PAGEREF _Toc25718 \h </w:instrText>
          </w:r>
          <w:r>
            <w:rPr>
              <w:rFonts w:hint="eastAsia" w:ascii="黑体" w:hAnsi="黑体" w:eastAsia="黑体" w:cs="黑体"/>
              <w:kern w:val="2"/>
              <w:sz w:val="28"/>
              <w:szCs w:val="28"/>
              <w:lang w:val="en-US" w:eastAsia="zh-CN" w:bidi="ar-SA"/>
            </w:rPr>
            <w:fldChar w:fldCharType="separate"/>
          </w:r>
          <w:r>
            <w:rPr>
              <w:rFonts w:hint="eastAsia" w:ascii="黑体" w:hAnsi="黑体" w:eastAsia="黑体" w:cs="黑体"/>
              <w:kern w:val="2"/>
              <w:sz w:val="28"/>
              <w:szCs w:val="28"/>
              <w:lang w:val="en-US" w:eastAsia="zh-CN" w:bidi="ar-SA"/>
            </w:rPr>
            <w:t>- 18 -</w:t>
          </w:r>
          <w:r>
            <w:rPr>
              <w:rFonts w:hint="eastAsia" w:ascii="黑体" w:hAnsi="黑体" w:eastAsia="黑体" w:cs="黑体"/>
              <w:kern w:val="2"/>
              <w:sz w:val="28"/>
              <w:szCs w:val="28"/>
              <w:lang w:val="en-US" w:eastAsia="zh-CN" w:bidi="ar-SA"/>
            </w:rPr>
            <w:fldChar w:fldCharType="end"/>
          </w:r>
          <w:r>
            <w:rPr>
              <w:rFonts w:hint="eastAsia" w:ascii="黑体" w:hAnsi="黑体" w:eastAsia="黑体" w:cs="黑体"/>
              <w:kern w:val="2"/>
              <w:sz w:val="32"/>
              <w:szCs w:val="32"/>
              <w:lang w:val="en-US" w:eastAsia="zh-CN" w:bidi="ar-SA"/>
            </w:rPr>
            <w:fldChar w:fldCharType="end"/>
          </w:r>
        </w:p>
        <w:p w14:paraId="67B09D9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黑体" w:hAnsi="黑体" w:eastAsia="黑体" w:cs="黑体"/>
              <w:kern w:val="2"/>
              <w:sz w:val="32"/>
              <w:szCs w:val="32"/>
              <w:lang w:val="en-US" w:eastAsia="zh-CN" w:bidi="ar-SA"/>
            </w:rPr>
            <w:fldChar w:fldCharType="begin"/>
          </w:r>
          <w:r>
            <w:rPr>
              <w:rFonts w:hint="eastAsia" w:ascii="黑体" w:hAnsi="黑体" w:eastAsia="黑体" w:cs="黑体"/>
              <w:kern w:val="2"/>
              <w:sz w:val="32"/>
              <w:szCs w:val="32"/>
              <w:lang w:val="en-US" w:eastAsia="zh-CN" w:bidi="ar-SA"/>
            </w:rPr>
            <w:instrText xml:space="preserve"> HYPERLINK \l _Toc10853 </w:instrText>
          </w:r>
          <w:r>
            <w:rPr>
              <w:rFonts w:hint="eastAsia" w:ascii="黑体" w:hAnsi="黑体" w:eastAsia="黑体" w:cs="黑体"/>
              <w:kern w:val="2"/>
              <w:sz w:val="32"/>
              <w:szCs w:val="32"/>
              <w:lang w:val="en-US" w:eastAsia="zh-CN" w:bidi="ar-SA"/>
            </w:rPr>
            <w:fldChar w:fldCharType="separate"/>
          </w:r>
          <w:r>
            <w:rPr>
              <w:rFonts w:hint="eastAsia" w:ascii="黑体" w:hAnsi="黑体" w:eastAsia="黑体" w:cs="黑体"/>
              <w:kern w:val="2"/>
              <w:sz w:val="32"/>
              <w:szCs w:val="32"/>
              <w:lang w:val="en-US" w:eastAsia="zh-CN" w:bidi="ar-SA"/>
            </w:rPr>
            <w:t>第五部分 附表</w:t>
          </w:r>
          <w:r>
            <w:rPr>
              <w:rFonts w:hint="eastAsia" w:ascii="黑体" w:hAnsi="黑体" w:eastAsia="黑体" w:cs="黑体"/>
              <w:kern w:val="2"/>
              <w:sz w:val="32"/>
              <w:szCs w:val="32"/>
              <w:lang w:val="en-US" w:eastAsia="zh-CN" w:bidi="ar-SA"/>
            </w:rPr>
            <w:tab/>
          </w:r>
          <w:r>
            <w:rPr>
              <w:rFonts w:hint="eastAsia" w:ascii="黑体" w:hAnsi="黑体" w:eastAsia="黑体" w:cs="黑体"/>
              <w:kern w:val="2"/>
              <w:sz w:val="28"/>
              <w:szCs w:val="28"/>
              <w:lang w:val="en-US" w:eastAsia="zh-CN" w:bidi="ar-SA"/>
            </w:rPr>
            <w:fldChar w:fldCharType="begin"/>
          </w:r>
          <w:r>
            <w:rPr>
              <w:rFonts w:hint="eastAsia" w:ascii="黑体" w:hAnsi="黑体" w:eastAsia="黑体" w:cs="黑体"/>
              <w:kern w:val="2"/>
              <w:sz w:val="28"/>
              <w:szCs w:val="28"/>
              <w:lang w:val="en-US" w:eastAsia="zh-CN" w:bidi="ar-SA"/>
            </w:rPr>
            <w:instrText xml:space="preserve"> PAGEREF _Toc10853 \h </w:instrText>
          </w:r>
          <w:r>
            <w:rPr>
              <w:rFonts w:hint="eastAsia" w:ascii="黑体" w:hAnsi="黑体" w:eastAsia="黑体" w:cs="黑体"/>
              <w:kern w:val="2"/>
              <w:sz w:val="28"/>
              <w:szCs w:val="28"/>
              <w:lang w:val="en-US" w:eastAsia="zh-CN" w:bidi="ar-SA"/>
            </w:rPr>
            <w:fldChar w:fldCharType="separate"/>
          </w:r>
          <w:r>
            <w:rPr>
              <w:rFonts w:hint="eastAsia" w:ascii="黑体" w:hAnsi="黑体" w:eastAsia="黑体" w:cs="黑体"/>
              <w:kern w:val="2"/>
              <w:sz w:val="28"/>
              <w:szCs w:val="28"/>
              <w:lang w:val="en-US" w:eastAsia="zh-CN" w:bidi="ar-SA"/>
            </w:rPr>
            <w:t>- 24 -</w:t>
          </w:r>
          <w:r>
            <w:rPr>
              <w:rFonts w:hint="eastAsia" w:ascii="黑体" w:hAnsi="黑体" w:eastAsia="黑体" w:cs="黑体"/>
              <w:kern w:val="2"/>
              <w:sz w:val="28"/>
              <w:szCs w:val="28"/>
              <w:lang w:val="en-US" w:eastAsia="zh-CN" w:bidi="ar-SA"/>
            </w:rPr>
            <w:fldChar w:fldCharType="end"/>
          </w:r>
          <w:r>
            <w:rPr>
              <w:rFonts w:hint="eastAsia" w:ascii="黑体" w:hAnsi="黑体" w:eastAsia="黑体" w:cs="黑体"/>
              <w:kern w:val="2"/>
              <w:sz w:val="32"/>
              <w:szCs w:val="32"/>
              <w:lang w:val="en-US" w:eastAsia="zh-CN" w:bidi="ar-SA"/>
            </w:rPr>
            <w:fldChar w:fldCharType="end"/>
          </w:r>
        </w:p>
        <w:p w14:paraId="69A0B7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_Toc5008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一、收入支出决算总表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_Toc5008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72676A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_Toc25882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二、收入决算表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_Toc25882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73E2B2B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_Toc20361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三、支出决算表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_Toc20361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36EF1F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_Toc8325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四、财政拨款收入支出决算总表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_Toc8325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45E6DD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_Toc13410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五、财政拨款支出决算明细表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_Toc13410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064C1A1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_Toc32071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六、一般公共预算财政拨款支出决算表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_Toc32071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002E2CE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_Toc2646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七、一般公共预算财政拨款支出决算明细表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_Toc2646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03F8121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_Toc3169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八、一般公共预算财政拨款基本支出决算表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_Toc3169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0EC7BF9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_Toc10570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九、一般公共预算财政拨款项目支出决算表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_Toc10570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494FC11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_Toc19813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十、政府性基金预算财政拨款收入支出决算表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_Toc19813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4CC379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_Toc1214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十一、国有资本经营预算财政拨款收入支出决算表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_Toc1214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3D7D93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_Toc30503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十二、国有资本经营预算财政拨款支出决算表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_Toc30503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309F3DF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840" w:firstLineChars="3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HYPERLINK \l _Toc3142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十三、财政拨款“三公”经费支出决算表</w:t>
          </w:r>
          <w:r>
            <w:rPr>
              <w:rFonts w:hint="eastAsia" w:ascii="Times New Roman" w:hAnsi="Times New Roman" w:eastAsia="仿宋_GB2312" w:cs="仿宋_GB2312"/>
              <w:color w:val="auto"/>
              <w:sz w:val="28"/>
              <w:szCs w:val="28"/>
              <w:highlight w:val="none"/>
              <w:lang w:val="en-US" w:eastAsia="zh-CN"/>
            </w:rPr>
            <w:tab/>
          </w:r>
          <w:r>
            <w:rPr>
              <w:rFonts w:hint="eastAsia" w:ascii="Times New Roman" w:hAnsi="Times New Roman" w:eastAsia="仿宋_GB2312" w:cs="仿宋_GB2312"/>
              <w:color w:val="auto"/>
              <w:sz w:val="28"/>
              <w:szCs w:val="28"/>
              <w:highlight w:val="none"/>
              <w:lang w:val="en-US" w:eastAsia="zh-CN"/>
            </w:rPr>
            <w:fldChar w:fldCharType="begin"/>
          </w:r>
          <w:r>
            <w:rPr>
              <w:rFonts w:hint="eastAsia" w:ascii="Times New Roman" w:hAnsi="Times New Roman" w:eastAsia="仿宋_GB2312" w:cs="仿宋_GB2312"/>
              <w:color w:val="auto"/>
              <w:sz w:val="28"/>
              <w:szCs w:val="28"/>
              <w:highlight w:val="none"/>
              <w:lang w:val="en-US" w:eastAsia="zh-CN"/>
            </w:rPr>
            <w:instrText xml:space="preserve"> PAGEREF _Toc3142 \h </w:instrText>
          </w:r>
          <w:r>
            <w:rPr>
              <w:rFonts w:hint="eastAsia" w:ascii="Times New Roman" w:hAnsi="Times New Roman" w:eastAsia="仿宋_GB2312" w:cs="仿宋_GB2312"/>
              <w:color w:val="auto"/>
              <w:sz w:val="28"/>
              <w:szCs w:val="28"/>
              <w:highlight w:val="none"/>
              <w:lang w:val="en-US" w:eastAsia="zh-CN"/>
            </w:rPr>
            <w:fldChar w:fldCharType="separate"/>
          </w:r>
          <w:r>
            <w:rPr>
              <w:rFonts w:hint="eastAsia" w:ascii="Times New Roman" w:hAnsi="Times New Roman" w:eastAsia="仿宋_GB2312" w:cs="仿宋_GB2312"/>
              <w:color w:val="auto"/>
              <w:sz w:val="28"/>
              <w:szCs w:val="28"/>
              <w:highlight w:val="none"/>
              <w:lang w:val="en-US" w:eastAsia="zh-CN"/>
            </w:rPr>
            <w:t>- 24 -</w:t>
          </w:r>
          <w:r>
            <w:rPr>
              <w:rFonts w:hint="eastAsia" w:ascii="Times New Roman" w:hAnsi="Times New Roman" w:eastAsia="仿宋_GB2312" w:cs="仿宋_GB2312"/>
              <w:color w:val="auto"/>
              <w:sz w:val="28"/>
              <w:szCs w:val="28"/>
              <w:highlight w:val="none"/>
              <w:lang w:val="en-US" w:eastAsia="zh-CN"/>
            </w:rPr>
            <w:fldChar w:fldCharType="end"/>
          </w:r>
          <w:r>
            <w:rPr>
              <w:rFonts w:hint="eastAsia" w:ascii="Times New Roman" w:hAnsi="Times New Roman" w:eastAsia="仿宋_GB2312" w:cs="仿宋_GB2312"/>
              <w:color w:val="auto"/>
              <w:sz w:val="28"/>
              <w:szCs w:val="28"/>
              <w:highlight w:val="none"/>
              <w:lang w:val="en-US" w:eastAsia="zh-CN"/>
            </w:rPr>
            <w:fldChar w:fldCharType="end"/>
          </w:r>
        </w:p>
        <w:p w14:paraId="5DB667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fldChar w:fldCharType="end"/>
          </w:r>
        </w:p>
      </w:sdtContent>
    </w:sdt>
    <w:p w14:paraId="0D9D92C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jc w:val="left"/>
        <w:textAlignment w:val="auto"/>
        <w:rPr>
          <w:rFonts w:hint="eastAsia" w:ascii="Times New Roman" w:hAnsi="Times New Roman" w:eastAsia="仿宋_GB2312" w:cs="仿宋_GB2312"/>
          <w:color w:val="auto"/>
          <w:sz w:val="28"/>
          <w:szCs w:val="28"/>
          <w:highlight w:val="none"/>
          <w:lang w:val="en-US" w:eastAsia="zh-CN"/>
        </w:rPr>
      </w:pPr>
    </w:p>
    <w:p w14:paraId="4EE97C40">
      <w:pPr>
        <w:pStyle w:val="14"/>
        <w:rPr>
          <w:rFonts w:hint="eastAsia" w:ascii="Times New Roman" w:hAnsi="Times New Roman" w:eastAsia="方正小标宋简体" w:cs="方正小标宋简体"/>
          <w:b w:val="0"/>
          <w:color w:val="auto"/>
          <w:highlight w:val="none"/>
        </w:rPr>
      </w:pPr>
    </w:p>
    <w:p w14:paraId="7FAAC886">
      <w:pPr>
        <w:rPr>
          <w:rFonts w:hint="eastAsia" w:ascii="Times New Roman" w:hAnsi="Times New Roman" w:eastAsia="方正小标宋简体" w:cs="方正小标宋简体"/>
          <w:b w:val="0"/>
          <w:color w:val="auto"/>
          <w:highlight w:val="none"/>
        </w:rPr>
      </w:pPr>
    </w:p>
    <w:p w14:paraId="00CA5245">
      <w:pPr>
        <w:pStyle w:val="14"/>
        <w:rPr>
          <w:rFonts w:hint="eastAsia" w:ascii="Times New Roman" w:hAnsi="Times New Roman" w:eastAsia="方正小标宋简体" w:cs="方正小标宋简体"/>
          <w:b w:val="0"/>
          <w:color w:val="auto"/>
          <w:highlight w:val="none"/>
        </w:rPr>
      </w:pPr>
    </w:p>
    <w:p w14:paraId="7659A04F">
      <w:pPr>
        <w:rPr>
          <w:rFonts w:hint="eastAsia" w:ascii="Times New Roman" w:hAnsi="Times New Roman" w:eastAsia="方正小标宋简体" w:cs="方正小标宋简体"/>
          <w:b w:val="0"/>
          <w:color w:val="auto"/>
          <w:highlight w:val="none"/>
        </w:rPr>
      </w:pPr>
    </w:p>
    <w:p w14:paraId="4DF33878">
      <w:pPr>
        <w:pStyle w:val="14"/>
        <w:rPr>
          <w:rFonts w:hint="eastAsia" w:ascii="Times New Roman" w:hAnsi="Times New Roman" w:eastAsia="方正小标宋简体" w:cs="方正小标宋简体"/>
          <w:b w:val="0"/>
          <w:color w:val="auto"/>
          <w:highlight w:val="none"/>
        </w:rPr>
      </w:pPr>
    </w:p>
    <w:p w14:paraId="64EBA8C2">
      <w:pPr>
        <w:rPr>
          <w:rFonts w:hint="eastAsia" w:ascii="Times New Roman" w:hAnsi="Times New Roman" w:eastAsia="方正小标宋简体" w:cs="方正小标宋简体"/>
          <w:b w:val="0"/>
          <w:color w:val="auto"/>
          <w:highlight w:val="none"/>
        </w:rPr>
      </w:pPr>
    </w:p>
    <w:p w14:paraId="15776266">
      <w:pPr>
        <w:pStyle w:val="14"/>
        <w:rPr>
          <w:rFonts w:hint="eastAsia" w:ascii="Times New Roman" w:hAnsi="Times New Roman" w:eastAsia="方正小标宋简体" w:cs="方正小标宋简体"/>
          <w:b w:val="0"/>
          <w:color w:val="auto"/>
          <w:highlight w:val="none"/>
        </w:rPr>
      </w:pPr>
    </w:p>
    <w:p w14:paraId="769603DE">
      <w:pPr>
        <w:rPr>
          <w:rFonts w:hint="eastAsia" w:ascii="Times New Roman" w:hAnsi="Times New Roman" w:eastAsia="方正小标宋简体" w:cs="方正小标宋简体"/>
          <w:b w:val="0"/>
          <w:color w:val="auto"/>
          <w:highlight w:val="none"/>
        </w:rPr>
      </w:pPr>
    </w:p>
    <w:p w14:paraId="737F3EA3">
      <w:pPr>
        <w:pStyle w:val="14"/>
        <w:rPr>
          <w:rFonts w:hint="eastAsia" w:ascii="Times New Roman" w:hAnsi="Times New Roman" w:eastAsia="方正小标宋简体" w:cs="方正小标宋简体"/>
          <w:b w:val="0"/>
          <w:color w:val="auto"/>
          <w:highlight w:val="none"/>
        </w:rPr>
      </w:pPr>
    </w:p>
    <w:p w14:paraId="53E7A16A">
      <w:pPr>
        <w:rPr>
          <w:rFonts w:hint="eastAsia" w:ascii="Times New Roman" w:hAnsi="Times New Roman" w:eastAsia="方正小标宋简体" w:cs="方正小标宋简体"/>
          <w:b w:val="0"/>
          <w:color w:val="auto"/>
          <w:highlight w:val="none"/>
        </w:rPr>
      </w:pPr>
    </w:p>
    <w:p w14:paraId="0A9E0412">
      <w:pPr>
        <w:pStyle w:val="14"/>
        <w:rPr>
          <w:rFonts w:hint="eastAsia" w:ascii="Times New Roman" w:hAnsi="Times New Roman" w:eastAsia="方正小标宋简体" w:cs="方正小标宋简体"/>
          <w:b w:val="0"/>
          <w:color w:val="auto"/>
          <w:highlight w:val="none"/>
        </w:rPr>
      </w:pPr>
    </w:p>
    <w:p w14:paraId="37D2EF5F">
      <w:pPr>
        <w:rPr>
          <w:rFonts w:hint="eastAsia" w:ascii="Times New Roman" w:hAnsi="Times New Roman" w:eastAsia="方正小标宋简体" w:cs="方正小标宋简体"/>
          <w:b w:val="0"/>
          <w:color w:val="auto"/>
          <w:highlight w:val="none"/>
        </w:rPr>
      </w:pPr>
    </w:p>
    <w:p w14:paraId="123AB163">
      <w:pPr>
        <w:pStyle w:val="14"/>
        <w:rPr>
          <w:rFonts w:hint="eastAsia" w:ascii="Times New Roman" w:hAnsi="Times New Roman" w:eastAsia="方正小标宋简体" w:cs="方正小标宋简体"/>
          <w:b w:val="0"/>
          <w:color w:val="auto"/>
          <w:highlight w:val="none"/>
        </w:rPr>
      </w:pPr>
    </w:p>
    <w:p w14:paraId="0F945227">
      <w:pPr>
        <w:rPr>
          <w:rFonts w:hint="eastAsia" w:ascii="Times New Roman" w:hAnsi="Times New Roman" w:eastAsia="方正小标宋简体" w:cs="方正小标宋简体"/>
          <w:b w:val="0"/>
          <w:color w:val="auto"/>
          <w:highlight w:val="none"/>
        </w:rPr>
      </w:pPr>
    </w:p>
    <w:p w14:paraId="3A2E7C36">
      <w:pPr>
        <w:pStyle w:val="14"/>
        <w:rPr>
          <w:rFonts w:hint="eastAsia"/>
        </w:rPr>
      </w:pPr>
    </w:p>
    <w:p w14:paraId="6DA7FFB7">
      <w:pPr>
        <w:pStyle w:val="2"/>
        <w:pageBreakBefore w:val="0"/>
        <w:kinsoku/>
        <w:wordWrap/>
        <w:overflowPunct/>
        <w:topLinePunct w:val="0"/>
        <w:autoSpaceDE/>
        <w:autoSpaceDN/>
        <w:bidi w:val="0"/>
        <w:adjustRightInd/>
        <w:snapToGrid/>
        <w:spacing w:line="576" w:lineRule="exact"/>
        <w:jc w:val="center"/>
        <w:textAlignment w:val="auto"/>
        <w:rPr>
          <w:rStyle w:val="29"/>
          <w:rFonts w:hint="eastAsia" w:ascii="Times New Roman" w:hAnsi="Times New Roman" w:eastAsia="方正小标宋简体" w:cs="方正小标宋简体"/>
          <w:b/>
          <w:bCs w:val="0"/>
          <w:color w:val="auto"/>
          <w:highlight w:val="none"/>
        </w:rPr>
      </w:pPr>
      <w:bookmarkStart w:id="12" w:name="_Toc574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p>
    <w:p w14:paraId="34E8CE00">
      <w:pPr>
        <w:pStyle w:val="3"/>
        <w:pageBreakBefore w:val="0"/>
        <w:numPr>
          <w:ilvl w:val="0"/>
          <w:numId w:val="0"/>
        </w:numPr>
        <w:kinsoku/>
        <w:wordWrap/>
        <w:overflowPunct/>
        <w:topLinePunct w:val="0"/>
        <w:autoSpaceDE/>
        <w:autoSpaceDN/>
        <w:bidi w:val="0"/>
        <w:adjustRightInd/>
        <w:snapToGrid/>
        <w:spacing w:line="576" w:lineRule="exact"/>
        <w:textAlignment w:val="auto"/>
        <w:rPr>
          <w:rFonts w:hint="eastAsia" w:ascii="Times New Roman" w:hAnsi="Times New Roman" w:eastAsia="黑体"/>
          <w:b w:val="0"/>
          <w:color w:val="auto"/>
          <w:highlight w:val="none"/>
          <w:lang w:eastAsia="zh-CN"/>
        </w:rPr>
      </w:pPr>
      <w:bookmarkStart w:id="13" w:name="_Toc9731"/>
      <w:bookmarkStart w:id="14" w:name="_Toc8607"/>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bookmarkEnd w:id="13"/>
      <w:bookmarkEnd w:id="14"/>
    </w:p>
    <w:p w14:paraId="06F582A0">
      <w:pPr>
        <w:keepNext w:val="0"/>
        <w:keepLines w:val="0"/>
        <w:pageBreakBefore w:val="0"/>
        <w:widowControl/>
        <w:numPr>
          <w:ilvl w:val="0"/>
          <w:numId w:val="0"/>
        </w:numPr>
        <w:kinsoku/>
        <w:wordWrap/>
        <w:overflowPunct/>
        <w:topLinePunct w:val="0"/>
        <w:autoSpaceDE/>
        <w:autoSpaceDN/>
        <w:bidi w:val="0"/>
        <w:adjustRightInd/>
        <w:spacing w:after="0" w:line="640" w:lineRule="exact"/>
        <w:ind w:leftChars="0" w:firstLine="640" w:firstLineChars="200"/>
        <w:jc w:val="both"/>
        <w:textAlignment w:val="auto"/>
        <w:rPr>
          <w:rFonts w:hint="eastAsia" w:ascii="仿宋_GB2312" w:hAnsi="仿宋" w:eastAsia="仿宋_GB2312" w:cs="仿宋"/>
          <w:b w:val="0"/>
          <w:bCs w:val="0"/>
          <w:kern w:val="2"/>
          <w:sz w:val="32"/>
          <w:szCs w:val="32"/>
          <w:lang w:val="en-US" w:eastAsia="zh-CN" w:bidi="ar-SA"/>
        </w:rPr>
      </w:pPr>
      <w:r>
        <w:rPr>
          <w:rFonts w:hint="eastAsia" w:ascii="仿宋_GB2312" w:hAnsi="仿宋" w:eastAsia="仿宋_GB2312" w:cs="仿宋"/>
          <w:b w:val="0"/>
          <w:bCs w:val="0"/>
          <w:kern w:val="2"/>
          <w:sz w:val="32"/>
          <w:szCs w:val="32"/>
          <w:lang w:val="en-US" w:eastAsia="zh-CN" w:bidi="ar-SA"/>
        </w:rPr>
        <w:t>主要负责产前检查、生产、产后女性保健、产后儿童保健、妇科疾病治疗等。其中：1.0-6 岁儿童健康管理2、孕产妇系统管理。3、重大公共卫生项目。4、婚前医学检查、孕前优生检查。5、预防艾滋病、梅毒和乙肝母婴传播 6、增补叶酸预防神经管缺陷项目 7、贫困地区儿童营养改善项目。8、基本避孕服务项目。9、免费计划生育技术服务。10.贫困地区新生儿疾病筛查项目。11、农村妇女两癌检查项目等。</w:t>
      </w:r>
      <w:bookmarkStart w:id="15" w:name="_Toc15396601"/>
      <w:bookmarkStart w:id="16" w:name="_Toc15377200"/>
    </w:p>
    <w:p w14:paraId="27A16BF9">
      <w:pPr>
        <w:pStyle w:val="3"/>
        <w:numPr>
          <w:ilvl w:val="0"/>
          <w:numId w:val="0"/>
        </w:numPr>
        <w:ind w:firstLine="640" w:firstLineChars="200"/>
        <w:rPr>
          <w:rFonts w:hint="eastAsia" w:ascii="Times New Roman" w:hAnsi="Times New Roman" w:eastAsia="黑体"/>
          <w:b w:val="0"/>
          <w:color w:val="auto"/>
          <w:highlight w:val="none"/>
          <w:lang w:val="en-US" w:eastAsia="zh-CN"/>
        </w:rPr>
      </w:pPr>
      <w:bookmarkStart w:id="17" w:name="_Toc31799"/>
      <w:r>
        <w:rPr>
          <w:rFonts w:hint="eastAsia" w:ascii="Times New Roman" w:hAnsi="Times New Roman" w:eastAsia="黑体"/>
          <w:b w:val="0"/>
          <w:color w:val="auto"/>
          <w:highlight w:val="none"/>
          <w:lang w:val="en-US" w:eastAsia="zh-CN"/>
        </w:rPr>
        <w:t>二、机构设置</w:t>
      </w:r>
      <w:bookmarkEnd w:id="15"/>
      <w:bookmarkEnd w:id="16"/>
      <w:bookmarkEnd w:id="17"/>
    </w:p>
    <w:p w14:paraId="0F9DFF16">
      <w:pPr>
        <w:keepNext w:val="0"/>
        <w:keepLines w:val="0"/>
        <w:pageBreakBefore w:val="0"/>
        <w:widowControl/>
        <w:numPr>
          <w:ilvl w:val="0"/>
          <w:numId w:val="0"/>
        </w:numPr>
        <w:kinsoku/>
        <w:wordWrap/>
        <w:overflowPunct/>
        <w:topLinePunct w:val="0"/>
        <w:autoSpaceDE/>
        <w:autoSpaceDN/>
        <w:bidi w:val="0"/>
        <w:adjustRightInd/>
        <w:spacing w:after="0" w:line="640" w:lineRule="exact"/>
        <w:ind w:leftChars="0" w:firstLine="640" w:firstLineChars="200"/>
        <w:jc w:val="both"/>
        <w:textAlignment w:val="auto"/>
        <w:rPr>
          <w:rFonts w:hint="eastAsia" w:ascii="仿宋_GB2312" w:hAnsi="仿宋" w:eastAsia="仿宋_GB2312" w:cs="仿宋"/>
          <w:b w:val="0"/>
          <w:bCs w:val="0"/>
          <w:kern w:val="2"/>
          <w:sz w:val="32"/>
          <w:szCs w:val="32"/>
          <w:lang w:val="en-US" w:eastAsia="zh-CN" w:bidi="ar-SA"/>
        </w:rPr>
      </w:pPr>
      <w:r>
        <w:rPr>
          <w:rFonts w:hint="default" w:ascii="Times New Roman" w:hAnsi="Times New Roman" w:eastAsia="楷体_GB2312" w:cs="Times New Roman"/>
          <w:b w:val="0"/>
          <w:bCs w:val="0"/>
          <w:color w:val="000000"/>
          <w:kern w:val="0"/>
          <w:sz w:val="32"/>
          <w:szCs w:val="32"/>
          <w:highlight w:val="none"/>
          <w:shd w:val="clear" w:color="auto" w:fill="FFFFFF"/>
          <w:lang w:val="zh-CN"/>
        </w:rPr>
        <w:t>（</w:t>
      </w:r>
      <w:r>
        <w:rPr>
          <w:rFonts w:hint="eastAsia" w:ascii="Times New Roman" w:hAnsi="Times New Roman" w:eastAsia="楷体_GB2312" w:cs="Times New Roman"/>
          <w:b w:val="0"/>
          <w:bCs w:val="0"/>
          <w:color w:val="000000"/>
          <w:kern w:val="0"/>
          <w:sz w:val="32"/>
          <w:szCs w:val="32"/>
          <w:highlight w:val="none"/>
          <w:shd w:val="clear" w:color="auto" w:fill="FFFFFF"/>
          <w:lang w:val="zh-CN"/>
        </w:rPr>
        <w:t>一</w:t>
      </w:r>
      <w:r>
        <w:rPr>
          <w:rFonts w:hint="default" w:ascii="Times New Roman" w:hAnsi="Times New Roman" w:eastAsia="楷体_GB2312" w:cs="Times New Roman"/>
          <w:b w:val="0"/>
          <w:bCs w:val="0"/>
          <w:color w:val="000000"/>
          <w:kern w:val="0"/>
          <w:sz w:val="32"/>
          <w:szCs w:val="32"/>
          <w:highlight w:val="none"/>
          <w:shd w:val="clear" w:color="auto" w:fill="FFFFFF"/>
          <w:lang w:val="zh-CN"/>
        </w:rPr>
        <w:t>）机构职能</w:t>
      </w:r>
      <w:r>
        <w:rPr>
          <w:rFonts w:hint="eastAsia" w:ascii="Times New Roman" w:hAnsi="Times New Roman" w:eastAsia="楷体_GB2312" w:cs="Times New Roman"/>
          <w:b w:val="0"/>
          <w:bCs w:val="0"/>
          <w:color w:val="000000"/>
          <w:kern w:val="0"/>
          <w:sz w:val="32"/>
          <w:szCs w:val="32"/>
          <w:highlight w:val="none"/>
          <w:shd w:val="clear" w:color="auto" w:fill="FFFFFF"/>
          <w:lang w:val="zh-CN"/>
        </w:rPr>
        <w:t>。</w:t>
      </w:r>
      <w:r>
        <w:rPr>
          <w:rFonts w:hint="eastAsia" w:ascii="Times New Roman" w:hAnsi="Times New Roman" w:eastAsia="楷体_GB2312" w:cs="Times New Roman"/>
          <w:b w:val="0"/>
          <w:bCs w:val="0"/>
          <w:color w:val="000000"/>
          <w:kern w:val="0"/>
          <w:sz w:val="32"/>
          <w:szCs w:val="32"/>
          <w:highlight w:val="none"/>
          <w:shd w:val="clear" w:color="auto" w:fill="FFFFFF"/>
          <w:lang w:val="en-US" w:eastAsia="zh-CN"/>
        </w:rPr>
        <w:t xml:space="preserve"> </w:t>
      </w:r>
      <w:r>
        <w:rPr>
          <w:rFonts w:hint="eastAsia" w:ascii="仿宋_GB2312" w:hAnsi="仿宋" w:eastAsia="仿宋_GB2312" w:cs="仿宋"/>
          <w:b w:val="0"/>
          <w:bCs w:val="0"/>
          <w:kern w:val="2"/>
          <w:sz w:val="32"/>
          <w:szCs w:val="32"/>
          <w:lang w:val="en-US" w:eastAsia="zh-CN" w:bidi="ar-SA"/>
        </w:rPr>
        <w:t>主要负责产前检查、生产、产后女性保健、产后儿童保健、妇科疾病治疗等。其中：1.0-6 岁儿童健康管理2、孕产妇系统管理。3、重大公共卫生项目。4、婚前医学检查、孕前优生检查。5、预防艾滋病、梅毒和乙肝母婴传播 6、增补叶酸预防神经管缺陷项目 7、贫困地区儿童营养改善项目。8、基本避孕服务项目。9、免费计划生育技术服务。10.贫困地区新生儿疾病筛查项目。11、农村妇女两癌检查项目等。</w:t>
      </w:r>
    </w:p>
    <w:p w14:paraId="1FBB00F6">
      <w:pPr>
        <w:keepNext w:val="0"/>
        <w:keepLines w:val="0"/>
        <w:pageBreakBefore w:val="0"/>
        <w:widowControl/>
        <w:kinsoku/>
        <w:wordWrap/>
        <w:overflowPunct/>
        <w:topLinePunct w:val="0"/>
        <w:autoSpaceDE/>
        <w:autoSpaceDN/>
        <w:bidi w:val="0"/>
        <w:adjustRightInd/>
        <w:spacing w:after="0" w:line="640" w:lineRule="exact"/>
        <w:ind w:firstLine="640" w:firstLineChars="200"/>
        <w:jc w:val="both"/>
        <w:textAlignment w:val="auto"/>
        <w:rPr>
          <w:rFonts w:hint="eastAsia" w:ascii="Times New Roman" w:hAnsi="Times New Roman" w:eastAsia="楷体_GB2312" w:cs="Times New Roman"/>
          <w:b w:val="0"/>
          <w:bCs w:val="0"/>
          <w:color w:val="000000"/>
          <w:kern w:val="0"/>
          <w:sz w:val="32"/>
          <w:szCs w:val="32"/>
          <w:highlight w:val="none"/>
          <w:shd w:val="clear" w:color="auto" w:fill="FFFFFF"/>
          <w:lang w:val="zh-CN"/>
        </w:rPr>
      </w:pPr>
      <w:r>
        <w:rPr>
          <w:rFonts w:hint="default" w:ascii="Times New Roman" w:hAnsi="Times New Roman" w:eastAsia="楷体_GB2312" w:cs="Times New Roman"/>
          <w:b w:val="0"/>
          <w:bCs w:val="0"/>
          <w:color w:val="000000"/>
          <w:kern w:val="0"/>
          <w:sz w:val="32"/>
          <w:szCs w:val="32"/>
          <w:highlight w:val="none"/>
          <w:shd w:val="clear" w:color="auto" w:fill="FFFFFF"/>
          <w:lang w:val="zh-CN"/>
        </w:rPr>
        <w:t>（</w:t>
      </w:r>
      <w:r>
        <w:rPr>
          <w:rFonts w:hint="eastAsia" w:ascii="Times New Roman" w:hAnsi="Times New Roman" w:eastAsia="楷体_GB2312" w:cs="Times New Roman"/>
          <w:b w:val="0"/>
          <w:bCs w:val="0"/>
          <w:color w:val="000000"/>
          <w:kern w:val="0"/>
          <w:sz w:val="32"/>
          <w:szCs w:val="32"/>
          <w:highlight w:val="none"/>
          <w:shd w:val="clear" w:color="auto" w:fill="FFFFFF"/>
          <w:lang w:val="zh-CN"/>
        </w:rPr>
        <w:t>二</w:t>
      </w:r>
      <w:r>
        <w:rPr>
          <w:rFonts w:hint="default" w:ascii="Times New Roman" w:hAnsi="Times New Roman" w:eastAsia="楷体_GB2312" w:cs="Times New Roman"/>
          <w:b w:val="0"/>
          <w:bCs w:val="0"/>
          <w:color w:val="000000"/>
          <w:kern w:val="0"/>
          <w:sz w:val="32"/>
          <w:szCs w:val="32"/>
          <w:highlight w:val="none"/>
          <w:shd w:val="clear" w:color="auto" w:fill="FFFFFF"/>
          <w:lang w:val="zh-CN"/>
        </w:rPr>
        <w:t>）人员概况</w:t>
      </w:r>
      <w:r>
        <w:rPr>
          <w:rFonts w:hint="eastAsia" w:ascii="Times New Roman" w:hAnsi="Times New Roman" w:eastAsia="楷体_GB2312" w:cs="Times New Roman"/>
          <w:b w:val="0"/>
          <w:bCs w:val="0"/>
          <w:color w:val="000000"/>
          <w:kern w:val="0"/>
          <w:sz w:val="32"/>
          <w:szCs w:val="32"/>
          <w:highlight w:val="none"/>
          <w:shd w:val="clear" w:color="auto" w:fill="FFFFFF"/>
          <w:lang w:val="zh-CN"/>
        </w:rPr>
        <w:t>。</w:t>
      </w:r>
    </w:p>
    <w:p w14:paraId="5441B048">
      <w:pPr>
        <w:keepNext w:val="0"/>
        <w:keepLines w:val="0"/>
        <w:pageBreakBefore w:val="0"/>
        <w:widowControl/>
        <w:kinsoku/>
        <w:wordWrap/>
        <w:overflowPunct/>
        <w:topLinePunct w:val="0"/>
        <w:autoSpaceDE/>
        <w:autoSpaceDN/>
        <w:bidi w:val="0"/>
        <w:adjustRightInd/>
        <w:spacing w:after="0" w:line="640" w:lineRule="exact"/>
        <w:ind w:firstLine="640" w:firstLineChars="200"/>
        <w:jc w:val="both"/>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松潘县妇幼保健院属二级预算单位，独立编制机构数</w:t>
      </w:r>
      <w:r>
        <w:rPr>
          <w:rFonts w:hint="default" w:ascii="仿宋_GB2312" w:hAnsi="仿宋" w:eastAsia="仿宋_GB2312" w:cs="仿宋"/>
          <w:sz w:val="32"/>
          <w:szCs w:val="32"/>
          <w:lang w:val="en-US" w:eastAsia="zh-CN"/>
        </w:rPr>
        <w:t>1</w:t>
      </w:r>
      <w:r>
        <w:rPr>
          <w:rFonts w:hint="eastAsia" w:ascii="仿宋_GB2312" w:hAnsi="仿宋" w:eastAsia="仿宋_GB2312" w:cs="仿宋"/>
          <w:sz w:val="32"/>
          <w:szCs w:val="32"/>
          <w:lang w:val="en-US" w:eastAsia="zh-CN"/>
        </w:rPr>
        <w:t>个，独立核算机构数</w:t>
      </w:r>
      <w:r>
        <w:rPr>
          <w:rFonts w:hint="default" w:ascii="仿宋_GB2312" w:hAnsi="仿宋" w:eastAsia="仿宋_GB2312" w:cs="仿宋"/>
          <w:sz w:val="32"/>
          <w:szCs w:val="32"/>
          <w:lang w:val="en-US" w:eastAsia="zh-CN"/>
        </w:rPr>
        <w:t>1</w:t>
      </w:r>
      <w:r>
        <w:rPr>
          <w:rFonts w:hint="eastAsia" w:ascii="仿宋_GB2312" w:hAnsi="仿宋" w:eastAsia="仿宋_GB2312" w:cs="仿宋"/>
          <w:sz w:val="32"/>
          <w:szCs w:val="32"/>
          <w:lang w:val="en-US" w:eastAsia="zh-CN"/>
        </w:rPr>
        <w:t>个，</w:t>
      </w:r>
      <w:r>
        <w:rPr>
          <w:rFonts w:hint="default" w:ascii="仿宋_GB2312" w:hAnsi="仿宋" w:eastAsia="仿宋_GB2312" w:cs="仿宋"/>
          <w:sz w:val="32"/>
          <w:szCs w:val="32"/>
          <w:lang w:val="en-US" w:eastAsia="zh-CN"/>
        </w:rPr>
        <w:t>截至20</w:t>
      </w:r>
      <w:r>
        <w:rPr>
          <w:rFonts w:hint="eastAsia" w:ascii="仿宋_GB2312" w:hAnsi="仿宋" w:eastAsia="仿宋_GB2312" w:cs="仿宋"/>
          <w:sz w:val="32"/>
          <w:szCs w:val="32"/>
          <w:lang w:val="en-US" w:eastAsia="zh-CN"/>
        </w:rPr>
        <w:t>25</w:t>
      </w:r>
      <w:r>
        <w:rPr>
          <w:rFonts w:hint="default" w:ascii="仿宋_GB2312" w:hAnsi="仿宋" w:eastAsia="仿宋_GB2312" w:cs="仿宋"/>
          <w:sz w:val="32"/>
          <w:szCs w:val="32"/>
          <w:lang w:val="en-US" w:eastAsia="zh-CN"/>
        </w:rPr>
        <w:t>年末，</w:t>
      </w:r>
      <w:r>
        <w:rPr>
          <w:rFonts w:hint="eastAsia" w:ascii="仿宋_GB2312" w:hAnsi="仿宋" w:eastAsia="仿宋_GB2312" w:cs="仿宋"/>
          <w:sz w:val="32"/>
          <w:szCs w:val="32"/>
          <w:lang w:val="en-US" w:eastAsia="zh-CN"/>
        </w:rPr>
        <w:t>松潘县妇幼保健院事业编制</w:t>
      </w:r>
      <w:r>
        <w:rPr>
          <w:rFonts w:hint="default" w:ascii="仿宋_GB2312" w:hAnsi="仿宋" w:eastAsia="仿宋_GB2312" w:cs="仿宋"/>
          <w:sz w:val="32"/>
          <w:szCs w:val="32"/>
          <w:lang w:val="en-US" w:eastAsia="zh-CN"/>
        </w:rPr>
        <w:t>39</w:t>
      </w:r>
      <w:r>
        <w:rPr>
          <w:rFonts w:hint="eastAsia" w:ascii="仿宋_GB2312" w:hAnsi="仿宋" w:eastAsia="仿宋_GB2312" w:cs="仿宋"/>
          <w:sz w:val="32"/>
          <w:szCs w:val="32"/>
          <w:lang w:val="en-US" w:eastAsia="zh-CN"/>
        </w:rPr>
        <w:t>人</w:t>
      </w:r>
      <w:r>
        <w:rPr>
          <w:rFonts w:hint="eastAsia" w:ascii="仿宋_GB2312" w:hAnsi="仿宋" w:eastAsia="仿宋_GB2312" w:cs="仿宋"/>
          <w:sz w:val="32"/>
          <w:szCs w:val="32"/>
          <w:lang w:val="zh-CN" w:eastAsia="zh-CN"/>
        </w:rPr>
        <w:t>，实有在编人数</w:t>
      </w:r>
      <w:r>
        <w:rPr>
          <w:rFonts w:hint="eastAsia" w:ascii="仿宋_GB2312" w:hAnsi="仿宋" w:eastAsia="仿宋_GB2312" w:cs="仿宋"/>
          <w:sz w:val="32"/>
          <w:szCs w:val="32"/>
          <w:lang w:val="en-US" w:eastAsia="zh-CN"/>
        </w:rPr>
        <w:t>38人。</w:t>
      </w:r>
    </w:p>
    <w:p w14:paraId="571B97E0">
      <w:pPr>
        <w:pStyle w:val="2"/>
        <w:pageBreakBefore w:val="0"/>
        <w:kinsoku/>
        <w:wordWrap/>
        <w:overflowPunct/>
        <w:topLinePunct w:val="0"/>
        <w:autoSpaceDE/>
        <w:autoSpaceDN/>
        <w:bidi w:val="0"/>
        <w:adjustRightInd/>
        <w:snapToGrid/>
        <w:spacing w:line="576" w:lineRule="exact"/>
        <w:jc w:val="center"/>
        <w:textAlignment w:val="auto"/>
        <w:outlineLvl w:val="9"/>
        <w:rPr>
          <w:rFonts w:hint="eastAsia" w:ascii="Times New Roman" w:hAnsi="Times New Roman" w:eastAsia="方正小标宋简体" w:cs="方正小标宋简体"/>
          <w:b w:val="0"/>
          <w:color w:val="auto"/>
          <w:highlight w:val="none"/>
        </w:rPr>
      </w:pPr>
      <w:bookmarkStart w:id="18" w:name="_Toc15396602"/>
      <w:bookmarkStart w:id="19" w:name="_Toc15377204"/>
      <w:bookmarkStart w:id="20" w:name="_Toc16439"/>
    </w:p>
    <w:p w14:paraId="11F3092E">
      <w:pPr>
        <w:pStyle w:val="2"/>
        <w:pageBreakBefore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方正小标宋简体"/>
          <w:b w:val="0"/>
          <w:color w:val="auto"/>
          <w:highlight w:val="none"/>
        </w:rPr>
      </w:pPr>
      <w:bookmarkStart w:id="21" w:name="_Toc1035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bookmarkEnd w:id="21"/>
    </w:p>
    <w:p w14:paraId="3D8C2DE0">
      <w:pPr>
        <w:rPr>
          <w:rFonts w:ascii="Times New Roman" w:hAnsi="Times New Roman"/>
          <w:color w:val="auto"/>
          <w:highlight w:val="none"/>
        </w:rPr>
      </w:pPr>
    </w:p>
    <w:p w14:paraId="262B19F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5"/>
      <w:bookmarkStart w:id="23" w:name="_Toc15396603"/>
      <w:bookmarkStart w:id="24" w:name="_Toc7730"/>
      <w:bookmarkStart w:id="25" w:name="_Toc11371"/>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bookmarkEnd w:id="24"/>
      <w:bookmarkEnd w:id="25"/>
    </w:p>
    <w:p w14:paraId="314CF55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olor w:val="auto"/>
          <w:sz w:val="32"/>
          <w:szCs w:val="32"/>
          <w:highlight w:val="none"/>
          <w:lang w:eastAsia="zh-CN"/>
        </w:rPr>
      </w:pPr>
      <w:bookmarkStart w:id="26" w:name="_Toc20118"/>
      <w:bookmarkStart w:id="27" w:name="_Toc4105"/>
      <w:bookmarkStart w:id="28" w:name="_Toc18565"/>
      <w:bookmarkStart w:id="29" w:name="_Toc1018430940"/>
      <w:bookmarkStart w:id="30" w:name="_Toc1398571569"/>
      <w:bookmarkStart w:id="31" w:name="_Toc30926"/>
      <w:bookmarkStart w:id="32" w:name="_Toc129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933.34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24.94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2.75</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eastAsia="zh-CN"/>
        </w:rPr>
        <w:t>财政拨款收入增加</w:t>
      </w:r>
      <w:bookmarkEnd w:id="26"/>
      <w:bookmarkEnd w:id="27"/>
      <w:bookmarkEnd w:id="28"/>
      <w:bookmarkEnd w:id="29"/>
      <w:bookmarkEnd w:id="30"/>
      <w:bookmarkEnd w:id="31"/>
      <w:bookmarkEnd w:id="32"/>
    </w:p>
    <w:p w14:paraId="361FEF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9"/>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1" locked="0" layoutInCell="1" allowOverlap="1">
            <wp:simplePos x="0" y="0"/>
            <wp:positionH relativeFrom="column">
              <wp:posOffset>102870</wp:posOffset>
            </wp:positionH>
            <wp:positionV relativeFrom="paragraph">
              <wp:posOffset>99695</wp:posOffset>
            </wp:positionV>
            <wp:extent cx="5041265" cy="3267075"/>
            <wp:effectExtent l="4445" t="4445" r="21590" b="5080"/>
            <wp:wrapNone/>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7BE2B1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7A4E092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7B017A9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3122723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5505F9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7F82662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6595671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1ACCDF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76AE57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3" w:name="_Toc513943830"/>
      <w:bookmarkStart w:id="34" w:name="_Toc27605"/>
      <w:bookmarkStart w:id="35" w:name="_Toc29651"/>
      <w:bookmarkStart w:id="36" w:name="_Toc3051"/>
      <w:bookmarkStart w:id="37" w:name="_Toc8771"/>
      <w:bookmarkStart w:id="38" w:name="_Toc3751208"/>
      <w:bookmarkStart w:id="39" w:name="_Toc2723"/>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33"/>
      <w:bookmarkEnd w:id="34"/>
      <w:bookmarkEnd w:id="35"/>
      <w:bookmarkEnd w:id="36"/>
      <w:bookmarkEnd w:id="37"/>
      <w:bookmarkEnd w:id="38"/>
      <w:bookmarkEnd w:id="39"/>
    </w:p>
    <w:p w14:paraId="31197F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7D861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0" w:name="_Toc18979"/>
      <w:bookmarkStart w:id="41" w:name="_Toc15396604"/>
      <w:bookmarkStart w:id="42" w:name="_Toc26344"/>
      <w:bookmarkStart w:id="43" w:name="_Toc15377206"/>
      <w:r>
        <w:rPr>
          <w:rFonts w:hint="eastAsia" w:ascii="Times New Roman" w:hAnsi="Times New Roman" w:eastAsia="黑体"/>
          <w:color w:val="auto"/>
          <w:sz w:val="32"/>
          <w:szCs w:val="32"/>
          <w:highlight w:val="none"/>
          <w:lang w:eastAsia="zh-CN"/>
        </w:rPr>
        <w:t>二、收入决算情况说明</w:t>
      </w:r>
      <w:bookmarkEnd w:id="40"/>
      <w:bookmarkEnd w:id="41"/>
      <w:bookmarkEnd w:id="42"/>
      <w:bookmarkEnd w:id="43"/>
    </w:p>
    <w:p w14:paraId="5625F62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44" w:name="_Toc27777"/>
      <w:bookmarkStart w:id="45" w:name="_Toc19166"/>
      <w:bookmarkStart w:id="46" w:name="_Toc2113592754"/>
      <w:bookmarkStart w:id="47" w:name="_Toc4909"/>
      <w:bookmarkStart w:id="48" w:name="_Toc8355"/>
      <w:bookmarkStart w:id="49" w:name="_Toc13952"/>
      <w:bookmarkStart w:id="50" w:name="_Toc125393663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933.34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933.34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bookmarkEnd w:id="44"/>
      <w:bookmarkEnd w:id="45"/>
      <w:bookmarkEnd w:id="46"/>
      <w:bookmarkEnd w:id="47"/>
      <w:bookmarkEnd w:id="48"/>
      <w:bookmarkEnd w:id="49"/>
      <w:bookmarkEnd w:id="50"/>
    </w:p>
    <w:p w14:paraId="33EDE47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ADD0D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9"/>
        <w:rPr>
          <w:rFonts w:hint="eastAsia"/>
          <w:lang w:val="en-US" w:eastAsia="zh-CN"/>
        </w:rPr>
      </w:pPr>
      <w:r>
        <w:drawing>
          <wp:anchor distT="0" distB="0" distL="114300" distR="114300" simplePos="0" relativeHeight="251660288" behindDoc="0" locked="0" layoutInCell="1" allowOverlap="1">
            <wp:simplePos x="0" y="0"/>
            <wp:positionH relativeFrom="column">
              <wp:posOffset>154940</wp:posOffset>
            </wp:positionH>
            <wp:positionV relativeFrom="paragraph">
              <wp:posOffset>10160</wp:posOffset>
            </wp:positionV>
            <wp:extent cx="5196205" cy="3460115"/>
            <wp:effectExtent l="4445" t="4445" r="19050" b="21590"/>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lang w:val="en-US" w:eastAsia="zh-CN"/>
        </w:rPr>
        <w:t xml:space="preserve">    </w:t>
      </w:r>
    </w:p>
    <w:p w14:paraId="7DADB83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51" w:name="_Toc31211"/>
      <w:bookmarkStart w:id="52" w:name="_Toc2020647688"/>
      <w:bookmarkStart w:id="53" w:name="_Toc20449"/>
      <w:bookmarkStart w:id="54" w:name="_Toc1945048327"/>
      <w:bookmarkStart w:id="55" w:name="_Toc12035"/>
      <w:bookmarkStart w:id="56" w:name="_Toc10239"/>
      <w:bookmarkStart w:id="57" w:name="_Toc19868"/>
      <w:r>
        <w:rPr>
          <w:rFonts w:hint="eastAsia" w:ascii="Times New Roman" w:hAnsi="Times New Roman" w:eastAsia="仿宋_GB2312" w:cs="仿宋_GB2312"/>
          <w:color w:val="auto"/>
          <w:sz w:val="32"/>
          <w:szCs w:val="32"/>
          <w:highlight w:val="none"/>
          <w:lang w:eastAsia="zh-CN"/>
        </w:rPr>
        <w:t>（图2：收入决算结构图）（饼状图）</w:t>
      </w:r>
      <w:bookmarkEnd w:id="51"/>
      <w:bookmarkEnd w:id="52"/>
      <w:bookmarkEnd w:id="53"/>
      <w:bookmarkEnd w:id="54"/>
      <w:bookmarkEnd w:id="55"/>
      <w:bookmarkEnd w:id="56"/>
      <w:bookmarkEnd w:id="57"/>
    </w:p>
    <w:p w14:paraId="3030422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黑体"/>
          <w:color w:val="auto"/>
          <w:sz w:val="32"/>
          <w:szCs w:val="32"/>
          <w:highlight w:val="none"/>
          <w:lang w:eastAsia="zh-CN"/>
        </w:rPr>
      </w:pPr>
      <w:bookmarkStart w:id="58" w:name="_Toc15396605"/>
      <w:bookmarkStart w:id="59" w:name="_Toc15377207"/>
    </w:p>
    <w:p w14:paraId="0F864FC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60" w:name="_Toc24086"/>
      <w:bookmarkStart w:id="61" w:name="_Toc31078"/>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58"/>
      <w:bookmarkEnd w:id="59"/>
      <w:bookmarkEnd w:id="60"/>
      <w:bookmarkEnd w:id="61"/>
    </w:p>
    <w:p w14:paraId="4DC3D6A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2" w:name="_Toc28953"/>
      <w:bookmarkStart w:id="63" w:name="_Toc32695"/>
      <w:bookmarkStart w:id="64" w:name="_Toc17162"/>
      <w:bookmarkStart w:id="65" w:name="_Toc1374599857"/>
      <w:bookmarkStart w:id="66" w:name="_Toc1511"/>
      <w:bookmarkStart w:id="67" w:name="_Toc23008"/>
      <w:bookmarkStart w:id="68" w:name="_Toc195401127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933.34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877.67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94.04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55.68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5.96</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62"/>
      <w:bookmarkEnd w:id="63"/>
      <w:bookmarkEnd w:id="64"/>
      <w:bookmarkEnd w:id="65"/>
      <w:bookmarkEnd w:id="66"/>
      <w:bookmarkEnd w:id="67"/>
      <w:bookmarkEnd w:id="68"/>
    </w:p>
    <w:p w14:paraId="0752DBC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0216E6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3266BC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C4E2CE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9" w:name="_Toc24962"/>
      <w:bookmarkStart w:id="70" w:name="_Toc1827881315"/>
      <w:bookmarkStart w:id="71" w:name="_Toc12087"/>
      <w:bookmarkStart w:id="72" w:name="_Toc27678"/>
      <w:bookmarkStart w:id="73" w:name="_Toc17825"/>
      <w:bookmarkStart w:id="74" w:name="_Toc390840376"/>
      <w:bookmarkStart w:id="75" w:name="_Toc22854"/>
      <w:r>
        <w:drawing>
          <wp:anchor distT="0" distB="0" distL="114300" distR="114300" simplePos="0" relativeHeight="251661312" behindDoc="0" locked="0" layoutInCell="1" allowOverlap="1">
            <wp:simplePos x="0" y="0"/>
            <wp:positionH relativeFrom="column">
              <wp:posOffset>90805</wp:posOffset>
            </wp:positionH>
            <wp:positionV relativeFrom="paragraph">
              <wp:posOffset>-349250</wp:posOffset>
            </wp:positionV>
            <wp:extent cx="5050155" cy="3547110"/>
            <wp:effectExtent l="4445" t="4445" r="12700" b="1079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lang w:eastAsia="zh-CN"/>
        </w:rPr>
        <w:t>（图3：支出决算结构图）（饼状图）</w:t>
      </w:r>
      <w:bookmarkEnd w:id="69"/>
      <w:bookmarkEnd w:id="70"/>
      <w:bookmarkEnd w:id="71"/>
      <w:bookmarkEnd w:id="72"/>
      <w:bookmarkEnd w:id="73"/>
      <w:bookmarkEnd w:id="74"/>
      <w:bookmarkEnd w:id="75"/>
    </w:p>
    <w:p w14:paraId="6872B3EC">
      <w:pPr>
        <w:ind w:firstLine="800" w:firstLineChars="250"/>
        <w:rPr>
          <w:rFonts w:hint="eastAsia" w:ascii="Times New Roman" w:hAnsi="Times New Roman" w:eastAsia="仿宋_GB2312" w:cs="仿宋_GB2312"/>
          <w:color w:val="auto"/>
          <w:sz w:val="32"/>
          <w:szCs w:val="32"/>
          <w:highlight w:val="none"/>
          <w:lang w:eastAsia="zh-CN"/>
        </w:rPr>
      </w:pPr>
    </w:p>
    <w:p w14:paraId="12BD85B5">
      <w:pPr>
        <w:spacing w:line="600" w:lineRule="exact"/>
        <w:ind w:firstLine="640" w:firstLineChars="200"/>
        <w:outlineLvl w:val="1"/>
        <w:rPr>
          <w:rStyle w:val="30"/>
          <w:rFonts w:ascii="Times New Roman" w:hAnsi="Times New Roman" w:eastAsia="黑体"/>
          <w:b w:val="0"/>
          <w:color w:val="auto"/>
          <w:highlight w:val="none"/>
        </w:rPr>
      </w:pPr>
      <w:bookmarkStart w:id="76" w:name="_Toc15377208"/>
      <w:bookmarkStart w:id="77" w:name="_Toc487"/>
      <w:bookmarkStart w:id="78" w:name="_Toc15396606"/>
      <w:bookmarkStart w:id="79" w:name="_Toc23541"/>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76"/>
      <w:bookmarkEnd w:id="77"/>
      <w:bookmarkEnd w:id="78"/>
      <w:bookmarkEnd w:id="79"/>
    </w:p>
    <w:p w14:paraId="54D42D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933.34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24.94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2.75</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sz w:val="32"/>
          <w:szCs w:val="32"/>
          <w:lang w:val="en-US" w:eastAsia="zh-CN"/>
        </w:rPr>
        <w:t>人员经费增加。</w:t>
      </w:r>
    </w:p>
    <w:p w14:paraId="1226C0EE">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27305</wp:posOffset>
            </wp:positionH>
            <wp:positionV relativeFrom="paragraph">
              <wp:posOffset>429260</wp:posOffset>
            </wp:positionV>
            <wp:extent cx="5433695" cy="2684780"/>
            <wp:effectExtent l="5080" t="4445" r="9525" b="15875"/>
            <wp:wrapSquare wrapText="bothSides"/>
            <wp:docPr id="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8333F9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9BD10ED">
      <w:pPr>
        <w:spacing w:line="600" w:lineRule="exact"/>
        <w:ind w:firstLine="640" w:firstLineChars="200"/>
        <w:outlineLvl w:val="1"/>
        <w:rPr>
          <w:rStyle w:val="30"/>
          <w:rFonts w:ascii="Times New Roman" w:hAnsi="Times New Roman" w:eastAsia="黑体"/>
          <w:b w:val="0"/>
          <w:color w:val="auto"/>
          <w:highlight w:val="none"/>
        </w:rPr>
      </w:pPr>
      <w:bookmarkStart w:id="80" w:name="_Toc1459"/>
      <w:bookmarkStart w:id="81" w:name="_Toc15377209"/>
      <w:bookmarkStart w:id="82" w:name="_Toc15396607"/>
      <w:bookmarkStart w:id="83" w:name="_Toc11434"/>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80"/>
      <w:bookmarkEnd w:id="81"/>
      <w:bookmarkEnd w:id="82"/>
      <w:bookmarkEnd w:id="83"/>
    </w:p>
    <w:p w14:paraId="57FA15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4" w:name="_Toc27961"/>
      <w:bookmarkStart w:id="8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84"/>
      <w:bookmarkEnd w:id="85"/>
    </w:p>
    <w:p w14:paraId="07751F2B">
      <w:pPr>
        <w:spacing w:line="600" w:lineRule="exact"/>
        <w:ind w:firstLine="640"/>
        <w:rPr>
          <w:rFonts w:hint="eastAsia" w:ascii="仿宋" w:hAnsi="仿宋" w:eastAsia="仿宋"/>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933.34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24.94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2.75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sz w:val="32"/>
          <w:szCs w:val="32"/>
          <w:lang w:val="en-US" w:eastAsia="zh-CN"/>
        </w:rPr>
        <w:t>人员经费增加。</w:t>
      </w:r>
    </w:p>
    <w:p w14:paraId="2562FE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241935</wp:posOffset>
            </wp:positionH>
            <wp:positionV relativeFrom="paragraph">
              <wp:posOffset>33655</wp:posOffset>
            </wp:positionV>
            <wp:extent cx="5146040" cy="3142615"/>
            <wp:effectExtent l="5080" t="4445" r="11430" b="15240"/>
            <wp:wrapNone/>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60FCD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F780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F7F8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ECE7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C776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7D3E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B261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2ED8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DFA7C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17D2E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36C2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28899"/>
      <w:bookmarkStart w:id="8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86"/>
      <w:bookmarkEnd w:id="87"/>
    </w:p>
    <w:p w14:paraId="5B422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933.34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120.31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12.89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748.06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80.15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64.97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6.96</w:t>
      </w:r>
      <w:r>
        <w:rPr>
          <w:rFonts w:hint="eastAsia" w:ascii="Times New Roman" w:hAnsi="Times New Roman" w:eastAsia="仿宋_GB2312" w:cs="仿宋_GB2312"/>
          <w:color w:val="auto"/>
          <w:kern w:val="2"/>
          <w:sz w:val="32"/>
          <w:szCs w:val="32"/>
          <w:highlight w:val="none"/>
          <w:lang w:val="en-US" w:eastAsia="zh-CN" w:bidi="ar-SA"/>
        </w:rPr>
        <w:t>%；</w:t>
      </w:r>
    </w:p>
    <w:p w14:paraId="19DB95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-54610</wp:posOffset>
            </wp:positionH>
            <wp:positionV relativeFrom="paragraph">
              <wp:posOffset>379730</wp:posOffset>
            </wp:positionV>
            <wp:extent cx="5739130" cy="3510280"/>
            <wp:effectExtent l="4445" t="4445" r="9525" b="9525"/>
            <wp:wrapSquare wrapText="bothSides"/>
            <wp:docPr id="1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6D841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E4E8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12"/>
      <w:bookmarkStart w:id="89" w:name="_Toc19781"/>
      <w:r>
        <w:rPr>
          <w:rFonts w:hint="eastAsia" w:ascii="Times New Roman" w:hAnsi="Times New Roman" w:eastAsia="楷体_GB2312" w:cs="楷体_GB2312"/>
          <w:b/>
          <w:color w:val="auto"/>
          <w:sz w:val="32"/>
          <w:szCs w:val="32"/>
          <w:highlight w:val="none"/>
        </w:rPr>
        <w:t>（三）一般公共预算财政拨款支出决算具体情况</w:t>
      </w:r>
      <w:bookmarkEnd w:id="88"/>
      <w:bookmarkEnd w:id="89"/>
    </w:p>
    <w:p w14:paraId="723A9C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90" w:name="_Toc15377213"/>
      <w:bookmarkStart w:id="91" w:name="_Toc15378460"/>
      <w:bookmarkStart w:id="92"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933.34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90"/>
      <w:bookmarkEnd w:id="91"/>
      <w:bookmarkEnd w:id="92"/>
    </w:p>
    <w:p w14:paraId="0A07CFCB">
      <w:pPr>
        <w:keepNext w:val="0"/>
        <w:keepLines w:val="0"/>
        <w:pageBreakBefore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Times New Roman"/>
          <w:b w:val="0"/>
          <w:bCs w:val="0"/>
          <w:color w:val="000000"/>
          <w:sz w:val="32"/>
          <w:szCs w:val="32"/>
          <w:lang w:val="en-US" w:eastAsia="zh-CN"/>
        </w:rPr>
      </w:pPr>
      <w:r>
        <w:rPr>
          <w:rFonts w:hint="eastAsia" w:ascii="仿宋" w:hAnsi="仿宋" w:eastAsia="仿宋" w:cs="Times New Roman"/>
          <w:b w:val="0"/>
          <w:bCs w:val="0"/>
          <w:sz w:val="32"/>
          <w:szCs w:val="32"/>
          <w:lang w:val="en-US" w:eastAsia="zh-CN"/>
        </w:rPr>
        <w:t>1.社会保障和就业（208）行政事业单位养老支出（20805）</w:t>
      </w:r>
      <w:r>
        <w:rPr>
          <w:rFonts w:hint="eastAsia" w:ascii="仿宋" w:hAnsi="仿宋" w:eastAsia="仿宋" w:cs="Times New Roman"/>
          <w:b w:val="0"/>
          <w:bCs w:val="0"/>
          <w:kern w:val="2"/>
          <w:sz w:val="32"/>
          <w:szCs w:val="32"/>
          <w:lang w:val="en-US" w:eastAsia="zh-CN" w:bidi="ar-SA"/>
        </w:rPr>
        <w:t>：</w:t>
      </w:r>
      <w:r>
        <w:rPr>
          <w:rFonts w:hint="eastAsia" w:ascii="仿宋" w:hAnsi="仿宋" w:eastAsia="仿宋" w:cs="Times New Roman"/>
          <w:b w:val="0"/>
          <w:bCs w:val="0"/>
          <w:sz w:val="32"/>
          <w:szCs w:val="32"/>
          <w:lang w:val="en-US" w:eastAsia="zh-CN"/>
        </w:rPr>
        <w:t>机关事业单位养老保险费支出（2080505）：</w:t>
      </w:r>
      <w:r>
        <w:rPr>
          <w:rFonts w:hint="eastAsia" w:ascii="仿宋" w:hAnsi="仿宋" w:eastAsia="仿宋" w:cs="Times New Roman"/>
          <w:b w:val="0"/>
          <w:bCs w:val="0"/>
          <w:color w:val="000000"/>
          <w:sz w:val="32"/>
          <w:szCs w:val="32"/>
          <w:lang w:val="en-US" w:eastAsia="zh-CN"/>
        </w:rPr>
        <w:t xml:space="preserve"> 支出决算为80.34万元，完成预算100%。</w:t>
      </w:r>
    </w:p>
    <w:p w14:paraId="6E931BB8">
      <w:pPr>
        <w:keepNext w:val="0"/>
        <w:keepLines w:val="0"/>
        <w:pageBreakBefore w:val="0"/>
        <w:numPr>
          <w:ilvl w:val="0"/>
          <w:numId w:val="0"/>
        </w:numPr>
        <w:kinsoku/>
        <w:wordWrap/>
        <w:overflowPunct/>
        <w:topLinePunct w:val="0"/>
        <w:autoSpaceDE/>
        <w:autoSpaceDN/>
        <w:bidi w:val="0"/>
        <w:adjustRightInd/>
        <w:snapToGrid/>
        <w:spacing w:afterAutospacing="0" w:line="600" w:lineRule="exact"/>
        <w:ind w:leftChars="0" w:firstLine="640" w:firstLineChars="200"/>
        <w:jc w:val="both"/>
        <w:textAlignment w:val="auto"/>
        <w:rPr>
          <w:rFonts w:hint="eastAsia" w:ascii="仿宋" w:hAnsi="仿宋" w:eastAsia="仿宋" w:cs="Times New Roman"/>
          <w:b w:val="0"/>
          <w:bCs w:val="0"/>
          <w:color w:val="000000"/>
          <w:sz w:val="32"/>
          <w:szCs w:val="32"/>
          <w:lang w:val="en-US" w:eastAsia="zh-CN"/>
        </w:rPr>
      </w:pPr>
      <w:r>
        <w:rPr>
          <w:rFonts w:hint="eastAsia" w:ascii="仿宋" w:hAnsi="仿宋" w:eastAsia="仿宋" w:cs="Times New Roman"/>
          <w:b w:val="0"/>
          <w:bCs w:val="0"/>
          <w:sz w:val="32"/>
          <w:szCs w:val="32"/>
          <w:lang w:val="en-US" w:eastAsia="zh-CN"/>
        </w:rPr>
        <w:t>2.社会保障和就业（208）行政事业单位养老支出（20805）</w:t>
      </w:r>
      <w:r>
        <w:rPr>
          <w:rFonts w:hint="eastAsia" w:ascii="仿宋" w:hAnsi="仿宋" w:eastAsia="仿宋" w:cs="Times New Roman"/>
          <w:b w:val="0"/>
          <w:bCs w:val="0"/>
          <w:kern w:val="2"/>
          <w:sz w:val="32"/>
          <w:szCs w:val="32"/>
          <w:lang w:val="en-US" w:eastAsia="zh-CN" w:bidi="ar-SA"/>
        </w:rPr>
        <w:t>：</w:t>
      </w:r>
      <w:r>
        <w:rPr>
          <w:rFonts w:hint="eastAsia" w:ascii="仿宋" w:hAnsi="仿宋" w:eastAsia="仿宋" w:cs="Times New Roman"/>
          <w:b w:val="0"/>
          <w:bCs w:val="0"/>
          <w:sz w:val="32"/>
          <w:szCs w:val="32"/>
          <w:lang w:val="en-US" w:eastAsia="zh-CN"/>
        </w:rPr>
        <w:t>机关事业单位职业年金缴费支出（2080506）：</w:t>
      </w:r>
      <w:r>
        <w:rPr>
          <w:rFonts w:hint="eastAsia" w:ascii="仿宋" w:hAnsi="仿宋" w:eastAsia="仿宋" w:cs="Times New Roman"/>
          <w:b w:val="0"/>
          <w:bCs w:val="0"/>
          <w:color w:val="000000"/>
          <w:sz w:val="32"/>
          <w:szCs w:val="32"/>
          <w:lang w:val="en-US" w:eastAsia="zh-CN"/>
        </w:rPr>
        <w:t>支出决算为39.97万元，完成预算100%。</w:t>
      </w:r>
    </w:p>
    <w:p w14:paraId="3EE0333B">
      <w:pPr>
        <w:keepNext w:val="0"/>
        <w:keepLines w:val="0"/>
        <w:pageBreakBefore w:val="0"/>
        <w:numPr>
          <w:ilvl w:val="0"/>
          <w:numId w:val="0"/>
        </w:numPr>
        <w:kinsoku/>
        <w:wordWrap/>
        <w:overflowPunct/>
        <w:topLinePunct w:val="0"/>
        <w:autoSpaceDE/>
        <w:autoSpaceDN/>
        <w:bidi w:val="0"/>
        <w:adjustRightInd/>
        <w:snapToGrid/>
        <w:spacing w:afterAutospacing="0" w:line="600" w:lineRule="exact"/>
        <w:ind w:leftChars="0" w:firstLine="640" w:firstLineChars="200"/>
        <w:jc w:val="both"/>
        <w:textAlignment w:val="auto"/>
        <w:rPr>
          <w:rFonts w:hint="eastAsia" w:ascii="仿宋" w:hAnsi="仿宋" w:eastAsia="仿宋"/>
          <w:b w:val="0"/>
          <w:bCs w:val="0"/>
          <w:color w:val="000000"/>
          <w:sz w:val="32"/>
          <w:szCs w:val="32"/>
        </w:rPr>
      </w:pPr>
      <w:r>
        <w:rPr>
          <w:rFonts w:hint="eastAsia" w:ascii="仿宋" w:hAnsi="仿宋" w:eastAsia="仿宋" w:cs="Times New Roman"/>
          <w:b w:val="0"/>
          <w:bCs w:val="0"/>
          <w:sz w:val="32"/>
          <w:szCs w:val="32"/>
          <w:lang w:val="en-US" w:eastAsia="zh-CN"/>
        </w:rPr>
        <w:t>3.卫生健康支出（210）公立医院（21002）妇幼保健医院（2100206）</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2.80</w:t>
      </w:r>
      <w:r>
        <w:rPr>
          <w:rFonts w:hint="eastAsia" w:ascii="仿宋" w:hAnsi="仿宋" w:eastAsia="仿宋"/>
          <w:b w:val="0"/>
          <w:bCs w:val="0"/>
          <w:color w:val="000000"/>
          <w:sz w:val="32"/>
          <w:szCs w:val="32"/>
        </w:rPr>
        <w:t>万元，完成预算100%。</w:t>
      </w:r>
    </w:p>
    <w:p w14:paraId="72989B5D">
      <w:pPr>
        <w:keepNext w:val="0"/>
        <w:keepLines w:val="0"/>
        <w:pageBreakBefore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Times New Roman"/>
          <w:b w:val="0"/>
          <w:bCs w:val="0"/>
          <w:color w:val="000000"/>
          <w:sz w:val="32"/>
          <w:szCs w:val="32"/>
          <w:lang w:val="en-US" w:eastAsia="zh-CN"/>
        </w:rPr>
      </w:pPr>
      <w:r>
        <w:rPr>
          <w:rFonts w:hint="eastAsia" w:ascii="仿宋" w:hAnsi="仿宋" w:eastAsia="仿宋"/>
          <w:b w:val="0"/>
          <w:bCs w:val="0"/>
          <w:color w:val="000000"/>
          <w:sz w:val="32"/>
          <w:szCs w:val="32"/>
          <w:lang w:val="en-US" w:eastAsia="zh-CN"/>
        </w:rPr>
        <w:t>4.</w:t>
      </w:r>
      <w:r>
        <w:rPr>
          <w:rFonts w:hint="eastAsia" w:ascii="仿宋" w:hAnsi="仿宋" w:eastAsia="仿宋" w:cs="Times New Roman"/>
          <w:b w:val="0"/>
          <w:bCs w:val="0"/>
          <w:sz w:val="32"/>
          <w:szCs w:val="32"/>
          <w:lang w:val="en-US" w:eastAsia="zh-CN"/>
        </w:rPr>
        <w:t>卫生健康支出（210）公共卫生（21004）妇幼保健机构（2100403）</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651.40</w:t>
      </w:r>
      <w:r>
        <w:rPr>
          <w:rFonts w:hint="eastAsia" w:ascii="仿宋" w:hAnsi="仿宋" w:eastAsia="仿宋"/>
          <w:b w:val="0"/>
          <w:bCs w:val="0"/>
          <w:color w:val="000000"/>
          <w:sz w:val="32"/>
          <w:szCs w:val="32"/>
        </w:rPr>
        <w:t>万元，完成预算100%。</w:t>
      </w:r>
      <w:r>
        <w:rPr>
          <w:rFonts w:hint="eastAsia" w:ascii="仿宋" w:hAnsi="仿宋" w:eastAsia="仿宋"/>
          <w:b w:val="0"/>
          <w:bCs w:val="0"/>
          <w:color w:val="000000"/>
          <w:sz w:val="32"/>
          <w:szCs w:val="32"/>
        </w:rPr>
        <w:cr/>
      </w:r>
      <w:r>
        <w:rPr>
          <w:rFonts w:hint="eastAsia" w:ascii="仿宋" w:hAnsi="仿宋" w:eastAsia="仿宋"/>
          <w:b w:val="0"/>
          <w:bCs w:val="0"/>
          <w:color w:val="000000"/>
          <w:sz w:val="32"/>
          <w:szCs w:val="32"/>
          <w:lang w:val="en-US" w:eastAsia="zh-CN"/>
        </w:rPr>
        <w:t xml:space="preserve">  </w:t>
      </w:r>
      <w:r>
        <w:rPr>
          <w:rFonts w:hint="eastAsia" w:ascii="仿宋" w:hAnsi="仿宋" w:eastAsia="仿宋" w:cs="Times New Roman"/>
          <w:b w:val="0"/>
          <w:bCs w:val="0"/>
          <w:sz w:val="32"/>
          <w:szCs w:val="32"/>
          <w:lang w:val="en-US" w:eastAsia="zh-CN"/>
        </w:rPr>
        <w:t xml:space="preserve">  5.卫生健康支出（210）公共卫生（21004）基本公共卫生服务（2100408）：</w:t>
      </w:r>
      <w:r>
        <w:rPr>
          <w:rFonts w:hint="eastAsia" w:ascii="仿宋" w:hAnsi="仿宋" w:eastAsia="仿宋" w:cs="Times New Roman"/>
          <w:b w:val="0"/>
          <w:bCs w:val="0"/>
          <w:color w:val="000000"/>
          <w:sz w:val="32"/>
          <w:szCs w:val="32"/>
          <w:lang w:val="en-US" w:eastAsia="zh-CN"/>
        </w:rPr>
        <w:t>支出决算为23.19万元，完成预算</w:t>
      </w:r>
      <w:r>
        <w:rPr>
          <w:rFonts w:hint="eastAsia" w:ascii="仿宋" w:hAnsi="仿宋" w:eastAsia="仿宋"/>
          <w:b w:val="0"/>
          <w:bCs w:val="0"/>
          <w:color w:val="000000"/>
          <w:sz w:val="32"/>
          <w:szCs w:val="32"/>
        </w:rPr>
        <w:t>100%。</w:t>
      </w:r>
    </w:p>
    <w:p w14:paraId="6965725C">
      <w:pPr>
        <w:keepNext w:val="0"/>
        <w:keepLines w:val="0"/>
        <w:pageBreakBefore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Times New Roman"/>
          <w:b w:val="0"/>
          <w:bCs w:val="0"/>
          <w:sz w:val="32"/>
          <w:szCs w:val="32"/>
          <w:lang w:val="en-US" w:eastAsia="zh-CN"/>
        </w:rPr>
      </w:pPr>
      <w:r>
        <w:rPr>
          <w:rFonts w:hint="eastAsia" w:ascii="仿宋" w:hAnsi="仿宋" w:eastAsia="仿宋" w:cs="Times New Roman"/>
          <w:b w:val="0"/>
          <w:bCs w:val="0"/>
          <w:sz w:val="32"/>
          <w:szCs w:val="32"/>
          <w:lang w:val="en-US" w:eastAsia="zh-CN"/>
        </w:rPr>
        <w:t>6.卫生健康支出（210）公共卫生（21004）重大公共卫生服务（2100409）</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11.53</w:t>
      </w:r>
      <w:r>
        <w:rPr>
          <w:rFonts w:hint="eastAsia" w:ascii="仿宋" w:hAnsi="仿宋" w:eastAsia="仿宋"/>
          <w:b w:val="0"/>
          <w:bCs w:val="0"/>
          <w:color w:val="000000"/>
          <w:sz w:val="32"/>
          <w:szCs w:val="32"/>
        </w:rPr>
        <w:t>万元，完成预算100%</w:t>
      </w:r>
      <w:r>
        <w:rPr>
          <w:rFonts w:hint="eastAsia" w:ascii="仿宋" w:hAnsi="仿宋" w:eastAsia="仿宋"/>
          <w:b w:val="0"/>
          <w:bCs w:val="0"/>
          <w:color w:val="000000"/>
          <w:sz w:val="32"/>
          <w:szCs w:val="32"/>
          <w:lang w:eastAsia="zh-CN"/>
        </w:rPr>
        <w:t>。</w:t>
      </w:r>
      <w:r>
        <w:rPr>
          <w:rFonts w:hint="eastAsia" w:ascii="仿宋" w:hAnsi="仿宋" w:eastAsia="仿宋"/>
          <w:b w:val="0"/>
          <w:bCs w:val="0"/>
          <w:color w:val="000000"/>
          <w:sz w:val="32"/>
          <w:szCs w:val="32"/>
        </w:rPr>
        <w:cr/>
      </w:r>
      <w:r>
        <w:rPr>
          <w:rFonts w:hint="eastAsia" w:ascii="仿宋" w:hAnsi="仿宋" w:eastAsia="仿宋"/>
          <w:b w:val="0"/>
          <w:bCs w:val="0"/>
          <w:color w:val="000000"/>
          <w:sz w:val="32"/>
          <w:szCs w:val="32"/>
          <w:lang w:val="en-US" w:eastAsia="zh-CN"/>
        </w:rPr>
        <w:t xml:space="preserve"> </w:t>
      </w:r>
      <w:r>
        <w:rPr>
          <w:rFonts w:hint="eastAsia" w:ascii="仿宋" w:hAnsi="仿宋" w:eastAsia="仿宋" w:cs="Times New Roman"/>
          <w:b w:val="0"/>
          <w:bCs w:val="0"/>
          <w:sz w:val="32"/>
          <w:szCs w:val="32"/>
          <w:lang w:val="en-US" w:eastAsia="zh-CN"/>
        </w:rPr>
        <w:t xml:space="preserve">   7.卫生健康支出（210）公共卫生（21004）其他公共卫生支出（2100499）</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10.74</w:t>
      </w:r>
      <w:r>
        <w:rPr>
          <w:rFonts w:hint="eastAsia" w:ascii="仿宋" w:hAnsi="仿宋" w:eastAsia="仿宋"/>
          <w:b w:val="0"/>
          <w:bCs w:val="0"/>
          <w:color w:val="000000"/>
          <w:sz w:val="32"/>
          <w:szCs w:val="32"/>
        </w:rPr>
        <w:t>万元，完成预算100%。</w:t>
      </w:r>
      <w:r>
        <w:rPr>
          <w:rFonts w:hint="eastAsia" w:ascii="仿宋" w:hAnsi="仿宋" w:eastAsia="仿宋"/>
          <w:b w:val="0"/>
          <w:bCs w:val="0"/>
          <w:color w:val="000000"/>
          <w:sz w:val="32"/>
          <w:szCs w:val="32"/>
        </w:rPr>
        <w:cr/>
      </w:r>
      <w:r>
        <w:rPr>
          <w:rFonts w:hint="eastAsia" w:ascii="仿宋" w:hAnsi="仿宋" w:eastAsia="仿宋" w:cs="Times New Roman"/>
          <w:b w:val="0"/>
          <w:bCs w:val="0"/>
          <w:sz w:val="32"/>
          <w:szCs w:val="32"/>
          <w:lang w:val="en-US" w:eastAsia="zh-CN"/>
        </w:rPr>
        <w:t xml:space="preserve">    8.卫生健康支出（210）行政事业单位医疗（21011）事业单位医疗（2101102）</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37.79</w:t>
      </w:r>
      <w:r>
        <w:rPr>
          <w:rFonts w:hint="eastAsia" w:ascii="仿宋" w:hAnsi="仿宋" w:eastAsia="仿宋"/>
          <w:b w:val="0"/>
          <w:bCs w:val="0"/>
          <w:color w:val="000000"/>
          <w:sz w:val="32"/>
          <w:szCs w:val="32"/>
        </w:rPr>
        <w:t>万元，完成预算100%。</w:t>
      </w:r>
    </w:p>
    <w:p w14:paraId="63BDBE8B">
      <w:pPr>
        <w:keepNext w:val="0"/>
        <w:keepLines w:val="0"/>
        <w:pageBreakBefore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b w:val="0"/>
          <w:bCs w:val="0"/>
          <w:color w:val="000000"/>
          <w:sz w:val="32"/>
          <w:szCs w:val="32"/>
        </w:rPr>
      </w:pPr>
      <w:r>
        <w:rPr>
          <w:rFonts w:hint="eastAsia" w:ascii="仿宋" w:hAnsi="仿宋" w:eastAsia="仿宋" w:cs="Times New Roman"/>
          <w:b w:val="0"/>
          <w:bCs w:val="0"/>
          <w:sz w:val="32"/>
          <w:szCs w:val="32"/>
          <w:lang w:val="en-US" w:eastAsia="zh-CN"/>
        </w:rPr>
        <w:t>9.</w:t>
      </w:r>
      <w:r>
        <w:rPr>
          <w:rFonts w:hint="eastAsia" w:ascii="仿宋" w:hAnsi="仿宋" w:eastAsia="仿宋" w:cs="Times New Roman"/>
          <w:b w:val="0"/>
          <w:bCs w:val="0"/>
          <w:kern w:val="2"/>
          <w:sz w:val="32"/>
          <w:szCs w:val="32"/>
          <w:lang w:val="en-US" w:eastAsia="zh-CN" w:bidi="ar-SA"/>
        </w:rPr>
        <w:t>卫</w:t>
      </w:r>
      <w:r>
        <w:rPr>
          <w:rFonts w:hint="eastAsia" w:ascii="仿宋" w:hAnsi="仿宋" w:eastAsia="仿宋" w:cs="Times New Roman"/>
          <w:b w:val="0"/>
          <w:bCs w:val="0"/>
          <w:sz w:val="32"/>
          <w:szCs w:val="32"/>
          <w:lang w:val="en-US" w:eastAsia="zh-CN"/>
        </w:rPr>
        <w:t>生健康支出（210）行政事业单位医疗（21011）其他行政事业单位医疗（2101199）</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7.29</w:t>
      </w:r>
      <w:r>
        <w:rPr>
          <w:rFonts w:hint="eastAsia" w:ascii="仿宋" w:hAnsi="仿宋" w:eastAsia="仿宋"/>
          <w:b w:val="0"/>
          <w:bCs w:val="0"/>
          <w:color w:val="000000"/>
          <w:sz w:val="32"/>
          <w:szCs w:val="32"/>
        </w:rPr>
        <w:t>万元，完成预算100%。</w:t>
      </w:r>
      <w:r>
        <w:rPr>
          <w:rFonts w:hint="eastAsia" w:ascii="仿宋" w:hAnsi="仿宋" w:eastAsia="仿宋"/>
          <w:b w:val="0"/>
          <w:bCs w:val="0"/>
          <w:color w:val="000000"/>
          <w:sz w:val="32"/>
          <w:szCs w:val="32"/>
        </w:rPr>
        <w:cr/>
      </w:r>
      <w:r>
        <w:rPr>
          <w:rFonts w:hint="eastAsia" w:ascii="仿宋" w:hAnsi="仿宋" w:eastAsia="仿宋"/>
          <w:b w:val="0"/>
          <w:bCs w:val="0"/>
          <w:color w:val="000000"/>
          <w:sz w:val="32"/>
          <w:szCs w:val="32"/>
          <w:lang w:val="en-US" w:eastAsia="zh-CN"/>
        </w:rPr>
        <w:t xml:space="preserve">   </w:t>
      </w:r>
      <w:r>
        <w:rPr>
          <w:rFonts w:hint="eastAsia" w:ascii="仿宋" w:hAnsi="仿宋" w:eastAsia="仿宋" w:cs="Times New Roman"/>
          <w:b w:val="0"/>
          <w:bCs w:val="0"/>
          <w:kern w:val="2"/>
          <w:sz w:val="32"/>
          <w:szCs w:val="32"/>
          <w:lang w:val="en-US" w:eastAsia="zh-CN" w:bidi="ar-SA"/>
        </w:rPr>
        <w:t>10.</w:t>
      </w:r>
      <w:r>
        <w:rPr>
          <w:rFonts w:hint="eastAsia" w:ascii="仿宋" w:hAnsi="仿宋" w:eastAsia="仿宋" w:cs="Times New Roman"/>
          <w:b w:val="0"/>
          <w:bCs w:val="0"/>
          <w:sz w:val="32"/>
          <w:szCs w:val="32"/>
          <w:lang w:val="en-US" w:eastAsia="zh-CN"/>
        </w:rPr>
        <w:t>卫生健康支出（210）其他卫生健康支出（21099）其他卫生健康支出（2109999）</w:t>
      </w:r>
      <w:r>
        <w:rPr>
          <w:rFonts w:hint="eastAsia" w:ascii="仿宋" w:hAnsi="仿宋" w:eastAsia="仿宋" w:cs="Times New Roman"/>
          <w:b w:val="0"/>
          <w:bCs w:val="0"/>
          <w:kern w:val="2"/>
          <w:sz w:val="32"/>
          <w:szCs w:val="32"/>
          <w:lang w:val="en-US" w:eastAsia="zh-CN" w:bidi="ar-SA"/>
        </w:rPr>
        <w:t>：</w:t>
      </w:r>
      <w:r>
        <w:rPr>
          <w:rFonts w:hint="eastAsia" w:ascii="仿宋" w:hAnsi="仿宋" w:eastAsia="仿宋"/>
          <w:b w:val="0"/>
          <w:bCs w:val="0"/>
          <w:color w:val="000000"/>
          <w:sz w:val="32"/>
          <w:szCs w:val="32"/>
        </w:rPr>
        <w:t>支出决算</w:t>
      </w:r>
      <w:r>
        <w:rPr>
          <w:rFonts w:hint="eastAsia" w:ascii="仿宋" w:hAnsi="仿宋" w:eastAsia="仿宋"/>
          <w:b w:val="0"/>
          <w:bCs w:val="0"/>
          <w:color w:val="000000"/>
          <w:sz w:val="32"/>
          <w:szCs w:val="32"/>
          <w:lang w:val="en-US" w:eastAsia="zh-CN"/>
        </w:rPr>
        <w:t>3.32</w:t>
      </w:r>
      <w:r>
        <w:rPr>
          <w:rFonts w:hint="eastAsia" w:ascii="仿宋" w:hAnsi="仿宋" w:eastAsia="仿宋"/>
          <w:b w:val="0"/>
          <w:bCs w:val="0"/>
          <w:color w:val="000000"/>
          <w:sz w:val="32"/>
          <w:szCs w:val="32"/>
        </w:rPr>
        <w:t>万元，完成预算100%。</w:t>
      </w:r>
    </w:p>
    <w:p w14:paraId="31BC4AC5">
      <w:pPr>
        <w:keepNext w:val="0"/>
        <w:keepLines w:val="0"/>
        <w:pageBreakBefore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default" w:ascii="仿宋" w:hAnsi="仿宋" w:eastAsia="仿宋" w:cs="Times New Roman"/>
          <w:b w:val="0"/>
          <w:bCs w:val="0"/>
          <w:color w:val="000000"/>
          <w:sz w:val="32"/>
          <w:szCs w:val="32"/>
          <w:lang w:val="en-US" w:eastAsia="zh-CN"/>
        </w:rPr>
      </w:pPr>
      <w:r>
        <w:rPr>
          <w:rFonts w:hint="eastAsia" w:ascii="仿宋" w:hAnsi="仿宋" w:eastAsia="仿宋" w:cs="Times New Roman"/>
          <w:b w:val="0"/>
          <w:bCs w:val="0"/>
          <w:sz w:val="32"/>
          <w:szCs w:val="32"/>
          <w:lang w:val="en-US" w:eastAsia="zh-CN"/>
        </w:rPr>
        <w:t>11.住房保障支出（221）住房改革支出（22102）住房公积金（2210201）：</w:t>
      </w:r>
      <w:r>
        <w:rPr>
          <w:rFonts w:hint="eastAsia" w:ascii="仿宋" w:hAnsi="仿宋" w:eastAsia="仿宋" w:cs="Times New Roman"/>
          <w:b w:val="0"/>
          <w:bCs w:val="0"/>
          <w:color w:val="000000"/>
          <w:sz w:val="32"/>
          <w:szCs w:val="32"/>
          <w:lang w:val="en-US" w:eastAsia="zh-CN"/>
        </w:rPr>
        <w:t>支出决算为64.97万元，完成预算100%。</w:t>
      </w:r>
    </w:p>
    <w:p w14:paraId="1B911886">
      <w:pPr>
        <w:tabs>
          <w:tab w:val="right" w:pos="8306"/>
        </w:tabs>
        <w:spacing w:line="600" w:lineRule="exact"/>
        <w:ind w:firstLine="640"/>
        <w:outlineLvl w:val="1"/>
        <w:rPr>
          <w:rStyle w:val="30"/>
          <w:rFonts w:ascii="Times New Roman" w:hAnsi="Times New Roman"/>
          <w:color w:val="auto"/>
          <w:highlight w:val="none"/>
        </w:rPr>
      </w:pPr>
      <w:bookmarkStart w:id="93" w:name="_Toc15396608"/>
      <w:bookmarkStart w:id="94" w:name="_Toc5581"/>
      <w:bookmarkStart w:id="95" w:name="_Toc9754"/>
      <w:bookmarkStart w:id="96"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93"/>
      <w:bookmarkEnd w:id="94"/>
      <w:bookmarkEnd w:id="95"/>
      <w:bookmarkEnd w:id="96"/>
      <w:r>
        <w:rPr>
          <w:rStyle w:val="30"/>
          <w:rFonts w:ascii="Times New Roman" w:hAnsi="Times New Roman" w:eastAsia="黑体"/>
          <w:b w:val="0"/>
          <w:color w:val="auto"/>
          <w:highlight w:val="none"/>
        </w:rPr>
        <w:tab/>
      </w:r>
    </w:p>
    <w:p w14:paraId="651D75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877.67</w:t>
      </w:r>
      <w:r>
        <w:rPr>
          <w:rFonts w:hint="eastAsia" w:ascii="Times New Roman" w:hAnsi="Times New Roman" w:eastAsia="仿宋_GB2312" w:cs="仿宋_GB2312"/>
          <w:color w:val="auto"/>
          <w:kern w:val="2"/>
          <w:sz w:val="32"/>
          <w:szCs w:val="32"/>
          <w:highlight w:val="none"/>
          <w:lang w:val="en-US" w:eastAsia="zh-CN" w:bidi="ar-SA"/>
        </w:rPr>
        <w:t>万元，其中：</w:t>
      </w:r>
    </w:p>
    <w:p w14:paraId="44C4CB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869.92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7.75</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39AE2BD">
      <w:pPr>
        <w:spacing w:line="600" w:lineRule="exact"/>
        <w:ind w:firstLine="640"/>
        <w:outlineLvl w:val="1"/>
        <w:rPr>
          <w:rStyle w:val="30"/>
          <w:rFonts w:ascii="Times New Roman" w:hAnsi="Times New Roman" w:eastAsia="黑体"/>
          <w:b w:val="0"/>
          <w:color w:val="auto"/>
          <w:highlight w:val="none"/>
        </w:rPr>
      </w:pPr>
      <w:bookmarkStart w:id="97" w:name="_Toc26130"/>
      <w:bookmarkStart w:id="98" w:name="_Toc15377215"/>
      <w:bookmarkStart w:id="99" w:name="_Toc5488"/>
      <w:bookmarkStart w:id="100"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97"/>
      <w:bookmarkEnd w:id="98"/>
      <w:bookmarkEnd w:id="99"/>
      <w:bookmarkEnd w:id="100"/>
    </w:p>
    <w:p w14:paraId="45BD729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20412"/>
      <w:bookmarkStart w:id="10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101"/>
      <w:bookmarkEnd w:id="102"/>
    </w:p>
    <w:p w14:paraId="19AE109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1C53A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28779"/>
      <w:bookmarkStart w:id="10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103"/>
      <w:bookmarkEnd w:id="104"/>
    </w:p>
    <w:p w14:paraId="2D56F2E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4C68B7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273050</wp:posOffset>
            </wp:positionH>
            <wp:positionV relativeFrom="paragraph">
              <wp:posOffset>212090</wp:posOffset>
            </wp:positionV>
            <wp:extent cx="5008880" cy="3255645"/>
            <wp:effectExtent l="4445" t="4445" r="15875" b="16510"/>
            <wp:wrapSquare wrapText="bothSides"/>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71D068D">
      <w:pPr>
        <w:numPr>
          <w:ilvl w:val="0"/>
          <w:numId w:val="1"/>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。因公出国（境）支出决算比2024年增加/减少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49E385A">
      <w:pPr>
        <w:numPr>
          <w:ilvl w:val="0"/>
          <w:numId w:val="1"/>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56B5069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673466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890FD27">
      <w:pPr>
        <w:numPr>
          <w:ilvl w:val="0"/>
          <w:numId w:val="1"/>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7E243BE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F3A4DD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AA7F623">
      <w:pPr>
        <w:spacing w:line="600" w:lineRule="exact"/>
        <w:ind w:firstLine="640" w:firstLineChars="200"/>
        <w:outlineLvl w:val="1"/>
        <w:rPr>
          <w:rStyle w:val="30"/>
          <w:rFonts w:ascii="Times New Roman" w:hAnsi="Times New Roman" w:eastAsia="黑体"/>
          <w:color w:val="auto"/>
          <w:highlight w:val="none"/>
        </w:rPr>
      </w:pPr>
      <w:bookmarkStart w:id="105" w:name="_Toc16102"/>
      <w:bookmarkStart w:id="106" w:name="_Toc5374"/>
      <w:bookmarkStart w:id="107" w:name="_Toc15396610"/>
      <w:bookmarkStart w:id="108"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105"/>
      <w:bookmarkEnd w:id="106"/>
      <w:bookmarkEnd w:id="107"/>
      <w:bookmarkEnd w:id="108"/>
    </w:p>
    <w:p w14:paraId="6DF04C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41CAE8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109" w:name="_Toc24790"/>
      <w:bookmarkStart w:id="110" w:name="_Toc8366"/>
      <w:bookmarkStart w:id="111" w:name="_Toc15396611"/>
      <w:bookmarkStart w:id="112"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109"/>
      <w:bookmarkEnd w:id="110"/>
      <w:bookmarkEnd w:id="111"/>
      <w:bookmarkEnd w:id="112"/>
    </w:p>
    <w:p w14:paraId="4962BD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B3BB294">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113" w:name="_Toc15396612"/>
      <w:bookmarkStart w:id="114" w:name="_Toc6590"/>
      <w:bookmarkStart w:id="115" w:name="_Toc17782"/>
      <w:bookmarkStart w:id="116"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113"/>
      <w:bookmarkEnd w:id="114"/>
      <w:bookmarkEnd w:id="115"/>
      <w:bookmarkEnd w:id="116"/>
    </w:p>
    <w:p w14:paraId="504EC0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17" w:name="_Toc15377222"/>
      <w:bookmarkStart w:id="118" w:name="_Toc8454"/>
      <w:r>
        <w:rPr>
          <w:rFonts w:hint="eastAsia" w:ascii="Times New Roman" w:hAnsi="Times New Roman" w:eastAsia="楷体_GB2312" w:cs="楷体_GB2312"/>
          <w:b/>
          <w:color w:val="auto"/>
          <w:sz w:val="32"/>
          <w:szCs w:val="32"/>
          <w:highlight w:val="none"/>
        </w:rPr>
        <w:t>（一）机关运行经费支出情况</w:t>
      </w:r>
      <w:bookmarkEnd w:id="117"/>
      <w:bookmarkEnd w:id="118"/>
    </w:p>
    <w:p w14:paraId="50F6E9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松潘县妇幼保健院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0CDFB97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19" w:name="_Toc15377223"/>
      <w:bookmarkStart w:id="120" w:name="_Toc24338"/>
      <w:r>
        <w:rPr>
          <w:rFonts w:hint="eastAsia" w:ascii="Times New Roman" w:hAnsi="Times New Roman" w:eastAsia="楷体_GB2312" w:cs="楷体_GB2312"/>
          <w:b/>
          <w:color w:val="auto"/>
          <w:sz w:val="32"/>
          <w:szCs w:val="32"/>
          <w:highlight w:val="none"/>
        </w:rPr>
        <w:t>（二）政府采购支出情况</w:t>
      </w:r>
      <w:bookmarkEnd w:id="119"/>
      <w:bookmarkEnd w:id="120"/>
    </w:p>
    <w:p w14:paraId="286046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松潘县妇幼保健院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ABAFEDF">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121" w:name="_Toc15377224"/>
      <w:bookmarkStart w:id="122" w:name="_Toc16532"/>
      <w:r>
        <w:rPr>
          <w:rFonts w:hint="eastAsia" w:ascii="Times New Roman" w:hAnsi="Times New Roman" w:eastAsia="楷体_GB2312" w:cs="楷体_GB2312"/>
          <w:b/>
          <w:color w:val="auto"/>
          <w:sz w:val="32"/>
          <w:szCs w:val="32"/>
          <w:highlight w:val="none"/>
        </w:rPr>
        <w:t>（三）国有资产占有使用情况</w:t>
      </w:r>
      <w:bookmarkEnd w:id="121"/>
      <w:bookmarkEnd w:id="122"/>
    </w:p>
    <w:p w14:paraId="2CC96E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松潘县妇幼保健院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工作人员外出事务开会等。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29D77B87">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123" w:name="_Toc24202"/>
      <w:r>
        <w:rPr>
          <w:rFonts w:hint="eastAsia" w:ascii="Times New Roman" w:hAnsi="Times New Roman" w:eastAsia="楷体_GB2312" w:cs="楷体_GB2312"/>
          <w:b/>
          <w:color w:val="auto"/>
          <w:sz w:val="32"/>
          <w:szCs w:val="32"/>
          <w:highlight w:val="none"/>
        </w:rPr>
        <w:t>（四）预算绩效管理情况</w:t>
      </w:r>
      <w:bookmarkEnd w:id="123"/>
    </w:p>
    <w:p w14:paraId="5EF7864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松潘县妇幼保健院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Times New Roman" w:eastAsia="仿宋_GB2312" w:cs="Times New Roman"/>
          <w:color w:val="auto"/>
          <w:sz w:val="32"/>
          <w:szCs w:val="32"/>
          <w:highlight w:val="none"/>
          <w:lang w:val="en-US" w:eastAsia="zh-CN"/>
        </w:rPr>
        <w:t>重大传染病和地方病</w:t>
      </w:r>
      <w:r>
        <w:rPr>
          <w:rFonts w:hint="eastAsia" w:ascii="仿宋_GB2312" w:eastAsia="仿宋_GB2312" w:cs="Times New Roman"/>
          <w:color w:val="auto"/>
          <w:sz w:val="32"/>
          <w:szCs w:val="32"/>
          <w:highlight w:val="none"/>
          <w:lang w:val="en-US" w:eastAsia="zh-CN"/>
        </w:rPr>
        <w:t>防治</w:t>
      </w:r>
      <w:r>
        <w:rPr>
          <w:rFonts w:hint="eastAsia" w:ascii="仿宋_GB2312" w:hAnsi="Times New Roman" w:eastAsia="仿宋_GB2312" w:cs="Times New Roman"/>
          <w:color w:val="auto"/>
          <w:sz w:val="32"/>
          <w:szCs w:val="32"/>
          <w:highlight w:val="none"/>
          <w:lang w:val="en-US" w:eastAsia="zh-CN"/>
        </w:rPr>
        <w:t>、两癌筛查、免费孕前优生健康检查、新生儿疾病筛查、城乡居民住院分娩</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项目开展了事前绩效评估，编制了绩效目标</w:t>
      </w:r>
      <w:r>
        <w:rPr>
          <w:rFonts w:hint="eastAsia" w:eastAsia="仿宋_GB2312" w:cs="仿宋_GB2312"/>
          <w:color w:val="auto"/>
          <w:kern w:val="2"/>
          <w:sz w:val="32"/>
          <w:szCs w:val="32"/>
          <w:highlight w:val="none"/>
          <w:lang w:val="en-US" w:eastAsia="zh-CN" w:bidi="ar-SA"/>
        </w:rPr>
        <w:t>。</w:t>
      </w:r>
    </w:p>
    <w:p w14:paraId="610AA8E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881197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B0109E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DB2096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CC1097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B4642D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EDE6F0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9DA709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24" w:name="_Toc26062"/>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24"/>
    </w:p>
    <w:p w14:paraId="318D78C0">
      <w:pPr>
        <w:spacing w:line="600" w:lineRule="exact"/>
        <w:jc w:val="left"/>
        <w:rPr>
          <w:rFonts w:ascii="Times New Roman" w:hAnsi="Times New Roman"/>
          <w:b/>
          <w:color w:val="auto"/>
          <w:sz w:val="44"/>
          <w:szCs w:val="44"/>
          <w:highlight w:val="none"/>
        </w:rPr>
      </w:pPr>
    </w:p>
    <w:p w14:paraId="3E6BEC91">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1.财政拨款收入：指单位从同级财政部门取得的财政预算资金。</w:t>
      </w:r>
    </w:p>
    <w:p w14:paraId="0207D2EB">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2.事业收入：指事业单位开展专业业务活动及辅助活动取得的收入。</w:t>
      </w:r>
    </w:p>
    <w:p w14:paraId="1C5CDAF1">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3.经营收入：指事业单位在专业业务活动及其辅助活动之外开展非独立核算经营活动取得的收入</w:t>
      </w:r>
    </w:p>
    <w:p w14:paraId="37F9EF4D">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4.其他收入：指单位取得的除上述收入以外的各项收入。</w:t>
      </w:r>
    </w:p>
    <w:p w14:paraId="74283B46">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376F8A0">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 xml:space="preserve">6.年初结转和结余：指以前年度尚未完成、结转到本年按有关规定继续使用的资金。 </w:t>
      </w:r>
    </w:p>
    <w:p w14:paraId="30E5DF89">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7.结余分配：指事业单位按照事业单位会计制度的规定从非财政补助结余中分配的事业基金和职工福利基金等。</w:t>
      </w:r>
    </w:p>
    <w:p w14:paraId="53F86E3A">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8.年末结转和结余：指单位按有关规定结转到下年或以后年度继续使用的资金。</w:t>
      </w:r>
    </w:p>
    <w:p w14:paraId="161C27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9.社会保障和就业支出（208）行政事业单位养老支出（20805）机关事业单位基本养老保险缴费支出（2080505）：反映机关事业单位实施养老保险制度由单位缴纳的基本养老保险费支出。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10.社会保障和就业支出（208）行政事业单位养老支出（20805）机关事业单位职业年金缴费支出（2080506）：反映机关事业单位实施养老保险制度由单位实际缴纳的职业年金支出。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11.卫生健康支出（210）公共卫生（21004）妇幼保健机构（2100403）：反映卫生健康部门所属妇幼保健机构的支出。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12.卫生健康支出（210）公共卫生（21004）基本公共卫生服务（2100408）：反映基本公共卫生服务支出。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13.卫生健康支出（210）公共卫生（21004）重大公共卫生服务（2100409）：反映重大疾病、重大传染病预防控制等重大公共卫生服务项目支出。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14.卫生健康支出（210）公共卫生（21004）其他公共卫生支出（2100499）：其他公共卫生支出反映除上述项目以外的其他用于公共卫生方面的支出。</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15.卫生健康支出（210）行政事业单位医疗（21011）事业单位医疗（2101102）：反映财政部门安排的事业单位基本医疗保险缴费经费，未参加医疗保险的事业单位的公费医疗经费，按国家规定享受离休人员待遇的医疗经费。</w:t>
      </w:r>
      <w:r>
        <w:rPr>
          <w:rFonts w:hint="eastAsia" w:ascii="仿宋_GB2312" w:hAnsi="Times New Roman" w:eastAsia="仿宋_GB2312" w:cs="Times New Roman"/>
          <w:color w:val="auto"/>
          <w:sz w:val="32"/>
          <w:szCs w:val="32"/>
          <w:highlight w:val="none"/>
          <w:lang w:eastAsia="zh-CN"/>
        </w:rPr>
        <w:cr/>
      </w:r>
      <w:r>
        <w:rPr>
          <w:rFonts w:hint="eastAsia" w:ascii="仿宋_GB2312" w:hAnsi="Times New Roman" w:eastAsia="仿宋_GB2312" w:cs="Times New Roman"/>
          <w:color w:val="auto"/>
          <w:sz w:val="32"/>
          <w:szCs w:val="32"/>
          <w:highlight w:val="none"/>
          <w:lang w:val="en-US" w:eastAsia="zh-CN"/>
        </w:rPr>
        <w:t xml:space="preserve">    16.</w:t>
      </w:r>
      <w:r>
        <w:rPr>
          <w:rFonts w:hint="eastAsia" w:ascii="仿宋_GB2312" w:hAnsi="Times New Roman" w:eastAsia="仿宋_GB2312" w:cs="Times New Roman"/>
          <w:color w:val="auto"/>
          <w:sz w:val="32"/>
          <w:szCs w:val="32"/>
          <w:highlight w:val="none"/>
          <w:lang w:eastAsia="zh-CN"/>
        </w:rPr>
        <w:t>住房保障支出（221）住房改革支出（22102）住房公积金（2210201）：反映行政事业单位按人力资源和社会保障部、财政部规定的基本工资和津贴补贴以及规定比例为职工缴纳的住房公积金。</w:t>
      </w:r>
    </w:p>
    <w:p w14:paraId="372E0552">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17.基本支出：指为保障机构正常运转、完成日常工作任务而发生的人员支出和公用支出。</w:t>
      </w:r>
    </w:p>
    <w:p w14:paraId="441EA03D">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 xml:space="preserve">25.项目支出：指在基本支出之外为完成特定行政任务和事业发展目标所发生的支出。 </w:t>
      </w:r>
    </w:p>
    <w:p w14:paraId="54E79197">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18.经营支出：指事业单位在专业业务活动及其辅助活动之外开展非独立核算经营活动发生的支出。</w:t>
      </w:r>
    </w:p>
    <w:p w14:paraId="10EBFA29">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A66922">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7DD4805">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21.财政应返还额度：为行政事业单位会计核算科目，用于核算实行国库集中支付的行政事业单位应收财政返还的资金额度。</w:t>
      </w:r>
    </w:p>
    <w:p w14:paraId="3748D31B">
      <w:pPr>
        <w:spacing w:line="600" w:lineRule="exact"/>
        <w:jc w:val="center"/>
        <w:rPr>
          <w:rFonts w:hint="eastAsia" w:ascii="Times New Roman" w:hAnsi="Times New Roman" w:eastAsia="黑体"/>
          <w:color w:val="auto"/>
          <w:sz w:val="44"/>
          <w:szCs w:val="44"/>
          <w:highlight w:val="none"/>
        </w:rPr>
      </w:pPr>
    </w:p>
    <w:p w14:paraId="57AEB54F">
      <w:pPr>
        <w:numPr>
          <w:ilvl w:val="0"/>
          <w:numId w:val="0"/>
        </w:numPr>
        <w:spacing w:line="600" w:lineRule="exact"/>
        <w:jc w:val="center"/>
        <w:outlineLvl w:val="0"/>
        <w:rPr>
          <w:rFonts w:hint="eastAsia" w:ascii="Times New Roman" w:hAnsi="Times New Roman" w:eastAsia="黑体" w:cs="Times New Roman"/>
          <w:color w:val="auto"/>
          <w:sz w:val="44"/>
          <w:szCs w:val="44"/>
          <w:highlight w:val="none"/>
          <w:lang w:eastAsia="zh-CN"/>
        </w:rPr>
      </w:pPr>
      <w:bookmarkStart w:id="125" w:name="_Toc2747_WPSOffice_Level1"/>
      <w:bookmarkStart w:id="126" w:name="_Toc25718"/>
      <w:r>
        <w:rPr>
          <w:rFonts w:hint="eastAsia" w:ascii="Times New Roman" w:hAnsi="Times New Roman" w:eastAsia="黑体" w:cs="Times New Roman"/>
          <w:color w:val="auto"/>
          <w:sz w:val="44"/>
          <w:szCs w:val="44"/>
          <w:highlight w:val="none"/>
        </w:rPr>
        <w:t>第四部分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附件</w:t>
      </w:r>
      <w:bookmarkEnd w:id="125"/>
      <w:bookmarkEnd w:id="126"/>
    </w:p>
    <w:p w14:paraId="24D79F90">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872E575">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部门预算项目支出绩效自评表（2025年度）</w:t>
      </w:r>
    </w:p>
    <w:p w14:paraId="46A6963F">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（注：按照绩效自评工作安排，各部门已在预算管理一体化系统绩效自评模块上传“部门预算项目支出绩效自评表（2025年度）”，该表格应作为附表予以公开）  </w:t>
      </w:r>
    </w:p>
    <w:tbl>
      <w:tblPr>
        <w:tblStyle w:val="16"/>
        <w:tblpPr w:leftFromText="180" w:rightFromText="180" w:vertAnchor="text" w:horzAnchor="page" w:tblpX="1621" w:tblpY="1466"/>
        <w:tblOverlap w:val="never"/>
        <w:tblW w:w="9020" w:type="dxa"/>
        <w:tblInd w:w="0" w:type="dxa"/>
        <w:tblLayout w:type="fixed"/>
        <w:tblCellMar>
          <w:top w:w="0" w:type="dxa"/>
          <w:left w:w="0" w:type="dxa"/>
          <w:bottom w:w="0" w:type="dxa"/>
          <w:right w:w="0" w:type="dxa"/>
        </w:tblCellMar>
      </w:tblPr>
      <w:tblGrid>
        <w:gridCol w:w="470"/>
        <w:gridCol w:w="752"/>
        <w:gridCol w:w="1218"/>
        <w:gridCol w:w="1062"/>
        <w:gridCol w:w="332"/>
        <w:gridCol w:w="427"/>
        <w:gridCol w:w="566"/>
        <w:gridCol w:w="508"/>
        <w:gridCol w:w="390"/>
        <w:gridCol w:w="196"/>
        <w:gridCol w:w="123"/>
        <w:gridCol w:w="233"/>
        <w:gridCol w:w="240"/>
        <w:gridCol w:w="1783"/>
        <w:gridCol w:w="240"/>
        <w:gridCol w:w="240"/>
      </w:tblGrid>
      <w:tr w14:paraId="7B23EEBB">
        <w:tblPrEx>
          <w:tblCellMar>
            <w:top w:w="0" w:type="dxa"/>
            <w:left w:w="0" w:type="dxa"/>
            <w:bottom w:w="0" w:type="dxa"/>
            <w:right w:w="0" w:type="dxa"/>
          </w:tblCellMar>
        </w:tblPrEx>
        <w:trPr>
          <w:trHeight w:val="568" w:hRule="atLeast"/>
        </w:trPr>
        <w:tc>
          <w:tcPr>
            <w:tcW w:w="8300" w:type="dxa"/>
            <w:gridSpan w:val="1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952D7">
            <w:pPr>
              <w:keepNext w:val="0"/>
              <w:keepLines w:val="0"/>
              <w:widowControl/>
              <w:suppressLineNumbers w:val="0"/>
              <w:jc w:val="center"/>
              <w:textAlignment w:val="center"/>
              <w:rPr>
                <w:rFonts w:hint="eastAsia" w:ascii="黑体" w:hAnsi="宋体" w:eastAsia="黑体" w:cs="黑体"/>
                <w:b/>
                <w:i w:val="0"/>
                <w:color w:val="000000"/>
                <w:sz w:val="30"/>
                <w:szCs w:val="30"/>
                <w:u w:val="none"/>
              </w:rPr>
            </w:pPr>
            <w:bookmarkStart w:id="127" w:name="_Toc15396613"/>
            <w:bookmarkStart w:id="128" w:name="_Toc3076"/>
            <w:bookmarkStart w:id="129" w:name="_Toc15377225"/>
            <w:r>
              <w:rPr>
                <w:rFonts w:hint="eastAsia" w:ascii="黑体" w:hAnsi="宋体" w:eastAsia="黑体" w:cs="黑体"/>
                <w:b/>
                <w:i w:val="0"/>
                <w:color w:val="000000"/>
                <w:kern w:val="0"/>
                <w:sz w:val="30"/>
                <w:szCs w:val="30"/>
                <w:u w:val="none"/>
                <w:lang w:val="en-US" w:eastAsia="zh-CN" w:bidi="ar"/>
              </w:rPr>
              <w:t>部门预算项目支出绩效自评表（2025年度）</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071AA">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55425">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p>
        </w:tc>
      </w:tr>
      <w:tr w14:paraId="40791BCF">
        <w:tblPrEx>
          <w:tblCellMar>
            <w:top w:w="0" w:type="dxa"/>
            <w:left w:w="0" w:type="dxa"/>
            <w:bottom w:w="0" w:type="dxa"/>
            <w:right w:w="0" w:type="dxa"/>
          </w:tblCellMar>
        </w:tblPrEx>
        <w:trPr>
          <w:trHeight w:val="286"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220F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078"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9FDD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51322423T000009473061-城乡居民住院分娩补助资金</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61337">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E8D5E">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6862B7EA">
        <w:tblPrEx>
          <w:tblCellMar>
            <w:top w:w="0" w:type="dxa"/>
            <w:left w:w="0" w:type="dxa"/>
            <w:bottom w:w="0" w:type="dxa"/>
            <w:right w:w="0" w:type="dxa"/>
          </w:tblCellMar>
        </w:tblPrEx>
        <w:trPr>
          <w:trHeight w:val="90"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9FE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1769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松潘县卫生健康局本级</w:t>
            </w:r>
          </w:p>
        </w:tc>
        <w:tc>
          <w:tcPr>
            <w:tcW w:w="508" w:type="dxa"/>
            <w:tcBorders>
              <w:top w:val="nil"/>
              <w:left w:val="nil"/>
              <w:bottom w:val="nil"/>
              <w:right w:val="nil"/>
            </w:tcBorders>
            <w:noWrap w:val="0"/>
            <w:tcMar>
              <w:top w:w="15" w:type="dxa"/>
              <w:left w:w="15" w:type="dxa"/>
              <w:right w:w="15" w:type="dxa"/>
            </w:tcMar>
            <w:vAlign w:val="center"/>
          </w:tcPr>
          <w:p w14:paraId="579D75A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6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CA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松潘县妇幼保健院</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76D2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2A339">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7F682CB8">
        <w:tblPrEx>
          <w:tblCellMar>
            <w:top w:w="0" w:type="dxa"/>
            <w:left w:w="0" w:type="dxa"/>
            <w:bottom w:w="0" w:type="dxa"/>
            <w:right w:w="0" w:type="dxa"/>
          </w:tblCellMar>
        </w:tblPrEx>
        <w:trPr>
          <w:trHeight w:val="286"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15B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7455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A66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473"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83CF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D7DB0">
            <w:pPr>
              <w:keepNext w:val="0"/>
              <w:keepLines w:val="0"/>
              <w:widowControl/>
              <w:suppressLineNumbers w:val="0"/>
              <w:jc w:val="center"/>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492764">
            <w:pPr>
              <w:keepNext w:val="0"/>
              <w:keepLines w:val="0"/>
              <w:widowControl/>
              <w:suppressLineNumbers w:val="0"/>
              <w:jc w:val="center"/>
              <w:textAlignment w:val="center"/>
              <w:rPr>
                <w:rFonts w:hint="eastAsia" w:ascii="黑体" w:hAnsi="黑体" w:eastAsia="黑体" w:cs="黑体"/>
                <w:i w:val="0"/>
                <w:color w:val="000000"/>
                <w:kern w:val="0"/>
                <w:sz w:val="18"/>
                <w:szCs w:val="18"/>
                <w:u w:val="none"/>
                <w:lang w:val="en-US" w:eastAsia="zh-CN" w:bidi="ar"/>
              </w:rPr>
            </w:pPr>
          </w:p>
        </w:tc>
      </w:tr>
      <w:tr w14:paraId="6B4E6675">
        <w:tblPrEx>
          <w:tblCellMar>
            <w:top w:w="0" w:type="dxa"/>
            <w:left w:w="0" w:type="dxa"/>
            <w:bottom w:w="0" w:type="dxa"/>
            <w:right w:w="0" w:type="dxa"/>
          </w:tblCellMar>
        </w:tblPrEx>
        <w:trPr>
          <w:trHeight w:val="90"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6A64A">
            <w:pP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58F46">
            <w:pPr>
              <w:rPr>
                <w:rFonts w:hint="eastAsia" w:ascii="宋体" w:hAnsi="宋体" w:eastAsia="宋体" w:cs="宋体"/>
                <w:i w:val="0"/>
                <w:color w:val="000000"/>
                <w:sz w:val="18"/>
                <w:szCs w:val="18"/>
                <w:u w:val="none"/>
              </w:rPr>
            </w:pPr>
          </w:p>
        </w:tc>
        <w:tc>
          <w:tcPr>
            <w:tcW w:w="4113"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7ABEC">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2025年松潘县城乡住院分娩任务数80人，城乡居民住院分娩基本医疗服务保障覆盖率达100%。</w:t>
            </w:r>
          </w:p>
        </w:tc>
        <w:tc>
          <w:tcPr>
            <w:tcW w:w="296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97AD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2025年完成任务数52人，报账率达到</w:t>
            </w:r>
            <w:r>
              <w:rPr>
                <w:rFonts w:hint="eastAsia" w:ascii="宋体" w:hAnsi="宋体" w:cs="宋体"/>
                <w:i w:val="0"/>
                <w:color w:val="000000"/>
                <w:kern w:val="0"/>
                <w:sz w:val="18"/>
                <w:szCs w:val="18"/>
                <w:u w:val="none"/>
                <w:lang w:val="en-US" w:eastAsia="zh-CN" w:bidi="ar"/>
              </w:rPr>
              <w:t>37.59%</w:t>
            </w:r>
            <w:r>
              <w:rPr>
                <w:rFonts w:hint="eastAsia" w:ascii="宋体" w:hAnsi="宋体" w:eastAsia="宋体" w:cs="宋体"/>
                <w:i w:val="0"/>
                <w:color w:val="000000"/>
                <w:kern w:val="0"/>
                <w:sz w:val="18"/>
                <w:szCs w:val="18"/>
                <w:u w:val="none"/>
                <w:lang w:val="en-US" w:eastAsia="zh-CN" w:bidi="ar"/>
              </w:rPr>
              <w:t>，资金管理规范，按照资金文件实施方案，专款专用，项目负责人严格审核报账资料，把关严谨。</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1A550">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B37F9">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r w14:paraId="4991978A">
        <w:tblPrEx>
          <w:tblCellMar>
            <w:top w:w="0" w:type="dxa"/>
            <w:left w:w="0" w:type="dxa"/>
            <w:bottom w:w="0" w:type="dxa"/>
            <w:right w:w="0" w:type="dxa"/>
          </w:tblCellMar>
        </w:tblPrEx>
        <w:trPr>
          <w:trHeight w:val="745"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1A90A">
            <w:pP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EC1B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078"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9B128">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我院根据2025年度项目资金预算，按照项目实施方案，围绕松潘县户籍且购买了城乡医保、在州内住院分娩的孕产妇，积极开展宣传、报账工作</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7B747">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381DD">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4B6F514A">
        <w:tblPrEx>
          <w:tblCellMar>
            <w:top w:w="0" w:type="dxa"/>
            <w:left w:w="0" w:type="dxa"/>
            <w:bottom w:w="0" w:type="dxa"/>
            <w:right w:w="0" w:type="dxa"/>
          </w:tblCellMar>
        </w:tblPrEx>
        <w:trPr>
          <w:trHeight w:val="361"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613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26F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3A7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A38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0FF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BB6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FD1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701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D99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472D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41251">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0317F3C6">
        <w:tblPrEx>
          <w:tblCellMar>
            <w:top w:w="0" w:type="dxa"/>
            <w:left w:w="0" w:type="dxa"/>
            <w:bottom w:w="0" w:type="dxa"/>
            <w:right w:w="0" w:type="dxa"/>
          </w:tblCellMar>
        </w:tblPrEx>
        <w:trPr>
          <w:trHeight w:val="346"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DCB31">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022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60AFA">
            <w:pPr>
              <w:keepNext w:val="0"/>
              <w:keepLines w:val="0"/>
              <w:widowControl/>
              <w:suppressLineNumbers w:val="0"/>
              <w:jc w:val="center"/>
              <w:textAlignment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11.2</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E654F">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13.54</w:t>
            </w: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73C9B">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5.09</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ED776">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37.59%</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68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F9542">
            <w:pPr>
              <w:jc w:val="center"/>
              <w:rPr>
                <w:rFonts w:hint="eastAsia" w:ascii="宋体" w:hAnsi="宋体" w:eastAsia="宋体" w:cs="宋体"/>
                <w:i w:val="0"/>
                <w:color w:val="000000"/>
                <w:sz w:val="18"/>
                <w:szCs w:val="18"/>
                <w:u w:val="none"/>
              </w:rPr>
            </w:pPr>
          </w:p>
        </w:tc>
        <w:tc>
          <w:tcPr>
            <w:tcW w:w="178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FAED4">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8FD04">
            <w:pPr>
              <w:keepNext w:val="0"/>
              <w:keepLines w:val="0"/>
              <w:widowControl/>
              <w:suppressLineNumbers w:val="0"/>
              <w:jc w:val="left"/>
              <w:textAlignment w:val="center"/>
              <w:rPr>
                <w:rFonts w:hint="eastAsia" w:ascii="黑体" w:hAnsi="黑体" w:eastAsia="黑体" w:cs="黑体"/>
                <w:i/>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4DB7E1">
            <w:pPr>
              <w:keepNext w:val="0"/>
              <w:keepLines w:val="0"/>
              <w:widowControl/>
              <w:suppressLineNumbers w:val="0"/>
              <w:jc w:val="left"/>
              <w:textAlignment w:val="center"/>
              <w:rPr>
                <w:rFonts w:hint="eastAsia" w:ascii="黑体" w:hAnsi="黑体" w:eastAsia="黑体" w:cs="黑体"/>
                <w:i/>
                <w:color w:val="000000"/>
                <w:kern w:val="0"/>
                <w:sz w:val="18"/>
                <w:szCs w:val="18"/>
                <w:u w:val="none"/>
                <w:lang w:val="en-US" w:eastAsia="zh-CN" w:bidi="ar"/>
              </w:rPr>
            </w:pPr>
          </w:p>
        </w:tc>
      </w:tr>
      <w:tr w14:paraId="2DCEE555">
        <w:tblPrEx>
          <w:tblCellMar>
            <w:top w:w="0" w:type="dxa"/>
            <w:left w:w="0" w:type="dxa"/>
            <w:bottom w:w="0" w:type="dxa"/>
            <w:right w:w="0" w:type="dxa"/>
          </w:tblCellMar>
        </w:tblPrEx>
        <w:trPr>
          <w:trHeight w:val="39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55447">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128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FB018">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11.2</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DCE95">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13.54</w:t>
            </w: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1716E">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5.09</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4EA95">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37.59%</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7C5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93A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8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93910">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18584">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0C9AC">
            <w:pPr>
              <w:rPr>
                <w:rFonts w:hint="eastAsia" w:ascii="黑体" w:hAnsi="黑体" w:eastAsia="黑体" w:cs="黑体"/>
                <w:i/>
                <w:color w:val="000000"/>
                <w:sz w:val="18"/>
                <w:szCs w:val="18"/>
                <w:u w:val="none"/>
              </w:rPr>
            </w:pPr>
          </w:p>
        </w:tc>
      </w:tr>
      <w:tr w14:paraId="10CDD2AF">
        <w:tblPrEx>
          <w:tblCellMar>
            <w:top w:w="0" w:type="dxa"/>
            <w:left w:w="0" w:type="dxa"/>
            <w:bottom w:w="0" w:type="dxa"/>
            <w:right w:w="0" w:type="dxa"/>
          </w:tblCellMar>
        </w:tblPrEx>
        <w:trPr>
          <w:trHeight w:val="407"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D6326">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5A3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994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94D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A9D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F7C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929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57F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8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515856">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8B987">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0E1AB">
            <w:pPr>
              <w:rPr>
                <w:rFonts w:hint="eastAsia" w:ascii="黑体" w:hAnsi="黑体" w:eastAsia="黑体" w:cs="黑体"/>
                <w:i/>
                <w:color w:val="000000"/>
                <w:sz w:val="18"/>
                <w:szCs w:val="18"/>
                <w:u w:val="none"/>
              </w:rPr>
            </w:pPr>
          </w:p>
        </w:tc>
      </w:tr>
      <w:tr w14:paraId="2BDC116B">
        <w:tblPrEx>
          <w:tblCellMar>
            <w:top w:w="0" w:type="dxa"/>
            <w:left w:w="0" w:type="dxa"/>
            <w:bottom w:w="0" w:type="dxa"/>
            <w:right w:w="0" w:type="dxa"/>
          </w:tblCellMar>
        </w:tblPrEx>
        <w:trPr>
          <w:trHeight w:val="36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B0D1A">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738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CEE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7E9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A43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2E9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52B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2788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8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BA4EA">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05EE4">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F4C97">
            <w:pPr>
              <w:rPr>
                <w:rFonts w:hint="eastAsia" w:ascii="黑体" w:hAnsi="黑体" w:eastAsia="黑体" w:cs="黑体"/>
                <w:i/>
                <w:color w:val="000000"/>
                <w:sz w:val="18"/>
                <w:szCs w:val="18"/>
                <w:u w:val="none"/>
              </w:rPr>
            </w:pPr>
          </w:p>
        </w:tc>
      </w:tr>
      <w:tr w14:paraId="015C2216">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21D36">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44B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C3758">
            <w:pPr>
              <w:jc w:val="center"/>
              <w:rPr>
                <w:rFonts w:hint="eastAsia" w:ascii="微软雅黑" w:hAnsi="微软雅黑" w:eastAsia="微软雅黑" w:cs="微软雅黑"/>
                <w:i/>
                <w:color w:val="000000"/>
                <w:sz w:val="16"/>
                <w:szCs w:val="16"/>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9EAA7">
            <w:pPr>
              <w:jc w:val="center"/>
              <w:rPr>
                <w:rFonts w:hint="eastAsia" w:ascii="微软雅黑" w:hAnsi="微软雅黑" w:eastAsia="微软雅黑" w:cs="微软雅黑"/>
                <w:i/>
                <w:color w:val="000000"/>
                <w:sz w:val="16"/>
                <w:szCs w:val="16"/>
                <w:u w:val="none"/>
              </w:rPr>
            </w:pPr>
          </w:p>
        </w:tc>
        <w:tc>
          <w:tcPr>
            <w:tcW w:w="183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D82B7">
            <w:pPr>
              <w:jc w:val="center"/>
              <w:rPr>
                <w:rFonts w:hint="eastAsia" w:ascii="微软雅黑" w:hAnsi="微软雅黑" w:eastAsia="微软雅黑" w:cs="微软雅黑"/>
                <w:i/>
                <w:color w:val="000000"/>
                <w:sz w:val="16"/>
                <w:szCs w:val="16"/>
                <w:u w:val="none"/>
              </w:rPr>
            </w:pP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10FD2">
            <w:pPr>
              <w:jc w:val="center"/>
              <w:rPr>
                <w:rFonts w:hint="eastAsia" w:ascii="微软雅黑" w:hAnsi="微软雅黑" w:eastAsia="微软雅黑" w:cs="微软雅黑"/>
                <w:i/>
                <w:color w:val="000000"/>
                <w:sz w:val="16"/>
                <w:szCs w:val="16"/>
                <w:u w:val="none"/>
              </w:rPr>
            </w:pP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A05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1C5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8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2EA89">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80DA4">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805DB">
            <w:pPr>
              <w:rPr>
                <w:rFonts w:hint="eastAsia" w:ascii="黑体" w:hAnsi="黑体" w:eastAsia="黑体" w:cs="黑体"/>
                <w:i/>
                <w:color w:val="000000"/>
                <w:sz w:val="18"/>
                <w:szCs w:val="18"/>
                <w:u w:val="none"/>
              </w:rPr>
            </w:pPr>
          </w:p>
        </w:tc>
      </w:tr>
      <w:tr w14:paraId="509942C1">
        <w:tblPrEx>
          <w:tblCellMar>
            <w:top w:w="0" w:type="dxa"/>
            <w:left w:w="0" w:type="dxa"/>
            <w:bottom w:w="0" w:type="dxa"/>
            <w:right w:w="0" w:type="dxa"/>
          </w:tblCellMar>
        </w:tblPrEx>
        <w:trPr>
          <w:trHeight w:val="660"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A0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476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0F6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5D8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8B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B68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BE8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738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4B0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B73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58B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4A45A">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3B7C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68E686ED">
        <w:tblPrEx>
          <w:tblCellMar>
            <w:top w:w="0" w:type="dxa"/>
            <w:left w:w="0" w:type="dxa"/>
            <w:bottom w:w="0" w:type="dxa"/>
            <w:right w:w="0" w:type="dxa"/>
          </w:tblCellMar>
        </w:tblPrEx>
        <w:trPr>
          <w:trHeight w:val="123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962E7">
            <w:pPr>
              <w:jc w:val="center"/>
              <w:rPr>
                <w:rFonts w:hint="eastAsia" w:ascii="宋体" w:hAnsi="宋体" w:eastAsia="宋体" w:cs="宋体"/>
                <w:i w:val="0"/>
                <w:color w:val="000000"/>
                <w:sz w:val="18"/>
                <w:szCs w:val="18"/>
                <w:u w:val="none"/>
              </w:rPr>
            </w:pP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0D7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21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23746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7DA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城乡居民住院阴道分娩人数</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8E7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E30ED">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100</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726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33A9C">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52</w:t>
            </w:r>
            <w:r>
              <w:rPr>
                <w:rFonts w:ascii="宋体" w:hAnsi="宋体" w:eastAsia="宋体" w:cs="宋体"/>
                <w:i w:val="0"/>
                <w:color w:val="000000"/>
                <w:kern w:val="0"/>
                <w:sz w:val="18"/>
                <w:szCs w:val="18"/>
                <w:u w:val="none"/>
                <w:lang w:val="en-US" w:eastAsia="zh-CN" w:bidi="ar"/>
              </w:rPr>
              <w:t>人</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04E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A8086">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640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地理因素、自我保护意识薄弱、部分乡镇知晓率低，个别乡镇对项目的宣传不到位，群众知晓率较低。</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50D7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8AF2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02A01B02">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AF479">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AEC15">
            <w:pPr>
              <w:jc w:val="center"/>
              <w:rPr>
                <w:rFonts w:hint="eastAsia" w:ascii="宋体" w:hAnsi="宋体" w:eastAsia="宋体" w:cs="宋体"/>
                <w:i w:val="0"/>
                <w:color w:val="000000"/>
                <w:sz w:val="18"/>
                <w:szCs w:val="18"/>
                <w:u w:val="none"/>
              </w:rPr>
            </w:pPr>
          </w:p>
        </w:tc>
        <w:tc>
          <w:tcPr>
            <w:tcW w:w="121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00786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D31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城乡住院分娩报账率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BAA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E8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E9E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70333">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37.59%</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A6F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CBB0C">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DA357">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6A784">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60F40">
            <w:pPr>
              <w:jc w:val="center"/>
              <w:rPr>
                <w:rFonts w:hint="eastAsia" w:ascii="微软雅黑" w:hAnsi="微软雅黑" w:eastAsia="微软雅黑" w:cs="微软雅黑"/>
                <w:i/>
                <w:color w:val="000000"/>
                <w:sz w:val="16"/>
                <w:szCs w:val="16"/>
                <w:u w:val="none"/>
              </w:rPr>
            </w:pPr>
          </w:p>
        </w:tc>
      </w:tr>
      <w:tr w14:paraId="0F094B3B">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7EE61">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2FED7">
            <w:pPr>
              <w:jc w:val="center"/>
              <w:rPr>
                <w:rFonts w:hint="eastAsia" w:ascii="宋体" w:hAnsi="宋体" w:eastAsia="宋体" w:cs="宋体"/>
                <w:i w:val="0"/>
                <w:color w:val="000000"/>
                <w:sz w:val="18"/>
                <w:szCs w:val="18"/>
                <w:u w:val="none"/>
              </w:rPr>
            </w:pPr>
          </w:p>
        </w:tc>
        <w:tc>
          <w:tcPr>
            <w:tcW w:w="121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53C56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F63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城乡住院分娩按工作进度</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41F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B8F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3CE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C1AA4">
            <w:pPr>
              <w:jc w:val="center"/>
              <w:rPr>
                <w:rFonts w:hint="eastAsia" w:ascii="宋体" w:hAnsi="宋体" w:eastAsia="宋体" w:cs="宋体"/>
                <w:i w:val="0"/>
                <w:color w:val="000000"/>
                <w:sz w:val="18"/>
                <w:szCs w:val="18"/>
                <w:u w:val="none"/>
              </w:rPr>
            </w:pP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1D9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51BC6">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29078">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5E7A5">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CC9BA8">
            <w:pPr>
              <w:jc w:val="center"/>
              <w:rPr>
                <w:rFonts w:hint="eastAsia" w:ascii="微软雅黑" w:hAnsi="微软雅黑" w:eastAsia="微软雅黑" w:cs="微软雅黑"/>
                <w:i/>
                <w:color w:val="000000"/>
                <w:sz w:val="16"/>
                <w:szCs w:val="16"/>
                <w:u w:val="none"/>
              </w:rPr>
            </w:pPr>
          </w:p>
        </w:tc>
      </w:tr>
      <w:tr w14:paraId="1F30C191">
        <w:tblPrEx>
          <w:tblCellMar>
            <w:top w:w="0" w:type="dxa"/>
            <w:left w:w="0" w:type="dxa"/>
            <w:bottom w:w="0" w:type="dxa"/>
            <w:right w:w="0" w:type="dxa"/>
          </w:tblCellMar>
        </w:tblPrEx>
        <w:trPr>
          <w:trHeight w:val="500"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F2838">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E553E">
            <w:pPr>
              <w:jc w:val="center"/>
              <w:rPr>
                <w:rFonts w:hint="eastAsia" w:ascii="宋体" w:hAnsi="宋体" w:eastAsia="宋体" w:cs="宋体"/>
                <w:i w:val="0"/>
                <w:color w:val="000000"/>
                <w:sz w:val="18"/>
                <w:szCs w:val="18"/>
                <w:u w:val="none"/>
              </w:rPr>
            </w:pPr>
          </w:p>
        </w:tc>
        <w:tc>
          <w:tcPr>
            <w:tcW w:w="121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802F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F0A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城乡住院分娩剖宫产分娩人数</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932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676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C58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5842B">
            <w:pPr>
              <w:jc w:val="center"/>
              <w:rPr>
                <w:rFonts w:hint="eastAsia" w:ascii="宋体" w:hAnsi="宋体" w:eastAsia="宋体" w:cs="宋体"/>
                <w:i w:val="0"/>
                <w:color w:val="000000"/>
                <w:sz w:val="18"/>
                <w:szCs w:val="18"/>
                <w:u w:val="none"/>
              </w:rPr>
            </w:pP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92D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69A22">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3B7DB">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BA188">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072A6">
            <w:pPr>
              <w:jc w:val="center"/>
              <w:rPr>
                <w:rFonts w:hint="eastAsia" w:ascii="微软雅黑" w:hAnsi="微软雅黑" w:eastAsia="微软雅黑" w:cs="微软雅黑"/>
                <w:i/>
                <w:color w:val="000000"/>
                <w:sz w:val="16"/>
                <w:szCs w:val="16"/>
                <w:u w:val="none"/>
              </w:rPr>
            </w:pPr>
          </w:p>
        </w:tc>
      </w:tr>
      <w:tr w14:paraId="2B6164C8">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09566">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1D4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21E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CF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城乡住院分娩政策知晓率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E54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33A1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3B3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10E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78A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6DA63">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DB55C">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69E35">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1D556">
            <w:pPr>
              <w:jc w:val="center"/>
              <w:rPr>
                <w:rFonts w:hint="eastAsia" w:ascii="微软雅黑" w:hAnsi="微软雅黑" w:eastAsia="微软雅黑" w:cs="微软雅黑"/>
                <w:i/>
                <w:color w:val="000000"/>
                <w:sz w:val="16"/>
                <w:szCs w:val="16"/>
                <w:u w:val="none"/>
              </w:rPr>
            </w:pPr>
          </w:p>
        </w:tc>
      </w:tr>
      <w:tr w14:paraId="0430412B">
        <w:tblPrEx>
          <w:tblCellMar>
            <w:top w:w="0" w:type="dxa"/>
            <w:left w:w="0" w:type="dxa"/>
            <w:bottom w:w="0" w:type="dxa"/>
            <w:right w:w="0" w:type="dxa"/>
          </w:tblCellMar>
        </w:tblPrEx>
        <w:trPr>
          <w:trHeight w:val="600"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E23B8">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4E5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C56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92C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全县城乡居民育龄妇女满意度</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468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088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91B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F69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F8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B8789">
            <w:pPr>
              <w:jc w:val="cente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C4769">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E67CC">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F04CE">
            <w:pPr>
              <w:jc w:val="center"/>
              <w:rPr>
                <w:rFonts w:hint="eastAsia" w:ascii="微软雅黑" w:hAnsi="微软雅黑" w:eastAsia="微软雅黑" w:cs="微软雅黑"/>
                <w:i/>
                <w:color w:val="000000"/>
                <w:sz w:val="16"/>
                <w:szCs w:val="16"/>
                <w:u w:val="none"/>
              </w:rPr>
            </w:pPr>
          </w:p>
        </w:tc>
      </w:tr>
      <w:tr w14:paraId="1F9F6F27">
        <w:tblPrEx>
          <w:tblCellMar>
            <w:top w:w="0" w:type="dxa"/>
            <w:left w:w="0" w:type="dxa"/>
            <w:bottom w:w="0" w:type="dxa"/>
            <w:right w:w="0" w:type="dxa"/>
          </w:tblCellMar>
        </w:tblPrEx>
        <w:trPr>
          <w:trHeight w:val="460" w:hRule="atLeast"/>
        </w:trPr>
        <w:tc>
          <w:tcPr>
            <w:tcW w:w="47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82599FD">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393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34F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760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城乡住院分娩补助标准</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0BB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E5A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47C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C0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12.00%</w:t>
            </w: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242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1417B">
            <w:pP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2C90B">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DFB8F">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6002F">
            <w:pPr>
              <w:rPr>
                <w:rFonts w:hint="eastAsia" w:ascii="宋体" w:hAnsi="宋体" w:eastAsia="宋体" w:cs="宋体"/>
                <w:i w:val="0"/>
                <w:color w:val="000000"/>
                <w:sz w:val="18"/>
                <w:szCs w:val="18"/>
                <w:u w:val="none"/>
              </w:rPr>
            </w:pPr>
          </w:p>
        </w:tc>
      </w:tr>
      <w:tr w14:paraId="025B08D3">
        <w:tblPrEx>
          <w:tblCellMar>
            <w:top w:w="0" w:type="dxa"/>
            <w:left w:w="0" w:type="dxa"/>
            <w:bottom w:w="0" w:type="dxa"/>
            <w:right w:w="0" w:type="dxa"/>
          </w:tblCellMar>
        </w:tblPrEx>
        <w:trPr>
          <w:trHeight w:val="286" w:hRule="atLeast"/>
        </w:trPr>
        <w:tc>
          <w:tcPr>
            <w:tcW w:w="47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7693854">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5E9AE">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4BD9B">
            <w:pPr>
              <w:jc w:val="center"/>
              <w:rPr>
                <w:rFonts w:hint="eastAsia" w:ascii="宋体" w:hAnsi="宋体" w:eastAsia="宋体" w:cs="宋体"/>
                <w:i w:val="0"/>
                <w:color w:val="000000"/>
                <w:sz w:val="18"/>
                <w:szCs w:val="18"/>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611ED">
            <w:pPr>
              <w:jc w:val="center"/>
              <w:rPr>
                <w:rFonts w:hint="eastAsia" w:ascii="宋体" w:hAnsi="宋体" w:eastAsia="宋体" w:cs="宋体"/>
                <w:i w:val="0"/>
                <w:color w:val="000000"/>
                <w:sz w:val="18"/>
                <w:szCs w:val="18"/>
                <w:u w:val="none"/>
              </w:rPr>
            </w:pP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CB47B">
            <w:pPr>
              <w:jc w:val="center"/>
              <w:rPr>
                <w:rFonts w:hint="eastAsia" w:ascii="宋体" w:hAnsi="宋体" w:eastAsia="宋体" w:cs="宋体"/>
                <w:i w:val="0"/>
                <w:color w:val="000000"/>
                <w:sz w:val="18"/>
                <w:szCs w:val="18"/>
                <w:u w:val="none"/>
              </w:rPr>
            </w:pP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42AD5">
            <w:pPr>
              <w:jc w:val="center"/>
              <w:rPr>
                <w:rFonts w:hint="eastAsia" w:ascii="宋体" w:hAnsi="宋体" w:eastAsia="宋体" w:cs="宋体"/>
                <w:i w:val="0"/>
                <w:color w:val="000000"/>
                <w:sz w:val="18"/>
                <w:szCs w:val="18"/>
                <w:u w:val="none"/>
              </w:rPr>
            </w:pP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2BD57">
            <w:pPr>
              <w:jc w:val="center"/>
              <w:rPr>
                <w:rFonts w:hint="eastAsia" w:ascii="宋体" w:hAnsi="宋体" w:eastAsia="宋体" w:cs="宋体"/>
                <w:i w:val="0"/>
                <w:color w:val="000000"/>
                <w:sz w:val="18"/>
                <w:szCs w:val="18"/>
                <w:u w:val="none"/>
              </w:rPr>
            </w:pPr>
          </w:p>
        </w:tc>
        <w:tc>
          <w:tcPr>
            <w:tcW w:w="5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624AE">
            <w:pPr>
              <w:jc w:val="center"/>
              <w:rPr>
                <w:rFonts w:hint="eastAsia" w:ascii="宋体" w:hAnsi="宋体" w:eastAsia="宋体" w:cs="宋体"/>
                <w:i w:val="0"/>
                <w:color w:val="000000"/>
                <w:sz w:val="18"/>
                <w:szCs w:val="18"/>
                <w:u w:val="none"/>
              </w:rPr>
            </w:pPr>
          </w:p>
        </w:tc>
        <w:tc>
          <w:tcPr>
            <w:tcW w:w="35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0B2F7">
            <w:pPr>
              <w:jc w:val="cente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4D2F4">
            <w:pPr>
              <w:rPr>
                <w:rFonts w:hint="eastAsia" w:ascii="宋体" w:hAnsi="宋体" w:eastAsia="宋体" w:cs="宋体"/>
                <w:i w:val="0"/>
                <w:color w:val="000000"/>
                <w:sz w:val="18"/>
                <w:szCs w:val="18"/>
                <w:u w:val="none"/>
              </w:rPr>
            </w:pPr>
          </w:p>
        </w:tc>
        <w:tc>
          <w:tcPr>
            <w:tcW w:w="17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72687">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3F8C9">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8CD981">
            <w:pPr>
              <w:rPr>
                <w:rFonts w:hint="eastAsia" w:ascii="宋体" w:hAnsi="宋体" w:eastAsia="宋体" w:cs="宋体"/>
                <w:i w:val="0"/>
                <w:color w:val="000000"/>
                <w:sz w:val="18"/>
                <w:szCs w:val="18"/>
                <w:u w:val="none"/>
              </w:rPr>
            </w:pPr>
          </w:p>
        </w:tc>
      </w:tr>
      <w:tr w14:paraId="667B62B3">
        <w:tblPrEx>
          <w:tblCellMar>
            <w:top w:w="0" w:type="dxa"/>
            <w:left w:w="0" w:type="dxa"/>
            <w:bottom w:w="0" w:type="dxa"/>
            <w:right w:w="0" w:type="dxa"/>
          </w:tblCellMar>
        </w:tblPrEx>
        <w:trPr>
          <w:trHeight w:val="286" w:hRule="atLeast"/>
        </w:trPr>
        <w:tc>
          <w:tcPr>
            <w:tcW w:w="572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76C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A6846">
            <w:pPr>
              <w:jc w:val="center"/>
              <w:rPr>
                <w:rFonts w:hint="eastAsia" w:ascii="宋体" w:hAnsi="宋体" w:eastAsia="宋体" w:cs="宋体"/>
                <w:i w:val="0"/>
                <w:color w:val="000000"/>
                <w:sz w:val="18"/>
                <w:szCs w:val="18"/>
                <w:u w:val="none"/>
              </w:rPr>
            </w:pP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F0701">
            <w:pPr>
              <w:rPr>
                <w:rFonts w:hint="eastAsia" w:ascii="宋体" w:hAnsi="宋体" w:eastAsia="宋体" w:cs="宋体"/>
                <w:i w:val="0"/>
                <w:color w:val="000000"/>
                <w:sz w:val="18"/>
                <w:szCs w:val="18"/>
                <w:u w:val="none"/>
              </w:rPr>
            </w:pPr>
          </w:p>
        </w:tc>
        <w:tc>
          <w:tcPr>
            <w:tcW w:w="20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E49C1">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871520">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697CB">
            <w:pPr>
              <w:rPr>
                <w:rFonts w:hint="eastAsia" w:ascii="宋体" w:hAnsi="宋体" w:eastAsia="宋体" w:cs="宋体"/>
                <w:i w:val="0"/>
                <w:color w:val="000000"/>
                <w:sz w:val="18"/>
                <w:szCs w:val="18"/>
                <w:u w:val="none"/>
              </w:rPr>
            </w:pPr>
          </w:p>
        </w:tc>
      </w:tr>
      <w:tr w14:paraId="31B36249">
        <w:tblPrEx>
          <w:tblCellMar>
            <w:top w:w="0" w:type="dxa"/>
            <w:left w:w="0" w:type="dxa"/>
            <w:bottom w:w="0" w:type="dxa"/>
            <w:right w:w="0" w:type="dxa"/>
          </w:tblCellMar>
        </w:tblPrEx>
        <w:trPr>
          <w:trHeight w:val="603"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96F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30"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280E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2025年城乡住院分娩任务数80人，全年报账52人，完成率37.59%，资金管理规范，按照资金文件实施方案，专款专用，项目负责人严格审核报账资料，把关严谨，但城乡住院分娩项目指标完成率没有达到预期，项目工作质量一般，社会满意度良好。</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368616">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14AFC">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70E278DF">
        <w:tblPrEx>
          <w:tblCellMar>
            <w:top w:w="0" w:type="dxa"/>
            <w:left w:w="0" w:type="dxa"/>
            <w:bottom w:w="0" w:type="dxa"/>
            <w:right w:w="0" w:type="dxa"/>
          </w:tblCellMar>
        </w:tblPrEx>
        <w:trPr>
          <w:trHeight w:val="572"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971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30"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4236C">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（一）地理因素:小河镇、白羊乡、黄龙乡因地理位置原因，辖区内孕妇大体意向是州外医院住院分娩。</w:t>
            </w:r>
          </w:p>
          <w:p w14:paraId="3BA7E98A">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（二）自我保护意识薄弱：部分偏远乡镇孕妇建卡、产检意识薄弱，还有一部分群众没有购买城镇基本医疗保险。</w:t>
            </w:r>
          </w:p>
          <w:p w14:paraId="1443BDB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 xml:space="preserve">    （三）部分乡镇知晓率低：个别乡镇对项目的宣传不到位，群众知晓率较低。</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10137">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EAF8B">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4C166F1D">
        <w:tblPrEx>
          <w:tblCellMar>
            <w:top w:w="0" w:type="dxa"/>
            <w:left w:w="0" w:type="dxa"/>
            <w:bottom w:w="0" w:type="dxa"/>
            <w:right w:w="0" w:type="dxa"/>
          </w:tblCellMar>
        </w:tblPrEx>
        <w:trPr>
          <w:trHeight w:val="1200"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F0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30"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24E57">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（一）提升专科能力建设：加强产儿科建设与质量管理，提高助产技术服务能力，为全县孕产妇提供安全、规范、便捷的助产技术服务，确保母婴安全。</w:t>
            </w:r>
          </w:p>
          <w:p w14:paraId="0EF9EA5F">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 xml:space="preserve">（二）加强宣传，提高群众知晓率  </w:t>
            </w:r>
          </w:p>
          <w:p w14:paraId="7A3DA3D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各医疗机构认真研读实施方案与政策解释，正确把握补助要点，与当地乡政府协作，要多平台、多渠道、多形式、汉藏双语式开展与本地区相适应的健康教育宣传活动，将政策解释落实到村级、落实到家庭，提高群众知晓率与主动参与度</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44F3A">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E486C">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4944CDC0">
        <w:tblPrEx>
          <w:tblCellMar>
            <w:top w:w="0" w:type="dxa"/>
            <w:left w:w="0" w:type="dxa"/>
            <w:bottom w:w="0" w:type="dxa"/>
            <w:right w:w="0" w:type="dxa"/>
          </w:tblCellMar>
        </w:tblPrEx>
        <w:trPr>
          <w:trHeight w:val="90" w:hRule="atLeast"/>
        </w:trPr>
        <w:tc>
          <w:tcPr>
            <w:tcW w:w="383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D8E0D">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项目负责人：何静</w:t>
            </w:r>
          </w:p>
        </w:tc>
        <w:tc>
          <w:tcPr>
            <w:tcW w:w="4466"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C6381">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财务负责人：邓长根</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753DA">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B124D">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bl>
    <w:p w14:paraId="6D3D080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pPr w:leftFromText="180" w:rightFromText="180" w:vertAnchor="text" w:horzAnchor="page" w:tblpX="1621" w:tblpY="1466"/>
        <w:tblOverlap w:val="never"/>
        <w:tblW w:w="9020" w:type="dxa"/>
        <w:tblInd w:w="0" w:type="dxa"/>
        <w:tblLayout w:type="fixed"/>
        <w:tblCellMar>
          <w:top w:w="0" w:type="dxa"/>
          <w:left w:w="0" w:type="dxa"/>
          <w:bottom w:w="0" w:type="dxa"/>
          <w:right w:w="0" w:type="dxa"/>
        </w:tblCellMar>
      </w:tblPr>
      <w:tblGrid>
        <w:gridCol w:w="470"/>
        <w:gridCol w:w="752"/>
        <w:gridCol w:w="1218"/>
        <w:gridCol w:w="1062"/>
        <w:gridCol w:w="332"/>
        <w:gridCol w:w="427"/>
        <w:gridCol w:w="566"/>
        <w:gridCol w:w="898"/>
        <w:gridCol w:w="319"/>
        <w:gridCol w:w="233"/>
        <w:gridCol w:w="2023"/>
        <w:gridCol w:w="240"/>
        <w:gridCol w:w="240"/>
      </w:tblGrid>
      <w:tr w14:paraId="43C1C8DD">
        <w:tblPrEx>
          <w:tblCellMar>
            <w:top w:w="0" w:type="dxa"/>
            <w:left w:w="0" w:type="dxa"/>
            <w:bottom w:w="0" w:type="dxa"/>
            <w:right w:w="0" w:type="dxa"/>
          </w:tblCellMar>
        </w:tblPrEx>
        <w:trPr>
          <w:trHeight w:val="904" w:hRule="atLeast"/>
        </w:trPr>
        <w:tc>
          <w:tcPr>
            <w:tcW w:w="8300"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AA5E8">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11510">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21E9C">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p>
        </w:tc>
      </w:tr>
      <w:tr w14:paraId="32533040">
        <w:tblPrEx>
          <w:tblCellMar>
            <w:top w:w="0" w:type="dxa"/>
            <w:left w:w="0" w:type="dxa"/>
            <w:bottom w:w="0" w:type="dxa"/>
            <w:right w:w="0" w:type="dxa"/>
          </w:tblCellMar>
        </w:tblPrEx>
        <w:trPr>
          <w:trHeight w:val="286"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E840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078"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8204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51322423T000007877858-免费孕前优生健康检查</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50606">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6D5C7">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7CC66752">
        <w:tblPrEx>
          <w:tblCellMar>
            <w:top w:w="0" w:type="dxa"/>
            <w:left w:w="0" w:type="dxa"/>
            <w:bottom w:w="0" w:type="dxa"/>
            <w:right w:w="0" w:type="dxa"/>
          </w:tblCellMar>
        </w:tblPrEx>
        <w:trPr>
          <w:trHeight w:val="512"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BA7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311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松潘县卫生健康局本级</w:t>
            </w:r>
          </w:p>
        </w:tc>
        <w:tc>
          <w:tcPr>
            <w:tcW w:w="898" w:type="dxa"/>
            <w:tcBorders>
              <w:top w:val="nil"/>
              <w:left w:val="nil"/>
              <w:bottom w:val="nil"/>
              <w:right w:val="nil"/>
            </w:tcBorders>
            <w:noWrap w:val="0"/>
            <w:tcMar>
              <w:top w:w="15" w:type="dxa"/>
              <w:left w:w="15" w:type="dxa"/>
              <w:right w:w="15" w:type="dxa"/>
            </w:tcMar>
            <w:vAlign w:val="center"/>
          </w:tcPr>
          <w:p w14:paraId="334886F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57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5681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松潘县妇幼保健院</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6772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B98B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6C2EEC0C">
        <w:tblPrEx>
          <w:tblCellMar>
            <w:top w:w="0" w:type="dxa"/>
            <w:left w:w="0" w:type="dxa"/>
            <w:bottom w:w="0" w:type="dxa"/>
            <w:right w:w="0" w:type="dxa"/>
          </w:tblCellMar>
        </w:tblPrEx>
        <w:trPr>
          <w:trHeight w:val="286"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DBE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DD4E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A39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47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110AA">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BFF61">
            <w:pPr>
              <w:keepNext w:val="0"/>
              <w:keepLines w:val="0"/>
              <w:widowControl/>
              <w:suppressLineNumbers w:val="0"/>
              <w:jc w:val="center"/>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4B65F">
            <w:pPr>
              <w:keepNext w:val="0"/>
              <w:keepLines w:val="0"/>
              <w:widowControl/>
              <w:suppressLineNumbers w:val="0"/>
              <w:jc w:val="center"/>
              <w:textAlignment w:val="center"/>
              <w:rPr>
                <w:rFonts w:hint="eastAsia" w:ascii="黑体" w:hAnsi="黑体" w:eastAsia="黑体" w:cs="黑体"/>
                <w:i w:val="0"/>
                <w:color w:val="000000"/>
                <w:kern w:val="0"/>
                <w:sz w:val="18"/>
                <w:szCs w:val="18"/>
                <w:u w:val="none"/>
                <w:lang w:val="en-US" w:eastAsia="zh-CN" w:bidi="ar"/>
              </w:rPr>
            </w:pPr>
          </w:p>
        </w:tc>
      </w:tr>
      <w:tr w14:paraId="63C0D7E7">
        <w:tblPrEx>
          <w:tblCellMar>
            <w:top w:w="0" w:type="dxa"/>
            <w:left w:w="0" w:type="dxa"/>
            <w:bottom w:w="0" w:type="dxa"/>
            <w:right w:w="0" w:type="dxa"/>
          </w:tblCellMar>
        </w:tblPrEx>
        <w:trPr>
          <w:trHeight w:val="708"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78770">
            <w:pP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4456B">
            <w:pPr>
              <w:rPr>
                <w:rFonts w:hint="eastAsia" w:ascii="宋体" w:hAnsi="宋体" w:eastAsia="宋体" w:cs="宋体"/>
                <w:i w:val="0"/>
                <w:color w:val="000000"/>
                <w:sz w:val="18"/>
                <w:szCs w:val="18"/>
                <w:u w:val="none"/>
              </w:rPr>
            </w:pP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7F31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免费孕前优生健康检查</w:t>
            </w:r>
          </w:p>
        </w:tc>
        <w:tc>
          <w:tcPr>
            <w:tcW w:w="347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06EC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2025年孕前优生健康检查任务数160对，1-12月孕前优生健康检查实际完成160对，完成率100%。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B2964">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5DB85">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r w14:paraId="157BD36E">
        <w:tblPrEx>
          <w:tblCellMar>
            <w:top w:w="0" w:type="dxa"/>
            <w:left w:w="0" w:type="dxa"/>
            <w:bottom w:w="0" w:type="dxa"/>
            <w:right w:w="0" w:type="dxa"/>
          </w:tblCellMar>
        </w:tblPrEx>
        <w:trPr>
          <w:trHeight w:val="693"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587DE">
            <w:pP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FCB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078"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6CF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我院根据20</w:t>
            </w:r>
            <w:r>
              <w:rPr>
                <w:rFonts w:hint="eastAsia" w:ascii="宋体" w:hAnsi="宋体" w:cs="宋体"/>
                <w:i w:val="0"/>
                <w:color w:val="000000"/>
                <w:kern w:val="0"/>
                <w:sz w:val="18"/>
                <w:szCs w:val="18"/>
                <w:u w:val="none"/>
                <w:lang w:val="en-US" w:eastAsia="zh-CN" w:bidi="ar"/>
              </w:rPr>
              <w:t>25</w:t>
            </w:r>
            <w:r>
              <w:rPr>
                <w:rFonts w:ascii="宋体" w:hAnsi="宋体" w:eastAsia="宋体" w:cs="宋体"/>
                <w:i w:val="0"/>
                <w:color w:val="000000"/>
                <w:kern w:val="0"/>
                <w:sz w:val="18"/>
                <w:szCs w:val="18"/>
                <w:u w:val="none"/>
                <w:lang w:val="en-US" w:eastAsia="zh-CN" w:bidi="ar"/>
              </w:rPr>
              <w:t>年度项目资金预算，按照项目实施方案，围绕全县免费婚检孕检工作，积极开展检查、合理使用工作经费。资金执行率100%。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A4871">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33323">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4B2C1418">
        <w:tblPrEx>
          <w:tblCellMar>
            <w:top w:w="0" w:type="dxa"/>
            <w:left w:w="0" w:type="dxa"/>
            <w:bottom w:w="0" w:type="dxa"/>
            <w:right w:w="0" w:type="dxa"/>
          </w:tblCellMar>
        </w:tblPrEx>
        <w:trPr>
          <w:trHeight w:val="361"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631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792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85B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42F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D5E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5E0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469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0A9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282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6486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2213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28FA2F2A">
        <w:tblPrEx>
          <w:tblCellMar>
            <w:top w:w="0" w:type="dxa"/>
            <w:left w:w="0" w:type="dxa"/>
            <w:bottom w:w="0" w:type="dxa"/>
            <w:right w:w="0" w:type="dxa"/>
          </w:tblCellMar>
        </w:tblPrEx>
        <w:trPr>
          <w:trHeight w:val="346"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77BC0">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668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E51C7">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0.41</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7AC20">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3.84</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5ED0E">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3.84</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A7D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74B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0ED12">
            <w:pPr>
              <w:jc w:val="center"/>
              <w:rPr>
                <w:rFonts w:hint="eastAsia" w:ascii="宋体" w:hAnsi="宋体" w:eastAsia="宋体" w:cs="宋体"/>
                <w:i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FB6E2">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D194C">
            <w:pPr>
              <w:keepNext w:val="0"/>
              <w:keepLines w:val="0"/>
              <w:widowControl/>
              <w:suppressLineNumbers w:val="0"/>
              <w:jc w:val="left"/>
              <w:textAlignment w:val="center"/>
              <w:rPr>
                <w:rFonts w:hint="eastAsia" w:ascii="黑体" w:hAnsi="黑体" w:eastAsia="黑体" w:cs="黑体"/>
                <w:i/>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455CE">
            <w:pPr>
              <w:keepNext w:val="0"/>
              <w:keepLines w:val="0"/>
              <w:widowControl/>
              <w:suppressLineNumbers w:val="0"/>
              <w:jc w:val="left"/>
              <w:textAlignment w:val="center"/>
              <w:rPr>
                <w:rFonts w:hint="eastAsia" w:ascii="黑体" w:hAnsi="黑体" w:eastAsia="黑体" w:cs="黑体"/>
                <w:i/>
                <w:color w:val="000000"/>
                <w:kern w:val="0"/>
                <w:sz w:val="18"/>
                <w:szCs w:val="18"/>
                <w:u w:val="none"/>
                <w:lang w:val="en-US" w:eastAsia="zh-CN" w:bidi="ar"/>
              </w:rPr>
            </w:pPr>
          </w:p>
        </w:tc>
      </w:tr>
      <w:tr w14:paraId="24C47EDE">
        <w:tblPrEx>
          <w:tblCellMar>
            <w:top w:w="0" w:type="dxa"/>
            <w:left w:w="0" w:type="dxa"/>
            <w:bottom w:w="0" w:type="dxa"/>
            <w:right w:w="0" w:type="dxa"/>
          </w:tblCellMar>
        </w:tblPrEx>
        <w:trPr>
          <w:trHeight w:val="39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EF47B">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22E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4B861">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0.41</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4EA4B7">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3.84</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D6C27">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3.84</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56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FDF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4A1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5A839">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A36EF3">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6A4C7">
            <w:pPr>
              <w:rPr>
                <w:rFonts w:hint="eastAsia" w:ascii="黑体" w:hAnsi="黑体" w:eastAsia="黑体" w:cs="黑体"/>
                <w:i/>
                <w:color w:val="000000"/>
                <w:sz w:val="18"/>
                <w:szCs w:val="18"/>
                <w:u w:val="none"/>
              </w:rPr>
            </w:pPr>
          </w:p>
        </w:tc>
      </w:tr>
      <w:tr w14:paraId="1DFF3A9A">
        <w:tblPrEx>
          <w:tblCellMar>
            <w:top w:w="0" w:type="dxa"/>
            <w:left w:w="0" w:type="dxa"/>
            <w:bottom w:w="0" w:type="dxa"/>
            <w:right w:w="0" w:type="dxa"/>
          </w:tblCellMar>
        </w:tblPrEx>
        <w:trPr>
          <w:trHeight w:val="407"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4FC8F">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CFB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8DA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AD3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E67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096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080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AE6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C7E2B">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BDBD6">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901A3">
            <w:pPr>
              <w:rPr>
                <w:rFonts w:hint="eastAsia" w:ascii="黑体" w:hAnsi="黑体" w:eastAsia="黑体" w:cs="黑体"/>
                <w:i/>
                <w:color w:val="000000"/>
                <w:sz w:val="18"/>
                <w:szCs w:val="18"/>
                <w:u w:val="none"/>
              </w:rPr>
            </w:pPr>
          </w:p>
        </w:tc>
      </w:tr>
      <w:tr w14:paraId="6C1C3DB8">
        <w:tblPrEx>
          <w:tblCellMar>
            <w:top w:w="0" w:type="dxa"/>
            <w:left w:w="0" w:type="dxa"/>
            <w:bottom w:w="0" w:type="dxa"/>
            <w:right w:w="0" w:type="dxa"/>
          </w:tblCellMar>
        </w:tblPrEx>
        <w:trPr>
          <w:trHeight w:val="36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3207BD">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FBB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63E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BC6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980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635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ACB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B8A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9F4B1">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3BBEA">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1CAAB">
            <w:pPr>
              <w:rPr>
                <w:rFonts w:hint="eastAsia" w:ascii="黑体" w:hAnsi="黑体" w:eastAsia="黑体" w:cs="黑体"/>
                <w:i/>
                <w:color w:val="000000"/>
                <w:sz w:val="18"/>
                <w:szCs w:val="18"/>
                <w:u w:val="none"/>
              </w:rPr>
            </w:pPr>
          </w:p>
        </w:tc>
      </w:tr>
      <w:tr w14:paraId="3C06AD00">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26CBB">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FB6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3ABCA">
            <w:pPr>
              <w:jc w:val="center"/>
              <w:rPr>
                <w:rFonts w:hint="eastAsia" w:ascii="微软雅黑" w:hAnsi="微软雅黑" w:eastAsia="微软雅黑" w:cs="微软雅黑"/>
                <w:i/>
                <w:color w:val="000000"/>
                <w:sz w:val="16"/>
                <w:szCs w:val="16"/>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876C1">
            <w:pPr>
              <w:jc w:val="center"/>
              <w:rPr>
                <w:rFonts w:hint="eastAsia" w:ascii="微软雅黑" w:hAnsi="微软雅黑" w:eastAsia="微软雅黑" w:cs="微软雅黑"/>
                <w:i/>
                <w:color w:val="000000"/>
                <w:sz w:val="16"/>
                <w:szCs w:val="16"/>
                <w:u w:val="none"/>
              </w:rPr>
            </w:pP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0571F">
            <w:pPr>
              <w:jc w:val="center"/>
              <w:rPr>
                <w:rFonts w:hint="eastAsia" w:ascii="微软雅黑" w:hAnsi="微软雅黑" w:eastAsia="微软雅黑" w:cs="微软雅黑"/>
                <w:i/>
                <w:color w:val="000000"/>
                <w:sz w:val="16"/>
                <w:szCs w:val="16"/>
                <w:u w:val="none"/>
              </w:rPr>
            </w:pP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C7B39">
            <w:pPr>
              <w:jc w:val="center"/>
              <w:rPr>
                <w:rFonts w:hint="eastAsia" w:ascii="微软雅黑" w:hAnsi="微软雅黑" w:eastAsia="微软雅黑" w:cs="微软雅黑"/>
                <w:i/>
                <w:color w:val="000000"/>
                <w:sz w:val="16"/>
                <w:szCs w:val="16"/>
                <w:u w:val="none"/>
              </w:rPr>
            </w:pP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300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EB9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1C80D">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85F6F">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18445">
            <w:pPr>
              <w:rPr>
                <w:rFonts w:hint="eastAsia" w:ascii="黑体" w:hAnsi="黑体" w:eastAsia="黑体" w:cs="黑体"/>
                <w:i/>
                <w:color w:val="000000"/>
                <w:sz w:val="18"/>
                <w:szCs w:val="18"/>
                <w:u w:val="none"/>
              </w:rPr>
            </w:pPr>
          </w:p>
        </w:tc>
      </w:tr>
      <w:tr w14:paraId="1578B5B0">
        <w:tblPrEx>
          <w:tblCellMar>
            <w:top w:w="0" w:type="dxa"/>
            <w:left w:w="0" w:type="dxa"/>
            <w:bottom w:w="0" w:type="dxa"/>
            <w:right w:w="0" w:type="dxa"/>
          </w:tblCellMar>
        </w:tblPrEx>
        <w:trPr>
          <w:trHeight w:val="452"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635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762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18D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873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BA7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CCF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A81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57C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6D3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201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C6A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A6BF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1FEF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0E6D5CB3">
        <w:tblPrEx>
          <w:tblCellMar>
            <w:top w:w="0" w:type="dxa"/>
            <w:left w:w="0" w:type="dxa"/>
            <w:bottom w:w="0" w:type="dxa"/>
            <w:right w:w="0" w:type="dxa"/>
          </w:tblCellMar>
        </w:tblPrEx>
        <w:trPr>
          <w:trHeight w:val="45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74E8F">
            <w:pPr>
              <w:jc w:val="center"/>
              <w:rPr>
                <w:rFonts w:hint="eastAsia" w:ascii="宋体" w:hAnsi="宋体" w:eastAsia="宋体" w:cs="宋体"/>
                <w:i w:val="0"/>
                <w:color w:val="000000"/>
                <w:sz w:val="18"/>
                <w:szCs w:val="18"/>
                <w:u w:val="none"/>
              </w:rPr>
            </w:pP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1C8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ABC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111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免费孕前优生健康检查目标任务数</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9A5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2C0A57">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160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8B8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1F146">
            <w:pPr>
              <w:keepNext w:val="0"/>
              <w:keepLines w:val="0"/>
              <w:widowControl/>
              <w:suppressLineNumbers w:val="0"/>
              <w:jc w:val="center"/>
              <w:textAlignment w:val="center"/>
              <w:rPr>
                <w:rFonts w:hint="default" w:ascii="仿宋_GB2312" w:hAnsi="宋体" w:eastAsia="仿宋_GB2312" w:cs="仿宋_GB2312"/>
                <w:i/>
                <w:color w:val="000000"/>
                <w:sz w:val="18"/>
                <w:szCs w:val="18"/>
                <w:u w:val="none"/>
                <w:lang w:val="en-US"/>
              </w:rPr>
            </w:pPr>
            <w:r>
              <w:rPr>
                <w:rFonts w:hint="eastAsia" w:ascii="仿宋_GB2312" w:hAnsi="宋体" w:eastAsia="仿宋_GB2312" w:cs="仿宋_GB2312"/>
                <w:i/>
                <w:color w:val="000000"/>
                <w:kern w:val="0"/>
                <w:sz w:val="18"/>
                <w:szCs w:val="18"/>
                <w:u w:val="none"/>
                <w:lang w:val="en-US" w:eastAsia="zh-CN" w:bidi="ar"/>
              </w:rPr>
              <w:t>170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8B3C1">
            <w:pPr>
              <w:keepNext w:val="0"/>
              <w:keepLines w:val="0"/>
              <w:widowControl/>
              <w:suppressLineNumbers w:val="0"/>
              <w:jc w:val="center"/>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20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913DF">
            <w:pPr>
              <w:jc w:val="center"/>
              <w:rPr>
                <w:rFonts w:hint="eastAsia" w:ascii="仿宋_GB2312" w:hAnsi="宋体" w:eastAsia="仿宋_GB2312" w:cs="仿宋_GB2312"/>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BF97E">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349E4">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A28FF">
            <w:pPr>
              <w:jc w:val="center"/>
              <w:rPr>
                <w:rFonts w:hint="eastAsia" w:ascii="微软雅黑" w:hAnsi="微软雅黑" w:eastAsia="微软雅黑" w:cs="微软雅黑"/>
                <w:i/>
                <w:color w:val="000000"/>
                <w:sz w:val="16"/>
                <w:szCs w:val="16"/>
                <w:u w:val="none"/>
              </w:rPr>
            </w:pPr>
          </w:p>
        </w:tc>
      </w:tr>
      <w:tr w14:paraId="1CF0E387">
        <w:tblPrEx>
          <w:tblCellMar>
            <w:top w:w="0" w:type="dxa"/>
            <w:left w:w="0" w:type="dxa"/>
            <w:bottom w:w="0" w:type="dxa"/>
            <w:right w:w="0" w:type="dxa"/>
          </w:tblCellMar>
        </w:tblPrEx>
        <w:trPr>
          <w:trHeight w:val="45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060A3">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35176">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CE48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9E2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免费孕前优生健康检查目标人群覆盖率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135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14DCB">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8</w:t>
            </w:r>
            <w:r>
              <w:rPr>
                <w:rFonts w:ascii="宋体" w:hAnsi="宋体" w:eastAsia="宋体" w:cs="宋体"/>
                <w:i w:val="0"/>
                <w:color w:val="000000"/>
                <w:kern w:val="0"/>
                <w:sz w:val="18"/>
                <w:szCs w:val="18"/>
                <w:u w:val="none"/>
                <w:lang w:val="en-US" w:eastAsia="zh-CN" w:bidi="ar"/>
              </w:rPr>
              <w:t>5</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52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CAE49">
            <w:pPr>
              <w:keepNext w:val="0"/>
              <w:keepLines w:val="0"/>
              <w:widowControl/>
              <w:suppressLineNumbers w:val="0"/>
              <w:jc w:val="center"/>
              <w:textAlignment w:val="center"/>
              <w:rPr>
                <w:rFonts w:hint="eastAsia" w:ascii="仿宋_GB2312" w:hAnsi="宋体" w:eastAsia="仿宋_GB2312" w:cs="仿宋_GB2312"/>
                <w:i/>
                <w:color w:val="000000"/>
                <w:sz w:val="18"/>
                <w:szCs w:val="18"/>
                <w:u w:val="none"/>
              </w:rPr>
            </w:pPr>
            <w:r>
              <w:rPr>
                <w:rFonts w:hint="eastAsia" w:ascii="仿宋_GB2312" w:hAnsi="宋体" w:eastAsia="仿宋_GB2312" w:cs="仿宋_GB2312"/>
                <w:i/>
                <w:color w:val="000000"/>
                <w:kern w:val="0"/>
                <w:sz w:val="18"/>
                <w:szCs w:val="18"/>
                <w:u w:val="none"/>
                <w:lang w:val="en-US" w:eastAsia="zh-CN" w:bidi="ar"/>
              </w:rPr>
              <w:t>95%</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5AC50">
            <w:pPr>
              <w:keepNext w:val="0"/>
              <w:keepLines w:val="0"/>
              <w:widowControl/>
              <w:suppressLineNumbers w:val="0"/>
              <w:jc w:val="center"/>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15</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D9C6C">
            <w:pPr>
              <w:jc w:val="center"/>
              <w:rPr>
                <w:rFonts w:hint="eastAsia" w:ascii="仿宋_GB2312" w:hAnsi="宋体" w:eastAsia="仿宋_GB2312" w:cs="仿宋_GB2312"/>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8487B">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9BE68">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7EAD9">
            <w:pPr>
              <w:jc w:val="center"/>
              <w:rPr>
                <w:rFonts w:hint="eastAsia" w:ascii="微软雅黑" w:hAnsi="微软雅黑" w:eastAsia="微软雅黑" w:cs="微软雅黑"/>
                <w:i/>
                <w:color w:val="000000"/>
                <w:sz w:val="16"/>
                <w:szCs w:val="16"/>
                <w:u w:val="none"/>
              </w:rPr>
            </w:pPr>
          </w:p>
        </w:tc>
      </w:tr>
      <w:tr w14:paraId="67751DEA">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A57B8">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CF558">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532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F82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项目完成周期</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4BD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320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413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8C208">
            <w:pPr>
              <w:keepNext w:val="0"/>
              <w:keepLines w:val="0"/>
              <w:widowControl/>
              <w:suppressLineNumbers w:val="0"/>
              <w:jc w:val="center"/>
              <w:textAlignment w:val="center"/>
              <w:rPr>
                <w:rFonts w:hint="eastAsia" w:ascii="仿宋_GB2312" w:hAnsi="宋体" w:eastAsia="仿宋_GB2312" w:cs="仿宋_GB2312"/>
                <w:i/>
                <w:color w:val="000000"/>
                <w:sz w:val="18"/>
                <w:szCs w:val="18"/>
                <w:u w:val="none"/>
              </w:rPr>
            </w:pPr>
            <w:r>
              <w:rPr>
                <w:rFonts w:hint="eastAsia" w:ascii="仿宋_GB2312" w:hAnsi="宋体" w:eastAsia="仿宋_GB2312" w:cs="仿宋_GB2312"/>
                <w:i/>
                <w:color w:val="000000"/>
                <w:kern w:val="0"/>
                <w:sz w:val="18"/>
                <w:szCs w:val="18"/>
                <w:u w:val="none"/>
                <w:lang w:val="en-US" w:eastAsia="zh-CN" w:bidi="ar"/>
              </w:rPr>
              <w:t>1年</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38AC04">
            <w:pPr>
              <w:keepNext w:val="0"/>
              <w:keepLines w:val="0"/>
              <w:widowControl/>
              <w:suppressLineNumbers w:val="0"/>
              <w:jc w:val="center"/>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C9BBF">
            <w:pPr>
              <w:jc w:val="center"/>
              <w:rPr>
                <w:rFonts w:hint="eastAsia" w:ascii="仿宋_GB2312" w:hAnsi="宋体" w:eastAsia="仿宋_GB2312" w:cs="仿宋_GB2312"/>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C178A">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23854">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27008">
            <w:pPr>
              <w:jc w:val="center"/>
              <w:rPr>
                <w:rFonts w:hint="eastAsia" w:ascii="微软雅黑" w:hAnsi="微软雅黑" w:eastAsia="微软雅黑" w:cs="微软雅黑"/>
                <w:i/>
                <w:color w:val="000000"/>
                <w:sz w:val="16"/>
                <w:szCs w:val="16"/>
                <w:u w:val="none"/>
              </w:rPr>
            </w:pPr>
          </w:p>
        </w:tc>
      </w:tr>
      <w:tr w14:paraId="602E3677">
        <w:tblPrEx>
          <w:tblCellMar>
            <w:top w:w="0" w:type="dxa"/>
            <w:left w:w="0" w:type="dxa"/>
            <w:bottom w:w="0" w:type="dxa"/>
            <w:right w:w="0" w:type="dxa"/>
          </w:tblCellMar>
        </w:tblPrEx>
        <w:trPr>
          <w:trHeight w:val="45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10977">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CB0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B1D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D64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怀孕夫妇优生科学知识知晓率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F74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A96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5CC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6853D">
            <w:pPr>
              <w:keepNext w:val="0"/>
              <w:keepLines w:val="0"/>
              <w:widowControl/>
              <w:suppressLineNumbers w:val="0"/>
              <w:jc w:val="center"/>
              <w:textAlignment w:val="center"/>
              <w:rPr>
                <w:rFonts w:hint="eastAsia" w:ascii="仿宋_GB2312" w:hAnsi="宋体" w:eastAsia="仿宋_GB2312" w:cs="仿宋_GB2312"/>
                <w:i/>
                <w:color w:val="000000"/>
                <w:sz w:val="18"/>
                <w:szCs w:val="18"/>
                <w:u w:val="none"/>
              </w:rPr>
            </w:pPr>
            <w:r>
              <w:rPr>
                <w:rFonts w:hint="eastAsia" w:ascii="仿宋_GB2312" w:hAnsi="宋体" w:eastAsia="仿宋_GB2312" w:cs="仿宋_GB2312"/>
                <w:i/>
                <w:color w:val="000000"/>
                <w:kern w:val="0"/>
                <w:sz w:val="18"/>
                <w:szCs w:val="18"/>
                <w:u w:val="none"/>
                <w:lang w:val="en-US" w:eastAsia="zh-CN" w:bidi="ar"/>
              </w:rPr>
              <w:t>80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5AEB6">
            <w:pPr>
              <w:keepNext w:val="0"/>
              <w:keepLines w:val="0"/>
              <w:widowControl/>
              <w:suppressLineNumbers w:val="0"/>
              <w:jc w:val="center"/>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20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83F3B">
            <w:pPr>
              <w:jc w:val="center"/>
              <w:rPr>
                <w:rFonts w:hint="eastAsia" w:ascii="仿宋_GB2312" w:hAnsi="宋体" w:eastAsia="仿宋_GB2312" w:cs="仿宋_GB2312"/>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5EB96">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1F24B">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6E538">
            <w:pPr>
              <w:jc w:val="center"/>
              <w:rPr>
                <w:rFonts w:hint="eastAsia" w:ascii="微软雅黑" w:hAnsi="微软雅黑" w:eastAsia="微软雅黑" w:cs="微软雅黑"/>
                <w:i/>
                <w:color w:val="000000"/>
                <w:sz w:val="16"/>
                <w:szCs w:val="16"/>
                <w:u w:val="none"/>
              </w:rPr>
            </w:pPr>
          </w:p>
        </w:tc>
      </w:tr>
      <w:tr w14:paraId="64069C3A">
        <w:tblPrEx>
          <w:tblCellMar>
            <w:top w:w="0" w:type="dxa"/>
            <w:left w:w="0" w:type="dxa"/>
            <w:bottom w:w="0" w:type="dxa"/>
            <w:right w:w="0" w:type="dxa"/>
          </w:tblCellMar>
        </w:tblPrEx>
        <w:trPr>
          <w:trHeight w:val="45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66016">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007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210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18B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免费孕前优生健康检查目标人群覆盖率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58B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C93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AC5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0B790">
            <w:pPr>
              <w:keepNext w:val="0"/>
              <w:keepLines w:val="0"/>
              <w:widowControl/>
              <w:suppressLineNumbers w:val="0"/>
              <w:jc w:val="center"/>
              <w:textAlignment w:val="center"/>
              <w:rPr>
                <w:rFonts w:hint="eastAsia" w:ascii="仿宋_GB2312" w:hAnsi="宋体" w:eastAsia="仿宋_GB2312" w:cs="仿宋_GB2312"/>
                <w:i/>
                <w:color w:val="000000"/>
                <w:sz w:val="18"/>
                <w:szCs w:val="18"/>
                <w:u w:val="none"/>
              </w:rPr>
            </w:pPr>
            <w:r>
              <w:rPr>
                <w:rFonts w:hint="eastAsia" w:ascii="仿宋_GB2312" w:hAnsi="宋体" w:eastAsia="仿宋_GB2312" w:cs="仿宋_GB2312"/>
                <w:i/>
                <w:color w:val="000000"/>
                <w:kern w:val="0"/>
                <w:sz w:val="18"/>
                <w:szCs w:val="18"/>
                <w:u w:val="none"/>
                <w:lang w:val="en-US" w:eastAsia="zh-CN" w:bidi="ar"/>
              </w:rPr>
              <w:t>100%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EAF9C">
            <w:pPr>
              <w:keepNext w:val="0"/>
              <w:keepLines w:val="0"/>
              <w:widowControl/>
              <w:suppressLineNumbers w:val="0"/>
              <w:jc w:val="center"/>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15</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B3911">
            <w:pPr>
              <w:jc w:val="center"/>
              <w:rPr>
                <w:rFonts w:hint="eastAsia" w:ascii="仿宋_GB2312" w:hAnsi="宋体" w:eastAsia="仿宋_GB2312" w:cs="仿宋_GB2312"/>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76D90">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1506D">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1E00D">
            <w:pPr>
              <w:jc w:val="center"/>
              <w:rPr>
                <w:rFonts w:hint="eastAsia" w:ascii="微软雅黑" w:hAnsi="微软雅黑" w:eastAsia="微软雅黑" w:cs="微软雅黑"/>
                <w:i/>
                <w:color w:val="000000"/>
                <w:sz w:val="16"/>
                <w:szCs w:val="16"/>
                <w:u w:val="none"/>
              </w:rPr>
            </w:pPr>
          </w:p>
        </w:tc>
      </w:tr>
      <w:tr w14:paraId="4E966C52">
        <w:tblPrEx>
          <w:tblCellMar>
            <w:top w:w="0" w:type="dxa"/>
            <w:left w:w="0" w:type="dxa"/>
            <w:bottom w:w="0" w:type="dxa"/>
            <w:right w:w="0" w:type="dxa"/>
          </w:tblCellMar>
        </w:tblPrEx>
        <w:trPr>
          <w:trHeight w:val="1271"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C5DAC">
            <w:pPr>
              <w:jc w:val="center"/>
              <w:rPr>
                <w:rFonts w:hint="eastAsia" w:ascii="宋体" w:hAnsi="宋体" w:eastAsia="宋体" w:cs="宋体"/>
                <w:i w:val="0"/>
                <w:color w:val="000000"/>
                <w:sz w:val="18"/>
                <w:szCs w:val="18"/>
                <w:u w:val="none"/>
              </w:rPr>
            </w:pP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33A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BB8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生态环境成本指标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DEB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出生缺陷人口下降率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57BD9">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eastAsia="宋体" w:cs="宋体"/>
                <w:i w:val="0"/>
                <w:color w:val="000000"/>
                <w:sz w:val="18"/>
                <w:szCs w:val="18"/>
                <w:u w:val="none"/>
              </w:rPr>
              <w:t>≦</w:t>
            </w:r>
            <w:bookmarkStart w:id="160" w:name="_GoBack"/>
            <w:bookmarkEnd w:id="160"/>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3F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AF6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5A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752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D0CF4">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74DB8">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33B0E">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90AFA">
            <w:pPr>
              <w:rPr>
                <w:rFonts w:hint="eastAsia" w:ascii="宋体" w:hAnsi="宋体" w:eastAsia="宋体" w:cs="宋体"/>
                <w:i w:val="0"/>
                <w:color w:val="000000"/>
                <w:sz w:val="18"/>
                <w:szCs w:val="18"/>
                <w:u w:val="none"/>
              </w:rPr>
            </w:pPr>
          </w:p>
        </w:tc>
      </w:tr>
      <w:tr w14:paraId="1701D7D5">
        <w:tblPrEx>
          <w:tblCellMar>
            <w:top w:w="0" w:type="dxa"/>
            <w:left w:w="0" w:type="dxa"/>
            <w:bottom w:w="0" w:type="dxa"/>
            <w:right w:w="0" w:type="dxa"/>
          </w:tblCellMar>
        </w:tblPrEx>
        <w:trPr>
          <w:trHeight w:val="1174"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842DC">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724DE">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2AC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7D5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实验室试剂耗材使用率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DDB604">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eastAsia="宋体" w:cs="宋体"/>
                <w:i w:val="0"/>
                <w:color w:val="000000"/>
                <w:sz w:val="18"/>
                <w:szCs w:val="18"/>
                <w:u w:val="none"/>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6CE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120</w:t>
            </w:r>
          </w:p>
        </w:tc>
        <w:tc>
          <w:tcPr>
            <w:tcW w:w="566" w:type="dxa"/>
            <w:tcBorders>
              <w:top w:val="nil"/>
              <w:left w:val="nil"/>
              <w:bottom w:val="nil"/>
              <w:right w:val="nil"/>
            </w:tcBorders>
            <w:noWrap/>
            <w:tcMar>
              <w:top w:w="15" w:type="dxa"/>
              <w:left w:w="15" w:type="dxa"/>
              <w:right w:w="15" w:type="dxa"/>
            </w:tcMar>
            <w:vAlign w:val="center"/>
          </w:tcPr>
          <w:p w14:paraId="3FDA60F3">
            <w:pPr>
              <w:keepNext w:val="0"/>
              <w:keepLines w:val="0"/>
              <w:widowControl/>
              <w:suppressLineNumbers w:val="0"/>
              <w:jc w:val="both"/>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元/人次</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E7D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120元人次</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B67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D2219">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790E1">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67A06">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CCB11">
            <w:pPr>
              <w:rPr>
                <w:rFonts w:hint="eastAsia" w:ascii="宋体" w:hAnsi="宋体" w:eastAsia="宋体" w:cs="宋体"/>
                <w:i w:val="0"/>
                <w:color w:val="000000"/>
                <w:sz w:val="18"/>
                <w:szCs w:val="18"/>
                <w:u w:val="none"/>
              </w:rPr>
            </w:pPr>
          </w:p>
        </w:tc>
      </w:tr>
      <w:tr w14:paraId="011A2588">
        <w:tblPrEx>
          <w:tblCellMar>
            <w:top w:w="0" w:type="dxa"/>
            <w:left w:w="0" w:type="dxa"/>
            <w:bottom w:w="0" w:type="dxa"/>
            <w:right w:w="0" w:type="dxa"/>
          </w:tblCellMar>
        </w:tblPrEx>
        <w:trPr>
          <w:trHeight w:val="485" w:hRule="atLeast"/>
        </w:trPr>
        <w:tc>
          <w:tcPr>
            <w:tcW w:w="572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12C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89F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7714B">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79AFA">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9841F">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DA5B6">
            <w:pPr>
              <w:rPr>
                <w:rFonts w:hint="eastAsia" w:ascii="宋体" w:hAnsi="宋体" w:eastAsia="宋体" w:cs="宋体"/>
                <w:i w:val="0"/>
                <w:color w:val="000000"/>
                <w:sz w:val="18"/>
                <w:szCs w:val="18"/>
                <w:u w:val="none"/>
              </w:rPr>
            </w:pPr>
          </w:p>
        </w:tc>
      </w:tr>
      <w:tr w14:paraId="79950578">
        <w:tblPrEx>
          <w:tblCellMar>
            <w:top w:w="0" w:type="dxa"/>
            <w:left w:w="0" w:type="dxa"/>
            <w:bottom w:w="0" w:type="dxa"/>
            <w:right w:w="0" w:type="dxa"/>
          </w:tblCellMar>
        </w:tblPrEx>
        <w:trPr>
          <w:trHeight w:val="1747"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000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CE35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2025年孕前优生健康检查任务数160对，1-12月孕前优生健康检查160对，任务完成率100%，2025年度自愿免费孕前优生健康检查项目开展情况良好。项目各项指标已全部完成，项目工作质量较高，社会满意度良好，资金管理规范。</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A38AC">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04679">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5C6D485B">
        <w:tblPrEx>
          <w:tblCellMar>
            <w:top w:w="0" w:type="dxa"/>
            <w:left w:w="0" w:type="dxa"/>
            <w:bottom w:w="0" w:type="dxa"/>
            <w:right w:w="0" w:type="dxa"/>
          </w:tblCellMar>
        </w:tblPrEx>
        <w:trPr>
          <w:trHeight w:val="1372"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083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E4342">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宣传力度不够，还需要加大力度宣传，普及相关孕优知识，提高孕产妇的素质，更加了解孕优政策依据，以便于更好地完成此项工作。</w:t>
            </w:r>
          </w:p>
          <w:p w14:paraId="6B0693B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3086F">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7D1BE">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6B77C4F4">
        <w:tblPrEx>
          <w:tblCellMar>
            <w:top w:w="0" w:type="dxa"/>
            <w:left w:w="0" w:type="dxa"/>
            <w:bottom w:w="0" w:type="dxa"/>
            <w:right w:w="0" w:type="dxa"/>
          </w:tblCellMar>
        </w:tblPrEx>
        <w:trPr>
          <w:trHeight w:val="1572"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45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F3062">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zh-CN" w:eastAsia="zh-CN" w:bidi="ar"/>
              </w:rPr>
            </w:pPr>
            <w:r>
              <w:rPr>
                <w:rFonts w:hint="eastAsia" w:ascii="微软雅黑" w:hAnsi="微软雅黑" w:eastAsia="微软雅黑" w:cs="微软雅黑"/>
                <w:i/>
                <w:color w:val="000000"/>
                <w:kern w:val="0"/>
                <w:sz w:val="16"/>
                <w:szCs w:val="16"/>
                <w:u w:val="none"/>
                <w:lang w:val="en-US" w:eastAsia="zh-CN" w:bidi="ar"/>
              </w:rPr>
              <w:t xml:space="preserve"> 1.</w:t>
            </w:r>
            <w:r>
              <w:rPr>
                <w:rFonts w:hint="eastAsia" w:ascii="微软雅黑" w:hAnsi="微软雅黑" w:eastAsia="微软雅黑" w:cs="微软雅黑"/>
                <w:i/>
                <w:color w:val="000000"/>
                <w:kern w:val="0"/>
                <w:sz w:val="16"/>
                <w:szCs w:val="16"/>
                <w:u w:val="none"/>
                <w:lang w:val="zh-CN" w:eastAsia="zh-CN" w:bidi="ar"/>
              </w:rPr>
              <w:t>加强孕</w:t>
            </w:r>
            <w:r>
              <w:rPr>
                <w:rFonts w:hint="eastAsia" w:ascii="微软雅黑" w:hAnsi="微软雅黑" w:eastAsia="微软雅黑" w:cs="微软雅黑"/>
                <w:i/>
                <w:color w:val="000000"/>
                <w:kern w:val="0"/>
                <w:sz w:val="16"/>
                <w:szCs w:val="16"/>
                <w:u w:val="none"/>
                <w:lang w:val="en-US" w:eastAsia="zh-CN" w:bidi="ar"/>
              </w:rPr>
              <w:t>优</w:t>
            </w:r>
            <w:r>
              <w:rPr>
                <w:rFonts w:hint="eastAsia" w:ascii="微软雅黑" w:hAnsi="微软雅黑" w:eastAsia="微软雅黑" w:cs="微软雅黑"/>
                <w:i/>
                <w:color w:val="000000"/>
                <w:kern w:val="0"/>
                <w:sz w:val="16"/>
                <w:szCs w:val="16"/>
                <w:u w:val="none"/>
                <w:lang w:val="zh-CN" w:eastAsia="zh-CN" w:bidi="ar"/>
              </w:rPr>
              <w:t>项目推进，树立责任意识，明确工作任务、落实责任，加大工作力度，协调解决孕</w:t>
            </w:r>
            <w:r>
              <w:rPr>
                <w:rFonts w:hint="eastAsia" w:ascii="微软雅黑" w:hAnsi="微软雅黑" w:eastAsia="微软雅黑" w:cs="微软雅黑"/>
                <w:i/>
                <w:color w:val="000000"/>
                <w:kern w:val="0"/>
                <w:sz w:val="16"/>
                <w:szCs w:val="16"/>
                <w:u w:val="none"/>
                <w:lang w:val="en-US" w:eastAsia="zh-CN" w:bidi="ar"/>
              </w:rPr>
              <w:t>优</w:t>
            </w:r>
            <w:r>
              <w:rPr>
                <w:rFonts w:hint="eastAsia" w:ascii="微软雅黑" w:hAnsi="微软雅黑" w:eastAsia="微软雅黑" w:cs="微软雅黑"/>
                <w:i/>
                <w:color w:val="000000"/>
                <w:kern w:val="0"/>
                <w:sz w:val="16"/>
                <w:szCs w:val="16"/>
                <w:u w:val="none"/>
                <w:lang w:val="zh-CN" w:eastAsia="zh-CN" w:bidi="ar"/>
              </w:rPr>
              <w:t>项目实施过程中的困难和问题，及时总结经验教训，工作人员需提高专业知识内容，了解政策，普及群众。</w:t>
            </w:r>
          </w:p>
          <w:p w14:paraId="39049756">
            <w:pPr>
              <w:keepNext w:val="0"/>
              <w:keepLines w:val="0"/>
              <w:widowControl/>
              <w:suppressLineNumbers w:val="0"/>
              <w:jc w:val="left"/>
              <w:textAlignment w:val="center"/>
              <w:rPr>
                <w:rFonts w:hint="default"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2.</w:t>
            </w:r>
            <w:r>
              <w:rPr>
                <w:rFonts w:hint="eastAsia" w:ascii="微软雅黑" w:hAnsi="微软雅黑" w:eastAsia="微软雅黑" w:cs="微软雅黑"/>
                <w:i/>
                <w:color w:val="000000"/>
                <w:kern w:val="0"/>
                <w:sz w:val="16"/>
                <w:szCs w:val="16"/>
                <w:u w:val="none"/>
                <w:lang w:val="zh-CN" w:eastAsia="zh-CN" w:bidi="ar"/>
              </w:rPr>
              <w:t>加</w:t>
            </w:r>
            <w:r>
              <w:rPr>
                <w:rFonts w:hint="eastAsia" w:ascii="微软雅黑" w:hAnsi="微软雅黑" w:eastAsia="微软雅黑" w:cs="微软雅黑"/>
                <w:i/>
                <w:color w:val="000000"/>
                <w:kern w:val="0"/>
                <w:sz w:val="16"/>
                <w:szCs w:val="16"/>
                <w:u w:val="none"/>
                <w:lang w:val="en-US" w:eastAsia="zh-CN" w:bidi="ar"/>
              </w:rPr>
              <w:t>快资金支付进度，确保资金落实到位。</w:t>
            </w:r>
          </w:p>
          <w:p w14:paraId="090CA27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3F8A8">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E1FF4">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23C57A0E">
        <w:tblPrEx>
          <w:tblCellMar>
            <w:top w:w="0" w:type="dxa"/>
            <w:left w:w="0" w:type="dxa"/>
            <w:bottom w:w="0" w:type="dxa"/>
            <w:right w:w="0" w:type="dxa"/>
          </w:tblCellMar>
        </w:tblPrEx>
        <w:trPr>
          <w:trHeight w:val="692" w:hRule="atLeast"/>
        </w:trPr>
        <w:tc>
          <w:tcPr>
            <w:tcW w:w="383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E00D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项目负责人：刘晓红</w:t>
            </w:r>
          </w:p>
        </w:tc>
        <w:tc>
          <w:tcPr>
            <w:tcW w:w="4466"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9F520">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财务负责人：邓长根</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CCDE1">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2DF52">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bl>
    <w:p w14:paraId="799D628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pPr w:leftFromText="180" w:rightFromText="180" w:vertAnchor="text" w:horzAnchor="page" w:tblpX="1621" w:tblpY="1466"/>
        <w:tblOverlap w:val="never"/>
        <w:tblW w:w="9020" w:type="dxa"/>
        <w:tblInd w:w="0" w:type="dxa"/>
        <w:tblLayout w:type="fixed"/>
        <w:tblCellMar>
          <w:top w:w="0" w:type="dxa"/>
          <w:left w:w="0" w:type="dxa"/>
          <w:bottom w:w="0" w:type="dxa"/>
          <w:right w:w="0" w:type="dxa"/>
        </w:tblCellMar>
      </w:tblPr>
      <w:tblGrid>
        <w:gridCol w:w="470"/>
        <w:gridCol w:w="752"/>
        <w:gridCol w:w="1218"/>
        <w:gridCol w:w="1062"/>
        <w:gridCol w:w="332"/>
        <w:gridCol w:w="427"/>
        <w:gridCol w:w="566"/>
        <w:gridCol w:w="898"/>
        <w:gridCol w:w="319"/>
        <w:gridCol w:w="233"/>
        <w:gridCol w:w="2023"/>
        <w:gridCol w:w="240"/>
      </w:tblGrid>
      <w:tr w14:paraId="00113133">
        <w:tblPrEx>
          <w:tblCellMar>
            <w:top w:w="0" w:type="dxa"/>
            <w:left w:w="0" w:type="dxa"/>
            <w:bottom w:w="0" w:type="dxa"/>
            <w:right w:w="0" w:type="dxa"/>
          </w:tblCellMar>
        </w:tblPrEx>
        <w:trPr>
          <w:trHeight w:val="904" w:hRule="atLeast"/>
        </w:trPr>
        <w:tc>
          <w:tcPr>
            <w:tcW w:w="8300"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5D596">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7C250">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p>
        </w:tc>
      </w:tr>
      <w:tr w14:paraId="311CAC87">
        <w:tblPrEx>
          <w:tblCellMar>
            <w:top w:w="0" w:type="dxa"/>
            <w:left w:w="0" w:type="dxa"/>
            <w:bottom w:w="0" w:type="dxa"/>
            <w:right w:w="0" w:type="dxa"/>
          </w:tblCellMar>
        </w:tblPrEx>
        <w:trPr>
          <w:trHeight w:val="286"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1D2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078"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9911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51322423T000007877864-两癌筛查</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19A43">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2655A831">
        <w:tblPrEx>
          <w:tblCellMar>
            <w:top w:w="0" w:type="dxa"/>
            <w:left w:w="0" w:type="dxa"/>
            <w:bottom w:w="0" w:type="dxa"/>
            <w:right w:w="0" w:type="dxa"/>
          </w:tblCellMar>
        </w:tblPrEx>
        <w:trPr>
          <w:trHeight w:val="512" w:hRule="atLeast"/>
        </w:trPr>
        <w:tc>
          <w:tcPr>
            <w:tcW w:w="12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1E5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3B7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松潘县卫生健康局本级</w:t>
            </w:r>
          </w:p>
        </w:tc>
        <w:tc>
          <w:tcPr>
            <w:tcW w:w="898" w:type="dxa"/>
            <w:tcBorders>
              <w:top w:val="nil"/>
              <w:left w:val="nil"/>
              <w:bottom w:val="nil"/>
              <w:right w:val="nil"/>
            </w:tcBorders>
            <w:noWrap w:val="0"/>
            <w:tcMar>
              <w:top w:w="15" w:type="dxa"/>
              <w:left w:w="15" w:type="dxa"/>
              <w:right w:w="15" w:type="dxa"/>
            </w:tcMar>
            <w:vAlign w:val="center"/>
          </w:tcPr>
          <w:p w14:paraId="04C46E2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57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1E7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松潘县妇幼保健院</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7EB0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343B5777">
        <w:tblPrEx>
          <w:tblCellMar>
            <w:top w:w="0" w:type="dxa"/>
            <w:left w:w="0" w:type="dxa"/>
            <w:bottom w:w="0" w:type="dxa"/>
            <w:right w:w="0" w:type="dxa"/>
          </w:tblCellMar>
        </w:tblPrEx>
        <w:trPr>
          <w:trHeight w:val="286"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B391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2D3C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78A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47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6EEE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CEE15">
            <w:pPr>
              <w:keepNext w:val="0"/>
              <w:keepLines w:val="0"/>
              <w:widowControl/>
              <w:suppressLineNumbers w:val="0"/>
              <w:jc w:val="center"/>
              <w:textAlignment w:val="center"/>
              <w:rPr>
                <w:rFonts w:hint="eastAsia" w:ascii="黑体" w:hAnsi="黑体" w:eastAsia="黑体" w:cs="黑体"/>
                <w:i w:val="0"/>
                <w:color w:val="000000"/>
                <w:kern w:val="0"/>
                <w:sz w:val="18"/>
                <w:szCs w:val="18"/>
                <w:u w:val="none"/>
                <w:lang w:val="en-US" w:eastAsia="zh-CN" w:bidi="ar"/>
              </w:rPr>
            </w:pPr>
          </w:p>
        </w:tc>
      </w:tr>
      <w:tr w14:paraId="001F79B4">
        <w:tblPrEx>
          <w:tblCellMar>
            <w:top w:w="0" w:type="dxa"/>
            <w:left w:w="0" w:type="dxa"/>
            <w:bottom w:w="0" w:type="dxa"/>
            <w:right w:w="0" w:type="dxa"/>
          </w:tblCellMar>
        </w:tblPrEx>
        <w:trPr>
          <w:trHeight w:val="708"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AE3D4">
            <w:pP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28C14">
            <w:pPr>
              <w:rPr>
                <w:rFonts w:hint="eastAsia" w:ascii="宋体" w:hAnsi="宋体" w:eastAsia="宋体" w:cs="宋体"/>
                <w:i w:val="0"/>
                <w:color w:val="000000"/>
                <w:sz w:val="18"/>
                <w:szCs w:val="18"/>
                <w:u w:val="none"/>
              </w:rPr>
            </w:pPr>
          </w:p>
        </w:tc>
        <w:tc>
          <w:tcPr>
            <w:tcW w:w="36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C20D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两癌筛查（包含宫颈癌和乳腺癌）</w:t>
            </w:r>
          </w:p>
        </w:tc>
        <w:tc>
          <w:tcPr>
            <w:tcW w:w="347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B8B9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2025年农村妇女两癌筛查1-12月筛查1500人，完成率100%。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5E448">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r w14:paraId="1D6008ED">
        <w:tblPrEx>
          <w:tblCellMar>
            <w:top w:w="0" w:type="dxa"/>
            <w:left w:w="0" w:type="dxa"/>
            <w:bottom w:w="0" w:type="dxa"/>
            <w:right w:w="0" w:type="dxa"/>
          </w:tblCellMar>
        </w:tblPrEx>
        <w:trPr>
          <w:trHeight w:val="693"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A9EAC">
            <w:pP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F8B2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078"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412F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县卫健局根据上级文件要求制定松潘县卫生健康局关于印发《松潘县202</w:t>
            </w:r>
            <w:r>
              <w:rPr>
                <w:rFonts w:hint="eastAsia" w:ascii="宋体" w:hAnsi="宋体" w:cs="宋体"/>
                <w:i w:val="0"/>
                <w:color w:val="000000"/>
                <w:kern w:val="0"/>
                <w:sz w:val="18"/>
                <w:szCs w:val="18"/>
                <w:u w:val="none"/>
                <w:lang w:val="en-US" w:eastAsia="zh-CN" w:bidi="ar"/>
              </w:rPr>
              <w:t>5</w:t>
            </w:r>
            <w:r>
              <w:rPr>
                <w:rFonts w:ascii="宋体" w:hAnsi="宋体" w:eastAsia="宋体" w:cs="宋体"/>
                <w:i w:val="0"/>
                <w:color w:val="000000"/>
                <w:kern w:val="0"/>
                <w:sz w:val="18"/>
                <w:szCs w:val="18"/>
                <w:u w:val="none"/>
                <w:lang w:val="en-US" w:eastAsia="zh-CN" w:bidi="ar"/>
              </w:rPr>
              <w:t>年农村妇女两癌筛查实施方案》的通知，每年3月中旬，筛查组到全县17个乡镇开展筛查工作，制定资金管理办法，专款专用，财务管理制度健全，严格执行财务管理制度，项目完成后及时进行相关账务处理，会计核算规范</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23205">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14:paraId="38FCB1B1">
        <w:tblPrEx>
          <w:tblCellMar>
            <w:top w:w="0" w:type="dxa"/>
            <w:left w:w="0" w:type="dxa"/>
            <w:bottom w:w="0" w:type="dxa"/>
            <w:right w:w="0" w:type="dxa"/>
          </w:tblCellMar>
        </w:tblPrEx>
        <w:trPr>
          <w:trHeight w:val="361"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FE8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281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77C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75E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AFF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8F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A3E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7B6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C3C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4186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7F035FF2">
        <w:tblPrEx>
          <w:tblCellMar>
            <w:top w:w="0" w:type="dxa"/>
            <w:left w:w="0" w:type="dxa"/>
            <w:bottom w:w="0" w:type="dxa"/>
            <w:right w:w="0" w:type="dxa"/>
          </w:tblCellMar>
        </w:tblPrEx>
        <w:trPr>
          <w:trHeight w:val="284"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DE67F">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EF0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DCC0A">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0.86</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FE4F6">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28.19</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C501E">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28.19</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21C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AB6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66A04">
            <w:pPr>
              <w:jc w:val="center"/>
              <w:rPr>
                <w:rFonts w:hint="eastAsia" w:ascii="宋体" w:hAnsi="宋体" w:eastAsia="宋体" w:cs="宋体"/>
                <w:i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B9859">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67FAB">
            <w:pPr>
              <w:keepNext w:val="0"/>
              <w:keepLines w:val="0"/>
              <w:widowControl/>
              <w:suppressLineNumbers w:val="0"/>
              <w:jc w:val="left"/>
              <w:textAlignment w:val="center"/>
              <w:rPr>
                <w:rFonts w:hint="eastAsia" w:ascii="黑体" w:hAnsi="黑体" w:eastAsia="黑体" w:cs="黑体"/>
                <w:i/>
                <w:color w:val="000000"/>
                <w:kern w:val="0"/>
                <w:sz w:val="18"/>
                <w:szCs w:val="18"/>
                <w:u w:val="none"/>
                <w:lang w:val="en-US" w:eastAsia="zh-CN" w:bidi="ar"/>
              </w:rPr>
            </w:pPr>
          </w:p>
        </w:tc>
      </w:tr>
      <w:tr w14:paraId="1A537258">
        <w:tblPrEx>
          <w:tblCellMar>
            <w:top w:w="0" w:type="dxa"/>
            <w:left w:w="0" w:type="dxa"/>
            <w:bottom w:w="0" w:type="dxa"/>
            <w:right w:w="0" w:type="dxa"/>
          </w:tblCellMar>
        </w:tblPrEx>
        <w:trPr>
          <w:trHeight w:val="391"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C2248">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BA8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51865">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0.86</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38515">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28.19</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2FD14">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28.19</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151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925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36B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16A00">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70511">
            <w:pPr>
              <w:rPr>
                <w:rFonts w:hint="eastAsia" w:ascii="黑体" w:hAnsi="黑体" w:eastAsia="黑体" w:cs="黑体"/>
                <w:i/>
                <w:color w:val="000000"/>
                <w:sz w:val="18"/>
                <w:szCs w:val="18"/>
                <w:u w:val="none"/>
              </w:rPr>
            </w:pPr>
          </w:p>
        </w:tc>
      </w:tr>
      <w:tr w14:paraId="7DCCE1D8">
        <w:tblPrEx>
          <w:tblCellMar>
            <w:top w:w="0" w:type="dxa"/>
            <w:left w:w="0" w:type="dxa"/>
            <w:bottom w:w="0" w:type="dxa"/>
            <w:right w:w="0" w:type="dxa"/>
          </w:tblCellMar>
        </w:tblPrEx>
        <w:trPr>
          <w:trHeight w:val="407"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89AA6">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D11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DBF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F96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646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80B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4B3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49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0A0F7">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E2B92">
            <w:pPr>
              <w:rPr>
                <w:rFonts w:hint="eastAsia" w:ascii="黑体" w:hAnsi="黑体" w:eastAsia="黑体" w:cs="黑体"/>
                <w:i/>
                <w:color w:val="000000"/>
                <w:sz w:val="18"/>
                <w:szCs w:val="18"/>
                <w:u w:val="none"/>
              </w:rPr>
            </w:pPr>
          </w:p>
        </w:tc>
      </w:tr>
      <w:tr w14:paraId="2377F64F">
        <w:tblPrEx>
          <w:tblCellMar>
            <w:top w:w="0" w:type="dxa"/>
            <w:left w:w="0" w:type="dxa"/>
            <w:bottom w:w="0" w:type="dxa"/>
            <w:right w:w="0" w:type="dxa"/>
          </w:tblCellMar>
        </w:tblPrEx>
        <w:trPr>
          <w:trHeight w:val="42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3C61B">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ED4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D54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441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4F2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536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5C7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1FF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0E735">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EF272">
            <w:pPr>
              <w:rPr>
                <w:rFonts w:hint="eastAsia" w:ascii="黑体" w:hAnsi="黑体" w:eastAsia="黑体" w:cs="黑体"/>
                <w:i/>
                <w:color w:val="000000"/>
                <w:sz w:val="18"/>
                <w:szCs w:val="18"/>
                <w:u w:val="none"/>
              </w:rPr>
            </w:pPr>
          </w:p>
        </w:tc>
      </w:tr>
      <w:tr w14:paraId="66D4A6C0">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E7AFE">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879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9DD2F">
            <w:pPr>
              <w:jc w:val="center"/>
              <w:rPr>
                <w:rFonts w:hint="eastAsia" w:ascii="微软雅黑" w:hAnsi="微软雅黑" w:eastAsia="微软雅黑" w:cs="微软雅黑"/>
                <w:i/>
                <w:color w:val="000000"/>
                <w:sz w:val="16"/>
                <w:szCs w:val="16"/>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BC20C">
            <w:pPr>
              <w:jc w:val="center"/>
              <w:rPr>
                <w:rFonts w:hint="eastAsia" w:ascii="微软雅黑" w:hAnsi="微软雅黑" w:eastAsia="微软雅黑" w:cs="微软雅黑"/>
                <w:i/>
                <w:color w:val="000000"/>
                <w:sz w:val="16"/>
                <w:szCs w:val="16"/>
                <w:u w:val="none"/>
              </w:rPr>
            </w:pPr>
          </w:p>
        </w:tc>
        <w:tc>
          <w:tcPr>
            <w:tcW w:w="1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49CF7">
            <w:pPr>
              <w:jc w:val="center"/>
              <w:rPr>
                <w:rFonts w:hint="eastAsia" w:ascii="微软雅黑" w:hAnsi="微软雅黑" w:eastAsia="微软雅黑" w:cs="微软雅黑"/>
                <w:i/>
                <w:color w:val="000000"/>
                <w:sz w:val="16"/>
                <w:szCs w:val="16"/>
                <w:u w:val="none"/>
              </w:rPr>
            </w:pP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A77EE">
            <w:pPr>
              <w:jc w:val="center"/>
              <w:rPr>
                <w:rFonts w:hint="eastAsia" w:ascii="微软雅黑" w:hAnsi="微软雅黑" w:eastAsia="微软雅黑" w:cs="微软雅黑"/>
                <w:i/>
                <w:color w:val="000000"/>
                <w:sz w:val="16"/>
                <w:szCs w:val="16"/>
                <w:u w:val="none"/>
              </w:rPr>
            </w:pP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B8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1FE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0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454C8">
            <w:pPr>
              <w:rPr>
                <w:rFonts w:hint="eastAsia" w:ascii="黑体" w:hAnsi="黑体" w:eastAsia="黑体" w:cs="黑体"/>
                <w:i/>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4728B">
            <w:pPr>
              <w:rPr>
                <w:rFonts w:hint="eastAsia" w:ascii="黑体" w:hAnsi="黑体" w:eastAsia="黑体" w:cs="黑体"/>
                <w:i/>
                <w:color w:val="000000"/>
                <w:sz w:val="18"/>
                <w:szCs w:val="18"/>
                <w:u w:val="none"/>
              </w:rPr>
            </w:pPr>
          </w:p>
        </w:tc>
      </w:tr>
      <w:tr w14:paraId="59013934">
        <w:tblPrEx>
          <w:tblCellMar>
            <w:top w:w="0" w:type="dxa"/>
            <w:left w:w="0" w:type="dxa"/>
            <w:bottom w:w="0" w:type="dxa"/>
            <w:right w:w="0" w:type="dxa"/>
          </w:tblCellMar>
        </w:tblPrEx>
        <w:trPr>
          <w:trHeight w:val="503" w:hRule="atLeast"/>
        </w:trPr>
        <w:tc>
          <w:tcPr>
            <w:tcW w:w="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F74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720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F52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F2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1DE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FA1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755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B6B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C8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C3E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1F9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09E0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14:paraId="4CDEC8BD">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37054">
            <w:pPr>
              <w:jc w:val="center"/>
              <w:rPr>
                <w:rFonts w:hint="eastAsia" w:ascii="宋体" w:hAnsi="宋体" w:eastAsia="宋体" w:cs="宋体"/>
                <w:i w:val="0"/>
                <w:color w:val="000000"/>
                <w:sz w:val="18"/>
                <w:szCs w:val="18"/>
                <w:u w:val="none"/>
              </w:rPr>
            </w:pP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F3E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55C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C0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两癌筛查</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518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DBD7D">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1500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68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CF4BE">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E3E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F22CE">
            <w:pPr>
              <w:jc w:val="cente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FE623">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17E3D">
            <w:pPr>
              <w:jc w:val="center"/>
              <w:rPr>
                <w:rFonts w:hint="eastAsia" w:ascii="微软雅黑" w:hAnsi="微软雅黑" w:eastAsia="微软雅黑" w:cs="微软雅黑"/>
                <w:i/>
                <w:color w:val="000000"/>
                <w:sz w:val="16"/>
                <w:szCs w:val="16"/>
                <w:u w:val="none"/>
              </w:rPr>
            </w:pPr>
          </w:p>
        </w:tc>
      </w:tr>
      <w:tr w14:paraId="3425628F">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153BF">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781A4">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5D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C7A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两癌筛查目标任务完成率</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BCA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F30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F66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41F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9D8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B052B">
            <w:pPr>
              <w:jc w:val="cente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CF4D3">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3B87C">
            <w:pPr>
              <w:jc w:val="center"/>
              <w:rPr>
                <w:rFonts w:hint="eastAsia" w:ascii="微软雅黑" w:hAnsi="微软雅黑" w:eastAsia="微软雅黑" w:cs="微软雅黑"/>
                <w:i/>
                <w:color w:val="000000"/>
                <w:sz w:val="16"/>
                <w:szCs w:val="16"/>
                <w:u w:val="none"/>
              </w:rPr>
            </w:pPr>
          </w:p>
        </w:tc>
      </w:tr>
      <w:tr w14:paraId="75DD7A77">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0B18C">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A27EE">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7BD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5C5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项目完成周期</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B1E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8FF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0D2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764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DF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AC87A">
            <w:pPr>
              <w:jc w:val="cente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13357">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36B161">
            <w:pPr>
              <w:jc w:val="center"/>
              <w:rPr>
                <w:rFonts w:hint="eastAsia" w:ascii="微软雅黑" w:hAnsi="微软雅黑" w:eastAsia="微软雅黑" w:cs="微软雅黑"/>
                <w:i/>
                <w:color w:val="000000"/>
                <w:sz w:val="16"/>
                <w:szCs w:val="16"/>
                <w:u w:val="none"/>
              </w:rPr>
            </w:pPr>
          </w:p>
        </w:tc>
      </w:tr>
      <w:tr w14:paraId="0B457958">
        <w:tblPrEx>
          <w:tblCellMar>
            <w:top w:w="0" w:type="dxa"/>
            <w:left w:w="0" w:type="dxa"/>
            <w:bottom w:w="0" w:type="dxa"/>
            <w:right w:w="0" w:type="dxa"/>
          </w:tblCellMar>
        </w:tblPrEx>
        <w:trPr>
          <w:trHeight w:val="339"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A2CB5">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F2A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15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571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居民健康素养水平</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E9ED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0B3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4B8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C24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BF3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A197C">
            <w:pPr>
              <w:jc w:val="cente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D2D70">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C474A">
            <w:pPr>
              <w:jc w:val="center"/>
              <w:rPr>
                <w:rFonts w:hint="eastAsia" w:ascii="微软雅黑" w:hAnsi="微软雅黑" w:eastAsia="微软雅黑" w:cs="微软雅黑"/>
                <w:i/>
                <w:color w:val="000000"/>
                <w:sz w:val="16"/>
                <w:szCs w:val="16"/>
                <w:u w:val="none"/>
              </w:rPr>
            </w:pPr>
          </w:p>
        </w:tc>
      </w:tr>
      <w:tr w14:paraId="04D06329">
        <w:tblPrEx>
          <w:tblCellMar>
            <w:top w:w="0" w:type="dxa"/>
            <w:left w:w="0" w:type="dxa"/>
            <w:bottom w:w="0" w:type="dxa"/>
            <w:right w:w="0" w:type="dxa"/>
          </w:tblCellMar>
        </w:tblPrEx>
        <w:trPr>
          <w:trHeight w:val="452" w:hRule="atLeast"/>
        </w:trPr>
        <w:tc>
          <w:tcPr>
            <w:tcW w:w="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39AF0">
            <w:pPr>
              <w:jc w:val="center"/>
              <w:rPr>
                <w:rFonts w:hint="eastAsia" w:ascii="宋体" w:hAnsi="宋体" w:eastAsia="宋体" w:cs="宋体"/>
                <w:i w:val="0"/>
                <w:color w:val="000000"/>
                <w:sz w:val="18"/>
                <w:szCs w:val="18"/>
                <w:u w:val="none"/>
              </w:rPr>
            </w:pPr>
          </w:p>
        </w:tc>
        <w:tc>
          <w:tcPr>
            <w:tcW w:w="7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A31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1F2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0A1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29D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607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04E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C54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1A9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D636B">
            <w:pPr>
              <w:jc w:val="cente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EED49">
            <w:pPr>
              <w:jc w:val="center"/>
              <w:rPr>
                <w:rFonts w:hint="eastAsia" w:ascii="微软雅黑" w:hAnsi="微软雅黑" w:eastAsia="微软雅黑" w:cs="微软雅黑"/>
                <w:i/>
                <w:color w:val="000000"/>
                <w:sz w:val="16"/>
                <w:szCs w:val="16"/>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D85E5">
            <w:pPr>
              <w:jc w:val="center"/>
              <w:rPr>
                <w:rFonts w:hint="eastAsia" w:ascii="微软雅黑" w:hAnsi="微软雅黑" w:eastAsia="微软雅黑" w:cs="微软雅黑"/>
                <w:i/>
                <w:color w:val="000000"/>
                <w:sz w:val="16"/>
                <w:szCs w:val="16"/>
                <w:u w:val="none"/>
              </w:rPr>
            </w:pPr>
          </w:p>
        </w:tc>
      </w:tr>
      <w:tr w14:paraId="04A9C024">
        <w:tblPrEx>
          <w:tblCellMar>
            <w:top w:w="0" w:type="dxa"/>
            <w:left w:w="0" w:type="dxa"/>
            <w:bottom w:w="0" w:type="dxa"/>
            <w:right w:w="0" w:type="dxa"/>
          </w:tblCellMar>
        </w:tblPrEx>
        <w:trPr>
          <w:trHeight w:val="286"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83D0E">
            <w:pPr>
              <w:jc w:val="center"/>
              <w:rPr>
                <w:rFonts w:hint="eastAsia" w:ascii="宋体" w:hAnsi="宋体" w:eastAsia="宋体" w:cs="宋体"/>
                <w:i w:val="0"/>
                <w:color w:val="000000"/>
                <w:sz w:val="18"/>
                <w:szCs w:val="18"/>
                <w:u w:val="none"/>
              </w:rPr>
            </w:pPr>
          </w:p>
        </w:tc>
        <w:tc>
          <w:tcPr>
            <w:tcW w:w="7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18F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BBE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B44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开展两癌筛查人工及耗材成本</w:t>
            </w:r>
          </w:p>
        </w:tc>
        <w:tc>
          <w:tcPr>
            <w:tcW w:w="332" w:type="dxa"/>
            <w:tcBorders>
              <w:top w:val="nil"/>
              <w:left w:val="nil"/>
              <w:bottom w:val="nil"/>
              <w:right w:val="nil"/>
            </w:tcBorders>
            <w:noWrap/>
            <w:tcMar>
              <w:top w:w="15" w:type="dxa"/>
              <w:left w:w="15" w:type="dxa"/>
              <w:right w:w="15" w:type="dxa"/>
            </w:tcMar>
            <w:vAlign w:val="center"/>
          </w:tcPr>
          <w:p w14:paraId="196AD065">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D8A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2EA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373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D89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F6C1B">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C616D">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ADF78">
            <w:pPr>
              <w:rPr>
                <w:rFonts w:hint="eastAsia" w:ascii="宋体" w:hAnsi="宋体" w:eastAsia="宋体" w:cs="宋体"/>
                <w:i w:val="0"/>
                <w:color w:val="000000"/>
                <w:sz w:val="18"/>
                <w:szCs w:val="18"/>
                <w:u w:val="none"/>
              </w:rPr>
            </w:pPr>
          </w:p>
        </w:tc>
      </w:tr>
      <w:tr w14:paraId="38A92F99">
        <w:tblPrEx>
          <w:tblCellMar>
            <w:top w:w="0" w:type="dxa"/>
            <w:left w:w="0" w:type="dxa"/>
            <w:bottom w:w="0" w:type="dxa"/>
            <w:right w:w="0" w:type="dxa"/>
          </w:tblCellMar>
        </w:tblPrEx>
        <w:trPr>
          <w:trHeight w:val="286"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71902">
            <w:pPr>
              <w:jc w:val="center"/>
              <w:rPr>
                <w:rFonts w:hint="eastAsia" w:ascii="宋体" w:hAnsi="宋体" w:eastAsia="宋体" w:cs="宋体"/>
                <w:i w:val="0"/>
                <w:color w:val="000000"/>
                <w:sz w:val="18"/>
                <w:szCs w:val="18"/>
                <w:u w:val="none"/>
              </w:rPr>
            </w:pPr>
          </w:p>
        </w:tc>
        <w:tc>
          <w:tcPr>
            <w:tcW w:w="7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E2B91">
            <w:pPr>
              <w:jc w:val="center"/>
              <w:rPr>
                <w:rFonts w:hint="eastAsia" w:ascii="宋体" w:hAnsi="宋体" w:eastAsia="宋体" w:cs="宋体"/>
                <w:i w:val="0"/>
                <w:color w:val="000000"/>
                <w:sz w:val="18"/>
                <w:szCs w:val="18"/>
                <w:u w:val="none"/>
              </w:rPr>
            </w:pP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AF2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3BD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外送宫颈癌标本检测成本</w:t>
            </w:r>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825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667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84D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3F5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AE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E5B15">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1351B">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7827F">
            <w:pPr>
              <w:rPr>
                <w:rFonts w:hint="eastAsia" w:ascii="宋体" w:hAnsi="宋体" w:eastAsia="宋体" w:cs="宋体"/>
                <w:i w:val="0"/>
                <w:color w:val="000000"/>
                <w:sz w:val="18"/>
                <w:szCs w:val="18"/>
                <w:u w:val="none"/>
              </w:rPr>
            </w:pPr>
          </w:p>
        </w:tc>
      </w:tr>
      <w:tr w14:paraId="7A680B57">
        <w:tblPrEx>
          <w:tblCellMar>
            <w:top w:w="0" w:type="dxa"/>
            <w:left w:w="0" w:type="dxa"/>
            <w:bottom w:w="0" w:type="dxa"/>
            <w:right w:w="0" w:type="dxa"/>
          </w:tblCellMar>
        </w:tblPrEx>
        <w:trPr>
          <w:trHeight w:val="286" w:hRule="atLeast"/>
        </w:trPr>
        <w:tc>
          <w:tcPr>
            <w:tcW w:w="572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D6A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EB4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4A2B7">
            <w:pPr>
              <w:rPr>
                <w:rFonts w:hint="eastAsia" w:ascii="宋体" w:hAnsi="宋体" w:eastAsia="宋体" w:cs="宋体"/>
                <w:i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DABDD">
            <w:pPr>
              <w:rPr>
                <w:rFonts w:hint="eastAsia" w:ascii="宋体" w:hAnsi="宋体" w:eastAsia="宋体" w:cs="宋体"/>
                <w:i w:val="0"/>
                <w:color w:val="000000"/>
                <w:sz w:val="18"/>
                <w:szCs w:val="18"/>
                <w:u w:val="none"/>
              </w:rPr>
            </w:pP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A9DC3">
            <w:pPr>
              <w:rPr>
                <w:rFonts w:hint="eastAsia" w:ascii="宋体" w:hAnsi="宋体" w:eastAsia="宋体" w:cs="宋体"/>
                <w:i w:val="0"/>
                <w:color w:val="000000"/>
                <w:sz w:val="18"/>
                <w:szCs w:val="18"/>
                <w:u w:val="none"/>
              </w:rPr>
            </w:pPr>
          </w:p>
        </w:tc>
      </w:tr>
      <w:tr w14:paraId="6840871D">
        <w:tblPrEx>
          <w:tblCellMar>
            <w:top w:w="0" w:type="dxa"/>
            <w:left w:w="0" w:type="dxa"/>
            <w:bottom w:w="0" w:type="dxa"/>
            <w:right w:w="0" w:type="dxa"/>
          </w:tblCellMar>
        </w:tblPrEx>
        <w:trPr>
          <w:trHeight w:val="90"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38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DA55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县卫健局负责辖区内宫颈癌、乳腺癌筛查工作的具体组织实施，明确县妇幼保健院作为初筛机构，开展质量控制，成立农村妇女免费“两癌”筛查项目管理办公室、筛查专家组，组织开展业务指导、人员培训、健康教育、质量控制和评估；2025年农村妇女两癌筛查任务数1500人，1-12月已完成，完成率100%</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718B3">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673D6DF6">
        <w:tblPrEx>
          <w:tblCellMar>
            <w:top w:w="0" w:type="dxa"/>
            <w:left w:w="0" w:type="dxa"/>
            <w:bottom w:w="0" w:type="dxa"/>
            <w:right w:w="0" w:type="dxa"/>
          </w:tblCellMar>
        </w:tblPrEx>
        <w:trPr>
          <w:trHeight w:val="960"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254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258B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 xml:space="preserve">  1. 由于我县属半农半牧区妇女文化水平存在偏差，缺乏自我保健意识，部分妇女不愿意接受此项检查。</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2、我院两癌筛查设备老化落后，B超显示模糊，严重影响了筛查结果的准确率。</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3、目前我院两癌筛查工作人员专业技术能力仍需进一步加强，特别是阴道镜和乳腺超声的检查。</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93B8C">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4FA7110F">
        <w:tblPrEx>
          <w:tblCellMar>
            <w:top w:w="0" w:type="dxa"/>
            <w:left w:w="0" w:type="dxa"/>
            <w:bottom w:w="0" w:type="dxa"/>
            <w:right w:w="0" w:type="dxa"/>
          </w:tblCellMar>
        </w:tblPrEx>
        <w:trPr>
          <w:trHeight w:val="633" w:hRule="atLeast"/>
        </w:trPr>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625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0925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1.加大免费两癌筛查的宣传力度，加强项目相关健康知识的宣传教育，不断提高目标群众对两癌筛查的知晓率和认可度。</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2.进一步加大对提供两癌筛查服务的医务人员的培训力度，需不断进修学习，从而提高筛查质量。</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07E45">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p>
        </w:tc>
      </w:tr>
      <w:tr w14:paraId="25E57AB8">
        <w:tblPrEx>
          <w:tblCellMar>
            <w:top w:w="0" w:type="dxa"/>
            <w:left w:w="0" w:type="dxa"/>
            <w:bottom w:w="0" w:type="dxa"/>
            <w:right w:w="0" w:type="dxa"/>
          </w:tblCellMar>
        </w:tblPrEx>
        <w:trPr>
          <w:trHeight w:val="286" w:hRule="atLeast"/>
        </w:trPr>
        <w:tc>
          <w:tcPr>
            <w:tcW w:w="383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4BD89">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项目负责人：周雪莲</w:t>
            </w:r>
          </w:p>
        </w:tc>
        <w:tc>
          <w:tcPr>
            <w:tcW w:w="4466"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09E8C">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财务负责人：邓长根</w:t>
            </w:r>
          </w:p>
        </w:tc>
        <w:tc>
          <w:tcPr>
            <w:tcW w:w="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7D6D3">
            <w:pPr>
              <w:keepNext w:val="0"/>
              <w:keepLines w:val="0"/>
              <w:widowControl/>
              <w:suppressLineNumbers w:val="0"/>
              <w:jc w:val="left"/>
              <w:textAlignment w:val="center"/>
              <w:rPr>
                <w:rFonts w:hint="eastAsia" w:ascii="黑体" w:hAnsi="黑体" w:eastAsia="黑体" w:cs="黑体"/>
                <w:i w:val="0"/>
                <w:color w:val="000000"/>
                <w:kern w:val="0"/>
                <w:sz w:val="18"/>
                <w:szCs w:val="18"/>
                <w:u w:val="none"/>
                <w:lang w:val="en-US" w:eastAsia="zh-CN" w:bidi="ar"/>
              </w:rPr>
            </w:pPr>
          </w:p>
        </w:tc>
      </w:tr>
    </w:tbl>
    <w:p w14:paraId="48C4191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0D36E9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71EBBF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F8393E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0502C01">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07CB2B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148003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83CA01">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A70BCF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28430C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bookmarkEnd w:id="127"/>
    <w:bookmarkEnd w:id="128"/>
    <w:bookmarkEnd w:id="129"/>
    <w:p w14:paraId="231848BF">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bookmarkStart w:id="130" w:name="_Toc15377226"/>
      <w:bookmarkStart w:id="131" w:name="_Toc13398"/>
      <w:bookmarkStart w:id="132" w:name="_Toc15396618"/>
      <w:bookmarkStart w:id="133" w:name="_Toc10853"/>
      <w:r>
        <w:rPr>
          <w:rFonts w:hint="eastAsia" w:ascii="Times New Roman" w:hAnsi="Times New Roman" w:eastAsia="黑体" w:cs="Times New Roman"/>
          <w:color w:val="auto"/>
          <w:sz w:val="44"/>
          <w:szCs w:val="44"/>
          <w:highlight w:val="none"/>
        </w:rPr>
        <w:t>第</w:t>
      </w:r>
      <w:r>
        <w:rPr>
          <w:rFonts w:hint="eastAsia" w:eastAsia="黑体" w:cs="Times New Roman"/>
          <w:color w:val="auto"/>
          <w:sz w:val="44"/>
          <w:szCs w:val="44"/>
          <w:highlight w:val="none"/>
          <w:lang w:val="en-US" w:eastAsia="zh-CN"/>
        </w:rPr>
        <w:t>五</w:t>
      </w:r>
      <w:r>
        <w:rPr>
          <w:rFonts w:hint="eastAsia" w:ascii="Times New Roman" w:hAnsi="Times New Roman" w:eastAsia="黑体" w:cs="Times New Roman"/>
          <w:color w:val="auto"/>
          <w:sz w:val="44"/>
          <w:szCs w:val="44"/>
          <w:highlight w:val="none"/>
        </w:rPr>
        <w:t>部分 附表</w:t>
      </w:r>
      <w:bookmarkEnd w:id="130"/>
      <w:bookmarkEnd w:id="131"/>
      <w:bookmarkEnd w:id="132"/>
      <w:bookmarkEnd w:id="133"/>
      <w:bookmarkStart w:id="134" w:name="_Toc15396619"/>
    </w:p>
    <w:p w14:paraId="4D47C08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A83FA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35" w:name="_Toc5008"/>
      <w:r>
        <w:rPr>
          <w:rFonts w:hint="eastAsia" w:ascii="Times New Roman" w:hAnsi="Times New Roman" w:eastAsia="黑体"/>
          <w:color w:val="auto"/>
          <w:sz w:val="32"/>
          <w:szCs w:val="32"/>
          <w:highlight w:val="none"/>
          <w:lang w:val="en-US" w:eastAsia="zh-CN"/>
        </w:rPr>
        <w:t>一、收入支出决算总表</w:t>
      </w:r>
      <w:bookmarkEnd w:id="134"/>
      <w:bookmarkEnd w:id="135"/>
    </w:p>
    <w:p w14:paraId="0DCCDE3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36" w:name="_Toc15396620"/>
      <w:bookmarkStart w:id="137" w:name="_Toc25882"/>
      <w:r>
        <w:rPr>
          <w:rFonts w:hint="eastAsia" w:ascii="Times New Roman" w:hAnsi="Times New Roman" w:eastAsia="黑体"/>
          <w:color w:val="auto"/>
          <w:sz w:val="32"/>
          <w:szCs w:val="32"/>
          <w:highlight w:val="none"/>
          <w:lang w:val="en-US" w:eastAsia="zh-CN"/>
        </w:rPr>
        <w:t>二、收入决算表</w:t>
      </w:r>
      <w:bookmarkEnd w:id="136"/>
      <w:bookmarkEnd w:id="137"/>
    </w:p>
    <w:p w14:paraId="438803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38" w:name="_Toc20361"/>
      <w:bookmarkStart w:id="139" w:name="_Toc15396621"/>
      <w:r>
        <w:rPr>
          <w:rFonts w:hint="eastAsia" w:ascii="Times New Roman" w:hAnsi="Times New Roman" w:eastAsia="黑体"/>
          <w:color w:val="auto"/>
          <w:sz w:val="32"/>
          <w:szCs w:val="32"/>
          <w:highlight w:val="none"/>
          <w:lang w:val="en-US" w:eastAsia="zh-CN"/>
        </w:rPr>
        <w:t>三、支出决算表</w:t>
      </w:r>
      <w:bookmarkEnd w:id="138"/>
      <w:bookmarkEnd w:id="139"/>
    </w:p>
    <w:p w14:paraId="04C1CA5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40" w:name="_Toc15396622"/>
      <w:bookmarkStart w:id="141" w:name="_Toc8325"/>
      <w:r>
        <w:rPr>
          <w:rFonts w:hint="eastAsia" w:ascii="Times New Roman" w:hAnsi="Times New Roman" w:eastAsia="黑体"/>
          <w:color w:val="auto"/>
          <w:sz w:val="32"/>
          <w:szCs w:val="32"/>
          <w:highlight w:val="none"/>
          <w:lang w:val="en-US" w:eastAsia="zh-CN"/>
        </w:rPr>
        <w:t>四、财政拨款收入支出决算总表</w:t>
      </w:r>
      <w:bookmarkEnd w:id="140"/>
      <w:bookmarkEnd w:id="141"/>
    </w:p>
    <w:p w14:paraId="77A1C3C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42" w:name="_Toc15396623"/>
      <w:bookmarkStart w:id="143" w:name="_Toc13410"/>
      <w:r>
        <w:rPr>
          <w:rFonts w:hint="eastAsia" w:ascii="Times New Roman" w:hAnsi="Times New Roman" w:eastAsia="黑体"/>
          <w:color w:val="auto"/>
          <w:sz w:val="32"/>
          <w:szCs w:val="32"/>
          <w:highlight w:val="none"/>
          <w:lang w:val="en-US" w:eastAsia="zh-CN"/>
        </w:rPr>
        <w:t>五、财政拨款支出决算明细表</w:t>
      </w:r>
      <w:bookmarkEnd w:id="142"/>
      <w:bookmarkEnd w:id="143"/>
      <w:bookmarkStart w:id="144" w:name="_Toc15396624"/>
    </w:p>
    <w:p w14:paraId="0E754F9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45" w:name="_Toc32071"/>
      <w:r>
        <w:rPr>
          <w:rFonts w:hint="eastAsia" w:ascii="Times New Roman" w:hAnsi="Times New Roman" w:eastAsia="黑体"/>
          <w:color w:val="auto"/>
          <w:sz w:val="32"/>
          <w:szCs w:val="32"/>
          <w:highlight w:val="none"/>
          <w:lang w:val="en-US" w:eastAsia="zh-CN"/>
        </w:rPr>
        <w:t>六、一般公共预算财政拨款支出决算表</w:t>
      </w:r>
      <w:bookmarkEnd w:id="144"/>
      <w:bookmarkEnd w:id="145"/>
    </w:p>
    <w:p w14:paraId="1062115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46" w:name="_Toc15396625"/>
      <w:bookmarkStart w:id="147" w:name="_Toc2646"/>
      <w:r>
        <w:rPr>
          <w:rFonts w:hint="eastAsia" w:ascii="Times New Roman" w:hAnsi="Times New Roman" w:eastAsia="黑体"/>
          <w:color w:val="auto"/>
          <w:sz w:val="32"/>
          <w:szCs w:val="32"/>
          <w:highlight w:val="none"/>
          <w:lang w:val="en-US" w:eastAsia="zh-CN"/>
        </w:rPr>
        <w:t>七、一般公共预算财政拨款支出决算明细表</w:t>
      </w:r>
      <w:bookmarkEnd w:id="146"/>
      <w:bookmarkEnd w:id="147"/>
    </w:p>
    <w:p w14:paraId="4A393E2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48" w:name="_Toc15396626"/>
      <w:bookmarkStart w:id="149" w:name="_Toc3169"/>
      <w:r>
        <w:rPr>
          <w:rFonts w:hint="eastAsia" w:ascii="Times New Roman" w:hAnsi="Times New Roman" w:eastAsia="黑体"/>
          <w:color w:val="auto"/>
          <w:sz w:val="32"/>
          <w:szCs w:val="32"/>
          <w:highlight w:val="none"/>
          <w:lang w:val="en-US" w:eastAsia="zh-CN"/>
        </w:rPr>
        <w:t>八、一般公共预算财政拨款基本支出决算表</w:t>
      </w:r>
      <w:bookmarkEnd w:id="148"/>
      <w:bookmarkEnd w:id="149"/>
    </w:p>
    <w:p w14:paraId="0449C6F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50" w:name="_Toc10570"/>
      <w:bookmarkStart w:id="151" w:name="_Toc15396627"/>
      <w:r>
        <w:rPr>
          <w:rFonts w:hint="eastAsia" w:ascii="Times New Roman" w:hAnsi="Times New Roman" w:eastAsia="黑体"/>
          <w:color w:val="auto"/>
          <w:sz w:val="32"/>
          <w:szCs w:val="32"/>
          <w:highlight w:val="none"/>
          <w:lang w:val="en-US" w:eastAsia="zh-CN"/>
        </w:rPr>
        <w:t>九、一般公共预算财政拨款项目支出决算表</w:t>
      </w:r>
      <w:bookmarkEnd w:id="150"/>
      <w:bookmarkEnd w:id="151"/>
    </w:p>
    <w:p w14:paraId="7A9B453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52" w:name="_Toc15396628"/>
      <w:bookmarkStart w:id="153" w:name="_Toc19813"/>
      <w:r>
        <w:rPr>
          <w:rFonts w:hint="eastAsia" w:ascii="Times New Roman" w:hAnsi="Times New Roman" w:eastAsia="黑体"/>
          <w:color w:val="auto"/>
          <w:sz w:val="32"/>
          <w:szCs w:val="32"/>
          <w:highlight w:val="none"/>
          <w:lang w:val="en-US" w:eastAsia="zh-CN"/>
        </w:rPr>
        <w:t>十、</w:t>
      </w:r>
      <w:bookmarkEnd w:id="152"/>
      <w:r>
        <w:rPr>
          <w:rFonts w:hint="eastAsia" w:ascii="Times New Roman" w:hAnsi="Times New Roman" w:eastAsia="黑体"/>
          <w:color w:val="auto"/>
          <w:sz w:val="32"/>
          <w:szCs w:val="32"/>
          <w:highlight w:val="none"/>
          <w:lang w:val="en-US" w:eastAsia="zh-CN"/>
        </w:rPr>
        <w:t>政府性基金预算财政拨款收入支出决算表</w:t>
      </w:r>
      <w:bookmarkEnd w:id="153"/>
    </w:p>
    <w:p w14:paraId="34DF2EB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54" w:name="_Toc15396629"/>
      <w:bookmarkStart w:id="155" w:name="_Toc1214"/>
      <w:r>
        <w:rPr>
          <w:rFonts w:hint="eastAsia" w:ascii="Times New Roman" w:hAnsi="Times New Roman" w:eastAsia="黑体"/>
          <w:color w:val="auto"/>
          <w:sz w:val="32"/>
          <w:szCs w:val="32"/>
          <w:highlight w:val="none"/>
          <w:lang w:val="en-US" w:eastAsia="zh-CN"/>
        </w:rPr>
        <w:t>十一、</w:t>
      </w:r>
      <w:bookmarkEnd w:id="154"/>
      <w:r>
        <w:rPr>
          <w:rFonts w:hint="eastAsia" w:ascii="Times New Roman" w:hAnsi="Times New Roman" w:eastAsia="黑体"/>
          <w:color w:val="auto"/>
          <w:sz w:val="32"/>
          <w:szCs w:val="32"/>
          <w:highlight w:val="none"/>
          <w:lang w:val="en-US" w:eastAsia="zh-CN"/>
        </w:rPr>
        <w:t>国有资本经营预算财政拨款收入支出决算表</w:t>
      </w:r>
      <w:bookmarkEnd w:id="155"/>
    </w:p>
    <w:p w14:paraId="37C2FB0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56" w:name="_Toc15396630"/>
      <w:bookmarkStart w:id="157" w:name="_Toc30503"/>
      <w:r>
        <w:rPr>
          <w:rFonts w:hint="eastAsia" w:ascii="Times New Roman" w:hAnsi="Times New Roman" w:eastAsia="黑体"/>
          <w:color w:val="auto"/>
          <w:sz w:val="32"/>
          <w:szCs w:val="32"/>
          <w:highlight w:val="none"/>
          <w:lang w:val="en-US" w:eastAsia="zh-CN"/>
        </w:rPr>
        <w:t>十二、</w:t>
      </w:r>
      <w:bookmarkEnd w:id="156"/>
      <w:r>
        <w:rPr>
          <w:rFonts w:hint="eastAsia" w:ascii="Times New Roman" w:hAnsi="Times New Roman" w:eastAsia="黑体"/>
          <w:color w:val="auto"/>
          <w:sz w:val="32"/>
          <w:szCs w:val="32"/>
          <w:highlight w:val="none"/>
          <w:lang w:val="en-US" w:eastAsia="zh-CN"/>
        </w:rPr>
        <w:t>国有资本经营预算财政拨款支出决算表</w:t>
      </w:r>
      <w:bookmarkEnd w:id="157"/>
    </w:p>
    <w:p w14:paraId="531236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158" w:name="_Toc15396631"/>
      <w:bookmarkStart w:id="159" w:name="_Toc3142"/>
      <w:r>
        <w:rPr>
          <w:rFonts w:hint="eastAsia" w:ascii="Times New Roman" w:hAnsi="Times New Roman" w:eastAsia="黑体"/>
          <w:color w:val="auto"/>
          <w:sz w:val="32"/>
          <w:szCs w:val="32"/>
          <w:highlight w:val="none"/>
          <w:lang w:val="en-US" w:eastAsia="zh-CN"/>
        </w:rPr>
        <w:t>十三、</w:t>
      </w:r>
      <w:bookmarkEnd w:id="158"/>
      <w:r>
        <w:rPr>
          <w:rFonts w:hint="eastAsia" w:ascii="Times New Roman" w:hAnsi="Times New Roman" w:eastAsia="黑体"/>
          <w:color w:val="auto"/>
          <w:sz w:val="32"/>
          <w:szCs w:val="32"/>
          <w:highlight w:val="none"/>
          <w:lang w:val="en-US" w:eastAsia="zh-CN"/>
        </w:rPr>
        <w:t>财政拨款“三公”经费支出决算表</w:t>
      </w:r>
      <w:bookmarkEnd w:id="159"/>
    </w:p>
    <w:p w14:paraId="6BD538D3">
      <w:pPr>
        <w:rPr>
          <w:rFonts w:hint="eastAsia" w:ascii="仿宋_GB2312" w:hAnsi="Times New Roman" w:eastAsia="仿宋_GB2312" w:cs="Times New Roman"/>
          <w:color w:val="auto"/>
          <w:kern w:val="2"/>
          <w:sz w:val="32"/>
          <w:szCs w:val="32"/>
          <w:highlight w:val="none"/>
          <w:lang w:val="en-US" w:eastAsia="zh-CN" w:bidi="ar-SA"/>
        </w:rPr>
      </w:pPr>
    </w:p>
    <w:sectPr>
      <w:headerReference r:id="rId6" w:type="default"/>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1673A4-C829-40C7-B6A8-5AEF0AC646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D823ED34-075D-4F18-A47D-3A6A840C5160}"/>
  </w:font>
  <w:font w:name="仿宋">
    <w:panose1 w:val="02010609060101010101"/>
    <w:charset w:val="86"/>
    <w:family w:val="modern"/>
    <w:pitch w:val="default"/>
    <w:sig w:usb0="800002BF" w:usb1="38CF7CFA" w:usb2="00000016" w:usb3="00000000" w:csb0="00040001" w:csb1="00000000"/>
    <w:embedRegular r:id="rId3" w:fontKey="{77AF1353-7E87-471D-B586-946007BFE5CC}"/>
  </w:font>
  <w:font w:name="??">
    <w:altName w:val="FFont-Family"/>
    <w:panose1 w:val="00000000000000000000"/>
    <w:charset w:val="00"/>
    <w:family w:val="roman"/>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0010101010101"/>
    <w:charset w:val="86"/>
    <w:family w:val="script"/>
    <w:pitch w:val="default"/>
    <w:sig w:usb0="00000001" w:usb1="080E0000" w:usb2="00000000" w:usb3="00000000" w:csb0="00040000" w:csb1="00000000"/>
    <w:embedRegular r:id="rId4" w:fontKey="{6A67DD66-38CA-461C-99DD-7C551C2AD8F4}"/>
  </w:font>
  <w:font w:name="楷体_GB2312">
    <w:panose1 w:val="02010609030101010101"/>
    <w:charset w:val="86"/>
    <w:family w:val="auto"/>
    <w:pitch w:val="default"/>
    <w:sig w:usb0="00000001" w:usb1="080E0000" w:usb2="00000000" w:usb3="00000000" w:csb0="00040000" w:csb1="00000000"/>
    <w:embedRegular r:id="rId5" w:fontKey="{7BDDC008-9917-416F-BB02-BBFB1EFF1EA7}"/>
  </w:font>
  <w:font w:name="微软雅黑">
    <w:panose1 w:val="020B0503020204020204"/>
    <w:charset w:val="86"/>
    <w:family w:val="auto"/>
    <w:pitch w:val="default"/>
    <w:sig w:usb0="80000287" w:usb1="2ACF3C50" w:usb2="00000016" w:usb3="00000000" w:csb0="0004001F" w:csb1="00000000"/>
    <w:embedRegular r:id="rId6" w:fontKey="{BF564B7B-C4F7-4E50-B0AE-473B1A389761}"/>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C89D8">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9419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7294196">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3162248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6EC2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D9E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AD9E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9C4F7">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C285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6C285C">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41FCFCE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04D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6ECF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807FC"/>
    <w:multiLevelType w:val="singleLevel"/>
    <w:tmpl w:val="45D807F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A6B66"/>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670EA"/>
    <w:rsid w:val="015975B8"/>
    <w:rsid w:val="01E2462E"/>
    <w:rsid w:val="01F42D45"/>
    <w:rsid w:val="01FB2F91"/>
    <w:rsid w:val="02317B1B"/>
    <w:rsid w:val="025F4662"/>
    <w:rsid w:val="02FEBE30"/>
    <w:rsid w:val="03A8028B"/>
    <w:rsid w:val="049C1B9D"/>
    <w:rsid w:val="055A55B4"/>
    <w:rsid w:val="061E35DE"/>
    <w:rsid w:val="0639341C"/>
    <w:rsid w:val="066E0107"/>
    <w:rsid w:val="0733430F"/>
    <w:rsid w:val="07996F6E"/>
    <w:rsid w:val="07DFD8BA"/>
    <w:rsid w:val="08DB07E4"/>
    <w:rsid w:val="09867E8F"/>
    <w:rsid w:val="0A2032A3"/>
    <w:rsid w:val="0AA277E2"/>
    <w:rsid w:val="0AA51080"/>
    <w:rsid w:val="0AC7549A"/>
    <w:rsid w:val="0AFF69E2"/>
    <w:rsid w:val="0B534F80"/>
    <w:rsid w:val="0B8D0492"/>
    <w:rsid w:val="0C4274CE"/>
    <w:rsid w:val="0C48085D"/>
    <w:rsid w:val="0C6C4794"/>
    <w:rsid w:val="0CA8290A"/>
    <w:rsid w:val="0D2A3ABE"/>
    <w:rsid w:val="0D35B1ED"/>
    <w:rsid w:val="0DE07E2B"/>
    <w:rsid w:val="0F0F11BE"/>
    <w:rsid w:val="0F98263C"/>
    <w:rsid w:val="101860EC"/>
    <w:rsid w:val="10945E1E"/>
    <w:rsid w:val="10C055FF"/>
    <w:rsid w:val="10CB7366"/>
    <w:rsid w:val="11772AA4"/>
    <w:rsid w:val="118107EC"/>
    <w:rsid w:val="12A10CC7"/>
    <w:rsid w:val="13054DB2"/>
    <w:rsid w:val="13D50BC4"/>
    <w:rsid w:val="14022904"/>
    <w:rsid w:val="141F6347"/>
    <w:rsid w:val="14D013EF"/>
    <w:rsid w:val="152F2A07"/>
    <w:rsid w:val="165E0673"/>
    <w:rsid w:val="16BB723D"/>
    <w:rsid w:val="16CA07EC"/>
    <w:rsid w:val="17143815"/>
    <w:rsid w:val="186504BB"/>
    <w:rsid w:val="1938089F"/>
    <w:rsid w:val="19A445FC"/>
    <w:rsid w:val="1B7D550C"/>
    <w:rsid w:val="1BE8440E"/>
    <w:rsid w:val="1C9D605B"/>
    <w:rsid w:val="1D155CEE"/>
    <w:rsid w:val="1D4E37F9"/>
    <w:rsid w:val="1DA022A7"/>
    <w:rsid w:val="1E740ACF"/>
    <w:rsid w:val="1E9B0CC0"/>
    <w:rsid w:val="1FF35744"/>
    <w:rsid w:val="1FF6BC77"/>
    <w:rsid w:val="21962A9E"/>
    <w:rsid w:val="21AE7C77"/>
    <w:rsid w:val="22BC3C41"/>
    <w:rsid w:val="23860B96"/>
    <w:rsid w:val="23DA1943"/>
    <w:rsid w:val="240371BF"/>
    <w:rsid w:val="260F557C"/>
    <w:rsid w:val="270C62B7"/>
    <w:rsid w:val="279D33B3"/>
    <w:rsid w:val="27D172E0"/>
    <w:rsid w:val="281408E2"/>
    <w:rsid w:val="28BC5ABB"/>
    <w:rsid w:val="29FD04D3"/>
    <w:rsid w:val="2A297180"/>
    <w:rsid w:val="2A391AB9"/>
    <w:rsid w:val="2BFF7BC6"/>
    <w:rsid w:val="2C8A61B5"/>
    <w:rsid w:val="2D2E01CF"/>
    <w:rsid w:val="2DA37249"/>
    <w:rsid w:val="2DF04E50"/>
    <w:rsid w:val="2E935510"/>
    <w:rsid w:val="2E9545B0"/>
    <w:rsid w:val="2F040D46"/>
    <w:rsid w:val="2FAE5751"/>
    <w:rsid w:val="2FB1A395"/>
    <w:rsid w:val="2FD9A7D8"/>
    <w:rsid w:val="302C3E38"/>
    <w:rsid w:val="318D26EA"/>
    <w:rsid w:val="319F7F4E"/>
    <w:rsid w:val="321B2544"/>
    <w:rsid w:val="322748ED"/>
    <w:rsid w:val="32904240"/>
    <w:rsid w:val="3304709D"/>
    <w:rsid w:val="34281836"/>
    <w:rsid w:val="349D6851"/>
    <w:rsid w:val="356814A4"/>
    <w:rsid w:val="35BA6CAF"/>
    <w:rsid w:val="35F20D6E"/>
    <w:rsid w:val="36214A01"/>
    <w:rsid w:val="364D14C1"/>
    <w:rsid w:val="36962041"/>
    <w:rsid w:val="36AA5135"/>
    <w:rsid w:val="36BE0DA7"/>
    <w:rsid w:val="376B6AA6"/>
    <w:rsid w:val="376D39B2"/>
    <w:rsid w:val="37E16F03"/>
    <w:rsid w:val="37F53A3B"/>
    <w:rsid w:val="38795776"/>
    <w:rsid w:val="389B6C89"/>
    <w:rsid w:val="38CA4224"/>
    <w:rsid w:val="38D469F0"/>
    <w:rsid w:val="392576AC"/>
    <w:rsid w:val="39627CCD"/>
    <w:rsid w:val="397BAF1F"/>
    <w:rsid w:val="3A045513"/>
    <w:rsid w:val="3AB79AF3"/>
    <w:rsid w:val="3AC54CA3"/>
    <w:rsid w:val="3AD4138A"/>
    <w:rsid w:val="3B0532F1"/>
    <w:rsid w:val="3B7EF35A"/>
    <w:rsid w:val="3B9FDB6C"/>
    <w:rsid w:val="3BD139AC"/>
    <w:rsid w:val="3BF5BC2F"/>
    <w:rsid w:val="3CEBA265"/>
    <w:rsid w:val="3D7A6218"/>
    <w:rsid w:val="3D98207C"/>
    <w:rsid w:val="3D9B0D99"/>
    <w:rsid w:val="3DEE7CF3"/>
    <w:rsid w:val="3DF02244"/>
    <w:rsid w:val="3E78745D"/>
    <w:rsid w:val="3FC574F3"/>
    <w:rsid w:val="3FF4CAE0"/>
    <w:rsid w:val="3FF7B227"/>
    <w:rsid w:val="40302BBE"/>
    <w:rsid w:val="404843AC"/>
    <w:rsid w:val="40E54C45"/>
    <w:rsid w:val="41287D39"/>
    <w:rsid w:val="42497F67"/>
    <w:rsid w:val="435412BA"/>
    <w:rsid w:val="43A407DF"/>
    <w:rsid w:val="44515BEA"/>
    <w:rsid w:val="44957494"/>
    <w:rsid w:val="44E268DA"/>
    <w:rsid w:val="453F7E5B"/>
    <w:rsid w:val="4662784A"/>
    <w:rsid w:val="470D3C59"/>
    <w:rsid w:val="4734568A"/>
    <w:rsid w:val="47EF7803"/>
    <w:rsid w:val="47FC538A"/>
    <w:rsid w:val="486A6C7A"/>
    <w:rsid w:val="49137521"/>
    <w:rsid w:val="49176D9B"/>
    <w:rsid w:val="4A627F82"/>
    <w:rsid w:val="4B0E749A"/>
    <w:rsid w:val="4B4F25DA"/>
    <w:rsid w:val="4BDA0CFB"/>
    <w:rsid w:val="4BE068DB"/>
    <w:rsid w:val="4D3C0CCC"/>
    <w:rsid w:val="4D577224"/>
    <w:rsid w:val="4DBF1CEB"/>
    <w:rsid w:val="4DEB6377"/>
    <w:rsid w:val="4EAB630A"/>
    <w:rsid w:val="4EC512BE"/>
    <w:rsid w:val="4ECE2238"/>
    <w:rsid w:val="4F833267"/>
    <w:rsid w:val="4FE9BD67"/>
    <w:rsid w:val="4FFB052F"/>
    <w:rsid w:val="52691F60"/>
    <w:rsid w:val="529214B7"/>
    <w:rsid w:val="53083A92"/>
    <w:rsid w:val="537E6D0A"/>
    <w:rsid w:val="53AF27A2"/>
    <w:rsid w:val="53C71634"/>
    <w:rsid w:val="53F74C96"/>
    <w:rsid w:val="54302D35"/>
    <w:rsid w:val="56E47B74"/>
    <w:rsid w:val="57BD3DD4"/>
    <w:rsid w:val="58DF2F7C"/>
    <w:rsid w:val="599D70BF"/>
    <w:rsid w:val="5AF92295"/>
    <w:rsid w:val="5BDD79E6"/>
    <w:rsid w:val="5BF561CA"/>
    <w:rsid w:val="5BFF5DFC"/>
    <w:rsid w:val="5CD71FC4"/>
    <w:rsid w:val="5D1F11B5"/>
    <w:rsid w:val="5DAE1B18"/>
    <w:rsid w:val="5DE7D9E5"/>
    <w:rsid w:val="5EB6652D"/>
    <w:rsid w:val="5ECEC941"/>
    <w:rsid w:val="5F0674B4"/>
    <w:rsid w:val="5F2D1C89"/>
    <w:rsid w:val="5F493CB7"/>
    <w:rsid w:val="5FBF7966"/>
    <w:rsid w:val="5FBF9FF3"/>
    <w:rsid w:val="5FCD4E2C"/>
    <w:rsid w:val="5FD15F49"/>
    <w:rsid w:val="5FE1582B"/>
    <w:rsid w:val="5FEF394A"/>
    <w:rsid w:val="5FF67715"/>
    <w:rsid w:val="60AC7BE7"/>
    <w:rsid w:val="60F90953"/>
    <w:rsid w:val="618648DC"/>
    <w:rsid w:val="62073B31"/>
    <w:rsid w:val="62447812"/>
    <w:rsid w:val="62BF3928"/>
    <w:rsid w:val="62EA49F7"/>
    <w:rsid w:val="647F5392"/>
    <w:rsid w:val="65CF30DA"/>
    <w:rsid w:val="664B1D71"/>
    <w:rsid w:val="6692162D"/>
    <w:rsid w:val="67AA3209"/>
    <w:rsid w:val="681C4F0D"/>
    <w:rsid w:val="69046D0F"/>
    <w:rsid w:val="698D0931"/>
    <w:rsid w:val="6A993CED"/>
    <w:rsid w:val="6B053271"/>
    <w:rsid w:val="6BB12556"/>
    <w:rsid w:val="6BCE6674"/>
    <w:rsid w:val="6C4A05C8"/>
    <w:rsid w:val="6C8742B8"/>
    <w:rsid w:val="6C8A170F"/>
    <w:rsid w:val="6C9F4AA4"/>
    <w:rsid w:val="6CB54609"/>
    <w:rsid w:val="6CF7043C"/>
    <w:rsid w:val="6DBF5E93"/>
    <w:rsid w:val="6DE85FD7"/>
    <w:rsid w:val="6DFF077E"/>
    <w:rsid w:val="6E7E3605"/>
    <w:rsid w:val="6E7FDCC7"/>
    <w:rsid w:val="6ED6A62E"/>
    <w:rsid w:val="6EE00B15"/>
    <w:rsid w:val="6EF235B1"/>
    <w:rsid w:val="6F544B20"/>
    <w:rsid w:val="6F6FB3EB"/>
    <w:rsid w:val="6F784160"/>
    <w:rsid w:val="6F8731EA"/>
    <w:rsid w:val="6FC34F4E"/>
    <w:rsid w:val="6FCE6052"/>
    <w:rsid w:val="6FD57C00"/>
    <w:rsid w:val="6FEFFFD8"/>
    <w:rsid w:val="6FF5CC65"/>
    <w:rsid w:val="6FFB47EC"/>
    <w:rsid w:val="6FFF034A"/>
    <w:rsid w:val="70496804"/>
    <w:rsid w:val="712A28F1"/>
    <w:rsid w:val="71526589"/>
    <w:rsid w:val="715C0E4B"/>
    <w:rsid w:val="72233669"/>
    <w:rsid w:val="72734D90"/>
    <w:rsid w:val="7332FE48"/>
    <w:rsid w:val="73AB61DA"/>
    <w:rsid w:val="73AD73D5"/>
    <w:rsid w:val="73B6EB34"/>
    <w:rsid w:val="73FA497D"/>
    <w:rsid w:val="744731E5"/>
    <w:rsid w:val="74527205"/>
    <w:rsid w:val="74BBD01D"/>
    <w:rsid w:val="74ED5379"/>
    <w:rsid w:val="74FC2395"/>
    <w:rsid w:val="753C37D8"/>
    <w:rsid w:val="75DEEEC2"/>
    <w:rsid w:val="75EF25F8"/>
    <w:rsid w:val="76E3355F"/>
    <w:rsid w:val="76FF5125"/>
    <w:rsid w:val="776F6FFA"/>
    <w:rsid w:val="778769C8"/>
    <w:rsid w:val="77DC22F5"/>
    <w:rsid w:val="77E24FE5"/>
    <w:rsid w:val="78801C2E"/>
    <w:rsid w:val="78A51694"/>
    <w:rsid w:val="79086DAD"/>
    <w:rsid w:val="79974F09"/>
    <w:rsid w:val="79D7FD79"/>
    <w:rsid w:val="79EE5BA4"/>
    <w:rsid w:val="7A894339"/>
    <w:rsid w:val="7AFF7572"/>
    <w:rsid w:val="7B6C7DFB"/>
    <w:rsid w:val="7BBFBED0"/>
    <w:rsid w:val="7BC3E394"/>
    <w:rsid w:val="7C1F3737"/>
    <w:rsid w:val="7CBFC87B"/>
    <w:rsid w:val="7CFE0F48"/>
    <w:rsid w:val="7D1F7C67"/>
    <w:rsid w:val="7D7EC23E"/>
    <w:rsid w:val="7D916348"/>
    <w:rsid w:val="7DD6409E"/>
    <w:rsid w:val="7DF51F37"/>
    <w:rsid w:val="7E8ADEBF"/>
    <w:rsid w:val="7EEF11D3"/>
    <w:rsid w:val="7EEF3E6A"/>
    <w:rsid w:val="7F0971A6"/>
    <w:rsid w:val="7F3F679B"/>
    <w:rsid w:val="7F4FC4EF"/>
    <w:rsid w:val="7F5E4D54"/>
    <w:rsid w:val="7F6E0135"/>
    <w:rsid w:val="7F8F2756"/>
    <w:rsid w:val="7F9B10FB"/>
    <w:rsid w:val="7FA30C79"/>
    <w:rsid w:val="7FAC50B6"/>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6D7426"/>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able of figures"/>
    <w:basedOn w:val="1"/>
    <w:next w:val="1"/>
    <w:qFormat/>
    <w:uiPriority w:val="0"/>
    <w:pPr>
      <w:ind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 w:type="character" w:customStyle="1" w:styleId="38">
    <w:name w:val="font161"/>
    <w:basedOn w:val="17"/>
    <w:qFormat/>
    <w:uiPriority w:val="0"/>
    <w:rPr>
      <w:rFonts w:hint="default" w:ascii="Arial" w:hAnsi="Arial" w:cs="Arial"/>
      <w:color w:val="000000"/>
      <w:sz w:val="18"/>
      <w:szCs w:val="18"/>
      <w:u w:val="none"/>
    </w:rPr>
  </w:style>
  <w:style w:type="character" w:customStyle="1" w:styleId="39">
    <w:name w:val="font41"/>
    <w:basedOn w:val="17"/>
    <w:qFormat/>
    <w:uiPriority w:val="0"/>
    <w:rPr>
      <w:rFonts w:hint="eastAsia" w:ascii="仿宋_GB2312" w:eastAsia="仿宋_GB2312" w:cs="仿宋_GB2312"/>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26700;&#38754;&#21247;&#21024;\2025&#24180;&#20915;&#31639;&#20844;&#24320;\&#20915;&#31639;&#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26700;&#38754;&#21247;&#21024;\2025&#24180;&#20915;&#31639;&#20844;&#24320;\&#20915;&#31639;&#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26700;&#38754;&#21247;&#21024;\2025&#24180;&#20915;&#31639;&#20844;&#24320;\&#20915;&#31639;&#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6700;&#38754;&#21247;&#21024;\2025&#24180;&#20915;&#31639;&#20844;&#24320;\&#20915;&#31639;&#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6700;&#38754;&#21247;&#21024;\2025&#24180;&#20915;&#31639;&#20844;&#24320;\&#20915;&#31639;&#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6700;&#38754;&#21247;&#21024;\2025&#24180;&#20915;&#31639;&#20844;&#24320;\&#20915;&#31639;&#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29992;&#25143;&#30446;&#24405;\Desktop\&#20915;&#31639;&#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收入、支出决算总计变动情况图</a:t>
            </a:r>
          </a:p>
        </c:rich>
      </c:tx>
      <c:layout>
        <c:manualLayout>
          <c:xMode val="edge"/>
          <c:yMode val="edge"/>
          <c:x val="0.241980321484153"/>
          <c:y val="0.0347222222222222"/>
        </c:manualLayout>
      </c:layout>
      <c:overlay val="0"/>
      <c:spPr>
        <a:noFill/>
        <a:ln>
          <a:noFill/>
        </a:ln>
        <a:effectLst/>
      </c:spPr>
    </c:title>
    <c:autoTitleDeleted val="0"/>
    <c:plotArea>
      <c:layout/>
      <c:barChart>
        <c:barDir val="col"/>
        <c:grouping val="clustered"/>
        <c:varyColors val="0"/>
        <c:ser>
          <c:idx val="0"/>
          <c:order val="0"/>
          <c:tx>
            <c:strRef>
              <c:f>[决算图表.xlsx]Sheet1!$A$79</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[决算图表.xlsx]Sheet1!$B$77:$C$78</c:f>
              <c:multiLvlStrCache>
                <c:ptCount val="2"/>
                <c:lvl>
                  <c:pt idx="0">
                    <c:v>2024</c:v>
                  </c:pt>
                  <c:pt idx="1">
                    <c:v>2025</c:v>
                  </c:pt>
                </c:lvl>
                <c:lvl/>
              </c:multiLvlStrCache>
            </c:multiLvlStrRef>
          </c:cat>
          <c:val>
            <c:numRef>
              <c:f>[决算图表.xlsx]Sheet1!$B$79:$C$79</c:f>
              <c:numCache>
                <c:formatCode>General</c:formatCode>
                <c:ptCount val="2"/>
                <c:pt idx="0">
                  <c:v>908.4</c:v>
                </c:pt>
                <c:pt idx="1" c:formatCode="#,##0.00">
                  <c:v>933.34</c:v>
                </c:pt>
              </c:numCache>
            </c:numRef>
          </c:val>
        </c:ser>
        <c:ser>
          <c:idx val="1"/>
          <c:order val="1"/>
          <c:tx>
            <c:strRef>
              <c:f>[决算图表.xlsx]Sheet1!$A$80</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[决算图表.xlsx]Sheet1!$B$77:$C$78</c:f>
              <c:multiLvlStrCache>
                <c:ptCount val="2"/>
                <c:lvl>
                  <c:pt idx="0">
                    <c:v>2024</c:v>
                  </c:pt>
                  <c:pt idx="1">
                    <c:v>2025</c:v>
                  </c:pt>
                </c:lvl>
                <c:lvl/>
              </c:multiLvlStrCache>
            </c:multiLvlStrRef>
          </c:cat>
          <c:val>
            <c:numRef>
              <c:f>[决算图表.xlsx]Sheet1!$B$80:$C$80</c:f>
              <c:numCache>
                <c:formatCode>General</c:formatCode>
                <c:ptCount val="2"/>
                <c:pt idx="0">
                  <c:v>908.4</c:v>
                </c:pt>
                <c:pt idx="1" c:formatCode="#,##0.00">
                  <c:v>933.34</c:v>
                </c:pt>
              </c:numCache>
            </c:numRef>
          </c:val>
        </c:ser>
        <c:dLbls>
          <c:showLegendKey val="0"/>
          <c:showVal val="1"/>
          <c:showCatName val="0"/>
          <c:showSerName val="0"/>
          <c:showPercent val="0"/>
          <c:showBubbleSize val="0"/>
        </c:dLbls>
        <c:gapWidth val="246"/>
        <c:overlap val="-28"/>
        <c:axId val="442978941"/>
        <c:axId val="313891353"/>
      </c:barChart>
      <c:catAx>
        <c:axId val="4429789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891353"/>
        <c:crosses val="autoZero"/>
        <c:auto val="1"/>
        <c:lblAlgn val="ctr"/>
        <c:lblOffset val="100"/>
        <c:noMultiLvlLbl val="0"/>
      </c:catAx>
      <c:valAx>
        <c:axId val="313891353"/>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78941"/>
        <c:crosses val="autoZero"/>
        <c:crossBetween val="between"/>
      </c:valAx>
      <c:spPr>
        <a:noFill/>
        <a:ln>
          <a:noFill/>
        </a:ln>
        <a:effectLst/>
      </c:spPr>
    </c:plotArea>
    <c:legend>
      <c:legendPos val="b"/>
      <c:layout>
        <c:manualLayout>
          <c:xMode val="edge"/>
          <c:yMode val="edge"/>
          <c:x val="0.897881300171075"/>
          <c:y val="0.405092592592593"/>
          <c:w val="0.0809317015396763"/>
          <c:h val="0.2465277777777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556a67-c0eb-4538-8242-83792405eda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Lbl>
              <c:idx val="2"/>
              <c:delete val="1"/>
            </c:dLbl>
            <c:dLbl>
              <c:idx val="3"/>
              <c:delete val="1"/>
            </c:dLbl>
            <c:dLbl>
              <c:idx val="4"/>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[决算图表.xlsx]Sheet1!$A$23:$A$31</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[决算图表.xlsx]Sheet1!$B$23:$B$31</c:f>
              <c:numCache>
                <c:formatCode>General</c:formatCode>
                <c:ptCount val="9"/>
                <c:pt idx="1">
                  <c:v>933.34</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65263157894737"/>
          <c:y val="0.14085648148148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704b805-0077-4dac-a922-4f69c64872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1"/>
              <c:layout>
                <c:manualLayout>
                  <c:x val="-0.0215019181149534"/>
                  <c:y val="-0.087104740788145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93.14</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6.85</a:t>
                    </a:r>
                    <a:r>
                      <a:t>%</a:t>
                    </a:r>
                  </a:p>
                </c:rich>
              </c:tx>
              <c:dLblPos val="inEnd"/>
              <c:showLegendKey val="0"/>
              <c:showVal val="1"/>
              <c:showCatName val="0"/>
              <c:showSerName val="0"/>
              <c:showPercent val="1"/>
              <c:showBubbleSize val="0"/>
              <c:extLst>
                <c:ext xmlns:c15="http://schemas.microsoft.com/office/drawing/2012/chart" uri="{CE6537A1-D6FC-4f65-9D91-7224C49458BB}"/>
              </c:extLst>
            </c:dLbl>
            <c:dLbl>
              <c:idx val="3"/>
              <c:layout/>
              <c:dLblPos val="inEnd"/>
              <c:showLegendKey val="0"/>
              <c:showVal val="0"/>
              <c:showCatName val="0"/>
              <c:showSerName val="0"/>
              <c:showPercent val="1"/>
              <c:showBubbleSize val="0"/>
              <c:extLst>
                <c:ext xmlns:c15="http://schemas.microsoft.com/office/drawing/2012/chart" uri="{CE6537A1-D6FC-4f65-9D91-7224C49458BB}"/>
              </c:extLst>
            </c:dLbl>
            <c:dLbl>
              <c:idx val="4"/>
              <c:layout/>
              <c:dLblPos val="inEnd"/>
              <c:showLegendKey val="0"/>
              <c:showVal val="0"/>
              <c:showCatName val="0"/>
              <c:showSerName val="0"/>
              <c:showPercent val="1"/>
              <c:showBubbleSize val="0"/>
              <c:extLst>
                <c:ext xmlns:c15="http://schemas.microsoft.com/office/drawing/2012/chart" uri="{CE6537A1-D6FC-4f65-9D91-7224C49458BB}"/>
              </c:extLst>
            </c:dLbl>
            <c:dLbl>
              <c:idx val="5"/>
              <c:layout/>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[决算图表.xlsx]Sheet1!$A$51:$A$56</c:f>
              <c:strCache>
                <c:ptCount val="6"/>
                <c:pt idx="0">
                  <c:v>支出决算结构图</c:v>
                </c:pt>
                <c:pt idx="1">
                  <c:v>基本支出</c:v>
                </c:pt>
                <c:pt idx="2">
                  <c:v>项目支出</c:v>
                </c:pt>
                <c:pt idx="3">
                  <c:v>上缴上级支出</c:v>
                </c:pt>
                <c:pt idx="4">
                  <c:v>经营支出</c:v>
                </c:pt>
                <c:pt idx="5">
                  <c:v>对附属单位补助支出</c:v>
                </c:pt>
              </c:strCache>
            </c:strRef>
          </c:cat>
          <c:val>
            <c:numRef>
              <c:f>[决算图表.xlsx]Sheet1!$B$51:$B$56</c:f>
              <c:numCache>
                <c:formatCode>General</c:formatCode>
                <c:ptCount val="6"/>
                <c:pt idx="1" c:formatCode="0.00%">
                  <c:v>0.9404</c:v>
                </c:pt>
                <c:pt idx="2" c:formatCode="0.00%">
                  <c:v>0.0596</c:v>
                </c:pt>
                <c:pt idx="3" c:formatCode="0.00%">
                  <c:v>0</c:v>
                </c:pt>
                <c:pt idx="4" c:formatCode="0.00%">
                  <c:v>0</c:v>
                </c:pt>
                <c:pt idx="5" c:formatCode="0.0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99973635644608"/>
          <c:y val="0.272084048027444"/>
          <c:w val="0.268916424993409"/>
          <c:h val="0.6957547169811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2dd2f9e-b551-4e7c-b9fa-c65966b3f1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财政拨款收、支决算总计变动情况</a:t>
            </a:r>
          </a:p>
        </c:rich>
      </c:tx>
      <c:layout>
        <c:manualLayout>
          <c:xMode val="edge"/>
          <c:yMode val="edge"/>
          <c:x val="0.252796062948839"/>
          <c:y val="0.0120240480961924"/>
        </c:manualLayout>
      </c:layout>
      <c:overlay val="0"/>
      <c:spPr>
        <a:noFill/>
        <a:ln>
          <a:noFill/>
        </a:ln>
        <a:effectLst/>
      </c:spPr>
    </c:title>
    <c:autoTitleDeleted val="0"/>
    <c:plotArea>
      <c:layout/>
      <c:barChart>
        <c:barDir val="col"/>
        <c:grouping val="clustered"/>
        <c:varyColors val="0"/>
        <c:ser>
          <c:idx val="0"/>
          <c:order val="0"/>
          <c:tx>
            <c:strRef>
              <c:f>[决算图表.xlsx]Sheet1!$A$79</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[决算图表.xlsx]Sheet1!$B$77:$C$78</c:f>
              <c:multiLvlStrCache>
                <c:ptCount val="2"/>
                <c:lvl>
                  <c:pt idx="0">
                    <c:v>收入</c:v>
                  </c:pt>
                  <c:pt idx="1">
                    <c:v>支出</c:v>
                  </c:pt>
                </c:lvl>
                <c:lvl/>
              </c:multiLvlStrCache>
            </c:multiLvlStrRef>
          </c:cat>
          <c:val>
            <c:numRef>
              <c:f>[决算图表.xlsx]Sheet1!$B$79:$C$79</c:f>
              <c:numCache>
                <c:formatCode>General</c:formatCode>
                <c:ptCount val="2"/>
                <c:pt idx="0">
                  <c:v>908.4</c:v>
                </c:pt>
                <c:pt idx="1" c:formatCode="#,##0.00">
                  <c:v>908.4</c:v>
                </c:pt>
              </c:numCache>
            </c:numRef>
          </c:val>
        </c:ser>
        <c:ser>
          <c:idx val="1"/>
          <c:order val="1"/>
          <c:tx>
            <c:strRef>
              <c:f>[决算图表.xlsx]Sheet1!$A$80</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[决算图表.xlsx]Sheet1!$B$77:$C$78</c:f>
              <c:multiLvlStrCache>
                <c:ptCount val="2"/>
                <c:lvl>
                  <c:pt idx="0">
                    <c:v>收入</c:v>
                  </c:pt>
                  <c:pt idx="1">
                    <c:v>支出</c:v>
                  </c:pt>
                </c:lvl>
                <c:lvl/>
              </c:multiLvlStrCache>
            </c:multiLvlStrRef>
          </c:cat>
          <c:val>
            <c:numRef>
              <c:f>[决算图表.xlsx]Sheet1!$B$80:$C$80</c:f>
              <c:numCache>
                <c:formatCode>General</c:formatCode>
                <c:ptCount val="2"/>
                <c:pt idx="0">
                  <c:v>933.34</c:v>
                </c:pt>
                <c:pt idx="1" c:formatCode="#,##0.00">
                  <c:v>933.34</c:v>
                </c:pt>
              </c:numCache>
            </c:numRef>
          </c:val>
        </c:ser>
        <c:dLbls>
          <c:showLegendKey val="0"/>
          <c:showVal val="1"/>
          <c:showCatName val="0"/>
          <c:showSerName val="0"/>
          <c:showPercent val="0"/>
          <c:showBubbleSize val="0"/>
        </c:dLbls>
        <c:gapWidth val="246"/>
        <c:overlap val="-28"/>
        <c:axId val="442978941"/>
        <c:axId val="313891353"/>
      </c:barChart>
      <c:catAx>
        <c:axId val="4429789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891353"/>
        <c:crosses val="autoZero"/>
        <c:auto val="1"/>
        <c:lblAlgn val="ctr"/>
        <c:lblOffset val="100"/>
        <c:noMultiLvlLbl val="0"/>
      </c:catAx>
      <c:valAx>
        <c:axId val="313891353"/>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78941"/>
        <c:crosses val="autoZero"/>
        <c:crossBetween val="between"/>
      </c:valAx>
      <c:spPr>
        <a:noFill/>
        <a:ln>
          <a:noFill/>
        </a:ln>
        <a:effectLst/>
      </c:spPr>
    </c:plotArea>
    <c:legend>
      <c:legendPos val="b"/>
      <c:layout>
        <c:manualLayout>
          <c:xMode val="edge"/>
          <c:yMode val="edge"/>
          <c:x val="0.897881300171075"/>
          <c:y val="0.405092592592593"/>
          <c:w val="0.0809317015396763"/>
          <c:h val="0.2465277777777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1138a7-2cce-4a49-9a93-83e40d155a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solidFill>
                <a:schemeClr val="bg1"/>
              </a:solidFill>
            </a:ln>
            <a:effectLst/>
          </c:spPr>
          <c:invertIfNegative val="0"/>
          <c:dPt>
            <c:idx val="0"/>
            <c:invertIfNegative val="0"/>
            <c:bubble3D val="0"/>
            <c:spPr>
              <a:solidFill>
                <a:schemeClr val="accent1"/>
              </a:solidFill>
              <a:ln>
                <a:solidFill>
                  <a:schemeClr val="bg1"/>
                </a:solidFill>
              </a:ln>
              <a:effectLst/>
            </c:spPr>
          </c:dPt>
          <c:dPt>
            <c:idx val="1"/>
            <c:invertIfNegative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[决算图表.xlsx]Sheet1!$A$104:$A$105</c:f>
              <c:strCache>
                <c:ptCount val="2"/>
                <c:pt idx="0">
                  <c:v>2024年</c:v>
                </c:pt>
                <c:pt idx="1">
                  <c:v>2025年</c:v>
                </c:pt>
              </c:strCache>
            </c:strRef>
          </c:cat>
          <c:val>
            <c:numRef>
              <c:f>[决算图表.xlsx]Sheet1!$B$104:$B$105</c:f>
              <c:numCache>
                <c:formatCode>General</c:formatCode>
                <c:ptCount val="2"/>
                <c:pt idx="0">
                  <c:v>908.4</c:v>
                </c:pt>
                <c:pt idx="1" c:formatCode="#,##0.00">
                  <c:v>933.34</c:v>
                </c:pt>
              </c:numCache>
            </c:numRef>
          </c:val>
        </c:ser>
        <c:dLbls>
          <c:showLegendKey val="0"/>
          <c:showVal val="1"/>
          <c:showCatName val="0"/>
          <c:showSerName val="0"/>
          <c:showPercent val="0"/>
          <c:showBubbleSize val="0"/>
        </c:dLbls>
        <c:gapWidth val="150"/>
        <c:overlap val="0"/>
        <c:axId val="786590995"/>
        <c:axId val="880926286"/>
      </c:barChart>
      <c:catAx>
        <c:axId val="78659099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926286"/>
        <c:crosses val="autoZero"/>
        <c:auto val="1"/>
        <c:lblAlgn val="ctr"/>
        <c:lblOffset val="100"/>
        <c:noMultiLvlLbl val="0"/>
      </c:catAx>
      <c:valAx>
        <c:axId val="88092628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590995"/>
        <c:crosses val="autoZero"/>
        <c:crossBetween val="between"/>
      </c:valAx>
      <c:spPr>
        <a:noFill/>
        <a:ln>
          <a:noFill/>
        </a:ln>
        <a:effectLst/>
      </c:spPr>
    </c:plotArea>
    <c:legend>
      <c:legendPos val="t"/>
      <c:layout>
        <c:manualLayout>
          <c:xMode val="edge"/>
          <c:yMode val="edge"/>
          <c:x val="0.844584813791288"/>
          <c:y val="0.486111111111111"/>
          <c:w val="0.100671140939597"/>
          <c:h val="0.333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6272a4-5216-4db8-9afb-31ae600a742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[决算图表.xlsx]Sheet2!$A$63:$A$69</c:f>
              <c:strCache>
                <c:ptCount val="7"/>
                <c:pt idx="0">
                  <c:v>社会保障和就业支出</c:v>
                </c:pt>
                <c:pt idx="1">
                  <c:v>卫生健康支出</c:v>
                </c:pt>
                <c:pt idx="2">
                  <c:v>住房保障支出</c:v>
                </c:pt>
                <c:pt idx="3">
                  <c:v>一般公共服务支出</c:v>
                </c:pt>
                <c:pt idx="4">
                  <c:v>教育支出</c:v>
                </c:pt>
                <c:pt idx="5">
                  <c:v>科学技术支出</c:v>
                </c:pt>
                <c:pt idx="6">
                  <c:v>文化旅游体育与传媒支出</c:v>
                </c:pt>
              </c:strCache>
            </c:strRef>
          </c:cat>
          <c:val>
            <c:numRef>
              <c:f>[决算图表.xlsx]Sheet2!$B$63:$B$69</c:f>
              <c:numCache>
                <c:formatCode>0.00%</c:formatCode>
                <c:ptCount val="7"/>
                <c:pt idx="0">
                  <c:v>0.8015</c:v>
                </c:pt>
                <c:pt idx="1">
                  <c:v>0.1289</c:v>
                </c:pt>
                <c:pt idx="2">
                  <c:v>0.0696</c:v>
                </c:pt>
                <c:pt idx="3" c:formatCode="0%">
                  <c:v>0</c:v>
                </c:pt>
                <c:pt idx="4" c:formatCode="0%">
                  <c:v>0</c:v>
                </c:pt>
                <c:pt idx="5" c:formatCode="0%">
                  <c:v>0</c:v>
                </c:pt>
                <c:pt idx="6" c:formatCode="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39cef4-0c7e-437f-9aed-45b6bd7ba2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lang="en-US" altLang="zh-CN"/>
              <a:t>“</a:t>
            </a:r>
            <a:r>
              <a:rPr altLang="en-US"/>
              <a:t>三公</a:t>
            </a:r>
            <a:r>
              <a:rPr lang="en-US" altLang="zh-CN"/>
              <a:t>”</a:t>
            </a:r>
            <a:r>
              <a:rPr altLang="en-US"/>
              <a:t>经费</a:t>
            </a:r>
            <a:endParaRPr altLang="en-US"/>
          </a:p>
        </c:rich>
      </c:tx>
      <c:layout>
        <c:manualLayout>
          <c:xMode val="edge"/>
          <c:yMode val="edge"/>
          <c:x val="0.416184210526316"/>
          <c:y val="0.0659722222222222"/>
        </c:manualLayout>
      </c:layout>
      <c:overlay val="0"/>
      <c:spPr>
        <a:noFill/>
        <a:ln>
          <a:noFill/>
        </a:ln>
        <a:effectLst/>
      </c:spPr>
    </c:title>
    <c:autoTitleDeleted val="0"/>
    <c:plotArea>
      <c:layout>
        <c:manualLayout>
          <c:layoutTarget val="inner"/>
          <c:xMode val="edge"/>
          <c:yMode val="edge"/>
          <c:x val="0.356907894736842"/>
          <c:y val="0.44212962962963"/>
          <c:w val="0.286184210526316"/>
          <c:h val="0.503472222222222"/>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[决算图表.xlsx]Sheet1!$A$127:$A$130</c:f>
              <c:strCache>
                <c:ptCount val="4"/>
                <c:pt idx="0">
                  <c:v>“三公”经费财政拨款支出</c:v>
                </c:pt>
                <c:pt idx="1">
                  <c:v>因公出国（境）费支出</c:v>
                </c:pt>
                <c:pt idx="2">
                  <c:v>公务用车购置及运行维护费支出</c:v>
                </c:pt>
                <c:pt idx="3">
                  <c:v>公务接待费支出</c:v>
                </c:pt>
              </c:strCache>
            </c:strRef>
          </c:cat>
          <c:val>
            <c:numRef>
              <c:f>[决算图表.xlsx]Sheet1!$B$127:$B$130</c:f>
              <c:numCache>
                <c:formatCode>General</c:formatCode>
                <c:ptCount val="4"/>
                <c:pt idx="1">
                  <c:v>0</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625"/>
          <c:y val="0.24537037037037"/>
          <c:w val="0.311842105263158"/>
          <c:h val="0.6666666666666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27ef50-4eea-4b22-8484-a71eb9820c6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19</Words>
  <Characters>22</Characters>
  <Lines>61</Lines>
  <Paragraphs>17</Paragraphs>
  <TotalTime>0</TotalTime>
  <ScaleCrop>false</ScaleCrop>
  <LinksUpToDate>false</LinksUpToDate>
  <CharactersWithSpaces>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奕夕^_^</cp:lastModifiedBy>
  <cp:lastPrinted>2026-08-04T09:27:00Z</cp:lastPrinted>
  <dcterms:modified xsi:type="dcterms:W3CDTF">2026-10-28T03:25:49Z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CCA8ED633F9E435D991FDA37008F5FFF_13</vt:lpwstr>
  </property>
  <property fmtid="{D5CDD505-2E9C-101B-9397-08002B2CF9AE}" pid="4" name="KSOTemplateDocerSaveRecord">
    <vt:lpwstr>eyJoZGlkIjoiNTU1MWNhN2ZmY2ZhZmY3ODhlYTg0MWU5OGMyY2QwZmUiLCJ1c2VySWQiOiI0MzQ2NTM0NzEifQ==</vt:lpwstr>
  </property>
</Properties>
</file>