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B62D1">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bookmarkStart w:id="0" w:name="_Toc15377425"/>
      <w:bookmarkStart w:id="1" w:name="_Toc15396597"/>
      <w:bookmarkStart w:id="2" w:name="_Toc15396475"/>
      <w:bookmarkStart w:id="3" w:name="_Toc15378441"/>
      <w:bookmarkStart w:id="4" w:name="_Toc15306267"/>
      <w:bookmarkStart w:id="5" w:name="_Toc15377193"/>
    </w:p>
    <w:p w14:paraId="179F21C9">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4EC9DB0D">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r>
        <w:rPr>
          <w:rFonts w:hint="eastAsia" w:ascii="方正小标宋简体" w:hAnsi="方正小标宋简体" w:eastAsia="方正小标宋简体" w:cs="方正小标宋简体"/>
          <w:sz w:val="72"/>
          <w:szCs w:val="72"/>
          <w:lang w:val="en-US" w:eastAsia="zh-CN"/>
        </w:rPr>
        <w:t xml:space="preserve"> </w:t>
      </w:r>
    </w:p>
    <w:p w14:paraId="28A924E9">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rPr>
        <w:t>四川省</w:t>
      </w:r>
      <w:r>
        <w:rPr>
          <w:rFonts w:hint="eastAsia" w:ascii="方正小标宋简体" w:hAnsi="方正小标宋简体" w:eastAsia="方正小标宋简体" w:cs="方正小标宋简体"/>
          <w:sz w:val="72"/>
          <w:szCs w:val="72"/>
          <w:lang w:eastAsia="zh-CN"/>
        </w:rPr>
        <w:t>阿坝州松潘县疾病预防控制中心</w:t>
      </w:r>
      <w:r>
        <w:rPr>
          <w:rFonts w:hint="eastAsia" w:ascii="方正小标宋简体" w:hAnsi="方正小标宋简体" w:eastAsia="方正小标宋简体" w:cs="方正小标宋简体"/>
          <w:sz w:val="72"/>
          <w:szCs w:val="72"/>
        </w:rPr>
        <w:t>决算</w:t>
      </w:r>
      <w:r>
        <w:rPr>
          <w:rFonts w:hint="eastAsia" w:ascii="方正小标宋简体" w:hAnsi="方正小标宋简体" w:eastAsia="方正小标宋简体" w:cs="方正小标宋简体"/>
          <w:sz w:val="72"/>
          <w:szCs w:val="72"/>
          <w:lang w:eastAsia="zh-CN"/>
        </w:rPr>
        <w:t>公开</w:t>
      </w:r>
    </w:p>
    <w:p w14:paraId="46F0323D">
      <w:pPr>
        <w:spacing w:line="600" w:lineRule="exact"/>
        <w:jc w:val="center"/>
        <w:outlineLvl w:val="0"/>
        <w:rPr>
          <w:rFonts w:ascii="Times New Roman" w:hAnsi="Times New Roman" w:eastAsia="方正小标宋简体"/>
          <w:color w:val="auto"/>
          <w:sz w:val="72"/>
          <w:szCs w:val="72"/>
          <w:highlight w:val="none"/>
        </w:rPr>
      </w:pPr>
    </w:p>
    <w:p w14:paraId="5D644622">
      <w:pPr>
        <w:pStyle w:val="21"/>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66B66979">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81A864D">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0E43DC16">
      <w:pPr>
        <w:rPr>
          <w:rFonts w:ascii="Times New Roman" w:hAnsi="Times New Roman"/>
          <w:color w:val="auto"/>
          <w:highlight w:val="none"/>
        </w:rPr>
      </w:pPr>
    </w:p>
    <w:p w14:paraId="5E6F13D2">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42E8AB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2B17D2B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7938EEF0">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5D92CC4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2052B83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37898FA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25BCD44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6BFBDD5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2EE9E6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3C39BD9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3D0BFCA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7F5D0A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059C091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4078041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5F81DFBE">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668D9206">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176B96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C5E12F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7731DE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5EFB61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3A508D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6B9A73C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FBF16D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71A7EE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2E52107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1F6299B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C68043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3450851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312FBD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CFCF2E8">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57A5DAAE">
      <w:pPr>
        <w:pStyle w:val="5"/>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14:paraId="599633BB">
      <w:pPr>
        <w:widowControl/>
        <w:jc w:val="left"/>
        <w:rPr>
          <w:rFonts w:ascii="Times New Roman" w:hAnsi="Times New Roman" w:eastAsia="黑体"/>
          <w:color w:val="auto"/>
          <w:sz w:val="32"/>
          <w:szCs w:val="32"/>
          <w:highlight w:val="none"/>
        </w:rPr>
      </w:pPr>
    </w:p>
    <w:p w14:paraId="27A00D56">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7CE0ADDD">
      <w:pPr>
        <w:numPr>
          <w:ilvl w:val="0"/>
          <w:numId w:val="2"/>
        </w:numPr>
        <w:rPr>
          <w:rFonts w:ascii="仿宋" w:hAnsi="仿宋" w:eastAsia="仿宋"/>
          <w:color w:val="000000"/>
          <w:sz w:val="32"/>
          <w:szCs w:val="32"/>
        </w:rPr>
      </w:pPr>
      <w:r>
        <w:rPr>
          <w:rFonts w:ascii="仿宋" w:hAnsi="仿宋" w:eastAsia="仿宋"/>
          <w:b/>
          <w:bCs/>
          <w:color w:val="000000"/>
          <w:sz w:val="32"/>
          <w:szCs w:val="32"/>
        </w:rPr>
        <w:t>主要职能。</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b/>
          <w:bCs/>
          <w:color w:val="000000"/>
          <w:sz w:val="32"/>
          <w:szCs w:val="32"/>
          <w:lang w:val="en-US" w:eastAsia="zh-CN"/>
        </w:rPr>
        <w:t xml:space="preserve"> 1.</w:t>
      </w:r>
      <w:r>
        <w:rPr>
          <w:rFonts w:ascii="仿宋" w:hAnsi="仿宋" w:eastAsia="仿宋"/>
          <w:color w:val="000000"/>
          <w:sz w:val="32"/>
          <w:szCs w:val="32"/>
        </w:rPr>
        <w:t>拟定和指导实施全县急慢性传染病、慢性非传染性疾病、 职业病、地方病等疾病的预防控制规划、计划、实施方案、工作规范、 标准、防制对策与技术措施。并对实施情况进行质量控制和效果评估。</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ascii="仿宋" w:hAnsi="仿宋" w:eastAsia="仿宋"/>
          <w:b/>
          <w:bCs/>
          <w:color w:val="000000"/>
          <w:sz w:val="32"/>
          <w:szCs w:val="32"/>
        </w:rPr>
        <w:t>2.</w:t>
      </w:r>
      <w:r>
        <w:rPr>
          <w:rFonts w:ascii="仿宋" w:hAnsi="仿宋" w:eastAsia="仿宋"/>
          <w:color w:val="000000"/>
          <w:sz w:val="32"/>
          <w:szCs w:val="32"/>
        </w:rPr>
        <w:t xml:space="preserve">建立突发公共卫生事件应急处理运行机制，指导和参与调查处理全县发生的重大传染病疫情、新发传染病、群体性不明原因疾病等突发公共卫生事件。 </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b/>
          <w:bCs/>
          <w:color w:val="000000"/>
          <w:sz w:val="32"/>
          <w:szCs w:val="32"/>
          <w:lang w:val="en-US" w:eastAsia="zh-CN"/>
        </w:rPr>
        <w:t xml:space="preserve"> </w:t>
      </w:r>
      <w:r>
        <w:rPr>
          <w:rFonts w:ascii="仿宋" w:hAnsi="仿宋" w:eastAsia="仿宋"/>
          <w:b/>
          <w:bCs/>
          <w:color w:val="000000"/>
          <w:sz w:val="32"/>
          <w:szCs w:val="32"/>
        </w:rPr>
        <w:t>3.</w:t>
      </w:r>
      <w:r>
        <w:rPr>
          <w:rFonts w:ascii="仿宋" w:hAnsi="仿宋" w:eastAsia="仿宋"/>
          <w:color w:val="000000"/>
          <w:sz w:val="32"/>
          <w:szCs w:val="32"/>
        </w:rPr>
        <w:t>开展对影响人群生存环境卫生质量及生命质量的危险因素和食品、职业、环境、放射、学校卫生等卫生学监测</w:t>
      </w:r>
      <w:r>
        <w:rPr>
          <w:rFonts w:hint="eastAsia" w:ascii="仿宋" w:hAnsi="仿宋" w:eastAsia="仿宋"/>
          <w:color w:val="000000"/>
          <w:sz w:val="32"/>
          <w:szCs w:val="32"/>
          <w:lang w:eastAsia="zh-CN"/>
        </w:rPr>
        <w:t>、</w:t>
      </w:r>
      <w:r>
        <w:rPr>
          <w:rFonts w:ascii="仿宋" w:hAnsi="仿宋" w:eastAsia="仿宋"/>
          <w:color w:val="000000"/>
          <w:sz w:val="32"/>
          <w:szCs w:val="32"/>
        </w:rPr>
        <w:t>组织开展健康危害因素干预。</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ascii="仿宋" w:hAnsi="仿宋" w:eastAsia="仿宋"/>
          <w:b/>
          <w:bCs/>
          <w:color w:val="000000"/>
          <w:sz w:val="32"/>
          <w:szCs w:val="32"/>
        </w:rPr>
        <w:t>4.</w:t>
      </w:r>
      <w:r>
        <w:rPr>
          <w:rFonts w:ascii="仿宋" w:hAnsi="仿宋" w:eastAsia="仿宋"/>
          <w:color w:val="000000"/>
          <w:sz w:val="32"/>
          <w:szCs w:val="32"/>
        </w:rPr>
        <w:t>对全县急慢性传染病、地方病、寄生虫病、慢性非传染性疾病、职业病、公害病、学生常见病及意外伤害等发生、分布和发展的规律进行流行病学监测、分析和预测、预报。</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ascii="仿宋" w:hAnsi="仿宋" w:eastAsia="仿宋"/>
          <w:b/>
          <w:bCs/>
          <w:color w:val="000000"/>
          <w:sz w:val="32"/>
          <w:szCs w:val="32"/>
        </w:rPr>
        <w:t>5.</w:t>
      </w:r>
      <w:r>
        <w:rPr>
          <w:rFonts w:ascii="仿宋" w:hAnsi="仿宋" w:eastAsia="仿宋"/>
          <w:color w:val="000000"/>
          <w:sz w:val="32"/>
          <w:szCs w:val="32"/>
        </w:rPr>
        <w:t>组织开展全县免疫和规划免疫预防接种工作，负责免疫预防的技术指导、效果监测与评价，预防用生物制品的计划、订购、供应及冷链系统的监测与使用管理。</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ascii="仿宋" w:hAnsi="仿宋" w:eastAsia="仿宋"/>
          <w:b/>
          <w:bCs/>
          <w:color w:val="000000"/>
          <w:sz w:val="32"/>
          <w:szCs w:val="32"/>
        </w:rPr>
        <w:t>6.</w:t>
      </w:r>
      <w:r>
        <w:rPr>
          <w:rFonts w:ascii="仿宋" w:hAnsi="仿宋" w:eastAsia="仿宋"/>
          <w:color w:val="000000"/>
          <w:sz w:val="32"/>
          <w:szCs w:val="32"/>
        </w:rPr>
        <w:t>拟</w:t>
      </w:r>
      <w:bookmarkStart w:id="60" w:name="_GoBack"/>
      <w:bookmarkEnd w:id="60"/>
      <w:r>
        <w:rPr>
          <w:rFonts w:ascii="仿宋" w:hAnsi="仿宋" w:eastAsia="仿宋"/>
          <w:color w:val="000000"/>
          <w:sz w:val="32"/>
          <w:szCs w:val="32"/>
        </w:rPr>
        <w:t>定健康教育工作规划、计划与实施方案，开展健康教育和健康促进工作。</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ascii="仿宋" w:hAnsi="仿宋" w:eastAsia="仿宋"/>
          <w:b/>
          <w:bCs/>
          <w:color w:val="000000"/>
          <w:sz w:val="32"/>
          <w:szCs w:val="32"/>
        </w:rPr>
        <w:t>7.</w:t>
      </w:r>
      <w:r>
        <w:rPr>
          <w:rFonts w:ascii="仿宋" w:hAnsi="仿宋" w:eastAsia="仿宋"/>
          <w:color w:val="000000"/>
          <w:sz w:val="32"/>
          <w:szCs w:val="32"/>
        </w:rPr>
        <w:t xml:space="preserve">拟定全县消毒杀虫工作规划、计划和技术措施，组织开展病原媒介生物和消毒杀虫工作效果监测与评价。 </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b/>
          <w:bCs/>
          <w:color w:val="000000"/>
          <w:sz w:val="32"/>
          <w:szCs w:val="32"/>
          <w:lang w:val="en-US" w:eastAsia="zh-CN"/>
        </w:rPr>
        <w:t>8.</w:t>
      </w:r>
      <w:r>
        <w:rPr>
          <w:rFonts w:ascii="仿宋" w:hAnsi="仿宋" w:eastAsia="仿宋"/>
          <w:color w:val="000000"/>
          <w:sz w:val="32"/>
          <w:szCs w:val="32"/>
        </w:rPr>
        <w:t xml:space="preserve">负责全县传染病疫情等突发公共卫生事件及有关公共卫生信息的收集、分析、报告、管理工作。 </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ascii="仿宋" w:hAnsi="仿宋" w:eastAsia="仿宋"/>
          <w:b/>
          <w:bCs/>
          <w:color w:val="000000"/>
          <w:sz w:val="32"/>
          <w:szCs w:val="32"/>
        </w:rPr>
        <w:t>9.</w:t>
      </w:r>
      <w:r>
        <w:rPr>
          <w:rFonts w:ascii="仿宋" w:hAnsi="仿宋" w:eastAsia="仿宋"/>
          <w:color w:val="000000"/>
          <w:sz w:val="32"/>
          <w:szCs w:val="32"/>
        </w:rPr>
        <w:t>承担卫生监测检验、预防性健康检查、健康相关产品卫生质量检验、鉴定工作；负责对新建、改建、扩建建设项目的选址、设计和竣工验收的卫生学评价工作。</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ascii="仿宋" w:hAnsi="仿宋" w:eastAsia="仿宋"/>
          <w:b/>
          <w:bCs/>
          <w:color w:val="000000"/>
          <w:sz w:val="32"/>
          <w:szCs w:val="32"/>
        </w:rPr>
        <w:t>10.</w:t>
      </w:r>
      <w:r>
        <w:rPr>
          <w:rFonts w:ascii="仿宋" w:hAnsi="仿宋" w:eastAsia="仿宋"/>
          <w:color w:val="000000"/>
          <w:sz w:val="32"/>
          <w:szCs w:val="32"/>
        </w:rPr>
        <w:t xml:space="preserve">向社会提供相关的预防保健信息、健康咨询和预防医学诊疗等专业技术服务。 </w:t>
      </w:r>
      <w:r>
        <w:rPr>
          <w:rFonts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ascii="仿宋" w:hAnsi="仿宋" w:eastAsia="仿宋"/>
          <w:b/>
          <w:bCs/>
          <w:color w:val="000000"/>
          <w:sz w:val="32"/>
          <w:szCs w:val="32"/>
        </w:rPr>
        <w:t>11.</w:t>
      </w:r>
      <w:r>
        <w:rPr>
          <w:rFonts w:ascii="仿宋" w:hAnsi="仿宋" w:eastAsia="仿宋"/>
          <w:color w:val="000000"/>
          <w:sz w:val="32"/>
          <w:szCs w:val="32"/>
        </w:rPr>
        <w:t>负责全县疾病预防控制业务人员的技术培训、进修和业务指导；承担上级卫生行政和业务部门交办的</w:t>
      </w:r>
      <w:r>
        <w:rPr>
          <w:rFonts w:hint="eastAsia" w:ascii="仿宋" w:hAnsi="仿宋" w:eastAsia="仿宋"/>
          <w:color w:val="000000"/>
          <w:sz w:val="32"/>
          <w:szCs w:val="32"/>
          <w:lang w:eastAsia="zh-CN"/>
        </w:rPr>
        <w:t>其他</w:t>
      </w:r>
      <w:r>
        <w:rPr>
          <w:rFonts w:ascii="仿宋" w:hAnsi="仿宋" w:eastAsia="仿宋"/>
          <w:color w:val="000000"/>
          <w:sz w:val="32"/>
          <w:szCs w:val="32"/>
        </w:rPr>
        <w:t>事宜。</w:t>
      </w:r>
    </w:p>
    <w:p w14:paraId="195AE229">
      <w:pPr>
        <w:pStyle w:val="6"/>
        <w:numPr>
          <w:ilvl w:val="0"/>
          <w:numId w:val="0"/>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二、机构设置</w:t>
      </w:r>
    </w:p>
    <w:p w14:paraId="121C15AE">
      <w:pPr>
        <w:ind w:firstLine="800" w:firstLineChars="250"/>
        <w:rPr>
          <w:rFonts w:hint="eastAsia"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松潘县疾病预防控制中心</w:t>
      </w:r>
      <w:r>
        <w:rPr>
          <w:rFonts w:hint="eastAsia" w:ascii="Times New Roman" w:hAnsi="Times New Roman" w:eastAsia="仿宋_GB2312" w:cs="仿宋_GB2312"/>
          <w:color w:val="auto"/>
          <w:sz w:val="32"/>
          <w:szCs w:val="32"/>
          <w:highlight w:val="none"/>
        </w:rPr>
        <w:t>属</w:t>
      </w:r>
      <w:r>
        <w:rPr>
          <w:rFonts w:hint="eastAsia" w:eastAsia="仿宋_GB2312" w:cs="仿宋_GB2312"/>
          <w:color w:val="auto"/>
          <w:sz w:val="32"/>
          <w:szCs w:val="32"/>
          <w:highlight w:val="none"/>
          <w:lang w:eastAsia="zh-CN"/>
        </w:rPr>
        <w:t>松潘县卫生健康局</w:t>
      </w:r>
      <w:r>
        <w:rPr>
          <w:rFonts w:hint="eastAsia" w:ascii="Times New Roman" w:hAnsi="Times New Roman" w:eastAsia="仿宋_GB2312" w:cs="仿宋_GB2312"/>
          <w:color w:val="auto"/>
          <w:sz w:val="32"/>
          <w:szCs w:val="32"/>
          <w:highlight w:val="none"/>
        </w:rPr>
        <w:t>二级</w:t>
      </w:r>
      <w:r>
        <w:rPr>
          <w:rFonts w:hint="eastAsia" w:ascii="Times New Roman" w:hAnsi="Times New Roman" w:eastAsia="仿宋_GB2312" w:cs="仿宋_GB2312"/>
          <w:color w:val="auto"/>
          <w:sz w:val="32"/>
          <w:szCs w:val="32"/>
          <w:highlight w:val="none"/>
          <w:lang w:eastAsia="zh-CN"/>
        </w:rPr>
        <w:t>预算</w:t>
      </w:r>
      <w:r>
        <w:rPr>
          <w:rFonts w:hint="eastAsia" w:eastAsia="仿宋_GB2312" w:cs="仿宋_GB2312"/>
          <w:color w:val="auto"/>
          <w:sz w:val="32"/>
          <w:szCs w:val="32"/>
          <w:highlight w:val="none"/>
          <w:lang w:eastAsia="zh-CN"/>
        </w:rPr>
        <w:t>事业</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eastAsia="zh-CN"/>
        </w:rPr>
        <w:t>。</w:t>
      </w:r>
    </w:p>
    <w:p w14:paraId="4C19DCD9">
      <w:pPr>
        <w:pStyle w:val="3"/>
        <w:ind w:left="0" w:leftChars="0" w:firstLine="640" w:firstLineChars="200"/>
        <w:rPr>
          <w:rFonts w:hint="default" w:ascii="Times New Roman" w:hAnsi="Times New Roman" w:eastAsia="仿宋_GB2312" w:cs="Times New Roman"/>
          <w:sz w:val="32"/>
          <w:szCs w:val="36"/>
          <w:lang w:val="en-US" w:eastAsia="zh-CN"/>
        </w:rPr>
      </w:pPr>
      <w:r>
        <w:rPr>
          <w:rFonts w:hint="eastAsia" w:ascii="Times New Roman" w:hAnsi="Times New Roman" w:eastAsia="仿宋_GB2312" w:cs="Times New Roman"/>
          <w:sz w:val="32"/>
          <w:szCs w:val="36"/>
          <w:lang w:val="en-US" w:eastAsia="zh-CN"/>
        </w:rPr>
        <w:t>结合工作实际，共设置4个行政后勤科室，分别为中心党支部办公室、中心办公室、财务科、信息安全管理科；9个业务科室，分别为地方病防治与重传科、传染病管理科、卫生应急办公室、检验科、免疫规划科、质控科、健康教育科、卫生科、慢性非传染性疾病预防控制科。</w:t>
      </w:r>
    </w:p>
    <w:p w14:paraId="039B91A6">
      <w:pPr>
        <w:rPr>
          <w:rFonts w:hint="default" w:ascii="Times New Roman" w:hAnsi="Times New Roman" w:eastAsia="仿宋_GB2312" w:cs="Times New Roman"/>
          <w:kern w:val="2"/>
          <w:sz w:val="32"/>
          <w:szCs w:val="36"/>
          <w:lang w:val="en-US" w:eastAsia="zh-CN" w:bidi="ar-SA"/>
        </w:rPr>
      </w:pPr>
      <w:r>
        <w:rPr>
          <w:rFonts w:hint="eastAsia" w:ascii="Times New Roman" w:hAnsi="Times New Roman" w:eastAsia="仿宋_GB2312" w:cs="Times New Roman"/>
          <w:sz w:val="32"/>
          <w:szCs w:val="36"/>
          <w:lang w:val="en-US" w:eastAsia="zh-CN"/>
        </w:rPr>
        <w:t xml:space="preserve">   </w:t>
      </w:r>
      <w:r>
        <w:rPr>
          <w:rFonts w:hint="eastAsia" w:ascii="Times New Roman" w:hAnsi="Times New Roman" w:eastAsia="仿宋_GB2312" w:cs="Times New Roman"/>
          <w:b/>
          <w:bCs/>
          <w:sz w:val="32"/>
          <w:szCs w:val="36"/>
          <w:lang w:val="en-US" w:eastAsia="zh-CN"/>
        </w:rPr>
        <w:t xml:space="preserve"> 中心党支部办公室：</w:t>
      </w:r>
      <w:r>
        <w:rPr>
          <w:rFonts w:hint="eastAsia" w:ascii="Times New Roman" w:hAnsi="Times New Roman" w:eastAsia="仿宋_GB2312" w:cs="Times New Roman"/>
          <w:kern w:val="2"/>
          <w:sz w:val="32"/>
          <w:szCs w:val="36"/>
          <w:lang w:val="en-US" w:eastAsia="zh-CN" w:bidi="ar-SA"/>
        </w:rPr>
        <w:t>负责管理教育党员、监督党员和组织群众、宣传群众、凝聚群众、服务群众的职责。</w:t>
      </w:r>
      <w:r>
        <w:rPr>
          <w:rFonts w:hint="eastAsia" w:ascii="仿宋_GB2312" w:hAnsi="ˎ̥" w:eastAsia="仿宋_GB2312"/>
          <w:color w:val="000000"/>
          <w:sz w:val="32"/>
          <w:szCs w:val="32"/>
        </w:rPr>
        <w:t>负责起草党建工作计划、</w:t>
      </w:r>
      <w:r>
        <w:rPr>
          <w:rFonts w:hint="eastAsia" w:ascii="仿宋_GB2312" w:hAnsi="ˎ̥" w:eastAsia="仿宋_GB2312"/>
          <w:color w:val="000000"/>
          <w:sz w:val="32"/>
          <w:szCs w:val="32"/>
          <w:lang w:val="en-US" w:eastAsia="zh-CN"/>
        </w:rPr>
        <w:t>方案、</w:t>
      </w:r>
      <w:r>
        <w:rPr>
          <w:rFonts w:hint="eastAsia" w:ascii="仿宋_GB2312" w:hAnsi="ˎ̥" w:eastAsia="仿宋_GB2312"/>
          <w:color w:val="000000"/>
          <w:sz w:val="32"/>
          <w:szCs w:val="32"/>
        </w:rPr>
        <w:t>总结</w:t>
      </w:r>
      <w:r>
        <w:rPr>
          <w:rFonts w:hint="eastAsia" w:ascii="仿宋_GB2312" w:hAnsi="ˎ̥" w:eastAsia="仿宋_GB2312"/>
          <w:color w:val="000000"/>
          <w:sz w:val="32"/>
          <w:szCs w:val="32"/>
          <w:lang w:eastAsia="zh-CN"/>
        </w:rPr>
        <w:t>；</w:t>
      </w:r>
      <w:r>
        <w:rPr>
          <w:rFonts w:hint="eastAsia" w:ascii="仿宋_GB2312" w:hAnsi="ˎ̥" w:eastAsia="仿宋_GB2312"/>
          <w:color w:val="000000"/>
          <w:sz w:val="32"/>
          <w:szCs w:val="32"/>
        </w:rPr>
        <w:t>负责召开党建例会，落实会议通知、材料准备等工作</w:t>
      </w:r>
      <w:r>
        <w:rPr>
          <w:rFonts w:hint="eastAsia" w:ascii="仿宋_GB2312" w:hAnsi="ˎ̥" w:eastAsia="仿宋_GB2312"/>
          <w:color w:val="000000"/>
          <w:sz w:val="32"/>
          <w:szCs w:val="32"/>
          <w:lang w:eastAsia="zh-CN"/>
        </w:rPr>
        <w:t>；</w:t>
      </w:r>
      <w:r>
        <w:rPr>
          <w:rFonts w:hint="eastAsia" w:ascii="仿宋_GB2312" w:hAnsi="ˎ̥" w:eastAsia="仿宋_GB2312"/>
          <w:color w:val="000000"/>
          <w:sz w:val="32"/>
          <w:szCs w:val="32"/>
          <w:lang w:val="en-US" w:eastAsia="zh-CN"/>
        </w:rPr>
        <w:t>负责“联户联情”等群众工作。</w:t>
      </w:r>
    </w:p>
    <w:p w14:paraId="64847F9B">
      <w:pPr>
        <w:ind w:firstLine="707" w:firstLineChars="220"/>
        <w:rPr>
          <w:rFonts w:hint="eastAsia" w:ascii="仿宋_GB2312" w:hAnsi="ˎ̥" w:eastAsia="仿宋_GB2312"/>
          <w:color w:val="000000"/>
          <w:sz w:val="32"/>
          <w:szCs w:val="32"/>
        </w:rPr>
      </w:pPr>
      <w:r>
        <w:rPr>
          <w:rFonts w:hint="eastAsia" w:ascii="仿宋_GB2312" w:hAnsi="ˎ̥" w:eastAsia="仿宋_GB2312"/>
          <w:b/>
          <w:bCs/>
          <w:color w:val="000000"/>
          <w:sz w:val="32"/>
          <w:szCs w:val="32"/>
          <w:lang w:val="en-US" w:eastAsia="zh-CN"/>
        </w:rPr>
        <w:t>中心</w:t>
      </w:r>
      <w:r>
        <w:rPr>
          <w:rFonts w:hint="eastAsia" w:ascii="仿宋_GB2312" w:hAnsi="ˎ̥" w:eastAsia="仿宋_GB2312"/>
          <w:b/>
          <w:bCs/>
          <w:color w:val="000000"/>
          <w:sz w:val="32"/>
          <w:szCs w:val="32"/>
        </w:rPr>
        <w:t>办公室：</w:t>
      </w:r>
      <w:r>
        <w:rPr>
          <w:rFonts w:hint="eastAsia" w:ascii="仿宋_GB2312" w:hAnsi="ˎ̥" w:eastAsia="仿宋_GB2312"/>
          <w:color w:val="000000"/>
          <w:sz w:val="32"/>
          <w:szCs w:val="32"/>
        </w:rPr>
        <w:t>负责收集、整理、归纳中心工作计划、总结，起草和处理综合性来往文书，审核各科室起草的发文，以及打印文件；负责制定各项工作规范和规章制度并组织督查；协助中心主任召开中心政务会及其他综合性会议，负责会议记录与纪要整理，督促检查会议和决议的贯彻落实情况；</w:t>
      </w:r>
      <w:r>
        <w:rPr>
          <w:rFonts w:hint="eastAsia" w:ascii="仿宋_GB2312" w:hAnsi="ˎ̥" w:eastAsia="仿宋_GB2312"/>
          <w:color w:val="000000"/>
          <w:sz w:val="32"/>
          <w:szCs w:val="32"/>
          <w:lang w:val="en-US" w:eastAsia="zh-CN"/>
        </w:rPr>
        <w:t>管理</w:t>
      </w:r>
      <w:r>
        <w:rPr>
          <w:rFonts w:hint="eastAsia" w:ascii="仿宋_GB2312" w:hAnsi="ˎ̥" w:eastAsia="仿宋_GB2312"/>
          <w:color w:val="000000"/>
          <w:sz w:val="32"/>
          <w:szCs w:val="32"/>
        </w:rPr>
        <w:t>中心公章等印鉴</w:t>
      </w:r>
      <w:r>
        <w:rPr>
          <w:rFonts w:hint="eastAsia" w:ascii="仿宋_GB2312" w:hAnsi="ˎ̥" w:eastAsia="仿宋_GB2312"/>
          <w:color w:val="000000"/>
          <w:sz w:val="32"/>
          <w:szCs w:val="32"/>
          <w:lang w:eastAsia="zh-CN"/>
        </w:rPr>
        <w:t>；</w:t>
      </w:r>
      <w:r>
        <w:rPr>
          <w:rFonts w:hint="eastAsia" w:ascii="仿宋_GB2312" w:hAnsi="ˎ̥" w:eastAsia="仿宋_GB2312"/>
          <w:color w:val="000000"/>
          <w:sz w:val="32"/>
          <w:szCs w:val="32"/>
          <w:lang w:val="en-US" w:eastAsia="zh-CN"/>
        </w:rPr>
        <w:t>统筹开展安全生产、普法、爱国卫生等其他非业务工作</w:t>
      </w:r>
      <w:r>
        <w:rPr>
          <w:rFonts w:hint="eastAsia" w:ascii="仿宋_GB2312" w:hAnsi="ˎ̥" w:eastAsia="仿宋_GB2312"/>
          <w:color w:val="000000"/>
          <w:sz w:val="32"/>
          <w:szCs w:val="32"/>
        </w:rPr>
        <w:t>。</w:t>
      </w:r>
    </w:p>
    <w:p w14:paraId="223483E8">
      <w:pPr>
        <w:ind w:firstLine="643" w:firstLineChars="200"/>
        <w:rPr>
          <w:rFonts w:hint="eastAsia" w:ascii="仿宋_GB2312" w:hAnsi="ˎ̥" w:eastAsia="仿宋_GB2312"/>
          <w:color w:val="000000"/>
          <w:sz w:val="32"/>
          <w:szCs w:val="32"/>
        </w:rPr>
      </w:pPr>
      <w:r>
        <w:rPr>
          <w:rFonts w:hint="eastAsia" w:ascii="Times New Roman" w:hAnsi="Times New Roman" w:eastAsia="仿宋_GB2312" w:cs="Times New Roman"/>
          <w:b/>
          <w:bCs/>
          <w:sz w:val="32"/>
          <w:szCs w:val="36"/>
          <w:lang w:val="en-US" w:eastAsia="zh-CN"/>
        </w:rPr>
        <w:t>财务科：</w:t>
      </w:r>
      <w:r>
        <w:rPr>
          <w:rFonts w:hint="eastAsia" w:ascii="仿宋_GB2312" w:hAnsi="ˎ̥" w:eastAsia="仿宋_GB2312"/>
          <w:color w:val="000000"/>
          <w:sz w:val="32"/>
          <w:szCs w:val="32"/>
        </w:rPr>
        <w:t>负责中心财务</w:t>
      </w:r>
      <w:r>
        <w:rPr>
          <w:rFonts w:hint="eastAsia" w:ascii="仿宋_GB2312" w:hAnsi="ˎ̥" w:eastAsia="仿宋_GB2312"/>
          <w:color w:val="000000"/>
          <w:sz w:val="32"/>
          <w:szCs w:val="32"/>
          <w:lang w:val="en-US" w:eastAsia="zh-CN"/>
        </w:rPr>
        <w:t>往来</w:t>
      </w:r>
      <w:r>
        <w:rPr>
          <w:rFonts w:hint="eastAsia" w:ascii="仿宋_GB2312" w:hAnsi="ˎ̥" w:eastAsia="仿宋_GB2312"/>
          <w:color w:val="000000"/>
          <w:sz w:val="32"/>
          <w:szCs w:val="32"/>
        </w:rPr>
        <w:t>、</w:t>
      </w:r>
      <w:r>
        <w:rPr>
          <w:rFonts w:hint="eastAsia" w:ascii="仿宋_GB2312" w:hAnsi="ˎ̥" w:eastAsia="仿宋_GB2312"/>
          <w:color w:val="000000"/>
          <w:sz w:val="32"/>
          <w:szCs w:val="32"/>
          <w:lang w:val="en-US" w:eastAsia="zh-CN"/>
        </w:rPr>
        <w:t>资产</w:t>
      </w:r>
      <w:r>
        <w:rPr>
          <w:rFonts w:hint="eastAsia" w:ascii="仿宋_GB2312" w:hAnsi="ˎ̥" w:eastAsia="仿宋_GB2312"/>
          <w:color w:val="000000"/>
          <w:sz w:val="32"/>
          <w:szCs w:val="32"/>
        </w:rPr>
        <w:t>统计工作，执行《</w:t>
      </w:r>
      <w:r>
        <w:rPr>
          <w:rFonts w:hint="eastAsia" w:ascii="仿宋_GB2312" w:hAnsi="ˎ̥" w:eastAsia="仿宋_GB2312"/>
          <w:color w:val="000000"/>
          <w:sz w:val="32"/>
          <w:szCs w:val="32"/>
          <w:lang w:eastAsia="zh-CN"/>
        </w:rPr>
        <w:t>中华人民共和国会计法</w:t>
      </w:r>
      <w:r>
        <w:rPr>
          <w:rFonts w:hint="eastAsia" w:ascii="仿宋_GB2312" w:hAnsi="ˎ̥" w:eastAsia="仿宋_GB2312"/>
          <w:color w:val="000000"/>
          <w:sz w:val="32"/>
          <w:szCs w:val="32"/>
        </w:rPr>
        <w:t>》以及国家、省市有关财经政策法规和中心财务管理制度等。</w:t>
      </w:r>
    </w:p>
    <w:p w14:paraId="2EF6DFB2">
      <w:pPr>
        <w:pStyle w:val="3"/>
        <w:ind w:left="0" w:leftChars="0" w:firstLine="0" w:firstLineChars="0"/>
        <w:rPr>
          <w:rFonts w:hint="default" w:ascii="Times New Roman" w:hAnsi="Times New Roman" w:eastAsia="仿宋_GB2312" w:cs="Times New Roman"/>
          <w:sz w:val="32"/>
          <w:szCs w:val="36"/>
          <w:lang w:val="en-US" w:eastAsia="zh-CN"/>
        </w:rPr>
      </w:pPr>
      <w:r>
        <w:rPr>
          <w:rFonts w:hint="eastAsia" w:ascii="Times New Roman" w:hAnsi="Times New Roman" w:eastAsia="仿宋_GB2312" w:cs="Times New Roman"/>
          <w:sz w:val="32"/>
          <w:szCs w:val="36"/>
          <w:lang w:val="en-US" w:eastAsia="zh-CN"/>
        </w:rPr>
        <w:t xml:space="preserve">    </w:t>
      </w:r>
      <w:r>
        <w:rPr>
          <w:rFonts w:hint="eastAsia" w:ascii="Times New Roman" w:hAnsi="Times New Roman" w:eastAsia="仿宋_GB2312" w:cs="Times New Roman"/>
          <w:b/>
          <w:bCs/>
          <w:sz w:val="32"/>
          <w:szCs w:val="36"/>
          <w:lang w:val="en-US" w:eastAsia="zh-CN"/>
        </w:rPr>
        <w:t>信息安全管理科：</w:t>
      </w:r>
      <w:r>
        <w:rPr>
          <w:rFonts w:hint="eastAsia" w:ascii="Times New Roman" w:hAnsi="Times New Roman" w:eastAsia="仿宋_GB2312" w:cs="Times New Roman"/>
          <w:sz w:val="32"/>
          <w:szCs w:val="36"/>
          <w:lang w:val="en-US" w:eastAsia="zh-CN"/>
        </w:rPr>
        <w:t>负责中心信息安全管理体系建设及规划；信息安全风险的排查、预防、处置，并制定信息安全应急预案，开展应急演练；安全设备的运维；人员的信息安全宣传教育等信息安全管理工作。</w:t>
      </w:r>
    </w:p>
    <w:p w14:paraId="3B9CDE46">
      <w:pPr>
        <w:ind w:firstLine="707" w:firstLineChars="220"/>
        <w:rPr>
          <w:rFonts w:hint="eastAsia" w:ascii="仿宋_GB2312" w:hAnsi="ˎ̥" w:eastAsia="仿宋_GB2312"/>
          <w:color w:val="000000"/>
          <w:sz w:val="32"/>
          <w:szCs w:val="32"/>
        </w:rPr>
      </w:pPr>
      <w:r>
        <w:rPr>
          <w:rFonts w:hint="eastAsia" w:ascii="仿宋_GB2312" w:hAnsi="ˎ̥" w:eastAsia="仿宋_GB2312"/>
          <w:b/>
          <w:bCs/>
          <w:color w:val="000000"/>
          <w:sz w:val="32"/>
          <w:szCs w:val="32"/>
        </w:rPr>
        <w:t>地方病防治与重传科：</w:t>
      </w:r>
      <w:r>
        <w:rPr>
          <w:rFonts w:hint="eastAsia" w:ascii="仿宋_GB2312" w:hAnsi="ˎ̥" w:eastAsia="仿宋_GB2312"/>
          <w:color w:val="000000"/>
          <w:sz w:val="32"/>
          <w:szCs w:val="32"/>
        </w:rPr>
        <w:t>负责全县寄生虫病、地方病</w:t>
      </w:r>
      <w:r>
        <w:rPr>
          <w:rFonts w:hint="eastAsia" w:ascii="仿宋_GB2312" w:hAnsi="ˎ̥" w:eastAsia="仿宋_GB2312"/>
          <w:color w:val="000000"/>
          <w:sz w:val="32"/>
          <w:szCs w:val="32"/>
          <w:lang w:eastAsia="zh-CN"/>
        </w:rPr>
        <w:t>（</w:t>
      </w:r>
      <w:r>
        <w:rPr>
          <w:rFonts w:hint="eastAsia" w:ascii="仿宋_GB2312" w:hAnsi="ˎ̥" w:eastAsia="仿宋_GB2312"/>
          <w:color w:val="000000"/>
          <w:sz w:val="32"/>
          <w:szCs w:val="32"/>
          <w:lang w:val="en-US" w:eastAsia="zh-CN"/>
        </w:rPr>
        <w:t>地氟病、大骨节病、碘缺乏病</w:t>
      </w:r>
      <w:r>
        <w:rPr>
          <w:rFonts w:hint="eastAsia" w:ascii="仿宋_GB2312" w:hAnsi="ˎ̥" w:eastAsia="仿宋_GB2312"/>
          <w:color w:val="000000"/>
          <w:sz w:val="32"/>
          <w:szCs w:val="32"/>
          <w:lang w:eastAsia="zh-CN"/>
        </w:rPr>
        <w:t>）</w:t>
      </w:r>
      <w:r>
        <w:rPr>
          <w:rFonts w:hint="eastAsia" w:ascii="仿宋_GB2312" w:hAnsi="ˎ̥" w:eastAsia="仿宋_GB2312"/>
          <w:color w:val="000000"/>
          <w:sz w:val="32"/>
          <w:szCs w:val="32"/>
        </w:rPr>
        <w:t>和重点传染病（艾滋病、结核病</w:t>
      </w:r>
      <w:r>
        <w:rPr>
          <w:rFonts w:hint="eastAsia" w:ascii="仿宋_GB2312" w:hAnsi="ˎ̥" w:eastAsia="仿宋_GB2312"/>
          <w:color w:val="000000"/>
          <w:sz w:val="32"/>
          <w:szCs w:val="32"/>
          <w:lang w:eastAsia="zh-CN"/>
        </w:rPr>
        <w:t>、棘球蚴病</w:t>
      </w:r>
      <w:r>
        <w:rPr>
          <w:rFonts w:hint="eastAsia" w:ascii="仿宋_GB2312" w:hAnsi="ˎ̥" w:eastAsia="仿宋_GB2312"/>
          <w:color w:val="000000"/>
          <w:sz w:val="32"/>
          <w:szCs w:val="32"/>
        </w:rPr>
        <w:t>）流行病学调查和防控，掌握人群感染情况、发病情况及流行规律，</w:t>
      </w:r>
      <w:r>
        <w:rPr>
          <w:rFonts w:hint="eastAsia" w:ascii="仿宋_GB2312" w:hAnsi="ˎ̥" w:eastAsia="仿宋_GB2312"/>
          <w:color w:val="000000"/>
          <w:sz w:val="32"/>
          <w:szCs w:val="32"/>
          <w:lang w:val="en-US" w:eastAsia="zh-CN"/>
        </w:rPr>
        <w:t>制定</w:t>
      </w:r>
      <w:r>
        <w:rPr>
          <w:rFonts w:hint="eastAsia" w:ascii="仿宋_GB2312" w:hAnsi="ˎ̥" w:eastAsia="仿宋_GB2312"/>
          <w:color w:val="000000"/>
          <w:sz w:val="32"/>
          <w:szCs w:val="32"/>
        </w:rPr>
        <w:t>预防与控制策略，提出预防控制的具体方案和措施。组织对寄生虫病、地方病和重点传染病预防控制方案实施进行质量跟踪和效果评估。</w:t>
      </w:r>
    </w:p>
    <w:p w14:paraId="754711B4">
      <w:pPr>
        <w:ind w:firstLine="482" w:firstLineChars="150"/>
        <w:rPr>
          <w:rFonts w:hint="eastAsia" w:ascii="仿宋_GB2312" w:hAnsi="ˎ̥" w:eastAsia="仿宋_GB2312"/>
          <w:color w:val="000000"/>
          <w:sz w:val="32"/>
          <w:szCs w:val="32"/>
        </w:rPr>
      </w:pPr>
      <w:r>
        <w:rPr>
          <w:rFonts w:hint="eastAsia" w:ascii="Times New Roman" w:hAnsi="Times New Roman" w:eastAsia="仿宋_GB2312" w:cs="Times New Roman"/>
          <w:b/>
          <w:bCs/>
          <w:sz w:val="32"/>
          <w:szCs w:val="36"/>
          <w:lang w:val="en-US" w:eastAsia="zh-CN"/>
        </w:rPr>
        <w:t xml:space="preserve"> 传染病管理科（卫生应急办公室）：</w:t>
      </w:r>
      <w:r>
        <w:rPr>
          <w:rFonts w:hint="eastAsia" w:ascii="仿宋_GB2312" w:hAnsi="ˎ̥" w:eastAsia="仿宋_GB2312"/>
          <w:color w:val="000000"/>
          <w:sz w:val="32"/>
          <w:szCs w:val="32"/>
        </w:rPr>
        <w:t>承担法定传染病防控，及其传播、致病因素的监测</w:t>
      </w:r>
      <w:r>
        <w:rPr>
          <w:rFonts w:hint="eastAsia" w:ascii="仿宋_GB2312" w:hAnsi="ˎ̥" w:eastAsia="仿宋_GB2312"/>
          <w:color w:val="000000"/>
          <w:sz w:val="32"/>
          <w:szCs w:val="32"/>
          <w:lang w:val="en-US" w:eastAsia="zh-CN"/>
        </w:rPr>
        <w:t>预警</w:t>
      </w:r>
      <w:r>
        <w:rPr>
          <w:rFonts w:hint="eastAsia" w:ascii="仿宋_GB2312" w:hAnsi="ˎ̥" w:eastAsia="仿宋_GB2312"/>
          <w:color w:val="000000"/>
          <w:sz w:val="32"/>
          <w:szCs w:val="32"/>
        </w:rPr>
        <w:t>、公共卫生</w:t>
      </w:r>
      <w:r>
        <w:rPr>
          <w:rFonts w:hint="eastAsia" w:ascii="仿宋_GB2312" w:hAnsi="ˎ̥" w:eastAsia="仿宋_GB2312"/>
          <w:color w:val="000000"/>
          <w:sz w:val="32"/>
          <w:szCs w:val="32"/>
          <w:lang w:val="en-US" w:eastAsia="zh-CN"/>
        </w:rPr>
        <w:t>事件</w:t>
      </w:r>
      <w:r>
        <w:rPr>
          <w:rFonts w:hint="eastAsia" w:ascii="仿宋_GB2312" w:hAnsi="ˎ̥" w:eastAsia="仿宋_GB2312"/>
          <w:color w:val="000000"/>
          <w:sz w:val="32"/>
          <w:szCs w:val="32"/>
        </w:rPr>
        <w:t>相关工作的质量控制和效果评价</w:t>
      </w:r>
      <w:r>
        <w:rPr>
          <w:rFonts w:hint="eastAsia" w:ascii="仿宋_GB2312" w:hAnsi="ˎ̥" w:eastAsia="仿宋_GB2312"/>
          <w:color w:val="000000"/>
          <w:sz w:val="32"/>
          <w:szCs w:val="32"/>
          <w:lang w:eastAsia="zh-CN"/>
        </w:rPr>
        <w:t>；</w:t>
      </w:r>
      <w:r>
        <w:rPr>
          <w:rFonts w:hint="eastAsia" w:ascii="仿宋_GB2312" w:hAnsi="ˎ̥" w:eastAsia="仿宋_GB2312"/>
          <w:color w:val="000000"/>
          <w:sz w:val="32"/>
          <w:szCs w:val="32"/>
        </w:rPr>
        <w:t>指导疫源地和灾区消毒</w:t>
      </w:r>
      <w:r>
        <w:rPr>
          <w:rFonts w:hint="eastAsia" w:ascii="仿宋_GB2312" w:hAnsi="ˎ̥" w:eastAsia="仿宋_GB2312"/>
          <w:color w:val="000000"/>
          <w:sz w:val="32"/>
          <w:szCs w:val="32"/>
          <w:lang w:eastAsia="zh-CN"/>
        </w:rPr>
        <w:t>，以</w:t>
      </w:r>
      <w:r>
        <w:rPr>
          <w:rFonts w:hint="eastAsia" w:ascii="仿宋_GB2312" w:hAnsi="ˎ̥" w:eastAsia="仿宋_GB2312"/>
          <w:color w:val="000000"/>
          <w:sz w:val="32"/>
          <w:szCs w:val="32"/>
        </w:rPr>
        <w:t>及病媒生物控制和除害杀虫工作，开展预防控制传染性医源性感染的技术指导和调查处理</w:t>
      </w:r>
      <w:r>
        <w:rPr>
          <w:rFonts w:hint="eastAsia" w:ascii="仿宋_GB2312" w:hAnsi="ˎ̥" w:eastAsia="仿宋_GB2312"/>
          <w:color w:val="000000"/>
          <w:sz w:val="32"/>
          <w:szCs w:val="32"/>
          <w:lang w:eastAsia="zh-CN"/>
        </w:rPr>
        <w:t>；</w:t>
      </w:r>
      <w:r>
        <w:rPr>
          <w:rFonts w:hint="eastAsia" w:ascii="仿宋_GB2312" w:hAnsi="ˎ̥" w:eastAsia="仿宋_GB2312"/>
          <w:color w:val="000000"/>
          <w:sz w:val="32"/>
          <w:szCs w:val="32"/>
        </w:rPr>
        <w:t>建立完善全县重大疫情和中毒事件应急</w:t>
      </w:r>
      <w:r>
        <w:rPr>
          <w:rFonts w:hint="eastAsia" w:ascii="仿宋_GB2312" w:hAnsi="ˎ̥" w:eastAsia="仿宋_GB2312"/>
          <w:color w:val="000000"/>
          <w:sz w:val="32"/>
          <w:szCs w:val="32"/>
          <w:lang w:val="en-US" w:eastAsia="zh-CN"/>
        </w:rPr>
        <w:t>预案；</w:t>
      </w:r>
      <w:r>
        <w:rPr>
          <w:rFonts w:hint="eastAsia" w:ascii="仿宋_GB2312" w:hAnsi="ˎ̥" w:eastAsia="仿宋_GB2312"/>
          <w:color w:val="000000"/>
          <w:sz w:val="32"/>
          <w:szCs w:val="32"/>
        </w:rPr>
        <w:t>负责应急24小时总值班制度的落实与管理；组织、协调重大应急事件的调查和处理；及时了解国内外重大疫情、新发传染病等信息与动态。</w:t>
      </w:r>
    </w:p>
    <w:p w14:paraId="0DF65E58">
      <w:pPr>
        <w:ind w:firstLine="707" w:firstLineChars="220"/>
        <w:rPr>
          <w:rFonts w:hint="eastAsia" w:ascii="仿宋_GB2312" w:hAnsi="ˎ̥" w:eastAsia="仿宋_GB2312"/>
          <w:color w:val="auto"/>
          <w:sz w:val="32"/>
          <w:szCs w:val="32"/>
        </w:rPr>
      </w:pPr>
      <w:r>
        <w:rPr>
          <w:rFonts w:hint="eastAsia" w:ascii="仿宋_GB2312" w:hAnsi="ˎ̥" w:eastAsia="仿宋_GB2312"/>
          <w:b/>
          <w:bCs/>
          <w:color w:val="000000"/>
          <w:sz w:val="32"/>
          <w:szCs w:val="32"/>
          <w:lang w:val="en-US" w:eastAsia="zh-CN"/>
        </w:rPr>
        <w:t>检验科：</w:t>
      </w:r>
      <w:r>
        <w:rPr>
          <w:rFonts w:hint="eastAsia" w:ascii="仿宋_GB2312" w:hAnsi="ˎ̥" w:eastAsia="仿宋_GB2312"/>
          <w:color w:val="000000"/>
          <w:sz w:val="32"/>
          <w:szCs w:val="32"/>
        </w:rPr>
        <w:t>负责卫生监测</w:t>
      </w:r>
      <w:r>
        <w:rPr>
          <w:rFonts w:hint="eastAsia" w:ascii="仿宋_GB2312" w:hAnsi="ˎ̥" w:eastAsia="仿宋_GB2312"/>
          <w:color w:val="000000"/>
          <w:sz w:val="32"/>
          <w:szCs w:val="32"/>
          <w:lang w:eastAsia="zh-CN"/>
        </w:rPr>
        <w:t>，</w:t>
      </w:r>
      <w:r>
        <w:rPr>
          <w:rFonts w:hint="eastAsia" w:ascii="仿宋_GB2312" w:hAnsi="ˎ̥" w:eastAsia="仿宋_GB2312"/>
          <w:color w:val="000000"/>
          <w:sz w:val="32"/>
          <w:szCs w:val="32"/>
        </w:rPr>
        <w:t>参与化学污染、中毒及卫生突发事件的采样和突发公共卫生事件样品的毒物、污染物的检验</w:t>
      </w:r>
      <w:r>
        <w:rPr>
          <w:rFonts w:hint="eastAsia" w:ascii="仿宋_GB2312" w:hAnsi="ˎ̥" w:eastAsia="仿宋_GB2312"/>
          <w:color w:val="000000"/>
          <w:sz w:val="32"/>
          <w:szCs w:val="32"/>
          <w:lang w:val="en-US" w:eastAsia="zh-CN"/>
        </w:rPr>
        <w:t>检测</w:t>
      </w:r>
      <w:r>
        <w:rPr>
          <w:rFonts w:hint="eastAsia" w:ascii="仿宋_GB2312" w:hAnsi="ˎ̥" w:eastAsia="仿宋_GB2312"/>
          <w:color w:val="000000"/>
          <w:sz w:val="32"/>
          <w:szCs w:val="32"/>
        </w:rPr>
        <w:t>，及时做好应急检测检验，为制定控制措施提供准确数据。参与传染病疫情、食物中毒、生物性污染等突发公共卫生事件的采样，及时开展病原微生物检验检测，为制定控制措施提供准确数据。</w:t>
      </w:r>
    </w:p>
    <w:p w14:paraId="12DD4372">
      <w:pPr>
        <w:ind w:firstLine="462" w:firstLineChars="220"/>
        <w:rPr>
          <w:rFonts w:hint="eastAsia" w:ascii="仿宋_GB2312" w:hAnsi="ˎ̥" w:eastAsia="仿宋_GB2312"/>
          <w:color w:val="000000"/>
          <w:sz w:val="32"/>
          <w:szCs w:val="32"/>
        </w:rPr>
      </w:pPr>
      <w:r>
        <w:rPr>
          <w:rFonts w:hint="eastAsia" w:eastAsia="仿宋_GB2312"/>
          <w:lang w:val="en-US" w:eastAsia="zh-CN"/>
        </w:rPr>
        <w:t xml:space="preserve"> </w:t>
      </w:r>
      <w:r>
        <w:rPr>
          <w:rFonts w:hint="eastAsia" w:eastAsia="仿宋_GB2312"/>
          <w:b/>
          <w:bCs/>
          <w:lang w:val="en-US" w:eastAsia="zh-CN"/>
        </w:rPr>
        <w:t xml:space="preserve"> </w:t>
      </w:r>
      <w:r>
        <w:rPr>
          <w:rFonts w:hint="eastAsia" w:ascii="仿宋_GB2312" w:hAnsi="ˎ̥" w:eastAsia="仿宋_GB2312" w:cs="Times New Roman"/>
          <w:b/>
          <w:bCs/>
          <w:color w:val="000000"/>
          <w:kern w:val="2"/>
          <w:sz w:val="32"/>
          <w:szCs w:val="32"/>
          <w:lang w:val="en-US" w:eastAsia="zh-CN" w:bidi="ar-SA"/>
        </w:rPr>
        <w:t>免疫规划科：</w:t>
      </w:r>
      <w:r>
        <w:rPr>
          <w:rFonts w:hint="eastAsia" w:ascii="仿宋_GB2312" w:hAnsi="ˎ̥" w:eastAsia="仿宋_GB2312"/>
          <w:color w:val="000000"/>
          <w:sz w:val="32"/>
          <w:szCs w:val="32"/>
        </w:rPr>
        <w:t>组织安排全县免疫规划工作。</w:t>
      </w:r>
      <w:r>
        <w:rPr>
          <w:rFonts w:hint="eastAsia" w:ascii="仿宋_GB2312" w:hAnsi="ˎ̥" w:eastAsia="仿宋_GB2312"/>
          <w:color w:val="000000"/>
          <w:sz w:val="32"/>
          <w:szCs w:val="32"/>
          <w:lang w:val="en-US" w:eastAsia="zh-CN"/>
        </w:rPr>
        <w:t>制定</w:t>
      </w:r>
      <w:r>
        <w:rPr>
          <w:rFonts w:hint="eastAsia" w:ascii="仿宋_GB2312" w:hAnsi="ˎ̥" w:eastAsia="仿宋_GB2312"/>
          <w:color w:val="000000"/>
          <w:sz w:val="32"/>
          <w:szCs w:val="32"/>
        </w:rPr>
        <w:t>免疫规划实施方案、技术规范、年度工作计划及各项免疫</w:t>
      </w:r>
      <w:r>
        <w:rPr>
          <w:rFonts w:hint="eastAsia" w:ascii="仿宋_GB2312" w:hAnsi="ˎ̥" w:eastAsia="仿宋_GB2312"/>
          <w:color w:val="000000"/>
          <w:sz w:val="32"/>
          <w:szCs w:val="32"/>
          <w:lang w:val="en-US" w:eastAsia="zh-CN"/>
        </w:rPr>
        <w:t>规划工作的</w:t>
      </w:r>
      <w:r>
        <w:rPr>
          <w:rFonts w:hint="eastAsia" w:ascii="仿宋_GB2312" w:hAnsi="ˎ̥" w:eastAsia="仿宋_GB2312"/>
          <w:color w:val="000000"/>
          <w:sz w:val="32"/>
          <w:szCs w:val="32"/>
        </w:rPr>
        <w:t>组织</w:t>
      </w:r>
      <w:r>
        <w:rPr>
          <w:rFonts w:hint="eastAsia" w:ascii="仿宋_GB2312" w:hAnsi="ˎ̥" w:eastAsia="仿宋_GB2312"/>
          <w:color w:val="000000"/>
          <w:sz w:val="32"/>
          <w:szCs w:val="32"/>
          <w:lang w:val="en-US" w:eastAsia="zh-CN"/>
        </w:rPr>
        <w:t>实施</w:t>
      </w:r>
      <w:r>
        <w:rPr>
          <w:rFonts w:hint="eastAsia" w:ascii="仿宋_GB2312" w:hAnsi="ˎ̥" w:eastAsia="仿宋_GB2312"/>
          <w:color w:val="000000"/>
          <w:sz w:val="32"/>
          <w:szCs w:val="32"/>
        </w:rPr>
        <w:t>；贯彻和组织落实上级有关免疫规划工作部署</w:t>
      </w:r>
      <w:r>
        <w:rPr>
          <w:rFonts w:hint="eastAsia" w:ascii="仿宋_GB2312" w:hAnsi="ˎ̥" w:eastAsia="仿宋_GB2312"/>
          <w:color w:val="000000"/>
          <w:sz w:val="32"/>
          <w:szCs w:val="32"/>
          <w:lang w:eastAsia="zh-CN"/>
        </w:rPr>
        <w:t>；</w:t>
      </w:r>
      <w:r>
        <w:rPr>
          <w:rFonts w:hint="eastAsia" w:ascii="仿宋_GB2312" w:hAnsi="ˎ̥" w:eastAsia="仿宋_GB2312"/>
          <w:color w:val="000000"/>
          <w:sz w:val="32"/>
          <w:szCs w:val="32"/>
        </w:rPr>
        <w:t>对全县免疫工作的实施情况进行检查、督导、考核、评价。</w:t>
      </w:r>
    </w:p>
    <w:p w14:paraId="600909B4">
      <w:pPr>
        <w:pStyle w:val="3"/>
        <w:ind w:left="0" w:leftChars="0" w:firstLine="420" w:firstLineChars="200"/>
        <w:rPr>
          <w:rFonts w:hint="eastAsia" w:ascii="仿宋_GB2312" w:hAnsi="ˎ̥" w:eastAsia="仿宋_GB2312"/>
          <w:color w:val="000000"/>
          <w:sz w:val="32"/>
          <w:szCs w:val="32"/>
        </w:rPr>
      </w:pPr>
      <w:r>
        <w:rPr>
          <w:rFonts w:hint="eastAsia" w:eastAsia="仿宋_GB2312"/>
          <w:lang w:val="en-US" w:eastAsia="zh-CN"/>
        </w:rPr>
        <w:t xml:space="preserve"> </w:t>
      </w:r>
      <w:r>
        <w:rPr>
          <w:rFonts w:hint="eastAsia" w:eastAsia="仿宋_GB2312"/>
          <w:b/>
          <w:bCs/>
          <w:lang w:val="en-US" w:eastAsia="zh-CN"/>
        </w:rPr>
        <w:t xml:space="preserve"> </w:t>
      </w:r>
      <w:r>
        <w:rPr>
          <w:rFonts w:hint="eastAsia" w:ascii="仿宋_GB2312" w:hAnsi="ˎ̥" w:eastAsia="仿宋_GB2312"/>
          <w:b/>
          <w:bCs/>
          <w:color w:val="000000"/>
          <w:sz w:val="32"/>
          <w:szCs w:val="32"/>
        </w:rPr>
        <w:t>综合业务质量管理</w:t>
      </w:r>
      <w:r>
        <w:rPr>
          <w:rFonts w:hint="eastAsia" w:ascii="仿宋_GB2312" w:hAnsi="ˎ̥" w:eastAsia="仿宋_GB2312"/>
          <w:b/>
          <w:bCs/>
          <w:color w:val="000000"/>
          <w:sz w:val="32"/>
          <w:szCs w:val="32"/>
          <w:lang w:eastAsia="zh-CN"/>
        </w:rPr>
        <w:t>（</w:t>
      </w:r>
      <w:r>
        <w:rPr>
          <w:rFonts w:hint="eastAsia" w:ascii="仿宋_GB2312" w:hAnsi="ˎ̥" w:eastAsia="仿宋_GB2312"/>
          <w:b/>
          <w:bCs/>
          <w:color w:val="000000"/>
          <w:sz w:val="32"/>
          <w:szCs w:val="32"/>
          <w:lang w:val="en-US" w:eastAsia="zh-CN"/>
        </w:rPr>
        <w:t>质控科</w:t>
      </w:r>
      <w:r>
        <w:rPr>
          <w:rFonts w:hint="eastAsia" w:ascii="仿宋_GB2312" w:hAnsi="ˎ̥" w:eastAsia="仿宋_GB2312"/>
          <w:b/>
          <w:bCs/>
          <w:color w:val="000000"/>
          <w:sz w:val="32"/>
          <w:szCs w:val="32"/>
          <w:lang w:eastAsia="zh-CN"/>
        </w:rPr>
        <w:t>）</w:t>
      </w:r>
      <w:r>
        <w:rPr>
          <w:rFonts w:hint="eastAsia" w:ascii="仿宋_GB2312" w:hAnsi="ˎ̥" w:eastAsia="仿宋_GB2312"/>
          <w:b/>
          <w:bCs/>
          <w:color w:val="000000"/>
          <w:sz w:val="32"/>
          <w:szCs w:val="32"/>
        </w:rPr>
        <w:t>：</w:t>
      </w:r>
      <w:r>
        <w:rPr>
          <w:rFonts w:hint="eastAsia" w:ascii="仿宋_GB2312" w:hAnsi="ˎ̥" w:eastAsia="仿宋_GB2312"/>
          <w:color w:val="000000"/>
          <w:sz w:val="32"/>
          <w:szCs w:val="32"/>
        </w:rPr>
        <w:t>负责中心卫生</w:t>
      </w:r>
      <w:r>
        <w:rPr>
          <w:rFonts w:hint="eastAsia" w:hAnsi="ˎ̥" w:eastAsia="仿宋_GB2312"/>
          <w:color w:val="000000"/>
          <w:sz w:val="32"/>
          <w:szCs w:val="32"/>
          <w:lang w:eastAsia="zh-CN"/>
        </w:rPr>
        <w:t>防疫</w:t>
      </w:r>
      <w:r>
        <w:rPr>
          <w:rFonts w:hint="eastAsia" w:ascii="仿宋_GB2312" w:hAnsi="ˎ̥" w:eastAsia="仿宋_GB2312"/>
          <w:color w:val="000000"/>
          <w:sz w:val="32"/>
          <w:szCs w:val="32"/>
        </w:rPr>
        <w:t>检测工作质量控制，实施全面质量管理；建立和完善中心质量管理体系，组织制订和审批质量文件，负责受控文件的确认，开展实验室认可和资质认定相关工作，协助中心技术负责人和质量负责人组织管理评审和质量体系内审，负责联系外审。负责中心的质量控制、检测检验的监督检查和评价管理工作。</w:t>
      </w:r>
    </w:p>
    <w:p w14:paraId="678DEB30">
      <w:pPr>
        <w:ind w:firstLine="707" w:firstLineChars="220"/>
        <w:rPr>
          <w:rFonts w:hint="eastAsia" w:ascii="仿宋_GB2312" w:hAnsi="ˎ̥" w:eastAsia="仿宋_GB2312" w:cs="Times New Roman"/>
          <w:color w:val="000000"/>
          <w:kern w:val="2"/>
          <w:sz w:val="32"/>
          <w:szCs w:val="32"/>
          <w:lang w:val="en-US" w:eastAsia="zh-CN" w:bidi="ar-SA"/>
        </w:rPr>
      </w:pPr>
      <w:r>
        <w:rPr>
          <w:rFonts w:hint="eastAsia" w:ascii="仿宋_GB2312" w:hAnsi="ˎ̥" w:eastAsia="仿宋_GB2312" w:cs="Times New Roman"/>
          <w:b/>
          <w:bCs/>
          <w:color w:val="000000"/>
          <w:kern w:val="2"/>
          <w:sz w:val="32"/>
          <w:szCs w:val="32"/>
          <w:lang w:val="en-US" w:eastAsia="zh-CN" w:bidi="ar-SA"/>
        </w:rPr>
        <w:t>健康教育科（健教科）：</w:t>
      </w:r>
      <w:r>
        <w:rPr>
          <w:rFonts w:hint="eastAsia" w:ascii="仿宋_GB2312" w:hAnsi="ˎ̥" w:eastAsia="仿宋_GB2312" w:cs="Times New Roman"/>
          <w:color w:val="000000"/>
          <w:kern w:val="2"/>
          <w:sz w:val="32"/>
          <w:szCs w:val="32"/>
          <w:lang w:val="en-US" w:eastAsia="zh-CN" w:bidi="ar-SA"/>
        </w:rPr>
        <w:t>制定实施辖区健康教育与健康促进规划、计划，根据辖区主要公共卫生需求开展一般人群、高危人群等分类健康传播和行为干预针对性宣传教育，开展健康传播材料的设计、制作与传播效果评价；开展对乡镇医疗机构健康管理员等培训及相应的技术指导、考评。</w:t>
      </w:r>
    </w:p>
    <w:p w14:paraId="68872011">
      <w:pPr>
        <w:ind w:firstLine="707" w:firstLineChars="220"/>
        <w:rPr>
          <w:rFonts w:hint="eastAsia" w:ascii="仿宋_GB2312" w:hAnsi="ˎ̥" w:eastAsia="仿宋_GB2312"/>
          <w:color w:val="000000"/>
          <w:sz w:val="32"/>
          <w:szCs w:val="32"/>
        </w:rPr>
      </w:pPr>
      <w:r>
        <w:rPr>
          <w:rFonts w:hint="eastAsia" w:ascii="仿宋_GB2312" w:hAnsi="ˎ̥" w:eastAsia="仿宋_GB2312" w:cs="Times New Roman"/>
          <w:b/>
          <w:bCs/>
          <w:color w:val="000000"/>
          <w:kern w:val="2"/>
          <w:sz w:val="32"/>
          <w:szCs w:val="32"/>
          <w:lang w:val="en-US" w:eastAsia="zh-CN" w:bidi="ar-SA"/>
        </w:rPr>
        <w:t>卫生科</w:t>
      </w:r>
      <w:r>
        <w:rPr>
          <w:rFonts w:hint="eastAsia" w:ascii="仿宋_GB2312" w:hAnsi="ˎ̥" w:eastAsia="仿宋_GB2312"/>
          <w:b/>
          <w:bCs/>
          <w:color w:val="000000"/>
          <w:sz w:val="32"/>
          <w:szCs w:val="32"/>
        </w:rPr>
        <w:t>（公共卫生健康危害因素控制）</w:t>
      </w:r>
      <w:r>
        <w:rPr>
          <w:rFonts w:hint="eastAsia" w:ascii="仿宋_GB2312" w:hAnsi="ˎ̥" w:eastAsia="仿宋_GB2312" w:cs="Times New Roman"/>
          <w:b/>
          <w:bCs/>
          <w:color w:val="000000"/>
          <w:kern w:val="2"/>
          <w:sz w:val="32"/>
          <w:szCs w:val="32"/>
          <w:lang w:val="en-US" w:eastAsia="zh-CN" w:bidi="ar-SA"/>
        </w:rPr>
        <w:t>：</w:t>
      </w:r>
      <w:r>
        <w:rPr>
          <w:rFonts w:hint="eastAsia" w:ascii="仿宋_GB2312" w:hAnsi="ˎ̥" w:eastAsia="仿宋_GB2312"/>
          <w:color w:val="000000"/>
          <w:sz w:val="32"/>
          <w:szCs w:val="32"/>
        </w:rPr>
        <w:t>完成省州下达的食品卫生、环境卫生、公共场所、</w:t>
      </w:r>
      <w:r>
        <w:rPr>
          <w:rFonts w:hint="eastAsia" w:ascii="仿宋_GB2312" w:hAnsi="ˎ̥" w:eastAsia="仿宋_GB2312"/>
          <w:color w:val="000000"/>
          <w:sz w:val="32"/>
          <w:szCs w:val="32"/>
          <w:lang w:val="en-US" w:eastAsia="zh-CN"/>
        </w:rPr>
        <w:t>饮用水等</w:t>
      </w:r>
      <w:r>
        <w:rPr>
          <w:rFonts w:hint="eastAsia" w:ascii="仿宋_GB2312" w:hAnsi="ˎ̥" w:eastAsia="仿宋_GB2312"/>
          <w:color w:val="000000"/>
          <w:sz w:val="32"/>
          <w:szCs w:val="32"/>
        </w:rPr>
        <w:t>监测任务；对本地区食品卫生、环境卫生、公共场所工作提供技术支持和服务，指导下级卫生机构开展食品卫生、环境卫生、公共场所工作，并组织业务技术培训。</w:t>
      </w:r>
    </w:p>
    <w:p w14:paraId="79039B64">
      <w:pPr>
        <w:rPr>
          <w:rFonts w:hint="default" w:ascii="Times New Roman" w:hAnsi="Times New Roman" w:eastAsia="仿宋_GB2312" w:cs="Times New Roman"/>
          <w:sz w:val="32"/>
          <w:szCs w:val="36"/>
          <w:lang w:val="en-US" w:eastAsia="zh-CN"/>
        </w:rPr>
      </w:pPr>
      <w:r>
        <w:rPr>
          <w:rFonts w:hint="eastAsia" w:ascii="仿宋_GB2312" w:hAnsi="ˎ̥" w:eastAsia="仿宋_GB2312" w:cs="Times New Roman"/>
          <w:color w:val="000000"/>
          <w:kern w:val="2"/>
          <w:sz w:val="32"/>
          <w:szCs w:val="32"/>
          <w:lang w:val="en-US" w:eastAsia="zh-CN" w:bidi="ar-SA"/>
        </w:rPr>
        <w:t xml:space="preserve">   </w:t>
      </w:r>
      <w:r>
        <w:rPr>
          <w:rFonts w:hint="eastAsia" w:ascii="仿宋_GB2312" w:hAnsi="ˎ̥" w:eastAsia="仿宋_GB2312" w:cs="Times New Roman"/>
          <w:b/>
          <w:bCs/>
          <w:color w:val="000000"/>
          <w:kern w:val="2"/>
          <w:sz w:val="32"/>
          <w:szCs w:val="32"/>
          <w:lang w:val="en-US" w:eastAsia="zh-CN" w:bidi="ar-SA"/>
        </w:rPr>
        <w:t xml:space="preserve"> </w:t>
      </w:r>
      <w:r>
        <w:rPr>
          <w:rFonts w:hint="eastAsia" w:ascii="Times New Roman" w:hAnsi="Times New Roman" w:eastAsia="仿宋_GB2312" w:cs="Times New Roman"/>
          <w:b/>
          <w:bCs/>
          <w:sz w:val="32"/>
          <w:szCs w:val="36"/>
          <w:lang w:val="en-US" w:eastAsia="zh-CN"/>
        </w:rPr>
        <w:t>慢性非传染性疾病预防控制科：</w:t>
      </w:r>
      <w:r>
        <w:rPr>
          <w:rFonts w:hint="eastAsia" w:ascii="仿宋_GB2312" w:hAnsi="仿宋_GB2312" w:eastAsia="仿宋_GB2312" w:cs="仿宋_GB2312"/>
          <w:color w:val="auto"/>
          <w:kern w:val="0"/>
          <w:sz w:val="32"/>
          <w:szCs w:val="32"/>
          <w:lang w:val="en-US" w:eastAsia="zh-CN"/>
        </w:rPr>
        <w:t>建立并完善慢病防控工作机制；</w:t>
      </w:r>
      <w:r>
        <w:rPr>
          <w:rFonts w:hint="eastAsia" w:ascii="Times New Roman" w:hAnsi="Times New Roman" w:eastAsia="仿宋_GB2312" w:cs="Times New Roman"/>
          <w:b w:val="0"/>
          <w:bCs w:val="0"/>
          <w:sz w:val="32"/>
          <w:szCs w:val="36"/>
          <w:lang w:val="en-US" w:eastAsia="zh-CN"/>
        </w:rPr>
        <w:t>负责全县死因、肿瘤监测分析预警；开展严重精神病人员综合管理；</w:t>
      </w:r>
      <w:r>
        <w:rPr>
          <w:rFonts w:hint="eastAsia" w:ascii="仿宋_GB2312" w:hAnsi="仿宋_GB2312" w:eastAsia="仿宋_GB2312" w:cs="仿宋_GB2312"/>
          <w:color w:val="auto"/>
          <w:kern w:val="0"/>
          <w:sz w:val="32"/>
          <w:szCs w:val="32"/>
          <w:lang w:val="en-US" w:eastAsia="zh-CN"/>
        </w:rPr>
        <w:t>高原性心脏病、慢阻肺及类风关患者的健康管理工作；对乡镇医疗机构开展技术指导、考核指标完成情况</w:t>
      </w:r>
      <w:r>
        <w:rPr>
          <w:rFonts w:hint="eastAsia" w:ascii="Times New Roman" w:hAnsi="Times New Roman" w:eastAsia="仿宋_GB2312" w:cs="Times New Roman"/>
          <w:b w:val="0"/>
          <w:bCs w:val="0"/>
          <w:sz w:val="32"/>
          <w:szCs w:val="36"/>
          <w:lang w:val="en-US" w:eastAsia="zh-CN"/>
        </w:rPr>
        <w:t>。</w:t>
      </w:r>
    </w:p>
    <w:p w14:paraId="73CF3522">
      <w:pPr>
        <w:pStyle w:val="8"/>
        <w:rPr>
          <w:rFonts w:hint="eastAsia"/>
        </w:rPr>
      </w:pPr>
    </w:p>
    <w:p w14:paraId="3EECBEF4">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B155092">
      <w:pPr>
        <w:numPr>
          <w:ilvl w:val="0"/>
          <w:numId w:val="0"/>
        </w:numPr>
        <w:rPr>
          <w:rFonts w:hint="eastAsia"/>
          <w:lang w:eastAsia="zh-CN"/>
        </w:rPr>
      </w:pPr>
    </w:p>
    <w:p w14:paraId="342FB905">
      <w:pPr>
        <w:pStyle w:val="5"/>
        <w:jc w:val="center"/>
        <w:rPr>
          <w:rFonts w:hint="eastAsia" w:ascii="Times New Roman" w:hAnsi="Times New Roman" w:eastAsia="方正小标宋简体" w:cs="方正小标宋简体"/>
          <w:b w:val="0"/>
          <w:color w:val="auto"/>
          <w:highlight w:val="none"/>
        </w:rPr>
      </w:pPr>
      <w:bookmarkStart w:id="8" w:name="_Toc15377204"/>
      <w:bookmarkStart w:id="9"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8"/>
      <w:bookmarkEnd w:id="9"/>
    </w:p>
    <w:p w14:paraId="1A1E4C2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0" w:name="_Toc15377205"/>
      <w:bookmarkStart w:id="1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0"/>
      <w:bookmarkEnd w:id="11"/>
    </w:p>
    <w:p w14:paraId="20995A0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1250.89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总计减少</w:t>
      </w:r>
      <w:r>
        <w:rPr>
          <w:rFonts w:hint="eastAsia" w:eastAsia="仿宋_GB2312" w:cs="仿宋_GB2312"/>
          <w:color w:val="auto"/>
          <w:sz w:val="32"/>
          <w:szCs w:val="32"/>
          <w:highlight w:val="none"/>
          <w:lang w:val="en-US" w:eastAsia="zh-CN"/>
        </w:rPr>
        <w:t>226.06</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下降</w:t>
      </w:r>
      <w:r>
        <w:rPr>
          <w:rFonts w:hint="eastAsia"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项目任务减少，对应经费减少。</w:t>
      </w:r>
    </w:p>
    <w:p w14:paraId="5488962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42124FC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CF2500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9638A9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0C66E3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3B695B9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A9F391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633A53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0DB6A13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7862C5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411480</wp:posOffset>
            </wp:positionH>
            <wp:positionV relativeFrom="paragraph">
              <wp:posOffset>-2700655</wp:posOffset>
            </wp:positionV>
            <wp:extent cx="5256530" cy="2988310"/>
            <wp:effectExtent l="5080" t="4445" r="15240" b="1714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024733B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2" w:name="_Toc15377206"/>
      <w:bookmarkStart w:id="13" w:name="_Toc15396604"/>
      <w:r>
        <w:rPr>
          <w:rFonts w:hint="eastAsia" w:ascii="Times New Roman" w:hAnsi="Times New Roman" w:eastAsia="黑体"/>
          <w:color w:val="auto"/>
          <w:sz w:val="32"/>
          <w:szCs w:val="32"/>
          <w:highlight w:val="none"/>
          <w:lang w:eastAsia="zh-CN"/>
        </w:rPr>
        <w:t>二、收入决算情况说明</w:t>
      </w:r>
      <w:bookmarkEnd w:id="12"/>
      <w:bookmarkEnd w:id="13"/>
    </w:p>
    <w:p w14:paraId="0F97307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1245.5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1245.5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329E254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1F877F6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1D6642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06F1C9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3D233F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76778E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8ABAB0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8621EC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A3D987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A27138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411480</wp:posOffset>
            </wp:positionH>
            <wp:positionV relativeFrom="paragraph">
              <wp:posOffset>-2700655</wp:posOffset>
            </wp:positionV>
            <wp:extent cx="5256530" cy="2988310"/>
            <wp:effectExtent l="5080" t="4445" r="15240" b="1714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5FB1704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4" w:name="_Toc15396605"/>
      <w:bookmarkStart w:id="1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4"/>
      <w:bookmarkEnd w:id="15"/>
    </w:p>
    <w:p w14:paraId="329B3F4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1250.89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778.41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62.22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472.48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37.77</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4FCD47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0EDD4A9F">
      <w:pPr>
        <w:pStyle w:val="2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76850" cy="2336800"/>
            <wp:effectExtent l="4445" t="4445" r="14605" b="2095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644B879">
      <w:pPr>
        <w:rPr>
          <w:rFonts w:hint="eastAsia"/>
          <w:lang w:eastAsia="zh-CN"/>
        </w:rPr>
      </w:pPr>
    </w:p>
    <w:p w14:paraId="7F33FB3F">
      <w:pPr>
        <w:spacing w:line="600" w:lineRule="exact"/>
        <w:ind w:firstLine="640" w:firstLineChars="200"/>
        <w:outlineLvl w:val="1"/>
        <w:rPr>
          <w:rStyle w:val="31"/>
          <w:rFonts w:ascii="Times New Roman" w:hAnsi="Times New Roman" w:eastAsia="黑体"/>
          <w:b w:val="0"/>
          <w:color w:val="auto"/>
          <w:highlight w:val="none"/>
        </w:rPr>
      </w:pPr>
      <w:bookmarkStart w:id="16" w:name="_Toc15377208"/>
      <w:bookmarkStart w:id="17"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6"/>
      <w:bookmarkEnd w:id="17"/>
    </w:p>
    <w:p w14:paraId="62142D9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1250.89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226.06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项目任务减少，对应经费减少。</w:t>
      </w:r>
    </w:p>
    <w:p w14:paraId="3BADEE45">
      <w:p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bookmarkStart w:id="18" w:name="_Toc15396607"/>
      <w:bookmarkStart w:id="19" w:name="_Toc15377209"/>
    </w:p>
    <w:p w14:paraId="6F8E449A">
      <w:pPr>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15240" b="1714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4ADAF7F">
      <w:pPr>
        <w:spacing w:line="600" w:lineRule="exact"/>
        <w:ind w:firstLine="640" w:firstLineChars="200"/>
        <w:outlineLvl w:val="1"/>
        <w:rPr>
          <w:rStyle w:val="31"/>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18"/>
      <w:bookmarkEnd w:id="19"/>
    </w:p>
    <w:p w14:paraId="4870433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0"/>
    </w:p>
    <w:p w14:paraId="433BCB3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1250.89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226.06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下降</w:t>
      </w: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项目任务减少，对应经费减少。</w:t>
      </w:r>
    </w:p>
    <w:p w14:paraId="4622ED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04A2F9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134729">
      <w:pPr>
        <w:pStyle w:val="2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ADC53A">
      <w:pPr>
        <w:rPr>
          <w:rFonts w:hint="eastAsia"/>
          <w:lang w:val="en-US" w:eastAsia="zh-CN"/>
        </w:rPr>
      </w:pPr>
    </w:p>
    <w:p w14:paraId="00A4339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1"/>
    </w:p>
    <w:p w14:paraId="5EBFBA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1250.89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一般公共服务支出**万元，占**%；教育支出**万元，占**%；科学技术支出**万元，占**%；文化旅游体育与传媒支出**万元，占**%；社会保障和就业支出</w:t>
      </w:r>
      <w:r>
        <w:rPr>
          <w:rFonts w:hint="eastAsia" w:eastAsia="仿宋_GB2312" w:cs="仿宋_GB2312"/>
          <w:color w:val="auto"/>
          <w:kern w:val="2"/>
          <w:sz w:val="32"/>
          <w:szCs w:val="32"/>
          <w:highlight w:val="none"/>
          <w:lang w:val="en-US" w:eastAsia="zh-CN" w:bidi="ar-SA"/>
        </w:rPr>
        <w:t>99.96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1095.11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55.82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1DBB6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4B0E4831">
      <w:pPr>
        <w:pStyle w:val="2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915535" cy="2628900"/>
            <wp:effectExtent l="4445" t="4445" r="13970" b="1460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1893E0D">
      <w:pPr>
        <w:rPr>
          <w:rFonts w:hint="eastAsia" w:ascii="Times New Roman" w:hAnsi="Times New Roman" w:eastAsia="仿宋_GB2312" w:cs="仿宋_GB2312"/>
          <w:color w:val="auto"/>
          <w:kern w:val="2"/>
          <w:sz w:val="32"/>
          <w:szCs w:val="32"/>
          <w:highlight w:val="none"/>
          <w:lang w:val="en-US" w:eastAsia="zh-CN" w:bidi="ar-SA"/>
        </w:rPr>
      </w:pPr>
    </w:p>
    <w:p w14:paraId="4F8133BB">
      <w:pPr>
        <w:pStyle w:val="20"/>
        <w:rPr>
          <w:rFonts w:hint="eastAsia"/>
          <w:lang w:val="en-US" w:eastAsia="zh-CN"/>
        </w:rPr>
      </w:pPr>
    </w:p>
    <w:p w14:paraId="3B665E5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2"/>
    </w:p>
    <w:p w14:paraId="4C6E1D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3" w:name="_Toc15377213"/>
      <w:bookmarkStart w:id="24" w:name="_Toc15377444"/>
      <w:bookmarkStart w:id="2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1250.89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3"/>
      <w:bookmarkEnd w:id="24"/>
      <w:bookmarkEnd w:id="25"/>
    </w:p>
    <w:p w14:paraId="2CA1C912">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EB7B389">
      <w:pPr>
        <w:numPr>
          <w:ilvl w:val="0"/>
          <w:numId w:val="0"/>
        </w:num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56EBBF8">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支出决算为万元，完成预算%</w:t>
      </w:r>
      <w:r>
        <w:rPr>
          <w:rFonts w:hint="eastAsia" w:eastAsia="仿宋_GB2312" w:cs="仿宋_GB2312"/>
          <w:color w:val="auto"/>
          <w:kern w:val="2"/>
          <w:sz w:val="32"/>
          <w:szCs w:val="32"/>
          <w:highlight w:val="none"/>
          <w:lang w:val="en-US" w:eastAsia="zh-CN" w:bidi="ar-SA"/>
        </w:rPr>
        <w:t>。</w:t>
      </w:r>
    </w:p>
    <w:p w14:paraId="398B66D4">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B512796">
      <w:pPr>
        <w:spacing w:line="600" w:lineRule="exact"/>
        <w:ind w:firstLine="640"/>
        <w:rPr>
          <w:rFonts w:hint="eastAsia" w:ascii="仿宋" w:hAnsi="仿宋" w:eastAsia="仿宋"/>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5.社会保障和就业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机关事业单位基本养老保险支出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68.01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社会保障和就业支出（208）行政事业单位养老支出（20805）机关事业单位职业年金缴费支出（2080506）：支出决算</w:t>
      </w:r>
      <w:r>
        <w:rPr>
          <w:rFonts w:hint="eastAsia" w:eastAsia="仿宋_GB2312" w:cs="仿宋_GB2312"/>
          <w:color w:val="auto"/>
          <w:kern w:val="2"/>
          <w:sz w:val="32"/>
          <w:szCs w:val="32"/>
          <w:highlight w:val="none"/>
          <w:lang w:val="en-US" w:eastAsia="zh-CN" w:bidi="ar-SA"/>
        </w:rPr>
        <w:t>31.95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 w:hAnsi="仿宋" w:eastAsia="仿宋"/>
          <w:color w:val="000000"/>
          <w:sz w:val="32"/>
          <w:szCs w:val="32"/>
        </w:rPr>
        <w:t>100%。</w:t>
      </w:r>
    </w:p>
    <w:p w14:paraId="557A3E2B">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6.卫生健康支出（210）支出决算</w:t>
      </w:r>
      <w:r>
        <w:rPr>
          <w:rFonts w:hint="eastAsia" w:eastAsia="仿宋_GB2312" w:cs="仿宋_GB2312"/>
          <w:color w:val="auto"/>
          <w:kern w:val="2"/>
          <w:sz w:val="32"/>
          <w:szCs w:val="32"/>
          <w:highlight w:val="none"/>
          <w:lang w:val="en-US" w:eastAsia="zh-CN" w:bidi="ar-SA"/>
        </w:rPr>
        <w:t>1095.11</w:t>
      </w:r>
      <w:r>
        <w:rPr>
          <w:rFonts w:hint="eastAsia" w:ascii="Times New Roman" w:hAnsi="Times New Roman" w:eastAsia="仿宋_GB2312" w:cs="仿宋_GB2312"/>
          <w:color w:val="auto"/>
          <w:kern w:val="2"/>
          <w:sz w:val="32"/>
          <w:szCs w:val="32"/>
          <w:highlight w:val="none"/>
          <w:lang w:val="en-US" w:eastAsia="zh-CN" w:bidi="ar-SA"/>
        </w:rPr>
        <w:t>万元，完成预算100%。公共卫生（21004）疾病预防控制机构（2100401）：支出决算</w:t>
      </w:r>
      <w:r>
        <w:rPr>
          <w:rFonts w:hint="eastAsia" w:eastAsia="仿宋_GB2312" w:cs="仿宋_GB2312"/>
          <w:color w:val="auto"/>
          <w:kern w:val="2"/>
          <w:sz w:val="32"/>
          <w:szCs w:val="32"/>
          <w:highlight w:val="none"/>
          <w:lang w:val="en-US" w:eastAsia="zh-CN" w:bidi="ar-SA"/>
        </w:rPr>
        <w:t>584.71</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万元，完成预算100%。卫生健康支出（210）公共卫生（21004）基本公共卫生服务（2100408）：支出决算</w:t>
      </w:r>
      <w:r>
        <w:rPr>
          <w:rFonts w:hint="eastAsia" w:eastAsia="仿宋_GB2312" w:cs="仿宋_GB2312"/>
          <w:color w:val="auto"/>
          <w:kern w:val="2"/>
          <w:sz w:val="32"/>
          <w:szCs w:val="32"/>
          <w:highlight w:val="none"/>
          <w:lang w:val="en-US" w:eastAsia="zh-CN" w:bidi="ar-SA"/>
        </w:rPr>
        <w:t>185.89</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万元，完成预算100%。卫生健康支出（210）公共卫生（21004）重大公共卫生服务（2100409）：支出决算</w:t>
      </w:r>
      <w:r>
        <w:rPr>
          <w:rFonts w:hint="eastAsia" w:eastAsia="仿宋_GB2312" w:cs="仿宋_GB2312"/>
          <w:color w:val="auto"/>
          <w:kern w:val="2"/>
          <w:sz w:val="32"/>
          <w:szCs w:val="32"/>
          <w:highlight w:val="none"/>
          <w:lang w:val="en-US" w:eastAsia="zh-CN" w:bidi="ar-SA"/>
        </w:rPr>
        <w:t>185.94</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万元，完成预算100%。卫生健康支出（210）公共卫生（21004）其他公共卫生支出（2100499）：支出决算</w:t>
      </w:r>
      <w:r>
        <w:rPr>
          <w:rFonts w:hint="eastAsia" w:eastAsia="仿宋_GB2312" w:cs="仿宋_GB2312"/>
          <w:color w:val="auto"/>
          <w:kern w:val="2"/>
          <w:sz w:val="32"/>
          <w:szCs w:val="32"/>
          <w:highlight w:val="none"/>
          <w:lang w:val="en-US" w:eastAsia="zh-CN" w:bidi="ar-SA"/>
        </w:rPr>
        <w:t>12.3</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万元，完成预算100%。卫生健康支出（210）行政事业单位医疗（21011）支出决算</w:t>
      </w:r>
      <w:r>
        <w:rPr>
          <w:rFonts w:hint="eastAsia" w:eastAsia="仿宋_GB2312" w:cs="仿宋_GB2312"/>
          <w:color w:val="auto"/>
          <w:kern w:val="2"/>
          <w:sz w:val="32"/>
          <w:szCs w:val="32"/>
          <w:highlight w:val="none"/>
          <w:lang w:val="en-US" w:eastAsia="zh-CN" w:bidi="ar-SA"/>
        </w:rPr>
        <w:t>39.42</w:t>
      </w:r>
      <w:r>
        <w:rPr>
          <w:rFonts w:hint="eastAsia" w:ascii="Times New Roman" w:hAnsi="Times New Roman" w:eastAsia="仿宋_GB2312" w:cs="仿宋_GB2312"/>
          <w:color w:val="auto"/>
          <w:kern w:val="2"/>
          <w:sz w:val="32"/>
          <w:szCs w:val="32"/>
          <w:highlight w:val="none"/>
          <w:lang w:val="en-US" w:eastAsia="zh-CN" w:bidi="ar-SA"/>
        </w:rPr>
        <w:t>万元，完成预算100%。事业单位医疗（2101102）：支出决算</w:t>
      </w:r>
      <w:r>
        <w:rPr>
          <w:rFonts w:hint="eastAsia" w:eastAsia="仿宋_GB2312" w:cs="仿宋_GB2312"/>
          <w:color w:val="auto"/>
          <w:kern w:val="2"/>
          <w:sz w:val="32"/>
          <w:szCs w:val="32"/>
          <w:highlight w:val="none"/>
          <w:lang w:val="en-US" w:eastAsia="zh-CN" w:bidi="ar-SA"/>
        </w:rPr>
        <w:t>33.02</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万元，完成预算100%。卫生健康支出（210）行政事业单位医疗（21011）其他行政事业单位医疗（2101199）：支出决算</w:t>
      </w:r>
      <w:r>
        <w:rPr>
          <w:rFonts w:hint="eastAsia" w:eastAsia="仿宋_GB2312" w:cs="仿宋_GB2312"/>
          <w:color w:val="auto"/>
          <w:kern w:val="2"/>
          <w:sz w:val="32"/>
          <w:szCs w:val="32"/>
          <w:highlight w:val="none"/>
          <w:lang w:val="en-US" w:eastAsia="zh-CN" w:bidi="ar-SA"/>
        </w:rPr>
        <w:t>6.41</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卫生健康支出（210）疾病预防控制事务（21018）其他疾病预防控制事务支出（2101899）：支出预算79.11万元，完成预算100%。卫生健康支出（210）其他卫生健康支出（21099）其他卫生健康支出（2109999）：支出预算2.35万元，完成预算100%。</w:t>
      </w:r>
    </w:p>
    <w:p w14:paraId="04FBD85F">
      <w:pPr>
        <w:pStyle w:val="8"/>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7.住房保障支出（221）住房改革支出（22102）住房公积金（2210201）：支出决算</w:t>
      </w:r>
      <w:r>
        <w:rPr>
          <w:rFonts w:hint="eastAsia" w:eastAsia="仿宋_GB2312" w:cs="仿宋_GB2312"/>
          <w:color w:val="auto"/>
          <w:kern w:val="2"/>
          <w:sz w:val="32"/>
          <w:szCs w:val="32"/>
          <w:highlight w:val="none"/>
          <w:lang w:val="en-US" w:eastAsia="zh-CN" w:bidi="ar-SA"/>
        </w:rPr>
        <w:t>55.82</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17D21515">
      <w:pPr>
        <w:tabs>
          <w:tab w:val="right" w:pos="8306"/>
        </w:tabs>
        <w:spacing w:line="600" w:lineRule="exact"/>
        <w:ind w:firstLine="640"/>
        <w:outlineLvl w:val="1"/>
        <w:rPr>
          <w:rStyle w:val="31"/>
          <w:rFonts w:ascii="Times New Roman" w:hAnsi="Times New Roman"/>
          <w:color w:val="auto"/>
          <w:highlight w:val="none"/>
        </w:rPr>
      </w:pPr>
      <w:bookmarkStart w:id="26" w:name="_Toc15396608"/>
      <w:bookmarkStart w:id="2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26"/>
      <w:bookmarkEnd w:id="27"/>
      <w:r>
        <w:rPr>
          <w:rStyle w:val="31"/>
          <w:rFonts w:ascii="Times New Roman" w:hAnsi="Times New Roman" w:eastAsia="黑体"/>
          <w:b w:val="0"/>
          <w:color w:val="auto"/>
          <w:highlight w:val="none"/>
        </w:rPr>
        <w:tab/>
      </w:r>
    </w:p>
    <w:p w14:paraId="380D1A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778.41</w:t>
      </w:r>
      <w:r>
        <w:rPr>
          <w:rFonts w:hint="eastAsia" w:ascii="Times New Roman" w:hAnsi="Times New Roman" w:eastAsia="仿宋_GB2312" w:cs="仿宋_GB2312"/>
          <w:color w:val="auto"/>
          <w:kern w:val="2"/>
          <w:sz w:val="32"/>
          <w:szCs w:val="32"/>
          <w:highlight w:val="none"/>
          <w:lang w:val="en-US" w:eastAsia="zh-CN" w:bidi="ar-SA"/>
        </w:rPr>
        <w:t>万元，其中：</w:t>
      </w:r>
    </w:p>
    <w:p w14:paraId="1CBB11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742.56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35.85</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66CCCC3">
      <w:pPr>
        <w:spacing w:line="600" w:lineRule="exact"/>
        <w:ind w:firstLine="640"/>
        <w:outlineLvl w:val="1"/>
        <w:rPr>
          <w:rStyle w:val="31"/>
          <w:rFonts w:ascii="Times New Roman" w:hAnsi="Times New Roman" w:eastAsia="黑体"/>
          <w:b w:val="0"/>
          <w:color w:val="auto"/>
          <w:highlight w:val="none"/>
        </w:rPr>
      </w:pPr>
      <w:bookmarkStart w:id="28" w:name="_Toc15377215"/>
      <w:bookmarkStart w:id="29"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28"/>
      <w:bookmarkEnd w:id="29"/>
    </w:p>
    <w:p w14:paraId="241ED61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0"/>
    </w:p>
    <w:p w14:paraId="2B63C4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7.48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2.78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59</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2B9BEF6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1"/>
    </w:p>
    <w:p w14:paraId="3CCAE6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7.48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66183A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4990BDBD">
      <w:pPr>
        <w:pStyle w:val="20"/>
        <w:rPr>
          <w:rFonts w:hint="eastAsia"/>
          <w:lang w:val="en-US" w:eastAsia="zh-CN"/>
        </w:rPr>
      </w:pPr>
      <w:r>
        <w:rPr>
          <w:rFonts w:hint="eastAsia"/>
          <w:lang w:val="en-US"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1EEC54E">
      <w:pPr>
        <w:numPr>
          <w:ilvl w:val="0"/>
          <w:numId w:val="4"/>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上年度无增减。</w:t>
      </w:r>
    </w:p>
    <w:p w14:paraId="168CE26C">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7.48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2.78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工作任务量增多，公车运行维护费增多。</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7A69AD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7.48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lang w:eastAsia="zh-CN"/>
        </w:rPr>
        <w:t>传染病管理、追踪、治疗、督导，</w:t>
      </w:r>
      <w:r>
        <w:rPr>
          <w:rFonts w:hint="eastAsia" w:ascii="仿宋_GB2312" w:hAnsi="仿宋_GB2312" w:eastAsia="仿宋_GB2312" w:cs="仿宋_GB2312"/>
          <w:color w:val="auto"/>
          <w:sz w:val="32"/>
          <w:szCs w:val="32"/>
        </w:rPr>
        <w:t>处理突发公共卫生应急事件</w:t>
      </w:r>
      <w:r>
        <w:rPr>
          <w:rFonts w:hint="eastAsia" w:ascii="仿宋_GB2312" w:eastAsia="仿宋_GB2312"/>
          <w:color w:val="auto"/>
          <w:sz w:val="32"/>
          <w:szCs w:val="32"/>
        </w:rPr>
        <w:t>等所需</w:t>
      </w:r>
      <w:r>
        <w:rPr>
          <w:rFonts w:hint="eastAsia" w:ascii="Times New Roman" w:hAnsi="Times New Roman" w:eastAsia="仿宋_GB2312" w:cs="仿宋_GB2312"/>
          <w:color w:val="auto"/>
          <w:kern w:val="2"/>
          <w:sz w:val="32"/>
          <w:szCs w:val="32"/>
          <w:highlight w:val="none"/>
          <w:lang w:val="en-US" w:eastAsia="zh-CN" w:bidi="ar-SA"/>
        </w:rPr>
        <w:t>的公务用车燃料费、维修费、过路过桥费、保险费等支出。</w:t>
      </w:r>
    </w:p>
    <w:p w14:paraId="328D41B8">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无增减。</w:t>
      </w:r>
    </w:p>
    <w:p w14:paraId="553FEA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452DA9AD">
      <w:pPr>
        <w:spacing w:line="600" w:lineRule="exact"/>
        <w:ind w:firstLine="640"/>
        <w:outlineLvl w:val="1"/>
        <w:rPr>
          <w:rStyle w:val="31"/>
          <w:rFonts w:ascii="Times New Roman" w:hAnsi="Times New Roman" w:eastAsia="黑体"/>
          <w:color w:val="auto"/>
          <w:highlight w:val="none"/>
        </w:rPr>
      </w:pPr>
      <w:bookmarkStart w:id="32" w:name="_Toc15377218"/>
      <w:bookmarkStart w:id="33" w:name="_Toc15396610"/>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2"/>
      <w:bookmarkEnd w:id="33"/>
    </w:p>
    <w:p w14:paraId="23DECD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决算数与预算数持平。</w:t>
      </w:r>
    </w:p>
    <w:p w14:paraId="148C745D">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4" w:name="_Toc15396611"/>
      <w:bookmarkStart w:id="35"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4"/>
      <w:bookmarkEnd w:id="35"/>
    </w:p>
    <w:p w14:paraId="4F3834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决算数与预算数持平。</w:t>
      </w:r>
    </w:p>
    <w:p w14:paraId="2ACD0FC2">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36" w:name="_Toc15396612"/>
      <w:bookmarkStart w:id="37"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6"/>
      <w:bookmarkEnd w:id="37"/>
    </w:p>
    <w:p w14:paraId="75877E9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22"/>
      <w:r>
        <w:rPr>
          <w:rFonts w:hint="eastAsia" w:ascii="Times New Roman" w:hAnsi="Times New Roman" w:eastAsia="楷体_GB2312" w:cs="楷体_GB2312"/>
          <w:b/>
          <w:color w:val="auto"/>
          <w:sz w:val="32"/>
          <w:szCs w:val="32"/>
          <w:highlight w:val="none"/>
        </w:rPr>
        <w:t>（一）机关运行经费支出情况</w:t>
      </w:r>
      <w:bookmarkEnd w:id="38"/>
    </w:p>
    <w:p w14:paraId="671D93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松潘县疾病预防控制中心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年度决算数持平</w:t>
      </w:r>
      <w:r>
        <w:rPr>
          <w:rFonts w:hint="eastAsia" w:eastAsia="仿宋_GB2312" w:cs="仿宋_GB2312"/>
          <w:color w:val="auto"/>
          <w:kern w:val="2"/>
          <w:sz w:val="32"/>
          <w:szCs w:val="32"/>
          <w:highlight w:val="none"/>
          <w:lang w:val="en-US" w:eastAsia="zh-CN" w:bidi="ar-SA"/>
        </w:rPr>
        <w:t>。</w:t>
      </w:r>
    </w:p>
    <w:p w14:paraId="5979B4E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23"/>
      <w:r>
        <w:rPr>
          <w:rFonts w:hint="eastAsia" w:ascii="Times New Roman" w:hAnsi="Times New Roman" w:eastAsia="楷体_GB2312" w:cs="楷体_GB2312"/>
          <w:b/>
          <w:color w:val="auto"/>
          <w:sz w:val="32"/>
          <w:szCs w:val="32"/>
          <w:highlight w:val="none"/>
        </w:rPr>
        <w:t>（二）政府采购支出情况</w:t>
      </w:r>
      <w:bookmarkEnd w:id="39"/>
    </w:p>
    <w:p w14:paraId="7ED0B9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松潘县疾病预防控制中心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22.39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22.39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主要用于</w:t>
      </w:r>
      <w:r>
        <w:rPr>
          <w:rFonts w:hint="eastAsia" w:eastAsia="仿宋_GB2312" w:cs="仿宋_GB2312"/>
          <w:color w:val="auto"/>
          <w:kern w:val="2"/>
          <w:sz w:val="32"/>
          <w:szCs w:val="32"/>
          <w:highlight w:val="none"/>
          <w:lang w:val="en-US" w:eastAsia="zh-CN" w:bidi="ar-SA"/>
        </w:rPr>
        <w:t>传染病监测预警与应急指挥能力提升项目及购买复印机、多功能打印机等</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FD4525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4"/>
      <w:r>
        <w:rPr>
          <w:rFonts w:hint="eastAsia" w:ascii="Times New Roman" w:hAnsi="Times New Roman" w:eastAsia="楷体_GB2312" w:cs="楷体_GB2312"/>
          <w:b/>
          <w:color w:val="auto"/>
          <w:sz w:val="32"/>
          <w:szCs w:val="32"/>
          <w:highlight w:val="none"/>
        </w:rPr>
        <w:t>（三）国有资产占有使用情况</w:t>
      </w:r>
      <w:bookmarkEnd w:id="40"/>
    </w:p>
    <w:p w14:paraId="28AE1C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松潘县疾病预防控制中心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7</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7</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4BFE1E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17076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重大传染病、地方病防治项目等</w:t>
      </w:r>
      <w:r>
        <w:rPr>
          <w:rFonts w:hint="eastAsia" w:ascii="Times New Roman" w:hAnsi="Times New Roman" w:eastAsia="仿宋_GB2312" w:cs="仿宋_GB2312"/>
          <w:color w:val="auto"/>
          <w:kern w:val="2"/>
          <w:sz w:val="32"/>
          <w:szCs w:val="32"/>
          <w:highlight w:val="none"/>
          <w:lang w:val="en-US" w:eastAsia="zh-CN" w:bidi="ar-SA"/>
        </w:rPr>
        <w:t>涉及金额</w:t>
      </w:r>
      <w:r>
        <w:rPr>
          <w:rFonts w:hint="eastAsia" w:eastAsia="仿宋_GB2312" w:cs="仿宋_GB2312"/>
          <w:color w:val="auto"/>
          <w:kern w:val="2"/>
          <w:sz w:val="32"/>
          <w:szCs w:val="32"/>
          <w:highlight w:val="none"/>
          <w:lang w:val="en-US" w:eastAsia="zh-CN" w:bidi="ar-SA"/>
        </w:rPr>
        <w:t>381</w:t>
      </w:r>
      <w:r>
        <w:rPr>
          <w:rFonts w:hint="eastAsia" w:ascii="Times New Roman" w:hAnsi="Times New Roman" w:eastAsia="仿宋_GB2312" w:cs="仿宋_GB2312"/>
          <w:color w:val="auto"/>
          <w:kern w:val="2"/>
          <w:sz w:val="32"/>
          <w:szCs w:val="32"/>
          <w:highlight w:val="none"/>
          <w:lang w:val="en-US" w:eastAsia="zh-CN" w:bidi="ar-SA"/>
        </w:rPr>
        <w:t>万元开展了事前绩效评估，</w:t>
      </w:r>
      <w:bookmarkStart w:id="41" w:name="OLE_LINK1"/>
      <w:r>
        <w:rPr>
          <w:rFonts w:hint="eastAsia" w:ascii="Times New Roman" w:hAnsi="Times New Roman" w:eastAsia="仿宋_GB2312" w:cs="仿宋_GB2312"/>
          <w:color w:val="auto"/>
          <w:kern w:val="2"/>
          <w:sz w:val="32"/>
          <w:szCs w:val="32"/>
          <w:highlight w:val="none"/>
          <w:lang w:val="en-US" w:eastAsia="zh-CN" w:bidi="ar-SA"/>
        </w:rPr>
        <w:t>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个项目开展绩效监控。</w:t>
      </w:r>
    </w:p>
    <w:bookmarkEnd w:id="41"/>
    <w:p w14:paraId="2FA393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9DB97D2">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2" w:name="_Toc15377225"/>
      <w:bookmarkStart w:id="43"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2"/>
      <w:bookmarkEnd w:id="43"/>
    </w:p>
    <w:p w14:paraId="45E67A05">
      <w:pPr>
        <w:spacing w:line="600" w:lineRule="exact"/>
        <w:jc w:val="left"/>
        <w:rPr>
          <w:rFonts w:ascii="Times New Roman" w:hAnsi="Times New Roman"/>
          <w:b/>
          <w:color w:val="auto"/>
          <w:sz w:val="44"/>
          <w:szCs w:val="44"/>
          <w:highlight w:val="none"/>
        </w:rPr>
      </w:pPr>
    </w:p>
    <w:p w14:paraId="377CF2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4" w:name="_Toc15396614"/>
      <w:bookmarkStart w:id="45"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F5319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281FCF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650FBE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r>
        <w:rPr>
          <w:rFonts w:hint="eastAsia" w:eastAsia="仿宋_GB2312" w:cs="仿宋_GB2312"/>
          <w:color w:val="auto"/>
          <w:kern w:val="2"/>
          <w:sz w:val="32"/>
          <w:szCs w:val="32"/>
          <w:highlight w:val="none"/>
          <w:lang w:val="en-US" w:eastAsia="zh-CN" w:bidi="ar-SA"/>
        </w:rPr>
        <w:t>。</w:t>
      </w:r>
    </w:p>
    <w:p w14:paraId="10A877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483C2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74971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8B085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020AA75">
      <w:pPr>
        <w:pStyle w:val="28"/>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8</w:t>
      </w:r>
      <w:r>
        <w:rPr>
          <w:rFonts w:ascii="仿宋_GB2312" w:eastAsia="仿宋_GB2312"/>
          <w:color w:val="auto"/>
          <w:sz w:val="32"/>
          <w:szCs w:val="32"/>
        </w:rPr>
        <w:t>.</w:t>
      </w:r>
      <w:r>
        <w:rPr>
          <w:rFonts w:hint="eastAsia" w:ascii="仿宋_GB2312" w:eastAsia="仿宋_GB2312"/>
          <w:color w:val="auto"/>
          <w:sz w:val="32"/>
          <w:szCs w:val="32"/>
        </w:rPr>
        <w:t>社会保障和就业支出（208）行政事业单位养老支出（20805）机关事业单位基本养老保险缴费支出（2080505）</w:t>
      </w:r>
      <w:r>
        <w:rPr>
          <w:rFonts w:hint="eastAsia" w:ascii="仿宋_GB2312" w:eastAsia="仿宋_GB2312"/>
          <w:color w:val="auto"/>
          <w:sz w:val="32"/>
          <w:szCs w:val="32"/>
          <w:lang w:eastAsia="zh-CN"/>
        </w:rPr>
        <w:t>：反映机关事业单位实施养老保险制度由单位缴纳的基本养老保险费支出。</w:t>
      </w:r>
    </w:p>
    <w:p w14:paraId="4847092B">
      <w:pPr>
        <w:pStyle w:val="28"/>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9</w:t>
      </w:r>
      <w:r>
        <w:rPr>
          <w:rFonts w:hint="eastAsia" w:ascii="仿宋_GB2312" w:eastAsia="仿宋_GB2312"/>
          <w:color w:val="auto"/>
          <w:sz w:val="32"/>
          <w:szCs w:val="32"/>
        </w:rPr>
        <w:t>.社会保障和就业支出（208）行政事业单位养老支出（20805）机关事业单位职业年金缴费支出（2080506）</w:t>
      </w:r>
      <w:r>
        <w:rPr>
          <w:rFonts w:hint="eastAsia" w:ascii="仿宋_GB2312" w:eastAsia="仿宋_GB2312"/>
          <w:color w:val="auto"/>
          <w:sz w:val="32"/>
          <w:szCs w:val="32"/>
          <w:lang w:eastAsia="zh-CN"/>
        </w:rPr>
        <w:t>：反映机关事业单位实施养老保险制度由单位实际缴纳的职业年金支出。</w:t>
      </w:r>
    </w:p>
    <w:p w14:paraId="4BD32688">
      <w:pPr>
        <w:pStyle w:val="28"/>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10</w:t>
      </w:r>
      <w:r>
        <w:rPr>
          <w:rFonts w:hint="eastAsia" w:ascii="仿宋_GB2312" w:eastAsia="仿宋_GB2312"/>
          <w:color w:val="auto"/>
          <w:sz w:val="32"/>
          <w:szCs w:val="32"/>
        </w:rPr>
        <w:t>.卫生健康支出（210）公共卫生（21004）疾病预防控制机构（2100401）</w:t>
      </w:r>
      <w:r>
        <w:rPr>
          <w:rFonts w:hint="eastAsia" w:ascii="仿宋_GB2312" w:eastAsia="仿宋_GB2312"/>
          <w:color w:val="auto"/>
          <w:sz w:val="32"/>
          <w:szCs w:val="32"/>
          <w:lang w:eastAsia="zh-CN"/>
        </w:rPr>
        <w:t>：反映卫生健康部门所属疾病预防控制机构的支出。</w:t>
      </w:r>
    </w:p>
    <w:p w14:paraId="00D5E30A">
      <w:pPr>
        <w:pStyle w:val="28"/>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11</w:t>
      </w:r>
      <w:r>
        <w:rPr>
          <w:rFonts w:hint="eastAsia" w:ascii="仿宋_GB2312" w:eastAsia="仿宋_GB2312"/>
          <w:color w:val="auto"/>
          <w:sz w:val="32"/>
          <w:szCs w:val="32"/>
        </w:rPr>
        <w:t>.卫生健康支出（210）公共卫生（21004）基本公共卫生服务（2100408）</w:t>
      </w:r>
      <w:r>
        <w:rPr>
          <w:rFonts w:hint="eastAsia" w:ascii="仿宋_GB2312" w:eastAsia="仿宋_GB2312"/>
          <w:color w:val="auto"/>
          <w:sz w:val="32"/>
          <w:szCs w:val="32"/>
          <w:lang w:eastAsia="zh-CN"/>
        </w:rPr>
        <w:t>：反映基本公共卫生服务支出。</w:t>
      </w:r>
    </w:p>
    <w:p w14:paraId="07373390">
      <w:pPr>
        <w:pStyle w:val="28"/>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12</w:t>
      </w:r>
      <w:r>
        <w:rPr>
          <w:rFonts w:hint="eastAsia" w:ascii="仿宋_GB2312" w:eastAsia="仿宋_GB2312"/>
          <w:color w:val="auto"/>
          <w:sz w:val="32"/>
          <w:szCs w:val="32"/>
        </w:rPr>
        <w:t>.卫生健康支出（210）公共卫生（21004）重大公共卫生服务（2100409）</w:t>
      </w:r>
      <w:r>
        <w:rPr>
          <w:rFonts w:hint="eastAsia" w:ascii="仿宋_GB2312" w:eastAsia="仿宋_GB2312"/>
          <w:color w:val="auto"/>
          <w:sz w:val="32"/>
          <w:szCs w:val="32"/>
          <w:lang w:eastAsia="zh-CN"/>
        </w:rPr>
        <w:t>：反映重大疾病、重大传染病预防控制等重大公共卫生服务项目支出。</w:t>
      </w:r>
    </w:p>
    <w:p w14:paraId="1FD113F6">
      <w:pPr>
        <w:pStyle w:val="28"/>
        <w:spacing w:line="560" w:lineRule="exact"/>
        <w:ind w:firstLine="640" w:firstLineChars="200"/>
        <w:rPr>
          <w:rFonts w:hint="eastAsia" w:ascii="仿宋" w:hAnsi="仿宋" w:eastAsia="仿宋"/>
          <w:color w:val="000000"/>
          <w:sz w:val="32"/>
          <w:szCs w:val="32"/>
          <w:lang w:eastAsia="zh-CN"/>
        </w:rPr>
      </w:pPr>
      <w:r>
        <w:rPr>
          <w:rFonts w:hint="eastAsia" w:ascii="仿宋_GB2312" w:eastAsia="仿宋_GB2312"/>
          <w:color w:val="auto"/>
          <w:sz w:val="32"/>
          <w:szCs w:val="32"/>
          <w:lang w:val="en-US" w:eastAsia="zh-CN"/>
        </w:rPr>
        <w:t>13</w:t>
      </w:r>
      <w:r>
        <w:rPr>
          <w:rFonts w:hint="eastAsia" w:ascii="仿宋_GB2312" w:eastAsia="仿宋_GB2312"/>
          <w:color w:val="auto"/>
          <w:sz w:val="32"/>
          <w:szCs w:val="32"/>
        </w:rPr>
        <w:t>.卫生健康支出（210）公共卫生（21004）其他公共卫生支出（2100499）</w:t>
      </w:r>
      <w:r>
        <w:rPr>
          <w:rFonts w:hint="eastAsia" w:ascii="仿宋_GB2312" w:eastAsia="仿宋_GB2312"/>
          <w:color w:val="auto"/>
          <w:sz w:val="32"/>
          <w:szCs w:val="32"/>
          <w:lang w:eastAsia="zh-CN"/>
        </w:rPr>
        <w:t>：反映除上述项目以外的其他用于公共卫生方面的支出。</w:t>
      </w:r>
      <w:r>
        <w:rPr>
          <w:rFonts w:hint="eastAsia" w:ascii="仿宋_GB2312" w:eastAsia="仿宋_GB2312"/>
          <w:color w:val="auto"/>
          <w:sz w:val="32"/>
          <w:szCs w:val="32"/>
        </w:rPr>
        <w:cr/>
      </w:r>
      <w:r>
        <w:rPr>
          <w:rFonts w:hint="eastAsia" w:ascii="仿宋_GB2312" w:eastAsia="仿宋_GB2312"/>
          <w:color w:val="auto"/>
          <w:sz w:val="32"/>
          <w:szCs w:val="32"/>
          <w:lang w:val="en-US" w:eastAsia="zh-CN"/>
        </w:rPr>
        <w:t xml:space="preserve">    14</w:t>
      </w:r>
      <w:r>
        <w:rPr>
          <w:rFonts w:hint="eastAsia" w:ascii="仿宋_GB2312" w:eastAsia="仿宋_GB2312"/>
          <w:color w:val="auto"/>
          <w:sz w:val="32"/>
          <w:szCs w:val="32"/>
        </w:rPr>
        <w:t>.卫生健康支出（210）行政事业单位医疗（21011）事业单位医疗（2101102）</w:t>
      </w:r>
      <w:r>
        <w:rPr>
          <w:rFonts w:hint="eastAsia" w:ascii="仿宋_GB2312" w:eastAsia="仿宋_GB2312"/>
          <w:color w:val="auto"/>
          <w:sz w:val="32"/>
          <w:szCs w:val="32"/>
          <w:lang w:eastAsia="zh-CN"/>
        </w:rPr>
        <w:t>：反映财政部门安排的事业单位基本医疗保险缴费经费，未参加医疗保险的事业单位的公费医疗经费，按国家规定享受离休人员待</w:t>
      </w:r>
      <w:r>
        <w:rPr>
          <w:rFonts w:hint="eastAsia" w:ascii="仿宋" w:hAnsi="仿宋" w:eastAsia="仿宋"/>
          <w:color w:val="000000"/>
          <w:sz w:val="32"/>
          <w:szCs w:val="32"/>
          <w:lang w:eastAsia="zh-CN"/>
        </w:rPr>
        <w:t>遇的医疗经费。</w:t>
      </w:r>
    </w:p>
    <w:p w14:paraId="77CB5011">
      <w:pPr>
        <w:pStyle w:val="28"/>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15</w:t>
      </w:r>
      <w:r>
        <w:rPr>
          <w:rFonts w:hint="eastAsia" w:ascii="仿宋_GB2312" w:eastAsia="仿宋_GB2312"/>
          <w:color w:val="auto"/>
          <w:sz w:val="32"/>
          <w:szCs w:val="32"/>
        </w:rPr>
        <w:t>.卫生健康支出（210）行政事业单位医疗（21011）</w:t>
      </w:r>
      <w:r>
        <w:rPr>
          <w:rFonts w:hint="eastAsia" w:ascii="仿宋_GB2312" w:eastAsia="仿宋_GB2312"/>
          <w:color w:val="auto"/>
          <w:sz w:val="32"/>
          <w:szCs w:val="32"/>
          <w:lang w:eastAsia="zh-CN"/>
        </w:rPr>
        <w:t>其他行政</w:t>
      </w:r>
      <w:r>
        <w:rPr>
          <w:rFonts w:hint="eastAsia" w:ascii="仿宋_GB2312" w:eastAsia="仿宋_GB2312"/>
          <w:color w:val="auto"/>
          <w:sz w:val="32"/>
          <w:szCs w:val="32"/>
        </w:rPr>
        <w:t>事业单位医疗（21011</w:t>
      </w:r>
      <w:r>
        <w:rPr>
          <w:rFonts w:hint="eastAsia" w:ascii="仿宋_GB2312" w:eastAsia="仿宋_GB2312"/>
          <w:color w:val="auto"/>
          <w:sz w:val="32"/>
          <w:szCs w:val="32"/>
          <w:lang w:val="en-US" w:eastAsia="zh-CN"/>
        </w:rPr>
        <w:t>99</w:t>
      </w:r>
      <w:r>
        <w:rPr>
          <w:rFonts w:hint="eastAsia" w:ascii="仿宋_GB2312" w:eastAsia="仿宋_GB2312"/>
          <w:color w:val="auto"/>
          <w:sz w:val="32"/>
          <w:szCs w:val="32"/>
        </w:rPr>
        <w:t>）</w:t>
      </w:r>
      <w:r>
        <w:rPr>
          <w:rFonts w:hint="eastAsia" w:ascii="仿宋_GB2312" w:eastAsia="仿宋_GB2312"/>
          <w:color w:val="auto"/>
          <w:sz w:val="32"/>
          <w:szCs w:val="32"/>
          <w:lang w:eastAsia="zh-CN"/>
        </w:rPr>
        <w:t>：反映除事业单位医疗以外的其他行政事业单位医疗支出。</w:t>
      </w:r>
    </w:p>
    <w:p w14:paraId="672D682A">
      <w:pPr>
        <w:pStyle w:val="28"/>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16</w:t>
      </w:r>
      <w:r>
        <w:rPr>
          <w:rFonts w:hint="eastAsia" w:ascii="仿宋_GB2312" w:eastAsia="仿宋_GB2312"/>
          <w:color w:val="auto"/>
          <w:sz w:val="32"/>
          <w:szCs w:val="32"/>
        </w:rPr>
        <w:t>.住房保障支出（221）住房改革支出（22102）住房公积金（2210201）</w:t>
      </w:r>
      <w:r>
        <w:rPr>
          <w:rFonts w:hint="eastAsia" w:ascii="仿宋_GB2312" w:eastAsia="仿宋_GB2312"/>
          <w:color w:val="auto"/>
          <w:sz w:val="32"/>
          <w:szCs w:val="32"/>
          <w:lang w:eastAsia="zh-CN"/>
        </w:rPr>
        <w:t>：反映行政事业单位按人力资源和社会保障部、财政部规定的基本工资和津贴补贴以及规定比例为职工缴纳的住房公积金。</w:t>
      </w:r>
    </w:p>
    <w:p w14:paraId="0FABA380">
      <w:pPr>
        <w:pStyle w:val="28"/>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17</w:t>
      </w:r>
      <w:r>
        <w:rPr>
          <w:rFonts w:hint="eastAsia" w:ascii="仿宋_GB2312" w:eastAsia="仿宋_GB2312"/>
          <w:color w:val="auto"/>
          <w:sz w:val="32"/>
          <w:szCs w:val="32"/>
        </w:rPr>
        <w:t>.基本支出：指为保障机构正常运转、完成日常工作任务而发生的人员支出和公用支出。</w:t>
      </w:r>
    </w:p>
    <w:p w14:paraId="6C579E08">
      <w:pPr>
        <w:pStyle w:val="28"/>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18</w:t>
      </w:r>
      <w:r>
        <w:rPr>
          <w:rFonts w:hint="eastAsia" w:ascii="仿宋_GB2312" w:eastAsia="仿宋_GB2312"/>
          <w:color w:val="auto"/>
          <w:sz w:val="32"/>
          <w:szCs w:val="32"/>
        </w:rPr>
        <w:t xml:space="preserve">.项目支出：指在基本支出之外为完成特定行政任务和事业发展目标所发生的支出。 </w:t>
      </w:r>
    </w:p>
    <w:p w14:paraId="1E2B862B">
      <w:pPr>
        <w:pStyle w:val="28"/>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19</w:t>
      </w:r>
      <w:r>
        <w:rPr>
          <w:rFonts w:hint="eastAsia" w:ascii="仿宋_GB2312" w:eastAsia="仿宋_GB2312"/>
          <w:color w:val="auto"/>
          <w:sz w:val="32"/>
          <w:szCs w:val="32"/>
        </w:rPr>
        <w:t>.经营支出：指事业单位在专业业务活动及其辅助活动之外开展非独立核算经营活动发生的支出。</w:t>
      </w:r>
    </w:p>
    <w:p w14:paraId="0B66FBF6">
      <w:pPr>
        <w:pStyle w:val="28"/>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20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320FE8">
      <w:pPr>
        <w:pStyle w:val="28"/>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21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w:t>
      </w:r>
    </w:p>
    <w:p w14:paraId="0AD23A70">
      <w:pPr>
        <w:pStyle w:val="28"/>
        <w:spacing w:line="560" w:lineRule="exact"/>
        <w:rPr>
          <w:rFonts w:hint="eastAsia" w:ascii="仿宋_GB2312" w:eastAsia="仿宋_GB2312"/>
          <w:color w:val="auto"/>
          <w:sz w:val="32"/>
          <w:szCs w:val="32"/>
        </w:rPr>
      </w:pPr>
      <w:r>
        <w:rPr>
          <w:rFonts w:hint="eastAsia" w:ascii="仿宋_GB2312" w:eastAsia="仿宋_GB2312"/>
          <w:color w:val="auto"/>
          <w:sz w:val="32"/>
          <w:szCs w:val="32"/>
        </w:rPr>
        <w:t>以及其他费用。</w:t>
      </w:r>
    </w:p>
    <w:p w14:paraId="4EABF38E">
      <w:pPr>
        <w:spacing w:line="600" w:lineRule="exact"/>
        <w:jc w:val="center"/>
        <w:rPr>
          <w:rFonts w:hint="eastAsia" w:ascii="Times New Roman" w:hAnsi="Times New Roman" w:eastAsia="黑体"/>
          <w:color w:val="auto"/>
          <w:sz w:val="44"/>
          <w:szCs w:val="44"/>
          <w:highlight w:val="none"/>
        </w:rPr>
      </w:pPr>
    </w:p>
    <w:p w14:paraId="588858B4">
      <w:pPr>
        <w:numPr>
          <w:ilvl w:val="0"/>
          <w:numId w:val="5"/>
        </w:numPr>
        <w:spacing w:line="600" w:lineRule="exact"/>
        <w:jc w:val="cente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 xml:space="preserve"> 附件</w:t>
      </w:r>
      <w:bookmarkEnd w:id="44"/>
    </w:p>
    <w:p w14:paraId="0DC73803">
      <w:pPr>
        <w:pStyle w:val="20"/>
        <w:numPr>
          <w:ilvl w:val="0"/>
          <w:numId w:val="0"/>
        </w:numPr>
        <w:ind w:right="0" w:rightChars="0"/>
        <w:rPr>
          <w:rFonts w:hint="eastAsia"/>
          <w:lang w:eastAsia="zh-CN"/>
        </w:rPr>
      </w:pPr>
    </w:p>
    <w:p w14:paraId="75F9E6D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仿宋_GB2312" w:eastAsia="仿宋_GB2312"/>
          <w:color w:val="auto"/>
          <w:sz w:val="32"/>
          <w:szCs w:val="32"/>
          <w:lang w:val="en-US" w:eastAsia="zh-CN"/>
        </w:rPr>
        <w:t>附件：部门预算项目支出绩效自评表（2025年度）</w:t>
      </w: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2"/>
        <w:gridCol w:w="2032"/>
        <w:gridCol w:w="1770"/>
        <w:gridCol w:w="2234"/>
        <w:gridCol w:w="519"/>
        <w:gridCol w:w="1658"/>
        <w:gridCol w:w="519"/>
        <w:gridCol w:w="1083"/>
        <w:gridCol w:w="505"/>
        <w:gridCol w:w="576"/>
        <w:gridCol w:w="2522"/>
      </w:tblGrid>
      <w:tr w14:paraId="26204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11C42095">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70F3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14"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0300A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86" w:type="dxa"/>
            <w:gridSpan w:val="9"/>
            <w:tcBorders>
              <w:top w:val="single" w:color="auto" w:sz="4" w:space="0"/>
              <w:left w:val="single" w:color="000000" w:sz="4" w:space="0"/>
              <w:bottom w:val="single" w:color="000000" w:sz="4" w:space="0"/>
              <w:right w:val="single" w:color="000000" w:sz="4" w:space="0"/>
            </w:tcBorders>
            <w:shd w:val="clear" w:color="auto" w:fill="auto"/>
            <w:vAlign w:val="center"/>
          </w:tcPr>
          <w:p w14:paraId="4D382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重大传染病防治及地方病防治项目</w:t>
            </w:r>
          </w:p>
        </w:tc>
      </w:tr>
      <w:tr w14:paraId="53D52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62D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0FC9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松潘县卫生健康局</w:t>
            </w:r>
          </w:p>
        </w:tc>
        <w:tc>
          <w:tcPr>
            <w:tcW w:w="1083" w:type="dxa"/>
            <w:tcBorders>
              <w:top w:val="nil"/>
              <w:left w:val="nil"/>
              <w:bottom w:val="nil"/>
              <w:right w:val="nil"/>
            </w:tcBorders>
            <w:shd w:val="clear" w:color="auto" w:fill="auto"/>
            <w:vAlign w:val="center"/>
          </w:tcPr>
          <w:p w14:paraId="3260431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6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D56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w:t>
            </w:r>
            <w:r>
              <w:rPr>
                <w:rFonts w:hint="eastAsia" w:ascii="宋体" w:hAnsi="宋体" w:cs="宋体"/>
                <w:i w:val="0"/>
                <w:iCs w:val="0"/>
                <w:color w:val="000000"/>
                <w:kern w:val="0"/>
                <w:sz w:val="18"/>
                <w:szCs w:val="18"/>
                <w:u w:val="none"/>
                <w:lang w:val="en-US" w:eastAsia="zh-CN" w:bidi="ar"/>
              </w:rPr>
              <w:t>疾病</w:t>
            </w:r>
            <w:r>
              <w:rPr>
                <w:rFonts w:ascii="宋体" w:hAnsi="宋体" w:eastAsia="宋体" w:cs="宋体"/>
                <w:i w:val="0"/>
                <w:iCs w:val="0"/>
                <w:color w:val="000000"/>
                <w:kern w:val="0"/>
                <w:sz w:val="18"/>
                <w:szCs w:val="18"/>
                <w:u w:val="none"/>
                <w:lang w:val="en-US" w:eastAsia="zh-CN" w:bidi="ar"/>
              </w:rPr>
              <w:t>预防控制中心</w:t>
            </w:r>
          </w:p>
        </w:tc>
      </w:tr>
      <w:tr w14:paraId="61F68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FF2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F4D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FA2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24C88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16E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B72B9">
            <w:pPr>
              <w:rPr>
                <w:rFonts w:hint="eastAsia" w:ascii="宋体" w:hAnsi="宋体" w:eastAsia="宋体" w:cs="宋体"/>
                <w:i w:val="0"/>
                <w:iCs w:val="0"/>
                <w:color w:val="000000"/>
                <w:sz w:val="18"/>
                <w:szCs w:val="18"/>
                <w:u w:val="none"/>
              </w:rPr>
            </w:pPr>
          </w:p>
        </w:tc>
        <w:tc>
          <w:tcPr>
            <w:tcW w:w="2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5EB72">
            <w:pPr>
              <w:rPr>
                <w:rFonts w:hint="eastAsia" w:ascii="宋体" w:hAnsi="宋体" w:eastAsia="宋体" w:cs="宋体"/>
                <w:i w:val="0"/>
                <w:iCs w:val="0"/>
                <w:color w:val="000000"/>
                <w:sz w:val="18"/>
                <w:szCs w:val="18"/>
                <w:u w:val="none"/>
              </w:rPr>
            </w:pPr>
          </w:p>
        </w:tc>
        <w:tc>
          <w:tcPr>
            <w:tcW w:w="67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3109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1.常住人口艾滋病检测覆盖率达40%。2.各类人群艾滋病防治知识知晓率分别</w:t>
            </w:r>
            <w:r>
              <w:rPr>
                <w:rFonts w:hint="eastAsia" w:ascii="宋体" w:hAnsi="宋体" w:cs="宋体"/>
                <w:i w:val="0"/>
                <w:iCs w:val="0"/>
                <w:color w:val="000000"/>
                <w:kern w:val="0"/>
                <w:sz w:val="18"/>
                <w:szCs w:val="18"/>
                <w:u w:val="none"/>
                <w:lang w:val="en-US" w:eastAsia="zh-CN" w:bidi="ar"/>
              </w:rPr>
              <w:t>达到</w:t>
            </w:r>
            <w:r>
              <w:rPr>
                <w:rFonts w:ascii="宋体" w:hAnsi="宋体" w:eastAsia="宋体" w:cs="宋体"/>
                <w:i w:val="0"/>
                <w:iCs w:val="0"/>
                <w:color w:val="000000"/>
                <w:kern w:val="0"/>
                <w:sz w:val="18"/>
                <w:szCs w:val="18"/>
                <w:u w:val="none"/>
                <w:lang w:val="en-US" w:eastAsia="zh-CN" w:bidi="ar"/>
              </w:rPr>
              <w:t>90%以上。3.艾滋病哨点监测完成率100%。4.完成地方病监测、患者治疗随访工作及健康教育宣传工作。</w:t>
            </w:r>
          </w:p>
        </w:tc>
        <w:tc>
          <w:tcPr>
            <w:tcW w:w="46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7C66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1.完成常住人口筛查工作，检测率为46.41%。2.完成各类人群问卷工作，知晓率达90%以上。3.艾滋病哨点监测完成率达100%。4.完成监测村大骨节、氟斑牙、尿碘盐碘监测工作。5.完成地方病患者全覆盖随访及药物治疗。</w:t>
            </w:r>
          </w:p>
        </w:tc>
      </w:tr>
      <w:tr w14:paraId="6A3FC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4E8E2">
            <w:pP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42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8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4FE6A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结核病防治：登记活动性肺结核患者44例，规范管理率、成功治疗率均达96.08%，病原学阳性率66.67%，分子生物学检测比例97.62%；筛查密切接触者40人，检出并管理患者1人；处置疫情预警9起，学校主动筛查1767人，筛查率100%；督导医疗机构17所、学校22所，整改问题3项；开展宣传及校园宣讲覆盖2300余人次，培训基层医务人员50余人次。</w:t>
            </w:r>
          </w:p>
          <w:p w14:paraId="4368C119">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艾滋病防治：完成HIV抗体检测32143人次，筛查率48.15%，未发现新增病例；规范随访管理现存活感染者/病人80例，随访率100%，抗病毒治疗覆盖率96.25%；开展“五进”宣传和“世界艾滋病日”主题活动，受益群众2400余人次，发放资料1700余份；接受省州督导3次，完成全县20家医疗机构专项督导1次。</w:t>
            </w:r>
          </w:p>
          <w:p w14:paraId="1056EEC2">
            <w:pPr>
              <w:keepNext w:val="0"/>
              <w:keepLines w:val="0"/>
              <w:widowControl/>
              <w:suppressLineNumbers w:val="0"/>
              <w:jc w:val="left"/>
              <w:textAlignment w:val="center"/>
              <w:rPr>
                <w:rFonts w:ascii="宋体" w:hAnsi="宋体" w:eastAsia="宋体" w:cs="宋体"/>
                <w:i w:val="0"/>
                <w:iCs w:val="0"/>
                <w:color w:val="000000"/>
                <w:sz w:val="18"/>
                <w:szCs w:val="18"/>
                <w:u w:val="none"/>
              </w:rPr>
            </w:pPr>
          </w:p>
        </w:tc>
      </w:tr>
      <w:tr w14:paraId="102F2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C2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D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D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6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6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636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9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9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3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9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D63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E813E">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D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444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140.43</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0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E97E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104.37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3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74</w:t>
            </w:r>
            <w:r>
              <w:rPr>
                <w:rFonts w:ascii="宋体" w:hAnsi="宋体" w:eastAsia="宋体" w:cs="宋体"/>
                <w:i w:val="0"/>
                <w:iCs w:val="0"/>
                <w:color w:val="000000"/>
                <w:kern w:val="0"/>
                <w:sz w:val="18"/>
                <w:szCs w:val="18"/>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F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C38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4.3</w:t>
            </w:r>
          </w:p>
        </w:tc>
        <w:tc>
          <w:tcPr>
            <w:tcW w:w="2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0888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Segoe UI" w:hAnsi="Segoe UI" w:eastAsia="Segoe UI" w:cs="Segoe UI"/>
                <w:i w:val="0"/>
                <w:iCs w:val="0"/>
                <w:caps w:val="0"/>
                <w:color w:val="0F1115"/>
                <w:spacing w:val="0"/>
                <w:sz w:val="18"/>
                <w:szCs w:val="18"/>
                <w:shd w:val="clear" w:fill="FFFFFF"/>
              </w:rPr>
              <w:t>资金分配额度与实际支出需求不匹配</w:t>
            </w:r>
            <w:r>
              <w:rPr>
                <w:rFonts w:hint="eastAsia" w:ascii="Segoe UI" w:hAnsi="Segoe UI" w:eastAsia="宋体" w:cs="Segoe UI"/>
                <w:i w:val="0"/>
                <w:iCs w:val="0"/>
                <w:caps w:val="0"/>
                <w:color w:val="0F1115"/>
                <w:spacing w:val="0"/>
                <w:sz w:val="18"/>
                <w:szCs w:val="18"/>
                <w:shd w:val="clear" w:fill="FFFFFF"/>
                <w:lang w:eastAsia="zh-CN"/>
              </w:rPr>
              <w:t>，</w:t>
            </w:r>
            <w:r>
              <w:rPr>
                <w:rFonts w:ascii="Segoe UI" w:hAnsi="Segoe UI" w:eastAsia="Segoe UI" w:cs="Segoe UI"/>
                <w:i w:val="0"/>
                <w:iCs w:val="0"/>
                <w:caps w:val="0"/>
                <w:color w:val="0F1115"/>
                <w:spacing w:val="0"/>
                <w:sz w:val="18"/>
                <w:szCs w:val="18"/>
                <w:shd w:val="clear" w:fill="FFFFFF"/>
              </w:rPr>
              <w:t>分配额度大于支出总额</w:t>
            </w:r>
            <w:r>
              <w:rPr>
                <w:rFonts w:hint="eastAsia" w:ascii="Segoe UI" w:hAnsi="Segoe UI" w:eastAsia="宋体" w:cs="Segoe UI"/>
                <w:i w:val="0"/>
                <w:iCs w:val="0"/>
                <w:caps w:val="0"/>
                <w:color w:val="0F1115"/>
                <w:spacing w:val="0"/>
                <w:sz w:val="18"/>
                <w:szCs w:val="18"/>
                <w:shd w:val="clear" w:fill="FFFFFF"/>
                <w:lang w:eastAsia="zh-CN"/>
              </w:rPr>
              <w:t>。</w:t>
            </w:r>
          </w:p>
        </w:tc>
      </w:tr>
      <w:tr w14:paraId="68DCB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2F490">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3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7649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140.43</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8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1204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104.37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6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74</w:t>
            </w:r>
            <w:r>
              <w:rPr>
                <w:rFonts w:ascii="宋体" w:hAnsi="宋体" w:eastAsia="宋体" w:cs="宋体"/>
                <w:i w:val="0"/>
                <w:iCs w:val="0"/>
                <w:color w:val="000000"/>
                <w:kern w:val="0"/>
                <w:sz w:val="18"/>
                <w:szCs w:val="18"/>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C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1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C321C">
            <w:pPr>
              <w:rPr>
                <w:rFonts w:hint="eastAsia" w:ascii="黑体" w:hAnsi="黑体" w:eastAsia="黑体" w:cs="黑体"/>
                <w:i/>
                <w:iCs/>
                <w:color w:val="000000"/>
                <w:sz w:val="18"/>
                <w:szCs w:val="18"/>
                <w:u w:val="none"/>
              </w:rPr>
            </w:pPr>
          </w:p>
        </w:tc>
      </w:tr>
      <w:tr w14:paraId="34C15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C91C8">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7B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F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05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123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3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F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6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F5D58">
            <w:pPr>
              <w:rPr>
                <w:rFonts w:hint="eastAsia" w:ascii="黑体" w:hAnsi="黑体" w:eastAsia="黑体" w:cs="黑体"/>
                <w:i/>
                <w:iCs/>
                <w:color w:val="000000"/>
                <w:sz w:val="18"/>
                <w:szCs w:val="18"/>
                <w:u w:val="none"/>
              </w:rPr>
            </w:pPr>
          </w:p>
        </w:tc>
      </w:tr>
      <w:tr w14:paraId="63983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09473">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7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0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0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00B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2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5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6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4E587">
            <w:pPr>
              <w:rPr>
                <w:rFonts w:hint="eastAsia" w:ascii="黑体" w:hAnsi="黑体" w:eastAsia="黑体" w:cs="黑体"/>
                <w:i/>
                <w:iCs/>
                <w:color w:val="000000"/>
                <w:sz w:val="18"/>
                <w:szCs w:val="18"/>
                <w:u w:val="none"/>
              </w:rPr>
            </w:pPr>
          </w:p>
        </w:tc>
      </w:tr>
      <w:tr w14:paraId="103B8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8216D">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3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99CE">
            <w:pPr>
              <w:jc w:val="center"/>
              <w:rPr>
                <w:rFonts w:hint="eastAsia" w:ascii="微软雅黑" w:hAnsi="微软雅黑" w:eastAsia="微软雅黑" w:cs="微软雅黑"/>
                <w:i/>
                <w:iCs/>
                <w:color w:val="000000"/>
                <w:sz w:val="16"/>
                <w:szCs w:val="16"/>
                <w:u w:val="none"/>
              </w:rPr>
            </w:pP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2CA9">
            <w:pPr>
              <w:jc w:val="center"/>
              <w:rPr>
                <w:rFonts w:hint="eastAsia" w:ascii="微软雅黑" w:hAnsi="微软雅黑" w:eastAsia="微软雅黑" w:cs="微软雅黑"/>
                <w:i/>
                <w:iCs/>
                <w:color w:val="000000"/>
                <w:sz w:val="16"/>
                <w:szCs w:val="16"/>
                <w:u w:val="none"/>
              </w:rPr>
            </w:pPr>
          </w:p>
        </w:tc>
        <w:tc>
          <w:tcPr>
            <w:tcW w:w="26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E002DE">
            <w:pPr>
              <w:jc w:val="center"/>
              <w:rPr>
                <w:rFonts w:hint="eastAsia" w:ascii="微软雅黑" w:hAnsi="微软雅黑" w:eastAsia="微软雅黑" w:cs="微软雅黑"/>
                <w:i/>
                <w:iCs/>
                <w:color w:val="000000"/>
                <w:sz w:val="16"/>
                <w:szCs w:val="16"/>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63D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7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8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4CB4A">
            <w:pPr>
              <w:rPr>
                <w:rFonts w:hint="eastAsia" w:ascii="黑体" w:hAnsi="黑体" w:eastAsia="黑体" w:cs="黑体"/>
                <w:i/>
                <w:iCs/>
                <w:color w:val="000000"/>
                <w:sz w:val="18"/>
                <w:szCs w:val="18"/>
                <w:u w:val="none"/>
              </w:rPr>
            </w:pPr>
          </w:p>
        </w:tc>
      </w:tr>
      <w:tr w14:paraId="2BB1D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9C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F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C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FF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2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5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6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E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8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2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BF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F236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807D0">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1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A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5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艾滋病常住人口筛查率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A4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5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22"/>
                <w:szCs w:val="22"/>
                <w:u w:val="none"/>
                <w:lang w:val="en-US" w:eastAsia="zh-CN" w:bidi="ar"/>
              </w:rPr>
              <w:t>40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C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5088">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&gt;</w:t>
            </w:r>
            <w:r>
              <w:rPr>
                <w:rFonts w:hint="eastAsia" w:ascii="宋体" w:hAnsi="宋体" w:eastAsia="宋体" w:cs="宋体"/>
                <w:i w:val="0"/>
                <w:iCs w:val="0"/>
                <w:color w:val="000000"/>
                <w:kern w:val="0"/>
                <w:sz w:val="22"/>
                <w:szCs w:val="22"/>
                <w:u w:val="none"/>
                <w:lang w:val="en-US" w:eastAsia="zh-CN" w:bidi="ar"/>
              </w:rPr>
              <w:t>40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6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44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BCE8">
            <w:pPr>
              <w:jc w:val="center"/>
              <w:rPr>
                <w:rFonts w:hint="eastAsia" w:ascii="宋体" w:hAnsi="宋体" w:eastAsia="宋体" w:cs="宋体"/>
                <w:i w:val="0"/>
                <w:iCs w:val="0"/>
                <w:color w:val="000000"/>
                <w:sz w:val="18"/>
                <w:szCs w:val="18"/>
                <w:u w:val="none"/>
              </w:rPr>
            </w:pPr>
          </w:p>
        </w:tc>
      </w:tr>
      <w:tr w14:paraId="4BA2C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D4239">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4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D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4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艾滋病哨点监测率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3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A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0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F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C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82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94CC">
            <w:pPr>
              <w:jc w:val="center"/>
              <w:rPr>
                <w:rFonts w:hint="eastAsia" w:ascii="宋体" w:hAnsi="宋体" w:eastAsia="宋体" w:cs="宋体"/>
                <w:i w:val="0"/>
                <w:iCs w:val="0"/>
                <w:color w:val="000000"/>
                <w:sz w:val="18"/>
                <w:szCs w:val="18"/>
                <w:u w:val="none"/>
              </w:rPr>
            </w:pPr>
          </w:p>
        </w:tc>
      </w:tr>
      <w:tr w14:paraId="5ED35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912DA">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192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4A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8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艾滋病防治知识知晓率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6D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C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8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45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1C8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EA2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A0E7">
            <w:pPr>
              <w:jc w:val="center"/>
              <w:rPr>
                <w:rFonts w:hint="eastAsia" w:ascii="宋体" w:hAnsi="宋体" w:eastAsia="宋体" w:cs="宋体"/>
                <w:i w:val="0"/>
                <w:iCs w:val="0"/>
                <w:color w:val="000000"/>
                <w:sz w:val="18"/>
                <w:szCs w:val="18"/>
                <w:u w:val="none"/>
              </w:rPr>
            </w:pPr>
          </w:p>
        </w:tc>
      </w:tr>
      <w:tr w14:paraId="1222F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7C254">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F0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1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6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大骨节病监测覆盖率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2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3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F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2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3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9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89A9">
            <w:pPr>
              <w:jc w:val="center"/>
              <w:rPr>
                <w:rFonts w:hint="eastAsia" w:ascii="宋体" w:hAnsi="宋体" w:eastAsia="宋体" w:cs="宋体"/>
                <w:i w:val="0"/>
                <w:iCs w:val="0"/>
                <w:color w:val="000000"/>
                <w:sz w:val="18"/>
                <w:szCs w:val="18"/>
                <w:u w:val="none"/>
              </w:rPr>
            </w:pPr>
          </w:p>
        </w:tc>
      </w:tr>
      <w:tr w14:paraId="35A5C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55BFE">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1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A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A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氟斑牙检测率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3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9C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4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3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A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F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66A6">
            <w:pPr>
              <w:jc w:val="center"/>
              <w:rPr>
                <w:rFonts w:hint="eastAsia" w:ascii="宋体" w:hAnsi="宋体" w:eastAsia="宋体" w:cs="宋体"/>
                <w:i w:val="0"/>
                <w:iCs w:val="0"/>
                <w:color w:val="000000"/>
                <w:sz w:val="18"/>
                <w:szCs w:val="18"/>
                <w:u w:val="none"/>
              </w:rPr>
            </w:pPr>
          </w:p>
        </w:tc>
      </w:tr>
      <w:tr w14:paraId="7BBBA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B0E8F">
            <w:pPr>
              <w:jc w:val="center"/>
              <w:rPr>
                <w:rFonts w:hint="eastAsia" w:ascii="宋体" w:hAnsi="宋体" w:eastAsia="宋体" w:cs="宋体"/>
                <w:i w:val="0"/>
                <w:iCs w:val="0"/>
                <w:color w:val="000000"/>
                <w:sz w:val="18"/>
                <w:szCs w:val="18"/>
                <w:u w:val="none"/>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4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9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3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尿碘、盐碘检测率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6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2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9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C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B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B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798C">
            <w:pPr>
              <w:jc w:val="center"/>
              <w:rPr>
                <w:rFonts w:hint="eastAsia" w:ascii="宋体" w:hAnsi="宋体" w:eastAsia="宋体" w:cs="宋体"/>
                <w:i w:val="0"/>
                <w:iCs w:val="0"/>
                <w:color w:val="000000"/>
                <w:sz w:val="18"/>
                <w:szCs w:val="18"/>
                <w:u w:val="none"/>
              </w:rPr>
            </w:pPr>
          </w:p>
        </w:tc>
      </w:tr>
      <w:tr w14:paraId="3F5E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49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C8A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A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BC39">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w:t>
            </w:r>
            <w:r>
              <w:rPr>
                <w:rFonts w:hint="eastAsia" w:ascii="宋体" w:hAnsi="宋体" w:cs="宋体"/>
                <w:i w:val="0"/>
                <w:iCs w:val="0"/>
                <w:color w:val="000000"/>
                <w:kern w:val="0"/>
                <w:sz w:val="18"/>
                <w:szCs w:val="18"/>
                <w:u w:val="none"/>
                <w:lang w:val="en-US" w:eastAsia="zh-CN" w:bidi="ar"/>
              </w:rPr>
              <w:t>4.3</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B57E">
            <w:pPr>
              <w:rPr>
                <w:rFonts w:hint="eastAsia" w:ascii="宋体" w:hAnsi="宋体" w:eastAsia="宋体" w:cs="宋体"/>
                <w:i w:val="0"/>
                <w:iCs w:val="0"/>
                <w:color w:val="000000"/>
                <w:sz w:val="18"/>
                <w:szCs w:val="18"/>
                <w:u w:val="none"/>
              </w:rPr>
            </w:pPr>
          </w:p>
        </w:tc>
      </w:tr>
      <w:tr w14:paraId="79200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1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DCE9D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1.产出方面： 各项防治工作指标均高质量完成，病例发现及时，治疗管理规范，干预措施精准。2.效益方面： 项目社会效益和健康效益显著。发病率保持平稳，疫情持续控制在低流行水平，患者生存质量明显改善，维护了社会稳定。3.满意度方面： 通过问卷调查，患者和医务人员对防治服务的满意度均提高。4.资金管理方面： 资金使用合规，预算执行基本按计划进行，为项目顺利实施提供了有力保障。</w:t>
            </w:r>
          </w:p>
        </w:tc>
      </w:tr>
      <w:tr w14:paraId="2D703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2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0A05F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1.防治队伍能力有待加强： 基层防治人员数量不足、专业能力参差不齐，尤其在诊断治疗、心理关怀支持等方面需要持续培训。 2.部门与社会组织协作深度不足： 多部门合作多停留在信息通报层面，深度协作机制有待加强；社会组织参与防治工作的能力和范围有限。</w:t>
            </w:r>
          </w:p>
        </w:tc>
      </w:tr>
      <w:tr w14:paraId="084D5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D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7804B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1.加强人才队伍建设： 制定年度培训计划，重点加强对基层人员的专项技能培训。2.深入开展反歧视宣传教育： 与宣传部门、教育部门合作，利用多种媒体平台，减少社会歧视和污名化，营造包容关爱的社会氛围。3.深化联防联控与多方参与：建立定期的、实质性的部门会商机制，共同解决防治中的难点问题。</w:t>
            </w:r>
          </w:p>
        </w:tc>
      </w:tr>
      <w:tr w14:paraId="4E694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AC85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项目负责人：芮国竞</w:t>
            </w:r>
          </w:p>
        </w:tc>
        <w:tc>
          <w:tcPr>
            <w:tcW w:w="68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BC5C1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财务负责人：朱卫东</w:t>
            </w:r>
          </w:p>
        </w:tc>
      </w:tr>
    </w:tbl>
    <w:p w14:paraId="09278F76">
      <w:pPr>
        <w:pStyle w:val="20"/>
        <w:rPr>
          <w:rFonts w:hint="eastAsia"/>
        </w:rPr>
        <w:sectPr>
          <w:pgSz w:w="16838" w:h="11906" w:orient="landscape"/>
          <w:pgMar w:top="1800" w:right="1440" w:bottom="1800" w:left="1440" w:header="851" w:footer="992" w:gutter="0"/>
          <w:pgNumType w:fmt="decimal" w:start="1"/>
          <w:cols w:space="425" w:num="1"/>
          <w:docGrid w:type="lines" w:linePitch="312"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4"/>
        <w:gridCol w:w="2051"/>
        <w:gridCol w:w="1775"/>
        <w:gridCol w:w="2263"/>
        <w:gridCol w:w="521"/>
        <w:gridCol w:w="1677"/>
        <w:gridCol w:w="521"/>
        <w:gridCol w:w="1091"/>
        <w:gridCol w:w="505"/>
        <w:gridCol w:w="456"/>
        <w:gridCol w:w="2556"/>
      </w:tblGrid>
      <w:tr w14:paraId="77818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40516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D605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81D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F72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基本公共卫生服务（直达资金）</w:t>
            </w:r>
          </w:p>
        </w:tc>
      </w:tr>
      <w:tr w14:paraId="6FB73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382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71AA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松潘县卫生健康局</w:t>
            </w:r>
          </w:p>
        </w:tc>
        <w:tc>
          <w:tcPr>
            <w:tcW w:w="1091" w:type="dxa"/>
            <w:tcBorders>
              <w:top w:val="nil"/>
              <w:left w:val="nil"/>
              <w:bottom w:val="nil"/>
              <w:right w:val="nil"/>
            </w:tcBorders>
            <w:shd w:val="clear" w:color="auto" w:fill="auto"/>
            <w:vAlign w:val="center"/>
          </w:tcPr>
          <w:p w14:paraId="02C2A26E">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2C1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松潘县疾病预防控制中心</w:t>
            </w:r>
          </w:p>
        </w:tc>
      </w:tr>
      <w:tr w14:paraId="5B54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BD6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041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543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28569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36A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5BB5E">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FC188">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8E90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1.完成地方病监测工作。2.完成地方病患者治疗、随访工作。3.完成地方病健康教育宣传工作。</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50D1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1.完成监测村7-12岁儿童大骨节、8-12岁儿童氟斑牙、8-10岁儿童及孕妇尿碘盐碘监测工作。2.完成地方病患者全覆盖随访，地氟病和大骨节患者药物治疗。3.完成5.12碘缺乏病防治日和饮茶型地氟病健康宣传活动。</w:t>
            </w:r>
          </w:p>
        </w:tc>
      </w:tr>
      <w:tr w14:paraId="345E7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70938">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FDF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60D853">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饮茶型地氟病：完成5个病区乡镇239名儿童氟斑牙检查，检出率0.42%，砖茶、饮用水氟含量均达标；随访现症患者3332名，治疗1500名；开展健康教育培训7次，防治知识知晓率约65%；督导乡镇卫生院13家，培训县乡人员50余人次。</w:t>
            </w:r>
          </w:p>
          <w:p w14:paraId="5D736E9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大骨节病：在6个病区乡镇筛查7—12岁儿童522名，无新发病例；随访现症患者1080名，治疗483名；完成13家乡镇卫生院专项督导，培训50余人次。</w:t>
            </w:r>
          </w:p>
          <w:p w14:paraId="2B964853">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棘球蚴病：完成成人B超筛查4200人次、儿童1125人次，无新发患者；随访患者6人，血清学检查9人；检测犬粪样本546份、牦牛内脏样本600份，结果均正常；召开部门联席会3次，培训50余人次。</w:t>
            </w:r>
          </w:p>
          <w:p w14:paraId="615C1309">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碘缺乏病：采集盐样300份，碘盐合格率、覆盖率、合格碘盐食用率均达100%；儿童、孕妇尿碘水平处于适宜范围；开展“防治碘缺乏病日”宣传，发放资料500余份、碘盐300余袋，服务咨询300余人次。</w:t>
            </w:r>
          </w:p>
        </w:tc>
      </w:tr>
      <w:tr w14:paraId="6806C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58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9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C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3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4B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D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3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6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4E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A76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B91FB">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9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116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210.08</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5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99FC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183.39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9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87</w:t>
            </w:r>
            <w:r>
              <w:rPr>
                <w:rFonts w:ascii="宋体" w:hAnsi="宋体" w:eastAsia="宋体" w:cs="宋体"/>
                <w:i w:val="0"/>
                <w:iCs w:val="0"/>
                <w:color w:val="000000"/>
                <w:kern w:val="0"/>
                <w:sz w:val="18"/>
                <w:szCs w:val="18"/>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A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C2F7">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6</w:t>
            </w: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66D23">
            <w:pPr>
              <w:keepNext w:val="0"/>
              <w:keepLines w:val="0"/>
              <w:widowControl/>
              <w:suppressLineNumbers w:val="0"/>
              <w:jc w:val="left"/>
              <w:textAlignment w:val="center"/>
              <w:rPr>
                <w:rFonts w:hint="default" w:ascii="黑体" w:hAnsi="黑体" w:eastAsia="宋体" w:cs="黑体"/>
                <w:i/>
                <w:iCs/>
                <w:color w:val="0000FF"/>
                <w:sz w:val="18"/>
                <w:szCs w:val="18"/>
                <w:u w:val="none"/>
                <w:lang w:val="en-US" w:eastAsia="zh-CN"/>
              </w:rPr>
            </w:pPr>
            <w:r>
              <w:rPr>
                <w:rFonts w:ascii="Segoe UI" w:hAnsi="Segoe UI" w:eastAsia="Segoe UI" w:cs="Segoe UI"/>
                <w:i w:val="0"/>
                <w:iCs w:val="0"/>
                <w:caps w:val="0"/>
                <w:color w:val="0F1115"/>
                <w:spacing w:val="0"/>
                <w:sz w:val="18"/>
                <w:szCs w:val="18"/>
                <w:shd w:val="clear" w:fill="FFFFFF"/>
              </w:rPr>
              <w:t>资金分配额度与实际支出需求不匹配</w:t>
            </w:r>
            <w:r>
              <w:rPr>
                <w:rFonts w:hint="eastAsia" w:ascii="Segoe UI" w:hAnsi="Segoe UI" w:eastAsia="宋体" w:cs="Segoe UI"/>
                <w:i w:val="0"/>
                <w:iCs w:val="0"/>
                <w:caps w:val="0"/>
                <w:color w:val="0F1115"/>
                <w:spacing w:val="0"/>
                <w:sz w:val="18"/>
                <w:szCs w:val="18"/>
                <w:shd w:val="clear" w:fill="FFFFFF"/>
                <w:lang w:eastAsia="zh-CN"/>
              </w:rPr>
              <w:t>，</w:t>
            </w:r>
            <w:r>
              <w:rPr>
                <w:rFonts w:hint="eastAsia" w:ascii="Segoe UI" w:hAnsi="Segoe UI" w:cs="Segoe UI"/>
                <w:i w:val="0"/>
                <w:iCs w:val="0"/>
                <w:caps w:val="0"/>
                <w:color w:val="0F1115"/>
                <w:spacing w:val="0"/>
                <w:sz w:val="18"/>
                <w:szCs w:val="18"/>
                <w:shd w:val="clear" w:fill="FFFFFF"/>
                <w:lang w:val="en-US" w:eastAsia="zh-CN"/>
              </w:rPr>
              <w:t>因中心工作人员兼职较多，工作有交叉统筹，资金实际需求比预算要小。</w:t>
            </w:r>
          </w:p>
        </w:tc>
      </w:tr>
      <w:tr w14:paraId="52F8B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DDFF8">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3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82B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210.08</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0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3C019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183.39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E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87</w:t>
            </w:r>
            <w:r>
              <w:rPr>
                <w:rFonts w:ascii="宋体" w:hAnsi="宋体" w:eastAsia="宋体" w:cs="宋体"/>
                <w:i w:val="0"/>
                <w:iCs w:val="0"/>
                <w:color w:val="000000"/>
                <w:kern w:val="0"/>
                <w:sz w:val="18"/>
                <w:szCs w:val="18"/>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7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3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2A449">
            <w:pPr>
              <w:rPr>
                <w:rFonts w:hint="eastAsia" w:ascii="黑体" w:hAnsi="黑体" w:eastAsia="黑体" w:cs="黑体"/>
                <w:i/>
                <w:iCs/>
                <w:color w:val="000000"/>
                <w:sz w:val="18"/>
                <w:szCs w:val="18"/>
                <w:u w:val="none"/>
              </w:rPr>
            </w:pPr>
          </w:p>
        </w:tc>
      </w:tr>
      <w:tr w14:paraId="71BA7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7847F">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6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3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C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10D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6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B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8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16DAC">
            <w:pPr>
              <w:rPr>
                <w:rFonts w:hint="eastAsia" w:ascii="黑体" w:hAnsi="黑体" w:eastAsia="黑体" w:cs="黑体"/>
                <w:i/>
                <w:iCs/>
                <w:color w:val="000000"/>
                <w:sz w:val="18"/>
                <w:szCs w:val="18"/>
                <w:u w:val="none"/>
              </w:rPr>
            </w:pPr>
          </w:p>
        </w:tc>
      </w:tr>
      <w:tr w14:paraId="667E3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D9748">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0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7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D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F6A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9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0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D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C4223">
            <w:pPr>
              <w:rPr>
                <w:rFonts w:hint="eastAsia" w:ascii="黑体" w:hAnsi="黑体" w:eastAsia="黑体" w:cs="黑体"/>
                <w:i/>
                <w:iCs/>
                <w:color w:val="000000"/>
                <w:sz w:val="18"/>
                <w:szCs w:val="18"/>
                <w:u w:val="none"/>
              </w:rPr>
            </w:pPr>
          </w:p>
        </w:tc>
      </w:tr>
      <w:tr w14:paraId="47582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CAE90">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A0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880F">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788A">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BEFDD4">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892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E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1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7C2CC">
            <w:pPr>
              <w:rPr>
                <w:rFonts w:hint="eastAsia" w:ascii="黑体" w:hAnsi="黑体" w:eastAsia="黑体" w:cs="黑体"/>
                <w:i/>
                <w:iCs/>
                <w:color w:val="000000"/>
                <w:sz w:val="18"/>
                <w:szCs w:val="18"/>
                <w:u w:val="none"/>
              </w:rPr>
            </w:pPr>
          </w:p>
        </w:tc>
      </w:tr>
      <w:tr w14:paraId="1EC7A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E6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C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1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C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A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9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B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1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F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A5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EA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3A5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2C897">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3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4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C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大骨节病监测覆盖率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7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D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D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7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5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9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A3BE">
            <w:pPr>
              <w:jc w:val="center"/>
              <w:rPr>
                <w:rFonts w:hint="eastAsia" w:ascii="宋体" w:hAnsi="宋体" w:eastAsia="宋体" w:cs="宋体"/>
                <w:i w:val="0"/>
                <w:iCs w:val="0"/>
                <w:color w:val="000000"/>
                <w:sz w:val="18"/>
                <w:szCs w:val="18"/>
                <w:u w:val="none"/>
              </w:rPr>
            </w:pPr>
          </w:p>
        </w:tc>
      </w:tr>
      <w:tr w14:paraId="0F9B5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46821">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C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4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81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氟斑牙检测率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C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2E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5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D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0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6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60D0">
            <w:pPr>
              <w:jc w:val="center"/>
              <w:rPr>
                <w:rFonts w:hint="eastAsia" w:ascii="宋体" w:hAnsi="宋体" w:eastAsia="宋体" w:cs="宋体"/>
                <w:i w:val="0"/>
                <w:iCs w:val="0"/>
                <w:color w:val="000000"/>
                <w:sz w:val="18"/>
                <w:szCs w:val="18"/>
                <w:u w:val="none"/>
              </w:rPr>
            </w:pPr>
          </w:p>
        </w:tc>
      </w:tr>
      <w:tr w14:paraId="5FCAB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B7B64">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2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C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E2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尿碘、盐碘检测率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70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6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1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C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A28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C39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7E45">
            <w:pPr>
              <w:jc w:val="center"/>
              <w:rPr>
                <w:rFonts w:hint="eastAsia" w:ascii="微软雅黑" w:hAnsi="微软雅黑" w:eastAsia="微软雅黑" w:cs="微软雅黑"/>
                <w:i/>
                <w:iCs/>
                <w:color w:val="000000"/>
                <w:sz w:val="16"/>
                <w:szCs w:val="16"/>
                <w:u w:val="none"/>
              </w:rPr>
            </w:pPr>
          </w:p>
        </w:tc>
      </w:tr>
      <w:tr w14:paraId="4C86E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701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5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EF8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96</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9E19">
            <w:pPr>
              <w:rPr>
                <w:rFonts w:hint="eastAsia" w:ascii="宋体" w:hAnsi="宋体" w:eastAsia="宋体" w:cs="宋体"/>
                <w:i w:val="0"/>
                <w:iCs w:val="0"/>
                <w:color w:val="000000"/>
                <w:sz w:val="18"/>
                <w:szCs w:val="18"/>
                <w:u w:val="none"/>
              </w:rPr>
            </w:pPr>
          </w:p>
        </w:tc>
      </w:tr>
      <w:tr w14:paraId="170BE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D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77098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1.产出方面： 各项防治任务均按质按量完成，监测数据准确，干预措施到位。2.效益方面： 项目社会效益和健康效益显著。病区群众地方病防治意识普遍提高，儿童等重点人群的患病率持续保持在较低水平，未出现病情反弹，有效保障了群众健康，促进了社会和谐。3.资金管理方面： 资金使用方向正确，管理规范，有效支撑了防治工作的全面开展。</w:t>
            </w:r>
          </w:p>
        </w:tc>
      </w:tr>
      <w:tr w14:paraId="52E30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6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22A4D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1.部分偏远地区干预措施覆盖存在盲点： 个别地处偏远的牧区或山村，低氟茶砖的配送和健康教育的深度覆盖仍有提升空间。2.群众防病意识的长效机制有待加强： 部分居民，尤其是老年人，长期形成的饮茶习惯难以改变，对低氟茶的接受度和依赖性仍需通过持续宣传来巩固。3.部门间协作效率可进一步提升： 在与市场监管部门联合监管非碘盐、不合格砖茶流入市场方面，信息共享和联合执法机制可以更加顺畅。</w:t>
            </w:r>
          </w:p>
        </w:tc>
      </w:tr>
      <w:tr w14:paraId="06142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A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7CADC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1.深化健康教育，巩固防治意识： 针对重点人群（如新婚夫妇、孕妇、学生）开展更具针对性的“面对面”宣讲。邀请已受益群众现身说法，提高健康教育的说服力和影响力。2.完善联动机制，形成监管合力： 建议建立由地方政府牵头的定期联席会议制度，明确各部门职责，共享监管信息，定期开展联合专项整治行动，从源头上控制风险因素。</w:t>
            </w:r>
          </w:p>
        </w:tc>
      </w:tr>
      <w:tr w14:paraId="093B2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C12F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项目负责人：芮国竞</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8E435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财务负责人：朱卫东</w:t>
            </w:r>
          </w:p>
        </w:tc>
      </w:tr>
    </w:tbl>
    <w:p w14:paraId="42DAF5EB">
      <w:pPr>
        <w:rPr>
          <w:rFonts w:hint="eastAsia"/>
        </w:rPr>
        <w:sectPr>
          <w:pgSz w:w="16838" w:h="11906" w:orient="landscape"/>
          <w:pgMar w:top="1800" w:right="1440" w:bottom="1800" w:left="1440" w:header="851" w:footer="992" w:gutter="0"/>
          <w:pgNumType w:fmt="decimal" w:start="1"/>
          <w:cols w:space="425" w:num="1"/>
          <w:docGrid w:type="lines" w:linePitch="312"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2"/>
        <w:gridCol w:w="2018"/>
        <w:gridCol w:w="1749"/>
        <w:gridCol w:w="2416"/>
        <w:gridCol w:w="518"/>
        <w:gridCol w:w="1647"/>
        <w:gridCol w:w="518"/>
        <w:gridCol w:w="1081"/>
        <w:gridCol w:w="505"/>
        <w:gridCol w:w="455"/>
        <w:gridCol w:w="2511"/>
      </w:tblGrid>
      <w:tr w14:paraId="4BE35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0D7201">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186B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5E0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4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D5B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国产二价宫颈癌疫苗免费接种项目</w:t>
            </w:r>
          </w:p>
        </w:tc>
      </w:tr>
      <w:tr w14:paraId="17426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658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8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AD18F9">
            <w:pP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松潘县卫生健康局</w:t>
            </w:r>
          </w:p>
        </w:tc>
        <w:tc>
          <w:tcPr>
            <w:tcW w:w="1081" w:type="dxa"/>
            <w:tcBorders>
              <w:top w:val="nil"/>
              <w:left w:val="nil"/>
              <w:bottom w:val="nil"/>
              <w:right w:val="nil"/>
            </w:tcBorders>
            <w:shd w:val="clear" w:color="auto" w:fill="auto"/>
            <w:vAlign w:val="center"/>
          </w:tcPr>
          <w:p w14:paraId="3D66BB24">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4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7BA782">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松潘县疾病预防控制中心</w:t>
            </w:r>
          </w:p>
        </w:tc>
      </w:tr>
      <w:tr w14:paraId="60D40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30A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EB8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8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6AB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D0FC3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0FDD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77275">
            <w:pPr>
              <w:rPr>
                <w:rFonts w:hint="eastAsia" w:ascii="宋体" w:hAnsi="宋体" w:eastAsia="宋体" w:cs="宋体"/>
                <w:i w:val="0"/>
                <w:iCs w:val="0"/>
                <w:color w:val="000000"/>
                <w:sz w:val="18"/>
                <w:szCs w:val="18"/>
                <w:u w:val="none"/>
              </w:rPr>
            </w:pPr>
          </w:p>
        </w:tc>
        <w:tc>
          <w:tcPr>
            <w:tcW w:w="2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C29C6">
            <w:pPr>
              <w:rPr>
                <w:rFonts w:hint="eastAsia" w:ascii="宋体" w:hAnsi="宋体" w:eastAsia="宋体" w:cs="宋体"/>
                <w:i w:val="0"/>
                <w:iCs w:val="0"/>
                <w:color w:val="000000"/>
                <w:sz w:val="18"/>
                <w:szCs w:val="18"/>
                <w:u w:val="none"/>
              </w:rPr>
            </w:pPr>
          </w:p>
        </w:tc>
        <w:tc>
          <w:tcPr>
            <w:tcW w:w="68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E43E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已完成二价宫颈癌疫苗接种工作</w:t>
            </w:r>
          </w:p>
        </w:tc>
        <w:tc>
          <w:tcPr>
            <w:tcW w:w="45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88A1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p>
        </w:tc>
      </w:tr>
      <w:tr w14:paraId="7F385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8879F">
            <w:pP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21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4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DB47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完成了</w:t>
            </w:r>
            <w:r>
              <w:rPr>
                <w:rFonts w:ascii="宋体" w:hAnsi="宋体" w:eastAsia="宋体" w:cs="宋体"/>
                <w:i w:val="0"/>
                <w:iCs w:val="0"/>
                <w:color w:val="000000"/>
                <w:kern w:val="0"/>
                <w:sz w:val="18"/>
                <w:szCs w:val="18"/>
                <w:u w:val="none"/>
                <w:lang w:val="en-US" w:eastAsia="zh-CN" w:bidi="ar"/>
              </w:rPr>
              <w:t>接种工作，接种率达到了100%。</w:t>
            </w:r>
          </w:p>
        </w:tc>
      </w:tr>
      <w:tr w14:paraId="298CA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3D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C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4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0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6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B7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9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2D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5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0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679C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3948A">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EE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240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16.96</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1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CA9C3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14.42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3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85</w:t>
            </w:r>
            <w:r>
              <w:rPr>
                <w:rFonts w:ascii="宋体" w:hAnsi="宋体" w:eastAsia="宋体" w:cs="宋体"/>
                <w:i w:val="0"/>
                <w:iCs w:val="0"/>
                <w:color w:val="000000"/>
                <w:kern w:val="0"/>
                <w:sz w:val="18"/>
                <w:szCs w:val="18"/>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3F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3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95861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因疫苗价格有所下调，预算与实际疫苗价格有差异，导致执行率较低</w:t>
            </w:r>
          </w:p>
        </w:tc>
      </w:tr>
      <w:tr w14:paraId="7A34E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DB887">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7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390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16.96</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C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F3273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14.42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C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85</w:t>
            </w:r>
            <w:r>
              <w:rPr>
                <w:rFonts w:ascii="宋体" w:hAnsi="宋体" w:eastAsia="宋体" w:cs="宋体"/>
                <w:i w:val="0"/>
                <w:iCs w:val="0"/>
                <w:color w:val="000000"/>
                <w:kern w:val="0"/>
                <w:sz w:val="18"/>
                <w:szCs w:val="18"/>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3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8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5DCE6">
            <w:pPr>
              <w:rPr>
                <w:rFonts w:hint="eastAsia" w:ascii="黑体" w:hAnsi="黑体" w:eastAsia="黑体" w:cs="黑体"/>
                <w:i/>
                <w:iCs/>
                <w:color w:val="000000"/>
                <w:sz w:val="18"/>
                <w:szCs w:val="18"/>
                <w:u w:val="none"/>
              </w:rPr>
            </w:pPr>
          </w:p>
        </w:tc>
      </w:tr>
      <w:tr w14:paraId="3522D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FBE1E">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5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5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9E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F2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55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4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6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D58CD">
            <w:pPr>
              <w:rPr>
                <w:rFonts w:hint="eastAsia" w:ascii="黑体" w:hAnsi="黑体" w:eastAsia="黑体" w:cs="黑体"/>
                <w:i/>
                <w:iCs/>
                <w:color w:val="000000"/>
                <w:sz w:val="18"/>
                <w:szCs w:val="18"/>
                <w:u w:val="none"/>
              </w:rPr>
            </w:pPr>
          </w:p>
        </w:tc>
      </w:tr>
      <w:tr w14:paraId="1E31A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0960B">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4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4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6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5AB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2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B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2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FCF43">
            <w:pPr>
              <w:rPr>
                <w:rFonts w:hint="eastAsia" w:ascii="黑体" w:hAnsi="黑体" w:eastAsia="黑体" w:cs="黑体"/>
                <w:i/>
                <w:iCs/>
                <w:color w:val="000000"/>
                <w:sz w:val="18"/>
                <w:szCs w:val="18"/>
                <w:u w:val="none"/>
              </w:rPr>
            </w:pPr>
          </w:p>
        </w:tc>
      </w:tr>
      <w:tr w14:paraId="61769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EE998">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E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9353">
            <w:pPr>
              <w:jc w:val="center"/>
              <w:rPr>
                <w:rFonts w:hint="eastAsia" w:ascii="微软雅黑" w:hAnsi="微软雅黑" w:eastAsia="微软雅黑" w:cs="微软雅黑"/>
                <w:i/>
                <w:iCs/>
                <w:color w:val="000000"/>
                <w:sz w:val="16"/>
                <w:szCs w:val="16"/>
                <w:u w:val="none"/>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BAA0">
            <w:pPr>
              <w:jc w:val="center"/>
              <w:rPr>
                <w:rFonts w:hint="eastAsia" w:ascii="微软雅黑" w:hAnsi="微软雅黑" w:eastAsia="微软雅黑" w:cs="微软雅黑"/>
                <w:i/>
                <w:iCs/>
                <w:color w:val="000000"/>
                <w:sz w:val="16"/>
                <w:szCs w:val="16"/>
                <w:u w:val="none"/>
              </w:rPr>
            </w:pPr>
          </w:p>
        </w:tc>
        <w:tc>
          <w:tcPr>
            <w:tcW w:w="26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DDC3D7">
            <w:pPr>
              <w:jc w:val="center"/>
              <w:rPr>
                <w:rFonts w:hint="eastAsia" w:ascii="微软雅黑" w:hAnsi="微软雅黑" w:eastAsia="微软雅黑" w:cs="微软雅黑"/>
                <w:i/>
                <w:iCs/>
                <w:color w:val="000000"/>
                <w:sz w:val="16"/>
                <w:szCs w:val="16"/>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273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1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6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13881">
            <w:pPr>
              <w:rPr>
                <w:rFonts w:hint="eastAsia" w:ascii="黑体" w:hAnsi="黑体" w:eastAsia="黑体" w:cs="黑体"/>
                <w:i/>
                <w:iCs/>
                <w:color w:val="000000"/>
                <w:sz w:val="18"/>
                <w:szCs w:val="18"/>
                <w:u w:val="none"/>
              </w:rPr>
            </w:pPr>
          </w:p>
        </w:tc>
      </w:tr>
      <w:tr w14:paraId="77B79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C2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D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0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F9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0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A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B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5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2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7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B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78D8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5B62F">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7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49" w:type="dxa"/>
            <w:tcBorders>
              <w:top w:val="single" w:color="000000" w:sz="4" w:space="0"/>
              <w:left w:val="single" w:color="000000" w:sz="4" w:space="0"/>
              <w:bottom w:val="single" w:color="auto" w:sz="4" w:space="0"/>
              <w:right w:val="single" w:color="000000" w:sz="4" w:space="0"/>
            </w:tcBorders>
            <w:shd w:val="clear" w:color="auto" w:fill="auto"/>
            <w:vAlign w:val="center"/>
          </w:tcPr>
          <w:p w14:paraId="411DD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416"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4958E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38"/>
                <w:lang w:val="en-US" w:eastAsia="zh-CN" w:bidi="ar"/>
              </w:rPr>
              <w:t>疫苗接种率≧</w:t>
            </w:r>
            <w:r>
              <w:rPr>
                <w:rStyle w:val="39"/>
                <w:lang w:val="en-US" w:eastAsia="zh-CN" w:bidi="ar"/>
              </w:rPr>
              <w:t>95</w:t>
            </w:r>
            <w:r>
              <w:rPr>
                <w:rStyle w:val="38"/>
                <w:lang w:val="en-US" w:eastAsia="zh-CN" w:bidi="ar"/>
              </w:rPr>
              <w:t>%</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1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C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8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D83E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D4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A4F1">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50</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7B7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5C5D8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02243">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auto" w:sz="4" w:space="0"/>
            </w:tcBorders>
            <w:shd w:val="clear" w:color="auto" w:fill="auto"/>
            <w:vAlign w:val="center"/>
          </w:tcPr>
          <w:p w14:paraId="0EF13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49" w:type="dxa"/>
            <w:tcBorders>
              <w:top w:val="single" w:color="auto" w:sz="4" w:space="0"/>
              <w:left w:val="single" w:color="auto" w:sz="4" w:space="0"/>
              <w:bottom w:val="single" w:color="auto" w:sz="4" w:space="0"/>
              <w:right w:val="single" w:color="auto" w:sz="4" w:space="0"/>
            </w:tcBorders>
            <w:shd w:val="clear" w:color="auto" w:fill="auto"/>
            <w:vAlign w:val="center"/>
          </w:tcPr>
          <w:p w14:paraId="61235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4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7732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预防接种宣传群众满意度</w:t>
            </w:r>
          </w:p>
        </w:tc>
        <w:tc>
          <w:tcPr>
            <w:tcW w:w="518" w:type="dxa"/>
            <w:tcBorders>
              <w:top w:val="single" w:color="000000" w:sz="4" w:space="0"/>
              <w:left w:val="single" w:color="auto" w:sz="4" w:space="0"/>
              <w:bottom w:val="single" w:color="000000" w:sz="4" w:space="0"/>
              <w:right w:val="single" w:color="000000" w:sz="4" w:space="0"/>
            </w:tcBorders>
            <w:shd w:val="clear" w:color="auto" w:fill="auto"/>
            <w:vAlign w:val="center"/>
          </w:tcPr>
          <w:p w14:paraId="49DF0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1E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中长期</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D6D7">
            <w:pPr>
              <w:jc w:val="center"/>
              <w:rPr>
                <w:rFonts w:hint="eastAsia" w:ascii="宋体" w:hAnsi="宋体" w:eastAsia="宋体" w:cs="宋体"/>
                <w:i w:val="0"/>
                <w:iCs w:val="0"/>
                <w:color w:val="000000"/>
                <w:sz w:val="18"/>
                <w:szCs w:val="18"/>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5F38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较满意</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6C3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B48C">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26</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2EA9">
            <w:pPr>
              <w:rPr>
                <w:rFonts w:hint="eastAsia" w:ascii="宋体" w:hAnsi="宋体" w:eastAsia="宋体" w:cs="宋体"/>
                <w:i w:val="0"/>
                <w:iCs w:val="0"/>
                <w:color w:val="000000"/>
                <w:sz w:val="18"/>
                <w:szCs w:val="18"/>
                <w:u w:val="none"/>
              </w:rPr>
            </w:pPr>
          </w:p>
        </w:tc>
      </w:tr>
      <w:tr w14:paraId="298D8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1993B">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auto" w:sz="4" w:space="0"/>
            </w:tcBorders>
            <w:shd w:val="clear" w:color="auto" w:fill="auto"/>
            <w:vAlign w:val="center"/>
          </w:tcPr>
          <w:p w14:paraId="65A4C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49" w:type="dxa"/>
            <w:tcBorders>
              <w:top w:val="single" w:color="auto" w:sz="4" w:space="0"/>
              <w:left w:val="single" w:color="auto" w:sz="4" w:space="0"/>
              <w:bottom w:val="single" w:color="auto" w:sz="4" w:space="0"/>
              <w:right w:val="single" w:color="auto" w:sz="4" w:space="0"/>
            </w:tcBorders>
            <w:shd w:val="clear" w:color="auto" w:fill="auto"/>
            <w:vAlign w:val="center"/>
          </w:tcPr>
          <w:p w14:paraId="16D78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4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9228E">
            <w:pPr>
              <w:keepNext w:val="0"/>
              <w:keepLines w:val="0"/>
              <w:widowControl/>
              <w:suppressLineNumbers w:val="0"/>
              <w:jc w:val="both"/>
              <w:textAlignment w:val="center"/>
              <w:rPr>
                <w:rFonts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儿童家长对疫苗接受度</w:t>
            </w:r>
          </w:p>
        </w:tc>
        <w:tc>
          <w:tcPr>
            <w:tcW w:w="518" w:type="dxa"/>
            <w:tcBorders>
              <w:top w:val="single" w:color="000000" w:sz="4" w:space="0"/>
              <w:left w:val="single" w:color="auto" w:sz="4" w:space="0"/>
              <w:bottom w:val="single" w:color="000000" w:sz="4" w:space="0"/>
              <w:right w:val="single" w:color="000000" w:sz="4" w:space="0"/>
            </w:tcBorders>
            <w:shd w:val="clear" w:color="auto" w:fill="auto"/>
            <w:vAlign w:val="center"/>
          </w:tcPr>
          <w:p w14:paraId="2F965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8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1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68F2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可接受</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E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5F1F">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EA19">
            <w:pPr>
              <w:rPr>
                <w:rFonts w:hint="eastAsia" w:ascii="宋体" w:hAnsi="宋体" w:eastAsia="宋体" w:cs="宋体"/>
                <w:i w:val="0"/>
                <w:iCs w:val="0"/>
                <w:color w:val="000000"/>
                <w:sz w:val="18"/>
                <w:szCs w:val="18"/>
                <w:u w:val="none"/>
              </w:rPr>
            </w:pPr>
          </w:p>
        </w:tc>
      </w:tr>
      <w:tr w14:paraId="0EA0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88E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4EF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8EF22">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w:t>
            </w:r>
            <w:r>
              <w:rPr>
                <w:rFonts w:hint="eastAsia" w:ascii="宋体" w:hAnsi="宋体" w:cs="宋体"/>
                <w:i w:val="0"/>
                <w:iCs w:val="0"/>
                <w:color w:val="000000"/>
                <w:sz w:val="18"/>
                <w:szCs w:val="18"/>
                <w:u w:val="none"/>
                <w:lang w:val="en-US" w:eastAsia="zh-CN"/>
              </w:rPr>
              <w:t>6</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3250E">
            <w:pPr>
              <w:rPr>
                <w:rFonts w:hint="eastAsia" w:ascii="宋体" w:hAnsi="宋体" w:eastAsia="宋体" w:cs="宋体"/>
                <w:i w:val="0"/>
                <w:iCs w:val="0"/>
                <w:color w:val="000000"/>
                <w:sz w:val="18"/>
                <w:szCs w:val="18"/>
                <w:u w:val="none"/>
              </w:rPr>
            </w:pPr>
          </w:p>
        </w:tc>
      </w:tr>
      <w:tr w14:paraId="16490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2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17A1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能够较好地完成年度任务，较好地执行了预算计划，各分部项目推进规范且有序，资金拨付及时、准确。</w:t>
            </w:r>
          </w:p>
        </w:tc>
      </w:tr>
      <w:tr w14:paraId="0ACF5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6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2374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r w14:paraId="7CA26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9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2BA40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r w14:paraId="77260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96497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项目负责人：黄微</w:t>
            </w:r>
          </w:p>
        </w:tc>
        <w:tc>
          <w:tcPr>
            <w:tcW w:w="67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CB455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财务负责人：朱卫东</w:t>
            </w:r>
          </w:p>
        </w:tc>
      </w:tr>
    </w:tbl>
    <w:p w14:paraId="02F4814F">
      <w:pPr>
        <w:pStyle w:val="20"/>
        <w:rPr>
          <w:rFonts w:hint="eastAsia"/>
        </w:rPr>
        <w:sectPr>
          <w:pgSz w:w="16838" w:h="11906" w:orient="landscape"/>
          <w:pgMar w:top="1800" w:right="1440" w:bottom="1800" w:left="1440" w:header="851" w:footer="992" w:gutter="0"/>
          <w:pgNumType w:fmt="decimal" w:start="1"/>
          <w:cols w:space="425" w:num="1"/>
          <w:docGrid w:type="lines" w:linePitch="312"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4"/>
        <w:gridCol w:w="2051"/>
        <w:gridCol w:w="1775"/>
        <w:gridCol w:w="2264"/>
        <w:gridCol w:w="521"/>
        <w:gridCol w:w="1676"/>
        <w:gridCol w:w="521"/>
        <w:gridCol w:w="1091"/>
        <w:gridCol w:w="505"/>
        <w:gridCol w:w="456"/>
        <w:gridCol w:w="2556"/>
      </w:tblGrid>
      <w:tr w14:paraId="52EB7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262BD2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B437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4CD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7F4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居民健康素养</w:t>
            </w:r>
          </w:p>
        </w:tc>
      </w:tr>
      <w:tr w14:paraId="4665D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29B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A60FC7">
            <w:pP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松潘县卫生健康局</w:t>
            </w:r>
          </w:p>
        </w:tc>
        <w:tc>
          <w:tcPr>
            <w:tcW w:w="1091" w:type="dxa"/>
            <w:tcBorders>
              <w:top w:val="nil"/>
              <w:left w:val="nil"/>
              <w:bottom w:val="nil"/>
              <w:right w:val="nil"/>
            </w:tcBorders>
            <w:shd w:val="clear" w:color="auto" w:fill="auto"/>
            <w:vAlign w:val="center"/>
          </w:tcPr>
          <w:p w14:paraId="3C78B4B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6BAED">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松潘县疾病预防控制中心</w:t>
            </w:r>
          </w:p>
        </w:tc>
      </w:tr>
      <w:tr w14:paraId="0692F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F7C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4F4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EAE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1E26E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5D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F8AF7">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BCAD1">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69060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保障居民健康素养监测项目顺利开展，切实提升居民健康素养水平</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A16B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p>
        </w:tc>
      </w:tr>
      <w:tr w14:paraId="2C0A2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34D60">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C7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46FB3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居民健康素养监测项目资金，使得我县进一步推进居民健康素养监测工作，呈现了显著的成本效益。随着居民健康素养监测工作的深入开展，我县居民健康素养监测得到了大幅提升。能有效保持居民健康素养的水平。</w:t>
            </w:r>
          </w:p>
        </w:tc>
      </w:tr>
      <w:tr w14:paraId="65E62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9EF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D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F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D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D03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0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7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A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3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8D27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68885">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B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F17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2.5</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E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368FB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4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9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5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038F1">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DF85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54D28">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F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A3B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2.5</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73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D09A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8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0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4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242ED">
            <w:pPr>
              <w:rPr>
                <w:rFonts w:hint="eastAsia" w:ascii="黑体" w:hAnsi="黑体" w:eastAsia="黑体" w:cs="黑体"/>
                <w:i/>
                <w:iCs/>
                <w:color w:val="000000"/>
                <w:sz w:val="18"/>
                <w:szCs w:val="18"/>
                <w:u w:val="none"/>
              </w:rPr>
            </w:pPr>
          </w:p>
        </w:tc>
      </w:tr>
      <w:tr w14:paraId="76CDB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46EEB">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2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6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D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EC3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5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7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B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A86FA">
            <w:pPr>
              <w:rPr>
                <w:rFonts w:hint="eastAsia" w:ascii="黑体" w:hAnsi="黑体" w:eastAsia="黑体" w:cs="黑体"/>
                <w:i/>
                <w:iCs/>
                <w:color w:val="000000"/>
                <w:sz w:val="18"/>
                <w:szCs w:val="18"/>
                <w:u w:val="none"/>
              </w:rPr>
            </w:pPr>
          </w:p>
        </w:tc>
      </w:tr>
      <w:tr w14:paraId="23921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F9F59">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7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6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5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80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B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8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0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C3285">
            <w:pPr>
              <w:rPr>
                <w:rFonts w:hint="eastAsia" w:ascii="黑体" w:hAnsi="黑体" w:eastAsia="黑体" w:cs="黑体"/>
                <w:i/>
                <w:iCs/>
                <w:color w:val="000000"/>
                <w:sz w:val="18"/>
                <w:szCs w:val="18"/>
                <w:u w:val="none"/>
              </w:rPr>
            </w:pPr>
          </w:p>
        </w:tc>
      </w:tr>
      <w:tr w14:paraId="27E65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37456">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F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BEA6">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49BB">
            <w:pPr>
              <w:jc w:val="center"/>
              <w:rPr>
                <w:rFonts w:hint="eastAsia" w:ascii="微软雅黑" w:hAnsi="微软雅黑" w:eastAsia="微软雅黑" w:cs="微软雅黑"/>
                <w:i/>
                <w:iCs/>
                <w:color w:val="000000"/>
                <w:sz w:val="16"/>
                <w:szCs w:val="16"/>
                <w:u w:val="none"/>
              </w:rPr>
            </w:pP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5779C">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4A0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9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D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540A6">
            <w:pPr>
              <w:rPr>
                <w:rFonts w:hint="eastAsia" w:ascii="黑体" w:hAnsi="黑体" w:eastAsia="黑体" w:cs="黑体"/>
                <w:i/>
                <w:iCs/>
                <w:color w:val="000000"/>
                <w:sz w:val="18"/>
                <w:szCs w:val="18"/>
                <w:u w:val="none"/>
              </w:rPr>
            </w:pPr>
          </w:p>
        </w:tc>
      </w:tr>
      <w:tr w14:paraId="7C7A5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F5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0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3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5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9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8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3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2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C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5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5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F51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1056B">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C0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auto" w:sz="4" w:space="0"/>
              <w:right w:val="single" w:color="000000" w:sz="4" w:space="0"/>
            </w:tcBorders>
            <w:shd w:val="clear" w:color="auto" w:fill="auto"/>
            <w:vAlign w:val="center"/>
          </w:tcPr>
          <w:p w14:paraId="09FD8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3E368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38"/>
                <w:lang w:val="en-US" w:eastAsia="zh-CN" w:bidi="ar"/>
              </w:rPr>
              <w:t>疫苗接种率≧</w:t>
            </w:r>
            <w:r>
              <w:rPr>
                <w:rStyle w:val="39"/>
                <w:lang w:val="en-US" w:eastAsia="zh-CN" w:bidi="ar"/>
              </w:rPr>
              <w:t>95</w:t>
            </w:r>
            <w:r>
              <w:rPr>
                <w:rStyle w:val="38"/>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B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0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93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2F2C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1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9E43">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49</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982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75AA8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89801">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auto" w:sz="4" w:space="0"/>
            </w:tcBorders>
            <w:shd w:val="clear" w:color="auto" w:fill="auto"/>
            <w:vAlign w:val="center"/>
          </w:tcPr>
          <w:p w14:paraId="436A5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29D7F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AD65E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宣传群众满意度</w:t>
            </w:r>
          </w:p>
        </w:tc>
        <w:tc>
          <w:tcPr>
            <w:tcW w:w="521" w:type="dxa"/>
            <w:tcBorders>
              <w:top w:val="single" w:color="000000" w:sz="4" w:space="0"/>
              <w:left w:val="single" w:color="auto" w:sz="4" w:space="0"/>
              <w:bottom w:val="single" w:color="000000" w:sz="4" w:space="0"/>
              <w:right w:val="single" w:color="000000" w:sz="4" w:space="0"/>
            </w:tcBorders>
            <w:shd w:val="clear" w:color="auto" w:fill="auto"/>
            <w:vAlign w:val="center"/>
          </w:tcPr>
          <w:p w14:paraId="6B0C2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3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中长期</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4693">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AFCA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较满意</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5F1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DCF0D">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26</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0F1C">
            <w:pPr>
              <w:rPr>
                <w:rFonts w:hint="eastAsia" w:ascii="宋体" w:hAnsi="宋体" w:eastAsia="宋体" w:cs="宋体"/>
                <w:i w:val="0"/>
                <w:iCs w:val="0"/>
                <w:color w:val="000000"/>
                <w:sz w:val="18"/>
                <w:szCs w:val="18"/>
                <w:u w:val="none"/>
              </w:rPr>
            </w:pPr>
          </w:p>
        </w:tc>
      </w:tr>
      <w:tr w14:paraId="71EA1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5CCF0">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auto" w:sz="4" w:space="0"/>
            </w:tcBorders>
            <w:shd w:val="clear" w:color="auto" w:fill="auto"/>
            <w:vAlign w:val="center"/>
          </w:tcPr>
          <w:p w14:paraId="1BA91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1903A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6A6AE">
            <w:pPr>
              <w:keepNext w:val="0"/>
              <w:keepLines w:val="0"/>
              <w:widowControl/>
              <w:suppressLineNumbers w:val="0"/>
              <w:jc w:val="both"/>
              <w:textAlignment w:val="center"/>
              <w:rPr>
                <w:rFonts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群众接受度</w:t>
            </w:r>
          </w:p>
        </w:tc>
        <w:tc>
          <w:tcPr>
            <w:tcW w:w="521" w:type="dxa"/>
            <w:tcBorders>
              <w:top w:val="single" w:color="000000" w:sz="4" w:space="0"/>
              <w:left w:val="single" w:color="auto" w:sz="4" w:space="0"/>
              <w:bottom w:val="single" w:color="000000" w:sz="4" w:space="0"/>
              <w:right w:val="single" w:color="000000" w:sz="4" w:space="0"/>
            </w:tcBorders>
            <w:shd w:val="clear" w:color="auto" w:fill="auto"/>
            <w:vAlign w:val="center"/>
          </w:tcPr>
          <w:p w14:paraId="728BB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B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F0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9B25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可接受</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D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9915">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AB98">
            <w:pPr>
              <w:rPr>
                <w:rFonts w:hint="eastAsia" w:ascii="宋体" w:hAnsi="宋体" w:eastAsia="宋体" w:cs="宋体"/>
                <w:i w:val="0"/>
                <w:iCs w:val="0"/>
                <w:color w:val="000000"/>
                <w:sz w:val="18"/>
                <w:szCs w:val="18"/>
                <w:u w:val="none"/>
              </w:rPr>
            </w:pPr>
          </w:p>
        </w:tc>
      </w:tr>
      <w:tr w14:paraId="5F17F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E3E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DB91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9C63">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w:t>
            </w:r>
            <w:r>
              <w:rPr>
                <w:rFonts w:hint="eastAsia" w:ascii="宋体" w:hAnsi="宋体" w:cs="宋体"/>
                <w:i w:val="0"/>
                <w:iCs w:val="0"/>
                <w:color w:val="000000"/>
                <w:sz w:val="18"/>
                <w:szCs w:val="18"/>
                <w:u w:val="none"/>
                <w:lang w:val="en-US" w:eastAsia="zh-CN"/>
              </w:rPr>
              <w:t>5</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D1BE">
            <w:pPr>
              <w:rPr>
                <w:rFonts w:hint="eastAsia" w:ascii="宋体" w:hAnsi="宋体" w:eastAsia="宋体" w:cs="宋体"/>
                <w:i w:val="0"/>
                <w:iCs w:val="0"/>
                <w:color w:val="000000"/>
                <w:sz w:val="18"/>
                <w:szCs w:val="18"/>
                <w:u w:val="none"/>
              </w:rPr>
            </w:pPr>
          </w:p>
        </w:tc>
      </w:tr>
      <w:tr w14:paraId="60A59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2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3726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能够较好地完成任务，较好地执行了预算计划，各分部项目推进规范且有序，资金拨付及时、准确。</w:t>
            </w:r>
          </w:p>
        </w:tc>
      </w:tr>
      <w:tr w14:paraId="276ED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F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E54E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r w14:paraId="3BD41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6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6495F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r w14:paraId="3556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72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885E3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项目负责人：尕让磋</w:t>
            </w:r>
          </w:p>
        </w:tc>
        <w:tc>
          <w:tcPr>
            <w:tcW w:w="68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1F56F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财务负责人：朱卫东</w:t>
            </w:r>
          </w:p>
        </w:tc>
      </w:tr>
    </w:tbl>
    <w:p w14:paraId="3D5CFB2F">
      <w:pPr>
        <w:rPr>
          <w:rFonts w:hint="eastAsia"/>
        </w:rPr>
        <w:sectPr>
          <w:pgSz w:w="16838" w:h="11906" w:orient="landscape"/>
          <w:pgMar w:top="1800" w:right="1440" w:bottom="1800" w:left="1440" w:header="851" w:footer="992" w:gutter="0"/>
          <w:pgNumType w:fmt="decimal" w:start="1"/>
          <w:cols w:space="425" w:num="1"/>
          <w:docGrid w:type="lines" w:linePitch="312"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1"/>
        <w:gridCol w:w="2018"/>
        <w:gridCol w:w="1748"/>
        <w:gridCol w:w="2416"/>
        <w:gridCol w:w="518"/>
        <w:gridCol w:w="1648"/>
        <w:gridCol w:w="518"/>
        <w:gridCol w:w="1085"/>
        <w:gridCol w:w="505"/>
        <w:gridCol w:w="455"/>
        <w:gridCol w:w="2508"/>
      </w:tblGrid>
      <w:tr w14:paraId="41B9E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7AB1B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974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61A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40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366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流感</w:t>
            </w:r>
            <w:r>
              <w:rPr>
                <w:rFonts w:ascii="宋体" w:hAnsi="宋体" w:eastAsia="宋体" w:cs="宋体"/>
                <w:i w:val="0"/>
                <w:iCs w:val="0"/>
                <w:color w:val="000000"/>
                <w:kern w:val="0"/>
                <w:sz w:val="18"/>
                <w:szCs w:val="18"/>
                <w:u w:val="none"/>
                <w:lang w:val="en-US" w:eastAsia="zh-CN" w:bidi="ar"/>
              </w:rPr>
              <w:t>疫苗免费接种项目</w:t>
            </w:r>
          </w:p>
        </w:tc>
      </w:tr>
      <w:tr w14:paraId="3A594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34E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8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332B9E">
            <w:pP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松潘县卫生健康局</w:t>
            </w:r>
          </w:p>
        </w:tc>
        <w:tc>
          <w:tcPr>
            <w:tcW w:w="1085" w:type="dxa"/>
            <w:tcBorders>
              <w:top w:val="nil"/>
              <w:left w:val="nil"/>
              <w:bottom w:val="nil"/>
              <w:right w:val="nil"/>
            </w:tcBorders>
            <w:shd w:val="clear" w:color="auto" w:fill="auto"/>
            <w:vAlign w:val="center"/>
          </w:tcPr>
          <w:p w14:paraId="407748CE">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4F92C">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松潘县疾病预防控制中心</w:t>
            </w:r>
          </w:p>
        </w:tc>
      </w:tr>
      <w:tr w14:paraId="4D999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749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044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8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C94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ACE7D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33B4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242B2">
            <w:pPr>
              <w:rPr>
                <w:rFonts w:hint="eastAsia" w:ascii="宋体" w:hAnsi="宋体" w:eastAsia="宋体" w:cs="宋体"/>
                <w:i w:val="0"/>
                <w:iCs w:val="0"/>
                <w:color w:val="000000"/>
                <w:sz w:val="18"/>
                <w:szCs w:val="18"/>
                <w:u w:val="none"/>
              </w:rPr>
            </w:pPr>
          </w:p>
        </w:tc>
        <w:tc>
          <w:tcPr>
            <w:tcW w:w="2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0481B">
            <w:pPr>
              <w:rPr>
                <w:rFonts w:hint="eastAsia" w:ascii="宋体" w:hAnsi="宋体" w:eastAsia="宋体" w:cs="宋体"/>
                <w:i w:val="0"/>
                <w:iCs w:val="0"/>
                <w:color w:val="000000"/>
                <w:sz w:val="18"/>
                <w:szCs w:val="18"/>
                <w:u w:val="none"/>
              </w:rPr>
            </w:pPr>
          </w:p>
        </w:tc>
        <w:tc>
          <w:tcPr>
            <w:tcW w:w="68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218B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已完成疫苗接种工作</w:t>
            </w:r>
          </w:p>
        </w:tc>
        <w:tc>
          <w:tcPr>
            <w:tcW w:w="45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EE4C8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p>
        </w:tc>
      </w:tr>
      <w:tr w14:paraId="7F38A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C3138">
            <w:pP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9F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40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EA0A9A">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完成</w:t>
            </w:r>
            <w:r>
              <w:rPr>
                <w:rFonts w:hint="eastAsia" w:ascii="宋体" w:hAnsi="宋体" w:eastAsia="宋体" w:cs="宋体"/>
                <w:i w:val="0"/>
                <w:iCs w:val="0"/>
                <w:color w:val="000000"/>
                <w:kern w:val="0"/>
                <w:sz w:val="18"/>
                <w:szCs w:val="18"/>
                <w:u w:val="none"/>
                <w:lang w:val="en-US" w:eastAsia="zh-CN" w:bidi="ar"/>
              </w:rPr>
              <w:t>为全县老年人实施流感疫苗免费接种工作的任务目标，免费接种工作具有重要意义</w:t>
            </w:r>
            <w:r>
              <w:rPr>
                <w:rFonts w:hint="eastAsia" w:ascii="宋体" w:hAnsi="宋体" w:cs="宋体"/>
                <w:i w:val="0"/>
                <w:iCs w:val="0"/>
                <w:color w:val="000000"/>
                <w:kern w:val="0"/>
                <w:sz w:val="18"/>
                <w:szCs w:val="18"/>
                <w:u w:val="none"/>
                <w:lang w:val="en-US" w:eastAsia="zh-CN" w:bidi="ar"/>
              </w:rPr>
              <w:t>。</w:t>
            </w:r>
          </w:p>
        </w:tc>
      </w:tr>
      <w:tr w14:paraId="779F9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73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4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2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1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8A2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5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B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3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C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AF34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87016">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E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BAC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11.8</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E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B2B3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11.8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0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7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E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32888">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173B6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CAE0E">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9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490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11.8</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79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84E3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11.8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C7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37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0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C8D25">
            <w:pPr>
              <w:rPr>
                <w:rFonts w:hint="eastAsia" w:ascii="黑体" w:hAnsi="黑体" w:eastAsia="黑体" w:cs="黑体"/>
                <w:i/>
                <w:iCs/>
                <w:color w:val="000000"/>
                <w:sz w:val="18"/>
                <w:szCs w:val="18"/>
                <w:u w:val="none"/>
              </w:rPr>
            </w:pPr>
          </w:p>
        </w:tc>
      </w:tr>
      <w:tr w14:paraId="2CCCB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9AE51">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D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5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D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B1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D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7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4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9BD2B">
            <w:pPr>
              <w:rPr>
                <w:rFonts w:hint="eastAsia" w:ascii="黑体" w:hAnsi="黑体" w:eastAsia="黑体" w:cs="黑体"/>
                <w:i/>
                <w:iCs/>
                <w:color w:val="000000"/>
                <w:sz w:val="18"/>
                <w:szCs w:val="18"/>
                <w:u w:val="none"/>
              </w:rPr>
            </w:pPr>
          </w:p>
        </w:tc>
      </w:tr>
      <w:tr w14:paraId="2078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0965E">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D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1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0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565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3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A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8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AD9E9">
            <w:pPr>
              <w:rPr>
                <w:rFonts w:hint="eastAsia" w:ascii="黑体" w:hAnsi="黑体" w:eastAsia="黑体" w:cs="黑体"/>
                <w:i/>
                <w:iCs/>
                <w:color w:val="000000"/>
                <w:sz w:val="18"/>
                <w:szCs w:val="18"/>
                <w:u w:val="none"/>
              </w:rPr>
            </w:pPr>
          </w:p>
        </w:tc>
      </w:tr>
      <w:tr w14:paraId="743D6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2CB19">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7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6FB80">
            <w:pPr>
              <w:jc w:val="center"/>
              <w:rPr>
                <w:rFonts w:hint="eastAsia" w:ascii="微软雅黑" w:hAnsi="微软雅黑" w:eastAsia="微软雅黑" w:cs="微软雅黑"/>
                <w:i/>
                <w:iCs/>
                <w:color w:val="000000"/>
                <w:sz w:val="16"/>
                <w:szCs w:val="16"/>
                <w:u w:val="none"/>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8EA6">
            <w:pPr>
              <w:jc w:val="center"/>
              <w:rPr>
                <w:rFonts w:hint="eastAsia" w:ascii="微软雅黑" w:hAnsi="微软雅黑" w:eastAsia="微软雅黑" w:cs="微软雅黑"/>
                <w:i/>
                <w:iCs/>
                <w:color w:val="000000"/>
                <w:sz w:val="16"/>
                <w:szCs w:val="16"/>
                <w:u w:val="none"/>
              </w:rPr>
            </w:pP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D98851">
            <w:pPr>
              <w:jc w:val="center"/>
              <w:rPr>
                <w:rFonts w:hint="eastAsia" w:ascii="微软雅黑" w:hAnsi="微软雅黑" w:eastAsia="微软雅黑" w:cs="微软雅黑"/>
                <w:i/>
                <w:iCs/>
                <w:color w:val="000000"/>
                <w:sz w:val="16"/>
                <w:szCs w:val="16"/>
                <w:u w:val="none"/>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8E8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C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E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556F7">
            <w:pPr>
              <w:rPr>
                <w:rFonts w:hint="eastAsia" w:ascii="黑体" w:hAnsi="黑体" w:eastAsia="黑体" w:cs="黑体"/>
                <w:i/>
                <w:iCs/>
                <w:color w:val="000000"/>
                <w:sz w:val="18"/>
                <w:szCs w:val="18"/>
                <w:u w:val="none"/>
              </w:rPr>
            </w:pPr>
          </w:p>
        </w:tc>
      </w:tr>
      <w:tr w14:paraId="333A2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E5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E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A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1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F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08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B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6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C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2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3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BB4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4B9E1">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3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48" w:type="dxa"/>
            <w:tcBorders>
              <w:top w:val="single" w:color="000000" w:sz="4" w:space="0"/>
              <w:left w:val="single" w:color="000000" w:sz="4" w:space="0"/>
              <w:bottom w:val="single" w:color="auto" w:sz="4" w:space="0"/>
              <w:right w:val="single" w:color="000000" w:sz="4" w:space="0"/>
            </w:tcBorders>
            <w:shd w:val="clear" w:color="auto" w:fill="auto"/>
            <w:vAlign w:val="center"/>
          </w:tcPr>
          <w:p w14:paraId="00B87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416" w:type="dxa"/>
            <w:tcBorders>
              <w:top w:val="single" w:color="000000" w:sz="4" w:space="0"/>
              <w:left w:val="single" w:color="000000" w:sz="4" w:space="0"/>
              <w:bottom w:val="single" w:color="auto" w:sz="4" w:space="0"/>
              <w:right w:val="single" w:color="000000" w:sz="4" w:space="0"/>
            </w:tcBorders>
            <w:shd w:val="clear" w:color="auto" w:fill="FFFFFF"/>
            <w:vAlign w:val="center"/>
          </w:tcPr>
          <w:p w14:paraId="774CD9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38"/>
                <w:lang w:val="en-US" w:eastAsia="zh-CN" w:bidi="ar"/>
              </w:rPr>
              <w:t>疫苗接种率≧</w:t>
            </w:r>
            <w:r>
              <w:rPr>
                <w:rStyle w:val="39"/>
                <w:lang w:val="en-US" w:eastAsia="zh-CN" w:bidi="ar"/>
              </w:rPr>
              <w:t>95</w:t>
            </w:r>
            <w:r>
              <w:rPr>
                <w:rStyle w:val="38"/>
                <w:lang w:val="en-US" w:eastAsia="zh-CN" w:bidi="ar"/>
              </w:rPr>
              <w:t>%</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7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9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8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E328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9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5283">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49</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0B3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21181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7030D">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auto" w:sz="4" w:space="0"/>
            </w:tcBorders>
            <w:shd w:val="clear" w:color="auto" w:fill="auto"/>
            <w:vAlign w:val="center"/>
          </w:tcPr>
          <w:p w14:paraId="758BC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48" w:type="dxa"/>
            <w:tcBorders>
              <w:top w:val="single" w:color="auto" w:sz="4" w:space="0"/>
              <w:left w:val="single" w:color="auto" w:sz="4" w:space="0"/>
              <w:bottom w:val="single" w:color="auto" w:sz="4" w:space="0"/>
              <w:right w:val="single" w:color="auto" w:sz="4" w:space="0"/>
            </w:tcBorders>
            <w:shd w:val="clear" w:color="auto" w:fill="auto"/>
            <w:vAlign w:val="center"/>
          </w:tcPr>
          <w:p w14:paraId="40853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4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74E4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预防接种宣传群众满意度</w:t>
            </w:r>
          </w:p>
        </w:tc>
        <w:tc>
          <w:tcPr>
            <w:tcW w:w="518" w:type="dxa"/>
            <w:tcBorders>
              <w:top w:val="single" w:color="000000" w:sz="4" w:space="0"/>
              <w:left w:val="single" w:color="auto" w:sz="4" w:space="0"/>
              <w:bottom w:val="single" w:color="000000" w:sz="4" w:space="0"/>
              <w:right w:val="single" w:color="000000" w:sz="4" w:space="0"/>
            </w:tcBorders>
            <w:shd w:val="clear" w:color="auto" w:fill="auto"/>
            <w:vAlign w:val="center"/>
          </w:tcPr>
          <w:p w14:paraId="1A8DB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5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中长期</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08E9">
            <w:pPr>
              <w:jc w:val="center"/>
              <w:rPr>
                <w:rFonts w:hint="eastAsia" w:ascii="宋体" w:hAnsi="宋体" w:eastAsia="宋体" w:cs="宋体"/>
                <w:i w:val="0"/>
                <w:iCs w:val="0"/>
                <w:color w:val="000000"/>
                <w:sz w:val="18"/>
                <w:szCs w:val="18"/>
                <w:u w:val="none"/>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7B1B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较满意</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93F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583B">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26</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2110">
            <w:pPr>
              <w:rPr>
                <w:rFonts w:hint="eastAsia" w:ascii="宋体" w:hAnsi="宋体" w:eastAsia="宋体" w:cs="宋体"/>
                <w:i w:val="0"/>
                <w:iCs w:val="0"/>
                <w:color w:val="000000"/>
                <w:sz w:val="18"/>
                <w:szCs w:val="18"/>
                <w:u w:val="none"/>
              </w:rPr>
            </w:pPr>
          </w:p>
        </w:tc>
      </w:tr>
      <w:tr w14:paraId="51740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E5F99">
            <w:pPr>
              <w:jc w:val="center"/>
              <w:rPr>
                <w:rFonts w:hint="eastAsia" w:ascii="宋体" w:hAnsi="宋体" w:eastAsia="宋体" w:cs="宋体"/>
                <w:i w:val="0"/>
                <w:iCs w:val="0"/>
                <w:color w:val="000000"/>
                <w:sz w:val="18"/>
                <w:szCs w:val="18"/>
                <w:u w:val="none"/>
              </w:rPr>
            </w:pPr>
          </w:p>
        </w:tc>
        <w:tc>
          <w:tcPr>
            <w:tcW w:w="2018" w:type="dxa"/>
            <w:tcBorders>
              <w:top w:val="single" w:color="000000" w:sz="4" w:space="0"/>
              <w:left w:val="single" w:color="000000" w:sz="4" w:space="0"/>
              <w:bottom w:val="single" w:color="000000" w:sz="4" w:space="0"/>
              <w:right w:val="single" w:color="auto" w:sz="4" w:space="0"/>
            </w:tcBorders>
            <w:shd w:val="clear" w:color="auto" w:fill="auto"/>
            <w:vAlign w:val="center"/>
          </w:tcPr>
          <w:p w14:paraId="0BBC7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48" w:type="dxa"/>
            <w:tcBorders>
              <w:top w:val="single" w:color="auto" w:sz="4" w:space="0"/>
              <w:left w:val="single" w:color="auto" w:sz="4" w:space="0"/>
              <w:bottom w:val="single" w:color="auto" w:sz="4" w:space="0"/>
              <w:right w:val="single" w:color="auto" w:sz="4" w:space="0"/>
            </w:tcBorders>
            <w:shd w:val="clear" w:color="auto" w:fill="auto"/>
            <w:vAlign w:val="center"/>
          </w:tcPr>
          <w:p w14:paraId="5AE72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4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594F6">
            <w:pPr>
              <w:keepNext w:val="0"/>
              <w:keepLines w:val="0"/>
              <w:widowControl/>
              <w:suppressLineNumbers w:val="0"/>
              <w:jc w:val="both"/>
              <w:textAlignment w:val="center"/>
              <w:rPr>
                <w:rFonts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对疫苗接受度</w:t>
            </w:r>
          </w:p>
        </w:tc>
        <w:tc>
          <w:tcPr>
            <w:tcW w:w="518" w:type="dxa"/>
            <w:tcBorders>
              <w:top w:val="single" w:color="000000" w:sz="4" w:space="0"/>
              <w:left w:val="single" w:color="auto" w:sz="4" w:space="0"/>
              <w:bottom w:val="single" w:color="000000" w:sz="4" w:space="0"/>
              <w:right w:val="single" w:color="000000" w:sz="4" w:space="0"/>
            </w:tcBorders>
            <w:shd w:val="clear" w:color="auto" w:fill="auto"/>
            <w:vAlign w:val="center"/>
          </w:tcPr>
          <w:p w14:paraId="7E6B1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0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3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50CB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可接受</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A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461C">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BC0EA">
            <w:pPr>
              <w:rPr>
                <w:rFonts w:hint="eastAsia" w:ascii="宋体" w:hAnsi="宋体" w:eastAsia="宋体" w:cs="宋体"/>
                <w:i w:val="0"/>
                <w:iCs w:val="0"/>
                <w:color w:val="000000"/>
                <w:sz w:val="18"/>
                <w:szCs w:val="18"/>
                <w:u w:val="none"/>
              </w:rPr>
            </w:pPr>
          </w:p>
        </w:tc>
      </w:tr>
      <w:tr w14:paraId="19999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63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F0C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67A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EF47">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w:t>
            </w:r>
            <w:r>
              <w:rPr>
                <w:rFonts w:hint="eastAsia" w:ascii="宋体" w:hAnsi="宋体" w:cs="宋体"/>
                <w:i w:val="0"/>
                <w:iCs w:val="0"/>
                <w:color w:val="000000"/>
                <w:sz w:val="18"/>
                <w:szCs w:val="18"/>
                <w:u w:val="none"/>
                <w:lang w:val="en-US" w:eastAsia="zh-CN"/>
              </w:rPr>
              <w:t>5</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0F65">
            <w:pPr>
              <w:rPr>
                <w:rFonts w:hint="eastAsia" w:ascii="宋体" w:hAnsi="宋体" w:eastAsia="宋体" w:cs="宋体"/>
                <w:i w:val="0"/>
                <w:iCs w:val="0"/>
                <w:color w:val="000000"/>
                <w:sz w:val="18"/>
                <w:szCs w:val="18"/>
                <w:u w:val="none"/>
              </w:rPr>
            </w:pPr>
          </w:p>
        </w:tc>
      </w:tr>
      <w:tr w14:paraId="195AE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6C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301CB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能够较好地完成任务，较好地执行了预算计划，各分部项目推进规范且有序，资金拨付及时、准确。</w:t>
            </w:r>
          </w:p>
        </w:tc>
      </w:tr>
      <w:tr w14:paraId="2491E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6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CC15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r w14:paraId="4F557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0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A5928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r w14:paraId="7B5B7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6046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项目负责人：黄微</w:t>
            </w:r>
          </w:p>
        </w:tc>
        <w:tc>
          <w:tcPr>
            <w:tcW w:w="6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829C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财务负责人：朱卫东</w:t>
            </w:r>
          </w:p>
        </w:tc>
      </w:tr>
    </w:tbl>
    <w:p w14:paraId="55CD0BF9">
      <w:pPr>
        <w:pStyle w:val="20"/>
        <w:rPr>
          <w:rFonts w:hint="eastAsia"/>
        </w:rPr>
        <w:sectPr>
          <w:pgSz w:w="16838" w:h="11906" w:orient="landscape"/>
          <w:pgMar w:top="1800" w:right="1440" w:bottom="1800" w:left="1440" w:header="851" w:footer="992" w:gutter="0"/>
          <w:pgNumType w:fmt="decimal" w:start="1"/>
          <w:cols w:space="425" w:num="1"/>
          <w:docGrid w:type="lines" w:linePitch="312" w:charSpace="0"/>
        </w:sectPr>
      </w:pPr>
    </w:p>
    <w:p w14:paraId="1667CE74">
      <w:pPr>
        <w:widowControl/>
        <w:jc w:val="center"/>
        <w:rPr>
          <w:rFonts w:hint="eastAsia" w:ascii="Times New Roman" w:hAnsi="Times New Roman" w:eastAsia="仿宋"/>
          <w:b w:val="0"/>
          <w:color w:val="auto"/>
          <w:highlight w:val="none"/>
        </w:rPr>
      </w:pPr>
      <w:bookmarkStart w:id="46" w:name="_Toc1539661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5"/>
      <w:bookmarkEnd w:id="46"/>
      <w:bookmarkStart w:id="47" w:name="_Toc15396619"/>
    </w:p>
    <w:p w14:paraId="43F4ADC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D5D423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7"/>
    </w:p>
    <w:p w14:paraId="44DAA52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0"/>
      <w:r>
        <w:rPr>
          <w:rFonts w:hint="eastAsia" w:ascii="Times New Roman" w:hAnsi="Times New Roman" w:eastAsia="仿宋_GB2312" w:cs="仿宋_GB2312"/>
          <w:color w:val="auto"/>
          <w:sz w:val="32"/>
          <w:szCs w:val="32"/>
          <w:highlight w:val="none"/>
        </w:rPr>
        <w:t>二、收入决算表</w:t>
      </w:r>
      <w:bookmarkEnd w:id="48"/>
    </w:p>
    <w:p w14:paraId="36D050F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1"/>
      <w:r>
        <w:rPr>
          <w:rFonts w:hint="eastAsia" w:ascii="Times New Roman" w:hAnsi="Times New Roman" w:eastAsia="仿宋_GB2312" w:cs="仿宋_GB2312"/>
          <w:color w:val="auto"/>
          <w:sz w:val="32"/>
          <w:szCs w:val="32"/>
          <w:highlight w:val="none"/>
        </w:rPr>
        <w:t>三、支出决算表</w:t>
      </w:r>
      <w:bookmarkEnd w:id="49"/>
    </w:p>
    <w:p w14:paraId="3BA730A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2"/>
      <w:r>
        <w:rPr>
          <w:rFonts w:hint="eastAsia" w:ascii="Times New Roman" w:hAnsi="Times New Roman" w:eastAsia="仿宋_GB2312" w:cs="仿宋_GB2312"/>
          <w:color w:val="auto"/>
          <w:sz w:val="32"/>
          <w:szCs w:val="32"/>
          <w:highlight w:val="none"/>
        </w:rPr>
        <w:t>四、财政拨款收入支出决算总表</w:t>
      </w:r>
      <w:bookmarkEnd w:id="50"/>
    </w:p>
    <w:p w14:paraId="65091E4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3"/>
      <w:r>
        <w:rPr>
          <w:rFonts w:hint="eastAsia" w:ascii="Times New Roman" w:hAnsi="Times New Roman" w:eastAsia="仿宋_GB2312" w:cs="仿宋_GB2312"/>
          <w:color w:val="auto"/>
          <w:sz w:val="32"/>
          <w:szCs w:val="32"/>
          <w:highlight w:val="none"/>
        </w:rPr>
        <w:t>五、财政拨款支出决算明细表</w:t>
      </w:r>
      <w:bookmarkEnd w:id="51"/>
      <w:bookmarkStart w:id="52" w:name="_Toc15396624"/>
    </w:p>
    <w:p w14:paraId="1655D61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2"/>
    </w:p>
    <w:p w14:paraId="07E9F63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5"/>
      <w:r>
        <w:rPr>
          <w:rFonts w:hint="eastAsia" w:ascii="Times New Roman" w:hAnsi="Times New Roman" w:eastAsia="仿宋_GB2312" w:cs="仿宋_GB2312"/>
          <w:color w:val="auto"/>
          <w:sz w:val="32"/>
          <w:szCs w:val="32"/>
          <w:highlight w:val="none"/>
        </w:rPr>
        <w:t>七、一般公共预算财政拨款支出决算明细表</w:t>
      </w:r>
      <w:bookmarkEnd w:id="53"/>
    </w:p>
    <w:p w14:paraId="5130C43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6"/>
      <w:r>
        <w:rPr>
          <w:rFonts w:hint="eastAsia" w:ascii="Times New Roman" w:hAnsi="Times New Roman" w:eastAsia="仿宋_GB2312" w:cs="仿宋_GB2312"/>
          <w:color w:val="auto"/>
          <w:sz w:val="32"/>
          <w:szCs w:val="32"/>
          <w:highlight w:val="none"/>
        </w:rPr>
        <w:t>八、一般公共预算财政拨款基本支出决算表</w:t>
      </w:r>
      <w:bookmarkEnd w:id="54"/>
    </w:p>
    <w:p w14:paraId="7C3DFBC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7"/>
      <w:r>
        <w:rPr>
          <w:rFonts w:hint="eastAsia" w:ascii="Times New Roman" w:hAnsi="Times New Roman" w:eastAsia="仿宋_GB2312" w:cs="仿宋_GB2312"/>
          <w:color w:val="auto"/>
          <w:sz w:val="32"/>
          <w:szCs w:val="32"/>
          <w:highlight w:val="none"/>
        </w:rPr>
        <w:t>九、一般公共预算财政拨款项目支出决算表</w:t>
      </w:r>
      <w:bookmarkEnd w:id="55"/>
    </w:p>
    <w:p w14:paraId="18E2B9C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8"/>
      <w:r>
        <w:rPr>
          <w:rFonts w:hint="eastAsia" w:ascii="Times New Roman" w:hAnsi="Times New Roman" w:eastAsia="仿宋_GB2312" w:cs="仿宋_GB2312"/>
          <w:color w:val="auto"/>
          <w:sz w:val="32"/>
          <w:szCs w:val="32"/>
          <w:highlight w:val="none"/>
        </w:rPr>
        <w:t>十、</w:t>
      </w:r>
      <w:bookmarkEnd w:id="56"/>
      <w:r>
        <w:rPr>
          <w:rFonts w:hint="eastAsia" w:ascii="Times New Roman" w:hAnsi="Times New Roman" w:eastAsia="仿宋_GB2312" w:cs="仿宋_GB2312"/>
          <w:color w:val="auto"/>
          <w:sz w:val="32"/>
          <w:szCs w:val="32"/>
          <w:highlight w:val="none"/>
        </w:rPr>
        <w:t>政府性基金预算财政拨款收入支出决算表</w:t>
      </w:r>
    </w:p>
    <w:p w14:paraId="415EA90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9"/>
      <w:r>
        <w:rPr>
          <w:rFonts w:hint="eastAsia" w:ascii="Times New Roman" w:hAnsi="Times New Roman" w:eastAsia="仿宋_GB2312" w:cs="仿宋_GB2312"/>
          <w:color w:val="auto"/>
          <w:sz w:val="32"/>
          <w:szCs w:val="32"/>
          <w:highlight w:val="none"/>
        </w:rPr>
        <w:t>十一、</w:t>
      </w:r>
      <w:bookmarkEnd w:id="5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B24037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30"/>
      <w:r>
        <w:rPr>
          <w:rFonts w:hint="eastAsia" w:ascii="Times New Roman" w:hAnsi="Times New Roman" w:eastAsia="仿宋_GB2312" w:cs="仿宋_GB2312"/>
          <w:color w:val="auto"/>
          <w:sz w:val="32"/>
          <w:szCs w:val="32"/>
          <w:highlight w:val="none"/>
        </w:rPr>
        <w:t>十二、</w:t>
      </w:r>
      <w:bookmarkEnd w:id="58"/>
      <w:r>
        <w:rPr>
          <w:rFonts w:hint="eastAsia" w:ascii="Times New Roman" w:hAnsi="Times New Roman" w:eastAsia="仿宋_GB2312" w:cs="仿宋_GB2312"/>
          <w:color w:val="auto"/>
          <w:sz w:val="32"/>
          <w:szCs w:val="32"/>
          <w:highlight w:val="none"/>
          <w:lang w:eastAsia="zh-CN"/>
        </w:rPr>
        <w:t>国有资本经营预算财政拨款支出决算表</w:t>
      </w:r>
    </w:p>
    <w:p w14:paraId="205C840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9" w:name="_Toc15396631"/>
      <w:r>
        <w:rPr>
          <w:rFonts w:hint="eastAsia" w:ascii="Times New Roman" w:hAnsi="Times New Roman" w:eastAsia="仿宋_GB2312" w:cs="仿宋_GB2312"/>
          <w:color w:val="auto"/>
          <w:sz w:val="32"/>
          <w:szCs w:val="32"/>
          <w:highlight w:val="none"/>
        </w:rPr>
        <w:t>十三、</w:t>
      </w:r>
      <w:bookmarkEnd w:id="59"/>
      <w:r>
        <w:rPr>
          <w:rFonts w:hint="eastAsia" w:ascii="Times New Roman" w:hAnsi="Times New Roman" w:eastAsia="仿宋_GB2312" w:cs="仿宋_GB2312"/>
          <w:color w:val="auto"/>
          <w:sz w:val="32"/>
          <w:szCs w:val="32"/>
          <w:highlight w:val="none"/>
          <w:lang w:eastAsia="zh-CN"/>
        </w:rPr>
        <w:t>财政拨款“三公”经费支出决算表</w:t>
      </w:r>
    </w:p>
    <w:p w14:paraId="7168C4F6">
      <w:pPr>
        <w:rPr>
          <w:rFonts w:hint="eastAsia" w:ascii="Times New Roman" w:hAnsi="Times New Roman"/>
          <w:lang w:eastAsia="zh-CN"/>
        </w:rPr>
      </w:pPr>
    </w:p>
    <w:sect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D2B6B1-5998-4F1B-A705-8C4C82D23EB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661AE7FF-6B22-415D-A500-E6300B3368E0}"/>
  </w:font>
  <w:font w:name="仿宋">
    <w:panose1 w:val="02010609060101010101"/>
    <w:charset w:val="86"/>
    <w:family w:val="modern"/>
    <w:pitch w:val="default"/>
    <w:sig w:usb0="800002BF" w:usb1="38CF7CFA" w:usb2="00000016" w:usb3="00000000" w:csb0="00040001" w:csb1="00000000"/>
    <w:embedRegular r:id="rId3" w:fontKey="{E698B5D3-D1ED-4DB1-98D3-D5846DEC9264}"/>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19B31276-0704-4673-A65A-656C8ED4B6BE}"/>
  </w:font>
  <w:font w:name="ˎ̥">
    <w:altName w:val="Times New Roman"/>
    <w:panose1 w:val="00000000000000000000"/>
    <w:charset w:val="00"/>
    <w:family w:val="roman"/>
    <w:pitch w:val="default"/>
    <w:sig w:usb0="00000000" w:usb1="00000000" w:usb2="00000000" w:usb3="00000000" w:csb0="00040001" w:csb1="00000000"/>
    <w:embedRegular r:id="rId5" w:fontKey="{B71C07F6-FDFA-4023-9F6B-60F87FA1BACE}"/>
  </w:font>
  <w:font w:name="楷体_GB2312">
    <w:panose1 w:val="02010609030101010101"/>
    <w:charset w:val="86"/>
    <w:family w:val="auto"/>
    <w:pitch w:val="default"/>
    <w:sig w:usb0="00000001" w:usb1="080E0000" w:usb2="00000000" w:usb3="00000000" w:csb0="00040000" w:csb1="00000000"/>
    <w:embedRegular r:id="rId6" w:fontKey="{8E4A5291-309F-4207-8096-3F90E4E406EA}"/>
  </w:font>
  <w:font w:name="Segoe UI">
    <w:panose1 w:val="020B0502040204020203"/>
    <w:charset w:val="00"/>
    <w:family w:val="auto"/>
    <w:pitch w:val="default"/>
    <w:sig w:usb0="E4002EFF" w:usb1="C000E47F" w:usb2="00000009" w:usb3="00000000" w:csb0="200001FF" w:csb1="00000000"/>
    <w:embedRegular r:id="rId7" w:fontKey="{247FA9C3-BE47-47BA-82AD-5B3D267B4BDB}"/>
  </w:font>
  <w:font w:name="微软雅黑">
    <w:panose1 w:val="020B0503020204020204"/>
    <w:charset w:val="86"/>
    <w:family w:val="auto"/>
    <w:pitch w:val="default"/>
    <w:sig w:usb0="80000287" w:usb1="2ACF3C50" w:usb2="00000016" w:usb3="00000000" w:csb0="0004001F" w:csb1="00000000"/>
    <w:embedRegular r:id="rId8" w:fontKey="{81988323-A276-4396-AF7D-82ED700A56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69E9B">
    <w:pPr>
      <w:pStyle w:val="12"/>
      <w:jc w:val="center"/>
    </w:pPr>
  </w:p>
  <w:p w14:paraId="30EACF1F">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B14AB">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6CADE8">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36CADE8">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7DF2C2C7">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51020">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CCD61">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06CCD61">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C0D7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E583D"/>
    <w:multiLevelType w:val="singleLevel"/>
    <w:tmpl w:val="8CEE583D"/>
    <w:lvl w:ilvl="0" w:tentative="0">
      <w:start w:val="1"/>
      <w:numFmt w:val="decimal"/>
      <w:lvlText w:val="%1."/>
      <w:lvlJc w:val="left"/>
      <w:pPr>
        <w:tabs>
          <w:tab w:val="left" w:pos="312"/>
        </w:tabs>
      </w:pPr>
    </w:lvl>
  </w:abstractNum>
  <w:abstractNum w:abstractNumId="1">
    <w:nsid w:val="A4FB490F"/>
    <w:multiLevelType w:val="singleLevel"/>
    <w:tmpl w:val="A4FB490F"/>
    <w:lvl w:ilvl="0" w:tentative="0">
      <w:start w:val="1"/>
      <w:numFmt w:val="chineseCounting"/>
      <w:suff w:val="nothing"/>
      <w:lvlText w:val="（%1）"/>
      <w:lvlJc w:val="left"/>
      <w:rPr>
        <w:rFonts w:hint="eastAsia"/>
      </w:rPr>
    </w:lvl>
  </w:abstractNum>
  <w:abstractNum w:abstractNumId="2">
    <w:nsid w:val="B394C72C"/>
    <w:multiLevelType w:val="singleLevel"/>
    <w:tmpl w:val="B394C72C"/>
    <w:lvl w:ilvl="0" w:tentative="0">
      <w:start w:val="1"/>
      <w:numFmt w:val="decimal"/>
      <w:lvlText w:val="%1."/>
      <w:lvlJc w:val="left"/>
      <w:pPr>
        <w:tabs>
          <w:tab w:val="left" w:pos="312"/>
        </w:tabs>
      </w:pPr>
    </w:lvl>
  </w:abstractNum>
  <w:abstractNum w:abstractNumId="3">
    <w:nsid w:val="FBA72095"/>
    <w:multiLevelType w:val="singleLevel"/>
    <w:tmpl w:val="FBA72095"/>
    <w:lvl w:ilvl="0" w:tentative="0">
      <w:start w:val="4"/>
      <w:numFmt w:val="chineseCounting"/>
      <w:suff w:val="space"/>
      <w:lvlText w:val="第%1部分"/>
      <w:lvlJc w:val="left"/>
      <w:rPr>
        <w:rFonts w:hint="eastAsia"/>
      </w:rPr>
    </w:lvl>
  </w:abstractNum>
  <w:abstractNum w:abstractNumId="4">
    <w:nsid w:val="606BEEDF"/>
    <w:multiLevelType w:val="singleLevel"/>
    <w:tmpl w:val="606BEEDF"/>
    <w:lvl w:ilvl="0" w:tentative="0">
      <w:start w:val="1"/>
      <w:numFmt w:val="chineseCounting"/>
      <w:suff w:val="nothing"/>
      <w:lvlText w:val="%1、"/>
      <w:lvlJc w:val="left"/>
      <w:rPr>
        <w:rFonts w:hint="eastAsia"/>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0C6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4AF5C75"/>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42C2102"/>
    <w:rsid w:val="152F2A07"/>
    <w:rsid w:val="165E0673"/>
    <w:rsid w:val="16BB723D"/>
    <w:rsid w:val="16F13FCB"/>
    <w:rsid w:val="17656F0C"/>
    <w:rsid w:val="182C1480"/>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54E25E8"/>
    <w:rsid w:val="260F557C"/>
    <w:rsid w:val="2801463D"/>
    <w:rsid w:val="281408E2"/>
    <w:rsid w:val="29BD5F8E"/>
    <w:rsid w:val="29FD04D3"/>
    <w:rsid w:val="2BBD118B"/>
    <w:rsid w:val="2BFF7BC6"/>
    <w:rsid w:val="2C8A61B5"/>
    <w:rsid w:val="2D2E01CF"/>
    <w:rsid w:val="2DF04E50"/>
    <w:rsid w:val="2E9545B0"/>
    <w:rsid w:val="2F040D46"/>
    <w:rsid w:val="2FAE5751"/>
    <w:rsid w:val="2FB1A395"/>
    <w:rsid w:val="2FD9A7D8"/>
    <w:rsid w:val="319F7F4E"/>
    <w:rsid w:val="321B2544"/>
    <w:rsid w:val="3304709D"/>
    <w:rsid w:val="3379094D"/>
    <w:rsid w:val="34281836"/>
    <w:rsid w:val="349D6851"/>
    <w:rsid w:val="3518089F"/>
    <w:rsid w:val="35BA6CAF"/>
    <w:rsid w:val="35D37231"/>
    <w:rsid w:val="364D14C1"/>
    <w:rsid w:val="36AA5135"/>
    <w:rsid w:val="36BE0DA7"/>
    <w:rsid w:val="376B6AA6"/>
    <w:rsid w:val="376D39B2"/>
    <w:rsid w:val="37E16F03"/>
    <w:rsid w:val="37F53A3B"/>
    <w:rsid w:val="37F94635"/>
    <w:rsid w:val="383C76EC"/>
    <w:rsid w:val="389B6C89"/>
    <w:rsid w:val="38D469F0"/>
    <w:rsid w:val="39627CCD"/>
    <w:rsid w:val="397BAF1F"/>
    <w:rsid w:val="3A0368D6"/>
    <w:rsid w:val="3AB79AF3"/>
    <w:rsid w:val="3B7EF35A"/>
    <w:rsid w:val="3B9FDB6C"/>
    <w:rsid w:val="3BF5BC2F"/>
    <w:rsid w:val="3CEBA265"/>
    <w:rsid w:val="3D98207C"/>
    <w:rsid w:val="3D9B0D99"/>
    <w:rsid w:val="3DEE7CF3"/>
    <w:rsid w:val="3DF02244"/>
    <w:rsid w:val="3E78745D"/>
    <w:rsid w:val="3FF4CAE0"/>
    <w:rsid w:val="3FF7B227"/>
    <w:rsid w:val="40E54C45"/>
    <w:rsid w:val="41313393"/>
    <w:rsid w:val="422F1702"/>
    <w:rsid w:val="43A407DF"/>
    <w:rsid w:val="44515BEA"/>
    <w:rsid w:val="44E268DA"/>
    <w:rsid w:val="453F7E5B"/>
    <w:rsid w:val="45B778DE"/>
    <w:rsid w:val="46A96BD1"/>
    <w:rsid w:val="486A6C7A"/>
    <w:rsid w:val="49176D9B"/>
    <w:rsid w:val="494006BD"/>
    <w:rsid w:val="49697141"/>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89E4F31"/>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55179A"/>
    <w:rsid w:val="6A993CED"/>
    <w:rsid w:val="6B053271"/>
    <w:rsid w:val="6BCE6674"/>
    <w:rsid w:val="6C471370"/>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A24B63"/>
    <w:rsid w:val="712A28F1"/>
    <w:rsid w:val="715C0E4B"/>
    <w:rsid w:val="72233669"/>
    <w:rsid w:val="72734D90"/>
    <w:rsid w:val="7332FE48"/>
    <w:rsid w:val="73AB61DA"/>
    <w:rsid w:val="73AD73D5"/>
    <w:rsid w:val="73B6EB34"/>
    <w:rsid w:val="73FA497D"/>
    <w:rsid w:val="744731E5"/>
    <w:rsid w:val="74527205"/>
    <w:rsid w:val="74BBD01D"/>
    <w:rsid w:val="74ED5379"/>
    <w:rsid w:val="74FC2395"/>
    <w:rsid w:val="750172D0"/>
    <w:rsid w:val="75DEEEC2"/>
    <w:rsid w:val="76E3355F"/>
    <w:rsid w:val="76FF5125"/>
    <w:rsid w:val="774D1D82"/>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Body Text"/>
    <w:basedOn w:val="1"/>
    <w:link w:val="27"/>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称呼1"/>
    <w:basedOn w:val="1"/>
    <w:next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7"/>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7"/>
    <w:semiHidden/>
    <w:qFormat/>
    <w:uiPriority w:val="99"/>
    <w:rPr>
      <w:rFonts w:ascii="Times New Roman" w:hAnsi="Times New Roman"/>
      <w:szCs w:val="24"/>
    </w:rPr>
  </w:style>
  <w:style w:type="character" w:customStyle="1" w:styleId="27">
    <w:name w:val="正文文本 Char"/>
    <w:link w:val="9"/>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7"/>
    <w:link w:val="5"/>
    <w:qFormat/>
    <w:uiPriority w:val="9"/>
    <w:rPr>
      <w:rFonts w:ascii="Times New Roman" w:hAnsi="Times New Roman"/>
      <w:b/>
      <w:bCs/>
      <w:kern w:val="44"/>
      <w:sz w:val="44"/>
      <w:szCs w:val="44"/>
    </w:rPr>
  </w:style>
  <w:style w:type="character" w:customStyle="1" w:styleId="31">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7"/>
    <w:link w:val="11"/>
    <w:semiHidden/>
    <w:qFormat/>
    <w:uiPriority w:val="99"/>
    <w:rPr>
      <w:rFonts w:ascii="Times New Roman" w:hAnsi="Times New Roman"/>
      <w:kern w:val="2"/>
      <w:sz w:val="18"/>
      <w:szCs w:val="18"/>
    </w:rPr>
  </w:style>
  <w:style w:type="character" w:customStyle="1" w:styleId="34">
    <w:name w:val="标题 3 Char"/>
    <w:basedOn w:val="17"/>
    <w:link w:val="7"/>
    <w:qFormat/>
    <w:uiPriority w:val="9"/>
    <w:rPr>
      <w:rFonts w:ascii="Times New Roman" w:hAnsi="Times New Roman"/>
      <w:b/>
      <w:bCs/>
      <w:kern w:val="2"/>
      <w:sz w:val="32"/>
      <w:szCs w:val="32"/>
    </w:rPr>
  </w:style>
  <w:style w:type="paragraph" w:customStyle="1" w:styleId="35">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Normal_0"/>
    <w:qFormat/>
    <w:uiPriority w:val="0"/>
    <w:rPr>
      <w:rFonts w:ascii="Times New Roman" w:hAnsi="Times New Roman" w:eastAsia="Times New Roman" w:cs="Times New Roman"/>
      <w:sz w:val="24"/>
      <w:szCs w:val="24"/>
      <w:lang w:val="en-US" w:eastAsia="en-US" w:bidi="ar-SA"/>
    </w:rPr>
  </w:style>
  <w:style w:type="character" w:customStyle="1" w:styleId="38">
    <w:name w:val="font51"/>
    <w:basedOn w:val="17"/>
    <w:qFormat/>
    <w:uiPriority w:val="0"/>
    <w:rPr>
      <w:rFonts w:hint="eastAsia" w:ascii="宋体" w:hAnsi="宋体" w:eastAsia="宋体" w:cs="宋体"/>
      <w:color w:val="000000"/>
      <w:sz w:val="16"/>
      <w:szCs w:val="16"/>
      <w:u w:val="none"/>
    </w:rPr>
  </w:style>
  <w:style w:type="character" w:customStyle="1" w:styleId="39">
    <w:name w:val="font91"/>
    <w:basedOn w:val="17"/>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1476.95</c:v>
                </c:pt>
                <c:pt idx="1">
                  <c:v>1476.95</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1250.89</c:v>
                </c:pt>
                <c:pt idx="1">
                  <c:v>1250.89</c:v>
                </c:pt>
              </c:numCache>
            </c:numRef>
          </c:val>
        </c:ser>
        <c:dLbls>
          <c:showLegendKey val="0"/>
          <c:showVal val="1"/>
          <c:showCatName val="0"/>
          <c:showSerName val="0"/>
          <c:showPercent val="0"/>
          <c:showBubbleSize val="0"/>
        </c:dLbls>
        <c:gapWidth val="246"/>
        <c:overlap val="-28"/>
        <c:axId val="242924198"/>
        <c:axId val="813082554"/>
      </c:barChart>
      <c:catAx>
        <c:axId val="24292419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3082554"/>
        <c:crosses val="autoZero"/>
        <c:auto val="1"/>
        <c:lblAlgn val="ctr"/>
        <c:lblOffset val="100"/>
        <c:noMultiLvlLbl val="0"/>
      </c:catAx>
      <c:valAx>
        <c:axId val="81308255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29241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a361ace-2837-46e3-a15e-6ed789dd6df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销售额</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Pt>
            <c:idx val="4"/>
            <c:bubble3D val="0"/>
            <c:spPr>
              <a:solidFill>
                <a:schemeClr val="accent5"/>
              </a:solidFill>
              <a:ln>
                <a:solidFill>
                  <a:schemeClr val="bg1"/>
                </a:solidFill>
              </a:ln>
              <a:effectLst/>
              <a:scene3d>
                <a:camera prst="orthographicFront"/>
                <a:lightRig rig="threePt" dir="t"/>
              </a:scene3d>
              <a:sp3d contourW="9525"/>
            </c:spPr>
          </c:dPt>
          <c:dPt>
            <c:idx val="5"/>
            <c:bubble3D val="0"/>
            <c:spPr>
              <a:solidFill>
                <a:schemeClr val="accent6"/>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一般公共预算财政拨款收入</c:v>
                </c:pt>
                <c:pt idx="1">
                  <c:v>政府性基金预算财政拨款收入</c:v>
                </c:pt>
                <c:pt idx="2">
                  <c:v>上级补助收入</c:v>
                </c:pt>
                <c:pt idx="3">
                  <c:v>经营收入</c:v>
                </c:pt>
                <c:pt idx="4">
                  <c:v>附属单位上缴收入</c:v>
                </c:pt>
                <c:pt idx="5">
                  <c:v>事业收入</c:v>
                </c:pt>
              </c:strCache>
            </c:strRef>
          </c:cat>
          <c:val>
            <c:numRef>
              <c:f>Sheet1!$B$2:$B$7</c:f>
              <c:numCache>
                <c:formatCode>General</c:formatCode>
                <c:ptCount val="6"/>
                <c:pt idx="0">
                  <c:v>1245.5</c:v>
                </c:pt>
                <c:pt idx="1">
                  <c:v>0</c:v>
                </c:pt>
                <c:pt idx="2">
                  <c:v>0</c:v>
                </c:pt>
                <c:pt idx="3">
                  <c:v>0</c:v>
                </c:pt>
                <c:pt idx="4">
                  <c:v>0</c:v>
                </c:pt>
                <c:pt idx="5">
                  <c:v>0</c:v>
                </c:pt>
              </c:numCache>
            </c:numRef>
          </c:val>
        </c:ser>
        <c:dLbls>
          <c:showLegendKey val="0"/>
          <c:showVal val="0"/>
          <c:showCatName val="0"/>
          <c:showSerName val="0"/>
          <c:showPercent val="0"/>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7075b8e-ad45-4240-bd2f-1b514e45775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支出决算结构图</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Pt>
            <c:idx val="4"/>
            <c:bubble3D val="0"/>
            <c:spPr>
              <a:solidFill>
                <a:schemeClr val="accent5"/>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对附属单位补助支出</c:v>
                </c:pt>
                <c:pt idx="4">
                  <c:v>经营支出</c:v>
                </c:pt>
              </c:strCache>
            </c:strRef>
          </c:cat>
          <c:val>
            <c:numRef>
              <c:f>Sheet1!$B$2:$B$6</c:f>
              <c:numCache>
                <c:formatCode>General</c:formatCode>
                <c:ptCount val="5"/>
                <c:pt idx="0">
                  <c:v>778.41</c:v>
                </c:pt>
                <c:pt idx="1">
                  <c:v>472.48</c:v>
                </c:pt>
                <c:pt idx="2">
                  <c:v>0</c:v>
                </c:pt>
                <c:pt idx="3">
                  <c:v>0</c:v>
                </c:pt>
                <c:pt idx="4">
                  <c:v>0</c:v>
                </c:pt>
              </c:numCache>
            </c:numRef>
          </c:val>
        </c:ser>
        <c:dLbls>
          <c:showLegendKey val="0"/>
          <c:showVal val="0"/>
          <c:showCatName val="0"/>
          <c:showSerName val="0"/>
          <c:showPercent val="0"/>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8b40b0a-6569-41dd-9542-dc902fcb49a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1476.95</c:v>
                </c:pt>
                <c:pt idx="1">
                  <c:v>1250.89</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1476.95</c:v>
                </c:pt>
                <c:pt idx="1">
                  <c:v>1250.89</c:v>
                </c:pt>
              </c:numCache>
            </c:numRef>
          </c:val>
        </c:ser>
        <c:dLbls>
          <c:showLegendKey val="0"/>
          <c:showVal val="0"/>
          <c:showCatName val="0"/>
          <c:showSerName val="0"/>
          <c:showPercent val="0"/>
          <c:showBubbleSize val="0"/>
        </c:dLbls>
        <c:gapWidth val="246"/>
        <c:overlap val="-28"/>
        <c:axId val="988292409"/>
        <c:axId val="638028544"/>
      </c:barChart>
      <c:catAx>
        <c:axId val="9882924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8028544"/>
        <c:crosses val="autoZero"/>
        <c:auto val="1"/>
        <c:lblAlgn val="ctr"/>
        <c:lblOffset val="100"/>
        <c:noMultiLvlLbl val="0"/>
      </c:catAx>
      <c:valAx>
        <c:axId val="63802854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924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9d3f1ea-a97c-4d89-aa88-61f4942a7d4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单位：万元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1476.95</c:v>
                </c:pt>
                <c:pt idx="1">
                  <c:v>1250.89</c:v>
                </c:pt>
              </c:numCache>
            </c:numRef>
          </c:val>
        </c:ser>
        <c:dLbls>
          <c:showLegendKey val="0"/>
          <c:showVal val="0"/>
          <c:showCatName val="0"/>
          <c:showSerName val="0"/>
          <c:showPercent val="0"/>
          <c:showBubbleSize val="0"/>
        </c:dLbls>
        <c:gapWidth val="246"/>
        <c:overlap val="-28"/>
        <c:axId val="508024812"/>
        <c:axId val="24213092"/>
      </c:barChart>
      <c:catAx>
        <c:axId val="5080248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213092"/>
        <c:crosses val="autoZero"/>
        <c:auto val="1"/>
        <c:lblAlgn val="ctr"/>
        <c:lblOffset val="100"/>
        <c:noMultiLvlLbl val="0"/>
      </c:catAx>
      <c:valAx>
        <c:axId val="2421309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80248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09f6fd9-63a4-41e6-ac1f-af11ef726d9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列1</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Pt>
            <c:idx val="4"/>
            <c:bubble3D val="0"/>
            <c:spPr>
              <a:solidFill>
                <a:schemeClr val="accent5"/>
              </a:solidFill>
              <a:ln>
                <a:solidFill>
                  <a:schemeClr val="bg1"/>
                </a:solidFill>
              </a:ln>
              <a:effectLst/>
              <a:scene3d>
                <a:camera prst="orthographicFront"/>
                <a:lightRig rig="threePt" dir="t"/>
              </a:scene3d>
              <a:sp3d contourW="9525"/>
            </c:spPr>
          </c:dPt>
          <c:dPt>
            <c:idx val="5"/>
            <c:bubble3D val="0"/>
            <c:spPr>
              <a:solidFill>
                <a:schemeClr val="accent6"/>
              </a:solidFill>
              <a:ln>
                <a:solidFill>
                  <a:schemeClr val="bg1"/>
                </a:solidFill>
              </a:ln>
              <a:effectLst/>
              <a:scene3d>
                <a:camera prst="orthographicFront"/>
                <a:lightRig rig="threePt" dir="t"/>
              </a:scene3d>
              <a:sp3d contourW="9525"/>
            </c:spPr>
          </c:dPt>
          <c:dPt>
            <c:idx val="6"/>
            <c:bubble3D val="0"/>
            <c:spPr>
              <a:solidFill>
                <a:schemeClr val="accent1">
                  <a:lumMod val="60000"/>
                </a:schemeClr>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一般公共服务支出</c:v>
                </c:pt>
                <c:pt idx="1">
                  <c:v>教育支出</c:v>
                </c:pt>
                <c:pt idx="2">
                  <c:v>科学技术支出</c:v>
                </c:pt>
                <c:pt idx="3">
                  <c:v>文化旅游体育与传媒支出</c:v>
                </c:pt>
                <c:pt idx="4">
                  <c:v>社会保障和就业支出</c:v>
                </c:pt>
                <c:pt idx="5">
                  <c:v>卫生健康支出</c:v>
                </c:pt>
                <c:pt idx="6">
                  <c:v>住房保障支出</c:v>
                </c:pt>
              </c:strCache>
            </c:strRef>
          </c:cat>
          <c:val>
            <c:numRef>
              <c:f>Sheet1!$B$2:$B$8</c:f>
              <c:numCache>
                <c:formatCode>General</c:formatCode>
                <c:ptCount val="7"/>
                <c:pt idx="0">
                  <c:v>0</c:v>
                </c:pt>
                <c:pt idx="1">
                  <c:v>0</c:v>
                </c:pt>
                <c:pt idx="2">
                  <c:v>0</c:v>
                </c:pt>
                <c:pt idx="3">
                  <c:v>0</c:v>
                </c:pt>
                <c:pt idx="4">
                  <c:v>99.96</c:v>
                </c:pt>
                <c:pt idx="5">
                  <c:v>1095.11</c:v>
                </c:pt>
                <c:pt idx="6">
                  <c:v>55.82</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a1e01b4-d5db-4500-8389-0f8b6a1becf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a:t>
            </a:r>
            <a:r>
              <a:rPr lang="en-US" altLang="zh-CN"/>
              <a:t>“</a:t>
            </a:r>
            <a:r>
              <a:rPr altLang="en-US"/>
              <a:t>三公</a:t>
            </a:r>
            <a:r>
              <a:rPr lang="en-US" altLang="zh-CN"/>
              <a:t>”</a:t>
            </a:r>
            <a:r>
              <a:rPr altLang="en-US"/>
              <a:t>经费支出结构</a:t>
            </a:r>
            <a:endParaRPr altLang="en-US"/>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7.48</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db98448-4f72-46dd-a996-f42c1319d97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26</Words>
  <Characters>29</Characters>
  <Lines>61</Lines>
  <Paragraphs>17</Paragraphs>
  <TotalTime>23</TotalTime>
  <ScaleCrop>false</ScaleCrop>
  <LinksUpToDate>false</LinksUpToDate>
  <CharactersWithSpaces>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2026-10-20T08:45:16Z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5EC660C17BA74A4BA185AFC44A84FD18_13</vt:lpwstr>
  </property>
  <property fmtid="{D5CDD505-2E9C-101B-9397-08002B2CF9AE}" pid="4" name="KSOTemplateDocerSaveRecord">
    <vt:lpwstr>eyJoZGlkIjoiNTU1MWNhN2ZmY2ZhZmY3ODhlYTg0MWU5OGMyY2QwZmUiLCJ1c2VySWQiOiI0MzQ2NTM0NzEifQ==</vt:lpwstr>
  </property>
</Properties>
</file>