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670FE">
      <w:pPr>
        <w:spacing w:line="600" w:lineRule="exact"/>
        <w:jc w:val="left"/>
        <w:outlineLvl w:val="9"/>
        <w:rPr>
          <w:rFonts w:ascii="方正小标宋简体" w:hAnsi="宋体" w:eastAsia="方正小标宋简体"/>
          <w:szCs w:val="21"/>
        </w:rPr>
      </w:pPr>
      <w:bookmarkStart w:id="0" w:name="_Toc15377425"/>
      <w:bookmarkStart w:id="1" w:name="_Toc15306267"/>
      <w:bookmarkStart w:id="2" w:name="_Toc15377193"/>
      <w:bookmarkStart w:id="3" w:name="_Toc15378441"/>
      <w:bookmarkStart w:id="4" w:name="_Toc15396475"/>
      <w:bookmarkStart w:id="5" w:name="_Toc15396597"/>
    </w:p>
    <w:p w14:paraId="6D5C449C">
      <w:pPr>
        <w:pStyle w:val="8"/>
        <w:spacing w:before="93"/>
      </w:pPr>
    </w:p>
    <w:p w14:paraId="3FC8DA1B">
      <w:pPr>
        <w:spacing w:line="600" w:lineRule="exact"/>
        <w:jc w:val="center"/>
        <w:outlineLvl w:val="9"/>
        <w:rPr>
          <w:rFonts w:ascii="方正小标宋简体" w:hAnsi="宋体" w:eastAsia="方正小标宋简体"/>
          <w:sz w:val="72"/>
          <w:szCs w:val="72"/>
        </w:rPr>
      </w:pPr>
    </w:p>
    <w:p w14:paraId="34540741">
      <w:pPr>
        <w:spacing w:line="600" w:lineRule="exact"/>
        <w:jc w:val="center"/>
        <w:outlineLvl w:val="9"/>
        <w:rPr>
          <w:rFonts w:ascii="方正小标宋简体" w:hAnsi="宋体" w:eastAsia="方正小标宋简体"/>
          <w:sz w:val="72"/>
          <w:szCs w:val="72"/>
        </w:rPr>
      </w:pPr>
    </w:p>
    <w:p w14:paraId="3E83A065">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9474"/>
      <w:bookmarkStart w:id="7" w:name="_Toc23315"/>
      <w:r>
        <w:rPr>
          <w:rFonts w:hint="eastAsia" w:ascii="方正小标宋简体" w:hAnsi="方正小标宋简体" w:eastAsia="方正小标宋简体" w:cs="方正小标宋简体"/>
          <w:sz w:val="72"/>
          <w:szCs w:val="72"/>
        </w:rPr>
        <w:t>202</w:t>
      </w:r>
      <w:r>
        <w:rPr>
          <w:rFonts w:hint="default" w:ascii="方正小标宋简体" w:hAnsi="方正小标宋简体" w:eastAsia="方正小标宋简体" w:cs="方正小标宋简体"/>
          <w:sz w:val="72"/>
          <w:szCs w:val="72"/>
          <w:lang w:val="en-GB"/>
        </w:rPr>
        <w:t>5</w:t>
      </w:r>
      <w:r>
        <w:rPr>
          <w:rFonts w:hint="eastAsia" w:ascii="方正小标宋简体" w:hAnsi="方正小标宋简体" w:eastAsia="方正小标宋简体" w:cs="方正小标宋简体"/>
          <w:sz w:val="72"/>
          <w:szCs w:val="72"/>
        </w:rPr>
        <w:t>年度</w:t>
      </w:r>
      <w:bookmarkEnd w:id="6"/>
      <w:bookmarkEnd w:id="7"/>
    </w:p>
    <w:p w14:paraId="6A6249DF">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8" w:name="_Toc7091"/>
      <w:bookmarkStart w:id="9" w:name="_Toc26813"/>
      <w:r>
        <w:rPr>
          <w:rFonts w:hint="eastAsia" w:ascii="方正小标宋简体" w:hAnsi="方正小标宋简体" w:eastAsia="方正小标宋简体" w:cs="方正小标宋简体"/>
          <w:sz w:val="72"/>
          <w:szCs w:val="72"/>
        </w:rPr>
        <w:t>四川省</w:t>
      </w:r>
      <w:r>
        <w:rPr>
          <w:rFonts w:hint="eastAsia" w:ascii="方正小标宋简体" w:hAnsi="方正小标宋简体" w:eastAsia="方正小标宋简体" w:cs="方正小标宋简体"/>
          <w:sz w:val="72"/>
          <w:szCs w:val="72"/>
          <w:lang w:val="en-US" w:eastAsia="zh-CN"/>
        </w:rPr>
        <w:t>卫生健康保健服务中心</w:t>
      </w:r>
      <w:r>
        <w:rPr>
          <w:rFonts w:hint="eastAsia" w:ascii="方正小标宋简体" w:hAnsi="方正小标宋简体" w:eastAsia="方正小标宋简体" w:cs="方正小标宋简体"/>
          <w:sz w:val="72"/>
          <w:szCs w:val="72"/>
        </w:rPr>
        <w:t>单位决算</w:t>
      </w:r>
      <w:bookmarkEnd w:id="8"/>
      <w:bookmarkEnd w:id="9"/>
    </w:p>
    <w:p w14:paraId="4B149A90">
      <w:pPr>
        <w:pStyle w:val="19"/>
        <w:spacing w:after="156"/>
        <w:outlineLvl w:val="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ascii="方正小标宋简体" w:hAnsi="宋体" w:eastAsia="方正小标宋简体"/>
          <w:sz w:val="36"/>
          <w:szCs w:val="36"/>
        </w:rPr>
        <w:br w:type="page"/>
      </w:r>
    </w:p>
    <w:bookmarkEnd w:id="0"/>
    <w:bookmarkEnd w:id="1"/>
    <w:bookmarkEnd w:id="2"/>
    <w:bookmarkEnd w:id="3"/>
    <w:bookmarkEnd w:id="4"/>
    <w:bookmarkEnd w:id="5"/>
    <w:sdt>
      <w:sdtPr>
        <w:rPr>
          <w:rFonts w:ascii="宋体" w:hAnsi="宋体" w:eastAsia="宋体" w:cs="Times New Roman"/>
          <w:kern w:val="2"/>
          <w:sz w:val="21"/>
          <w:szCs w:val="24"/>
          <w:lang w:val="en-US" w:eastAsia="zh-CN" w:bidi="ar-SA"/>
        </w:rPr>
        <w:id w:val="147458281"/>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5607306C">
          <w:pPr>
            <w:widowControl/>
            <w:jc w:val="center"/>
            <w:rPr>
              <w:rFonts w:ascii="宋体" w:hAnsi="宋体" w:eastAsia="宋体"/>
              <w:sz w:val="21"/>
            </w:rPr>
          </w:pPr>
          <w:r>
            <w:rPr>
              <w:rFonts w:hint="eastAsia" w:ascii="Times New Roman" w:hAnsi="Times New Roman" w:eastAsia="黑体"/>
              <w:color w:val="auto"/>
              <w:sz w:val="48"/>
              <w:szCs w:val="48"/>
              <w:highlight w:val="none"/>
            </w:rPr>
            <w:t>目录</w:t>
          </w:r>
        </w:p>
        <w:p w14:paraId="124007C0">
          <w:pPr>
            <w:pStyle w:val="13"/>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w:t>
          </w:r>
          <w:r>
            <w:rPr>
              <w:rFonts w:hint="default" w:ascii="Times New Roman" w:hAnsi="Times New Roman" w:eastAsia="仿宋_GB2312" w:cs="仿宋_GB2312"/>
              <w:color w:val="auto"/>
              <w:sz w:val="32"/>
              <w:szCs w:val="32"/>
              <w:highlight w:val="none"/>
              <w:lang w:val="en-GB" w:eastAsia="zh-CN"/>
            </w:rPr>
            <w:t>10</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w:t>
          </w:r>
          <w:r>
            <w:rPr>
              <w:rFonts w:hint="default" w:ascii="Times New Roman" w:hAnsi="Times New Roman" w:eastAsia="仿宋_GB2312" w:cs="仿宋_GB2312"/>
              <w:color w:val="auto"/>
              <w:sz w:val="32"/>
              <w:szCs w:val="32"/>
              <w:highlight w:val="none"/>
              <w:lang w:val="en-GB" w:eastAsia="zh-CN"/>
            </w:rPr>
            <w:t>1</w:t>
          </w:r>
          <w:r>
            <w:rPr>
              <w:rFonts w:hint="eastAsia" w:ascii="Times New Roman" w:hAnsi="Times New Roman" w:eastAsia="仿宋_GB2312" w:cs="仿宋_GB2312"/>
              <w:color w:val="auto"/>
              <w:sz w:val="32"/>
              <w:szCs w:val="32"/>
              <w:highlight w:val="none"/>
              <w:lang w:val="en-US" w:eastAsia="zh-CN"/>
            </w:rPr>
            <w:t xml:space="preserve">5 </w:t>
          </w:r>
          <w:r>
            <w:rPr>
              <w:rFonts w:hint="eastAsia" w:ascii="Times New Roman" w:hAnsi="Times New Roman" w:eastAsia="仿宋_GB2312" w:cs="仿宋_GB2312"/>
              <w:color w:val="auto"/>
              <w:sz w:val="32"/>
              <w:szCs w:val="32"/>
              <w:highlight w:val="none"/>
            </w:rPr>
            <w:t>日</w:t>
          </w:r>
          <w:r>
            <w:fldChar w:fldCharType="begin"/>
          </w:r>
          <w:r>
            <w:instrText xml:space="preserve">TOC \o "1-9" \h \u </w:instrText>
          </w:r>
          <w:r>
            <w:fldChar w:fldCharType="separate"/>
          </w:r>
        </w:p>
        <w:p w14:paraId="2D5405CF">
          <w:pPr>
            <w:pStyle w:val="13"/>
            <w:tabs>
              <w:tab w:val="right" w:leader="dot" w:pos="8306"/>
              <w:tab w:val="clear" w:pos="8296"/>
            </w:tabs>
          </w:pPr>
          <w:r>
            <w:fldChar w:fldCharType="begin"/>
          </w:r>
          <w:r>
            <w:instrText xml:space="preserve"> HYPERLINK \l _Toc6974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_Toc6974 \h </w:instrText>
          </w:r>
          <w:r>
            <w:fldChar w:fldCharType="separate"/>
          </w:r>
          <w:r>
            <w:t>1</w:t>
          </w:r>
          <w:r>
            <w:fldChar w:fldCharType="end"/>
          </w:r>
          <w:r>
            <w:fldChar w:fldCharType="end"/>
          </w:r>
        </w:p>
        <w:p w14:paraId="6AF8DC94">
          <w:pPr>
            <w:pStyle w:val="14"/>
            <w:tabs>
              <w:tab w:val="right" w:leader="dot" w:pos="8306"/>
              <w:tab w:val="clear" w:pos="8296"/>
            </w:tabs>
          </w:pPr>
          <w:r>
            <w:fldChar w:fldCharType="begin"/>
          </w:r>
          <w:r>
            <w:instrText xml:space="preserve"> HYPERLINK \l _Toc7670 </w:instrText>
          </w:r>
          <w:r>
            <w:fldChar w:fldCharType="separate"/>
          </w:r>
          <w:r>
            <w:rPr>
              <w:rFonts w:hint="eastAsia" w:ascii="Times New Roman" w:hAnsi="Times New Roman" w:eastAsia="黑体"/>
              <w:highlight w:val="none"/>
            </w:rPr>
            <w:t>一、</w:t>
          </w:r>
          <w:r>
            <w:rPr>
              <w:rFonts w:hint="eastAsia" w:ascii="Times New Roman" w:hAnsi="Times New Roman" w:eastAsia="黑体"/>
              <w:highlight w:val="none"/>
              <w:lang w:val="en-US" w:eastAsia="zh-CN"/>
            </w:rPr>
            <w:t>主要</w:t>
          </w:r>
          <w:r>
            <w:rPr>
              <w:rFonts w:hint="eastAsia" w:ascii="Times New Roman" w:hAnsi="Times New Roman" w:eastAsia="黑体"/>
              <w:highlight w:val="none"/>
              <w:lang w:eastAsia="zh-CN"/>
            </w:rPr>
            <w:t>职责</w:t>
          </w:r>
          <w:r>
            <w:tab/>
          </w:r>
          <w:r>
            <w:fldChar w:fldCharType="begin"/>
          </w:r>
          <w:r>
            <w:instrText xml:space="preserve"> PAGEREF _Toc7670 \h </w:instrText>
          </w:r>
          <w:r>
            <w:fldChar w:fldCharType="separate"/>
          </w:r>
          <w:r>
            <w:t>1</w:t>
          </w:r>
          <w:r>
            <w:fldChar w:fldCharType="end"/>
          </w:r>
          <w:r>
            <w:fldChar w:fldCharType="end"/>
          </w:r>
        </w:p>
        <w:p w14:paraId="5FF36018">
          <w:pPr>
            <w:pStyle w:val="14"/>
            <w:tabs>
              <w:tab w:val="right" w:leader="dot" w:pos="8306"/>
              <w:tab w:val="clear" w:pos="8296"/>
            </w:tabs>
          </w:pPr>
          <w:r>
            <w:fldChar w:fldCharType="begin"/>
          </w:r>
          <w:r>
            <w:instrText xml:space="preserve"> HYPERLINK \l _Toc31313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_Toc31313 \h </w:instrText>
          </w:r>
          <w:r>
            <w:fldChar w:fldCharType="separate"/>
          </w:r>
          <w:r>
            <w:t>2</w:t>
          </w:r>
          <w:r>
            <w:fldChar w:fldCharType="end"/>
          </w:r>
          <w:r>
            <w:fldChar w:fldCharType="end"/>
          </w:r>
        </w:p>
        <w:p w14:paraId="326A8057">
          <w:pPr>
            <w:pStyle w:val="13"/>
            <w:tabs>
              <w:tab w:val="right" w:leader="dot" w:pos="8306"/>
              <w:tab w:val="clear" w:pos="8296"/>
            </w:tabs>
          </w:pPr>
          <w:r>
            <w:fldChar w:fldCharType="begin"/>
          </w:r>
          <w:r>
            <w:instrText xml:space="preserve"> HYPERLINK \l _Toc22979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_Toc22979 \h </w:instrText>
          </w:r>
          <w:r>
            <w:fldChar w:fldCharType="separate"/>
          </w:r>
          <w:r>
            <w:t>3</w:t>
          </w:r>
          <w:r>
            <w:fldChar w:fldCharType="end"/>
          </w:r>
          <w:r>
            <w:fldChar w:fldCharType="end"/>
          </w:r>
        </w:p>
        <w:p w14:paraId="24AEBD7B">
          <w:pPr>
            <w:pStyle w:val="14"/>
            <w:tabs>
              <w:tab w:val="right" w:leader="dot" w:pos="8306"/>
              <w:tab w:val="clear" w:pos="8296"/>
            </w:tabs>
          </w:pPr>
          <w:r>
            <w:fldChar w:fldCharType="begin"/>
          </w:r>
          <w:r>
            <w:instrText xml:space="preserve"> HYPERLINK \l _Toc31994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_Toc31994 \h </w:instrText>
          </w:r>
          <w:r>
            <w:fldChar w:fldCharType="separate"/>
          </w:r>
          <w:r>
            <w:t>3</w:t>
          </w:r>
          <w:r>
            <w:fldChar w:fldCharType="end"/>
          </w:r>
          <w:r>
            <w:fldChar w:fldCharType="end"/>
          </w:r>
        </w:p>
        <w:p w14:paraId="3954CC7E">
          <w:pPr>
            <w:pStyle w:val="14"/>
            <w:tabs>
              <w:tab w:val="right" w:leader="dot" w:pos="8306"/>
              <w:tab w:val="clear" w:pos="8296"/>
            </w:tabs>
          </w:pPr>
          <w:r>
            <w:fldChar w:fldCharType="begin"/>
          </w:r>
          <w:r>
            <w:instrText xml:space="preserve"> HYPERLINK \l _Toc16906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_Toc16906 \h </w:instrText>
          </w:r>
          <w:r>
            <w:fldChar w:fldCharType="separate"/>
          </w:r>
          <w:r>
            <w:t>3</w:t>
          </w:r>
          <w:r>
            <w:fldChar w:fldCharType="end"/>
          </w:r>
          <w:r>
            <w:fldChar w:fldCharType="end"/>
          </w:r>
        </w:p>
        <w:p w14:paraId="052FB7DE">
          <w:pPr>
            <w:pStyle w:val="14"/>
            <w:tabs>
              <w:tab w:val="right" w:leader="dot" w:pos="8306"/>
              <w:tab w:val="clear" w:pos="8296"/>
            </w:tabs>
          </w:pPr>
          <w:r>
            <w:fldChar w:fldCharType="begin"/>
          </w:r>
          <w:r>
            <w:instrText xml:space="preserve"> HYPERLINK \l _Toc29768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_Toc29768 \h </w:instrText>
          </w:r>
          <w:r>
            <w:fldChar w:fldCharType="separate"/>
          </w:r>
          <w:r>
            <w:t>4</w:t>
          </w:r>
          <w:r>
            <w:fldChar w:fldCharType="end"/>
          </w:r>
          <w:r>
            <w:fldChar w:fldCharType="end"/>
          </w:r>
        </w:p>
        <w:p w14:paraId="3E2FAD7A">
          <w:pPr>
            <w:pStyle w:val="14"/>
            <w:tabs>
              <w:tab w:val="right" w:leader="dot" w:pos="8306"/>
              <w:tab w:val="clear" w:pos="8296"/>
            </w:tabs>
          </w:pPr>
          <w:r>
            <w:fldChar w:fldCharType="begin"/>
          </w:r>
          <w:r>
            <w:instrText xml:space="preserve"> HYPERLINK \l _Toc17644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_Toc17644 \h </w:instrText>
          </w:r>
          <w:r>
            <w:fldChar w:fldCharType="separate"/>
          </w:r>
          <w:r>
            <w:t>4</w:t>
          </w:r>
          <w:r>
            <w:fldChar w:fldCharType="end"/>
          </w:r>
          <w:r>
            <w:fldChar w:fldCharType="end"/>
          </w:r>
        </w:p>
        <w:p w14:paraId="6DDD7895">
          <w:pPr>
            <w:pStyle w:val="14"/>
            <w:tabs>
              <w:tab w:val="right" w:leader="dot" w:pos="8306"/>
              <w:tab w:val="clear" w:pos="8296"/>
            </w:tabs>
          </w:pPr>
          <w:r>
            <w:fldChar w:fldCharType="begin"/>
          </w:r>
          <w:r>
            <w:instrText xml:space="preserve"> HYPERLINK \l _Toc23863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_Toc23863 \h </w:instrText>
          </w:r>
          <w:r>
            <w:fldChar w:fldCharType="separate"/>
          </w:r>
          <w:r>
            <w:t>5</w:t>
          </w:r>
          <w:r>
            <w:fldChar w:fldCharType="end"/>
          </w:r>
          <w:r>
            <w:fldChar w:fldCharType="end"/>
          </w:r>
        </w:p>
        <w:p w14:paraId="4DCFD9B8">
          <w:pPr>
            <w:pStyle w:val="9"/>
            <w:tabs>
              <w:tab w:val="right" w:leader="dot" w:pos="8306"/>
              <w:tab w:val="clear" w:pos="8296"/>
            </w:tabs>
          </w:pPr>
          <w:r>
            <w:fldChar w:fldCharType="begin"/>
          </w:r>
          <w:r>
            <w:instrText xml:space="preserve"> HYPERLINK \l _Toc16722 </w:instrText>
          </w:r>
          <w: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_Toc16722 \h </w:instrText>
          </w:r>
          <w:r>
            <w:fldChar w:fldCharType="separate"/>
          </w:r>
          <w:r>
            <w:t>5</w:t>
          </w:r>
          <w:r>
            <w:fldChar w:fldCharType="end"/>
          </w:r>
          <w:r>
            <w:fldChar w:fldCharType="end"/>
          </w:r>
        </w:p>
        <w:p w14:paraId="517FFC05">
          <w:pPr>
            <w:pStyle w:val="9"/>
            <w:tabs>
              <w:tab w:val="right" w:leader="dot" w:pos="8306"/>
              <w:tab w:val="clear" w:pos="8296"/>
            </w:tabs>
          </w:pPr>
          <w:r>
            <w:fldChar w:fldCharType="begin"/>
          </w:r>
          <w:r>
            <w:instrText xml:space="preserve"> HYPERLINK \l _Toc187 </w:instrText>
          </w:r>
          <w: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_Toc187 \h </w:instrText>
          </w:r>
          <w:r>
            <w:fldChar w:fldCharType="separate"/>
          </w:r>
          <w:r>
            <w:t>6</w:t>
          </w:r>
          <w:r>
            <w:fldChar w:fldCharType="end"/>
          </w:r>
          <w:r>
            <w:fldChar w:fldCharType="end"/>
          </w:r>
        </w:p>
        <w:p w14:paraId="22ED71F9">
          <w:pPr>
            <w:pStyle w:val="9"/>
            <w:tabs>
              <w:tab w:val="right" w:leader="dot" w:pos="8306"/>
              <w:tab w:val="clear" w:pos="8296"/>
            </w:tabs>
          </w:pPr>
          <w:r>
            <w:fldChar w:fldCharType="begin"/>
          </w:r>
          <w:r>
            <w:instrText xml:space="preserve"> HYPERLINK \l _Toc26436 </w:instrText>
          </w:r>
          <w: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_Toc26436 \h </w:instrText>
          </w:r>
          <w:r>
            <w:fldChar w:fldCharType="separate"/>
          </w:r>
          <w:r>
            <w:t>7</w:t>
          </w:r>
          <w:r>
            <w:fldChar w:fldCharType="end"/>
          </w:r>
          <w:r>
            <w:fldChar w:fldCharType="end"/>
          </w:r>
        </w:p>
        <w:p w14:paraId="607D6FAA">
          <w:pPr>
            <w:pStyle w:val="14"/>
            <w:tabs>
              <w:tab w:val="right" w:leader="dot" w:pos="8306"/>
              <w:tab w:val="clear" w:pos="8296"/>
            </w:tabs>
          </w:pPr>
          <w:r>
            <w:fldChar w:fldCharType="begin"/>
          </w:r>
          <w:r>
            <w:instrText xml:space="preserve"> HYPERLINK \l _Toc19851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_Toc19851 \h </w:instrText>
          </w:r>
          <w:r>
            <w:fldChar w:fldCharType="separate"/>
          </w:r>
          <w:r>
            <w:t>7</w:t>
          </w:r>
          <w:r>
            <w:fldChar w:fldCharType="end"/>
          </w:r>
          <w:r>
            <w:fldChar w:fldCharType="end"/>
          </w:r>
        </w:p>
        <w:p w14:paraId="3AB5D4BC">
          <w:pPr>
            <w:pStyle w:val="14"/>
            <w:tabs>
              <w:tab w:val="right" w:leader="dot" w:pos="8306"/>
              <w:tab w:val="clear" w:pos="8296"/>
            </w:tabs>
          </w:pPr>
          <w:r>
            <w:fldChar w:fldCharType="begin"/>
          </w:r>
          <w:r>
            <w:instrText xml:space="preserve"> HYPERLINK \l _Toc29822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_Toc29822 \h </w:instrText>
          </w:r>
          <w:r>
            <w:fldChar w:fldCharType="separate"/>
          </w:r>
          <w:r>
            <w:t>8</w:t>
          </w:r>
          <w:r>
            <w:fldChar w:fldCharType="end"/>
          </w:r>
          <w:r>
            <w:fldChar w:fldCharType="end"/>
          </w:r>
        </w:p>
        <w:p w14:paraId="3EA2DA9F">
          <w:pPr>
            <w:pStyle w:val="9"/>
            <w:tabs>
              <w:tab w:val="right" w:leader="dot" w:pos="8306"/>
              <w:tab w:val="clear" w:pos="8296"/>
            </w:tabs>
          </w:pPr>
          <w:r>
            <w:fldChar w:fldCharType="begin"/>
          </w:r>
          <w:r>
            <w:instrText xml:space="preserve"> HYPERLINK \l _Toc15361 </w:instrText>
          </w:r>
          <w:r>
            <w:fldChar w:fldCharType="separate"/>
          </w:r>
          <w:r>
            <w:rPr>
              <w:rFonts w:hint="eastAsia" w:ascii="Times New Roman" w:hAnsi="Times New Roman" w:eastAsia="楷体_GB2312" w:cs="楷体_GB2312"/>
              <w:szCs w:val="32"/>
              <w:highlight w:val="none"/>
            </w:rPr>
            <w:t>（一）财政拨款“三公”经费支出决算总体情况说明</w:t>
          </w:r>
          <w:r>
            <w:tab/>
          </w:r>
          <w:r>
            <w:fldChar w:fldCharType="begin"/>
          </w:r>
          <w:r>
            <w:instrText xml:space="preserve"> PAGEREF _Toc15361 \h </w:instrText>
          </w:r>
          <w:r>
            <w:fldChar w:fldCharType="separate"/>
          </w:r>
          <w:r>
            <w:t>8</w:t>
          </w:r>
          <w:r>
            <w:fldChar w:fldCharType="end"/>
          </w:r>
          <w:r>
            <w:fldChar w:fldCharType="end"/>
          </w:r>
        </w:p>
        <w:p w14:paraId="5EBE4894">
          <w:pPr>
            <w:pStyle w:val="9"/>
            <w:tabs>
              <w:tab w:val="right" w:leader="dot" w:pos="8306"/>
              <w:tab w:val="clear" w:pos="8296"/>
            </w:tabs>
          </w:pPr>
          <w:r>
            <w:fldChar w:fldCharType="begin"/>
          </w:r>
          <w:r>
            <w:instrText xml:space="preserve"> HYPERLINK \l _Toc4948 </w:instrText>
          </w:r>
          <w:r>
            <w:fldChar w:fldCharType="separate"/>
          </w:r>
          <w:r>
            <w:rPr>
              <w:rFonts w:hint="eastAsia" w:ascii="Times New Roman" w:hAnsi="Times New Roman" w:eastAsia="楷体_GB2312" w:cs="楷体_GB2312"/>
              <w:szCs w:val="32"/>
              <w:highlight w:val="none"/>
            </w:rPr>
            <w:t>（二）财政拨款“三公”经费支出决算具体情况说明</w:t>
          </w:r>
          <w:r>
            <w:tab/>
          </w:r>
          <w:r>
            <w:fldChar w:fldCharType="begin"/>
          </w:r>
          <w:r>
            <w:instrText xml:space="preserve"> PAGEREF _Toc4948 \h </w:instrText>
          </w:r>
          <w:r>
            <w:fldChar w:fldCharType="separate"/>
          </w:r>
          <w:r>
            <w:t>8</w:t>
          </w:r>
          <w:r>
            <w:fldChar w:fldCharType="end"/>
          </w:r>
          <w:r>
            <w:fldChar w:fldCharType="end"/>
          </w:r>
        </w:p>
        <w:p w14:paraId="0D42953D">
          <w:pPr>
            <w:pStyle w:val="14"/>
            <w:tabs>
              <w:tab w:val="right" w:leader="dot" w:pos="8306"/>
              <w:tab w:val="clear" w:pos="8296"/>
            </w:tabs>
          </w:pPr>
          <w:r>
            <w:fldChar w:fldCharType="begin"/>
          </w:r>
          <w:r>
            <w:instrText xml:space="preserve"> HYPERLINK \l _Toc6901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_Toc6901 \h </w:instrText>
          </w:r>
          <w:r>
            <w:fldChar w:fldCharType="separate"/>
          </w:r>
          <w:r>
            <w:t>9</w:t>
          </w:r>
          <w:r>
            <w:fldChar w:fldCharType="end"/>
          </w:r>
          <w:r>
            <w:fldChar w:fldCharType="end"/>
          </w:r>
        </w:p>
        <w:p w14:paraId="08C48E21">
          <w:pPr>
            <w:pStyle w:val="14"/>
            <w:tabs>
              <w:tab w:val="right" w:leader="dot" w:pos="8306"/>
              <w:tab w:val="clear" w:pos="8296"/>
            </w:tabs>
          </w:pPr>
          <w:r>
            <w:fldChar w:fldCharType="begin"/>
          </w:r>
          <w:r>
            <w:instrText xml:space="preserve"> HYPERLINK \l _Toc21935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_Toc21935 \h </w:instrText>
          </w:r>
          <w:r>
            <w:fldChar w:fldCharType="separate"/>
          </w:r>
          <w:r>
            <w:t>9</w:t>
          </w:r>
          <w:r>
            <w:fldChar w:fldCharType="end"/>
          </w:r>
          <w:r>
            <w:fldChar w:fldCharType="end"/>
          </w:r>
        </w:p>
        <w:p w14:paraId="44C2CAED">
          <w:pPr>
            <w:pStyle w:val="14"/>
            <w:tabs>
              <w:tab w:val="right" w:leader="dot" w:pos="8306"/>
              <w:tab w:val="clear" w:pos="8296"/>
            </w:tabs>
          </w:pPr>
          <w:r>
            <w:fldChar w:fldCharType="begin"/>
          </w:r>
          <w:r>
            <w:instrText xml:space="preserve"> HYPERLINK \l _Toc349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_Toc349 \h </w:instrText>
          </w:r>
          <w:r>
            <w:fldChar w:fldCharType="separate"/>
          </w:r>
          <w:r>
            <w:t>9</w:t>
          </w:r>
          <w:r>
            <w:fldChar w:fldCharType="end"/>
          </w:r>
          <w:r>
            <w:fldChar w:fldCharType="end"/>
          </w:r>
        </w:p>
        <w:p w14:paraId="63381C63">
          <w:pPr>
            <w:pStyle w:val="9"/>
            <w:tabs>
              <w:tab w:val="right" w:leader="dot" w:pos="8306"/>
              <w:tab w:val="clear" w:pos="8296"/>
            </w:tabs>
          </w:pPr>
          <w:r>
            <w:fldChar w:fldCharType="begin"/>
          </w:r>
          <w:r>
            <w:instrText xml:space="preserve"> HYPERLINK \l _Toc14513 </w:instrText>
          </w:r>
          <w: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_Toc14513 \h </w:instrText>
          </w:r>
          <w:r>
            <w:fldChar w:fldCharType="separate"/>
          </w:r>
          <w:r>
            <w:t>9</w:t>
          </w:r>
          <w:r>
            <w:fldChar w:fldCharType="end"/>
          </w:r>
          <w:r>
            <w:fldChar w:fldCharType="end"/>
          </w:r>
        </w:p>
        <w:p w14:paraId="42409CAF">
          <w:pPr>
            <w:pStyle w:val="9"/>
            <w:tabs>
              <w:tab w:val="right" w:leader="dot" w:pos="8306"/>
              <w:tab w:val="clear" w:pos="8296"/>
            </w:tabs>
          </w:pPr>
          <w:r>
            <w:fldChar w:fldCharType="begin"/>
          </w:r>
          <w:r>
            <w:instrText xml:space="preserve"> HYPERLINK \l _Toc14790 </w:instrText>
          </w:r>
          <w: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_Toc14790 \h </w:instrText>
          </w:r>
          <w:r>
            <w:fldChar w:fldCharType="separate"/>
          </w:r>
          <w:r>
            <w:t>10</w:t>
          </w:r>
          <w:r>
            <w:fldChar w:fldCharType="end"/>
          </w:r>
          <w:r>
            <w:fldChar w:fldCharType="end"/>
          </w:r>
        </w:p>
        <w:p w14:paraId="5AF8D35C">
          <w:pPr>
            <w:pStyle w:val="9"/>
            <w:tabs>
              <w:tab w:val="right" w:leader="dot" w:pos="8306"/>
              <w:tab w:val="clear" w:pos="8296"/>
            </w:tabs>
          </w:pPr>
          <w:r>
            <w:fldChar w:fldCharType="begin"/>
          </w:r>
          <w:r>
            <w:instrText xml:space="preserve"> HYPERLINK \l _Toc32454 </w:instrText>
          </w:r>
          <w: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_Toc32454 \h </w:instrText>
          </w:r>
          <w:r>
            <w:fldChar w:fldCharType="separate"/>
          </w:r>
          <w:r>
            <w:t>10</w:t>
          </w:r>
          <w:r>
            <w:fldChar w:fldCharType="end"/>
          </w:r>
          <w:r>
            <w:fldChar w:fldCharType="end"/>
          </w:r>
        </w:p>
        <w:p w14:paraId="0AFF07ED">
          <w:pPr>
            <w:pStyle w:val="9"/>
            <w:tabs>
              <w:tab w:val="right" w:leader="dot" w:pos="8306"/>
              <w:tab w:val="clear" w:pos="8296"/>
            </w:tabs>
          </w:pPr>
          <w:r>
            <w:fldChar w:fldCharType="begin"/>
          </w:r>
          <w:r>
            <w:instrText xml:space="preserve"> HYPERLINK \l _Toc24252 </w:instrText>
          </w:r>
          <w:r>
            <w:fldChar w:fldCharType="separate"/>
          </w:r>
          <w:r>
            <w:rPr>
              <w:rFonts w:hint="eastAsia" w:ascii="Times New Roman" w:hAnsi="Times New Roman" w:eastAsia="楷体_GB2312" w:cs="楷体_GB2312"/>
              <w:szCs w:val="32"/>
              <w:highlight w:val="none"/>
            </w:rPr>
            <w:t>（四）预算绩效管理情况</w:t>
          </w:r>
          <w:r>
            <w:tab/>
          </w:r>
          <w:r>
            <w:fldChar w:fldCharType="begin"/>
          </w:r>
          <w:r>
            <w:instrText xml:space="preserve"> PAGEREF _Toc24252 \h </w:instrText>
          </w:r>
          <w:r>
            <w:fldChar w:fldCharType="separate"/>
          </w:r>
          <w:r>
            <w:t>10</w:t>
          </w:r>
          <w:r>
            <w:fldChar w:fldCharType="end"/>
          </w:r>
          <w:r>
            <w:fldChar w:fldCharType="end"/>
          </w:r>
        </w:p>
        <w:p w14:paraId="2176C58B">
          <w:pPr>
            <w:pStyle w:val="13"/>
            <w:tabs>
              <w:tab w:val="right" w:leader="dot" w:pos="8306"/>
              <w:tab w:val="clear" w:pos="8296"/>
            </w:tabs>
          </w:pPr>
          <w:r>
            <w:fldChar w:fldCharType="begin"/>
          </w:r>
          <w:r>
            <w:instrText xml:space="preserve"> HYPERLINK \l _Toc23274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_Toc23274 \h </w:instrText>
          </w:r>
          <w:r>
            <w:fldChar w:fldCharType="separate"/>
          </w:r>
          <w:r>
            <w:t>11</w:t>
          </w:r>
          <w:r>
            <w:fldChar w:fldCharType="end"/>
          </w:r>
          <w:r>
            <w:fldChar w:fldCharType="end"/>
          </w:r>
        </w:p>
        <w:p w14:paraId="0AC5C9EE">
          <w:pPr>
            <w:pStyle w:val="13"/>
            <w:tabs>
              <w:tab w:val="right" w:leader="dot" w:pos="8306"/>
              <w:tab w:val="clear" w:pos="8296"/>
            </w:tabs>
          </w:pPr>
          <w:r>
            <w:fldChar w:fldCharType="begin"/>
          </w:r>
          <w:r>
            <w:instrText xml:space="preserve"> HYPERLINK \l _Toc7613 </w:instrText>
          </w:r>
          <w:r>
            <w:fldChar w:fldCharType="separate"/>
          </w:r>
          <w:r>
            <w:rPr>
              <w:rFonts w:hint="eastAsia" w:ascii="Times New Roman" w:hAnsi="Times New Roman" w:eastAsia="黑体"/>
              <w:szCs w:val="44"/>
              <w:highlight w:val="none"/>
            </w:rPr>
            <w:t>第四部分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 xml:space="preserve"> 附件</w:t>
          </w:r>
          <w:r>
            <w:tab/>
          </w:r>
          <w:r>
            <w:fldChar w:fldCharType="begin"/>
          </w:r>
          <w:r>
            <w:instrText xml:space="preserve"> PAGEREF _Toc7613 \h </w:instrText>
          </w:r>
          <w:r>
            <w:fldChar w:fldCharType="separate"/>
          </w:r>
          <w:r>
            <w:t>14</w:t>
          </w:r>
          <w:r>
            <w:fldChar w:fldCharType="end"/>
          </w:r>
          <w:r>
            <w:fldChar w:fldCharType="end"/>
          </w:r>
        </w:p>
        <w:p w14:paraId="42B82C59">
          <w:pPr>
            <w:pStyle w:val="13"/>
            <w:tabs>
              <w:tab w:val="right" w:leader="dot" w:pos="8306"/>
              <w:tab w:val="clear" w:pos="8296"/>
            </w:tabs>
          </w:pPr>
          <w:r>
            <w:fldChar w:fldCharType="begin"/>
          </w:r>
          <w:r>
            <w:instrText xml:space="preserve"> HYPERLINK \l _Toc17553 </w:instrText>
          </w:r>
          <w:r>
            <w:fldChar w:fldCharType="separate"/>
          </w:r>
          <w:r>
            <w:rPr>
              <w:rFonts w:hint="eastAsia" w:ascii="Times New Roman" w:hAnsi="Times New Roman" w:eastAsia="黑体"/>
              <w:szCs w:val="44"/>
              <w:highlight w:val="none"/>
            </w:rPr>
            <w:t>第</w:t>
          </w:r>
          <w:r>
            <w:rPr>
              <w:rFonts w:hint="eastAsia" w:ascii="Times New Roman" w:hAnsi="Times New Roman" w:eastAsia="黑体"/>
              <w:highlight w:val="none"/>
            </w:rPr>
            <w:t>五部分 附表</w:t>
          </w:r>
          <w:r>
            <w:tab/>
          </w:r>
          <w:r>
            <w:fldChar w:fldCharType="begin"/>
          </w:r>
          <w:r>
            <w:instrText xml:space="preserve"> PAGEREF _Toc17553 \h </w:instrText>
          </w:r>
          <w:r>
            <w:fldChar w:fldCharType="separate"/>
          </w:r>
          <w:r>
            <w:t>15</w:t>
          </w:r>
          <w:r>
            <w:fldChar w:fldCharType="end"/>
          </w:r>
          <w:r>
            <w:fldChar w:fldCharType="end"/>
          </w:r>
        </w:p>
        <w:p w14:paraId="2BA7D8DC">
          <w:r>
            <w:fldChar w:fldCharType="end"/>
          </w:r>
        </w:p>
      </w:sdtContent>
    </w:sdt>
    <w:p w14:paraId="75E77705"/>
    <w:p w14:paraId="38A1CC49">
      <w:pPr>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4EC8E265">
      <w:pPr>
        <w:pStyle w:val="5"/>
        <w:jc w:val="center"/>
        <w:outlineLvl w:val="9"/>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bookmarkStart w:id="10" w:name="_Toc15396599"/>
      <w:bookmarkStart w:id="11" w:name="_Toc8734"/>
      <w:bookmarkStart w:id="12" w:name="_Toc15377196"/>
    </w:p>
    <w:p w14:paraId="14974E54">
      <w:pPr>
        <w:pStyle w:val="5"/>
        <w:jc w:val="center"/>
        <w:rPr>
          <w:rStyle w:val="28"/>
          <w:rFonts w:hint="eastAsia" w:ascii="Times New Roman" w:hAnsi="Times New Roman" w:eastAsia="方正小标宋简体" w:cs="方正小标宋简体"/>
          <w:b/>
          <w:bCs w:val="0"/>
          <w:color w:val="auto"/>
          <w:highlight w:val="none"/>
        </w:rPr>
      </w:pPr>
      <w:bookmarkStart w:id="13" w:name="_Toc6974"/>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0"/>
      <w:bookmarkEnd w:id="11"/>
      <w:bookmarkEnd w:id="12"/>
      <w:bookmarkEnd w:id="13"/>
    </w:p>
    <w:p w14:paraId="3285C7B6">
      <w:pPr>
        <w:widowControl/>
        <w:jc w:val="left"/>
        <w:rPr>
          <w:rFonts w:ascii="Times New Roman" w:hAnsi="Times New Roman" w:eastAsia="黑体"/>
          <w:color w:val="auto"/>
          <w:sz w:val="32"/>
          <w:szCs w:val="32"/>
          <w:highlight w:val="none"/>
        </w:rPr>
      </w:pPr>
    </w:p>
    <w:p w14:paraId="3031DC7D">
      <w:pPr>
        <w:pStyle w:val="6"/>
        <w:rPr>
          <w:rFonts w:hint="eastAsia" w:ascii="Times New Roman" w:hAnsi="Times New Roman" w:eastAsia="黑体"/>
          <w:b w:val="0"/>
          <w:color w:val="auto"/>
          <w:highlight w:val="none"/>
          <w:lang w:eastAsia="zh-CN"/>
        </w:rPr>
      </w:pPr>
      <w:bookmarkStart w:id="14" w:name="_Toc15377197"/>
      <w:bookmarkStart w:id="15" w:name="_Toc15396600"/>
      <w:bookmarkStart w:id="16" w:name="_Toc7670"/>
      <w:bookmarkStart w:id="17" w:name="_Toc19529"/>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val="en-US" w:eastAsia="zh-CN"/>
        </w:rPr>
        <w:t>主要</w:t>
      </w:r>
      <w:r>
        <w:rPr>
          <w:rFonts w:hint="eastAsia" w:ascii="Times New Roman" w:hAnsi="Times New Roman" w:eastAsia="黑体"/>
          <w:b w:val="0"/>
          <w:color w:val="auto"/>
          <w:highlight w:val="none"/>
          <w:lang w:eastAsia="zh-CN"/>
        </w:rPr>
        <w:t>职责</w:t>
      </w:r>
      <w:bookmarkEnd w:id="16"/>
      <w:bookmarkEnd w:id="17"/>
    </w:p>
    <w:p w14:paraId="15DABFCF">
      <w:pPr>
        <w:ind w:firstLine="640" w:firstLineChars="200"/>
        <w:outlineLvl w:val="2"/>
        <w:rPr>
          <w:rFonts w:hint="eastAsia" w:ascii="仿宋_GB2312" w:hAnsi="Times New Roman" w:eastAsia="仿宋_GB2312" w:cs="仿宋_GB2312"/>
          <w:kern w:val="0"/>
          <w:sz w:val="32"/>
          <w:szCs w:val="32"/>
        </w:rPr>
      </w:pPr>
      <w:bookmarkStart w:id="18" w:name="_Toc6560"/>
      <w:bookmarkStart w:id="19" w:name="_Toc19767"/>
      <w:bookmarkStart w:id="20" w:name="_Toc12296"/>
      <w:r>
        <w:rPr>
          <w:rFonts w:hint="eastAsia" w:ascii="仿宋_GB2312" w:hAnsi="Times New Roman" w:eastAsia="仿宋_GB2312" w:cs="仿宋_GB2312"/>
          <w:kern w:val="0"/>
          <w:sz w:val="32"/>
          <w:szCs w:val="32"/>
        </w:rPr>
        <w:t>（一）主要职能。</w:t>
      </w:r>
      <w:bookmarkEnd w:id="18"/>
      <w:bookmarkEnd w:id="19"/>
      <w:bookmarkEnd w:id="20"/>
    </w:p>
    <w:p w14:paraId="06118C94">
      <w:pPr>
        <w:ind w:firstLine="640" w:firstLineChars="200"/>
        <w:rPr>
          <w:rFonts w:hint="eastAsia" w:ascii="仿宋_GB2312" w:hAnsi="Times New Roman" w:eastAsia="仿宋_GB2312" w:cs="仿宋_GB2312"/>
          <w:color w:val="000000"/>
          <w:kern w:val="0"/>
          <w:sz w:val="32"/>
          <w:szCs w:val="32"/>
        </w:rPr>
      </w:pPr>
      <w:r>
        <w:rPr>
          <w:rFonts w:hint="eastAsia" w:ascii="仿宋_GB2312" w:hAnsi="Times New Roman" w:eastAsia="仿宋_GB2312" w:cs="仿宋_GB2312"/>
          <w:kern w:val="0"/>
          <w:sz w:val="32"/>
          <w:szCs w:val="32"/>
        </w:rPr>
        <w:t>推动实施健康中国和健康松潘战略，以改革创新为动力，以促健康、转模式、强基层、重保障为着力点，把以治病为中心转变到以人民健康为中心，为人民群众提供全方位全周期卫生健康服务。一是更加注重预防为主和健康促进，加强预防控制重大疾病工作，积极应对人口老龄化，健全卫生健康服务体系。二是更加注重重心下移和资源下沉，推进卫生健康公共资源向基层延伸、向农村覆盖、向生活困难群众倾斜。三是更加注重提高服务质量和水平，推进卫生健康基本公共服务均等化、普惠化、便捷化。四是协调推进深化医药卫生体制改革，加大</w:t>
      </w:r>
      <w:r>
        <w:rPr>
          <w:rFonts w:hint="eastAsia" w:ascii="仿宋_GB2312" w:hAnsi="Times New Roman" w:eastAsia="仿宋_GB2312" w:cs="仿宋_GB2312"/>
          <w:color w:val="000000"/>
          <w:kern w:val="0"/>
          <w:sz w:val="32"/>
          <w:szCs w:val="32"/>
        </w:rPr>
        <w:t>公立医院改革力度，推进管办分离，推动卫生健康公共服务提供主体多元化、提供方式多样化。</w:t>
      </w:r>
    </w:p>
    <w:p w14:paraId="20AB101E">
      <w:pPr>
        <w:ind w:firstLine="640" w:firstLineChars="200"/>
        <w:outlineLvl w:val="2"/>
        <w:rPr>
          <w:rFonts w:hint="eastAsia" w:ascii="仿宋_GB2312" w:hAnsi="Times New Roman" w:eastAsia="仿宋_GB2312" w:cs="仿宋_GB2312"/>
          <w:color w:val="000000"/>
          <w:kern w:val="0"/>
          <w:sz w:val="32"/>
          <w:szCs w:val="32"/>
        </w:rPr>
      </w:pPr>
      <w:bookmarkStart w:id="21" w:name="_Toc6367"/>
      <w:bookmarkStart w:id="22" w:name="_Toc30064"/>
      <w:bookmarkStart w:id="23" w:name="_Toc9964"/>
      <w:r>
        <w:rPr>
          <w:rFonts w:hint="eastAsia" w:ascii="仿宋_GB2312" w:hAnsi="Times New Roman" w:eastAsia="仿宋_GB2312" w:cs="仿宋_GB2312"/>
          <w:color w:val="000000"/>
          <w:kern w:val="0"/>
          <w:sz w:val="32"/>
          <w:szCs w:val="32"/>
        </w:rPr>
        <w:t>（二）202</w:t>
      </w:r>
      <w:r>
        <w:rPr>
          <w:rFonts w:hint="eastAsia" w:ascii="仿宋_GB2312" w:eastAsia="仿宋_GB2312" w:cs="仿宋_GB2312"/>
          <w:color w:val="000000"/>
          <w:kern w:val="0"/>
          <w:sz w:val="32"/>
          <w:szCs w:val="32"/>
          <w:lang w:val="en-US" w:eastAsia="zh-CN"/>
        </w:rPr>
        <w:t>5</w:t>
      </w:r>
      <w:r>
        <w:rPr>
          <w:rFonts w:hint="eastAsia" w:ascii="仿宋_GB2312" w:hAnsi="Times New Roman" w:eastAsia="仿宋_GB2312" w:cs="仿宋_GB2312"/>
          <w:color w:val="000000"/>
          <w:kern w:val="0"/>
          <w:sz w:val="32"/>
          <w:szCs w:val="32"/>
        </w:rPr>
        <w:t>年重点工作完成情况。</w:t>
      </w:r>
      <w:bookmarkEnd w:id="21"/>
      <w:bookmarkEnd w:id="22"/>
      <w:bookmarkEnd w:id="23"/>
    </w:p>
    <w:p w14:paraId="1B103A87">
      <w:pPr>
        <w:pStyle w:val="35"/>
        <w:keepNext w:val="0"/>
        <w:keepLines w:val="0"/>
        <w:widowControl/>
        <w:suppressLineNumbers w:val="0"/>
        <w:spacing w:before="0" w:beforeAutospacing="0"/>
        <w:ind w:left="0" w:firstLine="640" w:firstLineChars="200"/>
        <w:jc w:val="left"/>
        <w:rPr>
          <w:rFonts w:hint="default" w:ascii="Times New Roman" w:hAnsi="Times New Roman" w:eastAsia="仿宋_GB2312" w:cs="宋体"/>
          <w:color w:val="000000"/>
          <w:kern w:val="0"/>
          <w:sz w:val="32"/>
          <w:szCs w:val="32"/>
        </w:rPr>
      </w:pPr>
      <w:r>
        <w:rPr>
          <w:rFonts w:hint="eastAsia" w:ascii="仿宋_GB2312" w:hAnsi="Times New Roman" w:eastAsia="仿宋_GB2312" w:cs="仿宋_GB2312"/>
          <w:color w:val="000000"/>
          <w:kern w:val="0"/>
          <w:sz w:val="32"/>
          <w:szCs w:val="32"/>
        </w:rPr>
        <w:t>较好</w:t>
      </w:r>
      <w:r>
        <w:rPr>
          <w:rFonts w:hint="eastAsia" w:ascii="仿宋_GB2312" w:hAnsi="Times New Roman" w:eastAsia="仿宋_GB2312" w:cs="仿宋_GB2312"/>
          <w:color w:val="000000"/>
          <w:kern w:val="0"/>
          <w:sz w:val="32"/>
          <w:szCs w:val="32"/>
          <w:lang w:eastAsia="zh-CN"/>
        </w:rPr>
        <w:t>地</w:t>
      </w:r>
      <w:r>
        <w:rPr>
          <w:rFonts w:hint="eastAsia" w:ascii="仿宋_GB2312" w:hAnsi="Times New Roman" w:eastAsia="仿宋_GB2312" w:cs="仿宋_GB2312"/>
          <w:color w:val="000000"/>
          <w:kern w:val="0"/>
          <w:sz w:val="32"/>
          <w:szCs w:val="32"/>
        </w:rPr>
        <w:t>完成了年度工作任务。</w:t>
      </w:r>
    </w:p>
    <w:p w14:paraId="57EAFE44">
      <w:pPr>
        <w:rPr>
          <w:rFonts w:hint="eastAsia"/>
          <w:lang w:eastAsia="zh-CN"/>
        </w:rPr>
      </w:pPr>
    </w:p>
    <w:p w14:paraId="27152861">
      <w:pPr>
        <w:pStyle w:val="6"/>
        <w:rPr>
          <w:rStyle w:val="29"/>
          <w:rFonts w:ascii="Times New Roman" w:hAnsi="Times New Roman"/>
          <w:b w:val="0"/>
          <w:bCs w:val="0"/>
          <w:color w:val="auto"/>
          <w:highlight w:val="none"/>
        </w:rPr>
      </w:pPr>
      <w:bookmarkStart w:id="24" w:name="_Toc4750"/>
      <w:bookmarkStart w:id="25" w:name="_Toc31313"/>
      <w:bookmarkStart w:id="26" w:name="_Toc15396601"/>
      <w:bookmarkStart w:id="27"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24"/>
      <w:bookmarkEnd w:id="25"/>
      <w:bookmarkEnd w:id="26"/>
      <w:bookmarkEnd w:id="27"/>
    </w:p>
    <w:p w14:paraId="0A9127B7">
      <w:pPr>
        <w:pStyle w:val="8"/>
        <w:adjustRightInd w:val="0"/>
        <w:snapToGrid w:val="0"/>
        <w:spacing w:before="93" w:line="600" w:lineRule="exact"/>
        <w:ind w:firstLine="640" w:firstLineChars="200"/>
        <w:rPr>
          <w:rFonts w:hint="eastAsia" w:ascii="Times New Roman" w:hAnsi="Times New Roman" w:eastAsia="仿宋_GB2312" w:cs="仿宋_GB2312"/>
          <w:color w:val="auto"/>
          <w:sz w:val="32"/>
          <w:szCs w:val="32"/>
          <w:highlight w:val="none"/>
        </w:rPr>
      </w:pPr>
      <w:r>
        <w:rPr>
          <w:rFonts w:hint="eastAsia" w:ascii="仿宋_GB2312" w:hAnsi="宋体" w:eastAsia="仿宋_GB2312" w:cs="仿宋_GB2312"/>
          <w:bCs/>
          <w:kern w:val="0"/>
          <w:sz w:val="32"/>
          <w:szCs w:val="32"/>
        </w:rPr>
        <w:t>综合办公室负责实施全县的卫生保健及健康管理，</w:t>
      </w:r>
      <w:r>
        <w:rPr>
          <w:rFonts w:hint="eastAsia" w:ascii="仿宋_GB2312" w:hAnsi="仿宋" w:eastAsia="仿宋_GB2312" w:cs="仿宋_GB2312"/>
          <w:kern w:val="0"/>
          <w:sz w:val="32"/>
          <w:szCs w:val="32"/>
        </w:rPr>
        <w:t>松潘县卫生保健服务中心</w:t>
      </w:r>
      <w:bookmarkStart w:id="136" w:name="_GoBack"/>
      <w:r>
        <w:rPr>
          <w:rFonts w:hint="eastAsia" w:hAnsi="仿宋" w:cs="仿宋_GB2312"/>
          <w:kern w:val="0"/>
          <w:sz w:val="32"/>
          <w:szCs w:val="32"/>
          <w:lang w:eastAsia="zh-CN"/>
        </w:rPr>
        <w:t>属于</w:t>
      </w:r>
      <w:bookmarkEnd w:id="136"/>
      <w:r>
        <w:rPr>
          <w:rFonts w:hint="eastAsia" w:ascii="仿宋_GB2312" w:hAnsi="仿宋" w:eastAsia="仿宋_GB2312" w:cs="仿宋_GB2312"/>
          <w:kern w:val="0"/>
          <w:sz w:val="32"/>
          <w:szCs w:val="32"/>
        </w:rPr>
        <w:t>二级预算单位，独立编制机构数1个，独立核算机构数1个。松潘县卫生保健服务中心事业编制12名，股级领导职数1名</w:t>
      </w:r>
    </w:p>
    <w:p w14:paraId="0E8B88ED">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549EF65">
      <w:pPr>
        <w:pStyle w:val="5"/>
        <w:jc w:val="center"/>
        <w:rPr>
          <w:rFonts w:hint="eastAsia" w:ascii="Times New Roman" w:hAnsi="Times New Roman" w:eastAsia="方正小标宋简体" w:cs="方正小标宋简体"/>
          <w:b w:val="0"/>
          <w:color w:val="auto"/>
          <w:highlight w:val="none"/>
        </w:rPr>
      </w:pPr>
      <w:bookmarkStart w:id="28" w:name="_Toc22979"/>
      <w:bookmarkStart w:id="29" w:name="_Toc15377204"/>
      <w:bookmarkStart w:id="30" w:name="_Toc15396602"/>
      <w:bookmarkStart w:id="31" w:name="_Toc18319"/>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8"/>
      <w:bookmarkEnd w:id="29"/>
      <w:bookmarkEnd w:id="30"/>
      <w:bookmarkEnd w:id="31"/>
    </w:p>
    <w:p w14:paraId="39D97CAE">
      <w:pPr>
        <w:rPr>
          <w:rFonts w:ascii="Times New Roman" w:hAnsi="Times New Roman"/>
          <w:color w:val="auto"/>
          <w:highlight w:val="none"/>
        </w:rPr>
      </w:pPr>
    </w:p>
    <w:p w14:paraId="54F93D3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32" w:name="_Toc15011"/>
      <w:bookmarkStart w:id="33" w:name="_Toc15396603"/>
      <w:bookmarkStart w:id="34" w:name="_Toc15377205"/>
      <w:bookmarkStart w:id="35" w:name="_Toc31994"/>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32"/>
      <w:bookmarkEnd w:id="33"/>
      <w:bookmarkEnd w:id="34"/>
      <w:bookmarkEnd w:id="35"/>
    </w:p>
    <w:p w14:paraId="7453C54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eastAsia="仿宋_GB2312" w:cs="仿宋_GB2312"/>
          <w:color w:val="auto"/>
          <w:sz w:val="32"/>
          <w:szCs w:val="32"/>
          <w:highlight w:val="none"/>
          <w:lang w:eastAsia="zh-CN"/>
        </w:rPr>
      </w:pPr>
      <w:bookmarkStart w:id="36" w:name="_Toc20708"/>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268.58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24.56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10.1</w:t>
      </w:r>
      <w:r>
        <w:rPr>
          <w:rFonts w:hint="eastAsia" w:ascii="Times New Roman" w:hAnsi="Times New Roman" w:eastAsia="仿宋_GB2312" w:cs="仿宋_GB2312"/>
          <w:color w:val="auto"/>
          <w:sz w:val="32"/>
          <w:szCs w:val="32"/>
          <w:highlight w:val="none"/>
        </w:rPr>
        <w:t>%。主要变动原因是</w:t>
      </w:r>
      <w:bookmarkEnd w:id="36"/>
      <w:r>
        <w:rPr>
          <w:rFonts w:hint="eastAsia" w:eastAsia="仿宋_GB2312" w:cs="仿宋_GB2312"/>
          <w:color w:val="auto"/>
          <w:sz w:val="32"/>
          <w:szCs w:val="32"/>
          <w:highlight w:val="none"/>
          <w:lang w:eastAsia="zh-CN"/>
        </w:rPr>
        <w:t>人员经费和公用经费支出增加。</w:t>
      </w:r>
    </w:p>
    <w:p w14:paraId="0F5F7C52">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outlineLvl w:val="9"/>
        <w:rPr>
          <w:rFonts w:hint="eastAsia" w:ascii="Times New Roman" w:hAnsi="Times New Roman" w:eastAsia="仿宋_GB2312" w:cs="仿宋_GB2312"/>
          <w:color w:val="auto"/>
          <w:sz w:val="32"/>
          <w:szCs w:val="32"/>
          <w:highlight w:val="none"/>
          <w:lang w:eastAsia="zh-CN"/>
        </w:rPr>
      </w:pPr>
      <w:bookmarkStart w:id="37" w:name="_Toc4885"/>
      <w:r>
        <w:rPr>
          <w:rFonts w:hint="eastAsia"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eastAsia="zh-CN"/>
        </w:rPr>
        <w:drawing>
          <wp:inline distT="0" distB="0" distL="114300" distR="114300">
            <wp:extent cx="3959225" cy="3059430"/>
            <wp:effectExtent l="0" t="0" r="3175" b="762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9"/>
                    <a:stretch>
                      <a:fillRect/>
                    </a:stretch>
                  </pic:blipFill>
                  <pic:spPr>
                    <a:xfrm>
                      <a:off x="0" y="0"/>
                      <a:ext cx="3959225" cy="3059430"/>
                    </a:xfrm>
                    <a:prstGeom prst="rect">
                      <a:avLst/>
                    </a:prstGeom>
                  </pic:spPr>
                </pic:pic>
              </a:graphicData>
            </a:graphic>
          </wp:inline>
        </w:drawing>
      </w:r>
    </w:p>
    <w:p w14:paraId="0FC7FB8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2"/>
        <w:rPr>
          <w:rFonts w:hint="eastAsia" w:ascii="Times New Roman" w:hAnsi="Times New Roman" w:eastAsia="仿宋_GB2312" w:cs="仿宋_GB2312"/>
          <w:color w:val="auto"/>
          <w:sz w:val="32"/>
          <w:szCs w:val="32"/>
          <w:highlight w:val="none"/>
        </w:rPr>
      </w:pPr>
      <w:bookmarkStart w:id="38" w:name="_Toc9054"/>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37"/>
      <w:bookmarkEnd w:id="38"/>
    </w:p>
    <w:p w14:paraId="6E8E947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7D01160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9" w:name="_Toc15396604"/>
      <w:bookmarkStart w:id="40" w:name="_Toc15377206"/>
      <w:bookmarkStart w:id="41" w:name="_Toc849"/>
      <w:bookmarkStart w:id="42" w:name="_Toc16906"/>
      <w:r>
        <w:rPr>
          <w:rFonts w:hint="eastAsia" w:ascii="Times New Roman" w:hAnsi="Times New Roman" w:eastAsia="黑体"/>
          <w:color w:val="auto"/>
          <w:sz w:val="32"/>
          <w:szCs w:val="32"/>
          <w:highlight w:val="none"/>
          <w:lang w:eastAsia="zh-CN"/>
        </w:rPr>
        <w:t>二、收入决算情况说明</w:t>
      </w:r>
      <w:bookmarkEnd w:id="39"/>
      <w:bookmarkEnd w:id="40"/>
      <w:bookmarkEnd w:id="41"/>
      <w:bookmarkEnd w:id="42"/>
    </w:p>
    <w:p w14:paraId="3A88326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eastAsia="仿宋_GB2312" w:cs="仿宋_GB2312"/>
          <w:color w:val="auto"/>
          <w:sz w:val="32"/>
          <w:szCs w:val="32"/>
          <w:highlight w:val="none"/>
          <w:lang w:eastAsia="zh-CN"/>
        </w:rPr>
      </w:pPr>
      <w:bookmarkStart w:id="43" w:name="_Toc32033"/>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268.58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268.58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bookmarkEnd w:id="43"/>
      <w:bookmarkStart w:id="44" w:name="_Toc9049"/>
      <w:r>
        <w:rPr>
          <w:rFonts w:hint="eastAsia" w:eastAsia="仿宋_GB2312" w:cs="仿宋_GB2312"/>
          <w:color w:val="auto"/>
          <w:sz w:val="32"/>
          <w:szCs w:val="32"/>
          <w:highlight w:val="none"/>
          <w:lang w:eastAsia="zh-CN"/>
        </w:rPr>
        <w:t>。</w:t>
      </w:r>
    </w:p>
    <w:p w14:paraId="650A6C45">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inline distT="0" distB="0" distL="114300" distR="114300">
            <wp:extent cx="4338955" cy="2829560"/>
            <wp:effectExtent l="0" t="0" r="4445" b="8890"/>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
                    <pic:cNvPicPr>
                      <a:picLocks noChangeAspect="1"/>
                    </pic:cNvPicPr>
                  </pic:nvPicPr>
                  <pic:blipFill>
                    <a:blip r:embed="rId10"/>
                    <a:stretch>
                      <a:fillRect/>
                    </a:stretch>
                  </pic:blipFill>
                  <pic:spPr>
                    <a:xfrm>
                      <a:off x="0" y="0"/>
                      <a:ext cx="4338955" cy="2829560"/>
                    </a:xfrm>
                    <a:prstGeom prst="rect">
                      <a:avLst/>
                    </a:prstGeom>
                  </pic:spPr>
                </pic:pic>
              </a:graphicData>
            </a:graphic>
          </wp:inline>
        </w:drawing>
      </w:r>
    </w:p>
    <w:p w14:paraId="3E5A6AF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2"/>
        <w:rPr>
          <w:rFonts w:hint="eastAsia" w:ascii="Times New Roman" w:hAnsi="Times New Roman" w:eastAsia="仿宋_GB2312" w:cs="仿宋_GB2312"/>
          <w:color w:val="auto"/>
          <w:sz w:val="32"/>
          <w:szCs w:val="32"/>
          <w:highlight w:val="none"/>
          <w:lang w:eastAsia="zh-CN"/>
        </w:rPr>
      </w:pPr>
      <w:bookmarkStart w:id="45" w:name="_Toc10923"/>
      <w:r>
        <w:rPr>
          <w:rFonts w:hint="eastAsia" w:ascii="Times New Roman" w:hAnsi="Times New Roman" w:eastAsia="仿宋_GB2312" w:cs="仿宋_GB2312"/>
          <w:color w:val="auto"/>
          <w:sz w:val="32"/>
          <w:szCs w:val="32"/>
          <w:highlight w:val="none"/>
          <w:lang w:eastAsia="zh-CN"/>
        </w:rPr>
        <w:t>（图2：收入决算结构图）（饼状图）</w:t>
      </w:r>
      <w:bookmarkEnd w:id="44"/>
      <w:bookmarkEnd w:id="45"/>
    </w:p>
    <w:p w14:paraId="06B74A28">
      <w:pPr>
        <w:ind w:firstLine="800" w:firstLineChars="250"/>
        <w:rPr>
          <w:rFonts w:hint="eastAsia" w:ascii="Times New Roman" w:hAnsi="Times New Roman" w:eastAsia="仿宋_GB2312" w:cs="仿宋_GB2312"/>
          <w:color w:val="auto"/>
          <w:sz w:val="32"/>
          <w:szCs w:val="32"/>
          <w:highlight w:val="none"/>
          <w:lang w:eastAsia="zh-CN"/>
        </w:rPr>
      </w:pPr>
    </w:p>
    <w:p w14:paraId="4D92929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46" w:name="_Toc23596"/>
      <w:bookmarkStart w:id="47" w:name="_Toc29768"/>
      <w:bookmarkStart w:id="48" w:name="_Toc15377207"/>
      <w:bookmarkStart w:id="49"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46"/>
      <w:bookmarkEnd w:id="47"/>
      <w:bookmarkEnd w:id="48"/>
      <w:bookmarkEnd w:id="49"/>
    </w:p>
    <w:p w14:paraId="188586B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Times New Roman" w:hAnsi="Times New Roman" w:eastAsia="仿宋_GB2312" w:cs="仿宋_GB2312"/>
          <w:color w:val="auto"/>
          <w:sz w:val="32"/>
          <w:szCs w:val="32"/>
          <w:highlight w:val="none"/>
          <w:lang w:eastAsia="zh-CN"/>
        </w:rPr>
      </w:pPr>
      <w:bookmarkStart w:id="50" w:name="_Toc15343"/>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268.58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268.58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bookmarkEnd w:id="50"/>
    </w:p>
    <w:p w14:paraId="6442E261">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3989705" cy="2271395"/>
            <wp:effectExtent l="0" t="0" r="10795" b="14605"/>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11"/>
                    <a:stretch>
                      <a:fillRect/>
                    </a:stretch>
                  </pic:blipFill>
                  <pic:spPr>
                    <a:xfrm>
                      <a:off x="0" y="0"/>
                      <a:ext cx="3989705" cy="2271395"/>
                    </a:xfrm>
                    <a:prstGeom prst="rect">
                      <a:avLst/>
                    </a:prstGeom>
                  </pic:spPr>
                </pic:pic>
              </a:graphicData>
            </a:graphic>
          </wp:inline>
        </w:drawing>
      </w:r>
    </w:p>
    <w:p w14:paraId="46B4465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2"/>
        <w:rPr>
          <w:rFonts w:hint="eastAsia" w:ascii="Times New Roman" w:hAnsi="Times New Roman" w:eastAsia="仿宋_GB2312" w:cs="仿宋_GB2312"/>
          <w:color w:val="auto"/>
          <w:sz w:val="32"/>
          <w:szCs w:val="32"/>
          <w:highlight w:val="none"/>
          <w:lang w:eastAsia="zh-CN"/>
        </w:rPr>
      </w:pPr>
      <w:bookmarkStart w:id="51" w:name="_Toc22691"/>
      <w:bookmarkStart w:id="52" w:name="_Toc6109"/>
      <w:r>
        <w:rPr>
          <w:rFonts w:hint="eastAsia" w:ascii="Times New Roman" w:hAnsi="Times New Roman" w:eastAsia="仿宋_GB2312" w:cs="仿宋_GB2312"/>
          <w:color w:val="auto"/>
          <w:sz w:val="32"/>
          <w:szCs w:val="32"/>
          <w:highlight w:val="none"/>
          <w:lang w:eastAsia="zh-CN"/>
        </w:rPr>
        <w:t>（图3：支出决算结构图）（饼状图）</w:t>
      </w:r>
      <w:bookmarkEnd w:id="51"/>
      <w:bookmarkEnd w:id="52"/>
    </w:p>
    <w:p w14:paraId="1B9B0442">
      <w:pPr>
        <w:ind w:firstLine="800" w:firstLineChars="250"/>
        <w:rPr>
          <w:rFonts w:hint="eastAsia" w:ascii="Times New Roman" w:hAnsi="Times New Roman" w:eastAsia="仿宋_GB2312" w:cs="仿宋_GB2312"/>
          <w:color w:val="auto"/>
          <w:sz w:val="32"/>
          <w:szCs w:val="32"/>
          <w:highlight w:val="none"/>
          <w:lang w:eastAsia="zh-CN"/>
        </w:rPr>
      </w:pPr>
    </w:p>
    <w:p w14:paraId="5E01164F">
      <w:pPr>
        <w:spacing w:line="600" w:lineRule="exact"/>
        <w:ind w:firstLine="640" w:firstLineChars="200"/>
        <w:outlineLvl w:val="1"/>
        <w:rPr>
          <w:rStyle w:val="29"/>
          <w:rFonts w:ascii="Times New Roman" w:hAnsi="Times New Roman" w:eastAsia="黑体"/>
          <w:b w:val="0"/>
          <w:color w:val="auto"/>
          <w:highlight w:val="none"/>
        </w:rPr>
      </w:pPr>
      <w:bookmarkStart w:id="53" w:name="_Toc1183"/>
      <w:bookmarkStart w:id="54" w:name="_Toc15396606"/>
      <w:bookmarkStart w:id="55" w:name="_Toc17644"/>
      <w:bookmarkStart w:id="56"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53"/>
      <w:bookmarkEnd w:id="54"/>
      <w:bookmarkEnd w:id="55"/>
      <w:bookmarkEnd w:id="56"/>
    </w:p>
    <w:p w14:paraId="4713ECB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268.58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24.56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10.1</w:t>
      </w:r>
      <w:r>
        <w:rPr>
          <w:rFonts w:hint="eastAsia" w:ascii="Times New Roman" w:hAnsi="Times New Roman" w:eastAsia="仿宋_GB2312" w:cs="仿宋_GB2312"/>
          <w:color w:val="auto"/>
          <w:kern w:val="2"/>
          <w:sz w:val="32"/>
          <w:szCs w:val="32"/>
          <w:highlight w:val="none"/>
          <w:lang w:val="en-US" w:eastAsia="zh-CN" w:bidi="ar-SA"/>
        </w:rPr>
        <w:t>%。主要变动原因是人员经费和公用经费支出增加</w:t>
      </w:r>
      <w:r>
        <w:rPr>
          <w:rFonts w:hint="eastAsia" w:eastAsia="仿宋_GB2312" w:cs="仿宋_GB2312"/>
          <w:color w:val="auto"/>
          <w:kern w:val="2"/>
          <w:sz w:val="32"/>
          <w:szCs w:val="32"/>
          <w:highlight w:val="none"/>
          <w:lang w:val="en-US" w:eastAsia="zh-CN" w:bidi="ar-SA"/>
        </w:rPr>
        <w:t>。</w:t>
      </w:r>
    </w:p>
    <w:p w14:paraId="1E80994C">
      <w:pPr>
        <w:pStyle w:val="2"/>
        <w:rPr>
          <w:rFonts w:hint="eastAsia" w:eastAsia="仿宋_GB2312" w:cs="仿宋_GB2312"/>
          <w:color w:val="auto"/>
          <w:kern w:val="2"/>
          <w:sz w:val="32"/>
          <w:szCs w:val="32"/>
          <w:highlight w:val="none"/>
          <w:lang w:val="en-US" w:eastAsia="zh-CN" w:bidi="ar-SA"/>
        </w:rPr>
      </w:pPr>
    </w:p>
    <w:p w14:paraId="4904777D">
      <w:pPr>
        <w:pStyle w:val="3"/>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drawing>
          <wp:inline distT="0" distB="0" distL="114300" distR="114300">
            <wp:extent cx="3966210" cy="3061335"/>
            <wp:effectExtent l="0" t="0" r="15240" b="5715"/>
            <wp:docPr id="5" name="图片 5"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4"/>
                    <pic:cNvPicPr>
                      <a:picLocks noChangeAspect="1"/>
                    </pic:cNvPicPr>
                  </pic:nvPicPr>
                  <pic:blipFill>
                    <a:blip r:embed="rId12"/>
                    <a:stretch>
                      <a:fillRect/>
                    </a:stretch>
                  </pic:blipFill>
                  <pic:spPr>
                    <a:xfrm>
                      <a:off x="0" y="0"/>
                      <a:ext cx="3966210" cy="3061335"/>
                    </a:xfrm>
                    <a:prstGeom prst="rect">
                      <a:avLst/>
                    </a:prstGeom>
                  </pic:spPr>
                </pic:pic>
              </a:graphicData>
            </a:graphic>
          </wp:inline>
        </w:drawing>
      </w:r>
    </w:p>
    <w:p w14:paraId="220761AB">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662047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5E49D0C">
      <w:pPr>
        <w:spacing w:line="600" w:lineRule="exact"/>
        <w:ind w:firstLine="640" w:firstLineChars="200"/>
        <w:outlineLvl w:val="1"/>
        <w:rPr>
          <w:rStyle w:val="29"/>
          <w:rFonts w:ascii="Times New Roman" w:hAnsi="Times New Roman" w:eastAsia="黑体"/>
          <w:b w:val="0"/>
          <w:color w:val="auto"/>
          <w:highlight w:val="none"/>
        </w:rPr>
      </w:pPr>
      <w:bookmarkStart w:id="57" w:name="_Toc15377209"/>
      <w:bookmarkStart w:id="58" w:name="_Toc23863"/>
      <w:bookmarkStart w:id="59" w:name="_Toc9768"/>
      <w:bookmarkStart w:id="60"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57"/>
      <w:bookmarkEnd w:id="58"/>
      <w:bookmarkEnd w:id="59"/>
      <w:bookmarkEnd w:id="60"/>
    </w:p>
    <w:p w14:paraId="0231803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1" w:name="_Toc3541"/>
      <w:bookmarkStart w:id="62" w:name="_Toc16722"/>
      <w:bookmarkStart w:id="6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61"/>
      <w:bookmarkEnd w:id="62"/>
      <w:bookmarkEnd w:id="63"/>
    </w:p>
    <w:p w14:paraId="67C80826">
      <w:pPr>
        <w:spacing w:line="600" w:lineRule="exact"/>
        <w:ind w:firstLine="640"/>
        <w:rPr>
          <w:rFonts w:hint="eastAsia"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268.58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24.56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人员经费和公用经费支出增加。</w:t>
      </w:r>
    </w:p>
    <w:p w14:paraId="15277072">
      <w:pPr>
        <w:pStyle w:val="2"/>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val="en-US" w:eastAsia="zh-CN"/>
        </w:rPr>
        <w:t xml:space="preserve">        </w:t>
      </w:r>
      <w:r>
        <w:rPr>
          <w:rFonts w:hint="eastAsia" w:eastAsia="仿宋_GB2312" w:cs="仿宋_GB2312"/>
          <w:color w:val="auto"/>
          <w:sz w:val="32"/>
          <w:szCs w:val="32"/>
          <w:highlight w:val="none"/>
          <w:lang w:eastAsia="zh-CN"/>
        </w:rPr>
        <w:drawing>
          <wp:inline distT="0" distB="0" distL="114300" distR="114300">
            <wp:extent cx="3831590" cy="2519680"/>
            <wp:effectExtent l="0" t="0" r="16510" b="13970"/>
            <wp:docPr id="8" name="图片 8"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5"/>
                    <pic:cNvPicPr>
                      <a:picLocks noChangeAspect="1"/>
                    </pic:cNvPicPr>
                  </pic:nvPicPr>
                  <pic:blipFill>
                    <a:blip r:embed="rId13"/>
                    <a:stretch>
                      <a:fillRect/>
                    </a:stretch>
                  </pic:blipFill>
                  <pic:spPr>
                    <a:xfrm>
                      <a:off x="0" y="0"/>
                      <a:ext cx="3831590" cy="2519680"/>
                    </a:xfrm>
                    <a:prstGeom prst="rect">
                      <a:avLst/>
                    </a:prstGeom>
                  </pic:spPr>
                </pic:pic>
              </a:graphicData>
            </a:graphic>
          </wp:inline>
        </w:drawing>
      </w:r>
    </w:p>
    <w:p w14:paraId="5D07E3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6AD84B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11"/>
      <w:bookmarkStart w:id="65" w:name="_Toc9956"/>
      <w:bookmarkStart w:id="66" w:name="_Toc187"/>
      <w:r>
        <w:rPr>
          <w:rFonts w:hint="eastAsia" w:ascii="Times New Roman" w:hAnsi="Times New Roman" w:eastAsia="楷体_GB2312" w:cs="楷体_GB2312"/>
          <w:b/>
          <w:color w:val="auto"/>
          <w:sz w:val="32"/>
          <w:szCs w:val="32"/>
          <w:highlight w:val="none"/>
        </w:rPr>
        <w:t>（二）一般公共预算财政拨款支出决算结构情况</w:t>
      </w:r>
      <w:bookmarkEnd w:id="64"/>
      <w:bookmarkEnd w:id="65"/>
      <w:bookmarkEnd w:id="66"/>
    </w:p>
    <w:p w14:paraId="6A1BCD9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268.58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36.67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211.28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78.7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20.63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E59CE63">
      <w:pPr>
        <w:pStyle w:val="2"/>
        <w:rPr>
          <w:rFonts w:hint="eastAsia" w:eastAsia="仿宋_GB2312" w:cs="仿宋_GB2312"/>
          <w:color w:val="auto"/>
          <w:kern w:val="2"/>
          <w:sz w:val="32"/>
          <w:szCs w:val="32"/>
          <w:highlight w:val="none"/>
          <w:lang w:val="en-US" w:eastAsia="zh-CN" w:bidi="ar-SA"/>
        </w:rPr>
      </w:pPr>
    </w:p>
    <w:p w14:paraId="4C28A520">
      <w:pPr>
        <w:pStyle w:val="3"/>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drawing>
          <wp:inline distT="0" distB="0" distL="114300" distR="114300">
            <wp:extent cx="4135120" cy="2487930"/>
            <wp:effectExtent l="0" t="0" r="17780" b="7620"/>
            <wp:docPr id="9" name="图片 9"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6"/>
                    <pic:cNvPicPr>
                      <a:picLocks noChangeAspect="1"/>
                    </pic:cNvPicPr>
                  </pic:nvPicPr>
                  <pic:blipFill>
                    <a:blip r:embed="rId14"/>
                    <a:stretch>
                      <a:fillRect/>
                    </a:stretch>
                  </pic:blipFill>
                  <pic:spPr>
                    <a:xfrm>
                      <a:off x="0" y="0"/>
                      <a:ext cx="4135120" cy="2487930"/>
                    </a:xfrm>
                    <a:prstGeom prst="rect">
                      <a:avLst/>
                    </a:prstGeom>
                  </pic:spPr>
                </pic:pic>
              </a:graphicData>
            </a:graphic>
          </wp:inline>
        </w:drawing>
      </w:r>
    </w:p>
    <w:p w14:paraId="71892A72">
      <w:pPr>
        <w:rPr>
          <w:rFonts w:hint="eastAsia"/>
          <w:lang w:val="en-US" w:eastAsia="zh-CN"/>
        </w:rPr>
      </w:pPr>
    </w:p>
    <w:p w14:paraId="4DE2A0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622F92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716926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7" w:name="_Toc26436"/>
      <w:bookmarkStart w:id="68" w:name="_Toc3235"/>
      <w:bookmarkStart w:id="69"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7"/>
      <w:bookmarkEnd w:id="68"/>
      <w:bookmarkEnd w:id="69"/>
    </w:p>
    <w:p w14:paraId="5485D3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0" w:name="_Toc15377213"/>
      <w:bookmarkStart w:id="71" w:name="_Toc15377444"/>
      <w:bookmarkStart w:id="72"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268.58</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70"/>
      <w:bookmarkEnd w:id="71"/>
      <w:bookmarkEnd w:id="72"/>
    </w:p>
    <w:p w14:paraId="23E2333C">
      <w:pPr>
        <w:keepNext w:val="0"/>
        <w:keepLines w:val="0"/>
        <w:widowControl/>
        <w:numPr>
          <w:ilvl w:val="0"/>
          <w:numId w:val="1"/>
        </w:numPr>
        <w:suppressLineNumbers w:val="0"/>
        <w:spacing w:line="600" w:lineRule="exact"/>
        <w:ind w:left="0" w:leftChars="0" w:firstLine="400" w:firstLineChars="0"/>
        <w:rPr>
          <w:rFonts w:hint="eastAsia" w:ascii="仿宋" w:hAnsi="仿宋" w:eastAsia="仿宋" w:cs="Times New Roman"/>
          <w:b/>
          <w:bCs/>
          <w:color w:val="000000"/>
          <w:kern w:val="0"/>
          <w:sz w:val="32"/>
          <w:szCs w:val="32"/>
          <w:highlight w:val="none"/>
        </w:rPr>
      </w:pPr>
      <w:r>
        <w:rPr>
          <w:rStyle w:val="36"/>
          <w:rFonts w:hint="eastAsia" w:ascii="仿宋" w:hAnsi="仿宋" w:eastAsia="仿宋" w:cs="仿宋"/>
          <w:b/>
          <w:bCs/>
          <w:color w:val="000000"/>
          <w:sz w:val="32"/>
          <w:szCs w:val="32"/>
          <w:highlight w:val="none"/>
        </w:rPr>
        <w:t>社会保障和就业（208）行政事业单位养老支出（20805）机关事业单位基本养老保险缴费支出（2080505）</w:t>
      </w:r>
      <w:r>
        <w:rPr>
          <w:rStyle w:val="36"/>
          <w:rFonts w:hint="eastAsia" w:ascii="仿宋" w:hAnsi="仿宋" w:eastAsia="仿宋" w:cs="仿宋"/>
          <w:b/>
          <w:bCs/>
          <w:color w:val="000000"/>
          <w:sz w:val="32"/>
          <w:szCs w:val="32"/>
          <w:highlight w:val="none"/>
          <w:lang w:eastAsia="zh-CN"/>
        </w:rPr>
        <w:t>：</w:t>
      </w:r>
      <w:r>
        <w:rPr>
          <w:rStyle w:val="36"/>
          <w:rFonts w:hint="eastAsia" w:ascii="仿宋" w:hAnsi="仿宋" w:eastAsia="仿宋" w:cs="仿宋"/>
          <w:b w:val="0"/>
          <w:bCs w:val="0"/>
          <w:color w:val="000000"/>
          <w:sz w:val="32"/>
          <w:szCs w:val="32"/>
          <w:highlight w:val="none"/>
        </w:rPr>
        <w:t>支出决算为</w:t>
      </w:r>
      <w:r>
        <w:rPr>
          <w:rStyle w:val="36"/>
          <w:rFonts w:hint="eastAsia" w:ascii="仿宋" w:hAnsi="仿宋" w:eastAsia="仿宋" w:cs="仿宋"/>
          <w:b w:val="0"/>
          <w:bCs w:val="0"/>
          <w:color w:val="000000"/>
          <w:sz w:val="32"/>
          <w:szCs w:val="32"/>
          <w:highlight w:val="none"/>
          <w:lang w:val="en-US" w:eastAsia="zh-CN"/>
        </w:rPr>
        <w:t>24.465</w:t>
      </w:r>
      <w:r>
        <w:rPr>
          <w:rStyle w:val="36"/>
          <w:rFonts w:hint="eastAsia" w:ascii="仿宋" w:hAnsi="仿宋" w:eastAsia="仿宋" w:cs="仿宋"/>
          <w:b w:val="0"/>
          <w:bCs w:val="0"/>
          <w:color w:val="000000"/>
          <w:sz w:val="32"/>
          <w:szCs w:val="32"/>
          <w:highlight w:val="none"/>
        </w:rPr>
        <w:t>万元，完成预算100%。</w:t>
      </w:r>
    </w:p>
    <w:p w14:paraId="4CFFC46C">
      <w:pPr>
        <w:keepNext w:val="0"/>
        <w:keepLines w:val="0"/>
        <w:widowControl/>
        <w:numPr>
          <w:ilvl w:val="0"/>
          <w:numId w:val="1"/>
        </w:numPr>
        <w:suppressLineNumbers w:val="0"/>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36"/>
          <w:rFonts w:hint="eastAsia" w:ascii="仿宋" w:hAnsi="仿宋" w:eastAsia="仿宋" w:cs="仿宋"/>
          <w:b/>
          <w:bCs/>
          <w:color w:val="000000"/>
          <w:sz w:val="32"/>
          <w:szCs w:val="32"/>
          <w:highlight w:val="none"/>
        </w:rPr>
        <w:t>社会保障和就业（208）行政事业单位养老支出（20805）机关事业单位职业年金缴费支出（208506）：</w:t>
      </w:r>
      <w:r>
        <w:rPr>
          <w:rStyle w:val="36"/>
          <w:rFonts w:hint="eastAsia" w:ascii="仿宋" w:hAnsi="仿宋" w:eastAsia="仿宋" w:cs="仿宋"/>
          <w:b w:val="0"/>
          <w:bCs w:val="0"/>
          <w:color w:val="000000"/>
          <w:sz w:val="32"/>
          <w:szCs w:val="32"/>
          <w:highlight w:val="none"/>
        </w:rPr>
        <w:t>支出决算为</w:t>
      </w:r>
      <w:r>
        <w:rPr>
          <w:rStyle w:val="36"/>
          <w:rFonts w:hint="eastAsia" w:ascii="仿宋" w:hAnsi="仿宋" w:eastAsia="仿宋" w:cs="仿宋"/>
          <w:b w:val="0"/>
          <w:bCs w:val="0"/>
          <w:color w:val="000000"/>
          <w:sz w:val="32"/>
          <w:szCs w:val="32"/>
          <w:highlight w:val="none"/>
          <w:lang w:val="en-US" w:eastAsia="zh-CN"/>
        </w:rPr>
        <w:t>12.21</w:t>
      </w:r>
      <w:r>
        <w:rPr>
          <w:rStyle w:val="36"/>
          <w:rFonts w:hint="eastAsia" w:ascii="仿宋" w:hAnsi="仿宋" w:eastAsia="仿宋" w:cs="仿宋"/>
          <w:b w:val="0"/>
          <w:bCs w:val="0"/>
          <w:color w:val="000000"/>
          <w:sz w:val="32"/>
          <w:szCs w:val="32"/>
          <w:highlight w:val="none"/>
        </w:rPr>
        <w:t>万元，完成预算100%。</w:t>
      </w:r>
    </w:p>
    <w:p w14:paraId="058CD572">
      <w:pPr>
        <w:keepNext w:val="0"/>
        <w:keepLines w:val="0"/>
        <w:widowControl/>
        <w:numPr>
          <w:ilvl w:val="0"/>
          <w:numId w:val="1"/>
        </w:numPr>
        <w:suppressLineNumbers w:val="0"/>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36"/>
          <w:rFonts w:hint="eastAsia" w:ascii="仿宋" w:hAnsi="仿宋" w:eastAsia="仿宋" w:cs="仿宋"/>
          <w:b/>
          <w:bCs/>
          <w:color w:val="000000"/>
          <w:sz w:val="32"/>
          <w:szCs w:val="32"/>
          <w:highlight w:val="none"/>
        </w:rPr>
        <w:t>卫生健康支出（210）卫生健康</w:t>
      </w:r>
      <w:r>
        <w:rPr>
          <w:rStyle w:val="36"/>
          <w:rFonts w:hint="eastAsia" w:ascii="仿宋" w:hAnsi="仿宋" w:eastAsia="仿宋" w:cs="仿宋"/>
          <w:b/>
          <w:bCs/>
          <w:color w:val="000000"/>
          <w:sz w:val="32"/>
          <w:szCs w:val="32"/>
          <w:highlight w:val="none"/>
          <w:lang w:val="en-US" w:eastAsia="zh-CN"/>
        </w:rPr>
        <w:t>管理事务</w:t>
      </w:r>
      <w:r>
        <w:rPr>
          <w:rStyle w:val="36"/>
          <w:rFonts w:hint="eastAsia" w:ascii="仿宋" w:hAnsi="仿宋" w:eastAsia="仿宋" w:cs="仿宋"/>
          <w:b/>
          <w:bCs/>
          <w:color w:val="000000"/>
          <w:sz w:val="32"/>
          <w:szCs w:val="32"/>
          <w:highlight w:val="none"/>
        </w:rPr>
        <w:t>（21001）</w:t>
      </w:r>
      <w:r>
        <w:rPr>
          <w:rStyle w:val="36"/>
          <w:rFonts w:hint="eastAsia" w:ascii="仿宋" w:hAnsi="仿宋" w:eastAsia="仿宋" w:cs="仿宋"/>
          <w:b/>
          <w:bCs/>
          <w:color w:val="000000"/>
          <w:sz w:val="32"/>
          <w:szCs w:val="32"/>
          <w:highlight w:val="none"/>
          <w:lang w:val="en-US" w:eastAsia="zh-CN"/>
        </w:rPr>
        <w:t>机关服务</w:t>
      </w:r>
      <w:r>
        <w:rPr>
          <w:rStyle w:val="36"/>
          <w:rFonts w:hint="eastAsia" w:ascii="仿宋" w:hAnsi="仿宋" w:eastAsia="仿宋" w:cs="仿宋"/>
          <w:b/>
          <w:bCs/>
          <w:color w:val="000000"/>
          <w:sz w:val="32"/>
          <w:szCs w:val="32"/>
          <w:highlight w:val="none"/>
        </w:rPr>
        <w:t>（210010</w:t>
      </w:r>
      <w:r>
        <w:rPr>
          <w:rStyle w:val="36"/>
          <w:rFonts w:hint="eastAsia" w:ascii="仿宋" w:hAnsi="仿宋" w:eastAsia="仿宋" w:cs="仿宋"/>
          <w:b/>
          <w:bCs/>
          <w:color w:val="000000"/>
          <w:sz w:val="32"/>
          <w:szCs w:val="32"/>
          <w:highlight w:val="none"/>
          <w:lang w:val="en-US" w:eastAsia="zh-CN"/>
        </w:rPr>
        <w:t>3</w:t>
      </w:r>
      <w:r>
        <w:rPr>
          <w:rStyle w:val="36"/>
          <w:rFonts w:hint="eastAsia" w:ascii="仿宋" w:hAnsi="仿宋" w:eastAsia="仿宋" w:cs="仿宋"/>
          <w:b/>
          <w:bCs/>
          <w:color w:val="000000"/>
          <w:sz w:val="32"/>
          <w:szCs w:val="32"/>
          <w:highlight w:val="none"/>
        </w:rPr>
        <w:t>）</w:t>
      </w:r>
      <w:r>
        <w:rPr>
          <w:rStyle w:val="36"/>
          <w:rFonts w:hint="eastAsia" w:ascii="仿宋" w:hAnsi="仿宋" w:eastAsia="仿宋" w:cs="仿宋"/>
          <w:b/>
          <w:bCs/>
          <w:color w:val="000000"/>
          <w:sz w:val="32"/>
          <w:szCs w:val="32"/>
          <w:highlight w:val="none"/>
          <w:lang w:eastAsia="zh-CN"/>
        </w:rPr>
        <w:t>：</w:t>
      </w:r>
      <w:r>
        <w:rPr>
          <w:rStyle w:val="36"/>
          <w:rFonts w:hint="eastAsia" w:ascii="仿宋" w:hAnsi="仿宋" w:eastAsia="仿宋" w:cs="仿宋"/>
          <w:b w:val="0"/>
          <w:bCs w:val="0"/>
          <w:color w:val="000000"/>
          <w:sz w:val="32"/>
          <w:szCs w:val="32"/>
          <w:highlight w:val="none"/>
        </w:rPr>
        <w:t>支出决算为</w:t>
      </w:r>
      <w:r>
        <w:rPr>
          <w:rStyle w:val="36"/>
          <w:rFonts w:hint="eastAsia" w:ascii="仿宋" w:hAnsi="仿宋" w:eastAsia="仿宋" w:cs="仿宋"/>
          <w:b w:val="0"/>
          <w:bCs w:val="0"/>
          <w:color w:val="000000"/>
          <w:sz w:val="32"/>
          <w:szCs w:val="32"/>
          <w:highlight w:val="none"/>
          <w:lang w:val="en-US" w:eastAsia="zh-CN"/>
        </w:rPr>
        <w:t>198.15</w:t>
      </w:r>
      <w:r>
        <w:rPr>
          <w:rStyle w:val="36"/>
          <w:rFonts w:hint="eastAsia" w:ascii="仿宋" w:hAnsi="仿宋" w:eastAsia="仿宋" w:cs="仿宋"/>
          <w:b w:val="0"/>
          <w:bCs w:val="0"/>
          <w:color w:val="000000"/>
          <w:sz w:val="32"/>
          <w:szCs w:val="32"/>
          <w:highlight w:val="none"/>
        </w:rPr>
        <w:t>万元，完成预算100%。</w:t>
      </w:r>
    </w:p>
    <w:p w14:paraId="3C801F81">
      <w:pPr>
        <w:keepNext w:val="0"/>
        <w:keepLines w:val="0"/>
        <w:widowControl/>
        <w:numPr>
          <w:ilvl w:val="0"/>
          <w:numId w:val="1"/>
        </w:numPr>
        <w:suppressLineNumbers w:val="0"/>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36"/>
          <w:rFonts w:hint="eastAsia" w:ascii="仿宋" w:hAnsi="仿宋" w:eastAsia="仿宋" w:cs="仿宋"/>
          <w:b/>
          <w:bCs/>
          <w:color w:val="000000"/>
          <w:sz w:val="32"/>
          <w:szCs w:val="32"/>
          <w:highlight w:val="none"/>
        </w:rPr>
        <w:t>卫生健康支出（210）行政事业单位医疗（21011）</w:t>
      </w:r>
      <w:r>
        <w:rPr>
          <w:rStyle w:val="36"/>
          <w:rFonts w:hint="eastAsia" w:ascii="仿宋" w:hAnsi="仿宋" w:eastAsia="仿宋" w:cs="仿宋"/>
          <w:b/>
          <w:bCs/>
          <w:color w:val="000000"/>
          <w:sz w:val="32"/>
          <w:szCs w:val="32"/>
          <w:highlight w:val="none"/>
          <w:lang w:val="en-US" w:eastAsia="zh-CN"/>
        </w:rPr>
        <w:t>事业</w:t>
      </w:r>
      <w:r>
        <w:rPr>
          <w:rStyle w:val="36"/>
          <w:rFonts w:hint="eastAsia" w:ascii="仿宋" w:hAnsi="仿宋" w:eastAsia="仿宋" w:cs="仿宋"/>
          <w:b/>
          <w:bCs/>
          <w:color w:val="000000"/>
          <w:sz w:val="32"/>
          <w:szCs w:val="32"/>
          <w:highlight w:val="none"/>
        </w:rPr>
        <w:t>单位医疗（210110</w:t>
      </w:r>
      <w:r>
        <w:rPr>
          <w:rStyle w:val="36"/>
          <w:rFonts w:hint="eastAsia" w:ascii="仿宋" w:hAnsi="仿宋" w:eastAsia="仿宋" w:cs="仿宋"/>
          <w:b/>
          <w:bCs/>
          <w:color w:val="000000"/>
          <w:sz w:val="32"/>
          <w:szCs w:val="32"/>
          <w:highlight w:val="none"/>
          <w:lang w:val="en-US" w:eastAsia="zh-CN"/>
        </w:rPr>
        <w:t>2</w:t>
      </w:r>
      <w:r>
        <w:rPr>
          <w:rStyle w:val="36"/>
          <w:rFonts w:hint="eastAsia" w:ascii="仿宋" w:hAnsi="仿宋" w:eastAsia="仿宋" w:cs="仿宋"/>
          <w:b/>
          <w:bCs/>
          <w:color w:val="000000"/>
          <w:sz w:val="32"/>
          <w:szCs w:val="32"/>
          <w:highlight w:val="none"/>
        </w:rPr>
        <w:t>）</w:t>
      </w:r>
      <w:r>
        <w:rPr>
          <w:rStyle w:val="36"/>
          <w:rFonts w:hint="eastAsia" w:ascii="仿宋" w:hAnsi="仿宋" w:eastAsia="仿宋" w:cs="仿宋"/>
          <w:b/>
          <w:bCs/>
          <w:color w:val="000000"/>
          <w:sz w:val="32"/>
          <w:szCs w:val="32"/>
          <w:highlight w:val="none"/>
          <w:lang w:eastAsia="zh-CN"/>
        </w:rPr>
        <w:t>：</w:t>
      </w:r>
      <w:r>
        <w:rPr>
          <w:rStyle w:val="36"/>
          <w:rFonts w:hint="eastAsia" w:ascii="仿宋" w:hAnsi="仿宋" w:eastAsia="仿宋" w:cs="仿宋"/>
          <w:b w:val="0"/>
          <w:bCs w:val="0"/>
          <w:color w:val="000000"/>
          <w:sz w:val="32"/>
          <w:szCs w:val="32"/>
          <w:highlight w:val="none"/>
        </w:rPr>
        <w:t>支出决算为</w:t>
      </w:r>
      <w:r>
        <w:rPr>
          <w:rStyle w:val="36"/>
          <w:rFonts w:hint="eastAsia" w:ascii="仿宋" w:hAnsi="仿宋" w:eastAsia="仿宋" w:cs="仿宋"/>
          <w:b w:val="0"/>
          <w:bCs w:val="0"/>
          <w:color w:val="000000"/>
          <w:sz w:val="32"/>
          <w:szCs w:val="32"/>
          <w:highlight w:val="none"/>
          <w:lang w:val="en-US" w:eastAsia="zh-CN"/>
        </w:rPr>
        <w:t>10.98</w:t>
      </w:r>
      <w:r>
        <w:rPr>
          <w:rStyle w:val="36"/>
          <w:rFonts w:hint="eastAsia" w:ascii="仿宋" w:hAnsi="仿宋" w:eastAsia="仿宋" w:cs="仿宋"/>
          <w:b w:val="0"/>
          <w:bCs w:val="0"/>
          <w:color w:val="000000"/>
          <w:sz w:val="32"/>
          <w:szCs w:val="32"/>
          <w:highlight w:val="none"/>
        </w:rPr>
        <w:t>万元，完成预算100%。</w:t>
      </w:r>
    </w:p>
    <w:p w14:paraId="1310FF28">
      <w:pPr>
        <w:keepNext w:val="0"/>
        <w:keepLines w:val="0"/>
        <w:widowControl/>
        <w:numPr>
          <w:ilvl w:val="0"/>
          <w:numId w:val="1"/>
        </w:numPr>
        <w:suppressLineNumbers w:val="0"/>
        <w:spacing w:line="600" w:lineRule="exact"/>
        <w:ind w:left="0" w:leftChars="0" w:firstLine="400" w:firstLineChars="0"/>
        <w:rPr>
          <w:rFonts w:hint="eastAsia" w:ascii="仿宋" w:hAnsi="仿宋" w:eastAsia="仿宋" w:cs="Times New Roman"/>
          <w:b/>
          <w:bCs/>
          <w:color w:val="000000"/>
          <w:kern w:val="0"/>
          <w:sz w:val="32"/>
          <w:szCs w:val="32"/>
          <w:highlight w:val="none"/>
        </w:rPr>
      </w:pPr>
      <w:r>
        <w:rPr>
          <w:rStyle w:val="36"/>
          <w:rFonts w:hint="eastAsia" w:ascii="仿宋" w:hAnsi="仿宋" w:eastAsia="仿宋" w:cs="仿宋"/>
          <w:b/>
          <w:bCs/>
          <w:color w:val="000000"/>
          <w:sz w:val="32"/>
          <w:szCs w:val="32"/>
          <w:highlight w:val="none"/>
        </w:rPr>
        <w:t>卫生健康支出（210）行政事业单位医疗（21011）</w:t>
      </w:r>
      <w:r>
        <w:rPr>
          <w:rStyle w:val="36"/>
          <w:rFonts w:hint="eastAsia" w:ascii="仿宋" w:hAnsi="仿宋" w:eastAsia="仿宋" w:cs="仿宋"/>
          <w:b/>
          <w:bCs/>
          <w:color w:val="000000"/>
          <w:sz w:val="32"/>
          <w:szCs w:val="32"/>
          <w:highlight w:val="none"/>
          <w:lang w:val="en-US" w:eastAsia="zh-CN"/>
        </w:rPr>
        <w:t>其他行政事业单位医疗支出</w:t>
      </w:r>
      <w:r>
        <w:rPr>
          <w:rStyle w:val="36"/>
          <w:rFonts w:hint="eastAsia" w:ascii="仿宋" w:hAnsi="仿宋" w:eastAsia="仿宋" w:cs="仿宋"/>
          <w:b/>
          <w:bCs/>
          <w:color w:val="000000"/>
          <w:sz w:val="32"/>
          <w:szCs w:val="32"/>
          <w:highlight w:val="none"/>
        </w:rPr>
        <w:t>（21011</w:t>
      </w:r>
      <w:r>
        <w:rPr>
          <w:rStyle w:val="36"/>
          <w:rFonts w:hint="eastAsia" w:ascii="仿宋" w:hAnsi="仿宋" w:eastAsia="仿宋" w:cs="仿宋"/>
          <w:b/>
          <w:bCs/>
          <w:color w:val="000000"/>
          <w:sz w:val="32"/>
          <w:szCs w:val="32"/>
          <w:highlight w:val="none"/>
          <w:lang w:val="en-US" w:eastAsia="zh-CN"/>
        </w:rPr>
        <w:t>99</w:t>
      </w:r>
      <w:r>
        <w:rPr>
          <w:rStyle w:val="36"/>
          <w:rFonts w:hint="eastAsia" w:ascii="仿宋" w:hAnsi="仿宋" w:eastAsia="仿宋" w:cs="仿宋"/>
          <w:b/>
          <w:bCs/>
          <w:color w:val="000000"/>
          <w:sz w:val="32"/>
          <w:szCs w:val="32"/>
          <w:highlight w:val="none"/>
        </w:rPr>
        <w:t>）</w:t>
      </w:r>
      <w:r>
        <w:rPr>
          <w:rStyle w:val="36"/>
          <w:rFonts w:hint="eastAsia" w:ascii="仿宋" w:hAnsi="仿宋" w:eastAsia="仿宋" w:cs="仿宋"/>
          <w:b/>
          <w:bCs/>
          <w:color w:val="000000"/>
          <w:sz w:val="32"/>
          <w:szCs w:val="32"/>
          <w:highlight w:val="none"/>
          <w:lang w:eastAsia="zh-CN"/>
        </w:rPr>
        <w:t>：</w:t>
      </w:r>
      <w:r>
        <w:rPr>
          <w:rStyle w:val="36"/>
          <w:rFonts w:hint="eastAsia" w:ascii="仿宋" w:hAnsi="仿宋" w:eastAsia="仿宋" w:cs="仿宋"/>
          <w:b w:val="0"/>
          <w:bCs w:val="0"/>
          <w:color w:val="000000"/>
          <w:sz w:val="32"/>
          <w:szCs w:val="32"/>
          <w:highlight w:val="none"/>
        </w:rPr>
        <w:t>支出决算为</w:t>
      </w:r>
      <w:r>
        <w:rPr>
          <w:rStyle w:val="36"/>
          <w:rFonts w:hint="eastAsia" w:ascii="仿宋" w:hAnsi="仿宋" w:eastAsia="仿宋" w:cs="仿宋"/>
          <w:b w:val="0"/>
          <w:bCs w:val="0"/>
          <w:color w:val="000000"/>
          <w:sz w:val="32"/>
          <w:szCs w:val="32"/>
          <w:highlight w:val="none"/>
          <w:lang w:val="en-US" w:eastAsia="zh-CN"/>
        </w:rPr>
        <w:t>2.15</w:t>
      </w:r>
      <w:r>
        <w:rPr>
          <w:rStyle w:val="36"/>
          <w:rFonts w:hint="eastAsia" w:ascii="仿宋" w:hAnsi="仿宋" w:eastAsia="仿宋" w:cs="仿宋"/>
          <w:b w:val="0"/>
          <w:bCs w:val="0"/>
          <w:color w:val="000000"/>
          <w:sz w:val="32"/>
          <w:szCs w:val="32"/>
          <w:highlight w:val="none"/>
        </w:rPr>
        <w:t>万元，完成预算100%。</w:t>
      </w:r>
    </w:p>
    <w:p w14:paraId="40FA39CA">
      <w:pPr>
        <w:keepNext w:val="0"/>
        <w:keepLines w:val="0"/>
        <w:widowControl/>
        <w:numPr>
          <w:ilvl w:val="0"/>
          <w:numId w:val="1"/>
        </w:numPr>
        <w:suppressLineNumbers w:val="0"/>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Style w:val="36"/>
          <w:rFonts w:hint="eastAsia" w:ascii="仿宋" w:hAnsi="仿宋" w:eastAsia="仿宋" w:cs="仿宋"/>
          <w:b/>
          <w:bCs/>
          <w:color w:val="000000"/>
          <w:sz w:val="32"/>
          <w:szCs w:val="32"/>
          <w:highlight w:val="none"/>
        </w:rPr>
        <w:t>住房保障支出（221）住房改革支出（22102）住房公积金（2210201）</w:t>
      </w:r>
      <w:r>
        <w:rPr>
          <w:rStyle w:val="36"/>
          <w:rFonts w:hint="eastAsia" w:ascii="仿宋" w:hAnsi="仿宋" w:eastAsia="仿宋" w:cs="仿宋"/>
          <w:b/>
          <w:bCs/>
          <w:color w:val="000000"/>
          <w:sz w:val="32"/>
          <w:szCs w:val="32"/>
          <w:highlight w:val="none"/>
          <w:lang w:eastAsia="zh-CN"/>
        </w:rPr>
        <w:t>：</w:t>
      </w:r>
      <w:r>
        <w:rPr>
          <w:rStyle w:val="36"/>
          <w:rFonts w:hint="eastAsia" w:ascii="仿宋" w:hAnsi="仿宋" w:eastAsia="仿宋" w:cs="仿宋"/>
          <w:b w:val="0"/>
          <w:bCs w:val="0"/>
          <w:color w:val="000000"/>
          <w:sz w:val="32"/>
          <w:szCs w:val="32"/>
          <w:highlight w:val="none"/>
        </w:rPr>
        <w:t>支出决算为</w:t>
      </w:r>
      <w:r>
        <w:rPr>
          <w:rStyle w:val="36"/>
          <w:rFonts w:hint="eastAsia" w:ascii="仿宋" w:hAnsi="仿宋" w:eastAsia="仿宋" w:cs="仿宋"/>
          <w:b w:val="0"/>
          <w:bCs w:val="0"/>
          <w:color w:val="000000"/>
          <w:sz w:val="32"/>
          <w:szCs w:val="32"/>
          <w:highlight w:val="none"/>
          <w:lang w:val="en-US" w:eastAsia="zh-CN"/>
        </w:rPr>
        <w:t>20.63</w:t>
      </w:r>
      <w:r>
        <w:rPr>
          <w:rStyle w:val="36"/>
          <w:rFonts w:hint="eastAsia" w:ascii="仿宋" w:hAnsi="仿宋" w:eastAsia="仿宋" w:cs="仿宋"/>
          <w:b w:val="0"/>
          <w:bCs w:val="0"/>
          <w:color w:val="000000"/>
          <w:sz w:val="32"/>
          <w:szCs w:val="32"/>
          <w:highlight w:val="none"/>
        </w:rPr>
        <w:t>万元，完成预算100%。</w:t>
      </w:r>
    </w:p>
    <w:p w14:paraId="0B20884B">
      <w:pPr>
        <w:tabs>
          <w:tab w:val="right" w:pos="8306"/>
        </w:tabs>
        <w:spacing w:line="600" w:lineRule="exact"/>
        <w:ind w:firstLine="640"/>
        <w:outlineLvl w:val="1"/>
        <w:rPr>
          <w:rStyle w:val="29"/>
          <w:rFonts w:ascii="Times New Roman" w:hAnsi="Times New Roman"/>
          <w:color w:val="auto"/>
          <w:highlight w:val="none"/>
        </w:rPr>
      </w:pPr>
      <w:bookmarkStart w:id="73" w:name="_Toc9490"/>
      <w:bookmarkStart w:id="74" w:name="_Toc19851"/>
      <w:bookmarkStart w:id="75" w:name="_Toc15377214"/>
      <w:bookmarkStart w:id="76"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73"/>
      <w:bookmarkEnd w:id="74"/>
      <w:bookmarkEnd w:id="75"/>
      <w:bookmarkEnd w:id="76"/>
      <w:r>
        <w:rPr>
          <w:rStyle w:val="29"/>
          <w:rFonts w:ascii="Times New Roman" w:hAnsi="Times New Roman" w:eastAsia="黑体"/>
          <w:b w:val="0"/>
          <w:color w:val="auto"/>
          <w:highlight w:val="none"/>
        </w:rPr>
        <w:tab/>
      </w:r>
    </w:p>
    <w:p w14:paraId="3F7196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268.58</w:t>
      </w:r>
      <w:r>
        <w:rPr>
          <w:rFonts w:hint="eastAsia" w:ascii="Times New Roman" w:hAnsi="Times New Roman" w:eastAsia="仿宋_GB2312" w:cs="仿宋_GB2312"/>
          <w:color w:val="auto"/>
          <w:kern w:val="2"/>
          <w:sz w:val="32"/>
          <w:szCs w:val="32"/>
          <w:highlight w:val="none"/>
          <w:lang w:val="en-US" w:eastAsia="zh-CN" w:bidi="ar-SA"/>
        </w:rPr>
        <w:t>万元，其中：</w:t>
      </w:r>
    </w:p>
    <w:p w14:paraId="72CBFA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256.2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12.38</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E8A8CEB">
      <w:pPr>
        <w:spacing w:line="600" w:lineRule="exact"/>
        <w:ind w:firstLine="640"/>
        <w:outlineLvl w:val="1"/>
        <w:rPr>
          <w:rStyle w:val="29"/>
          <w:rFonts w:ascii="Times New Roman" w:hAnsi="Times New Roman" w:eastAsia="黑体"/>
          <w:b w:val="0"/>
          <w:color w:val="auto"/>
          <w:highlight w:val="none"/>
        </w:rPr>
      </w:pPr>
      <w:bookmarkStart w:id="77" w:name="_Toc29822"/>
      <w:bookmarkStart w:id="78" w:name="_Toc10612"/>
      <w:bookmarkStart w:id="79" w:name="_Toc15396609"/>
      <w:bookmarkStart w:id="80"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77"/>
      <w:bookmarkEnd w:id="78"/>
      <w:bookmarkEnd w:id="79"/>
      <w:bookmarkEnd w:id="80"/>
    </w:p>
    <w:p w14:paraId="17E86E1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1" w:name="_Toc15377216"/>
      <w:bookmarkStart w:id="82" w:name="_Toc15361"/>
      <w:bookmarkStart w:id="83" w:name="_Toc29486"/>
      <w:r>
        <w:rPr>
          <w:rFonts w:hint="eastAsia" w:ascii="Times New Roman" w:hAnsi="Times New Roman" w:eastAsia="楷体_GB2312" w:cs="楷体_GB2312"/>
          <w:b/>
          <w:color w:val="auto"/>
          <w:sz w:val="32"/>
          <w:szCs w:val="32"/>
          <w:highlight w:val="none"/>
        </w:rPr>
        <w:t>（一）财政拨款“三公”经费支出决算总体情况说明</w:t>
      </w:r>
      <w:bookmarkEnd w:id="81"/>
      <w:bookmarkEnd w:id="82"/>
      <w:bookmarkEnd w:id="83"/>
    </w:p>
    <w:p w14:paraId="77231F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776F956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4" w:name="_Toc4490"/>
      <w:bookmarkStart w:id="85" w:name="_Toc4948"/>
      <w:bookmarkStart w:id="8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84"/>
      <w:bookmarkEnd w:id="85"/>
      <w:bookmarkEnd w:id="86"/>
    </w:p>
    <w:p w14:paraId="30DE70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万元。具体情况如下：</w:t>
      </w:r>
    </w:p>
    <w:p w14:paraId="5FFB42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4C49AD6E">
      <w:pPr>
        <w:pStyle w:val="2"/>
        <w:rPr>
          <w:rFonts w:hint="eastAsia"/>
          <w:lang w:val="en-US" w:eastAsia="zh-CN"/>
        </w:rPr>
      </w:pPr>
      <w:r>
        <w:rPr>
          <w:rFonts w:hint="eastAsia" w:eastAsia="仿宋"/>
          <w:lang w:eastAsia="zh-CN"/>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68F24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71EDD1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4787CF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20013B10">
      <w:pPr>
        <w:spacing w:line="600" w:lineRule="exact"/>
        <w:rPr>
          <w:rFonts w:hint="eastAsia" w:ascii="Times New Roman" w:hAnsi="Times New Roman" w:eastAsia="仿宋_GB2312" w:cs="仿宋_GB2312"/>
          <w:color w:val="auto"/>
          <w:kern w:val="2"/>
          <w:sz w:val="32"/>
          <w:szCs w:val="32"/>
          <w:highlight w:val="none"/>
          <w:lang w:val="en-US" w:eastAsia="zh-CN" w:bidi="ar-SA"/>
        </w:rPr>
      </w:pPr>
      <w:bookmarkStart w:id="87" w:name="_Toc15396610"/>
      <w:bookmarkStart w:id="88" w:name="_Toc15377218"/>
    </w:p>
    <w:p w14:paraId="0E99820C">
      <w:pPr>
        <w:spacing w:line="600" w:lineRule="exact"/>
        <w:ind w:firstLine="640"/>
        <w:outlineLvl w:val="1"/>
        <w:rPr>
          <w:rStyle w:val="29"/>
          <w:rFonts w:ascii="Times New Roman" w:hAnsi="Times New Roman" w:eastAsia="黑体"/>
          <w:color w:val="auto"/>
          <w:highlight w:val="none"/>
        </w:rPr>
      </w:pPr>
      <w:bookmarkStart w:id="89" w:name="_Toc6901"/>
      <w:bookmarkStart w:id="90" w:name="_Toc843"/>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87"/>
      <w:bookmarkEnd w:id="88"/>
      <w:bookmarkEnd w:id="89"/>
      <w:bookmarkEnd w:id="90"/>
    </w:p>
    <w:p w14:paraId="6E20CB3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24DF5E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4BE6CA3">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91" w:name="_Toc21935"/>
      <w:bookmarkStart w:id="92" w:name="_Toc15396611"/>
      <w:bookmarkStart w:id="93" w:name="_Toc18747"/>
      <w:bookmarkStart w:id="94"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91"/>
      <w:bookmarkEnd w:id="92"/>
      <w:bookmarkEnd w:id="93"/>
      <w:bookmarkEnd w:id="94"/>
    </w:p>
    <w:p w14:paraId="65F6A0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0B3646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DFEB88">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95" w:name="_Toc349"/>
      <w:bookmarkStart w:id="96" w:name="_Toc24774"/>
      <w:bookmarkStart w:id="97" w:name="_Toc15377221"/>
      <w:bookmarkStart w:id="98"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95"/>
      <w:bookmarkEnd w:id="96"/>
      <w:bookmarkEnd w:id="97"/>
      <w:bookmarkEnd w:id="98"/>
    </w:p>
    <w:p w14:paraId="71110AD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9" w:name="_Toc27974"/>
      <w:bookmarkStart w:id="100" w:name="_Toc15377222"/>
      <w:bookmarkStart w:id="101" w:name="_Toc14513"/>
      <w:r>
        <w:rPr>
          <w:rFonts w:hint="eastAsia" w:ascii="Times New Roman" w:hAnsi="Times New Roman" w:eastAsia="楷体_GB2312" w:cs="楷体_GB2312"/>
          <w:b/>
          <w:color w:val="auto"/>
          <w:sz w:val="32"/>
          <w:szCs w:val="32"/>
          <w:highlight w:val="none"/>
        </w:rPr>
        <w:t>（一）机关运行经费支出情况</w:t>
      </w:r>
      <w:bookmarkEnd w:id="99"/>
      <w:bookmarkEnd w:id="100"/>
      <w:bookmarkEnd w:id="101"/>
    </w:p>
    <w:p w14:paraId="3C50B5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松潘县卫生保健服务中心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27D0C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76C031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2" w:name="_Toc24784"/>
      <w:bookmarkStart w:id="103" w:name="_Toc14790"/>
      <w:bookmarkStart w:id="104" w:name="_Toc15377223"/>
      <w:r>
        <w:rPr>
          <w:rFonts w:hint="eastAsia" w:ascii="Times New Roman" w:hAnsi="Times New Roman" w:eastAsia="楷体_GB2312" w:cs="楷体_GB2312"/>
          <w:b/>
          <w:color w:val="auto"/>
          <w:sz w:val="32"/>
          <w:szCs w:val="32"/>
          <w:highlight w:val="none"/>
        </w:rPr>
        <w:t>（二）政府采购支出情况</w:t>
      </w:r>
      <w:bookmarkEnd w:id="102"/>
      <w:bookmarkEnd w:id="103"/>
      <w:bookmarkEnd w:id="104"/>
    </w:p>
    <w:p w14:paraId="5186A7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松潘县卫生保健服务中心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1F8F07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836E49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5" w:name="_Toc17346"/>
      <w:bookmarkStart w:id="106" w:name="_Toc15377224"/>
      <w:bookmarkStart w:id="107" w:name="_Toc32454"/>
      <w:r>
        <w:rPr>
          <w:rFonts w:hint="eastAsia" w:ascii="Times New Roman" w:hAnsi="Times New Roman" w:eastAsia="楷体_GB2312" w:cs="楷体_GB2312"/>
          <w:b/>
          <w:color w:val="auto"/>
          <w:sz w:val="32"/>
          <w:szCs w:val="32"/>
          <w:highlight w:val="none"/>
        </w:rPr>
        <w:t>（三）国有资产占有使用情况</w:t>
      </w:r>
      <w:bookmarkEnd w:id="105"/>
      <w:bookmarkEnd w:id="106"/>
      <w:bookmarkEnd w:id="107"/>
    </w:p>
    <w:p w14:paraId="4322B0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松潘县卫生保健服务中心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8E77EA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4CEC80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8" w:name="_Toc24252"/>
      <w:bookmarkStart w:id="109" w:name="_Toc2090"/>
      <w:r>
        <w:rPr>
          <w:rFonts w:hint="eastAsia" w:ascii="Times New Roman" w:hAnsi="Times New Roman" w:eastAsia="楷体_GB2312" w:cs="楷体_GB2312"/>
          <w:b/>
          <w:color w:val="auto"/>
          <w:sz w:val="32"/>
          <w:szCs w:val="32"/>
          <w:highlight w:val="none"/>
        </w:rPr>
        <w:t>（四）预算绩效管理情况</w:t>
      </w:r>
      <w:bookmarkEnd w:id="108"/>
      <w:bookmarkEnd w:id="109"/>
    </w:p>
    <w:p w14:paraId="4C549C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本单位无项目资金</w:t>
      </w:r>
    </w:p>
    <w:p w14:paraId="3B215D68">
      <w:pPr>
        <w:pStyle w:val="2"/>
        <w:rPr>
          <w:rFonts w:hint="eastAsia" w:ascii="Times New Roman" w:hAnsi="Times New Roman" w:eastAsia="仿宋_GB2312" w:cs="仿宋_GB2312"/>
          <w:color w:val="auto"/>
          <w:kern w:val="2"/>
          <w:sz w:val="32"/>
          <w:szCs w:val="32"/>
          <w:highlight w:val="none"/>
          <w:lang w:val="en-US" w:eastAsia="zh-CN" w:bidi="ar-SA"/>
        </w:rPr>
      </w:pPr>
    </w:p>
    <w:p w14:paraId="1F9128F5">
      <w:pPr>
        <w:pStyle w:val="3"/>
        <w:rPr>
          <w:rFonts w:hint="eastAsia" w:ascii="Times New Roman" w:hAnsi="Times New Roman" w:eastAsia="仿宋_GB2312" w:cs="仿宋_GB2312"/>
          <w:color w:val="auto"/>
          <w:kern w:val="2"/>
          <w:sz w:val="32"/>
          <w:szCs w:val="32"/>
          <w:highlight w:val="none"/>
          <w:lang w:val="en-US" w:eastAsia="zh-CN" w:bidi="ar-SA"/>
        </w:rPr>
      </w:pPr>
    </w:p>
    <w:p w14:paraId="05124BC2">
      <w:pPr>
        <w:rPr>
          <w:rFonts w:hint="eastAsia" w:ascii="Times New Roman" w:hAnsi="Times New Roman" w:eastAsia="仿宋_GB2312" w:cs="仿宋_GB2312"/>
          <w:color w:val="auto"/>
          <w:kern w:val="2"/>
          <w:sz w:val="32"/>
          <w:szCs w:val="32"/>
          <w:highlight w:val="none"/>
          <w:lang w:val="en-US" w:eastAsia="zh-CN" w:bidi="ar-SA"/>
        </w:rPr>
      </w:pPr>
    </w:p>
    <w:p w14:paraId="7D6BD5FA">
      <w:pPr>
        <w:pStyle w:val="2"/>
        <w:rPr>
          <w:rFonts w:hint="eastAsia" w:ascii="Times New Roman" w:hAnsi="Times New Roman" w:eastAsia="仿宋_GB2312" w:cs="仿宋_GB2312"/>
          <w:color w:val="auto"/>
          <w:kern w:val="2"/>
          <w:sz w:val="32"/>
          <w:szCs w:val="32"/>
          <w:highlight w:val="none"/>
          <w:lang w:val="en-US" w:eastAsia="zh-CN" w:bidi="ar-SA"/>
        </w:rPr>
      </w:pPr>
    </w:p>
    <w:p w14:paraId="624F8518">
      <w:pPr>
        <w:pStyle w:val="3"/>
        <w:rPr>
          <w:rFonts w:hint="eastAsia" w:ascii="Times New Roman" w:hAnsi="Times New Roman" w:eastAsia="仿宋_GB2312" w:cs="仿宋_GB2312"/>
          <w:color w:val="auto"/>
          <w:kern w:val="2"/>
          <w:sz w:val="32"/>
          <w:szCs w:val="32"/>
          <w:highlight w:val="none"/>
          <w:lang w:val="en-US" w:eastAsia="zh-CN" w:bidi="ar-SA"/>
        </w:rPr>
      </w:pPr>
    </w:p>
    <w:p w14:paraId="50ED52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D15DA2A">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10" w:name="_Toc15377225"/>
      <w:bookmarkStart w:id="111" w:name="_Toc15396613"/>
      <w:bookmarkStart w:id="112" w:name="_Toc16743"/>
      <w:bookmarkStart w:id="113" w:name="_Toc23274"/>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10"/>
      <w:bookmarkEnd w:id="111"/>
      <w:bookmarkEnd w:id="112"/>
      <w:bookmarkEnd w:id="113"/>
    </w:p>
    <w:p w14:paraId="323B442B">
      <w:pPr>
        <w:spacing w:line="600" w:lineRule="exact"/>
        <w:jc w:val="left"/>
        <w:rPr>
          <w:rFonts w:ascii="Times New Roman" w:hAnsi="Times New Roman"/>
          <w:b/>
          <w:color w:val="auto"/>
          <w:sz w:val="44"/>
          <w:szCs w:val="44"/>
          <w:highlight w:val="none"/>
        </w:rPr>
      </w:pPr>
    </w:p>
    <w:p w14:paraId="1FAB5B81">
      <w:pPr>
        <w:numPr>
          <w:ilvl w:val="0"/>
          <w:numId w:val="2"/>
        </w:numPr>
        <w:spacing w:line="600" w:lineRule="exact"/>
        <w:ind w:left="0" w:leftChars="0" w:firstLine="400" w:firstLineChars="0"/>
        <w:outlineLvl w:val="1"/>
        <w:rPr>
          <w:rFonts w:hint="eastAsia" w:ascii="Times New Roman" w:hAnsi="Times New Roman" w:eastAsia="仿宋_GB2312" w:cs="仿宋_GB2312"/>
          <w:color w:val="auto"/>
          <w:kern w:val="2"/>
          <w:sz w:val="32"/>
          <w:szCs w:val="32"/>
          <w:highlight w:val="none"/>
          <w:lang w:val="en-US" w:eastAsia="zh-CN" w:bidi="ar-SA"/>
        </w:rPr>
      </w:pPr>
      <w:bookmarkStart w:id="114" w:name="_Toc22369"/>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bookmarkEnd w:id="114"/>
    </w:p>
    <w:p w14:paraId="270D4FFC">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2264123F">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692CA6EC">
      <w:pPr>
        <w:numPr>
          <w:ilvl w:val="0"/>
          <w:numId w:val="2"/>
        </w:numPr>
        <w:spacing w:line="600" w:lineRule="exact"/>
        <w:ind w:left="0" w:leftChars="0" w:firstLine="400" w:firstLineChars="0"/>
        <w:outlineLvl w:val="1"/>
        <w:rPr>
          <w:rFonts w:hint="eastAsia" w:ascii="Times New Roman" w:hAnsi="Times New Roman" w:eastAsia="仿宋_GB2312" w:cs="仿宋_GB2312"/>
          <w:color w:val="auto"/>
          <w:kern w:val="2"/>
          <w:sz w:val="32"/>
          <w:szCs w:val="32"/>
          <w:highlight w:val="none"/>
          <w:lang w:val="en-US" w:eastAsia="zh-CN" w:bidi="ar-SA"/>
        </w:rPr>
      </w:pPr>
      <w:bookmarkStart w:id="115" w:name="_Toc32617"/>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bookmarkEnd w:id="115"/>
      <w:r>
        <w:rPr>
          <w:rFonts w:hint="eastAsia" w:ascii="Times New Roman" w:hAnsi="Times New Roman" w:eastAsia="仿宋_GB2312" w:cs="仿宋_GB2312"/>
          <w:color w:val="auto"/>
          <w:kern w:val="2"/>
          <w:sz w:val="32"/>
          <w:szCs w:val="32"/>
          <w:highlight w:val="none"/>
          <w:lang w:val="en-US" w:eastAsia="zh-CN" w:bidi="ar-SA"/>
        </w:rPr>
        <w:t xml:space="preserve"> </w:t>
      </w:r>
    </w:p>
    <w:p w14:paraId="55385039">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27D6FCA7">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48BE1691">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4EF08FBB">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1B15FD10">
      <w:pPr>
        <w:numPr>
          <w:ilvl w:val="0"/>
          <w:numId w:val="2"/>
        </w:numPr>
        <w:spacing w:line="600" w:lineRule="exact"/>
        <w:ind w:left="0" w:leftChars="0" w:firstLine="400" w:firstLine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社会保障和就业（类）行政事业单位养老支出（款）行政单位离退休（项）</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指单位离休人员支出。</w:t>
      </w:r>
    </w:p>
    <w:p w14:paraId="1084ACAE">
      <w:pPr>
        <w:numPr>
          <w:ilvl w:val="0"/>
          <w:numId w:val="2"/>
        </w:numPr>
        <w:spacing w:line="600" w:lineRule="exact"/>
        <w:ind w:left="0" w:leftChars="0" w:firstLine="400" w:firstLine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社会保障和就业（类）行政事业单位养老支出（款）机关事业单位基本养老保险缴费支出（项）：指单位缴纳基本养老保险费用。</w:t>
      </w:r>
    </w:p>
    <w:p w14:paraId="2BE5B470">
      <w:pPr>
        <w:numPr>
          <w:ilvl w:val="0"/>
          <w:numId w:val="2"/>
        </w:numPr>
        <w:spacing w:line="600" w:lineRule="exact"/>
        <w:ind w:left="0" w:leftChars="0" w:firstLine="400" w:firstLineChars="0"/>
        <w:rPr>
          <w:rFonts w:hint="eastAsia" w:ascii="仿宋_GB2312" w:hAnsi="宋体" w:eastAsia="仿宋_GB2312" w:cs="宋体"/>
          <w:kern w:val="0"/>
          <w:sz w:val="32"/>
          <w:szCs w:val="32"/>
        </w:rPr>
      </w:pPr>
      <w:r>
        <w:rPr>
          <w:rFonts w:hint="eastAsia" w:ascii="仿宋_GB2312" w:hAnsi="宋体" w:eastAsia="仿宋_GB2312" w:cs="仿宋_GB2312"/>
          <w:kern w:val="0"/>
          <w:sz w:val="32"/>
          <w:szCs w:val="32"/>
        </w:rPr>
        <w:t>社会保障和就业（类）抚恤（款）死亡抚恤（项）：指单位离退休人员各项抚恤金、丧葬费。</w:t>
      </w:r>
    </w:p>
    <w:p w14:paraId="326434C3">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rPr>
      </w:pPr>
      <w:r>
        <w:rPr>
          <w:rFonts w:hint="eastAsia" w:ascii="仿宋_GB2312" w:hAnsi="宋体" w:eastAsia="仿宋_GB2312" w:cs="仿宋_GB2312"/>
          <w:kern w:val="0"/>
          <w:sz w:val="32"/>
          <w:szCs w:val="32"/>
        </w:rPr>
        <w:t>卫生健康支出（类）卫生健康管理事务（款）行政运行（项）</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指用于单位保障人员支出、对个人和家庭的补助支出，以及保障机构正常运行、开展日常工作的基本支出。</w:t>
      </w:r>
    </w:p>
    <w:p w14:paraId="6AED6E56">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rPr>
      </w:pPr>
      <w:r>
        <w:rPr>
          <w:rFonts w:hint="eastAsia" w:ascii="仿宋_GB2312" w:hAnsi="宋体" w:eastAsia="仿宋_GB2312" w:cs="仿宋_GB2312"/>
          <w:kern w:val="0"/>
          <w:sz w:val="32"/>
          <w:szCs w:val="32"/>
        </w:rPr>
        <w:t>卫生健康支出（类）公立医院（款）其他公立医院支出（项）</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指为公立医院支出的费用。</w:t>
      </w:r>
    </w:p>
    <w:p w14:paraId="4BEE8BB1">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rPr>
      </w:pPr>
      <w:r>
        <w:rPr>
          <w:rFonts w:hint="eastAsia" w:ascii="仿宋_GB2312" w:hAnsi="宋体" w:eastAsia="仿宋_GB2312" w:cs="仿宋_GB2312"/>
          <w:kern w:val="0"/>
          <w:sz w:val="32"/>
          <w:szCs w:val="32"/>
        </w:rPr>
        <w:t>卫生健康支出（类）公共卫生（款）重大公共卫生专项（项）</w:t>
      </w:r>
      <w:r>
        <w:rPr>
          <w:rFonts w:hint="eastAsia" w:ascii="仿宋_GB2312" w:hAnsi="宋体" w:eastAsia="仿宋_GB2312" w:cs="仿宋_GB2312"/>
          <w:kern w:val="0"/>
          <w:sz w:val="32"/>
          <w:szCs w:val="32"/>
          <w:lang w:eastAsia="zh-CN"/>
        </w:rPr>
        <w:t>：指</w:t>
      </w:r>
      <w:r>
        <w:rPr>
          <w:rFonts w:hint="eastAsia" w:ascii="仿宋_GB2312" w:hAnsi="宋体" w:eastAsia="仿宋_GB2312" w:cs="仿宋_GB2312"/>
          <w:kern w:val="0"/>
          <w:sz w:val="32"/>
          <w:szCs w:val="32"/>
        </w:rPr>
        <w:t>重大公共卫生专项项目的支出。</w:t>
      </w:r>
    </w:p>
    <w:p w14:paraId="1980D6D1">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rPr>
      </w:pPr>
      <w:r>
        <w:rPr>
          <w:rFonts w:hint="eastAsia" w:ascii="仿宋_GB2312" w:hAnsi="宋体" w:eastAsia="仿宋_GB2312" w:cs="仿宋_GB2312"/>
          <w:kern w:val="0"/>
          <w:sz w:val="32"/>
          <w:szCs w:val="32"/>
        </w:rPr>
        <w:t>卫生健康支出（类）中医药（款）中医（民族医）药专项（项）</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指用于中医（民族医）药发展的支出。</w:t>
      </w:r>
    </w:p>
    <w:p w14:paraId="3E16270A">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rPr>
      </w:pPr>
      <w:r>
        <w:rPr>
          <w:rFonts w:hint="eastAsia" w:ascii="仿宋_GB2312" w:hAnsi="宋体" w:eastAsia="仿宋_GB2312" w:cs="仿宋_GB2312"/>
          <w:kern w:val="0"/>
          <w:sz w:val="32"/>
          <w:szCs w:val="32"/>
        </w:rPr>
        <w:t>卫生健康支出（类）计划生育事务（款）计划生育服务（项）</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指用于计划生育服务的项目。</w:t>
      </w:r>
    </w:p>
    <w:p w14:paraId="276CF404">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rPr>
      </w:pPr>
      <w:r>
        <w:rPr>
          <w:rFonts w:hint="eastAsia" w:ascii="仿宋_GB2312" w:hAnsi="宋体" w:eastAsia="仿宋_GB2312" w:cs="仿宋_GB2312"/>
          <w:kern w:val="0"/>
          <w:sz w:val="32"/>
          <w:szCs w:val="32"/>
        </w:rPr>
        <w:t>卫生健康支出（类）行政事业单位医疗（款）行政单位医疗（项）</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指在职人员医疗保险缴费。</w:t>
      </w:r>
    </w:p>
    <w:p w14:paraId="250F679E">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rPr>
      </w:pPr>
      <w:r>
        <w:rPr>
          <w:rFonts w:hint="eastAsia" w:ascii="仿宋_GB2312" w:hAnsi="宋体" w:eastAsia="仿宋_GB2312" w:cs="仿宋_GB2312"/>
          <w:kern w:val="0"/>
          <w:sz w:val="32"/>
          <w:szCs w:val="32"/>
        </w:rPr>
        <w:t>卫生健康支出（类）行政事业单位医疗（款）公务员医疗补助（项）</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指公务员医疗门诊补贴。</w:t>
      </w:r>
    </w:p>
    <w:p w14:paraId="4212F27E">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rPr>
      </w:pPr>
      <w:r>
        <w:rPr>
          <w:rFonts w:hint="eastAsia" w:ascii="仿宋_GB2312" w:hAnsi="宋体" w:eastAsia="仿宋_GB2312" w:cs="仿宋_GB2312"/>
          <w:kern w:val="0"/>
          <w:sz w:val="32"/>
          <w:szCs w:val="32"/>
        </w:rPr>
        <w:t>卫生健康支出（类）老龄卫生健康事务（款）老龄卫生健康事务（项）</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指用于老龄健康工作的支出。</w:t>
      </w:r>
    </w:p>
    <w:p w14:paraId="0A9374DE">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rPr>
      </w:pPr>
      <w:r>
        <w:rPr>
          <w:rFonts w:hint="eastAsia" w:ascii="仿宋_GB2312" w:hAnsi="宋体" w:eastAsia="仿宋_GB2312" w:cs="仿宋_GB2312"/>
          <w:kern w:val="0"/>
          <w:sz w:val="32"/>
          <w:szCs w:val="32"/>
        </w:rPr>
        <w:t>卫生健康支出（类）其他卫生健康支出（款）其他卫生健康支出（项）</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指用于其他卫生健康方面的项目支出。</w:t>
      </w:r>
    </w:p>
    <w:p w14:paraId="58D7EC03">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rPr>
      </w:pPr>
      <w:r>
        <w:rPr>
          <w:rFonts w:hint="eastAsia" w:ascii="仿宋_GB2312" w:hAnsi="宋体" w:eastAsia="仿宋_GB2312" w:cs="仿宋_GB2312"/>
          <w:kern w:val="0"/>
          <w:sz w:val="32"/>
          <w:szCs w:val="32"/>
        </w:rPr>
        <w:t>住房保障支出（类）住房改革支出（款）住房公积金（项）</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指用于在职职工住房公积金支出。</w:t>
      </w:r>
    </w:p>
    <w:p w14:paraId="58B1ED34">
      <w:pPr>
        <w:keepNext w:val="0"/>
        <w:keepLines w:val="0"/>
        <w:widowControl/>
        <w:numPr>
          <w:ilvl w:val="0"/>
          <w:numId w:val="2"/>
        </w:numPr>
        <w:suppressLineNumbers w:val="0"/>
        <w:tabs>
          <w:tab w:val="left" w:pos="0"/>
        </w:tabs>
        <w:spacing w:line="600" w:lineRule="exact"/>
        <w:ind w:left="0" w:leftChars="0" w:firstLine="400" w:firstLineChars="0"/>
        <w:jc w:val="left"/>
        <w:rPr>
          <w:rFonts w:hint="eastAsia" w:ascii="仿宋_GB2312" w:hAnsi="宋体" w:eastAsia="仿宋_GB2312" w:cs="宋体"/>
          <w:kern w:val="0"/>
          <w:sz w:val="32"/>
          <w:szCs w:val="32"/>
        </w:rPr>
      </w:pPr>
      <w:r>
        <w:rPr>
          <w:rFonts w:hint="eastAsia" w:ascii="仿宋_GB2312" w:hAnsi="宋体" w:eastAsia="仿宋_GB2312" w:cs="仿宋_GB2312"/>
          <w:kern w:val="0"/>
          <w:sz w:val="32"/>
          <w:szCs w:val="32"/>
        </w:rPr>
        <w:t>住房保障支出（类）住房改革支出（款）购房补贴（项）</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指用于在职职工购房补贴。</w:t>
      </w:r>
    </w:p>
    <w:p w14:paraId="38832299">
      <w:pPr>
        <w:numPr>
          <w:ilvl w:val="0"/>
          <w:numId w:val="2"/>
        </w:numPr>
        <w:ind w:left="0" w:leftChars="0" w:firstLine="400" w:firstLineChars="0"/>
        <w:rPr>
          <w:rFonts w:ascii="仿宋_GB2312" w:eastAsia="仿宋_GB2312"/>
          <w:sz w:val="32"/>
          <w:szCs w:val="32"/>
        </w:rPr>
      </w:pPr>
      <w:r>
        <w:rPr>
          <w:rFonts w:hint="eastAsia" w:ascii="仿宋_GB2312" w:eastAsia="仿宋_GB2312"/>
          <w:sz w:val="32"/>
          <w:szCs w:val="32"/>
        </w:rPr>
        <w:t>基本支出：指为保障机构正常运转、完成日常工作任务而发生的人员支出和公用支出。</w:t>
      </w:r>
    </w:p>
    <w:p w14:paraId="208D81B9">
      <w:pPr>
        <w:numPr>
          <w:ilvl w:val="0"/>
          <w:numId w:val="2"/>
        </w:numPr>
        <w:ind w:left="0" w:leftChars="0" w:firstLine="400" w:firstLineChars="0"/>
        <w:rPr>
          <w:rFonts w:ascii="仿宋_GB2312" w:eastAsia="仿宋_GB2312"/>
          <w:sz w:val="32"/>
          <w:szCs w:val="32"/>
        </w:rPr>
      </w:pP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614A1FF7">
      <w:pPr>
        <w:numPr>
          <w:ilvl w:val="0"/>
          <w:numId w:val="2"/>
        </w:numPr>
        <w:ind w:left="0" w:leftChars="0" w:firstLine="400" w:firstLineChars="0"/>
        <w:rPr>
          <w:rFonts w:ascii="仿宋_GB2312" w:eastAsia="仿宋_GB2312"/>
          <w:sz w:val="32"/>
          <w:szCs w:val="32"/>
        </w:rPr>
      </w:pPr>
      <w:r>
        <w:rPr>
          <w:rFonts w:hint="eastAsia" w:ascii="仿宋_GB2312" w:eastAsia="仿宋_GB2312"/>
          <w:sz w:val="32"/>
          <w:szCs w:val="32"/>
        </w:rPr>
        <w:t>经营支出：指事业单位在专业业务活动及其辅助活动之外开展非独立核算经营活动发生的支出。</w:t>
      </w:r>
    </w:p>
    <w:p w14:paraId="473105AD">
      <w:pPr>
        <w:pStyle w:val="26"/>
        <w:numPr>
          <w:ilvl w:val="0"/>
          <w:numId w:val="2"/>
        </w:numPr>
        <w:spacing w:line="560" w:lineRule="exact"/>
        <w:ind w:left="0" w:leftChars="0" w:firstLine="400" w:firstLineChars="0"/>
        <w:rPr>
          <w:rFonts w:ascii="仿宋_GB2312" w:eastAsia="仿宋_GB2312"/>
          <w:color w:val="auto"/>
          <w:sz w:val="32"/>
          <w:szCs w:val="32"/>
        </w:rPr>
      </w:pP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0B39371">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388E0B5">
      <w:pPr>
        <w:spacing w:line="600" w:lineRule="exact"/>
        <w:jc w:val="center"/>
        <w:outlineLvl w:val="0"/>
        <w:rPr>
          <w:rStyle w:val="28"/>
          <w:rFonts w:hint="eastAsia" w:ascii="Times New Roman" w:hAnsi="Times New Roman" w:eastAsia="黑体"/>
          <w:b w:val="0"/>
          <w:color w:val="auto"/>
          <w:highlight w:val="none"/>
          <w:lang w:eastAsia="zh-CN"/>
        </w:rPr>
      </w:pPr>
      <w:bookmarkStart w:id="116"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117" w:name="_Toc15396614"/>
      <w:bookmarkStart w:id="118" w:name="_Toc7613"/>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117"/>
      <w:bookmarkEnd w:id="118"/>
    </w:p>
    <w:p w14:paraId="2A33A3FD">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6EDD7FA8">
      <w:pPr>
        <w:spacing w:line="600" w:lineRule="exact"/>
        <w:jc w:val="center"/>
        <w:outlineLvl w:val="1"/>
        <w:rPr>
          <w:rFonts w:ascii="黑体" w:hAnsi="黑体" w:eastAsia="黑体"/>
          <w:color w:val="FF0000"/>
          <w:sz w:val="44"/>
          <w:szCs w:val="44"/>
        </w:rPr>
      </w:pPr>
      <w:bookmarkStart w:id="119" w:name="_Toc29546"/>
      <w:bookmarkStart w:id="120" w:name="_Toc28961"/>
      <w:bookmarkStart w:id="121" w:name="_Toc15396618"/>
      <w:r>
        <w:rPr>
          <w:rFonts w:hint="eastAsia"/>
          <w:sz w:val="32"/>
          <w:szCs w:val="32"/>
        </w:rPr>
        <w:t>部门预算项目支出绩效自评表（202</w:t>
      </w:r>
      <w:r>
        <w:rPr>
          <w:rFonts w:hint="eastAsia"/>
          <w:sz w:val="32"/>
          <w:szCs w:val="32"/>
          <w:lang w:val="en-US" w:eastAsia="zh-CN"/>
        </w:rPr>
        <w:t>5</w:t>
      </w:r>
      <w:r>
        <w:rPr>
          <w:rFonts w:hint="eastAsia"/>
          <w:sz w:val="32"/>
          <w:szCs w:val="32"/>
        </w:rPr>
        <w:t>年度）</w:t>
      </w:r>
      <w:bookmarkEnd w:id="119"/>
      <w:bookmarkEnd w:id="120"/>
    </w:p>
    <w:p w14:paraId="5BF6F47C">
      <w:pPr>
        <w:pStyle w:val="3"/>
        <w:spacing w:line="560" w:lineRule="exact"/>
        <w:ind w:left="0" w:leftChars="0" w:firstLine="640"/>
        <w:rPr>
          <w:sz w:val="32"/>
        </w:rPr>
      </w:pPr>
    </w:p>
    <w:p w14:paraId="03658A44">
      <w:pPr>
        <w:pStyle w:val="8"/>
        <w:spacing w:before="93"/>
        <w:ind w:firstLine="640" w:firstLineChars="200"/>
        <w:rPr>
          <w:rFonts w:hAnsi="Calibri" w:cs="仿宋"/>
          <w:sz w:val="32"/>
          <w:szCs w:val="32"/>
        </w:rPr>
      </w:pPr>
      <w:r>
        <w:rPr>
          <w:rFonts w:hint="eastAsia" w:hAnsi="Calibri" w:eastAsia="仿宋_GB2312" w:cs="仿宋"/>
          <w:sz w:val="32"/>
        </w:rPr>
        <w:t>本单位为卫健局事业中心，无相关项目经费，仅为人员经费支出</w:t>
      </w:r>
    </w:p>
    <w:p w14:paraId="3292434A">
      <w:pPr>
        <w:pStyle w:val="8"/>
        <w:spacing w:before="93"/>
        <w:rPr>
          <w:rFonts w:hAnsi="Calibri" w:cs="仿宋"/>
          <w:sz w:val="32"/>
          <w:szCs w:val="32"/>
        </w:rPr>
      </w:pPr>
    </w:p>
    <w:p w14:paraId="030C4DD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14B97D5B">
      <w:pPr>
        <w:widowControl/>
        <w:jc w:val="center"/>
        <w:outlineLvl w:val="0"/>
        <w:rPr>
          <w:rFonts w:hint="eastAsia" w:ascii="Times New Roman" w:hAnsi="Times New Roman" w:eastAsia="仿宋"/>
          <w:b w:val="0"/>
          <w:color w:val="auto"/>
          <w:highlight w:val="none"/>
        </w:rPr>
      </w:pPr>
      <w:bookmarkStart w:id="122" w:name="_Toc17553"/>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116"/>
      <w:bookmarkEnd w:id="121"/>
      <w:bookmarkEnd w:id="122"/>
      <w:bookmarkStart w:id="123" w:name="_Toc15396619"/>
    </w:p>
    <w:p w14:paraId="7D09241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C43D52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123"/>
    </w:p>
    <w:p w14:paraId="02C19EF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4" w:name="_Toc15396620"/>
      <w:r>
        <w:rPr>
          <w:rFonts w:hint="eastAsia" w:ascii="Times New Roman" w:hAnsi="Times New Roman" w:eastAsia="仿宋_GB2312" w:cs="仿宋_GB2312"/>
          <w:color w:val="auto"/>
          <w:sz w:val="32"/>
          <w:szCs w:val="32"/>
          <w:highlight w:val="none"/>
        </w:rPr>
        <w:t>二、收入决算表</w:t>
      </w:r>
      <w:bookmarkEnd w:id="124"/>
    </w:p>
    <w:p w14:paraId="0C2E754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5" w:name="_Toc15396621"/>
      <w:r>
        <w:rPr>
          <w:rFonts w:hint="eastAsia" w:ascii="Times New Roman" w:hAnsi="Times New Roman" w:eastAsia="仿宋_GB2312" w:cs="仿宋_GB2312"/>
          <w:color w:val="auto"/>
          <w:sz w:val="32"/>
          <w:szCs w:val="32"/>
          <w:highlight w:val="none"/>
        </w:rPr>
        <w:t>三、支出决算表</w:t>
      </w:r>
      <w:bookmarkEnd w:id="125"/>
    </w:p>
    <w:p w14:paraId="61C519D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6" w:name="_Toc15396622"/>
      <w:r>
        <w:rPr>
          <w:rFonts w:hint="eastAsia" w:ascii="Times New Roman" w:hAnsi="Times New Roman" w:eastAsia="仿宋_GB2312" w:cs="仿宋_GB2312"/>
          <w:color w:val="auto"/>
          <w:sz w:val="32"/>
          <w:szCs w:val="32"/>
          <w:highlight w:val="none"/>
        </w:rPr>
        <w:t>四、财政拨款收入支出决算总表</w:t>
      </w:r>
      <w:bookmarkEnd w:id="126"/>
    </w:p>
    <w:p w14:paraId="684E57B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7" w:name="_Toc15396623"/>
      <w:r>
        <w:rPr>
          <w:rFonts w:hint="eastAsia" w:ascii="Times New Roman" w:hAnsi="Times New Roman" w:eastAsia="仿宋_GB2312" w:cs="仿宋_GB2312"/>
          <w:color w:val="auto"/>
          <w:sz w:val="32"/>
          <w:szCs w:val="32"/>
          <w:highlight w:val="none"/>
        </w:rPr>
        <w:t>五、财政拨款支出决算明细表</w:t>
      </w:r>
      <w:bookmarkEnd w:id="127"/>
      <w:bookmarkStart w:id="128" w:name="_Toc15396624"/>
    </w:p>
    <w:p w14:paraId="7E972E2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128"/>
    </w:p>
    <w:p w14:paraId="3D0344B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9" w:name="_Toc15396625"/>
      <w:r>
        <w:rPr>
          <w:rFonts w:hint="eastAsia" w:ascii="Times New Roman" w:hAnsi="Times New Roman" w:eastAsia="仿宋_GB2312" w:cs="仿宋_GB2312"/>
          <w:color w:val="auto"/>
          <w:sz w:val="32"/>
          <w:szCs w:val="32"/>
          <w:highlight w:val="none"/>
        </w:rPr>
        <w:t>七、一般公共预算财政拨款支出决算明细表</w:t>
      </w:r>
      <w:bookmarkEnd w:id="129"/>
    </w:p>
    <w:p w14:paraId="4D1E0D2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0" w:name="_Toc15396626"/>
      <w:r>
        <w:rPr>
          <w:rFonts w:hint="eastAsia" w:ascii="Times New Roman" w:hAnsi="Times New Roman" w:eastAsia="仿宋_GB2312" w:cs="仿宋_GB2312"/>
          <w:color w:val="auto"/>
          <w:sz w:val="32"/>
          <w:szCs w:val="32"/>
          <w:highlight w:val="none"/>
        </w:rPr>
        <w:t>八、一般公共预算财政拨款基本支出决算表</w:t>
      </w:r>
      <w:bookmarkEnd w:id="130"/>
    </w:p>
    <w:p w14:paraId="7ECD358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1" w:name="_Toc15396627"/>
      <w:r>
        <w:rPr>
          <w:rFonts w:hint="eastAsia" w:ascii="Times New Roman" w:hAnsi="Times New Roman" w:eastAsia="仿宋_GB2312" w:cs="仿宋_GB2312"/>
          <w:color w:val="auto"/>
          <w:sz w:val="32"/>
          <w:szCs w:val="32"/>
          <w:highlight w:val="none"/>
        </w:rPr>
        <w:t>九、一般公共预算财政拨款项目支出决算表</w:t>
      </w:r>
      <w:bookmarkEnd w:id="131"/>
    </w:p>
    <w:p w14:paraId="25F1502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2" w:name="_Toc15396628"/>
      <w:r>
        <w:rPr>
          <w:rFonts w:hint="eastAsia" w:ascii="Times New Roman" w:hAnsi="Times New Roman" w:eastAsia="仿宋_GB2312" w:cs="仿宋_GB2312"/>
          <w:color w:val="auto"/>
          <w:sz w:val="32"/>
          <w:szCs w:val="32"/>
          <w:highlight w:val="none"/>
        </w:rPr>
        <w:t>十、</w:t>
      </w:r>
      <w:bookmarkEnd w:id="132"/>
      <w:r>
        <w:rPr>
          <w:rFonts w:hint="eastAsia" w:ascii="Times New Roman" w:hAnsi="Times New Roman" w:eastAsia="仿宋_GB2312" w:cs="仿宋_GB2312"/>
          <w:color w:val="auto"/>
          <w:sz w:val="32"/>
          <w:szCs w:val="32"/>
          <w:highlight w:val="none"/>
        </w:rPr>
        <w:t>政府性基金预算财政拨款收入支出决算表</w:t>
      </w:r>
    </w:p>
    <w:p w14:paraId="5C2EC65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3" w:name="_Toc15396629"/>
      <w:r>
        <w:rPr>
          <w:rFonts w:hint="eastAsia" w:ascii="Times New Roman" w:hAnsi="Times New Roman" w:eastAsia="仿宋_GB2312" w:cs="仿宋_GB2312"/>
          <w:color w:val="auto"/>
          <w:sz w:val="32"/>
          <w:szCs w:val="32"/>
          <w:highlight w:val="none"/>
        </w:rPr>
        <w:t>十一、</w:t>
      </w:r>
      <w:bookmarkEnd w:id="13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B38ADF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4" w:name="_Toc15396630"/>
      <w:r>
        <w:rPr>
          <w:rFonts w:hint="eastAsia" w:ascii="Times New Roman" w:hAnsi="Times New Roman" w:eastAsia="仿宋_GB2312" w:cs="仿宋_GB2312"/>
          <w:color w:val="auto"/>
          <w:sz w:val="32"/>
          <w:szCs w:val="32"/>
          <w:highlight w:val="none"/>
        </w:rPr>
        <w:t>十二、</w:t>
      </w:r>
      <w:bookmarkEnd w:id="134"/>
      <w:r>
        <w:rPr>
          <w:rFonts w:hint="eastAsia" w:ascii="Times New Roman" w:hAnsi="Times New Roman" w:eastAsia="仿宋_GB2312" w:cs="仿宋_GB2312"/>
          <w:color w:val="auto"/>
          <w:sz w:val="32"/>
          <w:szCs w:val="32"/>
          <w:highlight w:val="none"/>
          <w:lang w:eastAsia="zh-CN"/>
        </w:rPr>
        <w:t>国有资本经营预算财政拨款支出决算表</w:t>
      </w:r>
    </w:p>
    <w:p w14:paraId="526DFAD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35" w:name="_Toc15396631"/>
      <w:r>
        <w:rPr>
          <w:rFonts w:hint="eastAsia" w:ascii="Times New Roman" w:hAnsi="Times New Roman" w:eastAsia="仿宋_GB2312" w:cs="仿宋_GB2312"/>
          <w:color w:val="auto"/>
          <w:sz w:val="32"/>
          <w:szCs w:val="32"/>
          <w:highlight w:val="none"/>
        </w:rPr>
        <w:t>十三、</w:t>
      </w:r>
      <w:bookmarkEnd w:id="135"/>
      <w:r>
        <w:rPr>
          <w:rFonts w:hint="eastAsia" w:ascii="Times New Roman" w:hAnsi="Times New Roman" w:eastAsia="仿宋_GB2312" w:cs="仿宋_GB2312"/>
          <w:color w:val="auto"/>
          <w:sz w:val="32"/>
          <w:szCs w:val="32"/>
          <w:highlight w:val="none"/>
          <w:lang w:eastAsia="zh-CN"/>
        </w:rPr>
        <w:t>财政拨款“三公”经费支出决算表</w:t>
      </w:r>
    </w:p>
    <w:p w14:paraId="1E2B0B60">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EB495A-A37E-4A73-9B1D-A74815D72FB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AFAAC84-668F-45D6-8350-12417CD7D829}"/>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787842F3-6894-4E4D-8418-DF1D76E053A1}"/>
  </w:font>
  <w:font w:name="仿宋">
    <w:panose1 w:val="02010609060101010101"/>
    <w:charset w:val="86"/>
    <w:family w:val="modern"/>
    <w:pitch w:val="default"/>
    <w:sig w:usb0="800002BF" w:usb1="38CF7CFA" w:usb2="00000016" w:usb3="00000000" w:csb0="00040001" w:csb1="00000000"/>
    <w:embedRegular r:id="rId4" w:fontKey="{6F4296D7-FD7A-40A1-92E5-E0C99D9027A9}"/>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3B0847EE-009A-46A9-BEFC-5FFE1281E874}"/>
  </w:font>
  <w:font w:name="楷体_GB2312">
    <w:panose1 w:val="02010609030101010101"/>
    <w:charset w:val="86"/>
    <w:family w:val="auto"/>
    <w:pitch w:val="default"/>
    <w:sig w:usb0="00000001" w:usb1="080E0000" w:usb2="00000000" w:usb3="00000000" w:csb0="00040000" w:csb1="00000000"/>
    <w:embedRegular r:id="rId6" w:fontKey="{B60411D2-0BCF-4790-B606-0405228AAD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E2B00">
    <w:pPr>
      <w:pStyle w:val="11"/>
      <w:jc w:val="center"/>
    </w:pPr>
  </w:p>
  <w:p w14:paraId="70B2BEC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E4D27">
    <w:pPr>
      <w:pStyle w:val="11"/>
      <w:jc w:val="center"/>
    </w:pPr>
  </w:p>
  <w:p w14:paraId="47609D04">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0722A">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1F0C7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41F0C7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09833">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CEE9A7">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CEE9A7">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2D230DBB">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E2FDD">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9CE18C"/>
    <w:multiLevelType w:val="multilevel"/>
    <w:tmpl w:val="5B9CE18C"/>
    <w:lvl w:ilvl="0" w:tentative="0">
      <w:start w:val="1"/>
      <w:numFmt w:val="decimal"/>
      <w:suff w:val="nothing"/>
      <w:lvlText w:val="%1．"/>
      <w:lvlJc w:val="left"/>
      <w:pPr>
        <w:tabs>
          <w:tab w:val="left" w:pos="0"/>
        </w:tabs>
        <w:ind w:left="0" w:firstLine="400"/>
      </w:pPr>
      <w:rPr>
        <w:rFonts w:hint="default" w:ascii="Times New Roman" w:hAnsi="Times New Roman" w:cs="Times New Roman"/>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abstractNum w:abstractNumId="1">
    <w:nsid w:val="6256A1F7"/>
    <w:multiLevelType w:val="singleLevel"/>
    <w:tmpl w:val="6256A1F7"/>
    <w:lvl w:ilvl="0" w:tentative="0">
      <w:start w:val="1"/>
      <w:numFmt w:val="decimal"/>
      <w:suff w:val="nothing"/>
      <w:lvlText w:val="%1．"/>
      <w:lvlJc w:val="left"/>
      <w:pPr>
        <w:ind w:left="0" w:firstLine="4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623B93"/>
    <w:rsid w:val="01A23516"/>
    <w:rsid w:val="02317B1B"/>
    <w:rsid w:val="02FEBE30"/>
    <w:rsid w:val="061E35DE"/>
    <w:rsid w:val="066E0107"/>
    <w:rsid w:val="07996F6E"/>
    <w:rsid w:val="07DFD8BA"/>
    <w:rsid w:val="08B514E8"/>
    <w:rsid w:val="08DB07E4"/>
    <w:rsid w:val="09867E8F"/>
    <w:rsid w:val="0A2032A3"/>
    <w:rsid w:val="0C6C4794"/>
    <w:rsid w:val="0CA8290A"/>
    <w:rsid w:val="0D35B1ED"/>
    <w:rsid w:val="0DE07E2B"/>
    <w:rsid w:val="0F98263C"/>
    <w:rsid w:val="101860EC"/>
    <w:rsid w:val="10C055FF"/>
    <w:rsid w:val="11772AA4"/>
    <w:rsid w:val="118107EC"/>
    <w:rsid w:val="122A5117"/>
    <w:rsid w:val="13957196"/>
    <w:rsid w:val="13D50BC4"/>
    <w:rsid w:val="14022904"/>
    <w:rsid w:val="152F2A07"/>
    <w:rsid w:val="165E0673"/>
    <w:rsid w:val="16BB723D"/>
    <w:rsid w:val="16F13FCB"/>
    <w:rsid w:val="186504BB"/>
    <w:rsid w:val="1938089F"/>
    <w:rsid w:val="19A445FC"/>
    <w:rsid w:val="1AF0469A"/>
    <w:rsid w:val="1B7D550C"/>
    <w:rsid w:val="1BE8440E"/>
    <w:rsid w:val="1D155CEE"/>
    <w:rsid w:val="1DE178F3"/>
    <w:rsid w:val="1E740ACF"/>
    <w:rsid w:val="1FF35744"/>
    <w:rsid w:val="1FF6BC77"/>
    <w:rsid w:val="21962A9E"/>
    <w:rsid w:val="21AE7C77"/>
    <w:rsid w:val="22BC3C41"/>
    <w:rsid w:val="23860B96"/>
    <w:rsid w:val="240371BF"/>
    <w:rsid w:val="260F557C"/>
    <w:rsid w:val="281408E2"/>
    <w:rsid w:val="28EF7777"/>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0F63E08"/>
    <w:rsid w:val="41313393"/>
    <w:rsid w:val="43A407DF"/>
    <w:rsid w:val="44515BEA"/>
    <w:rsid w:val="44E268DA"/>
    <w:rsid w:val="453F7E5B"/>
    <w:rsid w:val="48355E30"/>
    <w:rsid w:val="486A6C7A"/>
    <w:rsid w:val="49176D9B"/>
    <w:rsid w:val="494006BD"/>
    <w:rsid w:val="49D04DE7"/>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9500AD"/>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873884"/>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3C0A22"/>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9FA6613"/>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BFF9947"/>
    <w:rsid w:val="ECFED1BC"/>
    <w:rsid w:val="ED1D69BB"/>
    <w:rsid w:val="ED7FD312"/>
    <w:rsid w:val="EF53993F"/>
    <w:rsid w:val="EF6FD633"/>
    <w:rsid w:val="EFBFB2F4"/>
    <w:rsid w:val="EFBFFA21"/>
    <w:rsid w:val="F2BEBCB8"/>
    <w:rsid w:val="F36FB518"/>
    <w:rsid w:val="F3DE1A04"/>
    <w:rsid w:val="F3F722E5"/>
    <w:rsid w:val="F6BDEC40"/>
    <w:rsid w:val="FA5F1E70"/>
    <w:rsid w:val="FA5FDB97"/>
    <w:rsid w:val="FB7F486A"/>
    <w:rsid w:val="FBFF5B2E"/>
    <w:rsid w:val="FD7FFE2B"/>
    <w:rsid w:val="FDEE196B"/>
    <w:rsid w:val="FDFE6575"/>
    <w:rsid w:val="FEDFDDC2"/>
    <w:rsid w:val="FEED32F6"/>
    <w:rsid w:val="FEF781DD"/>
    <w:rsid w:val="FF3F7E3F"/>
    <w:rsid w:val="FFBA12D7"/>
    <w:rsid w:val="FFBFDA2A"/>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36">
    <w:name w:val="18"/>
    <w:basedOn w:val="16"/>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1.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a0856c4-2c9d-4efb-bb70-975d1a39167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22</Words>
  <Characters>25</Characters>
  <Lines>61</Lines>
  <Paragraphs>17</Paragraphs>
  <TotalTime>2</TotalTime>
  <ScaleCrop>false</ScaleCrop>
  <LinksUpToDate>false</LinksUpToDate>
  <CharactersWithSpaces>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2026-08-04T01:27:00Z</cp:lastPrinted>
  <dcterms:modified xsi:type="dcterms:W3CDTF">2026-10-20T08:46:17Z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