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4769B">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bookmarkStart w:id="0" w:name="_Toc15306267"/>
      <w:bookmarkStart w:id="1" w:name="_Toc15396475"/>
      <w:bookmarkStart w:id="2" w:name="_Toc15378441"/>
      <w:bookmarkStart w:id="3" w:name="_Toc15377193"/>
      <w:bookmarkStart w:id="4" w:name="_Toc15396597"/>
      <w:bookmarkStart w:id="5" w:name="_Toc15377425"/>
    </w:p>
    <w:p w14:paraId="4349E42F">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pPr>
    </w:p>
    <w:p w14:paraId="5C195CAD">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r>
        <w:rPr>
          <w:rFonts w:hint="eastAsia" w:ascii="方正小标宋简体" w:hAnsi="方正小标宋简体" w:eastAsia="方正小标宋简体" w:cs="方正小标宋简体"/>
          <w:sz w:val="72"/>
          <w:szCs w:val="72"/>
          <w:lang w:val="en-US" w:eastAsia="zh-CN"/>
        </w:rPr>
        <w:t xml:space="preserve"> </w:t>
      </w:r>
    </w:p>
    <w:p w14:paraId="33C97B10">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rPr>
        <w:t>四川省</w:t>
      </w:r>
      <w:r>
        <w:rPr>
          <w:rFonts w:hint="eastAsia" w:ascii="方正小标宋简体" w:hAnsi="方正小标宋简体" w:eastAsia="方正小标宋简体" w:cs="方正小标宋简体"/>
          <w:sz w:val="72"/>
          <w:szCs w:val="72"/>
          <w:lang w:eastAsia="zh-CN"/>
        </w:rPr>
        <w:t>阿坝州松潘县卫生健康部门</w:t>
      </w:r>
      <w:r>
        <w:rPr>
          <w:rFonts w:hint="eastAsia" w:ascii="方正小标宋简体" w:hAnsi="方正小标宋简体" w:eastAsia="方正小标宋简体" w:cs="方正小标宋简体"/>
          <w:sz w:val="72"/>
          <w:szCs w:val="72"/>
        </w:rPr>
        <w:t>决算</w:t>
      </w:r>
      <w:r>
        <w:rPr>
          <w:rFonts w:hint="eastAsia" w:ascii="方正小标宋简体" w:hAnsi="方正小标宋简体" w:eastAsia="方正小标宋简体" w:cs="方正小标宋简体"/>
          <w:sz w:val="72"/>
          <w:szCs w:val="72"/>
          <w:lang w:eastAsia="zh-CN"/>
        </w:rPr>
        <w:t>公开</w:t>
      </w:r>
    </w:p>
    <w:p w14:paraId="474867C1">
      <w:pPr>
        <w:spacing w:line="600" w:lineRule="exact"/>
        <w:jc w:val="center"/>
        <w:outlineLvl w:val="0"/>
        <w:rPr>
          <w:rFonts w:ascii="Times New Roman" w:hAnsi="Times New Roman" w:eastAsia="方正小标宋简体"/>
          <w:color w:val="auto"/>
          <w:sz w:val="72"/>
          <w:szCs w:val="72"/>
          <w:highlight w:val="none"/>
        </w:rPr>
      </w:pPr>
    </w:p>
    <w:p w14:paraId="5B666676">
      <w:pPr>
        <w:pStyle w:val="22"/>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0200B108">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5231805">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6F12CCDE">
      <w:pPr>
        <w:rPr>
          <w:rFonts w:ascii="Times New Roman" w:hAnsi="Times New Roman"/>
          <w:color w:val="auto"/>
          <w:highlight w:val="none"/>
        </w:rPr>
      </w:pPr>
    </w:p>
    <w:p w14:paraId="12A92ACA">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01072EE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31F6997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268199CD">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5FD476D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54E3C57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6F62AE7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F087E3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6E167CB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CF7592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31A96EE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1C455AD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3D09BB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60BF49F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0FE47246">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2AD023B1">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3998FED7">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549143D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E5B891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229AC2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72102C6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05FB4B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672E47C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181082C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5BFCA84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FAD6E8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1E59499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58727C5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F03017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7E341B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42CA4B1E">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0C938111">
      <w:pPr>
        <w:pStyle w:val="2"/>
        <w:jc w:val="center"/>
        <w:rPr>
          <w:rStyle w:val="31"/>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6"/>
      <w:bookmarkEnd w:id="7"/>
    </w:p>
    <w:p w14:paraId="778B2A55">
      <w:pPr>
        <w:widowControl/>
        <w:jc w:val="left"/>
        <w:rPr>
          <w:rFonts w:ascii="Times New Roman" w:hAnsi="Times New Roman" w:eastAsia="黑体"/>
          <w:color w:val="auto"/>
          <w:sz w:val="32"/>
          <w:szCs w:val="32"/>
          <w:highlight w:val="none"/>
        </w:rPr>
      </w:pPr>
    </w:p>
    <w:p w14:paraId="0F30FA21">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163937F3">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县卫生健康局负责贯彻落实党中央关于卫生健康、疾病预防控制工作的方针政策和省委、州委、县委的决策部署，把坚持和加强党中央对卫生健康、疾病预防控制工作的集中统一领导落实到履行职责过程中。主要职责是：</w:t>
      </w:r>
    </w:p>
    <w:p w14:paraId="3CD4C6EF">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拟订并组织实施卫生健康基本公共卫生服务均等化、普惠化、便捷化和公共资源向基层延伸等政策措施。拟订并组织实施全县卫生健康、中（藏羌）医发展政策。制定并组织实施全县卫生健康、中（藏羌）医技术规范、实施方案。统筹规划全县卫生健康、中（藏羌）医服务资源配置。</w:t>
      </w:r>
    </w:p>
    <w:p w14:paraId="7D9D08FB">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牵头推进全县深化医药卫生体制改革。研究提出深化改革重大政策和措施的建议。牵头负责全县分级诊疗、现代医院管理、全民医保、药品供应保障、综合监管 5项基本医疗卫生制度建设。拟订并组织实施卫生健康公共服务提供主体多元化、提供方式多样化的政策措施。</w:t>
      </w:r>
    </w:p>
    <w:p w14:paraId="104D344E">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负责制定并推动落实全县疾病预防控制规划、免疫规划以及严重危害人民健康的艾滋病等重大传染病、地方病等公共卫生问题的干预措施。负责全县医疗卫生应急工作，组织和指导全县突发公共卫生事件预防控制和各类突发公共事件的医疗卫生救援，报告传染病疫情信息、突发公共卫生事件应急处置信息。</w:t>
      </w:r>
    </w:p>
    <w:p w14:paraId="7F9F400E">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负责拟订并组织实施医养结合政策，建立和完善老年健康服务体系，推进老年健康管理与服务。</w:t>
      </w:r>
    </w:p>
    <w:p w14:paraId="6C916C29">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贯彻落实国家药物政策和国家基本药物制度。开展药械使用监测、临床综合评价和短缺药品预警，组织执行国家药典和国家基本药物目录，拟订基本药物</w:t>
      </w:r>
      <w:r>
        <w:rPr>
          <w:rFonts w:hint="eastAsia" w:eastAsia="仿宋_GB2312" w:cs="仿宋_GB2312"/>
          <w:color w:val="auto"/>
          <w:sz w:val="32"/>
          <w:szCs w:val="32"/>
          <w:highlight w:val="none"/>
          <w:lang w:eastAsia="zh-CN"/>
        </w:rPr>
        <w:t>采取</w:t>
      </w:r>
      <w:r>
        <w:rPr>
          <w:rFonts w:hint="eastAsia" w:ascii="Times New Roman" w:hAnsi="Times New Roman" w:eastAsia="仿宋_GB2312" w:cs="仿宋_GB2312"/>
          <w:color w:val="auto"/>
          <w:sz w:val="32"/>
          <w:szCs w:val="32"/>
          <w:highlight w:val="none"/>
          <w:lang w:eastAsia="zh-CN"/>
        </w:rPr>
        <w:t>的政策措施。按照国家和省相关要求会同有关部门制定并实施食品安全风险监测计划。依法开展食品安全企业标准备案。</w:t>
      </w:r>
    </w:p>
    <w:p w14:paraId="13C40E2B">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负责职责范围内的职业卫生、放射卫生、环境卫生、学校卫生、公共场所卫生、饮用水卫生等公共卫生的监督管理。负责传染病防治监督，健全卫生健康综合监管体系。</w:t>
      </w:r>
    </w:p>
    <w:p w14:paraId="458963CC">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拟订全县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p>
    <w:p w14:paraId="2C362036">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负责承担全县人口监测预警工作并提出人口与家庭发展相关健康政策建议。监督实施计划生育家庭扶助政策和计划生育特殊家庭扶助关怀制度。</w:t>
      </w:r>
    </w:p>
    <w:p w14:paraId="70CA2EBB">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指导卫生健康工作。指导基层医疗卫生、妇幼健康服务体系和基层卫生队伍建设。推进卫生健康科技创新发展。</w:t>
      </w:r>
    </w:p>
    <w:p w14:paraId="0D728848">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贯彻落实干部医疗保健政策措施，负责县级保健对象的医疗保健工作。负责县级部门有关干部医疗服务工作。负责重要会议与重大活动的医疗卫生保障工作。</w:t>
      </w:r>
    </w:p>
    <w:p w14:paraId="6C2181A9">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依法依规履行卫生健康行业安全生产监管职责。负责职责范围内的生态环境保护、审批服务便民化等工作。负责全县职业病防治工作。负责本级系统内公共机构节能工作。</w:t>
      </w:r>
    </w:p>
    <w:p w14:paraId="382E9D82">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完成县委、县政府交办的其他任务。</w:t>
      </w:r>
    </w:p>
    <w:p w14:paraId="3E28CBBA">
      <w:pPr>
        <w:pStyle w:val="3"/>
        <w:rPr>
          <w:rStyle w:val="32"/>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8"/>
      <w:bookmarkEnd w:id="9"/>
    </w:p>
    <w:p w14:paraId="670D71E6">
      <w:pPr>
        <w:ind w:firstLine="800" w:firstLineChars="250"/>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卫生健康局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rPr>
        <w:t>个。</w:t>
      </w:r>
    </w:p>
    <w:p w14:paraId="67E76230">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7308B9B9">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bookmarkStart w:id="10" w:name="_Toc15378449"/>
      <w:bookmarkStart w:id="11" w:name="_Toc15306276"/>
      <w:bookmarkStart w:id="12" w:name="_Toc15377202"/>
      <w:bookmarkStart w:id="13" w:name="_Toc15377433"/>
      <w:r>
        <w:rPr>
          <w:rFonts w:hint="eastAsia" w:ascii="Times New Roman" w:cs="仿宋_GB2312"/>
          <w:color w:val="auto"/>
          <w:sz w:val="32"/>
          <w:szCs w:val="32"/>
          <w:highlight w:val="none"/>
          <w:lang w:eastAsia="zh-CN"/>
        </w:rPr>
        <w:t>松潘县</w:t>
      </w:r>
      <w:bookmarkEnd w:id="10"/>
      <w:bookmarkEnd w:id="11"/>
      <w:bookmarkEnd w:id="12"/>
      <w:bookmarkEnd w:id="13"/>
      <w:bookmarkStart w:id="14" w:name="_Toc15377434"/>
      <w:bookmarkStart w:id="15" w:name="_Toc15378450"/>
      <w:bookmarkStart w:id="16" w:name="_Toc15377203"/>
      <w:bookmarkStart w:id="17" w:name="_Toc15306277"/>
      <w:r>
        <w:rPr>
          <w:rFonts w:hint="eastAsia" w:ascii="Times New Roman" w:cs="仿宋_GB2312"/>
          <w:color w:val="auto"/>
          <w:sz w:val="32"/>
          <w:szCs w:val="32"/>
          <w:highlight w:val="none"/>
          <w:lang w:eastAsia="zh-CN"/>
        </w:rPr>
        <w:t>疾病预防控制中心</w:t>
      </w:r>
    </w:p>
    <w:bookmarkEnd w:id="14"/>
    <w:bookmarkEnd w:id="15"/>
    <w:bookmarkEnd w:id="16"/>
    <w:bookmarkEnd w:id="17"/>
    <w:p w14:paraId="7122AFB4">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松潘县妇幼保健院</w:t>
      </w:r>
    </w:p>
    <w:p w14:paraId="3DEBED37">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松潘县人民医院</w:t>
      </w:r>
    </w:p>
    <w:p w14:paraId="3E56FC87">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松潘县中藏医院</w:t>
      </w:r>
    </w:p>
    <w:p w14:paraId="5317D84B">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松潘县卫生保健服务中心</w:t>
      </w:r>
    </w:p>
    <w:p w14:paraId="23BDE17C">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松潘县燕云乡卫生院</w:t>
      </w:r>
    </w:p>
    <w:p w14:paraId="3A1FF37C">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黄龙乡卫生院</w:t>
      </w:r>
    </w:p>
    <w:p w14:paraId="58F74164">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白羊乡卫生院</w:t>
      </w:r>
    </w:p>
    <w:p w14:paraId="25B69052">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十里乡卫生院</w:t>
      </w:r>
    </w:p>
    <w:p w14:paraId="75D039E5">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小河镇</w:t>
      </w:r>
      <w:r>
        <w:rPr>
          <w:rFonts w:hint="eastAsia" w:ascii="Times New Roman" w:cs="仿宋_GB2312"/>
          <w:color w:val="auto"/>
          <w:sz w:val="32"/>
          <w:szCs w:val="32"/>
          <w:highlight w:val="none"/>
          <w:lang w:eastAsia="zh-CN"/>
        </w:rPr>
        <w:t>中心</w:t>
      </w:r>
      <w:r>
        <w:rPr>
          <w:rFonts w:hint="eastAsia" w:ascii="Times New Roman" w:hAnsi="Times New Roman" w:eastAsia="仿宋_GB2312" w:cs="仿宋_GB2312"/>
          <w:color w:val="auto"/>
          <w:sz w:val="32"/>
          <w:szCs w:val="32"/>
          <w:highlight w:val="none"/>
        </w:rPr>
        <w:t>卫生院</w:t>
      </w:r>
    </w:p>
    <w:p w14:paraId="5DAE8839">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大姓乡卫生院</w:t>
      </w:r>
    </w:p>
    <w:p w14:paraId="08A8EC71">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下八寨乡卫生院</w:t>
      </w:r>
    </w:p>
    <w:p w14:paraId="36550B8C">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毛儿盖镇中心卫生院</w:t>
      </w:r>
    </w:p>
    <w:p w14:paraId="6A1F657E">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红土镇中心卫生院</w:t>
      </w:r>
    </w:p>
    <w:p w14:paraId="6AD02E53">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镇江关镇中心卫生院</w:t>
      </w:r>
    </w:p>
    <w:p w14:paraId="37E23ECC">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安宏乡卫生院</w:t>
      </w:r>
    </w:p>
    <w:p w14:paraId="4A74217B">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镇坪乡卫生院</w:t>
      </w:r>
    </w:p>
    <w:p w14:paraId="510E7E4F">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小姓乡卫生院</w:t>
      </w:r>
    </w:p>
    <w:p w14:paraId="017DFBD4">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岷江乡卫生院</w:t>
      </w:r>
    </w:p>
    <w:p w14:paraId="7B069F3E">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青云镇中心卫生院</w:t>
      </w:r>
    </w:p>
    <w:p w14:paraId="6728B755">
      <w:pPr>
        <w:pStyle w:val="6"/>
        <w:numPr>
          <w:ilvl w:val="0"/>
          <w:numId w:val="3"/>
        </w:numPr>
        <w:adjustRightInd w:val="0"/>
        <w:snapToGrid w:val="0"/>
        <w:spacing w:before="93" w:line="600" w:lineRule="exact"/>
        <w:ind w:left="1740" w:leftChars="0" w:firstLine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进安镇卫生院</w:t>
      </w:r>
    </w:p>
    <w:p w14:paraId="0E4F3D6D">
      <w:pPr>
        <w:pStyle w:val="6"/>
        <w:numPr>
          <w:ilvl w:val="0"/>
          <w:numId w:val="3"/>
        </w:numPr>
        <w:adjustRightInd w:val="0"/>
        <w:snapToGrid w:val="0"/>
        <w:spacing w:before="93" w:line="600" w:lineRule="exact"/>
        <w:ind w:left="1740" w:leftChars="0" w:firstLine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川主寺镇卫生院</w:t>
      </w:r>
    </w:p>
    <w:p w14:paraId="74A51F76">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67D9569">
      <w:pPr>
        <w:numPr>
          <w:ilvl w:val="0"/>
          <w:numId w:val="0"/>
        </w:numPr>
        <w:rPr>
          <w:rFonts w:hint="eastAsia"/>
          <w:lang w:eastAsia="zh-CN"/>
        </w:rPr>
      </w:pPr>
    </w:p>
    <w:p w14:paraId="403BB61B">
      <w:pPr>
        <w:pStyle w:val="2"/>
        <w:jc w:val="center"/>
        <w:rPr>
          <w:rFonts w:hint="eastAsia" w:ascii="Times New Roman" w:hAnsi="Times New Roman" w:eastAsia="方正小标宋简体" w:cs="方正小标宋简体"/>
          <w:b w:val="0"/>
          <w:color w:val="auto"/>
          <w:highlight w:val="none"/>
        </w:rPr>
      </w:pPr>
      <w:bookmarkStart w:id="18" w:name="_Toc15396602"/>
      <w:bookmarkStart w:id="1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p>
    <w:p w14:paraId="446BDC31">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0" w:name="_Toc15377205"/>
      <w:bookmarkStart w:id="2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20"/>
      <w:bookmarkEnd w:id="21"/>
    </w:p>
    <w:p w14:paraId="6251A00D">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23705.91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总计增加</w:t>
      </w:r>
      <w:r>
        <w:rPr>
          <w:rFonts w:hint="eastAsia" w:eastAsia="仿宋_GB2312" w:cs="仿宋_GB2312"/>
          <w:color w:val="auto"/>
          <w:sz w:val="32"/>
          <w:szCs w:val="32"/>
          <w:highlight w:val="none"/>
          <w:lang w:val="en-US" w:eastAsia="zh-CN"/>
        </w:rPr>
        <w:t>1154.59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人员类经费逐年递增。</w:t>
      </w:r>
    </w:p>
    <w:p w14:paraId="11CB8D5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355A986A">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4A27DCEA">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65BB222F">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2D7550D">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08E13E2A">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9236A0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60B41D1">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2971E8FD">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E4AF12E">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411480</wp:posOffset>
            </wp:positionH>
            <wp:positionV relativeFrom="paragraph">
              <wp:posOffset>-2700655</wp:posOffset>
            </wp:positionV>
            <wp:extent cx="5256530" cy="2988310"/>
            <wp:effectExtent l="5080" t="4445" r="15240" b="1714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29B7905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77206"/>
      <w:bookmarkStart w:id="23" w:name="_Toc15396604"/>
      <w:r>
        <w:rPr>
          <w:rFonts w:hint="eastAsia" w:ascii="Times New Roman" w:hAnsi="Times New Roman" w:eastAsia="黑体"/>
          <w:color w:val="auto"/>
          <w:sz w:val="32"/>
          <w:szCs w:val="32"/>
          <w:highlight w:val="none"/>
          <w:lang w:eastAsia="zh-CN"/>
        </w:rPr>
        <w:t>二、收入决算情况说明</w:t>
      </w:r>
      <w:bookmarkEnd w:id="22"/>
      <w:bookmarkEnd w:id="23"/>
    </w:p>
    <w:p w14:paraId="29E04C73">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lang w:val="en-US" w:eastAsia="zh-CN"/>
        </w:rPr>
        <w:t>23705.91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lang w:val="en-US" w:eastAsia="zh-CN"/>
        </w:rPr>
        <w:t>18220.49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77</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lang w:val="en-US" w:eastAsia="zh-CN"/>
        </w:rPr>
        <w:t>5472.4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23</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46C0DF9">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496137FB">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6B20BEC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AD14DC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005825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BF3667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4D7E27F">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CB88069">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D9170F7">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6CB6DF5">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411480</wp:posOffset>
            </wp:positionH>
            <wp:positionV relativeFrom="paragraph">
              <wp:posOffset>-2700655</wp:posOffset>
            </wp:positionV>
            <wp:extent cx="5256530" cy="2988310"/>
            <wp:effectExtent l="5080" t="4445" r="15240" b="17145"/>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4DA13114">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24" w:name="_Toc15396605"/>
      <w:bookmarkStart w:id="2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4"/>
      <w:bookmarkEnd w:id="25"/>
    </w:p>
    <w:p w14:paraId="37F3743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lang w:val="en-US" w:eastAsia="zh-CN"/>
        </w:rPr>
        <w:t>23705.91</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19362.11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82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4343.8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255D9816">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4BE30361">
      <w:pPr>
        <w:pStyle w:val="2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76850" cy="2336800"/>
            <wp:effectExtent l="4445" t="4445" r="14605" b="2095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3B3AF70">
      <w:pPr>
        <w:rPr>
          <w:rFonts w:hint="eastAsia"/>
          <w:lang w:eastAsia="zh-CN"/>
        </w:rPr>
      </w:pPr>
    </w:p>
    <w:p w14:paraId="3F4E620B">
      <w:pPr>
        <w:spacing w:line="600" w:lineRule="exact"/>
        <w:ind w:firstLine="640" w:firstLineChars="200"/>
        <w:outlineLvl w:val="1"/>
        <w:rPr>
          <w:rStyle w:val="32"/>
          <w:rFonts w:ascii="Times New Roman" w:hAnsi="Times New Roman" w:eastAsia="黑体"/>
          <w:b w:val="0"/>
          <w:color w:val="auto"/>
          <w:highlight w:val="none"/>
        </w:rPr>
      </w:pPr>
      <w:bookmarkStart w:id="26" w:name="_Toc15377208"/>
      <w:bookmarkStart w:id="27"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6"/>
      <w:bookmarkEnd w:id="27"/>
    </w:p>
    <w:p w14:paraId="09B7AC93">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lang w:val="en-US" w:eastAsia="zh-CN"/>
        </w:rPr>
        <w:t>23705.91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1154.59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人员经费逐年递增。</w:t>
      </w:r>
    </w:p>
    <w:p w14:paraId="42E5EC96">
      <w:p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bookmarkStart w:id="28" w:name="_Toc15377209"/>
      <w:bookmarkStart w:id="29" w:name="_Toc15396607"/>
    </w:p>
    <w:p w14:paraId="37170B58">
      <w:pPr>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15240" b="1714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F5D0E7">
      <w:pPr>
        <w:spacing w:line="600" w:lineRule="exact"/>
        <w:ind w:firstLine="640" w:firstLineChars="200"/>
        <w:outlineLvl w:val="1"/>
        <w:rPr>
          <w:rStyle w:val="32"/>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8"/>
      <w:bookmarkEnd w:id="29"/>
    </w:p>
    <w:p w14:paraId="1E40B00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62C22DBF">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lang w:val="en-US" w:eastAsia="zh-CN"/>
        </w:rPr>
        <w:t>23705.91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1154.59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人员经费逐年递增。</w:t>
      </w:r>
    </w:p>
    <w:p w14:paraId="3EC865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4E7E5C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BBD0EA">
      <w:pPr>
        <w:pStyle w:val="2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1524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6B0F0D">
      <w:pPr>
        <w:rPr>
          <w:rFonts w:hint="eastAsia"/>
          <w:lang w:val="en-US" w:eastAsia="zh-CN"/>
        </w:rPr>
      </w:pPr>
    </w:p>
    <w:p w14:paraId="2AA95C4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37CE21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lang w:val="en-US" w:eastAsia="zh-CN"/>
        </w:rPr>
        <w:t>23705.91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：一般公共服务支出11万元，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2008.27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20515.18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130.46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1041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9356F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32ADBA14">
      <w:pPr>
        <w:pStyle w:val="2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915535" cy="2628900"/>
            <wp:effectExtent l="4445" t="4445" r="13970" b="1460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63FA4C1">
      <w:pPr>
        <w:rPr>
          <w:rFonts w:hint="eastAsia" w:ascii="Times New Roman" w:hAnsi="Times New Roman" w:eastAsia="仿宋_GB2312" w:cs="仿宋_GB2312"/>
          <w:color w:val="auto"/>
          <w:kern w:val="2"/>
          <w:sz w:val="32"/>
          <w:szCs w:val="32"/>
          <w:highlight w:val="none"/>
          <w:lang w:val="en-US" w:eastAsia="zh-CN" w:bidi="ar-SA"/>
        </w:rPr>
      </w:pPr>
    </w:p>
    <w:p w14:paraId="5AB2E46B">
      <w:pPr>
        <w:pStyle w:val="21"/>
        <w:rPr>
          <w:rFonts w:hint="eastAsia"/>
          <w:lang w:val="en-US" w:eastAsia="zh-CN"/>
        </w:rPr>
      </w:pPr>
    </w:p>
    <w:p w14:paraId="67DD9D2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328A35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8460"/>
      <w:bookmarkStart w:id="34" w:name="_Toc15377444"/>
      <w:bookmarkStart w:id="35"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lang w:val="en-US" w:eastAsia="zh-CN"/>
        </w:rPr>
        <w:t>23705.91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14:paraId="605390A9">
      <w:pPr>
        <w:numPr>
          <w:ilvl w:val="0"/>
          <w:numId w:val="4"/>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组织事务（21032）其他组织事务支出（2013299）：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695DA93">
      <w:pPr>
        <w:numPr>
          <w:ilvl w:val="0"/>
          <w:numId w:val="0"/>
        </w:num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C1B7179">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3.科学技术类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支出决算为万元，完成预算%</w:t>
      </w:r>
      <w:r>
        <w:rPr>
          <w:rFonts w:hint="eastAsia" w:eastAsia="仿宋_GB2312" w:cs="仿宋_GB2312"/>
          <w:color w:val="auto"/>
          <w:kern w:val="2"/>
          <w:sz w:val="32"/>
          <w:szCs w:val="32"/>
          <w:highlight w:val="none"/>
          <w:lang w:val="en-US" w:eastAsia="zh-CN" w:bidi="ar-SA"/>
        </w:rPr>
        <w:t>。</w:t>
      </w:r>
    </w:p>
    <w:p w14:paraId="2FD8A76E">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CE26667">
      <w:pPr>
        <w:spacing w:line="600" w:lineRule="exact"/>
        <w:ind w:firstLine="640"/>
        <w:rPr>
          <w:rFonts w:hint="eastAsia" w:ascii="仿宋" w:hAnsi="仿宋" w:eastAsia="仿宋"/>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5.社会保障和就业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人力资源和社会保障管理事务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其他人力资源和社会保障管理事务支出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40.07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事业单位离退休</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2080502）：</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机关事业单位基本养老保险支出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1303.9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社会保障和就业支出（208）行政事业单位养老支出（20805）机关事业单位职业年金缴费支出（2080506）：支出决算</w:t>
      </w:r>
      <w:r>
        <w:rPr>
          <w:rFonts w:hint="eastAsia" w:eastAsia="仿宋_GB2312" w:cs="仿宋_GB2312"/>
          <w:color w:val="auto"/>
          <w:kern w:val="2"/>
          <w:sz w:val="32"/>
          <w:szCs w:val="32"/>
          <w:highlight w:val="none"/>
          <w:lang w:val="en-US" w:eastAsia="zh-CN" w:bidi="ar-SA"/>
        </w:rPr>
        <w:t>664.27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 w:hAnsi="仿宋" w:eastAsia="仿宋"/>
          <w:color w:val="000000"/>
          <w:sz w:val="32"/>
          <w:szCs w:val="32"/>
        </w:rPr>
        <w:t>100%。</w:t>
      </w:r>
    </w:p>
    <w:p w14:paraId="5382AAD9">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6.卫生健康支出（210）支出决算</w:t>
      </w:r>
      <w:r>
        <w:rPr>
          <w:rFonts w:hint="eastAsia" w:eastAsia="仿宋_GB2312" w:cs="仿宋_GB2312"/>
          <w:color w:val="auto"/>
          <w:kern w:val="2"/>
          <w:sz w:val="32"/>
          <w:szCs w:val="32"/>
          <w:highlight w:val="none"/>
          <w:lang w:val="en-US" w:eastAsia="zh-CN" w:bidi="ar-SA"/>
        </w:rPr>
        <w:t>20515</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卫生健康管理事务</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01）：支出决算</w:t>
      </w:r>
      <w:r>
        <w:rPr>
          <w:rFonts w:hint="eastAsia" w:eastAsia="仿宋_GB2312" w:cs="仿宋_GB2312"/>
          <w:color w:val="auto"/>
          <w:kern w:val="2"/>
          <w:sz w:val="32"/>
          <w:szCs w:val="32"/>
          <w:highlight w:val="none"/>
          <w:lang w:val="en-US" w:eastAsia="zh-CN" w:bidi="ar-SA"/>
        </w:rPr>
        <w:t>289.74</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卫生健康管理事务</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机关事务</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189.15</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卫生健康管理事务</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其他卫生健康管理事务支出</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25.14</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w:t>
      </w:r>
      <w:r>
        <w:rPr>
          <w:rFonts w:hint="eastAsia" w:eastAsia="仿宋_GB2312" w:cs="仿宋_GB2312"/>
          <w:color w:val="auto"/>
          <w:kern w:val="2"/>
          <w:sz w:val="32"/>
          <w:szCs w:val="32"/>
          <w:highlight w:val="none"/>
          <w:lang w:val="en-US" w:eastAsia="zh-CN" w:bidi="ar-SA"/>
        </w:rPr>
        <w:t>公立医院</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综合医院</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01）：支出决算</w:t>
      </w:r>
      <w:r>
        <w:rPr>
          <w:rFonts w:hint="eastAsia" w:eastAsia="仿宋_GB2312" w:cs="仿宋_GB2312"/>
          <w:color w:val="auto"/>
          <w:kern w:val="2"/>
          <w:sz w:val="32"/>
          <w:szCs w:val="32"/>
          <w:highlight w:val="none"/>
          <w:lang w:val="en-US" w:eastAsia="zh-CN" w:bidi="ar-SA"/>
        </w:rPr>
        <w:t>8418.21</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w:t>
      </w:r>
      <w:r>
        <w:rPr>
          <w:rFonts w:hint="eastAsia" w:eastAsia="仿宋_GB2312" w:cs="仿宋_GB2312"/>
          <w:color w:val="auto"/>
          <w:kern w:val="2"/>
          <w:sz w:val="32"/>
          <w:szCs w:val="32"/>
          <w:highlight w:val="none"/>
          <w:lang w:val="en-US" w:eastAsia="zh-CN" w:bidi="ar-SA"/>
        </w:rPr>
        <w:t>公立医院</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2）中医（民族）医院（</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1837.87</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w:t>
      </w:r>
      <w:r>
        <w:rPr>
          <w:rFonts w:hint="eastAsia" w:eastAsia="仿宋_GB2312" w:cs="仿宋_GB2312"/>
          <w:color w:val="auto"/>
          <w:kern w:val="2"/>
          <w:sz w:val="32"/>
          <w:szCs w:val="32"/>
          <w:highlight w:val="none"/>
          <w:lang w:val="en-US" w:eastAsia="zh-CN" w:bidi="ar-SA"/>
        </w:rPr>
        <w:t>公立医院</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妇幼保健院</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2.79</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w:t>
      </w:r>
      <w:r>
        <w:rPr>
          <w:rFonts w:hint="eastAsia" w:eastAsia="仿宋_GB2312" w:cs="仿宋_GB2312"/>
          <w:color w:val="auto"/>
          <w:kern w:val="2"/>
          <w:sz w:val="32"/>
          <w:szCs w:val="32"/>
          <w:highlight w:val="none"/>
          <w:lang w:val="en-US" w:eastAsia="zh-CN" w:bidi="ar-SA"/>
        </w:rPr>
        <w:t>基层医疗卫生机构</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乡镇卫生院</w:t>
      </w:r>
      <w:r>
        <w:rPr>
          <w:rFonts w:hint="eastAsia" w:ascii="Times New Roman" w:hAnsi="Times New Roman" w:eastAsia="仿宋_GB2312" w:cs="仿宋_GB2312"/>
          <w:color w:val="auto"/>
          <w:kern w:val="2"/>
          <w:sz w:val="32"/>
          <w:szCs w:val="32"/>
          <w:highlight w:val="none"/>
          <w:lang w:val="en-US" w:eastAsia="zh-CN" w:bidi="ar-SA"/>
        </w:rPr>
        <w:t>（210</w:t>
      </w:r>
      <w:r>
        <w:rPr>
          <w:rFonts w:hint="eastAsia" w:eastAsia="仿宋_GB2312" w:cs="仿宋_GB2312"/>
          <w:color w:val="auto"/>
          <w:kern w:val="2"/>
          <w:sz w:val="32"/>
          <w:szCs w:val="32"/>
          <w:highlight w:val="none"/>
          <w:lang w:val="en-US" w:eastAsia="zh-CN" w:bidi="ar-SA"/>
        </w:rPr>
        <w:t>0302</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3991.44</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w:t>
      </w:r>
      <w:r>
        <w:rPr>
          <w:rFonts w:hint="eastAsia" w:eastAsia="仿宋_GB2312" w:cs="仿宋_GB2312"/>
          <w:color w:val="auto"/>
          <w:kern w:val="2"/>
          <w:sz w:val="32"/>
          <w:szCs w:val="32"/>
          <w:highlight w:val="none"/>
          <w:lang w:val="en-US" w:eastAsia="zh-CN" w:bidi="ar-SA"/>
        </w:rPr>
        <w:t>基层医疗卫生机构</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其他基层医疗卫生机构支出</w:t>
      </w:r>
      <w:r>
        <w:rPr>
          <w:rFonts w:hint="eastAsia" w:ascii="Times New Roman" w:hAnsi="Times New Roman" w:eastAsia="仿宋_GB2312" w:cs="仿宋_GB2312"/>
          <w:color w:val="auto"/>
          <w:kern w:val="2"/>
          <w:sz w:val="32"/>
          <w:szCs w:val="32"/>
          <w:highlight w:val="none"/>
          <w:lang w:val="en-US" w:eastAsia="zh-CN" w:bidi="ar-SA"/>
        </w:rPr>
        <w:t>（210</w:t>
      </w:r>
      <w:r>
        <w:rPr>
          <w:rFonts w:hint="eastAsia" w:eastAsia="仿宋_GB2312" w:cs="仿宋_GB2312"/>
          <w:color w:val="auto"/>
          <w:kern w:val="2"/>
          <w:sz w:val="32"/>
          <w:szCs w:val="32"/>
          <w:highlight w:val="none"/>
          <w:lang w:val="en-US" w:eastAsia="zh-CN" w:bidi="ar-SA"/>
        </w:rPr>
        <w:t>0399</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582.99</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w:t>
      </w:r>
      <w:r>
        <w:rPr>
          <w:rFonts w:hint="eastAsia" w:eastAsia="仿宋_GB2312" w:cs="仿宋_GB2312"/>
          <w:color w:val="auto"/>
          <w:kern w:val="2"/>
          <w:sz w:val="32"/>
          <w:szCs w:val="32"/>
          <w:highlight w:val="none"/>
          <w:lang w:val="en-US" w:eastAsia="zh-CN" w:bidi="ar-SA"/>
        </w:rPr>
        <w:t>公立医院</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综合医院</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01）：支出决算</w:t>
      </w:r>
      <w:r>
        <w:rPr>
          <w:rFonts w:hint="eastAsia" w:eastAsia="仿宋_GB2312" w:cs="仿宋_GB2312"/>
          <w:color w:val="auto"/>
          <w:kern w:val="2"/>
          <w:sz w:val="32"/>
          <w:szCs w:val="32"/>
          <w:highlight w:val="none"/>
          <w:lang w:val="en-US" w:eastAsia="zh-CN" w:bidi="ar-SA"/>
        </w:rPr>
        <w:t>8418.21</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万元，完成预算100%。卫生健康支出（210）公共卫生（21004</w:t>
      </w:r>
      <w:r>
        <w:rPr>
          <w:rFonts w:hint="eastAsia" w:eastAsia="仿宋_GB2312" w:cs="仿宋_GB2312"/>
          <w:color w:val="auto"/>
          <w:kern w:val="2"/>
          <w:sz w:val="32"/>
          <w:szCs w:val="32"/>
          <w:highlight w:val="none"/>
          <w:lang w:val="en-US" w:eastAsia="zh-CN" w:bidi="ar-SA"/>
        </w:rPr>
        <w:t>）疾病预防控制中心</w:t>
      </w:r>
      <w:r>
        <w:rPr>
          <w:rFonts w:hint="eastAsia" w:ascii="Times New Roman" w:hAnsi="Times New Roman" w:eastAsia="仿宋_GB2312" w:cs="仿宋_GB2312"/>
          <w:color w:val="auto"/>
          <w:kern w:val="2"/>
          <w:sz w:val="32"/>
          <w:szCs w:val="32"/>
          <w:highlight w:val="none"/>
          <w:lang w:val="en-US" w:eastAsia="zh-CN" w:bidi="ar-SA"/>
        </w:rPr>
        <w:t>（210040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584.71</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万元，完成预算100%。卫生健康支出（210）公共卫生（21004</w:t>
      </w:r>
      <w:r>
        <w:rPr>
          <w:rFonts w:hint="eastAsia" w:eastAsia="仿宋_GB2312" w:cs="仿宋_GB2312"/>
          <w:color w:val="auto"/>
          <w:kern w:val="2"/>
          <w:sz w:val="32"/>
          <w:szCs w:val="32"/>
          <w:highlight w:val="none"/>
          <w:lang w:val="en-US" w:eastAsia="zh-CN" w:bidi="ar-SA"/>
        </w:rPr>
        <w:t>）妇幼保健机构</w:t>
      </w:r>
      <w:r>
        <w:rPr>
          <w:rFonts w:hint="eastAsia" w:ascii="Times New Roman" w:hAnsi="Times New Roman" w:eastAsia="仿宋_GB2312" w:cs="仿宋_GB2312"/>
          <w:color w:val="auto"/>
          <w:kern w:val="2"/>
          <w:sz w:val="32"/>
          <w:szCs w:val="32"/>
          <w:highlight w:val="none"/>
          <w:lang w:val="en-US" w:eastAsia="zh-CN" w:bidi="ar-SA"/>
        </w:rPr>
        <w:t>（210040</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651.4</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万元，完成预算100%。卫生健康支出（210）公共卫生（21004）基本公共卫生服务（2100408）：支出决算</w:t>
      </w:r>
      <w:r>
        <w:rPr>
          <w:rFonts w:hint="eastAsia" w:eastAsia="仿宋_GB2312" w:cs="仿宋_GB2312"/>
          <w:color w:val="auto"/>
          <w:kern w:val="2"/>
          <w:sz w:val="32"/>
          <w:szCs w:val="32"/>
          <w:highlight w:val="none"/>
          <w:lang w:val="en-US" w:eastAsia="zh-CN" w:bidi="ar-SA"/>
        </w:rPr>
        <w:t>815.82</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万元，完成预算100%。卫生健康支出（210）公共卫生（21004）重大公共卫生服务（2100409）：支出决算</w:t>
      </w:r>
      <w:r>
        <w:rPr>
          <w:rFonts w:hint="eastAsia" w:eastAsia="仿宋_GB2312" w:cs="仿宋_GB2312"/>
          <w:color w:val="auto"/>
          <w:kern w:val="2"/>
          <w:sz w:val="32"/>
          <w:szCs w:val="32"/>
          <w:highlight w:val="none"/>
          <w:lang w:val="en-US" w:eastAsia="zh-CN" w:bidi="ar-SA"/>
        </w:rPr>
        <w:t>211.19</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万元，完成预算100%。卫生健康支出（210）公共卫生（21004）</w:t>
      </w:r>
      <w:r>
        <w:rPr>
          <w:rFonts w:hint="eastAsia" w:eastAsia="仿宋_GB2312" w:cs="仿宋_GB2312"/>
          <w:color w:val="auto"/>
          <w:kern w:val="2"/>
          <w:sz w:val="32"/>
          <w:szCs w:val="32"/>
          <w:highlight w:val="none"/>
          <w:lang w:val="en-US" w:eastAsia="zh-CN" w:bidi="ar-SA"/>
        </w:rPr>
        <w:t>突发公共卫生事件应急处置</w:t>
      </w:r>
      <w:r>
        <w:rPr>
          <w:rFonts w:hint="eastAsia" w:ascii="Times New Roman" w:hAnsi="Times New Roman" w:eastAsia="仿宋_GB2312" w:cs="仿宋_GB2312"/>
          <w:color w:val="auto"/>
          <w:kern w:val="2"/>
          <w:sz w:val="32"/>
          <w:szCs w:val="32"/>
          <w:highlight w:val="none"/>
          <w:lang w:val="en-US" w:eastAsia="zh-CN" w:bidi="ar-SA"/>
        </w:rPr>
        <w:t>（21004</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9.5</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万元，完成预算100%。卫生健康支出（210）公共卫生（21004）其他公共卫生支出（2100499）：支出决算</w:t>
      </w:r>
      <w:r>
        <w:rPr>
          <w:rFonts w:hint="eastAsia" w:eastAsia="仿宋_GB2312" w:cs="仿宋_GB2312"/>
          <w:color w:val="auto"/>
          <w:kern w:val="2"/>
          <w:sz w:val="32"/>
          <w:szCs w:val="32"/>
          <w:highlight w:val="none"/>
          <w:lang w:val="en-US" w:eastAsia="zh-CN" w:bidi="ar-SA"/>
        </w:rPr>
        <w:t>312.49</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w:t>
      </w:r>
      <w:r>
        <w:rPr>
          <w:rFonts w:hint="eastAsia" w:eastAsia="仿宋_GB2312" w:cs="仿宋_GB2312"/>
          <w:color w:val="auto"/>
          <w:kern w:val="2"/>
          <w:sz w:val="32"/>
          <w:szCs w:val="32"/>
          <w:highlight w:val="none"/>
          <w:lang w:val="en-US" w:eastAsia="zh-CN" w:bidi="ar-SA"/>
        </w:rPr>
        <w:t>计划生育事务</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计划生育服务</w:t>
      </w:r>
      <w:r>
        <w:rPr>
          <w:rFonts w:hint="eastAsia" w:ascii="Times New Roman" w:hAnsi="Times New Roman" w:eastAsia="仿宋_GB2312" w:cs="仿宋_GB2312"/>
          <w:color w:val="auto"/>
          <w:kern w:val="2"/>
          <w:sz w:val="32"/>
          <w:szCs w:val="32"/>
          <w:highlight w:val="none"/>
          <w:lang w:val="en-US" w:eastAsia="zh-CN" w:bidi="ar-SA"/>
        </w:rPr>
        <w:t>（210</w:t>
      </w:r>
      <w:r>
        <w:rPr>
          <w:rFonts w:hint="eastAsia" w:eastAsia="仿宋_GB2312" w:cs="仿宋_GB2312"/>
          <w:color w:val="auto"/>
          <w:kern w:val="2"/>
          <w:sz w:val="32"/>
          <w:szCs w:val="32"/>
          <w:highlight w:val="none"/>
          <w:lang w:val="en-US" w:eastAsia="zh-CN" w:bidi="ar-SA"/>
        </w:rPr>
        <w:t>0717</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1.17</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w:t>
      </w:r>
      <w:r>
        <w:rPr>
          <w:rFonts w:hint="eastAsia" w:eastAsia="仿宋_GB2312" w:cs="仿宋_GB2312"/>
          <w:color w:val="auto"/>
          <w:kern w:val="2"/>
          <w:sz w:val="32"/>
          <w:szCs w:val="32"/>
          <w:highlight w:val="none"/>
          <w:lang w:val="en-US" w:eastAsia="zh-CN" w:bidi="ar-SA"/>
        </w:rPr>
        <w:t>计划生育事务</w:t>
      </w:r>
      <w:r>
        <w:rPr>
          <w:rFonts w:hint="eastAsia" w:ascii="Times New Roman" w:hAnsi="Times New Roman" w:eastAsia="仿宋_GB2312" w:cs="仿宋_GB2312"/>
          <w:color w:val="auto"/>
          <w:kern w:val="2"/>
          <w:sz w:val="32"/>
          <w:szCs w:val="32"/>
          <w:highlight w:val="none"/>
          <w:lang w:val="en-US" w:eastAsia="zh-CN" w:bidi="ar-SA"/>
        </w:rPr>
        <w:t>（2100</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其他计划生育服务支出</w:t>
      </w:r>
      <w:r>
        <w:rPr>
          <w:rFonts w:hint="eastAsia" w:ascii="Times New Roman" w:hAnsi="Times New Roman" w:eastAsia="仿宋_GB2312" w:cs="仿宋_GB2312"/>
          <w:color w:val="auto"/>
          <w:kern w:val="2"/>
          <w:sz w:val="32"/>
          <w:szCs w:val="32"/>
          <w:highlight w:val="none"/>
          <w:lang w:val="en-US" w:eastAsia="zh-CN" w:bidi="ar-SA"/>
        </w:rPr>
        <w:t>（210</w:t>
      </w:r>
      <w:r>
        <w:rPr>
          <w:rFonts w:hint="eastAsia" w:eastAsia="仿宋_GB2312" w:cs="仿宋_GB2312"/>
          <w:color w:val="auto"/>
          <w:kern w:val="2"/>
          <w:sz w:val="32"/>
          <w:szCs w:val="32"/>
          <w:highlight w:val="none"/>
          <w:lang w:val="en-US" w:eastAsia="zh-CN" w:bidi="ar-SA"/>
        </w:rPr>
        <w:t>0799</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187.56</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万元，完成预算100%。卫生健康支出（210）行政事业单位医疗（21011）</w:t>
      </w:r>
      <w:r>
        <w:rPr>
          <w:rFonts w:hint="eastAsia" w:eastAsia="仿宋_GB2312" w:cs="仿宋_GB2312"/>
          <w:color w:val="auto"/>
          <w:kern w:val="2"/>
          <w:sz w:val="32"/>
          <w:szCs w:val="32"/>
          <w:highlight w:val="none"/>
          <w:lang w:val="en-US" w:eastAsia="zh-CN" w:bidi="ar-SA"/>
        </w:rPr>
        <w:t>行政</w:t>
      </w:r>
      <w:r>
        <w:rPr>
          <w:rFonts w:hint="eastAsia" w:ascii="Times New Roman" w:hAnsi="Times New Roman" w:eastAsia="仿宋_GB2312" w:cs="仿宋_GB2312"/>
          <w:color w:val="auto"/>
          <w:kern w:val="2"/>
          <w:sz w:val="32"/>
          <w:szCs w:val="32"/>
          <w:highlight w:val="none"/>
          <w:lang w:val="en-US" w:eastAsia="zh-CN" w:bidi="ar-SA"/>
        </w:rPr>
        <w:t>单位医疗（210110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13.05</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万元，完成预算100%。卫生健康支出（210）行政事业单位医疗（21011）</w:t>
      </w:r>
      <w:r>
        <w:rPr>
          <w:rFonts w:hint="eastAsia" w:eastAsia="仿宋_GB2312" w:cs="仿宋_GB2312"/>
          <w:color w:val="auto"/>
          <w:kern w:val="2"/>
          <w:sz w:val="32"/>
          <w:szCs w:val="32"/>
          <w:highlight w:val="none"/>
          <w:lang w:val="en-US" w:eastAsia="zh-CN" w:bidi="ar-SA"/>
        </w:rPr>
        <w:t>事业</w:t>
      </w:r>
      <w:r>
        <w:rPr>
          <w:rFonts w:hint="eastAsia" w:ascii="Times New Roman" w:hAnsi="Times New Roman" w:eastAsia="仿宋_GB2312" w:cs="仿宋_GB2312"/>
          <w:color w:val="auto"/>
          <w:kern w:val="2"/>
          <w:sz w:val="32"/>
          <w:szCs w:val="32"/>
          <w:highlight w:val="none"/>
          <w:lang w:val="en-US" w:eastAsia="zh-CN" w:bidi="ar-SA"/>
        </w:rPr>
        <w:t>单位医疗（210110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588.87</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万元，完成预算100%。卫生健康支出（210）行政事业单位医疗（21011）</w:t>
      </w:r>
      <w:r>
        <w:rPr>
          <w:rFonts w:hint="eastAsia" w:eastAsia="仿宋_GB2312" w:cs="仿宋_GB2312"/>
          <w:color w:val="auto"/>
          <w:kern w:val="2"/>
          <w:sz w:val="32"/>
          <w:szCs w:val="32"/>
          <w:highlight w:val="none"/>
          <w:lang w:val="en-US" w:eastAsia="zh-CN" w:bidi="ar-SA"/>
        </w:rPr>
        <w:t>公务员医疗补助</w:t>
      </w:r>
      <w:r>
        <w:rPr>
          <w:rFonts w:hint="eastAsia" w:ascii="Times New Roman" w:hAnsi="Times New Roman" w:eastAsia="仿宋_GB2312" w:cs="仿宋_GB2312"/>
          <w:color w:val="auto"/>
          <w:kern w:val="2"/>
          <w:sz w:val="32"/>
          <w:szCs w:val="32"/>
          <w:highlight w:val="none"/>
          <w:lang w:val="en-US" w:eastAsia="zh-CN" w:bidi="ar-SA"/>
        </w:rPr>
        <w:t>（210110</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2.37</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万元，完成预算100%。卫生健康支出（210）行政事业单位医疗（21011）其他行政事业单位医疗（2101199）：支出决算</w:t>
      </w:r>
      <w:r>
        <w:rPr>
          <w:rFonts w:hint="eastAsia" w:eastAsia="仿宋_GB2312" w:cs="仿宋_GB2312"/>
          <w:color w:val="auto"/>
          <w:kern w:val="2"/>
          <w:sz w:val="32"/>
          <w:szCs w:val="32"/>
          <w:highlight w:val="none"/>
          <w:lang w:val="en-US" w:eastAsia="zh-CN" w:bidi="ar-SA"/>
        </w:rPr>
        <w:t>110.78</w:t>
      </w:r>
      <w:r>
        <w:rPr>
          <w:rFonts w:hint="eastAsia" w:ascii="Times New Roman" w:hAnsi="Times New Roman" w:eastAsia="仿宋_GB2312" w:cs="仿宋_GB2312"/>
          <w:color w:val="auto"/>
          <w:kern w:val="2"/>
          <w:sz w:val="32"/>
          <w:szCs w:val="32"/>
          <w:highlight w:val="none"/>
          <w:lang w:val="en-US" w:eastAsia="zh-CN" w:bidi="ar-SA"/>
        </w:rPr>
        <w:t>万元，完成预算100%。卫生健康支出（210）</w:t>
      </w:r>
      <w:r>
        <w:rPr>
          <w:rFonts w:hint="eastAsia" w:eastAsia="仿宋_GB2312" w:cs="仿宋_GB2312"/>
          <w:color w:val="auto"/>
          <w:kern w:val="2"/>
          <w:sz w:val="32"/>
          <w:szCs w:val="32"/>
          <w:highlight w:val="none"/>
          <w:lang w:val="en-US" w:eastAsia="zh-CN" w:bidi="ar-SA"/>
        </w:rPr>
        <w:t>医疗救助</w:t>
      </w:r>
      <w:r>
        <w:rPr>
          <w:rFonts w:hint="eastAsia" w:ascii="Times New Roman" w:hAnsi="Times New Roman" w:eastAsia="仿宋_GB2312" w:cs="仿宋_GB2312"/>
          <w:color w:val="auto"/>
          <w:kern w:val="2"/>
          <w:sz w:val="32"/>
          <w:szCs w:val="32"/>
          <w:highlight w:val="none"/>
          <w:lang w:val="en-US" w:eastAsia="zh-CN" w:bidi="ar-SA"/>
        </w:rPr>
        <w:t>（2101</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其他医疗救助支出</w:t>
      </w:r>
      <w:r>
        <w:rPr>
          <w:rFonts w:hint="eastAsia" w:ascii="Times New Roman" w:hAnsi="Times New Roman" w:eastAsia="仿宋_GB2312" w:cs="仿宋_GB2312"/>
          <w:color w:val="auto"/>
          <w:kern w:val="2"/>
          <w:sz w:val="32"/>
          <w:szCs w:val="32"/>
          <w:highlight w:val="none"/>
          <w:lang w:val="en-US" w:eastAsia="zh-CN" w:bidi="ar-SA"/>
        </w:rPr>
        <w:t>（2101</w:t>
      </w:r>
      <w:r>
        <w:rPr>
          <w:rFonts w:hint="eastAsia" w:eastAsia="仿宋_GB2312" w:cs="仿宋_GB2312"/>
          <w:color w:val="auto"/>
          <w:kern w:val="2"/>
          <w:sz w:val="32"/>
          <w:szCs w:val="32"/>
          <w:highlight w:val="none"/>
          <w:lang w:val="en-US" w:eastAsia="zh-CN" w:bidi="ar-SA"/>
        </w:rPr>
        <w:t>399</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100.99</w:t>
      </w:r>
      <w:r>
        <w:rPr>
          <w:rFonts w:hint="eastAsia" w:ascii="Times New Roman" w:hAnsi="Times New Roman" w:eastAsia="仿宋_GB2312" w:cs="仿宋_GB2312"/>
          <w:color w:val="auto"/>
          <w:kern w:val="2"/>
          <w:sz w:val="32"/>
          <w:szCs w:val="32"/>
          <w:highlight w:val="none"/>
          <w:lang w:val="en-US" w:eastAsia="zh-CN" w:bidi="ar-SA"/>
        </w:rPr>
        <w:t>元，完成预算100%。卫生健康支出（210）</w:t>
      </w:r>
      <w:r>
        <w:rPr>
          <w:rFonts w:hint="eastAsia" w:eastAsia="仿宋_GB2312" w:cs="仿宋_GB2312"/>
          <w:color w:val="auto"/>
          <w:kern w:val="2"/>
          <w:sz w:val="32"/>
          <w:szCs w:val="32"/>
          <w:highlight w:val="none"/>
          <w:lang w:val="en-US" w:eastAsia="zh-CN" w:bidi="ar-SA"/>
        </w:rPr>
        <w:t>中医药事务</w:t>
      </w:r>
      <w:r>
        <w:rPr>
          <w:rFonts w:hint="eastAsia" w:ascii="Times New Roman" w:hAnsi="Times New Roman" w:eastAsia="仿宋_GB2312" w:cs="仿宋_GB2312"/>
          <w:color w:val="auto"/>
          <w:kern w:val="2"/>
          <w:sz w:val="32"/>
          <w:szCs w:val="32"/>
          <w:highlight w:val="none"/>
          <w:lang w:val="en-US" w:eastAsia="zh-CN" w:bidi="ar-SA"/>
        </w:rPr>
        <w:t>（210</w:t>
      </w: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中医（民族医）药专项</w:t>
      </w:r>
      <w:r>
        <w:rPr>
          <w:rFonts w:hint="eastAsia" w:ascii="Times New Roman" w:hAnsi="Times New Roman" w:eastAsia="仿宋_GB2312" w:cs="仿宋_GB2312"/>
          <w:color w:val="auto"/>
          <w:kern w:val="2"/>
          <w:sz w:val="32"/>
          <w:szCs w:val="32"/>
          <w:highlight w:val="none"/>
          <w:lang w:val="en-US" w:eastAsia="zh-CN" w:bidi="ar-SA"/>
        </w:rPr>
        <w:t>（2101</w:t>
      </w:r>
      <w:r>
        <w:rPr>
          <w:rFonts w:hint="eastAsia" w:eastAsia="仿宋_GB2312" w:cs="仿宋_GB2312"/>
          <w:color w:val="auto"/>
          <w:kern w:val="2"/>
          <w:sz w:val="32"/>
          <w:szCs w:val="32"/>
          <w:highlight w:val="none"/>
          <w:lang w:val="en-US" w:eastAsia="zh-CN" w:bidi="ar-SA"/>
        </w:rPr>
        <w:t>1704</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50</w:t>
      </w:r>
      <w:r>
        <w:rPr>
          <w:rFonts w:hint="eastAsia" w:ascii="Times New Roman" w:hAnsi="Times New Roman" w:eastAsia="仿宋_GB2312" w:cs="仿宋_GB2312"/>
          <w:color w:val="auto"/>
          <w:kern w:val="2"/>
          <w:sz w:val="32"/>
          <w:szCs w:val="32"/>
          <w:highlight w:val="none"/>
          <w:lang w:val="en-US" w:eastAsia="zh-CN" w:bidi="ar-SA"/>
        </w:rPr>
        <w:t>元，完成预算100%。</w:t>
      </w:r>
      <w:r>
        <w:rPr>
          <w:rFonts w:hint="eastAsia" w:eastAsia="仿宋_GB2312" w:cs="仿宋_GB2312"/>
          <w:color w:val="auto"/>
          <w:kern w:val="2"/>
          <w:sz w:val="32"/>
          <w:szCs w:val="32"/>
          <w:highlight w:val="none"/>
          <w:lang w:val="en-US" w:eastAsia="zh-CN" w:bidi="ar-SA"/>
        </w:rPr>
        <w:t>卫生健康支出（210）疾病预防控制事务（21018）其他疾病预防控制事务支出（2101899）：支出预算87.7万元，完成预算100%。</w:t>
      </w:r>
      <w:r>
        <w:rPr>
          <w:rFonts w:hint="eastAsia" w:ascii="Times New Roman" w:hAnsi="Times New Roman" w:eastAsia="仿宋_GB2312" w:cs="仿宋_GB2312"/>
          <w:color w:val="auto"/>
          <w:kern w:val="2"/>
          <w:sz w:val="32"/>
          <w:szCs w:val="32"/>
          <w:highlight w:val="none"/>
          <w:lang w:val="en-US" w:eastAsia="zh-CN" w:bidi="ar-SA"/>
        </w:rPr>
        <w:t>卫生健康支出（210）</w:t>
      </w:r>
      <w:r>
        <w:rPr>
          <w:rFonts w:hint="eastAsia" w:eastAsia="仿宋_GB2312" w:cs="仿宋_GB2312"/>
          <w:color w:val="auto"/>
          <w:kern w:val="2"/>
          <w:sz w:val="32"/>
          <w:szCs w:val="32"/>
          <w:highlight w:val="none"/>
          <w:lang w:val="en-US" w:eastAsia="zh-CN" w:bidi="ar-SA"/>
        </w:rPr>
        <w:t>托育服务</w:t>
      </w:r>
      <w:r>
        <w:rPr>
          <w:rFonts w:hint="eastAsia" w:ascii="Times New Roman" w:hAnsi="Times New Roman" w:eastAsia="仿宋_GB2312" w:cs="仿宋_GB2312"/>
          <w:color w:val="auto"/>
          <w:kern w:val="2"/>
          <w:sz w:val="32"/>
          <w:szCs w:val="32"/>
          <w:highlight w:val="none"/>
          <w:lang w:val="en-US" w:eastAsia="zh-CN" w:bidi="ar-SA"/>
        </w:rPr>
        <w:t>（210</w:t>
      </w: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其它托育服务支出</w:t>
      </w:r>
      <w:r>
        <w:rPr>
          <w:rFonts w:hint="eastAsia" w:ascii="Times New Roman" w:hAnsi="Times New Roman" w:eastAsia="仿宋_GB2312" w:cs="仿宋_GB2312"/>
          <w:color w:val="auto"/>
          <w:kern w:val="2"/>
          <w:sz w:val="32"/>
          <w:szCs w:val="32"/>
          <w:highlight w:val="none"/>
          <w:lang w:val="en-US" w:eastAsia="zh-CN" w:bidi="ar-SA"/>
        </w:rPr>
        <w:t>（210</w:t>
      </w:r>
      <w:r>
        <w:rPr>
          <w:rFonts w:hint="eastAsia" w:eastAsia="仿宋_GB2312" w:cs="仿宋_GB2312"/>
          <w:color w:val="auto"/>
          <w:kern w:val="2"/>
          <w:sz w:val="32"/>
          <w:szCs w:val="32"/>
          <w:highlight w:val="none"/>
          <w:lang w:val="en-US" w:eastAsia="zh-CN" w:bidi="ar-SA"/>
        </w:rPr>
        <w:t>1999</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591.15</w:t>
      </w:r>
      <w:r>
        <w:rPr>
          <w:rFonts w:hint="eastAsia" w:ascii="Times New Roman" w:hAnsi="Times New Roman" w:eastAsia="仿宋_GB2312" w:cs="仿宋_GB2312"/>
          <w:color w:val="auto"/>
          <w:kern w:val="2"/>
          <w:sz w:val="32"/>
          <w:szCs w:val="32"/>
          <w:highlight w:val="none"/>
          <w:lang w:val="en-US" w:eastAsia="zh-CN" w:bidi="ar-SA"/>
        </w:rPr>
        <w:t>元，完成预算100%。</w:t>
      </w:r>
      <w:r>
        <w:rPr>
          <w:rFonts w:hint="eastAsia" w:eastAsia="仿宋_GB2312" w:cs="仿宋_GB2312"/>
          <w:color w:val="auto"/>
          <w:kern w:val="2"/>
          <w:sz w:val="32"/>
          <w:szCs w:val="32"/>
          <w:highlight w:val="none"/>
          <w:lang w:val="en-US" w:eastAsia="zh-CN" w:bidi="ar-SA"/>
        </w:rPr>
        <w:t>卫生健康支出（210）其他卫生健康支出（21099）其他卫生健康支出（2109999）：支出预算781.59万元，完成预算100%。</w:t>
      </w:r>
    </w:p>
    <w:p w14:paraId="37B14530">
      <w:pPr>
        <w:pStyle w:val="5"/>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7.</w:t>
      </w:r>
      <w:r>
        <w:rPr>
          <w:rFonts w:hint="eastAsia" w:eastAsia="仿宋_GB2312" w:cs="仿宋_GB2312"/>
          <w:color w:val="auto"/>
          <w:kern w:val="2"/>
          <w:sz w:val="32"/>
          <w:szCs w:val="32"/>
          <w:highlight w:val="none"/>
          <w:lang w:val="en-US" w:eastAsia="zh-CN" w:bidi="ar-SA"/>
        </w:rPr>
        <w:t>农林水</w:t>
      </w: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巩固脱贫攻坚成果衔接乡村振兴</w:t>
      </w: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1305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社会发展</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2130506</w:t>
      </w:r>
      <w:r>
        <w:rPr>
          <w:rFonts w:hint="eastAsia" w:ascii="Times New Roman" w:hAnsi="Times New Roman" w:eastAsia="仿宋_GB2312" w:cs="仿宋_GB2312"/>
          <w:color w:val="auto"/>
          <w:kern w:val="2"/>
          <w:sz w:val="32"/>
          <w:szCs w:val="32"/>
          <w:highlight w:val="none"/>
          <w:lang w:val="en-US" w:eastAsia="zh-CN" w:bidi="ar-SA"/>
        </w:rPr>
        <w:t>）：支出决算</w:t>
      </w:r>
      <w:r>
        <w:rPr>
          <w:rFonts w:hint="eastAsia" w:eastAsia="仿宋_GB2312" w:cs="仿宋_GB2312"/>
          <w:color w:val="auto"/>
          <w:kern w:val="2"/>
          <w:sz w:val="32"/>
          <w:szCs w:val="32"/>
          <w:highlight w:val="none"/>
          <w:lang w:val="en-US" w:eastAsia="zh-CN" w:bidi="ar-SA"/>
        </w:rPr>
        <w:t>130.45</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1F388345">
      <w:pPr>
        <w:pStyle w:val="5"/>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.住房保障支出（221）住房改革支出（22102）住房公积金（2210201）：支出决算</w:t>
      </w:r>
      <w:r>
        <w:rPr>
          <w:rFonts w:hint="eastAsia" w:eastAsia="仿宋_GB2312" w:cs="仿宋_GB2312"/>
          <w:color w:val="auto"/>
          <w:kern w:val="2"/>
          <w:sz w:val="32"/>
          <w:szCs w:val="32"/>
          <w:highlight w:val="none"/>
          <w:lang w:val="en-US" w:eastAsia="zh-CN" w:bidi="ar-SA"/>
        </w:rPr>
        <w:t>1041</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7018694A">
      <w:pPr>
        <w:tabs>
          <w:tab w:val="right" w:pos="8306"/>
        </w:tabs>
        <w:spacing w:line="600" w:lineRule="exact"/>
        <w:ind w:firstLine="640"/>
        <w:outlineLvl w:val="1"/>
        <w:rPr>
          <w:rStyle w:val="32"/>
          <w:rFonts w:ascii="Times New Roman" w:hAnsi="Times New Roman"/>
          <w:color w:val="auto"/>
          <w:highlight w:val="none"/>
        </w:rPr>
      </w:pPr>
      <w:bookmarkStart w:id="36" w:name="_Toc15396608"/>
      <w:bookmarkStart w:id="37"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6"/>
      <w:bookmarkEnd w:id="37"/>
      <w:r>
        <w:rPr>
          <w:rStyle w:val="32"/>
          <w:rFonts w:ascii="Times New Roman" w:hAnsi="Times New Roman" w:eastAsia="黑体"/>
          <w:b w:val="0"/>
          <w:color w:val="auto"/>
          <w:highlight w:val="none"/>
        </w:rPr>
        <w:tab/>
      </w:r>
    </w:p>
    <w:p w14:paraId="766DDE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lang w:val="en-US" w:eastAsia="zh-CN"/>
        </w:rPr>
        <w:t>19362.1</w:t>
      </w:r>
      <w:r>
        <w:rPr>
          <w:rFonts w:hint="eastAsia" w:ascii="Times New Roman" w:hAnsi="Times New Roman" w:eastAsia="仿宋_GB2312" w:cs="仿宋_GB2312"/>
          <w:color w:val="auto"/>
          <w:kern w:val="2"/>
          <w:sz w:val="32"/>
          <w:szCs w:val="32"/>
          <w:highlight w:val="none"/>
          <w:lang w:val="en-US" w:eastAsia="zh-CN" w:bidi="ar-SA"/>
        </w:rPr>
        <w:t>万元，其中：</w:t>
      </w:r>
    </w:p>
    <w:p w14:paraId="1D3857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15113.42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4248.68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89340F8">
      <w:pPr>
        <w:spacing w:line="600" w:lineRule="exact"/>
        <w:ind w:firstLine="640"/>
        <w:outlineLvl w:val="1"/>
        <w:rPr>
          <w:rStyle w:val="32"/>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8"/>
      <w:bookmarkEnd w:id="39"/>
    </w:p>
    <w:p w14:paraId="194AACA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14:paraId="5F3CE1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lang w:val="en-US" w:eastAsia="zh-CN"/>
        </w:rPr>
        <w:t>13.47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w:t>
      </w:r>
      <w:r>
        <w:rPr>
          <w:rFonts w:hint="eastAsia" w:eastAsia="仿宋_GB2312" w:cs="仿宋_GB2312"/>
          <w:color w:val="auto"/>
          <w:kern w:val="2"/>
          <w:sz w:val="32"/>
          <w:szCs w:val="32"/>
          <w:highlight w:val="none"/>
          <w:lang w:val="en-US" w:eastAsia="zh-CN" w:bidi="ar-SA"/>
        </w:rPr>
        <w:t>下降31.09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减少70</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451D138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14:paraId="3F1F77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lang w:val="en-US" w:eastAsia="zh-CN"/>
        </w:rPr>
        <w:t>13.47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726F91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4C358728">
      <w:pPr>
        <w:pStyle w:val="21"/>
        <w:rPr>
          <w:rFonts w:hint="eastAsia"/>
          <w:lang w:val="en-US" w:eastAsia="zh-CN"/>
        </w:rPr>
      </w:pPr>
      <w:r>
        <w:rPr>
          <w:rFonts w:hint="eastAsia"/>
          <w:lang w:val="en-US"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B99C3BE">
      <w:pPr>
        <w:numPr>
          <w:ilvl w:val="0"/>
          <w:numId w:val="5"/>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上年度无增减。</w:t>
      </w:r>
    </w:p>
    <w:p w14:paraId="66891100">
      <w:pPr>
        <w:numPr>
          <w:ilvl w:val="0"/>
          <w:numId w:val="0"/>
        </w:numPr>
        <w:spacing w:line="600" w:lineRule="exact"/>
        <w:ind w:firstLine="643" w:firstLineChars="200"/>
        <w:rPr>
          <w:rFonts w:hint="eastAsia" w:ascii="Times New Roman" w:hAnsi="Times New Roman" w:eastAsia="仿宋_GB2312" w:cs="仿宋_GB2312"/>
          <w:color w:val="0000FF"/>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13.47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上年度下降31.09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减少70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2024年购买公务用车一辆，今年无公务车购置费。</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42</w:t>
      </w:r>
      <w:r>
        <w:rPr>
          <w:rFonts w:hint="eastAsia" w:ascii="Times New Roman" w:hAnsi="Times New Roman" w:eastAsia="仿宋_GB2312" w:cs="仿宋_GB2312"/>
          <w:color w:val="auto"/>
          <w:kern w:val="2"/>
          <w:sz w:val="32"/>
          <w:szCs w:val="32"/>
          <w:highlight w:val="none"/>
          <w:lang w:val="en-US" w:eastAsia="zh-CN" w:bidi="ar-SA"/>
        </w:rPr>
        <w:t>辆。</w:t>
      </w:r>
    </w:p>
    <w:p w14:paraId="312D7B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lang w:val="en-US" w:eastAsia="zh-CN"/>
        </w:rPr>
        <w:t>13.47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auto"/>
          <w:sz w:val="32"/>
          <w:szCs w:val="32"/>
          <w:lang w:eastAsia="zh-CN"/>
        </w:rPr>
        <w:t>传染病管理、追踪、治疗、督导，</w:t>
      </w:r>
      <w:r>
        <w:rPr>
          <w:rFonts w:hint="eastAsia" w:ascii="仿宋_GB2312" w:hAnsi="仿宋_GB2312" w:eastAsia="仿宋_GB2312" w:cs="仿宋_GB2312"/>
          <w:color w:val="auto"/>
          <w:sz w:val="32"/>
          <w:szCs w:val="32"/>
        </w:rPr>
        <w:t>处理突发公共卫生应急事件</w:t>
      </w:r>
      <w:r>
        <w:rPr>
          <w:rFonts w:hint="eastAsia" w:ascii="仿宋_GB2312" w:eastAsia="仿宋_GB2312"/>
          <w:color w:val="auto"/>
          <w:sz w:val="32"/>
          <w:szCs w:val="32"/>
        </w:rPr>
        <w:t>等所需</w:t>
      </w:r>
      <w:r>
        <w:rPr>
          <w:rFonts w:hint="eastAsia" w:ascii="Times New Roman" w:hAnsi="Times New Roman" w:eastAsia="仿宋_GB2312" w:cs="仿宋_GB2312"/>
          <w:color w:val="auto"/>
          <w:kern w:val="2"/>
          <w:sz w:val="32"/>
          <w:szCs w:val="32"/>
          <w:highlight w:val="none"/>
          <w:lang w:val="en-US" w:eastAsia="zh-CN" w:bidi="ar-SA"/>
        </w:rPr>
        <w:t>的公务用车燃料费、维修费、过路过桥费、保险费等支出。</w:t>
      </w:r>
    </w:p>
    <w:p w14:paraId="2E5F6260">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无增减。</w:t>
      </w:r>
    </w:p>
    <w:p w14:paraId="684062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9EAAE52">
      <w:pPr>
        <w:spacing w:line="600" w:lineRule="exact"/>
        <w:ind w:firstLine="640"/>
        <w:outlineLvl w:val="1"/>
        <w:rPr>
          <w:rStyle w:val="32"/>
          <w:rFonts w:ascii="Times New Roman" w:hAnsi="Times New Roman" w:eastAsia="黑体"/>
          <w:color w:val="auto"/>
          <w:highlight w:val="none"/>
        </w:rPr>
      </w:pPr>
      <w:bookmarkStart w:id="42" w:name="_Toc15396610"/>
      <w:bookmarkStart w:id="43" w:name="_Toc15377218"/>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42"/>
      <w:bookmarkEnd w:id="43"/>
    </w:p>
    <w:p w14:paraId="5C429F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决算数与预算数持平。</w:t>
      </w:r>
    </w:p>
    <w:p w14:paraId="1AFA62A4">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44" w:name="_Toc15396611"/>
      <w:bookmarkStart w:id="45" w:name="_Toc15377219"/>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44"/>
      <w:bookmarkEnd w:id="45"/>
    </w:p>
    <w:p w14:paraId="10A9D3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决算数与预算数持平。</w:t>
      </w:r>
    </w:p>
    <w:p w14:paraId="3BAC2BFB">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46" w:name="_Toc15377221"/>
      <w:bookmarkStart w:id="47" w:name="_Toc15396612"/>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46"/>
      <w:bookmarkEnd w:id="47"/>
    </w:p>
    <w:p w14:paraId="3BA0FA1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14:paraId="5C1567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w:t>
      </w:r>
      <w:r>
        <w:rPr>
          <w:rFonts w:hint="eastAsia" w:ascii="仿宋_GB2312" w:hAnsi="仿宋_GB2312" w:eastAsia="仿宋_GB2312" w:cs="仿宋_GB2312"/>
          <w:sz w:val="32"/>
          <w:szCs w:val="32"/>
          <w:lang w:eastAsia="zh-CN"/>
        </w:rPr>
        <w:t>卫生健康局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25.07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w:t>
      </w:r>
      <w:r>
        <w:rPr>
          <w:rFonts w:hint="eastAsia" w:ascii="Times New Roman" w:hAnsi="Times New Roman" w:eastAsia="仿宋_GB2312" w:cs="仿宋_GB2312"/>
          <w:color w:val="auto"/>
          <w:kern w:val="2"/>
          <w:sz w:val="32"/>
          <w:szCs w:val="32"/>
          <w:highlight w:val="none"/>
          <w:lang w:val="en-US" w:eastAsia="zh-CN" w:bidi="ar-SA"/>
        </w:rPr>
        <w:t>年度决算数</w:t>
      </w:r>
      <w:r>
        <w:rPr>
          <w:rFonts w:hint="eastAsia" w:eastAsia="仿宋_GB2312" w:cs="仿宋_GB2312"/>
          <w:color w:val="auto"/>
          <w:kern w:val="2"/>
          <w:sz w:val="32"/>
          <w:szCs w:val="32"/>
          <w:highlight w:val="none"/>
          <w:lang w:val="en-US" w:eastAsia="zh-CN" w:bidi="ar-SA"/>
        </w:rPr>
        <w:t>增长11.68万元。</w:t>
      </w:r>
    </w:p>
    <w:p w14:paraId="44D6F66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14:paraId="1D0EFD87">
      <w:pPr>
        <w:spacing w:line="600" w:lineRule="exact"/>
        <w:ind w:firstLine="640"/>
        <w:rPr>
          <w:rFonts w:hint="eastAsia" w:ascii="Times New Roman" w:hAnsi="Times New Roman" w:eastAsia="仿宋_GB2312" w:cs="仿宋_GB2312"/>
          <w:color w:val="0000FF"/>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w:t>
      </w:r>
      <w:r>
        <w:rPr>
          <w:rFonts w:hint="eastAsia" w:ascii="仿宋_GB2312" w:hAnsi="仿宋_GB2312" w:eastAsia="仿宋_GB2312" w:cs="仿宋_GB2312"/>
          <w:sz w:val="32"/>
          <w:szCs w:val="32"/>
          <w:lang w:eastAsia="zh-CN"/>
        </w:rPr>
        <w:t>卫生健康部门</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532.29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lang w:val="en-US" w:eastAsia="zh-CN"/>
        </w:rPr>
        <w:t>532.29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主要用于</w:t>
      </w:r>
      <w:r>
        <w:rPr>
          <w:rFonts w:hint="eastAsia" w:eastAsia="仿宋_GB2312" w:cs="仿宋_GB2312"/>
          <w:color w:val="auto"/>
          <w:kern w:val="2"/>
          <w:sz w:val="32"/>
          <w:szCs w:val="32"/>
          <w:highlight w:val="none"/>
          <w:lang w:val="en-US" w:eastAsia="zh-CN" w:bidi="ar-SA"/>
        </w:rPr>
        <w:t>购置医疗设备等</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color w:val="auto"/>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color w:val="auto"/>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75231F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14:paraId="3D8C7B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w:t>
      </w:r>
      <w:r>
        <w:rPr>
          <w:rFonts w:hint="eastAsia" w:ascii="仿宋_GB2312" w:hAnsi="仿宋_GB2312" w:eastAsia="仿宋_GB2312" w:cs="仿宋_GB2312"/>
          <w:sz w:val="32"/>
          <w:szCs w:val="32"/>
          <w:lang w:eastAsia="zh-CN"/>
        </w:rPr>
        <w:t>卫生健康部门</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lang w:val="en-US" w:eastAsia="zh-CN"/>
        </w:rPr>
        <w:t>42</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lang w:val="en-US" w:eastAsia="zh-CN"/>
        </w:rPr>
        <w:t>9</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lang w:val="en-US" w:eastAsia="zh-CN"/>
        </w:rPr>
        <w:t>2</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lang w:val="en-US" w:eastAsia="zh-CN"/>
        </w:rPr>
        <w:t>31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1C126C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17F89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育儿补贴、基本公共卫生服务等</w:t>
      </w:r>
      <w:r>
        <w:rPr>
          <w:rFonts w:hint="eastAsia" w:ascii="Times New Roman" w:hAnsi="Times New Roman" w:eastAsia="仿宋_GB2312" w:cs="仿宋_GB2312"/>
          <w:color w:val="auto"/>
          <w:kern w:val="2"/>
          <w:sz w:val="32"/>
          <w:szCs w:val="32"/>
          <w:highlight w:val="none"/>
          <w:lang w:val="en-US" w:eastAsia="zh-CN" w:bidi="ar-SA"/>
        </w:rPr>
        <w:t>涉及金额</w:t>
      </w:r>
      <w:r>
        <w:rPr>
          <w:rFonts w:hint="eastAsia" w:eastAsia="仿宋_GB2312" w:cs="仿宋_GB2312"/>
          <w:color w:val="auto"/>
          <w:kern w:val="2"/>
          <w:sz w:val="32"/>
          <w:szCs w:val="32"/>
          <w:highlight w:val="none"/>
          <w:lang w:val="en-US" w:eastAsia="zh-CN" w:bidi="ar-SA"/>
        </w:rPr>
        <w:t>1454.19</w:t>
      </w:r>
      <w:r>
        <w:rPr>
          <w:rFonts w:hint="eastAsia" w:ascii="Times New Roman" w:hAnsi="Times New Roman" w:eastAsia="仿宋_GB2312" w:cs="仿宋_GB2312"/>
          <w:color w:val="auto"/>
          <w:kern w:val="2"/>
          <w:sz w:val="32"/>
          <w:szCs w:val="32"/>
          <w:highlight w:val="none"/>
          <w:lang w:val="en-US" w:eastAsia="zh-CN" w:bidi="ar-SA"/>
        </w:rPr>
        <w:t>万元开展了事前绩效评估，</w:t>
      </w:r>
      <w:bookmarkStart w:id="51" w:name="OLE_LINK1"/>
      <w:r>
        <w:rPr>
          <w:rFonts w:hint="eastAsia" w:ascii="Times New Roman" w:hAnsi="Times New Roman" w:eastAsia="仿宋_GB2312" w:cs="仿宋_GB2312"/>
          <w:color w:val="auto"/>
          <w:kern w:val="2"/>
          <w:sz w:val="32"/>
          <w:szCs w:val="32"/>
          <w:highlight w:val="none"/>
          <w:lang w:val="en-US" w:eastAsia="zh-CN" w:bidi="ar-SA"/>
        </w:rPr>
        <w:t>对</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个项目开展绩效监控。</w:t>
      </w:r>
    </w:p>
    <w:bookmarkEnd w:id="51"/>
    <w:p w14:paraId="1F29A1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D4B04C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2" w:name="_Toc15377225"/>
      <w:bookmarkStart w:id="53"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2"/>
      <w:bookmarkEnd w:id="53"/>
    </w:p>
    <w:p w14:paraId="0ED44208">
      <w:pPr>
        <w:spacing w:line="600" w:lineRule="exact"/>
        <w:jc w:val="left"/>
        <w:rPr>
          <w:rFonts w:ascii="Times New Roman" w:hAnsi="Times New Roman"/>
          <w:b/>
          <w:color w:val="auto"/>
          <w:sz w:val="44"/>
          <w:szCs w:val="44"/>
          <w:highlight w:val="none"/>
        </w:rPr>
      </w:pPr>
    </w:p>
    <w:p w14:paraId="1FD52B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4" w:name="_Toc15396614"/>
      <w:bookmarkStart w:id="55"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3CA4DB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0089EE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03EF13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r>
        <w:rPr>
          <w:rFonts w:hint="eastAsia" w:eastAsia="仿宋_GB2312" w:cs="仿宋_GB2312"/>
          <w:color w:val="auto"/>
          <w:kern w:val="2"/>
          <w:sz w:val="32"/>
          <w:szCs w:val="32"/>
          <w:highlight w:val="none"/>
          <w:lang w:val="en-US" w:eastAsia="zh-CN" w:bidi="ar-SA"/>
        </w:rPr>
        <w:t>。</w:t>
      </w:r>
    </w:p>
    <w:p w14:paraId="28A059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206EE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03E9A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446D00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1E17FB83">
      <w:pPr>
        <w:pStyle w:val="29"/>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8</w:t>
      </w:r>
      <w:r>
        <w:rPr>
          <w:rFonts w:ascii="仿宋_GB2312" w:eastAsia="仿宋_GB2312"/>
          <w:color w:val="auto"/>
          <w:sz w:val="32"/>
          <w:szCs w:val="32"/>
        </w:rPr>
        <w:t>.</w:t>
      </w:r>
      <w:r>
        <w:rPr>
          <w:rFonts w:hint="eastAsia" w:ascii="仿宋_GB2312" w:eastAsia="仿宋_GB2312"/>
          <w:color w:val="auto"/>
          <w:sz w:val="32"/>
          <w:szCs w:val="32"/>
        </w:rPr>
        <w:t>社会保障和就业支出（208）行政事业单位养老支出（20805）机关事业单位基本养老保险缴费支出（2080505）</w:t>
      </w:r>
      <w:r>
        <w:rPr>
          <w:rFonts w:hint="eastAsia" w:ascii="仿宋_GB2312" w:eastAsia="仿宋_GB2312"/>
          <w:color w:val="auto"/>
          <w:sz w:val="32"/>
          <w:szCs w:val="32"/>
          <w:lang w:eastAsia="zh-CN"/>
        </w:rPr>
        <w:t>：反映机关事业单位实施养老保险制度由单位缴纳的基本养老保险费支出。</w:t>
      </w:r>
    </w:p>
    <w:p w14:paraId="6543DAB5">
      <w:pPr>
        <w:pStyle w:val="29"/>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9</w:t>
      </w:r>
      <w:r>
        <w:rPr>
          <w:rFonts w:hint="eastAsia" w:ascii="仿宋_GB2312" w:eastAsia="仿宋_GB2312"/>
          <w:color w:val="auto"/>
          <w:sz w:val="32"/>
          <w:szCs w:val="32"/>
        </w:rPr>
        <w:t>.社会保障和就业支出（208）行政事业单位养老支出（20805）机关事业单位职业年金缴费支出（2080506）</w:t>
      </w:r>
      <w:r>
        <w:rPr>
          <w:rFonts w:hint="eastAsia" w:ascii="仿宋_GB2312" w:eastAsia="仿宋_GB2312"/>
          <w:color w:val="auto"/>
          <w:sz w:val="32"/>
          <w:szCs w:val="32"/>
          <w:lang w:eastAsia="zh-CN"/>
        </w:rPr>
        <w:t>：反映机关事业单位实施养老保险制度由单位实际缴纳的职业年金支出。</w:t>
      </w:r>
    </w:p>
    <w:p w14:paraId="353F0F99">
      <w:pPr>
        <w:pStyle w:val="29"/>
        <w:spacing w:line="560" w:lineRule="exact"/>
        <w:ind w:firstLine="640" w:firstLineChars="200"/>
        <w:rPr>
          <w:rFonts w:hint="eastAsia" w:ascii="仿宋_GB2312" w:hAnsi="宋体" w:eastAsia="仿宋_GB2312" w:cs="仿宋_GB2312"/>
          <w:kern w:val="0"/>
          <w:sz w:val="32"/>
          <w:szCs w:val="32"/>
          <w:highlight w:val="none"/>
        </w:rPr>
      </w:pPr>
      <w:r>
        <w:rPr>
          <w:rFonts w:hint="eastAsia" w:ascii="仿宋_GB2312" w:eastAsia="仿宋_GB2312"/>
          <w:color w:val="auto"/>
          <w:sz w:val="32"/>
          <w:szCs w:val="32"/>
          <w:lang w:val="en-US" w:eastAsia="zh-CN"/>
        </w:rPr>
        <w:t>10.</w:t>
      </w:r>
      <w:r>
        <w:rPr>
          <w:rFonts w:hint="eastAsia" w:ascii="仿宋_GB2312" w:hAnsi="宋体" w:eastAsia="仿宋_GB2312" w:cs="仿宋_GB2312"/>
          <w:kern w:val="0"/>
          <w:sz w:val="32"/>
          <w:szCs w:val="32"/>
          <w:highlight w:val="none"/>
        </w:rPr>
        <w:t>卫生健康支出（</w:t>
      </w:r>
      <w:r>
        <w:rPr>
          <w:rFonts w:hint="eastAsia" w:ascii="仿宋_GB2312" w:hAnsi="宋体" w:eastAsia="仿宋_GB2312" w:cs="仿宋_GB2312"/>
          <w:kern w:val="0"/>
          <w:sz w:val="32"/>
          <w:szCs w:val="32"/>
          <w:highlight w:val="none"/>
          <w:lang w:val="en-US" w:eastAsia="zh-CN"/>
        </w:rPr>
        <w:t>210</w:t>
      </w:r>
      <w:r>
        <w:rPr>
          <w:rFonts w:hint="eastAsia" w:ascii="仿宋_GB2312" w:hAnsi="宋体" w:eastAsia="仿宋_GB2312" w:cs="仿宋_GB2312"/>
          <w:kern w:val="0"/>
          <w:sz w:val="32"/>
          <w:szCs w:val="32"/>
          <w:highlight w:val="none"/>
        </w:rPr>
        <w:t>）卫生健康管理事务（</w:t>
      </w:r>
      <w:r>
        <w:rPr>
          <w:rFonts w:hint="eastAsia" w:ascii="仿宋_GB2312" w:hAnsi="宋体" w:eastAsia="仿宋_GB2312" w:cs="仿宋_GB2312"/>
          <w:kern w:val="0"/>
          <w:sz w:val="32"/>
          <w:szCs w:val="32"/>
          <w:highlight w:val="none"/>
          <w:lang w:val="en-US" w:eastAsia="zh-CN"/>
        </w:rPr>
        <w:t>21001</w:t>
      </w:r>
      <w:r>
        <w:rPr>
          <w:rFonts w:hint="eastAsia" w:ascii="仿宋_GB2312" w:hAnsi="宋体" w:eastAsia="仿宋_GB2312" w:cs="仿宋_GB2312"/>
          <w:kern w:val="0"/>
          <w:sz w:val="32"/>
          <w:szCs w:val="32"/>
          <w:highlight w:val="none"/>
        </w:rPr>
        <w:t>）行政运行（</w:t>
      </w:r>
      <w:r>
        <w:rPr>
          <w:rFonts w:hint="eastAsia" w:ascii="仿宋_GB2312" w:hAnsi="宋体" w:eastAsia="仿宋_GB2312" w:cs="仿宋_GB2312"/>
          <w:kern w:val="0"/>
          <w:sz w:val="32"/>
          <w:szCs w:val="32"/>
          <w:highlight w:val="none"/>
          <w:lang w:val="en-US" w:eastAsia="zh-CN"/>
        </w:rPr>
        <w:t>2100101</w:t>
      </w:r>
      <w:r>
        <w:rPr>
          <w:rFonts w:hint="eastAsia" w:ascii="仿宋_GB2312" w:hAnsi="宋体" w:eastAsia="仿宋_GB2312" w:cs="仿宋_GB2312"/>
          <w:kern w:val="0"/>
          <w:sz w:val="32"/>
          <w:szCs w:val="32"/>
          <w:highlight w:val="none"/>
        </w:rPr>
        <w:t>）</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指用于单位保障人员支出、对个人和家庭的补助支出，以及保障机构正常运行、开展日常工作的基本支出。</w:t>
      </w:r>
    </w:p>
    <w:p w14:paraId="4B5AFA65">
      <w:pPr>
        <w:pStyle w:val="29"/>
        <w:spacing w:line="560" w:lineRule="exact"/>
        <w:ind w:firstLine="640" w:firstLineChars="200"/>
        <w:rPr>
          <w:rFonts w:hint="eastAsia" w:ascii="仿宋_GB2312" w:eastAsia="仿宋_GB2312"/>
          <w:color w:val="auto"/>
          <w:sz w:val="32"/>
          <w:szCs w:val="32"/>
          <w:lang w:eastAsia="zh-CN"/>
        </w:rPr>
      </w:pPr>
      <w:r>
        <w:rPr>
          <w:rFonts w:hint="eastAsia" w:ascii="仿宋_GB2312" w:hAnsi="宋体" w:eastAsia="仿宋_GB2312" w:cs="仿宋_GB2312"/>
          <w:kern w:val="0"/>
          <w:sz w:val="32"/>
          <w:szCs w:val="32"/>
          <w:highlight w:val="none"/>
          <w:lang w:val="en-US" w:eastAsia="zh-CN"/>
        </w:rPr>
        <w:t>11.</w:t>
      </w:r>
      <w:r>
        <w:rPr>
          <w:rFonts w:hint="eastAsia" w:ascii="仿宋_GB2312" w:hAnsi="宋体" w:eastAsia="仿宋_GB2312" w:cs="仿宋_GB2312"/>
          <w:kern w:val="0"/>
          <w:sz w:val="32"/>
          <w:szCs w:val="32"/>
          <w:highlight w:val="none"/>
        </w:rPr>
        <w:t>卫生健康支出（</w:t>
      </w:r>
      <w:r>
        <w:rPr>
          <w:rFonts w:hint="eastAsia" w:ascii="仿宋_GB2312" w:hAnsi="宋体" w:eastAsia="仿宋_GB2312" w:cs="仿宋_GB2312"/>
          <w:kern w:val="0"/>
          <w:sz w:val="32"/>
          <w:szCs w:val="32"/>
          <w:highlight w:val="none"/>
          <w:lang w:val="en-US" w:eastAsia="zh-CN"/>
        </w:rPr>
        <w:t>210</w:t>
      </w:r>
      <w:r>
        <w:rPr>
          <w:rFonts w:hint="eastAsia" w:ascii="仿宋_GB2312" w:hAnsi="宋体" w:eastAsia="仿宋_GB2312" w:cs="仿宋_GB2312"/>
          <w:kern w:val="0"/>
          <w:sz w:val="32"/>
          <w:szCs w:val="32"/>
          <w:highlight w:val="none"/>
        </w:rPr>
        <w:t>）公立医院（</w:t>
      </w:r>
      <w:r>
        <w:rPr>
          <w:rFonts w:hint="eastAsia" w:ascii="仿宋_GB2312" w:hAnsi="宋体" w:eastAsia="仿宋_GB2312" w:cs="仿宋_GB2312"/>
          <w:kern w:val="0"/>
          <w:sz w:val="32"/>
          <w:szCs w:val="32"/>
          <w:highlight w:val="none"/>
          <w:lang w:val="en-US" w:eastAsia="zh-CN"/>
        </w:rPr>
        <w:t>21002</w:t>
      </w:r>
      <w:r>
        <w:rPr>
          <w:rFonts w:hint="eastAsia" w:ascii="仿宋_GB2312" w:hAnsi="宋体" w:eastAsia="仿宋_GB2312" w:cs="仿宋_GB2312"/>
          <w:kern w:val="0"/>
          <w:sz w:val="32"/>
          <w:szCs w:val="32"/>
          <w:highlight w:val="none"/>
        </w:rPr>
        <w:t>）其他公立医院支出（</w:t>
      </w:r>
      <w:r>
        <w:rPr>
          <w:rFonts w:hint="eastAsia" w:ascii="仿宋_GB2312" w:hAnsi="宋体" w:eastAsia="仿宋_GB2312" w:cs="仿宋_GB2312"/>
          <w:kern w:val="0"/>
          <w:sz w:val="32"/>
          <w:szCs w:val="32"/>
          <w:highlight w:val="none"/>
          <w:lang w:val="en-US" w:eastAsia="zh-CN"/>
        </w:rPr>
        <w:t>2100201</w:t>
      </w:r>
      <w:r>
        <w:rPr>
          <w:rFonts w:hint="eastAsia" w:ascii="仿宋_GB2312" w:hAnsi="宋体" w:eastAsia="仿宋_GB2312" w:cs="仿宋_GB2312"/>
          <w:kern w:val="0"/>
          <w:sz w:val="32"/>
          <w:szCs w:val="32"/>
          <w:highlight w:val="none"/>
        </w:rPr>
        <w:t>）</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指为公立医院支出的费用。</w:t>
      </w:r>
    </w:p>
    <w:p w14:paraId="4E6B05C0">
      <w:pPr>
        <w:pStyle w:val="29"/>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12</w:t>
      </w:r>
      <w:r>
        <w:rPr>
          <w:rFonts w:hint="eastAsia" w:ascii="仿宋_GB2312" w:eastAsia="仿宋_GB2312"/>
          <w:color w:val="auto"/>
          <w:sz w:val="32"/>
          <w:szCs w:val="32"/>
        </w:rPr>
        <w:t>.卫生健康支出（210）公共卫生（21004）疾病预防控制机构（2100401）</w:t>
      </w:r>
      <w:r>
        <w:rPr>
          <w:rFonts w:hint="eastAsia" w:ascii="仿宋_GB2312" w:eastAsia="仿宋_GB2312"/>
          <w:color w:val="auto"/>
          <w:sz w:val="32"/>
          <w:szCs w:val="32"/>
          <w:lang w:eastAsia="zh-CN"/>
        </w:rPr>
        <w:t>：反映卫生健康部门所属疾病预防控制机构的支出。</w:t>
      </w:r>
    </w:p>
    <w:p w14:paraId="0F179004">
      <w:pPr>
        <w:pStyle w:val="29"/>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13</w:t>
      </w:r>
      <w:r>
        <w:rPr>
          <w:rFonts w:hint="eastAsia" w:ascii="仿宋_GB2312" w:eastAsia="仿宋_GB2312"/>
          <w:color w:val="auto"/>
          <w:sz w:val="32"/>
          <w:szCs w:val="32"/>
        </w:rPr>
        <w:t>.卫生健康支出（210）公共卫生（21004）基本公共卫生服务（2100408）</w:t>
      </w:r>
      <w:r>
        <w:rPr>
          <w:rFonts w:hint="eastAsia" w:ascii="仿宋_GB2312" w:eastAsia="仿宋_GB2312"/>
          <w:color w:val="auto"/>
          <w:sz w:val="32"/>
          <w:szCs w:val="32"/>
          <w:lang w:eastAsia="zh-CN"/>
        </w:rPr>
        <w:t>：反映基本公共卫生服务支出。</w:t>
      </w:r>
    </w:p>
    <w:p w14:paraId="37FA8C59">
      <w:pPr>
        <w:pStyle w:val="29"/>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14</w:t>
      </w:r>
      <w:r>
        <w:rPr>
          <w:rFonts w:hint="eastAsia" w:ascii="仿宋_GB2312" w:eastAsia="仿宋_GB2312"/>
          <w:color w:val="auto"/>
          <w:sz w:val="32"/>
          <w:szCs w:val="32"/>
        </w:rPr>
        <w:t>.卫生健康支出（210）公共卫生（21004）重大公共卫生服务（2100409）</w:t>
      </w:r>
      <w:r>
        <w:rPr>
          <w:rFonts w:hint="eastAsia" w:ascii="仿宋_GB2312" w:eastAsia="仿宋_GB2312"/>
          <w:color w:val="auto"/>
          <w:sz w:val="32"/>
          <w:szCs w:val="32"/>
          <w:lang w:eastAsia="zh-CN"/>
        </w:rPr>
        <w:t>：反映重大疾病、重大传染病预防控制等重大公共卫生服务项目支出。</w:t>
      </w:r>
    </w:p>
    <w:p w14:paraId="71BEE89C">
      <w:pPr>
        <w:pStyle w:val="29"/>
        <w:spacing w:line="560" w:lineRule="exact"/>
        <w:ind w:firstLine="640" w:firstLineChars="200"/>
        <w:rPr>
          <w:rFonts w:hint="eastAsia" w:ascii="仿宋" w:hAnsi="仿宋" w:eastAsia="仿宋"/>
          <w:color w:val="000000"/>
          <w:sz w:val="32"/>
          <w:szCs w:val="32"/>
          <w:lang w:eastAsia="zh-CN"/>
        </w:rPr>
      </w:pPr>
      <w:r>
        <w:rPr>
          <w:rFonts w:hint="eastAsia" w:ascii="仿宋_GB2312" w:eastAsia="仿宋_GB2312"/>
          <w:color w:val="auto"/>
          <w:sz w:val="32"/>
          <w:szCs w:val="32"/>
          <w:lang w:val="en-US" w:eastAsia="zh-CN"/>
        </w:rPr>
        <w:t>15</w:t>
      </w:r>
      <w:r>
        <w:rPr>
          <w:rFonts w:hint="eastAsia" w:ascii="仿宋_GB2312" w:eastAsia="仿宋_GB2312"/>
          <w:color w:val="auto"/>
          <w:sz w:val="32"/>
          <w:szCs w:val="32"/>
        </w:rPr>
        <w:t>.卫生健康支出（210）公共卫生（21004）其他公共卫生支出（2100499）</w:t>
      </w:r>
      <w:r>
        <w:rPr>
          <w:rFonts w:hint="eastAsia" w:ascii="仿宋_GB2312" w:eastAsia="仿宋_GB2312"/>
          <w:color w:val="auto"/>
          <w:sz w:val="32"/>
          <w:szCs w:val="32"/>
          <w:lang w:eastAsia="zh-CN"/>
        </w:rPr>
        <w:t>：反映除上述项目以外的其他用于公共卫生方面的支出。</w:t>
      </w:r>
      <w:r>
        <w:rPr>
          <w:rFonts w:hint="eastAsia" w:ascii="仿宋_GB2312" w:eastAsia="仿宋_GB2312"/>
          <w:color w:val="auto"/>
          <w:sz w:val="32"/>
          <w:szCs w:val="32"/>
        </w:rPr>
        <w:cr/>
      </w:r>
      <w:r>
        <w:rPr>
          <w:rFonts w:hint="eastAsia" w:ascii="仿宋_GB2312" w:eastAsia="仿宋_GB2312"/>
          <w:color w:val="auto"/>
          <w:sz w:val="32"/>
          <w:szCs w:val="32"/>
          <w:lang w:val="en-US" w:eastAsia="zh-CN"/>
        </w:rPr>
        <w:t xml:space="preserve">    16</w:t>
      </w:r>
      <w:r>
        <w:rPr>
          <w:rFonts w:hint="eastAsia" w:ascii="仿宋_GB2312" w:eastAsia="仿宋_GB2312"/>
          <w:color w:val="auto"/>
          <w:sz w:val="32"/>
          <w:szCs w:val="32"/>
        </w:rPr>
        <w:t>.卫生健康支出（210）行政事业单位医疗（21011）事业单位医疗（2101102）</w:t>
      </w:r>
      <w:r>
        <w:rPr>
          <w:rFonts w:hint="eastAsia" w:ascii="仿宋_GB2312" w:eastAsia="仿宋_GB2312"/>
          <w:color w:val="auto"/>
          <w:sz w:val="32"/>
          <w:szCs w:val="32"/>
          <w:lang w:eastAsia="zh-CN"/>
        </w:rPr>
        <w:t>：反映财政部门安排的事业单位基本医疗保险缴费经费，未参加医疗保险的事业单位的公费医疗经费，按国家规定享受离休人员待</w:t>
      </w:r>
      <w:r>
        <w:rPr>
          <w:rFonts w:hint="eastAsia" w:ascii="仿宋" w:hAnsi="仿宋" w:eastAsia="仿宋"/>
          <w:color w:val="000000"/>
          <w:sz w:val="32"/>
          <w:szCs w:val="32"/>
          <w:lang w:eastAsia="zh-CN"/>
        </w:rPr>
        <w:t>遇的医疗经费。</w:t>
      </w:r>
    </w:p>
    <w:p w14:paraId="62BBAF7B">
      <w:pPr>
        <w:pStyle w:val="29"/>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17</w:t>
      </w:r>
      <w:r>
        <w:rPr>
          <w:rFonts w:hint="eastAsia" w:ascii="仿宋_GB2312" w:eastAsia="仿宋_GB2312"/>
          <w:color w:val="auto"/>
          <w:sz w:val="32"/>
          <w:szCs w:val="32"/>
        </w:rPr>
        <w:t>.卫生健康支出（210）行政事业单位医疗（21011）</w:t>
      </w:r>
      <w:r>
        <w:rPr>
          <w:rFonts w:hint="eastAsia" w:ascii="仿宋_GB2312" w:eastAsia="仿宋_GB2312"/>
          <w:color w:val="auto"/>
          <w:sz w:val="32"/>
          <w:szCs w:val="32"/>
          <w:lang w:eastAsia="zh-CN"/>
        </w:rPr>
        <w:t>其他行政</w:t>
      </w:r>
      <w:r>
        <w:rPr>
          <w:rFonts w:hint="eastAsia" w:ascii="仿宋_GB2312" w:eastAsia="仿宋_GB2312"/>
          <w:color w:val="auto"/>
          <w:sz w:val="32"/>
          <w:szCs w:val="32"/>
        </w:rPr>
        <w:t>事业单位医疗（21011</w:t>
      </w:r>
      <w:r>
        <w:rPr>
          <w:rFonts w:hint="eastAsia" w:ascii="仿宋_GB2312" w:eastAsia="仿宋_GB2312"/>
          <w:color w:val="auto"/>
          <w:sz w:val="32"/>
          <w:szCs w:val="32"/>
          <w:lang w:val="en-US" w:eastAsia="zh-CN"/>
        </w:rPr>
        <w:t>99</w:t>
      </w:r>
      <w:r>
        <w:rPr>
          <w:rFonts w:hint="eastAsia" w:ascii="仿宋_GB2312" w:eastAsia="仿宋_GB2312"/>
          <w:color w:val="auto"/>
          <w:sz w:val="32"/>
          <w:szCs w:val="32"/>
        </w:rPr>
        <w:t>）</w:t>
      </w:r>
      <w:r>
        <w:rPr>
          <w:rFonts w:hint="eastAsia" w:ascii="仿宋_GB2312" w:eastAsia="仿宋_GB2312"/>
          <w:color w:val="auto"/>
          <w:sz w:val="32"/>
          <w:szCs w:val="32"/>
          <w:lang w:eastAsia="zh-CN"/>
        </w:rPr>
        <w:t>：反映除事业单位医疗以外的其他行政事业单位医疗支出。</w:t>
      </w:r>
    </w:p>
    <w:p w14:paraId="44CC42CD">
      <w:pPr>
        <w:pStyle w:val="29"/>
        <w:spacing w:line="560" w:lineRule="exact"/>
        <w:ind w:firstLine="640" w:firstLineChars="200"/>
        <w:rPr>
          <w:rFonts w:hint="eastAsia" w:ascii="仿宋_GB2312" w:eastAsia="仿宋_GB2312"/>
          <w:color w:val="auto"/>
          <w:sz w:val="32"/>
          <w:szCs w:val="32"/>
          <w:lang w:eastAsia="zh-CN"/>
        </w:rPr>
      </w:pPr>
      <w:r>
        <w:rPr>
          <w:rFonts w:hint="eastAsia" w:ascii="仿宋_GB2312" w:eastAsia="仿宋_GB2312"/>
          <w:color w:val="auto"/>
          <w:sz w:val="32"/>
          <w:szCs w:val="32"/>
          <w:lang w:val="en-US" w:eastAsia="zh-CN"/>
        </w:rPr>
        <w:t>18</w:t>
      </w:r>
      <w:r>
        <w:rPr>
          <w:rFonts w:hint="eastAsia" w:ascii="仿宋_GB2312" w:eastAsia="仿宋_GB2312"/>
          <w:color w:val="auto"/>
          <w:sz w:val="32"/>
          <w:szCs w:val="32"/>
        </w:rPr>
        <w:t>.住房保障支出（221）住房改革支出（22102）住房公积金（2210201）</w:t>
      </w:r>
      <w:r>
        <w:rPr>
          <w:rFonts w:hint="eastAsia" w:ascii="仿宋_GB2312" w:eastAsia="仿宋_GB2312"/>
          <w:color w:val="auto"/>
          <w:sz w:val="32"/>
          <w:szCs w:val="32"/>
          <w:lang w:eastAsia="zh-CN"/>
        </w:rPr>
        <w:t>：反映行政事业单位按人力资源和社会保障部、财政部规定的基本工资和津贴补贴以及规定比例为职工缴纳的住房公积金。</w:t>
      </w:r>
    </w:p>
    <w:p w14:paraId="32318CA9">
      <w:pPr>
        <w:pStyle w:val="29"/>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19</w:t>
      </w:r>
      <w:r>
        <w:rPr>
          <w:rFonts w:hint="eastAsia" w:ascii="仿宋_GB2312" w:eastAsia="仿宋_GB2312"/>
          <w:color w:val="auto"/>
          <w:sz w:val="32"/>
          <w:szCs w:val="32"/>
        </w:rPr>
        <w:t>.基本支出：指为保障机构正常运转、完成日常工作任务而发生的人员支出和公用支出。</w:t>
      </w:r>
    </w:p>
    <w:p w14:paraId="5D319892">
      <w:pPr>
        <w:pStyle w:val="29"/>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20</w:t>
      </w:r>
      <w:r>
        <w:rPr>
          <w:rFonts w:hint="eastAsia" w:ascii="仿宋_GB2312" w:eastAsia="仿宋_GB2312"/>
          <w:color w:val="auto"/>
          <w:sz w:val="32"/>
          <w:szCs w:val="32"/>
        </w:rPr>
        <w:t xml:space="preserve">.项目支出：指在基本支出之外为完成特定行政任务和事业发展目标所发生的支出。 </w:t>
      </w:r>
    </w:p>
    <w:p w14:paraId="23BF6A09">
      <w:pPr>
        <w:pStyle w:val="29"/>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21</w:t>
      </w:r>
      <w:r>
        <w:rPr>
          <w:rFonts w:hint="eastAsia" w:ascii="仿宋_GB2312" w:eastAsia="仿宋_GB2312"/>
          <w:color w:val="auto"/>
          <w:sz w:val="32"/>
          <w:szCs w:val="32"/>
        </w:rPr>
        <w:t>.经营支出：指事业单位在专业业务活动及其辅助活动之外开展非独立核算经营活动发生的支出。</w:t>
      </w:r>
    </w:p>
    <w:p w14:paraId="03A7A412">
      <w:pPr>
        <w:pStyle w:val="29"/>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22</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D470926">
      <w:pPr>
        <w:pStyle w:val="29"/>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23</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w:t>
      </w:r>
    </w:p>
    <w:p w14:paraId="1A820BAF">
      <w:pPr>
        <w:pStyle w:val="29"/>
        <w:spacing w:line="560" w:lineRule="exact"/>
        <w:rPr>
          <w:rFonts w:hint="eastAsia" w:ascii="仿宋_GB2312" w:eastAsia="仿宋_GB2312"/>
          <w:color w:val="auto"/>
          <w:sz w:val="32"/>
          <w:szCs w:val="32"/>
        </w:rPr>
      </w:pPr>
      <w:r>
        <w:rPr>
          <w:rFonts w:hint="eastAsia" w:ascii="仿宋_GB2312" w:eastAsia="仿宋_GB2312"/>
          <w:color w:val="auto"/>
          <w:sz w:val="32"/>
          <w:szCs w:val="32"/>
        </w:rPr>
        <w:t>以及其他费用。</w:t>
      </w:r>
    </w:p>
    <w:p w14:paraId="3391D930">
      <w:pPr>
        <w:pStyle w:val="29"/>
        <w:spacing w:line="560" w:lineRule="exact"/>
        <w:rPr>
          <w:rFonts w:hint="eastAsia" w:ascii="仿宋_GB2312" w:eastAsia="仿宋_GB2312"/>
          <w:color w:val="auto"/>
          <w:sz w:val="32"/>
          <w:szCs w:val="32"/>
        </w:rPr>
      </w:pPr>
    </w:p>
    <w:p w14:paraId="1407F3F7">
      <w:pPr>
        <w:pStyle w:val="29"/>
        <w:spacing w:line="560" w:lineRule="exact"/>
        <w:rPr>
          <w:rFonts w:hint="eastAsia" w:ascii="仿宋_GB2312" w:eastAsia="仿宋_GB2312"/>
          <w:color w:val="auto"/>
          <w:sz w:val="32"/>
          <w:szCs w:val="32"/>
        </w:rPr>
      </w:pPr>
    </w:p>
    <w:p w14:paraId="6AB05BE8">
      <w:pPr>
        <w:pStyle w:val="29"/>
        <w:spacing w:line="560" w:lineRule="exact"/>
        <w:rPr>
          <w:rFonts w:hint="eastAsia" w:ascii="仿宋_GB2312" w:eastAsia="仿宋_GB2312"/>
          <w:color w:val="auto"/>
          <w:sz w:val="32"/>
          <w:szCs w:val="32"/>
        </w:rPr>
      </w:pPr>
    </w:p>
    <w:p w14:paraId="5ACF6AA0">
      <w:pPr>
        <w:pStyle w:val="29"/>
        <w:spacing w:line="560" w:lineRule="exact"/>
        <w:rPr>
          <w:rFonts w:hint="eastAsia" w:ascii="仿宋_GB2312" w:eastAsia="仿宋_GB2312"/>
          <w:color w:val="auto"/>
          <w:sz w:val="32"/>
          <w:szCs w:val="32"/>
        </w:rPr>
      </w:pPr>
    </w:p>
    <w:p w14:paraId="11514A26">
      <w:pPr>
        <w:pStyle w:val="29"/>
        <w:spacing w:line="560" w:lineRule="exact"/>
        <w:rPr>
          <w:rFonts w:hint="eastAsia" w:ascii="仿宋_GB2312" w:eastAsia="仿宋_GB2312"/>
          <w:color w:val="auto"/>
          <w:sz w:val="32"/>
          <w:szCs w:val="32"/>
        </w:rPr>
      </w:pPr>
    </w:p>
    <w:p w14:paraId="6D57FFF0">
      <w:pPr>
        <w:pStyle w:val="29"/>
        <w:spacing w:line="560" w:lineRule="exact"/>
        <w:rPr>
          <w:rFonts w:hint="eastAsia" w:ascii="仿宋_GB2312" w:eastAsia="仿宋_GB2312"/>
          <w:color w:val="auto"/>
          <w:sz w:val="32"/>
          <w:szCs w:val="32"/>
        </w:rPr>
      </w:pPr>
    </w:p>
    <w:p w14:paraId="4AD6BC51">
      <w:pPr>
        <w:pStyle w:val="29"/>
        <w:spacing w:line="560" w:lineRule="exact"/>
        <w:rPr>
          <w:rFonts w:hint="eastAsia" w:ascii="仿宋_GB2312" w:eastAsia="仿宋_GB2312"/>
          <w:color w:val="auto"/>
          <w:sz w:val="32"/>
          <w:szCs w:val="32"/>
        </w:rPr>
      </w:pPr>
    </w:p>
    <w:p w14:paraId="7B70E3BE">
      <w:pPr>
        <w:pStyle w:val="29"/>
        <w:spacing w:line="560" w:lineRule="exact"/>
        <w:rPr>
          <w:rFonts w:hint="eastAsia" w:ascii="仿宋_GB2312" w:eastAsia="仿宋_GB2312"/>
          <w:color w:val="auto"/>
          <w:sz w:val="32"/>
          <w:szCs w:val="32"/>
        </w:rPr>
      </w:pPr>
    </w:p>
    <w:p w14:paraId="7FFE076A">
      <w:pPr>
        <w:pStyle w:val="29"/>
        <w:spacing w:line="560" w:lineRule="exact"/>
        <w:rPr>
          <w:rFonts w:hint="eastAsia" w:ascii="仿宋_GB2312" w:eastAsia="仿宋_GB2312"/>
          <w:color w:val="auto"/>
          <w:sz w:val="32"/>
          <w:szCs w:val="32"/>
        </w:rPr>
      </w:pPr>
    </w:p>
    <w:p w14:paraId="0D3DBE8E">
      <w:pPr>
        <w:pStyle w:val="29"/>
        <w:spacing w:line="560" w:lineRule="exact"/>
        <w:rPr>
          <w:rFonts w:hint="eastAsia" w:ascii="仿宋_GB2312" w:eastAsia="仿宋_GB2312"/>
          <w:color w:val="auto"/>
          <w:sz w:val="32"/>
          <w:szCs w:val="32"/>
        </w:rPr>
      </w:pPr>
    </w:p>
    <w:p w14:paraId="72C0B85A">
      <w:pPr>
        <w:pStyle w:val="29"/>
        <w:spacing w:line="560" w:lineRule="exact"/>
        <w:rPr>
          <w:rFonts w:hint="eastAsia" w:ascii="仿宋_GB2312" w:eastAsia="仿宋_GB2312"/>
          <w:color w:val="auto"/>
          <w:sz w:val="32"/>
          <w:szCs w:val="32"/>
        </w:rPr>
      </w:pPr>
    </w:p>
    <w:p w14:paraId="709337F5">
      <w:pPr>
        <w:pStyle w:val="29"/>
        <w:spacing w:line="560" w:lineRule="exact"/>
        <w:rPr>
          <w:rFonts w:hint="eastAsia" w:ascii="仿宋_GB2312" w:eastAsia="仿宋_GB2312"/>
          <w:color w:val="auto"/>
          <w:sz w:val="32"/>
          <w:szCs w:val="32"/>
        </w:rPr>
      </w:pPr>
    </w:p>
    <w:p w14:paraId="1B5F9C11">
      <w:pPr>
        <w:spacing w:line="600" w:lineRule="exact"/>
        <w:jc w:val="center"/>
        <w:rPr>
          <w:rStyle w:val="31"/>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p>
    <w:p w14:paraId="67477B4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96659E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216E76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53770BC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67EEDBF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32D4764B">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00AC0BF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09C5AAA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21480ECF">
      <w:pPr>
        <w:pStyle w:val="15"/>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县卫生健康局设下列内设机构：（一）办公室。负责文电、会务、档案、机要、安全、后勤保障等机关日常运转工作。承担保密、信息、目标绩效管理、政务公开、信访、综治维稳等工作。负责有关综合性文稿起草和史志编纂等工作。依法依规履行卫生健康行业安全生产监管职责。指导督促县直医疗卫生单位节能减排工作。组织办理人大代表建议、政协提案。负责机关和所属单位党的建设、党风廉政建设、意识形态、班子队伍建设、群团等工作。承担卫生健康新闻宣传、工作信息报送、舆情监测和舆论引导等工作。承担局机关对外宣传、精神文明建设、民族团结进步创建工作。负责机关和直属单位国防动员、统战工作。负责机关和局管预算单位内部审计，指导全县卫生行业内部审计工作。拟订并组织实施卫生健康事业发展中长期规划和民族地区卫生发展十年行动计划。指导卫生健康服务体系建设和资源配置。指导卫生健康信息化建设，推动卫生健康信息资源开发与共享。承担卫生健康统计调查与分析等管理工作。负责中央、省级和州级财政卫生健康专项资金管理工作。组织机关和直属单位编制预决算、预算执行及财政资金绩效考评工作。负责财务、政府采购、国有资产管理等工作。按权限组织编制并实施大型医用设备配置规划。组织开展公立医疗机构运营、医疗服务价格调整等卫生健康经济管理政策研究和成果运用。（二）人事教育股。拟订并组织实施卫生健康人才发展规划。承担机关和直属单位的人事管理、机构编制、队伍建设等工作。指导卫生健康行业事业单位分类改革、人事制度改革工作。负责卫生健康专业技术人员资格管理、评审评价。组织开展卫生健康管理干部培训工作，实施卫生健康人才表彰奖励。负责机关人员工资和相关待遇审核。组织指导卫生健康工作领域的国际交流与合作、援外工作。负责卫生健康技术人员出国研修、学习工作等的审查和转报工作。负责机关</w:t>
      </w:r>
      <w:r>
        <w:rPr>
          <w:rFonts w:hint="eastAsia" w:eastAsia="仿宋_GB2312" w:cs="Times New Roman"/>
          <w:kern w:val="2"/>
          <w:sz w:val="32"/>
          <w:szCs w:val="32"/>
          <w:lang w:val="en-US" w:eastAsia="zh-CN" w:bidi="ar-SA"/>
        </w:rPr>
        <w:t>离退休干部工作</w:t>
      </w:r>
      <w:r>
        <w:rPr>
          <w:rFonts w:hint="default" w:ascii="Times New Roman" w:hAnsi="Times New Roman" w:eastAsia="仿宋_GB2312" w:cs="Times New Roman"/>
          <w:kern w:val="2"/>
          <w:sz w:val="32"/>
          <w:szCs w:val="32"/>
          <w:lang w:val="en-US" w:eastAsia="zh-CN" w:bidi="ar-SA"/>
        </w:rPr>
        <w:t>，指导所属单位</w:t>
      </w:r>
      <w:r>
        <w:rPr>
          <w:rFonts w:hint="eastAsia" w:eastAsia="仿宋_GB2312" w:cs="Times New Roman"/>
          <w:kern w:val="2"/>
          <w:sz w:val="32"/>
          <w:szCs w:val="32"/>
          <w:lang w:val="en-US" w:eastAsia="zh-CN" w:bidi="ar-SA"/>
        </w:rPr>
        <w:t>离退休干部工作</w:t>
      </w:r>
      <w:r>
        <w:rPr>
          <w:rFonts w:hint="default" w:ascii="Times New Roman" w:hAnsi="Times New Roman" w:eastAsia="仿宋_GB2312" w:cs="Times New Roman"/>
          <w:kern w:val="2"/>
          <w:sz w:val="32"/>
          <w:szCs w:val="32"/>
          <w:lang w:val="en-US" w:eastAsia="zh-CN" w:bidi="ar-SA"/>
        </w:rPr>
        <w:t>。承担机关关心下一代工作，指导所属单位关心下一代工作。（三）医政医管综合监督股。拟订并监督实施医疗机构及医务人员、医疗技术应用、医疗质量和医疗服务等行业管理地方性政策、标准和规范，指导推进心理健康和精神卫生、护理、康复事业发展工作。牵头促进医疗卫生机构履行危险物品、医疗废弃物等的安全管理和处置工作职责。指导平安医院建设。组织实施医疗事故鉴定工作。拟订并组织实施公立医院运行监管、绩效评价和考核制度。组织建立分级诊疗制度。承担全县深化医药卫生体制改革具体工作，研究提出深化医药卫生体制改革重大政策、</w:t>
      </w:r>
      <w:r>
        <w:rPr>
          <w:rFonts w:hint="eastAsia" w:eastAsia="仿宋_GB2312" w:cs="Times New Roman"/>
          <w:kern w:val="2"/>
          <w:sz w:val="32"/>
          <w:szCs w:val="32"/>
          <w:lang w:val="en-US" w:eastAsia="zh-CN" w:bidi="ar-SA"/>
        </w:rPr>
        <w:t>措施</w:t>
      </w:r>
      <w:r>
        <w:rPr>
          <w:rFonts w:hint="default" w:ascii="Times New Roman" w:hAnsi="Times New Roman" w:eastAsia="仿宋_GB2312" w:cs="Times New Roman"/>
          <w:kern w:val="2"/>
          <w:sz w:val="32"/>
          <w:szCs w:val="32"/>
          <w:lang w:val="en-US" w:eastAsia="zh-CN" w:bidi="ar-SA"/>
        </w:rPr>
        <w:t>建议。承担全县组织推进公立医院综合改革工作。承担卫生健康综合性政策研究、重要文稿起草工作。组织起草卫生健康规范性文件草案和标准。承担有关行政调解、行政复议、行政应诉等工作。承担重大行政决策和规范性文件合法性审查与报备等工作。承担本系统权责清单制度建设、动态调整等工作。牵头协调推进本系统政府职能转变、优化政府服务提升行政效能、行政审批制度改革，承担审批服务便民化和县本级有关审批服务事项的受理、审批等工作。指导监督卫生健康行业行政执法工作，牵头承担医疗卫生行业综合监管工作。组织实施国家药物政策和国家基本药物制度，制定医疗机构优先使用基本药物目录、医疗药品器械</w:t>
      </w:r>
      <w:r>
        <w:rPr>
          <w:rFonts w:hint="eastAsia" w:eastAsia="仿宋_GB2312" w:cs="Times New Roman"/>
          <w:kern w:val="2"/>
          <w:sz w:val="32"/>
          <w:szCs w:val="32"/>
          <w:lang w:val="en-US" w:eastAsia="zh-CN" w:bidi="ar-SA"/>
        </w:rPr>
        <w:t>采取</w:t>
      </w:r>
      <w:r>
        <w:rPr>
          <w:rFonts w:hint="default" w:ascii="Times New Roman" w:hAnsi="Times New Roman" w:eastAsia="仿宋_GB2312" w:cs="Times New Roman"/>
          <w:kern w:val="2"/>
          <w:sz w:val="32"/>
          <w:szCs w:val="32"/>
          <w:lang w:val="en-US" w:eastAsia="zh-CN" w:bidi="ar-SA"/>
        </w:rPr>
        <w:t>监测和综合评价的政策措施，组织开展短缺药品监测预警。拟订食品安全地方标准，开展食品安全企业标准备案，跟踪评价食品安全标准执行情况。拟订食品安全风险监测计划并组织实施。组织开展食品安全事故流行病学调查。贯彻执行国家中医（含中西医结合、民族医，下同）工作</w:t>
      </w:r>
      <w:r>
        <w:rPr>
          <w:rFonts w:hint="eastAsia" w:eastAsia="仿宋_GB2312" w:cs="Times New Roman"/>
          <w:kern w:val="2"/>
          <w:sz w:val="32"/>
          <w:szCs w:val="32"/>
          <w:lang w:val="en-US" w:eastAsia="zh-CN" w:bidi="ar-SA"/>
        </w:rPr>
        <w:t>法律法规</w:t>
      </w:r>
      <w:r>
        <w:rPr>
          <w:rFonts w:hint="default" w:ascii="Times New Roman" w:hAnsi="Times New Roman" w:eastAsia="仿宋_GB2312" w:cs="Times New Roman"/>
          <w:kern w:val="2"/>
          <w:sz w:val="32"/>
          <w:szCs w:val="32"/>
          <w:lang w:val="en-US" w:eastAsia="zh-CN" w:bidi="ar-SA"/>
        </w:rPr>
        <w:t>和政策，拟订并组织实施全县中（藏羌）医药事业发展规划，协调全县中（藏羌）医药资源配置。监督管理全县中医、中西医结合医疗机构的医疗质量和服务质量。负责中医、中西医结合重点专科建设。负责指导基层医疗卫生机构中（藏羌）医工作。推动实施重大中（藏羌）医药项目。组织开展中藏羌古籍的整理研究和中（藏羌）医药文化传承发展，推动中（藏羌）医药防病治病知识普及。配合有关部门开展藏羌医药生产和使用环节检查和处罚、推进中（藏羌）医药产业化发展等工作。（四）基层公卫和疾病预防控制股。拟订并组织实施基层卫生健康政策、标准和规范，组织开展基层医疗卫生机构绩效评价和考核。牵头负责基本公共卫生服务均等化工作，推进家庭医生签约服务和乡村医生相关管理工作。指导基层卫生健康服务体系建设、基本医疗、基本公共卫生服务等工作。组织协调传染病疫情应对工作，承担医疗卫生应急体系和能力建设。组织各类突发公共事件的医疗救治和紧急医学救援工作，负责突发公共卫生事件的监测预警、预防控制、紧急医疗救援、总结评估等工作。配合开展饮用水水源突发事故的预防和应急处置工作。根据授权发布突发公共卫生事件应急处置信息。拟订并组织实施医疗安全、医疗监督（含医疗“三监管”）、采供血机构管理以及行风建设等行业管理地方性政策、标准和规范。拟订并监督实施重大疾病、慢性病防控管理地方性政策、标准和规范。负责保健对象预防和医疗保健、县直部门（单位）离休干部医疗管理工作，制定并组织实施医疗保健工作政策及规划，负责预防保健体系和队伍建设，指导我县预防保健工作。负责重要任务和重大会议活动的医疗卫生保障工作。拟订（重大）传染病、慢性病、地方病、寄生虫病等疾病防治规划，拟订并组织实施艾滋病、肺结核、乙肝、</w:t>
      </w:r>
      <w:r>
        <w:rPr>
          <w:rFonts w:hint="eastAsia" w:eastAsia="仿宋_GB2312" w:cs="Times New Roman"/>
          <w:kern w:val="2"/>
          <w:sz w:val="32"/>
          <w:szCs w:val="32"/>
          <w:lang w:val="en-US" w:eastAsia="zh-CN" w:bidi="ar-SA"/>
        </w:rPr>
        <w:t>棘球蚴病</w:t>
      </w:r>
      <w:r>
        <w:rPr>
          <w:rFonts w:hint="default" w:ascii="Times New Roman" w:hAnsi="Times New Roman" w:eastAsia="仿宋_GB2312" w:cs="Times New Roman"/>
          <w:kern w:val="2"/>
          <w:sz w:val="32"/>
          <w:szCs w:val="32"/>
          <w:lang w:val="en-US" w:eastAsia="zh-CN" w:bidi="ar-SA"/>
        </w:rPr>
        <w:t>、鼠疫等重大传染病、地方病防治有关政策、规划、标准和干预措施。组织开展相关疾病监测、预警、预防、控制、分析评估等工作。承担法定报告传染病疫情信息管理工作，依法负责有关疫情监测和信息公布。制定并组织实施国家免疫规划和严重危害人民健康的公共卫生问题的干预措施。组织开展饮用水卫生、学校卫生、环境卫生、公共场所卫生等相关危害因素监测工作。组织开展疾病预防控制机构等级评审、绩效评价工作。负责（重大）传染病防治体系和能力建设。牵头组织实施平安松潘建设相关工作。拟订职业卫生、放射卫生相关政策、标准并组织实施。组织开展职业病防治、重点职业病监测、专项调查治理、职业健康风险评估和职业人群健康管理及宣传教育工作。负责化学品毒性鉴定机构、职业健康检查机构、职业病诊断机构、放射卫生技术服务机构的安全监督管理，负责放射诊疗机构的放射卫生监督管理。指导职业病危害因素申报、工程项目职业病防治技术实施。承担职业危害事故调查处理工作。（五）妇幼健康与家庭发展股。拟订并组织实施妇幼卫生健康技术服务政策、规划、技术标准和规范。指导妇幼健康服务体系建设和评审评价工作。指导妇幼卫生、出生缺陷防治、婴幼儿早期发展、人类辅助生殖技术管理和生育技术服务工作。承担县人民政府“妇女儿童发展纲要”卫生健康和生育指标的收集分析和上报工作。承担人口监测预警工作并提出人口与家庭发展相关健康政策建议。完善计划生育家庭扶助制度和特殊家庭扶助关怀政策。完善生育政策并组织实施。指导基层加强计划生育基础管理和服务工作。推进基层计划生育工作网络建设。配合有关部门落实应对老龄化的政策措施，牵头组织拟订医养结合的政策、标准和规范，建立和完善老年健康服务体系。拟订卫生健康科技发展规划及政策并组织实施。负责卫生健康科技创新基地建设、成果转化推广与技术评估。承担实验室生物安全监督工作。牵头推动数字技术、人工智能与健康服务业的融合发展。参与推动健康产业服务与市场拓展。负责局管社会组织日常监督管理工作。</w:t>
      </w:r>
    </w:p>
    <w:p w14:paraId="0FFAE880">
      <w:pPr>
        <w:ind w:firstLine="800" w:firstLineChars="250"/>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卫生健康局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rPr>
        <w:t>个。纳入</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259AE9B4">
      <w:pPr>
        <w:pStyle w:val="6"/>
        <w:numPr>
          <w:ilvl w:val="0"/>
          <w:numId w:val="6"/>
        </w:numPr>
        <w:adjustRightInd w:val="0"/>
        <w:snapToGrid w:val="0"/>
        <w:spacing w:before="93" w:line="600" w:lineRule="exact"/>
        <w:ind w:left="630" w:left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松潘县疾病预防控制中心</w:t>
      </w:r>
    </w:p>
    <w:p w14:paraId="266CC819">
      <w:pPr>
        <w:pStyle w:val="6"/>
        <w:numPr>
          <w:ilvl w:val="0"/>
          <w:numId w:val="6"/>
        </w:numPr>
        <w:adjustRightInd w:val="0"/>
        <w:snapToGrid w:val="0"/>
        <w:spacing w:before="93" w:line="600" w:lineRule="exact"/>
        <w:ind w:left="630" w:left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松潘县妇幼保健院</w:t>
      </w:r>
    </w:p>
    <w:p w14:paraId="21F32441">
      <w:pPr>
        <w:pStyle w:val="6"/>
        <w:numPr>
          <w:ilvl w:val="0"/>
          <w:numId w:val="6"/>
        </w:numPr>
        <w:adjustRightInd w:val="0"/>
        <w:snapToGrid w:val="0"/>
        <w:spacing w:before="93" w:line="600" w:lineRule="exact"/>
        <w:ind w:left="630" w:left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松潘县人民医院</w:t>
      </w:r>
    </w:p>
    <w:p w14:paraId="283D1FD2">
      <w:pPr>
        <w:pStyle w:val="6"/>
        <w:numPr>
          <w:ilvl w:val="0"/>
          <w:numId w:val="6"/>
        </w:numPr>
        <w:adjustRightInd w:val="0"/>
        <w:snapToGrid w:val="0"/>
        <w:spacing w:before="93" w:line="600" w:lineRule="exact"/>
        <w:ind w:left="630" w:left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松潘县中藏医院</w:t>
      </w:r>
    </w:p>
    <w:p w14:paraId="2038B04C">
      <w:pPr>
        <w:pStyle w:val="6"/>
        <w:numPr>
          <w:ilvl w:val="0"/>
          <w:numId w:val="6"/>
        </w:numPr>
        <w:adjustRightInd w:val="0"/>
        <w:snapToGrid w:val="0"/>
        <w:spacing w:before="93" w:line="600" w:lineRule="exact"/>
        <w:ind w:left="630" w:leftChars="0"/>
        <w:outlineLvl w:val="2"/>
        <w:rPr>
          <w:rFonts w:hint="eastAsia" w:ascii="Times New Roman" w:hAnsi="Times New Roman" w:eastAsia="仿宋_GB2312" w:cs="仿宋_GB2312"/>
          <w:color w:val="auto"/>
          <w:sz w:val="32"/>
          <w:szCs w:val="32"/>
          <w:highlight w:val="none"/>
        </w:rPr>
      </w:pPr>
      <w:r>
        <w:rPr>
          <w:rFonts w:hint="eastAsia" w:ascii="Times New Roman" w:cs="仿宋_GB2312"/>
          <w:color w:val="auto"/>
          <w:sz w:val="32"/>
          <w:szCs w:val="32"/>
          <w:highlight w:val="none"/>
          <w:lang w:eastAsia="zh-CN"/>
        </w:rPr>
        <w:t>松潘县卫生保健服务中心</w:t>
      </w:r>
    </w:p>
    <w:p w14:paraId="53CADF14">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松潘县燕云乡卫生院</w:t>
      </w:r>
    </w:p>
    <w:p w14:paraId="2FDA1782">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黄龙乡卫生院</w:t>
      </w:r>
    </w:p>
    <w:p w14:paraId="5DD7EE66">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白羊乡卫生院</w:t>
      </w:r>
    </w:p>
    <w:p w14:paraId="3149AFDB">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十里乡卫生院</w:t>
      </w:r>
    </w:p>
    <w:p w14:paraId="5F579604">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小河镇</w:t>
      </w:r>
      <w:r>
        <w:rPr>
          <w:rFonts w:hint="eastAsia" w:ascii="Times New Roman" w:cs="仿宋_GB2312"/>
          <w:color w:val="auto"/>
          <w:sz w:val="32"/>
          <w:szCs w:val="32"/>
          <w:highlight w:val="none"/>
          <w:lang w:eastAsia="zh-CN"/>
        </w:rPr>
        <w:t>中心</w:t>
      </w:r>
      <w:r>
        <w:rPr>
          <w:rFonts w:hint="eastAsia" w:ascii="Times New Roman" w:hAnsi="Times New Roman" w:eastAsia="仿宋_GB2312" w:cs="仿宋_GB2312"/>
          <w:color w:val="auto"/>
          <w:sz w:val="32"/>
          <w:szCs w:val="32"/>
          <w:highlight w:val="none"/>
        </w:rPr>
        <w:t>卫生院</w:t>
      </w:r>
    </w:p>
    <w:p w14:paraId="0EF13B5B">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大姓乡卫生院</w:t>
      </w:r>
    </w:p>
    <w:p w14:paraId="21BD9828">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下八寨乡卫生院</w:t>
      </w:r>
    </w:p>
    <w:p w14:paraId="1E44651E">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毛儿盖镇中心卫生院</w:t>
      </w:r>
    </w:p>
    <w:p w14:paraId="69CD53EC">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红土镇中心卫生院</w:t>
      </w:r>
    </w:p>
    <w:p w14:paraId="14A53BAB">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镇江关镇中心卫生院</w:t>
      </w:r>
    </w:p>
    <w:p w14:paraId="0A579D17">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安宏乡卫生院</w:t>
      </w:r>
    </w:p>
    <w:p w14:paraId="7CEAA15E">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镇坪乡卫生院</w:t>
      </w:r>
    </w:p>
    <w:p w14:paraId="2F949FA0">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小姓乡卫生院</w:t>
      </w:r>
    </w:p>
    <w:p w14:paraId="32C00ACD">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岷江乡卫生院</w:t>
      </w:r>
    </w:p>
    <w:p w14:paraId="5C0FFD09">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青云镇中心卫生院</w:t>
      </w:r>
    </w:p>
    <w:p w14:paraId="78E17C26">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进安镇卫生院</w:t>
      </w:r>
    </w:p>
    <w:p w14:paraId="14012DE9">
      <w:pPr>
        <w:pStyle w:val="6"/>
        <w:numPr>
          <w:ilvl w:val="0"/>
          <w:numId w:val="6"/>
        </w:numPr>
        <w:adjustRightInd w:val="0"/>
        <w:snapToGrid w:val="0"/>
        <w:spacing w:before="93" w:line="600" w:lineRule="exact"/>
        <w:ind w:left="630" w:leftChars="0"/>
        <w:outlineLvl w:val="2"/>
        <w:rPr>
          <w:rFonts w:hint="eastAsia"/>
        </w:rPr>
      </w:pPr>
      <w:r>
        <w:rPr>
          <w:rFonts w:hint="eastAsia" w:ascii="Times New Roman" w:cs="仿宋_GB2312"/>
          <w:color w:val="auto"/>
          <w:sz w:val="32"/>
          <w:szCs w:val="32"/>
          <w:highlight w:val="none"/>
          <w:lang w:eastAsia="zh-CN"/>
        </w:rPr>
        <w:t>松潘县</w:t>
      </w:r>
      <w:r>
        <w:rPr>
          <w:rFonts w:hint="eastAsia" w:ascii="Times New Roman" w:hAnsi="Times New Roman" w:eastAsia="仿宋_GB2312" w:cs="仿宋_GB2312"/>
          <w:color w:val="auto"/>
          <w:sz w:val="32"/>
          <w:szCs w:val="32"/>
          <w:highlight w:val="none"/>
        </w:rPr>
        <w:t>川主寺镇卫生院</w:t>
      </w:r>
    </w:p>
    <w:p w14:paraId="4E3EF61D">
      <w:pPr>
        <w:pStyle w:val="9"/>
        <w:rPr>
          <w:rFonts w:hint="default"/>
          <w:lang w:val="en-US" w:eastAsia="zh-CN"/>
        </w:rPr>
      </w:pPr>
    </w:p>
    <w:p w14:paraId="3AF8CAC4">
      <w:pPr>
        <w:keepNext w:val="0"/>
        <w:keepLines w:val="0"/>
        <w:pageBreakBefore w:val="0"/>
        <w:widowControl/>
        <w:numPr>
          <w:ilvl w:val="0"/>
          <w:numId w:val="7"/>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14:paraId="1AE4A9F1">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县卫生健康局负责贯彻落实党中央关于卫生健康、疾病预防控制工作的方针政策和省委、州委、县委的决策部署，把坚持和加强党中央对卫生健康、疾病预防控制工作的集中统一领导落实到履行职责过程中。主要职责是：</w:t>
      </w:r>
    </w:p>
    <w:p w14:paraId="51662C32">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拟订并组织实施卫生健康基本公共卫生服务均等化、普惠化、便捷化和公共资源向基层延伸等政策措施。拟订并组织实施全县卫生健康、中（藏羌）医发展政策。制定并组织实施全县卫生健康、中（藏羌）医技术规范、实施方案。统筹规划全县卫生健康、中（藏羌）医服务资源配置。</w:t>
      </w:r>
    </w:p>
    <w:p w14:paraId="25B2F324">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牵头推进全县深化医药卫生体制改革。研究提出深化改革重大政策和措施的建议。牵头负责全县分级诊疗、现代医院管理、全民医保、药品供应保障、综合监管 5项基本医疗卫生制度建设。拟订并组织实施卫生健康公共服务提供主体多元化、提供方式多样化的政策措施。</w:t>
      </w:r>
    </w:p>
    <w:p w14:paraId="1B8720CC">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负责制定并推动落实全县疾病预防控制规划、免疫规划以及严重危害人民健康的艾滋病等重大传染病、地方病等公共卫生问题的干预措施。负责全县医疗卫生应急工作，组织和指导全县突发公共卫生事件预防控制和各类突发公共事件的医疗卫生救援，报告传染病疫情信息、突发公共卫生事件应急处置信息。</w:t>
      </w:r>
    </w:p>
    <w:p w14:paraId="03BA77D8">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负责拟订并组织实施医养结合政策，建立和完善老年健康服务体系，推进老年健康管理与服务。</w:t>
      </w:r>
    </w:p>
    <w:p w14:paraId="1475480F">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贯彻落实国家药物政策和国家基本药物制度。开展药械使用监测、临床综合评价和短缺药品预警，组织执行国家药典和国家基本药物目录，拟订基本药物</w:t>
      </w:r>
      <w:r>
        <w:rPr>
          <w:rFonts w:hint="eastAsia" w:eastAsia="仿宋_GB2312" w:cs="仿宋_GB2312"/>
          <w:color w:val="auto"/>
          <w:sz w:val="32"/>
          <w:szCs w:val="32"/>
          <w:highlight w:val="none"/>
          <w:lang w:eastAsia="zh-CN"/>
        </w:rPr>
        <w:t>采取</w:t>
      </w:r>
      <w:r>
        <w:rPr>
          <w:rFonts w:hint="eastAsia" w:ascii="Times New Roman" w:hAnsi="Times New Roman" w:eastAsia="仿宋_GB2312" w:cs="仿宋_GB2312"/>
          <w:color w:val="auto"/>
          <w:sz w:val="32"/>
          <w:szCs w:val="32"/>
          <w:highlight w:val="none"/>
          <w:lang w:eastAsia="zh-CN"/>
        </w:rPr>
        <w:t>的政策措施。按照国家和省相关要求会同有关部门制定并实施食品安全风险监测计划。依法开展食品安全企业标准备案。</w:t>
      </w:r>
    </w:p>
    <w:p w14:paraId="1F669E7C">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负责职责范围内的职业卫生、放射卫生、环境卫生、学校卫生、公共场所卫生、饮用水卫生等公共卫生的监督管理。负责传染病防治监督，健全卫生健康综合监管体系。</w:t>
      </w:r>
    </w:p>
    <w:p w14:paraId="4BB4C7BD">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拟订全县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p>
    <w:p w14:paraId="0F987392">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负责承担全县人口监测预警工作并提出人口与家庭发展相关健康政策建议。监督实施计划生育家庭扶助政策和计划生育特殊家庭扶助关怀制度。</w:t>
      </w:r>
    </w:p>
    <w:p w14:paraId="5E295742">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指导卫生健康工作。指导基层医疗卫生、妇幼健康服务体系和基层卫生队伍建设。推进卫生健康科技创新发展。</w:t>
      </w:r>
    </w:p>
    <w:p w14:paraId="34592229">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贯彻落实干部医疗保健政策措施，负责县级保健对象的医疗保健工作。负责县级部门有关干部医疗服务工作。负责重要会议与重大活动的医疗卫生保障工作。</w:t>
      </w:r>
    </w:p>
    <w:p w14:paraId="7921410D">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依法依规履行卫生健康行业安全生产监管职责。负责职责范围内的生态环境保护、审批服务便民化等工作。负责全县职业病防治工作。负责本级系统内公共机构节能工作。</w:t>
      </w:r>
    </w:p>
    <w:p w14:paraId="027213B7">
      <w:pPr>
        <w:numPr>
          <w:ilvl w:val="0"/>
          <w:numId w:val="2"/>
        </w:num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完成县委、县政府交办的其他任务。</w:t>
      </w:r>
    </w:p>
    <w:p w14:paraId="363DA370">
      <w:pPr>
        <w:pStyle w:val="15"/>
        <w:numPr>
          <w:ilvl w:val="0"/>
          <w:numId w:val="0"/>
        </w:numPr>
        <w:rPr>
          <w:rFonts w:hint="default"/>
          <w:lang w:val="zh-CN"/>
        </w:rPr>
      </w:pPr>
    </w:p>
    <w:p w14:paraId="0092E48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eastAsia="仿宋_GB2312" w:cs="仿宋_GB2312"/>
          <w:color w:val="auto"/>
          <w:kern w:val="2"/>
          <w:sz w:val="32"/>
          <w:szCs w:val="32"/>
          <w:highlight w:val="none"/>
          <w:lang w:val="en-US" w:eastAsia="zh-CN" w:bidi="ar-SA"/>
        </w:rPr>
        <w:t>局本级</w:t>
      </w:r>
      <w:r>
        <w:rPr>
          <w:rFonts w:hint="default" w:ascii="Times New Roman" w:hAnsi="Times New Roman" w:eastAsia="仿宋_GB2312" w:cs="Times New Roman"/>
          <w:sz w:val="32"/>
          <w:szCs w:val="32"/>
          <w:lang w:val="en-US" w:eastAsia="zh-CN"/>
        </w:rPr>
        <w:t>及下属单位年末实有人数</w:t>
      </w:r>
      <w:r>
        <w:rPr>
          <w:rFonts w:hint="eastAsia" w:eastAsia="仿宋_GB2312" w:cs="Times New Roman"/>
          <w:sz w:val="32"/>
          <w:szCs w:val="32"/>
          <w:lang w:val="en-US" w:eastAsia="zh-CN"/>
        </w:rPr>
        <w:t>616人，其中公务员11人；事业管理人员和专业技术人员578人；机关和事业工人20人；经费自理人员8人</w:t>
      </w:r>
      <w:r>
        <w:rPr>
          <w:rFonts w:hint="eastAsia" w:ascii="Times New Roman" w:hAnsi="Times New Roman" w:eastAsia="仿宋_GB2312" w:cs="Times New Roman"/>
          <w:sz w:val="32"/>
          <w:szCs w:val="32"/>
          <w:lang w:val="en-US" w:eastAsia="zh-CN"/>
        </w:rPr>
        <w:t>。</w:t>
      </w:r>
    </w:p>
    <w:p w14:paraId="62851CF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0239E87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w:t>
      </w:r>
      <w:r>
        <w:rPr>
          <w:rFonts w:hint="eastAsia" w:eastAsia="仿宋_GB2312" w:cs="Times New Roman"/>
          <w:sz w:val="32"/>
          <w:szCs w:val="32"/>
          <w:lang w:val="en-US" w:eastAsia="zh-CN"/>
        </w:rPr>
        <w:t>12654.17万元，</w:t>
      </w:r>
      <w:r>
        <w:rPr>
          <w:rFonts w:hint="eastAsia" w:ascii="Times New Roman" w:hAnsi="Times New Roman" w:eastAsia="仿宋_GB2312" w:cs="Times New Roman"/>
          <w:sz w:val="32"/>
          <w:szCs w:val="32"/>
          <w:lang w:val="en-US" w:eastAsia="zh-CN"/>
        </w:rPr>
        <w:t>决算报表收入</w:t>
      </w:r>
      <w:r>
        <w:rPr>
          <w:rFonts w:hint="eastAsia" w:eastAsia="仿宋_GB2312" w:cs="Times New Roman"/>
          <w:sz w:val="32"/>
          <w:szCs w:val="32"/>
          <w:lang w:val="en-US" w:eastAsia="zh-CN"/>
        </w:rPr>
        <w:t>合计23705.1万元</w:t>
      </w:r>
      <w:r>
        <w:rPr>
          <w:rFonts w:hint="eastAsia" w:ascii="Times New Roman" w:hAnsi="Times New Roman" w:eastAsia="仿宋_GB2312" w:cs="Times New Roman"/>
          <w:sz w:val="32"/>
          <w:szCs w:val="32"/>
          <w:lang w:val="en-US" w:eastAsia="zh-CN"/>
        </w:rPr>
        <w:t>。</w:t>
      </w:r>
    </w:p>
    <w:p w14:paraId="4C43D8C2">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eastAsia="仿宋_GB2312" w:cs="Times New Roman"/>
          <w:sz w:val="32"/>
          <w:szCs w:val="32"/>
          <w:lang w:val="en-US" w:eastAsia="zh-CN"/>
        </w:rPr>
        <w:t>12654.17万元</w:t>
      </w:r>
      <w:r>
        <w:rPr>
          <w:rFonts w:hint="eastAsia" w:ascii="Times New Roman" w:hAnsi="Times New Roman" w:eastAsia="仿宋_GB2312" w:cs="Times New Roman"/>
          <w:sz w:val="32"/>
          <w:szCs w:val="32"/>
          <w:lang w:val="en-US" w:eastAsia="zh-CN"/>
        </w:rPr>
        <w:t>、决算报表支出</w:t>
      </w:r>
      <w:r>
        <w:rPr>
          <w:rFonts w:hint="eastAsia" w:eastAsia="仿宋_GB2312" w:cs="Times New Roman"/>
          <w:sz w:val="32"/>
          <w:szCs w:val="32"/>
          <w:lang w:val="en-US" w:eastAsia="zh-CN"/>
        </w:rPr>
        <w:t>合计23705.1万元</w:t>
      </w:r>
      <w:r>
        <w:rPr>
          <w:rFonts w:hint="eastAsia" w:ascii="Times New Roman" w:hAnsi="Times New Roman" w:eastAsia="仿宋_GB2312" w:cs="Times New Roman"/>
          <w:sz w:val="32"/>
          <w:szCs w:val="32"/>
          <w:lang w:val="en-US" w:eastAsia="zh-CN"/>
        </w:rPr>
        <w:t>。</w:t>
      </w:r>
    </w:p>
    <w:p w14:paraId="0CB3155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为0</w:t>
      </w:r>
      <w:r>
        <w:rPr>
          <w:rFonts w:hint="default" w:ascii="Times New Roman" w:hAnsi="Times New Roman" w:eastAsia="仿宋_GB2312" w:cs="Times New Roman"/>
          <w:sz w:val="32"/>
          <w:szCs w:val="32"/>
          <w:lang w:val="en-US" w:eastAsia="zh-CN"/>
        </w:rPr>
        <w:t>。</w:t>
      </w:r>
    </w:p>
    <w:p w14:paraId="7E268F4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17C1FAD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54E62DF4">
      <w:pPr>
        <w:keepNext w:val="0"/>
        <w:keepLines w:val="0"/>
        <w:widowControl/>
        <w:suppressLineNumbers w:val="0"/>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eastAsia" w:ascii="Times New Roman" w:hAnsi="Times New Roman" w:eastAsia="仿宋_GB2312" w:cs="仿宋_GB2312"/>
          <w:color w:val="auto"/>
          <w:kern w:val="2"/>
          <w:sz w:val="32"/>
          <w:szCs w:val="32"/>
          <w:highlight w:val="none"/>
          <w:lang w:val="en-US" w:eastAsia="zh-CN" w:bidi="ar-SA"/>
        </w:rPr>
        <w:t>围绕部门整体绩效目标，选取公共卫生服务、医疗质量监管、基层医疗卫生体系建设、重点人群健康保障4 项核心职能目标开展分析。本年度紧扣县域卫生健康工作职责，统筹推进基本公共卫生服务、疫情防控后续保障、基层医疗机构提质、妇幼健康、慢性病管理等重点工作，核心职能目标总体完成较好。一是基本公共卫生服务项目，按规范开展居民健康档案管理、</w:t>
      </w:r>
      <w:r>
        <w:rPr>
          <w:rFonts w:hint="eastAsia" w:eastAsia="仿宋_GB2312" w:cs="仿宋_GB2312"/>
          <w:color w:val="auto"/>
          <w:kern w:val="2"/>
          <w:sz w:val="32"/>
          <w:szCs w:val="32"/>
          <w:highlight w:val="none"/>
          <w:lang w:val="en-US" w:eastAsia="zh-CN" w:bidi="ar-SA"/>
        </w:rPr>
        <w:t>慢性病</w:t>
      </w:r>
      <w:r>
        <w:rPr>
          <w:rFonts w:hint="eastAsia" w:ascii="Times New Roman" w:hAnsi="Times New Roman" w:eastAsia="仿宋_GB2312" w:cs="仿宋_GB2312"/>
          <w:color w:val="auto"/>
          <w:kern w:val="2"/>
          <w:sz w:val="32"/>
          <w:szCs w:val="32"/>
          <w:highlight w:val="none"/>
          <w:lang w:val="en-US" w:eastAsia="zh-CN" w:bidi="ar-SA"/>
        </w:rPr>
        <w:t>随访、老年人健康体检等工作，年度服务任务量基本达标，服务覆盖面持续稳定；二是医疗质量安全监管，组织开展县域医疗机构常态化督查、业务培训，基层诊疗行为持续规范，医疗风险防控能力稳步提升；三是基层医疗卫生体系建设，推进乡镇卫生院、村卫生室标准化提质改造，基层就诊服务条件持续改善；四是重点人群健康保障，落实妇幼保健、未成年人健康管理、严重精神障碍患者管理等服务，重点人群健康管理成效达到预期。个别专项工作受基层人员力量不足、服务对象流动性影响，部分细分指标完成时效略有延后，未影响部门总体履职成效。</w:t>
      </w:r>
    </w:p>
    <w:p w14:paraId="5B991C9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预算编制质量方面，结合县域卫生健康年度工作任务，组织各股室、下属医疗机构开展项目需求测算、绩效目标编报，预算编制总体贴合业务实际；部分公共卫生专项、设备购置项目前期测算精细化程度不足。单位收入统筹方面，统筹财政拨款、基本公卫补助、医疗服务收入等各类资金，强化资金统筹调度，保障卫健系统运转和重点项目实施。支出执行进度方面，全年动态抓好预算支出调度，重点保障基本公卫、基层医疗保障等刚性支出；部分设备采购、修缮类项目前期手续办理周期长，支出执行进度不均衡。预算年终结余方面，按财政要求常态化清理结转结余资金，少量专项项目因项目实施延后形成结余资金。严控一般性支出方面，严格落实 “过紧日子” 要求，从严压减会议费、培训费、公务接待等非刚性支出，“三公” 经费支出控制在预算限额以内。</w:t>
      </w:r>
    </w:p>
    <w:p w14:paraId="77F9464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财务管理制度方面，已建立经费管理、专项资金管理、报销审核、内控管理等财务制度，制度体系覆盖机关及下属单位资金管理主要环节。财务岗位设置方面，严格执行不相容岗位分离要求，合理设置会计、出纳岗位，岗位职责明确，人员配置满足卫健系统财务核算工作。资金使用规范方面，基本公卫、医疗补助等专项资金专款专用，资金支付履行分级审批流程，原始凭证审核规范，未发现挤占、挪用专项资金问题；少数业务报销附件资料完整性有待进一步规范。</w:t>
      </w:r>
    </w:p>
    <w:p w14:paraId="56CEA0E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人均资产变化率：结合卫健系统人员变动、医疗设备新增、老旧资产处置情况核算，本年度人均资产总体平稳，资产配置基本满足机关办公和基层医疗机构诊疗履职需求。资产利用率：定期开展全系统资产盘点，办公设备、常用诊疗设备正常投入使用；部分大型医疗设备受就诊流量、运维成本限制，使用频次偏低。资产盘活率：持续推进闲置、低效资产清查，对闲置设备优先在县域内医疗机构调剂使用；资产盘活处置力度仍需加大，闲置资产台账动态更新不够及时。</w:t>
      </w:r>
    </w:p>
    <w:p w14:paraId="35B2A58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支持中小企业发展：医疗设备、信息化建设、保洁维保等政府采购项目，严格落实扶持中小企业政策，按规定预留中小企业份额、执行价格扣除优惠，支持本地中小企业参与卫健系统采购项目。采购执行率：按照年度采购计划有序组织医疗设备、物资采购；部分医疗设备采购论证参数复杂、审批流程较长，采购实施进度滞后，采购执行率未完全达到预期。</w:t>
      </w:r>
    </w:p>
    <w:p w14:paraId="05DC7A2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2D500CC6">
      <w:pPr>
        <w:keepNext w:val="0"/>
        <w:keepLines w:val="0"/>
        <w:pageBreakBefore w:val="0"/>
        <w:widowControl w:val="0"/>
        <w:numPr>
          <w:ilvl w:val="0"/>
          <w:numId w:val="8"/>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项目决策。项目立项履行</w:t>
      </w:r>
      <w:r>
        <w:rPr>
          <w:rFonts w:hint="eastAsia" w:eastAsia="仿宋_GB2312" w:cs="仿宋_GB2312"/>
          <w:color w:val="auto"/>
          <w:kern w:val="2"/>
          <w:sz w:val="32"/>
          <w:szCs w:val="32"/>
          <w:highlight w:val="none"/>
          <w:lang w:val="zh-CN" w:eastAsia="zh-CN" w:bidi="ar-SA"/>
        </w:rPr>
        <w:t>党组会议局务会议等集体</w:t>
      </w:r>
      <w:r>
        <w:rPr>
          <w:rFonts w:hint="eastAsia" w:ascii="Times New Roman" w:hAnsi="Times New Roman" w:eastAsia="仿宋_GB2312" w:cs="仿宋_GB2312"/>
          <w:color w:val="auto"/>
          <w:kern w:val="2"/>
          <w:sz w:val="32"/>
          <w:szCs w:val="32"/>
          <w:highlight w:val="none"/>
          <w:lang w:val="zh-CN" w:eastAsia="zh-CN" w:bidi="ar-SA"/>
        </w:rPr>
        <w:t>研究、可行性论证程序，专项资金立项审批总体合规。目标设置：大部分卫健类项目绩效目标清晰，服务人数、设备购置数量、群众满意度等指标设置合理；少数项目绩效指标偏笼统，量化、可考核指标不足，效益指标难以衡量。项目入库：严格执行财政项目库管理要求，项目实行入库储备、滚动管理，预算资金从项目库择优安排；个别项目入库前现场调研论证不够充分，对基层实施难度预判不足。</w:t>
      </w:r>
    </w:p>
    <w:p w14:paraId="25FBDF2F">
      <w:pPr>
        <w:keepNext w:val="0"/>
        <w:keepLines w:val="0"/>
        <w:pageBreakBefore w:val="0"/>
        <w:widowControl w:val="0"/>
        <w:numPr>
          <w:ilvl w:val="0"/>
          <w:numId w:val="8"/>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项目执行</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zh-CN" w:eastAsia="zh-CN" w:bidi="ar-SA"/>
        </w:rPr>
        <w:t>资</w:t>
      </w:r>
      <w:r>
        <w:rPr>
          <w:rFonts w:hint="eastAsia" w:ascii="Times New Roman" w:hAnsi="Times New Roman" w:eastAsia="仿宋_GB2312" w:cs="仿宋_GB2312"/>
          <w:color w:val="auto"/>
          <w:kern w:val="2"/>
          <w:sz w:val="32"/>
          <w:szCs w:val="32"/>
          <w:highlight w:val="none"/>
          <w:lang w:val="zh-CN" w:eastAsia="zh-CN" w:bidi="ar-SA"/>
        </w:rPr>
        <w:t>金执行同向：大部分项目资金拨付与业务推进基本匹配，基本公卫补助资金按服务进度拨付；部分设备购置、基建修缮项目，存在项目实施慢于资金计划，资金拨付与项目实施不同步问题。项目调整：项目实施内容、预算变更均按财政规定履行报批程序，调整档案资料完整；少量项目变更事前论证不够充分。执行结果：落实项目绩效运行监控，定期跟踪项目实施进展，及时掌握项目推进堵点，保障卫生健康专项有序落地。绕资金执行同向、项目调整、执行结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6BE378F0">
      <w:pPr>
        <w:keepNext w:val="0"/>
        <w:keepLines w:val="0"/>
        <w:widowControl/>
        <w:suppressLineNumbers w:val="0"/>
        <w:ind w:firstLine="640" w:firstLineChars="200"/>
        <w:jc w:val="left"/>
        <w:rPr>
          <w:rFonts w:hint="default"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default" w:ascii="Times New Roman" w:hAnsi="Times New Roman" w:eastAsia="仿宋_GB2312" w:cs="仿宋_GB2312"/>
          <w:color w:val="auto"/>
          <w:kern w:val="2"/>
          <w:sz w:val="32"/>
          <w:szCs w:val="32"/>
          <w:highlight w:val="none"/>
          <w:lang w:val="en-US" w:eastAsia="zh-CN" w:bidi="ar-SA"/>
        </w:rPr>
        <w:t>多数卫生健康项目年度绩效目标按期完成，服务产出数量、质量指标基本达标。目标偏离：少数项目存在绩效目标偏离，主要原因是基层专业人员短缺、群众参与意愿不及预期、项目施工及供货周期延长，导致部分指标未完成。实现效果：已完成项目有效提升县域公共卫生和基层医疗服务能力，群众就医可及性得到改善，服务对象满意度总体良好；部分项目社会效益体现存在滞后性。</w:t>
      </w:r>
    </w:p>
    <w:p w14:paraId="0587D27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en-US" w:eastAsia="zh-CN" w:bidi="ar-SA"/>
        </w:rPr>
        <w:t>025 年度一般公共预算常年及阶段性项目重点保障机关运转、基本公共卫生服务、基层医疗卫生补助等工作，绩效目标总体落地；政府性基金预算、国有资本经营预算项目严格限定资金用途，专款专用，常态化开展绩效监控。债券资金项目聚焦乡镇卫生院基础设施提升等公益性医疗卫生建设项目，严格按照专项债券管理要求推进建设与资金监管；政府购买服务项目（如公共卫生辅助服务、后勤保障等）规范遴选承接主体，合同管理、服务考核总体规范，服务质量达到基本要求。</w:t>
      </w:r>
    </w:p>
    <w:p w14:paraId="004888E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建立绩效监控与自评结果内部运用机制</w:t>
      </w:r>
      <w:r>
        <w:rPr>
          <w:rFonts w:hint="eastAsia" w:eastAsia="仿宋_GB2312" w:cs="仿宋_GB2312"/>
          <w:color w:val="auto"/>
          <w:kern w:val="2"/>
          <w:sz w:val="32"/>
          <w:szCs w:val="32"/>
          <w:highlight w:val="none"/>
          <w:lang w:val="zh-CN" w:eastAsia="zh-CN" w:bidi="ar-SA"/>
        </w:rPr>
        <w:t>，将</w:t>
      </w:r>
      <w:r>
        <w:rPr>
          <w:rFonts w:hint="eastAsia" w:ascii="Times New Roman" w:hAnsi="Times New Roman" w:eastAsia="仿宋_GB2312" w:cs="仿宋_GB2312"/>
          <w:color w:val="auto"/>
          <w:kern w:val="2"/>
          <w:sz w:val="32"/>
          <w:szCs w:val="32"/>
          <w:highlight w:val="none"/>
          <w:lang w:val="zh-CN" w:eastAsia="zh-CN" w:bidi="ar-SA"/>
        </w:rPr>
        <w:t>绩效评价结果作为下一年度项目取舍、预算额度调整的重要参考，对监控发现问题及时督促各业务股室、下属医疗卫生单位整改。信息公开情况：按照财政信息公开要求，在指定平台公开部门预算绩效相关信息，公开内容以绩效表为主，项目效益、问题整改等内容细化程度不足。整改反馈情况：针对绩效监控、自评发现问题建立问题台账，逐项推进整改销号并反馈整改情况；部分问题偏重于当期整改，长效管理机制仍需巩固完善。</w:t>
      </w:r>
    </w:p>
    <w:p w14:paraId="67380BF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47CDE7A1">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en-US" w:eastAsia="zh-CN" w:bidi="ar"/>
        </w:rPr>
        <w:t>县卫健局预算管理、项目实施、资金使用总体规范，有序落实基本公共卫生服务、基层医疗提质、重点人群健康管理等各项卫健职能，部门整体绩效目标基本实现，县域医疗卫生保障能力持续提升。同时在预算编制精细化、项目全过程管控、资产管理、绩效结果运用等方面仍存在短板弱项，预算绩效管理精细化水平有待持续提升。</w:t>
      </w:r>
    </w:p>
    <w:p w14:paraId="2856D38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Times New Roman"/>
          <w:sz w:val="32"/>
          <w:szCs w:val="32"/>
          <w:u w:val="none"/>
          <w:lang w:val="en-US" w:eastAsia="zh-CN" w:bidi="ar"/>
        </w:rPr>
        <w:t>1. 预算编制精细化程度不足，部分卫生专项项目前期基层调研论证不够充分，绩效指标量化难度大；设备购置、修缮类项目支出执行不均衡，部分项目形成结余资金，一般性支出管控仍需持续压紧。</w:t>
      </w:r>
    </w:p>
    <w:p w14:paraId="651E1DF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2. 项目全周期管理有待加强，部分阶段性基建、设备采购项目前期手续繁杂，项目实施进度滞后，资金拨付与项目实施不同步，造成少数项目绩效目标出现偏离；基层专业人员不足也制约项目落地成效。</w:t>
      </w:r>
    </w:p>
    <w:p w14:paraId="2E4EE5E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3. 资产管理精细化水平不高，部分大型医疗设备利用率偏低，县域内闲置医疗资产调剂盘活力度不足，资产动态台账更新不够及时。</w:t>
      </w:r>
    </w:p>
    <w:p w14:paraId="2AAC65C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4. 绩效结果应用深度不够，绩效评价结果对预算安排的刚性约束不足；绩效信息公开内容较为简略，问题整改多为阶段性整改，长效管理机制不够健全。</w:t>
      </w:r>
    </w:p>
    <w:p w14:paraId="194A851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5. 政府采购前期方案论证不够充分，医疗设备参数论证耗时较长，部分采购项目实施进度偏慢，扶持中小企业相关举措宣传力度有待加强。</w:t>
      </w:r>
    </w:p>
    <w:p w14:paraId="1661CB21">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6" w:name="_Hlk110546638"/>
      <w:r>
        <w:rPr>
          <w:rFonts w:hint="eastAsia" w:ascii="Times New Roman" w:hAnsi="Times New Roman" w:eastAsia="仿宋_GB2312" w:cs="Times New Roman"/>
          <w:sz w:val="32"/>
          <w:szCs w:val="32"/>
          <w:u w:val="none"/>
          <w:lang w:val="en-US" w:eastAsia="zh-CN" w:bidi="ar"/>
        </w:rPr>
        <w:t>1. 做实预算编制，强化预算执行动态管控。加强卫健项目前期实地调研，充分预判基层实施条件，科学测算资金需求，优化绩效指标设置，尽可能量化服务产出、健康效益指标。建立预算执行月度调度机制，重点跟踪设备采购、基建修缮等项目支出进度，及时清理盘活结转结余资金，持续从严管控一般性支出。</w:t>
      </w:r>
    </w:p>
    <w:p w14:paraId="2B680FF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2. 健全项目全流程管理，降低绩效目标偏离风险。完善项目入库评审机制，强化项目事前可行性论证，充分评估基层人力、场地等实施条件。对基建、设备采购类阶段项目提前谋划招投标、手续办理工作，推动项目实施与资金拨付进度同步。落实绩效运行常态化监控，发现目标偏离第一时间预警纠偏，统筹加强基层医疗卫生人才队伍建设，保障项目落地见效。</w:t>
      </w:r>
    </w:p>
    <w:p w14:paraId="06CE9B9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3. 完善资产全生命周期管理，提升医疗资产使用效益。常态化开展全系统资产清查盘点，建立县域卫健系统闲置低效医疗资产共享台账，加大跨机构资产内部调剂力度；科学配置大型医疗设备，避免重复购置，动态更新资产台账，持续提升资产利用率与盘活率。</w:t>
      </w:r>
    </w:p>
    <w:p w14:paraId="37A5525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4. 深化绩效结果运用，健全长效整改机制。强化绩效评价结果刚性约束，将自评结果作为下一年度预算安排、项目保留或压减的核心依据。按照财政公开要求细化绩效公开内容，丰富项目成效、绩效问题等公开信息。完善问题整改销号管理，对共性问题深挖根源，建立长效管理制度，防止同类问题反复发生。</w:t>
      </w:r>
    </w:p>
    <w:p w14:paraId="0BFCD43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5. 规范政府采购全流程管理。医疗设备采购阶段提前组织技术参数论证，科学制定年度采购计划，压缩前期准备周期。持续落实政府采购扶持中小企业政策，做好政策宣传，畅通中小企业参与医疗卫生采购项目渠道。</w:t>
      </w:r>
    </w:p>
    <w:p w14:paraId="49267857">
      <w:pPr>
        <w:pStyle w:val="15"/>
        <w:rPr>
          <w:rFonts w:hint="eastAsia" w:ascii="Times New Roman" w:hAnsi="Times New Roman" w:eastAsia="仿宋_GB2312" w:cs="Times New Roman"/>
          <w:sz w:val="32"/>
          <w:szCs w:val="32"/>
          <w:u w:val="none"/>
          <w:lang w:val="en-US" w:eastAsia="zh-CN" w:bidi="ar"/>
        </w:rPr>
      </w:pPr>
    </w:p>
    <w:p w14:paraId="53AAECDA">
      <w:pPr>
        <w:pStyle w:val="9"/>
        <w:rPr>
          <w:rFonts w:hint="eastAsia" w:ascii="Times New Roman" w:hAnsi="Times New Roman" w:eastAsia="仿宋_GB2312" w:cs="Times New Roman"/>
          <w:sz w:val="32"/>
          <w:szCs w:val="32"/>
          <w:u w:val="none"/>
          <w:lang w:val="en-US" w:eastAsia="zh-CN" w:bidi="ar"/>
        </w:rPr>
      </w:pPr>
    </w:p>
    <w:p w14:paraId="02FFA13C">
      <w:pPr>
        <w:rPr>
          <w:rFonts w:hint="eastAsia" w:ascii="Times New Roman" w:hAnsi="Times New Roman" w:eastAsia="仿宋_GB2312" w:cs="Times New Roman"/>
          <w:sz w:val="32"/>
          <w:szCs w:val="32"/>
          <w:u w:val="none"/>
          <w:lang w:val="en-US" w:eastAsia="zh-CN" w:bidi="ar"/>
        </w:rPr>
      </w:pPr>
    </w:p>
    <w:p w14:paraId="4E9484EC">
      <w:pPr>
        <w:rPr>
          <w:rFonts w:hint="eastAsia" w:ascii="Times New Roman" w:hAnsi="Times New Roman" w:eastAsia="仿宋_GB2312" w:cs="Times New Roman"/>
          <w:sz w:val="32"/>
          <w:szCs w:val="32"/>
          <w:u w:val="none"/>
          <w:lang w:val="en-US" w:eastAsia="zh-CN" w:bidi="ar"/>
        </w:rPr>
      </w:pPr>
    </w:p>
    <w:p w14:paraId="5823B0C6">
      <w:pPr>
        <w:rPr>
          <w:rFonts w:hint="eastAsia" w:ascii="Times New Roman" w:hAnsi="Times New Roman" w:eastAsia="仿宋_GB2312" w:cs="Times New Roman"/>
          <w:sz w:val="32"/>
          <w:szCs w:val="32"/>
          <w:u w:val="none"/>
          <w:lang w:val="en-US" w:eastAsia="zh-CN" w:bidi="ar"/>
        </w:rPr>
      </w:pPr>
    </w:p>
    <w:p w14:paraId="1CC88B01">
      <w:pPr>
        <w:rPr>
          <w:rFonts w:hint="eastAsia" w:ascii="Times New Roman" w:hAnsi="Times New Roman" w:eastAsia="仿宋_GB2312" w:cs="Times New Roman"/>
          <w:sz w:val="32"/>
          <w:szCs w:val="32"/>
          <w:u w:val="none"/>
          <w:lang w:val="en-US" w:eastAsia="zh-CN" w:bidi="ar"/>
        </w:rPr>
      </w:pPr>
    </w:p>
    <w:p w14:paraId="6DB110BF">
      <w:pPr>
        <w:rPr>
          <w:rFonts w:hint="eastAsia" w:ascii="Times New Roman" w:hAnsi="Times New Roman" w:eastAsia="仿宋_GB2312" w:cs="Times New Roman"/>
          <w:sz w:val="32"/>
          <w:szCs w:val="32"/>
          <w:u w:val="none"/>
          <w:lang w:val="en-US" w:eastAsia="zh-CN" w:bidi="ar"/>
        </w:rPr>
      </w:pPr>
    </w:p>
    <w:p w14:paraId="1D6F0147">
      <w:pPr>
        <w:rPr>
          <w:rFonts w:hint="eastAsia" w:ascii="Times New Roman" w:hAnsi="Times New Roman" w:eastAsia="仿宋_GB2312" w:cs="Times New Roman"/>
          <w:sz w:val="32"/>
          <w:szCs w:val="32"/>
          <w:u w:val="none"/>
          <w:lang w:val="en-US" w:eastAsia="zh-CN" w:bidi="ar"/>
        </w:rPr>
      </w:pPr>
    </w:p>
    <w:p w14:paraId="3E6A03EE">
      <w:pPr>
        <w:rPr>
          <w:rFonts w:hint="eastAsia" w:ascii="Times New Roman" w:hAnsi="Times New Roman" w:eastAsia="仿宋_GB2312" w:cs="Times New Roman"/>
          <w:sz w:val="32"/>
          <w:szCs w:val="32"/>
          <w:u w:val="none"/>
          <w:lang w:val="en-US" w:eastAsia="zh-CN" w:bidi="ar"/>
        </w:rPr>
      </w:pPr>
    </w:p>
    <w:p w14:paraId="6A580073">
      <w:pPr>
        <w:rPr>
          <w:rFonts w:hint="eastAsia" w:ascii="Times New Roman" w:hAnsi="Times New Roman" w:eastAsia="仿宋_GB2312" w:cs="Times New Roman"/>
          <w:sz w:val="32"/>
          <w:szCs w:val="32"/>
          <w:u w:val="none"/>
          <w:lang w:val="en-US" w:eastAsia="zh-CN" w:bidi="ar"/>
        </w:rPr>
      </w:pPr>
    </w:p>
    <w:p w14:paraId="366866F3">
      <w:pPr>
        <w:rPr>
          <w:rFonts w:hint="eastAsia" w:ascii="Times New Roman" w:hAnsi="Times New Roman" w:eastAsia="仿宋_GB2312" w:cs="Times New Roman"/>
          <w:sz w:val="32"/>
          <w:szCs w:val="32"/>
          <w:u w:val="none"/>
          <w:lang w:val="en-US" w:eastAsia="zh-CN" w:bidi="ar"/>
        </w:rPr>
      </w:pPr>
    </w:p>
    <w:p w14:paraId="79B6E3C0">
      <w:pPr>
        <w:rPr>
          <w:rFonts w:hint="eastAsia" w:ascii="Times New Roman" w:hAnsi="Times New Roman" w:eastAsia="仿宋_GB2312" w:cs="Times New Roman"/>
          <w:sz w:val="32"/>
          <w:szCs w:val="32"/>
          <w:u w:val="none"/>
          <w:lang w:val="en-US" w:eastAsia="zh-CN" w:bidi="ar"/>
        </w:rPr>
      </w:pPr>
    </w:p>
    <w:p w14:paraId="79E460C9">
      <w:pPr>
        <w:rPr>
          <w:rFonts w:hint="eastAsia"/>
          <w:lang w:val="en-US" w:eastAsia="zh-CN"/>
        </w:rPr>
      </w:pPr>
    </w:p>
    <w:p w14:paraId="4FE2295A">
      <w:pPr>
        <w:pStyle w:val="9"/>
        <w:rPr>
          <w:rFonts w:hint="eastAsia"/>
          <w:lang w:val="en-US" w:eastAsia="zh-CN"/>
        </w:rPr>
      </w:pPr>
    </w:p>
    <w:bookmarkEnd w:id="56"/>
    <w:p w14:paraId="136A1715">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7"/>
        <w:tblpPr w:leftFromText="180" w:rightFromText="180" w:vertAnchor="text" w:horzAnchor="page" w:tblpX="1127" w:tblpY="1377"/>
        <w:tblOverlap w:val="never"/>
        <w:tblW w:w="104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0"/>
        <w:gridCol w:w="1258"/>
        <w:gridCol w:w="1079"/>
        <w:gridCol w:w="2886"/>
        <w:gridCol w:w="1079"/>
        <w:gridCol w:w="1079"/>
        <w:gridCol w:w="1079"/>
        <w:gridCol w:w="1080"/>
      </w:tblGrid>
      <w:tr w14:paraId="2A3DC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440" w:type="dxa"/>
            <w:gridSpan w:val="8"/>
            <w:tcBorders>
              <w:top w:val="nil"/>
              <w:left w:val="nil"/>
              <w:bottom w:val="nil"/>
              <w:right w:val="nil"/>
            </w:tcBorders>
            <w:shd w:val="clear" w:color="auto" w:fill="auto"/>
            <w:vAlign w:val="center"/>
          </w:tcPr>
          <w:p w14:paraId="2B71AB92">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default" w:ascii="黑体" w:hAnsi="宋体" w:eastAsia="黑体" w:cs="黑体"/>
                <w:i w:val="0"/>
                <w:iCs w:val="0"/>
                <w:color w:val="000000"/>
                <w:kern w:val="0"/>
                <w:sz w:val="30"/>
                <w:szCs w:val="30"/>
                <w:u w:val="none"/>
                <w:lang w:val="en-US" w:eastAsia="zh-CN" w:bidi="ar"/>
              </w:rPr>
              <w:t>部门整体支出绩效目标表</w:t>
            </w:r>
          </w:p>
        </w:tc>
      </w:tr>
      <w:tr w14:paraId="527BC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440" w:type="dxa"/>
            <w:gridSpan w:val="8"/>
            <w:tcBorders>
              <w:top w:val="nil"/>
              <w:left w:val="nil"/>
              <w:bottom w:val="nil"/>
              <w:right w:val="nil"/>
            </w:tcBorders>
            <w:shd w:val="clear" w:color="auto" w:fill="auto"/>
            <w:vAlign w:val="center"/>
          </w:tcPr>
          <w:p w14:paraId="3E41A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w:t>
            </w:r>
          </w:p>
        </w:tc>
      </w:tr>
      <w:tr w14:paraId="45E91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440" w:type="dxa"/>
            <w:gridSpan w:val="8"/>
            <w:tcBorders>
              <w:top w:val="nil"/>
              <w:left w:val="nil"/>
              <w:bottom w:val="single" w:color="000000" w:sz="4" w:space="0"/>
              <w:right w:val="nil"/>
            </w:tcBorders>
            <w:shd w:val="clear" w:color="auto" w:fill="auto"/>
            <w:vAlign w:val="center"/>
          </w:tcPr>
          <w:p w14:paraId="5CB673D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单位：万元</w:t>
            </w:r>
          </w:p>
        </w:tc>
      </w:tr>
      <w:tr w14:paraId="0367D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2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E4E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部门名称</w:t>
            </w:r>
          </w:p>
        </w:tc>
        <w:tc>
          <w:tcPr>
            <w:tcW w:w="7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5F6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卫生健康局</w:t>
            </w:r>
          </w:p>
        </w:tc>
      </w:tr>
      <w:tr w14:paraId="4ED96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BE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年度部门整体支出预算</w:t>
            </w:r>
          </w:p>
        </w:tc>
        <w:tc>
          <w:tcPr>
            <w:tcW w:w="2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F5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资金总额</w:t>
            </w:r>
          </w:p>
        </w:tc>
        <w:tc>
          <w:tcPr>
            <w:tcW w:w="3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4E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财政拨款</w:t>
            </w:r>
          </w:p>
        </w:tc>
        <w:tc>
          <w:tcPr>
            <w:tcW w:w="3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C95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r>
      <w:tr w14:paraId="741BD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2C6E1">
            <w:pPr>
              <w:jc w:val="center"/>
              <w:rPr>
                <w:rFonts w:hint="eastAsia" w:ascii="宋体" w:hAnsi="宋体" w:eastAsia="宋体" w:cs="宋体"/>
                <w:i w:val="0"/>
                <w:iCs w:val="0"/>
                <w:color w:val="000000"/>
                <w:sz w:val="18"/>
                <w:szCs w:val="18"/>
                <w:u w:val="none"/>
              </w:rPr>
            </w:pPr>
          </w:p>
        </w:tc>
        <w:tc>
          <w:tcPr>
            <w:tcW w:w="2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E6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23,507.91</w:t>
            </w:r>
          </w:p>
        </w:tc>
        <w:tc>
          <w:tcPr>
            <w:tcW w:w="39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421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23,507.91</w:t>
            </w:r>
          </w:p>
        </w:tc>
        <w:tc>
          <w:tcPr>
            <w:tcW w:w="323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3AD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r>
      <w:tr w14:paraId="40D66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57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95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EFAA5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推进县域医共体建设与医疗卫生资源优化配置，强化人才引育与专科建设，抓实计划生育、基本公共卫生服务等民生工作，深化医疗体制改革，全面提升县域医疗服务能力、公共卫生应急防控水平与健康民生服务质效，保障全县医疗卫生事业高质量发展。</w:t>
            </w:r>
          </w:p>
        </w:tc>
      </w:tr>
      <w:tr w14:paraId="02B2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4A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年度主要任务</w:t>
            </w:r>
          </w:p>
        </w:tc>
        <w:tc>
          <w:tcPr>
            <w:tcW w:w="2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68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任务名称</w:t>
            </w:r>
          </w:p>
        </w:tc>
        <w:tc>
          <w:tcPr>
            <w:tcW w:w="7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EC9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主要内容</w:t>
            </w:r>
          </w:p>
        </w:tc>
      </w:tr>
      <w:tr w14:paraId="3D5F8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F7D3A">
            <w:pPr>
              <w:jc w:val="center"/>
              <w:rPr>
                <w:rFonts w:hint="eastAsia" w:ascii="宋体" w:hAnsi="宋体" w:eastAsia="宋体" w:cs="宋体"/>
                <w:i w:val="0"/>
                <w:iCs w:val="0"/>
                <w:color w:val="000000"/>
                <w:sz w:val="18"/>
                <w:szCs w:val="18"/>
                <w:u w:val="none"/>
              </w:rPr>
            </w:pPr>
          </w:p>
        </w:tc>
        <w:tc>
          <w:tcPr>
            <w:tcW w:w="2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3E36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稳步推进县域医共体建设，全方位统筹并优化全县医疗卫生资源配置。</w:t>
            </w:r>
          </w:p>
        </w:tc>
        <w:tc>
          <w:tcPr>
            <w:tcW w:w="7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7CCF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着力构建“目标明确、权责清晰、分工协作、运行高效”的紧密型县域医疗卫生体系，扎实推动编制、岗位、人员、经费、管理、财务、药物、信息“八统一”管理等重点工作任务的落实。逐步推进医共体各项工作安排，持续完善内控制度，提升医院高质量发展效能，严格贯彻医共体竞聘上岗与聘期管理要求。</w:t>
            </w:r>
          </w:p>
        </w:tc>
      </w:tr>
      <w:tr w14:paraId="7C12A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F5276">
            <w:pPr>
              <w:jc w:val="center"/>
              <w:rPr>
                <w:rFonts w:hint="eastAsia" w:ascii="宋体" w:hAnsi="宋体" w:eastAsia="宋体" w:cs="宋体"/>
                <w:i w:val="0"/>
                <w:iCs w:val="0"/>
                <w:color w:val="000000"/>
                <w:sz w:val="18"/>
                <w:szCs w:val="18"/>
                <w:u w:val="none"/>
              </w:rPr>
            </w:pPr>
          </w:p>
        </w:tc>
        <w:tc>
          <w:tcPr>
            <w:tcW w:w="2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C99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深入推进医联体和“组团式”帮扶工作，推进“五个中心”建设</w:t>
            </w:r>
          </w:p>
        </w:tc>
        <w:tc>
          <w:tcPr>
            <w:tcW w:w="7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CAD5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加强重点专科建设和临床薄弱专科建设，重点推进与成都市第七人民医院妇产科专科联盟建设。</w:t>
            </w:r>
          </w:p>
        </w:tc>
      </w:tr>
      <w:tr w14:paraId="29812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FFBEB">
            <w:pPr>
              <w:jc w:val="center"/>
              <w:rPr>
                <w:rFonts w:hint="eastAsia" w:ascii="宋体" w:hAnsi="宋体" w:eastAsia="宋体" w:cs="宋体"/>
                <w:i w:val="0"/>
                <w:iCs w:val="0"/>
                <w:color w:val="000000"/>
                <w:sz w:val="18"/>
                <w:szCs w:val="18"/>
                <w:u w:val="none"/>
              </w:rPr>
            </w:pPr>
          </w:p>
        </w:tc>
        <w:tc>
          <w:tcPr>
            <w:tcW w:w="2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AEA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加强计划生育政策宣传，完成婚检孕检目标任务数。</w:t>
            </w:r>
          </w:p>
        </w:tc>
        <w:tc>
          <w:tcPr>
            <w:tcW w:w="7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0797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完成2026年度“二项制度”新增人员的县级资格复核及年审工作。完成失能老年人“健康敲门行动”任务数，加强每千人口拥有3岁以下婴幼儿托位数的创建。完成农村妇女宫颈癌和乳腺癌筛查。</w:t>
            </w:r>
          </w:p>
        </w:tc>
      </w:tr>
      <w:tr w14:paraId="499C4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E7A3C">
            <w:pPr>
              <w:jc w:val="center"/>
              <w:rPr>
                <w:rFonts w:hint="eastAsia" w:ascii="宋体" w:hAnsi="宋体" w:eastAsia="宋体" w:cs="宋体"/>
                <w:i w:val="0"/>
                <w:iCs w:val="0"/>
                <w:color w:val="000000"/>
                <w:sz w:val="18"/>
                <w:szCs w:val="18"/>
                <w:u w:val="none"/>
              </w:rPr>
            </w:pPr>
          </w:p>
        </w:tc>
        <w:tc>
          <w:tcPr>
            <w:tcW w:w="2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561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规范开展基本公共卫生服务工作，加快资金使用进度。</w:t>
            </w:r>
          </w:p>
        </w:tc>
        <w:tc>
          <w:tcPr>
            <w:tcW w:w="7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CAA0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提高重大疾病防控能力，加强医疗卫生单位卫生应急物资日常储备。</w:t>
            </w:r>
          </w:p>
        </w:tc>
      </w:tr>
      <w:tr w14:paraId="340F8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9C291">
            <w:pPr>
              <w:jc w:val="center"/>
              <w:rPr>
                <w:rFonts w:hint="eastAsia" w:ascii="宋体" w:hAnsi="宋体" w:eastAsia="宋体" w:cs="宋体"/>
                <w:i w:val="0"/>
                <w:iCs w:val="0"/>
                <w:color w:val="000000"/>
                <w:sz w:val="18"/>
                <w:szCs w:val="18"/>
                <w:u w:val="none"/>
              </w:rPr>
            </w:pPr>
          </w:p>
        </w:tc>
        <w:tc>
          <w:tcPr>
            <w:tcW w:w="2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7EC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不断深化医疗体制改革，加大医护人员能力提升培养力度，加强医护质量管理和院感管理。</w:t>
            </w:r>
          </w:p>
        </w:tc>
        <w:tc>
          <w:tcPr>
            <w:tcW w:w="7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2D45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进村医养老保障工作和乡村一体化管理，推进医德医风建设。加强无偿献血知识宣传，完成献血任务。开展医政医管综合监督，按时完成目标任务。推进国家基本药物制度补偿和县级公立医疗机构取消药品补偿工作。</w:t>
            </w:r>
          </w:p>
        </w:tc>
      </w:tr>
      <w:tr w14:paraId="583D4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AA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年度绩效指标</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02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D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E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4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绩效指标性质</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25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绩效指标值</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2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绩效度量单位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5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14:paraId="4CF17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054CE">
            <w:pPr>
              <w:jc w:val="center"/>
              <w:rPr>
                <w:rFonts w:hint="eastAsia" w:ascii="宋体" w:hAnsi="宋体" w:eastAsia="宋体" w:cs="宋体"/>
                <w:i w:val="0"/>
                <w:iCs w:val="0"/>
                <w:color w:val="000000"/>
                <w:sz w:val="18"/>
                <w:szCs w:val="18"/>
                <w:u w:val="none"/>
              </w:rPr>
            </w:pPr>
          </w:p>
        </w:tc>
        <w:tc>
          <w:tcPr>
            <w:tcW w:w="12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87B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5A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7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招聘卫生紧缺专业技术人员数</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1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D9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≥10名</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96A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2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51A8E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8851F">
            <w:pPr>
              <w:jc w:val="center"/>
              <w:rPr>
                <w:rFonts w:hint="eastAsia" w:ascii="宋体" w:hAnsi="宋体" w:eastAsia="宋体" w:cs="宋体"/>
                <w:i w:val="0"/>
                <w:iCs w:val="0"/>
                <w:color w:val="000000"/>
                <w:sz w:val="18"/>
                <w:szCs w:val="18"/>
                <w:u w:val="none"/>
              </w:rPr>
            </w:pP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C228A">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E7DA5">
            <w:pPr>
              <w:jc w:val="center"/>
              <w:rPr>
                <w:rFonts w:hint="eastAsia" w:ascii="宋体" w:hAnsi="宋体" w:eastAsia="宋体" w:cs="宋体"/>
                <w:i w:val="0"/>
                <w:iCs w:val="0"/>
                <w:color w:val="000000"/>
                <w:sz w:val="18"/>
                <w:szCs w:val="18"/>
                <w:u w:val="none"/>
              </w:rPr>
            </w:pP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F5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失能老年人“健康敲门行”服务完成数</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67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C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按年度计划100%完成</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C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C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175FF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BD845">
            <w:pPr>
              <w:jc w:val="center"/>
              <w:rPr>
                <w:rFonts w:hint="eastAsia" w:ascii="宋体" w:hAnsi="宋体" w:eastAsia="宋体" w:cs="宋体"/>
                <w:i w:val="0"/>
                <w:iCs w:val="0"/>
                <w:color w:val="000000"/>
                <w:sz w:val="18"/>
                <w:szCs w:val="18"/>
                <w:u w:val="none"/>
              </w:rPr>
            </w:pP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37B72">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7FF09">
            <w:pPr>
              <w:jc w:val="center"/>
              <w:rPr>
                <w:rFonts w:hint="eastAsia" w:ascii="宋体" w:hAnsi="宋体" w:eastAsia="宋体" w:cs="宋体"/>
                <w:i w:val="0"/>
                <w:iCs w:val="0"/>
                <w:color w:val="000000"/>
                <w:sz w:val="18"/>
                <w:szCs w:val="18"/>
                <w:u w:val="none"/>
              </w:rPr>
            </w:pP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4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农村妇女宫颈癌和乳腺癌筛查完成数</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D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0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按年度任务100%完成</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9D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2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47AF7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9FE57">
            <w:pPr>
              <w:jc w:val="center"/>
              <w:rPr>
                <w:rFonts w:hint="eastAsia" w:ascii="宋体" w:hAnsi="宋体" w:eastAsia="宋体" w:cs="宋体"/>
                <w:i w:val="0"/>
                <w:iCs w:val="0"/>
                <w:color w:val="000000"/>
                <w:sz w:val="18"/>
                <w:szCs w:val="18"/>
                <w:u w:val="none"/>
              </w:rPr>
            </w:pP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F64EC">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6B8AD">
            <w:pPr>
              <w:jc w:val="center"/>
              <w:rPr>
                <w:rFonts w:hint="eastAsia" w:ascii="宋体" w:hAnsi="宋体" w:eastAsia="宋体" w:cs="宋体"/>
                <w:i w:val="0"/>
                <w:iCs w:val="0"/>
                <w:color w:val="000000"/>
                <w:sz w:val="18"/>
                <w:szCs w:val="18"/>
                <w:u w:val="none"/>
              </w:rPr>
            </w:pP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61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每千人口拥有3岁以下婴幼儿托位数</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87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B7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达到省级标准</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51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2A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5CD94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BEC4E">
            <w:pPr>
              <w:jc w:val="center"/>
              <w:rPr>
                <w:rFonts w:hint="eastAsia" w:ascii="宋体" w:hAnsi="宋体" w:eastAsia="宋体" w:cs="宋体"/>
                <w:i w:val="0"/>
                <w:iCs w:val="0"/>
                <w:color w:val="000000"/>
                <w:sz w:val="18"/>
                <w:szCs w:val="18"/>
                <w:u w:val="none"/>
              </w:rPr>
            </w:pP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7A881">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C6C52">
            <w:pPr>
              <w:jc w:val="center"/>
              <w:rPr>
                <w:rFonts w:hint="eastAsia" w:ascii="宋体" w:hAnsi="宋体" w:eastAsia="宋体" w:cs="宋体"/>
                <w:i w:val="0"/>
                <w:iCs w:val="0"/>
                <w:color w:val="000000"/>
                <w:sz w:val="18"/>
                <w:szCs w:val="18"/>
                <w:u w:val="none"/>
              </w:rPr>
            </w:pP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E3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无偿献血任务完成数</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55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9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D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F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771A3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7B9DE">
            <w:pPr>
              <w:jc w:val="center"/>
              <w:rPr>
                <w:rFonts w:hint="eastAsia" w:ascii="宋体" w:hAnsi="宋体" w:eastAsia="宋体" w:cs="宋体"/>
                <w:i w:val="0"/>
                <w:iCs w:val="0"/>
                <w:color w:val="000000"/>
                <w:sz w:val="18"/>
                <w:szCs w:val="18"/>
                <w:u w:val="none"/>
              </w:rPr>
            </w:pP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30404">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E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5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医疗纠纷投诉处理满意度</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09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E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1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8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2E395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12ECD">
            <w:pPr>
              <w:jc w:val="center"/>
              <w:rPr>
                <w:rFonts w:hint="eastAsia" w:ascii="宋体" w:hAnsi="宋体" w:eastAsia="宋体" w:cs="宋体"/>
                <w:i w:val="0"/>
                <w:iCs w:val="0"/>
                <w:color w:val="000000"/>
                <w:sz w:val="18"/>
                <w:szCs w:val="18"/>
                <w:u w:val="none"/>
              </w:rPr>
            </w:pP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E86DF">
            <w:pPr>
              <w:jc w:val="center"/>
              <w:rPr>
                <w:rFonts w:hint="eastAsia" w:ascii="宋体" w:hAnsi="宋体" w:eastAsia="宋体" w:cs="宋体"/>
                <w:i w:val="0"/>
                <w:iCs w:val="0"/>
                <w:color w:val="000000"/>
                <w:sz w:val="18"/>
                <w:szCs w:val="18"/>
                <w:u w:val="none"/>
              </w:rPr>
            </w:pP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8A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8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卫生应急物资日常储备到位时效</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C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5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实时储备</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99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2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7F9A8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32E3F">
            <w:pPr>
              <w:jc w:val="center"/>
              <w:rPr>
                <w:rFonts w:hint="eastAsia" w:ascii="宋体" w:hAnsi="宋体" w:eastAsia="宋体" w:cs="宋体"/>
                <w:i w:val="0"/>
                <w:iCs w:val="0"/>
                <w:color w:val="000000"/>
                <w:sz w:val="18"/>
                <w:szCs w:val="18"/>
                <w:u w:val="none"/>
              </w:rPr>
            </w:pP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247F8">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0B2F3">
            <w:pPr>
              <w:jc w:val="center"/>
              <w:rPr>
                <w:rFonts w:hint="eastAsia" w:ascii="宋体" w:hAnsi="宋体" w:eastAsia="宋体" w:cs="宋体"/>
                <w:i w:val="0"/>
                <w:iCs w:val="0"/>
                <w:color w:val="000000"/>
                <w:sz w:val="18"/>
                <w:szCs w:val="18"/>
                <w:u w:val="none"/>
              </w:rPr>
            </w:pP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F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药品补偿工作完成时效</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0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9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年度内12月底前完成</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3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4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2BB73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9AE53">
            <w:pPr>
              <w:jc w:val="center"/>
              <w:rPr>
                <w:rFonts w:hint="eastAsia" w:ascii="宋体" w:hAnsi="宋体" w:eastAsia="宋体" w:cs="宋体"/>
                <w:i w:val="0"/>
                <w:iCs w:val="0"/>
                <w:color w:val="000000"/>
                <w:sz w:val="18"/>
                <w:szCs w:val="18"/>
                <w:u w:val="none"/>
              </w:rPr>
            </w:pPr>
          </w:p>
        </w:tc>
        <w:tc>
          <w:tcPr>
            <w:tcW w:w="12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CF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D4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6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县域内就诊率</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E2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E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2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7AE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5F563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8232E">
            <w:pPr>
              <w:jc w:val="center"/>
              <w:rPr>
                <w:rFonts w:hint="eastAsia" w:ascii="宋体" w:hAnsi="宋体" w:eastAsia="宋体" w:cs="宋体"/>
                <w:i w:val="0"/>
                <w:iCs w:val="0"/>
                <w:color w:val="000000"/>
                <w:sz w:val="18"/>
                <w:szCs w:val="18"/>
                <w:u w:val="none"/>
              </w:rPr>
            </w:pP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723E8">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1D2D8">
            <w:pPr>
              <w:jc w:val="center"/>
              <w:rPr>
                <w:rFonts w:hint="eastAsia" w:ascii="宋体" w:hAnsi="宋体" w:eastAsia="宋体" w:cs="宋体"/>
                <w:i w:val="0"/>
                <w:iCs w:val="0"/>
                <w:color w:val="000000"/>
                <w:sz w:val="18"/>
                <w:szCs w:val="18"/>
                <w:u w:val="none"/>
              </w:rPr>
            </w:pP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7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重点传染病防控处置及时率</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9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0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F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BD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69726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E4FD5">
            <w:pPr>
              <w:jc w:val="center"/>
              <w:rPr>
                <w:rFonts w:hint="eastAsia" w:ascii="宋体" w:hAnsi="宋体" w:eastAsia="宋体" w:cs="宋体"/>
                <w:i w:val="0"/>
                <w:iCs w:val="0"/>
                <w:color w:val="000000"/>
                <w:sz w:val="18"/>
                <w:szCs w:val="18"/>
                <w:u w:val="none"/>
              </w:rPr>
            </w:pP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3DCD7">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0F59E">
            <w:pPr>
              <w:jc w:val="center"/>
              <w:rPr>
                <w:rFonts w:hint="eastAsia" w:ascii="宋体" w:hAnsi="宋体" w:eastAsia="宋体" w:cs="宋体"/>
                <w:i w:val="0"/>
                <w:iCs w:val="0"/>
                <w:color w:val="000000"/>
                <w:sz w:val="18"/>
                <w:szCs w:val="18"/>
                <w:u w:val="none"/>
              </w:rPr>
            </w:pP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0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家庭医生签约服务覆盖率</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9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F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5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38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60E87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0253D">
            <w:pPr>
              <w:jc w:val="center"/>
              <w:rPr>
                <w:rFonts w:hint="eastAsia" w:ascii="宋体" w:hAnsi="宋体" w:eastAsia="宋体" w:cs="宋体"/>
                <w:i w:val="0"/>
                <w:iCs w:val="0"/>
                <w:color w:val="000000"/>
                <w:sz w:val="18"/>
                <w:szCs w:val="18"/>
                <w:u w:val="none"/>
              </w:rPr>
            </w:pP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DC173">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5D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9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基层医务人员专业能力提升率</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55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F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B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5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42C94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5E5E7">
            <w:pPr>
              <w:jc w:val="center"/>
              <w:rPr>
                <w:rFonts w:hint="eastAsia" w:ascii="宋体" w:hAnsi="宋体" w:eastAsia="宋体" w:cs="宋体"/>
                <w:i w:val="0"/>
                <w:iCs w:val="0"/>
                <w:color w:val="000000"/>
                <w:sz w:val="18"/>
                <w:szCs w:val="18"/>
                <w:u w:val="none"/>
              </w:rPr>
            </w:pPr>
          </w:p>
        </w:tc>
        <w:tc>
          <w:tcPr>
            <w:tcW w:w="12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A83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47E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C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群众医疗卫生服务满意度</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1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4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3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3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15E72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023CB">
            <w:pPr>
              <w:jc w:val="center"/>
              <w:rPr>
                <w:rFonts w:hint="eastAsia" w:ascii="宋体" w:hAnsi="宋体" w:eastAsia="宋体" w:cs="宋体"/>
                <w:i w:val="0"/>
                <w:iCs w:val="0"/>
                <w:color w:val="000000"/>
                <w:sz w:val="18"/>
                <w:szCs w:val="18"/>
                <w:u w:val="none"/>
              </w:rPr>
            </w:pP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A09BB">
            <w:pPr>
              <w:jc w:val="center"/>
              <w:rPr>
                <w:rFonts w:hint="eastAsia" w:ascii="宋体" w:hAnsi="宋体" w:eastAsia="宋体" w:cs="宋体"/>
                <w:i w:val="0"/>
                <w:iCs w:val="0"/>
                <w:color w:val="000000"/>
                <w:sz w:val="18"/>
                <w:szCs w:val="18"/>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AE450">
            <w:pPr>
              <w:jc w:val="center"/>
              <w:rPr>
                <w:rFonts w:hint="eastAsia" w:ascii="宋体" w:hAnsi="宋体" w:eastAsia="宋体" w:cs="宋体"/>
                <w:i w:val="0"/>
                <w:iCs w:val="0"/>
                <w:color w:val="000000"/>
                <w:sz w:val="18"/>
                <w:szCs w:val="18"/>
                <w:u w:val="none"/>
              </w:rPr>
            </w:pP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2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医疗机构工作人员对管理服务满意度</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4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4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A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4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1E9FD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ED98C">
            <w:pPr>
              <w:jc w:val="center"/>
              <w:rPr>
                <w:rFonts w:hint="eastAsia" w:ascii="宋体" w:hAnsi="宋体" w:eastAsia="宋体" w:cs="宋体"/>
                <w:i w:val="0"/>
                <w:iCs w:val="0"/>
                <w:color w:val="000000"/>
                <w:sz w:val="18"/>
                <w:szCs w:val="18"/>
                <w:u w:val="none"/>
              </w:rPr>
            </w:pPr>
          </w:p>
        </w:tc>
        <w:tc>
          <w:tcPr>
            <w:tcW w:w="1258" w:type="dxa"/>
            <w:vMerge w:val="restart"/>
            <w:tcBorders>
              <w:top w:val="nil"/>
              <w:left w:val="single" w:color="000000" w:sz="4" w:space="0"/>
              <w:bottom w:val="single" w:color="000000" w:sz="4" w:space="0"/>
              <w:right w:val="single" w:color="000000" w:sz="4" w:space="0"/>
            </w:tcBorders>
            <w:shd w:val="clear" w:color="auto" w:fill="auto"/>
            <w:vAlign w:val="center"/>
          </w:tcPr>
          <w:p w14:paraId="530DDD17">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DF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A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专科建设资金投入产出比</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0D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8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B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B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192BF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9EB16">
            <w:pPr>
              <w:jc w:val="center"/>
              <w:rPr>
                <w:rFonts w:hint="eastAsia" w:ascii="宋体" w:hAnsi="宋体" w:eastAsia="宋体" w:cs="宋体"/>
                <w:i w:val="0"/>
                <w:iCs w:val="0"/>
                <w:color w:val="000000"/>
                <w:sz w:val="18"/>
                <w:szCs w:val="18"/>
                <w:u w:val="none"/>
              </w:rPr>
            </w:pPr>
          </w:p>
        </w:tc>
        <w:tc>
          <w:tcPr>
            <w:tcW w:w="1258" w:type="dxa"/>
            <w:vMerge w:val="continue"/>
            <w:tcBorders>
              <w:top w:val="nil"/>
              <w:left w:val="single" w:color="000000" w:sz="4" w:space="0"/>
              <w:bottom w:val="single" w:color="000000" w:sz="4" w:space="0"/>
              <w:right w:val="single" w:color="000000" w:sz="4" w:space="0"/>
            </w:tcBorders>
            <w:shd w:val="clear" w:color="auto" w:fill="auto"/>
            <w:vAlign w:val="center"/>
          </w:tcPr>
          <w:p w14:paraId="049F33FB">
            <w:pPr>
              <w:jc w:val="center"/>
              <w:rPr>
                <w:rFonts w:hint="eastAsia" w:ascii="宋体" w:hAnsi="宋体" w:eastAsia="宋体" w:cs="宋体"/>
                <w:i w:val="0"/>
                <w:iCs w:val="0"/>
                <w:color w:val="000000"/>
                <w:sz w:val="18"/>
                <w:szCs w:val="18"/>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C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C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基本公共卫生服务经费使用合规率</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C1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定量</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E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2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A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14:paraId="17DB6A9F">
      <w:pPr>
        <w:spacing w:line="600" w:lineRule="exact"/>
        <w:jc w:val="center"/>
        <w:rPr>
          <w:rFonts w:hint="eastAsia" w:ascii="Times New Roman" w:hAnsi="Times New Roman" w:eastAsia="黑体"/>
          <w:color w:val="auto"/>
          <w:sz w:val="44"/>
          <w:szCs w:val="44"/>
          <w:highlight w:val="none"/>
        </w:rPr>
      </w:pPr>
    </w:p>
    <w:bookmarkEnd w:id="54"/>
    <w:p w14:paraId="6B244B57">
      <w:pPr>
        <w:pStyle w:val="15"/>
        <w:rPr>
          <w:rFonts w:hint="eastAsia" w:ascii="Times New Roman" w:hAnsi="Times New Roman" w:eastAsia="黑体"/>
          <w:color w:val="auto"/>
          <w:sz w:val="44"/>
          <w:szCs w:val="44"/>
          <w:highlight w:val="none"/>
        </w:rPr>
      </w:pPr>
    </w:p>
    <w:p w14:paraId="412E1531">
      <w:pPr>
        <w:pStyle w:val="9"/>
        <w:rPr>
          <w:rFonts w:hint="eastAsia"/>
        </w:rPr>
      </w:pPr>
    </w:p>
    <w:p w14:paraId="04073558">
      <w:pPr>
        <w:pStyle w:val="15"/>
        <w:rPr>
          <w:rFonts w:hint="eastAsia"/>
        </w:rPr>
      </w:pPr>
    </w:p>
    <w:p w14:paraId="478B2B86">
      <w:pPr>
        <w:pStyle w:val="21"/>
        <w:numPr>
          <w:ilvl w:val="0"/>
          <w:numId w:val="0"/>
        </w:numPr>
        <w:ind w:right="0" w:rightChars="0"/>
        <w:rPr>
          <w:rFonts w:hint="eastAsia"/>
          <w:lang w:eastAsia="zh-CN"/>
        </w:rPr>
      </w:pPr>
    </w:p>
    <w:p w14:paraId="30E292CD">
      <w:pPr>
        <w:rPr>
          <w:rFonts w:hint="eastAsia"/>
          <w:lang w:eastAsia="zh-CN"/>
        </w:rPr>
      </w:pPr>
    </w:p>
    <w:p w14:paraId="470B690D">
      <w:pPr>
        <w:rPr>
          <w:rFonts w:hint="eastAsia"/>
          <w:lang w:eastAsia="zh-CN"/>
        </w:rPr>
      </w:pPr>
    </w:p>
    <w:p w14:paraId="5E4AAD9B">
      <w:pPr>
        <w:rPr>
          <w:rFonts w:hint="eastAsia"/>
          <w:lang w:eastAsia="zh-CN"/>
        </w:rPr>
      </w:pPr>
    </w:p>
    <w:p w14:paraId="77C781FD">
      <w:pPr>
        <w:rPr>
          <w:rFonts w:hint="eastAsia"/>
          <w:lang w:eastAsia="zh-CN"/>
        </w:rPr>
      </w:pPr>
    </w:p>
    <w:p w14:paraId="70F77370">
      <w:pPr>
        <w:rPr>
          <w:rFonts w:hint="eastAsia"/>
          <w:lang w:eastAsia="zh-CN"/>
        </w:rPr>
      </w:pPr>
    </w:p>
    <w:p w14:paraId="2712B648">
      <w:pPr>
        <w:rPr>
          <w:rFonts w:hint="eastAsia"/>
          <w:lang w:eastAsia="zh-CN"/>
        </w:rPr>
      </w:pPr>
    </w:p>
    <w:p w14:paraId="1959F1AB">
      <w:pPr>
        <w:rPr>
          <w:rFonts w:hint="eastAsia"/>
          <w:lang w:eastAsia="zh-CN"/>
        </w:rPr>
      </w:pPr>
    </w:p>
    <w:p w14:paraId="7BA6510D">
      <w:pPr>
        <w:rPr>
          <w:rFonts w:hint="eastAsia"/>
          <w:lang w:eastAsia="zh-CN"/>
        </w:rPr>
      </w:pPr>
    </w:p>
    <w:p w14:paraId="485C9D5B">
      <w:pPr>
        <w:rPr>
          <w:rFonts w:hint="eastAsia"/>
          <w:lang w:eastAsia="zh-CN"/>
        </w:rPr>
      </w:pPr>
    </w:p>
    <w:p w14:paraId="14E761CD">
      <w:pPr>
        <w:rPr>
          <w:rFonts w:hint="eastAsia"/>
          <w:lang w:eastAsia="zh-CN"/>
        </w:rPr>
      </w:pPr>
    </w:p>
    <w:p w14:paraId="71420C80">
      <w:pPr>
        <w:rPr>
          <w:rFonts w:hint="eastAsia"/>
          <w:lang w:eastAsia="zh-CN"/>
        </w:rPr>
      </w:pPr>
    </w:p>
    <w:p w14:paraId="5470155F">
      <w:pPr>
        <w:rPr>
          <w:rFonts w:hint="eastAsia"/>
          <w:lang w:eastAsia="zh-CN"/>
        </w:rPr>
      </w:pPr>
    </w:p>
    <w:p w14:paraId="70CCE492">
      <w:pPr>
        <w:rPr>
          <w:rFonts w:hint="eastAsia"/>
          <w:lang w:eastAsia="zh-CN"/>
        </w:rPr>
      </w:pPr>
    </w:p>
    <w:p w14:paraId="7B13D7CD">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绩效评</w:t>
      </w:r>
      <w:r>
        <w:rPr>
          <w:rFonts w:hint="eastAsia" w:ascii="方正小标宋简体" w:eastAsia="方正小标宋简体"/>
          <w:sz w:val="44"/>
          <w:szCs w:val="44"/>
          <w:lang w:val="en-US" w:eastAsia="zh-CN"/>
        </w:rPr>
        <w:t>价</w:t>
      </w:r>
      <w:r>
        <w:rPr>
          <w:rFonts w:hint="eastAsia" w:ascii="方正小标宋简体" w:eastAsia="方正小标宋简体"/>
          <w:sz w:val="44"/>
          <w:szCs w:val="44"/>
        </w:rPr>
        <w:t>报告</w:t>
      </w:r>
    </w:p>
    <w:p w14:paraId="7BEC081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w:t>
      </w:r>
      <w:r>
        <w:rPr>
          <w:rFonts w:hint="eastAsia" w:ascii="方正小标宋简体" w:eastAsia="方正小标宋简体"/>
          <w:sz w:val="44"/>
          <w:szCs w:val="44"/>
          <w:lang w:val="en-US" w:eastAsia="zh-CN"/>
        </w:rPr>
        <w:t>2025年12项基本公卫</w:t>
      </w:r>
      <w:r>
        <w:rPr>
          <w:rFonts w:hint="eastAsia" w:ascii="方正小标宋简体" w:eastAsia="方正小标宋简体"/>
          <w:sz w:val="44"/>
          <w:szCs w:val="44"/>
          <w:lang w:eastAsia="zh-CN"/>
        </w:rPr>
        <w:t>）</w:t>
      </w:r>
    </w:p>
    <w:p w14:paraId="3D554E16">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14:paraId="4880D6AF">
      <w:pPr>
        <w:keepNext w:val="0"/>
        <w:keepLines w:val="0"/>
        <w:pageBreakBefore w:val="0"/>
        <w:kinsoku/>
        <w:wordWrap/>
        <w:overflowPunct/>
        <w:topLinePunct w:val="0"/>
        <w:autoSpaceDE/>
        <w:autoSpaceDN/>
        <w:bidi w:val="0"/>
        <w:adjustRightInd w:val="0"/>
        <w:snapToGrid w:val="0"/>
        <w:spacing w:line="576" w:lineRule="exact"/>
        <w:ind w:firstLine="643" w:firstLineChars="20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14:paraId="36FC066A">
      <w:pPr>
        <w:keepNext w:val="0"/>
        <w:keepLines w:val="0"/>
        <w:pageBreakBefore w:val="0"/>
        <w:kinsoku/>
        <w:wordWrap/>
        <w:overflowPunct/>
        <w:topLinePunct w:val="0"/>
        <w:autoSpaceDE/>
        <w:autoSpaceDN/>
        <w:bidi w:val="0"/>
        <w:adjustRightInd w:val="0"/>
        <w:snapToGrid w:val="0"/>
        <w:spacing w:line="576"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color w:val="auto"/>
          <w:sz w:val="32"/>
          <w:szCs w:val="32"/>
          <w:highlight w:val="none"/>
          <w:u w:val="none"/>
          <w:lang w:val="en-US" w:eastAsia="zh-CN"/>
        </w:rPr>
        <w:t>1.项目设立原因及背景：</w:t>
      </w:r>
      <w:r>
        <w:rPr>
          <w:rFonts w:hint="eastAsia" w:ascii="仿宋_GB2312" w:hAnsi="仿宋_GB2312" w:eastAsia="仿宋_GB2312" w:cs="仿宋_GB2312"/>
          <w:sz w:val="32"/>
          <w:szCs w:val="32"/>
          <w:lang w:val="zh-CN"/>
        </w:rPr>
        <w:t>根据国家医改方案提出的“</w:t>
      </w:r>
      <w:r>
        <w:rPr>
          <w:rFonts w:hint="eastAsia" w:ascii="仿宋_GB2312" w:hAnsi="仿宋_GB2312" w:eastAsia="仿宋_GB2312" w:cs="仿宋_GB2312"/>
          <w:sz w:val="32"/>
          <w:szCs w:val="32"/>
        </w:rPr>
        <w:t>每个居民，无论其性别、年龄、种族、居住地、职业、收入水平，都能平等地获得基本公共卫生服务”的政策，</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年我县人均公卫资金达到</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14:paraId="27557457">
      <w:pPr>
        <w:keepNext w:val="0"/>
        <w:keepLines w:val="0"/>
        <w:pageBreakBefore w:val="0"/>
        <w:kinsoku/>
        <w:wordWrap/>
        <w:overflowPunct/>
        <w:topLinePunct w:val="0"/>
        <w:autoSpaceDE/>
        <w:autoSpaceDN/>
        <w:bidi w:val="0"/>
        <w:adjustRightInd w:val="0"/>
        <w:snapToGrid w:val="0"/>
        <w:spacing w:line="576" w:lineRule="exact"/>
        <w:ind w:firstLine="643"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b/>
          <w:bCs/>
          <w:sz w:val="32"/>
          <w:szCs w:val="32"/>
          <w:lang w:val="en-US" w:eastAsia="zh-CN"/>
        </w:rPr>
        <w:t>2.项目立项、资金申报的依据</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rPr>
        <w:t>项目立项、资金申报的依据。根据国家医改方案提出的“每个居民，无论其性别、年龄、种族、居住地、职业、收入水平，都能平等地获得基本公共卫生服务”的政策。20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val="zh-CN"/>
        </w:rPr>
        <w:t>年松潘县公卫资金</w:t>
      </w:r>
      <w:r>
        <w:rPr>
          <w:rFonts w:hint="eastAsia" w:ascii="仿宋_GB2312" w:hAnsi="仿宋_GB2312" w:eastAsia="仿宋_GB2312" w:cs="仿宋_GB2312"/>
          <w:sz w:val="32"/>
          <w:szCs w:val="32"/>
          <w:lang w:val="zh-CN" w:eastAsia="zh-CN"/>
        </w:rPr>
        <w:t>下达中央、省、州、县级补助资金</w:t>
      </w:r>
      <w:r>
        <w:rPr>
          <w:rFonts w:hint="eastAsia" w:ascii="仿宋_GB2312" w:hAnsi="仿宋_GB2312" w:eastAsia="仿宋_GB2312" w:cs="仿宋_GB2312"/>
          <w:sz w:val="32"/>
          <w:szCs w:val="32"/>
          <w:lang w:val="en-US" w:eastAsia="zh-CN"/>
        </w:rPr>
        <w:t>651.536万元</w:t>
      </w:r>
      <w:r>
        <w:rPr>
          <w:rFonts w:hint="eastAsia" w:ascii="仿宋_GB2312" w:hAnsi="仿宋_GB2312" w:eastAsia="仿宋_GB2312" w:cs="仿宋_GB2312"/>
          <w:sz w:val="32"/>
          <w:szCs w:val="32"/>
          <w:lang w:val="zh-CN"/>
        </w:rPr>
        <w:t>（阿州财社〔2</w:t>
      </w:r>
      <w:r>
        <w:rPr>
          <w:rFonts w:hint="eastAsia" w:ascii="仿宋_GB2312" w:hAnsi="仿宋_GB2312" w:eastAsia="仿宋_GB2312" w:cs="仿宋_GB2312"/>
          <w:sz w:val="32"/>
          <w:szCs w:val="32"/>
          <w:lang w:val="en-US" w:eastAsia="zh-CN"/>
        </w:rPr>
        <w:t>025</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34、52、67、136号、松财</w:t>
      </w:r>
      <w:r>
        <w:rPr>
          <w:rFonts w:hint="eastAsia" w:ascii="仿宋_GB2312" w:hAnsi="仿宋_GB2312" w:eastAsia="仿宋_GB2312" w:cs="仿宋_GB2312"/>
          <w:sz w:val="32"/>
          <w:szCs w:val="32"/>
          <w:lang w:val="zh-CN"/>
        </w:rPr>
        <w:t>〔2</w:t>
      </w:r>
      <w:r>
        <w:rPr>
          <w:rFonts w:hint="eastAsia" w:ascii="仿宋_GB2312" w:hAnsi="仿宋_GB2312" w:eastAsia="仿宋_GB2312" w:cs="仿宋_GB2312"/>
          <w:sz w:val="32"/>
          <w:szCs w:val="32"/>
          <w:lang w:val="en-US" w:eastAsia="zh-CN"/>
        </w:rPr>
        <w:t>025</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10号）文件立项、申报。</w:t>
      </w:r>
    </w:p>
    <w:p w14:paraId="3AD5524B">
      <w:pPr>
        <w:keepNext w:val="0"/>
        <w:keepLines w:val="0"/>
        <w:pageBreakBefore w:val="0"/>
        <w:kinsoku/>
        <w:wordWrap/>
        <w:overflowPunct/>
        <w:topLinePunct w:val="0"/>
        <w:autoSpaceDE/>
        <w:autoSpaceDN/>
        <w:bidi w:val="0"/>
        <w:adjustRightInd w:val="0"/>
        <w:snapToGrid w:val="0"/>
        <w:spacing w:line="576"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lang w:val="zh-CN"/>
        </w:rPr>
        <w:t>项目主要内容：</w:t>
      </w:r>
      <w:r>
        <w:rPr>
          <w:rFonts w:hint="eastAsia" w:ascii="仿宋_GB2312" w:hAnsi="仿宋_GB2312" w:eastAsia="仿宋_GB2312" w:cs="仿宋_GB2312"/>
          <w:sz w:val="32"/>
          <w:szCs w:val="32"/>
          <w:lang w:val="zh-CN"/>
        </w:rPr>
        <w:t>基本公共卫生服务是在县卫生健康局统一规</w:t>
      </w:r>
      <w:r>
        <w:rPr>
          <w:rFonts w:hint="eastAsia" w:ascii="仿宋_GB2312" w:hAnsi="仿宋_GB2312" w:eastAsia="仿宋_GB2312" w:cs="仿宋_GB2312"/>
          <w:sz w:val="32"/>
          <w:szCs w:val="32"/>
        </w:rPr>
        <w:t>划和组织实施下，按照《国家基本公共卫生服务规范（2017年第三版）》1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大类的具体要求，规范开展基本公共卫生服务工作，使我县公共卫生服务能力进一步提高，居民健康档案、健康教育、预防接种、传染病及突发公共卫生事件报告与处置、0－6岁儿童健康管理、孕产妇健康管理、老年人健康管理、高血压患者健康管理、2型糖尿病患者健康管理、严重精神障碍患者健康管理、中医药管理、结核病管理、卫生监督协管等工作得到切实有效落实，促进基本公共卫生服务逐步均等化得到有效实施，使我县居民生活质量和健康水平明显改善。</w:t>
      </w:r>
    </w:p>
    <w:p w14:paraId="3B27ECFE">
      <w:pPr>
        <w:keepNext w:val="0"/>
        <w:keepLines w:val="0"/>
        <w:pageBreakBefore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bCs/>
          <w:sz w:val="32"/>
          <w:szCs w:val="32"/>
          <w:lang w:val="en-US" w:eastAsia="zh-CN"/>
        </w:rPr>
        <w:t>4.主管部门职能：</w:t>
      </w:r>
      <w:r>
        <w:rPr>
          <w:rFonts w:hint="eastAsia" w:ascii="仿宋_GB2312" w:hAnsi="仿宋_GB2312" w:eastAsia="仿宋_GB2312" w:cs="仿宋_GB2312"/>
          <w:sz w:val="32"/>
          <w:szCs w:val="32"/>
          <w:lang w:val="zh-CN"/>
        </w:rPr>
        <w:t>松潘县卫生健康局是全县基本公共卫生专项资金（以下简称公卫资金）的主管部门，主要对公卫资金的使用、资金安排、预算执行情况、决算情况进行监督。负责审核公卫资金支出申请材料的全面性、真实性，定期和不定期对公卫资金的运行进行监督检查。</w:t>
      </w:r>
    </w:p>
    <w:p w14:paraId="7D3FCD3F">
      <w:pPr>
        <w:keepNext w:val="0"/>
        <w:keepLines w:val="0"/>
        <w:pageBreakBefore w:val="0"/>
        <w:kinsoku/>
        <w:wordWrap/>
        <w:overflowPunct/>
        <w:topLinePunct w:val="0"/>
        <w:autoSpaceDE/>
        <w:autoSpaceDN/>
        <w:bidi w:val="0"/>
        <w:adjustRightInd w:val="0"/>
        <w:snapToGrid w:val="0"/>
        <w:spacing w:line="576" w:lineRule="exact"/>
        <w:ind w:firstLine="643"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14:paraId="4EA27E01">
      <w:pPr>
        <w:pStyle w:val="6"/>
        <w:keepNext w:val="0"/>
        <w:keepLines w:val="0"/>
        <w:pageBreakBefore w:val="0"/>
        <w:tabs>
          <w:tab w:val="left" w:pos="2160"/>
        </w:tabs>
        <w:kinsoku/>
        <w:wordWrap/>
        <w:overflowPunct/>
        <w:topLinePunct w:val="0"/>
        <w:autoSpaceDE/>
        <w:autoSpaceDN/>
        <w:bidi w:val="0"/>
        <w:spacing w:before="117" w:line="576" w:lineRule="exact"/>
        <w:ind w:firstLine="640" w:firstLineChars="200"/>
        <w:textAlignment w:val="auto"/>
        <w:rPr>
          <w:rFonts w:hint="eastAsia" w:ascii="仿宋_GB2312" w:hAnsi="仿宋_GB2312" w:eastAsia="仿宋_GB2312" w:cs="仿宋_GB2312"/>
          <w:kern w:val="2"/>
          <w:position w:val="0"/>
          <w:sz w:val="32"/>
          <w:szCs w:val="32"/>
          <w:lang w:val="zh-CN" w:eastAsia="zh-CN"/>
        </w:rPr>
      </w:pPr>
      <w:r>
        <w:rPr>
          <w:rFonts w:hint="eastAsia" w:ascii="仿宋_GB2312" w:hAnsi="仿宋_GB2312" w:eastAsia="仿宋_GB2312" w:cs="仿宋_GB2312"/>
          <w:sz w:val="32"/>
          <w:szCs w:val="32"/>
          <w:lang w:val="zh-CN"/>
        </w:rPr>
        <w:t>根据</w:t>
      </w:r>
      <w:r>
        <w:rPr>
          <w:rFonts w:hint="eastAsia" w:ascii="仿宋_GB2312" w:hAnsi="仿宋_GB2312" w:eastAsia="仿宋_GB2312" w:cs="仿宋_GB2312"/>
          <w:kern w:val="2"/>
          <w:position w:val="0"/>
          <w:sz w:val="32"/>
          <w:szCs w:val="32"/>
          <w:lang w:val="zh-CN" w:eastAsia="zh-CN"/>
        </w:rPr>
        <w:t>财政部国家卫生健康委国家医保局国家中医药局</w:t>
      </w:r>
    </w:p>
    <w:p w14:paraId="1F18466B">
      <w:pPr>
        <w:pStyle w:val="6"/>
        <w:keepNext w:val="0"/>
        <w:keepLines w:val="0"/>
        <w:pageBreakBefore w:val="0"/>
        <w:tabs>
          <w:tab w:val="left" w:pos="2160"/>
        </w:tabs>
        <w:kinsoku/>
        <w:wordWrap/>
        <w:overflowPunct/>
        <w:topLinePunct w:val="0"/>
        <w:autoSpaceDE/>
        <w:autoSpaceDN/>
        <w:bidi w:val="0"/>
        <w:spacing w:before="117" w:line="576" w:lineRule="exac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kern w:val="2"/>
          <w:position w:val="0"/>
          <w:sz w:val="32"/>
          <w:szCs w:val="32"/>
          <w:lang w:val="zh-CN" w:eastAsia="zh-CN"/>
        </w:rPr>
        <w:t>国家疾控局关于修订基本公共卫生服务等5项补助资金管理办法的通知</w:t>
      </w:r>
      <w:r>
        <w:rPr>
          <w:rFonts w:hint="eastAsia" w:ascii="仿宋_GB2312" w:hAnsi="仿宋_GB2312" w:eastAsia="仿宋_GB2312" w:cs="仿宋_GB2312"/>
          <w:sz w:val="32"/>
          <w:szCs w:val="32"/>
          <w:lang w:val="zh-CN"/>
        </w:rPr>
        <w:t>（川社〔2</w:t>
      </w:r>
      <w:r>
        <w:rPr>
          <w:rFonts w:hint="eastAsia" w:ascii="仿宋_GB2312" w:hAnsi="仿宋_GB2312" w:eastAsia="仿宋_GB2312" w:cs="仿宋_GB2312"/>
          <w:sz w:val="32"/>
          <w:szCs w:val="32"/>
          <w:lang w:val="en-US" w:eastAsia="zh-CN"/>
        </w:rPr>
        <w:t>022</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lang w:val="zh-CN"/>
        </w:rPr>
        <w:t>号）、</w:t>
      </w:r>
      <w:r>
        <w:rPr>
          <w:rFonts w:hint="eastAsia" w:ascii="仿宋_GB2312" w:hAnsi="仿宋_GB2312" w:eastAsia="仿宋_GB2312" w:cs="仿宋_GB2312"/>
          <w:kern w:val="2"/>
          <w:position w:val="0"/>
          <w:sz w:val="32"/>
          <w:szCs w:val="32"/>
          <w:lang w:val="zh-CN" w:eastAsia="zh-CN"/>
        </w:rPr>
        <w:t>四川省财政厅卫健委医保局中医药管理局疾控局联合印发的《关于印发公共卫生服务等5项补助资金管理办法的通知》（川财社</w:t>
      </w:r>
      <w:r>
        <w:rPr>
          <w:rFonts w:hint="eastAsia" w:hAnsi="仿宋_GB2312" w:cs="仿宋_GB2312"/>
          <w:kern w:val="2"/>
          <w:position w:val="0"/>
          <w:sz w:val="32"/>
          <w:szCs w:val="32"/>
          <w:lang w:val="zh-CN" w:eastAsia="zh-CN"/>
        </w:rPr>
        <w:t>〔2025〕140号</w:t>
      </w:r>
      <w:r>
        <w:rPr>
          <w:rFonts w:hint="eastAsia" w:ascii="仿宋_GB2312" w:hAnsi="仿宋_GB2312" w:eastAsia="仿宋_GB2312" w:cs="仿宋_GB2312"/>
          <w:kern w:val="2"/>
          <w:position w:val="0"/>
          <w:sz w:val="32"/>
          <w:szCs w:val="32"/>
          <w:lang w:val="zh-CN" w:eastAsia="zh-CN"/>
        </w:rPr>
        <w:t>）、阿坝州促进基本公共卫生服务均等化指导中心关于印发2025年阿坝州国家基本公共卫生服务项目和家庭医生签约服务工作计划的通知</w:t>
      </w:r>
      <w:r>
        <w:rPr>
          <w:rFonts w:hint="eastAsia" w:ascii="仿宋_GB2312" w:hAnsi="仿宋_GB2312" w:eastAsia="仿宋_GB2312" w:cs="仿宋_GB2312"/>
          <w:sz w:val="32"/>
          <w:szCs w:val="32"/>
          <w:lang w:val="zh-CN"/>
        </w:rPr>
        <w:t>（阿州指〔2</w:t>
      </w:r>
      <w:r>
        <w:rPr>
          <w:rFonts w:hint="eastAsia" w:ascii="仿宋_GB2312" w:hAnsi="仿宋_GB2312" w:eastAsia="仿宋_GB2312" w:cs="仿宋_GB2312"/>
          <w:sz w:val="32"/>
          <w:szCs w:val="32"/>
          <w:lang w:val="en-US" w:eastAsia="zh-CN"/>
        </w:rPr>
        <w:t>025</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号）的具体要求实施项目工作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zh-CN"/>
        </w:rPr>
        <w:t>按照松潘县卫生局和松潘县财政局联合下发的《松潘县基本公共卫生服务项目绩效考核办法</w:t>
      </w:r>
      <w:bookmarkStart w:id="71" w:name="_GoBack"/>
      <w:r>
        <w:rPr>
          <w:rFonts w:hint="eastAsia" w:ascii="仿宋_GB2312" w:hAnsi="仿宋_GB2312" w:eastAsia="仿宋_GB2312" w:cs="仿宋_GB2312"/>
          <w:sz w:val="32"/>
          <w:szCs w:val="32"/>
          <w:lang w:val="zh-CN"/>
        </w:rPr>
        <w:t>〉</w:t>
      </w:r>
      <w:bookmarkEnd w:id="71"/>
      <w:r>
        <w:rPr>
          <w:rFonts w:hint="eastAsia" w:ascii="仿宋_GB2312" w:hAnsi="仿宋_GB2312" w:eastAsia="仿宋_GB2312" w:cs="仿宋_GB2312"/>
          <w:sz w:val="32"/>
          <w:szCs w:val="32"/>
          <w:lang w:val="zh-CN"/>
        </w:rPr>
        <w:t>的通知》（松卫发〔2</w:t>
      </w:r>
      <w:r>
        <w:rPr>
          <w:rFonts w:hint="eastAsia" w:ascii="仿宋_GB2312" w:hAnsi="仿宋_GB2312" w:eastAsia="仿宋_GB2312" w:cs="仿宋_GB2312"/>
          <w:sz w:val="32"/>
          <w:szCs w:val="32"/>
          <w:lang w:val="en-US" w:eastAsia="zh-CN"/>
        </w:rPr>
        <w:t>011</w:t>
      </w:r>
      <w:r>
        <w:rPr>
          <w:rFonts w:hint="eastAsia" w:ascii="仿宋_GB2312" w:hAnsi="仿宋_GB2312" w:eastAsia="仿宋_GB2312" w:cs="仿宋_GB2312"/>
          <w:sz w:val="32"/>
          <w:szCs w:val="32"/>
          <w:lang w:val="zh-CN"/>
        </w:rPr>
        <w:t>〕143号）明确了基本公共卫生服务中1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大类，各项补贴的申请、拨付、兑现等进行了规定。</w:t>
      </w:r>
    </w:p>
    <w:p w14:paraId="57C0EDCE">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ascii="楷体_GB2312" w:hAnsi="宋体" w:eastAsia="楷体_GB2312"/>
          <w:b/>
          <w:color w:val="auto"/>
          <w:sz w:val="32"/>
          <w:szCs w:val="32"/>
          <w:highlight w:val="none"/>
          <w:u w:val="none"/>
          <w:lang w:val="zh-CN"/>
        </w:rPr>
      </w:pPr>
      <w:r>
        <w:rPr>
          <w:rFonts w:hint="eastAsia" w:ascii="仿宋_GB2312" w:hAnsi="仿宋_GB2312" w:eastAsia="仿宋_GB2312" w:cs="仿宋_GB2312"/>
          <w:sz w:val="32"/>
          <w:szCs w:val="32"/>
          <w:lang w:val="en-US" w:eastAsia="zh-CN"/>
        </w:rPr>
        <w:t>主要工作任务是按照</w:t>
      </w:r>
      <w:r>
        <w:rPr>
          <w:rFonts w:hint="eastAsia" w:ascii="仿宋_GB2312" w:hAnsi="仿宋_GB2312" w:eastAsia="仿宋_GB2312" w:cs="仿宋_GB2312"/>
          <w:sz w:val="32"/>
          <w:szCs w:val="32"/>
        </w:rPr>
        <w:t>国家基本公共卫生服务规范（2017年第三版）》1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大类的具体要求，规范开展基本公共卫生服务工作，</w:t>
      </w:r>
      <w:r>
        <w:rPr>
          <w:rFonts w:hint="eastAsia" w:ascii="仿宋_GB2312" w:hAnsi="仿宋_GB2312" w:eastAsia="仿宋_GB2312" w:cs="仿宋_GB2312"/>
          <w:sz w:val="32"/>
          <w:szCs w:val="32"/>
          <w:lang w:val="zh-CN"/>
        </w:rPr>
        <w:t>公卫资金计划主要用于我县各级医疗单位针对</w:t>
      </w:r>
      <w:r>
        <w:rPr>
          <w:rFonts w:hint="eastAsia" w:ascii="仿宋_GB2312" w:hAnsi="仿宋_GB2312" w:eastAsia="仿宋_GB2312" w:cs="仿宋_GB2312"/>
          <w:sz w:val="32"/>
          <w:szCs w:val="32"/>
          <w:lang w:val="en-US" w:eastAsia="zh-CN"/>
        </w:rPr>
        <w:t>辖区6.682</w:t>
      </w:r>
      <w:r>
        <w:rPr>
          <w:rFonts w:hint="eastAsia" w:ascii="仿宋_GB2312" w:hAnsi="仿宋_GB2312" w:eastAsia="仿宋_GB2312" w:cs="仿宋_GB2312"/>
          <w:sz w:val="32"/>
          <w:szCs w:val="32"/>
          <w:lang w:val="zh-CN"/>
        </w:rPr>
        <w:t>万人所开展的国家基本公共卫生服务1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大类所需成本及劳务报酬和管理经费等。</w:t>
      </w:r>
    </w:p>
    <w:p w14:paraId="7E665CE0">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Chars="200"/>
        <w:contextualSpacing/>
        <w:jc w:val="left"/>
        <w:textAlignment w:val="auto"/>
        <w:rPr>
          <w:rFonts w:hint="eastAsia" w:ascii="仿宋_GB2312" w:hAnsi="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14:paraId="02C08C00">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zh-CN" w:eastAsia="zh-CN"/>
        </w:rPr>
        <w:t>项目预算安排情况：</w:t>
      </w:r>
      <w:r>
        <w:rPr>
          <w:rFonts w:hint="eastAsia" w:ascii="仿宋_GB2312" w:hAnsi="仿宋_GB2312" w:eastAsia="仿宋_GB2312" w:cs="仿宋_GB2312"/>
          <w:sz w:val="32"/>
          <w:szCs w:val="32"/>
          <w:lang w:val="en-US" w:eastAsia="zh-CN"/>
        </w:rPr>
        <w:t>项目预算安排</w:t>
      </w:r>
      <w:r>
        <w:rPr>
          <w:rFonts w:hint="eastAsia" w:ascii="仿宋_GB2312" w:hAnsi="仿宋_GB2312" w:eastAsia="仿宋_GB2312" w:cs="仿宋_GB2312"/>
          <w:sz w:val="32"/>
          <w:szCs w:val="32"/>
          <w:lang w:val="zh-CN" w:eastAsia="zh-CN"/>
        </w:rPr>
        <w:t>中央、省、州、县级补助资金</w:t>
      </w:r>
      <w:r>
        <w:rPr>
          <w:rFonts w:hint="eastAsia" w:ascii="仿宋_GB2312" w:hAnsi="仿宋_GB2312" w:eastAsia="仿宋_GB2312" w:cs="仿宋_GB2312"/>
          <w:sz w:val="32"/>
          <w:szCs w:val="32"/>
          <w:lang w:val="en-US" w:eastAsia="zh-CN"/>
        </w:rPr>
        <w:t>651.536万元</w:t>
      </w:r>
      <w:r>
        <w:rPr>
          <w:rFonts w:hint="eastAsia" w:ascii="仿宋_GB2312" w:hAnsi="仿宋_GB2312" w:eastAsia="仿宋_GB2312" w:cs="仿宋_GB2312"/>
          <w:sz w:val="32"/>
          <w:szCs w:val="32"/>
          <w:lang w:val="zh-CN"/>
        </w:rPr>
        <w:t>（阿州财社〔2</w:t>
      </w:r>
      <w:r>
        <w:rPr>
          <w:rFonts w:hint="eastAsia" w:ascii="仿宋_GB2312" w:hAnsi="仿宋_GB2312" w:eastAsia="仿宋_GB2312" w:cs="仿宋_GB2312"/>
          <w:sz w:val="32"/>
          <w:szCs w:val="32"/>
          <w:lang w:val="en-US" w:eastAsia="zh-CN"/>
        </w:rPr>
        <w:t>025</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34、52、67、136号、松财</w:t>
      </w:r>
      <w:r>
        <w:rPr>
          <w:rFonts w:hint="eastAsia" w:ascii="仿宋_GB2312" w:hAnsi="仿宋_GB2312" w:eastAsia="仿宋_GB2312" w:cs="仿宋_GB2312"/>
          <w:sz w:val="32"/>
          <w:szCs w:val="32"/>
          <w:lang w:val="zh-CN"/>
        </w:rPr>
        <w:t>〔2</w:t>
      </w:r>
      <w:r>
        <w:rPr>
          <w:rFonts w:hint="eastAsia" w:ascii="仿宋_GB2312" w:hAnsi="仿宋_GB2312" w:eastAsia="仿宋_GB2312" w:cs="仿宋_GB2312"/>
          <w:sz w:val="32"/>
          <w:szCs w:val="32"/>
          <w:lang w:val="en-US" w:eastAsia="zh-CN"/>
        </w:rPr>
        <w:t>025</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10号）</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zh-CN" w:eastAsia="zh-CN"/>
        </w:rPr>
        <w:t>实际下达</w:t>
      </w:r>
      <w:r>
        <w:rPr>
          <w:rFonts w:hint="eastAsia" w:ascii="仿宋_GB2312" w:hAnsi="仿宋_GB2312" w:eastAsia="仿宋_GB2312" w:cs="仿宋_GB2312"/>
          <w:sz w:val="32"/>
          <w:szCs w:val="32"/>
          <w:lang w:val="en-US" w:eastAsia="zh-CN"/>
        </w:rPr>
        <w:t>651.536万元，到位率100%。</w:t>
      </w:r>
    </w:p>
    <w:p w14:paraId="15A3A1DD">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rPr>
          <w:rFonts w:hint="eastAsia" w:ascii="仿宋_GB2312" w:hAnsi="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b/>
          <w:bCs/>
          <w:sz w:val="32"/>
          <w:szCs w:val="32"/>
          <w:lang w:val="zh-CN"/>
        </w:rPr>
        <w:t>资金分配的原则及考虑因素：</w:t>
      </w:r>
      <w:r>
        <w:rPr>
          <w:rFonts w:hint="eastAsia" w:ascii="仿宋_GB2312" w:hAnsi="仿宋_GB2312" w:eastAsia="仿宋_GB2312" w:cs="仿宋_GB2312"/>
          <w:sz w:val="32"/>
          <w:szCs w:val="32"/>
          <w:lang w:val="zh-CN"/>
        </w:rPr>
        <w:t>公共卫生专项经费按照“花钱购买服务”的原则，主要用于直接面向城乡群众所开展的基本公共卫生服务项目，经费用于辖区医疗卫生单位及村卫生室对本辖区内居民开展基本公共卫生服务的成本支出、劳务报酬和管理经费，考虑边远地区实际困难、公共卫生督导工作、传染病防控、奖优惩劣等多种因素。</w:t>
      </w:r>
    </w:p>
    <w:p w14:paraId="7E0F1F1A">
      <w:pPr>
        <w:pStyle w:val="6"/>
        <w:keepNext w:val="0"/>
        <w:keepLines w:val="0"/>
        <w:pageBreakBefore w:val="0"/>
        <w:tabs>
          <w:tab w:val="left" w:pos="2160"/>
        </w:tabs>
        <w:kinsoku/>
        <w:wordWrap/>
        <w:overflowPunct/>
        <w:topLinePunct w:val="0"/>
        <w:autoSpaceDE/>
        <w:autoSpaceDN/>
        <w:bidi w:val="0"/>
        <w:spacing w:before="117" w:line="576" w:lineRule="exact"/>
        <w:ind w:firstLine="643" w:firstLineChars="200"/>
        <w:textAlignment w:val="auto"/>
        <w:rPr>
          <w:rFonts w:hint="eastAsia" w:ascii="仿宋_GB2312" w:hAnsi="仿宋_GB2312" w:cs="仿宋_GB2312"/>
          <w:color w:val="auto"/>
          <w:kern w:val="0"/>
          <w:sz w:val="32"/>
          <w:szCs w:val="32"/>
          <w:highlight w:val="none"/>
          <w:u w:val="none"/>
          <w:shd w:val="clear" w:color="auto" w:fill="FFFFFF"/>
          <w:lang w:val="zh-CN"/>
        </w:rPr>
      </w:pPr>
      <w:r>
        <w:rPr>
          <w:rFonts w:hint="eastAsia" w:ascii="仿宋_GB2312" w:hAnsi="仿宋_GB2312" w:eastAsia="仿宋_GB2312" w:cs="仿宋_GB2312"/>
          <w:b/>
          <w:bCs/>
          <w:sz w:val="32"/>
          <w:szCs w:val="32"/>
          <w:lang w:val="zh-CN" w:eastAsia="zh-CN"/>
        </w:rPr>
        <w:t>项目</w:t>
      </w:r>
      <w:r>
        <w:rPr>
          <w:rFonts w:hint="eastAsia" w:ascii="仿宋_GB2312" w:hAnsi="仿宋_GB2312" w:eastAsia="仿宋_GB2312" w:cs="仿宋_GB2312"/>
          <w:b/>
          <w:bCs/>
          <w:sz w:val="32"/>
          <w:szCs w:val="32"/>
          <w:lang w:val="zh-CN"/>
        </w:rPr>
        <w:t>资金分配情况：</w:t>
      </w:r>
      <w:r>
        <w:rPr>
          <w:rFonts w:hint="eastAsia" w:hAnsi="仿宋_GB2312" w:cs="仿宋_GB2312"/>
          <w:b/>
          <w:bCs/>
          <w:sz w:val="32"/>
          <w:szCs w:val="32"/>
          <w:lang w:val="zh-CN"/>
        </w:rPr>
        <w:t>截至</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lang w:val="zh-CN"/>
        </w:rPr>
        <w:t>年12月31日，我县公卫资金实际支出</w:t>
      </w:r>
      <w:r>
        <w:rPr>
          <w:rFonts w:hint="eastAsia" w:ascii="仿宋_GB2312" w:hAnsi="仿宋_GB2312" w:eastAsia="仿宋_GB2312" w:cs="仿宋_GB2312"/>
          <w:sz w:val="32"/>
          <w:szCs w:val="32"/>
          <w:lang w:val="zh-CN" w:eastAsia="zh-CN"/>
        </w:rPr>
        <w:t>中央、省、州、县级补助资金</w:t>
      </w:r>
      <w:r>
        <w:rPr>
          <w:rFonts w:hint="eastAsia" w:ascii="仿宋_GB2312" w:hAnsi="仿宋_GB2312" w:eastAsia="仿宋_GB2312" w:cs="仿宋_GB2312"/>
          <w:sz w:val="32"/>
          <w:szCs w:val="32"/>
          <w:lang w:val="en-US" w:eastAsia="zh-CN"/>
        </w:rPr>
        <w:t>601.96326万元</w:t>
      </w:r>
      <w:r>
        <w:rPr>
          <w:rFonts w:hint="eastAsia" w:ascii="仿宋_GB2312" w:hAnsi="仿宋_GB2312" w:eastAsia="仿宋_GB2312" w:cs="仿宋_GB2312"/>
          <w:sz w:val="32"/>
          <w:szCs w:val="32"/>
          <w:lang w:val="zh-CN"/>
        </w:rPr>
        <w:t>，2025年12月中旬到位第二批资金63.51万元，支付使用13.93726万元，剩余49.57274万元因年底财政关账全部收回县财政。主要用于辖区医疗卫生单位及村卫生室对本辖区内居民开展基本公共卫生服务的成本支出、劳务报酬和管理经费，考虑边远地区实际困难、公共卫生督导工作、传染病防控、奖优惩劣等多种因素所产生费用等。项目资金开支范围、标准均按照根据</w:t>
      </w:r>
      <w:r>
        <w:rPr>
          <w:rFonts w:hint="eastAsia" w:ascii="仿宋_GB2312" w:hAnsi="仿宋_GB2312" w:eastAsia="仿宋_GB2312" w:cs="仿宋_GB2312"/>
          <w:kern w:val="2"/>
          <w:position w:val="0"/>
          <w:sz w:val="32"/>
          <w:szCs w:val="32"/>
          <w:lang w:val="zh-CN" w:eastAsia="zh-CN"/>
        </w:rPr>
        <w:t>财政部国家卫生健康委国家医保局国家中医药局国家疾控局关于修订基本公共卫生服务等5项补助资金管理办法的通知</w:t>
      </w:r>
      <w:r>
        <w:rPr>
          <w:rFonts w:hint="eastAsia" w:ascii="仿宋_GB2312" w:hAnsi="仿宋_GB2312" w:eastAsia="仿宋_GB2312" w:cs="仿宋_GB2312"/>
          <w:sz w:val="32"/>
          <w:szCs w:val="32"/>
          <w:lang w:val="zh-CN"/>
        </w:rPr>
        <w:t>（川社〔2</w:t>
      </w:r>
      <w:r>
        <w:rPr>
          <w:rFonts w:hint="eastAsia" w:ascii="仿宋_GB2312" w:hAnsi="仿宋_GB2312" w:eastAsia="仿宋_GB2312" w:cs="仿宋_GB2312"/>
          <w:sz w:val="32"/>
          <w:szCs w:val="32"/>
          <w:lang w:val="en-US" w:eastAsia="zh-CN"/>
        </w:rPr>
        <w:t>022</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lang w:val="zh-CN"/>
        </w:rPr>
        <w:t>号）、</w:t>
      </w:r>
      <w:r>
        <w:rPr>
          <w:rFonts w:hint="eastAsia" w:ascii="仿宋_GB2312" w:hAnsi="仿宋_GB2312" w:eastAsia="仿宋_GB2312" w:cs="仿宋_GB2312"/>
          <w:kern w:val="2"/>
          <w:position w:val="0"/>
          <w:sz w:val="32"/>
          <w:szCs w:val="32"/>
          <w:lang w:val="zh-CN" w:eastAsia="zh-CN"/>
        </w:rPr>
        <w:t>四川省财政厅卫健委医保局中医药管理局疾控局联合印发的《关于印发公共卫生服务等5项补助资金管理办法的通知》（川财社</w:t>
      </w:r>
      <w:r>
        <w:rPr>
          <w:rFonts w:hint="eastAsia" w:hAnsi="仿宋_GB2312" w:cs="仿宋_GB2312"/>
          <w:kern w:val="2"/>
          <w:position w:val="0"/>
          <w:sz w:val="32"/>
          <w:szCs w:val="32"/>
          <w:lang w:val="zh-CN" w:eastAsia="zh-CN"/>
        </w:rPr>
        <w:t>〔2025〕140号</w:t>
      </w:r>
      <w:r>
        <w:rPr>
          <w:rFonts w:hint="eastAsia" w:ascii="仿宋_GB2312" w:hAnsi="仿宋_GB2312" w:eastAsia="仿宋_GB2312" w:cs="仿宋_GB2312"/>
          <w:kern w:val="2"/>
          <w:position w:val="0"/>
          <w:sz w:val="32"/>
          <w:szCs w:val="32"/>
          <w:lang w:val="zh-CN" w:eastAsia="zh-CN"/>
        </w:rPr>
        <w:t>）</w:t>
      </w:r>
      <w:r>
        <w:rPr>
          <w:rFonts w:hint="eastAsia" w:ascii="仿宋_GB2312" w:hAnsi="仿宋_GB2312" w:eastAsia="仿宋_GB2312" w:cs="仿宋_GB2312"/>
          <w:sz w:val="32"/>
          <w:szCs w:val="32"/>
          <w:lang w:val="zh-CN"/>
        </w:rPr>
        <w:t>等文件规定及标准执行。</w:t>
      </w:r>
    </w:p>
    <w:p w14:paraId="7E4F1D10">
      <w:pPr>
        <w:keepNext w:val="0"/>
        <w:keepLines w:val="0"/>
        <w:pageBreakBefore w:val="0"/>
        <w:numPr>
          <w:ilvl w:val="0"/>
          <w:numId w:val="0"/>
        </w:numPr>
        <w:kinsoku/>
        <w:wordWrap/>
        <w:overflowPunct/>
        <w:topLinePunct w:val="0"/>
        <w:autoSpaceDE/>
        <w:autoSpaceDN/>
        <w:bidi w:val="0"/>
        <w:adjustRightInd w:val="0"/>
        <w:snapToGrid w:val="0"/>
        <w:spacing w:line="576" w:lineRule="exact"/>
        <w:ind w:leftChars="200"/>
        <w:textAlignment w:val="auto"/>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w:t>
      </w:r>
      <w:r>
        <w:rPr>
          <w:rFonts w:hint="eastAsia" w:ascii="楷体_GB2312" w:hAnsi="宋体" w:eastAsia="楷体_GB2312" w:cs="Times New Roman"/>
          <w:b/>
          <w:color w:val="auto"/>
          <w:sz w:val="32"/>
          <w:szCs w:val="32"/>
          <w:highlight w:val="none"/>
          <w:u w:val="none"/>
          <w:lang w:val="en-US" w:eastAsia="zh-CN"/>
        </w:rPr>
        <w:t>四）</w:t>
      </w:r>
      <w:r>
        <w:rPr>
          <w:rFonts w:hint="eastAsia" w:ascii="楷体_GB2312" w:hAnsi="宋体" w:eastAsia="楷体_GB2312" w:cs="Times New Roman"/>
          <w:b/>
          <w:color w:val="auto"/>
          <w:sz w:val="32"/>
          <w:szCs w:val="32"/>
          <w:highlight w:val="none"/>
          <w:u w:val="none"/>
          <w:lang w:val="zh-CN" w:eastAsia="zh-CN"/>
        </w:rPr>
        <w:t>项目绩效目标设置。</w:t>
      </w:r>
    </w:p>
    <w:p w14:paraId="6DE3D7C9">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eastAsia="仿宋_GB2312"/>
          <w:color w:val="auto"/>
          <w:sz w:val="32"/>
          <w:szCs w:val="32"/>
        </w:rPr>
      </w:pP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lang w:val="zh-CN"/>
        </w:rPr>
        <w:t>年拨付我县</w:t>
      </w:r>
      <w:r>
        <w:rPr>
          <w:rFonts w:hint="eastAsia" w:ascii="仿宋_GB2312" w:hAnsi="仿宋_GB2312" w:eastAsia="仿宋_GB2312" w:cs="仿宋_GB2312"/>
          <w:sz w:val="32"/>
          <w:szCs w:val="32"/>
          <w:lang w:val="zh-CN" w:eastAsia="zh-CN"/>
        </w:rPr>
        <w:t>中央、省、州、县级资金</w:t>
      </w:r>
      <w:r>
        <w:rPr>
          <w:rFonts w:hint="eastAsia" w:ascii="仿宋_GB2312" w:hAnsi="仿宋_GB2312" w:eastAsia="仿宋_GB2312" w:cs="仿宋_GB2312"/>
          <w:sz w:val="32"/>
          <w:szCs w:val="32"/>
          <w:lang w:val="en-US" w:eastAsia="zh-CN"/>
        </w:rPr>
        <w:t>651.536万元</w:t>
      </w:r>
      <w:r>
        <w:rPr>
          <w:rFonts w:hint="eastAsia" w:ascii="仿宋_GB2312" w:hAnsi="仿宋_GB2312" w:eastAsia="仿宋_GB2312" w:cs="仿宋_GB2312"/>
          <w:sz w:val="32"/>
          <w:szCs w:val="32"/>
          <w:lang w:val="zh-CN"/>
        </w:rPr>
        <w:t>，实际</w:t>
      </w:r>
      <w:r>
        <w:rPr>
          <w:rFonts w:hint="eastAsia" w:ascii="仿宋_GB2312" w:hAnsi="仿宋_GB2312" w:eastAsia="仿宋_GB2312" w:cs="仿宋_GB2312"/>
          <w:sz w:val="32"/>
          <w:szCs w:val="32"/>
          <w:lang w:val="en-US" w:eastAsia="zh-CN"/>
        </w:rPr>
        <w:t>支付601.96326万元</w:t>
      </w:r>
      <w:r>
        <w:rPr>
          <w:rFonts w:hint="eastAsia" w:ascii="仿宋_GB2312" w:hAnsi="仿宋_GB2312" w:eastAsia="仿宋_GB2312" w:cs="仿宋_GB2312"/>
          <w:sz w:val="32"/>
          <w:szCs w:val="32"/>
          <w:lang w:val="zh-CN"/>
        </w:rPr>
        <w:t>，2025年12月中旬到位第二批资金63.51万元，支付使用13.93726万元，剩余49.57274万元因年底财政关账全部收回县财政，项目完成任务。</w:t>
      </w:r>
    </w:p>
    <w:p w14:paraId="4437AB1D">
      <w:pPr>
        <w:keepNext w:val="0"/>
        <w:keepLines w:val="0"/>
        <w:pageBreakBefore w:val="0"/>
        <w:widowControl/>
        <w:kinsoku/>
        <w:wordWrap/>
        <w:overflowPunct/>
        <w:topLinePunct w:val="0"/>
        <w:autoSpaceDE/>
        <w:autoSpaceDN/>
        <w:bidi w:val="0"/>
        <w:spacing w:line="576" w:lineRule="exact"/>
        <w:ind w:firstLine="640" w:firstLineChars="200"/>
        <w:jc w:val="left"/>
        <w:textAlignment w:val="auto"/>
        <w:rPr>
          <w:rFonts w:hint="eastAsia" w:ascii="仿宋_GB2312" w:hAnsi="宋体" w:eastAsia="仿宋_GB2312" w:cs="Times New Roman"/>
          <w:color w:val="auto"/>
          <w:sz w:val="32"/>
          <w:szCs w:val="32"/>
          <w:lang w:eastAsia="zh-CN"/>
        </w:rPr>
      </w:pPr>
      <w:r>
        <w:rPr>
          <w:rFonts w:hint="eastAsia" w:ascii="仿宋_GB2312" w:hAnsi="仿宋_GB2312" w:eastAsia="仿宋_GB2312" w:cs="仿宋_GB2312"/>
          <w:sz w:val="32"/>
          <w:szCs w:val="32"/>
          <w:lang w:val="zh-CN"/>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val="zh-CN"/>
        </w:rPr>
        <w:t>年</w:t>
      </w:r>
      <w:r>
        <w:rPr>
          <w:rFonts w:hint="eastAsia" w:ascii="仿宋_GB2312" w:hAnsi="宋体" w:eastAsia="仿宋_GB2312"/>
          <w:color w:val="auto"/>
          <w:sz w:val="32"/>
          <w:szCs w:val="32"/>
          <w:lang w:val="en-US" w:eastAsia="zh-CN"/>
        </w:rPr>
        <w:t>我县</w:t>
      </w:r>
      <w:r>
        <w:rPr>
          <w:rFonts w:hint="eastAsia" w:ascii="仿宋_GB2312" w:hAnsi="宋体" w:eastAsia="仿宋_GB2312" w:cs="Times New Roman"/>
          <w:color w:val="auto"/>
          <w:sz w:val="32"/>
          <w:szCs w:val="32"/>
        </w:rPr>
        <w:t>辖区常住人口数为</w:t>
      </w:r>
      <w:r>
        <w:rPr>
          <w:rFonts w:hint="eastAsia" w:ascii="仿宋_GB2312" w:hAnsi="宋体" w:eastAsia="仿宋_GB2312" w:cs="Times New Roman"/>
          <w:color w:val="auto"/>
          <w:sz w:val="32"/>
          <w:szCs w:val="32"/>
          <w:lang w:val="en-US" w:eastAsia="zh-CN"/>
        </w:rPr>
        <w:t>66820</w:t>
      </w:r>
      <w:r>
        <w:rPr>
          <w:rFonts w:hint="eastAsia" w:ascii="仿宋_GB2312" w:hAnsi="宋体" w:eastAsia="仿宋_GB2312" w:cs="Times New Roman"/>
          <w:color w:val="auto"/>
          <w:sz w:val="32"/>
          <w:szCs w:val="32"/>
        </w:rPr>
        <w:t>，建立档案</w:t>
      </w:r>
      <w:r>
        <w:rPr>
          <w:rFonts w:hint="eastAsia" w:ascii="仿宋_GB2312" w:hAnsi="宋体" w:eastAsia="仿宋_GB2312" w:cs="Times New Roman"/>
          <w:color w:val="auto"/>
          <w:sz w:val="32"/>
          <w:szCs w:val="32"/>
          <w:lang w:val="en-US" w:eastAsia="zh-CN"/>
        </w:rPr>
        <w:t>62155</w:t>
      </w:r>
      <w:r>
        <w:rPr>
          <w:rFonts w:hint="eastAsia" w:ascii="仿宋_GB2312" w:hAnsi="宋体" w:eastAsia="仿宋_GB2312" w:cs="Times New Roman"/>
          <w:color w:val="auto"/>
          <w:sz w:val="32"/>
          <w:szCs w:val="32"/>
        </w:rPr>
        <w:t>人，建立电子档案</w:t>
      </w:r>
      <w:r>
        <w:rPr>
          <w:rFonts w:hint="eastAsia" w:ascii="仿宋_GB2312" w:hAnsi="宋体" w:eastAsia="仿宋_GB2312" w:cs="Times New Roman"/>
          <w:color w:val="auto"/>
          <w:sz w:val="32"/>
          <w:szCs w:val="32"/>
          <w:lang w:val="en-US" w:eastAsia="zh-CN"/>
        </w:rPr>
        <w:t>62155</w:t>
      </w:r>
      <w:r>
        <w:rPr>
          <w:rFonts w:hint="eastAsia" w:ascii="仿宋_GB2312" w:hAnsi="宋体" w:eastAsia="仿宋_GB2312" w:cs="Times New Roman"/>
          <w:color w:val="auto"/>
          <w:sz w:val="32"/>
          <w:szCs w:val="32"/>
        </w:rPr>
        <w:t>份</w:t>
      </w:r>
      <w:r>
        <w:rPr>
          <w:rFonts w:hint="eastAsia" w:ascii="仿宋_GB2312" w:hAnsi="宋体" w:eastAsia="仿宋_GB2312" w:cs="Times New Roman"/>
          <w:color w:val="auto"/>
          <w:sz w:val="32"/>
          <w:szCs w:val="32"/>
          <w:lang w:eastAsia="zh-CN"/>
        </w:rPr>
        <w:t>，电子建档率</w:t>
      </w:r>
      <w:r>
        <w:rPr>
          <w:rFonts w:hint="eastAsia" w:ascii="仿宋_GB2312" w:hAnsi="宋体" w:eastAsia="仿宋_GB2312" w:cs="Times New Roman"/>
          <w:color w:val="auto"/>
          <w:sz w:val="32"/>
          <w:szCs w:val="32"/>
          <w:lang w:val="en-US" w:eastAsia="zh-CN"/>
        </w:rPr>
        <w:t>93.01%。</w:t>
      </w:r>
      <w:r>
        <w:rPr>
          <w:rFonts w:hint="eastAsia" w:ascii="仿宋_GB2312" w:hAnsi="宋体" w:eastAsia="仿宋_GB2312" w:cs="Times New Roman"/>
          <w:color w:val="auto"/>
          <w:sz w:val="32"/>
          <w:szCs w:val="32"/>
        </w:rPr>
        <w:t>辖区</w:t>
      </w:r>
      <w:r>
        <w:rPr>
          <w:rFonts w:hint="eastAsia" w:ascii="仿宋_GB2312" w:hAnsi="宋体" w:eastAsia="仿宋_GB2312" w:cs="Times New Roman"/>
          <w:color w:val="auto"/>
          <w:sz w:val="32"/>
          <w:szCs w:val="32"/>
          <w:lang w:val="en-US" w:eastAsia="zh-CN"/>
        </w:rPr>
        <w:t>65岁及以上</w:t>
      </w:r>
      <w:r>
        <w:rPr>
          <w:rFonts w:hint="eastAsia" w:ascii="仿宋_GB2312" w:hAnsi="宋体" w:eastAsia="仿宋_GB2312" w:cs="Times New Roman"/>
          <w:color w:val="auto"/>
          <w:sz w:val="32"/>
          <w:szCs w:val="32"/>
        </w:rPr>
        <w:t>老年人常住人口数为</w:t>
      </w:r>
      <w:r>
        <w:rPr>
          <w:rFonts w:hint="eastAsia" w:ascii="仿宋_GB2312" w:hAnsi="宋体" w:eastAsia="仿宋_GB2312" w:cs="Times New Roman"/>
          <w:color w:val="auto"/>
          <w:sz w:val="32"/>
          <w:szCs w:val="32"/>
          <w:lang w:val="en-US" w:eastAsia="zh-CN"/>
        </w:rPr>
        <w:t>7183</w:t>
      </w:r>
      <w:r>
        <w:rPr>
          <w:rFonts w:hint="eastAsia" w:ascii="仿宋_GB2312" w:hAnsi="宋体" w:eastAsia="仿宋_GB2312" w:cs="Times New Roman"/>
          <w:color w:val="auto"/>
          <w:sz w:val="32"/>
          <w:szCs w:val="32"/>
        </w:rPr>
        <w:t>人，已建立档案</w:t>
      </w:r>
      <w:r>
        <w:rPr>
          <w:rFonts w:hint="eastAsia" w:ascii="仿宋_GB2312" w:hAnsi="宋体" w:eastAsia="仿宋_GB2312" w:cs="Times New Roman"/>
          <w:color w:val="auto"/>
          <w:sz w:val="32"/>
          <w:szCs w:val="32"/>
          <w:lang w:val="en-US" w:eastAsia="zh-CN"/>
        </w:rPr>
        <w:t>7183</w:t>
      </w:r>
      <w:r>
        <w:rPr>
          <w:rFonts w:hint="eastAsia" w:ascii="仿宋_GB2312" w:hAnsi="宋体" w:eastAsia="仿宋_GB2312" w:cs="Times New Roman"/>
          <w:color w:val="auto"/>
          <w:sz w:val="32"/>
          <w:szCs w:val="32"/>
        </w:rPr>
        <w:t>人，</w:t>
      </w:r>
      <w:r>
        <w:rPr>
          <w:rFonts w:hint="eastAsia" w:ascii="仿宋_GB2312" w:hAnsi="宋体" w:eastAsia="仿宋_GB2312" w:cs="Times New Roman"/>
          <w:color w:val="auto"/>
          <w:sz w:val="32"/>
          <w:szCs w:val="32"/>
          <w:lang w:eastAsia="zh-CN"/>
        </w:rPr>
        <w:t>年度体检</w:t>
      </w:r>
      <w:r>
        <w:rPr>
          <w:rFonts w:hint="eastAsia" w:ascii="仿宋_GB2312" w:hAnsi="宋体" w:eastAsia="仿宋_GB2312" w:cs="Times New Roman"/>
          <w:color w:val="auto"/>
          <w:sz w:val="32"/>
          <w:szCs w:val="32"/>
          <w:lang w:val="en-US" w:eastAsia="zh-CN"/>
        </w:rPr>
        <w:t>5462人，体检率达76%，</w:t>
      </w:r>
      <w:r>
        <w:rPr>
          <w:rFonts w:hint="eastAsia" w:ascii="仿宋_GB2312" w:hAnsi="宋体" w:eastAsia="仿宋_GB2312" w:cs="Times New Roman"/>
          <w:color w:val="auto"/>
          <w:sz w:val="32"/>
          <w:szCs w:val="32"/>
        </w:rPr>
        <w:t>中医药健康管理</w:t>
      </w:r>
      <w:r>
        <w:rPr>
          <w:rFonts w:hint="eastAsia" w:ascii="仿宋_GB2312" w:hAnsi="宋体" w:eastAsia="仿宋_GB2312" w:cs="Times New Roman"/>
          <w:color w:val="auto"/>
          <w:sz w:val="32"/>
          <w:szCs w:val="32"/>
          <w:lang w:val="en-US" w:eastAsia="zh-CN"/>
        </w:rPr>
        <w:t>6029</w:t>
      </w:r>
      <w:r>
        <w:rPr>
          <w:rFonts w:hint="eastAsia" w:ascii="仿宋_GB2312" w:hAnsi="宋体" w:eastAsia="仿宋_GB2312" w:cs="Times New Roman"/>
          <w:color w:val="auto"/>
          <w:sz w:val="32"/>
          <w:szCs w:val="32"/>
        </w:rPr>
        <w:t>人，</w:t>
      </w:r>
      <w:r>
        <w:rPr>
          <w:rFonts w:hint="eastAsia" w:ascii="仿宋_GB2312" w:hAnsi="宋体" w:eastAsia="仿宋_GB2312" w:cs="Times New Roman"/>
          <w:color w:val="auto"/>
          <w:sz w:val="32"/>
          <w:szCs w:val="32"/>
          <w:lang w:eastAsia="zh-CN"/>
        </w:rPr>
        <w:t>中医药健康管理率达</w:t>
      </w:r>
      <w:r>
        <w:rPr>
          <w:rFonts w:hint="eastAsia" w:ascii="仿宋_GB2312" w:hAnsi="宋体" w:eastAsia="仿宋_GB2312" w:cs="Times New Roman"/>
          <w:color w:val="auto"/>
          <w:sz w:val="32"/>
          <w:szCs w:val="32"/>
          <w:lang w:val="en-US" w:eastAsia="zh-CN"/>
        </w:rPr>
        <w:t>83.93%</w:t>
      </w:r>
      <w:r>
        <w:rPr>
          <w:rFonts w:hint="eastAsia" w:ascii="仿宋_GB2312" w:hAnsi="宋体" w:eastAsia="仿宋_GB2312" w:cs="Times New Roman"/>
          <w:color w:val="auto"/>
          <w:sz w:val="32"/>
          <w:szCs w:val="32"/>
        </w:rPr>
        <w:t>。高血压应管理</w:t>
      </w:r>
      <w:r>
        <w:rPr>
          <w:rFonts w:hint="eastAsia" w:ascii="仿宋_GB2312" w:hAnsi="宋体" w:eastAsia="仿宋_GB2312" w:cs="Times New Roman"/>
          <w:color w:val="auto"/>
          <w:sz w:val="32"/>
          <w:szCs w:val="32"/>
          <w:lang w:val="en-US" w:eastAsia="zh-CN"/>
        </w:rPr>
        <w:t>3500</w:t>
      </w:r>
      <w:r>
        <w:rPr>
          <w:rFonts w:hint="eastAsia" w:ascii="仿宋_GB2312" w:hAnsi="宋体" w:eastAsia="仿宋_GB2312" w:cs="Times New Roman"/>
          <w:color w:val="auto"/>
          <w:sz w:val="32"/>
          <w:szCs w:val="32"/>
        </w:rPr>
        <w:t>人，已管理</w:t>
      </w:r>
      <w:r>
        <w:rPr>
          <w:rFonts w:hint="eastAsia" w:ascii="仿宋_GB2312" w:hAnsi="宋体" w:eastAsia="仿宋_GB2312" w:cs="Times New Roman"/>
          <w:color w:val="auto"/>
          <w:sz w:val="32"/>
          <w:szCs w:val="32"/>
          <w:lang w:val="en-US" w:eastAsia="zh-CN"/>
        </w:rPr>
        <w:t>2961</w:t>
      </w:r>
      <w:r>
        <w:rPr>
          <w:rFonts w:hint="eastAsia" w:ascii="仿宋_GB2312" w:hAnsi="宋体" w:eastAsia="仿宋_GB2312" w:cs="Times New Roman"/>
          <w:color w:val="auto"/>
          <w:sz w:val="32"/>
          <w:szCs w:val="32"/>
        </w:rPr>
        <w:t>人，规范管理</w:t>
      </w:r>
      <w:r>
        <w:rPr>
          <w:rFonts w:hint="eastAsia" w:ascii="仿宋_GB2312" w:hAnsi="宋体" w:eastAsia="仿宋_GB2312" w:cs="Times New Roman"/>
          <w:color w:val="auto"/>
          <w:sz w:val="32"/>
          <w:szCs w:val="32"/>
          <w:lang w:val="en-US" w:eastAsia="zh-CN"/>
        </w:rPr>
        <w:t>2115</w:t>
      </w:r>
      <w:r>
        <w:rPr>
          <w:rFonts w:hint="eastAsia" w:ascii="仿宋_GB2312" w:hAnsi="宋体" w:eastAsia="仿宋_GB2312" w:cs="Times New Roman"/>
          <w:color w:val="auto"/>
          <w:sz w:val="32"/>
          <w:szCs w:val="32"/>
        </w:rPr>
        <w:t>人</w:t>
      </w:r>
      <w:r>
        <w:rPr>
          <w:rFonts w:hint="eastAsia" w:ascii="仿宋_GB2312" w:hAnsi="宋体" w:eastAsia="仿宋_GB2312" w:cs="Times New Roman"/>
          <w:color w:val="auto"/>
          <w:sz w:val="32"/>
          <w:szCs w:val="32"/>
          <w:lang w:eastAsia="zh-CN"/>
        </w:rPr>
        <w:t>，规范管理率达</w:t>
      </w:r>
      <w:r>
        <w:rPr>
          <w:rFonts w:hint="eastAsia" w:ascii="仿宋_GB2312" w:hAnsi="宋体" w:eastAsia="仿宋_GB2312" w:cs="Times New Roman"/>
          <w:color w:val="auto"/>
          <w:sz w:val="32"/>
          <w:szCs w:val="32"/>
          <w:lang w:val="en-US" w:eastAsia="zh-CN"/>
        </w:rPr>
        <w:t>71.43%；</w:t>
      </w:r>
      <w:r>
        <w:rPr>
          <w:rFonts w:hint="eastAsia" w:ascii="仿宋_GB2312" w:hAnsi="宋体" w:eastAsia="仿宋_GB2312" w:cs="Times New Roman"/>
          <w:color w:val="auto"/>
          <w:sz w:val="32"/>
          <w:szCs w:val="32"/>
        </w:rPr>
        <w:t>糖尿病应管理</w:t>
      </w:r>
      <w:r>
        <w:rPr>
          <w:rFonts w:hint="eastAsia" w:ascii="仿宋_GB2312" w:hAnsi="宋体" w:eastAsia="仿宋_GB2312" w:cs="Times New Roman"/>
          <w:color w:val="auto"/>
          <w:sz w:val="32"/>
          <w:szCs w:val="32"/>
          <w:lang w:val="en-US" w:eastAsia="zh-CN"/>
        </w:rPr>
        <w:t>1200</w:t>
      </w:r>
      <w:r>
        <w:rPr>
          <w:rFonts w:hint="eastAsia" w:ascii="仿宋_GB2312" w:hAnsi="宋体" w:eastAsia="仿宋_GB2312" w:cs="Times New Roman"/>
          <w:color w:val="auto"/>
          <w:sz w:val="32"/>
          <w:szCs w:val="32"/>
        </w:rPr>
        <w:t>人，现已管理</w:t>
      </w:r>
      <w:r>
        <w:rPr>
          <w:rFonts w:hint="eastAsia" w:ascii="仿宋_GB2312" w:hAnsi="宋体" w:eastAsia="仿宋_GB2312" w:cs="Times New Roman"/>
          <w:color w:val="auto"/>
          <w:sz w:val="32"/>
          <w:szCs w:val="32"/>
          <w:lang w:val="en-US" w:eastAsia="zh-CN"/>
        </w:rPr>
        <w:t>465</w:t>
      </w:r>
      <w:r>
        <w:rPr>
          <w:rFonts w:hint="eastAsia" w:ascii="仿宋_GB2312" w:hAnsi="宋体" w:eastAsia="仿宋_GB2312" w:cs="Times New Roman"/>
          <w:color w:val="auto"/>
          <w:sz w:val="32"/>
          <w:szCs w:val="32"/>
        </w:rPr>
        <w:t>人，规范管理</w:t>
      </w:r>
      <w:r>
        <w:rPr>
          <w:rFonts w:hint="eastAsia" w:ascii="仿宋_GB2312" w:hAnsi="宋体" w:eastAsia="仿宋_GB2312" w:cs="Times New Roman"/>
          <w:color w:val="auto"/>
          <w:sz w:val="32"/>
          <w:szCs w:val="32"/>
          <w:lang w:val="en-US" w:eastAsia="zh-CN"/>
        </w:rPr>
        <w:t>334</w:t>
      </w:r>
      <w:r>
        <w:rPr>
          <w:rFonts w:hint="eastAsia" w:ascii="仿宋_GB2312" w:hAnsi="宋体" w:eastAsia="仿宋_GB2312" w:cs="Times New Roman"/>
          <w:color w:val="auto"/>
          <w:sz w:val="32"/>
          <w:szCs w:val="32"/>
        </w:rPr>
        <w:t>人，</w:t>
      </w:r>
      <w:r>
        <w:rPr>
          <w:rFonts w:hint="eastAsia" w:ascii="仿宋_GB2312" w:hAnsi="宋体" w:eastAsia="仿宋_GB2312" w:cs="Times New Roman"/>
          <w:color w:val="auto"/>
          <w:sz w:val="32"/>
          <w:szCs w:val="32"/>
          <w:lang w:eastAsia="zh-CN"/>
        </w:rPr>
        <w:t>规范管理率</w:t>
      </w:r>
      <w:r>
        <w:rPr>
          <w:rFonts w:hint="eastAsia" w:ascii="仿宋_GB2312" w:hAnsi="宋体" w:eastAsia="仿宋_GB2312" w:cs="Times New Roman"/>
          <w:color w:val="auto"/>
          <w:sz w:val="32"/>
          <w:szCs w:val="32"/>
          <w:lang w:val="en-US" w:eastAsia="zh-CN"/>
        </w:rPr>
        <w:t>71.83%。慢阻肺应管8个，已管理6人，规范管理6人，管理率100%。</w:t>
      </w:r>
      <w:r>
        <w:rPr>
          <w:rFonts w:hint="eastAsia" w:ascii="仿宋_GB2312" w:hAnsi="宋体" w:eastAsia="仿宋_GB2312" w:cs="Times New Roman"/>
          <w:color w:val="auto"/>
          <w:sz w:val="32"/>
          <w:szCs w:val="32"/>
        </w:rPr>
        <w:t>严重精神障碍患者</w:t>
      </w:r>
      <w:r>
        <w:rPr>
          <w:rFonts w:hint="eastAsia" w:ascii="仿宋_GB2312" w:hAnsi="宋体" w:eastAsia="仿宋_GB2312" w:cs="Times New Roman"/>
          <w:color w:val="auto"/>
          <w:sz w:val="32"/>
          <w:szCs w:val="32"/>
          <w:lang w:eastAsia="zh-CN"/>
        </w:rPr>
        <w:t>规范管理率</w:t>
      </w:r>
      <w:r>
        <w:rPr>
          <w:rFonts w:hint="eastAsia" w:ascii="仿宋_GB2312" w:hAnsi="宋体" w:eastAsia="仿宋_GB2312" w:cs="Times New Roman"/>
          <w:color w:val="auto"/>
          <w:sz w:val="32"/>
          <w:szCs w:val="32"/>
          <w:lang w:val="en-US" w:eastAsia="zh-CN"/>
        </w:rPr>
        <w:t>91.61%</w:t>
      </w:r>
      <w:r>
        <w:rPr>
          <w:rFonts w:hint="eastAsia" w:ascii="仿宋_GB2312" w:hAnsi="宋体" w:eastAsia="仿宋_GB2312" w:cs="Times New Roman"/>
          <w:color w:val="auto"/>
          <w:sz w:val="32"/>
          <w:szCs w:val="32"/>
        </w:rPr>
        <w:t>。</w:t>
      </w:r>
      <w:r>
        <w:rPr>
          <w:rFonts w:hint="eastAsia" w:ascii="仿宋_GB2312" w:hAnsi="宋体" w:eastAsia="仿宋_GB2312" w:cs="Times New Roman"/>
          <w:color w:val="auto"/>
          <w:sz w:val="32"/>
          <w:szCs w:val="32"/>
          <w:lang w:eastAsia="zh-CN"/>
        </w:rPr>
        <w:t>应</w:t>
      </w:r>
      <w:r>
        <w:rPr>
          <w:rFonts w:hint="eastAsia" w:ascii="仿宋_GB2312" w:hAnsi="宋体" w:eastAsia="仿宋_GB2312" w:cs="Times New Roman"/>
          <w:color w:val="auto"/>
          <w:sz w:val="32"/>
          <w:szCs w:val="32"/>
        </w:rPr>
        <w:t>管理肺结核患者</w:t>
      </w:r>
      <w:r>
        <w:rPr>
          <w:rFonts w:hint="eastAsia" w:ascii="仿宋_GB2312" w:hAnsi="宋体" w:eastAsia="仿宋_GB2312" w:cs="Times New Roman"/>
          <w:color w:val="auto"/>
          <w:sz w:val="32"/>
          <w:szCs w:val="32"/>
          <w:lang w:val="en-US" w:eastAsia="zh-CN"/>
        </w:rPr>
        <w:t>51</w:t>
      </w:r>
      <w:r>
        <w:rPr>
          <w:rFonts w:hint="eastAsia" w:ascii="仿宋_GB2312" w:hAnsi="宋体" w:eastAsia="仿宋_GB2312" w:cs="Times New Roman"/>
          <w:color w:val="auto"/>
          <w:sz w:val="32"/>
          <w:szCs w:val="32"/>
        </w:rPr>
        <w:t>人</w:t>
      </w:r>
      <w:r>
        <w:rPr>
          <w:rFonts w:hint="eastAsia" w:ascii="仿宋_GB2312" w:hAnsi="宋体" w:eastAsia="仿宋_GB2312" w:cs="Times New Roman"/>
          <w:color w:val="auto"/>
          <w:sz w:val="32"/>
          <w:szCs w:val="32"/>
          <w:lang w:eastAsia="zh-CN"/>
        </w:rPr>
        <w:t>，规范</w:t>
      </w:r>
      <w:r>
        <w:rPr>
          <w:rFonts w:hint="eastAsia" w:ascii="仿宋_GB2312" w:hAnsi="宋体" w:eastAsia="仿宋_GB2312" w:cs="Times New Roman"/>
          <w:color w:val="auto"/>
          <w:sz w:val="32"/>
          <w:szCs w:val="32"/>
          <w:lang w:val="en-US" w:eastAsia="zh-CN"/>
        </w:rPr>
        <w:t>管理人51人，规范管理率100%。</w:t>
      </w:r>
      <w:r>
        <w:rPr>
          <w:rFonts w:hint="eastAsia" w:ascii="仿宋_GB2312" w:hAnsi="宋体" w:eastAsia="仿宋_GB2312" w:cs="Times New Roman"/>
          <w:color w:val="auto"/>
          <w:sz w:val="32"/>
          <w:szCs w:val="32"/>
        </w:rPr>
        <w:t>开展健康讲座</w:t>
      </w:r>
      <w:r>
        <w:rPr>
          <w:rFonts w:hint="eastAsia" w:ascii="仿宋_GB2312" w:hAnsi="宋体" w:eastAsia="仿宋_GB2312" w:cs="Times New Roman"/>
          <w:color w:val="auto"/>
          <w:sz w:val="32"/>
          <w:szCs w:val="32"/>
          <w:lang w:val="en-US" w:eastAsia="zh-CN"/>
        </w:rPr>
        <w:t>300余</w:t>
      </w:r>
      <w:r>
        <w:rPr>
          <w:rFonts w:hint="eastAsia" w:ascii="仿宋_GB2312" w:hAnsi="宋体" w:eastAsia="仿宋_GB2312" w:cs="Times New Roman"/>
          <w:color w:val="auto"/>
          <w:sz w:val="32"/>
          <w:szCs w:val="32"/>
        </w:rPr>
        <w:t>次，</w:t>
      </w:r>
      <w:r>
        <w:rPr>
          <w:rFonts w:hint="eastAsia" w:ascii="仿宋_GB2312" w:hAnsi="宋体" w:eastAsia="仿宋_GB2312" w:cs="Times New Roman"/>
          <w:color w:val="auto"/>
          <w:sz w:val="32"/>
          <w:szCs w:val="32"/>
          <w:lang w:eastAsia="zh-CN"/>
        </w:rPr>
        <w:t>覆盖</w:t>
      </w:r>
      <w:r>
        <w:rPr>
          <w:rFonts w:hint="eastAsia" w:ascii="仿宋_GB2312" w:hAnsi="宋体" w:eastAsia="仿宋_GB2312" w:cs="Times New Roman"/>
          <w:color w:val="auto"/>
          <w:sz w:val="32"/>
          <w:szCs w:val="32"/>
          <w:lang w:val="en-US" w:eastAsia="zh-CN"/>
        </w:rPr>
        <w:t>1.8万</w:t>
      </w:r>
      <w:r>
        <w:rPr>
          <w:rFonts w:hint="eastAsia" w:ascii="仿宋_GB2312" w:hAnsi="宋体" w:eastAsia="仿宋_GB2312" w:cs="Times New Roman"/>
          <w:color w:val="auto"/>
          <w:sz w:val="32"/>
          <w:szCs w:val="32"/>
        </w:rPr>
        <w:t>人</w:t>
      </w:r>
      <w:r>
        <w:rPr>
          <w:rFonts w:hint="eastAsia" w:ascii="仿宋_GB2312" w:hAnsi="宋体" w:eastAsia="仿宋_GB2312" w:cs="Times New Roman"/>
          <w:color w:val="auto"/>
          <w:sz w:val="32"/>
          <w:szCs w:val="32"/>
          <w:lang w:eastAsia="zh-CN"/>
        </w:rPr>
        <w:t>次</w:t>
      </w:r>
      <w:r>
        <w:rPr>
          <w:rFonts w:hint="eastAsia" w:ascii="仿宋_GB2312" w:hAnsi="宋体" w:eastAsia="仿宋_GB2312" w:cs="Times New Roman"/>
          <w:color w:val="auto"/>
          <w:sz w:val="32"/>
          <w:szCs w:val="32"/>
        </w:rPr>
        <w:t>，开展健康咨询活动</w:t>
      </w:r>
      <w:r>
        <w:rPr>
          <w:rFonts w:hint="eastAsia" w:ascii="仿宋_GB2312" w:hAnsi="宋体" w:eastAsia="仿宋_GB2312" w:cs="Times New Roman"/>
          <w:color w:val="auto"/>
          <w:sz w:val="32"/>
          <w:szCs w:val="32"/>
          <w:lang w:val="en-US" w:eastAsia="zh-CN"/>
        </w:rPr>
        <w:t>200余</w:t>
      </w:r>
      <w:r>
        <w:rPr>
          <w:rFonts w:hint="eastAsia" w:ascii="仿宋_GB2312" w:hAnsi="宋体" w:eastAsia="仿宋_GB2312" w:cs="Times New Roman"/>
          <w:color w:val="auto"/>
          <w:sz w:val="32"/>
          <w:szCs w:val="32"/>
        </w:rPr>
        <w:t>次，</w:t>
      </w:r>
      <w:r>
        <w:rPr>
          <w:rFonts w:hint="eastAsia" w:ascii="仿宋_GB2312" w:hAnsi="宋体" w:eastAsia="仿宋_GB2312" w:cs="Times New Roman"/>
          <w:color w:val="auto"/>
          <w:sz w:val="32"/>
          <w:szCs w:val="32"/>
          <w:lang w:eastAsia="zh-CN"/>
        </w:rPr>
        <w:t>覆盖</w:t>
      </w:r>
      <w:r>
        <w:rPr>
          <w:rFonts w:hint="eastAsia" w:ascii="仿宋_GB2312" w:hAnsi="宋体" w:eastAsia="仿宋_GB2312" w:cs="Times New Roman"/>
          <w:color w:val="auto"/>
          <w:sz w:val="32"/>
          <w:szCs w:val="32"/>
          <w:lang w:val="en-US" w:eastAsia="zh-CN"/>
        </w:rPr>
        <w:t>0.9万</w:t>
      </w:r>
      <w:r>
        <w:rPr>
          <w:rFonts w:hint="eastAsia" w:ascii="仿宋_GB2312" w:hAnsi="宋体" w:eastAsia="仿宋_GB2312" w:cs="Times New Roman"/>
          <w:color w:val="auto"/>
          <w:sz w:val="32"/>
          <w:szCs w:val="32"/>
        </w:rPr>
        <w:t>人</w:t>
      </w:r>
      <w:r>
        <w:rPr>
          <w:rFonts w:hint="eastAsia" w:ascii="仿宋_GB2312" w:hAnsi="宋体" w:eastAsia="仿宋_GB2312" w:cs="Times New Roman"/>
          <w:color w:val="auto"/>
          <w:sz w:val="32"/>
          <w:szCs w:val="32"/>
          <w:lang w:eastAsia="zh-CN"/>
        </w:rPr>
        <w:t>次。</w:t>
      </w:r>
      <w:r>
        <w:rPr>
          <w:rFonts w:hint="eastAsia" w:ascii="仿宋_GB2312" w:hAnsi="宋体" w:eastAsia="仿宋_GB2312" w:cs="Times New Roman"/>
          <w:color w:val="auto"/>
          <w:sz w:val="32"/>
          <w:szCs w:val="32"/>
        </w:rPr>
        <w:t>协助</w:t>
      </w:r>
      <w:r>
        <w:rPr>
          <w:rFonts w:hint="eastAsia" w:ascii="仿宋_GB2312" w:hAnsi="宋体" w:eastAsia="仿宋_GB2312" w:cs="Times New Roman"/>
          <w:color w:val="auto"/>
          <w:sz w:val="32"/>
          <w:szCs w:val="32"/>
          <w:lang w:eastAsia="zh-CN"/>
        </w:rPr>
        <w:t>开展</w:t>
      </w:r>
      <w:r>
        <w:rPr>
          <w:rFonts w:hint="eastAsia" w:ascii="仿宋_GB2312" w:hAnsi="宋体" w:eastAsia="仿宋_GB2312" w:cs="Times New Roman"/>
          <w:color w:val="auto"/>
          <w:sz w:val="32"/>
          <w:szCs w:val="32"/>
        </w:rPr>
        <w:t>食源性疾病</w:t>
      </w:r>
      <w:r>
        <w:rPr>
          <w:rFonts w:hint="eastAsia" w:ascii="仿宋_GB2312" w:hAnsi="宋体" w:eastAsia="仿宋_GB2312" w:cs="Times New Roman"/>
          <w:color w:val="auto"/>
          <w:sz w:val="32"/>
          <w:szCs w:val="32"/>
          <w:lang w:eastAsia="zh-CN"/>
        </w:rPr>
        <w:t>、</w:t>
      </w:r>
      <w:r>
        <w:rPr>
          <w:rFonts w:hint="eastAsia" w:ascii="仿宋_GB2312" w:hAnsi="宋体" w:eastAsia="仿宋_GB2312" w:cs="Times New Roman"/>
          <w:color w:val="auto"/>
          <w:sz w:val="32"/>
          <w:szCs w:val="32"/>
        </w:rPr>
        <w:t>饮用水卫生安全</w:t>
      </w:r>
      <w:r>
        <w:rPr>
          <w:rFonts w:hint="eastAsia" w:ascii="仿宋_GB2312" w:hAnsi="宋体" w:eastAsia="仿宋_GB2312" w:cs="Times New Roman"/>
          <w:color w:val="auto"/>
          <w:sz w:val="32"/>
          <w:szCs w:val="32"/>
          <w:lang w:eastAsia="zh-CN"/>
        </w:rPr>
        <w:t>、</w:t>
      </w:r>
      <w:r>
        <w:rPr>
          <w:rFonts w:hint="eastAsia" w:ascii="仿宋_GB2312" w:hAnsi="宋体" w:eastAsia="仿宋_GB2312" w:cs="Times New Roman"/>
          <w:color w:val="auto"/>
          <w:sz w:val="32"/>
          <w:szCs w:val="32"/>
        </w:rPr>
        <w:t>学校卫生</w:t>
      </w:r>
      <w:r>
        <w:rPr>
          <w:rFonts w:hint="eastAsia" w:ascii="仿宋_GB2312" w:hAnsi="宋体" w:eastAsia="仿宋_GB2312" w:cs="Times New Roman"/>
          <w:color w:val="auto"/>
          <w:sz w:val="32"/>
          <w:szCs w:val="32"/>
          <w:lang w:eastAsia="zh-CN"/>
        </w:rPr>
        <w:t>、</w:t>
      </w:r>
      <w:r>
        <w:rPr>
          <w:rFonts w:hint="eastAsia" w:ascii="仿宋_GB2312" w:hAnsi="宋体" w:eastAsia="仿宋_GB2312" w:cs="Times New Roman"/>
          <w:color w:val="auto"/>
          <w:sz w:val="32"/>
          <w:szCs w:val="32"/>
        </w:rPr>
        <w:t>非法行医和非法采供血</w:t>
      </w:r>
      <w:r>
        <w:rPr>
          <w:rFonts w:hint="eastAsia" w:ascii="仿宋_GB2312" w:hAnsi="宋体" w:eastAsia="仿宋_GB2312" w:cs="Times New Roman"/>
          <w:color w:val="auto"/>
          <w:sz w:val="32"/>
          <w:szCs w:val="32"/>
          <w:lang w:eastAsia="zh-CN"/>
        </w:rPr>
        <w:t>、</w:t>
      </w:r>
      <w:r>
        <w:rPr>
          <w:rFonts w:hint="eastAsia" w:ascii="仿宋_GB2312" w:hAnsi="宋体" w:eastAsia="仿宋_GB2312" w:cs="Times New Roman"/>
          <w:color w:val="auto"/>
          <w:sz w:val="32"/>
          <w:szCs w:val="32"/>
        </w:rPr>
        <w:t>计划生育实地巡查共</w:t>
      </w:r>
      <w:r>
        <w:rPr>
          <w:rFonts w:hint="eastAsia" w:ascii="仿宋_GB2312" w:hAnsi="宋体" w:eastAsia="仿宋_GB2312" w:cs="Times New Roman"/>
          <w:color w:val="auto"/>
          <w:sz w:val="32"/>
          <w:szCs w:val="32"/>
          <w:lang w:val="en-US" w:eastAsia="zh-CN"/>
        </w:rPr>
        <w:t>400余</w:t>
      </w:r>
      <w:r>
        <w:rPr>
          <w:rFonts w:hint="eastAsia" w:ascii="仿宋_GB2312" w:hAnsi="宋体" w:eastAsia="仿宋_GB2312" w:cs="Times New Roman"/>
          <w:color w:val="auto"/>
          <w:sz w:val="32"/>
          <w:szCs w:val="32"/>
        </w:rPr>
        <w:t>次。辖区活产数229人，孕产妇早孕建卡率74.24%，产后访视率96.51%；</w:t>
      </w:r>
      <w:r>
        <w:rPr>
          <w:rFonts w:hint="eastAsia" w:ascii="仿宋_GB2312" w:hAnsi="宋体" w:eastAsia="仿宋_GB2312" w:cs="Times New Roman"/>
          <w:color w:val="auto"/>
          <w:sz w:val="32"/>
          <w:szCs w:val="32"/>
          <w:lang w:eastAsia="zh-CN"/>
        </w:rPr>
        <w:t>0—6岁</w:t>
      </w:r>
      <w:r>
        <w:rPr>
          <w:rFonts w:hint="eastAsia" w:ascii="仿宋_GB2312" w:hAnsi="宋体" w:eastAsia="仿宋_GB2312" w:cs="Times New Roman"/>
          <w:color w:val="auto"/>
          <w:sz w:val="32"/>
          <w:szCs w:val="32"/>
        </w:rPr>
        <w:t>儿童2584人、健康管理率80.38%；</w:t>
      </w:r>
      <w:r>
        <w:rPr>
          <w:rFonts w:hint="eastAsia" w:ascii="仿宋_GB2312" w:hAnsi="宋体" w:eastAsia="仿宋_GB2312" w:cs="Times New Roman"/>
          <w:color w:val="auto"/>
          <w:sz w:val="32"/>
          <w:szCs w:val="32"/>
          <w:lang w:eastAsia="zh-CN"/>
        </w:rPr>
        <w:t>0—6岁</w:t>
      </w:r>
      <w:r>
        <w:rPr>
          <w:rFonts w:hint="eastAsia" w:ascii="仿宋_GB2312" w:hAnsi="宋体" w:eastAsia="仿宋_GB2312" w:cs="Times New Roman"/>
          <w:color w:val="auto"/>
          <w:sz w:val="32"/>
          <w:szCs w:val="32"/>
        </w:rPr>
        <w:t>儿童眼保健1847人管理率71.48%，新生儿访视率达99.13%，儿童中医管理：0-3岁儿童1044人，中医药健康管理822人，管理率87.74%</w:t>
      </w:r>
      <w:r>
        <w:rPr>
          <w:rFonts w:hint="eastAsia" w:ascii="仿宋_GB2312" w:hAnsi="宋体" w:eastAsia="仿宋_GB2312" w:cs="Times New Roman"/>
          <w:color w:val="auto"/>
          <w:sz w:val="32"/>
          <w:szCs w:val="32"/>
          <w:lang w:eastAsia="zh-CN"/>
        </w:rPr>
        <w:t>。</w:t>
      </w:r>
    </w:p>
    <w:p w14:paraId="70F187D4">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14:paraId="0A98967F">
      <w:pPr>
        <w:keepNext w:val="0"/>
        <w:keepLines w:val="0"/>
        <w:pageBreakBefore w:val="0"/>
        <w:widowControl w:val="0"/>
        <w:kinsoku/>
        <w:wordWrap/>
        <w:overflowPunct/>
        <w:topLinePunct w:val="0"/>
        <w:autoSpaceDE/>
        <w:autoSpaceDN/>
        <w:bidi w:val="0"/>
        <w:spacing w:line="576" w:lineRule="exact"/>
        <w:ind w:firstLine="705"/>
        <w:jc w:val="left"/>
        <w:textAlignment w:val="auto"/>
        <w:rPr>
          <w:rFonts w:eastAsia="仿宋_GB2312" w:cs="Times New Roman"/>
          <w:szCs w:val="32"/>
        </w:rPr>
      </w:pPr>
      <w:r>
        <w:rPr>
          <w:rFonts w:hint="eastAsia" w:ascii="楷体_GB2312" w:hAnsi="宋体" w:eastAsia="楷体_GB2312"/>
          <w:b/>
          <w:color w:val="auto"/>
          <w:sz w:val="32"/>
          <w:szCs w:val="32"/>
          <w:highlight w:val="none"/>
          <w:u w:val="none"/>
          <w:lang w:val="zh-CN"/>
        </w:rPr>
        <w:t>（一）评价目的。</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年我县</w:t>
      </w:r>
      <w:r>
        <w:rPr>
          <w:rFonts w:hint="eastAsia" w:ascii="仿宋_GB2312" w:hAnsi="宋体" w:eastAsia="仿宋_GB2312" w:cs="Times New Roman"/>
          <w:color w:val="auto"/>
          <w:kern w:val="2"/>
          <w:sz w:val="32"/>
          <w:szCs w:val="32"/>
          <w:lang w:val="en-US" w:eastAsia="zh-CN" w:bidi="ar-SA"/>
        </w:rPr>
        <w:t>12项</w:t>
      </w:r>
      <w:r>
        <w:rPr>
          <w:rFonts w:hint="eastAsia" w:ascii="仿宋_GB2312" w:hAnsi="仿宋_GB2312" w:eastAsia="仿宋_GB2312" w:cs="仿宋_GB2312"/>
          <w:color w:val="auto"/>
          <w:sz w:val="32"/>
          <w:szCs w:val="32"/>
        </w:rPr>
        <w:t>基本公卫项目资金实际下达</w:t>
      </w:r>
      <w:r>
        <w:rPr>
          <w:rFonts w:hint="eastAsia" w:ascii="仿宋_GB2312" w:hAnsi="仿宋_GB2312" w:eastAsia="仿宋_GB2312" w:cs="仿宋_GB2312"/>
          <w:sz w:val="32"/>
          <w:szCs w:val="32"/>
          <w:lang w:val="en-US" w:eastAsia="zh-CN"/>
        </w:rPr>
        <w:t>651.536万元</w:t>
      </w:r>
      <w:r>
        <w:rPr>
          <w:rFonts w:hint="eastAsia" w:ascii="仿宋_GB2312" w:hAnsi="仿宋_GB2312" w:eastAsia="仿宋_GB2312" w:cs="仿宋_GB2312"/>
          <w:sz w:val="32"/>
          <w:szCs w:val="32"/>
          <w:lang w:val="zh-CN"/>
        </w:rPr>
        <w:t>，实际</w:t>
      </w:r>
      <w:r>
        <w:rPr>
          <w:rFonts w:hint="eastAsia" w:ascii="仿宋_GB2312" w:hAnsi="仿宋_GB2312" w:eastAsia="仿宋_GB2312" w:cs="仿宋_GB2312"/>
          <w:sz w:val="32"/>
          <w:szCs w:val="32"/>
          <w:lang w:val="en-US" w:eastAsia="zh-CN"/>
        </w:rPr>
        <w:t>支付601.96326万元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分配至辖区医疗卫生单位及村卫生室</w:t>
      </w:r>
      <w:r>
        <w:rPr>
          <w:rFonts w:hint="eastAsia" w:ascii="仿宋_GB2312" w:hAnsi="仿宋_GB2312" w:eastAsia="仿宋_GB2312" w:cs="仿宋_GB2312"/>
          <w:sz w:val="32"/>
          <w:szCs w:val="32"/>
          <w:lang w:val="en-US" w:eastAsia="zh-CN"/>
        </w:rPr>
        <w:t>601.96326</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用于</w:t>
      </w:r>
      <w:r>
        <w:rPr>
          <w:rFonts w:hint="eastAsia" w:ascii="仿宋_GB2312" w:hAnsi="仿宋_GB2312" w:eastAsia="仿宋_GB2312" w:cs="仿宋_GB2312"/>
          <w:color w:val="auto"/>
          <w:sz w:val="32"/>
          <w:szCs w:val="32"/>
        </w:rPr>
        <w:t>开展基本公共卫生服务</w:t>
      </w:r>
      <w:r>
        <w:rPr>
          <w:rFonts w:hint="eastAsia" w:ascii="仿宋_GB2312" w:hAnsi="仿宋_GB2312" w:eastAsia="仿宋_GB2312" w:cs="仿宋_GB2312"/>
          <w:color w:val="auto"/>
          <w:sz w:val="32"/>
          <w:szCs w:val="32"/>
          <w:lang w:val="en-US" w:eastAsia="zh-CN"/>
        </w:rPr>
        <w:t>项目。</w:t>
      </w:r>
    </w:p>
    <w:p w14:paraId="168C7AE9">
      <w:pPr>
        <w:keepNext w:val="0"/>
        <w:keepLines w:val="0"/>
        <w:pageBreakBefore w:val="0"/>
        <w:tabs>
          <w:tab w:val="left" w:pos="3885"/>
        </w:tabs>
        <w:kinsoku/>
        <w:wordWrap/>
        <w:overflowPunct/>
        <w:topLinePunct w:val="0"/>
        <w:autoSpaceDE/>
        <w:autoSpaceDN/>
        <w:bidi w:val="0"/>
        <w:adjustRightInd/>
        <w:snapToGrid w:val="0"/>
        <w:spacing w:line="576" w:lineRule="exact"/>
        <w:ind w:firstLine="643" w:firstLineChars="200"/>
        <w:jc w:val="left"/>
        <w:textAlignment w:val="auto"/>
        <w:rPr>
          <w:rFonts w:hint="eastAsia" w:ascii="仿宋_GB2312" w:hAnsi="宋体" w:eastAsia="仿宋_GB2312" w:cs="Times New Roman"/>
          <w:color w:val="auto"/>
          <w:sz w:val="32"/>
          <w:szCs w:val="32"/>
          <w:lang w:val="en-US" w:eastAsia="zh-CN"/>
        </w:rPr>
      </w:pPr>
      <w:r>
        <w:rPr>
          <w:rFonts w:hint="eastAsia" w:ascii="楷体_GB2312" w:hAnsi="宋体" w:eastAsia="楷体_GB2312"/>
          <w:b/>
          <w:color w:val="auto"/>
          <w:sz w:val="32"/>
          <w:szCs w:val="32"/>
          <w:highlight w:val="none"/>
          <w:u w:val="none"/>
          <w:lang w:val="zh-CN"/>
        </w:rPr>
        <w:t>（二）预设问题及评价重点。</w:t>
      </w:r>
      <w:r>
        <w:rPr>
          <w:rFonts w:hint="eastAsia" w:ascii="仿宋_GB2312" w:hAnsi="宋体" w:eastAsia="仿宋_GB2312" w:cs="Times New Roman"/>
          <w:color w:val="auto"/>
          <w:sz w:val="32"/>
          <w:szCs w:val="32"/>
          <w:lang w:val="en-US" w:eastAsia="zh-CN"/>
        </w:rPr>
        <w:t>根据三级指标值分析，已达标的指标数有：电子健康档案建档率93.01%、0—6岁儿童管理人数2584、65岁及以上居民健康管理人数7183、老年人中医药健康管理率83.93%、高血压、糖尿病患者管理率分别为71.43%和71.83%；传染病和突发公共卫生事件报告率100%；通过实施国家基本公共卫生服务项目，老百姓享受到更多的免费服务。</w:t>
      </w:r>
      <w:r>
        <w:rPr>
          <w:rFonts w:hint="eastAsia" w:ascii="仿宋_GB2312" w:hAnsi="宋体" w:eastAsia="仿宋_GB2312" w:cs="Times New Roman"/>
          <w:b/>
          <w:bCs/>
          <w:color w:val="auto"/>
          <w:sz w:val="32"/>
          <w:szCs w:val="32"/>
          <w:lang w:val="en-US" w:eastAsia="zh-CN"/>
        </w:rPr>
        <w:t>一是</w:t>
      </w:r>
      <w:r>
        <w:rPr>
          <w:rFonts w:hint="eastAsia" w:ascii="仿宋_GB2312" w:hAnsi="宋体" w:eastAsia="仿宋_GB2312" w:cs="Times New Roman"/>
          <w:color w:val="auto"/>
          <w:sz w:val="32"/>
          <w:szCs w:val="32"/>
          <w:lang w:val="en-US" w:eastAsia="zh-CN"/>
        </w:rPr>
        <w:t>居民个人健康档案进一步完善。</w:t>
      </w:r>
      <w:r>
        <w:rPr>
          <w:rFonts w:hint="eastAsia" w:ascii="仿宋_GB2312" w:hAnsi="宋体" w:eastAsia="仿宋_GB2312" w:cs="Times New Roman"/>
          <w:b/>
          <w:bCs/>
          <w:color w:val="auto"/>
          <w:sz w:val="32"/>
          <w:szCs w:val="32"/>
          <w:lang w:val="en-US" w:eastAsia="zh-CN"/>
        </w:rPr>
        <w:t>二是</w:t>
      </w:r>
      <w:r>
        <w:rPr>
          <w:rFonts w:hint="eastAsia" w:ascii="仿宋_GB2312" w:hAnsi="宋体" w:eastAsia="仿宋_GB2312" w:cs="Times New Roman"/>
          <w:color w:val="auto"/>
          <w:sz w:val="32"/>
          <w:szCs w:val="32"/>
          <w:lang w:val="en-US" w:eastAsia="zh-CN"/>
        </w:rPr>
        <w:t>儿童、孕产妇和老年人等重点人群获得更多的保健服务项目。</w:t>
      </w:r>
      <w:r>
        <w:rPr>
          <w:rFonts w:hint="eastAsia" w:ascii="仿宋_GB2312" w:hAnsi="宋体" w:eastAsia="仿宋_GB2312" w:cs="Times New Roman"/>
          <w:b/>
          <w:bCs/>
          <w:color w:val="auto"/>
          <w:sz w:val="32"/>
          <w:szCs w:val="32"/>
          <w:lang w:val="en-US" w:eastAsia="zh-CN"/>
        </w:rPr>
        <w:t>三是</w:t>
      </w:r>
      <w:r>
        <w:rPr>
          <w:rFonts w:hint="eastAsia" w:ascii="仿宋_GB2312" w:hAnsi="宋体" w:eastAsia="仿宋_GB2312" w:cs="Times New Roman"/>
          <w:color w:val="auto"/>
          <w:sz w:val="32"/>
          <w:szCs w:val="32"/>
          <w:lang w:val="en-US" w:eastAsia="zh-CN"/>
        </w:rPr>
        <w:t>重点疾病患病人群管理进一步加强。</w:t>
      </w:r>
      <w:r>
        <w:rPr>
          <w:rFonts w:hint="eastAsia" w:ascii="仿宋_GB2312" w:hAnsi="宋体" w:eastAsia="仿宋_GB2312" w:cs="Times New Roman"/>
          <w:b/>
          <w:bCs/>
          <w:color w:val="auto"/>
          <w:sz w:val="32"/>
          <w:szCs w:val="32"/>
          <w:lang w:val="en-US" w:eastAsia="zh-CN"/>
        </w:rPr>
        <w:t>四是</w:t>
      </w:r>
      <w:r>
        <w:rPr>
          <w:rFonts w:hint="eastAsia" w:ascii="仿宋_GB2312" w:hAnsi="宋体" w:eastAsia="仿宋_GB2312" w:cs="Times New Roman"/>
          <w:color w:val="auto"/>
          <w:sz w:val="32"/>
          <w:szCs w:val="32"/>
          <w:lang w:val="en-US" w:eastAsia="zh-CN"/>
        </w:rPr>
        <w:t>基层医疗卫生机构公共卫生服务功能进一步强化。</w:t>
      </w:r>
      <w:r>
        <w:rPr>
          <w:rFonts w:hint="eastAsia" w:ascii="仿宋_GB2312" w:hAnsi="宋体" w:eastAsia="仿宋_GB2312" w:cs="Times New Roman"/>
          <w:b/>
          <w:bCs/>
          <w:color w:val="auto"/>
          <w:sz w:val="32"/>
          <w:szCs w:val="32"/>
          <w:lang w:val="en-US" w:eastAsia="zh-CN"/>
        </w:rPr>
        <w:t>五是</w:t>
      </w:r>
      <w:r>
        <w:rPr>
          <w:rFonts w:hint="eastAsia" w:ascii="仿宋_GB2312" w:hAnsi="宋体" w:eastAsia="仿宋_GB2312" w:cs="Times New Roman"/>
          <w:color w:val="auto"/>
          <w:sz w:val="32"/>
          <w:szCs w:val="32"/>
          <w:lang w:val="zh-CN" w:eastAsia="zh-CN"/>
        </w:rPr>
        <w:t>受益群体满意度不断提高。</w:t>
      </w:r>
    </w:p>
    <w:p w14:paraId="1098B0DB">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eastAsia="楷体_GB2312" w:cs="Times New Roman"/>
          <w:szCs w:val="32"/>
          <w:lang w:val="en-US" w:eastAsia="zh-CN"/>
        </w:rPr>
      </w:pPr>
      <w:r>
        <w:rPr>
          <w:rFonts w:hint="eastAsia" w:ascii="楷体_GB2312" w:hAnsi="宋体" w:eastAsia="楷体_GB2312"/>
          <w:b/>
          <w:color w:val="auto"/>
          <w:sz w:val="32"/>
          <w:szCs w:val="32"/>
          <w:highlight w:val="none"/>
          <w:u w:val="none"/>
          <w:lang w:val="zh-CN"/>
        </w:rPr>
        <w:t>（三）评价选点。（</w:t>
      </w:r>
      <w:r>
        <w:rPr>
          <w:rFonts w:hint="eastAsia" w:ascii="楷体_GB2312" w:hAnsi="宋体" w:eastAsia="楷体_GB2312"/>
          <w:b/>
          <w:color w:val="auto"/>
          <w:sz w:val="32"/>
          <w:szCs w:val="32"/>
          <w:highlight w:val="none"/>
          <w:u w:val="none"/>
          <w:lang w:val="en-US" w:eastAsia="zh-CN"/>
        </w:rPr>
        <w:t>无）</w:t>
      </w:r>
    </w:p>
    <w:p w14:paraId="080A3192">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仿宋_GB2312" w:eastAsia="仿宋_GB2312" w:cs="仿宋_GB2312"/>
          <w:sz w:val="32"/>
          <w:szCs w:val="32"/>
          <w:lang w:eastAsia="zh-CN"/>
        </w:rPr>
      </w:pPr>
      <w:r>
        <w:rPr>
          <w:rFonts w:hint="eastAsia" w:ascii="楷体_GB2312" w:hAnsi="宋体" w:eastAsia="楷体_GB2312"/>
          <w:b/>
          <w:color w:val="auto"/>
          <w:sz w:val="32"/>
          <w:szCs w:val="32"/>
          <w:highlight w:val="none"/>
          <w:u w:val="none"/>
          <w:lang w:val="zh-CN"/>
        </w:rPr>
        <w:t>（四）评价方法。</w:t>
      </w:r>
      <w:r>
        <w:rPr>
          <w:rFonts w:hint="eastAsia" w:ascii="仿宋_GB2312" w:hAnsi="仿宋_GB2312" w:eastAsia="仿宋_GB2312" w:cs="仿宋_GB2312"/>
          <w:sz w:val="32"/>
          <w:szCs w:val="32"/>
          <w:lang w:val="en-US" w:eastAsia="zh-CN"/>
        </w:rPr>
        <w:t>2025年度项目按照有关规定和工作安排，我单位开展自行评估，通过收集被评估项目相关基础材料，形成绩效评估报告。</w:t>
      </w:r>
    </w:p>
    <w:p w14:paraId="33D24612">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color w:val="auto"/>
          <w:sz w:val="32"/>
          <w:szCs w:val="32"/>
          <w:lang w:val="en-US" w:eastAsia="zh-CN"/>
        </w:rPr>
      </w:pPr>
      <w:r>
        <w:rPr>
          <w:rFonts w:hint="eastAsia" w:ascii="楷体_GB2312" w:hAnsi="宋体" w:eastAsia="楷体_GB2312"/>
          <w:b/>
          <w:color w:val="auto"/>
          <w:sz w:val="32"/>
          <w:szCs w:val="32"/>
          <w:highlight w:val="none"/>
          <w:u w:val="none"/>
          <w:lang w:val="zh-CN"/>
        </w:rPr>
        <w:t>（五）评价组织。</w:t>
      </w:r>
      <w:r>
        <w:rPr>
          <w:rFonts w:hint="eastAsia" w:ascii="仿宋_GB2312" w:hAnsi="宋体" w:eastAsia="仿宋_GB2312" w:cs="Times New Roman"/>
          <w:color w:val="auto"/>
          <w:sz w:val="32"/>
          <w:szCs w:val="32"/>
          <w:lang w:val="en-US" w:eastAsia="zh-CN"/>
        </w:rPr>
        <w:t>评价组由县卫健局公卫疾控股和财务科人员共同构成，公卫疾控股提供项目实施内容及自评；财务科提供项目资金使用明细。</w:t>
      </w:r>
    </w:p>
    <w:p w14:paraId="63AA54CC">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168135A1">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ascii="仿宋_GB2312" w:hAnsi="宋体" w:eastAsia="仿宋_GB2312" w:cs="Times New Roman"/>
          <w:color w:val="auto"/>
          <w:sz w:val="32"/>
          <w:szCs w:val="32"/>
          <w:lang w:val="en-US" w:eastAsia="zh-CN"/>
        </w:rPr>
      </w:pPr>
      <w:r>
        <w:rPr>
          <w:rFonts w:hint="default" w:ascii="仿宋_GB2312" w:hAnsi="宋体" w:eastAsia="仿宋_GB2312" w:cs="Times New Roman"/>
          <w:color w:val="auto"/>
          <w:sz w:val="32"/>
          <w:szCs w:val="32"/>
          <w:lang w:val="zh-CN" w:eastAsia="zh-CN"/>
        </w:rPr>
        <w:t>根据</w:t>
      </w:r>
      <w:r>
        <w:rPr>
          <w:rFonts w:hint="eastAsia" w:ascii="仿宋_GB2312" w:hAnsi="宋体" w:eastAsia="仿宋_GB2312" w:cs="Times New Roman"/>
          <w:color w:val="auto"/>
          <w:sz w:val="32"/>
          <w:szCs w:val="32"/>
          <w:lang w:val="zh-CN" w:eastAsia="zh-CN"/>
        </w:rPr>
        <w:t>项目</w:t>
      </w:r>
      <w:r>
        <w:rPr>
          <w:rFonts w:hint="default" w:ascii="仿宋_GB2312" w:hAnsi="宋体" w:eastAsia="仿宋_GB2312" w:cs="Times New Roman"/>
          <w:color w:val="auto"/>
          <w:sz w:val="32"/>
          <w:szCs w:val="32"/>
          <w:lang w:val="zh-CN" w:eastAsia="zh-CN"/>
        </w:rPr>
        <w:t>预算绩效评价指标体系“</w:t>
      </w:r>
      <w:r>
        <w:rPr>
          <w:rFonts w:hint="eastAsia" w:ascii="仿宋_GB2312" w:hAnsi="宋体" w:eastAsia="仿宋_GB2312" w:cs="Times New Roman"/>
          <w:color w:val="auto"/>
          <w:sz w:val="32"/>
          <w:szCs w:val="32"/>
          <w:lang w:val="zh-CN" w:eastAsia="zh-CN"/>
        </w:rPr>
        <w:t>通用指标</w:t>
      </w:r>
      <w:r>
        <w:rPr>
          <w:rFonts w:hint="default" w:ascii="仿宋_GB2312" w:hAnsi="宋体" w:eastAsia="仿宋_GB2312" w:cs="Times New Roman"/>
          <w:color w:val="auto"/>
          <w:sz w:val="32"/>
          <w:szCs w:val="32"/>
          <w:lang w:val="zh-CN" w:eastAsia="zh-CN"/>
        </w:rPr>
        <w:t>”</w:t>
      </w:r>
      <w:r>
        <w:rPr>
          <w:rFonts w:hint="eastAsia" w:ascii="仿宋_GB2312" w:hAnsi="宋体" w:eastAsia="仿宋_GB2312" w:cs="Times New Roman"/>
          <w:color w:val="auto"/>
          <w:sz w:val="32"/>
          <w:szCs w:val="32"/>
          <w:lang w:val="zh-CN" w:eastAsia="zh-CN"/>
        </w:rPr>
        <w:t>“专用指标”“个性指标”</w:t>
      </w:r>
      <w:r>
        <w:rPr>
          <w:rFonts w:hint="default" w:ascii="仿宋_GB2312" w:hAnsi="宋体" w:eastAsia="仿宋_GB2312" w:cs="Times New Roman"/>
          <w:color w:val="auto"/>
          <w:sz w:val="32"/>
          <w:szCs w:val="32"/>
          <w:lang w:val="zh-CN" w:eastAsia="zh-CN"/>
        </w:rPr>
        <w:t>涉及</w:t>
      </w:r>
      <w:r>
        <w:rPr>
          <w:rFonts w:hint="eastAsia" w:ascii="仿宋_GB2312" w:hAnsi="宋体" w:eastAsia="仿宋_GB2312" w:cs="Times New Roman"/>
          <w:color w:val="auto"/>
          <w:sz w:val="32"/>
          <w:szCs w:val="32"/>
          <w:lang w:val="zh-CN" w:eastAsia="zh-CN"/>
        </w:rPr>
        <w:t>二、三级</w:t>
      </w:r>
      <w:r>
        <w:rPr>
          <w:rFonts w:hint="default" w:ascii="仿宋_GB2312" w:hAnsi="宋体" w:eastAsia="仿宋_GB2312" w:cs="Times New Roman"/>
          <w:color w:val="auto"/>
          <w:sz w:val="32"/>
          <w:szCs w:val="32"/>
          <w:lang w:val="zh-CN" w:eastAsia="zh-CN"/>
        </w:rPr>
        <w:t>指标进行</w:t>
      </w:r>
      <w:r>
        <w:rPr>
          <w:rFonts w:hint="eastAsia" w:ascii="仿宋_GB2312" w:hAnsi="宋体" w:eastAsia="仿宋_GB2312" w:cs="Times New Roman"/>
          <w:color w:val="auto"/>
          <w:sz w:val="32"/>
          <w:szCs w:val="32"/>
          <w:lang w:val="zh-CN" w:eastAsia="zh-CN"/>
        </w:rPr>
        <w:t>逐项</w:t>
      </w:r>
      <w:r>
        <w:rPr>
          <w:rFonts w:hint="default" w:ascii="仿宋_GB2312" w:hAnsi="宋体" w:eastAsia="仿宋_GB2312" w:cs="Times New Roman"/>
          <w:color w:val="auto"/>
          <w:sz w:val="32"/>
          <w:szCs w:val="32"/>
          <w:lang w:val="zh-CN" w:eastAsia="zh-CN"/>
        </w:rPr>
        <w:t>绩效分析</w:t>
      </w:r>
      <w:r>
        <w:rPr>
          <w:rFonts w:hint="eastAsia" w:ascii="仿宋_GB2312" w:hAnsi="宋体" w:eastAsia="仿宋_GB2312" w:cs="Times New Roman"/>
          <w:color w:val="auto"/>
          <w:sz w:val="32"/>
          <w:szCs w:val="32"/>
          <w:lang w:val="zh-CN" w:eastAsia="zh-CN"/>
        </w:rPr>
        <w:t>并评分</w:t>
      </w:r>
      <w:r>
        <w:rPr>
          <w:rFonts w:hint="eastAsia" w:ascii="仿宋_GB2312" w:hAnsi="宋体" w:eastAsia="仿宋_GB2312" w:cs="Times New Roman"/>
          <w:color w:val="auto"/>
          <w:sz w:val="32"/>
          <w:szCs w:val="32"/>
          <w:lang w:val="en-US" w:eastAsia="zh-CN"/>
        </w:rPr>
        <w:t>。</w:t>
      </w:r>
    </w:p>
    <w:p w14:paraId="77FEF191">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楷体_GB2312" w:hAnsi="宋体" w:eastAsia="楷体_GB2312" w:cs="Times New Roman"/>
          <w:b/>
          <w:color w:val="auto"/>
          <w:sz w:val="32"/>
          <w:szCs w:val="32"/>
          <w:highlight w:val="none"/>
          <w:u w:val="none"/>
          <w:lang w:val="zh-CN" w:eastAsia="zh-CN"/>
        </w:rPr>
        <w:t>绩效分析。</w:t>
      </w:r>
    </w:p>
    <w:p w14:paraId="664D2B9C">
      <w:pPr>
        <w:keepNext w:val="0"/>
        <w:keepLines w:val="0"/>
        <w:pageBreakBefore w:val="0"/>
        <w:widowControl w:val="0"/>
        <w:kinsoku/>
        <w:wordWrap/>
        <w:overflowPunct/>
        <w:topLinePunct w:val="0"/>
        <w:autoSpaceDE/>
        <w:autoSpaceDN/>
        <w:bidi w:val="0"/>
        <w:adjustRightInd w:val="0"/>
        <w:snapToGrid w:val="0"/>
        <w:spacing w:line="576" w:lineRule="exact"/>
        <w:ind w:firstLine="72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项目决策。</w:t>
      </w:r>
      <w:r>
        <w:rPr>
          <w:rFonts w:hint="eastAsia" w:ascii="仿宋_GB2312" w:hAnsi="仿宋_GB2312" w:eastAsia="仿宋_GB2312" w:cs="仿宋_GB2312"/>
          <w:sz w:val="32"/>
          <w:szCs w:val="32"/>
        </w:rPr>
        <w:t>公卫资金计划主要用于我县各级医疗单位针对</w:t>
      </w:r>
      <w:r>
        <w:rPr>
          <w:rFonts w:hint="eastAsia" w:ascii="仿宋_GB2312" w:hAnsi="仿宋_GB2312" w:eastAsia="仿宋_GB2312" w:cs="仿宋_GB2312"/>
          <w:sz w:val="32"/>
          <w:szCs w:val="32"/>
          <w:lang w:val="en-US" w:eastAsia="zh-CN"/>
        </w:rPr>
        <w:t>122</w:t>
      </w:r>
      <w:r>
        <w:rPr>
          <w:rFonts w:hint="eastAsia" w:ascii="仿宋_GB2312" w:hAnsi="仿宋_GB2312" w:eastAsia="仿宋_GB2312" w:cs="仿宋_GB2312"/>
          <w:sz w:val="32"/>
          <w:szCs w:val="32"/>
        </w:rPr>
        <w:t>个行政村</w:t>
      </w:r>
      <w:r>
        <w:rPr>
          <w:rFonts w:hint="eastAsia" w:ascii="仿宋_GB2312" w:hAnsi="仿宋_GB2312" w:eastAsia="仿宋_GB2312" w:cs="仿宋_GB2312"/>
          <w:sz w:val="32"/>
          <w:szCs w:val="32"/>
          <w:lang w:val="en-US" w:eastAsia="zh-CN"/>
        </w:rPr>
        <w:t>6.68</w:t>
      </w:r>
      <w:r>
        <w:rPr>
          <w:rFonts w:hint="eastAsia" w:ascii="仿宋_GB2312" w:hAnsi="仿宋_GB2312" w:eastAsia="仿宋_GB2312" w:cs="仿宋_GB2312"/>
          <w:sz w:val="32"/>
          <w:szCs w:val="32"/>
        </w:rPr>
        <w:t>万人所开展的国家基本公共卫生服务1</w:t>
      </w:r>
      <w:r>
        <w:rPr>
          <w:rFonts w:hint="eastAsia" w:ascii="仿宋_GB2312" w:hAnsi="仿宋_GB2312" w:eastAsia="仿宋_GB2312" w:cs="仿宋_GB2312"/>
          <w:sz w:val="32"/>
          <w:szCs w:val="32"/>
          <w:lang w:val="en-US" w:eastAsia="zh-CN"/>
        </w:rPr>
        <w:t>2项</w:t>
      </w:r>
      <w:r>
        <w:rPr>
          <w:rFonts w:hint="eastAsia" w:ascii="仿宋_GB2312" w:hAnsi="仿宋_GB2312" w:eastAsia="仿宋_GB2312" w:cs="仿宋_GB2312"/>
          <w:sz w:val="32"/>
          <w:szCs w:val="32"/>
        </w:rPr>
        <w:t>所需成本及劳务报酬和管理经费等。</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年通过年终绩效</w:t>
      </w:r>
      <w:r>
        <w:rPr>
          <w:rFonts w:hint="eastAsia" w:ascii="仿宋_GB2312" w:hAnsi="仿宋_GB2312" w:eastAsia="仿宋_GB2312" w:cs="仿宋_GB2312"/>
          <w:sz w:val="32"/>
          <w:szCs w:val="32"/>
          <w:lang w:eastAsia="zh-CN"/>
        </w:rPr>
        <w:t>评价</w:t>
      </w:r>
      <w:r>
        <w:rPr>
          <w:rFonts w:hint="eastAsia" w:ascii="仿宋_GB2312" w:hAnsi="仿宋_GB2312" w:eastAsia="仿宋_GB2312" w:cs="仿宋_GB2312"/>
          <w:sz w:val="32"/>
          <w:szCs w:val="32"/>
        </w:rPr>
        <w:t>各单位均完成年初规定项目任务量。</w:t>
      </w:r>
    </w:p>
    <w:p w14:paraId="63613E93">
      <w:pPr>
        <w:pStyle w:val="6"/>
        <w:keepNext w:val="0"/>
        <w:keepLines w:val="0"/>
        <w:pageBreakBefore w:val="0"/>
        <w:tabs>
          <w:tab w:val="left" w:pos="2160"/>
        </w:tabs>
        <w:kinsoku/>
        <w:wordWrap/>
        <w:overflowPunct/>
        <w:topLinePunct w:val="0"/>
        <w:autoSpaceDE/>
        <w:autoSpaceDN/>
        <w:bidi w:val="0"/>
        <w:spacing w:before="117" w:line="576"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kern w:val="2"/>
          <w:position w:val="0"/>
          <w:sz w:val="32"/>
          <w:szCs w:val="32"/>
          <w:lang w:val="en-US" w:eastAsia="zh-CN"/>
        </w:rPr>
        <w:t>2.项目管理。</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年我县</w:t>
      </w:r>
      <w:r>
        <w:rPr>
          <w:rFonts w:hint="eastAsia" w:ascii="仿宋_GB2312" w:hAnsi="宋体" w:eastAsia="仿宋_GB2312" w:cs="Times New Roman"/>
          <w:color w:val="auto"/>
          <w:kern w:val="2"/>
          <w:sz w:val="32"/>
          <w:szCs w:val="32"/>
          <w:lang w:val="en-US" w:eastAsia="zh-CN" w:bidi="ar-SA"/>
        </w:rPr>
        <w:t>12项</w:t>
      </w:r>
      <w:r>
        <w:rPr>
          <w:rFonts w:hint="eastAsia" w:ascii="仿宋_GB2312" w:hAnsi="仿宋_GB2312" w:eastAsia="仿宋_GB2312" w:cs="仿宋_GB2312"/>
          <w:color w:val="auto"/>
          <w:sz w:val="32"/>
          <w:szCs w:val="32"/>
        </w:rPr>
        <w:t>基本公卫项目资金实际下达</w:t>
      </w:r>
      <w:r>
        <w:rPr>
          <w:rFonts w:hint="eastAsia" w:ascii="仿宋_GB2312" w:hAnsi="仿宋_GB2312" w:eastAsia="仿宋_GB2312" w:cs="仿宋_GB2312"/>
          <w:sz w:val="32"/>
          <w:szCs w:val="32"/>
          <w:lang w:val="en-US" w:eastAsia="zh-CN"/>
        </w:rPr>
        <w:t>651.536</w:t>
      </w:r>
      <w:r>
        <w:rPr>
          <w:rFonts w:hint="eastAsia" w:hAnsi="仿宋_GB2312" w:cs="仿宋_GB2312"/>
          <w:sz w:val="32"/>
          <w:szCs w:val="32"/>
          <w:lang w:val="en-US" w:eastAsia="zh-CN"/>
        </w:rPr>
        <w:t>万元</w:t>
      </w:r>
      <w:r>
        <w:rPr>
          <w:rFonts w:hint="eastAsia" w:ascii="仿宋_GB2312" w:hAnsi="仿宋_GB2312" w:eastAsia="仿宋_GB2312" w:cs="仿宋_GB2312"/>
          <w:sz w:val="32"/>
          <w:szCs w:val="32"/>
          <w:lang w:val="zh-CN"/>
        </w:rPr>
        <w:t>，实际</w:t>
      </w:r>
      <w:r>
        <w:rPr>
          <w:rFonts w:hint="eastAsia" w:ascii="仿宋_GB2312" w:hAnsi="仿宋_GB2312" w:eastAsia="仿宋_GB2312" w:cs="仿宋_GB2312"/>
          <w:sz w:val="32"/>
          <w:szCs w:val="32"/>
          <w:lang w:val="en-US" w:eastAsia="zh-CN"/>
        </w:rPr>
        <w:t>支付601.96326万元，</w:t>
      </w:r>
      <w:r>
        <w:rPr>
          <w:rFonts w:hint="eastAsia" w:ascii="仿宋_GB2312" w:hAnsi="仿宋_GB2312" w:eastAsia="仿宋_GB2312" w:cs="仿宋_GB2312"/>
          <w:color w:val="auto"/>
          <w:sz w:val="32"/>
          <w:szCs w:val="32"/>
          <w:lang w:val="en-US" w:eastAsia="zh-CN"/>
        </w:rPr>
        <w:t>分配至辖区医疗卫生单位及村卫生室</w:t>
      </w:r>
      <w:r>
        <w:rPr>
          <w:rFonts w:hint="eastAsia" w:ascii="仿宋_GB2312" w:hAnsi="仿宋_GB2312" w:eastAsia="仿宋_GB2312" w:cs="仿宋_GB2312"/>
          <w:sz w:val="32"/>
          <w:szCs w:val="32"/>
          <w:lang w:val="en-US" w:eastAsia="zh-CN"/>
        </w:rPr>
        <w:t>601.96326</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用于</w:t>
      </w:r>
      <w:r>
        <w:rPr>
          <w:rFonts w:hint="eastAsia" w:ascii="仿宋_GB2312" w:hAnsi="仿宋_GB2312" w:eastAsia="仿宋_GB2312" w:cs="仿宋_GB2312"/>
          <w:color w:val="auto"/>
          <w:sz w:val="32"/>
          <w:szCs w:val="32"/>
        </w:rPr>
        <w:t>开展基本公共卫生服务</w:t>
      </w:r>
      <w:r>
        <w:rPr>
          <w:rFonts w:hint="eastAsia" w:ascii="仿宋_GB2312" w:hAnsi="仿宋_GB2312" w:eastAsia="仿宋_GB2312" w:cs="仿宋_GB2312"/>
          <w:color w:val="auto"/>
          <w:sz w:val="32"/>
          <w:szCs w:val="32"/>
          <w:lang w:val="en-US" w:eastAsia="zh-CN"/>
        </w:rPr>
        <w:t>项目。</w:t>
      </w:r>
      <w:r>
        <w:rPr>
          <w:rFonts w:hint="eastAsia" w:ascii="仿宋_GB2312" w:hAnsi="仿宋_GB2312" w:eastAsia="仿宋_GB2312" w:cs="仿宋_GB2312"/>
          <w:color w:val="auto"/>
          <w:sz w:val="32"/>
          <w:szCs w:val="32"/>
        </w:rPr>
        <w:t>项目资金开支范围、标准均按照</w:t>
      </w:r>
      <w:r>
        <w:rPr>
          <w:rFonts w:hint="eastAsia" w:ascii="仿宋_GB2312" w:hAnsi="仿宋_GB2312" w:eastAsia="仿宋_GB2312" w:cs="仿宋_GB2312"/>
          <w:sz w:val="32"/>
          <w:szCs w:val="32"/>
          <w:lang w:val="zh-CN"/>
        </w:rPr>
        <w:t>根据</w:t>
      </w:r>
      <w:r>
        <w:rPr>
          <w:rFonts w:hint="eastAsia" w:ascii="仿宋_GB2312" w:hAnsi="仿宋_GB2312" w:eastAsia="仿宋_GB2312" w:cs="仿宋_GB2312"/>
          <w:kern w:val="2"/>
          <w:position w:val="0"/>
          <w:sz w:val="32"/>
          <w:szCs w:val="32"/>
          <w:lang w:val="zh-CN" w:eastAsia="zh-CN"/>
        </w:rPr>
        <w:t>财政部国家卫生健康委国家医保局国家中医药局国家疾控局关于修订基本公共卫生服务等5项补助资金管理办法的通知</w:t>
      </w:r>
      <w:r>
        <w:rPr>
          <w:rFonts w:hint="eastAsia" w:ascii="仿宋_GB2312" w:hAnsi="仿宋_GB2312" w:eastAsia="仿宋_GB2312" w:cs="仿宋_GB2312"/>
          <w:sz w:val="32"/>
          <w:szCs w:val="32"/>
          <w:lang w:val="zh-CN"/>
        </w:rPr>
        <w:t>（川社〔2</w:t>
      </w:r>
      <w:r>
        <w:rPr>
          <w:rFonts w:hint="eastAsia" w:ascii="仿宋_GB2312" w:hAnsi="仿宋_GB2312" w:eastAsia="仿宋_GB2312" w:cs="仿宋_GB2312"/>
          <w:sz w:val="32"/>
          <w:szCs w:val="32"/>
          <w:lang w:val="en-US" w:eastAsia="zh-CN"/>
        </w:rPr>
        <w:t>022</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lang w:val="zh-CN"/>
        </w:rPr>
        <w:t>号）、</w:t>
      </w:r>
      <w:r>
        <w:rPr>
          <w:rFonts w:hint="eastAsia" w:ascii="仿宋_GB2312" w:hAnsi="仿宋_GB2312" w:eastAsia="仿宋_GB2312" w:cs="仿宋_GB2312"/>
          <w:kern w:val="2"/>
          <w:position w:val="0"/>
          <w:sz w:val="32"/>
          <w:szCs w:val="32"/>
          <w:lang w:val="zh-CN" w:eastAsia="zh-CN"/>
        </w:rPr>
        <w:t>四川省财政厅卫健委医保局中医药管理局疾控局联合印发的《关于印发公共卫生服务等5项补助资金管理办法的通知》（川财社</w:t>
      </w:r>
      <w:r>
        <w:rPr>
          <w:rFonts w:hint="eastAsia" w:hAnsi="仿宋_GB2312" w:cs="仿宋_GB2312"/>
          <w:kern w:val="2"/>
          <w:position w:val="0"/>
          <w:sz w:val="32"/>
          <w:szCs w:val="32"/>
          <w:lang w:val="zh-CN" w:eastAsia="zh-CN"/>
        </w:rPr>
        <w:t>〔2025〕140号</w:t>
      </w:r>
      <w:r>
        <w:rPr>
          <w:rFonts w:hint="eastAsia" w:ascii="仿宋_GB2312" w:hAnsi="仿宋_GB2312" w:eastAsia="仿宋_GB2312" w:cs="仿宋_GB2312"/>
          <w:sz w:val="32"/>
          <w:szCs w:val="32"/>
        </w:rPr>
        <w:t>等文件规定及标准执行。支付依据合规合法，资金支付与预算相符。</w:t>
      </w:r>
    </w:p>
    <w:p w14:paraId="1BFAAAFA">
      <w:pPr>
        <w:keepNext w:val="0"/>
        <w:keepLines w:val="0"/>
        <w:pageBreakBefore w:val="0"/>
        <w:widowControl w:val="0"/>
        <w:kinsoku/>
        <w:wordWrap/>
        <w:overflowPunct/>
        <w:topLinePunct w:val="0"/>
        <w:autoSpaceDE/>
        <w:autoSpaceDN/>
        <w:bidi w:val="0"/>
        <w:spacing w:line="576" w:lineRule="exact"/>
        <w:ind w:firstLine="705"/>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3.项目实施。</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年我县</w:t>
      </w:r>
      <w:r>
        <w:rPr>
          <w:rFonts w:hint="eastAsia" w:ascii="仿宋_GB2312" w:hAnsi="宋体" w:eastAsia="仿宋_GB2312" w:cs="Times New Roman"/>
          <w:color w:val="auto"/>
          <w:kern w:val="2"/>
          <w:sz w:val="32"/>
          <w:szCs w:val="32"/>
          <w:lang w:val="en-US" w:eastAsia="zh-CN" w:bidi="ar-SA"/>
        </w:rPr>
        <w:t>12项</w:t>
      </w:r>
      <w:r>
        <w:rPr>
          <w:rFonts w:hint="eastAsia" w:ascii="仿宋_GB2312" w:hAnsi="仿宋_GB2312" w:eastAsia="仿宋_GB2312" w:cs="仿宋_GB2312"/>
          <w:color w:val="auto"/>
          <w:sz w:val="32"/>
          <w:szCs w:val="32"/>
        </w:rPr>
        <w:t>基本公卫项目资金实际下达</w:t>
      </w:r>
      <w:r>
        <w:rPr>
          <w:rFonts w:hint="eastAsia" w:ascii="仿宋_GB2312" w:hAnsi="仿宋_GB2312" w:eastAsia="仿宋_GB2312" w:cs="仿宋_GB2312"/>
          <w:sz w:val="32"/>
          <w:szCs w:val="32"/>
          <w:lang w:val="en-US" w:eastAsia="zh-CN"/>
        </w:rPr>
        <w:t>651.536万元</w:t>
      </w:r>
      <w:r>
        <w:rPr>
          <w:rFonts w:hint="eastAsia" w:ascii="仿宋_GB2312" w:hAnsi="仿宋_GB2312" w:eastAsia="仿宋_GB2312" w:cs="仿宋_GB2312"/>
          <w:sz w:val="32"/>
          <w:szCs w:val="32"/>
          <w:lang w:val="zh-CN"/>
        </w:rPr>
        <w:t>，实际</w:t>
      </w:r>
      <w:r>
        <w:rPr>
          <w:rFonts w:hint="eastAsia" w:ascii="仿宋_GB2312" w:hAnsi="仿宋_GB2312" w:eastAsia="仿宋_GB2312" w:cs="仿宋_GB2312"/>
          <w:sz w:val="32"/>
          <w:szCs w:val="32"/>
          <w:lang w:val="en-US" w:eastAsia="zh-CN"/>
        </w:rPr>
        <w:t>支付601.96326万元。</w:t>
      </w:r>
      <w:r>
        <w:rPr>
          <w:rFonts w:hint="eastAsia" w:ascii="仿宋_GB2312" w:hAnsi="仿宋_GB2312" w:eastAsia="仿宋_GB2312" w:cs="仿宋_GB2312"/>
          <w:color w:val="auto"/>
          <w:sz w:val="32"/>
          <w:szCs w:val="32"/>
          <w:lang w:val="zh-CN"/>
        </w:rPr>
        <w:t>主要用于</w:t>
      </w:r>
      <w:r>
        <w:rPr>
          <w:rFonts w:hint="eastAsia" w:ascii="仿宋_GB2312" w:hAnsi="仿宋_GB2312" w:eastAsia="仿宋_GB2312" w:cs="仿宋_GB2312"/>
          <w:color w:val="auto"/>
          <w:sz w:val="32"/>
          <w:szCs w:val="32"/>
        </w:rPr>
        <w:t>辖区医疗卫生单位及村卫生室对本辖区内居民开展基本公共卫生服务的成本支出、劳务报酬和管理经费，考虑边远地区实际困难、公共卫生督导工作、传染病防控、奖优惩劣等多种因素所产生费用等。</w:t>
      </w:r>
    </w:p>
    <w:p w14:paraId="498B9C9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4.项目结果。</w:t>
      </w:r>
      <w:r>
        <w:rPr>
          <w:rFonts w:hint="eastAsia" w:ascii="仿宋_GB2312" w:hAnsi="仿宋_GB2312" w:eastAsia="仿宋_GB2312" w:cs="仿宋_GB2312"/>
          <w:color w:val="auto"/>
          <w:sz w:val="32"/>
          <w:szCs w:val="32"/>
          <w:lang w:val="en-US" w:eastAsia="zh-CN"/>
        </w:rPr>
        <w:t>2025年我县按照要求完成了基本公共项目</w:t>
      </w:r>
    </w:p>
    <w:p w14:paraId="4F4A1DE8">
      <w:pPr>
        <w:keepNext w:val="0"/>
        <w:keepLines w:val="0"/>
        <w:pageBreakBefore w:val="0"/>
        <w:widowControl w:val="0"/>
        <w:kinsoku/>
        <w:wordWrap/>
        <w:overflowPunct/>
        <w:topLinePunct w:val="0"/>
        <w:autoSpaceDE/>
        <w:autoSpaceDN/>
        <w:bidi w:val="0"/>
        <w:adjustRightInd/>
        <w:snapToGrid/>
        <w:spacing w:line="576" w:lineRule="exact"/>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实施并支付完成达92.39%。</w:t>
      </w:r>
    </w:p>
    <w:p w14:paraId="4E8D05B6">
      <w:pPr>
        <w:keepNext w:val="0"/>
        <w:keepLines w:val="0"/>
        <w:pageBreakBefore w:val="0"/>
        <w:widowControl w:val="0"/>
        <w:numPr>
          <w:ilvl w:val="0"/>
          <w:numId w:val="9"/>
        </w:numPr>
        <w:kinsoku/>
        <w:wordWrap/>
        <w:overflowPunct/>
        <w:topLinePunct w:val="0"/>
        <w:autoSpaceDE/>
        <w:autoSpaceDN/>
        <w:bidi w:val="0"/>
        <w:adjustRightInd/>
        <w:snapToGrid/>
        <w:spacing w:line="576" w:lineRule="exact"/>
        <w:ind w:firstLine="643" w:firstLineChars="200"/>
        <w:textAlignment w:val="auto"/>
        <w:outlineLvl w:val="9"/>
        <w:rPr>
          <w:rFonts w:hint="default"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eastAsia="zh-CN"/>
        </w:rPr>
        <w:t>绩效分析。</w:t>
      </w:r>
    </w:p>
    <w:p w14:paraId="2D06A70B">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lang w:val="en-US" w:eastAsia="zh-CN"/>
        </w:rPr>
      </w:pPr>
      <w:r>
        <w:rPr>
          <w:rFonts w:hint="eastAsia" w:ascii="仿宋_GB2312" w:hAnsi="宋体" w:eastAsia="仿宋_GB2312" w:cs="Times New Roman"/>
          <w:color w:val="auto"/>
          <w:sz w:val="32"/>
          <w:szCs w:val="32"/>
          <w:lang w:val="en-US" w:eastAsia="zh-CN"/>
        </w:rPr>
        <w:t>根据三级指标值分析，已达标的指标数有：电子健康档案建档率93.01%、0—6岁儿童管理人数2584、65岁及以上居民健康管理人数7183、老年人中医药健康管理率83.93%、高血压、糖尿病患者管理率分别为71.43%和71.83%；传染病和突发公共卫生事件报告率100%；</w:t>
      </w:r>
    </w:p>
    <w:p w14:paraId="069F5679">
      <w:pPr>
        <w:keepNext w:val="0"/>
        <w:keepLines w:val="0"/>
        <w:pageBreakBefore w:val="0"/>
        <w:tabs>
          <w:tab w:val="left" w:pos="3885"/>
        </w:tabs>
        <w:kinsoku/>
        <w:wordWrap/>
        <w:overflowPunct/>
        <w:topLinePunct w:val="0"/>
        <w:autoSpaceDE/>
        <w:autoSpaceDN/>
        <w:bidi w:val="0"/>
        <w:adjustRightInd/>
        <w:snapToGrid w:val="0"/>
        <w:spacing w:line="576" w:lineRule="exact"/>
        <w:ind w:firstLine="643" w:firstLineChars="200"/>
        <w:jc w:val="left"/>
        <w:textAlignment w:val="auto"/>
        <w:rPr>
          <w:rFonts w:hint="eastAsia" w:ascii="仿宋_GB2312" w:hAnsi="宋体"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楷体_GB2312" w:hAnsi="宋体" w:eastAsia="楷体_GB2312" w:cs="Times New Roman"/>
          <w:b/>
          <w:color w:val="auto"/>
          <w:sz w:val="32"/>
          <w:szCs w:val="32"/>
          <w:highlight w:val="none"/>
          <w:u w:val="none"/>
          <w:lang w:val="zh-CN" w:eastAsia="zh-CN"/>
        </w:rPr>
        <w:t>绩效分析。</w:t>
      </w:r>
      <w:r>
        <w:rPr>
          <w:rFonts w:hint="eastAsia" w:ascii="仿宋_GB2312" w:hAnsi="宋体" w:eastAsia="仿宋_GB2312" w:cs="Times New Roman"/>
          <w:color w:val="auto"/>
          <w:sz w:val="32"/>
          <w:szCs w:val="32"/>
          <w:lang w:val="en-US" w:eastAsia="zh-CN"/>
        </w:rPr>
        <w:t>通过实施国家基本公共卫生服务项目，老百姓享受到更多的免费服务。</w:t>
      </w:r>
    </w:p>
    <w:p w14:paraId="03CA0EF8">
      <w:pPr>
        <w:pStyle w:val="6"/>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14:paraId="506F9E75">
      <w:pPr>
        <w:keepNext w:val="0"/>
        <w:keepLines w:val="0"/>
        <w:pageBreakBefore w:val="0"/>
        <w:numPr>
          <w:ilvl w:val="0"/>
          <w:numId w:val="0"/>
        </w:numPr>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本项目通过收集相关资料，对项目的立项必要性、投入经济性、目标合理性、方案可行性以及合规性实施评估。</w:t>
      </w:r>
      <w:r>
        <w:rPr>
          <w:rFonts w:hint="eastAsia" w:ascii="仿宋_GB2312" w:hAnsi="仿宋_GB2312" w:eastAsia="仿宋_GB2312" w:cs="仿宋_GB2312"/>
          <w:bCs/>
          <w:sz w:val="32"/>
          <w:szCs w:val="32"/>
          <w:lang w:eastAsia="zh-CN"/>
        </w:rPr>
        <w:t>通过实施国家基本公共卫生服务项目，老百姓享受到更多的免费服务。</w:t>
      </w:r>
      <w:r>
        <w:rPr>
          <w:rFonts w:hint="eastAsia" w:ascii="仿宋_GB2312" w:hAnsi="仿宋_GB2312" w:eastAsia="仿宋_GB2312" w:cs="仿宋_GB2312"/>
          <w:b/>
          <w:bCs w:val="0"/>
          <w:sz w:val="32"/>
          <w:szCs w:val="32"/>
          <w:lang w:eastAsia="zh-CN"/>
        </w:rPr>
        <w:t>一是</w:t>
      </w:r>
      <w:r>
        <w:rPr>
          <w:rFonts w:hint="eastAsia" w:ascii="仿宋_GB2312" w:hAnsi="仿宋_GB2312" w:eastAsia="仿宋_GB2312" w:cs="仿宋_GB2312"/>
          <w:bCs/>
          <w:sz w:val="32"/>
          <w:szCs w:val="32"/>
          <w:lang w:eastAsia="zh-CN"/>
        </w:rPr>
        <w:t>居民个人健康档案进一步完善。</w:t>
      </w:r>
      <w:r>
        <w:rPr>
          <w:rFonts w:hint="eastAsia" w:ascii="仿宋_GB2312" w:hAnsi="仿宋_GB2312" w:eastAsia="仿宋_GB2312" w:cs="仿宋_GB2312"/>
          <w:b/>
          <w:bCs w:val="0"/>
          <w:sz w:val="32"/>
          <w:szCs w:val="32"/>
          <w:lang w:eastAsia="zh-CN"/>
        </w:rPr>
        <w:t>二是</w:t>
      </w:r>
      <w:r>
        <w:rPr>
          <w:rFonts w:hint="eastAsia" w:ascii="仿宋_GB2312" w:hAnsi="仿宋_GB2312" w:eastAsia="仿宋_GB2312" w:cs="仿宋_GB2312"/>
          <w:bCs/>
          <w:sz w:val="32"/>
          <w:szCs w:val="32"/>
          <w:lang w:eastAsia="zh-CN"/>
        </w:rPr>
        <w:t>儿童、孕产妇和老年人等重点人群获得更多的保健服务项目。</w:t>
      </w:r>
      <w:r>
        <w:rPr>
          <w:rFonts w:hint="eastAsia" w:ascii="仿宋_GB2312" w:hAnsi="仿宋_GB2312" w:eastAsia="仿宋_GB2312" w:cs="仿宋_GB2312"/>
          <w:b/>
          <w:bCs w:val="0"/>
          <w:sz w:val="32"/>
          <w:szCs w:val="32"/>
          <w:lang w:eastAsia="zh-CN"/>
        </w:rPr>
        <w:t>三是</w:t>
      </w:r>
      <w:r>
        <w:rPr>
          <w:rFonts w:hint="eastAsia" w:ascii="仿宋_GB2312" w:hAnsi="仿宋_GB2312" w:eastAsia="仿宋_GB2312" w:cs="仿宋_GB2312"/>
          <w:bCs/>
          <w:sz w:val="32"/>
          <w:szCs w:val="32"/>
          <w:lang w:eastAsia="zh-CN"/>
        </w:rPr>
        <w:t>重点疾病患病人群管理进一步加强。</w:t>
      </w:r>
      <w:r>
        <w:rPr>
          <w:rFonts w:hint="eastAsia" w:ascii="仿宋_GB2312" w:hAnsi="仿宋_GB2312" w:eastAsia="仿宋_GB2312" w:cs="仿宋_GB2312"/>
          <w:b/>
          <w:bCs w:val="0"/>
          <w:sz w:val="32"/>
          <w:szCs w:val="32"/>
          <w:lang w:eastAsia="zh-CN"/>
        </w:rPr>
        <w:t>四是</w:t>
      </w:r>
      <w:r>
        <w:rPr>
          <w:rFonts w:hint="eastAsia" w:ascii="仿宋_GB2312" w:hAnsi="仿宋_GB2312" w:eastAsia="仿宋_GB2312" w:cs="仿宋_GB2312"/>
          <w:bCs/>
          <w:sz w:val="32"/>
          <w:szCs w:val="32"/>
          <w:lang w:eastAsia="zh-CN"/>
        </w:rPr>
        <w:t>基层医疗卫生机构公共卫生服务功能进一步强化。</w:t>
      </w:r>
      <w:r>
        <w:rPr>
          <w:rFonts w:hint="eastAsia" w:ascii="仿宋_GB2312" w:hAnsi="仿宋_GB2312" w:eastAsia="仿宋_GB2312" w:cs="仿宋_GB2312"/>
          <w:b/>
          <w:bCs w:val="0"/>
          <w:sz w:val="32"/>
          <w:szCs w:val="32"/>
          <w:lang w:eastAsia="zh-CN"/>
        </w:rPr>
        <w:t>五是</w:t>
      </w:r>
      <w:r>
        <w:rPr>
          <w:rFonts w:hint="eastAsia" w:ascii="仿宋_GB2312" w:hAnsi="仿宋_GB2312" w:eastAsia="仿宋_GB2312" w:cs="仿宋_GB2312"/>
          <w:bCs/>
          <w:sz w:val="32"/>
          <w:szCs w:val="32"/>
          <w:lang w:val="zh-CN" w:eastAsia="zh-CN"/>
        </w:rPr>
        <w:t>受益群体满意度不断提高。</w:t>
      </w:r>
    </w:p>
    <w:p w14:paraId="33E2EE69">
      <w:pPr>
        <w:pStyle w:val="6"/>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14:paraId="683BF513">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1.</w:t>
      </w:r>
      <w:r>
        <w:rPr>
          <w:rFonts w:hint="eastAsia" w:ascii="仿宋_GB2312" w:hAnsi="宋体" w:eastAsia="仿宋_GB2312" w:cs="Times New Roman"/>
          <w:color w:val="auto"/>
          <w:sz w:val="32"/>
          <w:szCs w:val="32"/>
        </w:rPr>
        <w:t>三级公共卫生管理和服务网络虽然已经基本建成，但仍然没有充分发挥相应的功能作用，特别是个别项目单位对公共卫生工作依然认识不到位。工作配合不够，在一定程度上影响了工作质量。</w:t>
      </w:r>
    </w:p>
    <w:p w14:paraId="2F807BC7">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2.</w:t>
      </w:r>
      <w:r>
        <w:rPr>
          <w:rFonts w:hint="eastAsia" w:ascii="仿宋_GB2312" w:hAnsi="宋体" w:eastAsia="仿宋_GB2312" w:cs="Times New Roman"/>
          <w:color w:val="auto"/>
          <w:sz w:val="32"/>
          <w:szCs w:val="32"/>
        </w:rPr>
        <w:t>基层医疗卫生单位卫技人员短缺，公共卫生人员严重不足，难以保证工作成效；从检查中发现个别医生的业务知识不够全面，工作消极被动，责任心不强，缺乏主动上门意识。</w:t>
      </w:r>
    </w:p>
    <w:p w14:paraId="7C02A14A">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3.</w:t>
      </w:r>
      <w:r>
        <w:rPr>
          <w:rFonts w:hint="eastAsia" w:ascii="仿宋_GB2312" w:hAnsi="宋体" w:eastAsia="仿宋_GB2312" w:cs="Times New Roman"/>
          <w:color w:val="auto"/>
          <w:sz w:val="32"/>
          <w:szCs w:val="32"/>
        </w:rPr>
        <w:t>基本公共卫生服务质量有待进一步提高。各项目单位虽然都比较积极地开展了公共卫生工作，但也发现个别单位的工作流于形式，没有结合自身实际制定出有效的实施方案、考核方案，对村卫生室的指导力度不够，部分项目单位的管理指导人员业务水平不高，很难起到有效的指导和督导作用。多年来，尽管各级政府和有关部门采取了多项措施，不断改善基层医疗卫生机构人才结构和服务条件，基层卫生服务能力有了较大提高。但由于基层医疗卫生机构人员数量相对不足，人员素质与实际需要还有一定差距等原因，基本公共卫生服务质量还有待进一步提高。</w:t>
      </w:r>
    </w:p>
    <w:p w14:paraId="7A51552D">
      <w:pPr>
        <w:pStyle w:val="6"/>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14:paraId="1C834D40">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1.</w:t>
      </w:r>
      <w:r>
        <w:rPr>
          <w:rFonts w:hint="eastAsia" w:ascii="仿宋_GB2312" w:hAnsi="宋体" w:eastAsia="仿宋_GB2312" w:cs="Times New Roman"/>
          <w:color w:val="auto"/>
          <w:sz w:val="32"/>
          <w:szCs w:val="32"/>
        </w:rPr>
        <w:t>加强后续教育和工作督导，有效开展工作。参照《国家公共卫生服务规范2017第三版》标准，根据自身工作实际，结合实情，不断充实完善符合本地实际工作需求的《基本公共卫生服务规范》及</w:t>
      </w:r>
      <w:r>
        <w:rPr>
          <w:rFonts w:hint="eastAsia" w:ascii="仿宋_GB2312" w:hAnsi="宋体" w:eastAsia="仿宋_GB2312" w:cs="Times New Roman"/>
          <w:color w:val="auto"/>
          <w:sz w:val="32"/>
          <w:szCs w:val="32"/>
          <w:lang w:eastAsia="zh-CN"/>
        </w:rPr>
        <w:t>指导、绩效考评</w:t>
      </w:r>
      <w:r>
        <w:rPr>
          <w:rFonts w:hint="eastAsia" w:ascii="仿宋_GB2312" w:hAnsi="宋体" w:eastAsia="仿宋_GB2312" w:cs="Times New Roman"/>
          <w:color w:val="auto"/>
          <w:sz w:val="32"/>
          <w:szCs w:val="32"/>
        </w:rPr>
        <w:t>，便于指导本地公共卫生服务项目落到实处，起到实效。</w:t>
      </w:r>
    </w:p>
    <w:p w14:paraId="5504DFCD">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2.</w:t>
      </w:r>
      <w:r>
        <w:rPr>
          <w:rFonts w:hint="eastAsia" w:ascii="仿宋_GB2312" w:hAnsi="宋体" w:eastAsia="仿宋_GB2312" w:cs="Times New Roman"/>
          <w:color w:val="auto"/>
          <w:sz w:val="32"/>
          <w:szCs w:val="32"/>
        </w:rPr>
        <w:t>夯实基础，提高整体素质。推进基本公共卫生服务信息化建设进程，提高全民健康档案的使用率。</w:t>
      </w:r>
      <w:r>
        <w:rPr>
          <w:rFonts w:hint="eastAsia" w:ascii="仿宋_GB2312" w:hAnsi="宋体" w:eastAsia="仿宋_GB2312" w:cs="Times New Roman"/>
          <w:color w:val="auto"/>
          <w:sz w:val="32"/>
          <w:szCs w:val="32"/>
          <w:lang w:eastAsia="zh-CN"/>
        </w:rPr>
        <w:t>积极开展</w:t>
      </w:r>
      <w:r>
        <w:rPr>
          <w:rFonts w:hint="eastAsia" w:ascii="仿宋_GB2312" w:hAnsi="宋体" w:eastAsia="仿宋_GB2312" w:cs="Times New Roman"/>
          <w:color w:val="auto"/>
          <w:sz w:val="32"/>
          <w:szCs w:val="32"/>
        </w:rPr>
        <w:t>《国家基本公共卫生服务规范》培训学习，组织公卫人员进行培训，真正吃透标准内容，准确理解工作要求，确保事事有人做，项项能做好，基层医务人员的培训覆盖率达100%，确保基本公共卫生服务项目的高效实施。</w:t>
      </w:r>
    </w:p>
    <w:p w14:paraId="7B024249">
      <w:pPr>
        <w:keepNext w:val="0"/>
        <w:keepLines w:val="0"/>
        <w:pageBreakBefore w:val="0"/>
        <w:numPr>
          <w:ilvl w:val="0"/>
          <w:numId w:val="0"/>
        </w:numPr>
        <w:kinsoku/>
        <w:wordWrap/>
        <w:overflowPunct/>
        <w:topLinePunct w:val="0"/>
        <w:autoSpaceDE/>
        <w:autoSpaceDN/>
        <w:bidi w:val="0"/>
        <w:adjustRightInd w:val="0"/>
        <w:snapToGrid w:val="0"/>
        <w:spacing w:line="576" w:lineRule="exact"/>
        <w:ind w:firstLine="640" w:firstLineChars="200"/>
        <w:textAlignment w:val="auto"/>
        <w:rPr>
          <w:rFonts w:hint="default" w:ascii="仿宋_GB2312" w:hAnsi="仿宋_GB2312" w:cs="仿宋_GB2312"/>
          <w:color w:val="auto"/>
          <w:kern w:val="0"/>
          <w:sz w:val="32"/>
          <w:szCs w:val="32"/>
          <w:highlight w:val="none"/>
          <w:u w:val="none"/>
          <w:shd w:val="clear" w:color="auto" w:fill="FFFFFF"/>
          <w:lang w:val="zh-CN" w:eastAsia="zh-CN"/>
        </w:rPr>
      </w:pPr>
      <w:r>
        <w:rPr>
          <w:rFonts w:hint="eastAsia" w:ascii="仿宋_GB2312" w:hAnsi="宋体" w:eastAsia="仿宋_GB2312" w:cs="Times New Roman"/>
          <w:color w:val="auto"/>
          <w:sz w:val="32"/>
          <w:szCs w:val="32"/>
          <w:lang w:val="en-US" w:eastAsia="zh-CN"/>
        </w:rPr>
        <w:t>3.</w:t>
      </w:r>
      <w:r>
        <w:rPr>
          <w:rFonts w:hint="eastAsia" w:ascii="仿宋_GB2312" w:hAnsi="宋体" w:eastAsia="仿宋_GB2312" w:cs="Times New Roman"/>
          <w:color w:val="auto"/>
          <w:sz w:val="32"/>
          <w:szCs w:val="32"/>
        </w:rPr>
        <w:t>加强管理，动员全民参与。采取多渠道、多形式、多途径广泛深入宣传基本公共卫生服务项目的目的和意义，提高百姓的知晓率，让广大人民群众积极主动参与居民建档，</w:t>
      </w:r>
      <w:r>
        <w:rPr>
          <w:rFonts w:hint="eastAsia" w:ascii="仿宋_GB2312" w:hAnsi="宋体" w:eastAsia="仿宋_GB2312" w:cs="Times New Roman"/>
          <w:color w:val="auto"/>
          <w:sz w:val="32"/>
          <w:szCs w:val="32"/>
          <w:lang w:eastAsia="zh-CN"/>
        </w:rPr>
        <w:t>增强</w:t>
      </w:r>
      <w:r>
        <w:rPr>
          <w:rFonts w:hint="eastAsia" w:ascii="仿宋_GB2312" w:hAnsi="宋体" w:eastAsia="仿宋_GB2312" w:cs="Times New Roman"/>
          <w:color w:val="auto"/>
          <w:sz w:val="32"/>
          <w:szCs w:val="32"/>
        </w:rPr>
        <w:t>防病</w:t>
      </w:r>
      <w:r>
        <w:rPr>
          <w:rFonts w:hint="eastAsia" w:ascii="仿宋_GB2312" w:hAnsi="宋体" w:eastAsia="仿宋_GB2312" w:cs="Times New Roman"/>
          <w:color w:val="auto"/>
          <w:sz w:val="32"/>
          <w:szCs w:val="32"/>
        </w:rPr>
        <w:fldChar w:fldCharType="begin"/>
      </w:r>
      <w:r>
        <w:rPr>
          <w:rFonts w:hint="eastAsia" w:ascii="仿宋_GB2312" w:hAnsi="宋体" w:eastAsia="仿宋_GB2312" w:cs="Times New Roman"/>
          <w:color w:val="auto"/>
          <w:sz w:val="32"/>
          <w:szCs w:val="32"/>
        </w:rPr>
        <w:instrText xml:space="preserve"> HYPERLINK "http://cpro.baidu.com/cpro/ui/uijs.php?adclass=0&amp;app_id=0&amp;c=news&amp;cf=1001&amp;ch=0&amp;di=128&amp;fv=0&amp;is_app=0&amp;jk=d157d8588a65df34&amp;k=%BD%A1%BF%B5&amp;k0=%BD%A1%BF%B5&amp;kdi0=0&amp;luki=1&amp;n=10&amp;p=baidu&amp;q=baidusiteerror_cpr&amp;rb=1&amp;rs=1&amp;seller_id=1&amp;sid=34df658a58d857d1&amp;ssp2=1&amp;stid=0&amp;t=tpclicked3_hc&amp;tu=u1698901&amp;u=http%3A%2F%2F3y%2Euu456%2Ecom%2Fbp%2D8sae6fdcads1f01dc281f1cb%2D1%2Ehtml&amp;urlid=0" \t "_blank" </w:instrText>
      </w:r>
      <w:r>
        <w:rPr>
          <w:rFonts w:hint="eastAsia" w:ascii="仿宋_GB2312" w:hAnsi="宋体" w:eastAsia="仿宋_GB2312" w:cs="Times New Roman"/>
          <w:color w:val="auto"/>
          <w:sz w:val="32"/>
          <w:szCs w:val="32"/>
        </w:rPr>
        <w:fldChar w:fldCharType="separate"/>
      </w:r>
      <w:r>
        <w:rPr>
          <w:rFonts w:hint="eastAsia" w:ascii="仿宋_GB2312" w:hAnsi="宋体" w:eastAsia="仿宋_GB2312" w:cs="Times New Roman"/>
          <w:color w:val="auto"/>
          <w:sz w:val="32"/>
          <w:szCs w:val="32"/>
        </w:rPr>
        <w:t>健康</w:t>
      </w:r>
      <w:r>
        <w:rPr>
          <w:rFonts w:hint="eastAsia" w:ascii="仿宋_GB2312" w:hAnsi="宋体" w:eastAsia="仿宋_GB2312" w:cs="Times New Roman"/>
          <w:color w:val="auto"/>
          <w:sz w:val="32"/>
          <w:szCs w:val="32"/>
        </w:rPr>
        <w:fldChar w:fldCharType="end"/>
      </w:r>
      <w:r>
        <w:rPr>
          <w:rFonts w:hint="eastAsia" w:ascii="仿宋_GB2312" w:hAnsi="宋体" w:eastAsia="仿宋_GB2312" w:cs="Times New Roman"/>
          <w:color w:val="auto"/>
          <w:sz w:val="32"/>
          <w:szCs w:val="32"/>
        </w:rPr>
        <w:t>意识。</w:t>
      </w:r>
    </w:p>
    <w:p w14:paraId="0C979B38">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6330C3E5">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06872AE0">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312ABD7D">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0D498DC9">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09BFB145">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723728E9">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7DD6A9B5">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2B5C7383">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4E3564AD">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6EEFDEDA">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3E61BB8D">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62CC6F84">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7DB23CC7">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025F7A6E">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134FE689">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142FC98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绩效评</w:t>
      </w:r>
      <w:r>
        <w:rPr>
          <w:rFonts w:hint="eastAsia" w:ascii="方正小标宋简体" w:eastAsia="方正小标宋简体"/>
          <w:sz w:val="44"/>
          <w:szCs w:val="44"/>
          <w:lang w:val="en-US" w:eastAsia="zh-CN"/>
        </w:rPr>
        <w:t>价</w:t>
      </w:r>
      <w:r>
        <w:rPr>
          <w:rFonts w:hint="eastAsia" w:ascii="方正小标宋简体" w:eastAsia="方正小标宋简体"/>
          <w:sz w:val="44"/>
          <w:szCs w:val="44"/>
        </w:rPr>
        <w:t>报告</w:t>
      </w:r>
    </w:p>
    <w:p w14:paraId="32625E94">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eastAsia="方正小标宋简体"/>
          <w:sz w:val="44"/>
          <w:szCs w:val="44"/>
          <w:lang w:eastAsia="zh-CN"/>
        </w:rPr>
      </w:pPr>
      <w:r>
        <w:rPr>
          <w:rFonts w:hint="eastAsia" w:ascii="方正小标宋简体" w:eastAsia="方正小标宋简体"/>
          <w:sz w:val="44"/>
          <w:szCs w:val="44"/>
          <w:lang w:eastAsia="zh-CN"/>
        </w:rPr>
        <w:t>（</w:t>
      </w:r>
      <w:r>
        <w:rPr>
          <w:rFonts w:hint="eastAsia" w:ascii="方正小标宋简体" w:eastAsia="方正小标宋简体"/>
          <w:sz w:val="44"/>
          <w:szCs w:val="44"/>
          <w:lang w:val="en-US" w:eastAsia="zh-CN"/>
        </w:rPr>
        <w:t>2025年重精“以奖代补”</w:t>
      </w:r>
      <w:r>
        <w:rPr>
          <w:rFonts w:hint="eastAsia" w:ascii="方正小标宋简体" w:eastAsia="方正小标宋简体"/>
          <w:sz w:val="44"/>
          <w:szCs w:val="44"/>
          <w:lang w:eastAsia="zh-CN"/>
        </w:rPr>
        <w:t>）</w:t>
      </w:r>
    </w:p>
    <w:p w14:paraId="315B328E">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14:paraId="0F6C9D80">
      <w:pPr>
        <w:keepNext w:val="0"/>
        <w:keepLines w:val="0"/>
        <w:pageBreakBefore w:val="0"/>
        <w:kinsoku/>
        <w:wordWrap/>
        <w:overflowPunct/>
        <w:topLinePunct w:val="0"/>
        <w:autoSpaceDE/>
        <w:autoSpaceDN/>
        <w:bidi w:val="0"/>
        <w:adjustRightInd w:val="0"/>
        <w:snapToGrid w:val="0"/>
        <w:spacing w:line="576" w:lineRule="exact"/>
        <w:ind w:firstLine="643" w:firstLineChars="200"/>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14:paraId="004D67FD">
      <w:pPr>
        <w:keepNext w:val="0"/>
        <w:keepLines w:val="0"/>
        <w:pageBreakBefore w:val="0"/>
        <w:kinsoku/>
        <w:wordWrap/>
        <w:overflowPunct/>
        <w:topLinePunct w:val="0"/>
        <w:autoSpaceDE/>
        <w:autoSpaceDN/>
        <w:bidi w:val="0"/>
        <w:spacing w:line="576" w:lineRule="exact"/>
        <w:ind w:firstLine="680"/>
        <w:textAlignment w:val="auto"/>
        <w:rPr>
          <w:rFonts w:hint="eastAsia" w:ascii="仿宋_GB2312" w:hAnsi="Times New Roman" w:eastAsia="仿宋_GB2312" w:cs="Times New Roman"/>
          <w:sz w:val="32"/>
          <w:szCs w:val="32"/>
        </w:rPr>
      </w:pPr>
      <w:r>
        <w:rPr>
          <w:rFonts w:hint="eastAsia" w:ascii="仿宋_GB2312" w:hAnsi="Times New Roman" w:eastAsia="仿宋_GB2312" w:cs="Times New Roman"/>
          <w:b/>
          <w:bCs/>
          <w:sz w:val="32"/>
          <w:szCs w:val="32"/>
          <w:lang w:val="en-US" w:eastAsia="zh-CN"/>
        </w:rPr>
        <w:t>1.设立背景。</w:t>
      </w:r>
      <w:r>
        <w:rPr>
          <w:rFonts w:hint="eastAsia" w:ascii="仿宋_GB2312" w:hAnsi="Times New Roman" w:eastAsia="仿宋_GB2312" w:cs="Times New Roman"/>
          <w:sz w:val="32"/>
          <w:szCs w:val="32"/>
        </w:rPr>
        <w:t>按照</w:t>
      </w:r>
      <w:r>
        <w:rPr>
          <w:rFonts w:hint="eastAsia" w:ascii="仿宋_GB2312" w:eastAsia="仿宋_GB2312" w:cs="Times New Roman"/>
          <w:sz w:val="32"/>
          <w:szCs w:val="32"/>
          <w:lang w:eastAsia="zh-CN"/>
        </w:rPr>
        <w:t>党的十八届三中全会关于</w:t>
      </w:r>
      <w:r>
        <w:rPr>
          <w:rFonts w:hint="eastAsia" w:ascii="仿宋_GB2312" w:hAnsi="Times New Roman" w:eastAsia="仿宋_GB2312" w:cs="Times New Roman"/>
          <w:sz w:val="32"/>
          <w:szCs w:val="32"/>
        </w:rPr>
        <w:t>创新社会治理体制，健全公共安全体系，加强社会治安综合治理，创新立体化社会治安防控体系的要求，为激励严重精神障碍患者监护人更好地履行看护管理责任，防止肇事肇祸事件发生，确保对严重精神障碍患者监护人落实监护责任进行“以奖代补”工作措施落到实处，进一步做好我县严重精神障碍患者救助救治工作，有效对冲社会风险，提升群众安全感。</w:t>
      </w:r>
    </w:p>
    <w:p w14:paraId="47AD424C">
      <w:pPr>
        <w:keepNext w:val="0"/>
        <w:keepLines w:val="0"/>
        <w:pageBreakBefore w:val="0"/>
        <w:kinsoku/>
        <w:wordWrap/>
        <w:overflowPunct/>
        <w:topLinePunct w:val="0"/>
        <w:autoSpaceDE/>
        <w:autoSpaceDN/>
        <w:bidi w:val="0"/>
        <w:spacing w:line="576" w:lineRule="exact"/>
        <w:ind w:firstLine="680"/>
        <w:textAlignment w:val="auto"/>
        <w:rPr>
          <w:rFonts w:hint="eastAsia" w:ascii="仿宋_GB2312" w:hAnsi="Times New Roman" w:eastAsia="仿宋_GB2312" w:cs="Times New Roman"/>
          <w:sz w:val="32"/>
          <w:szCs w:val="32"/>
          <w:lang w:val="zh-CN"/>
        </w:rPr>
      </w:pPr>
      <w:r>
        <w:rPr>
          <w:rFonts w:hint="eastAsia" w:ascii="仿宋_GB2312" w:hAnsi="Times New Roman" w:eastAsia="仿宋_GB2312" w:cs="Times New Roman"/>
          <w:b/>
          <w:bCs/>
          <w:sz w:val="32"/>
          <w:szCs w:val="32"/>
          <w:lang w:val="en-US" w:eastAsia="zh-CN"/>
        </w:rPr>
        <w:t>2.</w:t>
      </w:r>
      <w:r>
        <w:rPr>
          <w:rFonts w:hint="eastAsia" w:ascii="仿宋_GB2312" w:hAnsi="Times New Roman" w:eastAsia="仿宋_GB2312" w:cs="Times New Roman"/>
          <w:b/>
          <w:bCs/>
          <w:sz w:val="32"/>
          <w:szCs w:val="32"/>
          <w:lang w:val="zh-CN"/>
        </w:rPr>
        <w:t>主管部门职能。</w:t>
      </w:r>
      <w:r>
        <w:rPr>
          <w:rFonts w:hint="eastAsia" w:ascii="仿宋_GB2312" w:hAnsi="Times New Roman" w:eastAsia="仿宋_GB2312" w:cs="Times New Roman"/>
          <w:sz w:val="32"/>
          <w:szCs w:val="32"/>
          <w:lang w:val="zh-CN"/>
        </w:rPr>
        <w:t>松潘县卫生健康局是全县严重精神障碍患者监护人以奖代补专项资金（以下简称</w:t>
      </w:r>
      <w:r>
        <w:rPr>
          <w:rFonts w:hint="eastAsia" w:ascii="仿宋_GB2312" w:hAnsi="Times New Roman" w:eastAsia="仿宋_GB2312" w:cs="Times New Roman"/>
          <w:sz w:val="32"/>
          <w:szCs w:val="32"/>
          <w:lang w:val="en-US" w:eastAsia="zh-CN"/>
        </w:rPr>
        <w:t>重精“以奖代补”</w:t>
      </w:r>
      <w:r>
        <w:rPr>
          <w:rFonts w:hint="eastAsia" w:ascii="仿宋_GB2312" w:hAnsi="Times New Roman" w:eastAsia="仿宋_GB2312" w:cs="Times New Roman"/>
          <w:sz w:val="32"/>
          <w:szCs w:val="32"/>
          <w:lang w:val="zh-CN"/>
        </w:rPr>
        <w:t>资金）的主管部门，主要对</w:t>
      </w:r>
      <w:r>
        <w:rPr>
          <w:rFonts w:hint="eastAsia" w:ascii="仿宋_GB2312" w:hAnsi="Times New Roman" w:eastAsia="仿宋_GB2312" w:cs="Times New Roman"/>
          <w:sz w:val="32"/>
          <w:szCs w:val="32"/>
          <w:lang w:val="en-US" w:eastAsia="zh-CN"/>
        </w:rPr>
        <w:t>重精“以奖代补”</w:t>
      </w:r>
      <w:r>
        <w:rPr>
          <w:rFonts w:hint="eastAsia" w:ascii="仿宋_GB2312" w:hAnsi="Times New Roman" w:eastAsia="仿宋_GB2312" w:cs="Times New Roman"/>
          <w:sz w:val="32"/>
          <w:szCs w:val="32"/>
          <w:lang w:val="zh-CN"/>
        </w:rPr>
        <w:t>资金的使用、资金安排、预算执行情况、决算情况进行监督。负责审核</w:t>
      </w:r>
      <w:r>
        <w:rPr>
          <w:rFonts w:hint="eastAsia" w:ascii="仿宋_GB2312" w:hAnsi="Times New Roman" w:eastAsia="仿宋_GB2312" w:cs="Times New Roman"/>
          <w:sz w:val="32"/>
          <w:szCs w:val="32"/>
          <w:lang w:val="en-US" w:eastAsia="zh-CN"/>
        </w:rPr>
        <w:t>重精“以奖代补”</w:t>
      </w:r>
      <w:r>
        <w:rPr>
          <w:rFonts w:hint="eastAsia" w:ascii="仿宋_GB2312" w:hAnsi="Times New Roman" w:eastAsia="仿宋_GB2312" w:cs="Times New Roman"/>
          <w:sz w:val="32"/>
          <w:szCs w:val="32"/>
          <w:lang w:val="zh-CN"/>
        </w:rPr>
        <w:t>资金支出申请材料的全面性、真实性，定期和不定期对</w:t>
      </w:r>
      <w:r>
        <w:rPr>
          <w:rFonts w:hint="eastAsia" w:ascii="仿宋_GB2312" w:hAnsi="Times New Roman" w:eastAsia="仿宋_GB2312" w:cs="Times New Roman"/>
          <w:sz w:val="32"/>
          <w:szCs w:val="32"/>
          <w:lang w:val="en-US" w:eastAsia="zh-CN"/>
        </w:rPr>
        <w:t>重精“以奖代补”</w:t>
      </w:r>
      <w:r>
        <w:rPr>
          <w:rFonts w:hint="eastAsia" w:ascii="仿宋_GB2312" w:hAnsi="Times New Roman" w:eastAsia="仿宋_GB2312" w:cs="Times New Roman"/>
          <w:sz w:val="32"/>
          <w:szCs w:val="32"/>
          <w:lang w:val="zh-CN"/>
        </w:rPr>
        <w:t>资金的运行进行监督检查。</w:t>
      </w:r>
    </w:p>
    <w:p w14:paraId="679B0386">
      <w:pPr>
        <w:keepNext w:val="0"/>
        <w:keepLines w:val="0"/>
        <w:pageBreakBefore w:val="0"/>
        <w:kinsoku/>
        <w:wordWrap/>
        <w:overflowPunct/>
        <w:topLinePunct w:val="0"/>
        <w:autoSpaceDE/>
        <w:autoSpaceDN/>
        <w:bidi w:val="0"/>
        <w:spacing w:line="576" w:lineRule="exact"/>
        <w:ind w:firstLine="68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b/>
          <w:bCs/>
          <w:sz w:val="32"/>
          <w:szCs w:val="32"/>
          <w:lang w:val="en-US" w:eastAsia="zh-CN"/>
        </w:rPr>
        <w:t>3.</w:t>
      </w:r>
      <w:r>
        <w:rPr>
          <w:rFonts w:hint="eastAsia" w:ascii="仿宋_GB2312" w:hAnsi="Times New Roman" w:eastAsia="仿宋_GB2312" w:cs="Times New Roman"/>
          <w:b/>
          <w:bCs/>
          <w:sz w:val="32"/>
          <w:szCs w:val="32"/>
          <w:lang w:val="zh-CN"/>
        </w:rPr>
        <w:t>项目立项、资金申报的依据。</w:t>
      </w:r>
      <w:r>
        <w:rPr>
          <w:rFonts w:hint="eastAsia" w:ascii="仿宋_GB2312" w:hAnsi="Times New Roman" w:eastAsia="仿宋_GB2312" w:cs="Times New Roman"/>
          <w:sz w:val="32"/>
          <w:szCs w:val="32"/>
        </w:rPr>
        <w:t>根据</w:t>
      </w:r>
      <w:r>
        <w:rPr>
          <w:rFonts w:hint="eastAsia" w:ascii="仿宋_GB2312" w:hAnsi="Times New Roman" w:eastAsia="仿宋_GB2312" w:cs="Times New Roman"/>
          <w:sz w:val="32"/>
          <w:szCs w:val="32"/>
          <w:lang w:eastAsia="zh-CN"/>
        </w:rPr>
        <w:t>严重精神障碍</w:t>
      </w:r>
      <w:r>
        <w:rPr>
          <w:rFonts w:hint="eastAsia" w:ascii="仿宋_GB2312" w:hAnsi="Times New Roman" w:eastAsia="仿宋_GB2312" w:cs="Times New Roman"/>
          <w:sz w:val="32"/>
          <w:szCs w:val="32"/>
        </w:rPr>
        <w:t>患者监护人以奖代补县级配套资金》（</w:t>
      </w:r>
      <w:r>
        <w:rPr>
          <w:rFonts w:hint="eastAsia" w:ascii="仿宋_GB2312" w:hAnsi="Times New Roman" w:eastAsia="仿宋_GB2312" w:cs="Times New Roman"/>
          <w:sz w:val="32"/>
          <w:szCs w:val="32"/>
          <w:lang w:val="en-US" w:eastAsia="zh-CN"/>
        </w:rPr>
        <w:t>松</w:t>
      </w:r>
      <w:r>
        <w:rPr>
          <w:rFonts w:hint="eastAsia" w:ascii="仿宋_GB2312" w:hAnsi="Times New Roman" w:eastAsia="仿宋_GB2312" w:cs="Times New Roman"/>
          <w:sz w:val="32"/>
          <w:szCs w:val="32"/>
        </w:rPr>
        <w:t>财社〔2</w:t>
      </w:r>
      <w:r>
        <w:rPr>
          <w:rFonts w:hint="eastAsia" w:ascii="仿宋_GB2312" w:hAnsi="Times New Roman" w:eastAsia="仿宋_GB2312" w:cs="Times New Roman"/>
          <w:sz w:val="32"/>
          <w:szCs w:val="32"/>
          <w:lang w:val="en-US" w:eastAsia="zh-CN"/>
        </w:rPr>
        <w:t>025</w:t>
      </w:r>
      <w:r>
        <w:rPr>
          <w:rFonts w:hint="eastAsia" w:ascii="仿宋_GB2312" w:hAnsi="Times New Roman" w:eastAsia="仿宋_GB2312" w:cs="Times New Roman"/>
          <w:sz w:val="32"/>
          <w:szCs w:val="32"/>
        </w:rPr>
        <w:t>〕</w:t>
      </w:r>
      <w:r>
        <w:rPr>
          <w:rFonts w:hint="eastAsia" w:ascii="仿宋_GB2312" w:hAnsi="Times New Roman" w:eastAsia="仿宋_GB2312" w:cs="Times New Roman"/>
          <w:sz w:val="32"/>
          <w:szCs w:val="32"/>
          <w:lang w:val="en-US" w:eastAsia="zh-CN"/>
        </w:rPr>
        <w:t>10</w:t>
      </w:r>
      <w:r>
        <w:rPr>
          <w:rFonts w:hint="eastAsia" w:ascii="仿宋_GB2312" w:hAnsi="Times New Roman" w:eastAsia="仿宋_GB2312" w:cs="Times New Roman"/>
          <w:sz w:val="32"/>
          <w:szCs w:val="32"/>
        </w:rPr>
        <w:t>号）</w:t>
      </w:r>
      <w:r>
        <w:rPr>
          <w:rFonts w:hint="eastAsia" w:ascii="仿宋_GB2312" w:hAnsi="Times New Roman" w:eastAsia="仿宋_GB2312" w:cs="Times New Roman"/>
          <w:sz w:val="32"/>
          <w:szCs w:val="32"/>
          <w:lang w:eastAsia="zh-CN"/>
        </w:rPr>
        <w:t>、202</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lang w:eastAsia="zh-CN"/>
        </w:rPr>
        <w:t>年卫生健康专项州级补助资金：严重精神障碍患者监护人以奖代补（阿州</w:t>
      </w:r>
      <w:r>
        <w:rPr>
          <w:rFonts w:hint="eastAsia" w:ascii="仿宋_GB2312" w:hAnsi="Times New Roman" w:eastAsia="仿宋_GB2312" w:cs="Times New Roman"/>
          <w:sz w:val="32"/>
          <w:szCs w:val="32"/>
        </w:rPr>
        <w:t>财社〔2</w:t>
      </w:r>
      <w:r>
        <w:rPr>
          <w:rFonts w:hint="eastAsia" w:ascii="仿宋_GB2312" w:hAnsi="Times New Roman" w:eastAsia="仿宋_GB2312" w:cs="Times New Roman"/>
          <w:sz w:val="32"/>
          <w:szCs w:val="32"/>
          <w:lang w:val="en-US" w:eastAsia="zh-CN"/>
        </w:rPr>
        <w:t>025</w:t>
      </w:r>
      <w:r>
        <w:rPr>
          <w:rFonts w:hint="eastAsia" w:ascii="仿宋_GB2312" w:hAnsi="Times New Roman" w:eastAsia="仿宋_GB2312" w:cs="Times New Roman"/>
          <w:sz w:val="32"/>
          <w:szCs w:val="32"/>
        </w:rPr>
        <w:t>〕</w:t>
      </w:r>
      <w:r>
        <w:rPr>
          <w:rFonts w:hint="eastAsia" w:ascii="仿宋_GB2312" w:hAnsi="Times New Roman" w:eastAsia="仿宋_GB2312" w:cs="Times New Roman"/>
          <w:sz w:val="32"/>
          <w:szCs w:val="32"/>
          <w:lang w:val="en-US" w:eastAsia="zh-CN"/>
        </w:rPr>
        <w:t>52</w:t>
      </w:r>
      <w:r>
        <w:rPr>
          <w:rFonts w:hint="eastAsia" w:ascii="仿宋_GB2312" w:hAnsi="Times New Roman" w:eastAsia="仿宋_GB2312" w:cs="Times New Roman"/>
          <w:sz w:val="32"/>
          <w:szCs w:val="32"/>
        </w:rPr>
        <w:t>号</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文件立项、</w:t>
      </w:r>
      <w:r>
        <w:rPr>
          <w:rFonts w:hint="eastAsia" w:ascii="仿宋_GB2312" w:hAnsi="Times New Roman" w:eastAsia="仿宋_GB2312" w:cs="Times New Roman"/>
          <w:sz w:val="32"/>
          <w:szCs w:val="32"/>
          <w:lang w:eastAsia="zh-CN"/>
        </w:rPr>
        <w:t>申报。</w:t>
      </w:r>
    </w:p>
    <w:p w14:paraId="0DD0A13F">
      <w:pPr>
        <w:keepNext w:val="0"/>
        <w:keepLines w:val="0"/>
        <w:pageBreakBefore w:val="0"/>
        <w:kinsoku/>
        <w:wordWrap/>
        <w:overflowPunct/>
        <w:topLinePunct w:val="0"/>
        <w:autoSpaceDE/>
        <w:autoSpaceDN/>
        <w:bidi w:val="0"/>
        <w:adjustRightInd w:val="0"/>
        <w:snapToGrid w:val="0"/>
        <w:spacing w:line="576" w:lineRule="exact"/>
        <w:ind w:firstLine="643" w:firstLineChars="200"/>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p>
    <w:p w14:paraId="4370700E">
      <w:pPr>
        <w:keepNext w:val="0"/>
        <w:keepLines w:val="0"/>
        <w:pageBreakBefore w:val="0"/>
        <w:numPr>
          <w:ilvl w:val="0"/>
          <w:numId w:val="0"/>
        </w:numPr>
        <w:kinsoku/>
        <w:wordWrap/>
        <w:overflowPunct/>
        <w:topLinePunct w:val="0"/>
        <w:autoSpaceDE/>
        <w:autoSpaceDN/>
        <w:bidi w:val="0"/>
        <w:spacing w:line="576" w:lineRule="exact"/>
        <w:ind w:firstLine="640" w:firstLineChars="200"/>
        <w:textAlignment w:val="auto"/>
        <w:rPr>
          <w:rFonts w:ascii="仿宋_GB2312" w:eastAsia="仿宋_GB2312"/>
          <w:sz w:val="32"/>
          <w:szCs w:val="32"/>
        </w:rPr>
      </w:pPr>
      <w:r>
        <w:rPr>
          <w:rFonts w:hint="eastAsia" w:ascii="仿宋_GB2312" w:eastAsia="仿宋_GB2312"/>
          <w:sz w:val="32"/>
          <w:szCs w:val="32"/>
        </w:rPr>
        <w:t>在一个看护管理年度内履行看护管理责任，并按照要求被村（社区）个案管理小组全部认定，被监护人未发生肇事肇祸行为的，监护人可以足额领取全年补贴。</w:t>
      </w:r>
    </w:p>
    <w:p w14:paraId="46713045">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eastAsia="仿宋_GB2312"/>
          <w:sz w:val="32"/>
          <w:szCs w:val="32"/>
        </w:rPr>
      </w:pPr>
      <w:r>
        <w:rPr>
          <w:rFonts w:hint="eastAsia" w:ascii="仿宋_GB2312" w:eastAsia="仿宋_GB2312"/>
          <w:sz w:val="32"/>
          <w:szCs w:val="32"/>
        </w:rPr>
        <w:t>被监护人建档后，监护人可向现居住地的村（社区）个案小组提交《领取年度以奖代补资金的申请》，领取《看护管理记录手册》。待提交申请一年期满后，村（社区）个案管理小组将《看护管理记录手册》统一交民政部门。民政部门对《看护管理记录手册》认定签字情况进行审核，向审核通过的监护人发放以奖代补资金。</w:t>
      </w:r>
    </w:p>
    <w:p w14:paraId="0FC9022D">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rPr>
          <w:rFonts w:hint="eastAsia" w:ascii="仿宋_GB2312" w:hAnsi="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p>
    <w:p w14:paraId="23D756C9">
      <w:pPr>
        <w:keepNext w:val="0"/>
        <w:keepLines w:val="0"/>
        <w:pageBreakBefore w:val="0"/>
        <w:kinsoku/>
        <w:wordWrap/>
        <w:overflowPunct/>
        <w:topLinePunct w:val="0"/>
        <w:autoSpaceDE/>
        <w:autoSpaceDN/>
        <w:bidi w:val="0"/>
        <w:spacing w:line="576" w:lineRule="exact"/>
        <w:ind w:firstLine="800" w:firstLineChars="250"/>
        <w:textAlignment w:val="auto"/>
        <w:rPr>
          <w:rFonts w:hint="eastAsia" w:ascii="仿宋_GB2312" w:hAnsi="宋体" w:eastAsia="仿宋_GB2312" w:cs="宋体"/>
          <w:kern w:val="0"/>
          <w:sz w:val="32"/>
          <w:szCs w:val="32"/>
          <w:lang w:val="zh-CN"/>
        </w:rPr>
      </w:pPr>
      <w:r>
        <w:rPr>
          <w:rFonts w:hint="eastAsia" w:ascii="仿宋_GB2312" w:hAnsi="宋体" w:eastAsia="仿宋_GB2312" w:cs="宋体"/>
          <w:color w:val="auto"/>
          <w:kern w:val="0"/>
          <w:sz w:val="32"/>
          <w:szCs w:val="32"/>
          <w:lang w:val="en-US" w:eastAsia="zh-CN"/>
        </w:rPr>
        <w:t>2024</w:t>
      </w:r>
      <w:r>
        <w:rPr>
          <w:rFonts w:hint="eastAsia" w:ascii="仿宋_GB2312" w:hAnsi="宋体" w:eastAsia="仿宋_GB2312" w:cs="宋体"/>
          <w:color w:val="auto"/>
          <w:kern w:val="0"/>
          <w:sz w:val="32"/>
          <w:szCs w:val="32"/>
        </w:rPr>
        <w:t>年底</w:t>
      </w:r>
      <w:r>
        <w:rPr>
          <w:rFonts w:hint="eastAsia" w:ascii="仿宋_GB2312" w:hAnsi="宋体" w:eastAsia="仿宋_GB2312" w:cs="宋体"/>
          <w:color w:val="auto"/>
          <w:kern w:val="0"/>
          <w:sz w:val="32"/>
          <w:szCs w:val="32"/>
          <w:lang w:eastAsia="zh-CN"/>
        </w:rPr>
        <w:t>前</w:t>
      </w:r>
      <w:r>
        <w:rPr>
          <w:rFonts w:hint="eastAsia" w:ascii="仿宋_GB2312" w:hAnsi="宋体" w:eastAsia="仿宋_GB2312" w:cs="宋体"/>
          <w:color w:val="auto"/>
          <w:kern w:val="0"/>
          <w:sz w:val="32"/>
          <w:szCs w:val="32"/>
        </w:rPr>
        <w:t>全县</w:t>
      </w:r>
      <w:r>
        <w:rPr>
          <w:rFonts w:hint="eastAsia" w:ascii="仿宋_GB2312" w:hAnsi="宋体" w:eastAsia="仿宋_GB2312" w:cs="宋体"/>
          <w:color w:val="auto"/>
          <w:kern w:val="0"/>
          <w:sz w:val="32"/>
          <w:szCs w:val="32"/>
          <w:lang w:eastAsia="zh-CN"/>
        </w:rPr>
        <w:t>确诊并在“四川精卫”系统管理的</w:t>
      </w:r>
      <w:r>
        <w:rPr>
          <w:rFonts w:hint="eastAsia" w:ascii="仿宋_GB2312" w:hAnsi="宋体" w:eastAsia="仿宋_GB2312" w:cs="宋体"/>
          <w:color w:val="auto"/>
          <w:kern w:val="0"/>
          <w:sz w:val="32"/>
          <w:szCs w:val="32"/>
        </w:rPr>
        <w:t>严重精神障碍患者</w:t>
      </w:r>
      <w:r>
        <w:rPr>
          <w:rFonts w:hint="eastAsia" w:ascii="仿宋_GB2312" w:hAnsi="宋体" w:cs="宋体"/>
          <w:color w:val="auto"/>
          <w:kern w:val="0"/>
          <w:sz w:val="32"/>
          <w:szCs w:val="32"/>
          <w:lang w:val="en-US" w:eastAsia="zh-CN"/>
        </w:rPr>
        <w:t>144</w:t>
      </w:r>
      <w:r>
        <w:rPr>
          <w:rFonts w:hint="eastAsia" w:ascii="仿宋_GB2312" w:hAnsi="宋体" w:eastAsia="仿宋_GB2312" w:cs="宋体"/>
          <w:color w:val="auto"/>
          <w:kern w:val="0"/>
          <w:sz w:val="32"/>
          <w:szCs w:val="32"/>
        </w:rPr>
        <w:t>人</w:t>
      </w:r>
      <w:r>
        <w:rPr>
          <w:rFonts w:hint="eastAsia" w:ascii="仿宋_GB2312" w:hAnsi="宋体" w:eastAsia="仿宋_GB2312" w:cs="宋体"/>
          <w:color w:val="auto"/>
          <w:kern w:val="0"/>
          <w:sz w:val="32"/>
          <w:szCs w:val="32"/>
          <w:lang w:val="en-US" w:eastAsia="zh-CN"/>
        </w:rPr>
        <w:t xml:space="preserve"> </w:t>
      </w:r>
      <w:r>
        <w:rPr>
          <w:rFonts w:hint="eastAsia" w:ascii="仿宋_GB2312" w:hAnsi="宋体" w:eastAsia="仿宋_GB2312" w:cs="宋体"/>
          <w:color w:val="auto"/>
          <w:kern w:val="0"/>
          <w:sz w:val="32"/>
          <w:szCs w:val="32"/>
        </w:rPr>
        <w:t>。</w:t>
      </w:r>
      <w:r>
        <w:rPr>
          <w:rFonts w:hint="eastAsia" w:ascii="仿宋_GB2312" w:hAnsi="宋体" w:eastAsia="仿宋_GB2312" w:cs="宋体"/>
          <w:kern w:val="0"/>
          <w:sz w:val="32"/>
          <w:szCs w:val="32"/>
        </w:rPr>
        <w:t>对</w:t>
      </w:r>
      <w:r>
        <w:rPr>
          <w:rFonts w:hint="eastAsia" w:ascii="仿宋_GB2312" w:hAnsi="宋体" w:eastAsia="仿宋_GB2312" w:cs="宋体"/>
          <w:color w:val="auto"/>
          <w:kern w:val="0"/>
          <w:sz w:val="32"/>
          <w:szCs w:val="32"/>
        </w:rPr>
        <w:t>严重精神障碍</w:t>
      </w:r>
      <w:r>
        <w:rPr>
          <w:rFonts w:hint="eastAsia" w:ascii="仿宋_GB2312" w:hAnsi="宋体" w:eastAsia="仿宋_GB2312" w:cs="宋体"/>
          <w:kern w:val="0"/>
          <w:sz w:val="32"/>
          <w:szCs w:val="32"/>
        </w:rPr>
        <w:t>患者未发生肇事肇祸行为的，给予监护人2000元/年</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人的奖励。奖补标准为监护人在一个看护年度内，被监护人未发生肇事肇祸行为，可领取2000元补贴。根据《关于下达2017年严重精神障碍患者监护人实施以奖代补州级补助资金的通知》(阿州财社﹝2017﹞46号)，</w:t>
      </w:r>
      <w:r>
        <w:rPr>
          <w:rFonts w:hint="eastAsia" w:ascii="仿宋_GB2312" w:hAnsi="宋体" w:eastAsia="仿宋_GB2312" w:cs="宋体"/>
          <w:kern w:val="0"/>
          <w:sz w:val="32"/>
          <w:szCs w:val="32"/>
          <w:lang w:eastAsia="zh-CN"/>
        </w:rPr>
        <w:t>州级承担</w:t>
      </w:r>
      <w:r>
        <w:rPr>
          <w:rFonts w:hint="eastAsia" w:ascii="仿宋_GB2312" w:hAnsi="宋体" w:eastAsia="仿宋_GB2312" w:cs="宋体"/>
          <w:kern w:val="0"/>
          <w:sz w:val="32"/>
          <w:szCs w:val="32"/>
          <w:lang w:val="en-US" w:eastAsia="zh-CN"/>
        </w:rPr>
        <w:t>30%补助资金，</w:t>
      </w:r>
      <w:r>
        <w:rPr>
          <w:rFonts w:hint="eastAsia" w:ascii="仿宋_GB2312" w:hAnsi="宋体" w:eastAsia="仿宋_GB2312" w:cs="宋体"/>
          <w:kern w:val="0"/>
          <w:sz w:val="32"/>
          <w:szCs w:val="32"/>
          <w:lang w:eastAsia="zh-CN"/>
        </w:rPr>
        <w:t>县级承担</w:t>
      </w:r>
      <w:r>
        <w:rPr>
          <w:rFonts w:hint="eastAsia" w:ascii="仿宋_GB2312" w:hAnsi="宋体" w:eastAsia="仿宋_GB2312" w:cs="宋体"/>
          <w:kern w:val="0"/>
          <w:sz w:val="32"/>
          <w:szCs w:val="32"/>
          <w:lang w:val="en-US" w:eastAsia="zh-CN"/>
        </w:rPr>
        <w:t>70%补助资金，合计补助资金到位29.22万元。</w:t>
      </w:r>
    </w:p>
    <w:p w14:paraId="658EFADE">
      <w:pPr>
        <w:keepNext w:val="0"/>
        <w:keepLines w:val="0"/>
        <w:pageBreakBefore w:val="0"/>
        <w:numPr>
          <w:ilvl w:val="0"/>
          <w:numId w:val="0"/>
        </w:numPr>
        <w:kinsoku/>
        <w:wordWrap/>
        <w:overflowPunct/>
        <w:topLinePunct w:val="0"/>
        <w:autoSpaceDE/>
        <w:autoSpaceDN/>
        <w:bidi w:val="0"/>
        <w:adjustRightInd w:val="0"/>
        <w:snapToGrid w:val="0"/>
        <w:spacing w:line="576" w:lineRule="exact"/>
        <w:ind w:leftChars="200"/>
        <w:textAlignment w:val="auto"/>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w:t>
      </w:r>
      <w:r>
        <w:rPr>
          <w:rFonts w:hint="eastAsia" w:ascii="楷体_GB2312" w:hAnsi="宋体" w:eastAsia="楷体_GB2312" w:cs="Times New Roman"/>
          <w:b/>
          <w:color w:val="auto"/>
          <w:sz w:val="32"/>
          <w:szCs w:val="32"/>
          <w:highlight w:val="none"/>
          <w:u w:val="none"/>
          <w:lang w:val="en-US" w:eastAsia="zh-CN"/>
        </w:rPr>
        <w:t>四）</w:t>
      </w:r>
      <w:r>
        <w:rPr>
          <w:rFonts w:hint="eastAsia" w:ascii="楷体_GB2312" w:hAnsi="宋体" w:eastAsia="楷体_GB2312" w:cs="Times New Roman"/>
          <w:b/>
          <w:color w:val="auto"/>
          <w:sz w:val="32"/>
          <w:szCs w:val="32"/>
          <w:highlight w:val="none"/>
          <w:u w:val="none"/>
          <w:lang w:val="zh-CN" w:eastAsia="zh-CN"/>
        </w:rPr>
        <w:t>项目绩效目标设置。</w:t>
      </w:r>
    </w:p>
    <w:p w14:paraId="7007AF86">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default"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zh-CN"/>
        </w:rPr>
        <w:t>根据中共松潘县委政法委员会印发的《松潘县202</w:t>
      </w:r>
      <w:r>
        <w:rPr>
          <w:rFonts w:hint="eastAsia" w:ascii="仿宋_GB2312" w:hAnsi="宋体" w:eastAsia="仿宋_GB2312" w:cs="宋体"/>
          <w:kern w:val="0"/>
          <w:sz w:val="32"/>
          <w:szCs w:val="32"/>
          <w:lang w:val="en-US" w:eastAsia="zh-CN"/>
        </w:rPr>
        <w:t>5</w:t>
      </w:r>
      <w:r>
        <w:rPr>
          <w:rFonts w:hint="eastAsia" w:ascii="仿宋_GB2312" w:hAnsi="宋体" w:eastAsia="仿宋_GB2312" w:cs="宋体"/>
          <w:kern w:val="0"/>
          <w:sz w:val="32"/>
          <w:szCs w:val="32"/>
          <w:lang w:val="zh-CN"/>
        </w:rPr>
        <w:t>年严重精神障碍患者监护人实施“以奖代补”补助资金方案》的通知，对</w:t>
      </w:r>
      <w:r>
        <w:rPr>
          <w:rFonts w:hint="eastAsia" w:ascii="仿宋_GB2312" w:hAnsi="宋体" w:eastAsia="仿宋_GB2312" w:cs="宋体"/>
          <w:kern w:val="0"/>
          <w:sz w:val="32"/>
          <w:szCs w:val="32"/>
        </w:rPr>
        <w:t>监护人在一个看护年度内，被监护人未发生肇事肇祸行为，给予监护人2000元/年</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人的奖励</w:t>
      </w:r>
      <w:r>
        <w:rPr>
          <w:rFonts w:hint="eastAsia" w:ascii="仿宋_GB2312" w:hAnsi="宋体" w:eastAsia="仿宋_GB2312" w:cs="宋体"/>
          <w:kern w:val="0"/>
          <w:sz w:val="32"/>
          <w:szCs w:val="32"/>
          <w:lang w:eastAsia="zh-CN"/>
        </w:rPr>
        <w:t>，不足一个年度按照实际监管月算（中途死亡或者迁出患者）</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zh-CN"/>
        </w:rPr>
        <w:t>我县完成了</w:t>
      </w:r>
      <w:r>
        <w:rPr>
          <w:rFonts w:hint="eastAsia" w:ascii="仿宋_GB2312" w:hAnsi="宋体" w:eastAsia="仿宋_GB2312" w:cs="宋体"/>
          <w:kern w:val="0"/>
          <w:sz w:val="32"/>
          <w:szCs w:val="32"/>
          <w:lang w:val="en-US" w:eastAsia="zh-CN"/>
        </w:rPr>
        <w:t>142</w:t>
      </w:r>
      <w:r>
        <w:rPr>
          <w:rFonts w:hint="eastAsia" w:ascii="仿宋_GB2312" w:hAnsi="宋体" w:eastAsia="仿宋_GB2312" w:cs="宋体"/>
          <w:kern w:val="0"/>
          <w:sz w:val="32"/>
          <w:szCs w:val="32"/>
          <w:lang w:val="zh-CN"/>
        </w:rPr>
        <w:t>名患者监护人“以奖代补”补助资金</w:t>
      </w:r>
      <w:r>
        <w:rPr>
          <w:rFonts w:hint="eastAsia" w:ascii="仿宋_GB2312" w:hAnsi="宋体" w:eastAsia="仿宋_GB2312" w:cs="宋体"/>
          <w:kern w:val="0"/>
          <w:sz w:val="32"/>
          <w:szCs w:val="32"/>
          <w:lang w:val="en-US" w:eastAsia="zh-CN"/>
        </w:rPr>
        <w:t>28.4万元。</w:t>
      </w:r>
    </w:p>
    <w:p w14:paraId="248367F0">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14:paraId="6FD99B2A">
      <w:pPr>
        <w:keepNext w:val="0"/>
        <w:keepLines w:val="0"/>
        <w:pageBreakBefore w:val="0"/>
        <w:widowControl w:val="0"/>
        <w:kinsoku/>
        <w:wordWrap/>
        <w:overflowPunct/>
        <w:topLinePunct w:val="0"/>
        <w:autoSpaceDE/>
        <w:autoSpaceDN/>
        <w:bidi w:val="0"/>
        <w:spacing w:line="576" w:lineRule="exact"/>
        <w:ind w:firstLine="640"/>
        <w:textAlignment w:val="auto"/>
        <w:outlineLvl w:val="9"/>
        <w:rPr>
          <w:rFonts w:hint="eastAsia" w:eastAsia="仿宋_GB2312" w:cs="Times New Roman"/>
          <w:szCs w:val="32"/>
          <w:lang w:eastAsia="zh-CN"/>
        </w:rPr>
      </w:pPr>
      <w:r>
        <w:rPr>
          <w:rFonts w:hint="eastAsia" w:ascii="楷体_GB2312" w:hAnsi="宋体" w:eastAsia="楷体_GB2312"/>
          <w:b/>
          <w:color w:val="auto"/>
          <w:sz w:val="32"/>
          <w:szCs w:val="32"/>
          <w:highlight w:val="none"/>
          <w:u w:val="none"/>
          <w:lang w:val="zh-CN"/>
        </w:rPr>
        <w:t>（一）评价目的。</w:t>
      </w:r>
      <w:r>
        <w:rPr>
          <w:rFonts w:hint="eastAsia" w:ascii="仿宋_GB2312" w:hAnsi="宋体" w:eastAsia="仿宋_GB2312" w:cs="宋体"/>
          <w:kern w:val="0"/>
          <w:sz w:val="32"/>
          <w:szCs w:val="32"/>
        </w:rPr>
        <w:t>有效防范严重精神障碍患者肇事肇祸发生，落实监护人责任，维护公共安全</w:t>
      </w:r>
      <w:r>
        <w:rPr>
          <w:rFonts w:hint="eastAsia" w:ascii="仿宋_GB2312" w:hAnsi="宋体" w:cs="宋体"/>
          <w:kern w:val="0"/>
          <w:sz w:val="32"/>
          <w:szCs w:val="32"/>
          <w:lang w:eastAsia="zh-CN"/>
        </w:rPr>
        <w:t>。</w:t>
      </w:r>
    </w:p>
    <w:p w14:paraId="703F7287">
      <w:pPr>
        <w:keepNext w:val="0"/>
        <w:keepLines w:val="0"/>
        <w:pageBreakBefore w:val="0"/>
        <w:kinsoku/>
        <w:wordWrap/>
        <w:overflowPunct/>
        <w:topLinePunct w:val="0"/>
        <w:autoSpaceDE/>
        <w:autoSpaceDN/>
        <w:bidi w:val="0"/>
        <w:adjustRightInd w:val="0"/>
        <w:snapToGrid w:val="0"/>
        <w:spacing w:line="576" w:lineRule="exact"/>
        <w:ind w:firstLine="643" w:firstLineChars="200"/>
        <w:textAlignment w:val="auto"/>
        <w:rPr>
          <w:rFonts w:hint="default" w:ascii="仿宋_GB2312" w:hAnsi="宋体" w:eastAsia="仿宋_GB2312" w:cs="宋体"/>
          <w:kern w:val="0"/>
          <w:sz w:val="32"/>
          <w:szCs w:val="32"/>
          <w:lang w:val="en-US" w:eastAsia="zh-CN"/>
        </w:rPr>
      </w:pPr>
      <w:r>
        <w:rPr>
          <w:rFonts w:hint="eastAsia" w:ascii="楷体_GB2312" w:hAnsi="宋体" w:eastAsia="楷体_GB2312"/>
          <w:b/>
          <w:color w:val="auto"/>
          <w:sz w:val="32"/>
          <w:szCs w:val="32"/>
          <w:highlight w:val="none"/>
          <w:u w:val="none"/>
          <w:lang w:val="zh-CN"/>
        </w:rPr>
        <w:t>（二）预设问题及评价重点。</w:t>
      </w:r>
      <w:r>
        <w:rPr>
          <w:rFonts w:hint="eastAsia" w:ascii="仿宋_GB2312" w:hAnsi="宋体" w:eastAsia="仿宋_GB2312" w:cs="宋体"/>
          <w:kern w:val="0"/>
          <w:sz w:val="32"/>
          <w:szCs w:val="32"/>
          <w:lang w:val="en-US" w:eastAsia="zh-CN"/>
        </w:rPr>
        <w:t>2025</w:t>
      </w:r>
      <w:r>
        <w:rPr>
          <w:rFonts w:hint="eastAsia" w:ascii="仿宋_GB2312" w:hAnsi="宋体" w:eastAsia="仿宋_GB2312" w:cs="宋体"/>
          <w:kern w:val="0"/>
          <w:sz w:val="32"/>
          <w:szCs w:val="32"/>
        </w:rPr>
        <w:t>年严重精神障碍患者</w:t>
      </w:r>
      <w:r>
        <w:rPr>
          <w:rFonts w:hint="eastAsia" w:ascii="仿宋_GB2312" w:hAnsi="宋体" w:eastAsia="仿宋_GB2312" w:cs="宋体"/>
          <w:kern w:val="0"/>
          <w:sz w:val="32"/>
          <w:szCs w:val="32"/>
          <w:lang w:eastAsia="zh-CN"/>
        </w:rPr>
        <w:t>系统在管</w:t>
      </w:r>
      <w:r>
        <w:rPr>
          <w:rFonts w:hint="eastAsia" w:ascii="仿宋_GB2312" w:hAnsi="宋体" w:eastAsia="仿宋_GB2312" w:cs="宋体"/>
          <w:kern w:val="0"/>
          <w:sz w:val="32"/>
          <w:szCs w:val="32"/>
          <w:lang w:val="en-US" w:eastAsia="zh-CN"/>
        </w:rPr>
        <w:t>144人，144人</w:t>
      </w:r>
      <w:r>
        <w:rPr>
          <w:rFonts w:hint="eastAsia" w:ascii="仿宋_GB2312" w:hAnsi="宋体" w:eastAsia="仿宋_GB2312" w:cs="宋体"/>
          <w:kern w:val="0"/>
          <w:sz w:val="32"/>
          <w:szCs w:val="32"/>
        </w:rPr>
        <w:t>未发生肇事肇祸行为的，给予监护人2000元/年</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人的奖励</w:t>
      </w:r>
      <w:r>
        <w:rPr>
          <w:rFonts w:hint="eastAsia" w:ascii="仿宋_GB2312" w:hAnsi="宋体" w:eastAsia="仿宋_GB2312" w:cs="宋体"/>
          <w:kern w:val="0"/>
          <w:sz w:val="32"/>
          <w:szCs w:val="32"/>
          <w:lang w:eastAsia="zh-CN"/>
        </w:rPr>
        <w:t>，其中</w:t>
      </w:r>
      <w:r>
        <w:rPr>
          <w:rFonts w:hint="eastAsia" w:ascii="仿宋_GB2312" w:hAnsi="宋体" w:eastAsia="仿宋_GB2312" w:cs="宋体"/>
          <w:kern w:val="0"/>
          <w:sz w:val="32"/>
          <w:szCs w:val="32"/>
          <w:lang w:val="en-US" w:eastAsia="zh-CN"/>
        </w:rPr>
        <w:t>2人主动放弃奖补资金。</w:t>
      </w:r>
      <w:r>
        <w:rPr>
          <w:rFonts w:hint="eastAsia" w:ascii="仿宋_GB2312" w:hAnsi="宋体" w:eastAsia="仿宋_GB2312" w:cs="宋体"/>
          <w:kern w:val="0"/>
          <w:sz w:val="32"/>
          <w:szCs w:val="32"/>
        </w:rPr>
        <w:t>有效防范严重精神障碍患者肇事肇祸发生，落实监护人责任，维护公共安全</w:t>
      </w:r>
      <w:r>
        <w:rPr>
          <w:rFonts w:hint="eastAsia" w:ascii="仿宋_GB2312" w:hAnsi="宋体" w:eastAsia="仿宋_GB2312" w:cs="宋体"/>
          <w:kern w:val="0"/>
          <w:sz w:val="32"/>
          <w:szCs w:val="32"/>
          <w:lang w:eastAsia="zh-CN"/>
        </w:rPr>
        <w:t>。</w:t>
      </w:r>
    </w:p>
    <w:p w14:paraId="59EBE05A">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textAlignment w:val="auto"/>
        <w:outlineLvl w:val="9"/>
        <w:rPr>
          <w:rFonts w:hint="eastAsia" w:ascii="仿宋_GB2312" w:hAnsi="宋体" w:eastAsia="仿宋_GB2312" w:cs="宋体"/>
          <w:kern w:val="0"/>
          <w:sz w:val="32"/>
          <w:szCs w:val="32"/>
          <w:lang w:val="en-US" w:eastAsia="zh-CN"/>
        </w:rPr>
      </w:pPr>
      <w:r>
        <w:rPr>
          <w:rFonts w:hint="eastAsia" w:ascii="楷体_GB2312" w:hAnsi="宋体" w:eastAsia="楷体_GB2312"/>
          <w:b/>
          <w:color w:val="auto"/>
          <w:sz w:val="32"/>
          <w:szCs w:val="32"/>
          <w:highlight w:val="none"/>
          <w:u w:val="none"/>
          <w:lang w:val="zh-CN"/>
        </w:rPr>
        <w:t>（三）评价选点。</w:t>
      </w:r>
      <w:r>
        <w:rPr>
          <w:rFonts w:hint="eastAsia" w:ascii="仿宋_GB2312" w:hAnsi="宋体" w:eastAsia="仿宋_GB2312" w:cs="宋体"/>
          <w:kern w:val="0"/>
          <w:sz w:val="32"/>
          <w:szCs w:val="32"/>
          <w:lang w:val="zh-CN" w:eastAsia="zh-CN"/>
        </w:rPr>
        <w:t>项目绩效自评所抽样点位情况：燕云乡在册在管严重精神障碍患者</w:t>
      </w:r>
      <w:r>
        <w:rPr>
          <w:rFonts w:hint="eastAsia" w:ascii="仿宋_GB2312" w:hAnsi="宋体" w:eastAsia="仿宋_GB2312" w:cs="宋体"/>
          <w:kern w:val="0"/>
          <w:sz w:val="32"/>
          <w:szCs w:val="32"/>
          <w:lang w:val="en-US" w:eastAsia="zh-CN"/>
        </w:rPr>
        <w:t>3人，完成“以奖代补”政策补助资金3人，全年度均无肇事肇祸发生，监护人落实看护责任。</w:t>
      </w:r>
    </w:p>
    <w:p w14:paraId="24C72EC9">
      <w:pPr>
        <w:keepNext w:val="0"/>
        <w:keepLines w:val="0"/>
        <w:pageBreakBefore w:val="0"/>
        <w:kinsoku/>
        <w:wordWrap/>
        <w:overflowPunct/>
        <w:topLinePunct w:val="0"/>
        <w:autoSpaceDE/>
        <w:autoSpaceDN/>
        <w:bidi w:val="0"/>
        <w:spacing w:line="576" w:lineRule="exact"/>
        <w:ind w:firstLine="680"/>
        <w:textAlignment w:val="auto"/>
        <w:rPr>
          <w:rFonts w:hint="eastAsia" w:eastAsia="仿宋_GB2312" w:cs="Times New Roman"/>
          <w:szCs w:val="32"/>
          <w:lang w:eastAsia="zh-CN"/>
        </w:rPr>
      </w:pPr>
      <w:r>
        <w:rPr>
          <w:rFonts w:hint="eastAsia" w:ascii="楷体_GB2312" w:hAnsi="宋体" w:eastAsia="楷体_GB2312"/>
          <w:b/>
          <w:color w:val="auto"/>
          <w:sz w:val="32"/>
          <w:szCs w:val="32"/>
          <w:highlight w:val="none"/>
          <w:u w:val="none"/>
          <w:lang w:val="zh-CN"/>
        </w:rPr>
        <w:t>（四）评价方法。</w:t>
      </w:r>
      <w:r>
        <w:rPr>
          <w:rFonts w:hint="eastAsia" w:ascii="仿宋_GB2312" w:eastAsia="仿宋_GB2312"/>
          <w:sz w:val="32"/>
          <w:szCs w:val="32"/>
        </w:rPr>
        <w:t>对履行看护管理责任情况的认定</w:t>
      </w:r>
      <w:r>
        <w:rPr>
          <w:rFonts w:hint="eastAsia" w:ascii="仿宋_GB2312"/>
          <w:sz w:val="32"/>
          <w:szCs w:val="32"/>
          <w:lang w:eastAsia="zh-CN"/>
        </w:rPr>
        <w:t>，</w:t>
      </w:r>
      <w:r>
        <w:rPr>
          <w:rFonts w:hint="eastAsia" w:ascii="仿宋_GB2312" w:hAnsi="Times New Roman" w:eastAsia="仿宋_GB2312" w:cs="Times New Roman"/>
          <w:sz w:val="32"/>
          <w:szCs w:val="32"/>
          <w:lang w:eastAsia="zh-CN"/>
        </w:rPr>
        <w:t>由</w:t>
      </w:r>
      <w:r>
        <w:rPr>
          <w:rFonts w:hint="eastAsia" w:ascii="仿宋_GB2312" w:eastAsia="仿宋_GB2312"/>
          <w:sz w:val="32"/>
          <w:szCs w:val="32"/>
        </w:rPr>
        <w:t>居住地村（社区）个案管理小组成员自接到监护人申请后每三个月对监护人看护管理情况进行审查认定，并在《看护管理记录手册》相应栏目中签字。被监护人建档后，监护人可向现居住地的村（社区）个案小组提交《领取年度以奖代补资金的申请》，领取《看护管理记录手册》。待提交申请一年期满后，村（社区）个案管理小组将《看护管理记录手册》统一交民政部门。民政部门对《看护管理记录手册》认定签字情况进行审核，向审核通过的监护人发放以奖代补资金。</w:t>
      </w:r>
    </w:p>
    <w:p w14:paraId="44D9CE89">
      <w:pPr>
        <w:keepNext w:val="0"/>
        <w:keepLines w:val="0"/>
        <w:pageBreakBefore w:val="0"/>
        <w:kinsoku/>
        <w:wordWrap/>
        <w:overflowPunct/>
        <w:topLinePunct w:val="0"/>
        <w:autoSpaceDE/>
        <w:autoSpaceDN/>
        <w:bidi w:val="0"/>
        <w:spacing w:line="576" w:lineRule="exact"/>
        <w:ind w:firstLine="680"/>
        <w:textAlignment w:val="auto"/>
        <w:rPr>
          <w:rFonts w:hint="eastAsia" w:ascii="仿宋_GB2312" w:hAnsi="Times New Roman" w:eastAsia="仿宋_GB2312" w:cs="Times New Roman"/>
          <w:sz w:val="32"/>
          <w:szCs w:val="32"/>
          <w:lang w:eastAsia="zh-CN"/>
        </w:rPr>
      </w:pPr>
      <w:r>
        <w:rPr>
          <w:rFonts w:hint="eastAsia" w:ascii="楷体_GB2312" w:hAnsi="宋体" w:eastAsia="楷体_GB2312"/>
          <w:b/>
          <w:color w:val="auto"/>
          <w:sz w:val="32"/>
          <w:szCs w:val="32"/>
          <w:highlight w:val="none"/>
          <w:u w:val="none"/>
          <w:lang w:val="zh-CN"/>
        </w:rPr>
        <w:t>（五）评价组织。</w:t>
      </w:r>
      <w:r>
        <w:rPr>
          <w:rFonts w:hint="eastAsia" w:ascii="仿宋_GB2312" w:hAnsi="Times New Roman" w:eastAsia="仿宋_GB2312" w:cs="Times New Roman"/>
          <w:b/>
          <w:bCs/>
          <w:sz w:val="32"/>
          <w:szCs w:val="32"/>
          <w:lang w:eastAsia="zh-CN"/>
        </w:rPr>
        <w:t>一</w:t>
      </w:r>
      <w:r>
        <w:rPr>
          <w:rFonts w:hint="eastAsia" w:ascii="仿宋_GB2312" w:hAnsi="Times New Roman" w:eastAsia="仿宋_GB2312" w:cs="Times New Roman"/>
          <w:b/>
          <w:bCs/>
          <w:sz w:val="32"/>
          <w:szCs w:val="32"/>
          <w:lang w:val="en-US" w:eastAsia="zh-CN"/>
        </w:rPr>
        <w:t>是</w:t>
      </w:r>
      <w:r>
        <w:rPr>
          <w:rFonts w:hint="eastAsia" w:ascii="仿宋_GB2312" w:hAnsi="Times New Roman" w:eastAsia="仿宋_GB2312" w:cs="Times New Roman"/>
          <w:sz w:val="32"/>
          <w:szCs w:val="32"/>
        </w:rPr>
        <w:t>村（社区）个案小组工作人员对监护人履行照料、看管责任进行认定。</w:t>
      </w:r>
      <w:r>
        <w:rPr>
          <w:rFonts w:hint="eastAsia" w:ascii="仿宋_GB2312" w:hAnsi="Times New Roman" w:eastAsia="仿宋_GB2312" w:cs="Times New Roman"/>
          <w:b/>
          <w:bCs/>
          <w:sz w:val="32"/>
          <w:szCs w:val="32"/>
          <w:lang w:eastAsia="zh-CN"/>
        </w:rPr>
        <w:t>二是</w:t>
      </w:r>
      <w:r>
        <w:rPr>
          <w:rFonts w:hint="eastAsia" w:ascii="仿宋_GB2312" w:hAnsi="Times New Roman" w:eastAsia="仿宋_GB2312" w:cs="Times New Roman"/>
          <w:sz w:val="32"/>
          <w:szCs w:val="32"/>
        </w:rPr>
        <w:t>村（社区）民警对被监护人失踪或下落不明、有无肇事肇祸行为进行认定。</w:t>
      </w:r>
      <w:r>
        <w:rPr>
          <w:rFonts w:hint="eastAsia" w:ascii="仿宋_GB2312" w:hAnsi="Times New Roman" w:eastAsia="仿宋_GB2312" w:cs="Times New Roman"/>
          <w:b/>
          <w:bCs/>
          <w:sz w:val="32"/>
          <w:szCs w:val="32"/>
          <w:lang w:eastAsia="zh-CN"/>
        </w:rPr>
        <w:t>三是</w:t>
      </w:r>
      <w:r>
        <w:rPr>
          <w:rFonts w:hint="eastAsia" w:ascii="仿宋_GB2312" w:hAnsi="Times New Roman" w:eastAsia="仿宋_GB2312" w:cs="Times New Roman"/>
          <w:sz w:val="32"/>
          <w:szCs w:val="32"/>
        </w:rPr>
        <w:t>村（社区）精防医生对监护人申请免费服药服务、配合日常随访、督促被监护人按时按量服药情况进行认定。</w:t>
      </w:r>
      <w:r>
        <w:rPr>
          <w:rFonts w:hint="eastAsia" w:ascii="仿宋_GB2312" w:hAnsi="Times New Roman" w:eastAsia="仿宋_GB2312" w:cs="Times New Roman"/>
          <w:b/>
          <w:bCs/>
          <w:sz w:val="32"/>
          <w:szCs w:val="32"/>
          <w:lang w:eastAsia="zh-CN"/>
        </w:rPr>
        <w:t>四是</w:t>
      </w:r>
      <w:r>
        <w:rPr>
          <w:rFonts w:hint="eastAsia" w:ascii="仿宋_GB2312" w:hAnsi="Times New Roman" w:eastAsia="仿宋_GB2312" w:cs="Times New Roman"/>
          <w:sz w:val="32"/>
          <w:szCs w:val="32"/>
        </w:rPr>
        <w:t>民政（残联）专干对持证精神残疾人在有条件的情况下，参与残联组织的康复活动进行认定。</w:t>
      </w:r>
      <w:r>
        <w:rPr>
          <w:rFonts w:hint="eastAsia" w:ascii="仿宋_GB2312" w:hAnsi="Times New Roman" w:eastAsia="仿宋_GB2312" w:cs="Times New Roman"/>
          <w:b/>
          <w:bCs/>
          <w:sz w:val="32"/>
          <w:szCs w:val="32"/>
          <w:lang w:eastAsia="zh-CN"/>
        </w:rPr>
        <w:t>五是</w:t>
      </w:r>
      <w:r>
        <w:rPr>
          <w:rFonts w:hint="eastAsia" w:ascii="仿宋_GB2312" w:hAnsi="Times New Roman" w:eastAsia="仿宋_GB2312" w:cs="Times New Roman"/>
          <w:sz w:val="32"/>
          <w:szCs w:val="32"/>
        </w:rPr>
        <w:t>民政（残联）专干对被监护人接受流浪救助情况进行认定。</w:t>
      </w:r>
    </w:p>
    <w:p w14:paraId="576AB967">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6737E7F0">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楷体_GB2312" w:hAnsi="宋体" w:eastAsia="楷体_GB2312" w:cs="Times New Roman"/>
          <w:b/>
          <w:color w:val="auto"/>
          <w:sz w:val="32"/>
          <w:szCs w:val="32"/>
          <w:highlight w:val="none"/>
          <w:u w:val="none"/>
          <w:lang w:val="zh-CN" w:eastAsia="zh-CN"/>
        </w:rPr>
        <w:t>绩效分析。</w:t>
      </w:r>
    </w:p>
    <w:p w14:paraId="52C3F924">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textAlignment w:val="auto"/>
        <w:outlineLvl w:val="9"/>
        <w:rPr>
          <w:rFonts w:hint="eastAsia" w:ascii="仿宋_GB2312" w:hAnsi="宋体" w:eastAsia="仿宋_GB2312" w:cs="宋体"/>
          <w:kern w:val="0"/>
          <w:sz w:val="32"/>
          <w:szCs w:val="32"/>
          <w:lang w:val="zh-CN" w:eastAsia="zh-CN"/>
        </w:rPr>
      </w:pPr>
      <w:r>
        <w:rPr>
          <w:rFonts w:hint="eastAsia" w:ascii="仿宋_GB2312" w:hAnsi="宋体" w:eastAsia="仿宋_GB2312" w:cs="宋体"/>
          <w:b/>
          <w:bCs/>
          <w:kern w:val="0"/>
          <w:sz w:val="32"/>
          <w:szCs w:val="32"/>
          <w:lang w:val="en-US" w:eastAsia="zh-CN"/>
        </w:rPr>
        <w:t>1.</w:t>
      </w:r>
      <w:r>
        <w:rPr>
          <w:rFonts w:hint="eastAsia" w:ascii="仿宋_GB2312" w:hAnsi="宋体" w:eastAsia="仿宋_GB2312" w:cs="宋体"/>
          <w:b/>
          <w:bCs/>
          <w:kern w:val="0"/>
          <w:sz w:val="32"/>
          <w:szCs w:val="32"/>
          <w:lang w:val="zh-CN" w:eastAsia="zh-CN"/>
        </w:rPr>
        <w:t>项目决策。</w:t>
      </w:r>
      <w:r>
        <w:rPr>
          <w:rFonts w:hint="eastAsia" w:ascii="仿宋_GB2312" w:hAnsi="宋体" w:eastAsia="仿宋_GB2312" w:cs="宋体"/>
          <w:kern w:val="0"/>
          <w:sz w:val="32"/>
          <w:szCs w:val="32"/>
          <w:lang w:val="zh-CN" w:eastAsia="zh-CN"/>
        </w:rPr>
        <w:t>为有效防范严重精神障碍患者肇事肇祸发生，落实监护人责任，维护公共安全，我县对严重精神障碍患者监护人实施以奖代补政策。</w:t>
      </w:r>
    </w:p>
    <w:p w14:paraId="4C0C105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textAlignment w:val="auto"/>
        <w:outlineLvl w:val="9"/>
        <w:rPr>
          <w:rFonts w:hint="default" w:ascii="仿宋_GB2312" w:hAnsi="宋体" w:eastAsia="仿宋_GB2312" w:cs="宋体"/>
          <w:kern w:val="0"/>
          <w:sz w:val="32"/>
          <w:szCs w:val="32"/>
          <w:lang w:val="zh-CN" w:eastAsia="zh-CN"/>
        </w:rPr>
      </w:pPr>
      <w:r>
        <w:rPr>
          <w:rFonts w:hint="eastAsia" w:ascii="仿宋_GB2312" w:hAnsi="宋体" w:eastAsia="仿宋_GB2312" w:cs="宋体"/>
          <w:b/>
          <w:bCs/>
          <w:kern w:val="0"/>
          <w:sz w:val="32"/>
          <w:szCs w:val="32"/>
          <w:lang w:val="en-US" w:eastAsia="zh-CN"/>
        </w:rPr>
        <w:t>2.</w:t>
      </w:r>
      <w:r>
        <w:rPr>
          <w:rFonts w:hint="eastAsia" w:ascii="仿宋_GB2312" w:hAnsi="宋体" w:eastAsia="仿宋_GB2312" w:cs="宋体"/>
          <w:b/>
          <w:bCs/>
          <w:kern w:val="0"/>
          <w:sz w:val="32"/>
          <w:szCs w:val="32"/>
          <w:lang w:val="zh-CN" w:eastAsia="zh-CN"/>
        </w:rPr>
        <w:t>项目管理。</w:t>
      </w:r>
      <w:r>
        <w:rPr>
          <w:rFonts w:hint="eastAsia" w:ascii="仿宋_GB2312" w:hAnsi="宋体" w:eastAsia="仿宋_GB2312" w:cs="宋体"/>
          <w:kern w:val="0"/>
          <w:sz w:val="32"/>
          <w:szCs w:val="32"/>
          <w:lang w:val="zh-CN" w:eastAsia="zh-CN"/>
        </w:rPr>
        <w:t>我县</w:t>
      </w:r>
      <w:r>
        <w:rPr>
          <w:rFonts w:hint="eastAsia" w:ascii="仿宋_GB2312" w:hAnsi="宋体" w:eastAsia="仿宋_GB2312" w:cs="宋体"/>
          <w:kern w:val="0"/>
          <w:sz w:val="32"/>
          <w:szCs w:val="32"/>
          <w:lang w:val="en-US" w:eastAsia="zh-CN"/>
        </w:rPr>
        <w:t>重精“以奖代补”</w:t>
      </w:r>
      <w:r>
        <w:rPr>
          <w:rFonts w:hint="eastAsia" w:ascii="仿宋_GB2312" w:hAnsi="宋体" w:eastAsia="仿宋_GB2312" w:cs="宋体"/>
          <w:kern w:val="0"/>
          <w:sz w:val="32"/>
          <w:szCs w:val="32"/>
          <w:lang w:val="zh-CN" w:eastAsia="zh-CN"/>
        </w:rPr>
        <w:t>资金严格按照管理要求，建立健全财务管理制度松潘县卫健系统财经制度，项目实行国库集中支付管理，项目资金支付实行项目实施单位、县财政部门逐级审批。项目实施由县卫生健康局实施，项目会计核算，财务处理严格执行财务管理制度。财务处理及时、会计审核规范。</w:t>
      </w:r>
    </w:p>
    <w:p w14:paraId="1FB08F94">
      <w:pPr>
        <w:keepNext w:val="0"/>
        <w:keepLines w:val="0"/>
        <w:pageBreakBefore w:val="0"/>
        <w:widowControl w:val="0"/>
        <w:kinsoku/>
        <w:wordWrap/>
        <w:overflowPunct/>
        <w:topLinePunct w:val="0"/>
        <w:autoSpaceDE/>
        <w:autoSpaceDN/>
        <w:bidi w:val="0"/>
        <w:adjustRightInd w:val="0"/>
        <w:snapToGrid w:val="0"/>
        <w:spacing w:line="576" w:lineRule="exact"/>
        <w:ind w:firstLine="643" w:firstLineChars="200"/>
        <w:textAlignment w:val="auto"/>
        <w:outlineLvl w:val="9"/>
        <w:rPr>
          <w:rFonts w:hint="eastAsia" w:ascii="仿宋_GB2312" w:hAnsi="宋体" w:eastAsia="仿宋_GB2312" w:cs="宋体"/>
          <w:b/>
          <w:bCs/>
          <w:kern w:val="0"/>
          <w:sz w:val="32"/>
          <w:szCs w:val="32"/>
          <w:lang w:val="en-US" w:eastAsia="zh-CN"/>
        </w:rPr>
      </w:pPr>
      <w:r>
        <w:rPr>
          <w:rFonts w:hint="eastAsia" w:ascii="仿宋_GB2312" w:hAnsi="宋体" w:eastAsia="仿宋_GB2312" w:cs="宋体"/>
          <w:b/>
          <w:bCs/>
          <w:kern w:val="0"/>
          <w:sz w:val="32"/>
          <w:szCs w:val="32"/>
          <w:lang w:val="en-US" w:eastAsia="zh-CN"/>
        </w:rPr>
        <w:t>3.项目实施。</w:t>
      </w:r>
    </w:p>
    <w:p w14:paraId="4D652F74">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宋体" w:eastAsia="仿宋_GB2312" w:cs="宋体"/>
          <w:kern w:val="0"/>
          <w:sz w:val="32"/>
          <w:szCs w:val="32"/>
          <w:lang w:val="zh-CN" w:eastAsia="zh-CN"/>
        </w:rPr>
      </w:pPr>
      <w:r>
        <w:rPr>
          <w:rFonts w:hint="eastAsia" w:ascii="仿宋_GB2312" w:hAnsi="宋体" w:eastAsia="仿宋_GB2312" w:cs="宋体"/>
          <w:kern w:val="0"/>
          <w:sz w:val="32"/>
          <w:szCs w:val="32"/>
          <w:lang w:val="zh-CN" w:eastAsia="zh-CN"/>
        </w:rPr>
        <w:t>县财政局：负责项目相关材料审核、资金拨付及项目资金使用监督检查。</w:t>
      </w:r>
    </w:p>
    <w:p w14:paraId="297113E8">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县委政法委：组织项目考核。</w:t>
      </w:r>
    </w:p>
    <w:p w14:paraId="55C4BE7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仿宋_GB2312" w:hAnsi="宋体" w:eastAsia="仿宋_GB2312" w:cs="宋体"/>
          <w:kern w:val="0"/>
          <w:sz w:val="32"/>
          <w:szCs w:val="32"/>
          <w:lang w:val="zh-CN" w:eastAsia="zh-CN"/>
        </w:rPr>
      </w:pPr>
      <w:r>
        <w:rPr>
          <w:rFonts w:hint="eastAsia" w:ascii="仿宋_GB2312" w:hAnsi="宋体" w:eastAsia="仿宋_GB2312" w:cs="宋体"/>
          <w:kern w:val="0"/>
          <w:sz w:val="32"/>
          <w:szCs w:val="32"/>
          <w:lang w:val="zh-CN" w:eastAsia="zh-CN"/>
        </w:rPr>
        <w:t>县卫生健康局：组织项目实施、申报资料，资金拨付材料审核，负责收集、整理项目相关资料。补充完善现有资金使用管理的政策规定，规范各类补贴的申请、拨付工作程序，建立健全资金监督管理的各项规章制度。</w:t>
      </w:r>
    </w:p>
    <w:p w14:paraId="79125E3B">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textAlignment w:val="auto"/>
        <w:outlineLvl w:val="9"/>
        <w:rPr>
          <w:rFonts w:hint="eastAsia" w:ascii="仿宋_GB2312" w:hAnsi="宋体" w:eastAsia="仿宋_GB2312" w:cs="宋体"/>
          <w:kern w:val="0"/>
          <w:sz w:val="32"/>
          <w:szCs w:val="32"/>
          <w:lang w:val="zh-CN" w:eastAsia="zh-CN"/>
        </w:rPr>
      </w:pPr>
      <w:r>
        <w:rPr>
          <w:rFonts w:hint="eastAsia" w:ascii="仿宋_GB2312" w:hAnsi="宋体" w:eastAsia="仿宋_GB2312" w:cs="宋体"/>
          <w:b/>
          <w:bCs/>
          <w:kern w:val="0"/>
          <w:sz w:val="32"/>
          <w:szCs w:val="32"/>
          <w:lang w:val="en-US" w:eastAsia="zh-CN"/>
        </w:rPr>
        <w:t>4.项目结果。</w:t>
      </w:r>
      <w:r>
        <w:rPr>
          <w:rFonts w:hint="eastAsia" w:ascii="仿宋_GB2312" w:hAnsi="宋体" w:eastAsia="仿宋_GB2312" w:cs="宋体"/>
          <w:kern w:val="0"/>
          <w:sz w:val="32"/>
          <w:szCs w:val="32"/>
          <w:lang w:val="zh-CN" w:eastAsia="zh-CN"/>
        </w:rPr>
        <w:t>我县</w:t>
      </w:r>
      <w:r>
        <w:rPr>
          <w:rFonts w:hint="default" w:ascii="仿宋_GB2312" w:hAnsi="宋体" w:eastAsia="仿宋_GB2312" w:cs="宋体"/>
          <w:kern w:val="0"/>
          <w:sz w:val="32"/>
          <w:szCs w:val="32"/>
          <w:lang w:val="zh-CN" w:eastAsia="zh-CN"/>
        </w:rPr>
        <w:t>20</w:t>
      </w:r>
      <w:r>
        <w:rPr>
          <w:rFonts w:hint="eastAsia" w:ascii="仿宋_GB2312" w:hAnsi="宋体" w:eastAsia="仿宋_GB2312" w:cs="宋体"/>
          <w:kern w:val="0"/>
          <w:sz w:val="32"/>
          <w:szCs w:val="32"/>
          <w:lang w:val="en-US" w:eastAsia="zh-CN"/>
        </w:rPr>
        <w:t>25</w:t>
      </w:r>
      <w:r>
        <w:rPr>
          <w:rFonts w:hint="eastAsia" w:ascii="仿宋_GB2312" w:hAnsi="宋体" w:eastAsia="仿宋_GB2312" w:cs="宋体"/>
          <w:kern w:val="0"/>
          <w:sz w:val="32"/>
          <w:szCs w:val="32"/>
          <w:lang w:val="zh-CN" w:eastAsia="zh-CN"/>
        </w:rPr>
        <w:t>年</w:t>
      </w:r>
      <w:r>
        <w:rPr>
          <w:rFonts w:hint="eastAsia" w:ascii="仿宋_GB2312" w:hAnsi="宋体" w:eastAsia="仿宋_GB2312" w:cs="宋体"/>
          <w:kern w:val="0"/>
          <w:sz w:val="32"/>
          <w:szCs w:val="32"/>
          <w:lang w:val="en-US" w:eastAsia="zh-CN"/>
        </w:rPr>
        <w:t>重精“以奖代补”补助资金到位29.88万元，</w:t>
      </w:r>
      <w:r>
        <w:rPr>
          <w:rFonts w:hint="eastAsia" w:ascii="仿宋_GB2312" w:hAnsi="宋体" w:eastAsia="仿宋_GB2312" w:cs="宋体"/>
          <w:kern w:val="0"/>
          <w:sz w:val="32"/>
          <w:szCs w:val="32"/>
          <w:lang w:val="zh-CN" w:eastAsia="zh-CN"/>
        </w:rPr>
        <w:t>实际支出</w:t>
      </w:r>
      <w:r>
        <w:rPr>
          <w:rFonts w:hint="eastAsia" w:ascii="仿宋_GB2312" w:hAnsi="宋体" w:eastAsia="仿宋_GB2312" w:cs="宋体"/>
          <w:kern w:val="0"/>
          <w:sz w:val="32"/>
          <w:szCs w:val="32"/>
          <w:lang w:val="en-US" w:eastAsia="zh-CN"/>
        </w:rPr>
        <w:t>28.4</w:t>
      </w:r>
      <w:r>
        <w:rPr>
          <w:rFonts w:hint="eastAsia" w:ascii="仿宋_GB2312" w:hAnsi="宋体" w:eastAsia="仿宋_GB2312" w:cs="宋体"/>
          <w:kern w:val="0"/>
          <w:sz w:val="32"/>
          <w:szCs w:val="32"/>
          <w:lang w:val="zh-CN" w:eastAsia="zh-CN"/>
        </w:rPr>
        <w:t>万元，主要用于辖区</w:t>
      </w:r>
      <w:r>
        <w:rPr>
          <w:rFonts w:hint="eastAsia" w:ascii="仿宋_GB2312" w:hAnsi="宋体" w:eastAsia="仿宋_GB2312" w:cs="宋体"/>
          <w:kern w:val="0"/>
          <w:sz w:val="32"/>
          <w:szCs w:val="32"/>
          <w:lang w:val="en-US" w:eastAsia="zh-CN"/>
        </w:rPr>
        <w:t>2025</w:t>
      </w:r>
      <w:r>
        <w:rPr>
          <w:rFonts w:hint="eastAsia" w:ascii="仿宋_GB2312" w:hAnsi="宋体" w:eastAsia="仿宋_GB2312" w:cs="宋体"/>
          <w:kern w:val="0"/>
          <w:sz w:val="32"/>
          <w:szCs w:val="32"/>
          <w:lang w:val="zh-CN" w:eastAsia="zh-CN"/>
        </w:rPr>
        <w:t>年对严重精神障碍患者未发生肇事肇祸行为的，给予监护人2000元/年</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lang w:val="zh-CN" w:eastAsia="zh-CN"/>
        </w:rPr>
        <w:t>人的奖励</w:t>
      </w:r>
      <w:r>
        <w:rPr>
          <w:rFonts w:hint="eastAsia" w:ascii="仿宋_GB2312" w:hAnsi="宋体" w:eastAsia="仿宋_GB2312" w:cs="宋体"/>
          <w:kern w:val="0"/>
          <w:sz w:val="32"/>
          <w:szCs w:val="32"/>
          <w:lang w:val="en-US" w:eastAsia="zh-CN"/>
        </w:rPr>
        <w:t>费用</w:t>
      </w:r>
      <w:r>
        <w:rPr>
          <w:rFonts w:hint="eastAsia" w:ascii="仿宋_GB2312" w:hAnsi="宋体" w:eastAsia="仿宋_GB2312" w:cs="宋体"/>
          <w:kern w:val="0"/>
          <w:sz w:val="32"/>
          <w:szCs w:val="32"/>
          <w:lang w:val="zh-CN" w:eastAsia="zh-CN"/>
        </w:rPr>
        <w:t>。</w:t>
      </w:r>
    </w:p>
    <w:p w14:paraId="31C3FD62">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eastAsia="zh-CN"/>
        </w:rPr>
        <w:t>绩效分析。</w:t>
      </w:r>
    </w:p>
    <w:p w14:paraId="48FF76AD">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textAlignment w:val="auto"/>
        <w:outlineLvl w:val="9"/>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zh-CN" w:eastAsia="zh-CN"/>
        </w:rPr>
        <w:t>民生保障。</w:t>
      </w:r>
      <w:r>
        <w:rPr>
          <w:rFonts w:hint="eastAsia" w:ascii="仿宋_GB2312" w:hAnsi="宋体" w:eastAsia="仿宋_GB2312" w:cs="宋体"/>
          <w:kern w:val="0"/>
          <w:sz w:val="32"/>
          <w:szCs w:val="32"/>
          <w:lang w:val="en-US" w:eastAsia="zh-CN"/>
        </w:rPr>
        <w:t>有效防范严重精神障碍患者肇事肇祸发生，落实监护人责任，维护公共安全。</w:t>
      </w:r>
    </w:p>
    <w:p w14:paraId="26843E64">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cs="Times New Roman"/>
          <w:color w:val="auto"/>
          <w:szCs w:val="32"/>
          <w:lang w:val="en-US" w:eastAsia="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楷体_GB2312" w:hAnsi="宋体" w:eastAsia="楷体_GB2312" w:cs="Times New Roman"/>
          <w:b/>
          <w:color w:val="auto"/>
          <w:sz w:val="32"/>
          <w:szCs w:val="32"/>
          <w:highlight w:val="none"/>
          <w:u w:val="none"/>
          <w:lang w:val="zh-CN" w:eastAsia="zh-CN"/>
        </w:rPr>
        <w:t>绩效分析。</w:t>
      </w:r>
      <w:r>
        <w:rPr>
          <w:rFonts w:hint="eastAsia" w:ascii="仿宋_GB2312" w:hAnsi="宋体" w:eastAsia="仿宋_GB2312" w:cs="宋体"/>
          <w:kern w:val="0"/>
          <w:sz w:val="32"/>
          <w:szCs w:val="32"/>
          <w:lang w:val="en-US" w:eastAsia="zh-CN"/>
        </w:rPr>
        <w:t>2025</w:t>
      </w:r>
      <w:r>
        <w:rPr>
          <w:rFonts w:hint="eastAsia" w:ascii="仿宋_GB2312" w:hAnsi="宋体" w:eastAsia="仿宋_GB2312" w:cs="宋体"/>
          <w:kern w:val="0"/>
          <w:sz w:val="32"/>
          <w:szCs w:val="32"/>
        </w:rPr>
        <w:t>年</w:t>
      </w:r>
      <w:r>
        <w:rPr>
          <w:rFonts w:hint="eastAsia" w:ascii="仿宋_GB2312" w:hAnsi="宋体" w:eastAsia="仿宋_GB2312" w:cs="宋体"/>
          <w:color w:val="auto"/>
          <w:kern w:val="0"/>
          <w:sz w:val="32"/>
          <w:szCs w:val="32"/>
        </w:rPr>
        <w:t>严重精神障碍</w:t>
      </w:r>
      <w:r>
        <w:rPr>
          <w:rFonts w:hint="eastAsia" w:ascii="仿宋_GB2312" w:hAnsi="宋体" w:eastAsia="仿宋_GB2312" w:cs="宋体"/>
          <w:kern w:val="0"/>
          <w:sz w:val="32"/>
          <w:szCs w:val="32"/>
        </w:rPr>
        <w:t>患者</w:t>
      </w:r>
      <w:r>
        <w:rPr>
          <w:rFonts w:hint="eastAsia" w:ascii="仿宋_GB2312" w:hAnsi="宋体" w:eastAsia="仿宋_GB2312" w:cs="宋体"/>
          <w:kern w:val="0"/>
          <w:sz w:val="32"/>
          <w:szCs w:val="32"/>
          <w:lang w:eastAsia="zh-CN"/>
        </w:rPr>
        <w:t>系统</w:t>
      </w:r>
      <w:r>
        <w:rPr>
          <w:rFonts w:hint="eastAsia" w:ascii="仿宋_GB2312" w:hAnsi="宋体" w:eastAsia="仿宋_GB2312" w:cs="宋体"/>
          <w:color w:val="auto"/>
          <w:kern w:val="0"/>
          <w:sz w:val="32"/>
          <w:szCs w:val="32"/>
          <w:lang w:eastAsia="zh-CN"/>
        </w:rPr>
        <w:t>在管</w:t>
      </w:r>
      <w:r>
        <w:rPr>
          <w:rFonts w:hint="eastAsia" w:ascii="仿宋_GB2312" w:hAnsi="宋体" w:eastAsia="仿宋_GB2312" w:cs="宋体"/>
          <w:color w:val="auto"/>
          <w:kern w:val="0"/>
          <w:sz w:val="32"/>
          <w:szCs w:val="32"/>
          <w:lang w:val="en-US" w:eastAsia="zh-CN"/>
        </w:rPr>
        <w:t>144人，144人</w:t>
      </w:r>
      <w:r>
        <w:rPr>
          <w:rFonts w:hint="eastAsia" w:ascii="仿宋_GB2312" w:hAnsi="宋体" w:eastAsia="仿宋_GB2312" w:cs="宋体"/>
          <w:color w:val="auto"/>
          <w:kern w:val="0"/>
          <w:sz w:val="32"/>
          <w:szCs w:val="32"/>
        </w:rPr>
        <w:t>未发生肇</w:t>
      </w:r>
      <w:r>
        <w:rPr>
          <w:rFonts w:hint="eastAsia" w:ascii="仿宋_GB2312" w:hAnsi="宋体" w:eastAsia="仿宋_GB2312" w:cs="宋体"/>
          <w:kern w:val="0"/>
          <w:sz w:val="32"/>
          <w:szCs w:val="32"/>
        </w:rPr>
        <w:t>事肇祸行为的</w:t>
      </w:r>
      <w:r>
        <w:rPr>
          <w:rFonts w:hint="eastAsia" w:ascii="仿宋_GB2312" w:hAnsi="宋体" w:cs="宋体"/>
          <w:kern w:val="0"/>
          <w:sz w:val="32"/>
          <w:szCs w:val="32"/>
          <w:lang w:val="en-US" w:eastAsia="zh-CN"/>
        </w:rPr>
        <w:t>。</w:t>
      </w:r>
    </w:p>
    <w:p w14:paraId="53E08DB5">
      <w:pPr>
        <w:pStyle w:val="6"/>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14:paraId="7C8276B8">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cs="Times New Roman"/>
          <w:color w:val="auto"/>
          <w:szCs w:val="32"/>
          <w:lang w:val="en-US" w:eastAsia="zh-CN"/>
        </w:rPr>
      </w:pPr>
      <w:r>
        <w:rPr>
          <w:rFonts w:hint="eastAsia" w:ascii="仿宋_GB2312" w:hAnsi="宋体" w:eastAsia="仿宋_GB2312" w:cs="宋体"/>
          <w:kern w:val="0"/>
          <w:sz w:val="32"/>
          <w:szCs w:val="32"/>
          <w:lang w:val="en-US" w:eastAsia="zh-CN"/>
        </w:rPr>
        <w:t>2025</w:t>
      </w:r>
      <w:r>
        <w:rPr>
          <w:rFonts w:hint="eastAsia" w:ascii="仿宋_GB2312" w:hAnsi="宋体" w:eastAsia="仿宋_GB2312" w:cs="宋体"/>
          <w:kern w:val="0"/>
          <w:sz w:val="32"/>
          <w:szCs w:val="32"/>
        </w:rPr>
        <w:t>年</w:t>
      </w:r>
      <w:r>
        <w:rPr>
          <w:rFonts w:hint="eastAsia" w:ascii="仿宋_GB2312" w:hAnsi="宋体" w:eastAsia="仿宋_GB2312" w:cs="宋体"/>
          <w:color w:val="auto"/>
          <w:kern w:val="0"/>
          <w:sz w:val="32"/>
          <w:szCs w:val="32"/>
        </w:rPr>
        <w:t>严重精神障碍</w:t>
      </w:r>
      <w:r>
        <w:rPr>
          <w:rFonts w:hint="eastAsia" w:ascii="仿宋_GB2312" w:hAnsi="宋体" w:eastAsia="仿宋_GB2312" w:cs="宋体"/>
          <w:kern w:val="0"/>
          <w:sz w:val="32"/>
          <w:szCs w:val="32"/>
        </w:rPr>
        <w:t>患者</w:t>
      </w:r>
      <w:r>
        <w:rPr>
          <w:rFonts w:hint="eastAsia" w:ascii="仿宋_GB2312" w:hAnsi="宋体" w:eastAsia="仿宋_GB2312" w:cs="宋体"/>
          <w:kern w:val="0"/>
          <w:sz w:val="32"/>
          <w:szCs w:val="32"/>
          <w:lang w:eastAsia="zh-CN"/>
        </w:rPr>
        <w:t>系统</w:t>
      </w:r>
      <w:r>
        <w:rPr>
          <w:rFonts w:hint="eastAsia" w:ascii="仿宋_GB2312" w:hAnsi="宋体" w:eastAsia="仿宋_GB2312" w:cs="宋体"/>
          <w:color w:val="auto"/>
          <w:kern w:val="0"/>
          <w:sz w:val="32"/>
          <w:szCs w:val="32"/>
          <w:lang w:eastAsia="zh-CN"/>
        </w:rPr>
        <w:t>在管</w:t>
      </w:r>
      <w:r>
        <w:rPr>
          <w:rFonts w:hint="eastAsia" w:ascii="仿宋_GB2312" w:hAnsi="宋体" w:eastAsia="仿宋_GB2312" w:cs="宋体"/>
          <w:color w:val="auto"/>
          <w:kern w:val="0"/>
          <w:sz w:val="32"/>
          <w:szCs w:val="32"/>
          <w:lang w:val="en-US" w:eastAsia="zh-CN"/>
        </w:rPr>
        <w:t>144人，144人</w:t>
      </w:r>
      <w:r>
        <w:rPr>
          <w:rFonts w:hint="eastAsia" w:ascii="仿宋_GB2312" w:hAnsi="宋体" w:eastAsia="仿宋_GB2312" w:cs="宋体"/>
          <w:color w:val="auto"/>
          <w:kern w:val="0"/>
          <w:sz w:val="32"/>
          <w:szCs w:val="32"/>
        </w:rPr>
        <w:t>未发生肇</w:t>
      </w:r>
      <w:r>
        <w:rPr>
          <w:rFonts w:hint="eastAsia" w:ascii="仿宋_GB2312" w:hAnsi="宋体" w:eastAsia="仿宋_GB2312" w:cs="宋体"/>
          <w:kern w:val="0"/>
          <w:sz w:val="32"/>
          <w:szCs w:val="32"/>
        </w:rPr>
        <w:t>事肇祸行为的</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有效防范严重精神障碍患者肇事肇祸发生，落实监护人责任，维护公共安全</w:t>
      </w:r>
      <w:r>
        <w:rPr>
          <w:rFonts w:hint="eastAsia" w:ascii="仿宋_GB2312" w:hAnsi="宋体" w:cs="宋体"/>
          <w:kern w:val="0"/>
          <w:sz w:val="32"/>
          <w:szCs w:val="32"/>
          <w:lang w:eastAsia="zh-CN"/>
        </w:rPr>
        <w:t>。</w:t>
      </w:r>
    </w:p>
    <w:p w14:paraId="23B62680">
      <w:pPr>
        <w:pStyle w:val="6"/>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14:paraId="6AF177E2">
      <w:pPr>
        <w:pStyle w:val="6"/>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仿宋_GB2312" w:hAnsi="宋体" w:eastAsia="仿宋_GB2312" w:cs="宋体"/>
          <w:kern w:val="0"/>
          <w:position w:val="0"/>
          <w:sz w:val="32"/>
          <w:szCs w:val="32"/>
          <w:lang w:val="en-US" w:eastAsia="zh-CN" w:bidi="ar-SA"/>
        </w:rPr>
      </w:pPr>
      <w:r>
        <w:rPr>
          <w:rFonts w:hint="eastAsia" w:ascii="仿宋_GB2312" w:hAnsi="宋体" w:eastAsia="仿宋_GB2312" w:cs="宋体"/>
          <w:kern w:val="0"/>
          <w:position w:val="0"/>
          <w:sz w:val="32"/>
          <w:szCs w:val="32"/>
          <w:lang w:val="en-US" w:eastAsia="zh-CN" w:bidi="ar-SA"/>
        </w:rPr>
        <w:t>需要多部门配合完成“阳光审批”、“一卡通”系统录入，存在配合联系不紧密，时间缓慢，在一定程度上影响了工作质量</w:t>
      </w:r>
    </w:p>
    <w:p w14:paraId="29ED8879">
      <w:pPr>
        <w:pStyle w:val="6"/>
        <w:keepNext w:val="0"/>
        <w:keepLines w:val="0"/>
        <w:pageBreakBefore w:val="0"/>
        <w:numPr>
          <w:ilvl w:val="0"/>
          <w:numId w:val="1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改进建议</w:t>
      </w:r>
    </w:p>
    <w:p w14:paraId="30AEBA65">
      <w:pPr>
        <w:pStyle w:val="6"/>
        <w:keepNext w:val="0"/>
        <w:keepLines w:val="0"/>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rPr>
          <w:rFonts w:hint="eastAsia" w:ascii="仿宋_GB2312" w:hAnsi="宋体" w:eastAsia="仿宋_GB2312" w:cs="宋体"/>
          <w:kern w:val="0"/>
          <w:position w:val="0"/>
          <w:sz w:val="32"/>
          <w:szCs w:val="32"/>
          <w:lang w:val="en-US" w:eastAsia="zh-CN" w:bidi="ar-SA"/>
        </w:rPr>
      </w:pPr>
      <w:r>
        <w:rPr>
          <w:rFonts w:hint="eastAsia" w:ascii="仿宋_GB2312" w:hAnsi="宋体" w:eastAsia="仿宋_GB2312" w:cs="宋体"/>
          <w:kern w:val="0"/>
          <w:position w:val="0"/>
          <w:sz w:val="32"/>
          <w:szCs w:val="32"/>
          <w:lang w:val="en-US" w:eastAsia="zh-CN" w:bidi="ar-SA"/>
        </w:rPr>
        <w:t>加强部门配合，提高工作效率。</w:t>
      </w:r>
    </w:p>
    <w:p w14:paraId="52A9013B">
      <w:pPr>
        <w:pStyle w:val="7"/>
        <w:rPr>
          <w:rFonts w:hint="eastAsia" w:ascii="仿宋_GB2312" w:hAnsi="宋体" w:eastAsia="仿宋_GB2312" w:cs="宋体"/>
          <w:kern w:val="0"/>
          <w:position w:val="0"/>
          <w:sz w:val="32"/>
          <w:szCs w:val="32"/>
          <w:lang w:val="en-US" w:eastAsia="zh-CN" w:bidi="ar-SA"/>
        </w:rPr>
      </w:pPr>
    </w:p>
    <w:p w14:paraId="7D59FF68">
      <w:pPr>
        <w:pStyle w:val="7"/>
        <w:rPr>
          <w:rFonts w:hint="eastAsia" w:ascii="仿宋_GB2312" w:hAnsi="宋体" w:eastAsia="仿宋_GB2312" w:cs="宋体"/>
          <w:kern w:val="0"/>
          <w:position w:val="0"/>
          <w:sz w:val="32"/>
          <w:szCs w:val="32"/>
          <w:lang w:val="en-US" w:eastAsia="zh-CN" w:bidi="ar-SA"/>
        </w:rPr>
      </w:pPr>
    </w:p>
    <w:p w14:paraId="53B882BB">
      <w:pPr>
        <w:pStyle w:val="7"/>
        <w:rPr>
          <w:rFonts w:hint="eastAsia" w:ascii="仿宋_GB2312" w:hAnsi="宋体" w:eastAsia="仿宋_GB2312" w:cs="宋体"/>
          <w:kern w:val="0"/>
          <w:position w:val="0"/>
          <w:sz w:val="32"/>
          <w:szCs w:val="32"/>
          <w:lang w:val="en-US" w:eastAsia="zh-CN" w:bidi="ar-SA"/>
        </w:rPr>
      </w:pPr>
    </w:p>
    <w:p w14:paraId="2A7A782B">
      <w:pPr>
        <w:pStyle w:val="7"/>
        <w:rPr>
          <w:rFonts w:hint="eastAsia" w:ascii="仿宋_GB2312" w:hAnsi="宋体" w:eastAsia="仿宋_GB2312" w:cs="宋体"/>
          <w:kern w:val="0"/>
          <w:position w:val="0"/>
          <w:sz w:val="32"/>
          <w:szCs w:val="32"/>
          <w:lang w:val="en-US" w:eastAsia="zh-CN" w:bidi="ar-SA"/>
        </w:rPr>
      </w:pPr>
    </w:p>
    <w:p w14:paraId="76D91683">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3E763914">
      <w:pPr>
        <w:pStyle w:val="41"/>
        <w:keepNext w:val="0"/>
        <w:keepLines w:val="0"/>
        <w:pageBreakBefore w:val="0"/>
        <w:widowControl w:val="0"/>
        <w:kinsoku/>
        <w:wordWrap/>
        <w:overflowPunct/>
        <w:topLinePunct w:val="0"/>
        <w:autoSpaceDE/>
        <w:autoSpaceDN/>
        <w:bidi w:val="0"/>
        <w:adjustRightInd/>
        <w:snapToGrid/>
        <w:spacing w:line="556" w:lineRule="exact"/>
        <w:ind w:left="0" w:leftChars="0" w:right="0" w:firstLine="0" w:firstLineChars="0"/>
        <w:jc w:val="center"/>
        <w:textAlignment w:val="auto"/>
        <w:outlineLvl w:val="9"/>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松潘县卫生健康局</w:t>
      </w:r>
    </w:p>
    <w:p w14:paraId="6B971042">
      <w:pPr>
        <w:pStyle w:val="41"/>
        <w:keepNext w:val="0"/>
        <w:keepLines w:val="0"/>
        <w:pageBreakBefore w:val="0"/>
        <w:widowControl w:val="0"/>
        <w:kinsoku/>
        <w:wordWrap/>
        <w:overflowPunct/>
        <w:topLinePunct w:val="0"/>
        <w:autoSpaceDE/>
        <w:autoSpaceDN/>
        <w:bidi w:val="0"/>
        <w:adjustRightInd/>
        <w:snapToGrid/>
        <w:spacing w:line="556" w:lineRule="exact"/>
        <w:ind w:left="0" w:leftChars="0" w:right="0" w:firstLine="0" w:firstLineChars="0"/>
        <w:jc w:val="center"/>
        <w:textAlignment w:val="auto"/>
        <w:outlineLvl w:val="9"/>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2025年度育儿补贴项目绩效自评报告</w:t>
      </w:r>
    </w:p>
    <w:p w14:paraId="08C42B89">
      <w:pPr>
        <w:pStyle w:val="7"/>
        <w:keepNext w:val="0"/>
        <w:keepLines w:val="0"/>
        <w:pageBreakBefore w:val="0"/>
        <w:widowControl w:val="0"/>
        <w:kinsoku/>
        <w:wordWrap/>
        <w:overflowPunct/>
        <w:topLinePunct w:val="0"/>
        <w:autoSpaceDE/>
        <w:autoSpaceDN/>
        <w:bidi w:val="0"/>
        <w:adjustRightInd/>
        <w:snapToGrid/>
        <w:spacing w:line="556" w:lineRule="exact"/>
        <w:ind w:left="0" w:leftChars="0" w:firstLine="0" w:firstLineChars="0"/>
        <w:textAlignment w:val="auto"/>
        <w:outlineLvl w:val="9"/>
        <w:rPr>
          <w:rFonts w:hint="default" w:ascii="Times New Roman" w:hAnsi="Times New Roman" w:eastAsia="仿宋_GB2312" w:cs="Times New Roman"/>
          <w:b w:val="0"/>
          <w:bCs w:val="0"/>
          <w:lang w:val="en-US" w:eastAsia="zh-CN"/>
        </w:rPr>
      </w:pPr>
    </w:p>
    <w:p w14:paraId="044CEEEF">
      <w:pPr>
        <w:pStyle w:val="7"/>
        <w:keepNext w:val="0"/>
        <w:keepLines w:val="0"/>
        <w:pageBreakBefore w:val="0"/>
        <w:widowControl w:val="0"/>
        <w:kinsoku/>
        <w:wordWrap/>
        <w:overflowPunct/>
        <w:topLinePunct w:val="0"/>
        <w:autoSpaceDE/>
        <w:autoSpaceDN/>
        <w:bidi w:val="0"/>
        <w:adjustRightInd/>
        <w:snapToGrid/>
        <w:spacing w:line="556" w:lineRule="exact"/>
        <w:ind w:left="0" w:leftChars="0" w:firstLine="640" w:firstLineChars="200"/>
        <w:textAlignment w:val="auto"/>
        <w:outlineLvl w:val="9"/>
        <w:rPr>
          <w:rFonts w:hint="default" w:ascii="Times New Roman" w:hAnsi="Times New Roman" w:eastAsia="黑体" w:cs="Times New Roman"/>
          <w:b w:val="0"/>
          <w:bCs w:val="0"/>
          <w:lang w:val="en-US" w:eastAsia="zh-CN"/>
        </w:rPr>
      </w:pPr>
      <w:r>
        <w:rPr>
          <w:rFonts w:hint="default" w:ascii="Times New Roman" w:hAnsi="Times New Roman" w:eastAsia="黑体" w:cs="Times New Roman"/>
          <w:b w:val="0"/>
          <w:bCs w:val="0"/>
          <w:lang w:val="en-US" w:eastAsia="zh-CN"/>
        </w:rPr>
        <w:t>一、项目基本情况</w:t>
      </w:r>
    </w:p>
    <w:p w14:paraId="53710D52">
      <w:pPr>
        <w:pStyle w:val="7"/>
        <w:keepNext w:val="0"/>
        <w:keepLines w:val="0"/>
        <w:pageBreakBefore w:val="0"/>
        <w:widowControl w:val="0"/>
        <w:kinsoku/>
        <w:wordWrap/>
        <w:overflowPunct/>
        <w:topLinePunct w:val="0"/>
        <w:autoSpaceDE/>
        <w:autoSpaceDN/>
        <w:bidi w:val="0"/>
        <w:adjustRightInd/>
        <w:snapToGrid/>
        <w:spacing w:line="556" w:lineRule="exact"/>
        <w:ind w:left="0" w:leftChars="0"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（一）项目概况</w:t>
      </w:r>
    </w:p>
    <w:p w14:paraId="7C103449">
      <w:pPr>
        <w:pStyle w:val="7"/>
        <w:keepNext w:val="0"/>
        <w:keepLines w:val="0"/>
        <w:pageBreakBefore w:val="0"/>
        <w:widowControl w:val="0"/>
        <w:kinsoku/>
        <w:wordWrap/>
        <w:overflowPunct/>
        <w:topLinePunct w:val="0"/>
        <w:autoSpaceDE/>
        <w:autoSpaceDN/>
        <w:bidi w:val="0"/>
        <w:adjustRightInd/>
        <w:snapToGrid/>
        <w:spacing w:line="556" w:lineRule="exact"/>
        <w:ind w:left="0" w:leftChars="0"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本项目实施主体为松潘县卫生健康局，项目覆盖松潘县全县17个乡镇（街道）。受益人群为松潘县户籍且符合政策条件的0-3岁婴幼儿家庭，主要内容包括为符合条件的婴幼儿家庭按月发放育儿补贴，补贴标准为每名符合条件的婴幼儿每月发放300元，旨在减轻家庭育儿负担，提升婴幼儿照护服务水平，促进人口长期均衡发展。同时，项目还包含对补贴发放对象的资格审核、信息录入、动态管理以及政策宣传解读等工作，确保补贴精准、及时发放到符合条件的家庭手中。</w:t>
      </w:r>
    </w:p>
    <w:p w14:paraId="2E32623F">
      <w:pPr>
        <w:pStyle w:val="7"/>
        <w:keepNext w:val="0"/>
        <w:keepLines w:val="0"/>
        <w:pageBreakBefore w:val="0"/>
        <w:widowControl w:val="0"/>
        <w:kinsoku/>
        <w:wordWrap/>
        <w:overflowPunct/>
        <w:topLinePunct w:val="0"/>
        <w:autoSpaceDE/>
        <w:autoSpaceDN/>
        <w:bidi w:val="0"/>
        <w:adjustRightInd/>
        <w:snapToGrid/>
        <w:spacing w:line="556" w:lineRule="exact"/>
        <w:ind w:left="0" w:leftChars="0"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（二）项目绩效目标情况</w:t>
      </w:r>
    </w:p>
    <w:p w14:paraId="7D3145AF">
      <w:pPr>
        <w:pStyle w:val="7"/>
        <w:keepNext w:val="0"/>
        <w:keepLines w:val="0"/>
        <w:pageBreakBefore w:val="0"/>
        <w:widowControl w:val="0"/>
        <w:numPr>
          <w:ilvl w:val="0"/>
          <w:numId w:val="0"/>
        </w:numPr>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kern w:val="2"/>
          <w:sz w:val="32"/>
          <w:szCs w:val="24"/>
          <w:lang w:val="en-US" w:eastAsia="zh-CN" w:bidi="ar-SA"/>
        </w:rPr>
        <w:t>2025</w:t>
      </w:r>
      <w:r>
        <w:rPr>
          <w:rFonts w:hint="default" w:ascii="Times New Roman" w:hAnsi="Times New Roman" w:eastAsia="仿宋_GB2312" w:cs="Times New Roman"/>
          <w:b w:val="0"/>
          <w:bCs w:val="0"/>
          <w:kern w:val="2"/>
          <w:sz w:val="32"/>
          <w:szCs w:val="32"/>
          <w:lang w:val="en-US" w:eastAsia="zh-CN" w:bidi="ar-SA"/>
        </w:rPr>
        <w:t xml:space="preserve">年，阿坝州财政局、阿坝州卫生健康委员会《关于下达 </w:t>
      </w:r>
      <w:r>
        <w:rPr>
          <w:rFonts w:hint="default" w:ascii="Times New Roman" w:hAnsi="Times New Roman" w:eastAsia="仿宋_GB2312" w:cs="Times New Roman"/>
          <w:b w:val="0"/>
          <w:bCs w:val="0"/>
          <w:kern w:val="2"/>
          <w:sz w:val="32"/>
          <w:szCs w:val="24"/>
          <w:lang w:val="en-US" w:eastAsia="zh-CN" w:bidi="ar-SA"/>
        </w:rPr>
        <w:t>2025</w:t>
      </w:r>
      <w:r>
        <w:rPr>
          <w:rFonts w:hint="default" w:ascii="Times New Roman" w:hAnsi="Times New Roman" w:eastAsia="仿宋_GB2312" w:cs="Times New Roman"/>
          <w:b w:val="0"/>
          <w:bCs w:val="0"/>
          <w:kern w:val="2"/>
          <w:sz w:val="32"/>
          <w:szCs w:val="32"/>
          <w:lang w:val="en-US" w:eastAsia="zh-CN" w:bidi="ar-SA"/>
        </w:rPr>
        <w:t>年中央、省级和州级财政育儿补贴补助资金的通知》（阿州财社〔</w:t>
      </w:r>
      <w:r>
        <w:rPr>
          <w:rFonts w:hint="default" w:ascii="Times New Roman" w:hAnsi="Times New Roman" w:eastAsia="仿宋_GB2312" w:cs="Times New Roman"/>
          <w:b w:val="0"/>
          <w:bCs w:val="0"/>
          <w:kern w:val="2"/>
          <w:sz w:val="32"/>
          <w:szCs w:val="24"/>
          <w:lang w:val="en-US" w:eastAsia="zh-CN" w:bidi="ar-SA"/>
        </w:rPr>
        <w:t>2025〕106</w:t>
      </w:r>
      <w:r>
        <w:rPr>
          <w:rFonts w:hint="default" w:ascii="Times New Roman" w:hAnsi="Times New Roman" w:eastAsia="仿宋_GB2312" w:cs="Times New Roman"/>
          <w:b w:val="0"/>
          <w:bCs w:val="0"/>
          <w:kern w:val="2"/>
          <w:sz w:val="32"/>
          <w:szCs w:val="32"/>
          <w:lang w:val="en-US" w:eastAsia="zh-CN" w:bidi="ar-SA"/>
        </w:rPr>
        <w:t>号）文件，共下达育儿补贴资金690.58万元，其中下达中央资金656.05万元，下达省级资金12.09万元、下达州级资金6.73万元、县级配套资金15.71万元。</w:t>
      </w:r>
      <w:r>
        <w:rPr>
          <w:rFonts w:hint="default" w:ascii="Times New Roman" w:hAnsi="Times New Roman" w:eastAsia="仿宋_GB2312" w:cs="Times New Roman"/>
          <w:b w:val="0"/>
          <w:bCs w:val="0"/>
          <w:lang w:val="en-US" w:eastAsia="zh-CN"/>
        </w:rPr>
        <w:t>对应的绩效目标主要包括：一是保障补贴发放覆盖率，确保符合条件的0-3岁婴幼儿家庭应享尽享，目标覆盖率达到100%；二是保证补贴发放准确率，严格按照资格审核结果发放，目标发放准确率达到100%；三是加强政策知晓度，通过多渠道宣传，使项目受益人群对育儿补贴政策的知晓率达到90%以上；四是有效减轻家庭育儿经济负担，提升家庭对婴幼儿照护的投入能力，促进婴幼儿健康成长，为人口长期均衡发展提供支持。</w:t>
      </w:r>
    </w:p>
    <w:p w14:paraId="4B9AE388">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黑体" w:cs="Times New Roman"/>
          <w:b w:val="0"/>
          <w:bCs w:val="0"/>
          <w:lang w:val="en-US" w:eastAsia="zh-CN"/>
        </w:rPr>
      </w:pPr>
      <w:r>
        <w:rPr>
          <w:rFonts w:hint="default" w:ascii="Times New Roman" w:hAnsi="Times New Roman" w:eastAsia="黑体" w:cs="Times New Roman"/>
          <w:b w:val="0"/>
          <w:bCs w:val="0"/>
          <w:lang w:val="en-US" w:eastAsia="zh-CN"/>
        </w:rPr>
        <w:t>二、项目实施及管理情况</w:t>
      </w:r>
    </w:p>
    <w:p w14:paraId="0C1BCA47">
      <w:pPr>
        <w:pStyle w:val="7"/>
        <w:keepNext w:val="0"/>
        <w:keepLines w:val="0"/>
        <w:pageBreakBefore w:val="0"/>
        <w:widowControl w:val="0"/>
        <w:kinsoku/>
        <w:wordWrap/>
        <w:overflowPunct/>
        <w:topLinePunct w:val="0"/>
        <w:autoSpaceDE/>
        <w:autoSpaceDN/>
        <w:bidi w:val="0"/>
        <w:adjustRightInd/>
        <w:snapToGrid/>
        <w:spacing w:line="556" w:lineRule="exact"/>
        <w:ind w:left="0" w:leftChars="0"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（一）项目预算管理情况</w:t>
      </w:r>
    </w:p>
    <w:p w14:paraId="263E0A7A">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1.资金严格按照中央、省、州、县四级财政资金管理要求进行统筹安排和使用，确保专款专用。在预算编制阶段，松潘县卫生健康局依据上级下达的资金额度、辖区内符合条件的0-3岁婴幼儿预估数量以及补贴标准。对于上级下达的中央、省级和州级资金，及时足额拨付到位，保障了项目资金的及时供应，为育儿补贴的顺利发放提供了坚实的资金保障。</w:t>
      </w:r>
    </w:p>
    <w:p w14:paraId="232B0742">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2.2025年，松潘县育儿补贴项目预算资金总额为690.58万元，实际到位资金674.87万元，资金到位率达97.72%。其中，中央资金656.05万元；省级资金12.09万元；州级资金6.73万元；均已到账，县级配套资金15.71万元已完成申请流程暂未到账。各项资金均严格按照预算管理规定和资金下达文件要求落实，未</w:t>
      </w:r>
      <w:r>
        <w:rPr>
          <w:rFonts w:hint="eastAsia" w:ascii="Times New Roman" w:cs="Times New Roman"/>
          <w:b w:val="0"/>
          <w:bCs w:val="0"/>
          <w:lang w:val="en-US" w:eastAsia="zh-CN"/>
        </w:rPr>
        <w:t>出现</w:t>
      </w:r>
      <w:r>
        <w:rPr>
          <w:rFonts w:hint="default" w:ascii="Times New Roman" w:hAnsi="Times New Roman" w:eastAsia="仿宋_GB2312" w:cs="Times New Roman"/>
          <w:b w:val="0"/>
          <w:bCs w:val="0"/>
          <w:lang w:val="en-US" w:eastAsia="zh-CN"/>
        </w:rPr>
        <w:t>挤占或挪用等情况，确保了项目启动及后续运行的资金需求。</w:t>
      </w:r>
    </w:p>
    <w:p w14:paraId="34E9A0D6">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3.项目资金使用严格遵循“专款专用、先预算后支出”的原则，项目累计支出632.22万元，预算执行率为91.54%。资金主要用于直接发放给符合条件的婴幼儿家庭的育儿补贴，按时通过“一卡通”系统精准发放至受益家庭账户，保障了补贴资金的及时兑现。资金支付均严格履行审批程序，原始凭证齐全，支付依据充分，符合财务管理制度和相关财经纪律，未发生违规使用资金的现象。</w:t>
      </w:r>
    </w:p>
    <w:p w14:paraId="1395CAD8">
      <w:pPr>
        <w:pStyle w:val="7"/>
        <w:keepNext w:val="0"/>
        <w:keepLines w:val="0"/>
        <w:pageBreakBefore w:val="0"/>
        <w:widowControl w:val="0"/>
        <w:kinsoku/>
        <w:wordWrap/>
        <w:overflowPunct/>
        <w:topLinePunct w:val="0"/>
        <w:autoSpaceDE/>
        <w:autoSpaceDN/>
        <w:bidi w:val="0"/>
        <w:adjustRightInd/>
        <w:snapToGrid/>
        <w:spacing w:line="556" w:lineRule="exact"/>
        <w:ind w:left="0" w:leftChars="0"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（二）项目运行管理情况</w:t>
      </w:r>
    </w:p>
    <w:p w14:paraId="76636969">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1.松潘县卫生健康局高度重视制度机制建设，严格依据《中央和省级财政育儿补助资金管理办法》（川财社〔2025〕141号）以及《阿坝州财政局阿坝州卫生健康委员会关于印发阿坝州育儿补贴补助资金管理办法的通知》（阿州财社〔2026〕1号）等中央、省、州育儿补贴资金管理及发放相关规定执行，结合本县实际，对补贴对象的资格条件、申请流程、审核程序、资金发放、动态管理、信息保密、监督检查等各个环节进行了详细规定，确保项目实施有章可循。</w:t>
      </w:r>
    </w:p>
    <w:p w14:paraId="57E97F69">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2.在政策宣传方面，松潘县卫生健康局采取了线上线下相结合、多渠道、广覆盖的宣传方式。线上通过“健康松潘”微信公众号、乡镇（街道）及村（社区）居民微信群等平台，发布育儿补贴政策解读、申请指南、常见问题解答等内容，线下组织工作人员对乡镇（街道）的村（社区），通过人员集中、开展专题讲座等形式，向群众面对面宣传育儿补贴的政策内容、申请条件、办理流程及补贴标准。受益人群对政策的知晓率达到了92%。</w:t>
      </w:r>
    </w:p>
    <w:p w14:paraId="4BD59716">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lang w:val="en-US" w:eastAsia="zh-CN"/>
        </w:rPr>
        <w:t>3.在信息管理系统应用方面，安排专人负责系统的日常操作，确保系统稳定运行。工作人员严格按照系统操作规范，将申请家庭的基本信息、婴幼儿信息等进行审核，同时，严格遵守信息安全管理规定，</w:t>
      </w:r>
      <w:r>
        <w:rPr>
          <w:rFonts w:hint="default" w:ascii="Times New Roman" w:hAnsi="Times New Roman" w:eastAsia="仿宋_GB2312" w:cs="Times New Roman"/>
          <w:b w:val="0"/>
          <w:bCs w:val="0"/>
          <w:sz w:val="32"/>
          <w:szCs w:val="32"/>
        </w:rPr>
        <w:t>梳理补贴发放计划，核定发放金额，及时向财政部门提交资金拨付申请，通过惠民惠农财政补贴“一卡通”系统，将补贴资金直接足额拨付至受益人账户</w:t>
      </w:r>
      <w:r>
        <w:rPr>
          <w:rFonts w:hint="default" w:ascii="Times New Roman" w:hAnsi="Times New Roman" w:eastAsia="仿宋_GB2312" w:cs="Times New Roman"/>
          <w:b w:val="0"/>
          <w:bCs w:val="0"/>
          <w:sz w:val="32"/>
          <w:szCs w:val="32"/>
          <w:lang w:eastAsia="zh-CN"/>
        </w:rPr>
        <w:t>。</w:t>
      </w:r>
    </w:p>
    <w:p w14:paraId="40CAEC36">
      <w:pPr>
        <w:pStyle w:val="7"/>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（三）项目绩效管理情况</w:t>
      </w:r>
    </w:p>
    <w:p w14:paraId="245782B9">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松潘县卫生健康局在2025年度育儿补贴项目立项之初，即依据国家及省州关于促进人口长期均衡发展的决策部署，结合松潘县实际</w:t>
      </w:r>
      <w:r>
        <w:rPr>
          <w:rFonts w:hint="eastAsia" w:ascii="Times New Roman" w:cs="Times New Roman"/>
          <w:b w:val="0"/>
          <w:bCs w:val="0"/>
          <w:lang w:val="en-US" w:eastAsia="zh-CN"/>
        </w:rPr>
        <w:t>，由</w:t>
      </w:r>
      <w:r>
        <w:rPr>
          <w:rFonts w:hint="default" w:ascii="Times New Roman" w:hAnsi="Times New Roman" w:eastAsia="仿宋_GB2312" w:cs="Times New Roman"/>
          <w:b w:val="0"/>
          <w:bCs w:val="0"/>
          <w:lang w:val="en-US" w:eastAsia="zh-CN"/>
        </w:rPr>
        <w:t>县卫生健康局牵头、明确了各相关股室、乡镇（街道）卫生健康工作机构在目标实现过程中的职责分工。将“补贴发放覆盖率达到100%”的目标，分解为各乡镇（街道）需对辖区内符合条件的0-3岁婴幼儿家庭进行全面摸排，确保无遗漏；将“发放准确率达到100%”的目标，落实到资格初审、复核、终审等各审核环节的责任主体。</w:t>
      </w:r>
    </w:p>
    <w:p w14:paraId="489E7AC5">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黑体" w:cs="Times New Roman"/>
          <w:b w:val="0"/>
          <w:bCs w:val="0"/>
          <w:lang w:val="en-US" w:eastAsia="zh-CN"/>
        </w:rPr>
      </w:pPr>
      <w:r>
        <w:rPr>
          <w:rFonts w:hint="default" w:ascii="Times New Roman" w:hAnsi="Times New Roman" w:eastAsia="黑体" w:cs="Times New Roman"/>
          <w:b w:val="0"/>
          <w:bCs w:val="0"/>
          <w:lang w:val="en-US" w:eastAsia="zh-CN"/>
        </w:rPr>
        <w:t>三、项目目标实现情况分析</w:t>
      </w:r>
    </w:p>
    <w:p w14:paraId="7AA2BA6E">
      <w:pPr>
        <w:pStyle w:val="7"/>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（一）产出分析</w:t>
      </w:r>
    </w:p>
    <w:p w14:paraId="1589BA82">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sz w:val="32"/>
          <w:szCs w:val="32"/>
        </w:rPr>
        <w:t>全县</w:t>
      </w:r>
      <w:r>
        <w:rPr>
          <w:rFonts w:hint="default" w:ascii="Times New Roman" w:hAnsi="Times New Roman" w:eastAsia="仿宋_GB2312" w:cs="Times New Roman"/>
          <w:b w:val="0"/>
          <w:bCs w:val="0"/>
          <w:lang w:val="en-US" w:eastAsia="zh-CN"/>
        </w:rPr>
        <w:t>2025</w:t>
      </w:r>
      <w:r>
        <w:rPr>
          <w:rFonts w:hint="default" w:ascii="Times New Roman" w:hAnsi="Times New Roman" w:eastAsia="仿宋_GB2312" w:cs="Times New Roman"/>
          <w:b w:val="0"/>
          <w:bCs w:val="0"/>
          <w:sz w:val="32"/>
          <w:szCs w:val="32"/>
          <w:lang w:val="en-US" w:eastAsia="zh-CN"/>
        </w:rPr>
        <w:t>年共</w:t>
      </w:r>
      <w:r>
        <w:rPr>
          <w:rFonts w:hint="default" w:ascii="Times New Roman" w:hAnsi="Times New Roman" w:eastAsia="仿宋_GB2312" w:cs="Times New Roman"/>
          <w:b w:val="0"/>
          <w:bCs w:val="0"/>
          <w:sz w:val="32"/>
          <w:szCs w:val="32"/>
        </w:rPr>
        <w:t>受理育儿补贴审核通过符合条件</w:t>
      </w:r>
      <w:r>
        <w:rPr>
          <w:rFonts w:hint="default" w:ascii="Times New Roman" w:hAnsi="Times New Roman" w:eastAsia="仿宋_GB2312" w:cs="Times New Roman"/>
          <w:b w:val="0"/>
          <w:bCs w:val="0"/>
          <w:sz w:val="32"/>
          <w:szCs w:val="32"/>
          <w:lang w:val="en-US" w:eastAsia="zh-CN"/>
        </w:rPr>
        <w:t>1953人</w:t>
      </w:r>
      <w:r>
        <w:rPr>
          <w:rFonts w:hint="default" w:ascii="Times New Roman" w:hAnsi="Times New Roman" w:eastAsia="仿宋_GB2312" w:cs="Times New Roman"/>
          <w:b w:val="0"/>
          <w:bCs w:val="0"/>
          <w:sz w:val="32"/>
          <w:szCs w:val="32"/>
        </w:rPr>
        <w:t>，发放补贴资金</w:t>
      </w:r>
      <w:r>
        <w:rPr>
          <w:rFonts w:hint="default" w:ascii="Times New Roman" w:hAnsi="Times New Roman" w:eastAsia="仿宋_GB2312" w:cs="Times New Roman"/>
          <w:b w:val="0"/>
          <w:bCs w:val="0"/>
          <w:sz w:val="32"/>
          <w:szCs w:val="32"/>
          <w:lang w:val="en-US" w:eastAsia="zh-CN"/>
        </w:rPr>
        <w:t>632.22</w:t>
      </w:r>
      <w:r>
        <w:rPr>
          <w:rFonts w:hint="default" w:ascii="Times New Roman" w:hAnsi="Times New Roman" w:eastAsia="仿宋_GB2312" w:cs="Times New Roman"/>
          <w:b w:val="0"/>
          <w:bCs w:val="0"/>
          <w:sz w:val="32"/>
          <w:szCs w:val="32"/>
        </w:rPr>
        <w:t>万元</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资金拨付率为</w:t>
      </w:r>
      <w:r>
        <w:rPr>
          <w:rFonts w:hint="default" w:ascii="Times New Roman" w:hAnsi="Times New Roman" w:eastAsia="仿宋_GB2312" w:cs="Times New Roman"/>
          <w:b w:val="0"/>
          <w:bCs w:val="0"/>
          <w:lang w:val="en-US" w:eastAsia="zh-CN"/>
        </w:rPr>
        <w:t>100%</w:t>
      </w:r>
      <w:r>
        <w:rPr>
          <w:rFonts w:hint="default" w:ascii="Times New Roman" w:hAnsi="Times New Roman" w:eastAsia="仿宋_GB2312" w:cs="Times New Roman"/>
          <w:b w:val="0"/>
          <w:bCs w:val="0"/>
          <w:sz w:val="32"/>
          <w:szCs w:val="32"/>
          <w:lang w:val="en-US" w:eastAsia="zh-CN"/>
        </w:rPr>
        <w:t>。</w:t>
      </w:r>
    </w:p>
    <w:p w14:paraId="5FB74DBA">
      <w:pPr>
        <w:pStyle w:val="7"/>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（二）有效性分析</w:t>
      </w:r>
    </w:p>
    <w:p w14:paraId="3D87162D">
      <w:pPr>
        <w:pStyle w:val="41"/>
        <w:keepNext w:val="0"/>
        <w:keepLines w:val="0"/>
        <w:pageBreakBefore w:val="0"/>
        <w:widowControl w:val="0"/>
        <w:numPr>
          <w:ilvl w:val="0"/>
          <w:numId w:val="0"/>
        </w:numPr>
        <w:kinsoku/>
        <w:wordWrap/>
        <w:overflowPunct/>
        <w:topLinePunct w:val="0"/>
        <w:autoSpaceDE/>
        <w:autoSpaceDN/>
        <w:bidi w:val="0"/>
        <w:adjustRightInd/>
        <w:snapToGrid/>
        <w:spacing w:line="556" w:lineRule="exact"/>
        <w:ind w:right="0" w:rightChars="0" w:firstLine="643"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b w:val="0"/>
          <w:bCs w:val="0"/>
          <w:sz w:val="32"/>
          <w:szCs w:val="32"/>
        </w:rPr>
        <w:t>截至</w:t>
      </w:r>
      <w:r>
        <w:rPr>
          <w:rFonts w:hint="default" w:ascii="Times New Roman" w:hAnsi="Times New Roman" w:eastAsia="仿宋_GB2312" w:cs="Times New Roman"/>
          <w:b w:val="0"/>
          <w:bCs w:val="0"/>
          <w:sz w:val="32"/>
          <w:szCs w:val="32"/>
          <w:lang w:val="en-US" w:eastAsia="zh-CN"/>
        </w:rPr>
        <w:t>2026年2月2日</w:t>
      </w:r>
      <w:r>
        <w:rPr>
          <w:rFonts w:hint="default" w:ascii="Times New Roman" w:hAnsi="Times New Roman" w:eastAsia="仿宋_GB2312" w:cs="Times New Roman"/>
          <w:b w:val="0"/>
          <w:bCs w:val="0"/>
          <w:sz w:val="32"/>
          <w:szCs w:val="32"/>
        </w:rPr>
        <w:t>，全县累计</w:t>
      </w:r>
      <w:r>
        <w:rPr>
          <w:rFonts w:hint="default" w:ascii="Times New Roman" w:hAnsi="Times New Roman" w:eastAsia="仿宋_GB2312" w:cs="Times New Roman"/>
          <w:b w:val="0"/>
          <w:bCs w:val="0"/>
          <w:lang w:val="en-US" w:eastAsia="zh-CN"/>
        </w:rPr>
        <w:t>2025</w:t>
      </w:r>
      <w:r>
        <w:rPr>
          <w:rFonts w:hint="default" w:ascii="Times New Roman" w:hAnsi="Times New Roman" w:eastAsia="仿宋_GB2312" w:cs="Times New Roman"/>
          <w:b w:val="0"/>
          <w:bCs w:val="0"/>
          <w:sz w:val="32"/>
          <w:szCs w:val="32"/>
          <w:lang w:val="en-US" w:eastAsia="zh-CN"/>
        </w:rPr>
        <w:t>年</w:t>
      </w:r>
      <w:r>
        <w:rPr>
          <w:rFonts w:hint="default" w:ascii="Times New Roman" w:hAnsi="Times New Roman" w:eastAsia="仿宋_GB2312" w:cs="Times New Roman"/>
          <w:b w:val="0"/>
          <w:bCs w:val="0"/>
          <w:sz w:val="32"/>
          <w:szCs w:val="32"/>
        </w:rPr>
        <w:t>受理育儿补贴审核通过符合条件</w:t>
      </w:r>
      <w:r>
        <w:rPr>
          <w:rFonts w:hint="default" w:ascii="Times New Roman" w:hAnsi="Times New Roman" w:eastAsia="仿宋_GB2312" w:cs="Times New Roman"/>
          <w:b w:val="0"/>
          <w:bCs w:val="0"/>
          <w:sz w:val="32"/>
          <w:szCs w:val="32"/>
          <w:lang w:val="en-US" w:eastAsia="zh-CN"/>
        </w:rPr>
        <w:t>1953人</w:t>
      </w:r>
      <w:r>
        <w:rPr>
          <w:rFonts w:hint="default" w:ascii="Times New Roman" w:hAnsi="Times New Roman" w:eastAsia="仿宋_GB2312" w:cs="Times New Roman"/>
          <w:b w:val="0"/>
          <w:bCs w:val="0"/>
          <w:sz w:val="32"/>
          <w:szCs w:val="32"/>
        </w:rPr>
        <w:t>，发放补贴资金</w:t>
      </w:r>
      <w:r>
        <w:rPr>
          <w:rFonts w:hint="default" w:ascii="Times New Roman" w:hAnsi="Times New Roman" w:eastAsia="仿宋_GB2312" w:cs="Times New Roman"/>
          <w:b w:val="0"/>
          <w:bCs w:val="0"/>
          <w:sz w:val="32"/>
          <w:szCs w:val="32"/>
          <w:lang w:val="en-US" w:eastAsia="zh-CN"/>
        </w:rPr>
        <w:t>632.22</w:t>
      </w:r>
      <w:r>
        <w:rPr>
          <w:rFonts w:hint="default" w:ascii="Times New Roman" w:hAnsi="Times New Roman" w:eastAsia="仿宋_GB2312" w:cs="Times New Roman"/>
          <w:b w:val="0"/>
          <w:bCs w:val="0"/>
          <w:sz w:val="32"/>
          <w:szCs w:val="32"/>
        </w:rPr>
        <w:t>万元</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资金拨付率为</w:t>
      </w:r>
      <w:r>
        <w:rPr>
          <w:rFonts w:hint="default" w:ascii="Times New Roman" w:hAnsi="Times New Roman" w:eastAsia="仿宋_GB2312" w:cs="Times New Roman"/>
          <w:b w:val="0"/>
          <w:bCs w:val="0"/>
          <w:lang w:val="en-US" w:eastAsia="zh-CN"/>
        </w:rPr>
        <w:t>100%</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b w:val="0"/>
          <w:bCs w:val="0"/>
          <w:sz w:val="32"/>
          <w:szCs w:val="32"/>
        </w:rPr>
        <w:t xml:space="preserve">强化宣传引导，提升政策知晓率 </w:t>
      </w:r>
      <w:r>
        <w:rPr>
          <w:rFonts w:hint="default" w:ascii="Times New Roman" w:hAnsi="Times New Roman" w:eastAsia="仿宋_GB2312" w:cs="Times New Roman"/>
          <w:b w:val="0"/>
          <w:bCs w:val="0"/>
          <w:sz w:val="32"/>
          <w:szCs w:val="32"/>
          <w:lang w:eastAsia="zh-CN"/>
        </w:rPr>
        <w:t>，通过</w:t>
      </w:r>
      <w:r>
        <w:rPr>
          <w:rFonts w:hint="default" w:ascii="Times New Roman" w:hAnsi="Times New Roman" w:eastAsia="仿宋_GB2312" w:cs="Times New Roman"/>
          <w:b w:val="0"/>
          <w:bCs w:val="0"/>
          <w:sz w:val="32"/>
          <w:szCs w:val="32"/>
        </w:rPr>
        <w:t>多渠道、全方位开展育儿补贴政策宣传，让政策红利家喻户晓。通过县卫健局微信公众号发布政策原文、申领流程、常见问题解答，制作</w:t>
      </w:r>
      <w:r>
        <w:rPr>
          <w:rFonts w:hint="default" w:ascii="Times New Roman" w:hAnsi="Times New Roman" w:eastAsia="仿宋_GB2312" w:cs="Times New Roman"/>
          <w:b w:val="0"/>
          <w:bCs w:val="0"/>
          <w:sz w:val="32"/>
          <w:szCs w:val="32"/>
          <w:lang w:eastAsia="zh-CN"/>
        </w:rPr>
        <w:t>藏汉双语宣传手册，通过群众大会、</w:t>
      </w:r>
      <w:r>
        <w:rPr>
          <w:rFonts w:hint="default" w:ascii="Times New Roman" w:hAnsi="Times New Roman" w:eastAsia="仿宋_GB2312" w:cs="Times New Roman"/>
          <w:b w:val="0"/>
          <w:bCs w:val="0"/>
          <w:sz w:val="32"/>
          <w:szCs w:val="32"/>
        </w:rPr>
        <w:t>入户走访，面对面解读补贴对象、补贴标准、申领方式等核心内容，及时解答群众疑问，消除政策认知误区，确保符合条件家庭主动申领、应享尽享。</w:t>
      </w:r>
    </w:p>
    <w:p w14:paraId="0F80C35B">
      <w:pPr>
        <w:pStyle w:val="7"/>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（三）社会性分析</w:t>
      </w:r>
    </w:p>
    <w:p w14:paraId="4FBFD47E">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育儿补贴的发放有效缓解了松潘县0-3岁婴幼儿家庭的经济压力，使家庭在婴幼儿照护、营养改善、早期教育等方面的投入能力得到实质性提升。一定程度上减轻了他们在育儿方面的后顾之忧，让家长能够更专注于婴幼儿的健康成长和科学养育。同时，精准的补贴发放和广泛的政策宣传，提升了群众对卫生健康工作的认可度和满意度，增强了政策的公信力，为后续相关惠民政策的推行奠定了良好的群众基础。</w:t>
      </w:r>
    </w:p>
    <w:p w14:paraId="0347A18D">
      <w:pPr>
        <w:pStyle w:val="7"/>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（四）据实结算资金情况</w:t>
      </w:r>
    </w:p>
    <w:p w14:paraId="6C668826">
      <w:pPr>
        <w:pStyle w:val="7"/>
        <w:keepNext w:val="0"/>
        <w:keepLines w:val="0"/>
        <w:pageBreakBefore w:val="0"/>
        <w:widowControl w:val="0"/>
        <w:numPr>
          <w:ilvl w:val="0"/>
          <w:numId w:val="0"/>
        </w:numPr>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2025年度育儿补贴项目预算资金690.58万元，实际下达674.87万元，其中系县级配套资金15.71万元还未到账。本年度实际发放632.22万元，资金结余42.65万元。</w:t>
      </w:r>
    </w:p>
    <w:p w14:paraId="1233E6FD">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黑体" w:cs="Times New Roman"/>
          <w:b w:val="0"/>
          <w:bCs w:val="0"/>
          <w:lang w:val="en-US" w:eastAsia="zh-CN"/>
        </w:rPr>
      </w:pPr>
      <w:r>
        <w:rPr>
          <w:rFonts w:hint="default" w:ascii="Times New Roman" w:hAnsi="Times New Roman" w:eastAsia="黑体" w:cs="Times New Roman"/>
          <w:b w:val="0"/>
          <w:bCs w:val="0"/>
          <w:lang w:val="en-US" w:eastAsia="zh-CN"/>
        </w:rPr>
        <w:t>四、自评结论</w:t>
      </w:r>
    </w:p>
    <w:p w14:paraId="69DC4127">
      <w:pPr>
        <w:pStyle w:val="7"/>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（一）评价结论</w:t>
      </w:r>
    </w:p>
    <w:p w14:paraId="7080D8C5">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松潘县2025年度育儿补贴项目绩效自评综合得分为85分，总体项目实施效果良好。主要指标数据表现如下：补贴发放覆盖率达到100%，实际覆盖符合条件的0-3岁婴幼儿家庭1953人，实现了应享尽享；补贴发放准确率达到100%，通过严格的资格审核与“一卡通”系统发放，未发生错发、漏发现象；政策知晓率经问卷调查和实地走访评估，达到90%以上，资金使用规范，未出现违规挪用情况。项目的实施有效减轻了家庭育儿负担，提升了群众满意度和</w:t>
      </w:r>
      <w:r>
        <w:rPr>
          <w:rFonts w:hint="eastAsia" w:ascii="Times New Roman" w:cs="Times New Roman"/>
          <w:b w:val="0"/>
          <w:bCs w:val="0"/>
          <w:lang w:val="en-US" w:eastAsia="zh-CN"/>
        </w:rPr>
        <w:t>政府公信力</w:t>
      </w:r>
      <w:r>
        <w:rPr>
          <w:rFonts w:hint="default" w:ascii="Times New Roman" w:hAnsi="Times New Roman" w:eastAsia="仿宋_GB2312" w:cs="Times New Roman"/>
          <w:b w:val="0"/>
          <w:bCs w:val="0"/>
          <w:lang w:val="en-US" w:eastAsia="zh-CN"/>
        </w:rPr>
        <w:t>。</w:t>
      </w:r>
    </w:p>
    <w:p w14:paraId="20400702">
      <w:pPr>
        <w:pStyle w:val="7"/>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（二）主要经验及做法</w:t>
      </w:r>
    </w:p>
    <w:p w14:paraId="627C38C1">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在项目推进过程中，松潘县卫生健康局积累了以下主要经验及做法：</w:t>
      </w:r>
      <w:r>
        <w:rPr>
          <w:rFonts w:hint="default" w:ascii="Times New Roman" w:hAnsi="Times New Roman" w:eastAsia="仿宋_GB2312" w:cs="Times New Roman"/>
          <w:b/>
          <w:bCs/>
          <w:lang w:val="en-US" w:eastAsia="zh-CN"/>
        </w:rPr>
        <w:t>一是</w:t>
      </w:r>
      <w:r>
        <w:rPr>
          <w:rFonts w:hint="default" w:ascii="Times New Roman" w:hAnsi="Times New Roman" w:eastAsia="仿宋_GB2312" w:cs="Times New Roman"/>
          <w:b w:val="0"/>
          <w:bCs w:val="0"/>
          <w:lang w:val="en-US" w:eastAsia="zh-CN"/>
        </w:rPr>
        <w:t>坚持高位推动与部门协同并重。局领导班子高度重视育儿补贴项目，将其作为重要民生工程来抓，定期召开专题会议研究解决项目实施中遇到的问题。同时，加强与财政、乡镇（街道）等部门的沟通协调，建立了信息共享。</w:t>
      </w:r>
      <w:r>
        <w:rPr>
          <w:rFonts w:hint="default" w:ascii="Times New Roman" w:hAnsi="Times New Roman" w:eastAsia="仿宋_GB2312" w:cs="Times New Roman"/>
          <w:b/>
          <w:bCs/>
          <w:lang w:val="en-US" w:eastAsia="zh-CN"/>
        </w:rPr>
        <w:t>二是</w:t>
      </w:r>
      <w:r>
        <w:rPr>
          <w:rFonts w:hint="default" w:ascii="Times New Roman" w:hAnsi="Times New Roman" w:eastAsia="仿宋_GB2312" w:cs="Times New Roman"/>
          <w:b w:val="0"/>
          <w:bCs w:val="0"/>
          <w:lang w:val="en-US" w:eastAsia="zh-CN"/>
        </w:rPr>
        <w:t>注重政策宣传的精准化与多样化。针对松潘县地域特点和民族构成，在政策宣传上既运用现代媒体手段，如微信公众号、居民微信群等进行广泛覆盖，又结合基层实际，组织工作人员通过群众大会、入户走访、藏汉双语宣传等方式进行面对面讲解，确保不同年龄、不同文化程度的群众都能准确理解政策内容，有效提升了政策知晓率和群众参与度。</w:t>
      </w:r>
      <w:r>
        <w:rPr>
          <w:rFonts w:hint="default" w:ascii="Times New Roman" w:hAnsi="Times New Roman" w:eastAsia="仿宋_GB2312" w:cs="Times New Roman"/>
          <w:b/>
          <w:bCs/>
          <w:lang w:val="en-US" w:eastAsia="zh-CN"/>
        </w:rPr>
        <w:t>三是</w:t>
      </w:r>
      <w:r>
        <w:rPr>
          <w:rFonts w:hint="default" w:ascii="Times New Roman" w:hAnsi="Times New Roman" w:eastAsia="仿宋_GB2312" w:cs="Times New Roman"/>
          <w:b w:val="0"/>
          <w:bCs w:val="0"/>
          <w:lang w:val="en-US" w:eastAsia="zh-CN"/>
        </w:rPr>
        <w:t>强化过程管理与风险防控。严格执行补贴对象资格审核，对每一户申请家庭的信息都进行仔细核查，确保信息真实准确。同时，加强对资金发放全流程的监管，依托“一卡通”系统实现资金直达受益家庭，减少中间环节，有效防范了资金截留、挪用等风险，保障了资金发放的安全与精准。</w:t>
      </w:r>
    </w:p>
    <w:p w14:paraId="468C478A">
      <w:pPr>
        <w:pStyle w:val="7"/>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（三）存在的困难、问题及原因</w:t>
      </w:r>
    </w:p>
    <w:p w14:paraId="1604CC0C">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尽管项目整体推进顺利，但在实施过程中仍面临一些困难和问题，主要体现在以下方面：</w:t>
      </w:r>
      <w:r>
        <w:rPr>
          <w:rFonts w:hint="default" w:ascii="Times New Roman" w:hAnsi="Times New Roman" w:eastAsia="仿宋_GB2312" w:cs="Times New Roman"/>
          <w:b/>
          <w:bCs/>
          <w:lang w:val="en-US" w:eastAsia="zh-CN"/>
        </w:rPr>
        <w:t>一是</w:t>
      </w:r>
      <w:r>
        <w:rPr>
          <w:rFonts w:hint="default" w:ascii="Times New Roman" w:hAnsi="Times New Roman" w:eastAsia="仿宋_GB2312" w:cs="Times New Roman"/>
          <w:b w:val="0"/>
          <w:bCs w:val="0"/>
          <w:lang w:val="en-US" w:eastAsia="zh-CN"/>
        </w:rPr>
        <w:t>部分偏远乡镇信息传递时效性不足。松潘县部分乡镇地处农牧民地区，信息网络覆盖存在薄弱环节，导致政策宣传、申请材料收集和审核反馈等工作周期相对较长，一定程度上影响了补贴发放的及时性。</w:t>
      </w:r>
      <w:r>
        <w:rPr>
          <w:rFonts w:hint="default" w:ascii="Times New Roman" w:hAnsi="Times New Roman" w:eastAsia="仿宋_GB2312" w:cs="Times New Roman"/>
          <w:b/>
          <w:bCs/>
          <w:lang w:val="en-US" w:eastAsia="zh-CN"/>
        </w:rPr>
        <w:t>二是</w:t>
      </w:r>
      <w:r>
        <w:rPr>
          <w:rFonts w:hint="default" w:ascii="Times New Roman" w:hAnsi="Times New Roman" w:eastAsia="仿宋_GB2312" w:cs="Times New Roman"/>
          <w:b w:val="0"/>
          <w:bCs w:val="0"/>
          <w:lang w:val="en-US" w:eastAsia="zh-CN"/>
        </w:rPr>
        <w:t>基层乡镇审核人员业务能力有待提升。育儿补贴政策涉及的资格条件、系统操作等内容较为细致，部分乡镇的基层审核人员对政策理解不够深入，对信息系统操作不够熟练。</w:t>
      </w:r>
    </w:p>
    <w:p w14:paraId="1F05AE41">
      <w:pPr>
        <w:pStyle w:val="7"/>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（四）工作建议</w:t>
      </w:r>
    </w:p>
    <w:p w14:paraId="47B18B1A">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针对项目实施过程中存在的困难和问题，为进一步提升育儿补贴项目的实施效果和管理水平，现提出以下工作建议：</w:t>
      </w:r>
    </w:p>
    <w:p w14:paraId="03249947">
      <w:pPr>
        <w:pStyle w:val="7"/>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bCs/>
          <w:lang w:val="en-US" w:eastAsia="zh-CN"/>
        </w:rPr>
        <w:t>一是</w:t>
      </w:r>
      <w:r>
        <w:rPr>
          <w:rFonts w:hint="default" w:ascii="Times New Roman" w:hAnsi="Times New Roman" w:eastAsia="仿宋_GB2312" w:cs="Times New Roman"/>
          <w:b w:val="0"/>
          <w:bCs w:val="0"/>
          <w:lang w:val="en-US" w:eastAsia="zh-CN"/>
        </w:rPr>
        <w:t>加强偏远农牧民地区宣传指导。建议地方政府多派懂藏语的工作人员进行宣讲指导，特别是常年在牧区生活的藏族同胞。</w:t>
      </w:r>
      <w:r>
        <w:rPr>
          <w:rFonts w:hint="default" w:ascii="Times New Roman" w:hAnsi="Times New Roman" w:eastAsia="仿宋_GB2312" w:cs="Times New Roman"/>
          <w:b/>
          <w:bCs/>
          <w:lang w:val="en-US" w:eastAsia="zh-CN"/>
        </w:rPr>
        <w:t>二是</w:t>
      </w:r>
      <w:r>
        <w:rPr>
          <w:rFonts w:hint="default" w:ascii="Times New Roman" w:hAnsi="Times New Roman" w:eastAsia="仿宋_GB2312" w:cs="Times New Roman"/>
          <w:b w:val="0"/>
          <w:bCs w:val="0"/>
          <w:lang w:val="en-US" w:eastAsia="zh-CN"/>
        </w:rPr>
        <w:t>强化基层审核人员业务培训与能力建设。建议定期组织乡镇（街道）、村（社区）审核人员进行政策法规、系统操作、资料审核等方面的专题培训和实操演练，邀请上级业务骨干或专业人员进行指导，提升基层人员对政策的理解深度和业务操作熟练度。</w:t>
      </w:r>
      <w:r>
        <w:rPr>
          <w:rFonts w:hint="default" w:ascii="Times New Roman" w:hAnsi="Times New Roman" w:eastAsia="仿宋_GB2312" w:cs="Times New Roman"/>
          <w:b/>
          <w:bCs/>
          <w:lang w:val="en-US" w:eastAsia="zh-CN"/>
        </w:rPr>
        <w:t>三是</w:t>
      </w:r>
      <w:r>
        <w:rPr>
          <w:rFonts w:hint="default" w:ascii="Times New Roman" w:hAnsi="Times New Roman" w:eastAsia="仿宋_GB2312" w:cs="Times New Roman"/>
          <w:b w:val="0"/>
          <w:bCs w:val="0"/>
          <w:lang w:val="en-US" w:eastAsia="zh-CN"/>
        </w:rPr>
        <w:t>健全跨部门信息共享机制与动态管理体系。积极推动与公安、民政、社保、教育等部门建立常态化的信息共享，实现婴幼儿户籍信息、家庭变动、外出务工等数据的实时查询与比对，及时掌握补贴对象的动态变化。确保补贴对象信息的准确性和时效性，提升动态管理的精准度。</w:t>
      </w:r>
      <w:r>
        <w:rPr>
          <w:rFonts w:hint="default" w:ascii="Times New Roman" w:hAnsi="Times New Roman" w:eastAsia="仿宋_GB2312" w:cs="Times New Roman"/>
          <w:b/>
          <w:bCs/>
          <w:lang w:val="en-US" w:eastAsia="zh-CN"/>
        </w:rPr>
        <w:t>四是</w:t>
      </w:r>
      <w:r>
        <w:rPr>
          <w:rFonts w:hint="default" w:ascii="Times New Roman" w:hAnsi="Times New Roman" w:eastAsia="仿宋_GB2312" w:cs="Times New Roman"/>
          <w:b w:val="0"/>
          <w:bCs w:val="0"/>
          <w:lang w:val="en-US" w:eastAsia="zh-CN"/>
        </w:rPr>
        <w:t>优化县级配套资金保障与拨付机制。建议县级财政部门积极统筹财政资源，在预算中优先保障育儿补贴等民生项目的配套资金需求，确保资金及时足额到位。</w:t>
      </w:r>
    </w:p>
    <w:p w14:paraId="30D91B7D">
      <w:pPr>
        <w:pStyle w:val="7"/>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黑体" w:cs="Times New Roman"/>
          <w:b w:val="0"/>
          <w:bCs w:val="0"/>
          <w:lang w:val="en-US" w:eastAsia="zh-CN"/>
        </w:rPr>
      </w:pPr>
      <w:r>
        <w:rPr>
          <w:rFonts w:hint="default" w:ascii="Times New Roman" w:hAnsi="Times New Roman" w:eastAsia="黑体" w:cs="Times New Roman"/>
          <w:b w:val="0"/>
          <w:bCs w:val="0"/>
          <w:lang w:val="en-US" w:eastAsia="zh-CN"/>
        </w:rPr>
        <w:t>五、建议</w:t>
      </w:r>
    </w:p>
    <w:p w14:paraId="50E2AAE4">
      <w:pPr>
        <w:pStyle w:val="7"/>
        <w:keepNext w:val="0"/>
        <w:keepLines w:val="0"/>
        <w:pageBreakBefore w:val="0"/>
        <w:widowControl w:val="0"/>
        <w:numPr>
          <w:ilvl w:val="0"/>
          <w:numId w:val="0"/>
        </w:numPr>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bCs/>
          <w:lang w:val="en-US" w:eastAsia="zh-CN"/>
        </w:rPr>
        <w:t>一是</w:t>
      </w:r>
      <w:r>
        <w:rPr>
          <w:rFonts w:hint="default" w:ascii="Times New Roman" w:hAnsi="Times New Roman" w:eastAsia="仿宋_GB2312" w:cs="Times New Roman"/>
          <w:b w:val="0"/>
          <w:bCs w:val="0"/>
          <w:lang w:val="en-US" w:eastAsia="zh-CN"/>
        </w:rPr>
        <w:t>上级部门对育儿补贴工作进行调研时，可进一步考虑民族地区的实际情况和特殊需求，在政策框架内给予一定的灵活性和倾斜支持。例如，多支持松潘县在藏汉双语宣传、基层协同等方面的经验做法，</w:t>
      </w:r>
      <w:r>
        <w:rPr>
          <w:rFonts w:hint="eastAsia" w:ascii="Times New Roman" w:cs="Times New Roman"/>
          <w:b w:val="0"/>
          <w:bCs w:val="0"/>
          <w:lang w:val="en-US" w:eastAsia="zh-CN"/>
        </w:rPr>
        <w:t>为</w:t>
      </w:r>
      <w:r>
        <w:rPr>
          <w:rFonts w:hint="default" w:ascii="Times New Roman" w:hAnsi="Times New Roman" w:eastAsia="仿宋_GB2312" w:cs="Times New Roman"/>
          <w:b w:val="0"/>
          <w:bCs w:val="0"/>
          <w:lang w:val="en-US" w:eastAsia="zh-CN"/>
        </w:rPr>
        <w:t>偏远农牧民地区推动育儿补贴政策落地见效、惠及更多家庭。</w:t>
      </w:r>
      <w:r>
        <w:rPr>
          <w:rFonts w:hint="default" w:ascii="Times New Roman" w:hAnsi="Times New Roman" w:eastAsia="仿宋_GB2312" w:cs="Times New Roman"/>
          <w:b/>
          <w:bCs/>
          <w:lang w:val="en-US" w:eastAsia="zh-CN"/>
        </w:rPr>
        <w:t>二是</w:t>
      </w:r>
      <w:r>
        <w:rPr>
          <w:rFonts w:hint="default" w:ascii="Times New Roman" w:hAnsi="Times New Roman" w:eastAsia="仿宋_GB2312" w:cs="Times New Roman"/>
          <w:b w:val="0"/>
          <w:bCs w:val="0"/>
          <w:lang w:val="en-US" w:eastAsia="zh-CN"/>
        </w:rPr>
        <w:t>建议上级部门能统一出台一些育儿补贴政策宣传及指导手册。</w:t>
      </w:r>
    </w:p>
    <w:p w14:paraId="4CDAC208">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0BF53759">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050899AB">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3534589B">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pPr>
    </w:p>
    <w:p w14:paraId="4DFEB17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松潘县卫生健康局</w:t>
      </w:r>
    </w:p>
    <w:p w14:paraId="3F6A635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w:t>
      </w:r>
      <w:r>
        <w:rPr>
          <w:rFonts w:hint="default"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rPr>
        <w:t>年度计划生育</w:t>
      </w:r>
      <w:r>
        <w:rPr>
          <w:rFonts w:hint="default" w:ascii="Times New Roman" w:hAnsi="Times New Roman" w:eastAsia="方正小标宋简体" w:cs="Times New Roman"/>
          <w:sz w:val="44"/>
          <w:szCs w:val="44"/>
          <w:lang w:eastAsia="zh-CN"/>
        </w:rPr>
        <w:t>奖特扶</w:t>
      </w:r>
      <w:r>
        <w:rPr>
          <w:rFonts w:hint="default" w:ascii="Times New Roman" w:hAnsi="Times New Roman" w:eastAsia="方正小标宋简体" w:cs="Times New Roman"/>
          <w:sz w:val="44"/>
          <w:szCs w:val="44"/>
        </w:rPr>
        <w:t>绩效自评报告</w:t>
      </w:r>
    </w:p>
    <w:p w14:paraId="0FAB7A70">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仿宋_GB2312" w:cs="Times New Roman"/>
          <w:sz w:val="32"/>
          <w:szCs w:val="32"/>
          <w:lang w:eastAsia="zh-CN"/>
        </w:rPr>
      </w:pPr>
    </w:p>
    <w:p w14:paraId="587CD70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一、项目基本情况</w:t>
      </w:r>
    </w:p>
    <w:p w14:paraId="65F04033">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eastAsia="zh-CN"/>
        </w:rPr>
      </w:pPr>
      <w:r>
        <w:rPr>
          <w:rFonts w:hint="eastAsia" w:eastAsia="楷体_GB2312" w:cs="Times New Roman"/>
          <w:b/>
          <w:bCs/>
          <w:sz w:val="32"/>
          <w:szCs w:val="32"/>
          <w:lang w:eastAsia="zh-CN"/>
        </w:rPr>
        <w:t>（一）</w:t>
      </w:r>
      <w:r>
        <w:rPr>
          <w:rFonts w:hint="default" w:ascii="Times New Roman" w:hAnsi="Times New Roman" w:eastAsia="楷体_GB2312" w:cs="Times New Roman"/>
          <w:b/>
          <w:bCs/>
          <w:sz w:val="32"/>
          <w:szCs w:val="32"/>
        </w:rPr>
        <w:t>项目概况。</w:t>
      </w:r>
      <w:r>
        <w:rPr>
          <w:rFonts w:hint="default" w:ascii="Times New Roman" w:hAnsi="Times New Roman" w:eastAsia="仿宋_GB2312" w:cs="Times New Roman"/>
          <w:sz w:val="32"/>
          <w:szCs w:val="32"/>
          <w:lang w:eastAsia="zh-CN"/>
        </w:rPr>
        <w:t>项目实施主体县卫健局、覆盖地区松潘县各乡镇（场）辖区内符合条件人员、受益人群符合农村计划生育家庭奖励扶助制度、计划生育家庭特别扶助制度人员。主要内容：农村部分计划生育家庭奖励扶助条件：</w:t>
      </w:r>
      <w:r>
        <w:rPr>
          <w:rFonts w:hint="default" w:ascii="Times New Roman" w:hAnsi="Times New Roman" w:eastAsia="仿宋_GB2312" w:cs="Times New Roman"/>
          <w:b/>
          <w:bCs/>
          <w:sz w:val="32"/>
          <w:szCs w:val="32"/>
          <w:lang w:eastAsia="zh-CN"/>
        </w:rPr>
        <w:t>一是</w:t>
      </w:r>
      <w:r>
        <w:rPr>
          <w:rFonts w:hint="default" w:ascii="Times New Roman" w:hAnsi="Times New Roman" w:eastAsia="仿宋_GB2312" w:cs="Times New Roman"/>
          <w:sz w:val="32"/>
          <w:szCs w:val="32"/>
          <w:lang w:eastAsia="zh-CN"/>
        </w:rPr>
        <w:t>本人为农业户口或界定为农村居民户口，且户口在本乡（镇、街道）。</w:t>
      </w:r>
      <w:r>
        <w:rPr>
          <w:rFonts w:hint="default" w:ascii="Times New Roman" w:hAnsi="Times New Roman" w:eastAsia="仿宋_GB2312" w:cs="Times New Roman"/>
          <w:b/>
          <w:bCs/>
          <w:sz w:val="32"/>
          <w:szCs w:val="32"/>
          <w:lang w:eastAsia="zh-CN"/>
        </w:rPr>
        <w:t>二是</w:t>
      </w:r>
      <w:r>
        <w:rPr>
          <w:rFonts w:hint="default" w:ascii="Times New Roman" w:hAnsi="Times New Roman" w:eastAsia="仿宋_GB2312" w:cs="Times New Roman"/>
          <w:sz w:val="32"/>
          <w:szCs w:val="32"/>
          <w:lang w:eastAsia="zh-CN"/>
        </w:rPr>
        <w:t>本人或配偶曾经生育子女，本人及配偶没有违反计划生育法规和政策规定生育。</w:t>
      </w:r>
      <w:r>
        <w:rPr>
          <w:rFonts w:hint="default" w:ascii="Times New Roman" w:hAnsi="Times New Roman" w:eastAsia="仿宋_GB2312" w:cs="Times New Roman"/>
          <w:b/>
          <w:bCs/>
          <w:sz w:val="32"/>
          <w:szCs w:val="32"/>
          <w:lang w:eastAsia="zh-CN"/>
        </w:rPr>
        <w:t>三是</w:t>
      </w:r>
      <w:r>
        <w:rPr>
          <w:rFonts w:hint="default" w:ascii="Times New Roman" w:hAnsi="Times New Roman" w:eastAsia="仿宋_GB2312" w:cs="Times New Roman"/>
          <w:sz w:val="32"/>
          <w:szCs w:val="32"/>
          <w:lang w:eastAsia="zh-CN"/>
        </w:rPr>
        <w:t>本人及配偶现存一个子女，或现存两个女孩，或子女死亡现无子女。四是1933年1月1日以后出生，藏区男女均年满55周岁。符合奖励扶助条件人员发放奖励金每人每月</w:t>
      </w:r>
      <w:r>
        <w:rPr>
          <w:rFonts w:hint="default" w:ascii="Times New Roman" w:hAnsi="Times New Roman" w:eastAsia="仿宋_GB2312" w:cs="Times New Roman"/>
          <w:sz w:val="32"/>
          <w:szCs w:val="32"/>
          <w:lang w:val="en-US" w:eastAsia="zh-CN"/>
        </w:rPr>
        <w:t>80元。</w:t>
      </w:r>
      <w:r>
        <w:rPr>
          <w:rFonts w:hint="default" w:ascii="Times New Roman" w:hAnsi="Times New Roman" w:eastAsia="仿宋_GB2312" w:cs="Times New Roman"/>
          <w:sz w:val="32"/>
          <w:szCs w:val="32"/>
          <w:lang w:eastAsia="zh-CN"/>
        </w:rPr>
        <w:t>特别扶助对象的基本条件：四川省户籍人口中独生子女死亡或伤、病残后未再生育或收养子女家庭的夫妻。应同时符合以下条件：</w:t>
      </w: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eastAsia="zh-CN"/>
        </w:rPr>
        <w:t>应在1933年1月1日以后出生，女方须年满49周岁；</w:t>
      </w:r>
      <w:r>
        <w:rPr>
          <w:rFonts w:hint="default" w:ascii="Times New Roman" w:hAnsi="Times New Roman" w:eastAsia="仿宋_GB2312" w:cs="Times New Roman"/>
          <w:b/>
          <w:bCs/>
          <w:sz w:val="32"/>
          <w:szCs w:val="32"/>
          <w:lang w:eastAsia="zh-CN"/>
        </w:rPr>
        <w:t>二是</w:t>
      </w:r>
      <w:r>
        <w:rPr>
          <w:rFonts w:hint="default" w:ascii="Times New Roman" w:hAnsi="Times New Roman" w:eastAsia="仿宋_GB2312" w:cs="Times New Roman"/>
          <w:sz w:val="32"/>
          <w:szCs w:val="32"/>
          <w:lang w:eastAsia="zh-CN"/>
        </w:rPr>
        <w:t>只生育一个子女或合法收养一个子女；</w:t>
      </w:r>
      <w:r>
        <w:rPr>
          <w:rFonts w:hint="default" w:ascii="Times New Roman" w:hAnsi="Times New Roman" w:eastAsia="仿宋_GB2312" w:cs="Times New Roman"/>
          <w:b/>
          <w:bCs/>
          <w:sz w:val="32"/>
          <w:szCs w:val="32"/>
          <w:lang w:eastAsia="zh-CN"/>
        </w:rPr>
        <w:t>三是</w:t>
      </w:r>
      <w:r>
        <w:rPr>
          <w:rFonts w:hint="default" w:ascii="Times New Roman" w:hAnsi="Times New Roman" w:eastAsia="仿宋_GB2312" w:cs="Times New Roman"/>
          <w:sz w:val="32"/>
          <w:szCs w:val="32"/>
          <w:lang w:eastAsia="zh-CN"/>
        </w:rPr>
        <w:t>现无存活子女或独生子女被依法鉴定为残疾（伤病残达到三级以上）。符合特别扶助条件人员发放奖励金每人每月</w:t>
      </w:r>
      <w:r>
        <w:rPr>
          <w:rFonts w:hint="default" w:ascii="Times New Roman" w:hAnsi="Times New Roman" w:eastAsia="仿宋_GB2312" w:cs="Times New Roman"/>
          <w:sz w:val="32"/>
          <w:szCs w:val="32"/>
          <w:lang w:val="en-US" w:eastAsia="zh-CN"/>
        </w:rPr>
        <w:t>1125元（独生子女死亡）、890元（独生子女伤残）。</w:t>
      </w:r>
    </w:p>
    <w:p w14:paraId="5E8B253A">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农村部分计划生育家庭奖励扶助制度、计划生育家庭特别扶助制度工作是党和国家实施的一项重要民生工程，对于稳定低生育水平、促进人口长期均衡发展、保障计划生育家庭权益具有重要意义。松潘县始终高度重视此项工作，将其作为提升群众幸福感和获得感的重要举措，通过精准识别、规范发放、动态管理等方式，确保政策红利不折不扣落实到符合条件的群众手中。</w:t>
      </w:r>
    </w:p>
    <w:p w14:paraId="72B4ABEC">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eastAsia" w:eastAsia="楷体_GB2312" w:cs="Times New Roman"/>
          <w:b/>
          <w:bCs/>
          <w:sz w:val="32"/>
          <w:szCs w:val="32"/>
          <w:lang w:eastAsia="zh-CN"/>
        </w:rPr>
        <w:t>（二）</w:t>
      </w:r>
      <w:r>
        <w:rPr>
          <w:rFonts w:hint="default" w:ascii="Times New Roman" w:hAnsi="Times New Roman" w:eastAsia="楷体_GB2312" w:cs="Times New Roman"/>
          <w:b/>
          <w:bCs/>
          <w:sz w:val="32"/>
          <w:szCs w:val="32"/>
        </w:rPr>
        <w:t>项目绩效目标情况。</w:t>
      </w:r>
      <w:r>
        <w:rPr>
          <w:rFonts w:hint="default" w:ascii="Times New Roman" w:hAnsi="Times New Roman" w:eastAsia="仿宋_GB2312" w:cs="Times New Roman"/>
          <w:sz w:val="32"/>
          <w:szCs w:val="32"/>
          <w:lang w:eastAsia="zh-CN"/>
        </w:rPr>
        <w:t>第一批资金合计</w:t>
      </w:r>
      <w:r>
        <w:rPr>
          <w:rFonts w:hint="default" w:ascii="Times New Roman" w:hAnsi="Times New Roman" w:eastAsia="仿宋_GB2312" w:cs="Times New Roman"/>
          <w:sz w:val="32"/>
          <w:szCs w:val="32"/>
          <w:lang w:val="en-US" w:eastAsia="zh-CN"/>
        </w:rPr>
        <w:t>103.27万元，中央资金合计70万元（其中奖励扶助50万元，特别扶助20万元），省级资金合计33.27万元（其中奖励扶助12万元，特别扶助21万元，独生子女父母奖励0.27万元）；</w:t>
      </w:r>
      <w:r>
        <w:rPr>
          <w:rFonts w:hint="default" w:ascii="Times New Roman" w:hAnsi="Times New Roman" w:eastAsia="仿宋_GB2312" w:cs="Times New Roman"/>
          <w:sz w:val="32"/>
          <w:szCs w:val="32"/>
          <w:lang w:eastAsia="zh-CN"/>
        </w:rPr>
        <w:t>第二批资金合计</w:t>
      </w:r>
      <w:r>
        <w:rPr>
          <w:rFonts w:hint="default" w:ascii="Times New Roman" w:hAnsi="Times New Roman" w:eastAsia="仿宋_GB2312" w:cs="Times New Roman"/>
          <w:sz w:val="32"/>
          <w:szCs w:val="32"/>
          <w:lang w:val="en-US" w:eastAsia="zh-CN"/>
        </w:rPr>
        <w:t>14.77万元（其中：中央资金合计9.008万元，省级资金合计5.552万元，州级独生子女父母奖励0.21万元）</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第三批资金为2025年特别扶助补发资金5.7万元。2025年三批资金合计：123.18万元。</w:t>
      </w:r>
    </w:p>
    <w:p w14:paraId="25ED374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cs="Times New Roman" w:eastAsiaTheme="minorEastAsia"/>
          <w:lang w:eastAsia="zh-CN"/>
        </w:rPr>
      </w:pPr>
      <w:r>
        <w:rPr>
          <w:rFonts w:hint="default" w:ascii="Times New Roman" w:hAnsi="Times New Roman" w:eastAsia="黑体" w:cs="Times New Roman"/>
          <w:sz w:val="32"/>
          <w:szCs w:val="32"/>
        </w:rPr>
        <w:t>二、项目实施及管理</w:t>
      </w:r>
      <w:r>
        <w:rPr>
          <w:rFonts w:hint="eastAsia" w:eastAsia="黑体" w:cs="Times New Roman"/>
          <w:sz w:val="32"/>
          <w:szCs w:val="32"/>
          <w:lang w:eastAsia="zh-CN"/>
        </w:rPr>
        <w:t>情况</w:t>
      </w:r>
      <w:r>
        <w:rPr>
          <w:rFonts w:hint="default" w:ascii="Times New Roman" w:hAnsi="Times New Roman" w:eastAsia="黑体" w:cs="Times New Roman"/>
          <w:sz w:val="32"/>
          <w:szCs w:val="32"/>
        </w:rPr>
        <w:t>况</w:t>
      </w:r>
    </w:p>
    <w:p w14:paraId="3E640BF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sz w:val="32"/>
          <w:szCs w:val="32"/>
        </w:rPr>
        <w:t>(一)项目资金管理情况。</w:t>
      </w:r>
      <w:r>
        <w:rPr>
          <w:rFonts w:hint="default"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严格按照中央、省州的项目绩效目标任务要求，以各乡镇年度奖扶目标人数及扶助金额标准，按时间节点，由县卫生健康局统一在系统平台推送扶助金发放数据，通过一卡通平台，及时拨付到扶助对象个人社保账户</w:t>
      </w:r>
      <w:r>
        <w:rPr>
          <w:rFonts w:hint="default" w:ascii="Times New Roman" w:hAnsi="Times New Roman" w:eastAsia="仿宋_GB2312" w:cs="Times New Roman"/>
          <w:sz w:val="32"/>
          <w:szCs w:val="32"/>
          <w:lang w:eastAsia="zh-CN"/>
        </w:rPr>
        <w:t>，全年</w:t>
      </w:r>
      <w:r>
        <w:rPr>
          <w:rFonts w:hint="default" w:ascii="Times New Roman" w:hAnsi="Times New Roman" w:eastAsia="仿宋_GB2312" w:cs="Times New Roman"/>
          <w:sz w:val="32"/>
          <w:szCs w:val="32"/>
          <w:lang w:val="en-US" w:eastAsia="zh-CN"/>
        </w:rPr>
        <w:t>计划生育奖励扶助目标750人，实际发放750人，合计金额72万元。特别扶助40人（其中伤残10人、死亡30人），共发放资金51.18万元，奖特扶共发放资金123.18万元。</w:t>
      </w:r>
    </w:p>
    <w:p w14:paraId="2397F16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(二)项目运行管理情况。</w:t>
      </w:r>
      <w:r>
        <w:rPr>
          <w:rFonts w:hint="default" w:ascii="Times New Roman" w:hAnsi="Times New Roman" w:eastAsia="仿宋_GB2312" w:cs="Times New Roman"/>
          <w:sz w:val="32"/>
          <w:szCs w:val="32"/>
        </w:rPr>
        <w:t>两项制度从试点探索到全面实施，逐步建立起政策界限清晰、资格确认严格、资金发放准确、检查监督到位的制度框架和运行体制。</w:t>
      </w:r>
      <w:r>
        <w:rPr>
          <w:rFonts w:hint="default" w:ascii="Times New Roman" w:hAnsi="Times New Roman" w:eastAsia="仿宋_GB2312" w:cs="Times New Roman"/>
          <w:sz w:val="32"/>
          <w:szCs w:val="32"/>
          <w:lang w:eastAsia="zh-CN"/>
        </w:rPr>
        <w:t>在资格确认环节，严格遵循“个人申请、村级评议、乡镇审核、县级审批、公开公示”的工作程序，确保每一位扶助对象都符合政策规定。在资金发放方面，做到账实相符、有据可查。同时，加强对资金发放过程的动态监测，定期核对发放数据，确保资金及时、足额发放到群众手中，杜绝截留、挪用、冒领等现象的发生。此外，还建立了健全的档案管理制度，对奖特扶对象的个人申请材料、审核审批表、公示记录、资金发放凭证等相关资料进行规范整理和归档保存，做到一人一档，便于后续查阅和管理。为了保障项目的顺利运行，县卫健局还定期组织对各乡镇项目实施情况的督导检查，通过听取汇报、查阅资料、入户走访等方式，及时发现和解决项目实施过程中存在的问题，不断完善工作机制，提高项目管理水平。</w:t>
      </w:r>
      <w:r>
        <w:rPr>
          <w:rFonts w:hint="default" w:ascii="Times New Roman" w:hAnsi="Times New Roman" w:eastAsia="仿宋_GB2312" w:cs="Times New Roman"/>
          <w:sz w:val="32"/>
          <w:szCs w:val="32"/>
        </w:rPr>
        <w:t>在县级数据质量抽查的基础上，严格要求各乡镇开展年审工作时必须提供扶助对象的马克水印相机照，逐一开展对象资格确认，坚持做到应享尽享，应退尽退的要求。</w:t>
      </w:r>
    </w:p>
    <w:p w14:paraId="7CE9B93F">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bCs/>
          <w:sz w:val="32"/>
          <w:szCs w:val="32"/>
        </w:rPr>
        <w:t>(三)数据质量管理情况。</w:t>
      </w:r>
      <w:r>
        <w:rPr>
          <w:rFonts w:hint="default" w:ascii="Times New Roman" w:hAnsi="Times New Roman" w:eastAsia="仿宋_GB2312" w:cs="Times New Roman"/>
          <w:sz w:val="32"/>
          <w:szCs w:val="32"/>
          <w:lang w:eastAsia="zh-CN"/>
        </w:rPr>
        <w:t>我县通过乡镇初审、县级复核，对</w:t>
      </w:r>
      <w:r>
        <w:rPr>
          <w:rFonts w:hint="default" w:ascii="Times New Roman" w:hAnsi="Times New Roman" w:eastAsia="仿宋_GB2312" w:cs="Times New Roman"/>
          <w:sz w:val="32"/>
          <w:szCs w:val="32"/>
        </w:rPr>
        <w:t>本地区对数据日常管理和质控情况</w:t>
      </w:r>
      <w:r>
        <w:rPr>
          <w:rFonts w:hint="default" w:ascii="Times New Roman" w:hAnsi="Times New Roman" w:eastAsia="仿宋_GB2312" w:cs="Times New Roman"/>
          <w:sz w:val="32"/>
          <w:szCs w:val="32"/>
          <w:lang w:eastAsia="zh-CN"/>
        </w:rPr>
        <w:t>，在全县范围内建立了常态化的数据质量核查机制。对奖特扶系统中的人员信息、资格条件、家庭情况等数据进行全面梳理和比对，重点核查身份证号码、户籍信息、婚姻状况、子女情况、生育史、现存子女数及残疾等级证明等关键信息的准确性和完整性。在数据录入环节，严格按照统一的标准和规范进行操作，确保录入信息与原始材料一致，并对录入数据进行双人复核，从源头上保证数据质量。</w:t>
      </w:r>
    </w:p>
    <w:p w14:paraId="01CE13F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bCs/>
          <w:sz w:val="32"/>
          <w:szCs w:val="32"/>
          <w:lang w:eastAsia="zh-CN"/>
        </w:rPr>
        <w:t>（四）社会稳定情况。</w:t>
      </w:r>
      <w:r>
        <w:rPr>
          <w:rFonts w:hint="default" w:ascii="Times New Roman" w:hAnsi="Times New Roman" w:eastAsia="仿宋_GB2312" w:cs="Times New Roman"/>
          <w:sz w:val="32"/>
          <w:szCs w:val="32"/>
          <w:lang w:eastAsia="zh-CN"/>
        </w:rPr>
        <w:t>通过对计划生育特别扶助家庭进行关心关爱，入户走访等方式进行慰问，及时了解他们的生活状况和实际需求，通过一系列关爱举措，有效缓解了特别扶助家庭的生活压力，增进了家庭幸福感，维护了社会和谐稳定，未发生因奖特扶政策落实不到位引发的信访事件和不稳定因素。</w:t>
      </w:r>
    </w:p>
    <w:p w14:paraId="2866B74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三、自评结果</w:t>
      </w:r>
    </w:p>
    <w:p w14:paraId="6488C5F8">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napToGrid w:val="0"/>
          <w:color w:val="000000"/>
          <w:sz w:val="32"/>
          <w:szCs w:val="32"/>
          <w:lang w:eastAsia="zh-CN"/>
        </w:rPr>
      </w:pPr>
      <w:r>
        <w:rPr>
          <w:rFonts w:hint="default" w:ascii="Times New Roman" w:hAnsi="Times New Roman" w:eastAsia="楷体_GB2312" w:cs="Times New Roman"/>
          <w:b/>
          <w:bCs/>
          <w:sz w:val="32"/>
          <w:szCs w:val="32"/>
          <w:lang w:eastAsia="zh-CN"/>
        </w:rPr>
        <w:t>（一）主要经验及做法。</w:t>
      </w:r>
      <w:r>
        <w:rPr>
          <w:rFonts w:hint="default" w:ascii="Times New Roman" w:hAnsi="Times New Roman" w:eastAsia="仿宋_GB2312" w:cs="Times New Roman"/>
          <w:sz w:val="32"/>
          <w:szCs w:val="32"/>
          <w:lang w:eastAsia="zh-CN"/>
        </w:rPr>
        <w:t>认真按照计划生育</w:t>
      </w:r>
      <w:r>
        <w:rPr>
          <w:rFonts w:hint="default" w:ascii="Times New Roman" w:hAnsi="Times New Roman" w:eastAsia="仿宋_GB2312" w:cs="Times New Roman"/>
          <w:sz w:val="32"/>
          <w:szCs w:val="32"/>
        </w:rPr>
        <w:t>奖励扶助制度和特别扶助制度资格确认全面质量管理</w:t>
      </w:r>
      <w:r>
        <w:rPr>
          <w:rFonts w:hint="default" w:ascii="Times New Roman" w:hAnsi="Times New Roman" w:eastAsia="仿宋_GB2312" w:cs="Times New Roman"/>
          <w:sz w:val="32"/>
          <w:szCs w:val="32"/>
          <w:lang w:eastAsia="zh-CN"/>
        </w:rPr>
        <w:t>规范及</w:t>
      </w:r>
      <w:r>
        <w:rPr>
          <w:rFonts w:hint="default" w:ascii="Times New Roman" w:hAnsi="Times New Roman" w:eastAsia="仿宋_GB2312" w:cs="Times New Roman"/>
          <w:snapToGrid w:val="0"/>
          <w:color w:val="000000"/>
          <w:sz w:val="32"/>
          <w:szCs w:val="32"/>
        </w:rPr>
        <w:t>政策解释</w:t>
      </w:r>
      <w:r>
        <w:rPr>
          <w:rFonts w:hint="default" w:ascii="Times New Roman" w:hAnsi="Times New Roman" w:eastAsia="仿宋_GB2312" w:cs="Times New Roman"/>
          <w:snapToGrid w:val="0"/>
          <w:color w:val="000000"/>
          <w:sz w:val="32"/>
          <w:szCs w:val="32"/>
          <w:lang w:eastAsia="zh-CN"/>
        </w:rPr>
        <w:t>，开展计划生育奖、特扶工作。</w:t>
      </w:r>
    </w:p>
    <w:p w14:paraId="4DD42E0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napToGrid w:val="0"/>
          <w:color w:val="000000"/>
          <w:sz w:val="32"/>
          <w:szCs w:val="32"/>
          <w:lang w:eastAsia="zh-CN"/>
        </w:rPr>
      </w:pPr>
      <w:r>
        <w:rPr>
          <w:rFonts w:hint="default" w:ascii="Times New Roman" w:hAnsi="Times New Roman" w:eastAsia="楷体_GB2312" w:cs="Times New Roman"/>
          <w:b/>
          <w:bCs/>
          <w:sz w:val="32"/>
          <w:szCs w:val="32"/>
          <w:lang w:eastAsia="zh-CN"/>
        </w:rPr>
        <w:t>（二）存在的问题。</w:t>
      </w:r>
      <w:r>
        <w:rPr>
          <w:rFonts w:hint="default" w:ascii="Times New Roman" w:hAnsi="Times New Roman" w:eastAsia="仿宋_GB2312" w:cs="Times New Roman"/>
          <w:snapToGrid w:val="0"/>
          <w:color w:val="000000"/>
          <w:sz w:val="32"/>
          <w:szCs w:val="32"/>
          <w:lang w:eastAsia="zh-CN"/>
        </w:rPr>
        <w:t>基层队伍建设不稳定，计生专干更换频繁，业务工作不熟悉，政策解释不够全面，工作不够细心仔细。</w:t>
      </w:r>
    </w:p>
    <w:p w14:paraId="7915EB9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rPr>
        <w:t>四、工作建议</w:t>
      </w:r>
      <w:r>
        <w:rPr>
          <w:rFonts w:hint="default" w:ascii="Times New Roman" w:hAnsi="Times New Roman" w:eastAsia="黑体" w:cs="Times New Roman"/>
          <w:sz w:val="32"/>
          <w:szCs w:val="32"/>
          <w:lang w:eastAsia="zh-CN"/>
        </w:rPr>
        <w:t>。</w:t>
      </w:r>
      <w:r>
        <w:rPr>
          <w:rFonts w:hint="default" w:ascii="Times New Roman" w:hAnsi="Times New Roman" w:eastAsia="仿宋_GB2312" w:cs="Times New Roman"/>
          <w:sz w:val="32"/>
          <w:szCs w:val="32"/>
          <w:lang w:eastAsia="zh-CN"/>
        </w:rPr>
        <w:t>建议加大计划生育奖、特扶培训力度，提升基层队伍的整体业务素养和政策执行能力，从而减少因政策理解偏差和操作不规范导致的问题，确保奖特扶政策精准落实。</w:t>
      </w:r>
    </w:p>
    <w:p w14:paraId="1F3CF55D">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14:paraId="1320491F">
      <w:pPr>
        <w:widowControl/>
        <w:jc w:val="center"/>
        <w:rPr>
          <w:rFonts w:hint="eastAsia" w:ascii="Times New Roman" w:hAnsi="Times New Roman" w:eastAsia="仿宋"/>
          <w:b w:val="0"/>
          <w:color w:val="auto"/>
          <w:highlight w:val="none"/>
        </w:rPr>
      </w:pPr>
      <w:bookmarkStart w:id="57" w:name="_Toc15396618"/>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五部分 附表</w:t>
      </w:r>
      <w:bookmarkEnd w:id="55"/>
      <w:bookmarkEnd w:id="57"/>
      <w:bookmarkStart w:id="58" w:name="_Toc15396619"/>
    </w:p>
    <w:p w14:paraId="27C424B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DB351E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8"/>
    </w:p>
    <w:p w14:paraId="3A0F731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0"/>
      <w:r>
        <w:rPr>
          <w:rFonts w:hint="eastAsia" w:ascii="Times New Roman" w:hAnsi="Times New Roman" w:eastAsia="仿宋_GB2312" w:cs="仿宋_GB2312"/>
          <w:color w:val="auto"/>
          <w:sz w:val="32"/>
          <w:szCs w:val="32"/>
          <w:highlight w:val="none"/>
        </w:rPr>
        <w:t>二、收入决算表</w:t>
      </w:r>
      <w:bookmarkEnd w:id="59"/>
    </w:p>
    <w:p w14:paraId="3CAC0C5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1"/>
      <w:r>
        <w:rPr>
          <w:rFonts w:hint="eastAsia" w:ascii="Times New Roman" w:hAnsi="Times New Roman" w:eastAsia="仿宋_GB2312" w:cs="仿宋_GB2312"/>
          <w:color w:val="auto"/>
          <w:sz w:val="32"/>
          <w:szCs w:val="32"/>
          <w:highlight w:val="none"/>
        </w:rPr>
        <w:t>三、支出决算表</w:t>
      </w:r>
      <w:bookmarkEnd w:id="60"/>
    </w:p>
    <w:p w14:paraId="3B087F1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2"/>
      <w:r>
        <w:rPr>
          <w:rFonts w:hint="eastAsia" w:ascii="Times New Roman" w:hAnsi="Times New Roman" w:eastAsia="仿宋_GB2312" w:cs="仿宋_GB2312"/>
          <w:color w:val="auto"/>
          <w:sz w:val="32"/>
          <w:szCs w:val="32"/>
          <w:highlight w:val="none"/>
        </w:rPr>
        <w:t>四、财政拨款收入支出决算总表</w:t>
      </w:r>
      <w:bookmarkEnd w:id="61"/>
    </w:p>
    <w:p w14:paraId="5B97E6B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3"/>
      <w:r>
        <w:rPr>
          <w:rFonts w:hint="eastAsia" w:ascii="Times New Roman" w:hAnsi="Times New Roman" w:eastAsia="仿宋_GB2312" w:cs="仿宋_GB2312"/>
          <w:color w:val="auto"/>
          <w:sz w:val="32"/>
          <w:szCs w:val="32"/>
          <w:highlight w:val="none"/>
        </w:rPr>
        <w:t>五、财政拨款支出决算明细表</w:t>
      </w:r>
      <w:bookmarkEnd w:id="62"/>
      <w:bookmarkStart w:id="63" w:name="_Toc15396624"/>
    </w:p>
    <w:p w14:paraId="77FE1253">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3"/>
    </w:p>
    <w:p w14:paraId="0E673BB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5"/>
      <w:r>
        <w:rPr>
          <w:rFonts w:hint="eastAsia" w:ascii="Times New Roman" w:hAnsi="Times New Roman" w:eastAsia="仿宋_GB2312" w:cs="仿宋_GB2312"/>
          <w:color w:val="auto"/>
          <w:sz w:val="32"/>
          <w:szCs w:val="32"/>
          <w:highlight w:val="none"/>
        </w:rPr>
        <w:t>七、一般公共预算财政拨款支出决算明细表</w:t>
      </w:r>
      <w:bookmarkEnd w:id="64"/>
    </w:p>
    <w:p w14:paraId="0389D24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6"/>
      <w:r>
        <w:rPr>
          <w:rFonts w:hint="eastAsia" w:ascii="Times New Roman" w:hAnsi="Times New Roman" w:eastAsia="仿宋_GB2312" w:cs="仿宋_GB2312"/>
          <w:color w:val="auto"/>
          <w:sz w:val="32"/>
          <w:szCs w:val="32"/>
          <w:highlight w:val="none"/>
        </w:rPr>
        <w:t>八、一般公共预算财政拨款基本支出决算表</w:t>
      </w:r>
      <w:bookmarkEnd w:id="65"/>
    </w:p>
    <w:p w14:paraId="457458C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7"/>
      <w:r>
        <w:rPr>
          <w:rFonts w:hint="eastAsia" w:ascii="Times New Roman" w:hAnsi="Times New Roman" w:eastAsia="仿宋_GB2312" w:cs="仿宋_GB2312"/>
          <w:color w:val="auto"/>
          <w:sz w:val="32"/>
          <w:szCs w:val="32"/>
          <w:highlight w:val="none"/>
        </w:rPr>
        <w:t>九、一般公共预算财政拨款项目支出决算表</w:t>
      </w:r>
      <w:bookmarkEnd w:id="66"/>
    </w:p>
    <w:p w14:paraId="789B17A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8"/>
      <w:r>
        <w:rPr>
          <w:rFonts w:hint="eastAsia" w:ascii="Times New Roman" w:hAnsi="Times New Roman" w:eastAsia="仿宋_GB2312" w:cs="仿宋_GB2312"/>
          <w:color w:val="auto"/>
          <w:sz w:val="32"/>
          <w:szCs w:val="32"/>
          <w:highlight w:val="none"/>
        </w:rPr>
        <w:t>十、</w:t>
      </w:r>
      <w:bookmarkEnd w:id="67"/>
      <w:r>
        <w:rPr>
          <w:rFonts w:hint="eastAsia" w:ascii="Times New Roman" w:hAnsi="Times New Roman" w:eastAsia="仿宋_GB2312" w:cs="仿宋_GB2312"/>
          <w:color w:val="auto"/>
          <w:sz w:val="32"/>
          <w:szCs w:val="32"/>
          <w:highlight w:val="none"/>
        </w:rPr>
        <w:t>政府性基金预算财政拨款收入支出决算表</w:t>
      </w:r>
    </w:p>
    <w:p w14:paraId="7A78DC5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9"/>
      <w:r>
        <w:rPr>
          <w:rFonts w:hint="eastAsia" w:ascii="Times New Roman" w:hAnsi="Times New Roman" w:eastAsia="仿宋_GB2312" w:cs="仿宋_GB2312"/>
          <w:color w:val="auto"/>
          <w:sz w:val="32"/>
          <w:szCs w:val="32"/>
          <w:highlight w:val="none"/>
        </w:rPr>
        <w:t>十一、</w:t>
      </w:r>
      <w:bookmarkEnd w:id="6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A3E112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30"/>
      <w:r>
        <w:rPr>
          <w:rFonts w:hint="eastAsia" w:ascii="Times New Roman" w:hAnsi="Times New Roman" w:eastAsia="仿宋_GB2312" w:cs="仿宋_GB2312"/>
          <w:color w:val="auto"/>
          <w:sz w:val="32"/>
          <w:szCs w:val="32"/>
          <w:highlight w:val="none"/>
        </w:rPr>
        <w:t>十二、</w:t>
      </w:r>
      <w:bookmarkEnd w:id="69"/>
      <w:r>
        <w:rPr>
          <w:rFonts w:hint="eastAsia" w:ascii="Times New Roman" w:hAnsi="Times New Roman" w:eastAsia="仿宋_GB2312" w:cs="仿宋_GB2312"/>
          <w:color w:val="auto"/>
          <w:sz w:val="32"/>
          <w:szCs w:val="32"/>
          <w:highlight w:val="none"/>
          <w:lang w:eastAsia="zh-CN"/>
        </w:rPr>
        <w:t>国有资本经营预算财政拨款支出决算表</w:t>
      </w:r>
    </w:p>
    <w:p w14:paraId="6FD2F023">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0" w:name="_Toc15396631"/>
      <w:r>
        <w:rPr>
          <w:rFonts w:hint="eastAsia" w:ascii="Times New Roman" w:hAnsi="Times New Roman" w:eastAsia="仿宋_GB2312" w:cs="仿宋_GB2312"/>
          <w:color w:val="auto"/>
          <w:sz w:val="32"/>
          <w:szCs w:val="32"/>
          <w:highlight w:val="none"/>
        </w:rPr>
        <w:t>十三、</w:t>
      </w:r>
      <w:bookmarkEnd w:id="70"/>
      <w:r>
        <w:rPr>
          <w:rFonts w:hint="eastAsia" w:ascii="Times New Roman" w:hAnsi="Times New Roman" w:eastAsia="仿宋_GB2312" w:cs="仿宋_GB2312"/>
          <w:color w:val="auto"/>
          <w:sz w:val="32"/>
          <w:szCs w:val="32"/>
          <w:highlight w:val="none"/>
          <w:lang w:eastAsia="zh-CN"/>
        </w:rPr>
        <w:t>财政拨款“三公”经费支出决算表</w:t>
      </w:r>
    </w:p>
    <w:p w14:paraId="77191B7D">
      <w:pPr>
        <w:rPr>
          <w:rFonts w:hint="eastAsia" w:ascii="Times New Roman" w:hAnsi="Times New Roman"/>
          <w:lang w:eastAsia="zh-CN"/>
        </w:rPr>
      </w:pPr>
    </w:p>
    <w:sectPr>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1C1B2C-7006-4319-94FA-7CD4B4DE78B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B8B027D3-A90B-4AF3-A443-6056CDF8C53F}"/>
  </w:font>
  <w:font w:name="仿宋">
    <w:panose1 w:val="02010609060101010101"/>
    <w:charset w:val="86"/>
    <w:family w:val="modern"/>
    <w:pitch w:val="default"/>
    <w:sig w:usb0="800002BF" w:usb1="38CF7CFA" w:usb2="00000016" w:usb3="00000000" w:csb0="00040001" w:csb1="00000000"/>
    <w:embedRegular r:id="rId3" w:fontKey="{9790E55E-831B-4ED8-B930-F5814657CC5C}"/>
  </w:font>
  <w:font w:name="??">
    <w:altName w:val="FFont-Family"/>
    <w:panose1 w:val="00000000000000000000"/>
    <w:charset w:val="00"/>
    <w:family w:val="roman"/>
    <w:pitch w:val="default"/>
    <w:sig w:usb0="00000000" w:usb1="00000000" w:usb2="00000000" w:usb3="00000000" w:csb0="00000000" w:csb1="00000000"/>
  </w:font>
  <w:font w:name="C059">
    <w:altName w:val="FFont-Family"/>
    <w:panose1 w:val="00000500000000000000"/>
    <w:charset w:val="00"/>
    <w:family w:val="auto"/>
    <w:pitch w:val="default"/>
    <w:sig w:usb0="00000000" w:usb1="00000000" w:usb2="00000000" w:usb3="00000000" w:csb0="6000009F" w:csb1="00000000"/>
  </w:font>
  <w:font w:name="方正小标宋简体">
    <w:panose1 w:val="02010600010101010101"/>
    <w:charset w:val="86"/>
    <w:family w:val="script"/>
    <w:pitch w:val="default"/>
    <w:sig w:usb0="00000001" w:usb1="080E0000" w:usb2="00000000" w:usb3="00000000" w:csb0="00040000" w:csb1="00000000"/>
    <w:embedRegular r:id="rId4" w:fontKey="{108AE056-808E-4226-BE99-E21CF4483B71}"/>
  </w:font>
  <w:font w:name="楷体_GB2312">
    <w:panose1 w:val="02010609030101010101"/>
    <w:charset w:val="86"/>
    <w:family w:val="auto"/>
    <w:pitch w:val="default"/>
    <w:sig w:usb0="00000001" w:usb1="080E0000" w:usb2="00000000" w:usb3="00000000" w:csb0="00040000" w:csb1="00000000"/>
    <w:embedRegular r:id="rId5" w:fontKey="{A2C6C3C8-859B-4E0D-8CFD-A533E7CF00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C4D62">
    <w:pPr>
      <w:pStyle w:val="12"/>
      <w:jc w:val="center"/>
    </w:pPr>
  </w:p>
  <w:p w14:paraId="658C22F3">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C8742">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8046A">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DD8046A">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26E80361">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3A20E">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43A988">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443A988">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B398F">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EE583D"/>
    <w:multiLevelType w:val="singleLevel"/>
    <w:tmpl w:val="8CEE583D"/>
    <w:lvl w:ilvl="0" w:tentative="0">
      <w:start w:val="1"/>
      <w:numFmt w:val="decimal"/>
      <w:lvlText w:val="%1."/>
      <w:lvlJc w:val="left"/>
      <w:pPr>
        <w:tabs>
          <w:tab w:val="left" w:pos="312"/>
        </w:tabs>
      </w:pPr>
    </w:lvl>
  </w:abstractNum>
  <w:abstractNum w:abstractNumId="1">
    <w:nsid w:val="B394C72C"/>
    <w:multiLevelType w:val="singleLevel"/>
    <w:tmpl w:val="B394C72C"/>
    <w:lvl w:ilvl="0" w:tentative="0">
      <w:start w:val="1"/>
      <w:numFmt w:val="decimal"/>
      <w:lvlText w:val="%1."/>
      <w:lvlJc w:val="left"/>
      <w:pPr>
        <w:tabs>
          <w:tab w:val="left" w:pos="312"/>
        </w:tabs>
      </w:pPr>
    </w:lvl>
  </w:abstractNum>
  <w:abstractNum w:abstractNumId="2">
    <w:nsid w:val="DB555535"/>
    <w:multiLevelType w:val="singleLevel"/>
    <w:tmpl w:val="DB555535"/>
    <w:lvl w:ilvl="0" w:tentative="0">
      <w:start w:val="2"/>
      <w:numFmt w:val="chineseCounting"/>
      <w:suff w:val="nothing"/>
      <w:lvlText w:val="（%1）"/>
      <w:lvlJc w:val="left"/>
      <w:rPr>
        <w:rFonts w:hint="eastAsia"/>
      </w:rPr>
    </w:lvl>
  </w:abstractNum>
  <w:abstractNum w:abstractNumId="3">
    <w:nsid w:val="F6BB38DE"/>
    <w:multiLevelType w:val="singleLevel"/>
    <w:tmpl w:val="F6BB38DE"/>
    <w:lvl w:ilvl="0" w:tentative="0">
      <w:start w:val="1"/>
      <w:numFmt w:val="decimal"/>
      <w:lvlText w:val="%1."/>
      <w:lvlJc w:val="left"/>
      <w:pPr>
        <w:tabs>
          <w:tab w:val="left" w:pos="312"/>
        </w:tabs>
      </w:pPr>
    </w:lvl>
  </w:abstractNum>
  <w:abstractNum w:abstractNumId="4">
    <w:nsid w:val="FFFDB45F"/>
    <w:multiLevelType w:val="singleLevel"/>
    <w:tmpl w:val="FFFDB45F"/>
    <w:lvl w:ilvl="0" w:tentative="0">
      <w:start w:val="6"/>
      <w:numFmt w:val="chineseCounting"/>
      <w:suff w:val="nothing"/>
      <w:lvlText w:val="%1、"/>
      <w:lvlJc w:val="left"/>
      <w:rPr>
        <w:rFonts w:hint="eastAsia"/>
      </w:rPr>
    </w:lvl>
  </w:abstractNum>
  <w:abstractNum w:abstractNumId="5">
    <w:nsid w:val="15CF575E"/>
    <w:multiLevelType w:val="singleLevel"/>
    <w:tmpl w:val="15CF575E"/>
    <w:lvl w:ilvl="0" w:tentative="0">
      <w:start w:val="1"/>
      <w:numFmt w:val="chineseCounting"/>
      <w:suff w:val="nothing"/>
      <w:lvlText w:val="（%1）"/>
      <w:lvlJc w:val="left"/>
      <w:rPr>
        <w:rFonts w:hint="eastAsia"/>
      </w:rPr>
    </w:lvl>
  </w:abstractNum>
  <w:abstractNum w:abstractNumId="6">
    <w:nsid w:val="467B928A"/>
    <w:multiLevelType w:val="singleLevel"/>
    <w:tmpl w:val="467B928A"/>
    <w:lvl w:ilvl="0" w:tentative="0">
      <w:start w:val="2"/>
      <w:numFmt w:val="chineseCounting"/>
      <w:suff w:val="nothing"/>
      <w:lvlText w:val="（%1）"/>
      <w:lvlJc w:val="left"/>
      <w:rPr>
        <w:rFonts w:hint="eastAsia"/>
      </w:rPr>
    </w:lvl>
  </w:abstractNum>
  <w:abstractNum w:abstractNumId="7">
    <w:nsid w:val="5FDDE8F7"/>
    <w:multiLevelType w:val="singleLevel"/>
    <w:tmpl w:val="5FDDE8F7"/>
    <w:lvl w:ilvl="0" w:tentative="0">
      <w:start w:val="1"/>
      <w:numFmt w:val="decimal"/>
      <w:lvlText w:val="%1."/>
      <w:lvlJc w:val="left"/>
      <w:pPr>
        <w:tabs>
          <w:tab w:val="left" w:pos="312"/>
        </w:tabs>
      </w:pPr>
    </w:lvl>
  </w:abstractNum>
  <w:abstractNum w:abstractNumId="8">
    <w:nsid w:val="606BEEDF"/>
    <w:multiLevelType w:val="singleLevel"/>
    <w:tmpl w:val="606BEEDF"/>
    <w:lvl w:ilvl="0" w:tentative="0">
      <w:start w:val="1"/>
      <w:numFmt w:val="chineseCounting"/>
      <w:suff w:val="nothing"/>
      <w:lvlText w:val="%1、"/>
      <w:lvlJc w:val="left"/>
      <w:rPr>
        <w:rFonts w:hint="eastAsia"/>
      </w:rPr>
    </w:lvl>
  </w:abstractNum>
  <w:abstractNum w:abstractNumId="9">
    <w:nsid w:val="62621CDC"/>
    <w:multiLevelType w:val="multilevel"/>
    <w:tmpl w:val="62621CDC"/>
    <w:lvl w:ilvl="0" w:tentative="0">
      <w:start w:val="1"/>
      <w:numFmt w:val="decimal"/>
      <w:lvlText w:val="%1."/>
      <w:lvlJc w:val="left"/>
      <w:pPr>
        <w:ind w:left="1740"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8"/>
  </w:num>
  <w:num w:numId="2">
    <w:abstractNumId w:val="5"/>
  </w:num>
  <w:num w:numId="3">
    <w:abstractNumId w:val="9"/>
  </w:num>
  <w:num w:numId="4">
    <w:abstractNumId w:val="1"/>
  </w:num>
  <w:num w:numId="5">
    <w:abstractNumId w:val="0"/>
  </w:num>
  <w:num w:numId="6">
    <w:abstractNumId w:val="7"/>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0C6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42C2102"/>
    <w:rsid w:val="152F2A07"/>
    <w:rsid w:val="165E0673"/>
    <w:rsid w:val="16BB723D"/>
    <w:rsid w:val="16F13FCB"/>
    <w:rsid w:val="17656F0C"/>
    <w:rsid w:val="182C1480"/>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54E25E8"/>
    <w:rsid w:val="260F557C"/>
    <w:rsid w:val="2801463D"/>
    <w:rsid w:val="281408E2"/>
    <w:rsid w:val="29BD5F8E"/>
    <w:rsid w:val="29FD04D3"/>
    <w:rsid w:val="2BBD118B"/>
    <w:rsid w:val="2BFF7BC6"/>
    <w:rsid w:val="2C8A61B5"/>
    <w:rsid w:val="2D2E01CF"/>
    <w:rsid w:val="2DF04E50"/>
    <w:rsid w:val="2E9545B0"/>
    <w:rsid w:val="2F040D46"/>
    <w:rsid w:val="2FAE5751"/>
    <w:rsid w:val="2FB1A395"/>
    <w:rsid w:val="2FD9A7D8"/>
    <w:rsid w:val="319F7F4E"/>
    <w:rsid w:val="321B2544"/>
    <w:rsid w:val="3304709D"/>
    <w:rsid w:val="3379094D"/>
    <w:rsid w:val="34281836"/>
    <w:rsid w:val="349D6851"/>
    <w:rsid w:val="3518089F"/>
    <w:rsid w:val="35BA6CAF"/>
    <w:rsid w:val="35D37231"/>
    <w:rsid w:val="364D14C1"/>
    <w:rsid w:val="36AA5135"/>
    <w:rsid w:val="36BE0DA7"/>
    <w:rsid w:val="376B6AA6"/>
    <w:rsid w:val="376D39B2"/>
    <w:rsid w:val="37E16F03"/>
    <w:rsid w:val="37F53A3B"/>
    <w:rsid w:val="37F94635"/>
    <w:rsid w:val="383C76EC"/>
    <w:rsid w:val="387F0F9A"/>
    <w:rsid w:val="389B6C89"/>
    <w:rsid w:val="38D469F0"/>
    <w:rsid w:val="39627CCD"/>
    <w:rsid w:val="397BAF1F"/>
    <w:rsid w:val="3A0368D6"/>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5B778DE"/>
    <w:rsid w:val="46A96BD1"/>
    <w:rsid w:val="486A6C7A"/>
    <w:rsid w:val="49176D9B"/>
    <w:rsid w:val="494006BD"/>
    <w:rsid w:val="49697141"/>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89E4F31"/>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55179A"/>
    <w:rsid w:val="6A993CED"/>
    <w:rsid w:val="6B053271"/>
    <w:rsid w:val="6BCE6674"/>
    <w:rsid w:val="6C471370"/>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A24B63"/>
    <w:rsid w:val="712A28F1"/>
    <w:rsid w:val="715C0E4B"/>
    <w:rsid w:val="72233669"/>
    <w:rsid w:val="72734D90"/>
    <w:rsid w:val="7332FE48"/>
    <w:rsid w:val="73AB61DA"/>
    <w:rsid w:val="73AD73D5"/>
    <w:rsid w:val="73B6EB34"/>
    <w:rsid w:val="73FA497D"/>
    <w:rsid w:val="744731E5"/>
    <w:rsid w:val="74527205"/>
    <w:rsid w:val="74BBD01D"/>
    <w:rsid w:val="74ED5379"/>
    <w:rsid w:val="74FC2395"/>
    <w:rsid w:val="750172D0"/>
    <w:rsid w:val="75DEEEC2"/>
    <w:rsid w:val="76E3355F"/>
    <w:rsid w:val="76FF5125"/>
    <w:rsid w:val="774D1D82"/>
    <w:rsid w:val="776F6FFA"/>
    <w:rsid w:val="778769C8"/>
    <w:rsid w:val="77DC22F5"/>
    <w:rsid w:val="77FB1EE6"/>
    <w:rsid w:val="79086DAD"/>
    <w:rsid w:val="79974F09"/>
    <w:rsid w:val="79D7FD79"/>
    <w:rsid w:val="79EE5BA4"/>
    <w:rsid w:val="7A894339"/>
    <w:rsid w:val="7AFF7572"/>
    <w:rsid w:val="7B6C7DFB"/>
    <w:rsid w:val="7BBFBED0"/>
    <w:rsid w:val="7BC3E394"/>
    <w:rsid w:val="7C1F3737"/>
    <w:rsid w:val="7CBFC87B"/>
    <w:rsid w:val="7CFE0F48"/>
    <w:rsid w:val="7D7EC23E"/>
    <w:rsid w:val="7D916348"/>
    <w:rsid w:val="7DF79940"/>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8D716494"/>
    <w:rsid w:val="99FF2014"/>
    <w:rsid w:val="A6DD0D7F"/>
    <w:rsid w:val="ADC6F725"/>
    <w:rsid w:val="AE761394"/>
    <w:rsid w:val="B7CF06AB"/>
    <w:rsid w:val="B7CFA926"/>
    <w:rsid w:val="B7F8786B"/>
    <w:rsid w:val="BABB6AA1"/>
    <w:rsid w:val="BB2F4199"/>
    <w:rsid w:val="BCFF4487"/>
    <w:rsid w:val="BD079C78"/>
    <w:rsid w:val="BD733540"/>
    <w:rsid w:val="BE77D2D1"/>
    <w:rsid w:val="BF3735D5"/>
    <w:rsid w:val="BF7F09AC"/>
    <w:rsid w:val="BFD475C3"/>
    <w:rsid w:val="BFDE5EA6"/>
    <w:rsid w:val="CF6FC6F3"/>
    <w:rsid w:val="CFD3D3D7"/>
    <w:rsid w:val="CFDF1009"/>
    <w:rsid w:val="D38B25EB"/>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EFFB3486"/>
    <w:rsid w:val="F2BEBCB8"/>
    <w:rsid w:val="F36FB518"/>
    <w:rsid w:val="F3DE1A04"/>
    <w:rsid w:val="F3F722E5"/>
    <w:rsid w:val="FA5F1E70"/>
    <w:rsid w:val="FA5FDB97"/>
    <w:rsid w:val="FB7F486A"/>
    <w:rsid w:val="FBFF5B2E"/>
    <w:rsid w:val="FD7FFE2B"/>
    <w:rsid w:val="FDEE196B"/>
    <w:rsid w:val="FDFE6575"/>
    <w:rsid w:val="FE53A445"/>
    <w:rsid w:val="FEDFDDC2"/>
    <w:rsid w:val="FEED32F6"/>
    <w:rsid w:val="FEF781DD"/>
    <w:rsid w:val="FF3F7E3F"/>
    <w:rsid w:val="FFBA12D7"/>
    <w:rsid w:val="FFBD9D30"/>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680"/>
    </w:pPr>
  </w:style>
  <w:style w:type="paragraph" w:styleId="6">
    <w:name w:val="Body Text"/>
    <w:basedOn w:val="1"/>
    <w:next w:val="7"/>
    <w:link w:val="28"/>
    <w:qFormat/>
    <w:uiPriority w:val="99"/>
    <w:pPr>
      <w:spacing w:beforeLines="30"/>
    </w:pPr>
    <w:rPr>
      <w:rFonts w:ascii="仿宋_GB2312" w:eastAsia="仿宋_GB2312"/>
      <w:kern w:val="0"/>
      <w:sz w:val="30"/>
    </w:rPr>
  </w:style>
  <w:style w:type="paragraph" w:styleId="7">
    <w:name w:val="Body Text First Indent"/>
    <w:basedOn w:val="6"/>
    <w:qFormat/>
    <w:uiPriority w:val="0"/>
    <w:pPr>
      <w:spacing w:beforeLines="0"/>
      <w:ind w:firstLine="420" w:firstLineChars="100"/>
    </w:pPr>
    <w:rPr>
      <w:rFonts w:hint="default"/>
      <w:sz w:val="32"/>
      <w:szCs w:val="24"/>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4"/>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称呼1"/>
    <w:basedOn w:val="1"/>
    <w:next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8"/>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18"/>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18"/>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8"/>
    <w:link w:val="2"/>
    <w:qFormat/>
    <w:uiPriority w:val="9"/>
    <w:rPr>
      <w:rFonts w:ascii="Times New Roman" w:hAnsi="Times New Roman"/>
      <w:b/>
      <w:bCs/>
      <w:kern w:val="44"/>
      <w:sz w:val="44"/>
      <w:szCs w:val="44"/>
    </w:rPr>
  </w:style>
  <w:style w:type="character" w:customStyle="1" w:styleId="32">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8"/>
    <w:link w:val="11"/>
    <w:semiHidden/>
    <w:qFormat/>
    <w:uiPriority w:val="99"/>
    <w:rPr>
      <w:rFonts w:ascii="Times New Roman" w:hAnsi="Times New Roman"/>
      <w:kern w:val="2"/>
      <w:sz w:val="18"/>
      <w:szCs w:val="18"/>
    </w:rPr>
  </w:style>
  <w:style w:type="character" w:customStyle="1" w:styleId="35">
    <w:name w:val="标题 3 Char"/>
    <w:basedOn w:val="18"/>
    <w:link w:val="4"/>
    <w:qFormat/>
    <w:uiPriority w:val="9"/>
    <w:rPr>
      <w:rFonts w:ascii="Times New Roman" w:hAnsi="Times New Roman"/>
      <w:b/>
      <w:bCs/>
      <w:kern w:val="2"/>
      <w:sz w:val="32"/>
      <w:szCs w:val="32"/>
    </w:rPr>
  </w:style>
  <w:style w:type="paragraph" w:customStyle="1" w:styleId="36">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Normal_0"/>
    <w:qFormat/>
    <w:uiPriority w:val="0"/>
    <w:rPr>
      <w:rFonts w:ascii="Times New Roman" w:hAnsi="Times New Roman" w:eastAsia="Times New Roman" w:cs="Times New Roman"/>
      <w:sz w:val="24"/>
      <w:szCs w:val="24"/>
      <w:lang w:val="en-US" w:eastAsia="en-US" w:bidi="ar-SA"/>
    </w:rPr>
  </w:style>
  <w:style w:type="character" w:customStyle="1" w:styleId="39">
    <w:name w:val="font51"/>
    <w:basedOn w:val="18"/>
    <w:qFormat/>
    <w:uiPriority w:val="0"/>
    <w:rPr>
      <w:rFonts w:hint="eastAsia" w:ascii="宋体" w:hAnsi="宋体" w:eastAsia="宋体" w:cs="宋体"/>
      <w:color w:val="000000"/>
      <w:sz w:val="16"/>
      <w:szCs w:val="16"/>
      <w:u w:val="none"/>
    </w:rPr>
  </w:style>
  <w:style w:type="character" w:customStyle="1" w:styleId="40">
    <w:name w:val="font91"/>
    <w:basedOn w:val="18"/>
    <w:qFormat/>
    <w:uiPriority w:val="0"/>
    <w:rPr>
      <w:rFonts w:ascii="宋体" w:hAnsi="宋体" w:eastAsia="宋体" w:cs="宋体"/>
      <w:color w:val="000000"/>
      <w:sz w:val="16"/>
      <w:szCs w:val="16"/>
      <w:u w:val="none"/>
    </w:rPr>
  </w:style>
  <w:style w:type="paragraph" w:customStyle="1" w:styleId="41">
    <w:name w:val="正文首行缩进1"/>
    <w:basedOn w:val="42"/>
    <w:qFormat/>
    <w:uiPriority w:val="0"/>
    <w:pPr>
      <w:ind w:firstLine="420" w:firstLineChars="100"/>
    </w:pPr>
    <w:rPr>
      <w:sz w:val="32"/>
      <w:szCs w:val="24"/>
    </w:rPr>
  </w:style>
  <w:style w:type="paragraph" w:customStyle="1" w:styleId="42">
    <w:name w:val="正文文本1"/>
    <w:basedOn w:val="1"/>
    <w:qFormat/>
    <w:uiPriority w:val="0"/>
    <w:rPr>
      <w:rFonts w:eastAsia="黑体"/>
      <w:b/>
      <w:bCs/>
      <w:sz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22551.32</c:v>
                </c:pt>
                <c:pt idx="1">
                  <c:v>22551.32</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23705.91</c:v>
                </c:pt>
                <c:pt idx="1">
                  <c:v>23705.91</c:v>
                </c:pt>
              </c:numCache>
            </c:numRef>
          </c:val>
        </c:ser>
        <c:dLbls>
          <c:showLegendKey val="0"/>
          <c:showVal val="1"/>
          <c:showCatName val="0"/>
          <c:showSerName val="0"/>
          <c:showPercent val="0"/>
          <c:showBubbleSize val="0"/>
        </c:dLbls>
        <c:gapWidth val="246"/>
        <c:overlap val="-28"/>
        <c:axId val="242924198"/>
        <c:axId val="813082554"/>
      </c:barChart>
      <c:catAx>
        <c:axId val="24292419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3082554"/>
        <c:crosses val="autoZero"/>
        <c:auto val="1"/>
        <c:lblAlgn val="ctr"/>
        <c:lblOffset val="100"/>
        <c:noMultiLvlLbl val="0"/>
      </c:catAx>
      <c:valAx>
        <c:axId val="81308255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29241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80d821a-1f02-4749-809a-d9dea5a57fd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金额</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Pt>
            <c:idx val="4"/>
            <c:bubble3D val="0"/>
            <c:spPr>
              <a:solidFill>
                <a:schemeClr val="accent5"/>
              </a:solidFill>
              <a:ln>
                <a:solidFill>
                  <a:schemeClr val="bg1"/>
                </a:solidFill>
              </a:ln>
              <a:effectLst/>
              <a:scene3d>
                <a:camera prst="orthographicFront"/>
                <a:lightRig rig="threePt" dir="t"/>
              </a:scene3d>
              <a:sp3d contourW="9525"/>
            </c:spPr>
          </c:dPt>
          <c:dPt>
            <c:idx val="5"/>
            <c:bubble3D val="0"/>
            <c:spPr>
              <a:solidFill>
                <a:schemeClr val="accent6"/>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一般公共预算财政拨款收入</c:v>
                </c:pt>
                <c:pt idx="1">
                  <c:v>政府性基金预算财政拨款收入</c:v>
                </c:pt>
                <c:pt idx="2">
                  <c:v>上级补助收入</c:v>
                </c:pt>
                <c:pt idx="3">
                  <c:v>经营收入</c:v>
                </c:pt>
                <c:pt idx="4">
                  <c:v>附属单位上缴收入</c:v>
                </c:pt>
                <c:pt idx="5">
                  <c:v>事业收入</c:v>
                </c:pt>
              </c:strCache>
            </c:strRef>
          </c:cat>
          <c:val>
            <c:numRef>
              <c:f>Sheet1!$B$2:$B$7</c:f>
              <c:numCache>
                <c:formatCode>General</c:formatCode>
                <c:ptCount val="6"/>
                <c:pt idx="0">
                  <c:v>18220.49</c:v>
                </c:pt>
                <c:pt idx="1">
                  <c:v>0</c:v>
                </c:pt>
                <c:pt idx="2">
                  <c:v>0</c:v>
                </c:pt>
                <c:pt idx="3">
                  <c:v>0</c:v>
                </c:pt>
                <c:pt idx="4">
                  <c:v>0</c:v>
                </c:pt>
                <c:pt idx="5">
                  <c:v>5472.4</c:v>
                </c:pt>
              </c:numCache>
            </c:numRef>
          </c:val>
        </c:ser>
        <c:dLbls>
          <c:showLegendKey val="0"/>
          <c:showVal val="0"/>
          <c:showCatName val="0"/>
          <c:showSerName val="0"/>
          <c:showPercent val="0"/>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aa62c73-0efc-4c8d-bed9-6f1606558d9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支出决算结构图</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Pt>
            <c:idx val="4"/>
            <c:bubble3D val="0"/>
            <c:spPr>
              <a:solidFill>
                <a:schemeClr val="accent5"/>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对附属单位补助支出</c:v>
                </c:pt>
                <c:pt idx="4">
                  <c:v>经营支出</c:v>
                </c:pt>
              </c:strCache>
            </c:strRef>
          </c:cat>
          <c:val>
            <c:numRef>
              <c:f>Sheet1!$B$2:$B$6</c:f>
              <c:numCache>
                <c:formatCode>General</c:formatCode>
                <c:ptCount val="5"/>
                <c:pt idx="0">
                  <c:v>19362.1</c:v>
                </c:pt>
                <c:pt idx="1">
                  <c:v>4343.8</c:v>
                </c:pt>
                <c:pt idx="2">
                  <c:v>0</c:v>
                </c:pt>
                <c:pt idx="3">
                  <c:v>0</c:v>
                </c:pt>
                <c:pt idx="4">
                  <c:v>0</c:v>
                </c:pt>
              </c:numCache>
            </c:numRef>
          </c:val>
        </c:ser>
        <c:dLbls>
          <c:showLegendKey val="0"/>
          <c:showVal val="0"/>
          <c:showCatName val="0"/>
          <c:showSerName val="0"/>
          <c:showPercent val="0"/>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3e538e4-6ad5-41cd-9868-b00c0e46be4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22551.32</c:v>
                </c:pt>
                <c:pt idx="1">
                  <c:v>23705.91</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22551.32</c:v>
                </c:pt>
                <c:pt idx="1">
                  <c:v>23705.91</c:v>
                </c:pt>
              </c:numCache>
            </c:numRef>
          </c:val>
        </c:ser>
        <c:dLbls>
          <c:showLegendKey val="0"/>
          <c:showVal val="0"/>
          <c:showCatName val="0"/>
          <c:showSerName val="0"/>
          <c:showPercent val="0"/>
          <c:showBubbleSize val="0"/>
        </c:dLbls>
        <c:gapWidth val="246"/>
        <c:overlap val="-28"/>
        <c:axId val="988292409"/>
        <c:axId val="638028544"/>
      </c:barChart>
      <c:catAx>
        <c:axId val="98829240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8028544"/>
        <c:crosses val="autoZero"/>
        <c:auto val="1"/>
        <c:lblAlgn val="ctr"/>
        <c:lblOffset val="100"/>
        <c:noMultiLvlLbl val="0"/>
      </c:catAx>
      <c:valAx>
        <c:axId val="63802854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29240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5878a23-4b57-43d7-8cbf-8b52d296aba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单位：万元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22551.32</c:v>
                </c:pt>
                <c:pt idx="1">
                  <c:v>23705.91</c:v>
                </c:pt>
              </c:numCache>
            </c:numRef>
          </c:val>
        </c:ser>
        <c:dLbls>
          <c:showLegendKey val="0"/>
          <c:showVal val="0"/>
          <c:showCatName val="0"/>
          <c:showSerName val="0"/>
          <c:showPercent val="0"/>
          <c:showBubbleSize val="0"/>
        </c:dLbls>
        <c:gapWidth val="246"/>
        <c:overlap val="-28"/>
        <c:axId val="508024812"/>
        <c:axId val="24213092"/>
      </c:barChart>
      <c:catAx>
        <c:axId val="5080248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213092"/>
        <c:crosses val="autoZero"/>
        <c:auto val="1"/>
        <c:lblAlgn val="ctr"/>
        <c:lblOffset val="100"/>
        <c:noMultiLvlLbl val="0"/>
      </c:catAx>
      <c:valAx>
        <c:axId val="2421309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80248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90e193f-6e97-4c6a-86fa-83a75b39f73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列1</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Pt>
            <c:idx val="4"/>
            <c:bubble3D val="0"/>
            <c:spPr>
              <a:solidFill>
                <a:schemeClr val="accent5"/>
              </a:solidFill>
              <a:ln>
                <a:solidFill>
                  <a:schemeClr val="bg1"/>
                </a:solidFill>
              </a:ln>
              <a:effectLst/>
              <a:scene3d>
                <a:camera prst="orthographicFront"/>
                <a:lightRig rig="threePt" dir="t"/>
              </a:scene3d>
              <a:sp3d contourW="9525"/>
            </c:spPr>
          </c:dPt>
          <c:dPt>
            <c:idx val="5"/>
            <c:bubble3D val="0"/>
            <c:spPr>
              <a:solidFill>
                <a:schemeClr val="accent6"/>
              </a:solidFill>
              <a:ln>
                <a:solidFill>
                  <a:schemeClr val="bg1"/>
                </a:solidFill>
              </a:ln>
              <a:effectLst/>
              <a:scene3d>
                <a:camera prst="orthographicFront"/>
                <a:lightRig rig="threePt" dir="t"/>
              </a:scene3d>
              <a:sp3d contourW="9525"/>
            </c:spPr>
          </c:dPt>
          <c:dPt>
            <c:idx val="6"/>
            <c:bubble3D val="0"/>
            <c:spPr>
              <a:solidFill>
                <a:schemeClr val="accent1">
                  <a:lumMod val="60000"/>
                </a:schemeClr>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一般公共服务支出</c:v>
                </c:pt>
                <c:pt idx="1">
                  <c:v>农林水支出</c:v>
                </c:pt>
                <c:pt idx="2">
                  <c:v>科学技术支出</c:v>
                </c:pt>
                <c:pt idx="3">
                  <c:v>文化旅游体育与传媒支出</c:v>
                </c:pt>
                <c:pt idx="4">
                  <c:v>社会保障和就业支出</c:v>
                </c:pt>
                <c:pt idx="5">
                  <c:v>卫生健康支出</c:v>
                </c:pt>
                <c:pt idx="6">
                  <c:v>住房保障支出</c:v>
                </c:pt>
              </c:strCache>
            </c:strRef>
          </c:cat>
          <c:val>
            <c:numRef>
              <c:f>Sheet1!$B$2:$B$8</c:f>
              <c:numCache>
                <c:formatCode>General</c:formatCode>
                <c:ptCount val="7"/>
                <c:pt idx="0">
                  <c:v>11</c:v>
                </c:pt>
                <c:pt idx="1">
                  <c:v>130.45</c:v>
                </c:pt>
                <c:pt idx="2">
                  <c:v>0</c:v>
                </c:pt>
                <c:pt idx="3">
                  <c:v>0</c:v>
                </c:pt>
                <c:pt idx="4">
                  <c:v>2008.27</c:v>
                </c:pt>
                <c:pt idx="5">
                  <c:v>20515.18</c:v>
                </c:pt>
                <c:pt idx="6">
                  <c:v>1041</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b1f162f-83b1-41c4-abf7-a92639a2f88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a:t>
            </a:r>
            <a:r>
              <a:rPr lang="en-US" altLang="zh-CN"/>
              <a:t>“</a:t>
            </a:r>
            <a:r>
              <a:rPr altLang="en-US"/>
              <a:t>三公</a:t>
            </a:r>
            <a:r>
              <a:rPr lang="en-US" altLang="zh-CN"/>
              <a:t>”</a:t>
            </a:r>
            <a:r>
              <a:rPr altLang="en-US"/>
              <a:t>经费支出结构</a:t>
            </a:r>
            <a:endParaRPr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13.47</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2e1c919-d442-418a-93a3-0a1b63e0118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65</Pages>
  <Words>24</Words>
  <Characters>27</Characters>
  <Lines>61</Lines>
  <Paragraphs>17</Paragraphs>
  <TotalTime>3</TotalTime>
  <ScaleCrop>false</ScaleCrop>
  <LinksUpToDate>false</LinksUpToDate>
  <CharactersWithSpaces>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奕夕^_^</cp:lastModifiedBy>
  <cp:lastPrinted>2026-08-05T09:27:00Z</cp:lastPrinted>
  <dcterms:modified xsi:type="dcterms:W3CDTF">2026-10-20T08:47:08Z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E390DC63D954717E3997D06A45A7E7AD_43</vt:lpwstr>
  </property>
  <property fmtid="{D5CDD505-2E9C-101B-9397-08002B2CF9AE}" pid="4" name="KSOTemplateDocerSaveRecord">
    <vt:lpwstr>eyJoZGlkIjoiNTU1MWNhN2ZmY2ZhZmY3ODhlYTg0MWU5OGMyY2QwZmUiLCJ1c2VySWQiOiI0MzQ2NTM0NzEifQ==</vt:lpwstr>
  </property>
</Properties>
</file>