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1173C">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6</w:t>
      </w:r>
      <w:r>
        <w:rPr>
          <w:rFonts w:hint="eastAsia" w:ascii="方正小标宋简体" w:hAnsi="方正小标宋简体" w:eastAsia="方正小标宋简体" w:cs="方正小标宋简体"/>
          <w:sz w:val="72"/>
          <w:szCs w:val="72"/>
        </w:rPr>
        <w:t>年度</w:t>
      </w:r>
    </w:p>
    <w:p w14:paraId="4841F072">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bookmarkStart w:id="0" w:name="_Toc15377194"/>
      <w:bookmarkStart w:id="1" w:name="_Toc15377426"/>
      <w:bookmarkStart w:id="2" w:name="_Toc15396598"/>
      <w:bookmarkStart w:id="3" w:name="_Toc15378442"/>
      <w:bookmarkStart w:id="4" w:name="_Toc15396476"/>
      <w:r>
        <w:rPr>
          <w:rFonts w:hint="eastAsia" w:ascii="方正小标宋简体" w:hAnsi="方正小标宋简体" w:eastAsia="方正小标宋简体" w:cs="方正小标宋简体"/>
          <w:sz w:val="72"/>
          <w:szCs w:val="72"/>
        </w:rPr>
        <w:t>四川省</w:t>
      </w:r>
      <w:bookmarkStart w:id="5" w:name="_Toc15306268"/>
      <w:r>
        <w:rPr>
          <w:rFonts w:hint="eastAsia" w:ascii="方正小标宋简体" w:hAnsi="方正小标宋简体" w:eastAsia="方正小标宋简体" w:cs="方正小标宋简体"/>
          <w:sz w:val="72"/>
          <w:szCs w:val="72"/>
          <w:lang w:val="en-US" w:eastAsia="zh-CN"/>
        </w:rPr>
        <w:t>下八寨</w:t>
      </w:r>
      <w:r>
        <w:rPr>
          <w:rFonts w:hint="eastAsia" w:ascii="方正小标宋简体" w:hAnsi="方正小标宋简体" w:eastAsia="方正小标宋简体" w:cs="方正小标宋简体"/>
          <w:sz w:val="72"/>
          <w:szCs w:val="72"/>
          <w:lang w:eastAsia="zh-CN"/>
        </w:rPr>
        <w:t>乡卫生院</w:t>
      </w:r>
    </w:p>
    <w:p w14:paraId="3878CFB5">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rPr>
        <w:t>决算</w:t>
      </w:r>
      <w:bookmarkEnd w:id="0"/>
      <w:bookmarkEnd w:id="1"/>
      <w:bookmarkEnd w:id="2"/>
      <w:bookmarkEnd w:id="3"/>
      <w:bookmarkEnd w:id="4"/>
      <w:bookmarkEnd w:id="5"/>
      <w:r>
        <w:rPr>
          <w:rFonts w:hint="eastAsia" w:ascii="方正小标宋简体" w:hAnsi="方正小标宋简体" w:eastAsia="方正小标宋简体" w:cs="方正小标宋简体"/>
          <w:sz w:val="72"/>
          <w:szCs w:val="72"/>
          <w:lang w:eastAsia="zh-CN"/>
        </w:rPr>
        <w:t>公开</w:t>
      </w:r>
    </w:p>
    <w:p w14:paraId="0DA615E7">
      <w:pPr>
        <w:widowControl/>
        <w:jc w:val="both"/>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023C290E">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EE51532">
      <w:pPr>
        <w:widowControl/>
        <w:jc w:val="center"/>
        <w:rPr>
          <w:rFonts w:ascii="Times New Roman" w:hAnsi="Times New Roman" w:eastAsia="黑体" w:cstheme="minorBidi"/>
          <w:color w:val="auto"/>
          <w:sz w:val="28"/>
          <w:szCs w:val="28"/>
          <w:highlight w:val="none"/>
        </w:rPr>
      </w:pPr>
    </w:p>
    <w:p w14:paraId="23029F41">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r>
        <w:rPr>
          <w:rFonts w:hint="eastAsia" w:ascii="Times New Roman" w:hAnsi="Times New Roman" w:eastAsia="仿宋_GB2312" w:cs="仿宋_GB2312"/>
          <w:color w:val="auto"/>
          <w:sz w:val="32"/>
          <w:szCs w:val="32"/>
          <w:highlight w:val="none"/>
        </w:rPr>
        <w:t>日</w:t>
      </w:r>
    </w:p>
    <w:p w14:paraId="7DE49AF4">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63567"/>
        <w:docPartObj>
          <w:docPartGallery w:val="Table of Contents"/>
          <w:docPartUnique/>
        </w:docPartObj>
      </w:sdtPr>
      <w:sdtEndPr>
        <w:rPr>
          <w:rFonts w:ascii="Times New Roman" w:hAnsi="Times New Roman" w:eastAsia="宋体" w:cs="Times New Roman"/>
          <w:kern w:val="2"/>
          <w:sz w:val="20"/>
          <w:szCs w:val="20"/>
          <w:lang w:val="en-US" w:eastAsia="zh-CN" w:bidi="ar-SA"/>
        </w:rPr>
      </w:sdtEndPr>
      <w:sdtContent>
        <w:p w14:paraId="62E72B96">
          <w:pPr>
            <w:spacing w:before="0" w:beforeLines="0" w:after="0" w:afterLines="0" w:line="240" w:lineRule="auto"/>
            <w:ind w:left="0" w:leftChars="0" w:right="0" w:rightChars="0" w:firstLine="0" w:firstLineChars="0"/>
            <w:jc w:val="center"/>
          </w:pPr>
          <w:bookmarkStart w:id="6" w:name="_Toc5403_WPSOffice_Type2"/>
        </w:p>
        <w:p w14:paraId="02EA389C">
          <w:pPr>
            <w:pStyle w:val="37"/>
            <w:tabs>
              <w:tab w:val="right" w:leader="dot" w:pos="8306"/>
            </w:tabs>
          </w:pPr>
          <w:r>
            <w:rPr>
              <w:b/>
              <w:bCs/>
            </w:rPr>
            <w:fldChar w:fldCharType="begin"/>
          </w:r>
          <w:r>
            <w:instrText xml:space="preserve"> HYPERLINK \l _Toc566_WPSOffice_Level1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2233"/>
              <w:placeholder>
                <w:docPart w:val="{994db45b-5547-495d-af4f-252457d6fe15}"/>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第一部分  部门概况</w:t>
              </w:r>
            </w:sdtContent>
          </w:sdt>
          <w:r>
            <w:rPr>
              <w:b/>
              <w:bCs/>
            </w:rPr>
            <w:tab/>
          </w:r>
          <w:bookmarkStart w:id="7" w:name="_Toc566_WPSOffice_Level1Page"/>
          <w:r>
            <w:rPr>
              <w:b/>
              <w:bCs/>
            </w:rPr>
            <w:t>2</w:t>
          </w:r>
          <w:bookmarkEnd w:id="7"/>
          <w:r>
            <w:rPr>
              <w:b/>
              <w:bCs/>
            </w:rPr>
            <w:fldChar w:fldCharType="end"/>
          </w:r>
        </w:p>
        <w:p w14:paraId="16605700">
          <w:pPr>
            <w:pStyle w:val="38"/>
            <w:tabs>
              <w:tab w:val="right" w:leader="dot" w:pos="8306"/>
            </w:tabs>
          </w:pPr>
          <w:r>
            <w:fldChar w:fldCharType="begin"/>
          </w:r>
          <w:r>
            <w:instrText xml:space="preserve"> HYPERLINK \l _Toc5403_WPSOffice_Level2 </w:instrText>
          </w:r>
          <w:r>
            <w:fldChar w:fldCharType="separate"/>
          </w:r>
          <w:sdt>
            <w:sdtPr>
              <w:rPr>
                <w:rFonts w:ascii="Times New Roman" w:hAnsi="Times New Roman" w:eastAsia="宋体" w:cs="Times New Roman"/>
                <w:kern w:val="2"/>
                <w:sz w:val="21"/>
                <w:szCs w:val="24"/>
                <w:lang w:val="en-US" w:eastAsia="zh-CN" w:bidi="ar-SA"/>
              </w:rPr>
              <w:id w:val="147457128"/>
              <w:placeholder>
                <w:docPart w:val="{be15a712-2c3a-421a-a740-2d618133a95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一、部门职责</w:t>
              </w:r>
            </w:sdtContent>
          </w:sdt>
          <w:r>
            <w:tab/>
          </w:r>
          <w:bookmarkStart w:id="8" w:name="_Toc5403_WPSOffice_Level2Page"/>
          <w:r>
            <w:t>2</w:t>
          </w:r>
          <w:bookmarkEnd w:id="8"/>
          <w:r>
            <w:fldChar w:fldCharType="end"/>
          </w:r>
        </w:p>
        <w:p w14:paraId="6B74408E">
          <w:pPr>
            <w:pStyle w:val="38"/>
            <w:tabs>
              <w:tab w:val="right" w:leader="dot" w:pos="8306"/>
            </w:tabs>
          </w:pPr>
          <w:r>
            <w:fldChar w:fldCharType="begin"/>
          </w:r>
          <w:r>
            <w:instrText xml:space="preserve"> HYPERLINK \l _Toc21039_WPSOffice_Level2 </w:instrText>
          </w:r>
          <w:r>
            <w:fldChar w:fldCharType="separate"/>
          </w:r>
          <w:sdt>
            <w:sdtPr>
              <w:rPr>
                <w:rFonts w:ascii="Times New Roman" w:hAnsi="Times New Roman" w:eastAsia="宋体" w:cs="Times New Roman"/>
                <w:kern w:val="2"/>
                <w:sz w:val="21"/>
                <w:szCs w:val="24"/>
                <w:lang w:val="en-US" w:eastAsia="zh-CN" w:bidi="ar-SA"/>
              </w:rPr>
              <w:id w:val="147469902"/>
              <w:placeholder>
                <w:docPart w:val="{b2cb8262-0c61-4e8f-b765-7fe2e2e5b17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9" w:name="_Toc21039_WPSOffice_Level2Page"/>
          <w:r>
            <w:t>3</w:t>
          </w:r>
          <w:bookmarkEnd w:id="9"/>
          <w:r>
            <w:fldChar w:fldCharType="end"/>
          </w:r>
        </w:p>
        <w:p w14:paraId="2E2A2543">
          <w:pPr>
            <w:pStyle w:val="37"/>
            <w:tabs>
              <w:tab w:val="right" w:leader="dot" w:pos="8306"/>
            </w:tabs>
          </w:pPr>
          <w:r>
            <w:rPr>
              <w:b/>
              <w:bCs/>
            </w:rPr>
            <w:fldChar w:fldCharType="begin"/>
          </w:r>
          <w:r>
            <w:instrText xml:space="preserve"> HYPERLINK \l _Toc5403_WPSOffice_Level1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2781"/>
              <w:placeholder>
                <w:docPart w:val="{5ab1f346-45f1-4400-aa61-17c9130e0812}"/>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第二部分  2025年度部门决算情况说明</w:t>
              </w:r>
            </w:sdtContent>
          </w:sdt>
          <w:r>
            <w:rPr>
              <w:b/>
              <w:bCs/>
            </w:rPr>
            <w:tab/>
          </w:r>
          <w:bookmarkStart w:id="10" w:name="_Toc5403_WPSOffice_Level1Page"/>
          <w:r>
            <w:rPr>
              <w:b/>
              <w:bCs/>
            </w:rPr>
            <w:t>4</w:t>
          </w:r>
          <w:bookmarkEnd w:id="10"/>
          <w:r>
            <w:rPr>
              <w:b/>
              <w:bCs/>
            </w:rPr>
            <w:fldChar w:fldCharType="end"/>
          </w:r>
        </w:p>
        <w:p w14:paraId="7C31632F">
          <w:pPr>
            <w:pStyle w:val="38"/>
            <w:tabs>
              <w:tab w:val="right" w:leader="dot" w:pos="8306"/>
            </w:tabs>
          </w:pPr>
          <w:r>
            <w:fldChar w:fldCharType="begin"/>
          </w:r>
          <w:r>
            <w:instrText xml:space="preserve"> HYPERLINK \l _Toc30280_WPSOffice_Level2 </w:instrText>
          </w:r>
          <w:r>
            <w:fldChar w:fldCharType="separate"/>
          </w:r>
          <w:sdt>
            <w:sdtPr>
              <w:rPr>
                <w:rFonts w:ascii="Times New Roman" w:hAnsi="Times New Roman" w:eastAsia="宋体" w:cs="Times New Roman"/>
                <w:kern w:val="2"/>
                <w:sz w:val="21"/>
                <w:szCs w:val="24"/>
                <w:lang w:val="en-US" w:eastAsia="zh-CN" w:bidi="ar-SA"/>
              </w:rPr>
              <w:id w:val="147470813"/>
              <w:placeholder>
                <w:docPart w:val="{67accd53-5443-4a66-bd73-a37c1ad533e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1" w:name="_Toc30280_WPSOffice_Level2Page"/>
          <w:r>
            <w:t>4</w:t>
          </w:r>
          <w:bookmarkEnd w:id="11"/>
          <w:r>
            <w:fldChar w:fldCharType="end"/>
          </w:r>
        </w:p>
        <w:p w14:paraId="2C69ABBF">
          <w:pPr>
            <w:pStyle w:val="38"/>
            <w:tabs>
              <w:tab w:val="right" w:leader="dot" w:pos="8306"/>
            </w:tabs>
          </w:pPr>
          <w:r>
            <w:fldChar w:fldCharType="begin"/>
          </w:r>
          <w:r>
            <w:instrText xml:space="preserve"> HYPERLINK \l _Toc6386_WPSOffice_Level2 </w:instrText>
          </w:r>
          <w:r>
            <w:fldChar w:fldCharType="separate"/>
          </w:r>
          <w:sdt>
            <w:sdtPr>
              <w:rPr>
                <w:rFonts w:ascii="Times New Roman" w:hAnsi="Times New Roman" w:eastAsia="宋体" w:cs="Times New Roman"/>
                <w:kern w:val="2"/>
                <w:sz w:val="21"/>
                <w:szCs w:val="24"/>
                <w:lang w:val="en-US" w:eastAsia="zh-CN" w:bidi="ar-SA"/>
              </w:rPr>
              <w:id w:val="147458887"/>
              <w:placeholder>
                <w:docPart w:val="{bc415183-a9c6-49b4-b156-c719e476d4a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12" w:name="_Toc6386_WPSOffice_Level2Page"/>
          <w:r>
            <w:t>4</w:t>
          </w:r>
          <w:bookmarkEnd w:id="12"/>
          <w:r>
            <w:fldChar w:fldCharType="end"/>
          </w:r>
        </w:p>
        <w:p w14:paraId="60AA1293">
          <w:pPr>
            <w:pStyle w:val="38"/>
            <w:tabs>
              <w:tab w:val="right" w:leader="dot" w:pos="8306"/>
            </w:tabs>
          </w:pPr>
          <w:r>
            <w:fldChar w:fldCharType="begin"/>
          </w:r>
          <w:r>
            <w:instrText xml:space="preserve"> HYPERLINK \l _Toc24900_WPSOffice_Level2 </w:instrText>
          </w:r>
          <w:r>
            <w:fldChar w:fldCharType="separate"/>
          </w:r>
          <w:sdt>
            <w:sdtPr>
              <w:rPr>
                <w:rFonts w:ascii="Times New Roman" w:hAnsi="Times New Roman" w:eastAsia="宋体" w:cs="Times New Roman"/>
                <w:kern w:val="2"/>
                <w:sz w:val="21"/>
                <w:szCs w:val="24"/>
                <w:lang w:val="en-US" w:eastAsia="zh-CN" w:bidi="ar-SA"/>
              </w:rPr>
              <w:id w:val="147459707"/>
              <w:placeholder>
                <w:docPart w:val="{21696896-0a92-457f-929f-a1c89ec79ac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13" w:name="_Toc24900_WPSOffice_Level2Page"/>
          <w:r>
            <w:t>5</w:t>
          </w:r>
          <w:bookmarkEnd w:id="13"/>
          <w:r>
            <w:fldChar w:fldCharType="end"/>
          </w:r>
        </w:p>
        <w:p w14:paraId="764AFB24">
          <w:pPr>
            <w:pStyle w:val="38"/>
            <w:tabs>
              <w:tab w:val="right" w:leader="dot" w:pos="8306"/>
            </w:tabs>
          </w:pPr>
          <w:r>
            <w:fldChar w:fldCharType="begin"/>
          </w:r>
          <w:r>
            <w:instrText xml:space="preserve"> HYPERLINK \l _Toc8143_WPSOffice_Level2 </w:instrText>
          </w:r>
          <w:r>
            <w:fldChar w:fldCharType="separate"/>
          </w:r>
          <w:sdt>
            <w:sdtPr>
              <w:rPr>
                <w:rFonts w:ascii="Times New Roman" w:hAnsi="Times New Roman" w:eastAsia="宋体" w:cs="Times New Roman"/>
                <w:kern w:val="2"/>
                <w:sz w:val="21"/>
                <w:szCs w:val="24"/>
                <w:lang w:val="en-US" w:eastAsia="zh-CN" w:bidi="ar-SA"/>
              </w:rPr>
              <w:id w:val="147475546"/>
              <w:placeholder>
                <w:docPart w:val="{e5c10e63-5a17-4bc4-b930-7fd2bcc42cc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14" w:name="_Toc8143_WPSOffice_Level2Page"/>
          <w:r>
            <w:t>5</w:t>
          </w:r>
          <w:bookmarkEnd w:id="14"/>
          <w:r>
            <w:fldChar w:fldCharType="end"/>
          </w:r>
        </w:p>
        <w:p w14:paraId="7602F8BD">
          <w:pPr>
            <w:pStyle w:val="38"/>
            <w:tabs>
              <w:tab w:val="right" w:leader="dot" w:pos="8306"/>
            </w:tabs>
          </w:pPr>
          <w:r>
            <w:fldChar w:fldCharType="begin"/>
          </w:r>
          <w:r>
            <w:instrText xml:space="preserve"> HYPERLINK \l _Toc25688_WPSOffice_Level2 </w:instrText>
          </w:r>
          <w:r>
            <w:fldChar w:fldCharType="separate"/>
          </w:r>
          <w:sdt>
            <w:sdtPr>
              <w:rPr>
                <w:rFonts w:ascii="Times New Roman" w:hAnsi="Times New Roman" w:eastAsia="宋体" w:cs="Times New Roman"/>
                <w:kern w:val="2"/>
                <w:sz w:val="21"/>
                <w:szCs w:val="24"/>
                <w:lang w:val="en-US" w:eastAsia="zh-CN" w:bidi="ar-SA"/>
              </w:rPr>
              <w:id w:val="147452631"/>
              <w:placeholder>
                <w:docPart w:val="{53141c62-e22c-4f53-ab10-76236ee5012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15" w:name="_Toc25688_WPSOffice_Level2Page"/>
          <w:r>
            <w:t>6</w:t>
          </w:r>
          <w:bookmarkEnd w:id="15"/>
          <w:r>
            <w:fldChar w:fldCharType="end"/>
          </w:r>
        </w:p>
        <w:p w14:paraId="79A5E9E2">
          <w:pPr>
            <w:pStyle w:val="38"/>
            <w:tabs>
              <w:tab w:val="right" w:leader="dot" w:pos="8306"/>
            </w:tabs>
          </w:pPr>
          <w:r>
            <w:fldChar w:fldCharType="begin"/>
          </w:r>
          <w:r>
            <w:instrText xml:space="preserve"> HYPERLINK \l _Toc559_WPSOffice_Level2 </w:instrText>
          </w:r>
          <w:r>
            <w:fldChar w:fldCharType="separate"/>
          </w:r>
          <w:sdt>
            <w:sdtPr>
              <w:rPr>
                <w:rFonts w:ascii="Times New Roman" w:hAnsi="Times New Roman" w:eastAsia="宋体" w:cs="Times New Roman"/>
                <w:kern w:val="2"/>
                <w:sz w:val="21"/>
                <w:szCs w:val="24"/>
                <w:lang w:val="en-US" w:eastAsia="zh-CN" w:bidi="ar-SA"/>
              </w:rPr>
              <w:id w:val="147454817"/>
              <w:placeholder>
                <w:docPart w:val="{cacead1e-1b5a-4ff3-b887-f3db1cab9d5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16" w:name="_Toc559_WPSOffice_Level2Page"/>
          <w:r>
            <w:t>8</w:t>
          </w:r>
          <w:bookmarkEnd w:id="16"/>
          <w:r>
            <w:fldChar w:fldCharType="end"/>
          </w:r>
        </w:p>
        <w:p w14:paraId="38AA07D5">
          <w:pPr>
            <w:pStyle w:val="38"/>
            <w:tabs>
              <w:tab w:val="right" w:leader="dot" w:pos="8306"/>
            </w:tabs>
          </w:pPr>
          <w:r>
            <w:fldChar w:fldCharType="begin"/>
          </w:r>
          <w:r>
            <w:instrText xml:space="preserve"> HYPERLINK \l _Toc25222_WPSOffice_Level2 </w:instrText>
          </w:r>
          <w:r>
            <w:fldChar w:fldCharType="separate"/>
          </w:r>
          <w:sdt>
            <w:sdtPr>
              <w:rPr>
                <w:rFonts w:ascii="Times New Roman" w:hAnsi="Times New Roman" w:eastAsia="宋体" w:cs="Times New Roman"/>
                <w:kern w:val="2"/>
                <w:sz w:val="21"/>
                <w:szCs w:val="24"/>
                <w:lang w:val="en-US" w:eastAsia="zh-CN" w:bidi="ar-SA"/>
              </w:rPr>
              <w:id w:val="147478739"/>
              <w:placeholder>
                <w:docPart w:val="{f720a28f-0103-4890-a33a-5ade2bddc5c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17" w:name="_Toc25222_WPSOffice_Level2Page"/>
          <w:r>
            <w:t>10</w:t>
          </w:r>
          <w:bookmarkEnd w:id="17"/>
          <w:r>
            <w:fldChar w:fldCharType="end"/>
          </w:r>
        </w:p>
        <w:p w14:paraId="5F09E973">
          <w:pPr>
            <w:pStyle w:val="38"/>
            <w:tabs>
              <w:tab w:val="right" w:leader="dot" w:pos="8306"/>
            </w:tabs>
          </w:pPr>
          <w:r>
            <w:fldChar w:fldCharType="begin"/>
          </w:r>
          <w:r>
            <w:instrText xml:space="preserve"> HYPERLINK \l _Toc24414_WPSOffice_Level2 </w:instrText>
          </w:r>
          <w:r>
            <w:fldChar w:fldCharType="separate"/>
          </w:r>
          <w:sdt>
            <w:sdtPr>
              <w:rPr>
                <w:rFonts w:ascii="Times New Roman" w:hAnsi="Times New Roman" w:eastAsia="宋体" w:cs="Times New Roman"/>
                <w:kern w:val="2"/>
                <w:sz w:val="21"/>
                <w:szCs w:val="24"/>
                <w:lang w:val="en-US" w:eastAsia="zh-CN" w:bidi="ar-SA"/>
              </w:rPr>
              <w:id w:val="147479065"/>
              <w:placeholder>
                <w:docPart w:val="{bfa83ee3-0b21-4b4f-be1e-2f0ac1bce3f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18" w:name="_Toc24414_WPSOffice_Level2Page"/>
          <w:r>
            <w:t>10</w:t>
          </w:r>
          <w:bookmarkEnd w:id="18"/>
          <w:r>
            <w:fldChar w:fldCharType="end"/>
          </w:r>
        </w:p>
        <w:p w14:paraId="2BDB1EB1">
          <w:pPr>
            <w:pStyle w:val="38"/>
            <w:tabs>
              <w:tab w:val="right" w:leader="dot" w:pos="8306"/>
            </w:tabs>
          </w:pPr>
          <w:r>
            <w:fldChar w:fldCharType="begin"/>
          </w:r>
          <w:r>
            <w:instrText xml:space="preserve"> HYPERLINK \l _Toc27891_WPSOffice_Level2 </w:instrText>
          </w:r>
          <w:r>
            <w:fldChar w:fldCharType="separate"/>
          </w:r>
          <w:sdt>
            <w:sdtPr>
              <w:rPr>
                <w:rFonts w:ascii="Times New Roman" w:hAnsi="Times New Roman" w:eastAsia="宋体" w:cs="Times New Roman"/>
                <w:kern w:val="2"/>
                <w:sz w:val="21"/>
                <w:szCs w:val="24"/>
                <w:lang w:val="en-US" w:eastAsia="zh-CN" w:bidi="ar-SA"/>
              </w:rPr>
              <w:id w:val="147475716"/>
              <w:placeholder>
                <w:docPart w:val="{e74d445d-737e-429f-a732-91d92f3e9f7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19" w:name="_Toc27891_WPSOffice_Level2Page"/>
          <w:r>
            <w:t>11</w:t>
          </w:r>
          <w:bookmarkEnd w:id="19"/>
          <w:r>
            <w:fldChar w:fldCharType="end"/>
          </w:r>
        </w:p>
        <w:p w14:paraId="7CE5BE7E">
          <w:pPr>
            <w:pStyle w:val="37"/>
            <w:tabs>
              <w:tab w:val="right" w:leader="dot" w:pos="8306"/>
            </w:tabs>
          </w:pPr>
          <w:r>
            <w:rPr>
              <w:b/>
              <w:bCs/>
            </w:rPr>
            <w:fldChar w:fldCharType="begin"/>
          </w:r>
          <w:r>
            <w:instrText xml:space="preserve"> HYPERLINK \l _Toc21039_WPSOffice_Level1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7374"/>
              <w:placeholder>
                <w:docPart w:val="{5a0df8f5-c39e-4837-883e-47a5ace4249d}"/>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第三部分  名词解释</w:t>
              </w:r>
            </w:sdtContent>
          </w:sdt>
          <w:r>
            <w:rPr>
              <w:b/>
              <w:bCs/>
            </w:rPr>
            <w:tab/>
          </w:r>
          <w:bookmarkStart w:id="20" w:name="_Toc21039_WPSOffice_Level1Page"/>
          <w:r>
            <w:rPr>
              <w:b/>
              <w:bCs/>
            </w:rPr>
            <w:t>12</w:t>
          </w:r>
          <w:bookmarkEnd w:id="20"/>
          <w:r>
            <w:rPr>
              <w:b/>
              <w:bCs/>
            </w:rPr>
            <w:fldChar w:fldCharType="end"/>
          </w:r>
        </w:p>
        <w:p w14:paraId="14949A30">
          <w:pPr>
            <w:pStyle w:val="37"/>
            <w:tabs>
              <w:tab w:val="right" w:leader="dot" w:pos="8306"/>
            </w:tabs>
          </w:pPr>
          <w:r>
            <w:rPr>
              <w:b/>
              <w:bCs/>
            </w:rPr>
            <w:fldChar w:fldCharType="begin"/>
          </w:r>
          <w:r>
            <w:instrText xml:space="preserve"> HYPERLINK \l _Toc30280_WPSOffice_Level1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8326"/>
              <w:placeholder>
                <w:docPart w:val="{69d156fa-4448-46a3-8646-00d1cb003bf8}"/>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第四部分 附表</w:t>
              </w:r>
            </w:sdtContent>
          </w:sdt>
          <w:r>
            <w:rPr>
              <w:b/>
              <w:bCs/>
            </w:rPr>
            <w:tab/>
          </w:r>
          <w:bookmarkStart w:id="21" w:name="_Toc30280_WPSOffice_Level1Page"/>
          <w:r>
            <w:rPr>
              <w:b/>
              <w:bCs/>
            </w:rPr>
            <w:t>16</w:t>
          </w:r>
          <w:bookmarkEnd w:id="21"/>
          <w:r>
            <w:rPr>
              <w:b/>
              <w:bCs/>
            </w:rPr>
            <w:fldChar w:fldCharType="end"/>
          </w:r>
        </w:p>
        <w:p w14:paraId="6584DD1C">
          <w:pPr>
            <w:pStyle w:val="38"/>
            <w:tabs>
              <w:tab w:val="right" w:leader="dot" w:pos="8306"/>
            </w:tabs>
          </w:pPr>
          <w:r>
            <w:fldChar w:fldCharType="begin"/>
          </w:r>
          <w:r>
            <w:instrText xml:space="preserve"> HYPERLINK \l _Toc24269_WPSOffice_Level2 </w:instrText>
          </w:r>
          <w:r>
            <w:fldChar w:fldCharType="separate"/>
          </w:r>
          <w:sdt>
            <w:sdtPr>
              <w:rPr>
                <w:rFonts w:ascii="Times New Roman" w:hAnsi="Times New Roman" w:eastAsia="宋体" w:cs="Times New Roman"/>
                <w:kern w:val="2"/>
                <w:sz w:val="21"/>
                <w:szCs w:val="24"/>
                <w:lang w:val="en-US" w:eastAsia="zh-CN" w:bidi="ar-SA"/>
              </w:rPr>
              <w:id w:val="147461997"/>
              <w:placeholder>
                <w:docPart w:val="{8e36a2d8-97b9-4962-aa39-b9fb60909f3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22" w:name="_Toc24269_WPSOffice_Level2Page"/>
          <w:r>
            <w:t>16</w:t>
          </w:r>
          <w:bookmarkEnd w:id="22"/>
          <w:r>
            <w:fldChar w:fldCharType="end"/>
          </w:r>
        </w:p>
        <w:p w14:paraId="26A94F36">
          <w:pPr>
            <w:pStyle w:val="38"/>
            <w:tabs>
              <w:tab w:val="right" w:leader="dot" w:pos="8306"/>
            </w:tabs>
          </w:pPr>
          <w:r>
            <w:fldChar w:fldCharType="begin"/>
          </w:r>
          <w:r>
            <w:instrText xml:space="preserve"> HYPERLINK \l _Toc1186_WPSOffice_Level2 </w:instrText>
          </w:r>
          <w:r>
            <w:fldChar w:fldCharType="separate"/>
          </w:r>
          <w:sdt>
            <w:sdtPr>
              <w:rPr>
                <w:rFonts w:ascii="Times New Roman" w:hAnsi="Times New Roman" w:eastAsia="宋体" w:cs="Times New Roman"/>
                <w:kern w:val="2"/>
                <w:sz w:val="21"/>
                <w:szCs w:val="24"/>
                <w:lang w:val="en-US" w:eastAsia="zh-CN" w:bidi="ar-SA"/>
              </w:rPr>
              <w:id w:val="147456123"/>
              <w:placeholder>
                <w:docPart w:val="{0700b151-919f-4f39-9a7a-8a5678a78b2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23" w:name="_Toc1186_WPSOffice_Level2Page"/>
          <w:r>
            <w:t>16</w:t>
          </w:r>
          <w:bookmarkEnd w:id="23"/>
          <w:r>
            <w:fldChar w:fldCharType="end"/>
          </w:r>
        </w:p>
        <w:p w14:paraId="25666FBD">
          <w:pPr>
            <w:pStyle w:val="38"/>
            <w:tabs>
              <w:tab w:val="right" w:leader="dot" w:pos="8306"/>
            </w:tabs>
          </w:pPr>
          <w:r>
            <w:fldChar w:fldCharType="begin"/>
          </w:r>
          <w:r>
            <w:instrText xml:space="preserve"> HYPERLINK \l _Toc32612_WPSOffice_Level2 </w:instrText>
          </w:r>
          <w:r>
            <w:fldChar w:fldCharType="separate"/>
          </w:r>
          <w:sdt>
            <w:sdtPr>
              <w:rPr>
                <w:rFonts w:ascii="Times New Roman" w:hAnsi="Times New Roman" w:eastAsia="宋体" w:cs="Times New Roman"/>
                <w:kern w:val="2"/>
                <w:sz w:val="21"/>
                <w:szCs w:val="24"/>
                <w:lang w:val="en-US" w:eastAsia="zh-CN" w:bidi="ar-SA"/>
              </w:rPr>
              <w:id w:val="147466087"/>
              <w:placeholder>
                <w:docPart w:val="{d4dd2a16-92f5-4f38-a8eb-ec5e396c963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24" w:name="_Toc32612_WPSOffice_Level2Page"/>
          <w:r>
            <w:t>16</w:t>
          </w:r>
          <w:bookmarkEnd w:id="24"/>
          <w:r>
            <w:fldChar w:fldCharType="end"/>
          </w:r>
        </w:p>
        <w:p w14:paraId="332DBD74">
          <w:pPr>
            <w:pStyle w:val="38"/>
            <w:tabs>
              <w:tab w:val="right" w:leader="dot" w:pos="8306"/>
            </w:tabs>
          </w:pPr>
          <w:r>
            <w:fldChar w:fldCharType="begin"/>
          </w:r>
          <w:r>
            <w:instrText xml:space="preserve"> HYPERLINK \l _Toc28428_WPSOffice_Level2 </w:instrText>
          </w:r>
          <w:r>
            <w:fldChar w:fldCharType="separate"/>
          </w:r>
          <w:sdt>
            <w:sdtPr>
              <w:rPr>
                <w:rFonts w:ascii="Times New Roman" w:hAnsi="Times New Roman" w:eastAsia="宋体" w:cs="Times New Roman"/>
                <w:kern w:val="2"/>
                <w:sz w:val="21"/>
                <w:szCs w:val="24"/>
                <w:lang w:val="en-US" w:eastAsia="zh-CN" w:bidi="ar-SA"/>
              </w:rPr>
              <w:id w:val="147452272"/>
              <w:placeholder>
                <w:docPart w:val="{53a404f2-2c14-4cc9-8b5f-cf00deaa9c6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25" w:name="_Toc28428_WPSOffice_Level2Page"/>
          <w:r>
            <w:t>16</w:t>
          </w:r>
          <w:bookmarkEnd w:id="25"/>
          <w:r>
            <w:fldChar w:fldCharType="end"/>
          </w:r>
        </w:p>
        <w:p w14:paraId="50244734">
          <w:pPr>
            <w:pStyle w:val="38"/>
            <w:tabs>
              <w:tab w:val="right" w:leader="dot" w:pos="8306"/>
            </w:tabs>
          </w:pPr>
          <w:r>
            <w:fldChar w:fldCharType="begin"/>
          </w:r>
          <w:r>
            <w:instrText xml:space="preserve"> HYPERLINK \l _Toc21056_WPSOffice_Level2 </w:instrText>
          </w:r>
          <w:r>
            <w:fldChar w:fldCharType="separate"/>
          </w:r>
          <w:sdt>
            <w:sdtPr>
              <w:rPr>
                <w:rFonts w:ascii="Times New Roman" w:hAnsi="Times New Roman" w:eastAsia="宋体" w:cs="Times New Roman"/>
                <w:kern w:val="2"/>
                <w:sz w:val="21"/>
                <w:szCs w:val="24"/>
                <w:lang w:val="en-US" w:eastAsia="zh-CN" w:bidi="ar-SA"/>
              </w:rPr>
              <w:id w:val="147482555"/>
              <w:placeholder>
                <w:docPart w:val="{313d1872-c519-4051-9b11-f502fe28876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26" w:name="_Toc21056_WPSOffice_Level2Page"/>
          <w:r>
            <w:t>16</w:t>
          </w:r>
          <w:bookmarkEnd w:id="26"/>
          <w:r>
            <w:fldChar w:fldCharType="end"/>
          </w:r>
        </w:p>
        <w:p w14:paraId="711FC9F1">
          <w:pPr>
            <w:pStyle w:val="38"/>
            <w:tabs>
              <w:tab w:val="right" w:leader="dot" w:pos="8306"/>
            </w:tabs>
          </w:pPr>
          <w:r>
            <w:fldChar w:fldCharType="begin"/>
          </w:r>
          <w:r>
            <w:instrText xml:space="preserve"> HYPERLINK \l _Toc23629_WPSOffice_Level2 </w:instrText>
          </w:r>
          <w:r>
            <w:fldChar w:fldCharType="separate"/>
          </w:r>
          <w:sdt>
            <w:sdtPr>
              <w:rPr>
                <w:rFonts w:ascii="Times New Roman" w:hAnsi="Times New Roman" w:eastAsia="宋体" w:cs="Times New Roman"/>
                <w:kern w:val="2"/>
                <w:sz w:val="21"/>
                <w:szCs w:val="24"/>
                <w:lang w:val="en-US" w:eastAsia="zh-CN" w:bidi="ar-SA"/>
              </w:rPr>
              <w:id w:val="147461431"/>
              <w:placeholder>
                <w:docPart w:val="{26a83dc1-0aab-4469-9821-aa16465d0b9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27" w:name="_Toc23629_WPSOffice_Level2Page"/>
          <w:r>
            <w:t>16</w:t>
          </w:r>
          <w:bookmarkEnd w:id="27"/>
          <w:r>
            <w:fldChar w:fldCharType="end"/>
          </w:r>
        </w:p>
        <w:p w14:paraId="68C2926E">
          <w:pPr>
            <w:pStyle w:val="38"/>
            <w:tabs>
              <w:tab w:val="right" w:leader="dot" w:pos="8306"/>
            </w:tabs>
          </w:pPr>
          <w:r>
            <w:fldChar w:fldCharType="begin"/>
          </w:r>
          <w:r>
            <w:instrText xml:space="preserve"> HYPERLINK \l _Toc1178_WPSOffice_Level2 </w:instrText>
          </w:r>
          <w:r>
            <w:fldChar w:fldCharType="separate"/>
          </w:r>
          <w:sdt>
            <w:sdtPr>
              <w:rPr>
                <w:rFonts w:ascii="Times New Roman" w:hAnsi="Times New Roman" w:eastAsia="宋体" w:cs="Times New Roman"/>
                <w:kern w:val="2"/>
                <w:sz w:val="21"/>
                <w:szCs w:val="24"/>
                <w:lang w:val="en-US" w:eastAsia="zh-CN" w:bidi="ar-SA"/>
              </w:rPr>
              <w:id w:val="147452666"/>
              <w:placeholder>
                <w:docPart w:val="{1a411a10-9e79-42e7-86ce-3077bd98a52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28" w:name="_Toc1178_WPSOffice_Level2Page"/>
          <w:r>
            <w:t>16</w:t>
          </w:r>
          <w:bookmarkEnd w:id="28"/>
          <w:r>
            <w:fldChar w:fldCharType="end"/>
          </w:r>
        </w:p>
        <w:p w14:paraId="5F7DCE33">
          <w:pPr>
            <w:pStyle w:val="38"/>
            <w:tabs>
              <w:tab w:val="right" w:leader="dot" w:pos="8306"/>
            </w:tabs>
          </w:pPr>
          <w:r>
            <w:fldChar w:fldCharType="begin"/>
          </w:r>
          <w:r>
            <w:instrText xml:space="preserve"> HYPERLINK \l _Toc21514_WPSOffice_Level2 </w:instrText>
          </w:r>
          <w:r>
            <w:fldChar w:fldCharType="separate"/>
          </w:r>
          <w:sdt>
            <w:sdtPr>
              <w:rPr>
                <w:rFonts w:ascii="Times New Roman" w:hAnsi="Times New Roman" w:eastAsia="宋体" w:cs="Times New Roman"/>
                <w:kern w:val="2"/>
                <w:sz w:val="21"/>
                <w:szCs w:val="24"/>
                <w:lang w:val="en-US" w:eastAsia="zh-CN" w:bidi="ar-SA"/>
              </w:rPr>
              <w:id w:val="147464475"/>
              <w:placeholder>
                <w:docPart w:val="{86f691d9-0bfd-4807-9aa0-79046b85e55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29" w:name="_Toc21514_WPSOffice_Level2Page"/>
          <w:r>
            <w:t>16</w:t>
          </w:r>
          <w:bookmarkEnd w:id="29"/>
          <w:r>
            <w:fldChar w:fldCharType="end"/>
          </w:r>
        </w:p>
        <w:p w14:paraId="5A8A345C">
          <w:pPr>
            <w:pStyle w:val="38"/>
            <w:tabs>
              <w:tab w:val="right" w:leader="dot" w:pos="8306"/>
            </w:tabs>
          </w:pPr>
          <w:r>
            <w:fldChar w:fldCharType="begin"/>
          </w:r>
          <w:r>
            <w:instrText xml:space="preserve"> HYPERLINK \l _Toc31142_WPSOffice_Level2 </w:instrText>
          </w:r>
          <w:r>
            <w:fldChar w:fldCharType="separate"/>
          </w:r>
          <w:sdt>
            <w:sdtPr>
              <w:rPr>
                <w:rFonts w:ascii="Times New Roman" w:hAnsi="Times New Roman" w:eastAsia="宋体" w:cs="Times New Roman"/>
                <w:kern w:val="2"/>
                <w:sz w:val="21"/>
                <w:szCs w:val="24"/>
                <w:lang w:val="en-US" w:eastAsia="zh-CN" w:bidi="ar-SA"/>
              </w:rPr>
              <w:id w:val="147460683"/>
              <w:placeholder>
                <w:docPart w:val="{4ac2b0cf-9bda-450d-9aed-3e25177e754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30" w:name="_Toc31142_WPSOffice_Level2Page"/>
          <w:r>
            <w:t>16</w:t>
          </w:r>
          <w:bookmarkEnd w:id="30"/>
          <w:r>
            <w:fldChar w:fldCharType="end"/>
          </w:r>
        </w:p>
        <w:p w14:paraId="08423A84">
          <w:pPr>
            <w:pStyle w:val="38"/>
            <w:tabs>
              <w:tab w:val="right" w:leader="dot" w:pos="8306"/>
            </w:tabs>
          </w:pPr>
          <w:r>
            <w:fldChar w:fldCharType="begin"/>
          </w:r>
          <w:r>
            <w:instrText xml:space="preserve"> HYPERLINK \l _Toc17980_WPSOffice_Level2 </w:instrText>
          </w:r>
          <w:r>
            <w:fldChar w:fldCharType="separate"/>
          </w:r>
          <w:sdt>
            <w:sdtPr>
              <w:rPr>
                <w:rFonts w:ascii="Times New Roman" w:hAnsi="Times New Roman" w:eastAsia="宋体" w:cs="Times New Roman"/>
                <w:kern w:val="2"/>
                <w:sz w:val="21"/>
                <w:szCs w:val="24"/>
                <w:lang w:val="en-US" w:eastAsia="zh-CN" w:bidi="ar-SA"/>
              </w:rPr>
              <w:id w:val="147461782"/>
              <w:placeholder>
                <w:docPart w:val="{9811e4a8-3870-4ef0-baff-62682b88ddf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31" w:name="_Toc17980_WPSOffice_Level2Page"/>
          <w:r>
            <w:t>16</w:t>
          </w:r>
          <w:bookmarkEnd w:id="31"/>
          <w:r>
            <w:fldChar w:fldCharType="end"/>
          </w:r>
        </w:p>
        <w:p w14:paraId="6A9716E4">
          <w:pPr>
            <w:pStyle w:val="38"/>
            <w:tabs>
              <w:tab w:val="right" w:leader="dot" w:pos="8306"/>
            </w:tabs>
          </w:pPr>
          <w:r>
            <w:fldChar w:fldCharType="begin"/>
          </w:r>
          <w:r>
            <w:instrText xml:space="preserve"> HYPERLINK \l _Toc31916_WPSOffice_Level2 </w:instrText>
          </w:r>
          <w:r>
            <w:fldChar w:fldCharType="separate"/>
          </w:r>
          <w:sdt>
            <w:sdtPr>
              <w:rPr>
                <w:rFonts w:ascii="Times New Roman" w:hAnsi="Times New Roman" w:eastAsia="宋体" w:cs="Times New Roman"/>
                <w:kern w:val="2"/>
                <w:sz w:val="21"/>
                <w:szCs w:val="24"/>
                <w:lang w:val="en-US" w:eastAsia="zh-CN" w:bidi="ar-SA"/>
              </w:rPr>
              <w:id w:val="147481203"/>
              <w:placeholder>
                <w:docPart w:val="{f37e3c50-01b7-4a66-a6f5-3033a21ca49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32" w:name="_Toc31916_WPSOffice_Level2Page"/>
          <w:r>
            <w:t>16</w:t>
          </w:r>
          <w:bookmarkEnd w:id="32"/>
          <w:r>
            <w:fldChar w:fldCharType="end"/>
          </w:r>
        </w:p>
        <w:p w14:paraId="659721C7">
          <w:pPr>
            <w:pStyle w:val="38"/>
            <w:tabs>
              <w:tab w:val="right" w:leader="dot" w:pos="8306"/>
            </w:tabs>
          </w:pPr>
          <w:r>
            <w:fldChar w:fldCharType="begin"/>
          </w:r>
          <w:r>
            <w:instrText xml:space="preserve"> HYPERLINK \l _Toc18297_WPSOffice_Level2 </w:instrText>
          </w:r>
          <w:r>
            <w:fldChar w:fldCharType="separate"/>
          </w:r>
          <w:sdt>
            <w:sdtPr>
              <w:rPr>
                <w:rFonts w:ascii="Times New Roman" w:hAnsi="Times New Roman" w:eastAsia="宋体" w:cs="Times New Roman"/>
                <w:kern w:val="2"/>
                <w:sz w:val="21"/>
                <w:szCs w:val="24"/>
                <w:lang w:val="en-US" w:eastAsia="zh-CN" w:bidi="ar-SA"/>
              </w:rPr>
              <w:id w:val="147461045"/>
              <w:placeholder>
                <w:docPart w:val="{01f738bc-e1e5-4541-aacc-ab3f72e58b5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33" w:name="_Toc18297_WPSOffice_Level2Page"/>
          <w:r>
            <w:t>16</w:t>
          </w:r>
          <w:bookmarkEnd w:id="33"/>
          <w:r>
            <w:fldChar w:fldCharType="end"/>
          </w:r>
        </w:p>
        <w:p w14:paraId="21730E18">
          <w:pPr>
            <w:pStyle w:val="38"/>
            <w:tabs>
              <w:tab w:val="right" w:leader="dot" w:pos="8306"/>
            </w:tabs>
          </w:pPr>
          <w:r>
            <w:fldChar w:fldCharType="begin"/>
          </w:r>
          <w:r>
            <w:instrText xml:space="preserve"> HYPERLINK \l _Toc5290_WPSOffice_Level2 </w:instrText>
          </w:r>
          <w:r>
            <w:fldChar w:fldCharType="separate"/>
          </w:r>
          <w:sdt>
            <w:sdtPr>
              <w:rPr>
                <w:rFonts w:ascii="Times New Roman" w:hAnsi="Times New Roman" w:eastAsia="宋体" w:cs="Times New Roman"/>
                <w:kern w:val="2"/>
                <w:sz w:val="21"/>
                <w:szCs w:val="24"/>
                <w:lang w:val="en-US" w:eastAsia="zh-CN" w:bidi="ar-SA"/>
              </w:rPr>
              <w:id w:val="147465263"/>
              <w:placeholder>
                <w:docPart w:val="{8574b585-eec2-4104-89b2-c2964b4030b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34" w:name="_Toc5290_WPSOffice_Level2Page"/>
          <w:r>
            <w:t>16</w:t>
          </w:r>
          <w:bookmarkEnd w:id="34"/>
          <w:r>
            <w:fldChar w:fldCharType="end"/>
          </w:r>
          <w:bookmarkEnd w:id="6"/>
        </w:p>
      </w:sdtContent>
    </w:sdt>
    <w:p w14:paraId="7BA54059">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45EBA70D">
      <w:pPr>
        <w:pStyle w:val="3"/>
        <w:jc w:val="center"/>
        <w:rPr>
          <w:rStyle w:val="30"/>
          <w:rFonts w:hint="eastAsia" w:ascii="Times New Roman" w:hAnsi="Times New Roman" w:eastAsia="方正小标宋简体" w:cs="方正小标宋简体"/>
          <w:b/>
          <w:bCs w:val="0"/>
          <w:color w:val="auto"/>
          <w:highlight w:val="none"/>
        </w:rPr>
      </w:pPr>
      <w:bookmarkStart w:id="35" w:name="_Toc566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35"/>
    </w:p>
    <w:p w14:paraId="45E324C0">
      <w:pPr>
        <w:widowControl/>
        <w:jc w:val="left"/>
        <w:rPr>
          <w:rFonts w:ascii="Times New Roman" w:hAnsi="Times New Roman" w:eastAsia="黑体"/>
          <w:color w:val="auto"/>
          <w:sz w:val="32"/>
          <w:szCs w:val="32"/>
          <w:highlight w:val="none"/>
        </w:rPr>
      </w:pPr>
    </w:p>
    <w:p w14:paraId="26D8E8E1">
      <w:pPr>
        <w:pStyle w:val="4"/>
        <w:rPr>
          <w:rStyle w:val="31"/>
          <w:rFonts w:hint="eastAsia" w:ascii="Times New Roman" w:hAnsi="Times New Roman" w:eastAsia="黑体"/>
          <w:b w:val="0"/>
          <w:bCs w:val="0"/>
          <w:color w:val="auto"/>
          <w:highlight w:val="none"/>
          <w:lang w:eastAsia="zh-CN"/>
        </w:rPr>
      </w:pPr>
      <w:bookmarkStart w:id="36" w:name="_Toc15377197"/>
      <w:bookmarkStart w:id="37" w:name="_Toc15396600"/>
      <w:bookmarkStart w:id="38" w:name="_Toc5403_WPSOffice_Level2"/>
      <w:r>
        <w:rPr>
          <w:rFonts w:hint="eastAsia" w:ascii="Times New Roman" w:hAnsi="Times New Roman" w:eastAsia="黑体"/>
          <w:b w:val="0"/>
          <w:color w:val="auto"/>
          <w:highlight w:val="none"/>
        </w:rPr>
        <w:t>一、</w:t>
      </w:r>
      <w:bookmarkEnd w:id="36"/>
      <w:bookmarkEnd w:id="37"/>
      <w:r>
        <w:rPr>
          <w:rFonts w:hint="eastAsia" w:ascii="Times New Roman" w:hAnsi="Times New Roman" w:eastAsia="黑体"/>
          <w:b w:val="0"/>
          <w:color w:val="auto"/>
          <w:highlight w:val="none"/>
          <w:lang w:eastAsia="zh-CN"/>
        </w:rPr>
        <w:t>部门职责</w:t>
      </w:r>
      <w:bookmarkEnd w:id="38"/>
    </w:p>
    <w:p w14:paraId="3761DF5F">
      <w:pPr>
        <w:ind w:firstLine="640" w:firstLineChars="200"/>
        <w:rPr>
          <w:rFonts w:hint="eastAsia"/>
          <w:lang w:eastAsia="zh-CN"/>
        </w:rPr>
      </w:pPr>
      <w:r>
        <w:rPr>
          <w:rFonts w:hint="eastAsia" w:ascii="仿宋_GB2312" w:hAnsi="仿宋_GB2312" w:eastAsia="仿宋_GB2312" w:cs="仿宋_GB2312"/>
          <w:sz w:val="32"/>
          <w:szCs w:val="32"/>
          <w:lang w:val="en-US" w:eastAsia="zh-CN"/>
        </w:rPr>
        <w:t>卫生院的职责：基本医疗服务，1、正确处理常见病、多发病，对疑难重症进行恰当的处理并转诊。承担乡村现场应急救护、转诊服务和康复服务。2、卫生院具备完成外科的止血、缝合、包扎、骨折固定等处置。3、健全消毒、隔离制度，遵守无菌操作规程，加强医疗质量管理。做好医疗废物处理和污水、污物无害化处理。4、执行国家基本药物制度药品集中采购、零差率销售等政策，为实施一体化管理的村卫生室统一代购药品。5、提供政府卫生行政部门批准的其他适宜的医疗服务。卫生院功能：公共卫生服务。1、承担农村居民健康档案规范建档指导、管理及服务。2、普及卫生保健常识，在重点人群和重点场所开展健康教育，帮助居民形成有利于维护和增进健康的行为方式。3、提供并组织实施辖区预防接种服务，落实国家免疫规划。4、及时发现、登记并报告辖区内发现的传染病病例和疑似病例，参与现场疫情处理。5、开展新生儿访视及儿童保健系统管理，进行体格检查和生长发育监测及评价，开展健康指导。6、开展孕产妇保健系统管理和产后访视，进行一般体格检查及孕期营养、心理等健康指导。7、对辖区65岁及以上老年人进行登记管理，进行健康危险因素调查和一般体格检查，开展健康指导。8、对高血压、糖尿病等慢性病高危人群进行指导，对确诊高血压、糖尿病等慢性病病例进行登记管理、定期随访和健康指导。9、对辖区重性精神疾病患者进行登记管理、治疗随访和康复指导。10、负责辖区内突发公共卫生事件的报告并协助处理。11、做好卫生行政部门规定的其他公共卫生服务。</w:t>
      </w:r>
    </w:p>
    <w:p w14:paraId="4A9DF608">
      <w:pPr>
        <w:numPr>
          <w:ilvl w:val="0"/>
          <w:numId w:val="0"/>
        </w:numPr>
        <w:rPr>
          <w:rFonts w:hint="eastAsia"/>
          <w:lang w:eastAsia="zh-CN"/>
        </w:rPr>
      </w:pPr>
    </w:p>
    <w:p w14:paraId="6F9D50EC">
      <w:pPr>
        <w:pStyle w:val="4"/>
        <w:rPr>
          <w:rStyle w:val="31"/>
          <w:rFonts w:ascii="Times New Roman" w:hAnsi="Times New Roman"/>
          <w:b w:val="0"/>
          <w:bCs w:val="0"/>
          <w:color w:val="auto"/>
          <w:highlight w:val="none"/>
        </w:rPr>
      </w:pPr>
      <w:bookmarkStart w:id="39" w:name="_Toc15377200"/>
      <w:bookmarkStart w:id="40" w:name="_Toc15396601"/>
      <w:bookmarkStart w:id="41" w:name="_Toc21039_WPSOffice_Level2"/>
      <w:bookmarkStart w:id="42" w:name="_Toc6825_WPSOffice_Level2"/>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39"/>
      <w:bookmarkEnd w:id="40"/>
      <w:bookmarkEnd w:id="41"/>
      <w:bookmarkEnd w:id="42"/>
    </w:p>
    <w:p w14:paraId="77002C8C">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45" w:lineRule="atLeast"/>
        <w:ind w:left="0" w:right="0" w:firstLine="646"/>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松潘县下八寨乡卫生院为财政全额拨款的事业单位，内设机构如下：预防保健科、内科、外科；普通外科专业、妇产科、妇女保健科、儿科、儿童保健科、中医科。核对编制人数8人，截至2025年12月31日实有在职人数6人。</w:t>
      </w:r>
    </w:p>
    <w:p w14:paraId="54C56FD6">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0" w:afterAutospacing="0" w:line="645" w:lineRule="atLeast"/>
        <w:ind w:left="0" w:right="0" w:firstLine="0"/>
        <w:textAlignment w:val="auto"/>
        <w:rPr>
          <w:rFonts w:hint="eastAsia"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   </w:t>
      </w:r>
      <w:r>
        <w:rPr>
          <w:rFonts w:hint="eastAsia" w:ascii="仿宋_GB2312" w:hAnsi="仿宋_GB2312" w:eastAsia="仿宋_GB2312" w:cs="仿宋_GB2312"/>
          <w:kern w:val="2"/>
          <w:sz w:val="32"/>
          <w:szCs w:val="32"/>
          <w:lang w:val="en-US" w:eastAsia="zh-CN" w:bidi="ar-SA"/>
        </w:rPr>
        <w:t xml:space="preserve">  </w:t>
      </w:r>
      <w:r>
        <w:rPr>
          <w:rFonts w:hint="default" w:ascii="仿宋_GB2312" w:hAnsi="仿宋_GB2312" w:eastAsia="仿宋_GB2312" w:cs="仿宋_GB2312"/>
          <w:kern w:val="2"/>
          <w:sz w:val="32"/>
          <w:szCs w:val="32"/>
          <w:lang w:val="en-US" w:eastAsia="zh-CN" w:bidi="ar-SA"/>
        </w:rPr>
        <w:t>按照决算管理有关规定，</w:t>
      </w:r>
      <w:r>
        <w:rPr>
          <w:rFonts w:hint="eastAsia" w:ascii="仿宋_GB2312" w:hAnsi="仿宋_GB2312" w:eastAsia="仿宋_GB2312" w:cs="仿宋_GB2312"/>
          <w:kern w:val="2"/>
          <w:sz w:val="32"/>
          <w:szCs w:val="32"/>
          <w:lang w:val="en-US" w:eastAsia="zh-CN" w:bidi="ar-SA"/>
        </w:rPr>
        <w:t>2026</w:t>
      </w:r>
      <w:r>
        <w:rPr>
          <w:rFonts w:hint="default" w:ascii="仿宋_GB2312" w:hAnsi="仿宋_GB2312" w:eastAsia="仿宋_GB2312" w:cs="仿宋_GB2312"/>
          <w:kern w:val="2"/>
          <w:sz w:val="32"/>
          <w:szCs w:val="32"/>
          <w:lang w:val="en-US" w:eastAsia="zh-CN" w:bidi="ar-SA"/>
        </w:rPr>
        <w:t>年</w:t>
      </w:r>
      <w:r>
        <w:rPr>
          <w:rFonts w:hint="eastAsia" w:ascii="仿宋_GB2312" w:hAnsi="仿宋_GB2312" w:eastAsia="仿宋_GB2312" w:cs="仿宋_GB2312"/>
          <w:kern w:val="2"/>
          <w:sz w:val="32"/>
          <w:szCs w:val="32"/>
          <w:lang w:val="en-US" w:eastAsia="zh-CN" w:bidi="ar-SA"/>
        </w:rPr>
        <w:t>松潘县下八寨乡</w:t>
      </w:r>
      <w:r>
        <w:rPr>
          <w:rFonts w:hint="default" w:ascii="仿宋_GB2312" w:hAnsi="仿宋_GB2312" w:eastAsia="仿宋_GB2312" w:cs="仿宋_GB2312"/>
          <w:kern w:val="2"/>
          <w:sz w:val="32"/>
          <w:szCs w:val="32"/>
          <w:lang w:val="en-US" w:eastAsia="zh-CN" w:bidi="ar-SA"/>
        </w:rPr>
        <w:t>卫生院决算编报内容为本级，无所属下级预算单位。</w:t>
      </w:r>
    </w:p>
    <w:p w14:paraId="0F676655">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6B1E44F">
      <w:pPr>
        <w:pStyle w:val="3"/>
        <w:jc w:val="center"/>
        <w:rPr>
          <w:rFonts w:hint="eastAsia" w:ascii="Times New Roman" w:hAnsi="Times New Roman" w:eastAsia="方正小标宋简体" w:cs="方正小标宋简体"/>
          <w:b w:val="0"/>
          <w:color w:val="auto"/>
          <w:highlight w:val="none"/>
        </w:rPr>
      </w:pPr>
      <w:bookmarkStart w:id="43" w:name="_Toc15377204"/>
      <w:bookmarkStart w:id="44" w:name="_Toc5403_WPSOffice_Level1"/>
      <w:bookmarkStart w:id="45"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43"/>
      <w:bookmarkEnd w:id="44"/>
      <w:bookmarkEnd w:id="45"/>
    </w:p>
    <w:p w14:paraId="28B1D1AC">
      <w:pPr>
        <w:rPr>
          <w:rFonts w:ascii="Times New Roman" w:hAnsi="Times New Roman"/>
          <w:color w:val="auto"/>
          <w:highlight w:val="none"/>
        </w:rPr>
      </w:pPr>
    </w:p>
    <w:p w14:paraId="328F959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46" w:name="_Toc15377205"/>
      <w:bookmarkStart w:id="47" w:name="_Toc15396603"/>
      <w:bookmarkStart w:id="48" w:name="_Toc30280_WPSOffice_Level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46"/>
      <w:bookmarkEnd w:id="47"/>
      <w:bookmarkEnd w:id="48"/>
    </w:p>
    <w:p w14:paraId="1D833C9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162.4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0.77</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0.47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单位人员减少，财政拨款收入减少。</w:t>
      </w:r>
    </w:p>
    <w:p w14:paraId="7B945F6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0" locked="0" layoutInCell="1" allowOverlap="1">
            <wp:simplePos x="0" y="0"/>
            <wp:positionH relativeFrom="column">
              <wp:posOffset>183515</wp:posOffset>
            </wp:positionH>
            <wp:positionV relativeFrom="paragraph">
              <wp:posOffset>87630</wp:posOffset>
            </wp:positionV>
            <wp:extent cx="5273040" cy="2109470"/>
            <wp:effectExtent l="5080" t="4445" r="17780" b="19685"/>
            <wp:wrapSquare wrapText="bothSides"/>
            <wp:docPr id="152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lang w:val="en-US" w:eastAsia="zh-CN"/>
        </w:rPr>
        <w:t xml:space="preserve">    </w: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11CC290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49" w:name="_Toc6386_WPSOffice_Level2"/>
      <w:bookmarkStart w:id="50" w:name="_Toc15396604"/>
      <w:bookmarkStart w:id="51" w:name="_Toc15377206"/>
      <w:r>
        <w:rPr>
          <w:rFonts w:hint="eastAsia" w:ascii="Times New Roman" w:hAnsi="Times New Roman" w:eastAsia="黑体"/>
          <w:color w:val="auto"/>
          <w:sz w:val="32"/>
          <w:szCs w:val="32"/>
          <w:highlight w:val="none"/>
          <w:lang w:eastAsia="zh-CN"/>
        </w:rPr>
        <w:t>二、收入决算情况说明</w:t>
      </w:r>
      <w:bookmarkEnd w:id="49"/>
      <w:bookmarkEnd w:id="50"/>
      <w:bookmarkEnd w:id="51"/>
    </w:p>
    <w:p w14:paraId="49E31B8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162.4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159.38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98.13</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3.03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1.86</w:t>
      </w:r>
      <w:r>
        <w:rPr>
          <w:rFonts w:hint="eastAsia" w:ascii="Times New Roman" w:hAnsi="Times New Roman" w:eastAsia="仿宋_GB2312" w:cs="仿宋_GB2312"/>
          <w:color w:val="auto"/>
          <w:sz w:val="32"/>
          <w:szCs w:val="32"/>
          <w:highlight w:val="none"/>
          <w:lang w:eastAsia="zh-CN"/>
        </w:rPr>
        <w:t>%；</w:t>
      </w:r>
    </w:p>
    <w:p w14:paraId="189BC07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373380</wp:posOffset>
            </wp:positionH>
            <wp:positionV relativeFrom="paragraph">
              <wp:posOffset>81280</wp:posOffset>
            </wp:positionV>
            <wp:extent cx="4599305" cy="1996440"/>
            <wp:effectExtent l="4445" t="4445" r="6350" b="18415"/>
            <wp:wrapSquare wrapText="bothSides"/>
            <wp:docPr id="152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3421F7A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3DBD9B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00EAD9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8C6E20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B89E62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0CCA9CFF">
      <w:pPr>
        <w:ind w:firstLine="800" w:firstLineChars="250"/>
        <w:rPr>
          <w:rFonts w:hint="eastAsia" w:ascii="Times New Roman" w:hAnsi="Times New Roman" w:eastAsia="仿宋_GB2312" w:cs="仿宋_GB2312"/>
          <w:color w:val="auto"/>
          <w:sz w:val="32"/>
          <w:szCs w:val="32"/>
          <w:highlight w:val="none"/>
          <w:lang w:eastAsia="zh-CN"/>
        </w:rPr>
      </w:pPr>
    </w:p>
    <w:p w14:paraId="6B097AE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52" w:name="_Toc24900_WPSOffice_Level2"/>
      <w:bookmarkStart w:id="53" w:name="_Toc15396605"/>
      <w:bookmarkStart w:id="54"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52"/>
      <w:bookmarkEnd w:id="53"/>
      <w:bookmarkEnd w:id="54"/>
    </w:p>
    <w:p w14:paraId="31ABBFE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162.4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141.13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86.9</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21.27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13.09</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DEEA8B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141605</wp:posOffset>
            </wp:positionH>
            <wp:positionV relativeFrom="paragraph">
              <wp:posOffset>85090</wp:posOffset>
            </wp:positionV>
            <wp:extent cx="5270500" cy="2550795"/>
            <wp:effectExtent l="4445" t="4445" r="20955" b="16510"/>
            <wp:wrapSquare wrapText="bothSides"/>
            <wp:docPr id="152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61D48DE2">
      <w:pPr>
        <w:ind w:firstLine="800" w:firstLineChars="250"/>
        <w:rPr>
          <w:rFonts w:hint="eastAsia" w:ascii="Times New Roman" w:hAnsi="Times New Roman" w:eastAsia="仿宋_GB2312" w:cs="仿宋_GB2312"/>
          <w:color w:val="auto"/>
          <w:sz w:val="32"/>
          <w:szCs w:val="32"/>
          <w:highlight w:val="none"/>
          <w:lang w:eastAsia="zh-CN"/>
        </w:rPr>
      </w:pPr>
    </w:p>
    <w:p w14:paraId="174F31FA">
      <w:pPr>
        <w:spacing w:line="600" w:lineRule="exact"/>
        <w:ind w:firstLine="640" w:firstLineChars="200"/>
        <w:outlineLvl w:val="1"/>
        <w:rPr>
          <w:rStyle w:val="31"/>
          <w:rFonts w:ascii="Times New Roman" w:hAnsi="Times New Roman" w:eastAsia="黑体"/>
          <w:b w:val="0"/>
          <w:color w:val="auto"/>
          <w:highlight w:val="none"/>
        </w:rPr>
      </w:pPr>
      <w:bookmarkStart w:id="55" w:name="_Toc15396606"/>
      <w:bookmarkStart w:id="56" w:name="_Toc15377208"/>
      <w:bookmarkStart w:id="57" w:name="_Toc8143_WPSOffice_Level2"/>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55"/>
      <w:bookmarkEnd w:id="56"/>
      <w:bookmarkEnd w:id="57"/>
    </w:p>
    <w:p w14:paraId="57443E7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159.38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2.38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1.47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人员的变动，财政拨款收支同步减少。</w:t>
      </w:r>
    </w:p>
    <w:p w14:paraId="382293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BACD592">
      <w:pPr>
        <w:pStyle w:val="2"/>
        <w:rPr>
          <w:rFonts w:hint="eastAsia" w:ascii="Times New Roman" w:hAnsi="Times New Roman" w:eastAsia="仿宋_GB2312" w:cs="仿宋_GB2312"/>
          <w:color w:val="auto"/>
          <w:kern w:val="2"/>
          <w:sz w:val="32"/>
          <w:szCs w:val="32"/>
          <w:highlight w:val="none"/>
          <w:lang w:val="en-US" w:eastAsia="zh-CN" w:bidi="ar-SA"/>
        </w:rPr>
      </w:pPr>
    </w:p>
    <w:p w14:paraId="2B3E2815">
      <w:pPr>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-22860</wp:posOffset>
            </wp:positionH>
            <wp:positionV relativeFrom="paragraph">
              <wp:posOffset>112395</wp:posOffset>
            </wp:positionV>
            <wp:extent cx="5269230" cy="2309495"/>
            <wp:effectExtent l="4445" t="4445" r="22225" b="10160"/>
            <wp:wrapSquare wrapText="bothSides"/>
            <wp:docPr id="1524"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6F0017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09BACAF">
      <w:pPr>
        <w:spacing w:line="600" w:lineRule="exact"/>
        <w:ind w:firstLine="640" w:firstLineChars="200"/>
        <w:outlineLvl w:val="1"/>
        <w:rPr>
          <w:rStyle w:val="31"/>
          <w:rFonts w:ascii="Times New Roman" w:hAnsi="Times New Roman" w:eastAsia="黑体"/>
          <w:b w:val="0"/>
          <w:color w:val="auto"/>
          <w:highlight w:val="none"/>
        </w:rPr>
      </w:pPr>
      <w:bookmarkStart w:id="58" w:name="_Toc15377209"/>
      <w:bookmarkStart w:id="59" w:name="_Toc15396607"/>
      <w:bookmarkStart w:id="60" w:name="_Toc25688_WPSOffice_Level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58"/>
      <w:bookmarkEnd w:id="59"/>
      <w:bookmarkEnd w:id="60"/>
    </w:p>
    <w:p w14:paraId="13BC8A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61"/>
    </w:p>
    <w:p w14:paraId="50D5D8C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159.38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98.13</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2.38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1.47</w:t>
      </w:r>
      <w:r>
        <w:rPr>
          <w:rFonts w:hint="eastAsia" w:ascii="Times New Roman" w:hAnsi="Times New Roman" w:eastAsia="仿宋_GB2312" w:cs="仿宋_GB2312"/>
          <w:color w:val="auto"/>
          <w:kern w:val="2"/>
          <w:sz w:val="32"/>
          <w:szCs w:val="32"/>
          <w:highlight w:val="none"/>
          <w:lang w:val="en-US" w:eastAsia="zh-CN" w:bidi="ar-SA"/>
        </w:rPr>
        <w:t>%。要变动原因是</w:t>
      </w:r>
      <w:r>
        <w:rPr>
          <w:rFonts w:hint="eastAsia" w:eastAsia="仿宋_GB2312" w:cs="仿宋_GB2312"/>
          <w:color w:val="auto"/>
          <w:kern w:val="2"/>
          <w:sz w:val="32"/>
          <w:szCs w:val="32"/>
          <w:highlight w:val="none"/>
          <w:lang w:val="en-US" w:eastAsia="zh-CN" w:bidi="ar-SA"/>
        </w:rPr>
        <w:t>人员的变动，财政拨款收支同步减少。</w:t>
      </w:r>
    </w:p>
    <w:p w14:paraId="6AA65ED0">
      <w:pPr>
        <w:pStyle w:val="2"/>
        <w:rPr>
          <w:rFonts w:hint="eastAsia"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441325</wp:posOffset>
            </wp:positionH>
            <wp:positionV relativeFrom="paragraph">
              <wp:posOffset>116205</wp:posOffset>
            </wp:positionV>
            <wp:extent cx="4827270" cy="2157095"/>
            <wp:effectExtent l="4445" t="4445" r="6985" b="10160"/>
            <wp:wrapSquare wrapText="bothSides"/>
            <wp:docPr id="152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7FEB4892">
      <w:pPr>
        <w:rPr>
          <w:rFonts w:hint="eastAsia" w:eastAsia="仿宋_GB2312" w:cs="仿宋_GB2312"/>
          <w:color w:val="auto"/>
          <w:kern w:val="2"/>
          <w:sz w:val="32"/>
          <w:szCs w:val="32"/>
          <w:highlight w:val="none"/>
          <w:lang w:val="en-US" w:eastAsia="zh-CN" w:bidi="ar-SA"/>
        </w:rPr>
      </w:pPr>
    </w:p>
    <w:p w14:paraId="3BB7D420">
      <w:pPr>
        <w:pStyle w:val="2"/>
        <w:rPr>
          <w:rFonts w:hint="eastAsia" w:eastAsia="仿宋_GB2312" w:cs="仿宋_GB2312"/>
          <w:color w:val="auto"/>
          <w:kern w:val="2"/>
          <w:sz w:val="32"/>
          <w:szCs w:val="32"/>
          <w:highlight w:val="none"/>
          <w:lang w:val="en-US" w:eastAsia="zh-CN" w:bidi="ar-SA"/>
        </w:rPr>
      </w:pPr>
    </w:p>
    <w:p w14:paraId="700FEF4C">
      <w:pPr>
        <w:rPr>
          <w:rFonts w:hint="eastAsia" w:eastAsia="仿宋_GB2312" w:cs="仿宋_GB2312"/>
          <w:color w:val="auto"/>
          <w:kern w:val="2"/>
          <w:sz w:val="32"/>
          <w:szCs w:val="32"/>
          <w:highlight w:val="none"/>
          <w:lang w:val="en-US" w:eastAsia="zh-CN" w:bidi="ar-SA"/>
        </w:rPr>
      </w:pPr>
    </w:p>
    <w:p w14:paraId="1CC7F19F">
      <w:pPr>
        <w:pStyle w:val="2"/>
        <w:rPr>
          <w:rFonts w:hint="default"/>
          <w:lang w:val="en-US" w:eastAsia="zh-CN"/>
        </w:rPr>
      </w:pPr>
    </w:p>
    <w:p w14:paraId="7E6A57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118" w:name="_GoBack"/>
      <w:r>
        <w:rPr>
          <w:rFonts w:hint="eastAsia" w:ascii="Times New Roman" w:hAnsi="Times New Roman" w:eastAsia="仿宋_GB2312" w:cs="仿宋_GB2312"/>
          <w:color w:val="auto"/>
          <w:kern w:val="2"/>
          <w:sz w:val="32"/>
          <w:szCs w:val="32"/>
          <w:highlight w:val="none"/>
          <w:lang w:val="en-US" w:eastAsia="zh-CN" w:bidi="ar-SA"/>
        </w:rPr>
        <w:t>（</w:t>
      </w:r>
      <w:bookmarkEnd w:id="118"/>
    </w:p>
    <w:p w14:paraId="3855CEFC">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8BA3C28">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04A4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D12B08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62"/>
    </w:p>
    <w:p w14:paraId="3B8CB7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165735</wp:posOffset>
            </wp:positionH>
            <wp:positionV relativeFrom="paragraph">
              <wp:posOffset>1539875</wp:posOffset>
            </wp:positionV>
            <wp:extent cx="5123815" cy="2742565"/>
            <wp:effectExtent l="4445" t="4445" r="15240" b="15240"/>
            <wp:wrapSquare wrapText="bothSides"/>
            <wp:docPr id="152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159.38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21.56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127.13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80</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10.68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p>
    <w:p w14:paraId="28A432ED">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673F82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4BC8C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3"/>
    </w:p>
    <w:p w14:paraId="4B331A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4" w:name="_Toc15377444"/>
      <w:bookmarkStart w:id="65" w:name="_Toc15377213"/>
      <w:bookmarkStart w:id="66"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159.38</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64"/>
      <w:bookmarkEnd w:id="65"/>
      <w:bookmarkEnd w:id="66"/>
    </w:p>
    <w:p w14:paraId="2D9FD788">
      <w:pPr>
        <w:spacing w:line="600" w:lineRule="exact"/>
        <w:ind w:firstLine="640"/>
        <w:rPr>
          <w:rFonts w:hint="eastAsia" w:ascii="仿宋" w:hAnsi="仿宋" w:eastAsia="仿宋"/>
          <w:kern w:val="21"/>
          <w:sz w:val="32"/>
          <w:szCs w:val="32"/>
        </w:rPr>
      </w:pPr>
      <w:bookmarkStart w:id="67" w:name="_Toc15396608"/>
      <w:bookmarkStart w:id="68" w:name="_Toc15377214"/>
      <w:r>
        <w:rPr>
          <w:rFonts w:hint="eastAsia" w:ascii="仿宋" w:hAnsi="仿宋" w:eastAsia="仿宋"/>
          <w:kern w:val="21"/>
          <w:sz w:val="32"/>
          <w:szCs w:val="32"/>
          <w:lang w:eastAsia="zh-CN"/>
        </w:rPr>
        <w:t>1.</w:t>
      </w:r>
      <w:r>
        <w:rPr>
          <w:rFonts w:hint="eastAsia" w:ascii="仿宋" w:hAnsi="仿宋" w:eastAsia="仿宋"/>
          <w:kern w:val="21"/>
          <w:sz w:val="32"/>
          <w:szCs w:val="32"/>
        </w:rPr>
        <w:t>社会保障和就业支出（类）行政事业单位养老支出、（款）机关事业单位基本养老保险缴费支出（项）：支出决算</w:t>
      </w:r>
      <w:r>
        <w:rPr>
          <w:rFonts w:hint="eastAsia" w:ascii="仿宋" w:hAnsi="仿宋" w:eastAsia="仿宋"/>
          <w:kern w:val="21"/>
          <w:sz w:val="32"/>
          <w:szCs w:val="32"/>
          <w:lang w:val="en-US" w:eastAsia="zh-CN"/>
        </w:rPr>
        <w:t>11.8</w:t>
      </w:r>
      <w:r>
        <w:rPr>
          <w:rFonts w:hint="eastAsia" w:ascii="仿宋" w:hAnsi="仿宋" w:eastAsia="仿宋"/>
          <w:kern w:val="21"/>
          <w:sz w:val="32"/>
          <w:szCs w:val="32"/>
        </w:rPr>
        <w:t>万元，完成预算100％。</w:t>
      </w:r>
    </w:p>
    <w:p w14:paraId="21313FE6">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2.</w:t>
      </w:r>
      <w:r>
        <w:rPr>
          <w:rFonts w:hint="eastAsia" w:ascii="仿宋" w:hAnsi="仿宋" w:eastAsia="仿宋"/>
          <w:kern w:val="21"/>
          <w:sz w:val="32"/>
          <w:szCs w:val="32"/>
        </w:rPr>
        <w:t>社会保障和就业支出（类）行政事业单位养老支出（款）机关事业单位职业年金缴费支出（项）：支出决算</w:t>
      </w:r>
      <w:r>
        <w:rPr>
          <w:rFonts w:hint="eastAsia" w:ascii="仿宋" w:hAnsi="仿宋" w:eastAsia="仿宋"/>
          <w:kern w:val="21"/>
          <w:sz w:val="32"/>
          <w:szCs w:val="32"/>
          <w:lang w:val="en-US" w:eastAsia="zh-CN"/>
        </w:rPr>
        <w:t>5.9</w:t>
      </w:r>
      <w:r>
        <w:rPr>
          <w:rFonts w:hint="eastAsia" w:ascii="仿宋" w:hAnsi="仿宋" w:eastAsia="仿宋"/>
          <w:kern w:val="21"/>
          <w:sz w:val="32"/>
          <w:szCs w:val="32"/>
        </w:rPr>
        <w:t>万元，完成预算100％。</w:t>
      </w:r>
    </w:p>
    <w:p w14:paraId="484A16E6">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3.</w:t>
      </w:r>
      <w:r>
        <w:rPr>
          <w:rFonts w:hint="eastAsia" w:ascii="仿宋" w:hAnsi="仿宋" w:eastAsia="仿宋"/>
          <w:kern w:val="21"/>
          <w:sz w:val="32"/>
          <w:szCs w:val="32"/>
        </w:rPr>
        <w:t>卫生健康支出（类）基层医疗卫生机构（款）乡镇卫生院（项）：支出决算</w:t>
      </w:r>
      <w:r>
        <w:rPr>
          <w:rFonts w:hint="eastAsia" w:ascii="仿宋" w:hAnsi="仿宋" w:eastAsia="仿宋"/>
          <w:kern w:val="21"/>
          <w:sz w:val="32"/>
          <w:szCs w:val="32"/>
          <w:lang w:val="en-US" w:eastAsia="zh-CN"/>
        </w:rPr>
        <w:t>103.05</w:t>
      </w:r>
      <w:r>
        <w:rPr>
          <w:rFonts w:hint="eastAsia" w:ascii="仿宋" w:hAnsi="仿宋" w:eastAsia="仿宋"/>
          <w:kern w:val="21"/>
          <w:sz w:val="32"/>
          <w:szCs w:val="32"/>
        </w:rPr>
        <w:t>万元，完成预算100％。</w:t>
      </w:r>
    </w:p>
    <w:p w14:paraId="030864E3">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4.</w:t>
      </w:r>
      <w:r>
        <w:rPr>
          <w:rFonts w:hint="eastAsia" w:ascii="仿宋" w:hAnsi="仿宋" w:eastAsia="仿宋"/>
          <w:kern w:val="21"/>
          <w:sz w:val="32"/>
          <w:szCs w:val="32"/>
        </w:rPr>
        <w:t>卫生健康支出（类）基层医疗卫生机构（款）其他基层医疗卫生机构支出（项）：支出决算</w:t>
      </w:r>
      <w:r>
        <w:rPr>
          <w:rFonts w:hint="eastAsia" w:ascii="仿宋" w:hAnsi="仿宋" w:eastAsia="仿宋"/>
          <w:kern w:val="21"/>
          <w:sz w:val="32"/>
          <w:szCs w:val="32"/>
          <w:lang w:val="en-US" w:eastAsia="zh-CN"/>
        </w:rPr>
        <w:t>3.53</w:t>
      </w:r>
      <w:r>
        <w:rPr>
          <w:rFonts w:hint="eastAsia" w:ascii="仿宋" w:hAnsi="仿宋" w:eastAsia="仿宋"/>
          <w:kern w:val="21"/>
          <w:sz w:val="32"/>
          <w:szCs w:val="32"/>
        </w:rPr>
        <w:t>万元，完成预算100％。</w:t>
      </w:r>
    </w:p>
    <w:p w14:paraId="66EF4B22">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5.</w:t>
      </w:r>
      <w:r>
        <w:rPr>
          <w:rFonts w:hint="eastAsia" w:ascii="仿宋" w:hAnsi="仿宋" w:eastAsia="仿宋"/>
          <w:kern w:val="21"/>
          <w:sz w:val="32"/>
          <w:szCs w:val="32"/>
        </w:rPr>
        <w:t>卫生健康支出（类）公共卫生（款）</w:t>
      </w:r>
      <w:r>
        <w:rPr>
          <w:rFonts w:hint="eastAsia" w:ascii="仿宋" w:hAnsi="仿宋" w:eastAsia="仿宋"/>
          <w:kern w:val="21"/>
          <w:sz w:val="32"/>
          <w:szCs w:val="32"/>
          <w:lang w:val="en-US" w:eastAsia="zh-CN"/>
        </w:rPr>
        <w:t>基本公共卫生服务</w:t>
      </w:r>
      <w:r>
        <w:rPr>
          <w:rFonts w:hint="eastAsia" w:ascii="仿宋" w:hAnsi="仿宋" w:eastAsia="仿宋"/>
          <w:kern w:val="21"/>
          <w:sz w:val="32"/>
          <w:szCs w:val="32"/>
        </w:rPr>
        <w:t>（项）：支出决算</w:t>
      </w:r>
      <w:r>
        <w:rPr>
          <w:rFonts w:hint="eastAsia" w:ascii="仿宋" w:hAnsi="仿宋" w:eastAsia="仿宋"/>
          <w:kern w:val="21"/>
          <w:sz w:val="32"/>
          <w:szCs w:val="32"/>
          <w:lang w:val="en-US" w:eastAsia="zh-CN"/>
        </w:rPr>
        <w:t>13.15</w:t>
      </w:r>
      <w:r>
        <w:rPr>
          <w:rFonts w:hint="eastAsia" w:ascii="仿宋" w:hAnsi="仿宋" w:eastAsia="仿宋"/>
          <w:kern w:val="21"/>
          <w:sz w:val="32"/>
          <w:szCs w:val="32"/>
        </w:rPr>
        <w:t>万元，完成预算100％。</w:t>
      </w:r>
    </w:p>
    <w:p w14:paraId="3F7B286A">
      <w:pPr>
        <w:spacing w:line="600" w:lineRule="exact"/>
        <w:ind w:firstLine="640"/>
        <w:rPr>
          <w:rFonts w:hint="eastAsia"/>
        </w:rPr>
      </w:pPr>
      <w:r>
        <w:rPr>
          <w:rFonts w:hint="eastAsia" w:ascii="仿宋" w:hAnsi="仿宋" w:eastAsia="仿宋"/>
          <w:kern w:val="21"/>
          <w:sz w:val="32"/>
          <w:szCs w:val="32"/>
          <w:lang w:val="en-US" w:eastAsia="zh-CN"/>
        </w:rPr>
        <w:t>6.</w:t>
      </w:r>
      <w:r>
        <w:rPr>
          <w:rFonts w:hint="eastAsia" w:ascii="仿宋" w:hAnsi="仿宋" w:eastAsia="仿宋"/>
          <w:kern w:val="21"/>
          <w:sz w:val="32"/>
          <w:szCs w:val="32"/>
        </w:rPr>
        <w:t>卫生健康支出（类）公共卫生（款）</w:t>
      </w:r>
      <w:r>
        <w:rPr>
          <w:rFonts w:hint="eastAsia" w:ascii="仿宋" w:hAnsi="仿宋" w:eastAsia="仿宋"/>
          <w:kern w:val="21"/>
          <w:sz w:val="32"/>
          <w:szCs w:val="32"/>
          <w:lang w:val="en-US" w:eastAsia="zh-CN"/>
        </w:rPr>
        <w:t>其他公共卫生支出</w:t>
      </w:r>
      <w:r>
        <w:rPr>
          <w:rFonts w:hint="eastAsia" w:ascii="仿宋" w:hAnsi="仿宋" w:eastAsia="仿宋"/>
          <w:kern w:val="21"/>
          <w:sz w:val="32"/>
          <w:szCs w:val="32"/>
        </w:rPr>
        <w:t>（项）：支出决算</w:t>
      </w:r>
      <w:r>
        <w:rPr>
          <w:rFonts w:hint="eastAsia" w:ascii="仿宋" w:hAnsi="仿宋" w:eastAsia="仿宋"/>
          <w:kern w:val="21"/>
          <w:sz w:val="32"/>
          <w:szCs w:val="32"/>
          <w:lang w:val="en-US" w:eastAsia="zh-CN"/>
        </w:rPr>
        <w:t>0.72</w:t>
      </w:r>
      <w:r>
        <w:rPr>
          <w:rFonts w:hint="eastAsia" w:ascii="仿宋" w:hAnsi="仿宋" w:eastAsia="仿宋"/>
          <w:kern w:val="21"/>
          <w:sz w:val="32"/>
          <w:szCs w:val="32"/>
        </w:rPr>
        <w:t>万元，完成预算100％。</w:t>
      </w:r>
    </w:p>
    <w:p w14:paraId="00D554BD">
      <w:pPr>
        <w:spacing w:line="600" w:lineRule="exact"/>
        <w:ind w:firstLine="640"/>
        <w:rPr>
          <w:rFonts w:hint="eastAsia" w:ascii="仿宋" w:hAnsi="仿宋" w:eastAsia="仿宋"/>
          <w:kern w:val="21"/>
          <w:sz w:val="32"/>
          <w:szCs w:val="32"/>
        </w:rPr>
      </w:pPr>
      <w:r>
        <w:rPr>
          <w:rFonts w:hint="eastAsia" w:ascii="仿宋" w:hAnsi="仿宋" w:eastAsia="仿宋"/>
          <w:kern w:val="21"/>
          <w:sz w:val="32"/>
          <w:szCs w:val="32"/>
          <w:lang w:eastAsia="zh-CN"/>
        </w:rPr>
        <w:t>6.</w:t>
      </w:r>
      <w:r>
        <w:rPr>
          <w:rFonts w:hint="eastAsia" w:ascii="仿宋" w:hAnsi="仿宋" w:eastAsia="仿宋"/>
          <w:kern w:val="21"/>
          <w:sz w:val="32"/>
          <w:szCs w:val="32"/>
        </w:rPr>
        <w:t>卫生健康支出（类）行政事业单位医疗（款）事业单位医疗（项）：支出决算</w:t>
      </w:r>
      <w:r>
        <w:rPr>
          <w:rFonts w:hint="eastAsia" w:ascii="仿宋" w:hAnsi="仿宋" w:eastAsia="仿宋"/>
          <w:kern w:val="21"/>
          <w:sz w:val="32"/>
          <w:szCs w:val="32"/>
          <w:lang w:val="en-US" w:eastAsia="zh-CN"/>
        </w:rPr>
        <w:t>5.55</w:t>
      </w:r>
      <w:r>
        <w:rPr>
          <w:rFonts w:hint="eastAsia" w:ascii="仿宋" w:hAnsi="仿宋" w:eastAsia="仿宋"/>
          <w:kern w:val="21"/>
          <w:sz w:val="32"/>
          <w:szCs w:val="32"/>
        </w:rPr>
        <w:t>万元，完成预算100％。</w:t>
      </w:r>
    </w:p>
    <w:p w14:paraId="1258C92E">
      <w:pPr>
        <w:spacing w:line="600" w:lineRule="exact"/>
        <w:ind w:firstLine="640"/>
        <w:rPr>
          <w:rFonts w:hint="eastAsia" w:ascii="仿宋" w:hAnsi="仿宋" w:eastAsia="仿宋"/>
          <w:kern w:val="21"/>
          <w:sz w:val="32"/>
          <w:szCs w:val="32"/>
          <w:lang w:eastAsia="zh-CN"/>
        </w:rPr>
      </w:pPr>
      <w:r>
        <w:rPr>
          <w:rFonts w:hint="eastAsia" w:ascii="仿宋" w:hAnsi="仿宋" w:eastAsia="仿宋"/>
          <w:kern w:val="21"/>
          <w:sz w:val="32"/>
          <w:szCs w:val="32"/>
          <w:lang w:eastAsia="zh-CN"/>
        </w:rPr>
        <w:t>7.</w:t>
      </w:r>
      <w:r>
        <w:rPr>
          <w:rFonts w:hint="eastAsia" w:ascii="仿宋" w:hAnsi="仿宋" w:eastAsia="仿宋"/>
          <w:kern w:val="21"/>
          <w:sz w:val="32"/>
          <w:szCs w:val="32"/>
        </w:rPr>
        <w:t>卫生健康支出（类）行政事业单位医疗（款）其他行政事业单位医疗支出（项）；支出决算</w:t>
      </w:r>
      <w:r>
        <w:rPr>
          <w:rFonts w:hint="eastAsia" w:ascii="仿宋" w:hAnsi="仿宋" w:eastAsia="仿宋"/>
          <w:kern w:val="21"/>
          <w:sz w:val="32"/>
          <w:szCs w:val="32"/>
          <w:lang w:val="en-US" w:eastAsia="zh-CN"/>
        </w:rPr>
        <w:t>1.13</w:t>
      </w:r>
      <w:r>
        <w:rPr>
          <w:rFonts w:hint="eastAsia" w:ascii="仿宋" w:hAnsi="仿宋" w:eastAsia="仿宋"/>
          <w:kern w:val="21"/>
          <w:sz w:val="32"/>
          <w:szCs w:val="32"/>
        </w:rPr>
        <w:t>万元，完成预算100％</w:t>
      </w:r>
      <w:r>
        <w:rPr>
          <w:rFonts w:hint="eastAsia" w:ascii="仿宋" w:hAnsi="仿宋" w:eastAsia="仿宋"/>
          <w:kern w:val="21"/>
          <w:sz w:val="32"/>
          <w:szCs w:val="32"/>
          <w:lang w:eastAsia="zh-CN"/>
        </w:rPr>
        <w:t>。</w:t>
      </w:r>
    </w:p>
    <w:p w14:paraId="05146D32">
      <w:pPr>
        <w:spacing w:line="600" w:lineRule="exact"/>
        <w:ind w:firstLine="640"/>
        <w:rPr>
          <w:rFonts w:hint="eastAsia"/>
          <w:lang w:eastAsia="zh-CN"/>
        </w:rPr>
      </w:pPr>
      <w:r>
        <w:rPr>
          <w:rFonts w:hint="eastAsia" w:ascii="仿宋" w:hAnsi="仿宋" w:eastAsia="仿宋"/>
          <w:kern w:val="21"/>
          <w:sz w:val="32"/>
          <w:szCs w:val="32"/>
          <w:lang w:val="en-US" w:eastAsia="zh-CN"/>
        </w:rPr>
        <w:t>8.社会保障和就业支出</w:t>
      </w:r>
      <w:r>
        <w:rPr>
          <w:rFonts w:hint="eastAsia" w:ascii="仿宋" w:hAnsi="仿宋" w:eastAsia="仿宋"/>
          <w:kern w:val="21"/>
          <w:sz w:val="32"/>
          <w:szCs w:val="32"/>
        </w:rPr>
        <w:t>（类）</w:t>
      </w:r>
      <w:r>
        <w:rPr>
          <w:rFonts w:hint="eastAsia" w:ascii="仿宋" w:hAnsi="仿宋" w:eastAsia="仿宋"/>
          <w:kern w:val="21"/>
          <w:sz w:val="32"/>
          <w:szCs w:val="32"/>
          <w:lang w:val="en-US" w:eastAsia="zh-CN"/>
        </w:rPr>
        <w:t>人力资源和社会保障事务支出</w:t>
      </w:r>
      <w:r>
        <w:rPr>
          <w:rFonts w:hint="eastAsia" w:ascii="仿宋" w:hAnsi="仿宋" w:eastAsia="仿宋"/>
          <w:kern w:val="21"/>
          <w:sz w:val="32"/>
          <w:szCs w:val="32"/>
        </w:rPr>
        <w:t>（款）</w:t>
      </w:r>
      <w:r>
        <w:rPr>
          <w:rFonts w:hint="eastAsia" w:ascii="仿宋" w:hAnsi="仿宋" w:eastAsia="仿宋"/>
          <w:kern w:val="21"/>
          <w:sz w:val="32"/>
          <w:szCs w:val="32"/>
          <w:lang w:val="en-US" w:eastAsia="zh-CN"/>
        </w:rPr>
        <w:t>其他人力资源和社会保障事务支出</w:t>
      </w:r>
      <w:r>
        <w:rPr>
          <w:rFonts w:hint="eastAsia" w:ascii="仿宋" w:hAnsi="仿宋" w:eastAsia="仿宋"/>
          <w:kern w:val="21"/>
          <w:sz w:val="32"/>
          <w:szCs w:val="32"/>
        </w:rPr>
        <w:t>（项）；支出决算</w:t>
      </w:r>
      <w:r>
        <w:rPr>
          <w:rFonts w:hint="eastAsia" w:ascii="仿宋" w:hAnsi="仿宋" w:eastAsia="仿宋"/>
          <w:kern w:val="21"/>
          <w:sz w:val="32"/>
          <w:szCs w:val="32"/>
          <w:lang w:val="en-US" w:eastAsia="zh-CN"/>
        </w:rPr>
        <w:t>3.87</w:t>
      </w:r>
      <w:r>
        <w:rPr>
          <w:rFonts w:hint="eastAsia" w:ascii="仿宋" w:hAnsi="仿宋" w:eastAsia="仿宋"/>
          <w:kern w:val="21"/>
          <w:sz w:val="32"/>
          <w:szCs w:val="32"/>
        </w:rPr>
        <w:t>万元，完成预算100％</w:t>
      </w:r>
      <w:r>
        <w:rPr>
          <w:rFonts w:hint="eastAsia" w:ascii="仿宋" w:hAnsi="仿宋" w:eastAsia="仿宋"/>
          <w:kern w:val="21"/>
          <w:sz w:val="32"/>
          <w:szCs w:val="32"/>
          <w:lang w:eastAsia="zh-CN"/>
        </w:rPr>
        <w:t>。</w:t>
      </w:r>
    </w:p>
    <w:p w14:paraId="76A89167">
      <w:pPr>
        <w:spacing w:line="600" w:lineRule="exact"/>
        <w:ind w:firstLine="640"/>
        <w:rPr>
          <w:rFonts w:hint="default"/>
          <w:lang w:val="en-US" w:eastAsia="zh-CN"/>
        </w:rPr>
      </w:pPr>
      <w:r>
        <w:rPr>
          <w:rFonts w:hint="eastAsia" w:ascii="仿宋" w:hAnsi="仿宋" w:eastAsia="仿宋" w:cs="Times New Roman"/>
          <w:b w:val="0"/>
          <w:kern w:val="21"/>
          <w:sz w:val="32"/>
          <w:szCs w:val="32"/>
          <w:lang w:val="en-US" w:eastAsia="zh-CN" w:bidi="ar-SA"/>
        </w:rPr>
        <w:t>9.住房保障支出（类）住房改革支出（款）住房公积金（项）：</w:t>
      </w:r>
      <w:r>
        <w:rPr>
          <w:rFonts w:hint="eastAsia" w:ascii="仿宋" w:hAnsi="仿宋" w:eastAsia="仿宋"/>
          <w:kern w:val="21"/>
          <w:sz w:val="32"/>
          <w:szCs w:val="32"/>
        </w:rPr>
        <w:t>支出决算</w:t>
      </w:r>
      <w:r>
        <w:rPr>
          <w:rFonts w:hint="eastAsia" w:ascii="仿宋" w:hAnsi="仿宋" w:eastAsia="仿宋"/>
          <w:kern w:val="21"/>
          <w:sz w:val="32"/>
          <w:szCs w:val="32"/>
          <w:lang w:val="en-US" w:eastAsia="zh-CN"/>
        </w:rPr>
        <w:t>10.68</w:t>
      </w:r>
      <w:r>
        <w:rPr>
          <w:rFonts w:hint="eastAsia" w:ascii="仿宋" w:hAnsi="仿宋" w:eastAsia="仿宋"/>
          <w:kern w:val="21"/>
          <w:sz w:val="32"/>
          <w:szCs w:val="32"/>
        </w:rPr>
        <w:t>万元，完成预算100％</w:t>
      </w:r>
      <w:r>
        <w:rPr>
          <w:rFonts w:hint="eastAsia" w:ascii="仿宋" w:hAnsi="仿宋" w:eastAsia="仿宋"/>
          <w:kern w:val="21"/>
          <w:sz w:val="32"/>
          <w:szCs w:val="32"/>
          <w:lang w:eastAsia="zh-CN"/>
        </w:rPr>
        <w:t>。</w:t>
      </w:r>
    </w:p>
    <w:p w14:paraId="18B08FC7">
      <w:pPr>
        <w:tabs>
          <w:tab w:val="right" w:pos="8306"/>
        </w:tabs>
        <w:spacing w:line="600" w:lineRule="exact"/>
        <w:ind w:firstLine="640"/>
        <w:outlineLvl w:val="1"/>
        <w:rPr>
          <w:rStyle w:val="31"/>
          <w:rFonts w:ascii="Times New Roman" w:hAnsi="Times New Roman"/>
          <w:color w:val="auto"/>
          <w:highlight w:val="none"/>
        </w:rPr>
      </w:pPr>
      <w:bookmarkStart w:id="69" w:name="_Toc559_WPSOffice_Level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67"/>
      <w:bookmarkEnd w:id="68"/>
      <w:bookmarkEnd w:id="69"/>
      <w:r>
        <w:rPr>
          <w:rStyle w:val="31"/>
          <w:rFonts w:ascii="Times New Roman" w:hAnsi="Times New Roman" w:eastAsia="黑体"/>
          <w:b w:val="0"/>
          <w:color w:val="auto"/>
          <w:highlight w:val="none"/>
        </w:rPr>
        <w:tab/>
      </w:r>
    </w:p>
    <w:p w14:paraId="5B6928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138.1</w:t>
      </w:r>
      <w:r>
        <w:rPr>
          <w:rFonts w:hint="eastAsia" w:ascii="Times New Roman" w:hAnsi="Times New Roman" w:eastAsia="仿宋_GB2312" w:cs="仿宋_GB2312"/>
          <w:color w:val="auto"/>
          <w:kern w:val="2"/>
          <w:sz w:val="32"/>
          <w:szCs w:val="32"/>
          <w:highlight w:val="none"/>
          <w:lang w:val="en-US" w:eastAsia="zh-CN" w:bidi="ar-SA"/>
        </w:rPr>
        <w:t>万元，其中：</w:t>
      </w:r>
    </w:p>
    <w:p w14:paraId="5C5D8EB4">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135.36</w:t>
      </w:r>
      <w:r>
        <w:rPr>
          <w:rFonts w:hint="eastAsia" w:ascii="Times New Roman" w:hAnsi="Times New Roman" w:eastAsia="仿宋_GB2312" w:cs="仿宋_GB2312"/>
          <w:color w:val="auto"/>
          <w:kern w:val="2"/>
          <w:sz w:val="32"/>
          <w:szCs w:val="32"/>
          <w:highlight w:val="none"/>
          <w:lang w:val="en-US" w:eastAsia="zh-CN" w:bidi="ar-SA"/>
        </w:rPr>
        <w:t>万元，主要包括：主要包括：基本工资</w:t>
      </w:r>
      <w:r>
        <w:rPr>
          <w:rFonts w:hint="eastAsia" w:eastAsia="仿宋_GB2312" w:cs="仿宋_GB2312"/>
          <w:color w:val="auto"/>
          <w:kern w:val="2"/>
          <w:sz w:val="32"/>
          <w:szCs w:val="32"/>
          <w:highlight w:val="none"/>
          <w:lang w:val="en-US" w:eastAsia="zh-CN" w:bidi="ar-SA"/>
        </w:rPr>
        <w:t>25.01万元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23.54万元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30.68万元</w:t>
      </w:r>
      <w:r>
        <w:rPr>
          <w:rFonts w:hint="eastAsia" w:ascii="Times New Roman" w:hAnsi="Times New Roman" w:eastAsia="仿宋_GB2312" w:cs="仿宋_GB2312"/>
          <w:color w:val="auto"/>
          <w:kern w:val="2"/>
          <w:sz w:val="32"/>
          <w:szCs w:val="32"/>
          <w:highlight w:val="none"/>
          <w:lang w:val="en-US" w:eastAsia="zh-CN" w:bidi="ar-SA"/>
        </w:rPr>
        <w:t>、绩效工资</w:t>
      </w:r>
      <w:r>
        <w:rPr>
          <w:rFonts w:hint="eastAsia" w:eastAsia="仿宋_GB2312" w:cs="仿宋_GB2312"/>
          <w:color w:val="auto"/>
          <w:kern w:val="2"/>
          <w:sz w:val="32"/>
          <w:szCs w:val="32"/>
          <w:highlight w:val="none"/>
          <w:lang w:val="en-US" w:eastAsia="zh-CN" w:bidi="ar-SA"/>
        </w:rPr>
        <w:t>19.77万元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11.8万元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5.9万元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职工医疗保险缴费5.55万元、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1.29万元</w:t>
      </w:r>
      <w:r>
        <w:rPr>
          <w:rFonts w:hint="eastAsia" w:ascii="Times New Roman" w:hAnsi="Times New Roman" w:eastAsia="仿宋_GB2312" w:cs="仿宋_GB2312"/>
          <w:color w:val="auto"/>
          <w:kern w:val="2"/>
          <w:sz w:val="32"/>
          <w:szCs w:val="32"/>
          <w:highlight w:val="none"/>
          <w:lang w:val="en-US" w:eastAsia="zh-CN" w:bidi="ar-SA"/>
        </w:rPr>
        <w:t>、医疗费</w:t>
      </w:r>
      <w:r>
        <w:rPr>
          <w:rFonts w:hint="eastAsia" w:eastAsia="仿宋_GB2312" w:cs="仿宋_GB2312"/>
          <w:color w:val="auto"/>
          <w:kern w:val="2"/>
          <w:sz w:val="32"/>
          <w:szCs w:val="32"/>
          <w:highlight w:val="none"/>
          <w:lang w:val="en-US" w:eastAsia="zh-CN" w:bidi="ar-SA"/>
        </w:rPr>
        <w:t>1.13万元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10.68万元。</w:t>
      </w:r>
    </w:p>
    <w:p w14:paraId="266C75BE">
      <w:pPr>
        <w:spacing w:line="600" w:lineRule="exact"/>
        <w:ind w:firstLine="640"/>
        <w:outlineLvl w:val="1"/>
        <w:rPr>
          <w:rStyle w:val="31"/>
          <w:rFonts w:ascii="Times New Roman" w:hAnsi="Times New Roman" w:eastAsia="黑体"/>
          <w:b w:val="0"/>
          <w:color w:val="auto"/>
          <w:highlight w:val="none"/>
        </w:rPr>
      </w:pP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2.74</w:t>
      </w:r>
      <w:r>
        <w:rPr>
          <w:rFonts w:hint="eastAsia" w:ascii="Times New Roman" w:hAnsi="Times New Roman" w:eastAsia="仿宋_GB2312" w:cs="仿宋_GB2312"/>
          <w:color w:val="auto"/>
          <w:kern w:val="2"/>
          <w:sz w:val="32"/>
          <w:szCs w:val="32"/>
          <w:highlight w:val="none"/>
          <w:lang w:val="en-US" w:eastAsia="zh-CN" w:bidi="ar-SA"/>
        </w:rPr>
        <w:t>万元，主要包括：工会经费</w:t>
      </w:r>
      <w:r>
        <w:rPr>
          <w:rFonts w:hint="eastAsia" w:eastAsia="仿宋_GB2312" w:cs="仿宋_GB2312"/>
          <w:color w:val="auto"/>
          <w:kern w:val="2"/>
          <w:sz w:val="32"/>
          <w:szCs w:val="32"/>
          <w:highlight w:val="none"/>
          <w:lang w:val="en-US" w:eastAsia="zh-CN" w:bidi="ar-SA"/>
        </w:rPr>
        <w:t>2.74万元。</w:t>
      </w:r>
      <w:bookmarkStart w:id="70" w:name="_Toc15396609"/>
      <w:bookmarkStart w:id="71"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70"/>
      <w:bookmarkEnd w:id="71"/>
    </w:p>
    <w:p w14:paraId="0A38E83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72"/>
    </w:p>
    <w:p w14:paraId="4924BA2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73AA75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73"/>
    </w:p>
    <w:p w14:paraId="64CC0A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1AC641A7">
      <w:pPr>
        <w:jc w:val="cente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3122930" cy="1430655"/>
            <wp:effectExtent l="4445" t="4445" r="15875" b="12700"/>
            <wp:docPr id="124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9F32845">
      <w:pPr>
        <w:pStyle w:val="2"/>
        <w:rPr>
          <w:rFonts w:hint="eastAsia"/>
          <w:lang w:val="en-US" w:eastAsia="zh-CN"/>
        </w:rPr>
      </w:pPr>
    </w:p>
    <w:p w14:paraId="01BC87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697CF5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4BCA5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7B32D4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4A26F1A1">
      <w:pPr>
        <w:numPr>
          <w:ilvl w:val="0"/>
          <w:numId w:val="1"/>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B871066">
      <w:pPr>
        <w:numPr>
          <w:ilvl w:val="0"/>
          <w:numId w:val="0"/>
        </w:num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w:t>
      </w:r>
    </w:p>
    <w:p w14:paraId="1F61FA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A2DAF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3D8C16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4" w:name="_Toc15396610"/>
      <w:bookmarkStart w:id="75" w:name="_Toc15377218"/>
    </w:p>
    <w:p w14:paraId="4E865CDF">
      <w:pPr>
        <w:spacing w:line="600" w:lineRule="exact"/>
        <w:ind w:firstLine="640"/>
        <w:outlineLvl w:val="1"/>
        <w:rPr>
          <w:rStyle w:val="31"/>
          <w:rFonts w:ascii="Times New Roman" w:hAnsi="Times New Roman" w:eastAsia="黑体"/>
          <w:color w:val="auto"/>
          <w:highlight w:val="none"/>
        </w:rPr>
      </w:pPr>
      <w:bookmarkStart w:id="76" w:name="_Toc25222_WPSOffice_Level2"/>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74"/>
      <w:bookmarkEnd w:id="75"/>
      <w:bookmarkEnd w:id="76"/>
    </w:p>
    <w:p w14:paraId="057E4A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87BBA4A">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77" w:name="_Toc15396611"/>
      <w:bookmarkStart w:id="78" w:name="_Toc15377219"/>
      <w:bookmarkStart w:id="79" w:name="_Toc24414_WPSOffice_Level2"/>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77"/>
      <w:bookmarkEnd w:id="78"/>
      <w:bookmarkEnd w:id="79"/>
    </w:p>
    <w:p w14:paraId="7F872E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CC7B144">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80" w:name="_Toc27891_WPSOffice_Level2"/>
      <w:bookmarkStart w:id="81" w:name="_Toc15396612"/>
      <w:bookmarkStart w:id="82"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80"/>
      <w:bookmarkEnd w:id="81"/>
      <w:bookmarkEnd w:id="82"/>
    </w:p>
    <w:p w14:paraId="65053A8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3" w:name="_Toc15377222"/>
      <w:r>
        <w:rPr>
          <w:rFonts w:hint="eastAsia" w:ascii="Times New Roman" w:hAnsi="Times New Roman" w:eastAsia="楷体_GB2312" w:cs="楷体_GB2312"/>
          <w:b/>
          <w:color w:val="auto"/>
          <w:sz w:val="32"/>
          <w:szCs w:val="32"/>
          <w:highlight w:val="none"/>
        </w:rPr>
        <w:t>（一）机关运行经费支出情况</w:t>
      </w:r>
      <w:bookmarkEnd w:id="83"/>
    </w:p>
    <w:p w14:paraId="027305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松潘县下八寨乡卫生院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p>
    <w:p w14:paraId="29345A6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4" w:name="_Toc15377223"/>
      <w:r>
        <w:rPr>
          <w:rFonts w:hint="eastAsia" w:ascii="Times New Roman" w:hAnsi="Times New Roman" w:eastAsia="楷体_GB2312" w:cs="楷体_GB2312"/>
          <w:b/>
          <w:color w:val="auto"/>
          <w:sz w:val="32"/>
          <w:szCs w:val="32"/>
          <w:highlight w:val="none"/>
        </w:rPr>
        <w:t>（二）政府采购支出情况</w:t>
      </w:r>
      <w:bookmarkEnd w:id="84"/>
    </w:p>
    <w:p w14:paraId="3297A1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松潘县下八寨乡卫生院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4156E0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1CD2CA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5" w:name="_Toc15377224"/>
      <w:r>
        <w:rPr>
          <w:rFonts w:hint="eastAsia" w:ascii="Times New Roman" w:hAnsi="Times New Roman" w:eastAsia="楷体_GB2312" w:cs="楷体_GB2312"/>
          <w:b/>
          <w:color w:val="auto"/>
          <w:sz w:val="32"/>
          <w:szCs w:val="32"/>
          <w:highlight w:val="none"/>
        </w:rPr>
        <w:t>（三）国有资产占有使用情况</w:t>
      </w:r>
      <w:bookmarkEnd w:id="85"/>
    </w:p>
    <w:p w14:paraId="734292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松潘县下八寨乡卫生院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4A3FD2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7D0BE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004A5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6" w:name="_Toc15396613"/>
      <w:bookmarkStart w:id="87" w:name="_Toc21039_WPSOffice_Level1"/>
      <w:bookmarkStart w:id="88"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val="en-US"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6"/>
      <w:bookmarkEnd w:id="87"/>
      <w:bookmarkEnd w:id="88"/>
    </w:p>
    <w:p w14:paraId="354CB689">
      <w:pPr>
        <w:spacing w:line="600" w:lineRule="exact"/>
        <w:jc w:val="left"/>
        <w:rPr>
          <w:rFonts w:ascii="Times New Roman" w:hAnsi="Times New Roman"/>
          <w:b/>
          <w:color w:val="auto"/>
          <w:sz w:val="44"/>
          <w:szCs w:val="44"/>
          <w:highlight w:val="none"/>
        </w:rPr>
      </w:pPr>
    </w:p>
    <w:p w14:paraId="15A7438D">
      <w:pPr>
        <w:pStyle w:val="28"/>
        <w:spacing w:line="560" w:lineRule="exact"/>
        <w:ind w:firstLine="640" w:firstLineChars="200"/>
        <w:rPr>
          <w:rFonts w:ascii="仿宋_GB2312" w:eastAsia="仿宋_GB2312"/>
          <w:color w:val="auto"/>
          <w:sz w:val="32"/>
          <w:szCs w:val="32"/>
        </w:rPr>
      </w:pPr>
      <w:bookmarkStart w:id="89"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2451E969">
      <w:pPr>
        <w:pStyle w:val="28"/>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572F575E">
      <w:pPr>
        <w:pStyle w:val="28"/>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5BD57C4B">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5F7F2FD5">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14:paraId="3DE93D0B">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26C20B22">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205A44E5">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53EE201E">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9.一般公共服务社会保障和就业支出（类）行政事业单位养老支出（款）机关事业单位基本养老保险缴费支出（项）：反映机关事业单位实施养老保险制度由单位缴纳的基本养老保险费支出。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10.社会保障和就业支出（类）行政事业单位养老支出（款）机关事业单位职业年金缴费支出（项）：反映机关事业单位实施养老保险制度由单位实际缴纳的职业年金支出。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11.卫生健康支出（类）基层医疗卫生机构（款）乡镇卫生院（项）：反映卫生健康部门所属乡镇卫生院医疗机构的支出。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12.卫生健康支出（类）公共卫生（款）基本公共卫生服务（项）：反映基本公共卫生服务支出。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13.卫生健康支出（类）行政事业单位医疗（款）其他行政事业单位医疗（项）：反映财政部门安排的事业单位基本医疗保险缴费经费，未参加医疗保险的事业单位的公费医疗经费，按国家规定享受离休人员待遇的医疗经费。</w:t>
      </w:r>
    </w:p>
    <w:p w14:paraId="52D3F7FC">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14.卫生健康支出（类）公共卫生（款）其他行政事业单位医疗支出（项）：其他公共卫生支出反映除上述项目以外的其他用于公共卫生方面的支出。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15.住房保障支出（类）住房改革支出（款）住房公积金（项）：反映行政事业单位按人力资源和社会保障部、财政部规定的基本工资和津贴补贴以及规定比例为职工缴纳的住房公积金。</w:t>
      </w:r>
    </w:p>
    <w:p w14:paraId="10881F6E">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16.基本支出：指为保障机构正常运转、完成日常工作任务而发生的人员支出和公用支出。</w:t>
      </w:r>
    </w:p>
    <w:p w14:paraId="364FC661">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17.项目支出：指在基本支出之外为完成特定行政任务和事业发展目标所发生的支出。 </w:t>
      </w:r>
    </w:p>
    <w:p w14:paraId="0C265996">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18.经营支出：指事业单位在专业业务活动及其辅助活动之外开展非独立核算经营活动发生的支出。</w:t>
      </w:r>
    </w:p>
    <w:p w14:paraId="435450DB">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B83ED3A">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51D4A5F">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21.财政应返还额度：为行政事业单位会计核算科目，用于核算实行国库集中支付的行政事业单位应收财政返还的资金额度。</w:t>
      </w:r>
    </w:p>
    <w:p w14:paraId="2086DF7D">
      <w:pPr>
        <w:ind w:firstLine="640" w:firstLineChars="200"/>
        <w:rPr>
          <w:rFonts w:ascii="仿宋_GB2312" w:eastAsia="仿宋_GB2312"/>
          <w:sz w:val="32"/>
          <w:szCs w:val="32"/>
        </w:rPr>
      </w:pPr>
      <w:r>
        <w:rPr>
          <w:rFonts w:ascii="仿宋_GB2312" w:eastAsia="仿宋_GB2312"/>
          <w:sz w:val="32"/>
          <w:szCs w:val="32"/>
        </w:rPr>
        <w:t>27.</w:t>
      </w:r>
      <w:r>
        <w:rPr>
          <w:rFonts w:hint="eastAsia" w:ascii="仿宋_GB2312" w:eastAsia="仿宋_GB2312"/>
          <w:sz w:val="32"/>
          <w:szCs w:val="32"/>
        </w:rPr>
        <w:t>基本支出：指为保障机构正常运转、完成日常工作任务而发生的人员支出和公用支出。</w:t>
      </w:r>
    </w:p>
    <w:p w14:paraId="617558C1">
      <w:pPr>
        <w:ind w:firstLine="640" w:firstLineChars="200"/>
        <w:rPr>
          <w:rFonts w:ascii="仿宋_GB2312" w:eastAsia="仿宋_GB2312"/>
          <w:sz w:val="32"/>
          <w:szCs w:val="32"/>
        </w:rPr>
      </w:pPr>
      <w:r>
        <w:rPr>
          <w:rFonts w:ascii="仿宋_GB2312" w:eastAsia="仿宋_GB2312"/>
          <w:sz w:val="32"/>
          <w:szCs w:val="32"/>
        </w:rPr>
        <w:t>28.</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15B2315B">
      <w:pPr>
        <w:ind w:firstLine="640" w:firstLineChars="200"/>
        <w:rPr>
          <w:rFonts w:ascii="仿宋_GB2312" w:eastAsia="仿宋_GB2312"/>
          <w:sz w:val="32"/>
          <w:szCs w:val="32"/>
        </w:rPr>
      </w:pPr>
      <w:r>
        <w:rPr>
          <w:rFonts w:ascii="仿宋_GB2312" w:eastAsia="仿宋_GB2312"/>
          <w:sz w:val="32"/>
          <w:szCs w:val="32"/>
        </w:rPr>
        <w:t>29.</w:t>
      </w:r>
      <w:r>
        <w:rPr>
          <w:rFonts w:hint="eastAsia" w:ascii="仿宋_GB2312" w:eastAsia="仿宋_GB2312"/>
          <w:sz w:val="32"/>
          <w:szCs w:val="32"/>
        </w:rPr>
        <w:t>经营支出：指事业单位在专业业务活动及其辅助活动之外开展非独立核算经营活动发生的支出。</w:t>
      </w:r>
    </w:p>
    <w:p w14:paraId="0AECED47">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30.</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300F3F7">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31.</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0D5778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bookmarkStart w:id="90" w:name="_Toc15396618"/>
    </w:p>
    <w:p w14:paraId="08C94971">
      <w:pPr>
        <w:widowControl/>
        <w:jc w:val="center"/>
        <w:rPr>
          <w:rFonts w:hint="eastAsia" w:ascii="Times New Roman" w:hAnsi="Times New Roman" w:eastAsia="仿宋"/>
          <w:b w:val="0"/>
          <w:color w:val="auto"/>
          <w:highlight w:val="none"/>
        </w:rPr>
      </w:pPr>
      <w:bookmarkStart w:id="91" w:name="_Toc30280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val="en-US" w:eastAsia="zh-CN"/>
        </w:rPr>
        <w:t>四</w:t>
      </w:r>
      <w:r>
        <w:rPr>
          <w:rStyle w:val="30"/>
          <w:rFonts w:hint="eastAsia" w:ascii="Times New Roman" w:hAnsi="Times New Roman" w:eastAsia="黑体"/>
          <w:b w:val="0"/>
          <w:color w:val="auto"/>
          <w:highlight w:val="none"/>
        </w:rPr>
        <w:t>部分 附表</w:t>
      </w:r>
      <w:bookmarkEnd w:id="89"/>
      <w:bookmarkEnd w:id="90"/>
      <w:bookmarkEnd w:id="91"/>
      <w:bookmarkStart w:id="92" w:name="_Toc15396619"/>
    </w:p>
    <w:p w14:paraId="2CCFCA4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AA58C7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24269_WPSOffice_Level2"/>
      <w:r>
        <w:rPr>
          <w:rFonts w:hint="eastAsia" w:ascii="Times New Roman" w:hAnsi="Times New Roman" w:eastAsia="仿宋_GB2312" w:cs="仿宋_GB2312"/>
          <w:color w:val="auto"/>
          <w:sz w:val="32"/>
          <w:szCs w:val="32"/>
          <w:highlight w:val="none"/>
        </w:rPr>
        <w:t>一、收入支出决算总表</w:t>
      </w:r>
      <w:bookmarkEnd w:id="92"/>
      <w:bookmarkEnd w:id="93"/>
    </w:p>
    <w:p w14:paraId="5E4EB83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0"/>
      <w:bookmarkStart w:id="95" w:name="_Toc1186_WPSOffice_Level2"/>
      <w:r>
        <w:rPr>
          <w:rFonts w:hint="eastAsia" w:ascii="Times New Roman" w:hAnsi="Times New Roman" w:eastAsia="仿宋_GB2312" w:cs="仿宋_GB2312"/>
          <w:color w:val="auto"/>
          <w:sz w:val="32"/>
          <w:szCs w:val="32"/>
          <w:highlight w:val="none"/>
        </w:rPr>
        <w:t>二、收入决算表</w:t>
      </w:r>
      <w:bookmarkEnd w:id="94"/>
      <w:bookmarkEnd w:id="95"/>
    </w:p>
    <w:p w14:paraId="729BEFD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21"/>
      <w:bookmarkStart w:id="97" w:name="_Toc32612_WPSOffice_Level2"/>
      <w:r>
        <w:rPr>
          <w:rFonts w:hint="eastAsia" w:ascii="Times New Roman" w:hAnsi="Times New Roman" w:eastAsia="仿宋_GB2312" w:cs="仿宋_GB2312"/>
          <w:color w:val="auto"/>
          <w:sz w:val="32"/>
          <w:szCs w:val="32"/>
          <w:highlight w:val="none"/>
        </w:rPr>
        <w:t>三、支出决算表</w:t>
      </w:r>
      <w:bookmarkEnd w:id="96"/>
      <w:bookmarkEnd w:id="97"/>
    </w:p>
    <w:p w14:paraId="4A7F64C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28428_WPSOffice_Level2"/>
      <w:bookmarkStart w:id="99" w:name="_Toc15396622"/>
      <w:r>
        <w:rPr>
          <w:rFonts w:hint="eastAsia" w:ascii="Times New Roman" w:hAnsi="Times New Roman" w:eastAsia="仿宋_GB2312" w:cs="仿宋_GB2312"/>
          <w:color w:val="auto"/>
          <w:sz w:val="32"/>
          <w:szCs w:val="32"/>
          <w:highlight w:val="none"/>
        </w:rPr>
        <w:t>四、财政拨款收入支出决算总表</w:t>
      </w:r>
      <w:bookmarkEnd w:id="98"/>
      <w:bookmarkEnd w:id="99"/>
    </w:p>
    <w:p w14:paraId="36748F0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3"/>
      <w:bookmarkStart w:id="101" w:name="_Toc21056_WPSOffice_Level2"/>
      <w:r>
        <w:rPr>
          <w:rFonts w:hint="eastAsia" w:ascii="Times New Roman" w:hAnsi="Times New Roman" w:eastAsia="仿宋_GB2312" w:cs="仿宋_GB2312"/>
          <w:color w:val="auto"/>
          <w:sz w:val="32"/>
          <w:szCs w:val="32"/>
          <w:highlight w:val="none"/>
        </w:rPr>
        <w:t>五、财政拨款支出决算明细表</w:t>
      </w:r>
      <w:bookmarkEnd w:id="100"/>
      <w:bookmarkEnd w:id="101"/>
      <w:bookmarkStart w:id="102" w:name="_Toc15396624"/>
    </w:p>
    <w:p w14:paraId="727D517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3" w:name="_Toc23629_WPSOffice_Level2"/>
      <w:r>
        <w:rPr>
          <w:rFonts w:hint="eastAsia" w:ascii="Times New Roman" w:hAnsi="Times New Roman" w:eastAsia="仿宋_GB2312" w:cs="仿宋_GB2312"/>
          <w:color w:val="auto"/>
          <w:sz w:val="32"/>
          <w:szCs w:val="32"/>
          <w:highlight w:val="none"/>
        </w:rPr>
        <w:t>六、一般公共预算财政拨款支出决算表</w:t>
      </w:r>
      <w:bookmarkEnd w:id="102"/>
      <w:bookmarkEnd w:id="103"/>
    </w:p>
    <w:p w14:paraId="746B29D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4" w:name="_Toc1178_WPSOffice_Level2"/>
      <w:bookmarkStart w:id="105" w:name="_Toc15396625"/>
      <w:r>
        <w:rPr>
          <w:rFonts w:hint="eastAsia" w:ascii="Times New Roman" w:hAnsi="Times New Roman" w:eastAsia="仿宋_GB2312" w:cs="仿宋_GB2312"/>
          <w:color w:val="auto"/>
          <w:sz w:val="32"/>
          <w:szCs w:val="32"/>
          <w:highlight w:val="none"/>
        </w:rPr>
        <w:t>七、一般公共预算财政拨款支出决算明细表</w:t>
      </w:r>
      <w:bookmarkEnd w:id="104"/>
      <w:bookmarkEnd w:id="105"/>
    </w:p>
    <w:p w14:paraId="27D43D4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6" w:name="_Toc15396626"/>
      <w:bookmarkStart w:id="107" w:name="_Toc21514_WPSOffice_Level2"/>
      <w:r>
        <w:rPr>
          <w:rFonts w:hint="eastAsia" w:ascii="Times New Roman" w:hAnsi="Times New Roman" w:eastAsia="仿宋_GB2312" w:cs="仿宋_GB2312"/>
          <w:color w:val="auto"/>
          <w:sz w:val="32"/>
          <w:szCs w:val="32"/>
          <w:highlight w:val="none"/>
        </w:rPr>
        <w:t>八、一般公共预算财政拨款基本支出决算表</w:t>
      </w:r>
      <w:bookmarkEnd w:id="106"/>
      <w:bookmarkEnd w:id="107"/>
    </w:p>
    <w:p w14:paraId="2E3AF9E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8" w:name="_Toc31142_WPSOffice_Level2"/>
      <w:bookmarkStart w:id="109" w:name="_Toc15396627"/>
      <w:r>
        <w:rPr>
          <w:rFonts w:hint="eastAsia" w:ascii="Times New Roman" w:hAnsi="Times New Roman" w:eastAsia="仿宋_GB2312" w:cs="仿宋_GB2312"/>
          <w:color w:val="auto"/>
          <w:sz w:val="32"/>
          <w:szCs w:val="32"/>
          <w:highlight w:val="none"/>
        </w:rPr>
        <w:t>九、一般公共预算财政拨款项目支出决算表</w:t>
      </w:r>
      <w:bookmarkEnd w:id="108"/>
      <w:bookmarkEnd w:id="109"/>
    </w:p>
    <w:p w14:paraId="625A2D7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0" w:name="_Toc15396628"/>
      <w:bookmarkStart w:id="111" w:name="_Toc17980_WPSOffice_Level2"/>
      <w:r>
        <w:rPr>
          <w:rFonts w:hint="eastAsia" w:ascii="Times New Roman" w:hAnsi="Times New Roman" w:eastAsia="仿宋_GB2312" w:cs="仿宋_GB2312"/>
          <w:color w:val="auto"/>
          <w:sz w:val="32"/>
          <w:szCs w:val="32"/>
          <w:highlight w:val="none"/>
        </w:rPr>
        <w:t>十、</w:t>
      </w:r>
      <w:bookmarkEnd w:id="110"/>
      <w:r>
        <w:rPr>
          <w:rFonts w:hint="eastAsia" w:ascii="Times New Roman" w:hAnsi="Times New Roman" w:eastAsia="仿宋_GB2312" w:cs="仿宋_GB2312"/>
          <w:color w:val="auto"/>
          <w:sz w:val="32"/>
          <w:szCs w:val="32"/>
          <w:highlight w:val="none"/>
        </w:rPr>
        <w:t>政府性基金预算财政拨款收入支出决算表</w:t>
      </w:r>
      <w:bookmarkEnd w:id="111"/>
    </w:p>
    <w:p w14:paraId="14AC866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2" w:name="_Toc15396629"/>
      <w:bookmarkStart w:id="113" w:name="_Toc31916_WPSOffice_Level2"/>
      <w:r>
        <w:rPr>
          <w:rFonts w:hint="eastAsia" w:ascii="Times New Roman" w:hAnsi="Times New Roman" w:eastAsia="仿宋_GB2312" w:cs="仿宋_GB2312"/>
          <w:color w:val="auto"/>
          <w:sz w:val="32"/>
          <w:szCs w:val="32"/>
          <w:highlight w:val="none"/>
        </w:rPr>
        <w:t>十一、</w:t>
      </w:r>
      <w:bookmarkEnd w:id="11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13"/>
    </w:p>
    <w:p w14:paraId="59E673B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4" w:name="_Toc15396630"/>
      <w:bookmarkStart w:id="115" w:name="_Toc18297_WPSOffice_Level2"/>
      <w:r>
        <w:rPr>
          <w:rFonts w:hint="eastAsia" w:ascii="Times New Roman" w:hAnsi="Times New Roman" w:eastAsia="仿宋_GB2312" w:cs="仿宋_GB2312"/>
          <w:color w:val="auto"/>
          <w:sz w:val="32"/>
          <w:szCs w:val="32"/>
          <w:highlight w:val="none"/>
        </w:rPr>
        <w:t>十二、</w:t>
      </w:r>
      <w:bookmarkEnd w:id="114"/>
      <w:r>
        <w:rPr>
          <w:rFonts w:hint="eastAsia" w:ascii="Times New Roman" w:hAnsi="Times New Roman" w:eastAsia="仿宋_GB2312" w:cs="仿宋_GB2312"/>
          <w:color w:val="auto"/>
          <w:sz w:val="32"/>
          <w:szCs w:val="32"/>
          <w:highlight w:val="none"/>
          <w:lang w:eastAsia="zh-CN"/>
        </w:rPr>
        <w:t>国有资本经营预算财政拨款支出决算表</w:t>
      </w:r>
      <w:bookmarkEnd w:id="115"/>
    </w:p>
    <w:p w14:paraId="32EDA5F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16" w:name="_Toc15396631"/>
      <w:bookmarkStart w:id="117" w:name="_Toc5290_WPSOffice_Level2"/>
      <w:r>
        <w:rPr>
          <w:rFonts w:hint="eastAsia" w:ascii="Times New Roman" w:hAnsi="Times New Roman" w:eastAsia="仿宋_GB2312" w:cs="仿宋_GB2312"/>
          <w:color w:val="auto"/>
          <w:sz w:val="32"/>
          <w:szCs w:val="32"/>
          <w:highlight w:val="none"/>
        </w:rPr>
        <w:t>十三、</w:t>
      </w:r>
      <w:bookmarkEnd w:id="116"/>
      <w:r>
        <w:rPr>
          <w:rFonts w:hint="eastAsia" w:ascii="Times New Roman" w:hAnsi="Times New Roman" w:eastAsia="仿宋_GB2312" w:cs="仿宋_GB2312"/>
          <w:color w:val="auto"/>
          <w:sz w:val="32"/>
          <w:szCs w:val="32"/>
          <w:highlight w:val="none"/>
          <w:lang w:eastAsia="zh-CN"/>
        </w:rPr>
        <w:t>财政拨款“三公”经费支出决算表</w:t>
      </w:r>
      <w:bookmarkEnd w:id="117"/>
    </w:p>
    <w:p w14:paraId="2B64C856">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C5E8FB4-BD78-4AF8-A514-9BEFD69C722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1057159A-BD30-4093-8060-02F70A5AB5B7}"/>
  </w:font>
  <w:font w:name="仿宋">
    <w:panose1 w:val="02010609060101010101"/>
    <w:charset w:val="86"/>
    <w:family w:val="modern"/>
    <w:pitch w:val="default"/>
    <w:sig w:usb0="800002BF" w:usb1="38CF7CFA" w:usb2="00000016" w:usb3="00000000" w:csb0="00040001" w:csb1="00000000"/>
    <w:embedRegular r:id="rId3" w:fontKey="{BED87511-D950-40BC-9A6D-BAEA11326C36}"/>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239C7650-BEEA-486C-8C8B-E2DE1F970078}"/>
  </w:font>
  <w:font w:name="楷体_GB2312">
    <w:panose1 w:val="02010609030101010101"/>
    <w:charset w:val="86"/>
    <w:family w:val="auto"/>
    <w:pitch w:val="default"/>
    <w:sig w:usb0="00000001" w:usb1="080E0000" w:usb2="00000000" w:usb3="00000000" w:csb0="00040000" w:csb1="00000000"/>
    <w:embedRegular r:id="rId5" w:fontKey="{4925EC8E-8EA4-475B-8CC7-584C6DA1EEBF}"/>
  </w:font>
  <w:font w:name="华文中宋">
    <w:altName w:val="宋体"/>
    <w:panose1 w:val="02010600040101010101"/>
    <w:charset w:val="86"/>
    <w:family w:val="auto"/>
    <w:pitch w:val="default"/>
    <w:sig w:usb0="00000000" w:usb1="00000000" w:usb2="00000010" w:usb3="00000000" w:csb0="0004009F" w:csb1="00000000"/>
    <w:embedRegular r:id="rId6" w:fontKey="{4E80471D-40C1-4642-BD09-67C1FCEC1F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1CC67">
    <w:pPr>
      <w:pStyle w:val="11"/>
      <w:jc w:val="center"/>
    </w:pPr>
  </w:p>
  <w:p w14:paraId="3D3971A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6E438">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05FD6">
    <w:pPr>
      <w:pStyle w:val="11"/>
      <w:jc w:val="center"/>
    </w:pPr>
  </w:p>
  <w:p w14:paraId="0ED912B0">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25422">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7BE608">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D7BE608">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5A08C">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8D6A8E"/>
    <w:multiLevelType w:val="singleLevel"/>
    <w:tmpl w:val="458D6A8E"/>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0B62525"/>
    <w:rsid w:val="21962A9E"/>
    <w:rsid w:val="21AE7C77"/>
    <w:rsid w:val="22BC3C41"/>
    <w:rsid w:val="23860B96"/>
    <w:rsid w:val="240371BF"/>
    <w:rsid w:val="260F557C"/>
    <w:rsid w:val="281408E2"/>
    <w:rsid w:val="29FD04D3"/>
    <w:rsid w:val="2BFF7BC6"/>
    <w:rsid w:val="2C8A61B5"/>
    <w:rsid w:val="2D2E01CF"/>
    <w:rsid w:val="2D8C2AE7"/>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2EE5F75"/>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3E7C3F"/>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paragraph" w:customStyle="1" w:styleId="3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manualLayout>
          <c:layoutTarget val="inner"/>
          <c:xMode val="edge"/>
          <c:yMode val="edge"/>
          <c:x val="0.0540817351139673"/>
          <c:y val="0.172916666666667"/>
          <c:w val="0.846109047093082"/>
          <c:h val="0.711666666666667"/>
        </c:manualLayout>
      </c:layout>
      <c:barChart>
        <c:barDir val="col"/>
        <c:grouping val="clustered"/>
        <c:varyColors val="0"/>
        <c:ser>
          <c:idx val="0"/>
          <c:order val="0"/>
          <c:tx>
            <c:strRef>
              <c:f>[决算公开报告.xls]Sheet1!$E$4</c:f>
              <c:strCache>
                <c:ptCount val="1"/>
                <c:pt idx="0">
                  <c:v>收入</c:v>
                </c:pt>
              </c:strCache>
            </c:strRef>
          </c:tx>
          <c:spPr>
            <a:solidFill>
              <a:schemeClr val="accent1"/>
            </a:solidFill>
            <a:ln>
              <a:noFill/>
            </a:ln>
            <a:effectLst/>
          </c:spPr>
          <c:invertIfNegative val="0"/>
          <c:dLbls>
            <c:delete val="1"/>
          </c:dLbls>
          <c:cat>
            <c:multiLvlStrRef>
              <c:f>Sheet1!$F$2:$G$3</c:f>
              <c:multiLvlStrCache>
                <c:ptCount val="2"/>
                <c:lvl>
                  <c:pt idx="0">
                    <c:v>2025年</c:v>
                  </c:pt>
                  <c:pt idx="1">
                    <c:v>2024年</c:v>
                  </c:pt>
                </c:lvl>
                <c:lvl/>
              </c:multiLvlStrCache>
            </c:multiLvlStrRef>
          </c:cat>
          <c:val>
            <c:numRef>
              <c:f>Sheet1!$F$4:$G$4</c:f>
              <c:numCache>
                <c:formatCode>General</c:formatCode>
                <c:ptCount val="2"/>
                <c:pt idx="0">
                  <c:v>162.4</c:v>
                </c:pt>
                <c:pt idx="1">
                  <c:v>163.17</c:v>
                </c:pt>
              </c:numCache>
            </c:numRef>
          </c:val>
        </c:ser>
        <c:ser>
          <c:idx val="1"/>
          <c:order val="1"/>
          <c:tx>
            <c:strRef>
              <c:f>[决算公开报告.xls]Sheet1!$E$5</c:f>
              <c:strCache>
                <c:ptCount val="1"/>
                <c:pt idx="0">
                  <c:v>支出</c:v>
                </c:pt>
              </c:strCache>
            </c:strRef>
          </c:tx>
          <c:spPr>
            <a:solidFill>
              <a:schemeClr val="accent2"/>
            </a:solidFill>
            <a:ln>
              <a:noFill/>
            </a:ln>
            <a:effectLst/>
          </c:spPr>
          <c:invertIfNegative val="0"/>
          <c:dLbls>
            <c:delete val="1"/>
          </c:dLbls>
          <c:cat>
            <c:multiLvlStrRef>
              <c:f>Sheet1!$F$2:$G$3</c:f>
              <c:multiLvlStrCache>
                <c:ptCount val="2"/>
                <c:lvl>
                  <c:pt idx="0">
                    <c:v>2025年</c:v>
                  </c:pt>
                  <c:pt idx="1">
                    <c:v>2024年</c:v>
                  </c:pt>
                </c:lvl>
                <c:lvl/>
              </c:multiLvlStrCache>
            </c:multiLvlStrRef>
          </c:cat>
          <c:val>
            <c:numRef>
              <c:f>Sheet1!$F$5:$G$5</c:f>
              <c:numCache>
                <c:formatCode>General</c:formatCode>
                <c:ptCount val="2"/>
                <c:pt idx="0">
                  <c:v>162.4</c:v>
                </c:pt>
                <c:pt idx="1">
                  <c:v>163.17</c:v>
                </c:pt>
              </c:numCache>
            </c:numRef>
          </c:val>
        </c:ser>
        <c:dLbls>
          <c:showLegendKey val="0"/>
          <c:showVal val="0"/>
          <c:showCatName val="0"/>
          <c:showSerName val="0"/>
          <c:showPercent val="0"/>
          <c:showBubbleSize val="0"/>
        </c:dLbls>
        <c:gapWidth val="150"/>
        <c:overlap val="0"/>
        <c:axId val="368449118"/>
        <c:axId val="942585805"/>
      </c:barChart>
      <c:catAx>
        <c:axId val="36844911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2585805"/>
        <c:crosses val="autoZero"/>
        <c:auto val="1"/>
        <c:lblAlgn val="ctr"/>
        <c:lblOffset val="100"/>
        <c:noMultiLvlLbl val="0"/>
      </c:catAx>
      <c:valAx>
        <c:axId val="942585805"/>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844911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88a06bb-e212-461c-b1f4-67b1e5808dc5}"/>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Sheet1!$L$2:$L$10</c:f>
              <c:numCache>
                <c:formatCode>General</c:formatCode>
                <c:ptCount val="9"/>
                <c:pt idx="1">
                  <c:v>159.38</c:v>
                </c:pt>
                <c:pt idx="5">
                  <c:v>3.03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ed991d2-f861-4fba-a0e9-476e36829573}"/>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Sheet1!$D$28:$D$32</c:f>
              <c:strCache>
                <c:ptCount val="5"/>
                <c:pt idx="0">
                  <c:v>基本支出</c:v>
                </c:pt>
                <c:pt idx="1">
                  <c:v>项目支出</c:v>
                </c:pt>
                <c:pt idx="2">
                  <c:v>上缴上级支出</c:v>
                </c:pt>
                <c:pt idx="3">
                  <c:v>经营支出</c:v>
                </c:pt>
                <c:pt idx="4">
                  <c:v>对附属单位补助支出</c:v>
                </c:pt>
              </c:strCache>
            </c:strRef>
          </c:cat>
          <c:val>
            <c:numRef>
              <c:f>Sheet1!$E$28:$E$32</c:f>
              <c:numCache>
                <c:formatCode>General</c:formatCode>
                <c:ptCount val="5"/>
                <c:pt idx="0">
                  <c:v>141.13</c:v>
                </c:pt>
                <c:pt idx="1">
                  <c:v>21.27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33f3c69-304e-44d0-9950-de3891ab8515}"/>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tx>
            <c:strRef>
              <c:f>[决算公开报告.xls]Sheet1!$L$34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Sheet1!$M$33:$N$33</c:f>
              <c:strCache>
                <c:ptCount val="2"/>
                <c:pt idx="0">
                  <c:v>2025年</c:v>
                </c:pt>
                <c:pt idx="1">
                  <c:v>2024年</c:v>
                </c:pt>
              </c:strCache>
            </c:strRef>
          </c:cat>
          <c:val>
            <c:numRef>
              <c:f>Sheet1!$M$34:$N$34</c:f>
              <c:numCache>
                <c:formatCode>General</c:formatCode>
                <c:ptCount val="2"/>
                <c:pt idx="0">
                  <c:v>159.38</c:v>
                </c:pt>
                <c:pt idx="1">
                  <c:v>161.76</c:v>
                </c:pt>
              </c:numCache>
            </c:numRef>
          </c:val>
        </c:ser>
        <c:ser>
          <c:idx val="1"/>
          <c:order val="1"/>
          <c:tx>
            <c:strRef>
              <c:f>[决算公开报告.xls]Sheet1!$L$35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Sheet1!$M$33:$N$33</c:f>
              <c:strCache>
                <c:ptCount val="2"/>
                <c:pt idx="0">
                  <c:v>2025年</c:v>
                </c:pt>
                <c:pt idx="1">
                  <c:v>2024年</c:v>
                </c:pt>
              </c:strCache>
            </c:strRef>
          </c:cat>
          <c:val>
            <c:numRef>
              <c:f>Sheet1!$M$35:$N$35</c:f>
              <c:numCache>
                <c:formatCode>General</c:formatCode>
                <c:ptCount val="2"/>
                <c:pt idx="0">
                  <c:v>159.38</c:v>
                </c:pt>
                <c:pt idx="1">
                  <c:v>161.76</c:v>
                </c:pt>
              </c:numCache>
            </c:numRef>
          </c:val>
        </c:ser>
        <c:dLbls>
          <c:showLegendKey val="0"/>
          <c:showVal val="0"/>
          <c:showCatName val="0"/>
          <c:showSerName val="0"/>
          <c:showPercent val="0"/>
          <c:showBubbleSize val="0"/>
        </c:dLbls>
        <c:gapWidth val="150"/>
        <c:overlap val="0"/>
        <c:axId val="790036717"/>
        <c:axId val="991836730"/>
      </c:barChart>
      <c:catAx>
        <c:axId val="79003671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836730"/>
        <c:crosses val="autoZero"/>
        <c:auto val="1"/>
        <c:lblAlgn val="ctr"/>
        <c:lblOffset val="100"/>
        <c:noMultiLvlLbl val="0"/>
      </c:catAx>
      <c:valAx>
        <c:axId val="99183673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003671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6fa16e1-66c3-45b4-83e7-64f47f55b92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79422835633626"/>
          <c:y val="0.0827355332376853"/>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Sheet1!$A$55:$A$56</c:f>
              <c:strCache>
                <c:ptCount val="2"/>
                <c:pt idx="0">
                  <c:v>2024年</c:v>
                </c:pt>
                <c:pt idx="1">
                  <c:v>2025年</c:v>
                </c:pt>
              </c:strCache>
            </c:strRef>
          </c:cat>
          <c:val>
            <c:numRef>
              <c:f>Sheet1!$B$55:$B$56</c:f>
              <c:numCache>
                <c:formatCode>General</c:formatCode>
                <c:ptCount val="2"/>
                <c:pt idx="0">
                  <c:v>161.76</c:v>
                </c:pt>
                <c:pt idx="1" c:formatCode="#,##0.00">
                  <c:v>159.38</c:v>
                </c:pt>
              </c:numCache>
            </c:numRef>
          </c:val>
        </c:ser>
        <c:dLbls>
          <c:showLegendKey val="0"/>
          <c:showVal val="0"/>
          <c:showCatName val="0"/>
          <c:showSerName val="0"/>
          <c:showPercent val="0"/>
          <c:showBubbleSize val="0"/>
        </c:dLbls>
        <c:gapWidth val="219"/>
        <c:overlap val="-27"/>
        <c:axId val="546934027"/>
        <c:axId val="816584407"/>
      </c:barChart>
      <c:catAx>
        <c:axId val="54693402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6584407"/>
        <c:crosses val="autoZero"/>
        <c:auto val="1"/>
        <c:lblAlgn val="ctr"/>
        <c:lblOffset val="100"/>
        <c:noMultiLvlLbl val="0"/>
      </c:catAx>
      <c:valAx>
        <c:axId val="816584407"/>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934027"/>
        <c:crosses val="autoZero"/>
        <c:crossBetween val="between"/>
      </c:valAx>
      <c:spPr>
        <a:noFill/>
        <a:ln>
          <a:noFill/>
        </a:ln>
        <a:effectLst/>
      </c:spPr>
    </c:plotArea>
    <c:plotVisOnly val="1"/>
    <c:dispBlanksAs val="gap"/>
    <c:showDLblsOverMax val="0"/>
    <c:extLst>
      <c:ext uri="{0b15fc19-7d7d-44ad-8c2d-2c3a37ce22c3}">
        <chartProps xmlns="https://web.wps.cn/et/2018/main" chartId="{83b53552-b8aa-4916-b9b3-2c9068474f3e}"/>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收入决算结构图</a:t>
            </a:r>
            <a:endParaRPr lang="zh-CN"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Sheet1!$L$56:$L$58</c:f>
              <c:strCache>
                <c:ptCount val="3"/>
                <c:pt idx="0">
                  <c:v>社会保障和就业支出</c:v>
                </c:pt>
                <c:pt idx="1">
                  <c:v>卫生健康支出</c:v>
                </c:pt>
                <c:pt idx="2">
                  <c:v>住房保障支出</c:v>
                </c:pt>
              </c:strCache>
            </c:strRef>
          </c:cat>
          <c:val>
            <c:numRef>
              <c:f>Sheet1!$M$56:$M$58</c:f>
              <c:numCache>
                <c:formatCode>General</c:formatCode>
                <c:ptCount val="3"/>
                <c:pt idx="0">
                  <c:v>21.56</c:v>
                </c:pt>
                <c:pt idx="1">
                  <c:v>127.13</c:v>
                </c:pt>
                <c:pt idx="2">
                  <c:v>10.68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89d1e92-f1e4-4bbf-8b5e-5e28755c38a2}"/>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[决算公开报告.xls]Sheet1!$C$82:$C$84</c:f>
              <c:strCache>
                <c:ptCount val="3"/>
                <c:pt idx="0">
                  <c:v>因公出国（境）费支出</c:v>
                </c:pt>
                <c:pt idx="1">
                  <c:v>公务用车购置及运行维护费</c:v>
                </c:pt>
                <c:pt idx="2">
                  <c:v>公务接待费支出</c:v>
                </c:pt>
              </c:strCache>
            </c:strRef>
          </c:cat>
          <c:val>
            <c:numRef>
              <c:f>[决算公开报告.xls]Sheet1!$D$82:$D$84</c:f>
              <c:numCache>
                <c:formatCode>General</c:formatCode>
                <c:ptCount val="3"/>
                <c:pt idx="0">
                  <c:v>0</c:v>
                </c:pt>
                <c:pt idx="1">
                  <c:v>0</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0477b49-44d7-4c7e-ba55-0a5ec998efa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94db45b-5547-495d-af4f-252457d6fe15}"/>
        <w:style w:val=""/>
        <w:category>
          <w:name w:val="常规"/>
          <w:gallery w:val="placeholder"/>
        </w:category>
        <w:types>
          <w:type w:val="bbPlcHdr"/>
        </w:types>
        <w:behaviors>
          <w:behavior w:val="content"/>
        </w:behaviors>
        <w:description w:val=""/>
        <w:guid w:val="{994db45b-5547-495d-af4f-252457d6fe15}"/>
      </w:docPartPr>
      <w:docPartBody>
        <w:p w14:paraId="627AAE7F">
          <w:r>
            <w:rPr>
              <w:color w:val="808080"/>
            </w:rPr>
            <w:t>单击此处输入文字。</w:t>
          </w:r>
        </w:p>
      </w:docPartBody>
    </w:docPart>
    <w:docPart>
      <w:docPartPr>
        <w:name w:val="{be15a712-2c3a-421a-a740-2d618133a95e}"/>
        <w:style w:val=""/>
        <w:category>
          <w:name w:val="常规"/>
          <w:gallery w:val="placeholder"/>
        </w:category>
        <w:types>
          <w:type w:val="bbPlcHdr"/>
        </w:types>
        <w:behaviors>
          <w:behavior w:val="content"/>
        </w:behaviors>
        <w:description w:val=""/>
        <w:guid w:val="{be15a712-2c3a-421a-a740-2d618133a95e}"/>
      </w:docPartPr>
      <w:docPartBody>
        <w:p w14:paraId="5A8648F1">
          <w:r>
            <w:rPr>
              <w:color w:val="808080"/>
            </w:rPr>
            <w:t>单击此处输入文字。</w:t>
          </w:r>
        </w:p>
      </w:docPartBody>
    </w:docPart>
    <w:docPart>
      <w:docPartPr>
        <w:name w:val="{b2cb8262-0c61-4e8f-b765-7fe2e2e5b179}"/>
        <w:style w:val=""/>
        <w:category>
          <w:name w:val="常规"/>
          <w:gallery w:val="placeholder"/>
        </w:category>
        <w:types>
          <w:type w:val="bbPlcHdr"/>
        </w:types>
        <w:behaviors>
          <w:behavior w:val="content"/>
        </w:behaviors>
        <w:description w:val=""/>
        <w:guid w:val="{b2cb8262-0c61-4e8f-b765-7fe2e2e5b179}"/>
      </w:docPartPr>
      <w:docPartBody>
        <w:p w14:paraId="4605A2E0">
          <w:r>
            <w:rPr>
              <w:color w:val="808080"/>
            </w:rPr>
            <w:t>单击此处输入文字。</w:t>
          </w:r>
        </w:p>
      </w:docPartBody>
    </w:docPart>
    <w:docPart>
      <w:docPartPr>
        <w:name w:val="{5ab1f346-45f1-4400-aa61-17c9130e0812}"/>
        <w:style w:val=""/>
        <w:category>
          <w:name w:val="常规"/>
          <w:gallery w:val="placeholder"/>
        </w:category>
        <w:types>
          <w:type w:val="bbPlcHdr"/>
        </w:types>
        <w:behaviors>
          <w:behavior w:val="content"/>
        </w:behaviors>
        <w:description w:val=""/>
        <w:guid w:val="{5ab1f346-45f1-4400-aa61-17c9130e0812}"/>
      </w:docPartPr>
      <w:docPartBody>
        <w:p w14:paraId="788CB173">
          <w:r>
            <w:rPr>
              <w:color w:val="808080"/>
            </w:rPr>
            <w:t>单击此处输入文字。</w:t>
          </w:r>
        </w:p>
      </w:docPartBody>
    </w:docPart>
    <w:docPart>
      <w:docPartPr>
        <w:name w:val="{67accd53-5443-4a66-bd73-a37c1ad533ef}"/>
        <w:style w:val=""/>
        <w:category>
          <w:name w:val="常规"/>
          <w:gallery w:val="placeholder"/>
        </w:category>
        <w:types>
          <w:type w:val="bbPlcHdr"/>
        </w:types>
        <w:behaviors>
          <w:behavior w:val="content"/>
        </w:behaviors>
        <w:description w:val=""/>
        <w:guid w:val="{67accd53-5443-4a66-bd73-a37c1ad533ef}"/>
      </w:docPartPr>
      <w:docPartBody>
        <w:p w14:paraId="0B520E3F">
          <w:r>
            <w:rPr>
              <w:color w:val="808080"/>
            </w:rPr>
            <w:t>单击此处输入文字。</w:t>
          </w:r>
        </w:p>
      </w:docPartBody>
    </w:docPart>
    <w:docPart>
      <w:docPartPr>
        <w:name w:val="{bc415183-a9c6-49b4-b156-c719e476d4a5}"/>
        <w:style w:val=""/>
        <w:category>
          <w:name w:val="常规"/>
          <w:gallery w:val="placeholder"/>
        </w:category>
        <w:types>
          <w:type w:val="bbPlcHdr"/>
        </w:types>
        <w:behaviors>
          <w:behavior w:val="content"/>
        </w:behaviors>
        <w:description w:val=""/>
        <w:guid w:val="{bc415183-a9c6-49b4-b156-c719e476d4a5}"/>
      </w:docPartPr>
      <w:docPartBody>
        <w:p w14:paraId="3DBAB5A7">
          <w:r>
            <w:rPr>
              <w:color w:val="808080"/>
            </w:rPr>
            <w:t>单击此处输入文字。</w:t>
          </w:r>
        </w:p>
      </w:docPartBody>
    </w:docPart>
    <w:docPart>
      <w:docPartPr>
        <w:name w:val="{21696896-0a92-457f-929f-a1c89ec79acf}"/>
        <w:style w:val=""/>
        <w:category>
          <w:name w:val="常规"/>
          <w:gallery w:val="placeholder"/>
        </w:category>
        <w:types>
          <w:type w:val="bbPlcHdr"/>
        </w:types>
        <w:behaviors>
          <w:behavior w:val="content"/>
        </w:behaviors>
        <w:description w:val=""/>
        <w:guid w:val="{21696896-0a92-457f-929f-a1c89ec79acf}"/>
      </w:docPartPr>
      <w:docPartBody>
        <w:p w14:paraId="1B5C576F">
          <w:r>
            <w:rPr>
              <w:color w:val="808080"/>
            </w:rPr>
            <w:t>单击此处输入文字。</w:t>
          </w:r>
        </w:p>
      </w:docPartBody>
    </w:docPart>
    <w:docPart>
      <w:docPartPr>
        <w:name w:val="{e5c10e63-5a17-4bc4-b930-7fd2bcc42cc4}"/>
        <w:style w:val=""/>
        <w:category>
          <w:name w:val="常规"/>
          <w:gallery w:val="placeholder"/>
        </w:category>
        <w:types>
          <w:type w:val="bbPlcHdr"/>
        </w:types>
        <w:behaviors>
          <w:behavior w:val="content"/>
        </w:behaviors>
        <w:description w:val=""/>
        <w:guid w:val="{e5c10e63-5a17-4bc4-b930-7fd2bcc42cc4}"/>
      </w:docPartPr>
      <w:docPartBody>
        <w:p w14:paraId="2660A6D7">
          <w:r>
            <w:rPr>
              <w:color w:val="808080"/>
            </w:rPr>
            <w:t>单击此处输入文字。</w:t>
          </w:r>
        </w:p>
      </w:docPartBody>
    </w:docPart>
    <w:docPart>
      <w:docPartPr>
        <w:name w:val="{53141c62-e22c-4f53-ab10-76236ee5012a}"/>
        <w:style w:val=""/>
        <w:category>
          <w:name w:val="常规"/>
          <w:gallery w:val="placeholder"/>
        </w:category>
        <w:types>
          <w:type w:val="bbPlcHdr"/>
        </w:types>
        <w:behaviors>
          <w:behavior w:val="content"/>
        </w:behaviors>
        <w:description w:val=""/>
        <w:guid w:val="{53141c62-e22c-4f53-ab10-76236ee5012a}"/>
      </w:docPartPr>
      <w:docPartBody>
        <w:p w14:paraId="51B0DBF5">
          <w:r>
            <w:rPr>
              <w:color w:val="808080"/>
            </w:rPr>
            <w:t>单击此处输入文字。</w:t>
          </w:r>
        </w:p>
      </w:docPartBody>
    </w:docPart>
    <w:docPart>
      <w:docPartPr>
        <w:name w:val="{cacead1e-1b5a-4ff3-b887-f3db1cab9d5d}"/>
        <w:style w:val=""/>
        <w:category>
          <w:name w:val="常规"/>
          <w:gallery w:val="placeholder"/>
        </w:category>
        <w:types>
          <w:type w:val="bbPlcHdr"/>
        </w:types>
        <w:behaviors>
          <w:behavior w:val="content"/>
        </w:behaviors>
        <w:description w:val=""/>
        <w:guid w:val="{cacead1e-1b5a-4ff3-b887-f3db1cab9d5d}"/>
      </w:docPartPr>
      <w:docPartBody>
        <w:p w14:paraId="7DA842BF">
          <w:r>
            <w:rPr>
              <w:color w:val="808080"/>
            </w:rPr>
            <w:t>单击此处输入文字。</w:t>
          </w:r>
        </w:p>
      </w:docPartBody>
    </w:docPart>
    <w:docPart>
      <w:docPartPr>
        <w:name w:val="{f720a28f-0103-4890-a33a-5ade2bddc5c2}"/>
        <w:style w:val=""/>
        <w:category>
          <w:name w:val="常规"/>
          <w:gallery w:val="placeholder"/>
        </w:category>
        <w:types>
          <w:type w:val="bbPlcHdr"/>
        </w:types>
        <w:behaviors>
          <w:behavior w:val="content"/>
        </w:behaviors>
        <w:description w:val=""/>
        <w:guid w:val="{f720a28f-0103-4890-a33a-5ade2bddc5c2}"/>
      </w:docPartPr>
      <w:docPartBody>
        <w:p w14:paraId="7EFE3BFE">
          <w:r>
            <w:rPr>
              <w:color w:val="808080"/>
            </w:rPr>
            <w:t>单击此处输入文字。</w:t>
          </w:r>
        </w:p>
      </w:docPartBody>
    </w:docPart>
    <w:docPart>
      <w:docPartPr>
        <w:name w:val="{bfa83ee3-0b21-4b4f-be1e-2f0ac1bce3ff}"/>
        <w:style w:val=""/>
        <w:category>
          <w:name w:val="常规"/>
          <w:gallery w:val="placeholder"/>
        </w:category>
        <w:types>
          <w:type w:val="bbPlcHdr"/>
        </w:types>
        <w:behaviors>
          <w:behavior w:val="content"/>
        </w:behaviors>
        <w:description w:val=""/>
        <w:guid w:val="{bfa83ee3-0b21-4b4f-be1e-2f0ac1bce3ff}"/>
      </w:docPartPr>
      <w:docPartBody>
        <w:p w14:paraId="57499235">
          <w:r>
            <w:rPr>
              <w:color w:val="808080"/>
            </w:rPr>
            <w:t>单击此处输入文字。</w:t>
          </w:r>
        </w:p>
      </w:docPartBody>
    </w:docPart>
    <w:docPart>
      <w:docPartPr>
        <w:name w:val="{e74d445d-737e-429f-a732-91d92f3e9f75}"/>
        <w:style w:val=""/>
        <w:category>
          <w:name w:val="常规"/>
          <w:gallery w:val="placeholder"/>
        </w:category>
        <w:types>
          <w:type w:val="bbPlcHdr"/>
        </w:types>
        <w:behaviors>
          <w:behavior w:val="content"/>
        </w:behaviors>
        <w:description w:val=""/>
        <w:guid w:val="{e74d445d-737e-429f-a732-91d92f3e9f75}"/>
      </w:docPartPr>
      <w:docPartBody>
        <w:p w14:paraId="4CF38C5C">
          <w:r>
            <w:rPr>
              <w:color w:val="808080"/>
            </w:rPr>
            <w:t>单击此处输入文字。</w:t>
          </w:r>
        </w:p>
      </w:docPartBody>
    </w:docPart>
    <w:docPart>
      <w:docPartPr>
        <w:name w:val="{5a0df8f5-c39e-4837-883e-47a5ace4249d}"/>
        <w:style w:val=""/>
        <w:category>
          <w:name w:val="常规"/>
          <w:gallery w:val="placeholder"/>
        </w:category>
        <w:types>
          <w:type w:val="bbPlcHdr"/>
        </w:types>
        <w:behaviors>
          <w:behavior w:val="content"/>
        </w:behaviors>
        <w:description w:val=""/>
        <w:guid w:val="{5a0df8f5-c39e-4837-883e-47a5ace4249d}"/>
      </w:docPartPr>
      <w:docPartBody>
        <w:p w14:paraId="0605E068">
          <w:r>
            <w:rPr>
              <w:color w:val="808080"/>
            </w:rPr>
            <w:t>单击此处输入文字。</w:t>
          </w:r>
        </w:p>
      </w:docPartBody>
    </w:docPart>
    <w:docPart>
      <w:docPartPr>
        <w:name w:val="{69d156fa-4448-46a3-8646-00d1cb003bf8}"/>
        <w:style w:val=""/>
        <w:category>
          <w:name w:val="常规"/>
          <w:gallery w:val="placeholder"/>
        </w:category>
        <w:types>
          <w:type w:val="bbPlcHdr"/>
        </w:types>
        <w:behaviors>
          <w:behavior w:val="content"/>
        </w:behaviors>
        <w:description w:val=""/>
        <w:guid w:val="{69d156fa-4448-46a3-8646-00d1cb003bf8}"/>
      </w:docPartPr>
      <w:docPartBody>
        <w:p w14:paraId="57C979C6">
          <w:r>
            <w:rPr>
              <w:color w:val="808080"/>
            </w:rPr>
            <w:t>单击此处输入文字。</w:t>
          </w:r>
        </w:p>
      </w:docPartBody>
    </w:docPart>
    <w:docPart>
      <w:docPartPr>
        <w:name w:val="{8e36a2d8-97b9-4962-aa39-b9fb60909f33}"/>
        <w:style w:val=""/>
        <w:category>
          <w:name w:val="常规"/>
          <w:gallery w:val="placeholder"/>
        </w:category>
        <w:types>
          <w:type w:val="bbPlcHdr"/>
        </w:types>
        <w:behaviors>
          <w:behavior w:val="content"/>
        </w:behaviors>
        <w:description w:val=""/>
        <w:guid w:val="{8e36a2d8-97b9-4962-aa39-b9fb60909f33}"/>
      </w:docPartPr>
      <w:docPartBody>
        <w:p w14:paraId="79C7CB22">
          <w:r>
            <w:rPr>
              <w:color w:val="808080"/>
            </w:rPr>
            <w:t>单击此处输入文字。</w:t>
          </w:r>
        </w:p>
      </w:docPartBody>
    </w:docPart>
    <w:docPart>
      <w:docPartPr>
        <w:name w:val="{0700b151-919f-4f39-9a7a-8a5678a78b24}"/>
        <w:style w:val=""/>
        <w:category>
          <w:name w:val="常规"/>
          <w:gallery w:val="placeholder"/>
        </w:category>
        <w:types>
          <w:type w:val="bbPlcHdr"/>
        </w:types>
        <w:behaviors>
          <w:behavior w:val="content"/>
        </w:behaviors>
        <w:description w:val=""/>
        <w:guid w:val="{0700b151-919f-4f39-9a7a-8a5678a78b24}"/>
      </w:docPartPr>
      <w:docPartBody>
        <w:p w14:paraId="7950FF14">
          <w:r>
            <w:rPr>
              <w:color w:val="808080"/>
            </w:rPr>
            <w:t>单击此处输入文字。</w:t>
          </w:r>
        </w:p>
      </w:docPartBody>
    </w:docPart>
    <w:docPart>
      <w:docPartPr>
        <w:name w:val="{d4dd2a16-92f5-4f38-a8eb-ec5e396c9632}"/>
        <w:style w:val=""/>
        <w:category>
          <w:name w:val="常规"/>
          <w:gallery w:val="placeholder"/>
        </w:category>
        <w:types>
          <w:type w:val="bbPlcHdr"/>
        </w:types>
        <w:behaviors>
          <w:behavior w:val="content"/>
        </w:behaviors>
        <w:description w:val=""/>
        <w:guid w:val="{d4dd2a16-92f5-4f38-a8eb-ec5e396c9632}"/>
      </w:docPartPr>
      <w:docPartBody>
        <w:p w14:paraId="0FCC44FA">
          <w:r>
            <w:rPr>
              <w:color w:val="808080"/>
            </w:rPr>
            <w:t>单击此处输入文字。</w:t>
          </w:r>
        </w:p>
      </w:docPartBody>
    </w:docPart>
    <w:docPart>
      <w:docPartPr>
        <w:name w:val="{53a404f2-2c14-4cc9-8b5f-cf00deaa9c68}"/>
        <w:style w:val=""/>
        <w:category>
          <w:name w:val="常规"/>
          <w:gallery w:val="placeholder"/>
        </w:category>
        <w:types>
          <w:type w:val="bbPlcHdr"/>
        </w:types>
        <w:behaviors>
          <w:behavior w:val="content"/>
        </w:behaviors>
        <w:description w:val=""/>
        <w:guid w:val="{53a404f2-2c14-4cc9-8b5f-cf00deaa9c68}"/>
      </w:docPartPr>
      <w:docPartBody>
        <w:p w14:paraId="767B703C">
          <w:r>
            <w:rPr>
              <w:color w:val="808080"/>
            </w:rPr>
            <w:t>单击此处输入文字。</w:t>
          </w:r>
        </w:p>
      </w:docPartBody>
    </w:docPart>
    <w:docPart>
      <w:docPartPr>
        <w:name w:val="{313d1872-c519-4051-9b11-f502fe28876b}"/>
        <w:style w:val=""/>
        <w:category>
          <w:name w:val="常规"/>
          <w:gallery w:val="placeholder"/>
        </w:category>
        <w:types>
          <w:type w:val="bbPlcHdr"/>
        </w:types>
        <w:behaviors>
          <w:behavior w:val="content"/>
        </w:behaviors>
        <w:description w:val=""/>
        <w:guid w:val="{313d1872-c519-4051-9b11-f502fe28876b}"/>
      </w:docPartPr>
      <w:docPartBody>
        <w:p w14:paraId="46A8FF0B">
          <w:r>
            <w:rPr>
              <w:color w:val="808080"/>
            </w:rPr>
            <w:t>单击此处输入文字。</w:t>
          </w:r>
        </w:p>
      </w:docPartBody>
    </w:docPart>
    <w:docPart>
      <w:docPartPr>
        <w:name w:val="{26a83dc1-0aab-4469-9821-aa16465d0b91}"/>
        <w:style w:val=""/>
        <w:category>
          <w:name w:val="常规"/>
          <w:gallery w:val="placeholder"/>
        </w:category>
        <w:types>
          <w:type w:val="bbPlcHdr"/>
        </w:types>
        <w:behaviors>
          <w:behavior w:val="content"/>
        </w:behaviors>
        <w:description w:val=""/>
        <w:guid w:val="{26a83dc1-0aab-4469-9821-aa16465d0b91}"/>
      </w:docPartPr>
      <w:docPartBody>
        <w:p w14:paraId="01DC9525">
          <w:r>
            <w:rPr>
              <w:color w:val="808080"/>
            </w:rPr>
            <w:t>单击此处输入文字。</w:t>
          </w:r>
        </w:p>
      </w:docPartBody>
    </w:docPart>
    <w:docPart>
      <w:docPartPr>
        <w:name w:val="{1a411a10-9e79-42e7-86ce-3077bd98a52e}"/>
        <w:style w:val=""/>
        <w:category>
          <w:name w:val="常规"/>
          <w:gallery w:val="placeholder"/>
        </w:category>
        <w:types>
          <w:type w:val="bbPlcHdr"/>
        </w:types>
        <w:behaviors>
          <w:behavior w:val="content"/>
        </w:behaviors>
        <w:description w:val=""/>
        <w:guid w:val="{1a411a10-9e79-42e7-86ce-3077bd98a52e}"/>
      </w:docPartPr>
      <w:docPartBody>
        <w:p w14:paraId="54EF8069">
          <w:r>
            <w:rPr>
              <w:color w:val="808080"/>
            </w:rPr>
            <w:t>单击此处输入文字。</w:t>
          </w:r>
        </w:p>
      </w:docPartBody>
    </w:docPart>
    <w:docPart>
      <w:docPartPr>
        <w:name w:val="{86f691d9-0bfd-4807-9aa0-79046b85e554}"/>
        <w:style w:val=""/>
        <w:category>
          <w:name w:val="常规"/>
          <w:gallery w:val="placeholder"/>
        </w:category>
        <w:types>
          <w:type w:val="bbPlcHdr"/>
        </w:types>
        <w:behaviors>
          <w:behavior w:val="content"/>
        </w:behaviors>
        <w:description w:val=""/>
        <w:guid w:val="{86f691d9-0bfd-4807-9aa0-79046b85e554}"/>
      </w:docPartPr>
      <w:docPartBody>
        <w:p w14:paraId="09E24491">
          <w:r>
            <w:rPr>
              <w:color w:val="808080"/>
            </w:rPr>
            <w:t>单击此处输入文字。</w:t>
          </w:r>
        </w:p>
      </w:docPartBody>
    </w:docPart>
    <w:docPart>
      <w:docPartPr>
        <w:name w:val="{4ac2b0cf-9bda-450d-9aed-3e25177e7546}"/>
        <w:style w:val=""/>
        <w:category>
          <w:name w:val="常规"/>
          <w:gallery w:val="placeholder"/>
        </w:category>
        <w:types>
          <w:type w:val="bbPlcHdr"/>
        </w:types>
        <w:behaviors>
          <w:behavior w:val="content"/>
        </w:behaviors>
        <w:description w:val=""/>
        <w:guid w:val="{4ac2b0cf-9bda-450d-9aed-3e25177e7546}"/>
      </w:docPartPr>
      <w:docPartBody>
        <w:p w14:paraId="4ECF3B7B">
          <w:r>
            <w:rPr>
              <w:color w:val="808080"/>
            </w:rPr>
            <w:t>单击此处输入文字。</w:t>
          </w:r>
        </w:p>
      </w:docPartBody>
    </w:docPart>
    <w:docPart>
      <w:docPartPr>
        <w:name w:val="{9811e4a8-3870-4ef0-baff-62682b88ddfc}"/>
        <w:style w:val=""/>
        <w:category>
          <w:name w:val="常规"/>
          <w:gallery w:val="placeholder"/>
        </w:category>
        <w:types>
          <w:type w:val="bbPlcHdr"/>
        </w:types>
        <w:behaviors>
          <w:behavior w:val="content"/>
        </w:behaviors>
        <w:description w:val=""/>
        <w:guid w:val="{9811e4a8-3870-4ef0-baff-62682b88ddfc}"/>
      </w:docPartPr>
      <w:docPartBody>
        <w:p w14:paraId="33D14421">
          <w:r>
            <w:rPr>
              <w:color w:val="808080"/>
            </w:rPr>
            <w:t>单击此处输入文字。</w:t>
          </w:r>
        </w:p>
      </w:docPartBody>
    </w:docPart>
    <w:docPart>
      <w:docPartPr>
        <w:name w:val="{f37e3c50-01b7-4a66-a6f5-3033a21ca497}"/>
        <w:style w:val=""/>
        <w:category>
          <w:name w:val="常规"/>
          <w:gallery w:val="placeholder"/>
        </w:category>
        <w:types>
          <w:type w:val="bbPlcHdr"/>
        </w:types>
        <w:behaviors>
          <w:behavior w:val="content"/>
        </w:behaviors>
        <w:description w:val=""/>
        <w:guid w:val="{f37e3c50-01b7-4a66-a6f5-3033a21ca497}"/>
      </w:docPartPr>
      <w:docPartBody>
        <w:p w14:paraId="39C9AEF1">
          <w:r>
            <w:rPr>
              <w:color w:val="808080"/>
            </w:rPr>
            <w:t>单击此处输入文字。</w:t>
          </w:r>
        </w:p>
      </w:docPartBody>
    </w:docPart>
    <w:docPart>
      <w:docPartPr>
        <w:name w:val="{01f738bc-e1e5-4541-aacc-ab3f72e58b5d}"/>
        <w:style w:val=""/>
        <w:category>
          <w:name w:val="常规"/>
          <w:gallery w:val="placeholder"/>
        </w:category>
        <w:types>
          <w:type w:val="bbPlcHdr"/>
        </w:types>
        <w:behaviors>
          <w:behavior w:val="content"/>
        </w:behaviors>
        <w:description w:val=""/>
        <w:guid w:val="{01f738bc-e1e5-4541-aacc-ab3f72e58b5d}"/>
      </w:docPartPr>
      <w:docPartBody>
        <w:p w14:paraId="04752CAD">
          <w:r>
            <w:rPr>
              <w:color w:val="808080"/>
            </w:rPr>
            <w:t>单击此处输入文字。</w:t>
          </w:r>
        </w:p>
      </w:docPartBody>
    </w:docPart>
    <w:docPart>
      <w:docPartPr>
        <w:name w:val="{8574b585-eec2-4104-89b2-c2964b4030b5}"/>
        <w:style w:val=""/>
        <w:category>
          <w:name w:val="常规"/>
          <w:gallery w:val="placeholder"/>
        </w:category>
        <w:types>
          <w:type w:val="bbPlcHdr"/>
        </w:types>
        <w:behaviors>
          <w:behavior w:val="content"/>
        </w:behaviors>
        <w:description w:val=""/>
        <w:guid w:val="{8574b585-eec2-4104-89b2-c2964b4030b5}"/>
      </w:docPartPr>
      <w:docPartBody>
        <w:p w14:paraId="5F37DEB5">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19</Words>
  <Characters>22</Characters>
  <Lines>61</Lines>
  <Paragraphs>17</Paragraphs>
  <TotalTime>3</TotalTime>
  <ScaleCrop>false</ScaleCrop>
  <LinksUpToDate>false</LinksUpToDate>
  <CharactersWithSpaces>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2026-10-20T08:50:37Z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