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5215A">
      <w:pPr>
        <w:pStyle w:val="8"/>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7425"/>
      <w:bookmarkStart w:id="2" w:name="_Toc15396475"/>
      <w:bookmarkStart w:id="3" w:name="_Toc15378441"/>
      <w:bookmarkStart w:id="4" w:name="_Toc15377193"/>
      <w:bookmarkStart w:id="5" w:name="_Toc15306267"/>
    </w:p>
    <w:bookmarkEnd w:id="0"/>
    <w:bookmarkEnd w:id="1"/>
    <w:bookmarkEnd w:id="2"/>
    <w:bookmarkEnd w:id="3"/>
    <w:bookmarkEnd w:id="4"/>
    <w:bookmarkEnd w:id="5"/>
    <w:p w14:paraId="6280B86E">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1343"/>
      <w:bookmarkStart w:id="7" w:name="_Toc26265"/>
      <w:bookmarkStart w:id="8" w:name="_Toc22201"/>
      <w:bookmarkStart w:id="9" w:name="_Toc21467"/>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6"/>
      <w:bookmarkEnd w:id="7"/>
      <w:bookmarkEnd w:id="8"/>
      <w:bookmarkEnd w:id="9"/>
    </w:p>
    <w:p w14:paraId="7FB19F15">
      <w:pPr>
        <w:adjustRightInd w:val="0"/>
        <w:snapToGrid w:val="0"/>
        <w:spacing w:line="360" w:lineRule="auto"/>
        <w:jc w:val="center"/>
        <w:outlineLvl w:val="0"/>
        <w:rPr>
          <w:rFonts w:hint="default" w:ascii="方正小标宋简体" w:hAnsi="方正小标宋简体" w:eastAsia="方正小标宋简体" w:cs="方正小标宋简体"/>
          <w:sz w:val="72"/>
          <w:szCs w:val="72"/>
          <w:lang w:val="en-US" w:eastAsia="zh-CN"/>
        </w:rPr>
      </w:pPr>
      <w:bookmarkStart w:id="10" w:name="_Toc15377194"/>
      <w:bookmarkStart w:id="11" w:name="_Toc11906"/>
      <w:bookmarkStart w:id="12" w:name="_Toc15377426"/>
      <w:bookmarkStart w:id="13" w:name="_Toc15396476"/>
      <w:bookmarkStart w:id="14" w:name="_Toc12212"/>
      <w:bookmarkStart w:id="15" w:name="_Toc15396598"/>
      <w:bookmarkStart w:id="16" w:name="_Toc15378442"/>
      <w:bookmarkStart w:id="17" w:name="_Toc24213"/>
      <w:bookmarkStart w:id="18" w:name="_Toc30829"/>
      <w:r>
        <w:rPr>
          <w:rFonts w:hint="eastAsia" w:ascii="方正小标宋简体" w:hAnsi="方正小标宋简体" w:eastAsia="方正小标宋简体" w:cs="方正小标宋简体"/>
          <w:sz w:val="72"/>
          <w:szCs w:val="72"/>
        </w:rPr>
        <w:t>四川省</w:t>
      </w:r>
      <w:bookmarkStart w:id="19" w:name="_Toc15306268"/>
      <w:r>
        <w:rPr>
          <w:rFonts w:hint="eastAsia" w:ascii="方正小标宋简体" w:hAnsi="方正小标宋简体" w:eastAsia="方正小标宋简体" w:cs="方正小标宋简体"/>
          <w:sz w:val="72"/>
          <w:szCs w:val="72"/>
          <w:lang w:val="en-US" w:eastAsia="zh-CN"/>
        </w:rPr>
        <w:t>松潘县川主寺镇卫生院</w:t>
      </w:r>
      <w:r>
        <w:rPr>
          <w:rFonts w:hint="eastAsia" w:ascii="方正小标宋简体" w:hAnsi="方正小标宋简体" w:eastAsia="方正小标宋简体" w:cs="方正小标宋简体"/>
          <w:sz w:val="72"/>
          <w:szCs w:val="72"/>
        </w:rPr>
        <w:t>决算</w:t>
      </w:r>
      <w:bookmarkEnd w:id="10"/>
      <w:bookmarkEnd w:id="11"/>
      <w:bookmarkEnd w:id="12"/>
      <w:bookmarkEnd w:id="13"/>
      <w:bookmarkEnd w:id="14"/>
      <w:bookmarkEnd w:id="15"/>
      <w:bookmarkEnd w:id="16"/>
      <w:bookmarkEnd w:id="19"/>
      <w:r>
        <w:rPr>
          <w:rFonts w:hint="eastAsia" w:ascii="方正小标宋简体" w:hAnsi="方正小标宋简体" w:eastAsia="方正小标宋简体" w:cs="方正小标宋简体"/>
          <w:sz w:val="72"/>
          <w:szCs w:val="72"/>
          <w:lang w:val="en-US" w:eastAsia="zh-CN"/>
        </w:rPr>
        <w:t>公开</w:t>
      </w:r>
      <w:bookmarkEnd w:id="17"/>
      <w:bookmarkEnd w:id="18"/>
    </w:p>
    <w:p w14:paraId="68D7D632">
      <w:pPr>
        <w:widowControl/>
        <w:jc w:val="center"/>
        <w:rPr>
          <w:rFonts w:hint="eastAsia" w:ascii="Times New Roman" w:hAnsi="Times New Roman" w:eastAsia="黑体"/>
          <w:color w:val="auto"/>
          <w:sz w:val="48"/>
          <w:szCs w:val="48"/>
          <w:highlight w:val="none"/>
        </w:rPr>
      </w:pPr>
    </w:p>
    <w:p w14:paraId="778105EC">
      <w:pPr>
        <w:widowControl/>
        <w:jc w:val="center"/>
        <w:rPr>
          <w:rFonts w:hint="eastAsia" w:ascii="Times New Roman" w:hAnsi="Times New Roman" w:eastAsia="黑体"/>
          <w:color w:val="auto"/>
          <w:sz w:val="48"/>
          <w:szCs w:val="48"/>
          <w:highlight w:val="none"/>
        </w:rPr>
      </w:pPr>
    </w:p>
    <w:p w14:paraId="4645068D">
      <w:pPr>
        <w:widowControl/>
        <w:jc w:val="center"/>
        <w:rPr>
          <w:rFonts w:hint="eastAsia" w:ascii="Times New Roman" w:hAnsi="Times New Roman" w:eastAsia="黑体"/>
          <w:color w:val="auto"/>
          <w:sz w:val="48"/>
          <w:szCs w:val="48"/>
          <w:highlight w:val="none"/>
        </w:rPr>
      </w:pPr>
    </w:p>
    <w:p w14:paraId="624CFD38">
      <w:pPr>
        <w:widowControl/>
        <w:jc w:val="center"/>
        <w:rPr>
          <w:rFonts w:hint="eastAsia" w:ascii="Times New Roman" w:hAnsi="Times New Roman" w:eastAsia="黑体"/>
          <w:color w:val="auto"/>
          <w:sz w:val="48"/>
          <w:szCs w:val="48"/>
          <w:highlight w:val="none"/>
        </w:rPr>
      </w:pPr>
    </w:p>
    <w:p w14:paraId="37CD4C65">
      <w:pPr>
        <w:widowControl/>
        <w:jc w:val="center"/>
        <w:rPr>
          <w:rFonts w:hint="eastAsia" w:ascii="Times New Roman" w:hAnsi="Times New Roman" w:eastAsia="黑体"/>
          <w:color w:val="auto"/>
          <w:sz w:val="48"/>
          <w:szCs w:val="48"/>
          <w:highlight w:val="none"/>
        </w:rPr>
      </w:pPr>
    </w:p>
    <w:p w14:paraId="6BC66A59">
      <w:pPr>
        <w:widowControl/>
        <w:jc w:val="center"/>
        <w:rPr>
          <w:rFonts w:hint="eastAsia" w:ascii="Times New Roman" w:hAnsi="Times New Roman" w:eastAsia="黑体"/>
          <w:color w:val="auto"/>
          <w:sz w:val="48"/>
          <w:szCs w:val="48"/>
          <w:highlight w:val="none"/>
        </w:rPr>
      </w:pPr>
    </w:p>
    <w:p w14:paraId="460ED19A">
      <w:pPr>
        <w:widowControl/>
        <w:jc w:val="center"/>
        <w:rPr>
          <w:rFonts w:hint="eastAsia" w:ascii="Times New Roman" w:hAnsi="Times New Roman" w:eastAsia="黑体"/>
          <w:color w:val="auto"/>
          <w:sz w:val="48"/>
          <w:szCs w:val="48"/>
          <w:highlight w:val="none"/>
        </w:rPr>
      </w:pPr>
    </w:p>
    <w:p w14:paraId="0382CCFC">
      <w:pPr>
        <w:widowControl/>
        <w:jc w:val="center"/>
        <w:rPr>
          <w:rFonts w:hint="eastAsia" w:ascii="Times New Roman" w:hAnsi="Times New Roman" w:eastAsia="黑体"/>
          <w:color w:val="auto"/>
          <w:sz w:val="48"/>
          <w:szCs w:val="48"/>
          <w:highlight w:val="none"/>
        </w:rPr>
      </w:pPr>
    </w:p>
    <w:p w14:paraId="7F8E15BD">
      <w:pPr>
        <w:widowControl/>
        <w:jc w:val="center"/>
        <w:rPr>
          <w:rFonts w:hint="eastAsia" w:ascii="Times New Roman" w:hAnsi="Times New Roman" w:eastAsia="黑体"/>
          <w:color w:val="auto"/>
          <w:sz w:val="48"/>
          <w:szCs w:val="48"/>
          <w:highlight w:val="none"/>
        </w:rPr>
      </w:pPr>
    </w:p>
    <w:p w14:paraId="56C5C4FF">
      <w:pPr>
        <w:widowControl/>
        <w:jc w:val="center"/>
        <w:rPr>
          <w:rFonts w:hint="eastAsia" w:ascii="Times New Roman" w:hAnsi="Times New Roman" w:eastAsia="黑体"/>
          <w:color w:val="auto"/>
          <w:sz w:val="48"/>
          <w:szCs w:val="48"/>
          <w:highlight w:val="none"/>
        </w:rPr>
      </w:pPr>
    </w:p>
    <w:p w14:paraId="2D5145B9">
      <w:pPr>
        <w:widowControl/>
        <w:jc w:val="center"/>
        <w:rPr>
          <w:rFonts w:hint="eastAsia" w:ascii="Times New Roman" w:hAnsi="Times New Roman" w:eastAsia="黑体"/>
          <w:color w:val="auto"/>
          <w:sz w:val="48"/>
          <w:szCs w:val="48"/>
          <w:highlight w:val="none"/>
        </w:rPr>
      </w:pPr>
    </w:p>
    <w:p w14:paraId="2ECFD97C">
      <w:pPr>
        <w:widowControl/>
        <w:jc w:val="center"/>
        <w:rPr>
          <w:rFonts w:hint="eastAsia" w:ascii="Times New Roman" w:hAnsi="Times New Roman" w:eastAsia="黑体"/>
          <w:color w:val="auto"/>
          <w:sz w:val="48"/>
          <w:szCs w:val="48"/>
          <w:highlight w:val="none"/>
        </w:rPr>
      </w:pPr>
    </w:p>
    <w:p w14:paraId="694A5E75">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370AAEC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29C3F5F">
      <w:pPr>
        <w:widowControl/>
        <w:jc w:val="center"/>
        <w:rPr>
          <w:rFonts w:ascii="Times New Roman" w:hAnsi="Times New Roman" w:eastAsia="黑体" w:cstheme="minorBidi"/>
          <w:color w:val="auto"/>
          <w:sz w:val="28"/>
          <w:szCs w:val="28"/>
          <w:highlight w:val="none"/>
        </w:rPr>
      </w:pPr>
    </w:p>
    <w:p w14:paraId="3DBC427C">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12</w:t>
      </w:r>
      <w:r>
        <w:rPr>
          <w:rFonts w:hint="eastAsia" w:ascii="Times New Roman" w:hAnsi="Times New Roman" w:eastAsia="仿宋_GB2312" w:cs="仿宋_GB2312"/>
          <w:color w:val="auto"/>
          <w:sz w:val="32"/>
          <w:szCs w:val="32"/>
          <w:highlight w:val="none"/>
        </w:rPr>
        <w:t>日</w:t>
      </w:r>
    </w:p>
    <w:p w14:paraId="2923A71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8219"/>
        <w15:color w:val="DBDBDB"/>
        <w:docPartObj>
          <w:docPartGallery w:val="Table of Contents"/>
          <w:docPartUnique/>
        </w:docPartObj>
      </w:sdtPr>
      <w:sdtEndPr>
        <w:rPr>
          <w:rFonts w:ascii="Times New Roman" w:hAnsi="Times New Roman" w:eastAsia="宋体" w:cs="Times New Roman"/>
          <w:kern w:val="2"/>
          <w:sz w:val="18"/>
          <w:szCs w:val="18"/>
          <w:lang w:val="en-US" w:eastAsia="zh-CN" w:bidi="ar-SA"/>
        </w:rPr>
      </w:sdtEndPr>
      <w:sdtContent>
        <w:p w14:paraId="016DB403">
          <w:pPr>
            <w:spacing w:before="0" w:beforeLines="0" w:after="0" w:afterLines="0" w:line="240" w:lineRule="auto"/>
            <w:ind w:left="0" w:leftChars="0" w:right="0" w:rightChars="0" w:firstLine="0" w:firstLineChars="0"/>
            <w:jc w:val="center"/>
          </w:pPr>
        </w:p>
        <w:p w14:paraId="1BD03E2B">
          <w:pPr>
            <w:pStyle w:val="13"/>
            <w:tabs>
              <w:tab w:val="right" w:leader="dot" w:pos="8306"/>
              <w:tab w:val="clear" w:pos="8296"/>
            </w:tabs>
          </w:pPr>
          <w:r>
            <w:fldChar w:fldCharType="begin"/>
          </w:r>
          <w:r>
            <w:instrText xml:space="preserve">TOC \o "1-3" \h \u </w:instrText>
          </w:r>
          <w:r>
            <w:fldChar w:fldCharType="separate"/>
          </w:r>
          <w:r>
            <w:fldChar w:fldCharType="begin"/>
          </w:r>
          <w:r>
            <w:instrText xml:space="preserve"> HYPERLINK \l _Toc24661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_Toc24661 \h </w:instrText>
          </w:r>
          <w:r>
            <w:fldChar w:fldCharType="separate"/>
          </w:r>
          <w:r>
            <w:t>2</w:t>
          </w:r>
          <w:r>
            <w:fldChar w:fldCharType="end"/>
          </w:r>
          <w:r>
            <w:fldChar w:fldCharType="end"/>
          </w:r>
        </w:p>
        <w:p w14:paraId="7BE2A4A0">
          <w:pPr>
            <w:pStyle w:val="15"/>
            <w:tabs>
              <w:tab w:val="right" w:leader="dot" w:pos="8306"/>
              <w:tab w:val="clear" w:pos="8296"/>
            </w:tabs>
          </w:pPr>
          <w:r>
            <w:fldChar w:fldCharType="begin"/>
          </w:r>
          <w:r>
            <w:instrText xml:space="preserve"> HYPERLINK \l _Toc7503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val="en-US" w:eastAsia="zh-CN"/>
            </w:rPr>
            <w:t>主要</w:t>
          </w:r>
          <w:r>
            <w:rPr>
              <w:rFonts w:hint="eastAsia" w:ascii="Times New Roman" w:hAnsi="Times New Roman" w:eastAsia="黑体"/>
              <w:highlight w:val="none"/>
              <w:lang w:eastAsia="zh-CN"/>
            </w:rPr>
            <w:t>职责</w:t>
          </w:r>
          <w:r>
            <w:tab/>
          </w:r>
          <w:r>
            <w:fldChar w:fldCharType="begin"/>
          </w:r>
          <w:r>
            <w:instrText xml:space="preserve"> PAGEREF _Toc7503 \h </w:instrText>
          </w:r>
          <w:r>
            <w:fldChar w:fldCharType="separate"/>
          </w:r>
          <w:r>
            <w:t>3</w:t>
          </w:r>
          <w:r>
            <w:fldChar w:fldCharType="end"/>
          </w:r>
          <w:r>
            <w:fldChar w:fldCharType="end"/>
          </w:r>
        </w:p>
        <w:p w14:paraId="45B7518B">
          <w:pPr>
            <w:pStyle w:val="15"/>
            <w:tabs>
              <w:tab w:val="right" w:leader="dot" w:pos="8306"/>
              <w:tab w:val="clear" w:pos="8296"/>
            </w:tabs>
          </w:pPr>
          <w:r>
            <w:fldChar w:fldCharType="begin"/>
          </w:r>
          <w:r>
            <w:instrText xml:space="preserve"> HYPERLINK \l _Toc21564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_Toc21564 \h </w:instrText>
          </w:r>
          <w:r>
            <w:fldChar w:fldCharType="separate"/>
          </w:r>
          <w:r>
            <w:t>4</w:t>
          </w:r>
          <w:r>
            <w:fldChar w:fldCharType="end"/>
          </w:r>
          <w:r>
            <w:fldChar w:fldCharType="end"/>
          </w:r>
        </w:p>
        <w:p w14:paraId="4AE4C377">
          <w:pPr>
            <w:pStyle w:val="13"/>
            <w:tabs>
              <w:tab w:val="right" w:leader="dot" w:pos="8306"/>
              <w:tab w:val="clear" w:pos="8296"/>
            </w:tabs>
          </w:pPr>
          <w:r>
            <w:fldChar w:fldCharType="begin"/>
          </w:r>
          <w:r>
            <w:instrText xml:space="preserve"> HYPERLINK \l _Toc22078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_Toc22078 \h </w:instrText>
          </w:r>
          <w:r>
            <w:fldChar w:fldCharType="separate"/>
          </w:r>
          <w:r>
            <w:t>4</w:t>
          </w:r>
          <w:r>
            <w:fldChar w:fldCharType="end"/>
          </w:r>
          <w:r>
            <w:fldChar w:fldCharType="end"/>
          </w:r>
        </w:p>
        <w:p w14:paraId="6A229651">
          <w:pPr>
            <w:pStyle w:val="15"/>
            <w:tabs>
              <w:tab w:val="right" w:leader="dot" w:pos="8306"/>
              <w:tab w:val="clear" w:pos="8296"/>
            </w:tabs>
          </w:pPr>
          <w:r>
            <w:fldChar w:fldCharType="begin"/>
          </w:r>
          <w:r>
            <w:instrText xml:space="preserve"> HYPERLINK \l _Toc12683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_Toc12683 \h </w:instrText>
          </w:r>
          <w:r>
            <w:fldChar w:fldCharType="separate"/>
          </w:r>
          <w:r>
            <w:t>4</w:t>
          </w:r>
          <w:r>
            <w:fldChar w:fldCharType="end"/>
          </w:r>
          <w:r>
            <w:fldChar w:fldCharType="end"/>
          </w:r>
        </w:p>
        <w:p w14:paraId="6682B905">
          <w:pPr>
            <w:pStyle w:val="15"/>
            <w:tabs>
              <w:tab w:val="right" w:leader="dot" w:pos="8306"/>
              <w:tab w:val="clear" w:pos="8296"/>
            </w:tabs>
          </w:pPr>
          <w:r>
            <w:fldChar w:fldCharType="begin"/>
          </w:r>
          <w:r>
            <w:instrText xml:space="preserve"> HYPERLINK \l _Toc21966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_Toc21966 \h </w:instrText>
          </w:r>
          <w:r>
            <w:fldChar w:fldCharType="separate"/>
          </w:r>
          <w:r>
            <w:t>5</w:t>
          </w:r>
          <w:r>
            <w:fldChar w:fldCharType="end"/>
          </w:r>
          <w:r>
            <w:fldChar w:fldCharType="end"/>
          </w:r>
        </w:p>
        <w:p w14:paraId="61312D92">
          <w:pPr>
            <w:pStyle w:val="15"/>
            <w:tabs>
              <w:tab w:val="right" w:leader="dot" w:pos="8306"/>
              <w:tab w:val="clear" w:pos="8296"/>
            </w:tabs>
          </w:pPr>
          <w:r>
            <w:fldChar w:fldCharType="begin"/>
          </w:r>
          <w:r>
            <w:instrText xml:space="preserve"> HYPERLINK \l _Toc25177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_Toc25177 \h </w:instrText>
          </w:r>
          <w:r>
            <w:fldChar w:fldCharType="separate"/>
          </w:r>
          <w:r>
            <w:t>5</w:t>
          </w:r>
          <w:r>
            <w:fldChar w:fldCharType="end"/>
          </w:r>
          <w:r>
            <w:fldChar w:fldCharType="end"/>
          </w:r>
        </w:p>
        <w:p w14:paraId="5C79AA7A">
          <w:pPr>
            <w:pStyle w:val="15"/>
            <w:tabs>
              <w:tab w:val="right" w:leader="dot" w:pos="8306"/>
              <w:tab w:val="clear" w:pos="8296"/>
            </w:tabs>
          </w:pPr>
          <w:r>
            <w:fldChar w:fldCharType="begin"/>
          </w:r>
          <w:r>
            <w:instrText xml:space="preserve"> HYPERLINK \l _Toc24908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_Toc24908 \h </w:instrText>
          </w:r>
          <w:r>
            <w:fldChar w:fldCharType="separate"/>
          </w:r>
          <w:r>
            <w:t>6</w:t>
          </w:r>
          <w:r>
            <w:fldChar w:fldCharType="end"/>
          </w:r>
          <w:r>
            <w:fldChar w:fldCharType="end"/>
          </w:r>
        </w:p>
        <w:p w14:paraId="70305712">
          <w:pPr>
            <w:pStyle w:val="15"/>
            <w:tabs>
              <w:tab w:val="right" w:leader="dot" w:pos="8306"/>
              <w:tab w:val="clear" w:pos="8296"/>
            </w:tabs>
          </w:pPr>
          <w:r>
            <w:fldChar w:fldCharType="begin"/>
          </w:r>
          <w:r>
            <w:instrText xml:space="preserve"> HYPERLINK \l _Toc726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_Toc726 \h </w:instrText>
          </w:r>
          <w:r>
            <w:fldChar w:fldCharType="separate"/>
          </w:r>
          <w:r>
            <w:t>7</w:t>
          </w:r>
          <w:r>
            <w:fldChar w:fldCharType="end"/>
          </w:r>
          <w:r>
            <w:fldChar w:fldCharType="end"/>
          </w:r>
        </w:p>
        <w:p w14:paraId="218F1CC5">
          <w:pPr>
            <w:pStyle w:val="9"/>
            <w:tabs>
              <w:tab w:val="right" w:leader="dot" w:pos="8306"/>
              <w:tab w:val="clear" w:pos="8296"/>
            </w:tabs>
          </w:pPr>
          <w:r>
            <w:fldChar w:fldCharType="begin"/>
          </w:r>
          <w:r>
            <w:instrText xml:space="preserve"> HYPERLINK \l _Toc11899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_Toc11899 \h </w:instrText>
          </w:r>
          <w:r>
            <w:fldChar w:fldCharType="separate"/>
          </w:r>
          <w:r>
            <w:t>7</w:t>
          </w:r>
          <w:r>
            <w:fldChar w:fldCharType="end"/>
          </w:r>
          <w:r>
            <w:fldChar w:fldCharType="end"/>
          </w:r>
        </w:p>
        <w:p w14:paraId="579A5FDF">
          <w:pPr>
            <w:pStyle w:val="9"/>
            <w:tabs>
              <w:tab w:val="right" w:leader="dot" w:pos="8306"/>
              <w:tab w:val="clear" w:pos="8296"/>
            </w:tabs>
          </w:pPr>
          <w:r>
            <w:fldChar w:fldCharType="begin"/>
          </w:r>
          <w:r>
            <w:instrText xml:space="preserve"> HYPERLINK \l _Toc13428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_Toc13428 \h </w:instrText>
          </w:r>
          <w:r>
            <w:fldChar w:fldCharType="separate"/>
          </w:r>
          <w:r>
            <w:t>8</w:t>
          </w:r>
          <w:r>
            <w:fldChar w:fldCharType="end"/>
          </w:r>
          <w:r>
            <w:fldChar w:fldCharType="end"/>
          </w:r>
        </w:p>
        <w:p w14:paraId="6C934E7F">
          <w:pPr>
            <w:pStyle w:val="9"/>
            <w:tabs>
              <w:tab w:val="right" w:leader="dot" w:pos="8306"/>
              <w:tab w:val="clear" w:pos="8296"/>
            </w:tabs>
          </w:pPr>
          <w:r>
            <w:fldChar w:fldCharType="begin"/>
          </w:r>
          <w:r>
            <w:instrText xml:space="preserve"> HYPERLINK \l _Toc6847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_Toc6847 \h </w:instrText>
          </w:r>
          <w:r>
            <w:fldChar w:fldCharType="separate"/>
          </w:r>
          <w:r>
            <w:t>9</w:t>
          </w:r>
          <w:r>
            <w:fldChar w:fldCharType="end"/>
          </w:r>
          <w:r>
            <w:fldChar w:fldCharType="end"/>
          </w:r>
        </w:p>
        <w:p w14:paraId="5278913A">
          <w:pPr>
            <w:pStyle w:val="15"/>
            <w:tabs>
              <w:tab w:val="right" w:leader="dot" w:pos="8306"/>
              <w:tab w:val="clear" w:pos="8296"/>
            </w:tabs>
          </w:pPr>
          <w:r>
            <w:fldChar w:fldCharType="begin"/>
          </w:r>
          <w:r>
            <w:instrText xml:space="preserve"> HYPERLINK \l _Toc1638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_Toc1638 \h </w:instrText>
          </w:r>
          <w:r>
            <w:fldChar w:fldCharType="separate"/>
          </w:r>
          <w:r>
            <w:t>10</w:t>
          </w:r>
          <w:r>
            <w:fldChar w:fldCharType="end"/>
          </w:r>
          <w:r>
            <w:fldChar w:fldCharType="end"/>
          </w:r>
        </w:p>
        <w:p w14:paraId="32467614">
          <w:pPr>
            <w:pStyle w:val="15"/>
            <w:tabs>
              <w:tab w:val="right" w:leader="dot" w:pos="8306"/>
              <w:tab w:val="clear" w:pos="8296"/>
            </w:tabs>
          </w:pPr>
          <w:r>
            <w:fldChar w:fldCharType="begin"/>
          </w:r>
          <w:r>
            <w:instrText xml:space="preserve"> HYPERLINK \l _Toc4681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_Toc4681 \h </w:instrText>
          </w:r>
          <w:r>
            <w:fldChar w:fldCharType="separate"/>
          </w:r>
          <w:r>
            <w:t>11</w:t>
          </w:r>
          <w:r>
            <w:fldChar w:fldCharType="end"/>
          </w:r>
          <w:r>
            <w:fldChar w:fldCharType="end"/>
          </w:r>
        </w:p>
        <w:p w14:paraId="67BC9DD1">
          <w:pPr>
            <w:pStyle w:val="9"/>
            <w:tabs>
              <w:tab w:val="right" w:leader="dot" w:pos="8306"/>
              <w:tab w:val="clear" w:pos="8296"/>
            </w:tabs>
          </w:pPr>
          <w:r>
            <w:fldChar w:fldCharType="begin"/>
          </w:r>
          <w:r>
            <w:instrText xml:space="preserve"> HYPERLINK \l _Toc17095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_Toc17095 \h </w:instrText>
          </w:r>
          <w:r>
            <w:fldChar w:fldCharType="separate"/>
          </w:r>
          <w:r>
            <w:t>11</w:t>
          </w:r>
          <w:r>
            <w:fldChar w:fldCharType="end"/>
          </w:r>
          <w:r>
            <w:fldChar w:fldCharType="end"/>
          </w:r>
        </w:p>
        <w:p w14:paraId="0644C8C0">
          <w:pPr>
            <w:pStyle w:val="9"/>
            <w:tabs>
              <w:tab w:val="right" w:leader="dot" w:pos="8306"/>
              <w:tab w:val="clear" w:pos="8296"/>
            </w:tabs>
          </w:pPr>
          <w:r>
            <w:fldChar w:fldCharType="begin"/>
          </w:r>
          <w:r>
            <w:instrText xml:space="preserve"> HYPERLINK \l _Toc13002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_Toc13002 \h </w:instrText>
          </w:r>
          <w:r>
            <w:fldChar w:fldCharType="separate"/>
          </w:r>
          <w:r>
            <w:t>11</w:t>
          </w:r>
          <w:r>
            <w:fldChar w:fldCharType="end"/>
          </w:r>
          <w:r>
            <w:fldChar w:fldCharType="end"/>
          </w:r>
        </w:p>
        <w:p w14:paraId="74FCDA11">
          <w:pPr>
            <w:pStyle w:val="15"/>
            <w:tabs>
              <w:tab w:val="right" w:leader="dot" w:pos="8306"/>
              <w:tab w:val="clear" w:pos="8296"/>
            </w:tabs>
          </w:pPr>
          <w:r>
            <w:fldChar w:fldCharType="begin"/>
          </w:r>
          <w:r>
            <w:instrText xml:space="preserve"> HYPERLINK \l _Toc9342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_Toc9342 \h </w:instrText>
          </w:r>
          <w:r>
            <w:fldChar w:fldCharType="separate"/>
          </w:r>
          <w:r>
            <w:t>12</w:t>
          </w:r>
          <w:r>
            <w:fldChar w:fldCharType="end"/>
          </w:r>
          <w:r>
            <w:fldChar w:fldCharType="end"/>
          </w:r>
        </w:p>
        <w:p w14:paraId="12FBDB4F">
          <w:pPr>
            <w:pStyle w:val="15"/>
            <w:tabs>
              <w:tab w:val="right" w:leader="dot" w:pos="8306"/>
              <w:tab w:val="clear" w:pos="8296"/>
            </w:tabs>
          </w:pPr>
          <w:r>
            <w:fldChar w:fldCharType="begin"/>
          </w:r>
          <w:r>
            <w:instrText xml:space="preserve"> HYPERLINK \l _Toc30619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_Toc30619 \h </w:instrText>
          </w:r>
          <w:r>
            <w:fldChar w:fldCharType="separate"/>
          </w:r>
          <w:r>
            <w:t>12</w:t>
          </w:r>
          <w:r>
            <w:fldChar w:fldCharType="end"/>
          </w:r>
          <w:r>
            <w:fldChar w:fldCharType="end"/>
          </w:r>
        </w:p>
        <w:p w14:paraId="50991D9F">
          <w:pPr>
            <w:pStyle w:val="15"/>
            <w:tabs>
              <w:tab w:val="right" w:leader="dot" w:pos="8306"/>
              <w:tab w:val="clear" w:pos="8296"/>
            </w:tabs>
          </w:pPr>
          <w:r>
            <w:fldChar w:fldCharType="begin"/>
          </w:r>
          <w:r>
            <w:instrText xml:space="preserve"> HYPERLINK \l _Toc18478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_Toc18478 \h </w:instrText>
          </w:r>
          <w:r>
            <w:fldChar w:fldCharType="separate"/>
          </w:r>
          <w:r>
            <w:t>12</w:t>
          </w:r>
          <w:r>
            <w:fldChar w:fldCharType="end"/>
          </w:r>
          <w:r>
            <w:fldChar w:fldCharType="end"/>
          </w:r>
        </w:p>
        <w:p w14:paraId="5DCF54DD">
          <w:pPr>
            <w:pStyle w:val="9"/>
            <w:tabs>
              <w:tab w:val="right" w:leader="dot" w:pos="8306"/>
              <w:tab w:val="clear" w:pos="8296"/>
            </w:tabs>
          </w:pPr>
          <w:r>
            <w:fldChar w:fldCharType="begin"/>
          </w:r>
          <w:r>
            <w:instrText xml:space="preserve"> HYPERLINK \l _Toc2277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_Toc2277 \h </w:instrText>
          </w:r>
          <w:r>
            <w:fldChar w:fldCharType="separate"/>
          </w:r>
          <w:r>
            <w:t>12</w:t>
          </w:r>
          <w:r>
            <w:fldChar w:fldCharType="end"/>
          </w:r>
          <w:r>
            <w:fldChar w:fldCharType="end"/>
          </w:r>
        </w:p>
        <w:p w14:paraId="0F68719C">
          <w:pPr>
            <w:pStyle w:val="9"/>
            <w:tabs>
              <w:tab w:val="right" w:leader="dot" w:pos="8306"/>
              <w:tab w:val="clear" w:pos="8296"/>
            </w:tabs>
          </w:pPr>
          <w:r>
            <w:fldChar w:fldCharType="begin"/>
          </w:r>
          <w:r>
            <w:instrText xml:space="preserve"> HYPERLINK \l _Toc744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_Toc744 \h </w:instrText>
          </w:r>
          <w:r>
            <w:fldChar w:fldCharType="separate"/>
          </w:r>
          <w:r>
            <w:t>12</w:t>
          </w:r>
          <w:r>
            <w:fldChar w:fldCharType="end"/>
          </w:r>
          <w:r>
            <w:fldChar w:fldCharType="end"/>
          </w:r>
        </w:p>
        <w:p w14:paraId="4D465E86">
          <w:pPr>
            <w:pStyle w:val="9"/>
            <w:tabs>
              <w:tab w:val="right" w:leader="dot" w:pos="8306"/>
              <w:tab w:val="clear" w:pos="8296"/>
            </w:tabs>
          </w:pPr>
          <w:r>
            <w:fldChar w:fldCharType="begin"/>
          </w:r>
          <w:r>
            <w:instrText xml:space="preserve"> HYPERLINK \l _Toc16153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_Toc16153 \h </w:instrText>
          </w:r>
          <w:r>
            <w:fldChar w:fldCharType="separate"/>
          </w:r>
          <w:r>
            <w:t>12</w:t>
          </w:r>
          <w:r>
            <w:fldChar w:fldCharType="end"/>
          </w:r>
          <w:r>
            <w:fldChar w:fldCharType="end"/>
          </w:r>
        </w:p>
        <w:p w14:paraId="01376926">
          <w:pPr>
            <w:pStyle w:val="13"/>
            <w:tabs>
              <w:tab w:val="right" w:leader="dot" w:pos="8306"/>
              <w:tab w:val="clear" w:pos="8296"/>
            </w:tabs>
          </w:pPr>
          <w:r>
            <w:fldChar w:fldCharType="begin"/>
          </w:r>
          <w:r>
            <w:instrText xml:space="preserve"> HYPERLINK \l _Toc12237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_Toc12237 \h </w:instrText>
          </w:r>
          <w:r>
            <w:fldChar w:fldCharType="separate"/>
          </w:r>
          <w:r>
            <w:t>13</w:t>
          </w:r>
          <w:r>
            <w:fldChar w:fldCharType="end"/>
          </w:r>
          <w:r>
            <w:fldChar w:fldCharType="end"/>
          </w:r>
        </w:p>
        <w:p w14:paraId="665F852C">
          <w:pPr>
            <w:pStyle w:val="13"/>
            <w:tabs>
              <w:tab w:val="right" w:leader="dot" w:pos="8306"/>
              <w:tab w:val="clear" w:pos="8296"/>
            </w:tabs>
            <w:jc w:val="both"/>
          </w:pPr>
          <w:r>
            <w:fldChar w:fldCharType="begin"/>
          </w:r>
          <w:r>
            <w:instrText xml:space="preserve"> HYPERLINK \l _Toc13645 </w:instrText>
          </w:r>
          <w:r>
            <w:fldChar w:fldCharType="separate"/>
          </w:r>
          <w:r>
            <w:rPr>
              <w:rFonts w:hint="eastAsia" w:ascii="Times New Roman" w:hAnsi="Times New Roman" w:eastAsia="黑体"/>
              <w:szCs w:val="44"/>
              <w:highlight w:val="none"/>
            </w:rPr>
            <w:t>第</w:t>
          </w:r>
          <w:r>
            <w:rPr>
              <w:rFonts w:hint="eastAsia" w:eastAsia="黑体"/>
              <w:szCs w:val="44"/>
              <w:highlight w:val="none"/>
              <w:lang w:val="en-US" w:eastAsia="zh-CN"/>
            </w:rPr>
            <w:t>四</w:t>
          </w:r>
          <w:r>
            <w:rPr>
              <w:rFonts w:hint="eastAsia" w:ascii="Times New Roman" w:hAnsi="Times New Roman" w:eastAsia="黑体"/>
              <w:highlight w:val="none"/>
            </w:rPr>
            <w:t>部分 附表</w:t>
          </w:r>
          <w:r>
            <w:tab/>
          </w:r>
          <w:r>
            <w:fldChar w:fldCharType="begin"/>
          </w:r>
          <w:r>
            <w:instrText xml:space="preserve"> PAGEREF _Toc13645 \h </w:instrText>
          </w:r>
          <w:r>
            <w:fldChar w:fldCharType="separate"/>
          </w:r>
          <w:r>
            <w:t>16</w:t>
          </w:r>
          <w:r>
            <w:fldChar w:fldCharType="end"/>
          </w:r>
          <w:r>
            <w:fldChar w:fldCharType="end"/>
          </w:r>
        </w:p>
        <w:p w14:paraId="76CE73DF">
          <w:pPr>
            <w:pStyle w:val="15"/>
            <w:tabs>
              <w:tab w:val="right" w:leader="dot" w:pos="8306"/>
              <w:tab w:val="clear" w:pos="8296"/>
            </w:tabs>
          </w:pPr>
          <w:r>
            <w:fldChar w:fldCharType="begin"/>
          </w:r>
          <w:r>
            <w:instrText xml:space="preserve"> HYPERLINK \l _Toc16838 </w:instrText>
          </w:r>
          <w:r>
            <w:fldChar w:fldCharType="separate"/>
          </w:r>
          <w:r>
            <w:rPr>
              <w:rFonts w:hint="eastAsia" w:ascii="Times New Roman" w:hAnsi="Times New Roman" w:eastAsia="黑体"/>
              <w:szCs w:val="32"/>
              <w:highlight w:val="none"/>
            </w:rPr>
            <w:t>一、收入支出决算总表</w:t>
          </w:r>
          <w:r>
            <w:tab/>
          </w:r>
          <w:r>
            <w:fldChar w:fldCharType="begin"/>
          </w:r>
          <w:r>
            <w:instrText xml:space="preserve"> PAGEREF _Toc16838 \h </w:instrText>
          </w:r>
          <w:r>
            <w:fldChar w:fldCharType="separate"/>
          </w:r>
          <w:r>
            <w:t>16</w:t>
          </w:r>
          <w:r>
            <w:fldChar w:fldCharType="end"/>
          </w:r>
          <w:r>
            <w:fldChar w:fldCharType="end"/>
          </w:r>
        </w:p>
        <w:p w14:paraId="1E158719">
          <w:pPr>
            <w:pStyle w:val="15"/>
            <w:tabs>
              <w:tab w:val="right" w:leader="dot" w:pos="8306"/>
              <w:tab w:val="clear" w:pos="8296"/>
            </w:tabs>
          </w:pPr>
          <w:r>
            <w:fldChar w:fldCharType="begin"/>
          </w:r>
          <w:r>
            <w:instrText xml:space="preserve"> HYPERLINK \l _Toc27037 </w:instrText>
          </w:r>
          <w:r>
            <w:fldChar w:fldCharType="separate"/>
          </w:r>
          <w:r>
            <w:rPr>
              <w:rFonts w:hint="eastAsia" w:ascii="Times New Roman" w:hAnsi="Times New Roman" w:eastAsia="黑体"/>
              <w:szCs w:val="32"/>
              <w:highlight w:val="none"/>
            </w:rPr>
            <w:t>二、收入决算表</w:t>
          </w:r>
          <w:r>
            <w:tab/>
          </w:r>
          <w:r>
            <w:fldChar w:fldCharType="begin"/>
          </w:r>
          <w:r>
            <w:instrText xml:space="preserve"> PAGEREF _Toc27037 \h </w:instrText>
          </w:r>
          <w:r>
            <w:fldChar w:fldCharType="separate"/>
          </w:r>
          <w:r>
            <w:t>16</w:t>
          </w:r>
          <w:r>
            <w:fldChar w:fldCharType="end"/>
          </w:r>
          <w:r>
            <w:fldChar w:fldCharType="end"/>
          </w:r>
        </w:p>
        <w:p w14:paraId="2034A511">
          <w:pPr>
            <w:pStyle w:val="15"/>
            <w:tabs>
              <w:tab w:val="right" w:leader="dot" w:pos="8306"/>
              <w:tab w:val="clear" w:pos="8296"/>
            </w:tabs>
          </w:pPr>
          <w:r>
            <w:fldChar w:fldCharType="begin"/>
          </w:r>
          <w:r>
            <w:instrText xml:space="preserve"> HYPERLINK \l _Toc24768 </w:instrText>
          </w:r>
          <w:r>
            <w:fldChar w:fldCharType="separate"/>
          </w:r>
          <w:r>
            <w:rPr>
              <w:rFonts w:hint="eastAsia" w:ascii="Times New Roman" w:hAnsi="Times New Roman" w:eastAsia="黑体"/>
              <w:szCs w:val="32"/>
              <w:highlight w:val="none"/>
            </w:rPr>
            <w:t>三、支出决算表</w:t>
          </w:r>
          <w:r>
            <w:tab/>
          </w:r>
          <w:r>
            <w:fldChar w:fldCharType="begin"/>
          </w:r>
          <w:r>
            <w:instrText xml:space="preserve"> PAGEREF _Toc24768 \h </w:instrText>
          </w:r>
          <w:r>
            <w:fldChar w:fldCharType="separate"/>
          </w:r>
          <w:r>
            <w:t>16</w:t>
          </w:r>
          <w:r>
            <w:fldChar w:fldCharType="end"/>
          </w:r>
          <w:r>
            <w:fldChar w:fldCharType="end"/>
          </w:r>
        </w:p>
        <w:p w14:paraId="1DEDD2A2">
          <w:pPr>
            <w:pStyle w:val="15"/>
            <w:tabs>
              <w:tab w:val="right" w:leader="dot" w:pos="8306"/>
              <w:tab w:val="clear" w:pos="8296"/>
            </w:tabs>
          </w:pPr>
          <w:r>
            <w:fldChar w:fldCharType="begin"/>
          </w:r>
          <w:r>
            <w:instrText xml:space="preserve"> HYPERLINK \l _Toc27665 </w:instrText>
          </w:r>
          <w:r>
            <w:fldChar w:fldCharType="separate"/>
          </w:r>
          <w:r>
            <w:rPr>
              <w:rFonts w:hint="eastAsia" w:ascii="Times New Roman" w:hAnsi="Times New Roman" w:eastAsia="黑体"/>
              <w:szCs w:val="32"/>
              <w:highlight w:val="none"/>
            </w:rPr>
            <w:t>四、财政拨款收入支出决算总表</w:t>
          </w:r>
          <w:r>
            <w:tab/>
          </w:r>
          <w:r>
            <w:fldChar w:fldCharType="begin"/>
          </w:r>
          <w:r>
            <w:instrText xml:space="preserve"> PAGEREF _Toc27665 \h </w:instrText>
          </w:r>
          <w:r>
            <w:fldChar w:fldCharType="separate"/>
          </w:r>
          <w:r>
            <w:t>16</w:t>
          </w:r>
          <w:r>
            <w:fldChar w:fldCharType="end"/>
          </w:r>
          <w:r>
            <w:fldChar w:fldCharType="end"/>
          </w:r>
        </w:p>
        <w:p w14:paraId="6F389F88">
          <w:pPr>
            <w:pStyle w:val="15"/>
            <w:tabs>
              <w:tab w:val="right" w:leader="dot" w:pos="8306"/>
              <w:tab w:val="clear" w:pos="8296"/>
            </w:tabs>
          </w:pPr>
          <w:r>
            <w:fldChar w:fldCharType="begin"/>
          </w:r>
          <w:r>
            <w:instrText xml:space="preserve"> HYPERLINK \l _Toc482 </w:instrText>
          </w:r>
          <w:r>
            <w:fldChar w:fldCharType="separate"/>
          </w:r>
          <w:r>
            <w:rPr>
              <w:rFonts w:hint="eastAsia" w:ascii="Times New Roman" w:hAnsi="Times New Roman" w:eastAsia="黑体"/>
              <w:szCs w:val="32"/>
              <w:highlight w:val="none"/>
            </w:rPr>
            <w:t>五、财政拨款支出决算明细表</w:t>
          </w:r>
          <w:r>
            <w:tab/>
          </w:r>
          <w:r>
            <w:fldChar w:fldCharType="begin"/>
          </w:r>
          <w:r>
            <w:instrText xml:space="preserve"> PAGEREF _Toc482 \h </w:instrText>
          </w:r>
          <w:r>
            <w:fldChar w:fldCharType="separate"/>
          </w:r>
          <w:r>
            <w:t>16</w:t>
          </w:r>
          <w:r>
            <w:fldChar w:fldCharType="end"/>
          </w:r>
          <w:r>
            <w:fldChar w:fldCharType="end"/>
          </w:r>
        </w:p>
        <w:p w14:paraId="0D513688">
          <w:pPr>
            <w:pStyle w:val="15"/>
            <w:tabs>
              <w:tab w:val="right" w:leader="dot" w:pos="8306"/>
              <w:tab w:val="clear" w:pos="8296"/>
            </w:tabs>
          </w:pPr>
          <w:r>
            <w:fldChar w:fldCharType="begin"/>
          </w:r>
          <w:r>
            <w:instrText xml:space="preserve"> HYPERLINK \l _Toc15190 </w:instrText>
          </w:r>
          <w:r>
            <w:fldChar w:fldCharType="separate"/>
          </w:r>
          <w:r>
            <w:rPr>
              <w:rFonts w:hint="eastAsia" w:ascii="Times New Roman" w:hAnsi="Times New Roman" w:eastAsia="黑体"/>
              <w:szCs w:val="32"/>
              <w:highlight w:val="none"/>
            </w:rPr>
            <w:t>六、一般公共预算财政拨款支出决算表</w:t>
          </w:r>
          <w:r>
            <w:tab/>
          </w:r>
          <w:r>
            <w:fldChar w:fldCharType="begin"/>
          </w:r>
          <w:r>
            <w:instrText xml:space="preserve"> PAGEREF _Toc15190 \h </w:instrText>
          </w:r>
          <w:r>
            <w:fldChar w:fldCharType="separate"/>
          </w:r>
          <w:r>
            <w:t>16</w:t>
          </w:r>
          <w:r>
            <w:fldChar w:fldCharType="end"/>
          </w:r>
          <w:r>
            <w:fldChar w:fldCharType="end"/>
          </w:r>
        </w:p>
        <w:p w14:paraId="04512E6F">
          <w:pPr>
            <w:pStyle w:val="15"/>
            <w:tabs>
              <w:tab w:val="right" w:leader="dot" w:pos="8306"/>
              <w:tab w:val="clear" w:pos="8296"/>
            </w:tabs>
          </w:pPr>
          <w:r>
            <w:fldChar w:fldCharType="begin"/>
          </w:r>
          <w:r>
            <w:instrText xml:space="preserve"> HYPERLINK \l _Toc30642 </w:instrText>
          </w:r>
          <w:r>
            <w:fldChar w:fldCharType="separate"/>
          </w:r>
          <w:r>
            <w:rPr>
              <w:rFonts w:hint="eastAsia" w:ascii="Times New Roman" w:hAnsi="Times New Roman" w:eastAsia="黑体"/>
              <w:szCs w:val="32"/>
              <w:highlight w:val="none"/>
            </w:rPr>
            <w:t>七、一般公共预算财政拨款支出决算明细表</w:t>
          </w:r>
          <w:r>
            <w:tab/>
          </w:r>
          <w:r>
            <w:fldChar w:fldCharType="begin"/>
          </w:r>
          <w:r>
            <w:instrText xml:space="preserve"> PAGEREF _Toc30642 \h </w:instrText>
          </w:r>
          <w:r>
            <w:fldChar w:fldCharType="separate"/>
          </w:r>
          <w:r>
            <w:t>16</w:t>
          </w:r>
          <w:r>
            <w:fldChar w:fldCharType="end"/>
          </w:r>
          <w:r>
            <w:fldChar w:fldCharType="end"/>
          </w:r>
        </w:p>
        <w:p w14:paraId="1BFB09CF">
          <w:pPr>
            <w:pStyle w:val="15"/>
            <w:tabs>
              <w:tab w:val="right" w:leader="dot" w:pos="8306"/>
              <w:tab w:val="clear" w:pos="8296"/>
            </w:tabs>
          </w:pPr>
          <w:r>
            <w:fldChar w:fldCharType="begin"/>
          </w:r>
          <w:r>
            <w:instrText xml:space="preserve"> HYPERLINK \l _Toc15396 </w:instrText>
          </w:r>
          <w:r>
            <w:fldChar w:fldCharType="separate"/>
          </w:r>
          <w:r>
            <w:rPr>
              <w:rFonts w:hint="eastAsia" w:ascii="Times New Roman" w:hAnsi="Times New Roman" w:eastAsia="黑体"/>
              <w:szCs w:val="32"/>
              <w:highlight w:val="none"/>
            </w:rPr>
            <w:t>八、一般公共预算财政拨款基本支出决算表</w:t>
          </w:r>
          <w:r>
            <w:tab/>
          </w:r>
          <w:r>
            <w:fldChar w:fldCharType="begin"/>
          </w:r>
          <w:r>
            <w:instrText xml:space="preserve"> PAGEREF _Toc15396 \h </w:instrText>
          </w:r>
          <w:r>
            <w:fldChar w:fldCharType="separate"/>
          </w:r>
          <w:r>
            <w:t>17</w:t>
          </w:r>
          <w:r>
            <w:fldChar w:fldCharType="end"/>
          </w:r>
          <w:r>
            <w:fldChar w:fldCharType="end"/>
          </w:r>
        </w:p>
        <w:p w14:paraId="524290D2">
          <w:pPr>
            <w:pStyle w:val="15"/>
            <w:tabs>
              <w:tab w:val="right" w:leader="dot" w:pos="8306"/>
              <w:tab w:val="clear" w:pos="8296"/>
            </w:tabs>
          </w:pPr>
          <w:r>
            <w:fldChar w:fldCharType="begin"/>
          </w:r>
          <w:r>
            <w:instrText xml:space="preserve"> HYPERLINK \l _Toc10031 </w:instrText>
          </w:r>
          <w:r>
            <w:fldChar w:fldCharType="separate"/>
          </w:r>
          <w:r>
            <w:rPr>
              <w:rFonts w:hint="eastAsia" w:ascii="Times New Roman" w:hAnsi="Times New Roman" w:eastAsia="黑体"/>
              <w:szCs w:val="32"/>
              <w:highlight w:val="none"/>
            </w:rPr>
            <w:t>九、一般公共预算财政拨款项目支出决算表</w:t>
          </w:r>
          <w:r>
            <w:tab/>
          </w:r>
          <w:r>
            <w:fldChar w:fldCharType="begin"/>
          </w:r>
          <w:r>
            <w:instrText xml:space="preserve"> PAGEREF _Toc10031 \h </w:instrText>
          </w:r>
          <w:r>
            <w:fldChar w:fldCharType="separate"/>
          </w:r>
          <w:r>
            <w:t>17</w:t>
          </w:r>
          <w:r>
            <w:fldChar w:fldCharType="end"/>
          </w:r>
          <w:r>
            <w:fldChar w:fldCharType="end"/>
          </w:r>
        </w:p>
        <w:p w14:paraId="34969285">
          <w:pPr>
            <w:pStyle w:val="15"/>
            <w:tabs>
              <w:tab w:val="right" w:leader="dot" w:pos="8306"/>
              <w:tab w:val="clear" w:pos="8296"/>
            </w:tabs>
          </w:pPr>
          <w:r>
            <w:fldChar w:fldCharType="begin"/>
          </w:r>
          <w:r>
            <w:instrText xml:space="preserve"> HYPERLINK \l _Toc3608 </w:instrText>
          </w:r>
          <w:r>
            <w:fldChar w:fldCharType="separate"/>
          </w:r>
          <w:r>
            <w:rPr>
              <w:rFonts w:hint="eastAsia" w:ascii="Times New Roman" w:hAnsi="Times New Roman" w:eastAsia="黑体"/>
              <w:szCs w:val="32"/>
              <w:highlight w:val="none"/>
            </w:rPr>
            <w:t>十、政府性基金预算财政拨款收入支出决算表</w:t>
          </w:r>
          <w:r>
            <w:tab/>
          </w:r>
          <w:r>
            <w:fldChar w:fldCharType="begin"/>
          </w:r>
          <w:r>
            <w:instrText xml:space="preserve"> PAGEREF _Toc3608 \h </w:instrText>
          </w:r>
          <w:r>
            <w:fldChar w:fldCharType="separate"/>
          </w:r>
          <w:r>
            <w:t>17</w:t>
          </w:r>
          <w:r>
            <w:fldChar w:fldCharType="end"/>
          </w:r>
          <w:r>
            <w:fldChar w:fldCharType="end"/>
          </w:r>
        </w:p>
        <w:p w14:paraId="55D529FC">
          <w:pPr>
            <w:pStyle w:val="15"/>
            <w:tabs>
              <w:tab w:val="right" w:leader="dot" w:pos="8306"/>
              <w:tab w:val="clear" w:pos="8296"/>
            </w:tabs>
          </w:pPr>
          <w:r>
            <w:fldChar w:fldCharType="begin"/>
          </w:r>
          <w:r>
            <w:instrText xml:space="preserve"> HYPERLINK \l _Toc11699 </w:instrText>
          </w:r>
          <w:r>
            <w:fldChar w:fldCharType="separate"/>
          </w:r>
          <w:r>
            <w:rPr>
              <w:rFonts w:hint="eastAsia" w:ascii="Times New Roman" w:hAnsi="Times New Roman" w:eastAsia="黑体"/>
              <w:szCs w:val="32"/>
              <w:highlight w:val="none"/>
            </w:rPr>
            <w:t>十一、国有资本经营预算</w:t>
          </w:r>
          <w:r>
            <w:rPr>
              <w:rFonts w:hint="eastAsia" w:ascii="Times New Roman" w:hAnsi="Times New Roman" w:eastAsia="黑体"/>
              <w:szCs w:val="32"/>
              <w:highlight w:val="none"/>
              <w:lang w:eastAsia="zh-CN"/>
            </w:rPr>
            <w:t>财政拨款收入</w:t>
          </w:r>
          <w:r>
            <w:rPr>
              <w:rFonts w:hint="eastAsia" w:ascii="Times New Roman" w:hAnsi="Times New Roman" w:eastAsia="黑体"/>
              <w:szCs w:val="32"/>
              <w:highlight w:val="none"/>
            </w:rPr>
            <w:t>支出决算表</w:t>
          </w:r>
          <w:r>
            <w:tab/>
          </w:r>
          <w:r>
            <w:fldChar w:fldCharType="begin"/>
          </w:r>
          <w:r>
            <w:instrText xml:space="preserve"> PAGEREF _Toc11699 \h </w:instrText>
          </w:r>
          <w:r>
            <w:fldChar w:fldCharType="separate"/>
          </w:r>
          <w:r>
            <w:t>17</w:t>
          </w:r>
          <w:r>
            <w:fldChar w:fldCharType="end"/>
          </w:r>
          <w:r>
            <w:fldChar w:fldCharType="end"/>
          </w:r>
        </w:p>
        <w:p w14:paraId="74354724">
          <w:pPr>
            <w:pStyle w:val="15"/>
            <w:tabs>
              <w:tab w:val="right" w:leader="dot" w:pos="8306"/>
              <w:tab w:val="clear" w:pos="8296"/>
            </w:tabs>
          </w:pPr>
          <w:r>
            <w:fldChar w:fldCharType="begin"/>
          </w:r>
          <w:r>
            <w:instrText xml:space="preserve"> HYPERLINK \l _Toc11406 </w:instrText>
          </w:r>
          <w:r>
            <w:fldChar w:fldCharType="separate"/>
          </w:r>
          <w:r>
            <w:rPr>
              <w:rFonts w:hint="eastAsia" w:ascii="Times New Roman" w:hAnsi="Times New Roman" w:eastAsia="黑体"/>
              <w:szCs w:val="32"/>
              <w:highlight w:val="none"/>
            </w:rPr>
            <w:t>十二、</w:t>
          </w:r>
          <w:r>
            <w:rPr>
              <w:rFonts w:hint="eastAsia" w:ascii="Times New Roman" w:hAnsi="Times New Roman" w:eastAsia="黑体"/>
              <w:szCs w:val="32"/>
              <w:highlight w:val="none"/>
              <w:lang w:eastAsia="zh-CN"/>
            </w:rPr>
            <w:t>国有资本经营预算财政拨款支出决算表</w:t>
          </w:r>
          <w:r>
            <w:tab/>
          </w:r>
          <w:r>
            <w:fldChar w:fldCharType="begin"/>
          </w:r>
          <w:r>
            <w:instrText xml:space="preserve"> PAGEREF _Toc11406 \h </w:instrText>
          </w:r>
          <w:r>
            <w:fldChar w:fldCharType="separate"/>
          </w:r>
          <w:r>
            <w:t>17</w:t>
          </w:r>
          <w:r>
            <w:fldChar w:fldCharType="end"/>
          </w:r>
          <w:r>
            <w:fldChar w:fldCharType="end"/>
          </w:r>
        </w:p>
        <w:p w14:paraId="4C950880">
          <w:pPr>
            <w:pStyle w:val="15"/>
            <w:tabs>
              <w:tab w:val="right" w:leader="dot" w:pos="8306"/>
              <w:tab w:val="clear" w:pos="8296"/>
            </w:tabs>
          </w:pPr>
          <w:r>
            <w:fldChar w:fldCharType="begin"/>
          </w:r>
          <w:r>
            <w:instrText xml:space="preserve"> HYPERLINK \l _Toc18154 </w:instrText>
          </w:r>
          <w:r>
            <w:fldChar w:fldCharType="separate"/>
          </w:r>
          <w:r>
            <w:rPr>
              <w:rFonts w:hint="eastAsia" w:ascii="Times New Roman" w:hAnsi="Times New Roman" w:eastAsia="黑体"/>
              <w:szCs w:val="32"/>
              <w:highlight w:val="none"/>
            </w:rPr>
            <w:t>十三、</w:t>
          </w:r>
          <w:r>
            <w:rPr>
              <w:rFonts w:hint="eastAsia" w:ascii="Times New Roman" w:hAnsi="Times New Roman" w:eastAsia="黑体"/>
              <w:szCs w:val="32"/>
              <w:highlight w:val="none"/>
              <w:lang w:eastAsia="zh-CN"/>
            </w:rPr>
            <w:t>财政拨款“三公”经费支出决算表</w:t>
          </w:r>
          <w:r>
            <w:tab/>
          </w:r>
          <w:r>
            <w:fldChar w:fldCharType="begin"/>
          </w:r>
          <w:r>
            <w:instrText xml:space="preserve"> PAGEREF _Toc18154 \h </w:instrText>
          </w:r>
          <w:r>
            <w:fldChar w:fldCharType="separate"/>
          </w:r>
          <w:r>
            <w:t>17</w:t>
          </w:r>
          <w:r>
            <w:fldChar w:fldCharType="end"/>
          </w:r>
          <w:r>
            <w:fldChar w:fldCharType="end"/>
          </w:r>
        </w:p>
        <w:p w14:paraId="5B998E6A">
          <w:pPr>
            <w:pStyle w:val="2"/>
          </w:pPr>
          <w:r>
            <w:fldChar w:fldCharType="end"/>
          </w:r>
        </w:p>
      </w:sdtContent>
    </w:sdt>
    <w:p w14:paraId="703EF070">
      <w:pPr>
        <w:pStyle w:val="5"/>
        <w:jc w:val="center"/>
        <w:rPr>
          <w:rFonts w:hint="eastAsia" w:ascii="Times New Roman" w:hAnsi="Times New Roman" w:eastAsia="方正小标宋简体" w:cs="方正小标宋简体"/>
          <w:b w:val="0"/>
          <w:color w:val="auto"/>
          <w:highlight w:val="none"/>
        </w:rPr>
      </w:pPr>
      <w:bookmarkStart w:id="20" w:name="_Toc15396599"/>
      <w:bookmarkStart w:id="21" w:name="_Toc15377196"/>
    </w:p>
    <w:p w14:paraId="1FB2C1C9">
      <w:pPr>
        <w:rPr>
          <w:rFonts w:hint="eastAsia" w:ascii="Times New Roman" w:hAnsi="Times New Roman" w:eastAsia="方正小标宋简体" w:cs="方正小标宋简体"/>
          <w:b w:val="0"/>
          <w:color w:val="auto"/>
          <w:highlight w:val="none"/>
        </w:rPr>
      </w:pPr>
    </w:p>
    <w:p w14:paraId="364B50CC">
      <w:pPr>
        <w:pStyle w:val="2"/>
        <w:rPr>
          <w:rFonts w:hint="eastAsia" w:ascii="Times New Roman" w:hAnsi="Times New Roman" w:eastAsia="方正小标宋简体" w:cs="方正小标宋简体"/>
          <w:b w:val="0"/>
          <w:color w:val="auto"/>
          <w:highlight w:val="none"/>
        </w:rPr>
      </w:pPr>
    </w:p>
    <w:p w14:paraId="28F6984C">
      <w:pPr>
        <w:pStyle w:val="3"/>
        <w:rPr>
          <w:rFonts w:hint="eastAsia" w:ascii="Times New Roman" w:hAnsi="Times New Roman" w:eastAsia="方正小标宋简体" w:cs="方正小标宋简体"/>
          <w:b w:val="0"/>
          <w:color w:val="auto"/>
          <w:highlight w:val="none"/>
        </w:rPr>
      </w:pPr>
    </w:p>
    <w:p w14:paraId="6440F6AF">
      <w:pPr>
        <w:rPr>
          <w:rFonts w:hint="eastAsia" w:ascii="Times New Roman" w:hAnsi="Times New Roman" w:eastAsia="方正小标宋简体" w:cs="方正小标宋简体"/>
          <w:b w:val="0"/>
          <w:color w:val="auto"/>
          <w:highlight w:val="none"/>
        </w:rPr>
      </w:pPr>
    </w:p>
    <w:p w14:paraId="4B0C8514">
      <w:pPr>
        <w:pStyle w:val="2"/>
        <w:rPr>
          <w:rFonts w:hint="eastAsia" w:ascii="Times New Roman" w:hAnsi="Times New Roman" w:eastAsia="方正小标宋简体" w:cs="方正小标宋简体"/>
          <w:b w:val="0"/>
          <w:color w:val="auto"/>
          <w:highlight w:val="none"/>
        </w:rPr>
      </w:pPr>
    </w:p>
    <w:p w14:paraId="65670F2A">
      <w:pPr>
        <w:pStyle w:val="3"/>
        <w:rPr>
          <w:rFonts w:hint="eastAsia" w:ascii="Times New Roman" w:hAnsi="Times New Roman" w:eastAsia="方正小标宋简体" w:cs="方正小标宋简体"/>
          <w:b w:val="0"/>
          <w:color w:val="auto"/>
          <w:highlight w:val="none"/>
        </w:rPr>
      </w:pPr>
    </w:p>
    <w:p w14:paraId="59B7EC98">
      <w:pPr>
        <w:rPr>
          <w:rFonts w:hint="eastAsia" w:ascii="Times New Roman" w:hAnsi="Times New Roman" w:eastAsia="方正小标宋简体" w:cs="方正小标宋简体"/>
          <w:b w:val="0"/>
          <w:color w:val="auto"/>
          <w:highlight w:val="none"/>
        </w:rPr>
      </w:pPr>
    </w:p>
    <w:p w14:paraId="6D2F0350">
      <w:pPr>
        <w:pStyle w:val="2"/>
        <w:rPr>
          <w:rFonts w:hint="eastAsia" w:ascii="Times New Roman" w:hAnsi="Times New Roman" w:eastAsia="方正小标宋简体" w:cs="方正小标宋简体"/>
          <w:b w:val="0"/>
          <w:color w:val="auto"/>
          <w:highlight w:val="none"/>
        </w:rPr>
      </w:pPr>
    </w:p>
    <w:p w14:paraId="78EF0DDE">
      <w:pPr>
        <w:pStyle w:val="3"/>
        <w:rPr>
          <w:rFonts w:hint="eastAsia" w:ascii="Times New Roman" w:hAnsi="Times New Roman" w:eastAsia="方正小标宋简体" w:cs="方正小标宋简体"/>
          <w:b w:val="0"/>
          <w:color w:val="auto"/>
          <w:highlight w:val="none"/>
        </w:rPr>
      </w:pPr>
    </w:p>
    <w:p w14:paraId="75D10040">
      <w:pPr>
        <w:rPr>
          <w:rFonts w:hint="eastAsia" w:ascii="Times New Roman" w:hAnsi="Times New Roman" w:eastAsia="方正小标宋简体" w:cs="方正小标宋简体"/>
          <w:b w:val="0"/>
          <w:color w:val="auto"/>
          <w:highlight w:val="none"/>
        </w:rPr>
      </w:pPr>
    </w:p>
    <w:p w14:paraId="6DFCC87F">
      <w:pPr>
        <w:pStyle w:val="2"/>
        <w:rPr>
          <w:rFonts w:hint="eastAsia" w:ascii="Times New Roman" w:hAnsi="Times New Roman" w:eastAsia="方正小标宋简体" w:cs="方正小标宋简体"/>
          <w:b w:val="0"/>
          <w:color w:val="auto"/>
          <w:highlight w:val="none"/>
        </w:rPr>
      </w:pPr>
    </w:p>
    <w:p w14:paraId="0CC6D87E">
      <w:pPr>
        <w:pStyle w:val="3"/>
        <w:rPr>
          <w:rFonts w:hint="eastAsia" w:ascii="Times New Roman" w:hAnsi="Times New Roman" w:eastAsia="方正小标宋简体" w:cs="方正小标宋简体"/>
          <w:b w:val="0"/>
          <w:color w:val="auto"/>
          <w:highlight w:val="none"/>
        </w:rPr>
      </w:pPr>
    </w:p>
    <w:p w14:paraId="12B904E7">
      <w:pPr>
        <w:rPr>
          <w:rFonts w:hint="eastAsia" w:ascii="Times New Roman" w:hAnsi="Times New Roman" w:eastAsia="方正小标宋简体" w:cs="方正小标宋简体"/>
          <w:b w:val="0"/>
          <w:color w:val="auto"/>
          <w:highlight w:val="none"/>
        </w:rPr>
      </w:pPr>
    </w:p>
    <w:p w14:paraId="79D5EDBC">
      <w:pPr>
        <w:pStyle w:val="2"/>
        <w:rPr>
          <w:rFonts w:hint="eastAsia" w:ascii="Times New Roman" w:hAnsi="Times New Roman" w:eastAsia="方正小标宋简体" w:cs="方正小标宋简体"/>
          <w:b w:val="0"/>
          <w:color w:val="auto"/>
          <w:highlight w:val="none"/>
        </w:rPr>
      </w:pPr>
    </w:p>
    <w:p w14:paraId="42D8401D">
      <w:pPr>
        <w:pStyle w:val="3"/>
        <w:rPr>
          <w:rFonts w:hint="eastAsia" w:ascii="Times New Roman" w:hAnsi="Times New Roman" w:eastAsia="方正小标宋简体" w:cs="方正小标宋简体"/>
          <w:b w:val="0"/>
          <w:color w:val="auto"/>
          <w:highlight w:val="none"/>
        </w:rPr>
      </w:pPr>
    </w:p>
    <w:p w14:paraId="087783FF">
      <w:pPr>
        <w:rPr>
          <w:rFonts w:hint="eastAsia" w:ascii="Times New Roman" w:hAnsi="Times New Roman" w:eastAsia="方正小标宋简体" w:cs="方正小标宋简体"/>
          <w:b w:val="0"/>
          <w:color w:val="auto"/>
          <w:highlight w:val="none"/>
        </w:rPr>
      </w:pPr>
    </w:p>
    <w:p w14:paraId="2FE6B18B">
      <w:pPr>
        <w:pStyle w:val="2"/>
        <w:rPr>
          <w:rFonts w:hint="eastAsia" w:ascii="Times New Roman" w:hAnsi="Times New Roman" w:eastAsia="方正小标宋简体" w:cs="方正小标宋简体"/>
          <w:b w:val="0"/>
          <w:color w:val="auto"/>
          <w:highlight w:val="none"/>
        </w:rPr>
      </w:pPr>
    </w:p>
    <w:p w14:paraId="655924F0">
      <w:pPr>
        <w:pStyle w:val="3"/>
        <w:rPr>
          <w:rFonts w:hint="eastAsia" w:ascii="Times New Roman" w:hAnsi="Times New Roman" w:eastAsia="方正小标宋简体" w:cs="方正小标宋简体"/>
          <w:b w:val="0"/>
          <w:color w:val="auto"/>
          <w:highlight w:val="none"/>
        </w:rPr>
      </w:pPr>
    </w:p>
    <w:p w14:paraId="69D251DC">
      <w:pPr>
        <w:rPr>
          <w:rFonts w:hint="eastAsia" w:ascii="Times New Roman" w:hAnsi="Times New Roman" w:eastAsia="方正小标宋简体" w:cs="方正小标宋简体"/>
          <w:b w:val="0"/>
          <w:color w:val="auto"/>
          <w:highlight w:val="none"/>
        </w:rPr>
      </w:pPr>
    </w:p>
    <w:p w14:paraId="6380691E">
      <w:pPr>
        <w:pStyle w:val="2"/>
        <w:rPr>
          <w:rFonts w:hint="eastAsia" w:ascii="Times New Roman" w:hAnsi="Times New Roman" w:eastAsia="方正小标宋简体" w:cs="方正小标宋简体"/>
          <w:b w:val="0"/>
          <w:color w:val="auto"/>
          <w:highlight w:val="none"/>
        </w:rPr>
      </w:pPr>
    </w:p>
    <w:p w14:paraId="0F943679">
      <w:pPr>
        <w:pStyle w:val="3"/>
        <w:rPr>
          <w:rFonts w:hint="eastAsia" w:ascii="Times New Roman" w:hAnsi="Times New Roman" w:eastAsia="方正小标宋简体" w:cs="方正小标宋简体"/>
          <w:b w:val="0"/>
          <w:color w:val="auto"/>
          <w:highlight w:val="none"/>
        </w:rPr>
      </w:pPr>
    </w:p>
    <w:p w14:paraId="5AC2C74E">
      <w:pPr>
        <w:rPr>
          <w:rFonts w:hint="eastAsia" w:ascii="Times New Roman" w:hAnsi="Times New Roman" w:eastAsia="方正小标宋简体" w:cs="方正小标宋简体"/>
          <w:b w:val="0"/>
          <w:color w:val="auto"/>
          <w:highlight w:val="none"/>
        </w:rPr>
      </w:pPr>
    </w:p>
    <w:p w14:paraId="78999D11">
      <w:pPr>
        <w:pStyle w:val="2"/>
        <w:rPr>
          <w:rFonts w:hint="eastAsia" w:ascii="Times New Roman" w:hAnsi="Times New Roman" w:eastAsia="方正小标宋简体" w:cs="方正小标宋简体"/>
          <w:b w:val="0"/>
          <w:color w:val="auto"/>
          <w:highlight w:val="none"/>
        </w:rPr>
      </w:pPr>
    </w:p>
    <w:p w14:paraId="2B02C035">
      <w:pPr>
        <w:pStyle w:val="3"/>
        <w:rPr>
          <w:rFonts w:hint="eastAsia" w:ascii="Times New Roman" w:hAnsi="Times New Roman" w:eastAsia="方正小标宋简体" w:cs="方正小标宋简体"/>
          <w:b w:val="0"/>
          <w:color w:val="auto"/>
          <w:highlight w:val="none"/>
        </w:rPr>
      </w:pPr>
    </w:p>
    <w:p w14:paraId="34019CA5">
      <w:pPr>
        <w:rPr>
          <w:rFonts w:hint="eastAsia" w:ascii="Times New Roman" w:hAnsi="Times New Roman" w:eastAsia="方正小标宋简体" w:cs="方正小标宋简体"/>
          <w:b w:val="0"/>
          <w:color w:val="auto"/>
          <w:highlight w:val="none"/>
        </w:rPr>
      </w:pPr>
    </w:p>
    <w:p w14:paraId="3237F119">
      <w:pPr>
        <w:pStyle w:val="2"/>
        <w:rPr>
          <w:rFonts w:hint="eastAsia"/>
        </w:rPr>
      </w:pPr>
    </w:p>
    <w:p w14:paraId="2A8022E4">
      <w:pPr>
        <w:pStyle w:val="5"/>
        <w:jc w:val="center"/>
        <w:rPr>
          <w:rStyle w:val="29"/>
          <w:rFonts w:hint="eastAsia" w:ascii="Times New Roman" w:hAnsi="Times New Roman" w:eastAsia="方正小标宋简体" w:cs="方正小标宋简体"/>
          <w:b/>
          <w:bCs w:val="0"/>
          <w:color w:val="auto"/>
          <w:highlight w:val="none"/>
        </w:rPr>
      </w:pPr>
      <w:bookmarkStart w:id="22" w:name="_Toc2466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20"/>
      <w:bookmarkEnd w:id="21"/>
      <w:bookmarkEnd w:id="22"/>
    </w:p>
    <w:p w14:paraId="3EE9A3E8">
      <w:pPr>
        <w:widowControl/>
        <w:jc w:val="left"/>
        <w:rPr>
          <w:rFonts w:ascii="Times New Roman" w:hAnsi="Times New Roman" w:eastAsia="黑体"/>
          <w:color w:val="auto"/>
          <w:sz w:val="32"/>
          <w:szCs w:val="32"/>
          <w:highlight w:val="none"/>
        </w:rPr>
      </w:pPr>
    </w:p>
    <w:p w14:paraId="03797057">
      <w:pPr>
        <w:pStyle w:val="6"/>
        <w:numPr>
          <w:ilvl w:val="0"/>
          <w:numId w:val="1"/>
        </w:numPr>
        <w:rPr>
          <w:rFonts w:hint="eastAsia" w:ascii="Times New Roman" w:hAnsi="Times New Roman" w:eastAsia="黑体"/>
          <w:b w:val="0"/>
          <w:color w:val="auto"/>
          <w:highlight w:val="none"/>
          <w:lang w:eastAsia="zh-CN"/>
        </w:rPr>
      </w:pPr>
      <w:bookmarkStart w:id="23" w:name="_Toc7503"/>
      <w:r>
        <w:rPr>
          <w:rFonts w:hint="eastAsia" w:ascii="Times New Roman" w:hAnsi="Times New Roman" w:eastAsia="黑体"/>
          <w:b w:val="0"/>
          <w:color w:val="auto"/>
          <w:highlight w:val="none"/>
          <w:lang w:val="en-US" w:eastAsia="zh-CN"/>
        </w:rPr>
        <w:t>主要</w:t>
      </w:r>
      <w:r>
        <w:rPr>
          <w:rFonts w:hint="eastAsia" w:ascii="Times New Roman" w:hAnsi="Times New Roman" w:eastAsia="黑体"/>
          <w:b w:val="0"/>
          <w:color w:val="auto"/>
          <w:highlight w:val="none"/>
          <w:lang w:eastAsia="zh-CN"/>
        </w:rPr>
        <w:t>职责</w:t>
      </w:r>
      <w:bookmarkEnd w:id="23"/>
    </w:p>
    <w:p w14:paraId="2BF5103A">
      <w:pPr>
        <w:pStyle w:val="8"/>
        <w:adjustRightInd w:val="0"/>
        <w:snapToGrid w:val="0"/>
        <w:spacing w:before="93" w:line="600" w:lineRule="exact"/>
        <w:ind w:firstLine="672" w:firstLineChars="210"/>
        <w:outlineLvl w:val="2"/>
        <w:rPr>
          <w:rFonts w:hint="eastAsia" w:ascii="仿宋" w:hAnsi="仿宋" w:eastAsia="仿宋"/>
          <w:bCs/>
          <w:color w:val="000000"/>
          <w:sz w:val="32"/>
          <w:szCs w:val="32"/>
          <w:highlight w:val="none"/>
          <w:lang w:eastAsia="zh-CN"/>
        </w:rPr>
      </w:pPr>
      <w:bookmarkStart w:id="24" w:name="_Toc13407"/>
      <w:bookmarkStart w:id="25" w:name="_Toc29367"/>
      <w:bookmarkStart w:id="26" w:name="_Toc5292"/>
      <w:bookmarkStart w:id="27" w:name="_Toc15333"/>
      <w:bookmarkStart w:id="28" w:name="_Toc17881"/>
      <w:bookmarkStart w:id="158" w:name="_GoBack"/>
      <w:r>
        <w:rPr>
          <w:rFonts w:hint="eastAsia" w:ascii="仿宋" w:hAnsi="仿宋" w:eastAsia="仿宋"/>
          <w:bCs/>
          <w:color w:val="000000"/>
          <w:sz w:val="32"/>
          <w:szCs w:val="32"/>
          <w:highlight w:val="none"/>
          <w:lang w:val="en-US" w:eastAsia="zh-CN"/>
        </w:rPr>
        <w:t>1.</w:t>
      </w:r>
      <w:bookmarkEnd w:id="158"/>
      <w:r>
        <w:rPr>
          <w:rFonts w:hint="eastAsia" w:ascii="仿宋" w:hAnsi="仿宋" w:eastAsia="仿宋"/>
          <w:bCs/>
          <w:color w:val="000000"/>
          <w:sz w:val="32"/>
          <w:szCs w:val="32"/>
          <w:highlight w:val="none"/>
        </w:rPr>
        <w:t>医疗救护</w:t>
      </w:r>
      <w:r>
        <w:rPr>
          <w:rFonts w:hint="eastAsia" w:ascii="仿宋" w:hAnsi="仿宋" w:eastAsia="仿宋"/>
          <w:bCs/>
          <w:color w:val="000000"/>
          <w:sz w:val="32"/>
          <w:szCs w:val="32"/>
          <w:highlight w:val="none"/>
          <w:lang w:eastAsia="zh-CN"/>
        </w:rPr>
        <w:t>：</w:t>
      </w:r>
      <w:r>
        <w:rPr>
          <w:rFonts w:hint="eastAsia" w:ascii="仿宋" w:hAnsi="仿宋" w:eastAsia="仿宋"/>
          <w:bCs/>
          <w:color w:val="000000"/>
          <w:sz w:val="32"/>
          <w:szCs w:val="32"/>
          <w:highlight w:val="none"/>
        </w:rPr>
        <w:t>负责</w:t>
      </w:r>
      <w:r>
        <w:rPr>
          <w:rFonts w:hint="eastAsia" w:ascii="仿宋" w:hAnsi="仿宋" w:eastAsia="仿宋"/>
          <w:bCs/>
          <w:color w:val="000000"/>
          <w:sz w:val="32"/>
          <w:szCs w:val="32"/>
          <w:highlight w:val="none"/>
          <w:lang w:eastAsia="zh-CN"/>
        </w:rPr>
        <w:t>辖区内老百姓</w:t>
      </w:r>
      <w:r>
        <w:rPr>
          <w:rFonts w:hint="eastAsia" w:ascii="仿宋" w:hAnsi="仿宋" w:eastAsia="仿宋"/>
          <w:bCs/>
          <w:color w:val="000000"/>
          <w:sz w:val="32"/>
          <w:szCs w:val="32"/>
          <w:highlight w:val="none"/>
        </w:rPr>
        <w:t>日常医疗诊疗救护工作</w:t>
      </w:r>
      <w:r>
        <w:rPr>
          <w:rFonts w:hint="eastAsia" w:ascii="仿宋" w:hAnsi="仿宋" w:eastAsia="仿宋"/>
          <w:bCs/>
          <w:color w:val="000000"/>
          <w:sz w:val="32"/>
          <w:szCs w:val="32"/>
          <w:highlight w:val="none"/>
          <w:lang w:eastAsia="zh-CN"/>
        </w:rPr>
        <w:t>，</w:t>
      </w:r>
      <w:r>
        <w:rPr>
          <w:rFonts w:hint="eastAsia" w:ascii="仿宋" w:hAnsi="仿宋" w:eastAsia="仿宋"/>
          <w:bCs/>
          <w:color w:val="000000"/>
          <w:sz w:val="32"/>
          <w:szCs w:val="32"/>
          <w:highlight w:val="none"/>
        </w:rPr>
        <w:t>开展常见病、急危重症、疑难病症的诊疗。</w:t>
      </w:r>
      <w:bookmarkEnd w:id="24"/>
      <w:bookmarkEnd w:id="25"/>
      <w:bookmarkEnd w:id="26"/>
      <w:bookmarkEnd w:id="27"/>
      <w:bookmarkEnd w:id="28"/>
    </w:p>
    <w:p w14:paraId="63E1C819">
      <w:pPr>
        <w:pStyle w:val="8"/>
        <w:adjustRightInd w:val="0"/>
        <w:snapToGrid w:val="0"/>
        <w:spacing w:before="93" w:line="600" w:lineRule="exact"/>
        <w:ind w:firstLine="672" w:firstLineChars="210"/>
        <w:outlineLvl w:val="2"/>
        <w:rPr>
          <w:rFonts w:hint="eastAsia" w:ascii="仿宋" w:hAnsi="仿宋" w:eastAsia="仿宋"/>
          <w:bCs/>
          <w:color w:val="000000"/>
          <w:sz w:val="32"/>
          <w:szCs w:val="32"/>
          <w:highlight w:val="none"/>
          <w:lang w:eastAsia="zh-CN"/>
        </w:rPr>
      </w:pPr>
      <w:bookmarkStart w:id="29" w:name="_Toc30214"/>
      <w:bookmarkStart w:id="30" w:name="_Toc19206"/>
      <w:bookmarkStart w:id="31" w:name="_Toc7002"/>
      <w:bookmarkStart w:id="32" w:name="_Toc3874"/>
      <w:bookmarkStart w:id="33" w:name="_Toc3673"/>
      <w:r>
        <w:rPr>
          <w:rFonts w:hint="eastAsia" w:ascii="仿宋" w:hAnsi="仿宋" w:eastAsia="仿宋"/>
          <w:bCs/>
          <w:color w:val="000000"/>
          <w:sz w:val="32"/>
          <w:szCs w:val="32"/>
          <w:highlight w:val="none"/>
          <w:lang w:val="en-US" w:eastAsia="zh-CN"/>
        </w:rPr>
        <w:t>2.</w:t>
      </w:r>
      <w:r>
        <w:rPr>
          <w:rFonts w:hint="eastAsia" w:ascii="仿宋" w:hAnsi="仿宋" w:eastAsia="仿宋"/>
          <w:bCs/>
          <w:color w:val="000000"/>
          <w:sz w:val="32"/>
          <w:szCs w:val="32"/>
          <w:highlight w:val="none"/>
        </w:rPr>
        <w:t>预防保健</w:t>
      </w:r>
      <w:r>
        <w:rPr>
          <w:rFonts w:hint="eastAsia" w:ascii="仿宋" w:hAnsi="仿宋" w:eastAsia="仿宋"/>
          <w:bCs/>
          <w:color w:val="000000"/>
          <w:sz w:val="32"/>
          <w:szCs w:val="32"/>
          <w:highlight w:val="none"/>
          <w:lang w:eastAsia="zh-CN"/>
        </w:rPr>
        <w:t>：疾病预防、健康咨询和教育、预防保健及社区服务活动；</w:t>
      </w:r>
      <w:bookmarkEnd w:id="29"/>
      <w:bookmarkEnd w:id="30"/>
      <w:bookmarkEnd w:id="31"/>
      <w:bookmarkEnd w:id="32"/>
      <w:bookmarkEnd w:id="33"/>
    </w:p>
    <w:p w14:paraId="5D50E425">
      <w:pPr>
        <w:pStyle w:val="8"/>
        <w:adjustRightInd w:val="0"/>
        <w:snapToGrid w:val="0"/>
        <w:spacing w:before="93" w:line="600" w:lineRule="exact"/>
        <w:ind w:firstLine="672" w:firstLineChars="210"/>
        <w:outlineLvl w:val="2"/>
        <w:rPr>
          <w:rFonts w:hint="eastAsia" w:ascii="仿宋" w:hAnsi="仿宋" w:eastAsia="仿宋"/>
          <w:bCs/>
          <w:color w:val="000000"/>
          <w:sz w:val="32"/>
          <w:szCs w:val="32"/>
          <w:highlight w:val="none"/>
        </w:rPr>
      </w:pPr>
      <w:bookmarkStart w:id="34" w:name="_Toc14477"/>
      <w:bookmarkStart w:id="35" w:name="_Toc25613"/>
      <w:bookmarkStart w:id="36" w:name="_Toc12551"/>
      <w:bookmarkStart w:id="37" w:name="_Toc21702"/>
      <w:bookmarkStart w:id="38" w:name="_Toc23208"/>
      <w:r>
        <w:rPr>
          <w:rFonts w:hint="eastAsia" w:ascii="仿宋" w:hAnsi="仿宋" w:eastAsia="仿宋"/>
          <w:bCs/>
          <w:color w:val="000000"/>
          <w:sz w:val="32"/>
          <w:szCs w:val="32"/>
          <w:highlight w:val="none"/>
          <w:lang w:val="en-US" w:eastAsia="zh-CN"/>
        </w:rPr>
        <w:t>3.</w:t>
      </w:r>
      <w:r>
        <w:rPr>
          <w:rFonts w:hint="eastAsia" w:ascii="仿宋" w:hAnsi="仿宋" w:eastAsia="仿宋"/>
          <w:bCs/>
          <w:color w:val="000000"/>
          <w:sz w:val="32"/>
          <w:szCs w:val="32"/>
          <w:highlight w:val="none"/>
        </w:rPr>
        <w:t>健康检查</w:t>
      </w:r>
      <w:r>
        <w:rPr>
          <w:rFonts w:hint="eastAsia" w:ascii="仿宋" w:hAnsi="仿宋" w:eastAsia="仿宋"/>
          <w:bCs/>
          <w:color w:val="000000"/>
          <w:sz w:val="32"/>
          <w:szCs w:val="32"/>
          <w:highlight w:val="none"/>
          <w:lang w:eastAsia="zh-CN"/>
        </w:rPr>
        <w:t>：</w:t>
      </w:r>
      <w:r>
        <w:rPr>
          <w:rFonts w:hint="eastAsia" w:ascii="仿宋" w:hAnsi="仿宋" w:eastAsia="仿宋"/>
          <w:bCs/>
          <w:color w:val="000000"/>
          <w:sz w:val="32"/>
          <w:szCs w:val="32"/>
          <w:highlight w:val="none"/>
        </w:rPr>
        <w:t>负责</w:t>
      </w:r>
      <w:r>
        <w:rPr>
          <w:rFonts w:hint="eastAsia" w:ascii="仿宋" w:hAnsi="仿宋" w:eastAsia="仿宋"/>
          <w:bCs/>
          <w:color w:val="000000"/>
          <w:sz w:val="32"/>
          <w:szCs w:val="32"/>
          <w:highlight w:val="none"/>
          <w:lang w:eastAsia="zh-CN"/>
        </w:rPr>
        <w:t>辖区内老百姓</w:t>
      </w:r>
      <w:r>
        <w:rPr>
          <w:rFonts w:hint="eastAsia" w:ascii="仿宋" w:hAnsi="仿宋" w:eastAsia="仿宋"/>
          <w:bCs/>
          <w:color w:val="000000"/>
          <w:sz w:val="32"/>
          <w:szCs w:val="32"/>
          <w:highlight w:val="none"/>
        </w:rPr>
        <w:t>日常健康体检及上级指定的</w:t>
      </w:r>
      <w:r>
        <w:rPr>
          <w:rFonts w:hint="eastAsia" w:ascii="仿宋" w:hAnsi="仿宋" w:eastAsia="仿宋"/>
          <w:bCs/>
          <w:color w:val="000000"/>
          <w:sz w:val="32"/>
          <w:szCs w:val="32"/>
          <w:highlight w:val="none"/>
          <w:lang w:eastAsia="zh-CN"/>
        </w:rPr>
        <w:t>地方病等</w:t>
      </w:r>
      <w:r>
        <w:rPr>
          <w:rFonts w:hint="eastAsia" w:ascii="仿宋" w:hAnsi="仿宋" w:eastAsia="仿宋"/>
          <w:bCs/>
          <w:color w:val="000000"/>
          <w:sz w:val="32"/>
          <w:szCs w:val="32"/>
          <w:highlight w:val="none"/>
        </w:rPr>
        <w:t>体检工作</w:t>
      </w:r>
      <w:r>
        <w:rPr>
          <w:rFonts w:hint="eastAsia" w:ascii="仿宋" w:hAnsi="仿宋" w:eastAsia="仿宋"/>
          <w:bCs/>
          <w:color w:val="000000"/>
          <w:sz w:val="32"/>
          <w:szCs w:val="32"/>
          <w:highlight w:val="none"/>
          <w:lang w:eastAsia="zh-CN"/>
        </w:rPr>
        <w:t>；</w:t>
      </w:r>
      <w:bookmarkEnd w:id="34"/>
      <w:bookmarkEnd w:id="35"/>
      <w:bookmarkEnd w:id="36"/>
      <w:bookmarkEnd w:id="37"/>
      <w:bookmarkEnd w:id="38"/>
    </w:p>
    <w:p w14:paraId="13820355">
      <w:pPr>
        <w:pStyle w:val="8"/>
        <w:adjustRightInd w:val="0"/>
        <w:snapToGrid w:val="0"/>
        <w:spacing w:before="93" w:line="600" w:lineRule="exact"/>
        <w:ind w:firstLine="672" w:firstLineChars="210"/>
        <w:outlineLvl w:val="2"/>
        <w:rPr>
          <w:rFonts w:hint="eastAsia" w:ascii="仿宋" w:hAnsi="仿宋" w:eastAsia="仿宋"/>
          <w:bCs/>
          <w:color w:val="000000"/>
          <w:sz w:val="32"/>
          <w:szCs w:val="32"/>
          <w:highlight w:val="none"/>
        </w:rPr>
      </w:pPr>
      <w:bookmarkStart w:id="39" w:name="_Toc30348"/>
      <w:bookmarkStart w:id="40" w:name="_Toc15268"/>
      <w:bookmarkStart w:id="41" w:name="_Toc26931"/>
      <w:bookmarkStart w:id="42" w:name="_Toc20144"/>
      <w:bookmarkStart w:id="43" w:name="_Toc6318"/>
      <w:r>
        <w:rPr>
          <w:rFonts w:hint="eastAsia" w:ascii="仿宋" w:hAnsi="仿宋" w:eastAsia="仿宋"/>
          <w:bCs/>
          <w:color w:val="000000"/>
          <w:sz w:val="32"/>
          <w:szCs w:val="32"/>
          <w:highlight w:val="none"/>
          <w:lang w:val="en-US" w:eastAsia="zh-CN"/>
        </w:rPr>
        <w:t>4.</w:t>
      </w:r>
      <w:r>
        <w:rPr>
          <w:rFonts w:hint="eastAsia" w:ascii="仿宋" w:hAnsi="仿宋" w:eastAsia="仿宋"/>
          <w:bCs/>
          <w:color w:val="000000"/>
          <w:sz w:val="32"/>
          <w:szCs w:val="32"/>
          <w:highlight w:val="none"/>
        </w:rPr>
        <w:t>公共突发卫生事件应急</w:t>
      </w:r>
      <w:r>
        <w:rPr>
          <w:rFonts w:hint="eastAsia" w:ascii="仿宋" w:hAnsi="仿宋" w:eastAsia="仿宋"/>
          <w:bCs/>
          <w:color w:val="000000"/>
          <w:sz w:val="32"/>
          <w:szCs w:val="32"/>
          <w:highlight w:val="none"/>
          <w:lang w:eastAsia="zh-CN"/>
        </w:rPr>
        <w:t>：</w:t>
      </w:r>
      <w:r>
        <w:rPr>
          <w:rFonts w:hint="eastAsia" w:ascii="仿宋" w:hAnsi="仿宋" w:eastAsia="仿宋"/>
          <w:bCs/>
          <w:color w:val="000000"/>
          <w:sz w:val="32"/>
          <w:szCs w:val="32"/>
          <w:highlight w:val="none"/>
        </w:rPr>
        <w:t>参与全县范围内突发公共卫生事件的应急处理工作。</w:t>
      </w:r>
      <w:bookmarkEnd w:id="39"/>
      <w:bookmarkEnd w:id="40"/>
      <w:bookmarkEnd w:id="41"/>
      <w:bookmarkEnd w:id="42"/>
      <w:bookmarkEnd w:id="43"/>
    </w:p>
    <w:p w14:paraId="178FD9CD">
      <w:pPr>
        <w:rPr>
          <w:rFonts w:hint="eastAsia"/>
          <w:lang w:eastAsia="zh-CN"/>
        </w:rPr>
      </w:pPr>
      <w:r>
        <w:rPr>
          <w:rFonts w:hint="eastAsia" w:ascii="仿宋" w:hAnsi="仿宋" w:eastAsia="仿宋"/>
          <w:bCs/>
          <w:color w:val="000000"/>
          <w:sz w:val="32"/>
          <w:szCs w:val="32"/>
          <w:highlight w:val="none"/>
          <w:lang w:val="en-US" w:eastAsia="zh-CN"/>
        </w:rPr>
        <w:t>5.</w:t>
      </w:r>
      <w:r>
        <w:rPr>
          <w:rFonts w:hint="eastAsia" w:ascii="仿宋" w:hAnsi="仿宋" w:eastAsia="仿宋"/>
          <w:bCs/>
          <w:color w:val="000000"/>
          <w:sz w:val="32"/>
          <w:szCs w:val="32"/>
          <w:highlight w:val="none"/>
        </w:rPr>
        <w:t>完成上级和业务主管部门交办的</w:t>
      </w:r>
      <w:r>
        <w:rPr>
          <w:rFonts w:hint="eastAsia" w:ascii="仿宋" w:hAnsi="仿宋" w:eastAsia="仿宋"/>
          <w:bCs/>
          <w:color w:val="000000"/>
          <w:sz w:val="32"/>
          <w:szCs w:val="32"/>
          <w:highlight w:val="none"/>
          <w:lang w:eastAsia="zh-CN"/>
        </w:rPr>
        <w:t>其他</w:t>
      </w:r>
      <w:r>
        <w:rPr>
          <w:rFonts w:hint="eastAsia" w:ascii="仿宋" w:hAnsi="仿宋" w:eastAsia="仿宋"/>
          <w:bCs/>
          <w:color w:val="000000"/>
          <w:sz w:val="32"/>
          <w:szCs w:val="32"/>
          <w:highlight w:val="none"/>
        </w:rPr>
        <w:t>工作。</w:t>
      </w:r>
    </w:p>
    <w:p w14:paraId="2751466C">
      <w:pPr>
        <w:pStyle w:val="6"/>
        <w:rPr>
          <w:rStyle w:val="30"/>
          <w:rFonts w:ascii="Times New Roman" w:hAnsi="Times New Roman"/>
          <w:b w:val="0"/>
          <w:bCs w:val="0"/>
          <w:color w:val="auto"/>
          <w:highlight w:val="none"/>
        </w:rPr>
      </w:pPr>
      <w:bookmarkStart w:id="44" w:name="_Toc21564"/>
      <w:bookmarkStart w:id="45" w:name="_Toc15377200"/>
      <w:bookmarkStart w:id="46"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44"/>
      <w:bookmarkEnd w:id="45"/>
      <w:bookmarkEnd w:id="46"/>
    </w:p>
    <w:p w14:paraId="7D55933E">
      <w:pPr>
        <w:ind w:firstLine="640" w:firstLineChars="200"/>
        <w:rPr>
          <w:rFonts w:hint="eastAsia" w:ascii="仿宋" w:hAnsi="仿宋" w:eastAsia="仿宋" w:cs="Times New Roman"/>
          <w:bCs/>
          <w:color w:val="000000"/>
          <w:sz w:val="32"/>
          <w:szCs w:val="32"/>
          <w:highlight w:val="none"/>
          <w:lang w:val="en-US" w:eastAsia="zh-CN"/>
        </w:rPr>
      </w:pPr>
      <w:bookmarkStart w:id="47" w:name="_Toc15396602"/>
      <w:bookmarkStart w:id="48" w:name="_Toc15377204"/>
      <w:r>
        <w:rPr>
          <w:rFonts w:hint="eastAsia" w:ascii="仿宋" w:hAnsi="仿宋" w:eastAsia="仿宋" w:cs="Times New Roman"/>
          <w:bCs/>
          <w:color w:val="000000"/>
          <w:sz w:val="32"/>
          <w:szCs w:val="32"/>
          <w:highlight w:val="none"/>
        </w:rPr>
        <w:t>松潘县川主寺镇卫生院</w:t>
      </w:r>
      <w:r>
        <w:rPr>
          <w:rFonts w:hint="eastAsia" w:ascii="仿宋" w:hAnsi="仿宋" w:eastAsia="仿宋" w:cs="Times New Roman"/>
          <w:bCs/>
          <w:color w:val="000000"/>
          <w:sz w:val="32"/>
          <w:szCs w:val="32"/>
          <w:highlight w:val="none"/>
          <w:lang w:val="en-US" w:eastAsia="zh-CN"/>
        </w:rPr>
        <w:t>为财政全额拨款的事业单位，决算编报为本级，无</w:t>
      </w:r>
      <w:r>
        <w:rPr>
          <w:rFonts w:hint="eastAsia" w:ascii="仿宋" w:hAnsi="仿宋" w:eastAsia="仿宋" w:cs="Times New Roman"/>
          <w:bCs/>
          <w:color w:val="000000"/>
          <w:sz w:val="32"/>
          <w:szCs w:val="32"/>
          <w:highlight w:val="none"/>
        </w:rPr>
        <w:t>下属二级</w:t>
      </w:r>
      <w:r>
        <w:rPr>
          <w:rFonts w:hint="eastAsia" w:ascii="仿宋" w:hAnsi="仿宋" w:eastAsia="仿宋" w:cs="Times New Roman"/>
          <w:bCs/>
          <w:color w:val="000000"/>
          <w:sz w:val="32"/>
          <w:szCs w:val="32"/>
          <w:highlight w:val="none"/>
          <w:lang w:eastAsia="zh-CN"/>
        </w:rPr>
        <w:t>预算</w:t>
      </w:r>
      <w:r>
        <w:rPr>
          <w:rFonts w:hint="eastAsia" w:ascii="仿宋" w:hAnsi="仿宋" w:eastAsia="仿宋" w:cs="Times New Roman"/>
          <w:bCs/>
          <w:color w:val="000000"/>
          <w:sz w:val="32"/>
          <w:szCs w:val="32"/>
          <w:highlight w:val="none"/>
        </w:rPr>
        <w:t>单位</w:t>
      </w:r>
      <w:r>
        <w:rPr>
          <w:rFonts w:hint="eastAsia" w:ascii="仿宋" w:hAnsi="仿宋" w:eastAsia="仿宋" w:cs="Times New Roman"/>
          <w:bCs/>
          <w:color w:val="000000"/>
          <w:sz w:val="32"/>
          <w:szCs w:val="32"/>
          <w:highlight w:val="none"/>
          <w:lang w:val="en-US" w:eastAsia="zh-CN"/>
        </w:rPr>
        <w:t>。</w:t>
      </w:r>
    </w:p>
    <w:p w14:paraId="00418BF7">
      <w:pPr>
        <w:pStyle w:val="5"/>
        <w:jc w:val="center"/>
        <w:rPr>
          <w:rFonts w:hint="eastAsia" w:ascii="Times New Roman" w:hAnsi="Times New Roman" w:eastAsia="方正小标宋简体" w:cs="方正小标宋简体"/>
          <w:b w:val="0"/>
          <w:color w:val="auto"/>
          <w:highlight w:val="none"/>
        </w:rPr>
      </w:pPr>
      <w:bookmarkStart w:id="49" w:name="_Toc2207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7"/>
      <w:bookmarkEnd w:id="48"/>
      <w:bookmarkEnd w:id="49"/>
    </w:p>
    <w:p w14:paraId="596BC61D">
      <w:pPr>
        <w:rPr>
          <w:rFonts w:ascii="Times New Roman" w:hAnsi="Times New Roman"/>
          <w:color w:val="auto"/>
          <w:highlight w:val="none"/>
        </w:rPr>
      </w:pPr>
    </w:p>
    <w:p w14:paraId="57B95F7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0" w:name="_Toc12683"/>
      <w:bookmarkStart w:id="51" w:name="_Toc15377205"/>
      <w:bookmarkStart w:id="52"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50"/>
      <w:bookmarkEnd w:id="51"/>
      <w:bookmarkEnd w:id="52"/>
    </w:p>
    <w:p w14:paraId="0522C1E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53" w:name="_Toc28058"/>
      <w:bookmarkStart w:id="54" w:name="_Toc312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670.21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18.33</w:t>
      </w:r>
      <w:r>
        <w:rPr>
          <w:rFonts w:hint="eastAsia" w:ascii="Times New Roman" w:hAnsi="Times New Roman" w:eastAsia="仿宋_GB2312" w:cs="仿宋_GB2312"/>
          <w:color w:val="auto"/>
          <w:sz w:val="32"/>
          <w:szCs w:val="32"/>
          <w:highlight w:val="none"/>
        </w:rPr>
        <w:t>万元，增长主要变动原因是</w:t>
      </w:r>
      <w:r>
        <w:rPr>
          <w:rFonts w:hint="eastAsia" w:eastAsia="仿宋_GB2312" w:cs="仿宋_GB2312"/>
          <w:color w:val="auto"/>
          <w:sz w:val="32"/>
          <w:szCs w:val="32"/>
          <w:highlight w:val="none"/>
          <w:lang w:val="en-US" w:eastAsia="zh-CN"/>
        </w:rPr>
        <w:t>人员经费增加。</w:t>
      </w:r>
      <w:bookmarkEnd w:id="53"/>
      <w:bookmarkEnd w:id="54"/>
    </w:p>
    <w:p w14:paraId="237C617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bookmarkStart w:id="55" w:name="_Toc14782"/>
      <w:bookmarkStart w:id="56" w:name="_Toc4342"/>
      <w:r>
        <w:drawing>
          <wp:anchor distT="0" distB="0" distL="114300" distR="114300" simplePos="0" relativeHeight="251659264" behindDoc="0" locked="0" layoutInCell="1" allowOverlap="1">
            <wp:simplePos x="0" y="0"/>
            <wp:positionH relativeFrom="column">
              <wp:posOffset>233045</wp:posOffset>
            </wp:positionH>
            <wp:positionV relativeFrom="paragraph">
              <wp:posOffset>33020</wp:posOffset>
            </wp:positionV>
            <wp:extent cx="5270500" cy="3825240"/>
            <wp:effectExtent l="4445" t="4445" r="20955" b="1841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55"/>
      <w:bookmarkEnd w:id="56"/>
    </w:p>
    <w:p w14:paraId="6C41F91F">
      <w:pPr>
        <w:keepNext w:val="0"/>
        <w:keepLines w:val="0"/>
        <w:pageBreakBefore w:val="0"/>
        <w:widowControl w:val="0"/>
        <w:tabs>
          <w:tab w:val="left" w:pos="651"/>
        </w:tabs>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01D7EB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7" w:name="_Toc21966"/>
      <w:bookmarkStart w:id="58" w:name="_Toc15377206"/>
      <w:bookmarkStart w:id="59" w:name="_Toc15396604"/>
      <w:r>
        <w:rPr>
          <w:rFonts w:hint="eastAsia" w:ascii="Times New Roman" w:hAnsi="Times New Roman" w:eastAsia="黑体"/>
          <w:color w:val="auto"/>
          <w:sz w:val="32"/>
          <w:szCs w:val="32"/>
          <w:highlight w:val="none"/>
          <w:lang w:eastAsia="zh-CN"/>
        </w:rPr>
        <w:t>二、收入决算情况说明</w:t>
      </w:r>
      <w:bookmarkEnd w:id="57"/>
      <w:bookmarkEnd w:id="58"/>
      <w:bookmarkEnd w:id="59"/>
    </w:p>
    <w:p w14:paraId="4B50E1E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60" w:name="_Toc15324"/>
      <w:bookmarkStart w:id="61" w:name="_Toc608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670.21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670.21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bookmarkEnd w:id="60"/>
      <w:bookmarkEnd w:id="61"/>
    </w:p>
    <w:p w14:paraId="018AD3D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BE15AC8">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9"/>
      </w:pPr>
      <w:r>
        <w:rPr>
          <w:rFonts w:hint="eastAsia" w:eastAsia="宋体"/>
          <w:lang w:eastAsia="zh-CN"/>
        </w:rPr>
        <w:drawing>
          <wp:inline distT="0" distB="0" distL="114300" distR="114300">
            <wp:extent cx="5748655" cy="3910330"/>
            <wp:effectExtent l="0" t="0" r="4445" b="1397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5748655" cy="3910330"/>
                    </a:xfrm>
                    <a:prstGeom prst="rect">
                      <a:avLst/>
                    </a:prstGeom>
                  </pic:spPr>
                </pic:pic>
              </a:graphicData>
            </a:graphic>
          </wp:inline>
        </w:drawing>
      </w:r>
    </w:p>
    <w:p w14:paraId="5D83DFA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2"/>
        <w:rPr>
          <w:rFonts w:hint="eastAsia" w:ascii="Times New Roman" w:hAnsi="Times New Roman" w:eastAsia="仿宋_GB2312" w:cs="仿宋_GB2312"/>
          <w:color w:val="auto"/>
          <w:sz w:val="32"/>
          <w:szCs w:val="32"/>
          <w:highlight w:val="none"/>
          <w:lang w:eastAsia="zh-CN"/>
        </w:rPr>
      </w:pPr>
      <w:bookmarkStart w:id="62" w:name="_Toc26598"/>
      <w:bookmarkStart w:id="63" w:name="_Toc21827"/>
      <w:r>
        <w:rPr>
          <w:rFonts w:hint="eastAsia" w:ascii="Times New Roman" w:hAnsi="Times New Roman" w:eastAsia="仿宋_GB2312" w:cs="仿宋_GB2312"/>
          <w:color w:val="auto"/>
          <w:sz w:val="32"/>
          <w:szCs w:val="32"/>
          <w:highlight w:val="none"/>
          <w:lang w:eastAsia="zh-CN"/>
        </w:rPr>
        <w:t>（图2：收入决算结构图）（饼状图）</w:t>
      </w:r>
      <w:bookmarkEnd w:id="62"/>
      <w:bookmarkEnd w:id="63"/>
    </w:p>
    <w:p w14:paraId="45F7EA77">
      <w:pPr>
        <w:ind w:firstLine="800" w:firstLineChars="250"/>
        <w:rPr>
          <w:rFonts w:hint="eastAsia" w:ascii="Times New Roman" w:hAnsi="Times New Roman" w:eastAsia="仿宋_GB2312" w:cs="仿宋_GB2312"/>
          <w:color w:val="auto"/>
          <w:sz w:val="32"/>
          <w:szCs w:val="32"/>
          <w:highlight w:val="none"/>
          <w:lang w:eastAsia="zh-CN"/>
        </w:rPr>
      </w:pPr>
    </w:p>
    <w:p w14:paraId="7CDAFD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64" w:name="_Toc15396605"/>
      <w:bookmarkStart w:id="65" w:name="_Toc15377207"/>
      <w:bookmarkStart w:id="66" w:name="_Toc2517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64"/>
      <w:bookmarkEnd w:id="65"/>
      <w:bookmarkEnd w:id="66"/>
    </w:p>
    <w:p w14:paraId="4EBBCE0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67" w:name="_Toc27577"/>
      <w:bookmarkStart w:id="68" w:name="_Toc511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670.21</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576.9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86</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93.31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bookmarkEnd w:id="67"/>
      <w:bookmarkEnd w:id="68"/>
    </w:p>
    <w:p w14:paraId="7E19A99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5738EC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5B61B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422D384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6D33037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618F2533">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6078855" cy="3509010"/>
            <wp:effectExtent l="0" t="0" r="17145" b="15240"/>
            <wp:docPr id="4"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
                    <pic:cNvPicPr>
                      <a:picLocks noChangeAspect="1"/>
                    </pic:cNvPicPr>
                  </pic:nvPicPr>
                  <pic:blipFill>
                    <a:blip r:embed="rId10"/>
                    <a:stretch>
                      <a:fillRect/>
                    </a:stretch>
                  </pic:blipFill>
                  <pic:spPr>
                    <a:xfrm>
                      <a:off x="0" y="0"/>
                      <a:ext cx="6078855" cy="3509010"/>
                    </a:xfrm>
                    <a:prstGeom prst="rect">
                      <a:avLst/>
                    </a:prstGeom>
                  </pic:spPr>
                </pic:pic>
              </a:graphicData>
            </a:graphic>
          </wp:inline>
        </w:drawing>
      </w:r>
    </w:p>
    <w:p w14:paraId="30004D2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2"/>
        <w:rPr>
          <w:rFonts w:hint="eastAsia" w:ascii="Times New Roman" w:hAnsi="Times New Roman" w:eastAsia="仿宋_GB2312" w:cs="仿宋_GB2312"/>
          <w:color w:val="0000FF"/>
          <w:sz w:val="32"/>
          <w:szCs w:val="32"/>
          <w:highlight w:val="none"/>
          <w:lang w:eastAsia="zh-CN"/>
        </w:rPr>
      </w:pPr>
      <w:bookmarkStart w:id="69" w:name="_Toc32268"/>
      <w:bookmarkStart w:id="70" w:name="_Toc18463"/>
      <w:r>
        <w:rPr>
          <w:rFonts w:hint="eastAsia" w:ascii="Times New Roman" w:hAnsi="Times New Roman" w:eastAsia="仿宋_GB2312" w:cs="仿宋_GB2312"/>
          <w:color w:val="auto"/>
          <w:sz w:val="32"/>
          <w:szCs w:val="32"/>
          <w:highlight w:val="none"/>
          <w:lang w:eastAsia="zh-CN"/>
        </w:rPr>
        <w:t>（图3：支出决算结构图）（饼状图）</w:t>
      </w:r>
      <w:bookmarkEnd w:id="69"/>
      <w:bookmarkEnd w:id="70"/>
    </w:p>
    <w:p w14:paraId="7D5A6CA4">
      <w:pPr>
        <w:ind w:firstLine="800" w:firstLineChars="250"/>
        <w:rPr>
          <w:rFonts w:hint="eastAsia" w:ascii="Times New Roman" w:hAnsi="Times New Roman" w:eastAsia="仿宋_GB2312" w:cs="仿宋_GB2312"/>
          <w:color w:val="auto"/>
          <w:sz w:val="32"/>
          <w:szCs w:val="32"/>
          <w:highlight w:val="none"/>
          <w:lang w:eastAsia="zh-CN"/>
        </w:rPr>
      </w:pPr>
    </w:p>
    <w:p w14:paraId="517645E3">
      <w:pPr>
        <w:spacing w:line="600" w:lineRule="exact"/>
        <w:ind w:firstLine="640" w:firstLineChars="200"/>
        <w:outlineLvl w:val="1"/>
        <w:rPr>
          <w:rStyle w:val="30"/>
          <w:rFonts w:ascii="Times New Roman" w:hAnsi="Times New Roman" w:eastAsia="黑体"/>
          <w:b w:val="0"/>
          <w:color w:val="auto"/>
          <w:highlight w:val="none"/>
        </w:rPr>
      </w:pPr>
      <w:bookmarkStart w:id="71" w:name="_Toc15377208"/>
      <w:bookmarkStart w:id="72" w:name="_Toc15396606"/>
      <w:bookmarkStart w:id="73" w:name="_Toc249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71"/>
      <w:bookmarkEnd w:id="72"/>
      <w:bookmarkEnd w:id="73"/>
    </w:p>
    <w:p w14:paraId="2A01B96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670.21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18.33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人员经费增加。</w:t>
      </w:r>
    </w:p>
    <w:p w14:paraId="15363711">
      <w:pPr>
        <w:pStyle w:val="2"/>
        <w:rPr>
          <w:rFonts w:hint="default"/>
          <w:lang w:val="en-US" w:eastAsia="zh-CN"/>
        </w:rPr>
      </w:pPr>
      <w:r>
        <w:rPr>
          <w:rFonts w:hint="eastAsia" w:eastAsia="仿宋_GB2312" w:cs="仿宋_GB2312"/>
          <w:color w:val="auto"/>
          <w:kern w:val="2"/>
          <w:sz w:val="32"/>
          <w:szCs w:val="32"/>
          <w:highlight w:val="none"/>
          <w:lang w:val="en-US" w:eastAsia="zh-CN" w:bidi="ar-SA"/>
        </w:rPr>
        <w:drawing>
          <wp:inline distT="0" distB="0" distL="114300" distR="114300">
            <wp:extent cx="5273040" cy="2961640"/>
            <wp:effectExtent l="0" t="0" r="3810" b="10160"/>
            <wp:docPr id="5" name="图片 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
                    <pic:cNvPicPr>
                      <a:picLocks noChangeAspect="1"/>
                    </pic:cNvPicPr>
                  </pic:nvPicPr>
                  <pic:blipFill>
                    <a:blip r:embed="rId11"/>
                    <a:stretch>
                      <a:fillRect/>
                    </a:stretch>
                  </pic:blipFill>
                  <pic:spPr>
                    <a:xfrm>
                      <a:off x="0" y="0"/>
                      <a:ext cx="5273040" cy="2961640"/>
                    </a:xfrm>
                    <a:prstGeom prst="rect">
                      <a:avLst/>
                    </a:prstGeom>
                  </pic:spPr>
                </pic:pic>
              </a:graphicData>
            </a:graphic>
          </wp:inline>
        </w:drawing>
      </w:r>
    </w:p>
    <w:p w14:paraId="27AA66B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36FA0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6D8EA3">
      <w:pPr>
        <w:spacing w:line="600" w:lineRule="exact"/>
        <w:ind w:firstLine="640" w:firstLineChars="200"/>
        <w:outlineLvl w:val="1"/>
        <w:rPr>
          <w:rStyle w:val="30"/>
          <w:rFonts w:ascii="Times New Roman" w:hAnsi="Times New Roman" w:eastAsia="黑体"/>
          <w:b w:val="0"/>
          <w:color w:val="auto"/>
          <w:highlight w:val="none"/>
        </w:rPr>
      </w:pPr>
      <w:bookmarkStart w:id="74" w:name="_Toc15396607"/>
      <w:bookmarkStart w:id="75" w:name="_Toc726"/>
      <w:bookmarkStart w:id="76"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74"/>
      <w:bookmarkEnd w:id="75"/>
      <w:bookmarkEnd w:id="76"/>
    </w:p>
    <w:p w14:paraId="1816263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1899"/>
      <w:bookmarkStart w:id="7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77"/>
      <w:bookmarkEnd w:id="78"/>
    </w:p>
    <w:p w14:paraId="1CF31A7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670.21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18.33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人员经费增加。</w:t>
      </w:r>
    </w:p>
    <w:p w14:paraId="79297661">
      <w:pPr>
        <w:rPr>
          <w:rFonts w:hint="eastAsia"/>
          <w:lang w:val="en-US" w:eastAsia="zh-CN"/>
        </w:rPr>
      </w:pPr>
      <w:r>
        <w:rPr>
          <w:rFonts w:hint="eastAsia"/>
          <w:lang w:val="en-US" w:eastAsia="zh-CN"/>
        </w:rPr>
        <w:drawing>
          <wp:inline distT="0" distB="0" distL="114300" distR="114300">
            <wp:extent cx="5273040" cy="3254375"/>
            <wp:effectExtent l="0" t="0" r="3810" b="3175"/>
            <wp:docPr id="7" name="图片 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4"/>
                    <pic:cNvPicPr>
                      <a:picLocks noChangeAspect="1"/>
                    </pic:cNvPicPr>
                  </pic:nvPicPr>
                  <pic:blipFill>
                    <a:blip r:embed="rId12"/>
                    <a:stretch>
                      <a:fillRect/>
                    </a:stretch>
                  </pic:blipFill>
                  <pic:spPr>
                    <a:xfrm>
                      <a:off x="0" y="0"/>
                      <a:ext cx="5273040" cy="3254375"/>
                    </a:xfrm>
                    <a:prstGeom prst="rect">
                      <a:avLst/>
                    </a:prstGeom>
                  </pic:spPr>
                </pic:pic>
              </a:graphicData>
            </a:graphic>
          </wp:inline>
        </w:drawing>
      </w:r>
    </w:p>
    <w:p w14:paraId="4AA921B6">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A1AC1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A56FF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1"/>
      <w:bookmarkStart w:id="80" w:name="_Toc13428"/>
      <w:r>
        <w:rPr>
          <w:rFonts w:hint="eastAsia" w:ascii="Times New Roman" w:hAnsi="Times New Roman" w:eastAsia="楷体_GB2312" w:cs="楷体_GB2312"/>
          <w:b/>
          <w:color w:val="auto"/>
          <w:sz w:val="32"/>
          <w:szCs w:val="32"/>
          <w:highlight w:val="none"/>
        </w:rPr>
        <w:t>（二）一般公共预算财政拨款支出决算结构情况</w:t>
      </w:r>
      <w:bookmarkEnd w:id="79"/>
      <w:bookmarkEnd w:id="80"/>
    </w:p>
    <w:p w14:paraId="5347431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670.21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82.15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545.08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42.98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DCE6AD6">
      <w:pPr>
        <w:pStyle w:val="2"/>
        <w:rPr>
          <w:rFonts w:hint="eastAsia"/>
          <w:lang w:val="en-US" w:eastAsia="zh-CN"/>
        </w:rPr>
      </w:pPr>
    </w:p>
    <w:p w14:paraId="76494286">
      <w:pPr>
        <w:pStyle w:val="2"/>
        <w:rPr>
          <w:rFonts w:hint="eastAsia"/>
          <w:lang w:val="en-US" w:eastAsia="zh-CN"/>
        </w:rPr>
      </w:pPr>
      <w:r>
        <w:rPr>
          <w:rFonts w:hint="eastAsia"/>
          <w:lang w:val="en-US" w:eastAsia="zh-CN"/>
        </w:rPr>
        <w:drawing>
          <wp:inline distT="0" distB="0" distL="114300" distR="114300">
            <wp:extent cx="5993130" cy="3607435"/>
            <wp:effectExtent l="0" t="0" r="7620" b="12065"/>
            <wp:docPr id="9" name="图片 9"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6"/>
                    <pic:cNvPicPr>
                      <a:picLocks noChangeAspect="1"/>
                    </pic:cNvPicPr>
                  </pic:nvPicPr>
                  <pic:blipFill>
                    <a:blip r:embed="rId13"/>
                    <a:stretch>
                      <a:fillRect/>
                    </a:stretch>
                  </pic:blipFill>
                  <pic:spPr>
                    <a:xfrm>
                      <a:off x="0" y="0"/>
                      <a:ext cx="5993130" cy="3607435"/>
                    </a:xfrm>
                    <a:prstGeom prst="rect">
                      <a:avLst/>
                    </a:prstGeom>
                  </pic:spPr>
                </pic:pic>
              </a:graphicData>
            </a:graphic>
          </wp:inline>
        </w:drawing>
      </w:r>
    </w:p>
    <w:p w14:paraId="5C5988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BB981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E3CDC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12"/>
      <w:bookmarkStart w:id="82" w:name="_Toc6847"/>
      <w:r>
        <w:rPr>
          <w:rFonts w:hint="eastAsia" w:ascii="Times New Roman" w:hAnsi="Times New Roman" w:eastAsia="楷体_GB2312" w:cs="楷体_GB2312"/>
          <w:b/>
          <w:color w:val="auto"/>
          <w:sz w:val="32"/>
          <w:szCs w:val="32"/>
          <w:highlight w:val="none"/>
        </w:rPr>
        <w:t>（三）一般公共预算财政拨款支出决算具体情况</w:t>
      </w:r>
      <w:bookmarkEnd w:id="81"/>
      <w:bookmarkEnd w:id="82"/>
    </w:p>
    <w:p w14:paraId="183CB1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3" w:name="_Toc15377213"/>
      <w:bookmarkStart w:id="84" w:name="_Toc15378460"/>
      <w:bookmarkStart w:id="8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670.21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83"/>
      <w:bookmarkEnd w:id="84"/>
      <w:bookmarkEnd w:id="85"/>
    </w:p>
    <w:p w14:paraId="6AB9DC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1.社会保障和就业（208）行政事业单位养老支出（20805）机关事业单位养老保险费支出（2080505）</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54.77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155BE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2.社会保障和就业（208）行政事业单位养老支出（20805）机关事业单位职业年金缴费支出（2080506）</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27.38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6E2C0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.卫生健康支出（210）基层医疗卫生机构（21003）乡镇卫生院支出（2100302）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423.16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A9F6E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.卫生健康支出（210）基层医疗卫生机构（21003）其他基层医疗卫生机构支出（2100399）</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35.96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E6530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.卫生健康支出（210）公共卫生（21004）基本公共卫生服务（2100408）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51.75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0FEA9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.卫生健康支出（210）公共卫生（21004）其他公共卫生支出（2100499）</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支出决算为5.</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8E42CE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.卫生健康支出（210）行政事业单位医疗（21011）事业单位医疗（2101102）：支出决算为</w:t>
      </w:r>
      <w:r>
        <w:rPr>
          <w:rFonts w:hint="eastAsia" w:eastAsia="仿宋_GB2312" w:cs="仿宋_GB2312"/>
          <w:color w:val="auto"/>
          <w:kern w:val="2"/>
          <w:sz w:val="32"/>
          <w:szCs w:val="32"/>
          <w:highlight w:val="none"/>
          <w:lang w:val="en-US" w:eastAsia="zh-CN" w:bidi="ar-SA"/>
        </w:rPr>
        <w:t>23.82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B5C91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.卫生健康支出（210）行政事业单位医疗（21011）其他行政</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单位医疗（2101199）：支出决算为</w:t>
      </w:r>
      <w:r>
        <w:rPr>
          <w:rFonts w:hint="eastAsia" w:eastAsia="仿宋_GB2312" w:cs="仿宋_GB2312"/>
          <w:color w:val="auto"/>
          <w:kern w:val="2"/>
          <w:sz w:val="32"/>
          <w:szCs w:val="32"/>
          <w:highlight w:val="none"/>
          <w:lang w:val="en-US" w:eastAsia="zh-CN" w:bidi="ar-SA"/>
        </w:rPr>
        <w:t>4.78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29F7B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.住房保障支出（221）住房改革支出（22102）住房公积金（2210201）：支出决算为</w:t>
      </w:r>
      <w:r>
        <w:rPr>
          <w:rFonts w:hint="eastAsia" w:eastAsia="仿宋_GB2312" w:cs="仿宋_GB2312"/>
          <w:color w:val="auto"/>
          <w:kern w:val="2"/>
          <w:sz w:val="32"/>
          <w:szCs w:val="32"/>
          <w:highlight w:val="none"/>
          <w:lang w:val="en-US" w:eastAsia="zh-CN" w:bidi="ar-SA"/>
        </w:rPr>
        <w:t>42.98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10FA23B">
      <w:pPr>
        <w:tabs>
          <w:tab w:val="right" w:pos="8306"/>
        </w:tabs>
        <w:spacing w:line="600" w:lineRule="exact"/>
        <w:ind w:firstLine="640"/>
        <w:outlineLvl w:val="1"/>
        <w:rPr>
          <w:rStyle w:val="30"/>
          <w:rFonts w:ascii="Times New Roman" w:hAnsi="Times New Roman"/>
          <w:color w:val="auto"/>
          <w:highlight w:val="none"/>
        </w:rPr>
      </w:pPr>
      <w:bookmarkStart w:id="86" w:name="_Toc1638"/>
      <w:bookmarkStart w:id="87" w:name="_Toc15377214"/>
      <w:bookmarkStart w:id="88"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86"/>
      <w:bookmarkEnd w:id="87"/>
      <w:bookmarkEnd w:id="88"/>
      <w:r>
        <w:rPr>
          <w:rStyle w:val="30"/>
          <w:rFonts w:ascii="Times New Roman" w:hAnsi="Times New Roman" w:eastAsia="黑体"/>
          <w:b w:val="0"/>
          <w:color w:val="auto"/>
          <w:highlight w:val="none"/>
        </w:rPr>
        <w:tab/>
      </w:r>
    </w:p>
    <w:p w14:paraId="3A25BD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670.21</w:t>
      </w:r>
      <w:r>
        <w:rPr>
          <w:rFonts w:hint="eastAsia" w:ascii="Times New Roman" w:hAnsi="Times New Roman" w:eastAsia="仿宋_GB2312" w:cs="仿宋_GB2312"/>
          <w:color w:val="auto"/>
          <w:kern w:val="2"/>
          <w:sz w:val="32"/>
          <w:szCs w:val="32"/>
          <w:highlight w:val="none"/>
          <w:lang w:val="en-US" w:eastAsia="zh-CN" w:bidi="ar-SA"/>
        </w:rPr>
        <w:t>万元，其中：</w:t>
      </w:r>
    </w:p>
    <w:p w14:paraId="137FEC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566.76</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108.26万元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84.94万元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132.04万元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80.87万元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54.77万元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27.38万元</w:t>
      </w:r>
      <w:r>
        <w:rPr>
          <w:rFonts w:hint="eastAsia" w:ascii="Times New Roman" w:hAnsi="Times New Roman" w:eastAsia="仿宋_GB2312" w:cs="仿宋_GB2312"/>
          <w:color w:val="auto"/>
          <w:kern w:val="2"/>
          <w:sz w:val="32"/>
          <w:szCs w:val="32"/>
          <w:highlight w:val="none"/>
          <w:lang w:val="en-US" w:eastAsia="zh-CN" w:bidi="ar-SA"/>
        </w:rPr>
        <w:t>、职工基本医疗保险缴费</w:t>
      </w:r>
      <w:r>
        <w:rPr>
          <w:rFonts w:hint="eastAsia" w:eastAsia="仿宋_GB2312" w:cs="仿宋_GB2312"/>
          <w:color w:val="auto"/>
          <w:kern w:val="2"/>
          <w:sz w:val="32"/>
          <w:szCs w:val="32"/>
          <w:highlight w:val="none"/>
          <w:lang w:val="en-US" w:eastAsia="zh-CN" w:bidi="ar-SA"/>
        </w:rPr>
        <w:t>23.82万元，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6.91万元</w:t>
      </w:r>
      <w:r>
        <w:rPr>
          <w:rFonts w:hint="eastAsia" w:ascii="Times New Roman" w:hAnsi="Times New Roman" w:eastAsia="仿宋_GB2312" w:cs="仿宋_GB2312"/>
          <w:color w:val="auto"/>
          <w:kern w:val="2"/>
          <w:sz w:val="32"/>
          <w:szCs w:val="32"/>
          <w:highlight w:val="none"/>
          <w:lang w:val="en-US" w:eastAsia="zh-CN" w:bidi="ar-SA"/>
        </w:rPr>
        <w:t>、医疗费</w:t>
      </w:r>
      <w:r>
        <w:rPr>
          <w:rFonts w:hint="eastAsia" w:eastAsia="仿宋_GB2312" w:cs="仿宋_GB2312"/>
          <w:color w:val="auto"/>
          <w:kern w:val="2"/>
          <w:sz w:val="32"/>
          <w:szCs w:val="32"/>
          <w:highlight w:val="none"/>
          <w:lang w:val="en-US" w:eastAsia="zh-CN" w:bidi="ar-SA"/>
        </w:rPr>
        <w:t>4.78万元</w:t>
      </w:r>
      <w:r>
        <w:rPr>
          <w:rFonts w:hint="eastAsia" w:ascii="Times New Roman" w:hAnsi="Times New Roman" w:eastAsia="仿宋_GB2312" w:cs="仿宋_GB2312"/>
          <w:color w:val="auto"/>
          <w:kern w:val="2"/>
          <w:sz w:val="32"/>
          <w:szCs w:val="32"/>
          <w:highlight w:val="none"/>
          <w:lang w:val="en-US" w:eastAsia="zh-CN" w:bidi="ar-SA"/>
        </w:rPr>
        <w:t>、奖励金、住房公积金</w:t>
      </w:r>
      <w:r>
        <w:rPr>
          <w:rFonts w:hint="eastAsia" w:eastAsia="仿宋_GB2312" w:cs="仿宋_GB2312"/>
          <w:color w:val="auto"/>
          <w:kern w:val="2"/>
          <w:sz w:val="32"/>
          <w:szCs w:val="32"/>
          <w:highlight w:val="none"/>
          <w:lang w:val="en-US" w:eastAsia="zh-CN" w:bidi="ar-SA"/>
        </w:rPr>
        <w:t>42.98万元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10.14</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eastAsia="仿宋_GB2312" w:cs="仿宋_GB2312"/>
          <w:color w:val="auto"/>
          <w:kern w:val="2"/>
          <w:sz w:val="32"/>
          <w:szCs w:val="32"/>
          <w:highlight w:val="none"/>
          <w:lang w:val="en-US" w:eastAsia="zh-CN" w:bidi="ar-SA"/>
        </w:rPr>
        <w:t>工会经费5.36万元、</w:t>
      </w:r>
      <w:r>
        <w:rPr>
          <w:rFonts w:hint="eastAsia" w:ascii="Times New Roman" w:hAnsi="Times New Roman" w:eastAsia="仿宋_GB2312" w:cs="仿宋_GB2312"/>
          <w:color w:val="auto"/>
          <w:kern w:val="2"/>
          <w:sz w:val="32"/>
          <w:szCs w:val="32"/>
          <w:highlight w:val="none"/>
          <w:lang w:val="en-US" w:eastAsia="zh-CN" w:bidi="ar-SA"/>
        </w:rPr>
        <w:t>印刷费</w:t>
      </w:r>
      <w:r>
        <w:rPr>
          <w:rFonts w:hint="eastAsia" w:eastAsia="仿宋_GB2312" w:cs="仿宋_GB2312"/>
          <w:color w:val="auto"/>
          <w:kern w:val="2"/>
          <w:sz w:val="32"/>
          <w:szCs w:val="32"/>
          <w:highlight w:val="none"/>
          <w:lang w:val="en-US" w:eastAsia="zh-CN" w:bidi="ar-SA"/>
        </w:rPr>
        <w:t>2.78万元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2万元</w:t>
      </w:r>
      <w:r>
        <w:rPr>
          <w:rFonts w:hint="eastAsia" w:ascii="Times New Roman" w:hAnsi="Times New Roman" w:eastAsia="仿宋_GB2312" w:cs="仿宋_GB2312"/>
          <w:color w:val="auto"/>
          <w:kern w:val="2"/>
          <w:sz w:val="32"/>
          <w:szCs w:val="32"/>
          <w:highlight w:val="none"/>
          <w:lang w:val="en-US" w:eastAsia="zh-CN" w:bidi="ar-SA"/>
        </w:rPr>
        <w:t>。</w:t>
      </w:r>
    </w:p>
    <w:p w14:paraId="3AE24A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E2308C">
      <w:pPr>
        <w:spacing w:line="600" w:lineRule="exact"/>
        <w:ind w:firstLine="640"/>
        <w:outlineLvl w:val="1"/>
        <w:rPr>
          <w:rStyle w:val="30"/>
          <w:rFonts w:ascii="Times New Roman" w:hAnsi="Times New Roman" w:eastAsia="黑体"/>
          <w:b w:val="0"/>
          <w:color w:val="auto"/>
          <w:highlight w:val="none"/>
        </w:rPr>
      </w:pPr>
      <w:bookmarkStart w:id="89" w:name="_Toc4681"/>
      <w:bookmarkStart w:id="90" w:name="_Toc15396609"/>
      <w:bookmarkStart w:id="9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89"/>
      <w:bookmarkEnd w:id="90"/>
      <w:bookmarkEnd w:id="91"/>
    </w:p>
    <w:p w14:paraId="0277C02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16"/>
      <w:bookmarkStart w:id="93" w:name="_Toc17095"/>
      <w:r>
        <w:rPr>
          <w:rFonts w:hint="eastAsia" w:ascii="Times New Roman" w:hAnsi="Times New Roman" w:eastAsia="楷体_GB2312" w:cs="楷体_GB2312"/>
          <w:b/>
          <w:color w:val="auto"/>
          <w:sz w:val="32"/>
          <w:szCs w:val="32"/>
          <w:highlight w:val="none"/>
        </w:rPr>
        <w:t>（一）财政拨款“三公”经费支出决算总体情况说明</w:t>
      </w:r>
      <w:bookmarkEnd w:id="92"/>
      <w:bookmarkEnd w:id="93"/>
    </w:p>
    <w:p w14:paraId="6378CEB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91F847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4" w:name="_Toc13002"/>
      <w:bookmarkStart w:id="9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94"/>
      <w:bookmarkEnd w:id="95"/>
    </w:p>
    <w:p w14:paraId="07C9D4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78F8D6A9">
      <w:pPr>
        <w:pStyle w:val="2"/>
        <w:rPr>
          <w:rFonts w:hint="eastAsia"/>
          <w:lang w:val="en-US" w:eastAsia="zh-CN"/>
        </w:rPr>
      </w:pPr>
      <w:r>
        <w:rPr>
          <w:rFonts w:hint="eastAsia"/>
          <w:lang w:val="en-US" w:eastAsia="zh-CN"/>
        </w:rPr>
        <w:drawing>
          <wp:inline distT="0" distB="0" distL="114300" distR="114300">
            <wp:extent cx="4895215" cy="3267710"/>
            <wp:effectExtent l="0" t="0" r="635" b="889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4"/>
                    <a:stretch>
                      <a:fillRect/>
                    </a:stretch>
                  </pic:blipFill>
                  <pic:spPr>
                    <a:xfrm>
                      <a:off x="0" y="0"/>
                      <a:ext cx="4895215" cy="3267710"/>
                    </a:xfrm>
                    <a:prstGeom prst="rect">
                      <a:avLst/>
                    </a:prstGeom>
                  </pic:spPr>
                </pic:pic>
              </a:graphicData>
            </a:graphic>
          </wp:inline>
        </w:drawing>
      </w:r>
    </w:p>
    <w:p w14:paraId="374099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CBBA8BA">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589F71D0">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07F241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431A2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D83F25D">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96" w:name="_Toc15396610"/>
      <w:bookmarkStart w:id="97" w:name="_Toc15377218"/>
    </w:p>
    <w:p w14:paraId="3F0488D1">
      <w:pPr>
        <w:spacing w:line="600" w:lineRule="exact"/>
        <w:ind w:firstLine="640"/>
        <w:outlineLvl w:val="1"/>
        <w:rPr>
          <w:rStyle w:val="30"/>
          <w:rFonts w:ascii="Times New Roman" w:hAnsi="Times New Roman" w:eastAsia="黑体"/>
          <w:color w:val="auto"/>
          <w:highlight w:val="none"/>
        </w:rPr>
      </w:pPr>
      <w:bookmarkStart w:id="98" w:name="_Toc9342"/>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96"/>
      <w:bookmarkEnd w:id="97"/>
      <w:bookmarkEnd w:id="98"/>
    </w:p>
    <w:p w14:paraId="4667B1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049E65B">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99" w:name="_Toc30619"/>
      <w:bookmarkStart w:id="100" w:name="_Toc15377219"/>
      <w:bookmarkStart w:id="101"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99"/>
      <w:bookmarkEnd w:id="100"/>
      <w:bookmarkEnd w:id="101"/>
    </w:p>
    <w:p w14:paraId="712954F9">
      <w:pPr>
        <w:numPr>
          <w:ilvl w:val="0"/>
          <w:numId w:val="0"/>
        </w:numPr>
        <w:spacing w:line="600" w:lineRule="exact"/>
        <w:ind w:left="630" w:leftChars="0"/>
        <w:outlineLvl w:val="2"/>
        <w:rPr>
          <w:rFonts w:hint="eastAsia" w:eastAsia="仿宋_GB2312" w:cs="仿宋_GB2312"/>
          <w:color w:val="auto"/>
          <w:kern w:val="2"/>
          <w:sz w:val="32"/>
          <w:szCs w:val="32"/>
          <w:highlight w:val="none"/>
          <w:lang w:val="en-US" w:eastAsia="zh-CN" w:bidi="ar-SA"/>
        </w:rPr>
      </w:pPr>
      <w:bookmarkStart w:id="102" w:name="_Toc32071"/>
      <w:bookmarkStart w:id="103" w:name="_Toc7881"/>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bookmarkEnd w:id="102"/>
      <w:bookmarkEnd w:id="103"/>
      <w:bookmarkStart w:id="104" w:name="_Toc15396612"/>
      <w:bookmarkStart w:id="105" w:name="_Toc15377221"/>
    </w:p>
    <w:p w14:paraId="05393BD0">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106" w:name="_Toc18478"/>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104"/>
      <w:bookmarkEnd w:id="105"/>
      <w:bookmarkEnd w:id="106"/>
    </w:p>
    <w:p w14:paraId="3A3361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7" w:name="_Toc2277"/>
      <w:bookmarkStart w:id="108" w:name="_Toc15377222"/>
      <w:r>
        <w:rPr>
          <w:rFonts w:hint="eastAsia" w:ascii="Times New Roman" w:hAnsi="Times New Roman" w:eastAsia="楷体_GB2312" w:cs="楷体_GB2312"/>
          <w:b/>
          <w:color w:val="auto"/>
          <w:sz w:val="32"/>
          <w:szCs w:val="32"/>
          <w:highlight w:val="none"/>
        </w:rPr>
        <w:t>（一）机关运行经费支出情况</w:t>
      </w:r>
      <w:bookmarkEnd w:id="107"/>
      <w:bookmarkEnd w:id="108"/>
    </w:p>
    <w:p w14:paraId="4827569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年度决算数持平。</w:t>
      </w:r>
    </w:p>
    <w:p w14:paraId="71951E9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9" w:name="_Toc15377223"/>
      <w:bookmarkStart w:id="110" w:name="_Toc744"/>
      <w:r>
        <w:rPr>
          <w:rFonts w:hint="eastAsia" w:ascii="Times New Roman" w:hAnsi="Times New Roman" w:eastAsia="楷体_GB2312" w:cs="楷体_GB2312"/>
          <w:b/>
          <w:color w:val="auto"/>
          <w:sz w:val="32"/>
          <w:szCs w:val="32"/>
          <w:highlight w:val="none"/>
        </w:rPr>
        <w:t>（二）政府采购支出情况</w:t>
      </w:r>
      <w:bookmarkEnd w:id="109"/>
      <w:bookmarkEnd w:id="110"/>
    </w:p>
    <w:p w14:paraId="388CAD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松潘县川主寺镇卫生院</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6433BC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F84F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11" w:name="_Toc16153"/>
      <w:bookmarkStart w:id="112" w:name="_Toc15377224"/>
      <w:r>
        <w:rPr>
          <w:rFonts w:hint="eastAsia" w:ascii="Times New Roman" w:hAnsi="Times New Roman" w:eastAsia="楷体_GB2312" w:cs="楷体_GB2312"/>
          <w:b/>
          <w:color w:val="auto"/>
          <w:sz w:val="32"/>
          <w:szCs w:val="32"/>
          <w:highlight w:val="none"/>
        </w:rPr>
        <w:t>（三）国有资产占有使用情况</w:t>
      </w:r>
      <w:bookmarkEnd w:id="111"/>
      <w:bookmarkEnd w:id="112"/>
    </w:p>
    <w:p w14:paraId="2C5067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松潘县川主寺镇卫生院</w:t>
      </w:r>
      <w:r>
        <w:rPr>
          <w:rFonts w:hint="eastAsia" w:ascii="仿宋_GB2312" w:hAnsi="仿宋_GB2312" w:eastAsia="仿宋_GB2312" w:cs="仿宋_GB2312"/>
          <w:color w:val="auto"/>
          <w:kern w:val="2"/>
          <w:sz w:val="32"/>
          <w:szCs w:val="32"/>
          <w:highlight w:val="none"/>
          <w:lang w:val="en-US" w:eastAsia="zh-CN" w:bidi="ar-SA"/>
        </w:rPr>
        <w:t>共有车辆2辆，其中：特种专业技术用车2辆、主要负责人用车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47A36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8FC86B">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13" w:name="_Toc15377225"/>
      <w:bookmarkStart w:id="114" w:name="_Toc12237"/>
      <w:bookmarkStart w:id="11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13"/>
      <w:bookmarkEnd w:id="114"/>
      <w:bookmarkEnd w:id="115"/>
    </w:p>
    <w:p w14:paraId="6D8E15A3">
      <w:pPr>
        <w:spacing w:line="600" w:lineRule="exact"/>
        <w:jc w:val="left"/>
        <w:rPr>
          <w:rFonts w:ascii="Times New Roman" w:hAnsi="Times New Roman"/>
          <w:b/>
          <w:color w:val="auto"/>
          <w:sz w:val="44"/>
          <w:szCs w:val="44"/>
          <w:highlight w:val="none"/>
        </w:rPr>
      </w:pPr>
    </w:p>
    <w:p w14:paraId="4D823BD9">
      <w:pPr>
        <w:pStyle w:val="27"/>
        <w:spacing w:line="560" w:lineRule="exact"/>
        <w:ind w:firstLine="640" w:firstLineChars="200"/>
        <w:outlineLvl w:val="1"/>
        <w:rPr>
          <w:rFonts w:ascii="仿宋_GB2312" w:eastAsia="仿宋_GB2312"/>
          <w:color w:val="auto"/>
          <w:sz w:val="32"/>
          <w:szCs w:val="32"/>
        </w:rPr>
      </w:pPr>
      <w:bookmarkStart w:id="116" w:name="_Toc13211"/>
      <w:bookmarkStart w:id="117" w:name="_Toc23292"/>
      <w:bookmarkStart w:id="118" w:name="_Toc18870"/>
      <w:bookmarkStart w:id="119" w:name="_Toc16908"/>
      <w:bookmarkStart w:id="120" w:name="_Toc25038"/>
      <w:bookmarkStart w:id="121" w:name="_Toc11525"/>
      <w:bookmarkStart w:id="122" w:name="_Toc15396614"/>
      <w:bookmarkStart w:id="123"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bookmarkEnd w:id="116"/>
      <w:bookmarkEnd w:id="117"/>
      <w:bookmarkEnd w:id="118"/>
      <w:bookmarkEnd w:id="119"/>
      <w:bookmarkEnd w:id="120"/>
      <w:bookmarkEnd w:id="121"/>
    </w:p>
    <w:p w14:paraId="6F2BB041">
      <w:pPr>
        <w:pStyle w:val="27"/>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3D8EEF64">
      <w:pPr>
        <w:pStyle w:val="27"/>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71D139A4">
      <w:pPr>
        <w:pStyle w:val="27"/>
        <w:spacing w:line="560" w:lineRule="exact"/>
        <w:ind w:firstLine="640" w:firstLineChars="200"/>
        <w:outlineLvl w:val="1"/>
        <w:rPr>
          <w:rFonts w:ascii="仿宋_GB2312" w:eastAsia="仿宋_GB2312"/>
          <w:color w:val="auto"/>
          <w:sz w:val="32"/>
          <w:szCs w:val="32"/>
        </w:rPr>
      </w:pPr>
      <w:bookmarkStart w:id="124" w:name="_Toc26867"/>
      <w:bookmarkStart w:id="125" w:name="_Toc25443"/>
      <w:bookmarkStart w:id="126" w:name="_Toc2662"/>
      <w:bookmarkStart w:id="127" w:name="_Toc6993"/>
      <w:bookmarkStart w:id="128" w:name="_Toc31593"/>
      <w:bookmarkStart w:id="129" w:name="_Toc8624"/>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bookmarkEnd w:id="124"/>
      <w:bookmarkEnd w:id="125"/>
      <w:bookmarkEnd w:id="126"/>
      <w:bookmarkEnd w:id="127"/>
      <w:bookmarkEnd w:id="128"/>
      <w:bookmarkEnd w:id="129"/>
    </w:p>
    <w:p w14:paraId="69144461">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4B0CFB6E">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433C8E4D">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4BDE01C2">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11BA3F96">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2C5E310A">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61B76C1A">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140255EE">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6596ED19">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32CF1FE3">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723CA8">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F8EE93">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41E19A7D">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55AEB369">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7218D87A">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2EB9DCC2">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A10E7F0">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122"/>
    <w:p w14:paraId="5EFF7388">
      <w:pPr>
        <w:widowControl/>
        <w:jc w:val="center"/>
        <w:outlineLvl w:val="0"/>
        <w:rPr>
          <w:rFonts w:hint="eastAsia" w:ascii="Times New Roman" w:hAnsi="Times New Roman" w:eastAsia="仿宋"/>
          <w:b w:val="0"/>
          <w:color w:val="auto"/>
          <w:highlight w:val="none"/>
        </w:rPr>
      </w:pPr>
      <w:bookmarkStart w:id="130" w:name="_Toc15396618"/>
      <w:bookmarkStart w:id="131" w:name="_Toc1364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29"/>
          <w:rFonts w:hint="eastAsia" w:ascii="Times New Roman" w:hAnsi="Times New Roman" w:eastAsia="黑体"/>
          <w:b w:val="0"/>
          <w:color w:val="auto"/>
          <w:highlight w:val="none"/>
        </w:rPr>
        <w:t>部分 附表</w:t>
      </w:r>
      <w:bookmarkEnd w:id="123"/>
      <w:bookmarkEnd w:id="130"/>
      <w:bookmarkEnd w:id="131"/>
      <w:bookmarkStart w:id="132" w:name="_Toc15396619"/>
    </w:p>
    <w:p w14:paraId="1B0AEED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E234DB2">
      <w:pPr>
        <w:spacing w:line="600" w:lineRule="exact"/>
        <w:ind w:firstLine="640"/>
        <w:outlineLvl w:val="1"/>
        <w:rPr>
          <w:rFonts w:hint="eastAsia" w:ascii="Times New Roman" w:hAnsi="Times New Roman" w:eastAsia="黑体"/>
          <w:color w:val="auto"/>
          <w:sz w:val="32"/>
          <w:szCs w:val="32"/>
          <w:highlight w:val="none"/>
        </w:rPr>
      </w:pPr>
      <w:bookmarkStart w:id="133" w:name="_Toc16838"/>
      <w:r>
        <w:rPr>
          <w:rFonts w:hint="eastAsia" w:ascii="Times New Roman" w:hAnsi="Times New Roman" w:eastAsia="黑体"/>
          <w:color w:val="auto"/>
          <w:sz w:val="32"/>
          <w:szCs w:val="32"/>
          <w:highlight w:val="none"/>
        </w:rPr>
        <w:t>一、收入支出决算总表</w:t>
      </w:r>
      <w:bookmarkEnd w:id="132"/>
      <w:bookmarkEnd w:id="133"/>
    </w:p>
    <w:p w14:paraId="1E0BE256">
      <w:pPr>
        <w:spacing w:line="600" w:lineRule="exact"/>
        <w:ind w:firstLine="640"/>
        <w:outlineLvl w:val="1"/>
        <w:rPr>
          <w:rFonts w:hint="eastAsia" w:ascii="Times New Roman" w:hAnsi="Times New Roman" w:eastAsia="黑体"/>
          <w:color w:val="auto"/>
          <w:sz w:val="32"/>
          <w:szCs w:val="32"/>
          <w:highlight w:val="none"/>
        </w:rPr>
      </w:pPr>
      <w:bookmarkStart w:id="134" w:name="_Toc27037"/>
      <w:bookmarkStart w:id="135" w:name="_Toc15396620"/>
      <w:r>
        <w:rPr>
          <w:rFonts w:hint="eastAsia" w:ascii="Times New Roman" w:hAnsi="Times New Roman" w:eastAsia="黑体"/>
          <w:color w:val="auto"/>
          <w:sz w:val="32"/>
          <w:szCs w:val="32"/>
          <w:highlight w:val="none"/>
        </w:rPr>
        <w:t>二、收入决算表</w:t>
      </w:r>
      <w:bookmarkEnd w:id="134"/>
      <w:bookmarkEnd w:id="135"/>
    </w:p>
    <w:p w14:paraId="7276CA28">
      <w:pPr>
        <w:spacing w:line="600" w:lineRule="exact"/>
        <w:ind w:firstLine="640"/>
        <w:outlineLvl w:val="1"/>
        <w:rPr>
          <w:rFonts w:hint="eastAsia" w:ascii="Times New Roman" w:hAnsi="Times New Roman" w:eastAsia="黑体"/>
          <w:color w:val="auto"/>
          <w:sz w:val="32"/>
          <w:szCs w:val="32"/>
          <w:highlight w:val="none"/>
        </w:rPr>
      </w:pPr>
      <w:bookmarkStart w:id="136" w:name="_Toc15396621"/>
      <w:bookmarkStart w:id="137" w:name="_Toc24768"/>
      <w:r>
        <w:rPr>
          <w:rFonts w:hint="eastAsia" w:ascii="Times New Roman" w:hAnsi="Times New Roman" w:eastAsia="黑体"/>
          <w:color w:val="auto"/>
          <w:sz w:val="32"/>
          <w:szCs w:val="32"/>
          <w:highlight w:val="none"/>
        </w:rPr>
        <w:t>三、支出决算表</w:t>
      </w:r>
      <w:bookmarkEnd w:id="136"/>
      <w:bookmarkEnd w:id="137"/>
    </w:p>
    <w:p w14:paraId="0F19299D">
      <w:pPr>
        <w:spacing w:line="600" w:lineRule="exact"/>
        <w:ind w:firstLine="640"/>
        <w:outlineLvl w:val="1"/>
        <w:rPr>
          <w:rFonts w:hint="eastAsia" w:ascii="Times New Roman" w:hAnsi="Times New Roman" w:eastAsia="黑体"/>
          <w:color w:val="auto"/>
          <w:sz w:val="32"/>
          <w:szCs w:val="32"/>
          <w:highlight w:val="none"/>
        </w:rPr>
      </w:pPr>
      <w:bookmarkStart w:id="138" w:name="_Toc27665"/>
      <w:bookmarkStart w:id="139" w:name="_Toc15396622"/>
      <w:r>
        <w:rPr>
          <w:rFonts w:hint="eastAsia" w:ascii="Times New Roman" w:hAnsi="Times New Roman" w:eastAsia="黑体"/>
          <w:color w:val="auto"/>
          <w:sz w:val="32"/>
          <w:szCs w:val="32"/>
          <w:highlight w:val="none"/>
        </w:rPr>
        <w:t>四、财政拨款收入支出决算总表</w:t>
      </w:r>
      <w:bookmarkEnd w:id="138"/>
      <w:bookmarkEnd w:id="139"/>
    </w:p>
    <w:p w14:paraId="744F72CA">
      <w:pPr>
        <w:spacing w:line="600" w:lineRule="exact"/>
        <w:ind w:firstLine="640"/>
        <w:outlineLvl w:val="1"/>
        <w:rPr>
          <w:rFonts w:hint="eastAsia" w:ascii="Times New Roman" w:hAnsi="Times New Roman" w:eastAsia="黑体"/>
          <w:color w:val="auto"/>
          <w:sz w:val="32"/>
          <w:szCs w:val="32"/>
          <w:highlight w:val="none"/>
        </w:rPr>
      </w:pPr>
      <w:bookmarkStart w:id="140" w:name="_Toc482"/>
      <w:bookmarkStart w:id="141" w:name="_Toc15396623"/>
      <w:r>
        <w:rPr>
          <w:rFonts w:hint="eastAsia" w:ascii="Times New Roman" w:hAnsi="Times New Roman" w:eastAsia="黑体"/>
          <w:color w:val="auto"/>
          <w:sz w:val="32"/>
          <w:szCs w:val="32"/>
          <w:highlight w:val="none"/>
        </w:rPr>
        <w:t>五、财政拨款支出决算明细表</w:t>
      </w:r>
      <w:bookmarkEnd w:id="140"/>
      <w:bookmarkEnd w:id="141"/>
      <w:bookmarkStart w:id="142" w:name="_Toc15396624"/>
    </w:p>
    <w:p w14:paraId="51464087">
      <w:pPr>
        <w:spacing w:line="600" w:lineRule="exact"/>
        <w:ind w:firstLine="640"/>
        <w:outlineLvl w:val="1"/>
        <w:rPr>
          <w:rFonts w:hint="eastAsia" w:ascii="Times New Roman" w:hAnsi="Times New Roman" w:eastAsia="黑体"/>
          <w:color w:val="auto"/>
          <w:sz w:val="32"/>
          <w:szCs w:val="32"/>
          <w:highlight w:val="none"/>
        </w:rPr>
      </w:pPr>
      <w:bookmarkStart w:id="143" w:name="_Toc15190"/>
      <w:r>
        <w:rPr>
          <w:rFonts w:hint="eastAsia" w:ascii="Times New Roman" w:hAnsi="Times New Roman" w:eastAsia="黑体"/>
          <w:color w:val="auto"/>
          <w:sz w:val="32"/>
          <w:szCs w:val="32"/>
          <w:highlight w:val="none"/>
        </w:rPr>
        <w:t>六、一般公共预算财政拨款支出决算表</w:t>
      </w:r>
      <w:bookmarkEnd w:id="142"/>
      <w:bookmarkEnd w:id="143"/>
    </w:p>
    <w:p w14:paraId="161221FD">
      <w:pPr>
        <w:spacing w:line="600" w:lineRule="exact"/>
        <w:ind w:firstLine="640"/>
        <w:outlineLvl w:val="1"/>
        <w:rPr>
          <w:rFonts w:hint="eastAsia" w:ascii="Times New Roman" w:hAnsi="Times New Roman" w:eastAsia="黑体"/>
          <w:color w:val="auto"/>
          <w:sz w:val="32"/>
          <w:szCs w:val="32"/>
          <w:highlight w:val="none"/>
        </w:rPr>
      </w:pPr>
      <w:bookmarkStart w:id="144" w:name="_Toc30642"/>
      <w:bookmarkStart w:id="145" w:name="_Toc15396625"/>
      <w:r>
        <w:rPr>
          <w:rFonts w:hint="eastAsia" w:ascii="Times New Roman" w:hAnsi="Times New Roman" w:eastAsia="黑体"/>
          <w:color w:val="auto"/>
          <w:sz w:val="32"/>
          <w:szCs w:val="32"/>
          <w:highlight w:val="none"/>
        </w:rPr>
        <w:t>七、一般公共预算财政拨款支出决算明细表</w:t>
      </w:r>
      <w:bookmarkEnd w:id="144"/>
      <w:bookmarkEnd w:id="145"/>
    </w:p>
    <w:p w14:paraId="420E4197">
      <w:pPr>
        <w:spacing w:line="600" w:lineRule="exact"/>
        <w:ind w:firstLine="640"/>
        <w:outlineLvl w:val="1"/>
        <w:rPr>
          <w:rFonts w:hint="eastAsia" w:ascii="Times New Roman" w:hAnsi="Times New Roman" w:eastAsia="黑体"/>
          <w:color w:val="auto"/>
          <w:sz w:val="32"/>
          <w:szCs w:val="32"/>
          <w:highlight w:val="none"/>
        </w:rPr>
      </w:pPr>
      <w:bookmarkStart w:id="146" w:name="_Toc15396626"/>
      <w:bookmarkStart w:id="147" w:name="_Toc15396"/>
      <w:r>
        <w:rPr>
          <w:rFonts w:hint="eastAsia" w:ascii="Times New Roman" w:hAnsi="Times New Roman" w:eastAsia="黑体"/>
          <w:color w:val="auto"/>
          <w:sz w:val="32"/>
          <w:szCs w:val="32"/>
          <w:highlight w:val="none"/>
        </w:rPr>
        <w:t>八、一般公共预算财政拨款基本支出决算表</w:t>
      </w:r>
      <w:bookmarkEnd w:id="146"/>
      <w:bookmarkEnd w:id="147"/>
    </w:p>
    <w:p w14:paraId="0C54BED3">
      <w:pPr>
        <w:spacing w:line="600" w:lineRule="exact"/>
        <w:ind w:firstLine="640"/>
        <w:outlineLvl w:val="1"/>
        <w:rPr>
          <w:rFonts w:hint="eastAsia" w:ascii="Times New Roman" w:hAnsi="Times New Roman" w:eastAsia="黑体"/>
          <w:color w:val="auto"/>
          <w:sz w:val="32"/>
          <w:szCs w:val="32"/>
          <w:highlight w:val="none"/>
        </w:rPr>
      </w:pPr>
      <w:bookmarkStart w:id="148" w:name="_Toc10031"/>
      <w:bookmarkStart w:id="149" w:name="_Toc15396627"/>
      <w:r>
        <w:rPr>
          <w:rFonts w:hint="eastAsia" w:ascii="Times New Roman" w:hAnsi="Times New Roman" w:eastAsia="黑体"/>
          <w:color w:val="auto"/>
          <w:sz w:val="32"/>
          <w:szCs w:val="32"/>
          <w:highlight w:val="none"/>
        </w:rPr>
        <w:t>九、一般公共预算财政拨款项目支出决算表</w:t>
      </w:r>
      <w:bookmarkEnd w:id="148"/>
      <w:bookmarkEnd w:id="149"/>
    </w:p>
    <w:p w14:paraId="7207361A">
      <w:pPr>
        <w:spacing w:line="600" w:lineRule="exact"/>
        <w:ind w:firstLine="640"/>
        <w:outlineLvl w:val="1"/>
        <w:rPr>
          <w:rFonts w:hint="eastAsia" w:ascii="Times New Roman" w:hAnsi="Times New Roman" w:eastAsia="黑体"/>
          <w:color w:val="auto"/>
          <w:sz w:val="32"/>
          <w:szCs w:val="32"/>
          <w:highlight w:val="none"/>
        </w:rPr>
      </w:pPr>
      <w:bookmarkStart w:id="150" w:name="_Toc15396628"/>
      <w:bookmarkStart w:id="151" w:name="_Toc3608"/>
      <w:r>
        <w:rPr>
          <w:rFonts w:hint="eastAsia" w:ascii="Times New Roman" w:hAnsi="Times New Roman" w:eastAsia="黑体"/>
          <w:color w:val="auto"/>
          <w:sz w:val="32"/>
          <w:szCs w:val="32"/>
          <w:highlight w:val="none"/>
        </w:rPr>
        <w:t>十、</w:t>
      </w:r>
      <w:bookmarkEnd w:id="150"/>
      <w:r>
        <w:rPr>
          <w:rFonts w:hint="eastAsia" w:ascii="Times New Roman" w:hAnsi="Times New Roman" w:eastAsia="黑体"/>
          <w:color w:val="auto"/>
          <w:sz w:val="32"/>
          <w:szCs w:val="32"/>
          <w:highlight w:val="none"/>
        </w:rPr>
        <w:t>政府性基金预算财政拨款收入支出决算表</w:t>
      </w:r>
      <w:bookmarkEnd w:id="151"/>
    </w:p>
    <w:p w14:paraId="68E1EEAB">
      <w:pPr>
        <w:spacing w:line="600" w:lineRule="exact"/>
        <w:ind w:firstLine="640"/>
        <w:outlineLvl w:val="1"/>
        <w:rPr>
          <w:rFonts w:hint="eastAsia" w:ascii="Times New Roman" w:hAnsi="Times New Roman" w:eastAsia="黑体"/>
          <w:color w:val="auto"/>
          <w:sz w:val="32"/>
          <w:szCs w:val="32"/>
          <w:highlight w:val="none"/>
        </w:rPr>
      </w:pPr>
      <w:bookmarkStart w:id="152" w:name="_Toc15396629"/>
      <w:bookmarkStart w:id="153" w:name="_Toc11699"/>
      <w:r>
        <w:rPr>
          <w:rFonts w:hint="eastAsia" w:ascii="Times New Roman" w:hAnsi="Times New Roman" w:eastAsia="黑体"/>
          <w:color w:val="auto"/>
          <w:sz w:val="32"/>
          <w:szCs w:val="32"/>
          <w:highlight w:val="none"/>
        </w:rPr>
        <w:t>十一、</w:t>
      </w:r>
      <w:bookmarkEnd w:id="152"/>
      <w:r>
        <w:rPr>
          <w:rFonts w:hint="eastAsia" w:ascii="Times New Roman" w:hAnsi="Times New Roman" w:eastAsia="黑体"/>
          <w:color w:val="auto"/>
          <w:sz w:val="32"/>
          <w:szCs w:val="32"/>
          <w:highlight w:val="none"/>
        </w:rPr>
        <w:t>国有资本经营预算</w:t>
      </w:r>
      <w:r>
        <w:rPr>
          <w:rFonts w:hint="eastAsia" w:ascii="Times New Roman" w:hAnsi="Times New Roman" w:eastAsia="黑体"/>
          <w:color w:val="auto"/>
          <w:sz w:val="32"/>
          <w:szCs w:val="32"/>
          <w:highlight w:val="none"/>
          <w:lang w:eastAsia="zh-CN"/>
        </w:rPr>
        <w:t>财政拨款收入</w:t>
      </w:r>
      <w:r>
        <w:rPr>
          <w:rFonts w:hint="eastAsia" w:ascii="Times New Roman" w:hAnsi="Times New Roman" w:eastAsia="黑体"/>
          <w:color w:val="auto"/>
          <w:sz w:val="32"/>
          <w:szCs w:val="32"/>
          <w:highlight w:val="none"/>
        </w:rPr>
        <w:t>支出决算表</w:t>
      </w:r>
      <w:bookmarkEnd w:id="153"/>
    </w:p>
    <w:p w14:paraId="6F8AED1A">
      <w:pPr>
        <w:spacing w:line="600" w:lineRule="exact"/>
        <w:ind w:firstLine="640"/>
        <w:outlineLvl w:val="1"/>
        <w:rPr>
          <w:rFonts w:hint="eastAsia" w:ascii="Times New Roman" w:hAnsi="Times New Roman" w:eastAsia="黑体"/>
          <w:color w:val="auto"/>
          <w:sz w:val="32"/>
          <w:szCs w:val="32"/>
          <w:highlight w:val="none"/>
        </w:rPr>
      </w:pPr>
      <w:bookmarkStart w:id="154" w:name="_Toc15396630"/>
      <w:bookmarkStart w:id="155" w:name="_Toc11406"/>
      <w:r>
        <w:rPr>
          <w:rFonts w:hint="eastAsia" w:ascii="Times New Roman" w:hAnsi="Times New Roman" w:eastAsia="黑体"/>
          <w:color w:val="auto"/>
          <w:sz w:val="32"/>
          <w:szCs w:val="32"/>
          <w:highlight w:val="none"/>
        </w:rPr>
        <w:t>十二、</w:t>
      </w:r>
      <w:bookmarkEnd w:id="154"/>
      <w:r>
        <w:rPr>
          <w:rFonts w:hint="eastAsia" w:ascii="Times New Roman" w:hAnsi="Times New Roman" w:eastAsia="黑体"/>
          <w:color w:val="auto"/>
          <w:sz w:val="32"/>
          <w:szCs w:val="32"/>
          <w:highlight w:val="none"/>
          <w:lang w:eastAsia="zh-CN"/>
        </w:rPr>
        <w:t>国有资本经营预算财政拨款支出决算表</w:t>
      </w:r>
      <w:bookmarkEnd w:id="155"/>
    </w:p>
    <w:p w14:paraId="658EEA7D">
      <w:pPr>
        <w:spacing w:line="600" w:lineRule="exact"/>
        <w:ind w:firstLine="640"/>
        <w:outlineLvl w:val="1"/>
        <w:rPr>
          <w:rFonts w:hint="eastAsia" w:ascii="Times New Roman" w:hAnsi="Times New Roman" w:eastAsia="黑体"/>
          <w:color w:val="auto"/>
          <w:sz w:val="32"/>
          <w:szCs w:val="32"/>
          <w:highlight w:val="none"/>
          <w:lang w:eastAsia="zh-CN"/>
        </w:rPr>
      </w:pPr>
      <w:bookmarkStart w:id="156" w:name="_Toc15396631"/>
      <w:bookmarkStart w:id="157" w:name="_Toc18154"/>
      <w:r>
        <w:rPr>
          <w:rFonts w:hint="eastAsia" w:ascii="Times New Roman" w:hAnsi="Times New Roman" w:eastAsia="黑体"/>
          <w:color w:val="auto"/>
          <w:sz w:val="32"/>
          <w:szCs w:val="32"/>
          <w:highlight w:val="none"/>
        </w:rPr>
        <w:t>十三、</w:t>
      </w:r>
      <w:bookmarkEnd w:id="156"/>
      <w:r>
        <w:rPr>
          <w:rFonts w:hint="eastAsia" w:ascii="Times New Roman" w:hAnsi="Times New Roman" w:eastAsia="黑体"/>
          <w:color w:val="auto"/>
          <w:sz w:val="32"/>
          <w:szCs w:val="32"/>
          <w:highlight w:val="none"/>
          <w:lang w:eastAsia="zh-CN"/>
        </w:rPr>
        <w:t>财政拨款“三公”经费支出决算表</w:t>
      </w:r>
      <w:bookmarkEnd w:id="157"/>
    </w:p>
    <w:p w14:paraId="70E9E54F">
      <w:pPr>
        <w:spacing w:line="600" w:lineRule="exact"/>
        <w:ind w:firstLine="640"/>
        <w:outlineLvl w:val="1"/>
        <w:rPr>
          <w:rFonts w:hint="eastAsia" w:ascii="Times New Roman" w:hAnsi="Times New Roman" w:eastAsia="黑体"/>
          <w:color w:val="auto"/>
          <w:sz w:val="32"/>
          <w:szCs w:val="32"/>
          <w:highlight w:val="none"/>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E18590-A6EB-48C1-977E-CC055B6B38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6867756-6681-4924-8BDB-D645041B586E}"/>
  </w:font>
  <w:font w:name="仿宋">
    <w:panose1 w:val="02010609060101010101"/>
    <w:charset w:val="86"/>
    <w:family w:val="auto"/>
    <w:pitch w:val="default"/>
    <w:sig w:usb0="800002BF" w:usb1="38CF7CFA" w:usb2="00000016" w:usb3="00000000" w:csb0="00040001" w:csb1="00000000"/>
    <w:embedRegular r:id="rId3" w:fontKey="{3D8A0B24-988D-4033-BD68-10FE3D279DEB}"/>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D9A72617-4377-4897-8E48-E89D496B7169}"/>
  </w:font>
  <w:font w:name="楷体_GB2312">
    <w:panose1 w:val="02010609030101010101"/>
    <w:charset w:val="86"/>
    <w:family w:val="auto"/>
    <w:pitch w:val="default"/>
    <w:sig w:usb0="00000001" w:usb1="080E0000" w:usb2="00000000" w:usb3="00000000" w:csb0="00040000" w:csb1="00000000"/>
    <w:embedRegular r:id="rId5" w:fontKey="{2BDC70F5-1FD6-4093-81C7-850F3B892B52}"/>
  </w:font>
  <w:font w:name="华文中宋">
    <w:altName w:val="宋体"/>
    <w:panose1 w:val="02010600040101010101"/>
    <w:charset w:val="86"/>
    <w:family w:val="auto"/>
    <w:pitch w:val="default"/>
    <w:sig w:usb0="00000000" w:usb1="00000000" w:usb2="00000000" w:usb3="00000000" w:csb0="0004009F" w:csb1="DFD70000"/>
    <w:embedRegular r:id="rId6" w:fontKey="{808B638C-87B5-4412-BBB7-A33636CF6B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755B">
    <w:pPr>
      <w:pStyle w:val="11"/>
      <w:jc w:val="center"/>
    </w:pPr>
  </w:p>
  <w:p w14:paraId="666CD63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77D1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A0F63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8A0F63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ED59F">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86F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5686FD0">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144D295">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E6679">
    <w:pPr>
      <w:pStyle w:val="12"/>
      <w:pBdr>
        <w:bottom w:val="none" w:color="auto" w:sz="0" w:space="0"/>
      </w:pBdr>
    </w:pPr>
  </w:p>
  <w:p w14:paraId="6DD2A33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4937FE"/>
    <w:multiLevelType w:val="singleLevel"/>
    <w:tmpl w:val="EC4937FE"/>
    <w:lvl w:ilvl="0" w:tentative="0">
      <w:start w:val="3"/>
      <w:numFmt w:val="decimal"/>
      <w:lvlText w:val="%1."/>
      <w:lvlJc w:val="left"/>
      <w:pPr>
        <w:tabs>
          <w:tab w:val="left" w:pos="312"/>
        </w:tabs>
      </w:pPr>
    </w:lvl>
  </w:abstractNum>
  <w:abstractNum w:abstractNumId="1">
    <w:nsid w:val="3F2A191A"/>
    <w:multiLevelType w:val="singleLevel"/>
    <w:tmpl w:val="3F2A191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5ZjExN2U5MzMxMmI1ZmI4Y2YyZGZlMTJhZmU3Mz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0F7AAB"/>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CA1B57"/>
    <w:rsid w:val="13D50BC4"/>
    <w:rsid w:val="13F83228"/>
    <w:rsid w:val="14022904"/>
    <w:rsid w:val="152F2A07"/>
    <w:rsid w:val="165C4B2D"/>
    <w:rsid w:val="165E0673"/>
    <w:rsid w:val="16BB723D"/>
    <w:rsid w:val="186504BB"/>
    <w:rsid w:val="1938089F"/>
    <w:rsid w:val="19A445FC"/>
    <w:rsid w:val="1B7D550C"/>
    <w:rsid w:val="1BE8440E"/>
    <w:rsid w:val="1D155CEE"/>
    <w:rsid w:val="1E6747F2"/>
    <w:rsid w:val="1E740ACF"/>
    <w:rsid w:val="1FF35744"/>
    <w:rsid w:val="1FF6BC77"/>
    <w:rsid w:val="21962A9E"/>
    <w:rsid w:val="21AE7C77"/>
    <w:rsid w:val="22BC3C41"/>
    <w:rsid w:val="23860B96"/>
    <w:rsid w:val="23E637F7"/>
    <w:rsid w:val="240371BF"/>
    <w:rsid w:val="260F557C"/>
    <w:rsid w:val="281408E2"/>
    <w:rsid w:val="29FD04D3"/>
    <w:rsid w:val="2A0F2CDB"/>
    <w:rsid w:val="2BFF7BC6"/>
    <w:rsid w:val="2C8A61B5"/>
    <w:rsid w:val="2D2E01CF"/>
    <w:rsid w:val="2DF04E50"/>
    <w:rsid w:val="2E9545B0"/>
    <w:rsid w:val="2F040D46"/>
    <w:rsid w:val="2FAE5751"/>
    <w:rsid w:val="2FB1A395"/>
    <w:rsid w:val="2FD9A7D8"/>
    <w:rsid w:val="319F7F4E"/>
    <w:rsid w:val="31B12862"/>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A54601"/>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AD271E"/>
    <w:rsid w:val="4DBF1CEB"/>
    <w:rsid w:val="4EAB630A"/>
    <w:rsid w:val="4ECE2238"/>
    <w:rsid w:val="4F833267"/>
    <w:rsid w:val="4FE9BD67"/>
    <w:rsid w:val="4FFB052F"/>
    <w:rsid w:val="53083A92"/>
    <w:rsid w:val="537E6D0A"/>
    <w:rsid w:val="53AF27A2"/>
    <w:rsid w:val="53F74C96"/>
    <w:rsid w:val="56A87B61"/>
    <w:rsid w:val="56E47B74"/>
    <w:rsid w:val="57BD3DD4"/>
    <w:rsid w:val="5AF92295"/>
    <w:rsid w:val="5AF950D5"/>
    <w:rsid w:val="5BDD79E6"/>
    <w:rsid w:val="5BF561CA"/>
    <w:rsid w:val="5BFF5DFC"/>
    <w:rsid w:val="5CD71FC4"/>
    <w:rsid w:val="5D1F11B5"/>
    <w:rsid w:val="5D360132"/>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B0513"/>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ind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 w:type="paragraph" w:customStyle="1" w:styleId="3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0915;&#31639;&#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293373493975904"/>
          <c:y val="0.0199203187250996"/>
        </c:manualLayout>
      </c:layout>
      <c:overlay val="0"/>
      <c:spPr>
        <a:noFill/>
        <a:ln>
          <a:noFill/>
        </a:ln>
        <a:effectLst/>
      </c:spPr>
    </c:title>
    <c:autoTitleDeleted val="0"/>
    <c:plotArea>
      <c:layout>
        <c:manualLayout>
          <c:layoutTarget val="inner"/>
          <c:xMode val="edge"/>
          <c:yMode val="edge"/>
          <c:x val="0.110045162686675"/>
          <c:y val="0.135126162018592"/>
          <c:w val="0.875497005988024"/>
          <c:h val="0.715412541254125"/>
        </c:manualLayout>
      </c:layout>
      <c:barChart>
        <c:barDir val="col"/>
        <c:grouping val="clustered"/>
        <c:varyColors val="0"/>
        <c:ser>
          <c:idx val="0"/>
          <c:order val="0"/>
          <c:tx>
            <c:strRef>
              <c:f>[决算图表.xlsx]Sheet2!$A$2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[决算图表.xlsx]Sheet2!$B$1:$C$1</c:f>
              <c:strCache>
                <c:ptCount val="2"/>
                <c:pt idx="0">
                  <c:v>收入</c:v>
                </c:pt>
                <c:pt idx="1">
                  <c:v>支出</c:v>
                </c:pt>
              </c:strCache>
            </c:strRef>
          </c:cat>
          <c:val>
            <c:numRef>
              <c:f>[决算图表.xlsx]Sheet2!$B$2:$C$2</c:f>
              <c:numCache>
                <c:formatCode>#,##0.00</c:formatCode>
                <c:ptCount val="2"/>
                <c:pt idx="0">
                  <c:v>651.88</c:v>
                </c:pt>
                <c:pt idx="1">
                  <c:v>651.88</c:v>
                </c:pt>
              </c:numCache>
            </c:numRef>
          </c:val>
        </c:ser>
        <c:ser>
          <c:idx val="1"/>
          <c:order val="1"/>
          <c:tx>
            <c:strRef>
              <c:f>[决算图表.xlsx]Sheet2!$A$3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[决算图表.xlsx]Sheet2!$B$1:$C$1</c:f>
              <c:strCache>
                <c:ptCount val="2"/>
                <c:pt idx="0">
                  <c:v>收入</c:v>
                </c:pt>
                <c:pt idx="1">
                  <c:v>支出</c:v>
                </c:pt>
              </c:strCache>
            </c:strRef>
          </c:cat>
          <c:val>
            <c:numRef>
              <c:f>[决算图表.xlsx]Sheet2!$B$3:$C$3</c:f>
              <c:numCache>
                <c:formatCode>#,##0.00</c:formatCode>
                <c:ptCount val="2"/>
                <c:pt idx="0">
                  <c:v>670.21</c:v>
                </c:pt>
                <c:pt idx="1">
                  <c:v>670.21</c:v>
                </c:pt>
              </c:numCache>
            </c:numRef>
          </c:val>
        </c:ser>
        <c:dLbls>
          <c:showLegendKey val="0"/>
          <c:showVal val="1"/>
          <c:showCatName val="0"/>
          <c:showSerName val="0"/>
          <c:showPercent val="0"/>
          <c:showBubbleSize val="0"/>
        </c:dLbls>
        <c:gapWidth val="246"/>
        <c:overlap val="-28"/>
        <c:axId val="351037856"/>
        <c:axId val="97382345"/>
      </c:barChart>
      <c:catAx>
        <c:axId val="3510378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82345"/>
        <c:crosses val="autoZero"/>
        <c:auto val="1"/>
        <c:lblAlgn val="ctr"/>
        <c:lblOffset val="100"/>
        <c:noMultiLvlLbl val="0"/>
      </c:catAx>
      <c:valAx>
        <c:axId val="97382345"/>
        <c:scaling>
          <c:orientation val="minMax"/>
        </c:scaling>
        <c:delete val="0"/>
        <c:axPos val="l"/>
        <c:majorGridlines>
          <c:spPr>
            <a:ln w="9525" cap="flat" cmpd="sng" algn="ctr">
              <a:solidFill>
                <a:schemeClr val="lt1">
                  <a:lumMod val="90200"/>
                </a:schemeClr>
              </a:solidFill>
              <a:round/>
            </a:ln>
            <a:effectLst/>
          </c:spPr>
        </c:majorGridlines>
        <c:numFmt formatCode="#,##0.00" sourceLinked="1"/>
        <c:majorTickMark val="none"/>
        <c:minorTickMark val="none"/>
        <c:tickLblPos val="nextTo"/>
        <c:spPr>
          <a:solidFill>
            <a:schemeClr val="bg1"/>
          </a:solid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378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ee9bb1d-a9db-477a-b1df-5cd5b40a44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22</Words>
  <Characters>25</Characters>
  <Lines>61</Lines>
  <Paragraphs>17</Paragraphs>
  <TotalTime>3</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2026-10-20T08:44:35Z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5596D8F05B124ED1A3F55EEAB4626EE3</vt:lpwstr>
  </property>
  <property fmtid="{D5CDD505-2E9C-101B-9397-08002B2CF9AE}" pid="4" name="KSOTemplateDocerSaveRecord">
    <vt:lpwstr>eyJoZGlkIjoiNTU1MWNhN2ZmY2ZhZmY3ODhlYTg0MWU5OGMyY2QwZmUiLCJ1c2VySWQiOiI0MzQ2NTM0NzEifQ==</vt:lpwstr>
  </property>
</Properties>
</file>