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06D5D1">
      <w:pPr>
        <w:adjustRightInd w:val="0"/>
        <w:snapToGrid w:val="0"/>
        <w:spacing w:line="360" w:lineRule="auto"/>
        <w:jc w:val="center"/>
        <w:outlineLvl w:val="0"/>
        <w:rPr>
          <w:rFonts w:ascii="方正小标宋简体" w:hAnsi="方正小标宋简体" w:eastAsia="方正小标宋简体" w:cs="方正小标宋简体"/>
          <w:sz w:val="72"/>
          <w:szCs w:val="72"/>
        </w:rPr>
      </w:pPr>
      <w:r>
        <w:rPr>
          <w:rFonts w:hint="eastAsia" w:ascii="方正小标宋简体" w:hAnsi="方正小标宋简体" w:eastAsia="方正小标宋简体" w:cs="方正小标宋简体"/>
          <w:sz w:val="72"/>
          <w:szCs w:val="72"/>
        </w:rPr>
        <w:t>202</w:t>
      </w:r>
      <w:r>
        <w:rPr>
          <w:rFonts w:hint="eastAsia" w:ascii="方正小标宋简体" w:hAnsi="方正小标宋简体" w:eastAsia="方正小标宋简体" w:cs="方正小标宋简体"/>
          <w:sz w:val="72"/>
          <w:szCs w:val="72"/>
          <w:lang w:val="en-US" w:eastAsia="zh-CN"/>
        </w:rPr>
        <w:t>5</w:t>
      </w:r>
      <w:r>
        <w:rPr>
          <w:rFonts w:hint="eastAsia" w:ascii="方正小标宋简体" w:hAnsi="方正小标宋简体" w:eastAsia="方正小标宋简体" w:cs="方正小标宋简体"/>
          <w:sz w:val="72"/>
          <w:szCs w:val="72"/>
        </w:rPr>
        <w:t>年度</w:t>
      </w:r>
    </w:p>
    <w:p w14:paraId="4FC6AF74">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eastAsia="zh-CN"/>
        </w:rPr>
      </w:pPr>
      <w:bookmarkStart w:id="0" w:name="_Toc15377194"/>
      <w:bookmarkStart w:id="1" w:name="_Toc15396598"/>
      <w:bookmarkStart w:id="2" w:name="_Toc15396476"/>
      <w:bookmarkStart w:id="3" w:name="_Toc15378442"/>
      <w:bookmarkStart w:id="4" w:name="_Toc15377426"/>
      <w:r>
        <w:rPr>
          <w:rFonts w:hint="eastAsia" w:ascii="方正小标宋简体" w:hAnsi="方正小标宋简体" w:eastAsia="方正小标宋简体" w:cs="方正小标宋简体"/>
          <w:sz w:val="72"/>
          <w:szCs w:val="72"/>
        </w:rPr>
        <w:t>四川省</w:t>
      </w:r>
      <w:bookmarkStart w:id="5" w:name="_Toc15306268"/>
      <w:r>
        <w:rPr>
          <w:rFonts w:hint="eastAsia" w:ascii="方正小标宋简体" w:hAnsi="方正小标宋简体" w:eastAsia="方正小标宋简体" w:cs="方正小标宋简体"/>
          <w:sz w:val="72"/>
          <w:szCs w:val="72"/>
          <w:lang w:eastAsia="zh-CN"/>
        </w:rPr>
        <w:t>松潘县毛儿盖镇</w:t>
      </w:r>
    </w:p>
    <w:p w14:paraId="6F0FA831">
      <w:pPr>
        <w:adjustRightInd w:val="0"/>
        <w:snapToGrid w:val="0"/>
        <w:spacing w:line="360" w:lineRule="auto"/>
        <w:jc w:val="center"/>
        <w:outlineLvl w:val="0"/>
        <w:rPr>
          <w:rFonts w:hint="eastAsia" w:ascii="方正小标宋简体" w:hAnsi="方正小标宋简体" w:eastAsia="方正小标宋简体" w:cs="方正小标宋简体"/>
          <w:sz w:val="72"/>
          <w:szCs w:val="72"/>
          <w:lang w:val="en-US" w:eastAsia="zh-CN"/>
        </w:rPr>
      </w:pPr>
      <w:r>
        <w:rPr>
          <w:rFonts w:hint="eastAsia" w:ascii="方正小标宋简体" w:hAnsi="方正小标宋简体" w:eastAsia="方正小标宋简体" w:cs="方正小标宋简体"/>
          <w:sz w:val="72"/>
          <w:szCs w:val="72"/>
          <w:lang w:eastAsia="zh-CN"/>
        </w:rPr>
        <w:t>中心卫生院</w:t>
      </w:r>
      <w:r>
        <w:rPr>
          <w:rFonts w:hint="eastAsia" w:ascii="方正小标宋简体" w:hAnsi="方正小标宋简体" w:eastAsia="方正小标宋简体" w:cs="方正小标宋简体"/>
          <w:sz w:val="72"/>
          <w:szCs w:val="72"/>
        </w:rPr>
        <w:t>单位决算</w:t>
      </w:r>
      <w:bookmarkEnd w:id="0"/>
      <w:bookmarkEnd w:id="1"/>
      <w:bookmarkEnd w:id="2"/>
      <w:bookmarkEnd w:id="3"/>
      <w:bookmarkEnd w:id="4"/>
      <w:bookmarkEnd w:id="5"/>
      <w:r>
        <w:rPr>
          <w:rFonts w:hint="eastAsia" w:ascii="方正小标宋简体" w:hAnsi="方正小标宋简体" w:eastAsia="方正小标宋简体" w:cs="方正小标宋简体"/>
          <w:sz w:val="72"/>
          <w:szCs w:val="72"/>
          <w:lang w:val="en-US" w:eastAsia="zh-CN"/>
        </w:rPr>
        <w:t>公开</w:t>
      </w:r>
    </w:p>
    <w:p w14:paraId="4775E50F">
      <w:pPr>
        <w:widowControl/>
        <w:jc w:val="center"/>
        <w:rPr>
          <w:rFonts w:hint="eastAsia" w:ascii="Times New Roman" w:hAnsi="Times New Roman" w:eastAsia="黑体"/>
          <w:color w:val="auto"/>
          <w:sz w:val="48"/>
          <w:szCs w:val="48"/>
          <w:highlight w:val="none"/>
        </w:rPr>
      </w:pPr>
    </w:p>
    <w:p w14:paraId="6A228DC7">
      <w:pPr>
        <w:widowControl/>
        <w:jc w:val="center"/>
        <w:rPr>
          <w:rFonts w:hint="eastAsia" w:ascii="Times New Roman" w:hAnsi="Times New Roman" w:eastAsia="黑体"/>
          <w:color w:val="auto"/>
          <w:sz w:val="48"/>
          <w:szCs w:val="48"/>
          <w:highlight w:val="none"/>
        </w:rPr>
      </w:pPr>
    </w:p>
    <w:p w14:paraId="11DE26A3">
      <w:pPr>
        <w:widowControl/>
        <w:jc w:val="center"/>
        <w:rPr>
          <w:rFonts w:hint="eastAsia" w:ascii="Times New Roman" w:hAnsi="Times New Roman" w:eastAsia="黑体"/>
          <w:color w:val="auto"/>
          <w:sz w:val="48"/>
          <w:szCs w:val="48"/>
          <w:highlight w:val="none"/>
        </w:rPr>
      </w:pPr>
    </w:p>
    <w:p w14:paraId="14B9EA2C">
      <w:pPr>
        <w:widowControl/>
        <w:jc w:val="center"/>
        <w:rPr>
          <w:rFonts w:hint="eastAsia" w:ascii="Times New Roman" w:hAnsi="Times New Roman" w:eastAsia="黑体"/>
          <w:color w:val="auto"/>
          <w:sz w:val="48"/>
          <w:szCs w:val="48"/>
          <w:highlight w:val="none"/>
        </w:rPr>
      </w:pPr>
    </w:p>
    <w:p w14:paraId="5CD2FCD5">
      <w:pPr>
        <w:widowControl/>
        <w:jc w:val="center"/>
        <w:rPr>
          <w:rFonts w:hint="eastAsia" w:ascii="Times New Roman" w:hAnsi="Times New Roman" w:eastAsia="黑体"/>
          <w:color w:val="auto"/>
          <w:sz w:val="48"/>
          <w:szCs w:val="48"/>
          <w:highlight w:val="none"/>
        </w:rPr>
      </w:pPr>
    </w:p>
    <w:p w14:paraId="05B81CEB">
      <w:pPr>
        <w:widowControl/>
        <w:jc w:val="center"/>
        <w:rPr>
          <w:rFonts w:hint="eastAsia" w:ascii="Times New Roman" w:hAnsi="Times New Roman" w:eastAsia="黑体"/>
          <w:color w:val="auto"/>
          <w:sz w:val="48"/>
          <w:szCs w:val="48"/>
          <w:highlight w:val="none"/>
        </w:rPr>
      </w:pPr>
    </w:p>
    <w:p w14:paraId="20AF02DE">
      <w:pPr>
        <w:widowControl/>
        <w:jc w:val="center"/>
        <w:rPr>
          <w:rFonts w:hint="eastAsia" w:ascii="Times New Roman" w:hAnsi="Times New Roman" w:eastAsia="黑体"/>
          <w:color w:val="auto"/>
          <w:sz w:val="48"/>
          <w:szCs w:val="48"/>
          <w:highlight w:val="none"/>
        </w:rPr>
      </w:pPr>
    </w:p>
    <w:p w14:paraId="0ADBE549">
      <w:pPr>
        <w:widowControl/>
        <w:jc w:val="center"/>
        <w:rPr>
          <w:rFonts w:hint="eastAsia" w:ascii="Times New Roman" w:hAnsi="Times New Roman" w:eastAsia="黑体"/>
          <w:color w:val="auto"/>
          <w:sz w:val="48"/>
          <w:szCs w:val="48"/>
          <w:highlight w:val="none"/>
        </w:rPr>
      </w:pPr>
    </w:p>
    <w:p w14:paraId="6399523F">
      <w:pPr>
        <w:widowControl/>
        <w:jc w:val="center"/>
        <w:rPr>
          <w:rFonts w:hint="eastAsia" w:ascii="Times New Roman" w:hAnsi="Times New Roman" w:eastAsia="黑体"/>
          <w:color w:val="auto"/>
          <w:sz w:val="48"/>
          <w:szCs w:val="48"/>
          <w:highlight w:val="none"/>
        </w:rPr>
      </w:pPr>
    </w:p>
    <w:p w14:paraId="333171CB">
      <w:pPr>
        <w:widowControl/>
        <w:jc w:val="center"/>
        <w:rPr>
          <w:rFonts w:hint="eastAsia" w:ascii="Times New Roman" w:hAnsi="Times New Roman" w:eastAsia="黑体"/>
          <w:color w:val="auto"/>
          <w:sz w:val="48"/>
          <w:szCs w:val="48"/>
          <w:highlight w:val="none"/>
        </w:rPr>
      </w:pPr>
    </w:p>
    <w:p w14:paraId="10242DF8">
      <w:pPr>
        <w:widowControl/>
        <w:jc w:val="center"/>
        <w:rPr>
          <w:rFonts w:hint="eastAsia" w:ascii="Times New Roman" w:hAnsi="Times New Roman" w:eastAsia="黑体"/>
          <w:color w:val="auto"/>
          <w:sz w:val="48"/>
          <w:szCs w:val="48"/>
          <w:highlight w:val="none"/>
        </w:rPr>
      </w:pPr>
    </w:p>
    <w:p w14:paraId="27EDFA21">
      <w:pPr>
        <w:widowControl/>
        <w:jc w:val="center"/>
        <w:rPr>
          <w:rFonts w:hint="eastAsia" w:ascii="Times New Roman" w:hAnsi="Times New Roman" w:eastAsia="黑体"/>
          <w:color w:val="auto"/>
          <w:sz w:val="48"/>
          <w:szCs w:val="48"/>
          <w:highlight w:val="none"/>
        </w:rPr>
      </w:pPr>
    </w:p>
    <w:p w14:paraId="51D8DADC">
      <w:pPr>
        <w:widowControl/>
        <w:jc w:val="center"/>
        <w:rPr>
          <w:rFonts w:hint="eastAsia" w:ascii="Times New Roman" w:hAnsi="Times New Roman" w:eastAsia="黑体"/>
          <w:color w:val="auto"/>
          <w:sz w:val="48"/>
          <w:szCs w:val="48"/>
          <w:highlight w:val="none"/>
        </w:rPr>
      </w:pPr>
    </w:p>
    <w:p w14:paraId="49C8C7C9">
      <w:pPr>
        <w:widowControl/>
        <w:jc w:val="center"/>
        <w:rPr>
          <w:rFonts w:hint="eastAsia" w:ascii="Times New Roman" w:hAnsi="Times New Roman" w:eastAsia="黑体"/>
          <w:color w:val="auto"/>
          <w:sz w:val="48"/>
          <w:szCs w:val="48"/>
          <w:highlight w:val="none"/>
        </w:rPr>
      </w:pPr>
    </w:p>
    <w:p w14:paraId="25732758">
      <w:pPr>
        <w:widowControl/>
        <w:jc w:val="center"/>
        <w:rPr>
          <w:rFonts w:hint="eastAsia" w:ascii="Times New Roman" w:hAnsi="Times New Roman" w:eastAsia="黑体"/>
          <w:color w:val="auto"/>
          <w:sz w:val="48"/>
          <w:szCs w:val="48"/>
          <w:highlight w:val="none"/>
        </w:rPr>
      </w:pPr>
    </w:p>
    <w:p w14:paraId="2F7E5B24">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2D389FDB">
      <w:pPr>
        <w:widowControl/>
        <w:jc w:val="center"/>
        <w:rPr>
          <w:rFonts w:ascii="Times New Roman" w:hAnsi="Times New Roman" w:eastAsia="黑体" w:cstheme="minorBidi"/>
          <w:color w:val="auto"/>
          <w:sz w:val="28"/>
          <w:szCs w:val="28"/>
          <w:highlight w:val="none"/>
        </w:rPr>
      </w:pPr>
    </w:p>
    <w:p w14:paraId="019CA67F">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10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w:t>
      </w:r>
      <w:r>
        <w:rPr>
          <w:rFonts w:hint="eastAsia" w:ascii="Times New Roman" w:hAnsi="Times New Roman" w:eastAsia="仿宋_GB2312" w:cs="仿宋_GB2312"/>
          <w:color w:val="auto"/>
          <w:sz w:val="32"/>
          <w:szCs w:val="32"/>
          <w:highlight w:val="none"/>
        </w:rPr>
        <w:t>日</w:t>
      </w:r>
    </w:p>
    <w:sdt>
      <w:sdtPr>
        <w:rPr>
          <w:rFonts w:ascii="宋体" w:hAnsi="宋体" w:eastAsia="宋体" w:cs="Times New Roman"/>
          <w:kern w:val="2"/>
          <w:sz w:val="21"/>
          <w:szCs w:val="24"/>
          <w:lang w:val="en-US" w:eastAsia="zh-CN" w:bidi="ar-SA"/>
        </w:rPr>
        <w:id w:val="147455012"/>
        <w15:color w:val="DBDBDB"/>
        <w:docPartObj>
          <w:docPartGallery w:val="Table of Contents"/>
          <w:docPartUnique/>
        </w:docPartObj>
      </w:sdtPr>
      <w:sdtEndPr>
        <w:rPr>
          <w:rFonts w:ascii="宋体" w:hAnsi="宋体" w:eastAsia="宋体" w:cs="Times New Roman"/>
          <w:kern w:val="2"/>
          <w:sz w:val="20"/>
          <w:szCs w:val="20"/>
          <w:lang w:val="en-US" w:eastAsia="zh-CN" w:bidi="ar-SA"/>
        </w:rPr>
      </w:sdtEndPr>
      <w:sdtContent>
        <w:p w14:paraId="3A892E96">
          <w:pPr>
            <w:spacing w:before="0" w:beforeLines="0" w:after="0" w:afterLines="0" w:line="240" w:lineRule="auto"/>
            <w:ind w:left="0" w:leftChars="0" w:right="0" w:rightChars="0" w:firstLine="0" w:firstLineChars="0"/>
            <w:jc w:val="center"/>
          </w:pPr>
          <w:bookmarkStart w:id="6" w:name="_Toc17737_WPSOffice_Type2"/>
        </w:p>
        <w:p w14:paraId="000FE3C8">
          <w:pPr>
            <w:pStyle w:val="35"/>
            <w:tabs>
              <w:tab w:val="right" w:leader="dot" w:pos="8306"/>
            </w:tabs>
          </w:pPr>
          <w:r>
            <w:rPr>
              <w:b/>
              <w:bCs/>
            </w:rPr>
            <w:fldChar w:fldCharType="begin"/>
          </w:r>
          <w:r>
            <w:instrText xml:space="preserve"> HYPERLINK \l _Toc19442_WPSOffice_Level1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4879"/>
              <w:placeholder>
                <w:docPart w:val="{27f2c215-01d0-451f-bcfa-0ff471e8d195}"/>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第一部分  部门概况</w:t>
              </w:r>
            </w:sdtContent>
          </w:sdt>
          <w:r>
            <w:rPr>
              <w:b/>
              <w:bCs/>
            </w:rPr>
            <w:tab/>
          </w:r>
          <w:bookmarkStart w:id="7" w:name="_Toc19442_WPSOffice_Level1Page"/>
          <w:r>
            <w:rPr>
              <w:b/>
              <w:bCs/>
            </w:rPr>
            <w:t>2</w:t>
          </w:r>
          <w:bookmarkEnd w:id="7"/>
          <w:r>
            <w:rPr>
              <w:b/>
              <w:bCs/>
            </w:rPr>
            <w:fldChar w:fldCharType="end"/>
          </w:r>
        </w:p>
        <w:p w14:paraId="376E1332">
          <w:pPr>
            <w:pStyle w:val="36"/>
            <w:tabs>
              <w:tab w:val="right" w:leader="dot" w:pos="8306"/>
            </w:tabs>
          </w:pPr>
          <w:r>
            <w:fldChar w:fldCharType="begin"/>
          </w:r>
          <w:r>
            <w:instrText xml:space="preserve"> HYPERLINK \l _Toc17737_WPSOffice_Level2 </w:instrText>
          </w:r>
          <w:r>
            <w:fldChar w:fldCharType="separate"/>
          </w:r>
          <w:sdt>
            <w:sdtPr>
              <w:rPr>
                <w:rFonts w:ascii="Times New Roman" w:hAnsi="Times New Roman" w:eastAsia="宋体" w:cs="Times New Roman"/>
                <w:kern w:val="2"/>
                <w:sz w:val="21"/>
                <w:szCs w:val="24"/>
                <w:lang w:val="en-US" w:eastAsia="zh-CN" w:bidi="ar-SA"/>
              </w:rPr>
              <w:id w:val="147456364"/>
              <w:placeholder>
                <w:docPart w:val="{d167952c-9e40-44cc-ac05-e38d456fad6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一、 部门职责</w:t>
              </w:r>
            </w:sdtContent>
          </w:sdt>
          <w:r>
            <w:tab/>
          </w:r>
          <w:bookmarkStart w:id="8" w:name="_Toc17737_WPSOffice_Level2Page"/>
          <w:r>
            <w:t>3</w:t>
          </w:r>
          <w:bookmarkEnd w:id="8"/>
          <w:r>
            <w:fldChar w:fldCharType="end"/>
          </w:r>
        </w:p>
        <w:p w14:paraId="5C1B382A">
          <w:pPr>
            <w:pStyle w:val="36"/>
            <w:tabs>
              <w:tab w:val="right" w:leader="dot" w:pos="8306"/>
            </w:tabs>
          </w:pPr>
          <w:r>
            <w:fldChar w:fldCharType="begin"/>
          </w:r>
          <w:r>
            <w:instrText xml:space="preserve"> HYPERLINK \l _Toc23229_WPSOffice_Level2 </w:instrText>
          </w:r>
          <w:r>
            <w:fldChar w:fldCharType="separate"/>
          </w:r>
          <w:sdt>
            <w:sdtPr>
              <w:rPr>
                <w:rFonts w:ascii="Times New Roman" w:hAnsi="Times New Roman" w:eastAsia="宋体" w:cs="Times New Roman"/>
                <w:kern w:val="2"/>
                <w:sz w:val="21"/>
                <w:szCs w:val="24"/>
                <w:lang w:val="en-US" w:eastAsia="zh-CN" w:bidi="ar-SA"/>
              </w:rPr>
              <w:id w:val="147477911"/>
              <w:placeholder>
                <w:docPart w:val="{5d2b8866-3c5a-411d-9f02-6c2ae8ffe5a8}"/>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二、机构设置</w:t>
              </w:r>
            </w:sdtContent>
          </w:sdt>
          <w:r>
            <w:tab/>
          </w:r>
          <w:bookmarkStart w:id="9" w:name="_Toc23229_WPSOffice_Level2Page"/>
          <w:r>
            <w:t>3</w:t>
          </w:r>
          <w:bookmarkEnd w:id="9"/>
          <w:r>
            <w:fldChar w:fldCharType="end"/>
          </w:r>
        </w:p>
        <w:p w14:paraId="7A48A67B">
          <w:pPr>
            <w:pStyle w:val="35"/>
            <w:tabs>
              <w:tab w:val="right" w:leader="dot" w:pos="8306"/>
            </w:tabs>
          </w:pPr>
          <w:r>
            <w:rPr>
              <w:b/>
              <w:bCs/>
            </w:rPr>
            <w:fldChar w:fldCharType="begin"/>
          </w:r>
          <w:r>
            <w:instrText xml:space="preserve"> HYPERLINK \l _Toc17737_WPSOffice_Level1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6869"/>
              <w:placeholder>
                <w:docPart w:val="{b0809cd6-8c6e-4ccf-8dd1-d3d3b2a80747}"/>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方正小标宋简体" w:cs="方正小标宋简体"/>
                  <w:b/>
                  <w:bCs/>
                </w:rPr>
                <w:t>第二部分  2025年度部门决算情况说明</w:t>
              </w:r>
            </w:sdtContent>
          </w:sdt>
          <w:r>
            <w:rPr>
              <w:b/>
              <w:bCs/>
            </w:rPr>
            <w:tab/>
          </w:r>
          <w:bookmarkStart w:id="10" w:name="_Toc17737_WPSOffice_Level1Page"/>
          <w:r>
            <w:rPr>
              <w:b/>
              <w:bCs/>
            </w:rPr>
            <w:t>3</w:t>
          </w:r>
          <w:bookmarkEnd w:id="10"/>
          <w:r>
            <w:rPr>
              <w:b/>
              <w:bCs/>
            </w:rPr>
            <w:fldChar w:fldCharType="end"/>
          </w:r>
        </w:p>
        <w:p w14:paraId="1A4B02D1">
          <w:pPr>
            <w:pStyle w:val="36"/>
            <w:tabs>
              <w:tab w:val="right" w:leader="dot" w:pos="8306"/>
            </w:tabs>
          </w:pPr>
          <w:r>
            <w:fldChar w:fldCharType="begin"/>
          </w:r>
          <w:r>
            <w:instrText xml:space="preserve"> HYPERLINK \l _Toc19652_WPSOffice_Level2 </w:instrText>
          </w:r>
          <w:r>
            <w:fldChar w:fldCharType="separate"/>
          </w:r>
          <w:sdt>
            <w:sdtPr>
              <w:rPr>
                <w:rFonts w:ascii="Times New Roman" w:hAnsi="Times New Roman" w:eastAsia="宋体" w:cs="Times New Roman"/>
                <w:kern w:val="2"/>
                <w:sz w:val="21"/>
                <w:szCs w:val="24"/>
                <w:lang w:val="en-US" w:eastAsia="zh-CN" w:bidi="ar-SA"/>
              </w:rPr>
              <w:id w:val="147476094"/>
              <w:placeholder>
                <w:docPart w:val="{30107ae2-3f91-4ad4-abda-5e56ae9116a5}"/>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一、收</w:t>
              </w:r>
              <w:r>
                <w:rPr>
                  <w:rFonts w:hint="eastAsia" w:ascii="Times New Roman" w:hAnsi="Times New Roman" w:eastAsia="黑体" w:cstheme="majorBidi"/>
                </w:rPr>
                <w:t>入支出决算总体情况说明</w:t>
              </w:r>
            </w:sdtContent>
          </w:sdt>
          <w:r>
            <w:tab/>
          </w:r>
          <w:bookmarkStart w:id="11" w:name="_Toc19652_WPSOffice_Level2Page"/>
          <w:r>
            <w:t>3</w:t>
          </w:r>
          <w:bookmarkEnd w:id="11"/>
          <w:r>
            <w:fldChar w:fldCharType="end"/>
          </w:r>
        </w:p>
        <w:p w14:paraId="435C0CF6">
          <w:pPr>
            <w:pStyle w:val="36"/>
            <w:tabs>
              <w:tab w:val="right" w:leader="dot" w:pos="8306"/>
            </w:tabs>
          </w:pPr>
          <w:r>
            <w:fldChar w:fldCharType="begin"/>
          </w:r>
          <w:r>
            <w:instrText xml:space="preserve"> HYPERLINK \l _Toc21176_WPSOffice_Level2 </w:instrText>
          </w:r>
          <w:r>
            <w:fldChar w:fldCharType="separate"/>
          </w:r>
          <w:sdt>
            <w:sdtPr>
              <w:rPr>
                <w:rFonts w:ascii="Times New Roman" w:hAnsi="Times New Roman" w:eastAsia="宋体" w:cs="Times New Roman"/>
                <w:kern w:val="2"/>
                <w:sz w:val="21"/>
                <w:szCs w:val="24"/>
                <w:lang w:val="en-US" w:eastAsia="zh-CN" w:bidi="ar-SA"/>
              </w:rPr>
              <w:id w:val="147470108"/>
              <w:placeholder>
                <w:docPart w:val="{191b51a4-d64e-4679-b608-7f3bb1e0349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二、收入决算情况说明</w:t>
              </w:r>
            </w:sdtContent>
          </w:sdt>
          <w:r>
            <w:tab/>
          </w:r>
          <w:bookmarkStart w:id="12" w:name="_Toc21176_WPSOffice_Level2Page"/>
          <w:r>
            <w:t>4</w:t>
          </w:r>
          <w:bookmarkEnd w:id="12"/>
          <w:r>
            <w:fldChar w:fldCharType="end"/>
          </w:r>
        </w:p>
        <w:p w14:paraId="38137035">
          <w:pPr>
            <w:pStyle w:val="36"/>
            <w:tabs>
              <w:tab w:val="right" w:leader="dot" w:pos="8306"/>
            </w:tabs>
          </w:pPr>
          <w:r>
            <w:fldChar w:fldCharType="begin"/>
          </w:r>
          <w:r>
            <w:instrText xml:space="preserve"> HYPERLINK \l _Toc4919_WPSOffice_Level2 </w:instrText>
          </w:r>
          <w:r>
            <w:fldChar w:fldCharType="separate"/>
          </w:r>
          <w:sdt>
            <w:sdtPr>
              <w:rPr>
                <w:rFonts w:ascii="Times New Roman" w:hAnsi="Times New Roman" w:eastAsia="宋体" w:cs="Times New Roman"/>
                <w:kern w:val="2"/>
                <w:sz w:val="21"/>
                <w:szCs w:val="24"/>
                <w:lang w:val="en-US" w:eastAsia="zh-CN" w:bidi="ar-SA"/>
              </w:rPr>
              <w:id w:val="147458356"/>
              <w:placeholder>
                <w:docPart w:val="{928e5703-df14-47da-9017-0d9ac6aa37b1}"/>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三、支</w:t>
              </w:r>
              <w:r>
                <w:rPr>
                  <w:rFonts w:hint="eastAsia" w:ascii="Times New Roman" w:hAnsi="Times New Roman" w:eastAsia="黑体" w:cstheme="majorBidi"/>
                </w:rPr>
                <w:t>出决算情况说明</w:t>
              </w:r>
            </w:sdtContent>
          </w:sdt>
          <w:r>
            <w:tab/>
          </w:r>
          <w:bookmarkStart w:id="13" w:name="_Toc4919_WPSOffice_Level2Page"/>
          <w:r>
            <w:t>5</w:t>
          </w:r>
          <w:bookmarkEnd w:id="13"/>
          <w:r>
            <w:fldChar w:fldCharType="end"/>
          </w:r>
        </w:p>
        <w:p w14:paraId="4BB30EC2">
          <w:pPr>
            <w:pStyle w:val="36"/>
            <w:tabs>
              <w:tab w:val="right" w:leader="dot" w:pos="8306"/>
            </w:tabs>
          </w:pPr>
          <w:r>
            <w:fldChar w:fldCharType="begin"/>
          </w:r>
          <w:r>
            <w:instrText xml:space="preserve"> HYPERLINK \l _Toc26456_WPSOffice_Level2 </w:instrText>
          </w:r>
          <w:r>
            <w:fldChar w:fldCharType="separate"/>
          </w:r>
          <w:sdt>
            <w:sdtPr>
              <w:rPr>
                <w:rFonts w:ascii="Times New Roman" w:hAnsi="Times New Roman" w:eastAsia="宋体" w:cs="Times New Roman"/>
                <w:kern w:val="2"/>
                <w:sz w:val="21"/>
                <w:szCs w:val="24"/>
                <w:lang w:val="en-US" w:eastAsia="zh-CN" w:bidi="ar-SA"/>
              </w:rPr>
              <w:id w:val="147468129"/>
              <w:placeholder>
                <w:docPart w:val="{aa8b4acf-a7a1-49da-9f63-d8166012b8a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四、财</w:t>
              </w:r>
              <w:r>
                <w:rPr>
                  <w:rFonts w:hint="eastAsia" w:ascii="Times New Roman" w:hAnsi="Times New Roman" w:eastAsia="黑体" w:cstheme="majorBidi"/>
                </w:rPr>
                <w:t>政拨款收入支出决算总体情况说明</w:t>
              </w:r>
            </w:sdtContent>
          </w:sdt>
          <w:r>
            <w:tab/>
          </w:r>
          <w:bookmarkStart w:id="14" w:name="_Toc26456_WPSOffice_Level2Page"/>
          <w:r>
            <w:t>5</w:t>
          </w:r>
          <w:bookmarkEnd w:id="14"/>
          <w:r>
            <w:fldChar w:fldCharType="end"/>
          </w:r>
        </w:p>
        <w:p w14:paraId="3C601050">
          <w:pPr>
            <w:pStyle w:val="36"/>
            <w:tabs>
              <w:tab w:val="right" w:leader="dot" w:pos="8306"/>
            </w:tabs>
          </w:pPr>
          <w:r>
            <w:fldChar w:fldCharType="begin"/>
          </w:r>
          <w:r>
            <w:instrText xml:space="preserve"> HYPERLINK \l _Toc17420_WPSOffice_Level2 </w:instrText>
          </w:r>
          <w:r>
            <w:fldChar w:fldCharType="separate"/>
          </w:r>
          <w:sdt>
            <w:sdtPr>
              <w:rPr>
                <w:rFonts w:ascii="Times New Roman" w:hAnsi="Times New Roman" w:eastAsia="宋体" w:cs="Times New Roman"/>
                <w:kern w:val="2"/>
                <w:sz w:val="21"/>
                <w:szCs w:val="24"/>
                <w:lang w:val="en-US" w:eastAsia="zh-CN" w:bidi="ar-SA"/>
              </w:rPr>
              <w:id w:val="147482253"/>
              <w:placeholder>
                <w:docPart w:val="{a8171847-4388-4697-9f12-ce6bc6bc6ee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五、一</w:t>
              </w:r>
              <w:r>
                <w:rPr>
                  <w:rFonts w:hint="eastAsia" w:ascii="Times New Roman" w:hAnsi="Times New Roman" w:eastAsia="黑体" w:cstheme="majorBidi"/>
                </w:rPr>
                <w:t>般公共预算财政拨款支出决算情况说明</w:t>
              </w:r>
            </w:sdtContent>
          </w:sdt>
          <w:r>
            <w:tab/>
          </w:r>
          <w:bookmarkStart w:id="15" w:name="_Toc17420_WPSOffice_Level2Page"/>
          <w:r>
            <w:t>6</w:t>
          </w:r>
          <w:bookmarkEnd w:id="15"/>
          <w:r>
            <w:fldChar w:fldCharType="end"/>
          </w:r>
        </w:p>
        <w:p w14:paraId="54DC0C25">
          <w:pPr>
            <w:pStyle w:val="36"/>
            <w:tabs>
              <w:tab w:val="right" w:leader="dot" w:pos="8306"/>
            </w:tabs>
          </w:pPr>
          <w:r>
            <w:fldChar w:fldCharType="begin"/>
          </w:r>
          <w:r>
            <w:instrText xml:space="preserve"> HYPERLINK \l _Toc5339_WPSOffice_Level2 </w:instrText>
          </w:r>
          <w:r>
            <w:fldChar w:fldCharType="separate"/>
          </w:r>
          <w:sdt>
            <w:sdtPr>
              <w:rPr>
                <w:rFonts w:ascii="Times New Roman" w:hAnsi="Times New Roman" w:eastAsia="宋体" w:cs="Times New Roman"/>
                <w:kern w:val="2"/>
                <w:sz w:val="21"/>
                <w:szCs w:val="24"/>
                <w:lang w:val="en-US" w:eastAsia="zh-CN" w:bidi="ar-SA"/>
              </w:rPr>
              <w:id w:val="147457729"/>
              <w:placeholder>
                <w:docPart w:val="{45af5b58-9c97-4dd3-9096-2318fad38c1b}"/>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六、一</w:t>
              </w:r>
              <w:r>
                <w:rPr>
                  <w:rFonts w:hint="eastAsia" w:ascii="Times New Roman" w:hAnsi="Times New Roman" w:eastAsia="黑体" w:cstheme="majorBidi"/>
                </w:rPr>
                <w:t>般公共预算财政拨款基本支出决算情况说明</w:t>
              </w:r>
            </w:sdtContent>
          </w:sdt>
          <w:r>
            <w:tab/>
          </w:r>
          <w:bookmarkStart w:id="16" w:name="_Toc5339_WPSOffice_Level2Page"/>
          <w:r>
            <w:t>8</w:t>
          </w:r>
          <w:bookmarkEnd w:id="16"/>
          <w:r>
            <w:fldChar w:fldCharType="end"/>
          </w:r>
        </w:p>
        <w:p w14:paraId="597581DF">
          <w:pPr>
            <w:pStyle w:val="36"/>
            <w:tabs>
              <w:tab w:val="right" w:leader="dot" w:pos="8306"/>
            </w:tabs>
          </w:pPr>
          <w:r>
            <w:fldChar w:fldCharType="begin"/>
          </w:r>
          <w:r>
            <w:instrText xml:space="preserve"> HYPERLINK \l _Toc22299_WPSOffice_Level2 </w:instrText>
          </w:r>
          <w:r>
            <w:fldChar w:fldCharType="separate"/>
          </w:r>
          <w:sdt>
            <w:sdtPr>
              <w:rPr>
                <w:rFonts w:ascii="Times New Roman" w:hAnsi="Times New Roman" w:eastAsia="宋体" w:cs="Times New Roman"/>
                <w:kern w:val="2"/>
                <w:sz w:val="21"/>
                <w:szCs w:val="24"/>
                <w:lang w:val="en-US" w:eastAsia="zh-CN" w:bidi="ar-SA"/>
              </w:rPr>
              <w:id w:val="147475595"/>
              <w:placeholder>
                <w:docPart w:val="{a6a8b1b0-e92e-4f70-bd42-7bef642d6882}"/>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七、</w:t>
              </w:r>
              <w:r>
                <w:rPr>
                  <w:rFonts w:hint="eastAsia" w:ascii="Times New Roman" w:hAnsi="Times New Roman" w:eastAsia="黑体" w:cstheme="majorBidi"/>
                </w:rPr>
                <w:t>财政拨款“三公”经费支出决算情况说明</w:t>
              </w:r>
            </w:sdtContent>
          </w:sdt>
          <w:r>
            <w:tab/>
          </w:r>
          <w:bookmarkStart w:id="17" w:name="_Toc22299_WPSOffice_Level2Page"/>
          <w:r>
            <w:t>9</w:t>
          </w:r>
          <w:bookmarkEnd w:id="17"/>
          <w:r>
            <w:fldChar w:fldCharType="end"/>
          </w:r>
        </w:p>
        <w:p w14:paraId="0E91BF12">
          <w:pPr>
            <w:pStyle w:val="36"/>
            <w:tabs>
              <w:tab w:val="right" w:leader="dot" w:pos="8306"/>
            </w:tabs>
          </w:pPr>
          <w:r>
            <w:fldChar w:fldCharType="begin"/>
          </w:r>
          <w:r>
            <w:instrText xml:space="preserve"> HYPERLINK \l _Toc30211_WPSOffice_Level2 </w:instrText>
          </w:r>
          <w:r>
            <w:fldChar w:fldCharType="separate"/>
          </w:r>
          <w:sdt>
            <w:sdtPr>
              <w:rPr>
                <w:rFonts w:ascii="Times New Roman" w:hAnsi="Times New Roman" w:eastAsia="宋体" w:cs="Times New Roman"/>
                <w:kern w:val="2"/>
                <w:sz w:val="21"/>
                <w:szCs w:val="24"/>
                <w:lang w:val="en-US" w:eastAsia="zh-CN" w:bidi="ar-SA"/>
              </w:rPr>
              <w:id w:val="147480907"/>
              <w:placeholder>
                <w:docPart w:val="{82445ae1-9061-4c89-8943-18c369333c6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imes New Roman"/>
                </w:rPr>
                <w:t>八、</w:t>
              </w:r>
              <w:r>
                <w:rPr>
                  <w:rFonts w:hint="eastAsia" w:ascii="Times New Roman" w:hAnsi="Times New Roman" w:eastAsia="黑体" w:cstheme="majorBidi"/>
                </w:rPr>
                <w:t>政府性基金预算支出决算情况说明</w:t>
              </w:r>
            </w:sdtContent>
          </w:sdt>
          <w:r>
            <w:tab/>
          </w:r>
          <w:bookmarkStart w:id="18" w:name="_Toc30211_WPSOffice_Level2Page"/>
          <w:r>
            <w:t>10</w:t>
          </w:r>
          <w:bookmarkEnd w:id="18"/>
          <w:r>
            <w:fldChar w:fldCharType="end"/>
          </w:r>
        </w:p>
        <w:p w14:paraId="3BBC282E">
          <w:pPr>
            <w:pStyle w:val="36"/>
            <w:tabs>
              <w:tab w:val="right" w:leader="dot" w:pos="8306"/>
            </w:tabs>
          </w:pPr>
          <w:r>
            <w:fldChar w:fldCharType="begin"/>
          </w:r>
          <w:r>
            <w:instrText xml:space="preserve"> HYPERLINK \l _Toc7488_WPSOffice_Level2 </w:instrText>
          </w:r>
          <w:r>
            <w:fldChar w:fldCharType="separate"/>
          </w:r>
          <w:sdt>
            <w:sdtPr>
              <w:rPr>
                <w:rFonts w:ascii="Times New Roman" w:hAnsi="Times New Roman" w:eastAsia="宋体" w:cs="Times New Roman"/>
                <w:kern w:val="2"/>
                <w:sz w:val="21"/>
                <w:szCs w:val="24"/>
                <w:lang w:val="en-US" w:eastAsia="zh-CN" w:bidi="ar-SA"/>
              </w:rPr>
              <w:id w:val="147465409"/>
              <w:placeholder>
                <w:docPart w:val="{79440adb-e0f5-4ff0-830e-2730941fb48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九、国有资本经营预算支出决算情况说明</w:t>
              </w:r>
            </w:sdtContent>
          </w:sdt>
          <w:r>
            <w:tab/>
          </w:r>
          <w:bookmarkStart w:id="19" w:name="_Toc7488_WPSOffice_Level2Page"/>
          <w:r>
            <w:t>10</w:t>
          </w:r>
          <w:bookmarkEnd w:id="19"/>
          <w:r>
            <w:fldChar w:fldCharType="end"/>
          </w:r>
        </w:p>
        <w:p w14:paraId="5129801E">
          <w:pPr>
            <w:pStyle w:val="36"/>
            <w:tabs>
              <w:tab w:val="right" w:leader="dot" w:pos="8306"/>
            </w:tabs>
          </w:pPr>
          <w:r>
            <w:fldChar w:fldCharType="begin"/>
          </w:r>
          <w:r>
            <w:instrText xml:space="preserve"> HYPERLINK \l _Toc15574_WPSOffice_Level2 </w:instrText>
          </w:r>
          <w:r>
            <w:fldChar w:fldCharType="separate"/>
          </w:r>
          <w:sdt>
            <w:sdtPr>
              <w:rPr>
                <w:rFonts w:ascii="Times New Roman" w:hAnsi="Times New Roman" w:eastAsia="宋体" w:cs="Times New Roman"/>
                <w:kern w:val="2"/>
                <w:sz w:val="21"/>
                <w:szCs w:val="24"/>
                <w:lang w:val="en-US" w:eastAsia="zh-CN" w:bidi="ar-SA"/>
              </w:rPr>
              <w:id w:val="147454221"/>
              <w:placeholder>
                <w:docPart w:val="{374efd00-bdae-42cc-91b7-e9d1f75cae0c}"/>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黑体" w:cstheme="majorBidi"/>
                </w:rPr>
                <w:t>十、其他重要事项的情况说明</w:t>
              </w:r>
            </w:sdtContent>
          </w:sdt>
          <w:r>
            <w:tab/>
          </w:r>
          <w:bookmarkStart w:id="20" w:name="_Toc15574_WPSOffice_Level2Page"/>
          <w:r>
            <w:t>10</w:t>
          </w:r>
          <w:bookmarkEnd w:id="20"/>
          <w:r>
            <w:fldChar w:fldCharType="end"/>
          </w:r>
        </w:p>
        <w:p w14:paraId="2D92F7B6">
          <w:pPr>
            <w:pStyle w:val="35"/>
            <w:tabs>
              <w:tab w:val="right" w:leader="dot" w:pos="8306"/>
            </w:tabs>
          </w:pPr>
          <w:r>
            <w:rPr>
              <w:b/>
              <w:bCs/>
            </w:rPr>
            <w:fldChar w:fldCharType="begin"/>
          </w:r>
          <w:r>
            <w:instrText xml:space="preserve"> HYPERLINK \l _Toc23229_WPSOffice_Level1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53109"/>
              <w:placeholder>
                <w:docPart w:val="{0a139a60-08ee-427f-b047-f6f7470bffd1}"/>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第三部分  名词解释</w:t>
              </w:r>
            </w:sdtContent>
          </w:sdt>
          <w:r>
            <w:rPr>
              <w:b/>
              <w:bCs/>
            </w:rPr>
            <w:tab/>
          </w:r>
          <w:bookmarkStart w:id="21" w:name="_Toc23229_WPSOffice_Level1Page"/>
          <w:r>
            <w:rPr>
              <w:b/>
              <w:bCs/>
            </w:rPr>
            <w:t>11</w:t>
          </w:r>
          <w:bookmarkEnd w:id="21"/>
          <w:r>
            <w:rPr>
              <w:b/>
              <w:bCs/>
            </w:rPr>
            <w:fldChar w:fldCharType="end"/>
          </w:r>
        </w:p>
        <w:p w14:paraId="59DAA7DA">
          <w:pPr>
            <w:pStyle w:val="35"/>
            <w:tabs>
              <w:tab w:val="right" w:leader="dot" w:pos="8306"/>
            </w:tabs>
          </w:pPr>
          <w:r>
            <w:rPr>
              <w:b/>
              <w:bCs/>
            </w:rPr>
            <w:fldChar w:fldCharType="begin"/>
          </w:r>
          <w:r>
            <w:instrText xml:space="preserve"> HYPERLINK \l _Toc19652_WPSOffice_Level1 </w:instrText>
          </w:r>
          <w:r>
            <w:rPr>
              <w:b/>
              <w:bCs/>
            </w:rPr>
            <w:fldChar w:fldCharType="separate"/>
          </w:r>
          <w:sdt>
            <w:sdtPr>
              <w:rPr>
                <w:rFonts w:ascii="Times New Roman" w:hAnsi="Times New Roman" w:eastAsia="宋体" w:cs="Times New Roman"/>
                <w:b/>
                <w:bCs/>
                <w:kern w:val="2"/>
                <w:sz w:val="21"/>
                <w:szCs w:val="24"/>
                <w:lang w:val="en-US" w:eastAsia="zh-CN" w:bidi="ar-SA"/>
              </w:rPr>
              <w:id w:val="147479143"/>
              <w:placeholder>
                <w:docPart w:val="{965c6b72-9c5c-4e7c-b526-1a037c94cc40}"/>
              </w:placeholder>
              <w15:color w:val="509DF3"/>
            </w:sdtPr>
            <w:sdtEndPr>
              <w:rPr>
                <w:rFonts w:ascii="Times New Roman" w:hAnsi="Times New Roman" w:eastAsia="宋体" w:cs="Times New Roman"/>
                <w:b/>
                <w:bCs/>
                <w:kern w:val="2"/>
                <w:sz w:val="21"/>
                <w:szCs w:val="24"/>
                <w:lang w:val="en-US" w:eastAsia="zh-CN" w:bidi="ar-SA"/>
              </w:rPr>
            </w:sdtEndPr>
            <w:sdtContent>
              <w:r>
                <w:rPr>
                  <w:rFonts w:hint="eastAsia" w:ascii="Times New Roman" w:hAnsi="Times New Roman" w:eastAsia="黑体" w:cs="Times New Roman"/>
                  <w:b/>
                  <w:bCs/>
                </w:rPr>
                <w:t>第四部分 附表</w:t>
              </w:r>
            </w:sdtContent>
          </w:sdt>
          <w:r>
            <w:rPr>
              <w:b/>
              <w:bCs/>
            </w:rPr>
            <w:tab/>
          </w:r>
          <w:bookmarkStart w:id="22" w:name="_Toc19652_WPSOffice_Level1Page"/>
          <w:r>
            <w:rPr>
              <w:b/>
              <w:bCs/>
            </w:rPr>
            <w:t>15</w:t>
          </w:r>
          <w:bookmarkEnd w:id="22"/>
          <w:r>
            <w:rPr>
              <w:b/>
              <w:bCs/>
            </w:rPr>
            <w:fldChar w:fldCharType="end"/>
          </w:r>
        </w:p>
        <w:p w14:paraId="5CE50297">
          <w:pPr>
            <w:pStyle w:val="36"/>
            <w:tabs>
              <w:tab w:val="right" w:leader="dot" w:pos="8306"/>
            </w:tabs>
          </w:pPr>
          <w:r>
            <w:fldChar w:fldCharType="begin"/>
          </w:r>
          <w:r>
            <w:instrText xml:space="preserve"> HYPERLINK \l _Toc31391_WPSOffice_Level2 </w:instrText>
          </w:r>
          <w:r>
            <w:fldChar w:fldCharType="separate"/>
          </w:r>
          <w:sdt>
            <w:sdtPr>
              <w:rPr>
                <w:rFonts w:ascii="Times New Roman" w:hAnsi="Times New Roman" w:eastAsia="宋体" w:cs="Times New Roman"/>
                <w:kern w:val="2"/>
                <w:sz w:val="21"/>
                <w:szCs w:val="24"/>
                <w:lang w:val="en-US" w:eastAsia="zh-CN" w:bidi="ar-SA"/>
              </w:rPr>
              <w:id w:val="147462241"/>
              <w:placeholder>
                <w:docPart w:val="{1da51a2b-4cc4-4a93-8e7b-46b7bdb40888}"/>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一、收入支出决算总表</w:t>
              </w:r>
            </w:sdtContent>
          </w:sdt>
          <w:r>
            <w:tab/>
          </w:r>
          <w:bookmarkStart w:id="23" w:name="_Toc31391_WPSOffice_Level2Page"/>
          <w:r>
            <w:t>15</w:t>
          </w:r>
          <w:bookmarkEnd w:id="23"/>
          <w:r>
            <w:fldChar w:fldCharType="end"/>
          </w:r>
        </w:p>
        <w:p w14:paraId="0824B28E">
          <w:pPr>
            <w:pStyle w:val="36"/>
            <w:tabs>
              <w:tab w:val="right" w:leader="dot" w:pos="8306"/>
            </w:tabs>
          </w:pPr>
          <w:r>
            <w:fldChar w:fldCharType="begin"/>
          </w:r>
          <w:r>
            <w:instrText xml:space="preserve"> HYPERLINK \l _Toc5715_WPSOffice_Level2 </w:instrText>
          </w:r>
          <w:r>
            <w:fldChar w:fldCharType="separate"/>
          </w:r>
          <w:sdt>
            <w:sdtPr>
              <w:rPr>
                <w:rFonts w:ascii="Times New Roman" w:hAnsi="Times New Roman" w:eastAsia="宋体" w:cs="Times New Roman"/>
                <w:kern w:val="2"/>
                <w:sz w:val="21"/>
                <w:szCs w:val="24"/>
                <w:lang w:val="en-US" w:eastAsia="zh-CN" w:bidi="ar-SA"/>
              </w:rPr>
              <w:id w:val="147482133"/>
              <w:placeholder>
                <w:docPart w:val="{cfa92180-bef0-4506-add6-6b461bdc316f}"/>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二、收入决算表</w:t>
              </w:r>
            </w:sdtContent>
          </w:sdt>
          <w:r>
            <w:tab/>
          </w:r>
          <w:bookmarkStart w:id="24" w:name="_Toc5715_WPSOffice_Level2Page"/>
          <w:r>
            <w:t>15</w:t>
          </w:r>
          <w:bookmarkEnd w:id="24"/>
          <w:r>
            <w:fldChar w:fldCharType="end"/>
          </w:r>
        </w:p>
        <w:p w14:paraId="46472866">
          <w:pPr>
            <w:pStyle w:val="36"/>
            <w:tabs>
              <w:tab w:val="right" w:leader="dot" w:pos="8306"/>
            </w:tabs>
          </w:pPr>
          <w:r>
            <w:fldChar w:fldCharType="begin"/>
          </w:r>
          <w:r>
            <w:instrText xml:space="preserve"> HYPERLINK \l _Toc1018_WPSOffice_Level2 </w:instrText>
          </w:r>
          <w:r>
            <w:fldChar w:fldCharType="separate"/>
          </w:r>
          <w:sdt>
            <w:sdtPr>
              <w:rPr>
                <w:rFonts w:ascii="Times New Roman" w:hAnsi="Times New Roman" w:eastAsia="宋体" w:cs="Times New Roman"/>
                <w:kern w:val="2"/>
                <w:sz w:val="21"/>
                <w:szCs w:val="24"/>
                <w:lang w:val="en-US" w:eastAsia="zh-CN" w:bidi="ar-SA"/>
              </w:rPr>
              <w:id w:val="147466146"/>
              <w:placeholder>
                <w:docPart w:val="{ab62a399-9812-4abb-86c2-ee0cc5e6659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三、支出决算表</w:t>
              </w:r>
            </w:sdtContent>
          </w:sdt>
          <w:r>
            <w:tab/>
          </w:r>
          <w:bookmarkStart w:id="25" w:name="_Toc1018_WPSOffice_Level2Page"/>
          <w:r>
            <w:t>15</w:t>
          </w:r>
          <w:bookmarkEnd w:id="25"/>
          <w:r>
            <w:fldChar w:fldCharType="end"/>
          </w:r>
        </w:p>
        <w:p w14:paraId="1E9ABDD0">
          <w:pPr>
            <w:pStyle w:val="36"/>
            <w:tabs>
              <w:tab w:val="right" w:leader="dot" w:pos="8306"/>
            </w:tabs>
          </w:pPr>
          <w:r>
            <w:fldChar w:fldCharType="begin"/>
          </w:r>
          <w:r>
            <w:instrText xml:space="preserve"> HYPERLINK \l _Toc30959_WPSOffice_Level2 </w:instrText>
          </w:r>
          <w:r>
            <w:fldChar w:fldCharType="separate"/>
          </w:r>
          <w:sdt>
            <w:sdtPr>
              <w:rPr>
                <w:rFonts w:ascii="Times New Roman" w:hAnsi="Times New Roman" w:eastAsia="宋体" w:cs="Times New Roman"/>
                <w:kern w:val="2"/>
                <w:sz w:val="21"/>
                <w:szCs w:val="24"/>
                <w:lang w:val="en-US" w:eastAsia="zh-CN" w:bidi="ar-SA"/>
              </w:rPr>
              <w:id w:val="147480151"/>
              <w:placeholder>
                <w:docPart w:val="{16f9d293-bed2-435f-a9d8-a46de1aa927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四、财政拨款收入支出决算总表</w:t>
              </w:r>
            </w:sdtContent>
          </w:sdt>
          <w:r>
            <w:tab/>
          </w:r>
          <w:bookmarkStart w:id="26" w:name="_Toc30959_WPSOffice_Level2Page"/>
          <w:r>
            <w:t>15</w:t>
          </w:r>
          <w:bookmarkEnd w:id="26"/>
          <w:r>
            <w:fldChar w:fldCharType="end"/>
          </w:r>
        </w:p>
        <w:p w14:paraId="0AE21A03">
          <w:pPr>
            <w:pStyle w:val="36"/>
            <w:tabs>
              <w:tab w:val="right" w:leader="dot" w:pos="8306"/>
            </w:tabs>
          </w:pPr>
          <w:r>
            <w:fldChar w:fldCharType="begin"/>
          </w:r>
          <w:r>
            <w:instrText xml:space="preserve"> HYPERLINK \l _Toc8133_WPSOffice_Level2 </w:instrText>
          </w:r>
          <w:r>
            <w:fldChar w:fldCharType="separate"/>
          </w:r>
          <w:sdt>
            <w:sdtPr>
              <w:rPr>
                <w:rFonts w:ascii="Times New Roman" w:hAnsi="Times New Roman" w:eastAsia="宋体" w:cs="Times New Roman"/>
                <w:kern w:val="2"/>
                <w:sz w:val="21"/>
                <w:szCs w:val="24"/>
                <w:lang w:val="en-US" w:eastAsia="zh-CN" w:bidi="ar-SA"/>
              </w:rPr>
              <w:id w:val="147461682"/>
              <w:placeholder>
                <w:docPart w:val="{c03e17bb-395e-41f4-b445-1e739afa27e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五、财政拨款支出决算明细表</w:t>
              </w:r>
            </w:sdtContent>
          </w:sdt>
          <w:r>
            <w:tab/>
          </w:r>
          <w:bookmarkStart w:id="27" w:name="_Toc8133_WPSOffice_Level2Page"/>
          <w:r>
            <w:t>15</w:t>
          </w:r>
          <w:bookmarkEnd w:id="27"/>
          <w:r>
            <w:fldChar w:fldCharType="end"/>
          </w:r>
        </w:p>
        <w:p w14:paraId="08453780">
          <w:pPr>
            <w:pStyle w:val="36"/>
            <w:tabs>
              <w:tab w:val="right" w:leader="dot" w:pos="8306"/>
            </w:tabs>
          </w:pPr>
          <w:r>
            <w:fldChar w:fldCharType="begin"/>
          </w:r>
          <w:r>
            <w:instrText xml:space="preserve"> HYPERLINK \l _Toc7123_WPSOffice_Level2 </w:instrText>
          </w:r>
          <w:r>
            <w:fldChar w:fldCharType="separate"/>
          </w:r>
          <w:sdt>
            <w:sdtPr>
              <w:rPr>
                <w:rFonts w:ascii="Times New Roman" w:hAnsi="Times New Roman" w:eastAsia="宋体" w:cs="Times New Roman"/>
                <w:kern w:val="2"/>
                <w:sz w:val="21"/>
                <w:szCs w:val="24"/>
                <w:lang w:val="en-US" w:eastAsia="zh-CN" w:bidi="ar-SA"/>
              </w:rPr>
              <w:id w:val="147468414"/>
              <w:placeholder>
                <w:docPart w:val="{47bc7a2b-da98-4574-be0e-fd6e346ee2da}"/>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六、一般公共预算财政拨款支出决算表</w:t>
              </w:r>
            </w:sdtContent>
          </w:sdt>
          <w:r>
            <w:tab/>
          </w:r>
          <w:bookmarkStart w:id="28" w:name="_Toc7123_WPSOffice_Level2Page"/>
          <w:r>
            <w:t>15</w:t>
          </w:r>
          <w:bookmarkEnd w:id="28"/>
          <w:r>
            <w:fldChar w:fldCharType="end"/>
          </w:r>
        </w:p>
        <w:p w14:paraId="2263DD43">
          <w:pPr>
            <w:pStyle w:val="36"/>
            <w:tabs>
              <w:tab w:val="right" w:leader="dot" w:pos="8306"/>
            </w:tabs>
          </w:pPr>
          <w:r>
            <w:fldChar w:fldCharType="begin"/>
          </w:r>
          <w:r>
            <w:instrText xml:space="preserve"> HYPERLINK \l _Toc4323_WPSOffice_Level2 </w:instrText>
          </w:r>
          <w:r>
            <w:fldChar w:fldCharType="separate"/>
          </w:r>
          <w:sdt>
            <w:sdtPr>
              <w:rPr>
                <w:rFonts w:ascii="Times New Roman" w:hAnsi="Times New Roman" w:eastAsia="宋体" w:cs="Times New Roman"/>
                <w:kern w:val="2"/>
                <w:sz w:val="21"/>
                <w:szCs w:val="24"/>
                <w:lang w:val="en-US" w:eastAsia="zh-CN" w:bidi="ar-SA"/>
              </w:rPr>
              <w:id w:val="147479183"/>
              <w:placeholder>
                <w:docPart w:val="{92d882db-9ba7-47a9-8b1f-e82903f73a9d}"/>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七、一般公共预算财政拨款支出决算明细表</w:t>
              </w:r>
            </w:sdtContent>
          </w:sdt>
          <w:r>
            <w:tab/>
          </w:r>
          <w:bookmarkStart w:id="29" w:name="_Toc4323_WPSOffice_Level2Page"/>
          <w:r>
            <w:t>15</w:t>
          </w:r>
          <w:bookmarkEnd w:id="29"/>
          <w:r>
            <w:fldChar w:fldCharType="end"/>
          </w:r>
        </w:p>
        <w:p w14:paraId="114A02CB">
          <w:pPr>
            <w:pStyle w:val="36"/>
            <w:tabs>
              <w:tab w:val="right" w:leader="dot" w:pos="8306"/>
            </w:tabs>
          </w:pPr>
          <w:r>
            <w:fldChar w:fldCharType="begin"/>
          </w:r>
          <w:r>
            <w:instrText xml:space="preserve"> HYPERLINK \l _Toc1333_WPSOffice_Level2 </w:instrText>
          </w:r>
          <w:r>
            <w:fldChar w:fldCharType="separate"/>
          </w:r>
          <w:sdt>
            <w:sdtPr>
              <w:rPr>
                <w:rFonts w:ascii="Times New Roman" w:hAnsi="Times New Roman" w:eastAsia="宋体" w:cs="Times New Roman"/>
                <w:kern w:val="2"/>
                <w:sz w:val="21"/>
                <w:szCs w:val="24"/>
                <w:lang w:val="en-US" w:eastAsia="zh-CN" w:bidi="ar-SA"/>
              </w:rPr>
              <w:id w:val="147453390"/>
              <w:placeholder>
                <w:docPart w:val="{12c684c8-7199-467a-9535-add248e7e48e}"/>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八、一般公共预算财政拨款基本支出决算表</w:t>
              </w:r>
            </w:sdtContent>
          </w:sdt>
          <w:r>
            <w:tab/>
          </w:r>
          <w:bookmarkStart w:id="30" w:name="_Toc1333_WPSOffice_Level2Page"/>
          <w:r>
            <w:t>15</w:t>
          </w:r>
          <w:bookmarkEnd w:id="30"/>
          <w:r>
            <w:fldChar w:fldCharType="end"/>
          </w:r>
        </w:p>
        <w:p w14:paraId="52B477D3">
          <w:pPr>
            <w:pStyle w:val="36"/>
            <w:tabs>
              <w:tab w:val="right" w:leader="dot" w:pos="8306"/>
            </w:tabs>
          </w:pPr>
          <w:r>
            <w:fldChar w:fldCharType="begin"/>
          </w:r>
          <w:r>
            <w:instrText xml:space="preserve"> HYPERLINK \l _Toc16425_WPSOffice_Level2 </w:instrText>
          </w:r>
          <w:r>
            <w:fldChar w:fldCharType="separate"/>
          </w:r>
          <w:sdt>
            <w:sdtPr>
              <w:rPr>
                <w:rFonts w:ascii="Times New Roman" w:hAnsi="Times New Roman" w:eastAsia="宋体" w:cs="Times New Roman"/>
                <w:kern w:val="2"/>
                <w:sz w:val="21"/>
                <w:szCs w:val="24"/>
                <w:lang w:val="en-US" w:eastAsia="zh-CN" w:bidi="ar-SA"/>
              </w:rPr>
              <w:id w:val="147458766"/>
              <w:placeholder>
                <w:docPart w:val="{af09e755-492f-4ef4-a2f6-f7c4fa65173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九、一般公共预算财政拨款项目支出决算表</w:t>
              </w:r>
            </w:sdtContent>
          </w:sdt>
          <w:r>
            <w:tab/>
          </w:r>
          <w:bookmarkStart w:id="31" w:name="_Toc16425_WPSOffice_Level2Page"/>
          <w:r>
            <w:t>15</w:t>
          </w:r>
          <w:bookmarkEnd w:id="31"/>
          <w:r>
            <w:fldChar w:fldCharType="end"/>
          </w:r>
        </w:p>
        <w:p w14:paraId="2413C7A5">
          <w:pPr>
            <w:pStyle w:val="36"/>
            <w:tabs>
              <w:tab w:val="right" w:leader="dot" w:pos="8306"/>
            </w:tabs>
          </w:pPr>
          <w:r>
            <w:fldChar w:fldCharType="begin"/>
          </w:r>
          <w:r>
            <w:instrText xml:space="preserve"> HYPERLINK \l _Toc20543_WPSOffice_Level2 </w:instrText>
          </w:r>
          <w:r>
            <w:fldChar w:fldCharType="separate"/>
          </w:r>
          <w:sdt>
            <w:sdtPr>
              <w:rPr>
                <w:rFonts w:ascii="Times New Roman" w:hAnsi="Times New Roman" w:eastAsia="宋体" w:cs="Times New Roman"/>
                <w:kern w:val="2"/>
                <w:sz w:val="21"/>
                <w:szCs w:val="24"/>
                <w:lang w:val="en-US" w:eastAsia="zh-CN" w:bidi="ar-SA"/>
              </w:rPr>
              <w:id w:val="147471979"/>
              <w:placeholder>
                <w:docPart w:val="{0d9011e6-9436-42b9-889b-0ad7f493d255}"/>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十、政府性基金预算财政拨款收入支出决算表</w:t>
              </w:r>
            </w:sdtContent>
          </w:sdt>
          <w:r>
            <w:tab/>
          </w:r>
          <w:bookmarkStart w:id="32" w:name="_Toc20543_WPSOffice_Level2Page"/>
          <w:r>
            <w:t>15</w:t>
          </w:r>
          <w:bookmarkEnd w:id="32"/>
          <w:r>
            <w:fldChar w:fldCharType="end"/>
          </w:r>
        </w:p>
        <w:p w14:paraId="64A5A4CA">
          <w:pPr>
            <w:pStyle w:val="36"/>
            <w:tabs>
              <w:tab w:val="right" w:leader="dot" w:pos="8306"/>
            </w:tabs>
          </w:pPr>
          <w:r>
            <w:fldChar w:fldCharType="begin"/>
          </w:r>
          <w:r>
            <w:instrText xml:space="preserve"> HYPERLINK \l _Toc796_WPSOffice_Level2 </w:instrText>
          </w:r>
          <w:r>
            <w:fldChar w:fldCharType="separate"/>
          </w:r>
          <w:sdt>
            <w:sdtPr>
              <w:rPr>
                <w:rFonts w:ascii="Times New Roman" w:hAnsi="Times New Roman" w:eastAsia="宋体" w:cs="Times New Roman"/>
                <w:kern w:val="2"/>
                <w:sz w:val="21"/>
                <w:szCs w:val="24"/>
                <w:lang w:val="en-US" w:eastAsia="zh-CN" w:bidi="ar-SA"/>
              </w:rPr>
              <w:id w:val="147461962"/>
              <w:placeholder>
                <w:docPart w:val="{4c220cfb-b85c-457d-b679-022fc3d210c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十一、国有资本经营预算财政拨款收入支出决算表</w:t>
              </w:r>
            </w:sdtContent>
          </w:sdt>
          <w:r>
            <w:tab/>
          </w:r>
          <w:bookmarkStart w:id="33" w:name="_Toc796_WPSOffice_Level2Page"/>
          <w:r>
            <w:t>15</w:t>
          </w:r>
          <w:bookmarkEnd w:id="33"/>
          <w:r>
            <w:fldChar w:fldCharType="end"/>
          </w:r>
        </w:p>
        <w:p w14:paraId="55D8DD31">
          <w:pPr>
            <w:pStyle w:val="36"/>
            <w:tabs>
              <w:tab w:val="right" w:leader="dot" w:pos="8306"/>
            </w:tabs>
          </w:pPr>
          <w:r>
            <w:fldChar w:fldCharType="begin"/>
          </w:r>
          <w:r>
            <w:instrText xml:space="preserve"> HYPERLINK \l _Toc3932_WPSOffice_Level2 </w:instrText>
          </w:r>
          <w:r>
            <w:fldChar w:fldCharType="separate"/>
          </w:r>
          <w:sdt>
            <w:sdtPr>
              <w:rPr>
                <w:rFonts w:ascii="Times New Roman" w:hAnsi="Times New Roman" w:eastAsia="宋体" w:cs="Times New Roman"/>
                <w:kern w:val="2"/>
                <w:sz w:val="21"/>
                <w:szCs w:val="24"/>
                <w:lang w:val="en-US" w:eastAsia="zh-CN" w:bidi="ar-SA"/>
              </w:rPr>
              <w:id w:val="147459799"/>
              <w:placeholder>
                <w:docPart w:val="{2d3efa3d-9def-45f2-979d-9a724d54b199}"/>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十二、国有资本经营预算财政拨款支出决算表</w:t>
              </w:r>
            </w:sdtContent>
          </w:sdt>
          <w:r>
            <w:tab/>
          </w:r>
          <w:bookmarkStart w:id="34" w:name="_Toc3932_WPSOffice_Level2Page"/>
          <w:r>
            <w:t>15</w:t>
          </w:r>
          <w:bookmarkEnd w:id="34"/>
          <w:r>
            <w:fldChar w:fldCharType="end"/>
          </w:r>
        </w:p>
        <w:p w14:paraId="3D95D7C6">
          <w:pPr>
            <w:pStyle w:val="36"/>
            <w:tabs>
              <w:tab w:val="right" w:leader="dot" w:pos="8306"/>
            </w:tabs>
          </w:pPr>
          <w:r>
            <w:fldChar w:fldCharType="begin"/>
          </w:r>
          <w:r>
            <w:instrText xml:space="preserve"> HYPERLINK \l _Toc20871_WPSOffice_Level2 </w:instrText>
          </w:r>
          <w:r>
            <w:fldChar w:fldCharType="separate"/>
          </w:r>
          <w:sdt>
            <w:sdtPr>
              <w:rPr>
                <w:rFonts w:ascii="Times New Roman" w:hAnsi="Times New Roman" w:eastAsia="宋体" w:cs="Times New Roman"/>
                <w:kern w:val="2"/>
                <w:sz w:val="21"/>
                <w:szCs w:val="24"/>
                <w:lang w:val="en-US" w:eastAsia="zh-CN" w:bidi="ar-SA"/>
              </w:rPr>
              <w:id w:val="147474881"/>
              <w:placeholder>
                <w:docPart w:val="{fe9baba9-9d2b-440a-b601-335e27724250}"/>
              </w:placeholder>
              <w15:color w:val="509DF3"/>
            </w:sdtPr>
            <w:sdtEndPr>
              <w:rPr>
                <w:rFonts w:ascii="Times New Roman" w:hAnsi="Times New Roman" w:eastAsia="宋体" w:cs="Times New Roman"/>
                <w:kern w:val="2"/>
                <w:sz w:val="21"/>
                <w:szCs w:val="24"/>
                <w:lang w:val="en-US" w:eastAsia="zh-CN" w:bidi="ar-SA"/>
              </w:rPr>
            </w:sdtEndPr>
            <w:sdtContent>
              <w:r>
                <w:rPr>
                  <w:rFonts w:hint="eastAsia" w:ascii="Times New Roman" w:hAnsi="Times New Roman" w:eastAsia="仿宋_GB2312" w:cs="仿宋_GB2312"/>
                </w:rPr>
                <w:t>十三、财政拨款“三公”经费支出决算表</w:t>
              </w:r>
            </w:sdtContent>
          </w:sdt>
          <w:r>
            <w:tab/>
          </w:r>
          <w:bookmarkStart w:id="35" w:name="_Toc20871_WPSOffice_Level2Page"/>
          <w:r>
            <w:t>15</w:t>
          </w:r>
          <w:bookmarkEnd w:id="35"/>
          <w:r>
            <w:fldChar w:fldCharType="end"/>
          </w:r>
          <w:bookmarkEnd w:id="6"/>
        </w:p>
      </w:sdtContent>
    </w:sdt>
    <w:p w14:paraId="75EDF5DC">
      <w:pPr>
        <w:rPr>
          <w:rFonts w:ascii="Times New Roman" w:hAnsi="Times New Roman"/>
          <w:color w:val="auto"/>
          <w:highlight w:val="none"/>
        </w:rPr>
      </w:pPr>
    </w:p>
    <w:p w14:paraId="47DA9169">
      <w:pPr>
        <w:pStyle w:val="5"/>
        <w:ind w:firstLine="1760" w:firstLineChars="400"/>
        <w:jc w:val="both"/>
        <w:rPr>
          <w:rFonts w:hint="eastAsia" w:ascii="Times New Roman" w:hAnsi="Times New Roman" w:eastAsia="方正小标宋简体" w:cs="方正小标宋简体"/>
          <w:b w:val="0"/>
          <w:color w:val="auto"/>
          <w:highlight w:val="none"/>
        </w:rPr>
      </w:pPr>
      <w:bookmarkStart w:id="36" w:name="_Toc15396599"/>
      <w:bookmarkStart w:id="37" w:name="_Toc19442_WPSOffice_Level1"/>
      <w:bookmarkStart w:id="38" w:name="_Toc15377196"/>
    </w:p>
    <w:p w14:paraId="5EE8F6C0">
      <w:pPr>
        <w:pStyle w:val="5"/>
        <w:ind w:firstLine="1760" w:firstLineChars="400"/>
        <w:jc w:val="both"/>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36"/>
      <w:bookmarkEnd w:id="37"/>
      <w:bookmarkEnd w:id="38"/>
    </w:p>
    <w:p w14:paraId="3FDFC5B5">
      <w:pPr>
        <w:widowControl/>
        <w:jc w:val="left"/>
        <w:rPr>
          <w:rFonts w:ascii="Times New Roman" w:hAnsi="Times New Roman" w:eastAsia="黑体"/>
          <w:color w:val="auto"/>
          <w:sz w:val="32"/>
          <w:szCs w:val="32"/>
          <w:highlight w:val="none"/>
        </w:rPr>
      </w:pPr>
    </w:p>
    <w:p w14:paraId="07653B13">
      <w:pPr>
        <w:pStyle w:val="6"/>
        <w:numPr>
          <w:ilvl w:val="0"/>
          <w:numId w:val="1"/>
        </w:numPr>
        <w:rPr>
          <w:rFonts w:hint="eastAsia" w:ascii="Times New Roman" w:hAnsi="Times New Roman" w:eastAsia="黑体"/>
          <w:b w:val="0"/>
          <w:color w:val="auto"/>
          <w:highlight w:val="none"/>
          <w:lang w:eastAsia="zh-CN"/>
        </w:rPr>
      </w:pPr>
      <w:bookmarkStart w:id="39" w:name="_Toc17737_WPSOffice_Level2"/>
      <w:bookmarkStart w:id="40" w:name="_Toc18707_WPSOffice_Level2"/>
      <w:bookmarkStart w:id="41" w:name="_Toc15377204"/>
      <w:bookmarkStart w:id="42" w:name="_Toc15396602"/>
      <w:r>
        <w:rPr>
          <w:rFonts w:hint="eastAsia" w:ascii="Times New Roman" w:hAnsi="Times New Roman" w:eastAsia="黑体"/>
          <w:b w:val="0"/>
          <w:color w:val="auto"/>
          <w:highlight w:val="none"/>
          <w:lang w:eastAsia="zh-CN"/>
        </w:rPr>
        <w:t>部门职责</w:t>
      </w:r>
      <w:bookmarkEnd w:id="39"/>
      <w:bookmarkEnd w:id="40"/>
    </w:p>
    <w:p w14:paraId="1C75EED2">
      <w:pPr>
        <w:ind w:firstLine="800" w:firstLineChars="25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提供常见疾病、多发病的诊断与治疗服务，包括内科、外科、儿科、妇产科等各科门诊。进行门诊病历的书写与管理，执行医疗操作规范，确保医疗安全。制定并执行预防接种工作计划，建立预防接种档案。负责传染病的监测、报告、防控工作。针对不同人群开展个性化的健康教育活动，提高居民的健康素养等。</w:t>
      </w:r>
    </w:p>
    <w:p w14:paraId="31E1C095">
      <w:pPr>
        <w:numPr>
          <w:ilvl w:val="0"/>
          <w:numId w:val="0"/>
        </w:numPr>
        <w:rPr>
          <w:rFonts w:hint="eastAsia"/>
          <w:lang w:eastAsia="zh-CN"/>
        </w:rPr>
      </w:pPr>
    </w:p>
    <w:p w14:paraId="34A8323B">
      <w:pPr>
        <w:pStyle w:val="6"/>
        <w:rPr>
          <w:rStyle w:val="29"/>
          <w:rFonts w:ascii="Times New Roman" w:hAnsi="Times New Roman"/>
          <w:b w:val="0"/>
          <w:bCs w:val="0"/>
          <w:color w:val="auto"/>
          <w:highlight w:val="none"/>
        </w:rPr>
      </w:pPr>
      <w:bookmarkStart w:id="43" w:name="_Toc15396601"/>
      <w:bookmarkStart w:id="44" w:name="_Toc15377200"/>
      <w:bookmarkStart w:id="45" w:name="_Toc28311_WPSOffice_Level2"/>
      <w:bookmarkStart w:id="46" w:name="_Toc23229_WPSOffice_Level2"/>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43"/>
      <w:bookmarkEnd w:id="44"/>
      <w:bookmarkEnd w:id="45"/>
      <w:bookmarkEnd w:id="46"/>
    </w:p>
    <w:p w14:paraId="2F1F1157">
      <w:pPr>
        <w:pStyle w:val="8"/>
        <w:adjustRightInd w:val="0"/>
        <w:snapToGrid w:val="0"/>
        <w:spacing w:before="93" w:line="600" w:lineRule="exact"/>
        <w:ind w:firstLine="1120" w:firstLineChars="35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松潘县毛儿盖镇中心卫生院内设</w:t>
      </w:r>
      <w:r>
        <w:rPr>
          <w:rFonts w:hint="default" w:ascii="仿宋_GB2312" w:hAnsi="仿宋_GB2312" w:eastAsia="仿宋_GB2312" w:cs="仿宋_GB2312"/>
          <w:color w:val="auto"/>
          <w:kern w:val="2"/>
          <w:sz w:val="32"/>
          <w:szCs w:val="32"/>
          <w:highlight w:val="none"/>
          <w:lang w:val="en-US" w:eastAsia="zh-CN" w:bidi="ar-SA"/>
        </w:rPr>
        <w:t>处室</w:t>
      </w:r>
      <w:r>
        <w:rPr>
          <w:rFonts w:hint="eastAsia" w:ascii="仿宋_GB2312" w:hAnsi="仿宋_GB2312" w:eastAsia="仿宋_GB2312" w:cs="仿宋_GB2312"/>
          <w:color w:val="auto"/>
          <w:kern w:val="2"/>
          <w:sz w:val="32"/>
          <w:szCs w:val="32"/>
          <w:highlight w:val="none"/>
          <w:lang w:val="en-US" w:eastAsia="zh-CN" w:bidi="ar-SA"/>
        </w:rPr>
        <w:t>情况：（1）办公室。（2）药房。（3）中医康复科。（4）计免室。（5）公共卫生科。（6）抢救室。（7）妇幼保健室。</w:t>
      </w:r>
    </w:p>
    <w:p w14:paraId="533DAAAD">
      <w:pPr>
        <w:pStyle w:val="5"/>
        <w:ind w:firstLine="440" w:firstLineChars="100"/>
        <w:jc w:val="both"/>
        <w:rPr>
          <w:rFonts w:hint="eastAsia" w:ascii="Times New Roman" w:hAnsi="Times New Roman" w:eastAsia="方正小标宋简体" w:cs="方正小标宋简体"/>
          <w:b w:val="0"/>
          <w:color w:val="auto"/>
          <w:highlight w:val="none"/>
        </w:rPr>
      </w:pPr>
      <w:bookmarkStart w:id="47" w:name="_Toc17737_WPSOffice_Level1"/>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41"/>
      <w:bookmarkEnd w:id="42"/>
      <w:bookmarkEnd w:id="47"/>
    </w:p>
    <w:p w14:paraId="1BA491D5">
      <w:pPr>
        <w:rPr>
          <w:rFonts w:ascii="Times New Roman" w:hAnsi="Times New Roman"/>
          <w:color w:val="auto"/>
          <w:highlight w:val="none"/>
        </w:rPr>
      </w:pPr>
    </w:p>
    <w:p w14:paraId="2904B20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48" w:name="_Toc19652_WPSOffice_Level2"/>
      <w:bookmarkStart w:id="49" w:name="_Toc15396603"/>
      <w:bookmarkStart w:id="50"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48"/>
      <w:bookmarkEnd w:id="49"/>
      <w:bookmarkEnd w:id="50"/>
    </w:p>
    <w:p w14:paraId="78704A9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542.63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24.1</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4.6</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单位人员增加，财政拨款收入增加。</w:t>
      </w:r>
    </w:p>
    <w:p w14:paraId="64E23483">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rPr>
      </w:pPr>
      <w:r>
        <w:drawing>
          <wp:anchor distT="0" distB="0" distL="114300" distR="114300" simplePos="0" relativeHeight="251659264" behindDoc="0" locked="0" layoutInCell="1" allowOverlap="1">
            <wp:simplePos x="0" y="0"/>
            <wp:positionH relativeFrom="column">
              <wp:posOffset>299085</wp:posOffset>
            </wp:positionH>
            <wp:positionV relativeFrom="paragraph">
              <wp:posOffset>107950</wp:posOffset>
            </wp:positionV>
            <wp:extent cx="5273040" cy="2109470"/>
            <wp:effectExtent l="5080" t="4445" r="17780" b="19685"/>
            <wp:wrapSquare wrapText="bothSides"/>
            <wp:docPr id="1521"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598B9304">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rPr>
      </w:pPr>
    </w:p>
    <w:p w14:paraId="502CEB3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51" w:name="_Toc15377206"/>
      <w:bookmarkStart w:id="52" w:name="_Toc15396604"/>
      <w:bookmarkStart w:id="53" w:name="_Toc21176_WPSOffice_Level2"/>
      <w:r>
        <w:rPr>
          <w:rFonts w:hint="eastAsia" w:ascii="Times New Roman" w:hAnsi="Times New Roman" w:eastAsia="黑体"/>
          <w:color w:val="auto"/>
          <w:sz w:val="32"/>
          <w:szCs w:val="32"/>
          <w:highlight w:val="none"/>
          <w:lang w:eastAsia="zh-CN"/>
        </w:rPr>
        <w:t>二、收入决算情况说明</w:t>
      </w:r>
      <w:bookmarkEnd w:id="51"/>
      <w:bookmarkEnd w:id="52"/>
      <w:bookmarkEnd w:id="53"/>
    </w:p>
    <w:p w14:paraId="4A65C64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542.63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515.04</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94.91</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27.59</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5.08</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0B3EB7E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050" w:firstLineChars="5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0288" behindDoc="0" locked="0" layoutInCell="1" allowOverlap="1">
            <wp:simplePos x="0" y="0"/>
            <wp:positionH relativeFrom="column">
              <wp:posOffset>725170</wp:posOffset>
            </wp:positionH>
            <wp:positionV relativeFrom="paragraph">
              <wp:posOffset>203835</wp:posOffset>
            </wp:positionV>
            <wp:extent cx="4483735" cy="2022475"/>
            <wp:effectExtent l="4445" t="5080" r="7620" b="10795"/>
            <wp:wrapSquare wrapText="bothSides"/>
            <wp:docPr id="1522"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2DFADE19">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p>
    <w:p w14:paraId="43529DC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p>
    <w:p w14:paraId="6AF91AF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w:t>
      </w:r>
    </w:p>
    <w:p w14:paraId="49504BC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p>
    <w:p w14:paraId="6FEE8C3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p>
    <w:p w14:paraId="6763762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600" w:firstLineChars="5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图2：收入决算结构图）（饼状图）</w:t>
      </w:r>
    </w:p>
    <w:p w14:paraId="61754538">
      <w:pPr>
        <w:ind w:firstLine="800" w:firstLineChars="250"/>
        <w:rPr>
          <w:rFonts w:hint="eastAsia" w:ascii="Times New Roman" w:hAnsi="Times New Roman" w:eastAsia="仿宋_GB2312" w:cs="仿宋_GB2312"/>
          <w:color w:val="auto"/>
          <w:sz w:val="32"/>
          <w:szCs w:val="32"/>
          <w:highlight w:val="none"/>
          <w:lang w:eastAsia="zh-CN"/>
        </w:rPr>
      </w:pPr>
    </w:p>
    <w:p w14:paraId="52093E2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54" w:name="_Toc4919_WPSOffice_Level2"/>
      <w:bookmarkStart w:id="55" w:name="_Toc15396605"/>
      <w:bookmarkStart w:id="56"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54"/>
      <w:bookmarkEnd w:id="55"/>
      <w:bookmarkEnd w:id="56"/>
    </w:p>
    <w:p w14:paraId="3035B02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542.63</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498.56</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91.87</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44.07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8.12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p>
    <w:p w14:paraId="5DB5E5F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20" w:firstLineChars="200"/>
        <w:textAlignment w:val="auto"/>
        <w:outlineLvl w:val="1"/>
        <w:rPr>
          <w:rFonts w:hint="eastAsia" w:ascii="Times New Roman" w:hAnsi="Times New Roman" w:eastAsia="仿宋_GB2312" w:cs="仿宋_GB2312"/>
          <w:color w:val="auto"/>
          <w:sz w:val="32"/>
          <w:szCs w:val="32"/>
          <w:highlight w:val="none"/>
          <w:lang w:eastAsia="zh-CN"/>
        </w:rPr>
      </w:pPr>
      <w:r>
        <w:drawing>
          <wp:anchor distT="0" distB="0" distL="114300" distR="114300" simplePos="0" relativeHeight="251661312" behindDoc="0" locked="0" layoutInCell="1" allowOverlap="1">
            <wp:simplePos x="0" y="0"/>
            <wp:positionH relativeFrom="column">
              <wp:posOffset>100965</wp:posOffset>
            </wp:positionH>
            <wp:positionV relativeFrom="paragraph">
              <wp:posOffset>151765</wp:posOffset>
            </wp:positionV>
            <wp:extent cx="5121275" cy="2524760"/>
            <wp:effectExtent l="4445" t="4445" r="17780" b="23495"/>
            <wp:wrapSquare wrapText="bothSides"/>
            <wp:docPr id="1523"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r>
        <w:rPr>
          <w:rFonts w:hint="eastAsia" w:ascii="Times New Roman" w:hAnsi="Times New Roman" w:eastAsia="仿宋_GB2312" w:cs="仿宋_GB2312"/>
          <w:color w:val="auto"/>
          <w:sz w:val="32"/>
          <w:szCs w:val="32"/>
          <w:highlight w:val="none"/>
          <w:lang w:eastAsia="zh-CN"/>
        </w:rPr>
        <w:t>（图3：支出决算结构图）（饼状图）</w:t>
      </w:r>
    </w:p>
    <w:p w14:paraId="626BDC8F">
      <w:pPr>
        <w:spacing w:line="600" w:lineRule="exact"/>
        <w:ind w:firstLine="640" w:firstLineChars="200"/>
        <w:outlineLvl w:val="1"/>
        <w:rPr>
          <w:rStyle w:val="29"/>
          <w:rFonts w:ascii="Times New Roman" w:hAnsi="Times New Roman" w:eastAsia="黑体"/>
          <w:b w:val="0"/>
          <w:color w:val="auto"/>
          <w:highlight w:val="none"/>
        </w:rPr>
      </w:pPr>
      <w:bookmarkStart w:id="57" w:name="_Toc26456_WPSOffice_Level2"/>
      <w:bookmarkStart w:id="58" w:name="_Toc15377208"/>
      <w:bookmarkStart w:id="59"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57"/>
      <w:bookmarkEnd w:id="58"/>
      <w:bookmarkEnd w:id="59"/>
    </w:p>
    <w:p w14:paraId="01A5FF3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515.04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18.3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单位人员变动，支出增加</w:t>
      </w:r>
    </w:p>
    <w:p w14:paraId="169156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2336" behindDoc="0" locked="0" layoutInCell="1" allowOverlap="1">
            <wp:simplePos x="0" y="0"/>
            <wp:positionH relativeFrom="column">
              <wp:posOffset>447040</wp:posOffset>
            </wp:positionH>
            <wp:positionV relativeFrom="paragraph">
              <wp:posOffset>108585</wp:posOffset>
            </wp:positionV>
            <wp:extent cx="4507230" cy="1812925"/>
            <wp:effectExtent l="4445" t="5080" r="22225" b="10795"/>
            <wp:wrapSquare wrapText="bothSides"/>
            <wp:docPr id="1524"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59D3A4D">
      <w:pPr>
        <w:pStyle w:val="2"/>
        <w:rPr>
          <w:rFonts w:hint="eastAsia" w:ascii="Times New Roman" w:hAnsi="Times New Roman" w:eastAsia="仿宋_GB2312" w:cs="仿宋_GB2312"/>
          <w:color w:val="auto"/>
          <w:kern w:val="2"/>
          <w:sz w:val="32"/>
          <w:szCs w:val="32"/>
          <w:highlight w:val="none"/>
          <w:lang w:val="en-US" w:eastAsia="zh-CN" w:bidi="ar-SA"/>
        </w:rPr>
      </w:pPr>
    </w:p>
    <w:p w14:paraId="0C25363F">
      <w:pPr>
        <w:pStyle w:val="3"/>
        <w:rPr>
          <w:rFonts w:hint="eastAsia" w:ascii="Times New Roman" w:hAnsi="Times New Roman" w:eastAsia="仿宋_GB2312" w:cs="仿宋_GB2312"/>
          <w:color w:val="auto"/>
          <w:kern w:val="2"/>
          <w:sz w:val="32"/>
          <w:szCs w:val="32"/>
          <w:highlight w:val="none"/>
          <w:lang w:val="en-US" w:eastAsia="zh-CN" w:bidi="ar-SA"/>
        </w:rPr>
      </w:pPr>
    </w:p>
    <w:p w14:paraId="6CC2B2C1">
      <w:pPr>
        <w:rPr>
          <w:rFonts w:hint="eastAsia"/>
          <w:lang w:val="en-US" w:eastAsia="zh-CN"/>
        </w:rPr>
      </w:pPr>
    </w:p>
    <w:p w14:paraId="7A21DC90">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bookmarkStart w:id="121" w:name="_GoBack"/>
      <w:r>
        <w:rPr>
          <w:rFonts w:hint="eastAsia" w:ascii="Times New Roman" w:hAnsi="Times New Roman" w:eastAsia="仿宋_GB2312" w:cs="仿宋_GB2312"/>
          <w:color w:val="auto"/>
          <w:kern w:val="2"/>
          <w:sz w:val="32"/>
          <w:szCs w:val="32"/>
          <w:highlight w:val="none"/>
          <w:lang w:val="en-US" w:eastAsia="zh-CN" w:bidi="ar-SA"/>
        </w:rPr>
        <w:t>（</w:t>
      </w:r>
      <w:bookmarkEnd w:id="121"/>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5C560A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8B63D7B">
      <w:pPr>
        <w:spacing w:line="600" w:lineRule="exact"/>
        <w:ind w:firstLine="640" w:firstLineChars="200"/>
        <w:outlineLvl w:val="1"/>
        <w:rPr>
          <w:rStyle w:val="29"/>
          <w:rFonts w:ascii="Times New Roman" w:hAnsi="Times New Roman" w:eastAsia="黑体"/>
          <w:b w:val="0"/>
          <w:color w:val="auto"/>
          <w:highlight w:val="none"/>
        </w:rPr>
      </w:pPr>
      <w:bookmarkStart w:id="60" w:name="_Toc15377209"/>
      <w:bookmarkStart w:id="61" w:name="_Toc17420_WPSOffice_Level2"/>
      <w:bookmarkStart w:id="62"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60"/>
      <w:bookmarkEnd w:id="61"/>
      <w:bookmarkEnd w:id="62"/>
    </w:p>
    <w:p w14:paraId="0ACF4B3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3"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63"/>
    </w:p>
    <w:p w14:paraId="209F91F1">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515.04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94.91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18.3</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3.7</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单位人员变动，支出增加</w:t>
      </w:r>
    </w:p>
    <w:p w14:paraId="100157B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3360" behindDoc="0" locked="0" layoutInCell="1" allowOverlap="1">
            <wp:simplePos x="0" y="0"/>
            <wp:positionH relativeFrom="column">
              <wp:posOffset>287655</wp:posOffset>
            </wp:positionH>
            <wp:positionV relativeFrom="paragraph">
              <wp:posOffset>101600</wp:posOffset>
            </wp:positionV>
            <wp:extent cx="5270500" cy="2416175"/>
            <wp:effectExtent l="4445" t="4445" r="20955" b="17780"/>
            <wp:wrapSquare wrapText="bothSides"/>
            <wp:docPr id="1525"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064207E">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7DE5A2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64639EE">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4"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64"/>
    </w:p>
    <w:p w14:paraId="179119D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515.04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65.39</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413.61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80</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36.04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w:t>
      </w:r>
    </w:p>
    <w:p w14:paraId="57D7EBC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drawing>
          <wp:anchor distT="0" distB="0" distL="114300" distR="114300" simplePos="0" relativeHeight="251664384" behindDoc="0" locked="0" layoutInCell="1" allowOverlap="1">
            <wp:simplePos x="0" y="0"/>
            <wp:positionH relativeFrom="column">
              <wp:posOffset>675005</wp:posOffset>
            </wp:positionH>
            <wp:positionV relativeFrom="paragraph">
              <wp:posOffset>48895</wp:posOffset>
            </wp:positionV>
            <wp:extent cx="4410075" cy="2232660"/>
            <wp:effectExtent l="4445" t="5080" r="5080" b="10160"/>
            <wp:wrapSquare wrapText="bothSides"/>
            <wp:docPr id="152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10610B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989F14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8FAD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41CE40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0B935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6A96E3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0F5B43A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C544F7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65"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65"/>
    </w:p>
    <w:p w14:paraId="2792D92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66" w:name="_Toc15377444"/>
      <w:bookmarkStart w:id="67" w:name="_Toc15378460"/>
      <w:bookmarkStart w:id="68"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515.04</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66"/>
      <w:bookmarkEnd w:id="67"/>
      <w:bookmarkEnd w:id="68"/>
    </w:p>
    <w:p w14:paraId="7213172E">
      <w:pPr>
        <w:numPr>
          <w:ilvl w:val="0"/>
          <w:numId w:val="0"/>
        </w:numPr>
        <w:spacing w:line="600" w:lineRule="exact"/>
        <w:ind w:firstLine="643" w:firstLineChars="200"/>
        <w:rPr>
          <w:rFonts w:hint="eastAsia"/>
          <w:lang w:val="en-US" w:eastAsia="zh-CN"/>
        </w:rPr>
      </w:pPr>
      <w:bookmarkStart w:id="69" w:name="_Toc15396608"/>
      <w:bookmarkStart w:id="70" w:name="_Toc15377214"/>
      <w:r>
        <w:rPr>
          <w:rStyle w:val="17"/>
          <w:rFonts w:hint="eastAsia" w:ascii="仿宋" w:hAnsi="仿宋" w:eastAsia="仿宋"/>
          <w:bCs/>
          <w:sz w:val="32"/>
          <w:szCs w:val="32"/>
          <w:lang w:val="en-US" w:eastAsia="zh-CN"/>
        </w:rPr>
        <w:t>1.</w:t>
      </w:r>
      <w:r>
        <w:rPr>
          <w:rStyle w:val="17"/>
          <w:rFonts w:hint="eastAsia" w:ascii="仿宋" w:hAnsi="仿宋" w:eastAsia="仿宋"/>
          <w:bCs/>
          <w:sz w:val="32"/>
          <w:szCs w:val="32"/>
        </w:rPr>
        <w:t>社会保障和就业（类</w:t>
      </w:r>
      <w:r>
        <w:rPr>
          <w:rStyle w:val="17"/>
          <w:rFonts w:hint="eastAsia" w:ascii="仿宋" w:hAnsi="仿宋" w:eastAsia="仿宋" w:cs="Times New Roman"/>
          <w:bCs/>
          <w:sz w:val="32"/>
          <w:szCs w:val="32"/>
        </w:rPr>
        <w:t>）人力资源和社会保障管理事务（</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其他人力资源和社会保障管理事务支出</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4.27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38CE9FEB">
      <w:pPr>
        <w:numPr>
          <w:ilvl w:val="0"/>
          <w:numId w:val="0"/>
        </w:numPr>
        <w:spacing w:line="600" w:lineRule="exact"/>
        <w:ind w:firstLine="643" w:firstLineChars="200"/>
      </w:pPr>
      <w:r>
        <w:rPr>
          <w:rStyle w:val="17"/>
          <w:rFonts w:hint="eastAsia" w:ascii="仿宋" w:hAnsi="仿宋" w:eastAsia="仿宋"/>
          <w:bCs/>
          <w:sz w:val="32"/>
          <w:szCs w:val="32"/>
          <w:lang w:val="en-US" w:eastAsia="zh-CN"/>
        </w:rPr>
        <w:t>2.</w:t>
      </w:r>
      <w:r>
        <w:rPr>
          <w:rStyle w:val="17"/>
          <w:rFonts w:hint="eastAsia" w:ascii="仿宋" w:hAnsi="仿宋" w:eastAsia="仿宋"/>
          <w:bCs/>
          <w:sz w:val="32"/>
          <w:szCs w:val="32"/>
        </w:rPr>
        <w:t>社会保障和就业（类）</w:t>
      </w:r>
      <w:r>
        <w:rPr>
          <w:rStyle w:val="17"/>
          <w:rFonts w:hint="eastAsia" w:ascii="仿宋" w:hAnsi="仿宋" w:eastAsia="仿宋"/>
          <w:bCs/>
          <w:sz w:val="32"/>
          <w:szCs w:val="32"/>
          <w:lang w:val="en-US" w:eastAsia="zh-CN"/>
        </w:rPr>
        <w:t>行政事业单位养老支出</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机关事业单位基本养老保险缴费支出</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40.86</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7EC1CE97">
      <w:pPr>
        <w:numPr>
          <w:ilvl w:val="0"/>
          <w:numId w:val="0"/>
        </w:numPr>
        <w:spacing w:line="600" w:lineRule="exact"/>
        <w:ind w:firstLine="643" w:firstLineChars="200"/>
        <w:rPr>
          <w:rFonts w:ascii="仿宋" w:hAnsi="仿宋" w:eastAsia="仿宋"/>
          <w:b/>
          <w:sz w:val="32"/>
          <w:szCs w:val="32"/>
        </w:rPr>
      </w:pPr>
      <w:r>
        <w:rPr>
          <w:rStyle w:val="17"/>
          <w:rFonts w:hint="eastAsia" w:ascii="仿宋" w:hAnsi="仿宋" w:eastAsia="仿宋"/>
          <w:bCs/>
          <w:sz w:val="32"/>
          <w:szCs w:val="32"/>
          <w:lang w:val="en-US" w:eastAsia="zh-CN"/>
        </w:rPr>
        <w:t>3.</w:t>
      </w:r>
      <w:r>
        <w:rPr>
          <w:rStyle w:val="17"/>
          <w:rFonts w:hint="eastAsia" w:ascii="仿宋" w:hAnsi="仿宋" w:eastAsia="仿宋"/>
          <w:bCs/>
          <w:sz w:val="32"/>
          <w:szCs w:val="32"/>
        </w:rPr>
        <w:t>社会保障和就业（类）</w:t>
      </w:r>
      <w:r>
        <w:rPr>
          <w:rStyle w:val="17"/>
          <w:rFonts w:hint="eastAsia" w:ascii="仿宋" w:hAnsi="仿宋" w:eastAsia="仿宋"/>
          <w:bCs/>
          <w:sz w:val="32"/>
          <w:szCs w:val="32"/>
          <w:lang w:val="en-US" w:eastAsia="zh-CN"/>
        </w:rPr>
        <w:t>行政事业单位养老支出</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机关事业单位职业年金缴费支出</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ascii="仿宋" w:hAnsi="仿宋" w:eastAsia="仿宋"/>
          <w:b w:val="0"/>
          <w:bCs/>
          <w:sz w:val="32"/>
          <w:szCs w:val="32"/>
        </w:rPr>
        <w:t xml:space="preserve"> </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20.26</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76D8DA06">
      <w:pPr>
        <w:numPr>
          <w:ilvl w:val="0"/>
          <w:numId w:val="0"/>
        </w:numPr>
        <w:spacing w:line="600" w:lineRule="exact"/>
        <w:ind w:firstLine="643" w:firstLineChars="200"/>
        <w:rPr>
          <w:rFonts w:ascii="仿宋" w:hAnsi="仿宋" w:eastAsia="仿宋"/>
          <w:b/>
          <w:sz w:val="32"/>
          <w:szCs w:val="32"/>
        </w:rPr>
      </w:pPr>
      <w:r>
        <w:rPr>
          <w:rFonts w:hint="eastAsia" w:ascii="仿宋" w:hAnsi="仿宋" w:eastAsia="仿宋"/>
          <w:b/>
          <w:bCs/>
          <w:sz w:val="32"/>
          <w:szCs w:val="32"/>
          <w:lang w:val="en-US" w:eastAsia="zh-CN"/>
        </w:rPr>
        <w:t>4.</w:t>
      </w:r>
      <w:r>
        <w:rPr>
          <w:rFonts w:hint="eastAsia" w:ascii="仿宋" w:hAnsi="仿宋" w:eastAsia="仿宋"/>
          <w:b/>
          <w:bCs/>
          <w:sz w:val="32"/>
          <w:szCs w:val="32"/>
        </w:rPr>
        <w:t>卫生健康</w:t>
      </w:r>
      <w:r>
        <w:rPr>
          <w:rStyle w:val="17"/>
          <w:rFonts w:hint="eastAsia" w:ascii="仿宋" w:hAnsi="仿宋" w:eastAsia="仿宋"/>
          <w:bCs/>
          <w:sz w:val="32"/>
          <w:szCs w:val="32"/>
        </w:rPr>
        <w:t>（类）</w:t>
      </w:r>
      <w:r>
        <w:rPr>
          <w:rStyle w:val="17"/>
          <w:rFonts w:hint="eastAsia" w:ascii="仿宋" w:hAnsi="仿宋" w:eastAsia="仿宋"/>
          <w:bCs/>
          <w:sz w:val="32"/>
          <w:szCs w:val="32"/>
          <w:lang w:val="en-US" w:eastAsia="zh-CN"/>
        </w:rPr>
        <w:t>基层医疗卫生结构</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乡镇卫生院</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350.93</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6278C6C6">
      <w:pPr>
        <w:numPr>
          <w:ilvl w:val="0"/>
          <w:numId w:val="0"/>
        </w:numPr>
        <w:spacing w:line="600" w:lineRule="exact"/>
        <w:ind w:firstLine="643" w:firstLineChars="200"/>
        <w:rPr>
          <w:rStyle w:val="17"/>
          <w:rFonts w:hint="eastAsia" w:ascii="仿宋" w:hAnsi="仿宋" w:eastAsia="仿宋"/>
          <w:b w:val="0"/>
          <w:bCs/>
          <w:sz w:val="32"/>
          <w:szCs w:val="32"/>
          <w:lang w:val="en-US" w:eastAsia="zh-CN"/>
        </w:rPr>
      </w:pPr>
      <w:r>
        <w:rPr>
          <w:rFonts w:hint="eastAsia" w:ascii="仿宋" w:hAnsi="仿宋" w:eastAsia="仿宋"/>
          <w:b/>
          <w:bCs/>
          <w:sz w:val="32"/>
          <w:szCs w:val="32"/>
          <w:lang w:val="en-US" w:eastAsia="zh-CN"/>
        </w:rPr>
        <w:t>5.</w:t>
      </w:r>
      <w:r>
        <w:rPr>
          <w:rFonts w:hint="eastAsia" w:ascii="仿宋" w:hAnsi="仿宋" w:eastAsia="仿宋"/>
          <w:b/>
          <w:bCs/>
          <w:sz w:val="32"/>
          <w:szCs w:val="32"/>
        </w:rPr>
        <w:t>卫生健康</w:t>
      </w:r>
      <w:r>
        <w:rPr>
          <w:rStyle w:val="17"/>
          <w:rFonts w:hint="eastAsia" w:ascii="仿宋" w:hAnsi="仿宋" w:eastAsia="仿宋"/>
          <w:bCs/>
          <w:sz w:val="32"/>
          <w:szCs w:val="32"/>
        </w:rPr>
        <w:t>（类）</w:t>
      </w:r>
      <w:r>
        <w:rPr>
          <w:rStyle w:val="17"/>
          <w:rFonts w:hint="eastAsia" w:ascii="仿宋" w:hAnsi="仿宋" w:eastAsia="仿宋"/>
          <w:bCs/>
          <w:sz w:val="32"/>
          <w:szCs w:val="32"/>
          <w:lang w:val="en-US" w:eastAsia="zh-CN"/>
        </w:rPr>
        <w:t>基层医疗卫生机构</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其他基层医疗卫生机构支出</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14.01</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r>
        <w:rPr>
          <w:rStyle w:val="17"/>
          <w:rFonts w:hint="eastAsia" w:ascii="仿宋" w:hAnsi="仿宋" w:eastAsia="仿宋"/>
          <w:b w:val="0"/>
          <w:bCs/>
          <w:sz w:val="32"/>
          <w:szCs w:val="32"/>
          <w:lang w:val="en-US" w:eastAsia="zh-CN"/>
        </w:rPr>
        <w:t xml:space="preserve">  </w:t>
      </w:r>
    </w:p>
    <w:p w14:paraId="315F4C90">
      <w:pPr>
        <w:numPr>
          <w:ilvl w:val="0"/>
          <w:numId w:val="0"/>
        </w:numPr>
        <w:spacing w:line="600" w:lineRule="exact"/>
        <w:ind w:firstLine="640" w:firstLineChars="200"/>
        <w:rPr>
          <w:rStyle w:val="17"/>
          <w:rFonts w:hint="eastAsia" w:ascii="仿宋" w:hAnsi="仿宋" w:eastAsia="仿宋"/>
          <w:b w:val="0"/>
          <w:bCs/>
          <w:sz w:val="32"/>
          <w:szCs w:val="32"/>
          <w:lang w:eastAsia="zh-CN"/>
        </w:rPr>
      </w:pPr>
      <w:r>
        <w:rPr>
          <w:rStyle w:val="17"/>
          <w:rFonts w:hint="eastAsia" w:ascii="仿宋" w:hAnsi="仿宋" w:eastAsia="仿宋"/>
          <w:b w:val="0"/>
          <w:bCs/>
          <w:sz w:val="32"/>
          <w:szCs w:val="32"/>
          <w:lang w:val="en-US" w:eastAsia="zh-CN"/>
        </w:rPr>
        <w:t>6.</w:t>
      </w:r>
      <w:r>
        <w:rPr>
          <w:rFonts w:hint="eastAsia" w:ascii="仿宋" w:hAnsi="仿宋" w:eastAsia="仿宋"/>
          <w:b/>
          <w:bCs/>
          <w:sz w:val="32"/>
          <w:szCs w:val="32"/>
        </w:rPr>
        <w:t>卫生健康</w:t>
      </w:r>
      <w:r>
        <w:rPr>
          <w:rStyle w:val="17"/>
          <w:rFonts w:hint="eastAsia" w:ascii="仿宋" w:hAnsi="仿宋" w:eastAsia="仿宋"/>
          <w:bCs/>
          <w:sz w:val="32"/>
          <w:szCs w:val="32"/>
        </w:rPr>
        <w:t>（类）</w:t>
      </w:r>
      <w:r>
        <w:rPr>
          <w:rStyle w:val="17"/>
          <w:rFonts w:hint="eastAsia" w:ascii="仿宋" w:hAnsi="仿宋" w:eastAsia="仿宋"/>
          <w:bCs/>
          <w:sz w:val="32"/>
          <w:szCs w:val="32"/>
          <w:lang w:val="en-US" w:eastAsia="zh-CN"/>
        </w:rPr>
        <w:t>公共卫生</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基本公共卫生服务</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23.77</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6EA6F844">
      <w:pPr>
        <w:numPr>
          <w:ilvl w:val="0"/>
          <w:numId w:val="0"/>
        </w:numPr>
        <w:spacing w:line="600" w:lineRule="exact"/>
        <w:ind w:firstLine="643" w:firstLineChars="200"/>
        <w:rPr>
          <w:rStyle w:val="17"/>
          <w:rFonts w:hint="eastAsia" w:ascii="仿宋" w:hAnsi="仿宋" w:eastAsia="仿宋"/>
          <w:b w:val="0"/>
          <w:bCs/>
          <w:sz w:val="32"/>
          <w:szCs w:val="32"/>
          <w:lang w:eastAsia="zh-CN"/>
        </w:rPr>
      </w:pPr>
      <w:r>
        <w:rPr>
          <w:rFonts w:hint="eastAsia" w:ascii="仿宋" w:hAnsi="仿宋" w:eastAsia="仿宋"/>
          <w:b/>
          <w:bCs/>
          <w:sz w:val="32"/>
          <w:szCs w:val="32"/>
          <w:lang w:val="en-US" w:eastAsia="zh-CN"/>
        </w:rPr>
        <w:t>7.</w:t>
      </w:r>
      <w:r>
        <w:rPr>
          <w:rFonts w:hint="eastAsia" w:ascii="仿宋" w:hAnsi="仿宋" w:eastAsia="仿宋"/>
          <w:b/>
          <w:bCs/>
          <w:sz w:val="32"/>
          <w:szCs w:val="32"/>
        </w:rPr>
        <w:t>卫生健康</w:t>
      </w:r>
      <w:r>
        <w:rPr>
          <w:rStyle w:val="17"/>
          <w:rFonts w:hint="eastAsia" w:ascii="仿宋" w:hAnsi="仿宋" w:eastAsia="仿宋"/>
          <w:bCs/>
          <w:sz w:val="32"/>
          <w:szCs w:val="32"/>
        </w:rPr>
        <w:t>（类）</w:t>
      </w:r>
      <w:r>
        <w:rPr>
          <w:rStyle w:val="17"/>
          <w:rFonts w:hint="eastAsia" w:ascii="仿宋" w:hAnsi="仿宋" w:eastAsia="仿宋"/>
          <w:bCs/>
          <w:sz w:val="32"/>
          <w:szCs w:val="32"/>
          <w:lang w:val="en-US" w:eastAsia="zh-CN"/>
        </w:rPr>
        <w:t>公共卫生</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其他公共卫生支出</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2.02</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59ADDC09">
      <w:pPr>
        <w:numPr>
          <w:ilvl w:val="0"/>
          <w:numId w:val="0"/>
        </w:numPr>
        <w:spacing w:line="600" w:lineRule="exact"/>
        <w:ind w:firstLine="640" w:firstLineChars="200"/>
        <w:rPr>
          <w:rStyle w:val="17"/>
          <w:rFonts w:hint="eastAsia" w:ascii="仿宋" w:hAnsi="仿宋" w:eastAsia="仿宋"/>
          <w:b w:val="0"/>
          <w:bCs/>
          <w:sz w:val="32"/>
          <w:szCs w:val="32"/>
          <w:lang w:eastAsia="zh-CN"/>
        </w:rPr>
      </w:pPr>
      <w:r>
        <w:rPr>
          <w:rStyle w:val="17"/>
          <w:rFonts w:hint="eastAsia" w:ascii="仿宋" w:hAnsi="仿宋" w:eastAsia="仿宋"/>
          <w:b w:val="0"/>
          <w:bCs/>
          <w:sz w:val="32"/>
          <w:szCs w:val="32"/>
          <w:lang w:val="en-US" w:eastAsia="zh-CN"/>
        </w:rPr>
        <w:t>8.</w:t>
      </w:r>
      <w:r>
        <w:rPr>
          <w:rFonts w:hint="eastAsia" w:ascii="仿宋" w:hAnsi="仿宋" w:eastAsia="仿宋"/>
          <w:b/>
          <w:bCs/>
          <w:sz w:val="32"/>
          <w:szCs w:val="32"/>
        </w:rPr>
        <w:t>卫生健康</w:t>
      </w:r>
      <w:r>
        <w:rPr>
          <w:rStyle w:val="17"/>
          <w:rFonts w:hint="eastAsia" w:ascii="仿宋" w:hAnsi="仿宋" w:eastAsia="仿宋"/>
          <w:bCs/>
          <w:sz w:val="32"/>
          <w:szCs w:val="32"/>
        </w:rPr>
        <w:t>（类）</w:t>
      </w:r>
      <w:r>
        <w:rPr>
          <w:rStyle w:val="17"/>
          <w:rFonts w:hint="eastAsia" w:ascii="仿宋" w:hAnsi="仿宋" w:eastAsia="仿宋"/>
          <w:bCs/>
          <w:sz w:val="32"/>
          <w:szCs w:val="32"/>
          <w:lang w:val="en-US" w:eastAsia="zh-CN"/>
        </w:rPr>
        <w:t>行政事业单位医疗</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事业单位医疗</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18.99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1F6676E5">
      <w:pPr>
        <w:numPr>
          <w:ilvl w:val="0"/>
          <w:numId w:val="0"/>
        </w:numPr>
        <w:spacing w:line="600" w:lineRule="exact"/>
        <w:ind w:firstLine="640" w:firstLineChars="200"/>
        <w:rPr>
          <w:rStyle w:val="17"/>
          <w:rFonts w:hint="eastAsia" w:ascii="仿宋" w:hAnsi="仿宋" w:eastAsia="仿宋"/>
          <w:b w:val="0"/>
          <w:bCs/>
          <w:sz w:val="32"/>
          <w:szCs w:val="32"/>
          <w:lang w:eastAsia="zh-CN"/>
        </w:rPr>
      </w:pPr>
      <w:r>
        <w:rPr>
          <w:rStyle w:val="17"/>
          <w:rFonts w:hint="eastAsia" w:ascii="仿宋" w:hAnsi="仿宋" w:eastAsia="仿宋"/>
          <w:b w:val="0"/>
          <w:bCs/>
          <w:sz w:val="32"/>
          <w:szCs w:val="32"/>
          <w:lang w:val="en-US" w:eastAsia="zh-CN"/>
        </w:rPr>
        <w:t>9.</w:t>
      </w:r>
      <w:r>
        <w:rPr>
          <w:rFonts w:hint="eastAsia" w:ascii="仿宋" w:hAnsi="仿宋" w:eastAsia="仿宋"/>
          <w:b/>
          <w:bCs/>
          <w:sz w:val="32"/>
          <w:szCs w:val="32"/>
        </w:rPr>
        <w:t>卫生健康</w:t>
      </w:r>
      <w:r>
        <w:rPr>
          <w:rStyle w:val="17"/>
          <w:rFonts w:hint="eastAsia" w:ascii="仿宋" w:hAnsi="仿宋" w:eastAsia="仿宋"/>
          <w:bCs/>
          <w:sz w:val="32"/>
          <w:szCs w:val="32"/>
        </w:rPr>
        <w:t>（类）</w:t>
      </w:r>
      <w:r>
        <w:rPr>
          <w:rStyle w:val="17"/>
          <w:rFonts w:hint="eastAsia" w:ascii="仿宋" w:hAnsi="仿宋" w:eastAsia="仿宋"/>
          <w:bCs/>
          <w:sz w:val="32"/>
          <w:szCs w:val="32"/>
          <w:lang w:val="en-US" w:eastAsia="zh-CN"/>
        </w:rPr>
        <w:t>行政事业单位医疗</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其他行政事业单位医疗支出</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3.89</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2D57D2CC">
      <w:pPr>
        <w:numPr>
          <w:ilvl w:val="0"/>
          <w:numId w:val="0"/>
        </w:numPr>
        <w:spacing w:line="600" w:lineRule="exact"/>
        <w:ind w:firstLine="643" w:firstLineChars="200"/>
        <w:rPr>
          <w:rFonts w:ascii="仿宋" w:hAnsi="仿宋" w:eastAsia="仿宋"/>
          <w:b/>
          <w:sz w:val="32"/>
          <w:szCs w:val="32"/>
        </w:rPr>
      </w:pPr>
      <w:r>
        <w:rPr>
          <w:rFonts w:hint="eastAsia" w:ascii="仿宋" w:hAnsi="仿宋" w:eastAsia="仿宋"/>
          <w:b/>
          <w:bCs/>
          <w:sz w:val="32"/>
          <w:szCs w:val="32"/>
          <w:lang w:val="en-US" w:eastAsia="zh-CN"/>
        </w:rPr>
        <w:t>11.住房保障支出</w:t>
      </w:r>
      <w:r>
        <w:rPr>
          <w:rStyle w:val="17"/>
          <w:rFonts w:hint="eastAsia" w:ascii="仿宋" w:hAnsi="仿宋" w:eastAsia="仿宋"/>
          <w:bCs/>
          <w:sz w:val="32"/>
          <w:szCs w:val="32"/>
        </w:rPr>
        <w:t>（类）</w:t>
      </w:r>
      <w:r>
        <w:rPr>
          <w:rStyle w:val="17"/>
          <w:rFonts w:hint="eastAsia" w:ascii="仿宋" w:hAnsi="仿宋" w:eastAsia="仿宋"/>
          <w:bCs/>
          <w:sz w:val="32"/>
          <w:szCs w:val="32"/>
          <w:lang w:val="en-US" w:eastAsia="zh-CN"/>
        </w:rPr>
        <w:t>住房改革支出</w:t>
      </w:r>
      <w:r>
        <w:rPr>
          <w:rStyle w:val="17"/>
          <w:rFonts w:hint="eastAsia" w:ascii="仿宋" w:hAnsi="仿宋" w:eastAsia="仿宋"/>
          <w:bCs/>
          <w:sz w:val="32"/>
          <w:szCs w:val="32"/>
        </w:rPr>
        <w:t>（款）</w:t>
      </w:r>
      <w:r>
        <w:rPr>
          <w:rStyle w:val="17"/>
          <w:rFonts w:hint="eastAsia" w:ascii="仿宋" w:hAnsi="仿宋" w:eastAsia="仿宋"/>
          <w:bCs/>
          <w:sz w:val="32"/>
          <w:szCs w:val="32"/>
          <w:lang w:val="en-US" w:eastAsia="zh-CN"/>
        </w:rPr>
        <w:t>住房公积金</w:t>
      </w:r>
      <w:r>
        <w:rPr>
          <w:rStyle w:val="17"/>
          <w:rFonts w:hint="eastAsia" w:ascii="仿宋" w:hAnsi="仿宋" w:eastAsia="仿宋"/>
          <w:bCs/>
          <w:sz w:val="32"/>
          <w:szCs w:val="32"/>
        </w:rPr>
        <w:t>（项）</w:t>
      </w:r>
      <w:r>
        <w:rPr>
          <w:rStyle w:val="17"/>
          <w:rFonts w:hint="eastAsia" w:ascii="仿宋" w:hAnsi="仿宋" w:eastAsia="仿宋"/>
          <w:bCs/>
          <w:sz w:val="32"/>
          <w:szCs w:val="32"/>
          <w:lang w:eastAsia="zh-CN"/>
        </w:rPr>
        <w:t>：</w:t>
      </w:r>
      <w:r>
        <w:rPr>
          <w:rStyle w:val="17"/>
          <w:rFonts w:hint="eastAsia" w:ascii="仿宋" w:hAnsi="仿宋" w:eastAsia="仿宋"/>
          <w:b w:val="0"/>
          <w:bCs/>
          <w:sz w:val="32"/>
          <w:szCs w:val="32"/>
        </w:rPr>
        <w:t>支出决算为</w:t>
      </w:r>
      <w:r>
        <w:rPr>
          <w:rStyle w:val="17"/>
          <w:rFonts w:hint="eastAsia" w:ascii="仿宋" w:hAnsi="仿宋" w:eastAsia="仿宋"/>
          <w:b w:val="0"/>
          <w:bCs/>
          <w:sz w:val="32"/>
          <w:szCs w:val="32"/>
          <w:lang w:val="en-US" w:eastAsia="zh-CN"/>
        </w:rPr>
        <w:t>36.04</w:t>
      </w:r>
      <w:r>
        <w:rPr>
          <w:rStyle w:val="17"/>
          <w:rFonts w:hint="eastAsia" w:ascii="仿宋" w:hAnsi="仿宋" w:eastAsia="仿宋"/>
          <w:b w:val="0"/>
          <w:bCs/>
          <w:sz w:val="32"/>
          <w:szCs w:val="32"/>
        </w:rPr>
        <w:t>万元，完成预算</w:t>
      </w:r>
      <w:r>
        <w:rPr>
          <w:rStyle w:val="17"/>
          <w:rFonts w:hint="eastAsia" w:ascii="仿宋" w:hAnsi="仿宋" w:eastAsia="仿宋"/>
          <w:b w:val="0"/>
          <w:bCs/>
          <w:sz w:val="32"/>
          <w:szCs w:val="32"/>
          <w:lang w:val="en-US" w:eastAsia="zh-CN"/>
        </w:rPr>
        <w:t>100</w:t>
      </w:r>
      <w:r>
        <w:rPr>
          <w:rStyle w:val="17"/>
          <w:rFonts w:ascii="仿宋" w:hAnsi="仿宋" w:eastAsia="仿宋"/>
          <w:b w:val="0"/>
          <w:bCs/>
          <w:sz w:val="32"/>
          <w:szCs w:val="32"/>
        </w:rPr>
        <w:t>%</w:t>
      </w:r>
      <w:r>
        <w:rPr>
          <w:rStyle w:val="17"/>
          <w:rFonts w:hint="eastAsia" w:ascii="仿宋" w:hAnsi="仿宋" w:eastAsia="仿宋"/>
          <w:b w:val="0"/>
          <w:bCs/>
          <w:sz w:val="32"/>
          <w:szCs w:val="32"/>
          <w:lang w:eastAsia="zh-CN"/>
        </w:rPr>
        <w:t>。</w:t>
      </w:r>
    </w:p>
    <w:p w14:paraId="79C3AA26">
      <w:pPr>
        <w:tabs>
          <w:tab w:val="right" w:pos="8306"/>
        </w:tabs>
        <w:spacing w:line="600" w:lineRule="exact"/>
        <w:ind w:firstLine="640"/>
        <w:outlineLvl w:val="1"/>
        <w:rPr>
          <w:rStyle w:val="29"/>
          <w:rFonts w:ascii="Times New Roman" w:hAnsi="Times New Roman"/>
          <w:color w:val="auto"/>
          <w:highlight w:val="none"/>
        </w:rPr>
      </w:pPr>
      <w:bookmarkStart w:id="71" w:name="_Toc5339_WPSOffice_Level2"/>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69"/>
      <w:bookmarkEnd w:id="70"/>
      <w:bookmarkEnd w:id="71"/>
      <w:r>
        <w:rPr>
          <w:rStyle w:val="29"/>
          <w:rFonts w:ascii="Times New Roman" w:hAnsi="Times New Roman" w:eastAsia="黑体"/>
          <w:b w:val="0"/>
          <w:color w:val="auto"/>
          <w:highlight w:val="none"/>
        </w:rPr>
        <w:tab/>
      </w:r>
    </w:p>
    <w:p w14:paraId="2009D2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470.97</w:t>
      </w:r>
      <w:r>
        <w:rPr>
          <w:rFonts w:hint="eastAsia" w:ascii="Times New Roman" w:hAnsi="Times New Roman" w:eastAsia="仿宋_GB2312" w:cs="仿宋_GB2312"/>
          <w:color w:val="auto"/>
          <w:kern w:val="2"/>
          <w:sz w:val="32"/>
          <w:szCs w:val="32"/>
          <w:highlight w:val="none"/>
          <w:lang w:val="en-US" w:eastAsia="zh-CN" w:bidi="ar-SA"/>
        </w:rPr>
        <w:t>万元，其中：</w:t>
      </w:r>
    </w:p>
    <w:p w14:paraId="17234BC5">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462.26</w:t>
      </w:r>
      <w:r>
        <w:rPr>
          <w:rFonts w:hint="eastAsia" w:ascii="Times New Roman" w:hAnsi="Times New Roman" w:eastAsia="仿宋_GB2312" w:cs="仿宋_GB2312"/>
          <w:color w:val="auto"/>
          <w:kern w:val="2"/>
          <w:sz w:val="32"/>
          <w:szCs w:val="32"/>
          <w:highlight w:val="none"/>
          <w:lang w:val="en-US" w:eastAsia="zh-CN" w:bidi="ar-SA"/>
        </w:rPr>
        <w:t>万元，主要包括：基本工资</w:t>
      </w:r>
      <w:r>
        <w:rPr>
          <w:rFonts w:hint="eastAsia" w:eastAsia="仿宋_GB2312" w:cs="仿宋_GB2312"/>
          <w:color w:val="auto"/>
          <w:kern w:val="2"/>
          <w:sz w:val="32"/>
          <w:szCs w:val="32"/>
          <w:highlight w:val="none"/>
          <w:lang w:val="en-US" w:eastAsia="zh-CN" w:bidi="ar-SA"/>
        </w:rPr>
        <w:t>87.79万元</w:t>
      </w:r>
      <w:r>
        <w:rPr>
          <w:rFonts w:hint="eastAsia" w:ascii="Times New Roman" w:hAnsi="Times New Roman" w:eastAsia="仿宋_GB2312" w:cs="仿宋_GB2312"/>
          <w:color w:val="auto"/>
          <w:kern w:val="2"/>
          <w:sz w:val="32"/>
          <w:szCs w:val="32"/>
          <w:highlight w:val="none"/>
          <w:lang w:val="en-US" w:eastAsia="zh-CN" w:bidi="ar-SA"/>
        </w:rPr>
        <w:t>、津贴补贴</w:t>
      </w:r>
      <w:r>
        <w:rPr>
          <w:rFonts w:hint="eastAsia" w:eastAsia="仿宋_GB2312" w:cs="仿宋_GB2312"/>
          <w:color w:val="auto"/>
          <w:kern w:val="2"/>
          <w:sz w:val="32"/>
          <w:szCs w:val="32"/>
          <w:highlight w:val="none"/>
          <w:lang w:val="en-US" w:eastAsia="zh-CN" w:bidi="ar-SA"/>
        </w:rPr>
        <w:t>76.36万元</w:t>
      </w:r>
      <w:r>
        <w:rPr>
          <w:rFonts w:hint="eastAsia" w:ascii="Times New Roman" w:hAnsi="Times New Roman" w:eastAsia="仿宋_GB2312" w:cs="仿宋_GB2312"/>
          <w:color w:val="auto"/>
          <w:kern w:val="2"/>
          <w:sz w:val="32"/>
          <w:szCs w:val="32"/>
          <w:highlight w:val="none"/>
          <w:lang w:val="en-US" w:eastAsia="zh-CN" w:bidi="ar-SA"/>
        </w:rPr>
        <w:t>、奖金</w:t>
      </w:r>
      <w:r>
        <w:rPr>
          <w:rFonts w:hint="eastAsia" w:eastAsia="仿宋_GB2312" w:cs="仿宋_GB2312"/>
          <w:color w:val="auto"/>
          <w:kern w:val="2"/>
          <w:sz w:val="32"/>
          <w:szCs w:val="32"/>
          <w:highlight w:val="none"/>
          <w:lang w:val="en-US" w:eastAsia="zh-CN" w:bidi="ar-SA"/>
        </w:rPr>
        <w:t>106.61万元</w:t>
      </w:r>
      <w:r>
        <w:rPr>
          <w:rFonts w:hint="eastAsia" w:ascii="Times New Roman" w:hAnsi="Times New Roman" w:eastAsia="仿宋_GB2312" w:cs="仿宋_GB2312"/>
          <w:color w:val="auto"/>
          <w:kern w:val="2"/>
          <w:sz w:val="32"/>
          <w:szCs w:val="32"/>
          <w:highlight w:val="none"/>
          <w:lang w:val="en-US" w:eastAsia="zh-CN" w:bidi="ar-SA"/>
        </w:rPr>
        <w:t>、绩效工资</w:t>
      </w:r>
      <w:r>
        <w:rPr>
          <w:rFonts w:hint="eastAsia" w:eastAsia="仿宋_GB2312" w:cs="仿宋_GB2312"/>
          <w:color w:val="auto"/>
          <w:kern w:val="2"/>
          <w:sz w:val="32"/>
          <w:szCs w:val="32"/>
          <w:highlight w:val="none"/>
          <w:lang w:val="en-US" w:eastAsia="zh-CN" w:bidi="ar-SA"/>
        </w:rPr>
        <w:t>67.21万元</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、机关事业单位基本养老保险缴费40.86</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职工医保保险缴费18.99万元、</w:t>
      </w:r>
      <w:r>
        <w:rPr>
          <w:rFonts w:hint="eastAsia" w:ascii="Times New Roman" w:hAnsi="Times New Roman" w:eastAsia="仿宋_GB2312" w:cs="仿宋_GB2312"/>
          <w:color w:val="auto"/>
          <w:kern w:val="2"/>
          <w:sz w:val="32"/>
          <w:szCs w:val="32"/>
          <w:highlight w:val="none"/>
          <w:lang w:val="en-US" w:eastAsia="zh-CN" w:bidi="ar-SA"/>
        </w:rPr>
        <w:t>职业年金缴费</w:t>
      </w:r>
      <w:r>
        <w:rPr>
          <w:rFonts w:hint="eastAsia" w:eastAsia="仿宋_GB2312" w:cs="仿宋_GB2312"/>
          <w:color w:val="auto"/>
          <w:kern w:val="2"/>
          <w:sz w:val="32"/>
          <w:szCs w:val="32"/>
          <w:highlight w:val="none"/>
          <w:lang w:val="en-US" w:eastAsia="zh-CN" w:bidi="ar-SA"/>
        </w:rPr>
        <w:t>20.26万元</w:t>
      </w:r>
      <w:r>
        <w:rPr>
          <w:rFonts w:hint="eastAsia" w:ascii="Times New Roman" w:hAnsi="Times New Roman" w:eastAsia="仿宋_GB2312" w:cs="仿宋_GB2312"/>
          <w:color w:val="auto"/>
          <w:kern w:val="2"/>
          <w:sz w:val="32"/>
          <w:szCs w:val="32"/>
          <w:highlight w:val="none"/>
          <w:lang w:val="en-US" w:eastAsia="zh-CN" w:bidi="ar-SA"/>
        </w:rPr>
        <w:t>、其他社会保障缴费</w:t>
      </w:r>
      <w:r>
        <w:rPr>
          <w:rFonts w:hint="eastAsia" w:eastAsia="仿宋_GB2312" w:cs="仿宋_GB2312"/>
          <w:color w:val="auto"/>
          <w:kern w:val="2"/>
          <w:sz w:val="32"/>
          <w:szCs w:val="32"/>
          <w:highlight w:val="none"/>
          <w:lang w:val="en-US" w:eastAsia="zh-CN" w:bidi="ar-SA"/>
        </w:rPr>
        <w:t>4.23万元</w:t>
      </w:r>
      <w:r>
        <w:rPr>
          <w:rFonts w:hint="eastAsia" w:ascii="Times New Roman" w:hAnsi="Times New Roman" w:eastAsia="仿宋_GB2312" w:cs="仿宋_GB2312"/>
          <w:color w:val="auto"/>
          <w:kern w:val="2"/>
          <w:sz w:val="32"/>
          <w:szCs w:val="32"/>
          <w:highlight w:val="none"/>
          <w:lang w:val="en-US" w:eastAsia="zh-CN" w:bidi="ar-SA"/>
        </w:rPr>
        <w:t>、医疗费</w:t>
      </w:r>
      <w:r>
        <w:rPr>
          <w:rFonts w:hint="eastAsia" w:eastAsia="仿宋_GB2312" w:cs="仿宋_GB2312"/>
          <w:color w:val="auto"/>
          <w:kern w:val="2"/>
          <w:sz w:val="32"/>
          <w:szCs w:val="32"/>
          <w:highlight w:val="none"/>
          <w:lang w:val="en-US" w:eastAsia="zh-CN" w:bidi="ar-SA"/>
        </w:rPr>
        <w:t>3.89万元</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36.04万元</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8.72</w:t>
      </w:r>
      <w:r>
        <w:rPr>
          <w:rFonts w:hint="eastAsia" w:ascii="Times New Roman" w:hAnsi="Times New Roman" w:eastAsia="仿宋_GB2312" w:cs="仿宋_GB2312"/>
          <w:color w:val="auto"/>
          <w:kern w:val="2"/>
          <w:sz w:val="32"/>
          <w:szCs w:val="32"/>
          <w:highlight w:val="none"/>
          <w:lang w:val="en-US" w:eastAsia="zh-CN" w:bidi="ar-SA"/>
        </w:rPr>
        <w:t>万元，主要包括：工会经费</w:t>
      </w:r>
      <w:r>
        <w:rPr>
          <w:rFonts w:hint="eastAsia" w:eastAsia="仿宋_GB2312" w:cs="仿宋_GB2312"/>
          <w:color w:val="auto"/>
          <w:kern w:val="2"/>
          <w:sz w:val="32"/>
          <w:szCs w:val="32"/>
          <w:highlight w:val="none"/>
          <w:lang w:val="en-US" w:eastAsia="zh-CN" w:bidi="ar-SA"/>
        </w:rPr>
        <w:t>8.72万元。</w:t>
      </w:r>
    </w:p>
    <w:p w14:paraId="2D7E07E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A7008A5">
      <w:pPr>
        <w:spacing w:line="600" w:lineRule="exact"/>
        <w:ind w:firstLine="640"/>
        <w:outlineLvl w:val="1"/>
        <w:rPr>
          <w:rStyle w:val="29"/>
          <w:rFonts w:ascii="Times New Roman" w:hAnsi="Times New Roman" w:eastAsia="黑体"/>
          <w:b w:val="0"/>
          <w:color w:val="auto"/>
          <w:highlight w:val="none"/>
        </w:rPr>
      </w:pPr>
      <w:bookmarkStart w:id="72" w:name="_Toc15377215"/>
      <w:bookmarkStart w:id="73" w:name="_Toc15396609"/>
      <w:bookmarkStart w:id="74" w:name="_Toc22299_WPSOffice_Level2"/>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72"/>
      <w:bookmarkEnd w:id="73"/>
      <w:bookmarkEnd w:id="74"/>
    </w:p>
    <w:p w14:paraId="69A55F5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5"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75"/>
    </w:p>
    <w:p w14:paraId="16C5A92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AC5D91F">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76"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76"/>
    </w:p>
    <w:p w14:paraId="6F9984D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5987FD52">
      <w:pPr>
        <w:pStyle w:val="2"/>
        <w:rPr>
          <w:rFonts w:hint="eastAsia" w:ascii="Times New Roman" w:hAnsi="Times New Roman" w:eastAsia="仿宋_GB2312" w:cs="仿宋_GB2312"/>
          <w:color w:val="auto"/>
          <w:kern w:val="2"/>
          <w:sz w:val="32"/>
          <w:szCs w:val="32"/>
          <w:highlight w:val="none"/>
          <w:lang w:val="en-US" w:eastAsia="zh-CN" w:bidi="ar-SA"/>
        </w:rPr>
      </w:pPr>
      <w:r>
        <w:drawing>
          <wp:inline distT="0" distB="0" distL="114300" distR="114300">
            <wp:extent cx="3266440" cy="1994535"/>
            <wp:effectExtent l="5080" t="4445" r="5080" b="20320"/>
            <wp:docPr id="124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32D6218">
      <w:pPr>
        <w:pStyle w:val="3"/>
        <w:rPr>
          <w:rFonts w:hint="eastAsia"/>
          <w:lang w:val="en-US" w:eastAsia="zh-CN"/>
        </w:rPr>
      </w:pPr>
    </w:p>
    <w:p w14:paraId="3485B41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46340A9D">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8D24439">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275F9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7410673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6AE9337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w:t>
      </w:r>
    </w:p>
    <w:p w14:paraId="75DE25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w:t>
      </w:r>
    </w:p>
    <w:p w14:paraId="40EE6F0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238EA1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77" w:name="_Toc15377218"/>
      <w:bookmarkStart w:id="78" w:name="_Toc15396610"/>
    </w:p>
    <w:p w14:paraId="04AA011B">
      <w:pPr>
        <w:spacing w:line="600" w:lineRule="exact"/>
        <w:ind w:firstLine="640"/>
        <w:outlineLvl w:val="1"/>
        <w:rPr>
          <w:rStyle w:val="29"/>
          <w:rFonts w:ascii="Times New Roman" w:hAnsi="Times New Roman" w:eastAsia="黑体"/>
          <w:color w:val="auto"/>
          <w:highlight w:val="none"/>
        </w:rPr>
      </w:pPr>
      <w:bookmarkStart w:id="79" w:name="_Toc30211_WPSOffice_Level2"/>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77"/>
      <w:bookmarkEnd w:id="78"/>
      <w:bookmarkEnd w:id="79"/>
    </w:p>
    <w:p w14:paraId="1CC21F5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86EEBAA">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80" w:name="_Toc15396611"/>
      <w:bookmarkStart w:id="81" w:name="_Toc7488_WPSOffice_Level2"/>
      <w:bookmarkStart w:id="82" w:name="_Toc15377219"/>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80"/>
      <w:bookmarkEnd w:id="81"/>
      <w:bookmarkEnd w:id="82"/>
    </w:p>
    <w:p w14:paraId="6DAFD1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70780B46">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83" w:name="_Toc15574_WPSOffice_Level2"/>
      <w:bookmarkStart w:id="84" w:name="_Toc15396612"/>
      <w:bookmarkStart w:id="85"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83"/>
      <w:bookmarkEnd w:id="84"/>
      <w:bookmarkEnd w:id="85"/>
    </w:p>
    <w:p w14:paraId="17CA2D0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6" w:name="_Toc15377222"/>
      <w:r>
        <w:rPr>
          <w:rFonts w:hint="eastAsia" w:ascii="Times New Roman" w:hAnsi="Times New Roman" w:eastAsia="楷体_GB2312" w:cs="楷体_GB2312"/>
          <w:b/>
          <w:color w:val="auto"/>
          <w:sz w:val="32"/>
          <w:szCs w:val="32"/>
          <w:highlight w:val="none"/>
        </w:rPr>
        <w:t>（一）机关运行经费支出情况</w:t>
      </w:r>
      <w:bookmarkEnd w:id="86"/>
    </w:p>
    <w:p w14:paraId="1FDC553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松潘县毛儿盖镇中心卫生院</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F6288A7">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7" w:name="_Toc15377223"/>
      <w:r>
        <w:rPr>
          <w:rFonts w:hint="eastAsia" w:ascii="Times New Roman" w:hAnsi="Times New Roman" w:eastAsia="楷体_GB2312" w:cs="楷体_GB2312"/>
          <w:b/>
          <w:color w:val="auto"/>
          <w:sz w:val="32"/>
          <w:szCs w:val="32"/>
          <w:highlight w:val="none"/>
        </w:rPr>
        <w:t>（二）政府采购支出情况</w:t>
      </w:r>
      <w:bookmarkEnd w:id="87"/>
    </w:p>
    <w:p w14:paraId="099F08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松潘县毛儿盖镇中心卫生院</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78750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486BB8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88" w:name="_Toc15377224"/>
      <w:r>
        <w:rPr>
          <w:rFonts w:hint="eastAsia" w:ascii="Times New Roman" w:hAnsi="Times New Roman" w:eastAsia="楷体_GB2312" w:cs="楷体_GB2312"/>
          <w:b/>
          <w:color w:val="auto"/>
          <w:sz w:val="32"/>
          <w:szCs w:val="32"/>
          <w:highlight w:val="none"/>
        </w:rPr>
        <w:t>（三）国有资产占有使用情况</w:t>
      </w:r>
      <w:bookmarkEnd w:id="88"/>
    </w:p>
    <w:p w14:paraId="55DA1FC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松潘县毛儿盖镇中心卫生院</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2</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35FD7C3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E52C69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BBC420D">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89" w:name="_Toc15396613"/>
      <w:bookmarkStart w:id="90" w:name="_Toc23229_WPSOffice_Level1"/>
      <w:bookmarkStart w:id="91" w:name="_Toc15377225"/>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89"/>
      <w:bookmarkEnd w:id="90"/>
      <w:bookmarkEnd w:id="91"/>
    </w:p>
    <w:p w14:paraId="317B76E6">
      <w:pPr>
        <w:spacing w:line="600" w:lineRule="exact"/>
        <w:jc w:val="left"/>
        <w:rPr>
          <w:rFonts w:ascii="Times New Roman" w:hAnsi="Times New Roman"/>
          <w:b/>
          <w:color w:val="auto"/>
          <w:sz w:val="44"/>
          <w:szCs w:val="44"/>
          <w:highlight w:val="none"/>
        </w:rPr>
      </w:pPr>
    </w:p>
    <w:p w14:paraId="2EA9C76F">
      <w:pPr>
        <w:pStyle w:val="26"/>
        <w:spacing w:line="560" w:lineRule="exact"/>
        <w:ind w:firstLine="640" w:firstLineChars="200"/>
        <w:rPr>
          <w:rFonts w:ascii="仿宋_GB2312" w:eastAsia="仿宋_GB2312"/>
          <w:color w:val="auto"/>
          <w:sz w:val="32"/>
          <w:szCs w:val="32"/>
        </w:rPr>
      </w:pPr>
      <w:bookmarkStart w:id="92"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08EC3005">
      <w:pPr>
        <w:pStyle w:val="26"/>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005CB9F5">
      <w:pPr>
        <w:pStyle w:val="26"/>
        <w:spacing w:line="560" w:lineRule="exact"/>
        <w:ind w:firstLine="640" w:firstLineChars="200"/>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7A6BA402">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6A8DBBAE">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r>
        <w:rPr>
          <w:rFonts w:ascii="仿宋_GB2312" w:eastAsia="仿宋_GB2312"/>
          <w:color w:val="auto"/>
          <w:sz w:val="32"/>
          <w:szCs w:val="32"/>
        </w:rPr>
        <w:t xml:space="preserve"> </w:t>
      </w:r>
    </w:p>
    <w:p w14:paraId="0314E57D">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541A9552">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0CBC942A">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35707C3B">
      <w:pPr>
        <w:spacing w:line="600" w:lineRule="exact"/>
        <w:ind w:firstLine="640"/>
        <w:rPr>
          <w:rFonts w:ascii="仿宋_GB2312" w:hAnsi="Calibri" w:eastAsia="仿宋_GB2312" w:cs="仿宋"/>
          <w:color w:val="auto"/>
          <w:kern w:val="0"/>
          <w:sz w:val="32"/>
          <w:szCs w:val="32"/>
          <w:lang w:val="en-US" w:eastAsia="zh-CN" w:bidi="ar-SA"/>
        </w:rPr>
      </w:pPr>
      <w:r>
        <w:rPr>
          <w:rFonts w:ascii="仿宋_GB2312" w:hAnsi="Calibri" w:eastAsia="仿宋_GB2312" w:cs="仿宋"/>
          <w:color w:val="auto"/>
          <w:kern w:val="0"/>
          <w:sz w:val="32"/>
          <w:szCs w:val="32"/>
          <w:lang w:val="en-US" w:eastAsia="zh-CN" w:bidi="ar-SA"/>
        </w:rPr>
        <w:t>9.</w:t>
      </w:r>
      <w:r>
        <w:rPr>
          <w:rFonts w:hint="eastAsia" w:ascii="仿宋_GB2312" w:hAnsi="Calibri" w:eastAsia="仿宋_GB2312" w:cs="仿宋"/>
          <w:color w:val="auto"/>
          <w:kern w:val="0"/>
          <w:sz w:val="32"/>
          <w:szCs w:val="32"/>
          <w:lang w:val="en-US" w:eastAsia="zh-CN" w:bidi="ar-SA"/>
        </w:rPr>
        <w:t>一般公共服务社会保障和就业支出（208）行政事业单位养老支出（20805）机关事业单位基本养老保险缴费支出（2080505）：反映机关事业单位实施养老保险制度由单位缴纳的基本养老保险费支出。</w:t>
      </w:r>
      <w:r>
        <w:rPr>
          <w:rFonts w:hint="eastAsia" w:ascii="仿宋_GB2312" w:hAnsi="Calibri" w:eastAsia="仿宋_GB2312" w:cs="仿宋"/>
          <w:color w:val="auto"/>
          <w:kern w:val="0"/>
          <w:sz w:val="32"/>
          <w:szCs w:val="32"/>
          <w:lang w:val="en-US" w:eastAsia="zh-CN" w:bidi="ar-SA"/>
        </w:rPr>
        <w:cr/>
      </w:r>
      <w:r>
        <w:rPr>
          <w:rFonts w:hint="eastAsia" w:ascii="仿宋_GB2312" w:hAnsi="Calibri" w:eastAsia="仿宋_GB2312" w:cs="仿宋"/>
          <w:color w:val="auto"/>
          <w:kern w:val="0"/>
          <w:sz w:val="32"/>
          <w:szCs w:val="32"/>
          <w:lang w:val="en-US" w:eastAsia="zh-CN" w:bidi="ar-SA"/>
        </w:rPr>
        <w:t xml:space="preserve">    10.社会保障和就业支出（208）行政事业单位养老支出（20805）机关事业单位职业年金缴费支出（2080506）：反映机关事业单位实施养老保险制度由单位实际缴纳的职业年金支出。</w:t>
      </w:r>
      <w:r>
        <w:rPr>
          <w:rFonts w:hint="eastAsia" w:ascii="仿宋_GB2312" w:hAnsi="Calibri" w:eastAsia="仿宋_GB2312" w:cs="仿宋"/>
          <w:color w:val="auto"/>
          <w:kern w:val="0"/>
          <w:sz w:val="32"/>
          <w:szCs w:val="32"/>
          <w:lang w:val="en-US" w:eastAsia="zh-CN" w:bidi="ar-SA"/>
        </w:rPr>
        <w:cr/>
      </w:r>
      <w:r>
        <w:rPr>
          <w:rFonts w:hint="eastAsia" w:ascii="仿宋_GB2312" w:hAnsi="Calibri" w:eastAsia="仿宋_GB2312" w:cs="仿宋"/>
          <w:color w:val="auto"/>
          <w:kern w:val="0"/>
          <w:sz w:val="32"/>
          <w:szCs w:val="32"/>
          <w:lang w:val="en-US" w:eastAsia="zh-CN" w:bidi="ar-SA"/>
        </w:rPr>
        <w:t xml:space="preserve">   11.卫生健康支出（210）基层医疗卫生机构（2100403）乡镇卫生院（2100302）：反映卫生健康部门所属乡镇卫生院医疗机构的支出。</w:t>
      </w:r>
      <w:r>
        <w:rPr>
          <w:rFonts w:hint="eastAsia" w:ascii="仿宋_GB2312" w:hAnsi="Calibri" w:eastAsia="仿宋_GB2312" w:cs="仿宋"/>
          <w:color w:val="auto"/>
          <w:kern w:val="0"/>
          <w:sz w:val="32"/>
          <w:szCs w:val="32"/>
          <w:lang w:val="en-US" w:eastAsia="zh-CN" w:bidi="ar-SA"/>
        </w:rPr>
        <w:cr/>
      </w:r>
      <w:r>
        <w:rPr>
          <w:rFonts w:hint="eastAsia" w:ascii="仿宋_GB2312" w:hAnsi="Calibri" w:eastAsia="仿宋_GB2312" w:cs="仿宋"/>
          <w:color w:val="auto"/>
          <w:kern w:val="0"/>
          <w:sz w:val="32"/>
          <w:szCs w:val="32"/>
          <w:lang w:val="en-US" w:eastAsia="zh-CN" w:bidi="ar-SA"/>
        </w:rPr>
        <w:t xml:space="preserve">   12.卫生健康支出（210）公共卫生（21004）基本公共卫生服务（2100408）：反映基本公共卫生服务支出。</w:t>
      </w:r>
      <w:r>
        <w:rPr>
          <w:rFonts w:hint="eastAsia" w:ascii="仿宋_GB2312" w:hAnsi="Calibri" w:eastAsia="仿宋_GB2312" w:cs="仿宋"/>
          <w:color w:val="auto"/>
          <w:kern w:val="0"/>
          <w:sz w:val="32"/>
          <w:szCs w:val="32"/>
          <w:lang w:val="en-US" w:eastAsia="zh-CN" w:bidi="ar-SA"/>
        </w:rPr>
        <w:cr/>
      </w:r>
      <w:r>
        <w:rPr>
          <w:rFonts w:hint="eastAsia" w:ascii="仿宋_GB2312" w:hAnsi="Calibri" w:eastAsia="仿宋_GB2312" w:cs="仿宋"/>
          <w:color w:val="auto"/>
          <w:kern w:val="0"/>
          <w:sz w:val="32"/>
          <w:szCs w:val="32"/>
          <w:lang w:val="en-US" w:eastAsia="zh-CN" w:bidi="ar-SA"/>
        </w:rPr>
        <w:t xml:space="preserve">   13.卫生健康支出（210）行政事业单位医疗（21011）其他行政事业单位医疗（2101199）：反映财政部门安排的事业单位基本医疗保险缴费经费，未参加医疗保险的事业单位的公费医疗经费，按国家规定享受离休人员待遇的医疗经费。</w:t>
      </w:r>
    </w:p>
    <w:p w14:paraId="7AEBDF44">
      <w:pPr>
        <w:spacing w:line="600" w:lineRule="exact"/>
        <w:ind w:firstLine="640" w:firstLineChars="200"/>
        <w:rPr>
          <w:rFonts w:hint="eastAsia"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14.卫生健康支出（210）公共卫生（21004）其他行政事业单位医疗支出（2100499）：其他公共卫生支出反映除上述项目以外的其他用于公共卫生方面的支出。</w:t>
      </w:r>
      <w:r>
        <w:rPr>
          <w:rFonts w:hint="eastAsia" w:ascii="仿宋_GB2312" w:hAnsi="Calibri" w:eastAsia="仿宋_GB2312" w:cs="仿宋"/>
          <w:color w:val="auto"/>
          <w:kern w:val="0"/>
          <w:sz w:val="32"/>
          <w:szCs w:val="32"/>
          <w:lang w:val="en-US" w:eastAsia="zh-CN" w:bidi="ar-SA"/>
        </w:rPr>
        <w:cr/>
      </w:r>
      <w:r>
        <w:rPr>
          <w:rFonts w:hint="eastAsia" w:ascii="仿宋_GB2312" w:hAnsi="Calibri" w:eastAsia="仿宋_GB2312" w:cs="仿宋"/>
          <w:color w:val="auto"/>
          <w:kern w:val="0"/>
          <w:sz w:val="32"/>
          <w:szCs w:val="32"/>
          <w:lang w:val="en-US" w:eastAsia="zh-CN" w:bidi="ar-SA"/>
        </w:rPr>
        <w:t xml:space="preserve">   15.住房保障支出（221）住房改革支出（22102）住房公积金（2210201）：反映行政事业单位按人力资源和社会保障部、财政部规定的基本工资和津贴补贴以及规定比例为职工缴纳的住房公积金。</w:t>
      </w:r>
    </w:p>
    <w:p w14:paraId="396E268C">
      <w:pPr>
        <w:spacing w:line="600" w:lineRule="exact"/>
        <w:ind w:firstLine="640" w:firstLineChars="200"/>
        <w:rPr>
          <w:rFonts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16.基本支出：指为保障机构正常运转、完成日常工作任务而发生的人员支出和公用支出。</w:t>
      </w:r>
    </w:p>
    <w:p w14:paraId="7DDD9F78">
      <w:pPr>
        <w:spacing w:line="600" w:lineRule="exact"/>
        <w:ind w:firstLine="640" w:firstLineChars="200"/>
        <w:rPr>
          <w:rFonts w:hint="eastAsia"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 xml:space="preserve">17.项目支出：指在基本支出之外为完成特定行政任务和事业发展目标所发生的支出。 </w:t>
      </w:r>
    </w:p>
    <w:p w14:paraId="008DEC60">
      <w:pPr>
        <w:spacing w:line="600" w:lineRule="exact"/>
        <w:ind w:firstLine="640" w:firstLineChars="200"/>
        <w:rPr>
          <w:rFonts w:hint="eastAsia"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18.经营支出：指事业单位在专业业务活动及其辅助活动之外开展非独立核算经营活动发生的支出。</w:t>
      </w:r>
    </w:p>
    <w:p w14:paraId="191BED8F">
      <w:pPr>
        <w:spacing w:line="600" w:lineRule="exact"/>
        <w:ind w:firstLine="640" w:firstLineChars="200"/>
        <w:rPr>
          <w:rFonts w:hint="eastAsia"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19.“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509053F">
      <w:pPr>
        <w:spacing w:line="600" w:lineRule="exact"/>
        <w:ind w:firstLine="640" w:firstLineChars="200"/>
        <w:rPr>
          <w:rFonts w:hint="eastAsia"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20.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2CDACDE">
      <w:pPr>
        <w:spacing w:line="600" w:lineRule="exact"/>
        <w:ind w:firstLine="640" w:firstLineChars="200"/>
        <w:rPr>
          <w:rFonts w:ascii="仿宋_GB2312" w:hAnsi="Calibri" w:eastAsia="仿宋_GB2312" w:cs="仿宋"/>
          <w:color w:val="auto"/>
          <w:kern w:val="0"/>
          <w:sz w:val="32"/>
          <w:szCs w:val="32"/>
          <w:lang w:val="en-US" w:eastAsia="zh-CN" w:bidi="ar-SA"/>
        </w:rPr>
      </w:pPr>
      <w:r>
        <w:rPr>
          <w:rFonts w:hint="eastAsia" w:ascii="仿宋_GB2312" w:hAnsi="Calibri" w:eastAsia="仿宋_GB2312" w:cs="仿宋"/>
          <w:color w:val="auto"/>
          <w:kern w:val="0"/>
          <w:sz w:val="32"/>
          <w:szCs w:val="32"/>
          <w:lang w:val="en-US" w:eastAsia="zh-CN" w:bidi="ar-SA"/>
        </w:rPr>
        <w:t>21.财政应返还额度：为行政事业单位会计核算科目，用于核算实行国库集中支付的行政事业单位应收财政返还的资金额度。</w:t>
      </w:r>
    </w:p>
    <w:p w14:paraId="1269594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br w:type="page"/>
      </w:r>
      <w:bookmarkStart w:id="93" w:name="_Toc15396618"/>
    </w:p>
    <w:p w14:paraId="39DDBD8D">
      <w:pPr>
        <w:widowControl/>
        <w:jc w:val="center"/>
        <w:rPr>
          <w:rFonts w:hint="eastAsia" w:ascii="Times New Roman" w:hAnsi="Times New Roman" w:eastAsia="仿宋"/>
          <w:b w:val="0"/>
          <w:color w:val="auto"/>
          <w:highlight w:val="none"/>
        </w:rPr>
      </w:pPr>
      <w:bookmarkStart w:id="94" w:name="_Toc19652_WPSOffice_Level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val="en-US" w:eastAsia="zh-CN"/>
        </w:rPr>
        <w:t>四</w:t>
      </w:r>
      <w:r>
        <w:rPr>
          <w:rStyle w:val="28"/>
          <w:rFonts w:hint="eastAsia" w:ascii="Times New Roman" w:hAnsi="Times New Roman" w:eastAsia="黑体"/>
          <w:b w:val="0"/>
          <w:color w:val="auto"/>
          <w:highlight w:val="none"/>
        </w:rPr>
        <w:t>部分 附表</w:t>
      </w:r>
      <w:bookmarkEnd w:id="92"/>
      <w:bookmarkEnd w:id="93"/>
      <w:bookmarkEnd w:id="94"/>
      <w:bookmarkStart w:id="95" w:name="_Toc15396619"/>
    </w:p>
    <w:p w14:paraId="18902378">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3C2C47B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6" w:name="_Toc31391_WPSOffice_Level2"/>
      <w:r>
        <w:rPr>
          <w:rFonts w:hint="eastAsia" w:ascii="Times New Roman" w:hAnsi="Times New Roman" w:eastAsia="仿宋_GB2312" w:cs="仿宋_GB2312"/>
          <w:color w:val="auto"/>
          <w:sz w:val="32"/>
          <w:szCs w:val="32"/>
          <w:highlight w:val="none"/>
        </w:rPr>
        <w:t>一、收入支出决算总表</w:t>
      </w:r>
      <w:bookmarkEnd w:id="95"/>
      <w:bookmarkEnd w:id="96"/>
    </w:p>
    <w:p w14:paraId="4FCAD844">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7" w:name="_Toc5715_WPSOffice_Level2"/>
      <w:bookmarkStart w:id="98" w:name="_Toc15396620"/>
      <w:r>
        <w:rPr>
          <w:rFonts w:hint="eastAsia" w:ascii="Times New Roman" w:hAnsi="Times New Roman" w:eastAsia="仿宋_GB2312" w:cs="仿宋_GB2312"/>
          <w:color w:val="auto"/>
          <w:sz w:val="32"/>
          <w:szCs w:val="32"/>
          <w:highlight w:val="none"/>
        </w:rPr>
        <w:t>二、收入决算表</w:t>
      </w:r>
      <w:bookmarkEnd w:id="97"/>
      <w:bookmarkEnd w:id="98"/>
    </w:p>
    <w:p w14:paraId="04A6FAD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9" w:name="_Toc15396621"/>
      <w:bookmarkStart w:id="100" w:name="_Toc1018_WPSOffice_Level2"/>
      <w:r>
        <w:rPr>
          <w:rFonts w:hint="eastAsia" w:ascii="Times New Roman" w:hAnsi="Times New Roman" w:eastAsia="仿宋_GB2312" w:cs="仿宋_GB2312"/>
          <w:color w:val="auto"/>
          <w:sz w:val="32"/>
          <w:szCs w:val="32"/>
          <w:highlight w:val="none"/>
        </w:rPr>
        <w:t>三、支出决算表</w:t>
      </w:r>
      <w:bookmarkEnd w:id="99"/>
      <w:bookmarkEnd w:id="100"/>
    </w:p>
    <w:p w14:paraId="094A907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1" w:name="_Toc30959_WPSOffice_Level2"/>
      <w:bookmarkStart w:id="102" w:name="_Toc15396622"/>
      <w:r>
        <w:rPr>
          <w:rFonts w:hint="eastAsia" w:ascii="Times New Roman" w:hAnsi="Times New Roman" w:eastAsia="仿宋_GB2312" w:cs="仿宋_GB2312"/>
          <w:color w:val="auto"/>
          <w:sz w:val="32"/>
          <w:szCs w:val="32"/>
          <w:highlight w:val="none"/>
        </w:rPr>
        <w:t>四、财政拨款收入支出决算总表</w:t>
      </w:r>
      <w:bookmarkEnd w:id="101"/>
      <w:bookmarkEnd w:id="102"/>
    </w:p>
    <w:p w14:paraId="33EEDC89">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3" w:name="_Toc8133_WPSOffice_Level2"/>
      <w:bookmarkStart w:id="104" w:name="_Toc15396623"/>
      <w:r>
        <w:rPr>
          <w:rFonts w:hint="eastAsia" w:ascii="Times New Roman" w:hAnsi="Times New Roman" w:eastAsia="仿宋_GB2312" w:cs="仿宋_GB2312"/>
          <w:color w:val="auto"/>
          <w:sz w:val="32"/>
          <w:szCs w:val="32"/>
          <w:highlight w:val="none"/>
        </w:rPr>
        <w:t>五、财政拨款支出决算明细表</w:t>
      </w:r>
      <w:bookmarkEnd w:id="103"/>
      <w:bookmarkEnd w:id="104"/>
      <w:bookmarkStart w:id="105" w:name="_Toc15396624"/>
    </w:p>
    <w:p w14:paraId="79C455F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6" w:name="_Toc7123_WPSOffice_Level2"/>
      <w:r>
        <w:rPr>
          <w:rFonts w:hint="eastAsia" w:ascii="Times New Roman" w:hAnsi="Times New Roman" w:eastAsia="仿宋_GB2312" w:cs="仿宋_GB2312"/>
          <w:color w:val="auto"/>
          <w:sz w:val="32"/>
          <w:szCs w:val="32"/>
          <w:highlight w:val="none"/>
        </w:rPr>
        <w:t>六、一般公共预算财政拨款支出决算表</w:t>
      </w:r>
      <w:bookmarkEnd w:id="105"/>
      <w:bookmarkEnd w:id="106"/>
    </w:p>
    <w:p w14:paraId="72DF20D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7" w:name="_Toc4323_WPSOffice_Level2"/>
      <w:bookmarkStart w:id="108" w:name="_Toc15396625"/>
      <w:r>
        <w:rPr>
          <w:rFonts w:hint="eastAsia" w:ascii="Times New Roman" w:hAnsi="Times New Roman" w:eastAsia="仿宋_GB2312" w:cs="仿宋_GB2312"/>
          <w:color w:val="auto"/>
          <w:sz w:val="32"/>
          <w:szCs w:val="32"/>
          <w:highlight w:val="none"/>
        </w:rPr>
        <w:t>七、一般公共预算财政拨款支出决算明细表</w:t>
      </w:r>
      <w:bookmarkEnd w:id="107"/>
      <w:bookmarkEnd w:id="108"/>
    </w:p>
    <w:p w14:paraId="4C1E5B2A">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09" w:name="_Toc15396626"/>
      <w:bookmarkStart w:id="110" w:name="_Toc1333_WPSOffice_Level2"/>
      <w:r>
        <w:rPr>
          <w:rFonts w:hint="eastAsia" w:ascii="Times New Roman" w:hAnsi="Times New Roman" w:eastAsia="仿宋_GB2312" w:cs="仿宋_GB2312"/>
          <w:color w:val="auto"/>
          <w:sz w:val="32"/>
          <w:szCs w:val="32"/>
          <w:highlight w:val="none"/>
        </w:rPr>
        <w:t>八、一般公共预算财政拨款基本支出决算表</w:t>
      </w:r>
      <w:bookmarkEnd w:id="109"/>
      <w:bookmarkEnd w:id="110"/>
    </w:p>
    <w:p w14:paraId="69B8E6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1" w:name="_Toc16425_WPSOffice_Level2"/>
      <w:bookmarkStart w:id="112" w:name="_Toc15396627"/>
      <w:r>
        <w:rPr>
          <w:rFonts w:hint="eastAsia" w:ascii="Times New Roman" w:hAnsi="Times New Roman" w:eastAsia="仿宋_GB2312" w:cs="仿宋_GB2312"/>
          <w:color w:val="auto"/>
          <w:sz w:val="32"/>
          <w:szCs w:val="32"/>
          <w:highlight w:val="none"/>
        </w:rPr>
        <w:t>九、一般公共预算财政拨款项目支出决算表</w:t>
      </w:r>
      <w:bookmarkEnd w:id="111"/>
      <w:bookmarkEnd w:id="112"/>
    </w:p>
    <w:p w14:paraId="1E03E7D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3" w:name="_Toc15396628"/>
      <w:bookmarkStart w:id="114" w:name="_Toc20543_WPSOffice_Level2"/>
      <w:r>
        <w:rPr>
          <w:rFonts w:hint="eastAsia" w:ascii="Times New Roman" w:hAnsi="Times New Roman" w:eastAsia="仿宋_GB2312" w:cs="仿宋_GB2312"/>
          <w:color w:val="auto"/>
          <w:sz w:val="32"/>
          <w:szCs w:val="32"/>
          <w:highlight w:val="none"/>
        </w:rPr>
        <w:t>十、</w:t>
      </w:r>
      <w:bookmarkEnd w:id="113"/>
      <w:r>
        <w:rPr>
          <w:rFonts w:hint="eastAsia" w:ascii="Times New Roman" w:hAnsi="Times New Roman" w:eastAsia="仿宋_GB2312" w:cs="仿宋_GB2312"/>
          <w:color w:val="auto"/>
          <w:sz w:val="32"/>
          <w:szCs w:val="32"/>
          <w:highlight w:val="none"/>
        </w:rPr>
        <w:t>政府性基金预算财政拨款收入支出决算表</w:t>
      </w:r>
      <w:bookmarkEnd w:id="114"/>
    </w:p>
    <w:p w14:paraId="5852DF26">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5" w:name="_Toc15396629"/>
      <w:bookmarkStart w:id="116" w:name="_Toc796_WPSOffice_Level2"/>
      <w:r>
        <w:rPr>
          <w:rFonts w:hint="eastAsia" w:ascii="Times New Roman" w:hAnsi="Times New Roman" w:eastAsia="仿宋_GB2312" w:cs="仿宋_GB2312"/>
          <w:color w:val="auto"/>
          <w:sz w:val="32"/>
          <w:szCs w:val="32"/>
          <w:highlight w:val="none"/>
        </w:rPr>
        <w:t>十一、</w:t>
      </w:r>
      <w:bookmarkEnd w:id="11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bookmarkEnd w:id="116"/>
    </w:p>
    <w:p w14:paraId="6D6F939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117" w:name="_Toc15396630"/>
      <w:bookmarkStart w:id="118" w:name="_Toc3932_WPSOffice_Level2"/>
      <w:r>
        <w:rPr>
          <w:rFonts w:hint="eastAsia" w:ascii="Times New Roman" w:hAnsi="Times New Roman" w:eastAsia="仿宋_GB2312" w:cs="仿宋_GB2312"/>
          <w:color w:val="auto"/>
          <w:sz w:val="32"/>
          <w:szCs w:val="32"/>
          <w:highlight w:val="none"/>
        </w:rPr>
        <w:t>十二、</w:t>
      </w:r>
      <w:bookmarkEnd w:id="117"/>
      <w:r>
        <w:rPr>
          <w:rFonts w:hint="eastAsia" w:ascii="Times New Roman" w:hAnsi="Times New Roman" w:eastAsia="仿宋_GB2312" w:cs="仿宋_GB2312"/>
          <w:color w:val="auto"/>
          <w:sz w:val="32"/>
          <w:szCs w:val="32"/>
          <w:highlight w:val="none"/>
          <w:lang w:eastAsia="zh-CN"/>
        </w:rPr>
        <w:t>国有资本经营预算财政拨款支出决算表</w:t>
      </w:r>
      <w:bookmarkEnd w:id="118"/>
    </w:p>
    <w:p w14:paraId="7C7505ED">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119" w:name="_Toc15396631"/>
      <w:bookmarkStart w:id="120" w:name="_Toc20871_WPSOffice_Level2"/>
      <w:r>
        <w:rPr>
          <w:rFonts w:hint="eastAsia" w:ascii="Times New Roman" w:hAnsi="Times New Roman" w:eastAsia="仿宋_GB2312" w:cs="仿宋_GB2312"/>
          <w:color w:val="auto"/>
          <w:sz w:val="32"/>
          <w:szCs w:val="32"/>
          <w:highlight w:val="none"/>
        </w:rPr>
        <w:t>十三、</w:t>
      </w:r>
      <w:bookmarkEnd w:id="119"/>
      <w:r>
        <w:rPr>
          <w:rFonts w:hint="eastAsia" w:ascii="Times New Roman" w:hAnsi="Times New Roman" w:eastAsia="仿宋_GB2312" w:cs="仿宋_GB2312"/>
          <w:color w:val="auto"/>
          <w:sz w:val="32"/>
          <w:szCs w:val="32"/>
          <w:highlight w:val="none"/>
          <w:lang w:eastAsia="zh-CN"/>
        </w:rPr>
        <w:t>财政拨款“三公”经费支出决算表</w:t>
      </w:r>
      <w:bookmarkEnd w:id="120"/>
    </w:p>
    <w:p w14:paraId="2E6E3EC1">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4EB19E9-F052-49E4-B2D0-7A387ABE5F3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239DF4DA-C1C7-4932-BDC6-FA93F5ED17B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3" w:fontKey="{5850EA9F-B929-4580-B31D-00068E13D1CF}"/>
  </w:font>
  <w:font w:name="仿宋">
    <w:panose1 w:val="02010609060101010101"/>
    <w:charset w:val="86"/>
    <w:family w:val="modern"/>
    <w:pitch w:val="default"/>
    <w:sig w:usb0="800002BF" w:usb1="38CF7CFA" w:usb2="00000016" w:usb3="00000000" w:csb0="00040001" w:csb1="00000000"/>
    <w:embedRegular r:id="rId4" w:fontKey="{8EF43433-4DBA-41A7-947A-22C9642B990C}"/>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5" w:fontKey="{E94AC438-53A4-4B37-87B2-097EF864ABC5}"/>
  </w:font>
  <w:font w:name="楷体_GB2312">
    <w:panose1 w:val="02010609030101010101"/>
    <w:charset w:val="86"/>
    <w:family w:val="auto"/>
    <w:pitch w:val="default"/>
    <w:sig w:usb0="00000001" w:usb1="080E0000" w:usb2="00000000" w:usb3="00000000" w:csb0="00040000" w:csb1="00000000"/>
    <w:embedRegular r:id="rId6" w:fontKey="{0BF5A240-79F4-4AE7-B0F6-A406619E2598}"/>
  </w:font>
  <w:font w:name="华文中宋">
    <w:altName w:val="宋体"/>
    <w:panose1 w:val="02010600040101010101"/>
    <w:charset w:val="86"/>
    <w:family w:val="auto"/>
    <w:pitch w:val="default"/>
    <w:sig w:usb0="00000000" w:usb1="00000000" w:usb2="00000010" w:usb3="00000000" w:csb0="0004009F" w:csb1="00000000"/>
    <w:embedRegular r:id="rId7" w:fontKey="{A025B1AC-C7BF-4701-88B5-5E26BC841BE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6C9BAB">
    <w:pPr>
      <w:pStyle w:val="11"/>
      <w:jc w:val="center"/>
    </w:pPr>
  </w:p>
  <w:p w14:paraId="0838372F">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654EA">
    <w:pPr>
      <w:pStyle w:val="11"/>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62A40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6462A404">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05E6E">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E2A9373"/>
    <w:multiLevelType w:val="singleLevel"/>
    <w:tmpl w:val="AE2A9373"/>
    <w:lvl w:ilvl="0" w:tentative="0">
      <w:start w:val="1"/>
      <w:numFmt w:val="chineseCounting"/>
      <w:suff w:val="nothing"/>
      <w:lvlText w:val="%1、"/>
      <w:lvlJc w:val="left"/>
      <w:rPr>
        <w:rFonts w:hint="eastAsia"/>
      </w:rPr>
    </w:lvl>
  </w:abstractNum>
  <w:abstractNum w:abstractNumId="1">
    <w:nsid w:val="15D7C3B1"/>
    <w:multiLevelType w:val="singleLevel"/>
    <w:tmpl w:val="15D7C3B1"/>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957196"/>
    <w:rsid w:val="13D50BC4"/>
    <w:rsid w:val="14022904"/>
    <w:rsid w:val="152F2A07"/>
    <w:rsid w:val="165E0673"/>
    <w:rsid w:val="16675039"/>
    <w:rsid w:val="16BB723D"/>
    <w:rsid w:val="16F13FCB"/>
    <w:rsid w:val="186504BB"/>
    <w:rsid w:val="1938089F"/>
    <w:rsid w:val="19A445FC"/>
    <w:rsid w:val="1B7D550C"/>
    <w:rsid w:val="1BE8440E"/>
    <w:rsid w:val="1D155CEE"/>
    <w:rsid w:val="1DE178F3"/>
    <w:rsid w:val="1E740ACF"/>
    <w:rsid w:val="1EAE6AA2"/>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3CF08D0"/>
    <w:rsid w:val="34281836"/>
    <w:rsid w:val="349D6851"/>
    <w:rsid w:val="35BA6CAF"/>
    <w:rsid w:val="35D37231"/>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1313393"/>
    <w:rsid w:val="43A407DF"/>
    <w:rsid w:val="44515BEA"/>
    <w:rsid w:val="44E268DA"/>
    <w:rsid w:val="453F7E5B"/>
    <w:rsid w:val="486A6C7A"/>
    <w:rsid w:val="49176D9B"/>
    <w:rsid w:val="494006BD"/>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7">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qFormat/>
    <w:uiPriority w:val="0"/>
    <w:pPr>
      <w:spacing w:after="120"/>
      <w:ind w:leftChars="200"/>
    </w:pPr>
    <w:rPr>
      <w:rFonts w:ascii="仿宋_GB2312"/>
      <w:szCs w:val="32"/>
    </w:rPr>
  </w:style>
  <w:style w:type="paragraph" w:styleId="8">
    <w:name w:val="Body Text"/>
    <w:basedOn w:val="1"/>
    <w:link w:val="25"/>
    <w:qFormat/>
    <w:uiPriority w:val="99"/>
    <w:pPr>
      <w:spacing w:beforeLines="30"/>
    </w:pPr>
    <w:rPr>
      <w:rFonts w:ascii="仿宋_GB2312" w:eastAsia="仿宋_GB2312"/>
      <w:kern w:val="0"/>
      <w:sz w:val="30"/>
    </w:r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8"/>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5"/>
    <w:qFormat/>
    <w:uiPriority w:val="9"/>
    <w:rPr>
      <w:rFonts w:ascii="Times New Roman" w:hAnsi="Times New Roman"/>
      <w:b/>
      <w:bCs/>
      <w:kern w:val="44"/>
      <w:sz w:val="44"/>
      <w:szCs w:val="44"/>
    </w:rPr>
  </w:style>
  <w:style w:type="character" w:customStyle="1" w:styleId="29">
    <w:name w:val="标题 2 Char"/>
    <w:basedOn w:val="16"/>
    <w:link w:val="6"/>
    <w:qFormat/>
    <w:uiPriority w:val="9"/>
    <w:rPr>
      <w:rFonts w:asciiTheme="majorHAnsi" w:hAnsiTheme="majorHAnsi" w:eastAsiaTheme="majorEastAsia" w:cstheme="majorBidi"/>
      <w:b/>
      <w:bCs/>
      <w:kern w:val="2"/>
      <w:sz w:val="32"/>
      <w:szCs w:val="32"/>
    </w:rPr>
  </w:style>
  <w:style w:type="paragraph" w:customStyle="1" w:styleId="30">
    <w:name w:val="TOC 标题1"/>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10"/>
    <w:semiHidden/>
    <w:qFormat/>
    <w:uiPriority w:val="99"/>
    <w:rPr>
      <w:rFonts w:ascii="Times New Roman" w:hAnsi="Times New Roman"/>
      <w:kern w:val="2"/>
      <w:sz w:val="18"/>
      <w:szCs w:val="18"/>
    </w:rPr>
  </w:style>
  <w:style w:type="character" w:customStyle="1" w:styleId="32">
    <w:name w:val="标题 3 Char"/>
    <w:basedOn w:val="16"/>
    <w:link w:val="7"/>
    <w:qFormat/>
    <w:uiPriority w:val="9"/>
    <w:rPr>
      <w:rFonts w:ascii="Times New Roman" w:hAnsi="Times New Roman"/>
      <w:b/>
      <w:bCs/>
      <w:kern w:val="2"/>
      <w:sz w:val="32"/>
      <w:szCs w:val="32"/>
    </w:rPr>
  </w:style>
  <w:style w:type="paragraph" w:customStyle="1" w:styleId="33">
    <w:name w:val="TOC Heading"/>
    <w:basedOn w:val="5"/>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uiPriority w:val="0"/>
    <w:pPr>
      <w:ind w:leftChars="0"/>
    </w:pPr>
    <w:rPr>
      <w:rFonts w:asciiTheme="minorHAnsi" w:hAnsiTheme="minorHAnsi" w:eastAsiaTheme="minorEastAsia" w:cstheme="minorBidi"/>
      <w:sz w:val="20"/>
      <w:szCs w:val="20"/>
    </w:rPr>
  </w:style>
  <w:style w:type="paragraph" w:customStyle="1" w:styleId="36">
    <w:name w:val="WPSOffice手动目录 2"/>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glossaryDocument" Target="glossary/document.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29992;&#25143;&#30446;&#24405;\Desktop\2025&#24180;&#20915;&#31639;&#20844;&#24320;\&#20915;&#31639;&#20844;&#24320;&#25253;&#2157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收、支决算总计变动情况</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258194444444444"/>
          <c:y val="0.0347222222222222"/>
        </c:manualLayout>
      </c:layout>
      <c:overlay val="0"/>
      <c:spPr>
        <a:noFill/>
        <a:ln>
          <a:noFill/>
        </a:ln>
        <a:effectLst/>
      </c:spPr>
    </c:title>
    <c:autoTitleDeleted val="0"/>
    <c:plotArea>
      <c:layout>
        <c:manualLayout>
          <c:layoutTarget val="inner"/>
          <c:xMode val="edge"/>
          <c:yMode val="edge"/>
          <c:x val="0.0540817351139673"/>
          <c:y val="0.172916666666667"/>
          <c:w val="0.846109047093082"/>
          <c:h val="0.711666666666667"/>
        </c:manualLayout>
      </c:layout>
      <c:barChart>
        <c:barDir val="col"/>
        <c:grouping val="clustered"/>
        <c:varyColors val="0"/>
        <c:ser>
          <c:idx val="0"/>
          <c:order val="0"/>
          <c:tx>
            <c:strRef>
              <c:f>[决算公开报告.xls]Sheet1!$E$4</c:f>
              <c:strCache>
                <c:ptCount val="1"/>
                <c:pt idx="0">
                  <c:v>收入</c:v>
                </c:pt>
              </c:strCache>
            </c:strRef>
          </c:tx>
          <c:spPr>
            <a:solidFill>
              <a:schemeClr val="accent1"/>
            </a:solidFill>
            <a:ln>
              <a:noFill/>
            </a:ln>
            <a:effectLst/>
          </c:spPr>
          <c:invertIfNegative val="0"/>
          <c:dLbls>
            <c:delete val="1"/>
          </c:dLbls>
          <c:cat>
            <c:multiLvlStrRef>
              <c:f>Sheet1!$F$2:$G$3</c:f>
              <c:multiLvlStrCache>
                <c:ptCount val="2"/>
                <c:lvl>
                  <c:pt idx="0">
                    <c:v>2025年</c:v>
                  </c:pt>
                  <c:pt idx="1">
                    <c:v>2024年</c:v>
                  </c:pt>
                </c:lvl>
                <c:lvl/>
              </c:multiLvlStrCache>
            </c:multiLvlStrRef>
          </c:cat>
          <c:val>
            <c:numRef>
              <c:f>Sheet1!$F$4:$G$4</c:f>
              <c:numCache>
                <c:formatCode>General</c:formatCode>
                <c:ptCount val="2"/>
                <c:pt idx="0">
                  <c:v>542.63</c:v>
                </c:pt>
                <c:pt idx="1">
                  <c:v>518.53</c:v>
                </c:pt>
              </c:numCache>
            </c:numRef>
          </c:val>
        </c:ser>
        <c:ser>
          <c:idx val="1"/>
          <c:order val="1"/>
          <c:tx>
            <c:strRef>
              <c:f>[决算公开报告.xls]Sheet1!$E$5</c:f>
              <c:strCache>
                <c:ptCount val="1"/>
                <c:pt idx="0">
                  <c:v>支出</c:v>
                </c:pt>
              </c:strCache>
            </c:strRef>
          </c:tx>
          <c:spPr>
            <a:solidFill>
              <a:schemeClr val="accent2"/>
            </a:solidFill>
            <a:ln>
              <a:noFill/>
            </a:ln>
            <a:effectLst/>
          </c:spPr>
          <c:invertIfNegative val="0"/>
          <c:dLbls>
            <c:delete val="1"/>
          </c:dLbls>
          <c:cat>
            <c:multiLvlStrRef>
              <c:f>Sheet1!$F$2:$G$3</c:f>
              <c:multiLvlStrCache>
                <c:ptCount val="2"/>
                <c:lvl>
                  <c:pt idx="0">
                    <c:v>2025年</c:v>
                  </c:pt>
                  <c:pt idx="1">
                    <c:v>2024年</c:v>
                  </c:pt>
                </c:lvl>
                <c:lvl/>
              </c:multiLvlStrCache>
            </c:multiLvlStrRef>
          </c:cat>
          <c:val>
            <c:numRef>
              <c:f>Sheet1!$F$5:$G$5</c:f>
              <c:numCache>
                <c:formatCode>General</c:formatCode>
                <c:ptCount val="2"/>
                <c:pt idx="0">
                  <c:v>542.63</c:v>
                </c:pt>
                <c:pt idx="1">
                  <c:v>518.53</c:v>
                </c:pt>
              </c:numCache>
            </c:numRef>
          </c:val>
        </c:ser>
        <c:dLbls>
          <c:showLegendKey val="0"/>
          <c:showVal val="0"/>
          <c:showCatName val="0"/>
          <c:showSerName val="0"/>
          <c:showPercent val="0"/>
          <c:showBubbleSize val="0"/>
        </c:dLbls>
        <c:gapWidth val="150"/>
        <c:overlap val="0"/>
        <c:axId val="368449118"/>
        <c:axId val="942585805"/>
      </c:barChart>
      <c:catAx>
        <c:axId val="368449118"/>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42585805"/>
        <c:crosses val="autoZero"/>
        <c:auto val="1"/>
        <c:lblAlgn val="ctr"/>
        <c:lblOffset val="100"/>
        <c:noMultiLvlLbl val="0"/>
      </c:catAx>
      <c:valAx>
        <c:axId val="942585805"/>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68449118"/>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95158d4-864a-4b60-bb75-f224e06fdf70}"/>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b="1">
                <a:latin typeface="黑体" panose="02010609060101010101" charset="-122"/>
                <a:ea typeface="黑体" panose="02010609060101010101" charset="-122"/>
                <a:cs typeface="黑体" panose="02010609060101010101" charset="-122"/>
                <a:sym typeface="黑体" panose="02010609060101010101" charset="-122"/>
              </a:rPr>
              <a:t>收入决算结构图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418611111111111"/>
          <c:y val="0.0208333333333333"/>
        </c:manualLayout>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Pt>
            <c:idx val="5"/>
            <c:bubble3D val="0"/>
            <c:explosion val="0"/>
            <c:spPr>
              <a:solidFill>
                <a:schemeClr val="accent6"/>
              </a:solidFill>
              <a:ln w="19050">
                <a:solidFill>
                  <a:schemeClr val="lt1"/>
                </a:solidFill>
              </a:ln>
              <a:effectLst/>
            </c:spPr>
          </c:dPt>
          <c:dPt>
            <c:idx val="6"/>
            <c:bubble3D val="0"/>
            <c:explosion val="0"/>
            <c:spPr>
              <a:solidFill>
                <a:schemeClr val="accent1">
                  <a:lumMod val="60000"/>
                </a:schemeClr>
              </a:solidFill>
              <a:ln w="19050">
                <a:solidFill>
                  <a:schemeClr val="lt1"/>
                </a:solidFill>
              </a:ln>
              <a:effectLst/>
            </c:spPr>
          </c:dPt>
          <c:dPt>
            <c:idx val="7"/>
            <c:bubble3D val="0"/>
            <c:explosion val="0"/>
            <c:spPr>
              <a:solidFill>
                <a:schemeClr val="accent2">
                  <a:lumMod val="60000"/>
                </a:schemeClr>
              </a:solidFill>
              <a:ln w="19050">
                <a:solidFill>
                  <a:schemeClr val="lt1"/>
                </a:solidFill>
              </a:ln>
              <a:effectLst/>
            </c:spPr>
          </c:dPt>
          <c:dPt>
            <c:idx val="8"/>
            <c:bubble3D val="0"/>
            <c:explosion val="0"/>
            <c:spPr>
              <a:solidFill>
                <a:schemeClr val="accent3">
                  <a:lumMod val="60000"/>
                </a:schemeClr>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Sheet1!$K$2:$K$10</c:f>
              <c:strCache>
                <c:ptCount val="9"/>
                <c:pt idx="0">
                  <c:v>收入决算结构图</c:v>
                </c:pt>
                <c:pt idx="1">
                  <c:v>一般公共预算财政拨款收入</c:v>
                </c:pt>
                <c:pt idx="2">
                  <c:v>政府性基金预算财政拨款收入</c:v>
                </c:pt>
                <c:pt idx="3">
                  <c:v>国有资本经营预算财政拨款收入</c:v>
                </c:pt>
                <c:pt idx="4">
                  <c:v>上级补助收入</c:v>
                </c:pt>
                <c:pt idx="5">
                  <c:v>事业收入</c:v>
                </c:pt>
                <c:pt idx="6">
                  <c:v>经营收入</c:v>
                </c:pt>
                <c:pt idx="7">
                  <c:v>附属单位上缴收入</c:v>
                </c:pt>
                <c:pt idx="8">
                  <c:v>其他收入</c:v>
                </c:pt>
              </c:strCache>
            </c:strRef>
          </c:cat>
          <c:val>
            <c:numRef>
              <c:f>Sheet1!$L$2:$L$10</c:f>
              <c:numCache>
                <c:formatCode>General</c:formatCode>
                <c:ptCount val="9"/>
                <c:pt idx="1">
                  <c:v>515.04</c:v>
                </c:pt>
                <c:pt idx="5">
                  <c:v>27.59</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5d257e9-6ed8-4d57-bb01-a66e9efc0c1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支出决算结构图</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manualLayout>
          <c:layoutTarget val="inner"/>
          <c:xMode val="edge"/>
          <c:yMode val="edge"/>
          <c:x val="0.133194444444444"/>
          <c:y val="0.176388888888889"/>
          <c:w val="0.463611111111111"/>
          <c:h val="0.772685185185185"/>
        </c:manualLayout>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Pt>
            <c:idx val="3"/>
            <c:bubble3D val="0"/>
            <c:explosion val="0"/>
            <c:spPr>
              <a:solidFill>
                <a:schemeClr val="accent4"/>
              </a:solidFill>
              <a:ln w="19050">
                <a:solidFill>
                  <a:schemeClr val="lt1"/>
                </a:solidFill>
              </a:ln>
              <a:effectLst/>
            </c:spPr>
          </c:dPt>
          <c:dPt>
            <c:idx val="4"/>
            <c:bubble3D val="0"/>
            <c:explosion val="0"/>
            <c:spPr>
              <a:solidFill>
                <a:schemeClr val="accent5"/>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Sheet1!$D$28:$D$32</c:f>
              <c:strCache>
                <c:ptCount val="5"/>
                <c:pt idx="0">
                  <c:v>基本支出</c:v>
                </c:pt>
                <c:pt idx="1">
                  <c:v>项目支出</c:v>
                </c:pt>
                <c:pt idx="2">
                  <c:v>上缴上级支出</c:v>
                </c:pt>
                <c:pt idx="3">
                  <c:v>经营支出</c:v>
                </c:pt>
                <c:pt idx="4">
                  <c:v>对附属单位补助支出</c:v>
                </c:pt>
              </c:strCache>
            </c:strRef>
          </c:cat>
          <c:val>
            <c:numRef>
              <c:f>Sheet1!$E$28:$E$32</c:f>
              <c:numCache>
                <c:formatCode>General</c:formatCode>
                <c:ptCount val="5"/>
                <c:pt idx="0">
                  <c:v>498.56</c:v>
                </c:pt>
                <c:pt idx="1">
                  <c:v>44.07</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5de18f6-a93a-4cfa-bc84-f4e2f2cd5cf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财政拨款收、支决算总计变动情况</a:t>
            </a:r>
            <a:endParaRPr b="1">
              <a:latin typeface="黑体" panose="02010609060101010101" charset="-122"/>
              <a:ea typeface="黑体" panose="02010609060101010101" charset="-122"/>
            </a:endParaRPr>
          </a:p>
          <a:p>
            <a:pPr defTabSz="914400">
              <a:defRPr lang="zh-CN" sz="1400" b="0" i="0" u="none" strike="noStrike" kern="1200" spc="0" baseline="0">
                <a:solidFill>
                  <a:schemeClr val="tx1">
                    <a:lumMod val="65000"/>
                    <a:lumOff val="35000"/>
                  </a:schemeClr>
                </a:solidFill>
                <a:latin typeface="+mn-lt"/>
                <a:ea typeface="+mn-ea"/>
                <a:cs typeface="+mn-cs"/>
              </a:defRPr>
            </a:pP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manualLayout>
          <c:xMode val="edge"/>
          <c:yMode val="edge"/>
          <c:x val="0.0793679449073396"/>
          <c:y val="0.0124120810922631"/>
        </c:manualLayout>
      </c:layout>
      <c:overlay val="0"/>
      <c:spPr>
        <a:noFill/>
        <a:ln>
          <a:noFill/>
        </a:ln>
        <a:effectLst/>
      </c:spPr>
    </c:title>
    <c:autoTitleDeleted val="0"/>
    <c:plotArea>
      <c:layout/>
      <c:barChart>
        <c:barDir val="col"/>
        <c:grouping val="clustered"/>
        <c:varyColors val="0"/>
        <c:ser>
          <c:idx val="0"/>
          <c:order val="0"/>
          <c:tx>
            <c:strRef>
              <c:f>[决算公开报告.xls]Sheet1!$L$34</c:f>
              <c:strCache>
                <c:ptCount val="1"/>
                <c:pt idx="0">
                  <c:v>收入</c:v>
                </c:pt>
              </c:strCache>
            </c:strRef>
          </c:tx>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Sheet1!$M$33:$N$33</c:f>
              <c:strCache>
                <c:ptCount val="2"/>
                <c:pt idx="0">
                  <c:v>2025年</c:v>
                </c:pt>
                <c:pt idx="1">
                  <c:v>2024年</c:v>
                </c:pt>
              </c:strCache>
            </c:strRef>
          </c:cat>
          <c:val>
            <c:numRef>
              <c:f>Sheet1!$M$34:$N$34</c:f>
              <c:numCache>
                <c:formatCode>General</c:formatCode>
                <c:ptCount val="2"/>
                <c:pt idx="0">
                  <c:v>515.04</c:v>
                </c:pt>
                <c:pt idx="1">
                  <c:v>496.74</c:v>
                </c:pt>
              </c:numCache>
            </c:numRef>
          </c:val>
        </c:ser>
        <c:ser>
          <c:idx val="1"/>
          <c:order val="1"/>
          <c:tx>
            <c:strRef>
              <c:f>[决算公开报告.xls]Sheet1!$L$35</c:f>
              <c:strCache>
                <c:ptCount val="1"/>
                <c:pt idx="0">
                  <c:v>支出</c:v>
                </c:pt>
              </c:strCache>
            </c:strRef>
          </c:tx>
          <c:spPr>
            <a:solidFill>
              <a:schemeClr val="accent2"/>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Sheet1!$M$33:$N$33</c:f>
              <c:strCache>
                <c:ptCount val="2"/>
                <c:pt idx="0">
                  <c:v>2025年</c:v>
                </c:pt>
                <c:pt idx="1">
                  <c:v>2024年</c:v>
                </c:pt>
              </c:strCache>
            </c:strRef>
          </c:cat>
          <c:val>
            <c:numRef>
              <c:f>Sheet1!$M$35:$N$35</c:f>
              <c:numCache>
                <c:formatCode>General</c:formatCode>
                <c:ptCount val="2"/>
                <c:pt idx="0">
                  <c:v>515.04</c:v>
                </c:pt>
                <c:pt idx="1">
                  <c:v>496.74</c:v>
                </c:pt>
              </c:numCache>
            </c:numRef>
          </c:val>
        </c:ser>
        <c:dLbls>
          <c:showLegendKey val="0"/>
          <c:showVal val="0"/>
          <c:showCatName val="0"/>
          <c:showSerName val="0"/>
          <c:showPercent val="0"/>
          <c:showBubbleSize val="0"/>
        </c:dLbls>
        <c:gapWidth val="150"/>
        <c:overlap val="0"/>
        <c:axId val="790036717"/>
        <c:axId val="991836730"/>
      </c:barChart>
      <c:catAx>
        <c:axId val="79003671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91836730"/>
        <c:crosses val="autoZero"/>
        <c:auto val="1"/>
        <c:lblAlgn val="ctr"/>
        <c:lblOffset val="100"/>
        <c:noMultiLvlLbl val="0"/>
      </c:catAx>
      <c:valAx>
        <c:axId val="991836730"/>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90036717"/>
        <c:crosses val="autoZero"/>
        <c:crossBetween val="between"/>
      </c:valAx>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d27fbf6-b371-4bdf-88d2-1fb0ae6858d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b="1">
                <a:latin typeface="黑体" panose="02010609060101010101" charset="-122"/>
                <a:ea typeface="黑体" panose="02010609060101010101" charset="-122"/>
              </a:rPr>
              <a:t>一般公共预算财政拨款支出决算结构</a:t>
            </a:r>
            <a:endParaRPr sz="1400" b="1" i="0" u="none" strike="noStrike" baseline="0">
              <a:solidFill>
                <a:srgbClr val="595959">
                  <a:alpha val="100000"/>
                </a:srgbClr>
              </a:solidFill>
              <a:latin typeface="黑体" panose="02010609060101010101" charset="-122"/>
              <a:ea typeface="黑体" panose="02010609060101010101" charset="-122"/>
              <a:cs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spPr>
            <a:solidFill>
              <a:schemeClr val="accent1"/>
            </a:solidFill>
            <a:ln>
              <a:noFill/>
            </a:ln>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Sheet1!$A$55:$A$56</c:f>
              <c:strCache>
                <c:ptCount val="2"/>
                <c:pt idx="0">
                  <c:v>2024年</c:v>
                </c:pt>
                <c:pt idx="1">
                  <c:v>2025年</c:v>
                </c:pt>
              </c:strCache>
            </c:strRef>
          </c:cat>
          <c:val>
            <c:numRef>
              <c:f>Sheet1!$B$55:$B$56</c:f>
              <c:numCache>
                <c:formatCode>General</c:formatCode>
                <c:ptCount val="2"/>
                <c:pt idx="0">
                  <c:v>496.47</c:v>
                </c:pt>
                <c:pt idx="1" c:formatCode="#,##0.00">
                  <c:v>515.04</c:v>
                </c:pt>
              </c:numCache>
            </c:numRef>
          </c:val>
        </c:ser>
        <c:dLbls>
          <c:showLegendKey val="0"/>
          <c:showVal val="0"/>
          <c:showCatName val="0"/>
          <c:showSerName val="0"/>
          <c:showPercent val="0"/>
          <c:showBubbleSize val="0"/>
        </c:dLbls>
        <c:gapWidth val="219"/>
        <c:overlap val="-27"/>
        <c:axId val="546934027"/>
        <c:axId val="816584407"/>
      </c:barChart>
      <c:catAx>
        <c:axId val="546934027"/>
        <c:scaling>
          <c:orientation val="minMax"/>
        </c:scaling>
        <c:delete val="0"/>
        <c:axPos val="b"/>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6584407"/>
        <c:crosses val="autoZero"/>
        <c:auto val="1"/>
        <c:lblAlgn val="ctr"/>
        <c:lblOffset val="100"/>
        <c:noMultiLvlLbl val="0"/>
      </c:catAx>
      <c:valAx>
        <c:axId val="816584407"/>
        <c:scaling>
          <c:orientation val="minMax"/>
        </c:scaling>
        <c:delete val="0"/>
        <c:axPos val="l"/>
        <c:majorGridlines>
          <c:spPr>
            <a:ln w="9525" cap="flat" cmpd="sng" algn="ctr">
              <a:solidFill>
                <a:schemeClr val="tx1">
                  <a:lumMod val="15000"/>
                  <a:lumOff val="85000"/>
                </a:schemeClr>
              </a:solidFill>
              <a:prstDash val="solid"/>
              <a:round/>
            </a:ln>
            <a:effectLst/>
          </c:spPr>
        </c:majorGridlines>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6934027"/>
        <c:crosses val="autoZero"/>
        <c:crossBetween val="between"/>
      </c:valAx>
      <c:spPr>
        <a:noFill/>
        <a:ln>
          <a:noFill/>
        </a:ln>
        <a:effectLst/>
      </c:spPr>
    </c:plotArea>
    <c:plotVisOnly val="1"/>
    <c:dispBlanksAs val="gap"/>
    <c:showDLblsOverMax val="0"/>
    <c:extLst>
      <c:ext uri="{0b15fc19-7d7d-44ad-8c2d-2c3a37ce22c3}">
        <chartProps xmlns="https://web.wps.cn/et/2018/main" chartId="{efeaae6f-c75b-4881-bca1-cd51b38a42d4}"/>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zh-CN" sz="1400" b="0" i="0" u="none" strike="noStrike" kern="1200" spc="0" baseline="0">
                <a:solidFill>
                  <a:schemeClr val="tx1">
                    <a:lumMod val="65000"/>
                    <a:lumOff val="35000"/>
                  </a:schemeClr>
                </a:solidFill>
                <a:latin typeface="+mn-lt"/>
                <a:ea typeface="+mn-ea"/>
                <a:cs typeface="+mn-cs"/>
              </a:rPr>
              <a:t>收入决算结构图</a:t>
            </a:r>
            <a:endParaRPr lang="zh-CN" sz="1400" b="0" i="0" u="none" strike="noStrike" kern="1200" spc="0" baseline="0">
              <a:solidFill>
                <a:schemeClr val="tx1">
                  <a:lumMod val="65000"/>
                  <a:lumOff val="35000"/>
                </a:schemeClr>
              </a:solidFill>
              <a:latin typeface="+mn-lt"/>
              <a:ea typeface="+mn-ea"/>
              <a:cs typeface="+mn-cs"/>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Sheet1!$L$56:$L$58</c:f>
              <c:strCache>
                <c:ptCount val="3"/>
                <c:pt idx="0">
                  <c:v>社会保障和就业支出</c:v>
                </c:pt>
                <c:pt idx="1">
                  <c:v>卫生健康支出</c:v>
                </c:pt>
                <c:pt idx="2">
                  <c:v>住房保障支出</c:v>
                </c:pt>
              </c:strCache>
            </c:strRef>
          </c:cat>
          <c:val>
            <c:numRef>
              <c:f>Sheet1!$M$56:$M$58</c:f>
              <c:numCache>
                <c:formatCode>General</c:formatCode>
                <c:ptCount val="3"/>
                <c:pt idx="0">
                  <c:v>65.39</c:v>
                </c:pt>
                <c:pt idx="1">
                  <c:v>413.61</c:v>
                </c:pt>
                <c:pt idx="2">
                  <c:v>36.04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extLst>
      <c:ext uri="{0b15fc19-7d7d-44ad-8c2d-2c3a37ce22c3}">
        <chartProps xmlns="https://web.wps.cn/et/2018/main" chartId="{dce9c6f3-2464-4993-a90d-f0d6d7e02a4c}"/>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“三公”经费财政拨款支出</a:t>
            </a:r>
            <a:endParaRPr sz="1400" b="0" i="0" u="none" strike="noStrike" baseline="0">
              <a:solidFill>
                <a:srgbClr val="595959">
                  <a:alpha val="100000"/>
                </a:srgbClr>
              </a:solidFill>
              <a:latin typeface="宋体" panose="02010600030101010101" charset="-122"/>
              <a:ea typeface="宋体" panose="02010600030101010101" charset="-122"/>
              <a:cs typeface="宋体" panose="02010600030101010101" charset="-122"/>
            </a:endParaRPr>
          </a:p>
        </c:rich>
      </c:tx>
      <c:layout/>
      <c:overlay val="0"/>
      <c:spPr>
        <a:noFill/>
        <a:ln>
          <a:noFill/>
        </a:ln>
        <a:effectLst/>
      </c:spPr>
    </c:title>
    <c:autoTitleDeleted val="0"/>
    <c:plotArea>
      <c:layout/>
      <c:pieChart>
        <c:varyColors val="1"/>
        <c:ser>
          <c:idx val="0"/>
          <c:order val="0"/>
          <c:explosion val="0"/>
          <c:dPt>
            <c:idx val="0"/>
            <c:bubble3D val="0"/>
            <c:explosion val="0"/>
            <c:spPr>
              <a:solidFill>
                <a:schemeClr val="accent1"/>
              </a:solidFill>
              <a:ln w="19050">
                <a:solidFill>
                  <a:schemeClr val="lt1"/>
                </a:solidFill>
              </a:ln>
              <a:effectLst/>
            </c:spPr>
          </c:dPt>
          <c:dPt>
            <c:idx val="1"/>
            <c:bubble3D val="0"/>
            <c:explosion val="0"/>
            <c:spPr>
              <a:solidFill>
                <a:schemeClr val="accent2"/>
              </a:solidFill>
              <a:ln w="19050">
                <a:solidFill>
                  <a:schemeClr val="lt1"/>
                </a:solidFill>
              </a:ln>
              <a:effectLst/>
            </c:spPr>
          </c:dPt>
          <c:dPt>
            <c:idx val="2"/>
            <c:bubble3D val="0"/>
            <c:explosion val="0"/>
            <c:spPr>
              <a:solidFill>
                <a:schemeClr val="accent3"/>
              </a:solidFill>
              <a:ln w="19050">
                <a:solidFill>
                  <a:schemeClr val="lt1"/>
                </a:solidFill>
              </a:ln>
              <a:effectLst/>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rgbClr val="969696">
                          <a:alpha val="100000"/>
                        </a:srgbClr>
                      </a:solidFill>
                      <a:prstDash val="solid"/>
                      <a:round/>
                    </a:ln>
                  </c:spPr>
                </c15:leaderLines>
              </c:ext>
            </c:extLst>
          </c:dLbls>
          <c:cat>
            <c:strRef>
              <c:f>[决算公开报告.xls]Sheet1!$C$82:$C$84</c:f>
              <c:strCache>
                <c:ptCount val="3"/>
                <c:pt idx="0">
                  <c:v>因公出国（境）费支出</c:v>
                </c:pt>
                <c:pt idx="1">
                  <c:v>公务用车购置及运行维护费</c:v>
                </c:pt>
                <c:pt idx="2">
                  <c:v>公务接待费支出</c:v>
                </c:pt>
              </c:strCache>
            </c:strRef>
          </c:cat>
          <c:val>
            <c:numRef>
              <c:f>[决算公开报告.xls]Sheet1!$D$82:$D$84</c:f>
              <c:numCache>
                <c:formatCode>General</c:formatCode>
                <c:ptCount val="3"/>
                <c:pt idx="0">
                  <c:v>0</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a52943c-01ab-401f-918a-b172c892f953}"/>
      </c:ext>
    </c:extLst>
  </c:chart>
  <c:spPr>
    <a:solidFill>
      <a:schemeClr val="bg1"/>
    </a:solidFill>
    <a:ln w="9525" cap="flat" cmpd="sng" algn="ctr">
      <a:solidFill>
        <a:schemeClr val="tx1">
          <a:lumMod val="15000"/>
          <a:lumOff val="85000"/>
        </a:schemeClr>
      </a:solidFill>
      <a:prstDash val="solid"/>
      <a:round/>
    </a:ln>
    <a:effectLst/>
  </c:spPr>
  <c:txPr>
    <a:bodyPr wrap="square"/>
    <a:lstStyle/>
    <a:p>
      <a:pPr>
        <a:defRPr lang="zh-CN"/>
      </a:pPr>
    </a:p>
  </c:txPr>
  <c:externalData r:id="rId1">
    <c:autoUpdate val="0"/>
  </c:externalData>
</c:chartSpace>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7f2c215-01d0-451f-bcfa-0ff471e8d195}"/>
        <w:style w:val=""/>
        <w:category>
          <w:name w:val="常规"/>
          <w:gallery w:val="placeholder"/>
        </w:category>
        <w:types>
          <w:type w:val="bbPlcHdr"/>
        </w:types>
        <w:behaviors>
          <w:behavior w:val="content"/>
        </w:behaviors>
        <w:description w:val=""/>
        <w:guid w:val="{27f2c215-01d0-451f-bcfa-0ff471e8d195}"/>
      </w:docPartPr>
      <w:docPartBody>
        <w:p w14:paraId="2E8CD921">
          <w:r>
            <w:rPr>
              <w:color w:val="808080"/>
            </w:rPr>
            <w:t>单击此处输入文字。</w:t>
          </w:r>
        </w:p>
      </w:docPartBody>
    </w:docPart>
    <w:docPart>
      <w:docPartPr>
        <w:name w:val="{d167952c-9e40-44cc-ac05-e38d456fad60}"/>
        <w:style w:val=""/>
        <w:category>
          <w:name w:val="常规"/>
          <w:gallery w:val="placeholder"/>
        </w:category>
        <w:types>
          <w:type w:val="bbPlcHdr"/>
        </w:types>
        <w:behaviors>
          <w:behavior w:val="content"/>
        </w:behaviors>
        <w:description w:val=""/>
        <w:guid w:val="{d167952c-9e40-44cc-ac05-e38d456fad60}"/>
      </w:docPartPr>
      <w:docPartBody>
        <w:p w14:paraId="32B24F6E">
          <w:r>
            <w:rPr>
              <w:color w:val="808080"/>
            </w:rPr>
            <w:t>单击此处输入文字。</w:t>
          </w:r>
        </w:p>
      </w:docPartBody>
    </w:docPart>
    <w:docPart>
      <w:docPartPr>
        <w:name w:val="{5d2b8866-3c5a-411d-9f02-6c2ae8ffe5a8}"/>
        <w:style w:val=""/>
        <w:category>
          <w:name w:val="常规"/>
          <w:gallery w:val="placeholder"/>
        </w:category>
        <w:types>
          <w:type w:val="bbPlcHdr"/>
        </w:types>
        <w:behaviors>
          <w:behavior w:val="content"/>
        </w:behaviors>
        <w:description w:val=""/>
        <w:guid w:val="{5d2b8866-3c5a-411d-9f02-6c2ae8ffe5a8}"/>
      </w:docPartPr>
      <w:docPartBody>
        <w:p w14:paraId="251AE333">
          <w:r>
            <w:rPr>
              <w:color w:val="808080"/>
            </w:rPr>
            <w:t>单击此处输入文字。</w:t>
          </w:r>
        </w:p>
      </w:docPartBody>
    </w:docPart>
    <w:docPart>
      <w:docPartPr>
        <w:name w:val="{b0809cd6-8c6e-4ccf-8dd1-d3d3b2a80747}"/>
        <w:style w:val=""/>
        <w:category>
          <w:name w:val="常规"/>
          <w:gallery w:val="placeholder"/>
        </w:category>
        <w:types>
          <w:type w:val="bbPlcHdr"/>
        </w:types>
        <w:behaviors>
          <w:behavior w:val="content"/>
        </w:behaviors>
        <w:description w:val=""/>
        <w:guid w:val="{b0809cd6-8c6e-4ccf-8dd1-d3d3b2a80747}"/>
      </w:docPartPr>
      <w:docPartBody>
        <w:p w14:paraId="5C235D62">
          <w:r>
            <w:rPr>
              <w:color w:val="808080"/>
            </w:rPr>
            <w:t>单击此处输入文字。</w:t>
          </w:r>
        </w:p>
      </w:docPartBody>
    </w:docPart>
    <w:docPart>
      <w:docPartPr>
        <w:name w:val="{30107ae2-3f91-4ad4-abda-5e56ae9116a5}"/>
        <w:style w:val=""/>
        <w:category>
          <w:name w:val="常规"/>
          <w:gallery w:val="placeholder"/>
        </w:category>
        <w:types>
          <w:type w:val="bbPlcHdr"/>
        </w:types>
        <w:behaviors>
          <w:behavior w:val="content"/>
        </w:behaviors>
        <w:description w:val=""/>
        <w:guid w:val="{30107ae2-3f91-4ad4-abda-5e56ae9116a5}"/>
      </w:docPartPr>
      <w:docPartBody>
        <w:p w14:paraId="084C56F9">
          <w:r>
            <w:rPr>
              <w:color w:val="808080"/>
            </w:rPr>
            <w:t>单击此处输入文字。</w:t>
          </w:r>
        </w:p>
      </w:docPartBody>
    </w:docPart>
    <w:docPart>
      <w:docPartPr>
        <w:name w:val="{191b51a4-d64e-4679-b608-7f3bb1e0349e}"/>
        <w:style w:val=""/>
        <w:category>
          <w:name w:val="常规"/>
          <w:gallery w:val="placeholder"/>
        </w:category>
        <w:types>
          <w:type w:val="bbPlcHdr"/>
        </w:types>
        <w:behaviors>
          <w:behavior w:val="content"/>
        </w:behaviors>
        <w:description w:val=""/>
        <w:guid w:val="{191b51a4-d64e-4679-b608-7f3bb1e0349e}"/>
      </w:docPartPr>
      <w:docPartBody>
        <w:p w14:paraId="0B3104EC">
          <w:r>
            <w:rPr>
              <w:color w:val="808080"/>
            </w:rPr>
            <w:t>单击此处输入文字。</w:t>
          </w:r>
        </w:p>
      </w:docPartBody>
    </w:docPart>
    <w:docPart>
      <w:docPartPr>
        <w:name w:val="{928e5703-df14-47da-9017-0d9ac6aa37b1}"/>
        <w:style w:val=""/>
        <w:category>
          <w:name w:val="常规"/>
          <w:gallery w:val="placeholder"/>
        </w:category>
        <w:types>
          <w:type w:val="bbPlcHdr"/>
        </w:types>
        <w:behaviors>
          <w:behavior w:val="content"/>
        </w:behaviors>
        <w:description w:val=""/>
        <w:guid w:val="{928e5703-df14-47da-9017-0d9ac6aa37b1}"/>
      </w:docPartPr>
      <w:docPartBody>
        <w:p w14:paraId="2480E97C">
          <w:r>
            <w:rPr>
              <w:color w:val="808080"/>
            </w:rPr>
            <w:t>单击此处输入文字。</w:t>
          </w:r>
        </w:p>
      </w:docPartBody>
    </w:docPart>
    <w:docPart>
      <w:docPartPr>
        <w:name w:val="{aa8b4acf-a7a1-49da-9f63-d8166012b8a0}"/>
        <w:style w:val=""/>
        <w:category>
          <w:name w:val="常规"/>
          <w:gallery w:val="placeholder"/>
        </w:category>
        <w:types>
          <w:type w:val="bbPlcHdr"/>
        </w:types>
        <w:behaviors>
          <w:behavior w:val="content"/>
        </w:behaviors>
        <w:description w:val=""/>
        <w:guid w:val="{aa8b4acf-a7a1-49da-9f63-d8166012b8a0}"/>
      </w:docPartPr>
      <w:docPartBody>
        <w:p w14:paraId="24DE44F7">
          <w:r>
            <w:rPr>
              <w:color w:val="808080"/>
            </w:rPr>
            <w:t>单击此处输入文字。</w:t>
          </w:r>
        </w:p>
      </w:docPartBody>
    </w:docPart>
    <w:docPart>
      <w:docPartPr>
        <w:name w:val="{a8171847-4388-4697-9f12-ce6bc6bc6ee9}"/>
        <w:style w:val=""/>
        <w:category>
          <w:name w:val="常规"/>
          <w:gallery w:val="placeholder"/>
        </w:category>
        <w:types>
          <w:type w:val="bbPlcHdr"/>
        </w:types>
        <w:behaviors>
          <w:behavior w:val="content"/>
        </w:behaviors>
        <w:description w:val=""/>
        <w:guid w:val="{a8171847-4388-4697-9f12-ce6bc6bc6ee9}"/>
      </w:docPartPr>
      <w:docPartBody>
        <w:p w14:paraId="0DCB0F37">
          <w:r>
            <w:rPr>
              <w:color w:val="808080"/>
            </w:rPr>
            <w:t>单击此处输入文字。</w:t>
          </w:r>
        </w:p>
      </w:docPartBody>
    </w:docPart>
    <w:docPart>
      <w:docPartPr>
        <w:name w:val="{45af5b58-9c97-4dd3-9096-2318fad38c1b}"/>
        <w:style w:val=""/>
        <w:category>
          <w:name w:val="常规"/>
          <w:gallery w:val="placeholder"/>
        </w:category>
        <w:types>
          <w:type w:val="bbPlcHdr"/>
        </w:types>
        <w:behaviors>
          <w:behavior w:val="content"/>
        </w:behaviors>
        <w:description w:val=""/>
        <w:guid w:val="{45af5b58-9c97-4dd3-9096-2318fad38c1b}"/>
      </w:docPartPr>
      <w:docPartBody>
        <w:p w14:paraId="0D2E4DF1">
          <w:r>
            <w:rPr>
              <w:color w:val="808080"/>
            </w:rPr>
            <w:t>单击此处输入文字。</w:t>
          </w:r>
        </w:p>
      </w:docPartBody>
    </w:docPart>
    <w:docPart>
      <w:docPartPr>
        <w:name w:val="{a6a8b1b0-e92e-4f70-bd42-7bef642d6882}"/>
        <w:style w:val=""/>
        <w:category>
          <w:name w:val="常规"/>
          <w:gallery w:val="placeholder"/>
        </w:category>
        <w:types>
          <w:type w:val="bbPlcHdr"/>
        </w:types>
        <w:behaviors>
          <w:behavior w:val="content"/>
        </w:behaviors>
        <w:description w:val=""/>
        <w:guid w:val="{a6a8b1b0-e92e-4f70-bd42-7bef642d6882}"/>
      </w:docPartPr>
      <w:docPartBody>
        <w:p w14:paraId="2832AE18">
          <w:r>
            <w:rPr>
              <w:color w:val="808080"/>
            </w:rPr>
            <w:t>单击此处输入文字。</w:t>
          </w:r>
        </w:p>
      </w:docPartBody>
    </w:docPart>
    <w:docPart>
      <w:docPartPr>
        <w:name w:val="{82445ae1-9061-4c89-8943-18c369333c6c}"/>
        <w:style w:val=""/>
        <w:category>
          <w:name w:val="常规"/>
          <w:gallery w:val="placeholder"/>
        </w:category>
        <w:types>
          <w:type w:val="bbPlcHdr"/>
        </w:types>
        <w:behaviors>
          <w:behavior w:val="content"/>
        </w:behaviors>
        <w:description w:val=""/>
        <w:guid w:val="{82445ae1-9061-4c89-8943-18c369333c6c}"/>
      </w:docPartPr>
      <w:docPartBody>
        <w:p w14:paraId="5281D7FE">
          <w:r>
            <w:rPr>
              <w:color w:val="808080"/>
            </w:rPr>
            <w:t>单击此处输入文字。</w:t>
          </w:r>
        </w:p>
      </w:docPartBody>
    </w:docPart>
    <w:docPart>
      <w:docPartPr>
        <w:name w:val="{79440adb-e0f5-4ff0-830e-2730941fb489}"/>
        <w:style w:val=""/>
        <w:category>
          <w:name w:val="常规"/>
          <w:gallery w:val="placeholder"/>
        </w:category>
        <w:types>
          <w:type w:val="bbPlcHdr"/>
        </w:types>
        <w:behaviors>
          <w:behavior w:val="content"/>
        </w:behaviors>
        <w:description w:val=""/>
        <w:guid w:val="{79440adb-e0f5-4ff0-830e-2730941fb489}"/>
      </w:docPartPr>
      <w:docPartBody>
        <w:p w14:paraId="4BB47306">
          <w:r>
            <w:rPr>
              <w:color w:val="808080"/>
            </w:rPr>
            <w:t>单击此处输入文字。</w:t>
          </w:r>
        </w:p>
      </w:docPartBody>
    </w:docPart>
    <w:docPart>
      <w:docPartPr>
        <w:name w:val="{374efd00-bdae-42cc-91b7-e9d1f75cae0c}"/>
        <w:style w:val=""/>
        <w:category>
          <w:name w:val="常规"/>
          <w:gallery w:val="placeholder"/>
        </w:category>
        <w:types>
          <w:type w:val="bbPlcHdr"/>
        </w:types>
        <w:behaviors>
          <w:behavior w:val="content"/>
        </w:behaviors>
        <w:description w:val=""/>
        <w:guid w:val="{374efd00-bdae-42cc-91b7-e9d1f75cae0c}"/>
      </w:docPartPr>
      <w:docPartBody>
        <w:p w14:paraId="3D431FE9">
          <w:r>
            <w:rPr>
              <w:color w:val="808080"/>
            </w:rPr>
            <w:t>单击此处输入文字。</w:t>
          </w:r>
        </w:p>
      </w:docPartBody>
    </w:docPart>
    <w:docPart>
      <w:docPartPr>
        <w:name w:val="{0a139a60-08ee-427f-b047-f6f7470bffd1}"/>
        <w:style w:val=""/>
        <w:category>
          <w:name w:val="常规"/>
          <w:gallery w:val="placeholder"/>
        </w:category>
        <w:types>
          <w:type w:val="bbPlcHdr"/>
        </w:types>
        <w:behaviors>
          <w:behavior w:val="content"/>
        </w:behaviors>
        <w:description w:val=""/>
        <w:guid w:val="{0a139a60-08ee-427f-b047-f6f7470bffd1}"/>
      </w:docPartPr>
      <w:docPartBody>
        <w:p w14:paraId="5C9E8DFA">
          <w:r>
            <w:rPr>
              <w:color w:val="808080"/>
            </w:rPr>
            <w:t>单击此处输入文字。</w:t>
          </w:r>
        </w:p>
      </w:docPartBody>
    </w:docPart>
    <w:docPart>
      <w:docPartPr>
        <w:name w:val="{965c6b72-9c5c-4e7c-b526-1a037c94cc40}"/>
        <w:style w:val=""/>
        <w:category>
          <w:name w:val="常规"/>
          <w:gallery w:val="placeholder"/>
        </w:category>
        <w:types>
          <w:type w:val="bbPlcHdr"/>
        </w:types>
        <w:behaviors>
          <w:behavior w:val="content"/>
        </w:behaviors>
        <w:description w:val=""/>
        <w:guid w:val="{965c6b72-9c5c-4e7c-b526-1a037c94cc40}"/>
      </w:docPartPr>
      <w:docPartBody>
        <w:p w14:paraId="2D6BFEF1">
          <w:r>
            <w:rPr>
              <w:color w:val="808080"/>
            </w:rPr>
            <w:t>单击此处输入文字。</w:t>
          </w:r>
        </w:p>
      </w:docPartBody>
    </w:docPart>
    <w:docPart>
      <w:docPartPr>
        <w:name w:val="{1da51a2b-4cc4-4a93-8e7b-46b7bdb40888}"/>
        <w:style w:val=""/>
        <w:category>
          <w:name w:val="常规"/>
          <w:gallery w:val="placeholder"/>
        </w:category>
        <w:types>
          <w:type w:val="bbPlcHdr"/>
        </w:types>
        <w:behaviors>
          <w:behavior w:val="content"/>
        </w:behaviors>
        <w:description w:val=""/>
        <w:guid w:val="{1da51a2b-4cc4-4a93-8e7b-46b7bdb40888}"/>
      </w:docPartPr>
      <w:docPartBody>
        <w:p w14:paraId="20624170">
          <w:r>
            <w:rPr>
              <w:color w:val="808080"/>
            </w:rPr>
            <w:t>单击此处输入文字。</w:t>
          </w:r>
        </w:p>
      </w:docPartBody>
    </w:docPart>
    <w:docPart>
      <w:docPartPr>
        <w:name w:val="{cfa92180-bef0-4506-add6-6b461bdc316f}"/>
        <w:style w:val=""/>
        <w:category>
          <w:name w:val="常规"/>
          <w:gallery w:val="placeholder"/>
        </w:category>
        <w:types>
          <w:type w:val="bbPlcHdr"/>
        </w:types>
        <w:behaviors>
          <w:behavior w:val="content"/>
        </w:behaviors>
        <w:description w:val=""/>
        <w:guid w:val="{cfa92180-bef0-4506-add6-6b461bdc316f}"/>
      </w:docPartPr>
      <w:docPartBody>
        <w:p w14:paraId="6886BB25">
          <w:r>
            <w:rPr>
              <w:color w:val="808080"/>
            </w:rPr>
            <w:t>单击此处输入文字。</w:t>
          </w:r>
        </w:p>
      </w:docPartBody>
    </w:docPart>
    <w:docPart>
      <w:docPartPr>
        <w:name w:val="{ab62a399-9812-4abb-86c2-ee0cc5e66590}"/>
        <w:style w:val=""/>
        <w:category>
          <w:name w:val="常规"/>
          <w:gallery w:val="placeholder"/>
        </w:category>
        <w:types>
          <w:type w:val="bbPlcHdr"/>
        </w:types>
        <w:behaviors>
          <w:behavior w:val="content"/>
        </w:behaviors>
        <w:description w:val=""/>
        <w:guid w:val="{ab62a399-9812-4abb-86c2-ee0cc5e66590}"/>
      </w:docPartPr>
      <w:docPartBody>
        <w:p w14:paraId="468F5496">
          <w:r>
            <w:rPr>
              <w:color w:val="808080"/>
            </w:rPr>
            <w:t>单击此处输入文字。</w:t>
          </w:r>
        </w:p>
      </w:docPartBody>
    </w:docPart>
    <w:docPart>
      <w:docPartPr>
        <w:name w:val="{16f9d293-bed2-435f-a9d8-a46de1aa9270}"/>
        <w:style w:val=""/>
        <w:category>
          <w:name w:val="常规"/>
          <w:gallery w:val="placeholder"/>
        </w:category>
        <w:types>
          <w:type w:val="bbPlcHdr"/>
        </w:types>
        <w:behaviors>
          <w:behavior w:val="content"/>
        </w:behaviors>
        <w:description w:val=""/>
        <w:guid w:val="{16f9d293-bed2-435f-a9d8-a46de1aa9270}"/>
      </w:docPartPr>
      <w:docPartBody>
        <w:p w14:paraId="22EBB354">
          <w:r>
            <w:rPr>
              <w:color w:val="808080"/>
            </w:rPr>
            <w:t>单击此处输入文字。</w:t>
          </w:r>
        </w:p>
      </w:docPartBody>
    </w:docPart>
    <w:docPart>
      <w:docPartPr>
        <w:name w:val="{c03e17bb-395e-41f4-b445-1e739afa27e9}"/>
        <w:style w:val=""/>
        <w:category>
          <w:name w:val="常规"/>
          <w:gallery w:val="placeholder"/>
        </w:category>
        <w:types>
          <w:type w:val="bbPlcHdr"/>
        </w:types>
        <w:behaviors>
          <w:behavior w:val="content"/>
        </w:behaviors>
        <w:description w:val=""/>
        <w:guid w:val="{c03e17bb-395e-41f4-b445-1e739afa27e9}"/>
      </w:docPartPr>
      <w:docPartBody>
        <w:p w14:paraId="1276E0E3">
          <w:r>
            <w:rPr>
              <w:color w:val="808080"/>
            </w:rPr>
            <w:t>单击此处输入文字。</w:t>
          </w:r>
        </w:p>
      </w:docPartBody>
    </w:docPart>
    <w:docPart>
      <w:docPartPr>
        <w:name w:val="{47bc7a2b-da98-4574-be0e-fd6e346ee2da}"/>
        <w:style w:val=""/>
        <w:category>
          <w:name w:val="常规"/>
          <w:gallery w:val="placeholder"/>
        </w:category>
        <w:types>
          <w:type w:val="bbPlcHdr"/>
        </w:types>
        <w:behaviors>
          <w:behavior w:val="content"/>
        </w:behaviors>
        <w:description w:val=""/>
        <w:guid w:val="{47bc7a2b-da98-4574-be0e-fd6e346ee2da}"/>
      </w:docPartPr>
      <w:docPartBody>
        <w:p w14:paraId="332E4E14">
          <w:r>
            <w:rPr>
              <w:color w:val="808080"/>
            </w:rPr>
            <w:t>单击此处输入文字。</w:t>
          </w:r>
        </w:p>
      </w:docPartBody>
    </w:docPart>
    <w:docPart>
      <w:docPartPr>
        <w:name w:val="{92d882db-9ba7-47a9-8b1f-e82903f73a9d}"/>
        <w:style w:val=""/>
        <w:category>
          <w:name w:val="常规"/>
          <w:gallery w:val="placeholder"/>
        </w:category>
        <w:types>
          <w:type w:val="bbPlcHdr"/>
        </w:types>
        <w:behaviors>
          <w:behavior w:val="content"/>
        </w:behaviors>
        <w:description w:val=""/>
        <w:guid w:val="{92d882db-9ba7-47a9-8b1f-e82903f73a9d}"/>
      </w:docPartPr>
      <w:docPartBody>
        <w:p w14:paraId="2FA9543D">
          <w:r>
            <w:rPr>
              <w:color w:val="808080"/>
            </w:rPr>
            <w:t>单击此处输入文字。</w:t>
          </w:r>
        </w:p>
      </w:docPartBody>
    </w:docPart>
    <w:docPart>
      <w:docPartPr>
        <w:name w:val="{12c684c8-7199-467a-9535-add248e7e48e}"/>
        <w:style w:val=""/>
        <w:category>
          <w:name w:val="常规"/>
          <w:gallery w:val="placeholder"/>
        </w:category>
        <w:types>
          <w:type w:val="bbPlcHdr"/>
        </w:types>
        <w:behaviors>
          <w:behavior w:val="content"/>
        </w:behaviors>
        <w:description w:val=""/>
        <w:guid w:val="{12c684c8-7199-467a-9535-add248e7e48e}"/>
      </w:docPartPr>
      <w:docPartBody>
        <w:p w14:paraId="71155D02">
          <w:r>
            <w:rPr>
              <w:color w:val="808080"/>
            </w:rPr>
            <w:t>单击此处输入文字。</w:t>
          </w:r>
        </w:p>
      </w:docPartBody>
    </w:docPart>
    <w:docPart>
      <w:docPartPr>
        <w:name w:val="{af09e755-492f-4ef4-a2f6-f7c4fa651739}"/>
        <w:style w:val=""/>
        <w:category>
          <w:name w:val="常规"/>
          <w:gallery w:val="placeholder"/>
        </w:category>
        <w:types>
          <w:type w:val="bbPlcHdr"/>
        </w:types>
        <w:behaviors>
          <w:behavior w:val="content"/>
        </w:behaviors>
        <w:description w:val=""/>
        <w:guid w:val="{af09e755-492f-4ef4-a2f6-f7c4fa651739}"/>
      </w:docPartPr>
      <w:docPartBody>
        <w:p w14:paraId="6C70BD5E">
          <w:r>
            <w:rPr>
              <w:color w:val="808080"/>
            </w:rPr>
            <w:t>单击此处输入文字。</w:t>
          </w:r>
        </w:p>
      </w:docPartBody>
    </w:docPart>
    <w:docPart>
      <w:docPartPr>
        <w:name w:val="{0d9011e6-9436-42b9-889b-0ad7f493d255}"/>
        <w:style w:val=""/>
        <w:category>
          <w:name w:val="常规"/>
          <w:gallery w:val="placeholder"/>
        </w:category>
        <w:types>
          <w:type w:val="bbPlcHdr"/>
        </w:types>
        <w:behaviors>
          <w:behavior w:val="content"/>
        </w:behaviors>
        <w:description w:val=""/>
        <w:guid w:val="{0d9011e6-9436-42b9-889b-0ad7f493d255}"/>
      </w:docPartPr>
      <w:docPartBody>
        <w:p w14:paraId="64F60F04">
          <w:r>
            <w:rPr>
              <w:color w:val="808080"/>
            </w:rPr>
            <w:t>单击此处输入文字。</w:t>
          </w:r>
        </w:p>
      </w:docPartBody>
    </w:docPart>
    <w:docPart>
      <w:docPartPr>
        <w:name w:val="{4c220cfb-b85c-457d-b679-022fc3d210c9}"/>
        <w:style w:val=""/>
        <w:category>
          <w:name w:val="常规"/>
          <w:gallery w:val="placeholder"/>
        </w:category>
        <w:types>
          <w:type w:val="bbPlcHdr"/>
        </w:types>
        <w:behaviors>
          <w:behavior w:val="content"/>
        </w:behaviors>
        <w:description w:val=""/>
        <w:guid w:val="{4c220cfb-b85c-457d-b679-022fc3d210c9}"/>
      </w:docPartPr>
      <w:docPartBody>
        <w:p w14:paraId="2014EC9F">
          <w:r>
            <w:rPr>
              <w:color w:val="808080"/>
            </w:rPr>
            <w:t>单击此处输入文字。</w:t>
          </w:r>
        </w:p>
      </w:docPartBody>
    </w:docPart>
    <w:docPart>
      <w:docPartPr>
        <w:name w:val="{2d3efa3d-9def-45f2-979d-9a724d54b199}"/>
        <w:style w:val=""/>
        <w:category>
          <w:name w:val="常规"/>
          <w:gallery w:val="placeholder"/>
        </w:category>
        <w:types>
          <w:type w:val="bbPlcHdr"/>
        </w:types>
        <w:behaviors>
          <w:behavior w:val="content"/>
        </w:behaviors>
        <w:description w:val=""/>
        <w:guid w:val="{2d3efa3d-9def-45f2-979d-9a724d54b199}"/>
      </w:docPartPr>
      <w:docPartBody>
        <w:p w14:paraId="3B42A6D5">
          <w:r>
            <w:rPr>
              <w:color w:val="808080"/>
            </w:rPr>
            <w:t>单击此处输入文字。</w:t>
          </w:r>
        </w:p>
      </w:docPartBody>
    </w:docPart>
    <w:docPart>
      <w:docPartPr>
        <w:name w:val="{fe9baba9-9d2b-440a-b601-335e27724250}"/>
        <w:style w:val=""/>
        <w:category>
          <w:name w:val="常规"/>
          <w:gallery w:val="placeholder"/>
        </w:category>
        <w:types>
          <w:type w:val="bbPlcHdr"/>
        </w:types>
        <w:behaviors>
          <w:behavior w:val="content"/>
        </w:behaviors>
        <w:description w:val=""/>
        <w:guid w:val="{fe9baba9-9d2b-440a-b601-335e27724250}"/>
      </w:docPartPr>
      <w:docPartBody>
        <w:p w14:paraId="2C5CF263">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15</Pages>
  <Words>24</Words>
  <Characters>27</Characters>
  <Lines>61</Lines>
  <Paragraphs>17</Paragraphs>
  <TotalTime>1</TotalTime>
  <ScaleCrop>false</ScaleCrop>
  <LinksUpToDate>false</LinksUpToDate>
  <CharactersWithSpaces>27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2026-10-20T08:52:37Z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