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01849">
      <w:pPr>
        <w:pStyle w:val="20"/>
        <w:keepNext w:val="0"/>
        <w:keepLines w:val="0"/>
        <w:widowControl/>
        <w:suppressLineNumbers w:val="0"/>
        <w:spacing w:before="0" w:beforeAutospacing="0"/>
        <w:ind w:left="0"/>
        <w:jc w:val="center"/>
        <w:rPr>
          <w:rFonts w:hint="eastAsia" w:ascii="宋体" w:hAnsi="宋体" w:eastAsia="宋体" w:cs="宋体"/>
          <w:kern w:val="0"/>
          <w:sz w:val="42"/>
          <w:szCs w:val="42"/>
          <w:shd w:val="clear" w:fill="FFFFFF"/>
        </w:rPr>
      </w:pPr>
    </w:p>
    <w:p w14:paraId="2B5C92B9">
      <w:pPr>
        <w:pStyle w:val="20"/>
        <w:keepNext w:val="0"/>
        <w:keepLines w:val="0"/>
        <w:widowControl/>
        <w:suppressLineNumbers w:val="0"/>
        <w:spacing w:before="0" w:beforeAutospacing="0"/>
        <w:ind w:left="0"/>
        <w:jc w:val="center"/>
        <w:rPr>
          <w:rFonts w:hint="eastAsia" w:ascii="宋体" w:hAnsi="宋体" w:eastAsia="宋体" w:cs="宋体"/>
          <w:kern w:val="0"/>
          <w:sz w:val="42"/>
          <w:szCs w:val="42"/>
          <w:shd w:val="clear" w:fill="FFFFFF"/>
        </w:rPr>
      </w:pPr>
    </w:p>
    <w:p w14:paraId="38A3AC05">
      <w:pPr>
        <w:pStyle w:val="20"/>
        <w:keepNext w:val="0"/>
        <w:keepLines w:val="0"/>
        <w:widowControl/>
        <w:suppressLineNumbers w:val="0"/>
        <w:spacing w:before="0" w:beforeAutospacing="0"/>
        <w:ind w:left="0"/>
        <w:jc w:val="center"/>
        <w:rPr>
          <w:rFonts w:hint="eastAsia" w:ascii="宋体" w:hAnsi="宋体" w:eastAsia="宋体" w:cs="宋体"/>
          <w:kern w:val="0"/>
          <w:sz w:val="42"/>
          <w:szCs w:val="42"/>
          <w:shd w:val="clear" w:fill="FFFFFF"/>
        </w:rPr>
      </w:pPr>
    </w:p>
    <w:p w14:paraId="37B29D6B">
      <w:pPr>
        <w:pStyle w:val="20"/>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kern w:val="0"/>
          <w:sz w:val="72"/>
          <w:szCs w:val="72"/>
        </w:rPr>
      </w:pPr>
      <w:r>
        <w:rPr>
          <w:rFonts w:hint="eastAsia" w:ascii="方正小标宋简体" w:hAnsi="方正小标宋简体" w:eastAsia="方正小标宋简体" w:cs="方正小标宋简体"/>
          <w:kern w:val="0"/>
          <w:sz w:val="72"/>
          <w:szCs w:val="72"/>
          <w:shd w:val="clear" w:fill="FFFFFF"/>
        </w:rPr>
        <w:t>2022年度</w:t>
      </w:r>
    </w:p>
    <w:p w14:paraId="2CEDEFCA">
      <w:pPr>
        <w:pStyle w:val="20"/>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kern w:val="0"/>
          <w:sz w:val="72"/>
          <w:szCs w:val="72"/>
        </w:rPr>
      </w:pPr>
      <w:r>
        <w:rPr>
          <w:rFonts w:hint="eastAsia" w:ascii="方正小标宋简体" w:hAnsi="方正小标宋简体" w:eastAsia="方正小标宋简体" w:cs="方正小标宋简体"/>
          <w:kern w:val="0"/>
          <w:sz w:val="72"/>
          <w:szCs w:val="72"/>
          <w:shd w:val="clear" w:fill="FFFFFF"/>
        </w:rPr>
        <w:t>阿坝州松潘县林业和草原局（本级）单位决算</w:t>
      </w:r>
    </w:p>
    <w:p w14:paraId="3F9FAAE6">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p>
    <w:p w14:paraId="7692AACF">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277FBB6C">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39938930">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70D4E1FF">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0ACA6EB5">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2D1AD7EF">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7B4E061C">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13D0F262">
      <w:pPr>
        <w:pStyle w:val="20"/>
        <w:keepNext w:val="0"/>
        <w:keepLines w:val="0"/>
        <w:widowControl/>
        <w:suppressLineNumbers w:val="0"/>
        <w:spacing w:before="0" w:beforeAutospacing="0"/>
        <w:ind w:left="0"/>
        <w:jc w:val="center"/>
        <w:rPr>
          <w:rFonts w:hint="eastAsia" w:ascii="宋体" w:hAnsi="宋体" w:eastAsia="宋体" w:cs="宋体"/>
          <w:kern w:val="0"/>
          <w:sz w:val="32"/>
          <w:szCs w:val="32"/>
        </w:rPr>
      </w:pPr>
      <w:r>
        <w:rPr>
          <w:rFonts w:hint="eastAsia" w:ascii="宋体" w:hAnsi="宋体" w:eastAsia="宋体" w:cs="宋体"/>
          <w:kern w:val="0"/>
          <w:sz w:val="32"/>
          <w:szCs w:val="32"/>
          <w:shd w:val="clear" w:fill="FFFFFF"/>
        </w:rPr>
        <w:t>已经保密审查、内容审定，同意对外公开</w:t>
      </w:r>
    </w:p>
    <w:p w14:paraId="693D4EA6">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23C9ECF3">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rPr>
        <w:t xml:space="preserve"> </w:t>
      </w:r>
    </w:p>
    <w:p w14:paraId="3CAEA415">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目录 </w:t>
      </w:r>
    </w:p>
    <w:p w14:paraId="06A5425F">
      <w:pPr>
        <w:pStyle w:val="20"/>
        <w:keepNext w:val="0"/>
        <w:keepLines w:val="0"/>
        <w:widowControl/>
        <w:suppressLineNumbers w:val="0"/>
        <w:spacing w:before="0" w:beforeAutospacing="0"/>
        <w:ind w:firstLine="2640" w:firstLineChars="1100"/>
        <w:jc w:val="both"/>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公开时间：2023年</w:t>
      </w:r>
      <w:r>
        <w:rPr>
          <w:rFonts w:hint="eastAsia" w:ascii="宋体" w:hAnsi="宋体" w:eastAsia="宋体" w:cs="宋体"/>
          <w:kern w:val="0"/>
          <w:sz w:val="24"/>
          <w:szCs w:val="24"/>
          <w:shd w:val="clear" w:fill="FFFFFF"/>
          <w:lang w:val="en-US" w:eastAsia="zh-CN"/>
        </w:rPr>
        <w:t>9</w:t>
      </w:r>
      <w:r>
        <w:rPr>
          <w:rFonts w:hint="eastAsia" w:ascii="宋体" w:hAnsi="宋体" w:eastAsia="宋体" w:cs="宋体"/>
          <w:kern w:val="0"/>
          <w:sz w:val="24"/>
          <w:szCs w:val="24"/>
          <w:shd w:val="clear" w:fill="FFFFFF"/>
        </w:rPr>
        <w:t>月</w:t>
      </w:r>
      <w:r>
        <w:rPr>
          <w:rFonts w:hint="eastAsia" w:ascii="宋体" w:hAnsi="宋体" w:eastAsia="宋体" w:cs="宋体"/>
          <w:kern w:val="0"/>
          <w:sz w:val="24"/>
          <w:szCs w:val="24"/>
          <w:shd w:val="clear" w:fill="FFFFFF"/>
          <w:lang w:val="en-US" w:eastAsia="zh-CN"/>
        </w:rPr>
        <w:t>11</w:t>
      </w:r>
      <w:r>
        <w:rPr>
          <w:rFonts w:hint="eastAsia" w:ascii="宋体" w:hAnsi="宋体" w:eastAsia="宋体" w:cs="宋体"/>
          <w:kern w:val="0"/>
          <w:sz w:val="24"/>
          <w:szCs w:val="24"/>
          <w:shd w:val="clear" w:fill="FFFFFF"/>
        </w:rPr>
        <w:t>日</w:t>
      </w:r>
    </w:p>
    <w:p w14:paraId="1E60EBE2">
      <w:pPr>
        <w:pStyle w:val="20"/>
        <w:keepNext w:val="0"/>
        <w:keepLines w:val="0"/>
        <w:widowControl/>
        <w:suppressLineNumbers w:val="0"/>
        <w:spacing w:before="0" w:beforeAutospacing="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第一部分 单位概况</w:t>
      </w:r>
      <w:r>
        <w:rPr>
          <w:rFonts w:hint="eastAsia" w:cs="宋体"/>
          <w:kern w:val="0"/>
          <w:sz w:val="24"/>
          <w:szCs w:val="24"/>
          <w:shd w:val="clear" w:fill="FFFFFF"/>
          <w:lang w:val="en-US" w:eastAsia="zh-CN"/>
        </w:rPr>
        <w:t xml:space="preserve">...................................................4                                                  </w:t>
      </w:r>
    </w:p>
    <w:p w14:paraId="5383D4BB">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rPr>
        <w:t>一、主要职责</w:t>
      </w:r>
      <w:r>
        <w:rPr>
          <w:rFonts w:hint="eastAsia" w:cs="宋体"/>
          <w:kern w:val="0"/>
          <w:sz w:val="24"/>
          <w:szCs w:val="24"/>
          <w:shd w:val="clear" w:fill="FFFFFF"/>
          <w:lang w:val="en-US" w:eastAsia="zh-CN"/>
        </w:rPr>
        <w:t xml:space="preserve"> ....................................................4                                                    </w:t>
      </w:r>
    </w:p>
    <w:p w14:paraId="01AFF7E3">
      <w:pPr>
        <w:pStyle w:val="20"/>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二、机构设置</w:t>
      </w:r>
      <w:r>
        <w:rPr>
          <w:rFonts w:hint="eastAsia" w:cs="宋体"/>
          <w:kern w:val="0"/>
          <w:sz w:val="24"/>
          <w:szCs w:val="24"/>
          <w:shd w:val="clear" w:fill="FFFFFF"/>
          <w:lang w:val="en-US" w:eastAsia="zh-CN"/>
        </w:rPr>
        <w:t xml:space="preserve"> ...................................................15                                                 </w:t>
      </w:r>
    </w:p>
    <w:p w14:paraId="5452241C">
      <w:pPr>
        <w:pStyle w:val="20"/>
        <w:keepNext w:val="0"/>
        <w:keepLines w:val="0"/>
        <w:widowControl/>
        <w:suppressLineNumbers w:val="0"/>
        <w:spacing w:before="0" w:beforeAutospacing="0"/>
        <w:ind w:left="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第二部分2022年度单位决算情况说明</w:t>
      </w:r>
      <w:r>
        <w:rPr>
          <w:rFonts w:hint="eastAsia" w:cs="宋体"/>
          <w:kern w:val="0"/>
          <w:sz w:val="24"/>
          <w:szCs w:val="24"/>
          <w:shd w:val="clear" w:fill="FFFFFF"/>
          <w:lang w:val="en-US" w:eastAsia="zh-CN"/>
        </w:rPr>
        <w:t xml:space="preserve"> .................................16                                 </w:t>
      </w:r>
    </w:p>
    <w:p w14:paraId="1B835D3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一、收入支出决算总体情况说明</w:t>
      </w:r>
      <w:r>
        <w:rPr>
          <w:rFonts w:hint="eastAsia" w:cs="宋体"/>
          <w:kern w:val="0"/>
          <w:sz w:val="24"/>
          <w:szCs w:val="24"/>
          <w:shd w:val="clear" w:fill="FFFFFF"/>
          <w:lang w:val="en-US" w:eastAsia="zh-CN"/>
        </w:rPr>
        <w:t>...................................16</w:t>
      </w:r>
    </w:p>
    <w:p w14:paraId="6B68DD36">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二、收入决算情况说明</w:t>
      </w:r>
      <w:r>
        <w:rPr>
          <w:rFonts w:hint="eastAsia" w:cs="宋体"/>
          <w:kern w:val="0"/>
          <w:sz w:val="24"/>
          <w:szCs w:val="24"/>
          <w:shd w:val="clear" w:fill="FFFFFF"/>
          <w:lang w:val="en-US" w:eastAsia="zh-CN"/>
        </w:rPr>
        <w:t>...........................................17</w:t>
      </w:r>
    </w:p>
    <w:p w14:paraId="3B305116">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三、支出决算情况说明</w:t>
      </w:r>
      <w:r>
        <w:rPr>
          <w:rFonts w:hint="eastAsia" w:cs="宋体"/>
          <w:kern w:val="0"/>
          <w:sz w:val="24"/>
          <w:szCs w:val="24"/>
          <w:shd w:val="clear" w:fill="FFFFFF"/>
          <w:lang w:val="en-US" w:eastAsia="zh-CN"/>
        </w:rPr>
        <w:t>...........................................18</w:t>
      </w:r>
    </w:p>
    <w:p w14:paraId="1D10E95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四、财政拨款收入支出决算总体情况说明</w:t>
      </w:r>
      <w:r>
        <w:rPr>
          <w:rFonts w:hint="eastAsia" w:cs="宋体"/>
          <w:kern w:val="0"/>
          <w:sz w:val="24"/>
          <w:szCs w:val="24"/>
          <w:shd w:val="clear" w:fill="FFFFFF"/>
          <w:lang w:val="en-US" w:eastAsia="zh-CN"/>
        </w:rPr>
        <w:t>...........................19</w:t>
      </w:r>
    </w:p>
    <w:p w14:paraId="61CB4AA7">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五、一般公共预算财政拨款支出决算情况说明</w:t>
      </w:r>
      <w:r>
        <w:rPr>
          <w:rFonts w:hint="eastAsia" w:cs="宋体"/>
          <w:kern w:val="0"/>
          <w:sz w:val="24"/>
          <w:szCs w:val="24"/>
          <w:shd w:val="clear" w:fill="FFFFFF"/>
          <w:lang w:val="en-US" w:eastAsia="zh-CN"/>
        </w:rPr>
        <w:t>.......................20</w:t>
      </w:r>
    </w:p>
    <w:p w14:paraId="5A9D2995">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六、一般公共预算财政拨款基本支出决算情况说明</w:t>
      </w:r>
      <w:r>
        <w:rPr>
          <w:rFonts w:hint="eastAsia" w:cs="宋体"/>
          <w:kern w:val="0"/>
          <w:sz w:val="24"/>
          <w:szCs w:val="24"/>
          <w:shd w:val="clear" w:fill="FFFFFF"/>
          <w:lang w:val="en-US" w:eastAsia="zh-CN"/>
        </w:rPr>
        <w:t>...................25</w:t>
      </w:r>
    </w:p>
    <w:p w14:paraId="40D70751">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七、财政拨款“三公”经费支出决算情况说明</w:t>
      </w:r>
      <w:r>
        <w:rPr>
          <w:rFonts w:hint="eastAsia" w:cs="宋体"/>
          <w:kern w:val="0"/>
          <w:sz w:val="24"/>
          <w:szCs w:val="24"/>
          <w:shd w:val="clear" w:fill="FFFFFF"/>
          <w:lang w:val="en-US" w:eastAsia="zh-CN"/>
        </w:rPr>
        <w:t>........................26</w:t>
      </w:r>
    </w:p>
    <w:p w14:paraId="198C514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八、政府性基金预算支出决算情况说明</w:t>
      </w:r>
      <w:r>
        <w:rPr>
          <w:rFonts w:hint="eastAsia" w:cs="宋体"/>
          <w:kern w:val="0"/>
          <w:sz w:val="24"/>
          <w:szCs w:val="24"/>
          <w:shd w:val="clear" w:fill="FFFFFF"/>
          <w:lang w:val="en-US" w:eastAsia="zh-CN"/>
        </w:rPr>
        <w:t>..............................28</w:t>
      </w:r>
    </w:p>
    <w:p w14:paraId="143405EF">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九、国有资本经营预算支出决算情况说明</w:t>
      </w:r>
      <w:r>
        <w:rPr>
          <w:rFonts w:hint="eastAsia" w:cs="宋体"/>
          <w:kern w:val="0"/>
          <w:sz w:val="24"/>
          <w:szCs w:val="24"/>
          <w:shd w:val="clear" w:fill="FFFFFF"/>
          <w:lang w:val="en-US" w:eastAsia="zh-CN"/>
        </w:rPr>
        <w:t>............................29</w:t>
      </w:r>
    </w:p>
    <w:p w14:paraId="62126810">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shd w:val="clear" w:fill="FFFFFF"/>
        </w:rPr>
        <w:t>十、其他重要事项的情况说明</w:t>
      </w:r>
      <w:r>
        <w:rPr>
          <w:rFonts w:hint="eastAsia" w:cs="宋体"/>
          <w:kern w:val="0"/>
          <w:sz w:val="24"/>
          <w:szCs w:val="24"/>
          <w:shd w:val="clear" w:fill="FFFFFF"/>
          <w:lang w:val="en-US" w:eastAsia="zh-CN"/>
        </w:rPr>
        <w:t>......................................29</w:t>
      </w:r>
      <w:r>
        <w:rPr>
          <w:rFonts w:hint="eastAsia" w:ascii="宋体" w:hAnsi="宋体" w:eastAsia="宋体" w:cs="宋体"/>
          <w:kern w:val="0"/>
          <w:sz w:val="24"/>
          <w:szCs w:val="24"/>
          <w:shd w:val="clear" w:fill="FFFFFF"/>
        </w:rPr>
        <w:t xml:space="preserve"> </w:t>
      </w:r>
    </w:p>
    <w:p w14:paraId="3E94C4D8">
      <w:pPr>
        <w:pStyle w:val="20"/>
        <w:keepNext w:val="0"/>
        <w:keepLines w:val="0"/>
        <w:widowControl/>
        <w:suppressLineNumbers w:val="0"/>
        <w:spacing w:before="0" w:beforeAutospacing="0"/>
        <w:ind w:left="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第三部分 名词解释</w:t>
      </w:r>
      <w:r>
        <w:rPr>
          <w:rFonts w:hint="eastAsia" w:cs="宋体"/>
          <w:kern w:val="0"/>
          <w:sz w:val="24"/>
          <w:szCs w:val="24"/>
          <w:shd w:val="clear" w:fill="FFFFFF"/>
          <w:lang w:val="en-US" w:eastAsia="zh-CN"/>
        </w:rPr>
        <w:t>..................................................60</w:t>
      </w:r>
    </w:p>
    <w:p w14:paraId="2289F45E">
      <w:pPr>
        <w:pStyle w:val="20"/>
        <w:keepNext w:val="0"/>
        <w:keepLines w:val="0"/>
        <w:widowControl/>
        <w:suppressLineNumbers w:val="0"/>
        <w:spacing w:before="0" w:beforeAutospacing="0"/>
        <w:ind w:left="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第四部分 附件</w:t>
      </w:r>
      <w:r>
        <w:rPr>
          <w:rFonts w:hint="eastAsia" w:cs="宋体"/>
          <w:kern w:val="0"/>
          <w:sz w:val="24"/>
          <w:szCs w:val="24"/>
          <w:shd w:val="clear" w:fill="FFFFFF"/>
          <w:lang w:val="en-US" w:eastAsia="zh-CN"/>
        </w:rPr>
        <w:t>......................................................64</w:t>
      </w:r>
    </w:p>
    <w:p w14:paraId="6F844FFC">
      <w:pPr>
        <w:pStyle w:val="20"/>
        <w:keepNext w:val="0"/>
        <w:keepLines w:val="0"/>
        <w:widowControl/>
        <w:suppressLineNumbers w:val="0"/>
        <w:spacing w:before="0" w:beforeAutospacing="0"/>
        <w:ind w:left="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第五部分 附表</w:t>
      </w:r>
      <w:r>
        <w:rPr>
          <w:rFonts w:hint="eastAsia" w:cs="宋体"/>
          <w:kern w:val="0"/>
          <w:sz w:val="24"/>
          <w:szCs w:val="24"/>
          <w:shd w:val="clear" w:fill="FFFFFF"/>
          <w:lang w:val="en-US" w:eastAsia="zh-CN"/>
        </w:rPr>
        <w:t>......................................................72</w:t>
      </w:r>
    </w:p>
    <w:p w14:paraId="19E00016">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一、收入支出决算总表</w:t>
      </w:r>
      <w:r>
        <w:rPr>
          <w:rFonts w:hint="eastAsia" w:cs="宋体"/>
          <w:kern w:val="0"/>
          <w:sz w:val="24"/>
          <w:szCs w:val="24"/>
          <w:shd w:val="clear" w:fill="FFFFFF"/>
          <w:lang w:val="en-US" w:eastAsia="zh-CN"/>
        </w:rPr>
        <w:t>...........................................72</w:t>
      </w:r>
    </w:p>
    <w:p w14:paraId="3D700D2E">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二、收入决算表</w:t>
      </w:r>
      <w:r>
        <w:rPr>
          <w:rFonts w:hint="eastAsia" w:cs="宋体"/>
          <w:kern w:val="0"/>
          <w:sz w:val="24"/>
          <w:szCs w:val="24"/>
          <w:shd w:val="clear" w:fill="FFFFFF"/>
          <w:lang w:val="en-US" w:eastAsia="zh-CN"/>
        </w:rPr>
        <w:t>.................................................72</w:t>
      </w:r>
    </w:p>
    <w:p w14:paraId="06F90DFB">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三、支出决算表</w:t>
      </w:r>
      <w:r>
        <w:rPr>
          <w:rFonts w:hint="eastAsia" w:cs="宋体"/>
          <w:kern w:val="0"/>
          <w:sz w:val="24"/>
          <w:szCs w:val="24"/>
          <w:shd w:val="clear" w:fill="FFFFFF"/>
          <w:lang w:val="en-US" w:eastAsia="zh-CN"/>
        </w:rPr>
        <w:t>.................................................72</w:t>
      </w:r>
    </w:p>
    <w:p w14:paraId="5BC2A3BE">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四、财政拨款收入支出决算总表</w:t>
      </w:r>
      <w:r>
        <w:rPr>
          <w:rFonts w:hint="eastAsia" w:cs="宋体"/>
          <w:kern w:val="0"/>
          <w:sz w:val="24"/>
          <w:szCs w:val="24"/>
          <w:shd w:val="clear" w:fill="FFFFFF"/>
          <w:lang w:val="en-US" w:eastAsia="zh-CN"/>
        </w:rPr>
        <w:t>...................................72</w:t>
      </w:r>
    </w:p>
    <w:p w14:paraId="2FBCEE65">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五、财政拨款支出决算明细表</w:t>
      </w:r>
      <w:r>
        <w:rPr>
          <w:rFonts w:hint="eastAsia" w:cs="宋体"/>
          <w:kern w:val="0"/>
          <w:sz w:val="24"/>
          <w:szCs w:val="24"/>
          <w:shd w:val="clear" w:fill="FFFFFF"/>
          <w:lang w:val="en-US" w:eastAsia="zh-CN"/>
        </w:rPr>
        <w:t>.....................................72</w:t>
      </w:r>
    </w:p>
    <w:p w14:paraId="3F50A93F">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六、一般公共预算财政拨款支出决算表</w:t>
      </w:r>
      <w:r>
        <w:rPr>
          <w:rFonts w:hint="eastAsia" w:cs="宋体"/>
          <w:kern w:val="0"/>
          <w:sz w:val="24"/>
          <w:szCs w:val="24"/>
          <w:shd w:val="clear" w:fill="FFFFFF"/>
          <w:lang w:val="en-US" w:eastAsia="zh-CN"/>
        </w:rPr>
        <w:t>.............................72</w:t>
      </w:r>
    </w:p>
    <w:p w14:paraId="2688A064">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七、一般公共预算财政拨款支出决算明细表</w:t>
      </w:r>
      <w:r>
        <w:rPr>
          <w:rFonts w:hint="eastAsia" w:cs="宋体"/>
          <w:kern w:val="0"/>
          <w:sz w:val="24"/>
          <w:szCs w:val="24"/>
          <w:shd w:val="clear" w:fill="FFFFFF"/>
          <w:lang w:val="en-US" w:eastAsia="zh-CN"/>
        </w:rPr>
        <w:t>.........................72</w:t>
      </w:r>
    </w:p>
    <w:p w14:paraId="5A6644C9">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八、一般公共预算财政拨款基本支出决算表</w:t>
      </w:r>
      <w:r>
        <w:rPr>
          <w:rFonts w:hint="eastAsia" w:cs="宋体"/>
          <w:kern w:val="0"/>
          <w:sz w:val="24"/>
          <w:szCs w:val="24"/>
          <w:shd w:val="clear" w:fill="FFFFFF"/>
          <w:lang w:val="en-US" w:eastAsia="zh-CN"/>
        </w:rPr>
        <w:t>..........................72</w:t>
      </w:r>
    </w:p>
    <w:p w14:paraId="0E5028CE">
      <w:pPr>
        <w:pStyle w:val="20"/>
        <w:keepNext w:val="0"/>
        <w:keepLines w:val="0"/>
        <w:widowControl/>
        <w:suppressLineNumbers w:val="0"/>
        <w:spacing w:before="0" w:beforeAutospacing="0"/>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九、一般公共预算财政拨款项目支出决算表</w:t>
      </w:r>
      <w:r>
        <w:rPr>
          <w:rFonts w:hint="eastAsia" w:cs="宋体"/>
          <w:kern w:val="0"/>
          <w:sz w:val="24"/>
          <w:szCs w:val="24"/>
          <w:shd w:val="clear" w:fill="FFFFFF"/>
          <w:lang w:val="en-US" w:eastAsia="zh-CN"/>
        </w:rPr>
        <w:t>..........................72</w:t>
      </w:r>
    </w:p>
    <w:p w14:paraId="18CDBD0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十、政府性基金预算财政拨款收入支出决算表</w:t>
      </w:r>
      <w:r>
        <w:rPr>
          <w:rFonts w:hint="eastAsia" w:cs="宋体"/>
          <w:kern w:val="0"/>
          <w:sz w:val="24"/>
          <w:szCs w:val="24"/>
          <w:shd w:val="clear" w:fill="FFFFFF"/>
          <w:lang w:val="en-US" w:eastAsia="zh-CN"/>
        </w:rPr>
        <w:t>.......................72</w:t>
      </w:r>
    </w:p>
    <w:p w14:paraId="2FD22B2C">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十一、国有资本经营预算财政拨款收入支出决算表</w:t>
      </w:r>
      <w:r>
        <w:rPr>
          <w:rFonts w:hint="eastAsia" w:cs="宋体"/>
          <w:kern w:val="0"/>
          <w:sz w:val="24"/>
          <w:szCs w:val="24"/>
          <w:shd w:val="clear" w:fill="FFFFFF"/>
          <w:lang w:val="en-US" w:eastAsia="zh-CN"/>
        </w:rPr>
        <w:t>...................72</w:t>
      </w:r>
    </w:p>
    <w:p w14:paraId="4F5324EC">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十二、国有资本经营预算财政拨款支出决算表</w:t>
      </w:r>
      <w:r>
        <w:rPr>
          <w:rFonts w:hint="eastAsia" w:cs="宋体"/>
          <w:kern w:val="0"/>
          <w:sz w:val="24"/>
          <w:szCs w:val="24"/>
          <w:shd w:val="clear" w:fill="FFFFFF"/>
          <w:lang w:val="en-US" w:eastAsia="zh-CN"/>
        </w:rPr>
        <w:t>.......................72</w:t>
      </w:r>
    </w:p>
    <w:p w14:paraId="0F48654C">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十三、财政拨款“三公”经费支出决算表</w:t>
      </w:r>
      <w:r>
        <w:rPr>
          <w:rFonts w:hint="eastAsia" w:cs="宋体"/>
          <w:kern w:val="0"/>
          <w:sz w:val="24"/>
          <w:szCs w:val="24"/>
          <w:shd w:val="clear" w:fill="FFFFFF"/>
          <w:lang w:val="en-US" w:eastAsia="zh-CN"/>
        </w:rPr>
        <w:t>...........................72</w:t>
      </w:r>
    </w:p>
    <w:p w14:paraId="36D1B1A6">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cs="宋体"/>
          <w:kern w:val="0"/>
          <w:sz w:val="24"/>
          <w:szCs w:val="24"/>
          <w:shd w:val="clear" w:fill="FFFFFF"/>
          <w:lang w:eastAsia="zh-CN"/>
        </w:rPr>
        <w:t>（</w:t>
      </w:r>
      <w:r>
        <w:rPr>
          <w:rFonts w:hint="eastAsia" w:ascii="宋体" w:hAnsi="宋体" w:eastAsia="宋体" w:cs="宋体"/>
          <w:kern w:val="0"/>
          <w:sz w:val="24"/>
          <w:szCs w:val="24"/>
          <w:shd w:val="clear" w:fill="FFFFFF"/>
        </w:rPr>
        <w:t>注：请部门根据实际注明页码</w:t>
      </w:r>
      <w:r>
        <w:rPr>
          <w:rFonts w:hint="eastAsia" w:cs="宋体"/>
          <w:kern w:val="0"/>
          <w:sz w:val="24"/>
          <w:szCs w:val="24"/>
          <w:shd w:val="clear" w:fill="FFFFFF"/>
          <w:lang w:eastAsia="zh-CN"/>
        </w:rPr>
        <w:t>）</w:t>
      </w:r>
    </w:p>
    <w:p w14:paraId="3197F982">
      <w:pPr>
        <w:pStyle w:val="3"/>
        <w:keepNext w:val="0"/>
        <w:keepLines w:val="0"/>
        <w:widowControl/>
        <w:suppressLineNumbers w:val="0"/>
        <w:spacing w:before="0" w:beforeAutospacing="0"/>
        <w:ind w:left="0"/>
        <w:jc w:val="center"/>
        <w:rPr>
          <w:rFonts w:hint="eastAsia" w:ascii="宋体" w:hAnsi="宋体" w:eastAsia="宋体" w:cs="宋体"/>
          <w:b/>
          <w:bCs/>
          <w:kern w:val="44"/>
          <w:sz w:val="48"/>
          <w:szCs w:val="48"/>
          <w:shd w:val="clear" w:fill="FFFFFF"/>
        </w:rPr>
      </w:pPr>
    </w:p>
    <w:p w14:paraId="46D1CA8A">
      <w:pPr>
        <w:pStyle w:val="3"/>
        <w:keepNext w:val="0"/>
        <w:keepLines w:val="0"/>
        <w:widowControl/>
        <w:suppressLineNumbers w:val="0"/>
        <w:spacing w:before="0" w:beforeAutospacing="0"/>
        <w:ind w:left="0"/>
        <w:jc w:val="center"/>
        <w:rPr>
          <w:rFonts w:hint="eastAsia" w:ascii="黑体" w:hAnsi="黑体" w:eastAsia="黑体" w:cs="黑体"/>
          <w:b/>
          <w:bCs/>
          <w:kern w:val="44"/>
          <w:sz w:val="44"/>
          <w:szCs w:val="44"/>
          <w:shd w:val="clear" w:fill="FFFFFF"/>
        </w:rPr>
      </w:pPr>
    </w:p>
    <w:p w14:paraId="0345A9A6">
      <w:pPr>
        <w:pStyle w:val="3"/>
        <w:keepNext w:val="0"/>
        <w:keepLines w:val="0"/>
        <w:widowControl/>
        <w:suppressLineNumbers w:val="0"/>
        <w:spacing w:before="0" w:beforeAutospacing="0"/>
        <w:ind w:left="0"/>
        <w:jc w:val="center"/>
        <w:rPr>
          <w:rFonts w:hint="eastAsia" w:ascii="黑体" w:hAnsi="黑体" w:eastAsia="黑体" w:cs="黑体"/>
          <w:b/>
          <w:bCs/>
          <w:kern w:val="44"/>
          <w:sz w:val="44"/>
          <w:szCs w:val="44"/>
          <w:shd w:val="clear" w:fill="FFFFFF"/>
        </w:rPr>
      </w:pPr>
    </w:p>
    <w:p w14:paraId="14D70049">
      <w:pPr>
        <w:pStyle w:val="3"/>
        <w:keepNext w:val="0"/>
        <w:keepLines w:val="0"/>
        <w:widowControl/>
        <w:suppressLineNumbers w:val="0"/>
        <w:spacing w:before="0" w:beforeAutospacing="0"/>
        <w:ind w:left="0"/>
        <w:jc w:val="center"/>
        <w:rPr>
          <w:rFonts w:hint="eastAsia" w:ascii="黑体" w:hAnsi="黑体" w:eastAsia="黑体" w:cs="黑体"/>
          <w:b/>
          <w:bCs/>
          <w:kern w:val="44"/>
          <w:sz w:val="44"/>
          <w:szCs w:val="44"/>
          <w:shd w:val="clear" w:fill="FFFFFF"/>
        </w:rPr>
      </w:pPr>
    </w:p>
    <w:p w14:paraId="24B186A1">
      <w:pPr>
        <w:pStyle w:val="3"/>
        <w:keepNext w:val="0"/>
        <w:keepLines w:val="0"/>
        <w:widowControl/>
        <w:suppressLineNumbers w:val="0"/>
        <w:spacing w:before="0" w:beforeAutospacing="0"/>
        <w:ind w:left="0"/>
        <w:jc w:val="center"/>
        <w:rPr>
          <w:rFonts w:hint="eastAsia" w:ascii="黑体" w:hAnsi="黑体" w:eastAsia="黑体" w:cs="黑体"/>
          <w:b/>
          <w:bCs/>
          <w:kern w:val="44"/>
          <w:sz w:val="44"/>
          <w:szCs w:val="44"/>
          <w:shd w:val="clear" w:fill="FFFFFF"/>
        </w:rPr>
      </w:pPr>
    </w:p>
    <w:p w14:paraId="4BF448ED">
      <w:pPr>
        <w:pStyle w:val="3"/>
        <w:keepNext w:val="0"/>
        <w:keepLines w:val="0"/>
        <w:widowControl/>
        <w:suppressLineNumbers w:val="0"/>
        <w:spacing w:before="0" w:beforeAutospacing="0"/>
        <w:ind w:left="0"/>
        <w:jc w:val="center"/>
        <w:rPr>
          <w:rFonts w:hint="eastAsia" w:ascii="黑体" w:hAnsi="黑体" w:eastAsia="黑体" w:cs="黑体"/>
          <w:b/>
          <w:bCs/>
          <w:kern w:val="44"/>
          <w:sz w:val="44"/>
          <w:szCs w:val="44"/>
          <w:shd w:val="clear" w:fill="FFFFFF"/>
        </w:rPr>
      </w:pPr>
    </w:p>
    <w:p w14:paraId="2918657A">
      <w:pPr>
        <w:pStyle w:val="3"/>
        <w:keepNext w:val="0"/>
        <w:keepLines w:val="0"/>
        <w:widowControl/>
        <w:suppressLineNumbers w:val="0"/>
        <w:spacing w:before="0" w:beforeAutospacing="0"/>
        <w:ind w:left="0"/>
        <w:jc w:val="center"/>
        <w:rPr>
          <w:rFonts w:hint="eastAsia" w:ascii="黑体" w:hAnsi="黑体" w:eastAsia="黑体" w:cs="黑体"/>
          <w:b/>
          <w:bCs/>
          <w:kern w:val="44"/>
          <w:sz w:val="44"/>
          <w:szCs w:val="44"/>
          <w:shd w:val="clear" w:fill="FFFFFF"/>
        </w:rPr>
      </w:pPr>
    </w:p>
    <w:p w14:paraId="14D2DC27">
      <w:pPr>
        <w:pStyle w:val="3"/>
        <w:keepNext w:val="0"/>
        <w:keepLines w:val="0"/>
        <w:widowControl/>
        <w:suppressLineNumbers w:val="0"/>
        <w:spacing w:before="0" w:beforeAutospacing="0"/>
        <w:ind w:left="0"/>
        <w:jc w:val="center"/>
        <w:rPr>
          <w:rFonts w:hint="eastAsia" w:ascii="黑体" w:hAnsi="黑体" w:eastAsia="黑体" w:cs="黑体"/>
          <w:b/>
          <w:bCs/>
          <w:kern w:val="44"/>
          <w:sz w:val="44"/>
          <w:szCs w:val="44"/>
          <w:shd w:val="clear" w:fill="FFFFFF"/>
        </w:rPr>
      </w:pPr>
    </w:p>
    <w:p w14:paraId="3AC42E22">
      <w:pPr>
        <w:pStyle w:val="3"/>
        <w:keepNext w:val="0"/>
        <w:keepLines w:val="0"/>
        <w:widowControl/>
        <w:suppressLineNumbers w:val="0"/>
        <w:spacing w:before="0" w:beforeAutospacing="0"/>
        <w:ind w:left="0"/>
        <w:jc w:val="center"/>
        <w:rPr>
          <w:rFonts w:hint="eastAsia" w:ascii="黑体" w:hAnsi="黑体" w:eastAsia="黑体" w:cs="黑体"/>
          <w:b/>
          <w:bCs/>
          <w:kern w:val="44"/>
          <w:sz w:val="44"/>
          <w:szCs w:val="44"/>
          <w:shd w:val="clear" w:fill="FFFFFF"/>
        </w:rPr>
      </w:pPr>
    </w:p>
    <w:p w14:paraId="4CA91568">
      <w:pPr>
        <w:pStyle w:val="3"/>
        <w:keepNext w:val="0"/>
        <w:keepLines w:val="0"/>
        <w:widowControl/>
        <w:suppressLineNumbers w:val="0"/>
        <w:spacing w:before="0" w:beforeAutospacing="0"/>
        <w:ind w:left="0"/>
        <w:jc w:val="center"/>
        <w:rPr>
          <w:rFonts w:hint="eastAsia" w:ascii="黑体" w:hAnsi="黑体" w:eastAsia="黑体" w:cs="黑体"/>
          <w:b/>
          <w:bCs/>
          <w:kern w:val="44"/>
          <w:sz w:val="48"/>
          <w:szCs w:val="48"/>
        </w:rPr>
      </w:pPr>
      <w:r>
        <w:rPr>
          <w:rFonts w:hint="eastAsia" w:ascii="黑体" w:hAnsi="黑体" w:eastAsia="黑体" w:cs="黑体"/>
          <w:b/>
          <w:bCs/>
          <w:kern w:val="44"/>
          <w:sz w:val="44"/>
          <w:szCs w:val="44"/>
          <w:shd w:val="clear" w:fill="FFFFFF"/>
        </w:rPr>
        <w:t>第一部分 单位概况</w:t>
      </w:r>
    </w:p>
    <w:p w14:paraId="369F252D">
      <w:pPr>
        <w:pStyle w:val="20"/>
        <w:keepNext w:val="0"/>
        <w:keepLines w:val="0"/>
        <w:widowControl/>
        <w:suppressLineNumbers w:val="0"/>
        <w:spacing w:before="0" w:beforeAutospacing="0"/>
        <w:ind w:left="0"/>
        <w:jc w:val="left"/>
        <w:rPr>
          <w:rFonts w:hint="eastAsia" w:ascii="黑体" w:hAnsi="黑体" w:eastAsia="黑体" w:cs="黑体"/>
          <w:kern w:val="0"/>
          <w:sz w:val="24"/>
          <w:szCs w:val="24"/>
        </w:rPr>
      </w:pPr>
      <w:r>
        <w:rPr>
          <w:rFonts w:hint="eastAsia" w:ascii="黑体" w:hAnsi="黑体" w:eastAsia="黑体" w:cs="黑体"/>
          <w:kern w:val="0"/>
          <w:sz w:val="24"/>
          <w:szCs w:val="24"/>
          <w:shd w:val="clear" w:fill="FFFFFF"/>
        </w:rPr>
        <w:t xml:space="preserve"> </w:t>
      </w:r>
    </w:p>
    <w:p w14:paraId="1883B7D4">
      <w:pPr>
        <w:pStyle w:val="4"/>
        <w:keepNext w:val="0"/>
        <w:keepLines w:val="0"/>
        <w:widowControl/>
        <w:suppressLineNumbers w:val="0"/>
        <w:spacing w:before="0" w:beforeAutospacing="0"/>
        <w:ind w:left="0"/>
        <w:jc w:val="left"/>
        <w:rPr>
          <w:rFonts w:hint="eastAsia" w:ascii="黑体" w:hAnsi="黑体" w:eastAsia="黑体" w:cs="黑体"/>
          <w:b/>
          <w:bCs/>
          <w:kern w:val="0"/>
          <w:sz w:val="36"/>
          <w:szCs w:val="36"/>
        </w:rPr>
      </w:pPr>
      <w:r>
        <w:rPr>
          <w:rFonts w:hint="eastAsia" w:ascii="黑体" w:hAnsi="黑体" w:eastAsia="黑体" w:cs="黑体"/>
          <w:b/>
          <w:bCs/>
          <w:kern w:val="0"/>
          <w:sz w:val="32"/>
          <w:szCs w:val="32"/>
          <w:shd w:val="clear" w:fill="FFFFFF"/>
        </w:rPr>
        <w:t>一、主要职责</w:t>
      </w:r>
    </w:p>
    <w:p w14:paraId="5BBA4F98">
      <w:pPr>
        <w:pStyle w:val="20"/>
        <w:keepNext w:val="0"/>
        <w:keepLines w:val="0"/>
        <w:widowControl/>
        <w:suppressLineNumbers w:val="0"/>
        <w:spacing w:before="0" w:beforeAutospacing="0"/>
        <w:ind w:left="0"/>
        <w:jc w:val="left"/>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（一）主要职能</w:t>
      </w:r>
    </w:p>
    <w:p w14:paraId="2C1E81E4">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val="0"/>
          <w:kern w:val="0"/>
          <w:sz w:val="32"/>
          <w:szCs w:val="32"/>
        </w:rPr>
        <w:t>松潘县</w:t>
      </w:r>
      <w:r>
        <w:rPr>
          <w:rFonts w:hint="eastAsia" w:ascii="仿宋_GB2312" w:hAnsi="仿宋_GB2312" w:eastAsia="仿宋_GB2312" w:cs="仿宋_GB2312"/>
          <w:b w:val="0"/>
          <w:kern w:val="0"/>
          <w:sz w:val="32"/>
          <w:szCs w:val="32"/>
          <w:lang w:eastAsia="zh-CN"/>
        </w:rPr>
        <w:t>林业和草原局</w:t>
      </w:r>
      <w:r>
        <w:rPr>
          <w:rFonts w:hint="eastAsia" w:ascii="仿宋_GB2312" w:hAnsi="仿宋_GB2312" w:eastAsia="仿宋_GB2312" w:cs="仿宋_GB2312"/>
          <w:kern w:val="0"/>
          <w:sz w:val="32"/>
          <w:szCs w:val="32"/>
        </w:rPr>
        <w:t>贯彻落实党中央关于林业和草原工作的方针政策和省委、州委、县委的决策部署，在履行职责过程中坚持和加强党对林业和草原工作的集中统一领导。主要职责是：</w:t>
      </w:r>
    </w:p>
    <w:p w14:paraId="424FC3E7">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1、负责全县林业和草原及其生态保护修复的监督管理。</w:t>
      </w:r>
      <w:r>
        <w:rPr>
          <w:rFonts w:hint="eastAsia" w:ascii="仿宋_GB2312" w:hAnsi="仿宋_GB2312" w:eastAsia="仿宋_GB2312" w:cs="仿宋_GB2312"/>
          <w:kern w:val="0"/>
          <w:sz w:val="32"/>
          <w:szCs w:val="32"/>
          <w:lang w:eastAsia="zh-CN"/>
        </w:rPr>
        <w:t>拟定</w:t>
      </w:r>
      <w:r>
        <w:rPr>
          <w:rFonts w:hint="eastAsia" w:ascii="仿宋_GB2312" w:hAnsi="仿宋_GB2312" w:eastAsia="仿宋_GB2312" w:cs="仿宋_GB2312"/>
          <w:kern w:val="0"/>
          <w:sz w:val="32"/>
          <w:szCs w:val="32"/>
        </w:rPr>
        <w:t>全县林业和草原及其生态保护修复的政策、规划、地方标准并组织实施。组织开展全县森林、草原、湿地、荒漠和陆生野生动植物资源动态监测与评价，推进全县林业和草原数字化建设。</w:t>
      </w:r>
    </w:p>
    <w:p w14:paraId="66FED671">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14:paraId="4F051EC6">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负责全县自然保护区、风景名胜区、自然遗产、地质公园、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和相关地方标准，监督管理湿地的开发利用。</w:t>
      </w:r>
    </w:p>
    <w:p w14:paraId="65C8032F">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4、负责监督管理全县荒漠化防治工作。组织开展荒漠调查，组织拟订防沙治沙及沙化土地封禁保护区建设规划，监督管理沙化土地的开发利用，组织沙尘暴灾害预测预报和应急处置。</w:t>
      </w:r>
    </w:p>
    <w:p w14:paraId="11FEF0F5">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14:paraId="3268DFF0">
      <w:pPr>
        <w:keepNext w:val="0"/>
        <w:keepLines w:val="0"/>
        <w:widowControl/>
        <w:suppressLineNumbers w:val="0"/>
        <w:ind w:left="0"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负责监督管理全县各类自然保护地。拟订各类自然保护地规划和相关地方标准。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世界自然遗产和世界自然与文化双重遗产的申报。负责生物多样性保护相关工作。</w:t>
      </w:r>
    </w:p>
    <w:p w14:paraId="5F4E3370">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负责推进全县林业和草原改革相关工作。拟订集体林权制度、国有林区、草原等重大改革意见并监督实施。拟订农村林业发展、维护林业经营者合法权益的政策措施。指导农村林地承包经营工作。开展退耕（牧）还林还草，负责天然林保护工作。</w:t>
      </w:r>
    </w:p>
    <w:p w14:paraId="7D9CC516">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拟订全县林业和草原资源优化配置及木材利用政策，拟订相关林业产业地方标准并监督实施，组织、指导林草产品质量监督。指导开展林业和草原现代园区建设，指导花卉、特色经济林、森林林下经济、森林康养和生态旅游产业发展。推进林业和草原绿色产业发展。</w:t>
      </w:r>
    </w:p>
    <w:p w14:paraId="737CD1EB">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指导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14:paraId="7A51FBC3">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10、指导全县森林公安工作，监督管理森林公安队伍，指导全县林业重大违法案件的查处，负责相关行政执法监管工作，指导林区社会治安治理工作。</w:t>
      </w:r>
    </w:p>
    <w:p w14:paraId="49BBC40F">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负责落实全县综合防灾减灾规划相关要求，组织编制森林和草原火灾防治规划和防护标准并指导实施，组织、指导开展防火巡护、火源管理、防火设施建设等工作。负责森林和草原火情监测预警、火灾预防工作，发送森林和草原火险信息。组织指导国有林场林区和草原开展宣传教育、监测预警、督促检查等防火工作。</w:t>
      </w:r>
    </w:p>
    <w:p w14:paraId="3B220742">
      <w:pPr>
        <w:keepNext w:val="0"/>
        <w:keepLines w:val="0"/>
        <w:widowControl/>
        <w:suppressLineNumbers w:val="0"/>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12、监督管理全县林业和草原资金和国有资产，提出林业和草原预算内投资、县级财政性资金安排建议，按县政府规定权限，核报、核准规划内和年度计划内投资项目。参与拟订全县林业和草原经济调节政策，组织实施林业和草原生态补偿 </w:t>
      </w:r>
    </w:p>
    <w:p w14:paraId="5371BD0C">
      <w:pPr>
        <w:keepNext w:val="0"/>
        <w:keepLines w:val="0"/>
        <w:widowControl/>
        <w:suppressLineNumbers w:val="0"/>
        <w:ind w:left="0" w:firstLine="640" w:firstLineChars="200"/>
        <w:rPr>
          <w:rFonts w:hint="eastAsia" w:ascii="宋体" w:hAnsi="宋体" w:eastAsia="宋体" w:cs="宋体"/>
          <w:kern w:val="0"/>
          <w:sz w:val="30"/>
          <w:szCs w:val="30"/>
        </w:rPr>
      </w:pPr>
      <w:r>
        <w:rPr>
          <w:rFonts w:hint="eastAsia" w:ascii="仿宋_GB2312" w:hAnsi="仿宋_GB2312" w:eastAsia="仿宋_GB2312" w:cs="仿宋_GB2312"/>
          <w:kern w:val="0"/>
          <w:sz w:val="32"/>
          <w:szCs w:val="32"/>
        </w:rPr>
        <w:t>13、负责林业和草原科技、教育和对外交流工作，指导全县林业和草原人才队伍建设，组织实施林业和草原对外交流与合作事务，承担湿地、防治荒漠化、濒危野生动植物等国际公约履约有关工作。</w:t>
      </w:r>
    </w:p>
    <w:p w14:paraId="2D52F308">
      <w:pPr>
        <w:pStyle w:val="20"/>
        <w:keepNext w:val="0"/>
        <w:keepLines w:val="0"/>
        <w:widowControl/>
        <w:suppressLineNumbers w:val="0"/>
        <w:spacing w:before="0" w:beforeAutospacing="0"/>
        <w:ind w:left="0"/>
        <w:jc w:val="left"/>
        <w:rPr>
          <w:rFonts w:hint="eastAsia" w:ascii="宋体" w:hAnsi="宋体" w:eastAsia="宋体" w:cs="宋体"/>
          <w:bCs/>
          <w:color w:val="000000"/>
          <w:kern w:val="0"/>
          <w:sz w:val="30"/>
          <w:szCs w:val="30"/>
        </w:rPr>
      </w:pPr>
      <w:bookmarkStart w:id="0" w:name="_Toc3391"/>
      <w:bookmarkEnd w:id="0"/>
      <w:bookmarkStart w:id="1" w:name="_Toc79163854"/>
      <w:bookmarkEnd w:id="1"/>
      <w:bookmarkStart w:id="2" w:name="_Toc79163604"/>
      <w:bookmarkEnd w:id="2"/>
      <w:bookmarkStart w:id="3" w:name="_Toc707"/>
      <w:bookmarkEnd w:id="3"/>
      <w:bookmarkStart w:id="4" w:name="_Toc15378446"/>
      <w:bookmarkEnd w:id="4"/>
      <w:bookmarkStart w:id="5" w:name="_Toc15377199"/>
      <w:r>
        <w:rPr>
          <w:rFonts w:hint="eastAsia" w:ascii="黑体" w:hAnsi="黑体" w:eastAsia="黑体" w:cs="黑体"/>
          <w:kern w:val="0"/>
          <w:sz w:val="32"/>
          <w:szCs w:val="32"/>
          <w:shd w:val="clear" w:fill="FFFFFF"/>
        </w:rPr>
        <w:t>（二）2022年重点工作完成情况</w:t>
      </w:r>
      <w:bookmarkEnd w:id="5"/>
    </w:p>
    <w:p w14:paraId="47AF3375">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2022年来，在县委、县政府的领导下，在州林草局的指导下，我局以习近平新时代中国特色社会主义思想为指针，全面贯彻省委、州委、县委的全会精神，紧紧围绕县委、县政府中心工作，聚焦高原生态建设，</w:t>
      </w:r>
      <w:r>
        <w:rPr>
          <w:rFonts w:hint="eastAsia" w:ascii="仿宋_GB2312" w:hAnsi="仿宋_GB2312" w:eastAsia="仿宋_GB2312" w:cs="仿宋_GB2312"/>
          <w:b w:val="0"/>
          <w:bCs w:val="0"/>
          <w:color w:val="auto"/>
          <w:sz w:val="32"/>
          <w:szCs w:val="32"/>
          <w:highlight w:val="none"/>
          <w:lang w:val="en-US" w:eastAsia="zh-CN"/>
        </w:rPr>
        <w:t>认真落实县委县政府“三防一安全”工作决策部署，确保了无森林草原火情火警发生、确保了林草系统汛期安全、确保了防疫工作常态化开展。现将2022年工作总结如下：</w:t>
      </w:r>
    </w:p>
    <w:p w14:paraId="3A5A8A14">
      <w:pPr>
        <w:pStyle w:val="14"/>
        <w:keepNext w:val="0"/>
        <w:keepLines w:val="0"/>
        <w:pageBreakBefore w:val="0"/>
        <w:widowControl w:val="0"/>
        <w:numPr>
          <w:ilvl w:val="0"/>
          <w:numId w:val="0"/>
        </w:numPr>
        <w:kinsoku/>
        <w:wordWrap/>
        <w:overflowPunct/>
        <w:topLinePunct w:val="0"/>
        <w:autoSpaceDE/>
        <w:autoSpaceDN/>
        <w:bidi w:val="0"/>
        <w:adjustRightInd/>
        <w:spacing w:before="0" w:beforeAutospacing="0" w:after="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一、主要工作及成效</w:t>
      </w:r>
    </w:p>
    <w:p w14:paraId="4AC1D39A">
      <w:pPr>
        <w:pStyle w:val="14"/>
        <w:keepNext w:val="0"/>
        <w:keepLines w:val="0"/>
        <w:pageBreakBefore w:val="0"/>
        <w:widowControl w:val="0"/>
        <w:numPr>
          <w:ilvl w:val="0"/>
          <w:numId w:val="0"/>
        </w:numPr>
        <w:kinsoku/>
        <w:wordWrap/>
        <w:overflowPunct/>
        <w:topLinePunct w:val="0"/>
        <w:autoSpaceDE/>
        <w:autoSpaceDN/>
        <w:bidi w:val="0"/>
        <w:adjustRightInd/>
        <w:spacing w:before="0" w:beforeAutospacing="0" w:after="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（一）生态项目建设推进有力。</w:t>
      </w:r>
    </w:p>
    <w:p w14:paraId="7AC7677A">
      <w:pPr>
        <w:pStyle w:val="14"/>
        <w:keepNext w:val="0"/>
        <w:keepLines w:val="0"/>
        <w:pageBreakBefore w:val="0"/>
        <w:kinsoku/>
        <w:wordWrap/>
        <w:overflowPunct/>
        <w:topLinePunct w:val="0"/>
        <w:autoSpaceDE/>
        <w:autoSpaceDN/>
        <w:bidi w:val="0"/>
        <w:spacing w:before="0" w:beforeAutospacing="0" w:after="0" w:afterAutospacing="0" w:line="576" w:lineRule="exact"/>
        <w:ind w:left="0"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1.政策性补助项目。一是</w:t>
      </w:r>
      <w:r>
        <w:rPr>
          <w:rFonts w:hint="eastAsia" w:ascii="仿宋_GB2312" w:hAnsi="仿宋_GB2312" w:eastAsia="仿宋_GB2312" w:cs="仿宋_GB2312"/>
          <w:b w:val="0"/>
          <w:bCs w:val="0"/>
          <w:color w:val="auto"/>
          <w:sz w:val="32"/>
          <w:szCs w:val="32"/>
        </w:rPr>
        <w:t>深入巩固国有林管护250.9万亩</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集体公益林管</w:t>
      </w:r>
      <w:r>
        <w:rPr>
          <w:rFonts w:hint="eastAsia" w:ascii="仿宋_GB2312" w:hAnsi="仿宋_GB2312" w:eastAsia="仿宋_GB2312" w:cs="仿宋_GB2312"/>
          <w:b w:val="0"/>
          <w:bCs w:val="0"/>
          <w:color w:val="auto"/>
          <w:sz w:val="32"/>
          <w:szCs w:val="32"/>
          <w:lang w:val="en-US" w:eastAsia="zh-CN"/>
        </w:rPr>
        <w:t>68</w:t>
      </w:r>
      <w:r>
        <w:rPr>
          <w:rFonts w:hint="eastAsia" w:ascii="仿宋_GB2312" w:hAnsi="仿宋_GB2312" w:eastAsia="仿宋_GB2312" w:cs="仿宋_GB2312"/>
          <w:b w:val="0"/>
          <w:bCs w:val="0"/>
          <w:color w:val="auto"/>
          <w:sz w:val="32"/>
          <w:szCs w:val="32"/>
        </w:rPr>
        <w:t>万亩</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退耕还林6.5万亩。完成了新一轮退耕还林矢量图结合国土三调上图工作，提交了新一轮退耕还林矢量图</w:t>
      </w:r>
      <w:r>
        <w:rPr>
          <w:rFonts w:hint="eastAsia" w:ascii="仿宋_GB2312" w:hAnsi="仿宋_GB2312" w:eastAsia="仿宋_GB2312" w:cs="仿宋_GB2312"/>
          <w:b w:val="0"/>
          <w:bCs w:val="0"/>
          <w:color w:val="auto"/>
          <w:kern w:val="44"/>
          <w:sz w:val="32"/>
          <w:szCs w:val="32"/>
          <w:lang w:val="en-US" w:eastAsia="zh-CN"/>
        </w:rPr>
        <w:t>。二是</w:t>
      </w:r>
      <w:r>
        <w:rPr>
          <w:rFonts w:hint="eastAsia" w:ascii="仿宋_GB2312" w:hAnsi="仿宋_GB2312" w:eastAsia="仿宋_GB2312" w:cs="仿宋_GB2312"/>
          <w:b w:val="0"/>
          <w:bCs w:val="0"/>
          <w:color w:val="auto"/>
          <w:sz w:val="32"/>
          <w:szCs w:val="32"/>
          <w:lang w:val="en-US" w:eastAsia="zh-CN"/>
        </w:rPr>
        <w:t>投资50万元，在川主寺、毛儿盖、下八寨实施省级湿地生态效益补偿项目，签订湿地管护员160人，完成湿地管护9.33万亩，还湿0.5万亩。三是2022年</w:t>
      </w:r>
      <w:r>
        <w:rPr>
          <w:rFonts w:hint="eastAsia" w:ascii="仿宋_GB2312" w:hAnsi="仿宋_GB2312" w:eastAsia="仿宋_GB2312" w:cs="仿宋_GB2312"/>
          <w:b w:val="0"/>
          <w:bCs w:val="0"/>
          <w:color w:val="auto"/>
          <w:sz w:val="32"/>
          <w:szCs w:val="32"/>
          <w:lang w:eastAsia="zh-CN"/>
        </w:rPr>
        <w:t>争取州级财政统筹资金</w:t>
      </w:r>
      <w:r>
        <w:rPr>
          <w:rFonts w:hint="eastAsia" w:ascii="仿宋_GB2312" w:hAnsi="仿宋_GB2312" w:eastAsia="仿宋_GB2312" w:cs="仿宋_GB2312"/>
          <w:b w:val="0"/>
          <w:bCs w:val="0"/>
          <w:color w:val="auto"/>
          <w:kern w:val="0"/>
          <w:sz w:val="32"/>
          <w:szCs w:val="32"/>
        </w:rPr>
        <w:t>投</w:t>
      </w:r>
      <w:r>
        <w:rPr>
          <w:rFonts w:hint="eastAsia" w:ascii="仿宋_GB2312" w:hAnsi="仿宋_GB2312" w:eastAsia="仿宋_GB2312" w:cs="仿宋_GB2312"/>
          <w:b w:val="0"/>
          <w:bCs w:val="0"/>
          <w:color w:val="auto"/>
          <w:kern w:val="0"/>
          <w:sz w:val="32"/>
          <w:szCs w:val="32"/>
          <w:lang w:eastAsia="zh-CN"/>
        </w:rPr>
        <w:t>资</w:t>
      </w:r>
      <w:r>
        <w:rPr>
          <w:rFonts w:hint="eastAsia" w:ascii="仿宋_GB2312" w:hAnsi="仿宋_GB2312" w:eastAsia="仿宋_GB2312" w:cs="仿宋_GB2312"/>
          <w:b w:val="0"/>
          <w:bCs w:val="0"/>
          <w:color w:val="auto"/>
          <w:kern w:val="0"/>
          <w:sz w:val="32"/>
          <w:szCs w:val="32"/>
          <w:lang w:val="en-US" w:eastAsia="zh-CN"/>
        </w:rPr>
        <w:t>1689万</w:t>
      </w:r>
      <w:r>
        <w:rPr>
          <w:rFonts w:hint="eastAsia" w:ascii="仿宋_GB2312" w:hAnsi="仿宋_GB2312" w:eastAsia="仿宋_GB2312" w:cs="仿宋_GB2312"/>
          <w:b w:val="0"/>
          <w:bCs w:val="0"/>
          <w:color w:val="auto"/>
          <w:kern w:val="0"/>
          <w:sz w:val="32"/>
          <w:szCs w:val="32"/>
        </w:rPr>
        <w:t>元</w:t>
      </w:r>
      <w:r>
        <w:rPr>
          <w:rFonts w:hint="eastAsia" w:ascii="仿宋_GB2312" w:hAnsi="仿宋_GB2312" w:eastAsia="仿宋_GB2312" w:cs="仿宋_GB2312"/>
          <w:b w:val="0"/>
          <w:bCs w:val="0"/>
          <w:color w:val="auto"/>
          <w:kern w:val="0"/>
          <w:sz w:val="32"/>
          <w:szCs w:val="32"/>
          <w:lang w:val="en-US" w:eastAsia="zh-CN"/>
        </w:rPr>
        <w:t>，</w:t>
      </w:r>
      <w:r>
        <w:rPr>
          <w:rFonts w:hint="eastAsia" w:ascii="仿宋_GB2312" w:hAnsi="仿宋_GB2312" w:eastAsia="仿宋_GB2312" w:cs="仿宋_GB2312"/>
          <w:b w:val="0"/>
          <w:bCs w:val="0"/>
          <w:color w:val="auto"/>
          <w:kern w:val="0"/>
          <w:sz w:val="32"/>
          <w:szCs w:val="32"/>
        </w:rPr>
        <w:t>在全县17个乡镇选聘符合条件的生态管护员</w:t>
      </w:r>
      <w:r>
        <w:rPr>
          <w:rFonts w:hint="eastAsia" w:ascii="仿宋_GB2312" w:hAnsi="仿宋_GB2312" w:eastAsia="仿宋_GB2312" w:cs="仿宋_GB2312"/>
          <w:b w:val="0"/>
          <w:bCs w:val="0"/>
          <w:color w:val="auto"/>
          <w:kern w:val="0"/>
          <w:sz w:val="32"/>
          <w:szCs w:val="32"/>
          <w:lang w:val="en-US" w:eastAsia="zh-CN"/>
        </w:rPr>
        <w:t>1689</w:t>
      </w:r>
      <w:r>
        <w:rPr>
          <w:rFonts w:hint="eastAsia" w:ascii="仿宋_GB2312" w:hAnsi="仿宋_GB2312" w:eastAsia="仿宋_GB2312" w:cs="仿宋_GB2312"/>
          <w:b w:val="0"/>
          <w:bCs w:val="0"/>
          <w:color w:val="auto"/>
          <w:kern w:val="0"/>
          <w:sz w:val="32"/>
          <w:szCs w:val="32"/>
        </w:rPr>
        <w:t>人，其中：护林</w:t>
      </w:r>
      <w:r>
        <w:rPr>
          <w:rFonts w:hint="eastAsia" w:ascii="仿宋_GB2312" w:hAnsi="仿宋_GB2312" w:eastAsia="仿宋_GB2312" w:cs="仿宋_GB2312"/>
          <w:b w:val="0"/>
          <w:bCs w:val="0"/>
          <w:color w:val="auto"/>
          <w:kern w:val="0"/>
          <w:sz w:val="32"/>
          <w:szCs w:val="32"/>
          <w:lang w:val="en-US" w:eastAsia="zh-CN"/>
        </w:rPr>
        <w:t>员1398</w:t>
      </w:r>
      <w:r>
        <w:rPr>
          <w:rFonts w:hint="eastAsia" w:ascii="仿宋_GB2312" w:hAnsi="仿宋_GB2312" w:eastAsia="仿宋_GB2312" w:cs="仿宋_GB2312"/>
          <w:b w:val="0"/>
          <w:bCs w:val="0"/>
          <w:color w:val="auto"/>
          <w:kern w:val="0"/>
          <w:sz w:val="32"/>
          <w:szCs w:val="32"/>
        </w:rPr>
        <w:t>人，护草</w:t>
      </w:r>
      <w:r>
        <w:rPr>
          <w:rFonts w:hint="eastAsia" w:ascii="仿宋_GB2312" w:hAnsi="仿宋_GB2312" w:eastAsia="仿宋_GB2312" w:cs="仿宋_GB2312"/>
          <w:b w:val="0"/>
          <w:bCs w:val="0"/>
          <w:color w:val="auto"/>
          <w:kern w:val="0"/>
          <w:sz w:val="32"/>
          <w:szCs w:val="32"/>
          <w:lang w:val="en-US" w:eastAsia="zh-CN"/>
        </w:rPr>
        <w:t>员156</w:t>
      </w:r>
      <w:r>
        <w:rPr>
          <w:rFonts w:hint="eastAsia" w:ascii="仿宋_GB2312" w:hAnsi="仿宋_GB2312" w:eastAsia="仿宋_GB2312" w:cs="仿宋_GB2312"/>
          <w:b w:val="0"/>
          <w:bCs w:val="0"/>
          <w:color w:val="auto"/>
          <w:kern w:val="0"/>
          <w:sz w:val="32"/>
          <w:szCs w:val="32"/>
        </w:rPr>
        <w:t>人，护湿</w:t>
      </w:r>
      <w:r>
        <w:rPr>
          <w:rFonts w:hint="eastAsia" w:ascii="仿宋_GB2312" w:hAnsi="仿宋_GB2312" w:eastAsia="仿宋_GB2312" w:cs="仿宋_GB2312"/>
          <w:b w:val="0"/>
          <w:bCs w:val="0"/>
          <w:color w:val="auto"/>
          <w:kern w:val="0"/>
          <w:sz w:val="32"/>
          <w:szCs w:val="32"/>
          <w:lang w:val="en-US" w:eastAsia="zh-CN"/>
        </w:rPr>
        <w:t>员2</w:t>
      </w:r>
      <w:r>
        <w:rPr>
          <w:rFonts w:hint="eastAsia" w:ascii="仿宋_GB2312" w:hAnsi="仿宋_GB2312" w:eastAsia="仿宋_GB2312" w:cs="仿宋_GB2312"/>
          <w:b w:val="0"/>
          <w:bCs w:val="0"/>
          <w:color w:val="auto"/>
          <w:kern w:val="0"/>
          <w:sz w:val="32"/>
          <w:szCs w:val="32"/>
        </w:rPr>
        <w:t>人，</w:t>
      </w:r>
      <w:r>
        <w:rPr>
          <w:rFonts w:hint="eastAsia" w:ascii="仿宋_GB2312" w:hAnsi="仿宋_GB2312" w:eastAsia="仿宋_GB2312" w:cs="仿宋_GB2312"/>
          <w:b w:val="0"/>
          <w:bCs w:val="0"/>
          <w:color w:val="auto"/>
          <w:kern w:val="0"/>
          <w:sz w:val="32"/>
          <w:szCs w:val="32"/>
          <w:lang w:val="en-US" w:eastAsia="zh-CN"/>
        </w:rPr>
        <w:t>河道管理员133人</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0"/>
          <w:sz w:val="32"/>
          <w:szCs w:val="32"/>
          <w:lang w:val="en-US" w:eastAsia="zh-CN"/>
        </w:rPr>
        <w:t>已完成四个季度劳务费的兑现。</w:t>
      </w:r>
    </w:p>
    <w:p w14:paraId="3C7DA97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2.2022年义务植树活动。一是在川主寺岷江河畔开展了“绿化岷江、保护母亲河”为主题的全民义务植树大行动。</w:t>
      </w:r>
      <w:r>
        <w:rPr>
          <w:rFonts w:hint="eastAsia" w:ascii="仿宋_GB2312" w:hAnsi="仿宋_GB2312" w:eastAsia="仿宋_GB2312" w:cs="仿宋_GB2312"/>
          <w:b w:val="0"/>
          <w:bCs w:val="0"/>
          <w:i w:val="0"/>
          <w:caps w:val="0"/>
          <w:color w:val="auto"/>
          <w:spacing w:val="0"/>
          <w:w w:val="100"/>
          <w:sz w:val="32"/>
          <w:szCs w:val="32"/>
          <w:lang w:val="en-US" w:eastAsia="zh-CN"/>
        </w:rPr>
        <w:t>3000余人次参加，</w:t>
      </w:r>
      <w:r>
        <w:rPr>
          <w:rFonts w:hint="eastAsia" w:ascii="仿宋_GB2312" w:hAnsi="仿宋_GB2312" w:eastAsia="仿宋_GB2312" w:cs="仿宋_GB2312"/>
          <w:b w:val="0"/>
          <w:bCs w:val="0"/>
          <w:color w:val="auto"/>
          <w:kern w:val="2"/>
          <w:sz w:val="32"/>
          <w:szCs w:val="32"/>
          <w:lang w:eastAsia="zh-CN"/>
        </w:rPr>
        <w:t>植树面积</w:t>
      </w:r>
      <w:r>
        <w:rPr>
          <w:rFonts w:hint="eastAsia" w:ascii="仿宋_GB2312" w:hAnsi="仿宋_GB2312" w:eastAsia="仿宋_GB2312" w:cs="仿宋_GB2312"/>
          <w:b w:val="0"/>
          <w:bCs w:val="0"/>
          <w:color w:val="auto"/>
          <w:kern w:val="2"/>
          <w:sz w:val="32"/>
          <w:szCs w:val="32"/>
          <w:lang w:val="en-US" w:eastAsia="zh-CN"/>
        </w:rPr>
        <w:t>达198亩，栽植树苗2万余株。</w:t>
      </w:r>
      <w:r>
        <w:rPr>
          <w:rFonts w:hint="eastAsia" w:ascii="仿宋_GB2312" w:hAnsi="仿宋_GB2312" w:eastAsia="仿宋_GB2312" w:cs="仿宋_GB2312"/>
          <w:b w:val="0"/>
          <w:bCs w:val="0"/>
          <w:color w:val="auto"/>
          <w:sz w:val="32"/>
          <w:szCs w:val="32"/>
          <w:lang w:val="en-US" w:eastAsia="zh-CN"/>
        </w:rPr>
        <w:t xml:space="preserve"> 二是实施</w:t>
      </w:r>
      <w:r>
        <w:rPr>
          <w:rFonts w:hint="eastAsia" w:ascii="仿宋_GB2312" w:hAnsi="仿宋_GB2312" w:eastAsia="仿宋_GB2312" w:cs="仿宋_GB2312"/>
          <w:b w:val="0"/>
          <w:bCs w:val="0"/>
          <w:color w:val="auto"/>
          <w:sz w:val="32"/>
          <w:szCs w:val="32"/>
        </w:rPr>
        <w:t>松潘县黄河</w:t>
      </w:r>
      <w:r>
        <w:rPr>
          <w:rFonts w:hint="eastAsia" w:ascii="仿宋_GB2312" w:hAnsi="仿宋_GB2312" w:eastAsia="仿宋_GB2312" w:cs="仿宋_GB2312"/>
          <w:b w:val="0"/>
          <w:bCs w:val="0"/>
          <w:color w:val="auto"/>
          <w:sz w:val="32"/>
          <w:szCs w:val="32"/>
          <w:lang w:val="en-US" w:eastAsia="zh-CN"/>
        </w:rPr>
        <w:t>干（</w:t>
      </w:r>
      <w:r>
        <w:rPr>
          <w:rFonts w:hint="eastAsia" w:ascii="仿宋_GB2312" w:hAnsi="仿宋_GB2312" w:eastAsia="仿宋_GB2312" w:cs="仿宋_GB2312"/>
          <w:b w:val="0"/>
          <w:bCs w:val="0"/>
          <w:color w:val="auto"/>
          <w:sz w:val="32"/>
          <w:szCs w:val="32"/>
        </w:rPr>
        <w:t>支</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流</w:t>
      </w:r>
      <w:r>
        <w:rPr>
          <w:rFonts w:hint="eastAsia" w:ascii="仿宋_GB2312" w:hAnsi="仿宋_GB2312" w:eastAsia="仿宋_GB2312" w:cs="仿宋_GB2312"/>
          <w:b w:val="0"/>
          <w:bCs w:val="0"/>
          <w:color w:val="auto"/>
          <w:sz w:val="32"/>
          <w:szCs w:val="32"/>
          <w:lang w:eastAsia="zh-CN"/>
        </w:rPr>
        <w:t>域</w:t>
      </w:r>
      <w:r>
        <w:rPr>
          <w:rFonts w:hint="eastAsia" w:ascii="仿宋_GB2312" w:hAnsi="仿宋_GB2312" w:eastAsia="仿宋_GB2312" w:cs="仿宋_GB2312"/>
          <w:b w:val="0"/>
          <w:bCs w:val="0"/>
          <w:color w:val="auto"/>
          <w:sz w:val="32"/>
          <w:szCs w:val="32"/>
        </w:rPr>
        <w:t>生态防护带建设项目（202</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年启动阶段）</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以</w:t>
      </w:r>
      <w:r>
        <w:rPr>
          <w:rFonts w:hint="eastAsia" w:ascii="仿宋_GB2312" w:hAnsi="仿宋_GB2312" w:eastAsia="仿宋_GB2312" w:cs="仿宋_GB2312"/>
          <w:b w:val="0"/>
          <w:bCs w:val="0"/>
          <w:color w:val="auto"/>
          <w:sz w:val="32"/>
          <w:szCs w:val="32"/>
        </w:rPr>
        <w:t>义务植树</w:t>
      </w:r>
      <w:r>
        <w:rPr>
          <w:rFonts w:hint="eastAsia" w:ascii="仿宋_GB2312" w:hAnsi="仿宋_GB2312" w:eastAsia="仿宋_GB2312" w:cs="仿宋_GB2312"/>
          <w:b w:val="0"/>
          <w:bCs w:val="0"/>
          <w:color w:val="auto"/>
          <w:sz w:val="32"/>
          <w:szCs w:val="32"/>
          <w:lang w:eastAsia="zh-CN"/>
        </w:rPr>
        <w:t>履职尽责形式开展丛植</w:t>
      </w:r>
      <w:r>
        <w:rPr>
          <w:rFonts w:hint="eastAsia" w:ascii="仿宋_GB2312" w:hAnsi="仿宋_GB2312" w:eastAsia="仿宋_GB2312" w:cs="仿宋_GB2312"/>
          <w:b w:val="0"/>
          <w:bCs w:val="0"/>
          <w:color w:val="auto"/>
          <w:kern w:val="2"/>
          <w:sz w:val="32"/>
          <w:szCs w:val="32"/>
          <w:lang w:val="en-US" w:eastAsia="zh-CN"/>
        </w:rPr>
        <w:t>高山柳24423株、人工种草234.8公斤。</w:t>
      </w:r>
      <w:r>
        <w:rPr>
          <w:rFonts w:hint="eastAsia" w:ascii="仿宋_GB2312" w:hAnsi="仿宋_GB2312" w:eastAsia="仿宋_GB2312" w:cs="仿宋_GB2312"/>
          <w:b w:val="0"/>
          <w:bCs w:val="0"/>
          <w:color w:val="auto"/>
          <w:sz w:val="32"/>
          <w:szCs w:val="32"/>
        </w:rPr>
        <w:t>完成黄河</w:t>
      </w:r>
      <w:r>
        <w:rPr>
          <w:rFonts w:hint="eastAsia" w:ascii="仿宋_GB2312" w:hAnsi="仿宋_GB2312" w:eastAsia="仿宋_GB2312" w:cs="仿宋_GB2312"/>
          <w:b w:val="0"/>
          <w:bCs w:val="0"/>
          <w:color w:val="auto"/>
          <w:sz w:val="32"/>
          <w:szCs w:val="32"/>
          <w:lang w:val="en-US" w:eastAsia="zh-CN"/>
        </w:rPr>
        <w:t>干（</w:t>
      </w:r>
      <w:r>
        <w:rPr>
          <w:rFonts w:hint="eastAsia" w:ascii="仿宋_GB2312" w:hAnsi="仿宋_GB2312" w:eastAsia="仿宋_GB2312" w:cs="仿宋_GB2312"/>
          <w:b w:val="0"/>
          <w:bCs w:val="0"/>
          <w:color w:val="auto"/>
          <w:sz w:val="32"/>
          <w:szCs w:val="32"/>
        </w:rPr>
        <w:t>支</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流生态防护带建设</w:t>
      </w:r>
      <w:r>
        <w:rPr>
          <w:rFonts w:hint="eastAsia" w:ascii="仿宋_GB2312" w:hAnsi="仿宋_GB2312" w:eastAsia="仿宋_GB2312" w:cs="仿宋_GB2312"/>
          <w:b w:val="0"/>
          <w:bCs w:val="0"/>
          <w:color w:val="auto"/>
          <w:sz w:val="32"/>
          <w:szCs w:val="32"/>
          <w:lang w:eastAsia="zh-CN"/>
        </w:rPr>
        <w:t>治理长度</w:t>
      </w:r>
      <w:r>
        <w:rPr>
          <w:rFonts w:hint="eastAsia" w:ascii="仿宋_GB2312" w:hAnsi="仿宋_GB2312" w:eastAsia="仿宋_GB2312" w:cs="仿宋_GB2312"/>
          <w:b w:val="0"/>
          <w:bCs w:val="0"/>
          <w:color w:val="auto"/>
          <w:sz w:val="32"/>
          <w:szCs w:val="32"/>
        </w:rPr>
        <w:t>2.606公里109.95亩。</w:t>
      </w:r>
      <w:r>
        <w:rPr>
          <w:rFonts w:hint="eastAsia" w:ascii="仿宋_GB2312" w:hAnsi="仿宋_GB2312" w:eastAsia="仿宋_GB2312" w:cs="仿宋_GB2312"/>
          <w:b w:val="0"/>
          <w:bCs w:val="0"/>
          <w:color w:val="auto"/>
          <w:sz w:val="32"/>
          <w:szCs w:val="32"/>
          <w:lang w:val="en-US" w:eastAsia="zh-CN"/>
        </w:rPr>
        <w:t>签订管护协议21份。目前，该建设项目已转入后期管护中，高山柳苗木和草籽长势良好，</w:t>
      </w:r>
      <w:r>
        <w:rPr>
          <w:rFonts w:hint="eastAsia" w:ascii="仿宋_GB2312" w:hAnsi="仿宋_GB2312" w:eastAsia="仿宋_GB2312" w:cs="仿宋_GB2312"/>
          <w:b w:val="0"/>
          <w:bCs w:val="0"/>
          <w:color w:val="auto"/>
          <w:sz w:val="32"/>
          <w:szCs w:val="32"/>
        </w:rPr>
        <w:t>黄河</w:t>
      </w:r>
      <w:r>
        <w:rPr>
          <w:rFonts w:hint="eastAsia" w:ascii="仿宋_GB2312" w:hAnsi="仿宋_GB2312" w:eastAsia="仿宋_GB2312" w:cs="仿宋_GB2312"/>
          <w:b w:val="0"/>
          <w:bCs w:val="0"/>
          <w:color w:val="auto"/>
          <w:sz w:val="32"/>
          <w:szCs w:val="32"/>
          <w:lang w:val="en-US" w:eastAsia="zh-CN"/>
        </w:rPr>
        <w:t>干（</w:t>
      </w:r>
      <w:r>
        <w:rPr>
          <w:rFonts w:hint="eastAsia" w:ascii="仿宋_GB2312" w:hAnsi="仿宋_GB2312" w:eastAsia="仿宋_GB2312" w:cs="仿宋_GB2312"/>
          <w:b w:val="0"/>
          <w:bCs w:val="0"/>
          <w:color w:val="auto"/>
          <w:sz w:val="32"/>
          <w:szCs w:val="32"/>
        </w:rPr>
        <w:t>支</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流</w:t>
      </w:r>
      <w:r>
        <w:rPr>
          <w:rFonts w:hint="eastAsia" w:ascii="仿宋_GB2312" w:hAnsi="仿宋_GB2312" w:eastAsia="仿宋_GB2312" w:cs="仿宋_GB2312"/>
          <w:b w:val="0"/>
          <w:bCs w:val="0"/>
          <w:color w:val="auto"/>
          <w:sz w:val="32"/>
          <w:szCs w:val="32"/>
          <w:lang w:eastAsia="zh-CN"/>
        </w:rPr>
        <w:t>域</w:t>
      </w:r>
      <w:r>
        <w:rPr>
          <w:rFonts w:hint="eastAsia" w:ascii="仿宋_GB2312" w:hAnsi="仿宋_GB2312" w:eastAsia="仿宋_GB2312" w:cs="仿宋_GB2312"/>
          <w:b w:val="0"/>
          <w:bCs w:val="0"/>
          <w:color w:val="auto"/>
          <w:sz w:val="32"/>
          <w:szCs w:val="32"/>
        </w:rPr>
        <w:t>生态</w:t>
      </w:r>
      <w:r>
        <w:rPr>
          <w:rFonts w:hint="eastAsia" w:ascii="仿宋_GB2312" w:hAnsi="仿宋_GB2312" w:eastAsia="仿宋_GB2312" w:cs="仿宋_GB2312"/>
          <w:b w:val="0"/>
          <w:bCs w:val="0"/>
          <w:color w:val="auto"/>
          <w:sz w:val="32"/>
          <w:szCs w:val="32"/>
          <w:lang w:eastAsia="zh-CN"/>
        </w:rPr>
        <w:t>环境得到明显改善，</w:t>
      </w:r>
      <w:r>
        <w:rPr>
          <w:rFonts w:hint="eastAsia" w:ascii="仿宋_GB2312" w:hAnsi="仿宋_GB2312" w:eastAsia="仿宋_GB2312" w:cs="仿宋_GB2312"/>
          <w:b w:val="0"/>
          <w:bCs w:val="0"/>
          <w:color w:val="auto"/>
          <w:sz w:val="32"/>
          <w:szCs w:val="32"/>
          <w:lang w:val="en-US" w:eastAsia="zh-CN"/>
        </w:rPr>
        <w:t>达到</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年松潘县黄河</w:t>
      </w:r>
      <w:r>
        <w:rPr>
          <w:rFonts w:hint="eastAsia" w:ascii="仿宋_GB2312" w:hAnsi="仿宋_GB2312" w:eastAsia="仿宋_GB2312" w:cs="仿宋_GB2312"/>
          <w:b w:val="0"/>
          <w:bCs w:val="0"/>
          <w:color w:val="auto"/>
          <w:sz w:val="32"/>
          <w:szCs w:val="32"/>
          <w:lang w:val="en-US" w:eastAsia="zh-CN"/>
        </w:rPr>
        <w:t>干（</w:t>
      </w:r>
      <w:r>
        <w:rPr>
          <w:rFonts w:hint="eastAsia" w:ascii="仿宋_GB2312" w:hAnsi="仿宋_GB2312" w:eastAsia="仿宋_GB2312" w:cs="仿宋_GB2312"/>
          <w:b w:val="0"/>
          <w:bCs w:val="0"/>
          <w:color w:val="auto"/>
          <w:sz w:val="32"/>
          <w:szCs w:val="32"/>
        </w:rPr>
        <w:t>支</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流</w:t>
      </w:r>
      <w:r>
        <w:rPr>
          <w:rFonts w:hint="eastAsia" w:ascii="仿宋_GB2312" w:hAnsi="仿宋_GB2312" w:eastAsia="仿宋_GB2312" w:cs="仿宋_GB2312"/>
          <w:b w:val="0"/>
          <w:bCs w:val="0"/>
          <w:color w:val="auto"/>
          <w:sz w:val="32"/>
          <w:szCs w:val="32"/>
          <w:lang w:eastAsia="zh-CN"/>
        </w:rPr>
        <w:t>域</w:t>
      </w:r>
      <w:r>
        <w:rPr>
          <w:rFonts w:hint="eastAsia" w:ascii="仿宋_GB2312" w:hAnsi="仿宋_GB2312" w:eastAsia="仿宋_GB2312" w:cs="仿宋_GB2312"/>
          <w:b w:val="0"/>
          <w:bCs w:val="0"/>
          <w:color w:val="auto"/>
          <w:sz w:val="32"/>
          <w:szCs w:val="32"/>
        </w:rPr>
        <w:t>生态防护带建设项目启动阶段</w:t>
      </w:r>
      <w:r>
        <w:rPr>
          <w:rFonts w:hint="eastAsia" w:ascii="仿宋_GB2312" w:hAnsi="仿宋_GB2312" w:eastAsia="仿宋_GB2312" w:cs="仿宋_GB2312"/>
          <w:b w:val="0"/>
          <w:bCs w:val="0"/>
          <w:color w:val="auto"/>
          <w:sz w:val="32"/>
          <w:szCs w:val="32"/>
          <w:lang w:eastAsia="zh-CN"/>
        </w:rPr>
        <w:t>预期效果。</w:t>
      </w:r>
    </w:p>
    <w:p w14:paraId="568A5F92">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若尔盖山水工程项目。投资4791万元，有序推进松潘县生态脆弱区干旱河谷生态综合治理项目、大熊猫公园保护能力建设、松潘县2021年生态修复治理项目、松潘县草原生态保护恢复治理项目、松潘县2021年脆弱区沙化治理项目5个项目建设。</w:t>
      </w:r>
    </w:p>
    <w:p w14:paraId="2447EB80">
      <w:pPr>
        <w:pStyle w:val="2"/>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4.</w:t>
      </w:r>
      <w:r>
        <w:rPr>
          <w:rFonts w:hint="eastAsia" w:ascii="仿宋_GB2312" w:hAnsi="仿宋_GB2312" w:eastAsia="仿宋_GB2312" w:cs="仿宋_GB2312"/>
          <w:b w:val="0"/>
          <w:bCs w:val="0"/>
          <w:color w:val="auto"/>
          <w:sz w:val="32"/>
          <w:szCs w:val="32"/>
          <w:highlight w:val="none"/>
          <w:lang w:val="en-US" w:eastAsia="zh-CN"/>
        </w:rPr>
        <w:t>“山水林田湖草沙冰”项目。投资2.5018亿元，实施11个项目，其中补助性项目4个，均已开工。其中：已完工项目1个，正在建设的项目10个。已累计完成投资3217万元。</w:t>
      </w:r>
    </w:p>
    <w:p w14:paraId="45C2854C">
      <w:pPr>
        <w:pStyle w:val="14"/>
        <w:keepNext w:val="0"/>
        <w:keepLines w:val="0"/>
        <w:pageBreakBefore w:val="0"/>
        <w:widowControl w:val="0"/>
        <w:numPr>
          <w:ilvl w:val="0"/>
          <w:numId w:val="0"/>
        </w:numPr>
        <w:kinsoku/>
        <w:wordWrap/>
        <w:overflowPunct/>
        <w:topLinePunct w:val="0"/>
        <w:autoSpaceDE/>
        <w:autoSpaceDN/>
        <w:bidi w:val="0"/>
        <w:adjustRightInd/>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（二）林长制体系全面落实。</w:t>
      </w:r>
    </w:p>
    <w:p w14:paraId="0BEA026A">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全年来，</w:t>
      </w:r>
      <w:r>
        <w:rPr>
          <w:rFonts w:hint="eastAsia" w:ascii="仿宋_GB2312" w:hAnsi="仿宋_GB2312" w:eastAsia="仿宋_GB2312" w:cs="仿宋_GB2312"/>
          <w:b w:val="0"/>
          <w:bCs w:val="0"/>
          <w:color w:val="auto"/>
          <w:sz w:val="32"/>
          <w:szCs w:val="32"/>
        </w:rPr>
        <w:t>更新各级林长、副林长、村级“</w:t>
      </w:r>
      <w:r>
        <w:rPr>
          <w:rFonts w:hint="eastAsia" w:ascii="仿宋_GB2312" w:hAnsi="仿宋_GB2312" w:eastAsia="仿宋_GB2312" w:cs="仿宋_GB2312"/>
          <w:b w:val="0"/>
          <w:bCs w:val="0"/>
          <w:color w:val="auto"/>
          <w:sz w:val="32"/>
          <w:szCs w:val="32"/>
          <w:lang w:val="en-US" w:eastAsia="zh-CN"/>
        </w:rPr>
        <w:t>两</w:t>
      </w:r>
      <w:r>
        <w:rPr>
          <w:rFonts w:hint="eastAsia" w:ascii="仿宋_GB2312" w:hAnsi="仿宋_GB2312" w:eastAsia="仿宋_GB2312" w:cs="仿宋_GB2312"/>
          <w:b w:val="0"/>
          <w:bCs w:val="0"/>
          <w:color w:val="auto"/>
          <w:sz w:val="32"/>
          <w:szCs w:val="32"/>
        </w:rPr>
        <w:t>长两员”</w:t>
      </w:r>
      <w:r>
        <w:rPr>
          <w:rFonts w:hint="eastAsia" w:ascii="仿宋_GB2312" w:hAnsi="仿宋_GB2312" w:eastAsia="仿宋_GB2312" w:cs="仿宋_GB2312"/>
          <w:b w:val="0"/>
          <w:bCs w:val="0"/>
          <w:color w:val="auto"/>
          <w:sz w:val="32"/>
          <w:szCs w:val="32"/>
          <w:lang w:val="en-US" w:eastAsia="zh-CN"/>
        </w:rPr>
        <w:t>体系。</w:t>
      </w:r>
      <w:r>
        <w:rPr>
          <w:rFonts w:hint="eastAsia" w:ascii="仿宋_GB2312" w:hAnsi="仿宋_GB2312" w:eastAsia="仿宋_GB2312" w:cs="仿宋_GB2312"/>
          <w:b w:val="0"/>
          <w:bCs w:val="0"/>
          <w:color w:val="auto"/>
          <w:sz w:val="32"/>
          <w:szCs w:val="32"/>
        </w:rPr>
        <w:t>全县共</w:t>
      </w:r>
      <w:r>
        <w:rPr>
          <w:rFonts w:hint="eastAsia" w:ascii="仿宋_GB2312" w:hAnsi="仿宋_GB2312" w:eastAsia="仿宋_GB2312" w:cs="仿宋_GB2312"/>
          <w:b w:val="0"/>
          <w:bCs w:val="0"/>
          <w:color w:val="auto"/>
          <w:sz w:val="32"/>
          <w:szCs w:val="32"/>
          <w:lang w:val="en-US" w:eastAsia="zh-CN"/>
        </w:rPr>
        <w:t>设置</w:t>
      </w:r>
      <w:r>
        <w:rPr>
          <w:rFonts w:hint="eastAsia" w:ascii="仿宋_GB2312" w:hAnsi="仿宋_GB2312" w:eastAsia="仿宋_GB2312" w:cs="仿宋_GB2312"/>
          <w:b w:val="0"/>
          <w:bCs w:val="0"/>
          <w:color w:val="auto"/>
          <w:sz w:val="32"/>
          <w:szCs w:val="32"/>
        </w:rPr>
        <w:t>县级林长2名，副林长2</w:t>
      </w:r>
      <w:r>
        <w:rPr>
          <w:rFonts w:hint="eastAsia" w:ascii="仿宋_GB2312" w:hAnsi="仿宋_GB2312" w:eastAsia="仿宋_GB2312" w:cs="仿宋_GB2312"/>
          <w:b w:val="0"/>
          <w:bCs w:val="0"/>
          <w:color w:val="auto"/>
          <w:sz w:val="32"/>
          <w:szCs w:val="32"/>
          <w:lang w:val="en-US" w:eastAsia="zh-CN"/>
        </w:rPr>
        <w:t>9</w:t>
      </w:r>
      <w:r>
        <w:rPr>
          <w:rFonts w:hint="eastAsia" w:ascii="仿宋_GB2312" w:hAnsi="仿宋_GB2312" w:eastAsia="仿宋_GB2312" w:cs="仿宋_GB2312"/>
          <w:b w:val="0"/>
          <w:bCs w:val="0"/>
          <w:color w:val="auto"/>
          <w:sz w:val="32"/>
          <w:szCs w:val="32"/>
        </w:rPr>
        <w:t>名，乡镇第一林长17名，乡镇林长3</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名，乡镇副林长17名，村级林长110名，村监督员110名，村生态管护员</w:t>
      </w:r>
      <w:r>
        <w:rPr>
          <w:rFonts w:hint="eastAsia" w:ascii="仿宋_GB2312" w:hAnsi="仿宋_GB2312" w:eastAsia="仿宋_GB2312" w:cs="仿宋_GB2312"/>
          <w:b w:val="0"/>
          <w:bCs w:val="0"/>
          <w:color w:val="auto"/>
          <w:sz w:val="32"/>
          <w:szCs w:val="32"/>
          <w:lang w:val="en-US" w:eastAsia="zh-CN"/>
        </w:rPr>
        <w:t>1554</w:t>
      </w:r>
      <w:r>
        <w:rPr>
          <w:rFonts w:hint="eastAsia" w:ascii="仿宋_GB2312" w:hAnsi="仿宋_GB2312" w:eastAsia="仿宋_GB2312" w:cs="仿宋_GB2312"/>
          <w:b w:val="0"/>
          <w:bCs w:val="0"/>
          <w:color w:val="auto"/>
          <w:sz w:val="32"/>
          <w:szCs w:val="32"/>
        </w:rPr>
        <w:t>名。33个成员单位各司其职，制定林长制工作配套制度5个，全县安装县、乡、村三级公示牌130个，协同配合，建立起网格化全覆盖管理体系。</w:t>
      </w:r>
      <w:r>
        <w:rPr>
          <w:rFonts w:hint="eastAsia" w:ascii="仿宋_GB2312" w:hAnsi="仿宋_GB2312" w:eastAsia="仿宋_GB2312" w:cs="仿宋_GB2312"/>
          <w:b w:val="0"/>
          <w:bCs w:val="0"/>
          <w:color w:val="auto"/>
          <w:sz w:val="32"/>
          <w:szCs w:val="32"/>
          <w:lang w:val="en-US" w:eastAsia="zh-CN"/>
        </w:rPr>
        <w:t>截至目前，</w:t>
      </w:r>
      <w:r>
        <w:rPr>
          <w:rStyle w:val="28"/>
          <w:rFonts w:hint="eastAsia" w:ascii="仿宋_GB2312" w:hAnsi="仿宋_GB2312" w:eastAsia="仿宋_GB2312" w:cs="仿宋_GB2312"/>
          <w:b w:val="0"/>
          <w:bCs w:val="0"/>
          <w:color w:val="auto"/>
          <w:sz w:val="32"/>
          <w:szCs w:val="32"/>
        </w:rPr>
        <w:t>召开县林长制全体会议</w:t>
      </w:r>
      <w:r>
        <w:rPr>
          <w:rStyle w:val="28"/>
          <w:rFonts w:hint="eastAsia" w:ascii="仿宋_GB2312" w:hAnsi="仿宋_GB2312" w:eastAsia="仿宋_GB2312" w:cs="仿宋_GB2312"/>
          <w:b w:val="0"/>
          <w:bCs w:val="0"/>
          <w:color w:val="auto"/>
          <w:sz w:val="32"/>
          <w:szCs w:val="32"/>
          <w:lang w:val="en-US" w:eastAsia="zh-CN"/>
        </w:rPr>
        <w:t>1次</w:t>
      </w:r>
      <w:r>
        <w:rPr>
          <w:rStyle w:val="28"/>
          <w:rFonts w:hint="eastAsia" w:ascii="仿宋_GB2312" w:hAnsi="仿宋_GB2312" w:eastAsia="仿宋_GB2312" w:cs="仿宋_GB2312"/>
          <w:b w:val="0"/>
          <w:bCs w:val="0"/>
          <w:color w:val="auto"/>
          <w:sz w:val="32"/>
          <w:szCs w:val="32"/>
          <w:lang w:eastAsia="zh-CN"/>
        </w:rPr>
        <w:t>。</w:t>
      </w:r>
      <w:r>
        <w:rPr>
          <w:rStyle w:val="28"/>
          <w:rFonts w:hint="eastAsia" w:ascii="仿宋_GB2312" w:hAnsi="仿宋_GB2312" w:eastAsia="仿宋_GB2312" w:cs="仿宋_GB2312"/>
          <w:b w:val="0"/>
          <w:bCs w:val="0"/>
          <w:color w:val="auto"/>
          <w:sz w:val="32"/>
          <w:szCs w:val="32"/>
          <w:lang w:val="en-US" w:eastAsia="zh-CN"/>
        </w:rPr>
        <w:t>颁发县级</w:t>
      </w:r>
      <w:r>
        <w:rPr>
          <w:rFonts w:hint="eastAsia" w:ascii="仿宋_GB2312" w:hAnsi="仿宋_GB2312" w:eastAsia="仿宋_GB2312" w:cs="仿宋_GB2312"/>
          <w:b w:val="0"/>
          <w:bCs w:val="0"/>
          <w:color w:val="auto"/>
          <w:sz w:val="32"/>
          <w:szCs w:val="32"/>
        </w:rPr>
        <w:t>林长证</w:t>
      </w:r>
      <w:r>
        <w:rPr>
          <w:rFonts w:hint="eastAsia" w:ascii="仿宋_GB2312" w:hAnsi="仿宋_GB2312" w:eastAsia="仿宋_GB2312" w:cs="仿宋_GB2312"/>
          <w:b w:val="0"/>
          <w:bCs w:val="0"/>
          <w:color w:val="auto"/>
          <w:sz w:val="32"/>
          <w:szCs w:val="32"/>
          <w:lang w:val="en-US" w:eastAsia="zh-CN"/>
        </w:rPr>
        <w:t>2个，县级警长证1个，县级</w:t>
      </w:r>
      <w:r>
        <w:rPr>
          <w:rFonts w:hint="eastAsia" w:ascii="仿宋_GB2312" w:hAnsi="仿宋_GB2312" w:eastAsia="仿宋_GB2312" w:cs="仿宋_GB2312"/>
          <w:b w:val="0"/>
          <w:bCs w:val="0"/>
          <w:color w:val="auto"/>
          <w:sz w:val="32"/>
          <w:szCs w:val="32"/>
        </w:rPr>
        <w:t>副林长</w:t>
      </w:r>
      <w:r>
        <w:rPr>
          <w:rFonts w:hint="eastAsia" w:ascii="仿宋_GB2312" w:hAnsi="仿宋_GB2312" w:eastAsia="仿宋_GB2312" w:cs="仿宋_GB2312"/>
          <w:b w:val="0"/>
          <w:bCs w:val="0"/>
          <w:color w:val="auto"/>
          <w:sz w:val="32"/>
          <w:szCs w:val="32"/>
          <w:lang w:val="en-US" w:eastAsia="zh-CN"/>
        </w:rPr>
        <w:t>证</w:t>
      </w:r>
      <w:r>
        <w:rPr>
          <w:rFonts w:hint="eastAsia" w:ascii="仿宋_GB2312" w:hAnsi="仿宋_GB2312"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lang w:val="en-US" w:eastAsia="zh-CN"/>
        </w:rPr>
        <w:t>9个，乡镇林长证34个，乡镇副林长证17个、村级林长证110个。</w:t>
      </w:r>
      <w:r>
        <w:rPr>
          <w:rStyle w:val="28"/>
          <w:rFonts w:hint="eastAsia" w:ascii="仿宋_GB2312" w:hAnsi="仿宋_GB2312" w:eastAsia="仿宋_GB2312" w:cs="仿宋_GB2312"/>
          <w:b w:val="0"/>
          <w:bCs w:val="0"/>
          <w:color w:val="auto"/>
          <w:sz w:val="32"/>
          <w:szCs w:val="32"/>
          <w:lang w:val="en-US" w:eastAsia="zh-CN"/>
        </w:rPr>
        <w:t>各级林长累计巡林5950次，发现问题共计40个，整改落实问题40个，</w:t>
      </w:r>
      <w:r>
        <w:rPr>
          <w:rFonts w:hint="eastAsia" w:ascii="仿宋_GB2312" w:hAnsi="仿宋_GB2312" w:eastAsia="仿宋_GB2312" w:cs="仿宋_GB2312"/>
          <w:b w:val="0"/>
          <w:bCs w:val="0"/>
          <w:color w:val="auto"/>
          <w:sz w:val="32"/>
          <w:szCs w:val="32"/>
        </w:rPr>
        <w:t>确保</w:t>
      </w:r>
      <w:r>
        <w:rPr>
          <w:rFonts w:hint="eastAsia" w:ascii="仿宋_GB2312" w:hAnsi="仿宋_GB2312" w:eastAsia="仿宋_GB2312" w:cs="仿宋_GB2312"/>
          <w:b w:val="0"/>
          <w:bCs w:val="0"/>
          <w:color w:val="auto"/>
          <w:sz w:val="32"/>
          <w:szCs w:val="32"/>
          <w:lang w:val="en-US" w:eastAsia="zh-CN"/>
        </w:rPr>
        <w:t>了</w:t>
      </w:r>
      <w:r>
        <w:rPr>
          <w:rFonts w:hint="eastAsia" w:ascii="仿宋_GB2312" w:hAnsi="仿宋_GB2312" w:eastAsia="仿宋_GB2312" w:cs="仿宋_GB2312"/>
          <w:b w:val="0"/>
          <w:bCs w:val="0"/>
          <w:color w:val="auto"/>
          <w:sz w:val="32"/>
          <w:szCs w:val="32"/>
        </w:rPr>
        <w:t>林有人管、事有人做、责有人担，林长制改革取得新成效。</w:t>
      </w:r>
      <w:r>
        <w:rPr>
          <w:rFonts w:hint="eastAsia" w:ascii="仿宋_GB2312" w:hAnsi="仿宋_GB2312" w:eastAsia="仿宋_GB2312" w:cs="仿宋_GB2312"/>
          <w:b w:val="0"/>
          <w:bCs w:val="0"/>
          <w:color w:val="auto"/>
          <w:sz w:val="32"/>
          <w:szCs w:val="32"/>
          <w:highlight w:val="none"/>
          <w:lang w:val="en-US" w:eastAsia="zh-CN"/>
        </w:rPr>
        <w:t>今年4月，在《四川省林长制简报》第6期上刊登了“松潘县率先推行林长制初见成效”的基层经验，得到省林长办的肯定。</w:t>
      </w:r>
    </w:p>
    <w:p w14:paraId="52310B96">
      <w:pPr>
        <w:keepNext w:val="0"/>
        <w:keepLines w:val="0"/>
        <w:pageBreakBefore w:val="0"/>
        <w:widowControl w:val="0"/>
        <w:kinsoku/>
        <w:wordWrap/>
        <w:overflowPunct/>
        <w:topLinePunct w:val="0"/>
        <w:autoSpaceDE/>
        <w:autoSpaceDN/>
        <w:bidi w:val="0"/>
        <w:adjustRightInd/>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（三）自然保护地管理凸显成效。</w:t>
      </w:r>
    </w:p>
    <w:p w14:paraId="5A69EA7D">
      <w:pPr>
        <w:keepNext w:val="0"/>
        <w:keepLines w:val="0"/>
        <w:pageBreakBefore w:val="0"/>
        <w:kinsoku/>
        <w:wordWrap/>
        <w:overflowPunct/>
        <w:topLinePunct w:val="0"/>
        <w:autoSpaceDE/>
        <w:autoSpaceDN/>
        <w:bidi w:val="0"/>
        <w:adjustRightInd/>
        <w:snapToGrid/>
        <w:spacing w:line="576" w:lineRule="exact"/>
        <w:ind w:left="0" w:leftChars="0" w:right="0" w:rightChars="0" w:firstLine="64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1.严格各级各类自然保护地管理和资源保护。</w:t>
      </w:r>
      <w:r>
        <w:rPr>
          <w:rFonts w:hint="eastAsia" w:ascii="仿宋_GB2312" w:hAnsi="仿宋_GB2312" w:eastAsia="仿宋_GB2312" w:cs="仿宋_GB2312"/>
          <w:b w:val="0"/>
          <w:bCs w:val="0"/>
          <w:color w:val="auto"/>
          <w:sz w:val="32"/>
          <w:szCs w:val="32"/>
          <w:lang w:val="en-US" w:eastAsia="zh-CN"/>
        </w:rPr>
        <w:t>全面排查了保护地内违规建设项目，对野生动物</w:t>
      </w:r>
      <w:r>
        <w:rPr>
          <w:rFonts w:hint="eastAsia" w:ascii="仿宋_GB2312" w:hAnsi="仿宋_GB2312" w:eastAsia="仿宋_GB2312" w:cs="仿宋_GB2312"/>
          <w:b w:val="0"/>
          <w:bCs w:val="0"/>
          <w:color w:val="auto"/>
          <w:kern w:val="0"/>
          <w:sz w:val="32"/>
          <w:szCs w:val="32"/>
        </w:rPr>
        <w:t>疫源疫病的</w:t>
      </w:r>
      <w:r>
        <w:rPr>
          <w:rFonts w:hint="eastAsia" w:ascii="仿宋_GB2312" w:hAnsi="仿宋_GB2312" w:eastAsia="仿宋_GB2312" w:cs="仿宋_GB2312"/>
          <w:b w:val="0"/>
          <w:bCs w:val="0"/>
          <w:color w:val="auto"/>
          <w:kern w:val="0"/>
          <w:sz w:val="32"/>
          <w:szCs w:val="32"/>
          <w:lang w:val="en-US" w:eastAsia="zh-CN"/>
        </w:rPr>
        <w:t>进行</w:t>
      </w:r>
      <w:r>
        <w:rPr>
          <w:rFonts w:hint="eastAsia" w:ascii="仿宋_GB2312" w:hAnsi="仿宋_GB2312" w:eastAsia="仿宋_GB2312" w:cs="仿宋_GB2312"/>
          <w:b w:val="0"/>
          <w:bCs w:val="0"/>
          <w:color w:val="auto"/>
          <w:kern w:val="0"/>
          <w:sz w:val="32"/>
          <w:szCs w:val="32"/>
        </w:rPr>
        <w:t>监测</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sz w:val="32"/>
          <w:szCs w:val="32"/>
          <w:shd w:val="clear" w:color="auto" w:fill="auto"/>
          <w:lang w:val="en-US" w:eastAsia="zh-CN"/>
        </w:rPr>
        <w:t>结合</w:t>
      </w:r>
      <w:r>
        <w:rPr>
          <w:rFonts w:hint="eastAsia" w:ascii="仿宋_GB2312" w:hAnsi="仿宋_GB2312" w:eastAsia="仿宋_GB2312" w:cs="仿宋_GB2312"/>
          <w:b w:val="0"/>
          <w:bCs w:val="0"/>
          <w:color w:val="auto"/>
          <w:sz w:val="32"/>
          <w:szCs w:val="32"/>
          <w:lang w:val="en-US" w:eastAsia="zh-CN"/>
        </w:rPr>
        <w:t>“世界野生动植物日”</w:t>
      </w:r>
      <w:r>
        <w:rPr>
          <w:rFonts w:hint="eastAsia" w:ascii="仿宋_GB2312" w:hAnsi="仿宋_GB2312" w:eastAsia="仿宋_GB2312" w:cs="仿宋_GB2312"/>
          <w:b w:val="0"/>
          <w:bCs w:val="0"/>
          <w:color w:val="auto"/>
          <w:sz w:val="32"/>
          <w:szCs w:val="32"/>
          <w:shd w:val="clear" w:color="auto" w:fill="auto"/>
        </w:rPr>
        <w:t>“爱鸟周”宣传活动</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开展法律法规宣传，共计悬挂</w:t>
      </w:r>
      <w:r>
        <w:rPr>
          <w:rFonts w:hint="eastAsia" w:ascii="仿宋_GB2312" w:hAnsi="仿宋_GB2312" w:eastAsia="仿宋_GB2312" w:cs="仿宋_GB2312"/>
          <w:b w:val="0"/>
          <w:bCs w:val="0"/>
          <w:color w:val="auto"/>
          <w:sz w:val="32"/>
          <w:szCs w:val="32"/>
          <w:shd w:val="clear" w:color="auto" w:fill="auto"/>
        </w:rPr>
        <w:t>横幅</w:t>
      </w:r>
      <w:r>
        <w:rPr>
          <w:rFonts w:hint="eastAsia" w:ascii="仿宋_GB2312" w:hAnsi="仿宋_GB2312" w:eastAsia="仿宋_GB2312" w:cs="仿宋_GB2312"/>
          <w:b w:val="0"/>
          <w:bCs w:val="0"/>
          <w:color w:val="auto"/>
          <w:sz w:val="32"/>
          <w:szCs w:val="32"/>
          <w:shd w:val="clear" w:color="auto" w:fill="auto"/>
          <w:lang w:val="en-US" w:eastAsia="zh-CN"/>
        </w:rPr>
        <w:t>5</w:t>
      </w:r>
      <w:r>
        <w:rPr>
          <w:rFonts w:hint="eastAsia" w:ascii="仿宋_GB2312" w:hAnsi="仿宋_GB2312" w:eastAsia="仿宋_GB2312" w:cs="仿宋_GB2312"/>
          <w:b w:val="0"/>
          <w:bCs w:val="0"/>
          <w:color w:val="auto"/>
          <w:sz w:val="32"/>
          <w:szCs w:val="32"/>
          <w:shd w:val="clear" w:color="auto" w:fill="auto"/>
        </w:rPr>
        <w:t>幅</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发放</w:t>
      </w:r>
      <w:r>
        <w:rPr>
          <w:rFonts w:hint="eastAsia" w:ascii="仿宋_GB2312" w:hAnsi="仿宋_GB2312" w:eastAsia="仿宋_GB2312" w:cs="仿宋_GB2312"/>
          <w:b w:val="0"/>
          <w:bCs w:val="0"/>
          <w:color w:val="auto"/>
          <w:sz w:val="32"/>
          <w:szCs w:val="32"/>
          <w:shd w:val="clear" w:color="auto" w:fill="auto"/>
        </w:rPr>
        <w:t>宣传图报</w:t>
      </w:r>
      <w:r>
        <w:rPr>
          <w:rFonts w:hint="eastAsia" w:ascii="仿宋_GB2312" w:hAnsi="仿宋_GB2312" w:eastAsia="仿宋_GB2312" w:cs="仿宋_GB2312"/>
          <w:b w:val="0"/>
          <w:bCs w:val="0"/>
          <w:color w:val="auto"/>
          <w:sz w:val="32"/>
          <w:szCs w:val="32"/>
          <w:shd w:val="clear" w:color="auto" w:fill="auto"/>
          <w:lang w:val="en-US" w:eastAsia="zh-CN"/>
        </w:rPr>
        <w:t>300</w:t>
      </w:r>
      <w:r>
        <w:rPr>
          <w:rFonts w:hint="eastAsia" w:ascii="仿宋_GB2312" w:hAnsi="仿宋_GB2312" w:eastAsia="仿宋_GB2312" w:cs="仿宋_GB2312"/>
          <w:b w:val="0"/>
          <w:bCs w:val="0"/>
          <w:color w:val="auto"/>
          <w:sz w:val="32"/>
          <w:szCs w:val="32"/>
          <w:shd w:val="clear" w:color="auto" w:fill="auto"/>
        </w:rPr>
        <w:t>0</w:t>
      </w:r>
      <w:r>
        <w:rPr>
          <w:rFonts w:hint="eastAsia" w:ascii="仿宋_GB2312" w:hAnsi="仿宋_GB2312" w:eastAsia="仿宋_GB2312" w:cs="仿宋_GB2312"/>
          <w:b w:val="0"/>
          <w:bCs w:val="0"/>
          <w:color w:val="auto"/>
          <w:sz w:val="32"/>
          <w:szCs w:val="32"/>
          <w:shd w:val="clear" w:color="auto" w:fill="auto"/>
          <w:lang w:val="en-US" w:eastAsia="zh-CN"/>
        </w:rPr>
        <w:t>余</w:t>
      </w:r>
      <w:r>
        <w:rPr>
          <w:rFonts w:hint="eastAsia" w:ascii="仿宋_GB2312" w:hAnsi="仿宋_GB2312" w:eastAsia="仿宋_GB2312" w:cs="仿宋_GB2312"/>
          <w:b w:val="0"/>
          <w:bCs w:val="0"/>
          <w:color w:val="auto"/>
          <w:sz w:val="32"/>
          <w:szCs w:val="32"/>
          <w:shd w:val="clear" w:color="auto" w:fill="auto"/>
        </w:rPr>
        <w:t>份</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rPr>
        <w:t>宣传手提袋</w:t>
      </w:r>
      <w:r>
        <w:rPr>
          <w:rFonts w:hint="eastAsia" w:ascii="仿宋_GB2312" w:hAnsi="仿宋_GB2312" w:eastAsia="仿宋_GB2312" w:cs="仿宋_GB2312"/>
          <w:b w:val="0"/>
          <w:bCs w:val="0"/>
          <w:color w:val="auto"/>
          <w:sz w:val="32"/>
          <w:szCs w:val="32"/>
          <w:shd w:val="clear" w:color="auto" w:fill="auto"/>
          <w:lang w:val="en-US" w:eastAsia="zh-CN"/>
        </w:rPr>
        <w:t>1</w:t>
      </w:r>
      <w:r>
        <w:rPr>
          <w:rFonts w:hint="eastAsia" w:ascii="仿宋_GB2312" w:hAnsi="仿宋_GB2312" w:eastAsia="仿宋_GB2312" w:cs="仿宋_GB2312"/>
          <w:b w:val="0"/>
          <w:bCs w:val="0"/>
          <w:color w:val="auto"/>
          <w:sz w:val="32"/>
          <w:szCs w:val="32"/>
          <w:shd w:val="clear" w:color="auto" w:fill="auto"/>
        </w:rPr>
        <w:t>000余个</w:t>
      </w:r>
      <w:r>
        <w:rPr>
          <w:rFonts w:hint="eastAsia" w:ascii="仿宋_GB2312" w:hAnsi="仿宋_GB2312" w:eastAsia="仿宋_GB2312" w:cs="仿宋_GB2312"/>
          <w:b w:val="0"/>
          <w:bCs w:val="0"/>
          <w:color w:val="auto"/>
          <w:sz w:val="32"/>
          <w:szCs w:val="32"/>
          <w:shd w:val="clear" w:color="auto" w:fill="auto"/>
          <w:lang w:eastAsia="zh-CN"/>
        </w:rPr>
        <w:t>，累计出动人员</w:t>
      </w:r>
      <w:r>
        <w:rPr>
          <w:rFonts w:hint="eastAsia" w:ascii="仿宋_GB2312" w:hAnsi="仿宋_GB2312" w:eastAsia="仿宋_GB2312" w:cs="仿宋_GB2312"/>
          <w:b w:val="0"/>
          <w:bCs w:val="0"/>
          <w:color w:val="auto"/>
          <w:sz w:val="32"/>
          <w:szCs w:val="32"/>
          <w:shd w:val="clear" w:color="auto" w:fill="auto"/>
          <w:lang w:val="en-US" w:eastAsia="zh-CN"/>
        </w:rPr>
        <w:t>100余人次</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lang w:val="en-US" w:eastAsia="zh-CN"/>
        </w:rPr>
        <w:t>编制了《</w:t>
      </w:r>
      <w:r>
        <w:rPr>
          <w:rFonts w:hint="eastAsia" w:ascii="仿宋_GB2312" w:hAnsi="仿宋_GB2312" w:eastAsia="仿宋_GB2312" w:cs="仿宋_GB2312"/>
          <w:b w:val="0"/>
          <w:bCs w:val="0"/>
          <w:color w:val="auto"/>
          <w:sz w:val="32"/>
          <w:szCs w:val="32"/>
          <w:lang w:eastAsia="zh-CN"/>
        </w:rPr>
        <w:t>松潘县</w:t>
      </w:r>
      <w:r>
        <w:rPr>
          <w:rFonts w:hint="eastAsia" w:ascii="仿宋_GB2312" w:hAnsi="仿宋_GB2312" w:eastAsia="仿宋_GB2312" w:cs="仿宋_GB2312"/>
          <w:b w:val="0"/>
          <w:bCs w:val="0"/>
          <w:color w:val="auto"/>
          <w:sz w:val="32"/>
          <w:szCs w:val="32"/>
          <w:lang w:val="en-US" w:eastAsia="zh-CN"/>
        </w:rPr>
        <w:t>2022年陆生野生动物致害公众责任保险试点方案》。</w:t>
      </w:r>
    </w:p>
    <w:p w14:paraId="63A93586">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岷江源国家湿地公园建设。对全县湿地进行全面管护和园区监管，督促项目业主及施工方对岷江源国家湿地公园科普馆及游客中心的完善整改。成功举办了岷江源湿地公园科普馆开馆仪式，得到各级领导和广大参与者的赞誉，增强了我县岷江源湿地公园及其保护工作的知名度。</w:t>
      </w:r>
    </w:p>
    <w:p w14:paraId="6558BC0B">
      <w:pPr>
        <w:pStyle w:val="14"/>
        <w:keepNext w:val="0"/>
        <w:keepLines w:val="0"/>
        <w:pageBreakBefore w:val="0"/>
        <w:widowControl w:val="0"/>
        <w:kinsoku/>
        <w:wordWrap/>
        <w:overflowPunct/>
        <w:topLinePunct w:val="0"/>
        <w:autoSpaceDE/>
        <w:autoSpaceDN/>
        <w:bidi w:val="0"/>
        <w:adjustRightIn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b w:val="0"/>
          <w:bCs w:val="0"/>
          <w:color w:val="auto"/>
          <w:sz w:val="32"/>
          <w:szCs w:val="32"/>
          <w:highlight w:val="red"/>
          <w:lang w:val="en-US" w:eastAsia="zh-CN"/>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大熊猫国家公园</w:t>
      </w:r>
      <w:r>
        <w:rPr>
          <w:rFonts w:hint="eastAsia" w:ascii="仿宋_GB2312" w:hAnsi="仿宋_GB2312" w:eastAsia="仿宋_GB2312" w:cs="仿宋_GB2312"/>
          <w:b w:val="0"/>
          <w:bCs w:val="0"/>
          <w:color w:val="auto"/>
          <w:sz w:val="32"/>
          <w:szCs w:val="32"/>
          <w:lang w:val="en-US" w:eastAsia="zh-CN"/>
        </w:rPr>
        <w:t>建设</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投资</w:t>
      </w:r>
      <w:r>
        <w:rPr>
          <w:rFonts w:hint="eastAsia" w:ascii="仿宋_GB2312" w:hAnsi="仿宋_GB2312" w:eastAsia="仿宋_GB2312" w:cs="仿宋_GB2312"/>
          <w:b w:val="0"/>
          <w:bCs w:val="0"/>
          <w:color w:val="auto"/>
          <w:sz w:val="32"/>
          <w:szCs w:val="32"/>
          <w:highlight w:val="none"/>
          <w:lang w:val="en-US" w:eastAsia="zh-CN"/>
        </w:rPr>
        <w:t>1267.36万元，</w:t>
      </w:r>
      <w:r>
        <w:rPr>
          <w:rFonts w:hint="eastAsia" w:ascii="仿宋_GB2312" w:hAnsi="仿宋_GB2312" w:eastAsia="仿宋_GB2312" w:cs="仿宋_GB2312"/>
          <w:b w:val="0"/>
          <w:bCs w:val="0"/>
          <w:color w:val="auto"/>
          <w:sz w:val="32"/>
          <w:szCs w:val="32"/>
          <w:lang w:val="en-US" w:eastAsia="zh-CN"/>
        </w:rPr>
        <w:t>在建新村实施大熊猫国家公园松潘园区自然教育及生态体验与社区建设项目，</w:t>
      </w:r>
      <w:r>
        <w:rPr>
          <w:rFonts w:hint="eastAsia" w:ascii="仿宋_GB2312" w:hAnsi="仿宋_GB2312" w:eastAsia="仿宋_GB2312" w:cs="仿宋_GB2312"/>
          <w:b w:val="0"/>
          <w:bCs w:val="0"/>
          <w:color w:val="auto"/>
          <w:kern w:val="0"/>
          <w:sz w:val="32"/>
          <w:szCs w:val="32"/>
          <w:shd w:val="clear" w:color="auto" w:fill="auto"/>
          <w:lang w:val="en-US" w:eastAsia="zh-CN"/>
        </w:rPr>
        <w:t>开展大熊猫国家公园松潘片区日常巡护工作，全年完成42条固定巡护样线2次，平均1条样线长度达3000余米，按既定路线进行巡护，时间累</w:t>
      </w:r>
      <w:r>
        <w:rPr>
          <w:rFonts w:hint="eastAsia" w:ascii="仿宋_GB2312" w:hAnsi="仿宋_GB2312" w:eastAsia="仿宋_GB2312" w:cs="仿宋_GB2312"/>
          <w:b w:val="0"/>
          <w:bCs w:val="0"/>
          <w:color w:val="auto"/>
          <w:kern w:val="0"/>
          <w:sz w:val="32"/>
          <w:szCs w:val="32"/>
          <w:highlight w:val="none"/>
          <w:shd w:val="clear" w:color="auto" w:fill="auto"/>
          <w:lang w:val="en-US" w:eastAsia="zh-CN"/>
        </w:rPr>
        <w:t>计长达400余天，</w:t>
      </w:r>
      <w:r>
        <w:rPr>
          <w:rFonts w:hint="eastAsia" w:ascii="仿宋_GB2312" w:hAnsi="仿宋_GB2312" w:eastAsia="仿宋_GB2312" w:cs="仿宋_GB2312"/>
          <w:b w:val="0"/>
          <w:bCs w:val="0"/>
          <w:color w:val="auto"/>
          <w:kern w:val="0"/>
          <w:sz w:val="32"/>
          <w:szCs w:val="32"/>
          <w:shd w:val="clear" w:color="auto" w:fill="auto"/>
          <w:lang w:val="en-US" w:eastAsia="zh-CN"/>
        </w:rPr>
        <w:t>对沿途发现的野生动物及动物痕迹形成较完整的巡护记录。</w:t>
      </w:r>
      <w:r>
        <w:rPr>
          <w:rFonts w:hint="eastAsia" w:ascii="仿宋_GB2312" w:hAnsi="仿宋_GB2312" w:eastAsia="仿宋_GB2312" w:cs="仿宋_GB2312"/>
          <w:b w:val="0"/>
          <w:bCs w:val="0"/>
          <w:color w:val="auto"/>
          <w:sz w:val="32"/>
          <w:szCs w:val="32"/>
          <w:lang w:val="en-US" w:eastAsia="zh-CN"/>
        </w:rPr>
        <w:t>在园区内</w:t>
      </w:r>
      <w:r>
        <w:rPr>
          <w:rFonts w:hint="eastAsia" w:ascii="仿宋_GB2312" w:hAnsi="仿宋_GB2312" w:eastAsia="仿宋_GB2312" w:cs="仿宋_GB2312"/>
          <w:b w:val="0"/>
          <w:bCs w:val="0"/>
          <w:color w:val="auto"/>
          <w:sz w:val="32"/>
          <w:szCs w:val="32"/>
          <w:lang w:eastAsia="zh-CN"/>
        </w:rPr>
        <w:t>安装</w:t>
      </w:r>
      <w:r>
        <w:rPr>
          <w:rFonts w:hint="eastAsia" w:ascii="仿宋_GB2312" w:hAnsi="仿宋_GB2312" w:eastAsia="仿宋_GB2312" w:cs="仿宋_GB2312"/>
          <w:b w:val="0"/>
          <w:bCs w:val="0"/>
          <w:color w:val="auto"/>
          <w:sz w:val="32"/>
          <w:szCs w:val="32"/>
          <w:lang w:val="en-US" w:eastAsia="zh-CN"/>
        </w:rPr>
        <w:t>的红外相机多次拍摄到大熊猫、绿尾虹雉、金丝猴等重点保护野生动物，并在央视新闻、四川电视台、川台四川观察等上级主流媒体报道播出。</w:t>
      </w:r>
    </w:p>
    <w:p w14:paraId="77089355">
      <w:pPr>
        <w:pStyle w:val="14"/>
        <w:keepNext w:val="0"/>
        <w:keepLines w:val="0"/>
        <w:pageBreakBefore w:val="0"/>
        <w:widowControl w:val="0"/>
        <w:kinsoku/>
        <w:wordWrap/>
        <w:overflowPunct/>
        <w:topLinePunct w:val="0"/>
        <w:autoSpaceDE/>
        <w:autoSpaceDN/>
        <w:bidi w:val="0"/>
        <w:adjustRightInd/>
        <w:spacing w:before="0" w:beforeAutospacing="0" w:after="0" w:afterAutospacing="0" w:line="576" w:lineRule="exact"/>
        <w:ind w:left="0" w:leftChars="0" w:firstLine="320" w:firstLineChars="1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（四）守住森林草原防火底线。</w:t>
      </w:r>
    </w:p>
    <w:p w14:paraId="0F07479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狠抓责任落实</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rPr>
        <w:t>提升工作效率</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sz w:val="32"/>
          <w:szCs w:val="32"/>
        </w:rPr>
        <w:t>严格执行</w:t>
      </w:r>
      <w:r>
        <w:rPr>
          <w:rFonts w:hint="eastAsia" w:ascii="仿宋_GB2312" w:hAnsi="仿宋_GB2312" w:eastAsia="仿宋_GB2312" w:cs="仿宋_GB2312"/>
          <w:b w:val="0"/>
          <w:bCs w:val="0"/>
          <w:color w:val="auto"/>
          <w:sz w:val="32"/>
          <w:szCs w:val="32"/>
          <w:lang w:val="en-US" w:eastAsia="zh-CN"/>
        </w:rPr>
        <w:t>双</w:t>
      </w:r>
      <w:r>
        <w:rPr>
          <w:rFonts w:hint="eastAsia" w:ascii="仿宋_GB2312" w:hAnsi="仿宋_GB2312" w:eastAsia="仿宋_GB2312" w:cs="仿宋_GB2312"/>
          <w:b w:val="0"/>
          <w:bCs w:val="0"/>
          <w:color w:val="auto"/>
          <w:sz w:val="32"/>
          <w:szCs w:val="32"/>
        </w:rPr>
        <w:t>人值班、24小时值班和领导带班制度；100名地方专业扑火队伍，全员驻训，集中封闭式军事化管理，开展常态化训练，备战状态；强化巡护系统安装使用，确保APP上线使用率持续稳定，坚持每日开展巡山护林护草，实行全天候巡逻，严格落实入山人员扫码、登记制度和24小时值班制度。</w:t>
      </w:r>
    </w:p>
    <w:p w14:paraId="339F1F7F">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狠抓火源管控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消除火灾隐患</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严格落实202</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年度森林草原防火令、禁火令，在林区牧区重点地段入山口设立防火哨卡7个，对辖区内的60个民俗用火点落实专人进行看守，新增防火临时检查站点10个，在重要防火路段设立卡点，每个卡点确保两人值班值守，并张贴县上统一制作防火二维码，一律实行扫码进山，确保进入山出山人员管控全覆盖。</w:t>
      </w:r>
    </w:p>
    <w:p w14:paraId="1B3C1249">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kern w:val="0"/>
          <w:sz w:val="32"/>
          <w:szCs w:val="32"/>
        </w:rPr>
        <w:t>狠抓宣传教育</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rPr>
        <w:t>增强防火意识</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sz w:val="32"/>
          <w:szCs w:val="32"/>
        </w:rPr>
        <w:t>开展形式多样的森林草原防灭火宣传活动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制作新固定森林草原防火宣传牌345个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宣传横幅200余条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播放专题节目5期</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推送手机短信20余万条</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禁火令300张</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发放藏汉双语画册1</w:t>
      </w:r>
      <w:r>
        <w:rPr>
          <w:rFonts w:hint="eastAsia" w:ascii="仿宋_GB2312" w:hAnsi="仿宋_GB2312" w:eastAsia="仿宋_GB2312" w:cs="仿宋_GB2312"/>
          <w:b w:val="0"/>
          <w:bCs w:val="0"/>
          <w:color w:val="auto"/>
          <w:sz w:val="32"/>
          <w:szCs w:val="32"/>
          <w:lang w:val="en-US" w:eastAsia="zh-CN"/>
        </w:rPr>
        <w:t>万</w:t>
      </w:r>
      <w:r>
        <w:rPr>
          <w:rFonts w:hint="eastAsia" w:ascii="仿宋_GB2312" w:hAnsi="仿宋_GB2312" w:eastAsia="仿宋_GB2312" w:cs="仿宋_GB2312"/>
          <w:b w:val="0"/>
          <w:bCs w:val="0"/>
          <w:color w:val="auto"/>
          <w:sz w:val="32"/>
          <w:szCs w:val="32"/>
        </w:rPr>
        <w:t>余份、宣传纸杯5万余个、宣传笔记本1</w:t>
      </w:r>
      <w:r>
        <w:rPr>
          <w:rFonts w:hint="eastAsia" w:ascii="仿宋_GB2312" w:hAnsi="仿宋_GB2312" w:eastAsia="仿宋_GB2312" w:cs="仿宋_GB2312"/>
          <w:b w:val="0"/>
          <w:bCs w:val="0"/>
          <w:color w:val="auto"/>
          <w:sz w:val="32"/>
          <w:szCs w:val="32"/>
          <w:lang w:val="en-US" w:eastAsia="zh-CN"/>
        </w:rPr>
        <w:t>万余</w:t>
      </w:r>
      <w:r>
        <w:rPr>
          <w:rFonts w:hint="eastAsia" w:ascii="仿宋_GB2312" w:hAnsi="仿宋_GB2312" w:eastAsia="仿宋_GB2312" w:cs="仿宋_GB2312"/>
          <w:b w:val="0"/>
          <w:bCs w:val="0"/>
          <w:color w:val="auto"/>
          <w:sz w:val="32"/>
          <w:szCs w:val="32"/>
        </w:rPr>
        <w:t>册、宣传围裙1</w:t>
      </w:r>
      <w:r>
        <w:rPr>
          <w:rFonts w:hint="eastAsia" w:ascii="仿宋_GB2312" w:hAnsi="仿宋_GB2312" w:eastAsia="仿宋_GB2312" w:cs="仿宋_GB2312"/>
          <w:b w:val="0"/>
          <w:bCs w:val="0"/>
          <w:color w:val="auto"/>
          <w:sz w:val="32"/>
          <w:szCs w:val="32"/>
          <w:lang w:val="en-US" w:eastAsia="zh-CN"/>
        </w:rPr>
        <w:t>万余</w:t>
      </w:r>
      <w:r>
        <w:rPr>
          <w:rFonts w:hint="eastAsia" w:ascii="仿宋_GB2312" w:hAnsi="仿宋_GB2312" w:eastAsia="仿宋_GB2312" w:cs="仿宋_GB2312"/>
          <w:b w:val="0"/>
          <w:bCs w:val="0"/>
          <w:color w:val="auto"/>
          <w:sz w:val="32"/>
          <w:szCs w:val="32"/>
        </w:rPr>
        <w:t>条、宣传日历2万余张、森林草原防火</w:t>
      </w:r>
      <w:r>
        <w:rPr>
          <w:rFonts w:hint="eastAsia" w:ascii="仿宋_GB2312" w:hAnsi="仿宋_GB2312" w:eastAsia="仿宋_GB2312" w:cs="仿宋_GB2312"/>
          <w:b w:val="0"/>
          <w:bCs w:val="0"/>
          <w:color w:val="auto"/>
          <w:sz w:val="32"/>
          <w:szCs w:val="32"/>
          <w:lang w:eastAsia="zh-CN"/>
        </w:rPr>
        <w:t>条例</w:t>
      </w:r>
      <w:r>
        <w:rPr>
          <w:rFonts w:hint="eastAsia" w:ascii="仿宋_GB2312" w:hAnsi="仿宋_GB2312" w:eastAsia="仿宋_GB2312" w:cs="仿宋_GB2312"/>
          <w:b w:val="0"/>
          <w:bCs w:val="0"/>
          <w:color w:val="auto"/>
          <w:sz w:val="32"/>
          <w:szCs w:val="32"/>
        </w:rPr>
        <w:t>5000本、宣传手册5000册、雨伞1</w:t>
      </w:r>
      <w:r>
        <w:rPr>
          <w:rFonts w:hint="eastAsia" w:ascii="仿宋_GB2312" w:hAnsi="仿宋_GB2312" w:eastAsia="仿宋_GB2312" w:cs="仿宋_GB2312"/>
          <w:b w:val="0"/>
          <w:bCs w:val="0"/>
          <w:color w:val="auto"/>
          <w:sz w:val="32"/>
          <w:szCs w:val="32"/>
          <w:lang w:val="en-US" w:eastAsia="zh-CN"/>
        </w:rPr>
        <w:t>万余</w:t>
      </w:r>
      <w:r>
        <w:rPr>
          <w:rFonts w:hint="eastAsia" w:ascii="仿宋_GB2312" w:hAnsi="仿宋_GB2312" w:eastAsia="仿宋_GB2312" w:cs="仿宋_GB2312"/>
          <w:b w:val="0"/>
          <w:bCs w:val="0"/>
          <w:color w:val="auto"/>
          <w:sz w:val="32"/>
          <w:szCs w:val="32"/>
        </w:rPr>
        <w:t>把</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书包2000个。</w:t>
      </w:r>
      <w:r>
        <w:rPr>
          <w:rFonts w:hint="eastAsia" w:ascii="仿宋_GB2312" w:hAnsi="仿宋_GB2312" w:eastAsia="仿宋_GB2312" w:cs="仿宋_GB2312"/>
          <w:b w:val="0"/>
          <w:bCs w:val="0"/>
          <w:color w:val="auto"/>
          <w:sz w:val="32"/>
          <w:szCs w:val="32"/>
          <w:lang w:val="en-US" w:eastAsia="zh-CN"/>
        </w:rPr>
        <w:t>确保了防火宣传100％覆盖。</w:t>
      </w:r>
      <w:r>
        <w:rPr>
          <w:rFonts w:hint="eastAsia" w:ascii="仿宋_GB2312" w:hAnsi="仿宋_GB2312" w:eastAsia="仿宋_GB2312" w:cs="仿宋_GB2312"/>
          <w:b w:val="0"/>
          <w:bCs w:val="0"/>
          <w:color w:val="auto"/>
          <w:sz w:val="32"/>
          <w:szCs w:val="32"/>
          <w:highlight w:val="none"/>
          <w:lang w:val="en-US" w:eastAsia="zh-CN"/>
        </w:rPr>
        <w:t>连续保持36年无重特大森林火灾发生、28年无重特大草原火灾发生。</w:t>
      </w:r>
    </w:p>
    <w:p w14:paraId="5FE21EA1">
      <w:pPr>
        <w:keepNext w:val="0"/>
        <w:keepLines w:val="0"/>
        <w:pageBreakBefore w:val="0"/>
        <w:numPr>
          <w:ilvl w:val="0"/>
          <w:numId w:val="0"/>
        </w:numPr>
        <w:kinsoku/>
        <w:wordWrap/>
        <w:overflowPunct/>
        <w:topLinePunct w:val="0"/>
        <w:autoSpaceDE/>
        <w:autoSpaceDN/>
        <w:bidi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（五）</w:t>
      </w:r>
      <w:r>
        <w:rPr>
          <w:rFonts w:hint="eastAsia" w:ascii="仿宋_GB2312" w:hAnsi="仿宋_GB2312" w:eastAsia="仿宋_GB2312" w:cs="仿宋_GB2312"/>
          <w:b w:val="0"/>
          <w:bCs w:val="0"/>
          <w:color w:val="auto"/>
          <w:sz w:val="32"/>
          <w:szCs w:val="32"/>
        </w:rPr>
        <w:t>林草资源保护全力攻坚</w:t>
      </w:r>
      <w:r>
        <w:rPr>
          <w:rFonts w:hint="eastAsia" w:ascii="仿宋_GB2312" w:hAnsi="仿宋_GB2312" w:eastAsia="仿宋_GB2312" w:cs="仿宋_GB2312"/>
          <w:b w:val="0"/>
          <w:bCs w:val="0"/>
          <w:color w:val="auto"/>
          <w:sz w:val="32"/>
          <w:szCs w:val="32"/>
          <w:lang w:eastAsia="zh-CN"/>
        </w:rPr>
        <w:t>。</w:t>
      </w:r>
    </w:p>
    <w:p w14:paraId="0E701499">
      <w:pPr>
        <w:keepNext w:val="0"/>
        <w:keepLines w:val="0"/>
        <w:pageBreakBefore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kern w:val="0"/>
          <w:sz w:val="32"/>
          <w:szCs w:val="32"/>
          <w:lang w:eastAsia="zh-CN"/>
        </w:rPr>
        <w:t>严格执行限额采伐制度和凭证采伐制度。</w:t>
      </w:r>
      <w:r>
        <w:rPr>
          <w:rFonts w:hint="eastAsia" w:ascii="仿宋_GB2312" w:hAnsi="仿宋_GB2312" w:eastAsia="仿宋_GB2312" w:cs="仿宋_GB2312"/>
          <w:b w:val="0"/>
          <w:bCs w:val="0"/>
          <w:color w:val="auto"/>
          <w:kern w:val="0"/>
          <w:sz w:val="32"/>
          <w:szCs w:val="32"/>
          <w:lang w:val="en-US" w:eastAsia="zh-CN"/>
        </w:rPr>
        <w:t>下发了《</w:t>
      </w:r>
      <w:r>
        <w:rPr>
          <w:rFonts w:hint="eastAsia" w:ascii="仿宋_GB2312" w:hAnsi="仿宋_GB2312" w:eastAsia="仿宋_GB2312" w:cs="仿宋_GB2312"/>
          <w:b w:val="0"/>
          <w:bCs w:val="0"/>
          <w:color w:val="auto"/>
          <w:kern w:val="0"/>
          <w:sz w:val="32"/>
          <w:szCs w:val="32"/>
          <w:lang w:eastAsia="zh-CN"/>
        </w:rPr>
        <w:t>关于</w:t>
      </w:r>
      <w:r>
        <w:rPr>
          <w:rFonts w:hint="eastAsia" w:ascii="仿宋_GB2312" w:hAnsi="仿宋_GB2312" w:eastAsia="仿宋_GB2312" w:cs="仿宋_GB2312"/>
          <w:b w:val="0"/>
          <w:bCs w:val="0"/>
          <w:color w:val="auto"/>
          <w:kern w:val="0"/>
          <w:sz w:val="32"/>
          <w:szCs w:val="32"/>
          <w:lang w:val="en-US" w:eastAsia="zh-CN"/>
        </w:rPr>
        <w:t>进一步</w:t>
      </w:r>
      <w:r>
        <w:rPr>
          <w:rFonts w:hint="eastAsia" w:ascii="仿宋_GB2312" w:hAnsi="仿宋_GB2312" w:eastAsia="仿宋_GB2312" w:cs="仿宋_GB2312"/>
          <w:b w:val="0"/>
          <w:bCs w:val="0"/>
          <w:color w:val="auto"/>
          <w:kern w:val="0"/>
          <w:sz w:val="32"/>
          <w:szCs w:val="32"/>
          <w:lang w:eastAsia="zh-CN"/>
        </w:rPr>
        <w:t>加强林</w:t>
      </w:r>
      <w:r>
        <w:rPr>
          <w:rFonts w:hint="eastAsia" w:ascii="仿宋_GB2312" w:hAnsi="仿宋_GB2312" w:eastAsia="仿宋_GB2312" w:cs="仿宋_GB2312"/>
          <w:b w:val="0"/>
          <w:bCs w:val="0"/>
          <w:color w:val="auto"/>
          <w:kern w:val="0"/>
          <w:sz w:val="32"/>
          <w:szCs w:val="32"/>
          <w:lang w:val="en-US" w:eastAsia="zh-CN"/>
        </w:rPr>
        <w:t>木采审核</w:t>
      </w:r>
      <w:r>
        <w:rPr>
          <w:rFonts w:hint="eastAsia" w:ascii="仿宋_GB2312" w:hAnsi="仿宋_GB2312" w:eastAsia="仿宋_GB2312" w:cs="仿宋_GB2312"/>
          <w:b w:val="0"/>
          <w:bCs w:val="0"/>
          <w:color w:val="auto"/>
          <w:kern w:val="0"/>
          <w:sz w:val="32"/>
          <w:szCs w:val="32"/>
          <w:lang w:eastAsia="zh-CN"/>
        </w:rPr>
        <w:t>管理的通知》，</w:t>
      </w:r>
      <w:r>
        <w:rPr>
          <w:rFonts w:hint="eastAsia" w:ascii="仿宋_GB2312" w:hAnsi="仿宋_GB2312" w:eastAsia="仿宋_GB2312" w:cs="仿宋_GB2312"/>
          <w:b w:val="0"/>
          <w:bCs w:val="0"/>
          <w:color w:val="auto"/>
          <w:kern w:val="0"/>
          <w:sz w:val="32"/>
          <w:szCs w:val="32"/>
          <w:lang w:val="en-US" w:eastAsia="zh-CN"/>
        </w:rPr>
        <w:t>截至目前，已为省道313线提升改造项目、输电线排危等项目办理林木采伐许可证29份，采伐蓄积114.5立方米，为33户农牧民办理自用材采伐484立方米。</w:t>
      </w:r>
    </w:p>
    <w:p w14:paraId="486528B3">
      <w:pPr>
        <w:keepNext w:val="0"/>
        <w:keepLines w:val="0"/>
        <w:pageBreakBefore w:val="0"/>
        <w:widowControl/>
        <w:kinsoku/>
        <w:wordWrap/>
        <w:overflowPunct/>
        <w:topLinePunct w:val="0"/>
        <w:bidi w:val="0"/>
        <w:spacing w:line="576" w:lineRule="exact"/>
        <w:ind w:firstLine="640"/>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2.依法、合法使用和保护好林草地。全县410万亩森林采购了2022年政策性森林保险；对县域内所有单位发出了《</w:t>
      </w:r>
      <w:r>
        <w:rPr>
          <w:rFonts w:hint="eastAsia" w:ascii="仿宋_GB2312" w:hAnsi="仿宋_GB2312" w:eastAsia="仿宋_GB2312" w:cs="仿宋_GB2312"/>
          <w:b w:val="0"/>
          <w:bCs w:val="0"/>
          <w:color w:val="auto"/>
          <w:kern w:val="0"/>
          <w:sz w:val="32"/>
          <w:szCs w:val="32"/>
          <w:lang w:eastAsia="zh-CN"/>
        </w:rPr>
        <w:t>关于建设项目</w:t>
      </w:r>
      <w:r>
        <w:rPr>
          <w:rFonts w:hint="eastAsia" w:ascii="仿宋_GB2312" w:hAnsi="仿宋_GB2312" w:eastAsia="仿宋_GB2312" w:cs="仿宋_GB2312"/>
          <w:b w:val="0"/>
          <w:bCs w:val="0"/>
          <w:color w:val="auto"/>
          <w:kern w:val="0"/>
          <w:sz w:val="32"/>
          <w:szCs w:val="32"/>
          <w:lang w:val="en-US" w:eastAsia="zh-CN"/>
        </w:rPr>
        <w:t>办理</w:t>
      </w:r>
      <w:r>
        <w:rPr>
          <w:rFonts w:hint="eastAsia" w:ascii="仿宋_GB2312" w:hAnsi="仿宋_GB2312" w:eastAsia="仿宋_GB2312" w:cs="仿宋_GB2312"/>
          <w:b w:val="0"/>
          <w:bCs w:val="0"/>
          <w:color w:val="auto"/>
          <w:kern w:val="0"/>
          <w:sz w:val="32"/>
          <w:szCs w:val="32"/>
          <w:lang w:eastAsia="zh-CN"/>
        </w:rPr>
        <w:t>使用林</w:t>
      </w:r>
      <w:r>
        <w:rPr>
          <w:rFonts w:hint="eastAsia" w:ascii="仿宋_GB2312" w:hAnsi="仿宋_GB2312" w:eastAsia="仿宋_GB2312" w:cs="仿宋_GB2312"/>
          <w:b w:val="0"/>
          <w:bCs w:val="0"/>
          <w:color w:val="auto"/>
          <w:kern w:val="0"/>
          <w:sz w:val="32"/>
          <w:szCs w:val="32"/>
          <w:lang w:val="en-US" w:eastAsia="zh-CN"/>
        </w:rPr>
        <w:t>地、草</w:t>
      </w:r>
      <w:r>
        <w:rPr>
          <w:rFonts w:hint="eastAsia" w:ascii="仿宋_GB2312" w:hAnsi="仿宋_GB2312" w:eastAsia="仿宋_GB2312" w:cs="仿宋_GB2312"/>
          <w:b w:val="0"/>
          <w:bCs w:val="0"/>
          <w:color w:val="auto"/>
          <w:kern w:val="0"/>
          <w:sz w:val="32"/>
          <w:szCs w:val="32"/>
          <w:lang w:eastAsia="zh-CN"/>
        </w:rPr>
        <w:t>地</w:t>
      </w:r>
      <w:r>
        <w:rPr>
          <w:rFonts w:hint="eastAsia" w:ascii="仿宋_GB2312" w:hAnsi="仿宋_GB2312" w:eastAsia="仿宋_GB2312" w:cs="仿宋_GB2312"/>
          <w:b w:val="0"/>
          <w:bCs w:val="0"/>
          <w:color w:val="auto"/>
          <w:kern w:val="0"/>
          <w:sz w:val="32"/>
          <w:szCs w:val="32"/>
          <w:lang w:val="en-US" w:eastAsia="zh-CN"/>
        </w:rPr>
        <w:t>和</w:t>
      </w:r>
      <w:r>
        <w:rPr>
          <w:rFonts w:hint="eastAsia" w:ascii="仿宋_GB2312" w:hAnsi="仿宋_GB2312" w:eastAsia="仿宋_GB2312" w:cs="仿宋_GB2312"/>
          <w:b w:val="0"/>
          <w:bCs w:val="0"/>
          <w:color w:val="auto"/>
          <w:kern w:val="0"/>
          <w:sz w:val="32"/>
          <w:szCs w:val="32"/>
          <w:lang w:eastAsia="zh-CN"/>
        </w:rPr>
        <w:t>林木采伐</w:t>
      </w:r>
      <w:r>
        <w:rPr>
          <w:rFonts w:hint="eastAsia" w:ascii="仿宋_GB2312" w:hAnsi="仿宋_GB2312" w:eastAsia="仿宋_GB2312" w:cs="仿宋_GB2312"/>
          <w:b w:val="0"/>
          <w:bCs w:val="0"/>
          <w:color w:val="auto"/>
          <w:kern w:val="0"/>
          <w:sz w:val="32"/>
          <w:szCs w:val="32"/>
          <w:lang w:val="en-US" w:eastAsia="zh-CN"/>
        </w:rPr>
        <w:t>等行政许可</w:t>
      </w:r>
      <w:r>
        <w:rPr>
          <w:rFonts w:hint="eastAsia" w:ascii="仿宋_GB2312" w:hAnsi="仿宋_GB2312" w:eastAsia="仿宋_GB2312" w:cs="仿宋_GB2312"/>
          <w:b w:val="0"/>
          <w:bCs w:val="0"/>
          <w:color w:val="auto"/>
          <w:kern w:val="0"/>
          <w:sz w:val="32"/>
          <w:szCs w:val="32"/>
          <w:lang w:eastAsia="zh-CN"/>
        </w:rPr>
        <w:t>的</w:t>
      </w:r>
      <w:r>
        <w:rPr>
          <w:rFonts w:hint="eastAsia" w:ascii="仿宋_GB2312" w:hAnsi="仿宋_GB2312" w:eastAsia="仿宋_GB2312" w:cs="仿宋_GB2312"/>
          <w:b w:val="0"/>
          <w:bCs w:val="0"/>
          <w:color w:val="auto"/>
          <w:kern w:val="0"/>
          <w:sz w:val="32"/>
          <w:szCs w:val="32"/>
          <w:lang w:val="en-US" w:eastAsia="zh-CN"/>
        </w:rPr>
        <w:t>提示函》，截至目前，已协助成兰中铁路、剑科电站、省道446线公路提升改等项目申报</w:t>
      </w:r>
      <w:r>
        <w:rPr>
          <w:rFonts w:hint="eastAsia" w:ascii="仿宋_GB2312" w:hAnsi="仿宋_GB2312" w:eastAsia="仿宋_GB2312" w:cs="仿宋_GB2312"/>
          <w:b w:val="0"/>
          <w:bCs w:val="0"/>
          <w:color w:val="auto"/>
          <w:kern w:val="0"/>
          <w:sz w:val="32"/>
          <w:szCs w:val="32"/>
          <w:lang w:eastAsia="zh-CN"/>
        </w:rPr>
        <w:t>办理征占用林地手续</w:t>
      </w:r>
      <w:r>
        <w:rPr>
          <w:rFonts w:hint="eastAsia" w:ascii="仿宋_GB2312" w:hAnsi="仿宋_GB2312" w:eastAsia="仿宋_GB2312" w:cs="仿宋_GB2312"/>
          <w:b w:val="0"/>
          <w:bCs w:val="0"/>
          <w:color w:val="auto"/>
          <w:kern w:val="0"/>
          <w:sz w:val="32"/>
          <w:szCs w:val="32"/>
          <w:lang w:val="en-US" w:eastAsia="zh-CN"/>
        </w:rPr>
        <w:t>10件，发出《建设项目使用林、草地事项告知单》28份，责令停止涉嫌违法使用林地、草地行为6起。</w:t>
      </w:r>
    </w:p>
    <w:p w14:paraId="4754DB4A">
      <w:pPr>
        <w:keepNext w:val="0"/>
        <w:keepLines w:val="0"/>
        <w:pageBreakBefore w:val="0"/>
        <w:widowControl/>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sz w:val="32"/>
          <w:szCs w:val="32"/>
          <w:shd w:val="clear" w:color="auto" w:fill="FFFFFF"/>
          <w:lang w:val="en-US" w:eastAsia="zh-CN"/>
        </w:rPr>
        <w:t>3.创新推进林草行政执法。为乡镇赋予森林草原防灭火行政权力14项，委托乡镇开展行政处罚权力10项，有效增强了林政执法力量。</w:t>
      </w:r>
      <w:r>
        <w:rPr>
          <w:rFonts w:hint="eastAsia" w:ascii="仿宋_GB2312" w:hAnsi="仿宋_GB2312" w:eastAsia="仿宋_GB2312" w:cs="仿宋_GB2312"/>
          <w:b w:val="0"/>
          <w:bCs w:val="0"/>
          <w:color w:val="auto"/>
          <w:kern w:val="0"/>
          <w:sz w:val="32"/>
          <w:szCs w:val="32"/>
        </w:rPr>
        <w:t>今年来</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rPr>
        <w:t>共出动林</w:t>
      </w:r>
      <w:r>
        <w:rPr>
          <w:rFonts w:hint="eastAsia" w:ascii="仿宋_GB2312" w:hAnsi="仿宋_GB2312" w:eastAsia="仿宋_GB2312" w:cs="仿宋_GB2312"/>
          <w:b w:val="0"/>
          <w:bCs w:val="0"/>
          <w:color w:val="auto"/>
          <w:kern w:val="0"/>
          <w:sz w:val="32"/>
          <w:szCs w:val="32"/>
          <w:lang w:val="en-US" w:eastAsia="zh-CN"/>
        </w:rPr>
        <w:t>草</w:t>
      </w:r>
      <w:r>
        <w:rPr>
          <w:rFonts w:hint="eastAsia" w:ascii="仿宋_GB2312" w:hAnsi="仿宋_GB2312" w:eastAsia="仿宋_GB2312" w:cs="仿宋_GB2312"/>
          <w:b w:val="0"/>
          <w:bCs w:val="0"/>
          <w:color w:val="auto"/>
          <w:kern w:val="0"/>
          <w:sz w:val="32"/>
          <w:szCs w:val="32"/>
        </w:rPr>
        <w:t>执法人员</w:t>
      </w:r>
      <w:r>
        <w:rPr>
          <w:rFonts w:hint="eastAsia" w:ascii="仿宋_GB2312" w:hAnsi="仿宋_GB2312" w:eastAsia="仿宋_GB2312" w:cs="仿宋_GB2312"/>
          <w:b w:val="0"/>
          <w:bCs w:val="0"/>
          <w:color w:val="auto"/>
          <w:kern w:val="0"/>
          <w:sz w:val="32"/>
          <w:szCs w:val="32"/>
          <w:lang w:val="en-US" w:eastAsia="zh-CN"/>
        </w:rPr>
        <w:t>和森林植物检疫执法人员共390</w:t>
      </w:r>
      <w:r>
        <w:rPr>
          <w:rFonts w:hint="eastAsia" w:ascii="仿宋_GB2312" w:hAnsi="仿宋_GB2312" w:eastAsia="仿宋_GB2312" w:cs="仿宋_GB2312"/>
          <w:b w:val="0"/>
          <w:bCs w:val="0"/>
          <w:color w:val="auto"/>
          <w:kern w:val="0"/>
          <w:sz w:val="32"/>
          <w:szCs w:val="32"/>
        </w:rPr>
        <w:t>余人次</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rPr>
        <w:t>车辆</w:t>
      </w:r>
      <w:r>
        <w:rPr>
          <w:rFonts w:hint="eastAsia" w:ascii="仿宋_GB2312" w:hAnsi="仿宋_GB2312" w:eastAsia="仿宋_GB2312" w:cs="仿宋_GB2312"/>
          <w:b w:val="0"/>
          <w:bCs w:val="0"/>
          <w:color w:val="auto"/>
          <w:kern w:val="0"/>
          <w:sz w:val="32"/>
          <w:szCs w:val="32"/>
          <w:lang w:val="en-US" w:eastAsia="zh-CN"/>
        </w:rPr>
        <w:t>110</w:t>
      </w:r>
      <w:r>
        <w:rPr>
          <w:rFonts w:hint="eastAsia" w:ascii="仿宋_GB2312" w:hAnsi="仿宋_GB2312" w:eastAsia="仿宋_GB2312" w:cs="仿宋_GB2312"/>
          <w:b w:val="0"/>
          <w:bCs w:val="0"/>
          <w:color w:val="auto"/>
          <w:kern w:val="0"/>
          <w:sz w:val="32"/>
          <w:szCs w:val="32"/>
        </w:rPr>
        <w:t>余台次</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sz w:val="32"/>
          <w:szCs w:val="32"/>
          <w:lang w:val="en-US" w:eastAsia="zh-CN"/>
        </w:rPr>
        <w:t>开展了松潘县松木包装及制品执法专项行动，检查企业69家。</w:t>
      </w:r>
      <w:r>
        <w:rPr>
          <w:rFonts w:hint="eastAsia" w:ascii="仿宋_GB2312" w:hAnsi="仿宋_GB2312" w:eastAsia="仿宋_GB2312" w:cs="仿宋_GB2312"/>
          <w:b w:val="0"/>
          <w:bCs w:val="0"/>
          <w:color w:val="auto"/>
          <w:kern w:val="0"/>
          <w:sz w:val="32"/>
          <w:szCs w:val="32"/>
          <w:lang w:eastAsia="zh-CN"/>
        </w:rPr>
        <w:t>共</w:t>
      </w:r>
      <w:r>
        <w:rPr>
          <w:rFonts w:hint="eastAsia" w:ascii="仿宋_GB2312" w:hAnsi="仿宋_GB2312" w:eastAsia="仿宋_GB2312" w:cs="仿宋_GB2312"/>
          <w:b w:val="0"/>
          <w:bCs w:val="0"/>
          <w:color w:val="auto"/>
          <w:kern w:val="0"/>
          <w:sz w:val="32"/>
          <w:szCs w:val="32"/>
        </w:rPr>
        <w:t>办理</w:t>
      </w:r>
      <w:r>
        <w:rPr>
          <w:rFonts w:hint="eastAsia" w:ascii="仿宋_GB2312" w:hAnsi="仿宋_GB2312" w:eastAsia="仿宋_GB2312" w:cs="仿宋_GB2312"/>
          <w:b w:val="0"/>
          <w:bCs w:val="0"/>
          <w:color w:val="auto"/>
          <w:kern w:val="0"/>
          <w:sz w:val="32"/>
          <w:szCs w:val="32"/>
          <w:lang w:val="en-US" w:eastAsia="zh-CN"/>
        </w:rPr>
        <w:t>涉</w:t>
      </w:r>
      <w:r>
        <w:rPr>
          <w:rFonts w:hint="eastAsia" w:ascii="仿宋_GB2312" w:hAnsi="仿宋_GB2312" w:eastAsia="仿宋_GB2312" w:cs="仿宋_GB2312"/>
          <w:b w:val="0"/>
          <w:bCs w:val="0"/>
          <w:color w:val="auto"/>
          <w:kern w:val="0"/>
          <w:sz w:val="32"/>
          <w:szCs w:val="32"/>
        </w:rPr>
        <w:t>林</w:t>
      </w:r>
      <w:r>
        <w:rPr>
          <w:rFonts w:hint="eastAsia" w:ascii="仿宋_GB2312" w:hAnsi="仿宋_GB2312" w:eastAsia="仿宋_GB2312" w:cs="仿宋_GB2312"/>
          <w:b w:val="0"/>
          <w:bCs w:val="0"/>
          <w:color w:val="auto"/>
          <w:kern w:val="0"/>
          <w:sz w:val="32"/>
          <w:szCs w:val="32"/>
          <w:lang w:val="en-US" w:eastAsia="zh-CN"/>
        </w:rPr>
        <w:t>草</w:t>
      </w:r>
      <w:r>
        <w:rPr>
          <w:rFonts w:hint="eastAsia" w:ascii="仿宋_GB2312" w:hAnsi="仿宋_GB2312" w:eastAsia="仿宋_GB2312" w:cs="仿宋_GB2312"/>
          <w:b w:val="0"/>
          <w:bCs w:val="0"/>
          <w:color w:val="auto"/>
          <w:kern w:val="0"/>
          <w:sz w:val="32"/>
          <w:szCs w:val="32"/>
        </w:rPr>
        <w:t>行政案件</w:t>
      </w:r>
      <w:r>
        <w:rPr>
          <w:rFonts w:hint="eastAsia" w:ascii="仿宋_GB2312" w:hAnsi="仿宋_GB2312" w:eastAsia="仿宋_GB2312" w:cs="仿宋_GB2312"/>
          <w:b w:val="0"/>
          <w:bCs w:val="0"/>
          <w:color w:val="auto"/>
          <w:kern w:val="0"/>
          <w:sz w:val="32"/>
          <w:szCs w:val="32"/>
          <w:lang w:val="en-US" w:eastAsia="zh-CN"/>
        </w:rPr>
        <w:t>16</w:t>
      </w:r>
      <w:r>
        <w:rPr>
          <w:rFonts w:hint="eastAsia" w:ascii="仿宋_GB2312" w:hAnsi="仿宋_GB2312" w:eastAsia="仿宋_GB2312" w:cs="仿宋_GB2312"/>
          <w:b w:val="0"/>
          <w:bCs w:val="0"/>
          <w:color w:val="auto"/>
          <w:kern w:val="0"/>
          <w:sz w:val="32"/>
          <w:szCs w:val="32"/>
        </w:rPr>
        <w:t>起，</w:t>
      </w:r>
      <w:r>
        <w:rPr>
          <w:rFonts w:hint="eastAsia" w:ascii="仿宋_GB2312" w:hAnsi="仿宋_GB2312" w:eastAsia="仿宋_GB2312" w:cs="仿宋_GB2312"/>
          <w:b w:val="0"/>
          <w:bCs w:val="0"/>
          <w:color w:val="auto"/>
          <w:kern w:val="0"/>
          <w:sz w:val="32"/>
          <w:szCs w:val="32"/>
          <w:lang w:val="en-US" w:eastAsia="zh-CN"/>
        </w:rPr>
        <w:t>打击涉案人员16人，没收木材11.17立方米，罚款28.18万元，向公安机关移交</w:t>
      </w:r>
      <w:r>
        <w:rPr>
          <w:rFonts w:hint="eastAsia" w:ascii="仿宋_GB2312" w:hAnsi="仿宋_GB2312" w:eastAsia="仿宋_GB2312" w:cs="仿宋_GB2312"/>
          <w:b w:val="0"/>
          <w:bCs w:val="0"/>
          <w:color w:val="auto"/>
          <w:kern w:val="0"/>
          <w:sz w:val="32"/>
          <w:szCs w:val="32"/>
          <w:lang w:eastAsia="zh-CN"/>
        </w:rPr>
        <w:t>刑事案件</w:t>
      </w:r>
      <w:r>
        <w:rPr>
          <w:rFonts w:hint="eastAsia" w:ascii="仿宋_GB2312" w:hAnsi="仿宋_GB2312" w:eastAsia="仿宋_GB2312" w:cs="仿宋_GB2312"/>
          <w:b w:val="0"/>
          <w:bCs w:val="0"/>
          <w:color w:val="auto"/>
          <w:kern w:val="0"/>
          <w:sz w:val="32"/>
          <w:szCs w:val="32"/>
          <w:lang w:val="en-US" w:eastAsia="zh-CN"/>
        </w:rPr>
        <w:t>1</w:t>
      </w:r>
      <w:r>
        <w:rPr>
          <w:rFonts w:hint="eastAsia" w:ascii="仿宋_GB2312" w:hAnsi="仿宋_GB2312" w:eastAsia="仿宋_GB2312" w:cs="仿宋_GB2312"/>
          <w:b w:val="0"/>
          <w:bCs w:val="0"/>
          <w:color w:val="auto"/>
          <w:sz w:val="32"/>
          <w:szCs w:val="32"/>
          <w:lang w:val="en-US" w:eastAsia="zh-CN"/>
        </w:rPr>
        <w:t>起，</w:t>
      </w:r>
      <w:r>
        <w:rPr>
          <w:rFonts w:hint="eastAsia" w:ascii="仿宋_GB2312" w:hAnsi="仿宋_GB2312" w:eastAsia="仿宋_GB2312" w:cs="仿宋_GB2312"/>
          <w:b w:val="0"/>
          <w:bCs w:val="0"/>
          <w:color w:val="auto"/>
          <w:kern w:val="0"/>
          <w:sz w:val="32"/>
          <w:szCs w:val="32"/>
        </w:rPr>
        <w:t>有效打击了破坏林</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lang w:val="en-US" w:eastAsia="zh-CN"/>
        </w:rPr>
        <w:t>草</w:t>
      </w:r>
      <w:r>
        <w:rPr>
          <w:rFonts w:hint="eastAsia" w:ascii="仿宋_GB2312" w:hAnsi="仿宋_GB2312" w:eastAsia="仿宋_GB2312" w:cs="仿宋_GB2312"/>
          <w:b w:val="0"/>
          <w:bCs w:val="0"/>
          <w:color w:val="auto"/>
          <w:kern w:val="0"/>
          <w:sz w:val="32"/>
          <w:szCs w:val="32"/>
        </w:rPr>
        <w:t>资源的违法犯罪行为，确保了我县森林资源的安全。</w:t>
      </w:r>
    </w:p>
    <w:p w14:paraId="7DDD0178">
      <w:pPr>
        <w:keepNext w:val="0"/>
        <w:keepLines w:val="0"/>
        <w:pageBreakBefore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4.森林植物草原病虫害检疫和防治不放松。</w:t>
      </w:r>
      <w:r>
        <w:rPr>
          <w:rFonts w:hint="eastAsia" w:ascii="仿宋_GB2312" w:hAnsi="仿宋_GB2312" w:eastAsia="仿宋_GB2312" w:cs="仿宋_GB2312"/>
          <w:b w:val="0"/>
          <w:bCs w:val="0"/>
          <w:color w:val="auto"/>
          <w:sz w:val="32"/>
          <w:szCs w:val="32"/>
          <w:highlight w:val="none"/>
          <w:lang w:val="en-US" w:eastAsia="zh-CN"/>
        </w:rPr>
        <w:t>认真开展森林草原病虫害防治工作，及时发现并实施高原柏木锈病治理3155亩、实施草原鼠虫害治理24万亩。</w:t>
      </w:r>
      <w:r>
        <w:rPr>
          <w:rFonts w:hint="eastAsia" w:ascii="仿宋_GB2312" w:hAnsi="仿宋_GB2312" w:eastAsia="仿宋_GB2312" w:cs="仿宋_GB2312"/>
          <w:b w:val="0"/>
          <w:bCs w:val="0"/>
          <w:color w:val="auto"/>
          <w:sz w:val="32"/>
          <w:szCs w:val="32"/>
          <w:highlight w:val="none"/>
          <w:lang w:eastAsia="zh-CN"/>
        </w:rPr>
        <w:t>完成了</w:t>
      </w:r>
      <w:r>
        <w:rPr>
          <w:rFonts w:hint="eastAsia" w:ascii="仿宋_GB2312" w:hAnsi="仿宋_GB2312" w:eastAsia="仿宋_GB2312" w:cs="仿宋_GB2312"/>
          <w:b w:val="0"/>
          <w:bCs w:val="0"/>
          <w:color w:val="auto"/>
          <w:sz w:val="32"/>
          <w:szCs w:val="32"/>
          <w:highlight w:val="none"/>
          <w:lang w:val="en-US" w:eastAsia="zh-CN"/>
        </w:rPr>
        <w:t>2022年</w:t>
      </w:r>
      <w:r>
        <w:rPr>
          <w:rFonts w:hint="eastAsia" w:ascii="仿宋_GB2312" w:hAnsi="仿宋_GB2312" w:eastAsia="仿宋_GB2312" w:cs="仿宋_GB2312"/>
          <w:b w:val="0"/>
          <w:bCs w:val="0"/>
          <w:color w:val="auto"/>
          <w:sz w:val="32"/>
          <w:szCs w:val="32"/>
          <w:highlight w:val="none"/>
        </w:rPr>
        <w:t>林业有害生物</w:t>
      </w:r>
      <w:r>
        <w:rPr>
          <w:rFonts w:hint="eastAsia" w:ascii="仿宋_GB2312" w:hAnsi="仿宋_GB2312" w:eastAsia="仿宋_GB2312" w:cs="仿宋_GB2312"/>
          <w:b w:val="0"/>
          <w:bCs w:val="0"/>
          <w:color w:val="auto"/>
          <w:sz w:val="32"/>
          <w:szCs w:val="32"/>
          <w:highlight w:val="none"/>
          <w:lang w:eastAsia="zh-CN"/>
        </w:rPr>
        <w:t>越冬代调查并</w:t>
      </w:r>
      <w:r>
        <w:rPr>
          <w:rFonts w:hint="eastAsia" w:ascii="仿宋_GB2312" w:hAnsi="仿宋_GB2312" w:eastAsia="仿宋_GB2312" w:cs="仿宋_GB2312"/>
          <w:b w:val="0"/>
          <w:bCs w:val="0"/>
          <w:color w:val="auto"/>
          <w:sz w:val="32"/>
          <w:szCs w:val="32"/>
          <w:highlight w:val="none"/>
        </w:rPr>
        <w:t>发</w:t>
      </w:r>
      <w:r>
        <w:rPr>
          <w:rFonts w:hint="eastAsia" w:ascii="仿宋_GB2312" w:hAnsi="仿宋_GB2312" w:eastAsia="仿宋_GB2312" w:cs="仿宋_GB2312"/>
          <w:b w:val="0"/>
          <w:bCs w:val="0"/>
          <w:color w:val="auto"/>
          <w:sz w:val="32"/>
          <w:szCs w:val="32"/>
          <w:highlight w:val="none"/>
          <w:lang w:eastAsia="zh-CN"/>
        </w:rPr>
        <w:t>布</w:t>
      </w:r>
      <w:r>
        <w:rPr>
          <w:rFonts w:hint="eastAsia" w:ascii="仿宋_GB2312" w:hAnsi="仿宋_GB2312" w:eastAsia="仿宋_GB2312" w:cs="仿宋_GB2312"/>
          <w:b w:val="0"/>
          <w:bCs w:val="0"/>
          <w:color w:val="auto"/>
          <w:sz w:val="32"/>
          <w:szCs w:val="32"/>
          <w:highlight w:val="none"/>
        </w:rPr>
        <w:t>趋势预报</w:t>
      </w:r>
      <w:r>
        <w:rPr>
          <w:rFonts w:hint="eastAsia" w:ascii="仿宋_GB2312" w:hAnsi="仿宋_GB2312" w:eastAsia="仿宋_GB2312" w:cs="仿宋_GB2312"/>
          <w:b w:val="0"/>
          <w:bCs w:val="0"/>
          <w:color w:val="auto"/>
          <w:sz w:val="32"/>
          <w:szCs w:val="32"/>
          <w:highlight w:val="none"/>
          <w:lang w:val="en-US" w:eastAsia="zh-CN"/>
        </w:rPr>
        <w:t>和</w:t>
      </w:r>
      <w:r>
        <w:rPr>
          <w:rFonts w:hint="eastAsia" w:ascii="仿宋_GB2312" w:hAnsi="仿宋_GB2312" w:eastAsia="仿宋_GB2312" w:cs="仿宋_GB2312"/>
          <w:b w:val="0"/>
          <w:bCs w:val="0"/>
          <w:color w:val="auto"/>
          <w:kern w:val="0"/>
          <w:sz w:val="32"/>
          <w:szCs w:val="32"/>
          <w:highlight w:val="none"/>
        </w:rPr>
        <w:t>全县松材线虫病</w:t>
      </w:r>
      <w:r>
        <w:rPr>
          <w:rFonts w:hint="eastAsia" w:ascii="仿宋_GB2312" w:hAnsi="仿宋_GB2312" w:eastAsia="仿宋_GB2312" w:cs="仿宋_GB2312"/>
          <w:b w:val="0"/>
          <w:bCs w:val="0"/>
          <w:color w:val="auto"/>
          <w:kern w:val="0"/>
          <w:sz w:val="32"/>
          <w:szCs w:val="32"/>
          <w:highlight w:val="none"/>
          <w:lang w:eastAsia="zh-CN"/>
        </w:rPr>
        <w:t>春季普查</w:t>
      </w:r>
      <w:r>
        <w:rPr>
          <w:rFonts w:hint="eastAsia" w:ascii="仿宋_GB2312" w:hAnsi="仿宋_GB2312" w:eastAsia="仿宋_GB2312" w:cs="仿宋_GB2312"/>
          <w:b w:val="0"/>
          <w:bCs w:val="0"/>
          <w:color w:val="auto"/>
          <w:kern w:val="0"/>
          <w:sz w:val="32"/>
          <w:szCs w:val="32"/>
          <w:highlight w:val="none"/>
        </w:rPr>
        <w:t>及重大林业有害生物调查</w:t>
      </w:r>
      <w:r>
        <w:rPr>
          <w:rFonts w:hint="eastAsia" w:ascii="仿宋_GB2312" w:hAnsi="仿宋_GB2312" w:eastAsia="仿宋_GB2312" w:cs="仿宋_GB2312"/>
          <w:b w:val="0"/>
          <w:bCs w:val="0"/>
          <w:color w:val="auto"/>
          <w:kern w:val="0"/>
          <w:sz w:val="32"/>
          <w:szCs w:val="32"/>
          <w:highlight w:val="none"/>
          <w:lang w:eastAsia="zh-CN"/>
        </w:rPr>
        <w:t>，</w:t>
      </w:r>
      <w:r>
        <w:rPr>
          <w:rFonts w:hint="eastAsia" w:ascii="仿宋_GB2312" w:hAnsi="仿宋_GB2312" w:eastAsia="仿宋_GB2312" w:cs="仿宋_GB2312"/>
          <w:b w:val="0"/>
          <w:bCs w:val="0"/>
          <w:color w:val="auto"/>
          <w:kern w:val="0"/>
          <w:sz w:val="32"/>
          <w:szCs w:val="32"/>
          <w:highlight w:val="none"/>
        </w:rPr>
        <w:t>从调查的结果反映松潘县</w:t>
      </w:r>
      <w:r>
        <w:rPr>
          <w:rFonts w:hint="eastAsia" w:ascii="仿宋_GB2312" w:hAnsi="仿宋_GB2312" w:eastAsia="仿宋_GB2312" w:cs="仿宋_GB2312"/>
          <w:b w:val="0"/>
          <w:bCs w:val="0"/>
          <w:color w:val="auto"/>
          <w:kern w:val="0"/>
          <w:sz w:val="32"/>
          <w:szCs w:val="32"/>
          <w:highlight w:val="none"/>
          <w:lang w:eastAsia="zh-CN"/>
        </w:rPr>
        <w:t>目前未发现</w:t>
      </w:r>
      <w:r>
        <w:rPr>
          <w:rFonts w:hint="eastAsia" w:ascii="仿宋_GB2312" w:hAnsi="仿宋_GB2312" w:eastAsia="仿宋_GB2312" w:cs="仿宋_GB2312"/>
          <w:b w:val="0"/>
          <w:bCs w:val="0"/>
          <w:color w:val="auto"/>
          <w:kern w:val="0"/>
          <w:sz w:val="32"/>
          <w:szCs w:val="32"/>
          <w:lang w:eastAsia="zh-CN"/>
        </w:rPr>
        <w:t>松材线</w:t>
      </w:r>
      <w:r>
        <w:rPr>
          <w:rFonts w:hint="eastAsia" w:ascii="仿宋_GB2312" w:hAnsi="仿宋_GB2312" w:eastAsia="仿宋_GB2312" w:cs="仿宋_GB2312"/>
          <w:b w:val="0"/>
          <w:bCs w:val="0"/>
          <w:color w:val="auto"/>
          <w:kern w:val="0"/>
          <w:sz w:val="32"/>
          <w:szCs w:val="32"/>
        </w:rPr>
        <w:t>虫</w:t>
      </w:r>
      <w:r>
        <w:rPr>
          <w:rFonts w:hint="eastAsia" w:ascii="仿宋_GB2312" w:hAnsi="仿宋_GB2312" w:eastAsia="仿宋_GB2312" w:cs="仿宋_GB2312"/>
          <w:b w:val="0"/>
          <w:bCs w:val="0"/>
          <w:color w:val="auto"/>
          <w:kern w:val="0"/>
          <w:sz w:val="32"/>
          <w:szCs w:val="32"/>
          <w:lang w:eastAsia="zh-CN"/>
        </w:rPr>
        <w:t>病入侵。</w:t>
      </w:r>
      <w:r>
        <w:rPr>
          <w:rFonts w:hint="eastAsia" w:ascii="仿宋_GB2312" w:hAnsi="仿宋_GB2312" w:eastAsia="仿宋_GB2312" w:cs="仿宋_GB2312"/>
          <w:b w:val="0"/>
          <w:bCs w:val="0"/>
          <w:color w:val="auto"/>
          <w:sz w:val="32"/>
          <w:szCs w:val="32"/>
        </w:rPr>
        <w:t>对全县所有大中型育苗基地</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育苗场进行现场调查检疫苗木病虫害及培育情况</w:t>
      </w:r>
      <w:r>
        <w:rPr>
          <w:rFonts w:hint="eastAsia" w:ascii="仿宋_GB2312" w:hAnsi="仿宋_GB2312" w:eastAsia="仿宋_GB2312" w:cs="仿宋_GB2312"/>
          <w:b w:val="0"/>
          <w:bCs w:val="0"/>
          <w:color w:val="auto"/>
          <w:sz w:val="32"/>
          <w:szCs w:val="32"/>
          <w:lang w:eastAsia="zh-CN"/>
        </w:rPr>
        <w:t>，产地检疫率为</w:t>
      </w:r>
      <w:r>
        <w:rPr>
          <w:rFonts w:hint="eastAsia" w:ascii="仿宋_GB2312" w:hAnsi="仿宋_GB2312" w:eastAsia="仿宋_GB2312" w:cs="仿宋_GB2312"/>
          <w:b w:val="0"/>
          <w:bCs w:val="0"/>
          <w:color w:val="auto"/>
          <w:sz w:val="32"/>
          <w:szCs w:val="32"/>
          <w:lang w:val="en-US" w:eastAsia="zh-CN"/>
        </w:rPr>
        <w:t>100%；同时对我县造林绿化项目300余万株苗木进行了调运复检，调运检疫率达90%以上。</w:t>
      </w:r>
      <w:r>
        <w:rPr>
          <w:rFonts w:hint="eastAsia" w:ascii="仿宋_GB2312" w:hAnsi="仿宋_GB2312" w:eastAsia="仿宋_GB2312" w:cs="仿宋_GB2312"/>
          <w:b w:val="0"/>
          <w:bCs w:val="0"/>
          <w:color w:val="auto"/>
          <w:sz w:val="32"/>
          <w:szCs w:val="32"/>
          <w:highlight w:val="none"/>
          <w:lang w:val="en-US" w:eastAsia="zh-CN"/>
        </w:rPr>
        <w:t>今年</w:t>
      </w:r>
      <w:r>
        <w:rPr>
          <w:rFonts w:hint="eastAsia" w:ascii="仿宋_GB2312" w:hAnsi="仿宋_GB2312" w:eastAsia="仿宋_GB2312" w:cs="仿宋_GB2312"/>
          <w:b w:val="0"/>
          <w:bCs w:val="0"/>
          <w:color w:val="auto"/>
          <w:kern w:val="0"/>
          <w:sz w:val="32"/>
          <w:szCs w:val="32"/>
          <w:highlight w:val="none"/>
          <w:lang w:val="en-US" w:eastAsia="zh-CN"/>
        </w:rPr>
        <w:t>8月，松潘草原被国家文物局、国家林草局共同批准为我国第一批12处“红色草原”之一。</w:t>
      </w:r>
    </w:p>
    <w:p w14:paraId="5DCD4591">
      <w:pPr>
        <w:keepNext w:val="0"/>
        <w:keepLines w:val="0"/>
        <w:pageBreakBefore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 w:val="0"/>
          <w:bCs w:val="0"/>
          <w:color w:val="auto"/>
          <w:sz w:val="32"/>
          <w:szCs w:val="32"/>
          <w:lang w:val="en-US"/>
        </w:rPr>
      </w:pPr>
      <w:r>
        <w:rPr>
          <w:rFonts w:hint="eastAsia" w:ascii="仿宋_GB2312" w:hAnsi="仿宋_GB2312" w:eastAsia="仿宋_GB2312" w:cs="仿宋_GB2312"/>
          <w:b w:val="0"/>
          <w:bCs w:val="0"/>
          <w:color w:val="auto"/>
          <w:sz w:val="32"/>
          <w:szCs w:val="32"/>
          <w:lang w:val="en-US" w:eastAsia="zh-CN"/>
        </w:rPr>
        <w:t>（六）抓强党建和群众工作。</w:t>
      </w:r>
    </w:p>
    <w:p w14:paraId="28F2A308">
      <w:pPr>
        <w:keepNext w:val="0"/>
        <w:keepLines w:val="0"/>
        <w:pageBreakBefore w:val="0"/>
        <w:kinsoku/>
        <w:wordWrap/>
        <w:overflowPunct/>
        <w:topLinePunct w:val="0"/>
        <w:autoSpaceDE/>
        <w:autoSpaceDN/>
        <w:bidi w:val="0"/>
        <w:adjustRightInd/>
        <w:snapToGrid w:val="0"/>
        <w:spacing w:beforeAutospacing="0" w:afterAutospacing="0" w:line="576" w:lineRule="exact"/>
        <w:ind w:left="0" w:leftChars="0" w:right="0" w:firstLine="640" w:firstLineChars="200"/>
        <w:textAlignment w:val="auto"/>
        <w:rPr>
          <w:rFonts w:hint="eastAsia" w:ascii="仿宋_GB2312" w:hAnsi="仿宋_GB2312" w:eastAsia="仿宋_GB2312" w:cs="仿宋_GB2312"/>
          <w:b w:val="0"/>
          <w:bCs w:val="0"/>
          <w:color w:val="auto"/>
          <w:spacing w:val="0"/>
          <w:kern w:val="0"/>
          <w:sz w:val="32"/>
          <w:szCs w:val="32"/>
          <w:u w:val="none" w:color="auto"/>
          <w:lang w:val="en-US" w:eastAsia="zh-CN"/>
        </w:rPr>
      </w:pPr>
      <w:r>
        <w:rPr>
          <w:rFonts w:hint="eastAsia" w:ascii="仿宋_GB2312" w:hAnsi="仿宋_GB2312" w:eastAsia="仿宋_GB2312" w:cs="仿宋_GB2312"/>
          <w:b w:val="0"/>
          <w:bCs w:val="0"/>
          <w:color w:val="auto"/>
          <w:spacing w:val="0"/>
          <w:sz w:val="32"/>
          <w:szCs w:val="32"/>
          <w:u w:val="none" w:color="auto"/>
          <w:lang w:val="en-US" w:eastAsia="zh-CN"/>
        </w:rPr>
        <w:t>全面学习习近平总书记重要讲话精神</w:t>
      </w:r>
      <w:r>
        <w:rPr>
          <w:rFonts w:hint="eastAsia" w:ascii="仿宋_GB2312" w:hAnsi="仿宋_GB2312" w:eastAsia="仿宋_GB2312" w:cs="仿宋_GB2312"/>
          <w:b w:val="0"/>
          <w:bCs w:val="0"/>
          <w:color w:val="auto"/>
          <w:spacing w:val="0"/>
          <w:sz w:val="32"/>
          <w:szCs w:val="32"/>
          <w:u w:val="none" w:color="auto"/>
          <w:lang w:eastAsia="zh-CN"/>
        </w:rPr>
        <w:t>，</w:t>
      </w:r>
      <w:r>
        <w:rPr>
          <w:rFonts w:hint="eastAsia" w:ascii="仿宋_GB2312" w:hAnsi="仿宋_GB2312" w:eastAsia="仿宋_GB2312" w:cs="仿宋_GB2312"/>
          <w:b w:val="0"/>
          <w:bCs w:val="0"/>
          <w:color w:val="auto"/>
          <w:spacing w:val="0"/>
          <w:kern w:val="2"/>
          <w:sz w:val="32"/>
          <w:szCs w:val="32"/>
          <w:u w:val="none" w:color="auto"/>
          <w:lang w:val="en-US" w:eastAsia="zh-CN" w:bidi="ar-SA"/>
        </w:rPr>
        <w:t>认真贯彻落实</w:t>
      </w:r>
      <w:r>
        <w:rPr>
          <w:rFonts w:hint="eastAsia" w:ascii="仿宋_GB2312" w:hAnsi="仿宋_GB2312" w:eastAsia="仿宋_GB2312" w:cs="仿宋_GB2312"/>
          <w:b w:val="0"/>
          <w:bCs w:val="0"/>
          <w:color w:val="auto"/>
          <w:sz w:val="32"/>
          <w:szCs w:val="32"/>
          <w:lang w:eastAsia="zh-CN"/>
        </w:rPr>
        <w:t>党的十九届六中全会、</w:t>
      </w:r>
      <w:r>
        <w:rPr>
          <w:rFonts w:hint="eastAsia" w:ascii="仿宋_GB2312" w:hAnsi="仿宋_GB2312" w:eastAsia="仿宋_GB2312" w:cs="仿宋_GB2312"/>
          <w:b w:val="0"/>
          <w:bCs w:val="0"/>
          <w:color w:val="auto"/>
          <w:sz w:val="32"/>
          <w:szCs w:val="32"/>
          <w:lang w:val="en-US" w:eastAsia="zh-CN"/>
        </w:rPr>
        <w:t>七中</w:t>
      </w:r>
      <w:r>
        <w:rPr>
          <w:rFonts w:hint="eastAsia" w:ascii="仿宋_GB2312" w:hAnsi="仿宋_GB2312" w:eastAsia="仿宋_GB2312" w:cs="仿宋_GB2312"/>
          <w:b w:val="0"/>
          <w:bCs w:val="0"/>
          <w:color w:val="auto"/>
          <w:sz w:val="32"/>
          <w:szCs w:val="32"/>
        </w:rPr>
        <w:t>全会精神</w:t>
      </w:r>
      <w:r>
        <w:rPr>
          <w:rFonts w:hint="eastAsia" w:ascii="仿宋_GB2312" w:hAnsi="仿宋_GB2312" w:eastAsia="仿宋_GB2312" w:cs="仿宋_GB2312"/>
          <w:b w:val="0"/>
          <w:bCs w:val="0"/>
          <w:color w:val="auto"/>
          <w:spacing w:val="0"/>
          <w:kern w:val="2"/>
          <w:sz w:val="32"/>
          <w:szCs w:val="32"/>
          <w:u w:val="none" w:color="auto"/>
          <w:lang w:val="en-US" w:eastAsia="zh-CN" w:bidi="ar-SA"/>
        </w:rPr>
        <w:t>和中央、省委、州委系列全会精神，</w:t>
      </w:r>
      <w:r>
        <w:rPr>
          <w:rFonts w:hint="eastAsia" w:ascii="仿宋_GB2312" w:hAnsi="仿宋_GB2312" w:eastAsia="仿宋_GB2312" w:cs="仿宋_GB2312"/>
          <w:b w:val="0"/>
          <w:bCs w:val="0"/>
          <w:color w:val="auto"/>
          <w:sz w:val="32"/>
          <w:szCs w:val="32"/>
        </w:rPr>
        <w:t>认真组织开展建党10</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周年系列庆祝活动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观看党的二十大，县林草局</w:t>
      </w:r>
      <w:r>
        <w:rPr>
          <w:rFonts w:hint="eastAsia" w:ascii="仿宋_GB2312" w:hAnsi="仿宋_GB2312" w:eastAsia="仿宋_GB2312" w:cs="仿宋_GB2312"/>
          <w:b w:val="0"/>
          <w:bCs w:val="0"/>
          <w:color w:val="auto"/>
          <w:spacing w:val="0"/>
          <w:sz w:val="32"/>
          <w:szCs w:val="32"/>
          <w:u w:val="none" w:color="auto"/>
          <w:lang w:val="en-US" w:eastAsia="zh-CN"/>
        </w:rPr>
        <w:t>定期召开“</w:t>
      </w:r>
      <w:bookmarkStart w:id="28" w:name="_GoBack"/>
      <w:bookmarkEnd w:id="28"/>
      <w:r>
        <w:rPr>
          <w:rFonts w:hint="eastAsia" w:ascii="仿宋_GB2312" w:hAnsi="仿宋_GB2312" w:eastAsia="仿宋_GB2312" w:cs="仿宋_GB2312"/>
          <w:b w:val="0"/>
          <w:bCs w:val="0"/>
          <w:color w:val="auto"/>
          <w:spacing w:val="0"/>
          <w:sz w:val="32"/>
          <w:szCs w:val="32"/>
          <w:u w:val="none" w:color="auto"/>
          <w:lang w:val="en-US" w:eastAsia="zh-CN"/>
        </w:rPr>
        <w:t>三会一课”</w:t>
      </w:r>
      <w:r>
        <w:rPr>
          <w:rFonts w:hint="eastAsia" w:ascii="仿宋_GB2312" w:hAnsi="仿宋_GB2312" w:eastAsia="仿宋_GB2312" w:cs="仿宋_GB2312"/>
          <w:b w:val="0"/>
          <w:bCs w:val="0"/>
          <w:color w:val="auto"/>
          <w:spacing w:val="0"/>
          <w:sz w:val="32"/>
          <w:szCs w:val="32"/>
          <w:u w:val="none" w:color="auto"/>
          <w:lang w:eastAsia="zh-CN"/>
        </w:rPr>
        <w:t>等</w:t>
      </w:r>
      <w:r>
        <w:rPr>
          <w:rFonts w:hint="eastAsia" w:ascii="仿宋_GB2312" w:hAnsi="仿宋_GB2312" w:eastAsia="仿宋_GB2312" w:cs="仿宋_GB2312"/>
          <w:b w:val="0"/>
          <w:bCs w:val="0"/>
          <w:color w:val="auto"/>
          <w:spacing w:val="0"/>
          <w:sz w:val="32"/>
          <w:szCs w:val="32"/>
          <w:u w:val="none" w:color="auto"/>
          <w:lang w:val="en-US" w:eastAsia="zh-CN"/>
        </w:rPr>
        <w:t>，</w:t>
      </w:r>
      <w:r>
        <w:rPr>
          <w:rFonts w:hint="eastAsia" w:ascii="仿宋_GB2312" w:hAnsi="仿宋_GB2312" w:eastAsia="仿宋_GB2312" w:cs="仿宋_GB2312"/>
          <w:b w:val="0"/>
          <w:bCs w:val="0"/>
          <w:color w:val="auto"/>
          <w:spacing w:val="0"/>
          <w:kern w:val="2"/>
          <w:sz w:val="32"/>
          <w:szCs w:val="32"/>
          <w:u w:val="none" w:color="auto"/>
          <w:lang w:val="en-US" w:eastAsia="zh-CN" w:bidi="ar-SA"/>
        </w:rPr>
        <w:t>督促班子成员以及全局党员干部提高政治站位、深化思想认识，增强“四个意识”、坚定“四个自信”，切实增强拥护“两个确立”，做到“两个维护”，</w:t>
      </w:r>
      <w:r>
        <w:rPr>
          <w:rFonts w:hint="eastAsia" w:ascii="仿宋_GB2312" w:hAnsi="仿宋_GB2312" w:eastAsia="仿宋_GB2312" w:cs="仿宋_GB2312"/>
          <w:b w:val="0"/>
          <w:bCs w:val="0"/>
          <w:color w:val="auto"/>
          <w:spacing w:val="0"/>
          <w:sz w:val="32"/>
          <w:szCs w:val="32"/>
          <w:u w:val="none" w:color="auto"/>
        </w:rPr>
        <w:t>严格遵守中央八项规定</w:t>
      </w:r>
      <w:r>
        <w:rPr>
          <w:rFonts w:hint="eastAsia" w:ascii="仿宋_GB2312" w:hAnsi="仿宋_GB2312" w:eastAsia="仿宋_GB2312" w:cs="仿宋_GB2312"/>
          <w:b w:val="0"/>
          <w:bCs w:val="0"/>
          <w:color w:val="auto"/>
          <w:spacing w:val="0"/>
          <w:sz w:val="32"/>
          <w:szCs w:val="32"/>
          <w:u w:val="none" w:color="auto"/>
          <w:lang w:val="en-US" w:eastAsia="zh-CN"/>
        </w:rPr>
        <w:t>。</w:t>
      </w:r>
      <w:r>
        <w:rPr>
          <w:rFonts w:hint="eastAsia" w:ascii="仿宋_GB2312" w:hAnsi="仿宋_GB2312" w:eastAsia="仿宋_GB2312" w:cs="仿宋_GB2312"/>
          <w:b w:val="0"/>
          <w:bCs w:val="0"/>
          <w:color w:val="auto"/>
          <w:sz w:val="32"/>
          <w:szCs w:val="32"/>
          <w:lang w:eastAsia="zh-CN"/>
        </w:rPr>
        <w:t>结合</w:t>
      </w:r>
      <w:r>
        <w:rPr>
          <w:rFonts w:hint="eastAsia" w:ascii="仿宋_GB2312" w:hAnsi="仿宋_GB2312" w:eastAsia="仿宋_GB2312" w:cs="仿宋_GB2312"/>
          <w:b w:val="0"/>
          <w:bCs w:val="0"/>
          <w:color w:val="auto"/>
          <w:sz w:val="32"/>
          <w:szCs w:val="32"/>
        </w:rPr>
        <w:t>“两联一进”群众工作全覆盖</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把“我为群众办实事”实践活动作为党史学习教育的重要内容</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累计走访人次到500余人次，走访联系户540余户，解决实际困难5个。</w:t>
      </w:r>
    </w:p>
    <w:p w14:paraId="15906476">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二、2023年工作计划</w:t>
      </w:r>
    </w:p>
    <w:p w14:paraId="10A463B5">
      <w:pPr>
        <w:keepNext w:val="0"/>
        <w:keepLines w:val="0"/>
        <w:pageBreakBefore w:val="0"/>
        <w:numPr>
          <w:ilvl w:val="0"/>
          <w:numId w:val="1"/>
        </w:numPr>
        <w:kinsoku/>
        <w:wordWrap/>
        <w:overflowPunct/>
        <w:topLinePunct w:val="0"/>
        <w:bidi w:val="0"/>
        <w:spacing w:line="576" w:lineRule="exact"/>
        <w:ind w:firstLine="640" w:firstLineChars="200"/>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rPr>
        <w:t>加强思想政治建设</w:t>
      </w:r>
      <w:r>
        <w:rPr>
          <w:rFonts w:hint="eastAsia" w:ascii="仿宋_GB2312" w:hAnsi="仿宋_GB2312" w:eastAsia="仿宋_GB2312" w:cs="仿宋_GB2312"/>
          <w:b w:val="0"/>
          <w:bCs w:val="0"/>
          <w:color w:val="auto"/>
          <w:sz w:val="32"/>
          <w:szCs w:val="32"/>
          <w:shd w:val="clear" w:color="auto" w:fill="auto"/>
          <w:lang w:eastAsia="zh-CN"/>
        </w:rPr>
        <w:t>，</w:t>
      </w:r>
      <w:r>
        <w:rPr>
          <w:rFonts w:hint="eastAsia" w:ascii="仿宋_GB2312" w:hAnsi="仿宋_GB2312" w:eastAsia="仿宋_GB2312" w:cs="仿宋_GB2312"/>
          <w:b w:val="0"/>
          <w:bCs w:val="0"/>
          <w:color w:val="auto"/>
          <w:sz w:val="32"/>
          <w:szCs w:val="32"/>
          <w:shd w:val="clear" w:color="auto" w:fill="auto"/>
          <w:lang w:val="en-US" w:eastAsia="zh-CN"/>
        </w:rPr>
        <w:t>进一步夯实党建根基。</w:t>
      </w:r>
    </w:p>
    <w:p w14:paraId="635E13AE">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b w:val="0"/>
          <w:bCs w:val="0"/>
          <w:color w:val="auto"/>
          <w:sz w:val="32"/>
          <w:szCs w:val="32"/>
          <w:shd w:val="clear" w:color="auto" w:fill="auto"/>
          <w:lang w:val="en-US" w:eastAsia="zh-CN"/>
        </w:rPr>
      </w:pPr>
      <w:r>
        <w:rPr>
          <w:rFonts w:hint="eastAsia" w:ascii="仿宋_GB2312" w:hAnsi="仿宋_GB2312" w:eastAsia="仿宋_GB2312" w:cs="仿宋_GB2312"/>
          <w:b w:val="0"/>
          <w:bCs w:val="0"/>
          <w:color w:val="auto"/>
          <w:sz w:val="32"/>
          <w:szCs w:val="32"/>
          <w:shd w:val="clear" w:color="auto" w:fill="auto"/>
          <w:lang w:val="en-US" w:eastAsia="zh-CN"/>
        </w:rPr>
        <w:t>全面准确学习领会党的二十大精神，进一步提高党员干部的理论修养和业务水平，持续深入开展“两联一进”群众工作，</w:t>
      </w:r>
      <w:r>
        <w:rPr>
          <w:rFonts w:hint="eastAsia" w:ascii="仿宋_GB2312" w:hAnsi="仿宋_GB2312" w:eastAsia="仿宋_GB2312" w:cs="仿宋_GB2312"/>
          <w:b w:val="0"/>
          <w:bCs w:val="0"/>
          <w:color w:val="auto"/>
          <w:sz w:val="32"/>
          <w:szCs w:val="32"/>
          <w:shd w:val="clear" w:color="auto" w:fill="auto"/>
        </w:rPr>
        <w:t>增强党员干部的宗旨意识和廉洁意识，</w:t>
      </w:r>
      <w:r>
        <w:rPr>
          <w:rFonts w:hint="eastAsia" w:ascii="仿宋_GB2312" w:hAnsi="仿宋_GB2312" w:eastAsia="仿宋_GB2312" w:cs="仿宋_GB2312"/>
          <w:b w:val="0"/>
          <w:bCs w:val="0"/>
          <w:color w:val="auto"/>
          <w:sz w:val="32"/>
          <w:szCs w:val="32"/>
          <w:shd w:val="clear" w:color="auto" w:fill="auto"/>
          <w:lang w:val="en-US" w:eastAsia="zh-CN"/>
        </w:rPr>
        <w:t>防止腐败现象的发生。强化思想政治意识，巩固提升防控能力，抓好疫情常态化防控不放松。</w:t>
      </w:r>
    </w:p>
    <w:p w14:paraId="5B2C3675">
      <w:pPr>
        <w:keepNext w:val="0"/>
        <w:keepLines w:val="0"/>
        <w:pageBreakBefore w:val="0"/>
        <w:numPr>
          <w:ilvl w:val="0"/>
          <w:numId w:val="1"/>
        </w:numPr>
        <w:kinsoku/>
        <w:wordWrap/>
        <w:overflowPunct/>
        <w:topLinePunct w:val="0"/>
        <w:bidi w:val="0"/>
        <w:spacing w:line="576" w:lineRule="exact"/>
        <w:ind w:left="0"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持续推进生态项目建设，确保生态修复治理见成效。</w:t>
      </w:r>
    </w:p>
    <w:p w14:paraId="23B42CBB">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全力推进若尔盖山水工程项目和其他林草项目的各项工作。投资16168万元，实施</w:t>
      </w:r>
      <w:r>
        <w:rPr>
          <w:rFonts w:hint="eastAsia" w:ascii="仿宋_GB2312" w:hAnsi="仿宋_GB2312" w:eastAsia="仿宋_GB2312" w:cs="仿宋_GB2312"/>
          <w:b w:val="0"/>
          <w:bCs w:val="0"/>
          <w:color w:val="auto"/>
          <w:sz w:val="32"/>
          <w:szCs w:val="32"/>
          <w:highlight w:val="none"/>
          <w:lang w:val="en-US" w:eastAsia="zh-CN"/>
        </w:rPr>
        <w:t>岷江自然资源保护子项目、</w:t>
      </w:r>
      <w:r>
        <w:rPr>
          <w:rFonts w:hint="eastAsia" w:ascii="仿宋_GB2312" w:hAnsi="仿宋_GB2312" w:eastAsia="仿宋_GB2312" w:cs="仿宋_GB2312"/>
          <w:b w:val="0"/>
          <w:bCs w:val="0"/>
          <w:color w:val="auto"/>
          <w:sz w:val="32"/>
          <w:szCs w:val="32"/>
          <w:lang w:val="en-US" w:eastAsia="zh-CN"/>
        </w:rPr>
        <w:t>松潘县2022年黄河上游水源涵养地综合治理子项目、林分结构调整及群落恢复（森林抚育）项目、松潘县岷江干流绿色走廊建设－县城周边至川主寺镇绿化造林项目、2023年生态修复治理项目、大熊猫国家公园松潘园区自然教育生态体验与社区建设项目等9个项目。完成沙化治理183.34公顷、退化草地治理3409.49公顷、裸露坡面治理25.20公顷、林分结构调整及群落恢复（森林抚育）1333公顷、植树造林417公顷、人工种草3万亩、天然草原改良6.7万亩，全面细化和完善大熊猫国家公园松潘园区自然资源基础数据。认真抓好2022年政府性投资项目建设进度，积极做好2023年政府性投资项目的申报和争取。确保完成既定目标任务。</w:t>
      </w:r>
    </w:p>
    <w:p w14:paraId="2DFDE4C5">
      <w:pPr>
        <w:keepNext w:val="0"/>
        <w:keepLines w:val="0"/>
        <w:pageBreakBefore w:val="0"/>
        <w:numPr>
          <w:ilvl w:val="0"/>
          <w:numId w:val="1"/>
        </w:numPr>
        <w:kinsoku/>
        <w:wordWrap/>
        <w:overflowPunct/>
        <w:topLinePunct w:val="0"/>
        <w:bidi w:val="0"/>
        <w:spacing w:line="576" w:lineRule="exact"/>
        <w:ind w:left="0" w:leftChars="0"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b w:val="0"/>
          <w:bCs w:val="0"/>
          <w:color w:val="auto"/>
          <w:sz w:val="32"/>
          <w:szCs w:val="32"/>
        </w:rPr>
        <w:t>强化资源保护，</w:t>
      </w:r>
      <w:r>
        <w:rPr>
          <w:rFonts w:hint="eastAsia" w:ascii="仿宋_GB2312" w:hAnsi="仿宋_GB2312" w:eastAsia="仿宋_GB2312" w:cs="仿宋_GB2312"/>
          <w:b w:val="0"/>
          <w:bCs w:val="0"/>
          <w:color w:val="auto"/>
          <w:sz w:val="32"/>
          <w:szCs w:val="32"/>
          <w:lang w:val="en-US" w:eastAsia="zh-CN"/>
        </w:rPr>
        <w:t>确保生态资源安全</w:t>
      </w:r>
      <w:r>
        <w:rPr>
          <w:rFonts w:hint="eastAsia" w:ascii="仿宋_GB2312" w:hAnsi="仿宋_GB2312" w:eastAsia="仿宋_GB2312" w:cs="仿宋_GB2312"/>
          <w:b w:val="0"/>
          <w:bCs w:val="0"/>
          <w:color w:val="auto"/>
          <w:sz w:val="32"/>
          <w:szCs w:val="32"/>
          <w:lang w:eastAsia="zh-CN"/>
        </w:rPr>
        <w:t>。</w:t>
      </w:r>
    </w:p>
    <w:p w14:paraId="7D7AD807">
      <w:pPr>
        <w:keepNext w:val="0"/>
        <w:keepLines w:val="0"/>
        <w:pageBreakBefore w:val="0"/>
        <w:numPr>
          <w:ilvl w:val="0"/>
          <w:numId w:val="0"/>
        </w:numPr>
        <w:kinsoku/>
        <w:wordWrap/>
        <w:overflowPunct/>
        <w:topLinePunct w:val="0"/>
        <w:bidi w:val="0"/>
        <w:spacing w:line="576" w:lineRule="exact"/>
        <w:ind w:firstLine="640" w:firstLineChars="200"/>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color w:val="auto"/>
          <w:sz w:val="32"/>
          <w:szCs w:val="32"/>
          <w:lang w:val="en-US" w:eastAsia="zh-CN"/>
        </w:rPr>
        <w:t>严格落实全州县关于</w:t>
      </w:r>
      <w:r>
        <w:rPr>
          <w:rFonts w:hint="eastAsia" w:ascii="仿宋_GB2312" w:hAnsi="仿宋_GB2312" w:eastAsia="仿宋_GB2312" w:cs="仿宋_GB2312"/>
          <w:b w:val="0"/>
          <w:bCs w:val="0"/>
          <w:color w:val="auto"/>
          <w:sz w:val="32"/>
          <w:szCs w:val="32"/>
        </w:rPr>
        <w:t>保护发展森林草原资源</w:t>
      </w:r>
      <w:r>
        <w:rPr>
          <w:rFonts w:hint="eastAsia" w:ascii="仿宋_GB2312" w:hAnsi="仿宋_GB2312" w:eastAsia="仿宋_GB2312" w:cs="仿宋_GB2312"/>
          <w:b w:val="0"/>
          <w:bCs w:val="0"/>
          <w:color w:val="auto"/>
          <w:sz w:val="32"/>
          <w:szCs w:val="32"/>
          <w:lang w:val="en-US" w:eastAsia="zh-CN"/>
        </w:rPr>
        <w:t>的各项</w:t>
      </w:r>
      <w:r>
        <w:rPr>
          <w:rFonts w:hint="eastAsia" w:ascii="仿宋_GB2312" w:hAnsi="仿宋_GB2312" w:eastAsia="仿宋_GB2312" w:cs="仿宋_GB2312"/>
          <w:b w:val="0"/>
          <w:bCs w:val="0"/>
          <w:color w:val="auto"/>
          <w:sz w:val="32"/>
          <w:szCs w:val="32"/>
        </w:rPr>
        <w:t>目标责任，</w:t>
      </w:r>
      <w:r>
        <w:rPr>
          <w:rFonts w:hint="eastAsia" w:ascii="仿宋_GB2312" w:hAnsi="仿宋_GB2312" w:eastAsia="仿宋_GB2312" w:cs="仿宋_GB2312"/>
          <w:b w:val="0"/>
          <w:bCs w:val="0"/>
          <w:color w:val="auto"/>
          <w:sz w:val="32"/>
          <w:szCs w:val="32"/>
          <w:lang w:val="en-US" w:eastAsia="zh-CN"/>
        </w:rPr>
        <w:t>积极推进林全省长制创新试点县工作，</w:t>
      </w:r>
      <w:r>
        <w:rPr>
          <w:rFonts w:hint="eastAsia" w:ascii="仿宋_GB2312" w:hAnsi="仿宋_GB2312" w:eastAsia="仿宋_GB2312" w:cs="仿宋_GB2312"/>
          <w:b w:val="0"/>
          <w:bCs w:val="0"/>
          <w:color w:val="auto"/>
          <w:sz w:val="32"/>
          <w:szCs w:val="32"/>
        </w:rPr>
        <w:t>继续加强全县各级各类自然保护地监督管理工作，建立健全长效管理及协调联动机制</w:t>
      </w:r>
      <w:r>
        <w:rPr>
          <w:rFonts w:hint="eastAsia" w:ascii="仿宋_GB2312" w:hAnsi="仿宋_GB2312" w:eastAsia="仿宋_GB2312" w:cs="仿宋_GB2312"/>
          <w:b w:val="0"/>
          <w:bCs w:val="0"/>
          <w:color w:val="auto"/>
          <w:sz w:val="32"/>
          <w:szCs w:val="32"/>
          <w:lang w:eastAsia="zh-CN"/>
        </w:rPr>
        <w:t>。抓强林草综合执法管理，</w:t>
      </w:r>
      <w:r>
        <w:rPr>
          <w:rFonts w:hint="eastAsia" w:ascii="仿宋_GB2312" w:hAnsi="仿宋_GB2312" w:eastAsia="仿宋_GB2312" w:cs="仿宋_GB2312"/>
          <w:b w:val="0"/>
          <w:bCs w:val="0"/>
          <w:color w:val="auto"/>
          <w:sz w:val="32"/>
          <w:szCs w:val="32"/>
          <w:lang w:val="en-US" w:eastAsia="zh-CN"/>
        </w:rPr>
        <w:t>优化行政审批，为项目建设发展提供优质服务，强化森林督查、核查，深化委托执法、赋权执法，进一步规范执法队伍，提升执法能力和水平，大力开展《中华人民共和国森林法》《中华人民共和国草原法》《湿地法》的普法宣传，</w:t>
      </w:r>
      <w:r>
        <w:rPr>
          <w:rFonts w:hint="eastAsia" w:ascii="仿宋_GB2312" w:hAnsi="仿宋_GB2312" w:eastAsia="仿宋_GB2312" w:cs="仿宋_GB2312"/>
          <w:b w:val="0"/>
          <w:bCs w:val="0"/>
          <w:color w:val="auto"/>
          <w:sz w:val="32"/>
          <w:szCs w:val="32"/>
        </w:rPr>
        <w:t>严厉打击破坏森林</w:t>
      </w:r>
      <w:r>
        <w:rPr>
          <w:rFonts w:hint="eastAsia" w:ascii="仿宋_GB2312" w:hAnsi="仿宋_GB2312" w:eastAsia="仿宋_GB2312" w:cs="仿宋_GB2312"/>
          <w:b w:val="0"/>
          <w:bCs w:val="0"/>
          <w:color w:val="auto"/>
          <w:sz w:val="32"/>
          <w:szCs w:val="32"/>
          <w:lang w:eastAsia="zh-CN"/>
        </w:rPr>
        <w:t>草原</w:t>
      </w:r>
      <w:r>
        <w:rPr>
          <w:rFonts w:hint="eastAsia" w:ascii="仿宋_GB2312" w:hAnsi="仿宋_GB2312" w:eastAsia="仿宋_GB2312" w:cs="仿宋_GB2312"/>
          <w:b w:val="0"/>
          <w:bCs w:val="0"/>
          <w:color w:val="auto"/>
          <w:sz w:val="32"/>
          <w:szCs w:val="32"/>
          <w:lang w:val="en-US" w:eastAsia="zh-CN"/>
        </w:rPr>
        <w:t>湿地</w:t>
      </w:r>
      <w:r>
        <w:rPr>
          <w:rFonts w:hint="eastAsia" w:ascii="仿宋_GB2312" w:hAnsi="仿宋_GB2312" w:eastAsia="仿宋_GB2312" w:cs="仿宋_GB2312"/>
          <w:b w:val="0"/>
          <w:bCs w:val="0"/>
          <w:color w:val="auto"/>
          <w:sz w:val="32"/>
          <w:szCs w:val="32"/>
        </w:rPr>
        <w:t>资源的违法犯罪</w:t>
      </w:r>
      <w:r>
        <w:rPr>
          <w:rFonts w:hint="eastAsia" w:ascii="仿宋_GB2312" w:hAnsi="仿宋_GB2312" w:eastAsia="仿宋_GB2312" w:cs="仿宋_GB2312"/>
          <w:b w:val="0"/>
          <w:bCs w:val="0"/>
          <w:color w:val="auto"/>
          <w:sz w:val="32"/>
          <w:szCs w:val="32"/>
          <w:lang w:eastAsia="zh-CN"/>
        </w:rPr>
        <w:t>行为。</w:t>
      </w:r>
      <w:r>
        <w:rPr>
          <w:rFonts w:hint="eastAsia" w:ascii="仿宋_GB2312" w:hAnsi="仿宋_GB2312" w:eastAsia="仿宋_GB2312" w:cs="仿宋_GB2312"/>
          <w:b w:val="0"/>
          <w:bCs w:val="0"/>
          <w:color w:val="auto"/>
          <w:sz w:val="32"/>
          <w:szCs w:val="32"/>
          <w:lang w:val="en-US" w:eastAsia="zh-CN"/>
        </w:rPr>
        <w:t>继续开展草原“两化三害”治理，持续深入草原基况调查，全面完成草原有害生物普查，科学谋划防治工作，全力</w:t>
      </w:r>
      <w:r>
        <w:rPr>
          <w:rFonts w:hint="eastAsia" w:ascii="仿宋_GB2312" w:hAnsi="仿宋_GB2312" w:eastAsia="仿宋_GB2312" w:cs="仿宋_GB2312"/>
          <w:b w:val="0"/>
          <w:bCs w:val="0"/>
          <w:color w:val="auto"/>
          <w:sz w:val="32"/>
          <w:szCs w:val="32"/>
        </w:rPr>
        <w:t>抓好</w:t>
      </w:r>
      <w:r>
        <w:rPr>
          <w:rFonts w:hint="eastAsia" w:ascii="仿宋_GB2312" w:hAnsi="仿宋_GB2312" w:eastAsia="仿宋_GB2312" w:cs="仿宋_GB2312"/>
          <w:b w:val="0"/>
          <w:bCs w:val="0"/>
          <w:color w:val="auto"/>
          <w:sz w:val="32"/>
          <w:szCs w:val="32"/>
          <w:lang w:val="en-US" w:eastAsia="zh-CN"/>
        </w:rPr>
        <w:t>今冬明春的</w:t>
      </w:r>
      <w:r>
        <w:rPr>
          <w:rFonts w:hint="eastAsia" w:ascii="仿宋_GB2312" w:hAnsi="仿宋_GB2312" w:eastAsia="仿宋_GB2312" w:cs="仿宋_GB2312"/>
          <w:b w:val="0"/>
          <w:bCs w:val="0"/>
          <w:color w:val="auto"/>
          <w:sz w:val="32"/>
          <w:szCs w:val="32"/>
        </w:rPr>
        <w:t>森林</w:t>
      </w:r>
      <w:r>
        <w:rPr>
          <w:rFonts w:hint="eastAsia" w:ascii="仿宋_GB2312" w:hAnsi="仿宋_GB2312" w:eastAsia="仿宋_GB2312" w:cs="仿宋_GB2312"/>
          <w:b w:val="0"/>
          <w:bCs w:val="0"/>
          <w:color w:val="auto"/>
          <w:sz w:val="32"/>
          <w:szCs w:val="32"/>
          <w:lang w:eastAsia="zh-CN"/>
        </w:rPr>
        <w:t>草原</w:t>
      </w:r>
      <w:r>
        <w:rPr>
          <w:rFonts w:hint="eastAsia" w:ascii="仿宋_GB2312" w:hAnsi="仿宋_GB2312" w:eastAsia="仿宋_GB2312" w:cs="仿宋_GB2312"/>
          <w:b w:val="0"/>
          <w:bCs w:val="0"/>
          <w:color w:val="auto"/>
          <w:sz w:val="32"/>
          <w:szCs w:val="32"/>
        </w:rPr>
        <w:t>防</w:t>
      </w:r>
      <w:r>
        <w:rPr>
          <w:rFonts w:hint="eastAsia" w:ascii="仿宋_GB2312" w:hAnsi="仿宋_GB2312" w:eastAsia="仿宋_GB2312" w:cs="仿宋_GB2312"/>
          <w:b w:val="0"/>
          <w:bCs w:val="0"/>
          <w:color w:val="auto"/>
          <w:sz w:val="32"/>
          <w:szCs w:val="32"/>
          <w:lang w:eastAsia="zh-CN"/>
        </w:rPr>
        <w:t>灭</w:t>
      </w:r>
      <w:r>
        <w:rPr>
          <w:rFonts w:hint="eastAsia" w:ascii="仿宋_GB2312" w:hAnsi="仿宋_GB2312" w:eastAsia="仿宋_GB2312" w:cs="仿宋_GB2312"/>
          <w:b w:val="0"/>
          <w:bCs w:val="0"/>
          <w:color w:val="auto"/>
          <w:sz w:val="32"/>
          <w:szCs w:val="32"/>
        </w:rPr>
        <w:t>火工作</w:t>
      </w:r>
      <w:r>
        <w:rPr>
          <w:rFonts w:hint="eastAsia" w:ascii="仿宋_GB2312" w:hAnsi="仿宋_GB2312" w:eastAsia="仿宋_GB2312" w:cs="仿宋_GB2312"/>
          <w:b w:val="0"/>
          <w:bCs w:val="0"/>
          <w:color w:val="auto"/>
          <w:sz w:val="32"/>
          <w:szCs w:val="32"/>
          <w:lang w:val="en-US" w:eastAsia="zh-CN"/>
        </w:rPr>
        <w:t>，对</w:t>
      </w:r>
      <w:r>
        <w:rPr>
          <w:rFonts w:hint="eastAsia" w:ascii="仿宋_GB2312" w:hAnsi="仿宋_GB2312" w:eastAsia="仿宋_GB2312" w:cs="仿宋_GB2312"/>
          <w:b w:val="0"/>
          <w:bCs w:val="0"/>
          <w:color w:val="auto"/>
          <w:sz w:val="32"/>
          <w:szCs w:val="32"/>
        </w:rPr>
        <w:t>森林草原防</w:t>
      </w:r>
      <w:r>
        <w:rPr>
          <w:rFonts w:hint="eastAsia" w:ascii="仿宋_GB2312" w:hAnsi="仿宋_GB2312" w:eastAsia="仿宋_GB2312" w:cs="仿宋_GB2312"/>
          <w:b w:val="0"/>
          <w:bCs w:val="0"/>
          <w:color w:val="auto"/>
          <w:sz w:val="32"/>
          <w:szCs w:val="32"/>
          <w:lang w:eastAsia="zh-CN"/>
        </w:rPr>
        <w:t>灭</w:t>
      </w:r>
      <w:r>
        <w:rPr>
          <w:rFonts w:hint="eastAsia" w:ascii="仿宋_GB2312" w:hAnsi="仿宋_GB2312" w:eastAsia="仿宋_GB2312" w:cs="仿宋_GB2312"/>
          <w:b w:val="0"/>
          <w:bCs w:val="0"/>
          <w:color w:val="auto"/>
          <w:sz w:val="32"/>
          <w:szCs w:val="32"/>
        </w:rPr>
        <w:t>火工作中的症结问题，再增投入、再强监管、再添措施，确保</w:t>
      </w:r>
      <w:r>
        <w:rPr>
          <w:rFonts w:hint="eastAsia" w:ascii="仿宋_GB2312" w:hAnsi="仿宋_GB2312" w:eastAsia="仿宋_GB2312" w:cs="仿宋_GB2312"/>
          <w:b w:val="0"/>
          <w:bCs w:val="0"/>
          <w:color w:val="auto"/>
          <w:sz w:val="32"/>
          <w:szCs w:val="32"/>
          <w:lang w:val="en-US" w:eastAsia="zh-CN"/>
        </w:rPr>
        <w:t>不发生火情火警</w:t>
      </w:r>
      <w:r>
        <w:rPr>
          <w:rFonts w:hint="eastAsia" w:ascii="仿宋_GB2312" w:hAnsi="仿宋_GB2312" w:eastAsia="仿宋_GB2312" w:cs="仿宋_GB2312"/>
          <w:b w:val="0"/>
          <w:bCs w:val="0"/>
          <w:color w:val="auto"/>
          <w:sz w:val="32"/>
          <w:szCs w:val="32"/>
        </w:rPr>
        <w:t>。</w:t>
      </w:r>
    </w:p>
    <w:p w14:paraId="49FB8E3C">
      <w:pPr>
        <w:pStyle w:val="4"/>
        <w:keepNext w:val="0"/>
        <w:keepLines w:val="0"/>
        <w:widowControl/>
        <w:numPr>
          <w:ilvl w:val="0"/>
          <w:numId w:val="0"/>
        </w:numPr>
        <w:suppressLineNumbers w:val="0"/>
        <w:tabs>
          <w:tab w:val="left" w:pos="0"/>
        </w:tabs>
        <w:spacing w:before="0" w:beforeAutospacing="0"/>
        <w:ind w:leftChars="0" w:right="0" w:rightChars="0"/>
        <w:jc w:val="left"/>
        <w:outlineLvl w:val="1"/>
        <w:rPr>
          <w:rFonts w:hint="eastAsia" w:ascii="黑体" w:hAnsi="黑体" w:eastAsia="黑体" w:cs="黑体"/>
          <w:b/>
          <w:bCs/>
          <w:kern w:val="0"/>
          <w:sz w:val="32"/>
          <w:szCs w:val="32"/>
          <w:shd w:val="clear" w:fill="FFFFFF"/>
          <w:lang w:eastAsia="zh-CN"/>
        </w:rPr>
      </w:pPr>
    </w:p>
    <w:p w14:paraId="750AB7AE">
      <w:pPr>
        <w:pStyle w:val="4"/>
        <w:keepNext w:val="0"/>
        <w:keepLines w:val="0"/>
        <w:widowControl/>
        <w:numPr>
          <w:ilvl w:val="0"/>
          <w:numId w:val="0"/>
        </w:numPr>
        <w:suppressLineNumbers w:val="0"/>
        <w:tabs>
          <w:tab w:val="left" w:pos="0"/>
        </w:tabs>
        <w:spacing w:before="0" w:beforeAutospacing="0"/>
        <w:ind w:leftChars="0" w:right="0" w:rightChars="0"/>
        <w:jc w:val="left"/>
        <w:outlineLvl w:val="1"/>
        <w:rPr>
          <w:rFonts w:hint="eastAsia" w:ascii="宋体" w:hAnsi="宋体" w:eastAsia="宋体" w:cs="宋体"/>
          <w:b/>
          <w:bCs/>
          <w:kern w:val="0"/>
          <w:sz w:val="36"/>
          <w:szCs w:val="36"/>
          <w:shd w:val="clear" w:fill="FFFFFF"/>
        </w:rPr>
      </w:pPr>
      <w:r>
        <w:rPr>
          <w:rFonts w:hint="eastAsia" w:ascii="黑体" w:hAnsi="黑体" w:eastAsia="黑体" w:cs="黑体"/>
          <w:b/>
          <w:bCs/>
          <w:kern w:val="0"/>
          <w:sz w:val="32"/>
          <w:szCs w:val="32"/>
          <w:shd w:val="clear" w:fill="FFFFFF"/>
          <w:lang w:eastAsia="zh-CN"/>
        </w:rPr>
        <w:t>二、</w:t>
      </w:r>
      <w:r>
        <w:rPr>
          <w:rFonts w:hint="eastAsia" w:ascii="黑体" w:hAnsi="黑体" w:eastAsia="黑体" w:cs="黑体"/>
          <w:b/>
          <w:bCs/>
          <w:kern w:val="0"/>
          <w:sz w:val="32"/>
          <w:szCs w:val="32"/>
          <w:shd w:val="clear" w:fill="FFFFFF"/>
        </w:rPr>
        <w:t>机构设置</w:t>
      </w:r>
    </w:p>
    <w:p w14:paraId="22AA646C">
      <w:pPr>
        <w:keepNext w:val="0"/>
        <w:keepLines w:val="0"/>
        <w:widowControl/>
        <w:suppressLineNumbers w:val="0"/>
        <w:ind w:left="0" w:firstLine="800" w:firstLineChars="25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松潘县林业和草原局下属二级单位</w:t>
      </w: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个，其中行政单位0个，参照公务员法管理的事业单位</w:t>
      </w:r>
      <w:r>
        <w:rPr>
          <w:rFonts w:hint="eastAsia" w:ascii="仿宋_GB2312" w:hAnsi="仿宋_GB2312" w:eastAsia="仿宋_GB2312" w:cs="仿宋_GB2312"/>
          <w:bCs/>
          <w:kern w:val="0"/>
          <w:sz w:val="32"/>
          <w:szCs w:val="32"/>
        </w:rPr>
        <w:t>1</w:t>
      </w:r>
      <w:r>
        <w:rPr>
          <w:rFonts w:hint="eastAsia" w:ascii="仿宋_GB2312" w:hAnsi="仿宋_GB2312" w:eastAsia="仿宋_GB2312" w:cs="仿宋_GB2312"/>
          <w:kern w:val="0"/>
          <w:sz w:val="32"/>
          <w:szCs w:val="32"/>
        </w:rPr>
        <w:t>个，其他事业单位</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个。</w:t>
      </w:r>
    </w:p>
    <w:p w14:paraId="1B40C747">
      <w:pPr>
        <w:pStyle w:val="7"/>
        <w:keepNext w:val="0"/>
        <w:keepLines w:val="0"/>
        <w:widowControl/>
        <w:suppressLineNumbers w:val="0"/>
        <w:adjustRightInd w:val="0"/>
        <w:snapToGrid w:val="0"/>
        <w:spacing w:before="93" w:beforeLines="30" w:beforeAutospacing="0" w:line="600" w:lineRule="exact"/>
        <w:ind w:left="0" w:firstLine="672" w:firstLineChars="21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纳入</w:t>
      </w:r>
      <w:r>
        <w:rPr>
          <w:rFonts w:hint="eastAsia" w:ascii="仿宋_GB2312" w:hAnsi="仿宋_GB2312" w:eastAsia="仿宋_GB2312" w:cs="仿宋_GB2312"/>
          <w:kern w:val="0"/>
          <w:sz w:val="32"/>
          <w:szCs w:val="32"/>
        </w:rPr>
        <w:t>松潘县林业和草原局</w:t>
      </w:r>
      <w:r>
        <w:rPr>
          <w:rFonts w:hint="eastAsia" w:ascii="仿宋_GB2312" w:hAnsi="仿宋_GB2312" w:eastAsia="仿宋_GB2312" w:cs="仿宋_GB2312"/>
          <w:color w:val="000000"/>
          <w:kern w:val="0"/>
          <w:sz w:val="32"/>
          <w:szCs w:val="32"/>
        </w:rPr>
        <w:t>2022年度部门决算编制范围的二级预算单位包括：</w:t>
      </w:r>
    </w:p>
    <w:p w14:paraId="1FF65AFA">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bookmarkStart w:id="6" w:name="_Toc15377202"/>
      <w:bookmarkEnd w:id="6"/>
      <w:bookmarkStart w:id="7" w:name="_Toc15306276"/>
      <w:bookmarkEnd w:id="7"/>
      <w:bookmarkStart w:id="8" w:name="_Toc8164"/>
      <w:bookmarkEnd w:id="8"/>
      <w:bookmarkStart w:id="9" w:name="_Toc15377433"/>
      <w:bookmarkEnd w:id="9"/>
      <w:bookmarkStart w:id="10" w:name="_Toc79163857"/>
      <w:bookmarkEnd w:id="10"/>
      <w:bookmarkStart w:id="11" w:name="_Toc79163607"/>
      <w:bookmarkEnd w:id="11"/>
      <w:bookmarkStart w:id="12" w:name="_Toc24963"/>
      <w:bookmarkEnd w:id="12"/>
      <w:bookmarkStart w:id="13" w:name="_Toc15378449"/>
      <w:r>
        <w:rPr>
          <w:rFonts w:hint="eastAsia" w:ascii="仿宋_GB2312" w:hAnsi="仿宋_GB2312" w:eastAsia="仿宋_GB2312" w:cs="仿宋_GB2312"/>
          <w:color w:val="000000"/>
          <w:kern w:val="0"/>
          <w:sz w:val="32"/>
          <w:szCs w:val="32"/>
        </w:rPr>
        <w:t>松潘县红土林业和草原工作站</w:t>
      </w:r>
      <w:bookmarkEnd w:id="13"/>
    </w:p>
    <w:p w14:paraId="79F624BD">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松潘县毛尔盖林业和草原工作站</w:t>
      </w:r>
    </w:p>
    <w:p w14:paraId="1B43807E">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松潘县小河木材检查站</w:t>
      </w:r>
    </w:p>
    <w:p w14:paraId="62EF29CB">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松潘县解放村木材检查站</w:t>
      </w:r>
    </w:p>
    <w:p w14:paraId="65249D24">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bookmarkStart w:id="14" w:name="_Toc29563"/>
      <w:bookmarkEnd w:id="14"/>
      <w:bookmarkStart w:id="15" w:name="_Toc21825"/>
      <w:r>
        <w:rPr>
          <w:rFonts w:hint="eastAsia" w:ascii="仿宋_GB2312" w:hAnsi="仿宋_GB2312" w:eastAsia="仿宋_GB2312" w:cs="仿宋_GB2312"/>
          <w:color w:val="000000"/>
          <w:kern w:val="0"/>
          <w:sz w:val="32"/>
          <w:szCs w:val="32"/>
        </w:rPr>
        <w:t>四川省白羊自然保护区管理处</w:t>
      </w:r>
      <w:bookmarkEnd w:id="15"/>
    </w:p>
    <w:p w14:paraId="2A814FBD">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松潘县野生动植物保护站</w:t>
      </w:r>
    </w:p>
    <w:p w14:paraId="6A4676A8">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松潘县育苗中心</w:t>
      </w:r>
    </w:p>
    <w:p w14:paraId="43EC2F73">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松潘县镇江关林业和草原工作站</w:t>
      </w:r>
    </w:p>
    <w:p w14:paraId="3A151C17">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松潘县小河林业和草原工作站</w:t>
      </w:r>
    </w:p>
    <w:p w14:paraId="42715BC8">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松潘县川主寺林业和草原工作站</w:t>
      </w:r>
    </w:p>
    <w:p w14:paraId="0EB4AB5C">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松潘县进安林业和草原工作站</w:t>
      </w:r>
    </w:p>
    <w:p w14:paraId="063F465C">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bookmarkStart w:id="16" w:name="_Toc15473"/>
      <w:bookmarkEnd w:id="16"/>
      <w:bookmarkStart w:id="17" w:name="_Toc6944"/>
      <w:r>
        <w:rPr>
          <w:rFonts w:hint="eastAsia" w:ascii="仿宋_GB2312" w:hAnsi="仿宋_GB2312" w:eastAsia="仿宋_GB2312" w:cs="仿宋_GB2312"/>
          <w:color w:val="000000"/>
          <w:kern w:val="0"/>
          <w:sz w:val="32"/>
          <w:szCs w:val="32"/>
        </w:rPr>
        <w:t>松潘县龙滴水自然保护区管理站</w:t>
      </w:r>
      <w:bookmarkEnd w:id="17"/>
    </w:p>
    <w:p w14:paraId="7A513396">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四川松潘岷江源国家湿地公园管理局</w:t>
      </w:r>
    </w:p>
    <w:p w14:paraId="42604D15">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松潘县草原工作站</w:t>
      </w:r>
    </w:p>
    <w:p w14:paraId="6E075500">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松潘县森林草原防灭火中心</w:t>
      </w:r>
    </w:p>
    <w:p w14:paraId="24CCC352">
      <w:pPr>
        <w:pStyle w:val="7"/>
        <w:keepNext w:val="0"/>
        <w:keepLines w:val="0"/>
        <w:widowControl/>
        <w:numPr>
          <w:ilvl w:val="0"/>
          <w:numId w:val="2"/>
        </w:numPr>
        <w:suppressLineNumbers w:val="0"/>
        <w:adjustRightInd w:val="0"/>
        <w:snapToGrid w:val="0"/>
        <w:spacing w:before="93" w:beforeLines="30" w:beforeAutospacing="0" w:line="600" w:lineRule="exact"/>
        <w:ind w:left="1152" w:hanging="480"/>
        <w:outlineLvl w:val="2"/>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松潘县国有林保护中心</w:t>
      </w:r>
    </w:p>
    <w:p w14:paraId="42326216">
      <w:pPr>
        <w:pStyle w:val="7"/>
        <w:keepNext w:val="0"/>
        <w:keepLines w:val="0"/>
        <w:widowControl/>
        <w:numPr>
          <w:ilvl w:val="0"/>
          <w:numId w:val="2"/>
        </w:numPr>
        <w:suppressLineNumbers w:val="0"/>
        <w:adjustRightInd w:val="0"/>
        <w:snapToGrid w:val="0"/>
        <w:spacing w:before="93" w:beforeLines="30" w:beforeAutospacing="0" w:line="600" w:lineRule="exact"/>
        <w:ind w:left="1152" w:hanging="480"/>
        <w:jc w:val="left"/>
        <w:outlineLvl w:val="2"/>
        <w:rPr>
          <w:rFonts w:hint="eastAsia" w:ascii="宋体" w:hAnsi="宋体" w:eastAsia="宋体" w:cs="宋体"/>
          <w:color w:val="000000"/>
          <w:kern w:val="0"/>
          <w:sz w:val="24"/>
          <w:szCs w:val="24"/>
        </w:rPr>
      </w:pPr>
      <w:r>
        <w:rPr>
          <w:rFonts w:hint="eastAsia" w:ascii="仿宋_GB2312" w:hAnsi="仿宋_GB2312" w:eastAsia="仿宋_GB2312" w:cs="仿宋_GB2312"/>
          <w:color w:val="000000"/>
          <w:kern w:val="0"/>
          <w:sz w:val="32"/>
          <w:szCs w:val="32"/>
        </w:rPr>
        <w:t>松潘县森林植物检疫站（参公事业单位）</w:t>
      </w:r>
    </w:p>
    <w:p w14:paraId="14584818">
      <w:pPr>
        <w:pStyle w:val="3"/>
        <w:keepNext w:val="0"/>
        <w:keepLines w:val="0"/>
        <w:widowControl/>
        <w:suppressLineNumbers w:val="0"/>
        <w:spacing w:before="0" w:beforeAutospacing="0"/>
        <w:ind w:left="0"/>
        <w:jc w:val="center"/>
        <w:rPr>
          <w:rFonts w:hint="eastAsia" w:ascii="宋体" w:hAnsi="宋体" w:eastAsia="宋体" w:cs="宋体"/>
          <w:b/>
          <w:bCs/>
          <w:kern w:val="44"/>
          <w:sz w:val="48"/>
          <w:szCs w:val="48"/>
          <w:shd w:val="clear" w:fill="FFFFFF"/>
        </w:rPr>
      </w:pPr>
    </w:p>
    <w:p w14:paraId="230E8EF4">
      <w:pPr>
        <w:pStyle w:val="3"/>
        <w:keepNext w:val="0"/>
        <w:keepLines w:val="0"/>
        <w:widowControl/>
        <w:suppressLineNumbers w:val="0"/>
        <w:spacing w:before="0" w:beforeAutospacing="0"/>
        <w:ind w:left="0"/>
        <w:jc w:val="center"/>
        <w:rPr>
          <w:rFonts w:hint="eastAsia" w:ascii="宋体" w:hAnsi="宋体" w:eastAsia="宋体" w:cs="宋体"/>
          <w:b/>
          <w:bCs/>
          <w:kern w:val="44"/>
          <w:sz w:val="48"/>
          <w:szCs w:val="48"/>
          <w:shd w:val="clear" w:fill="FFFFFF"/>
        </w:rPr>
      </w:pPr>
    </w:p>
    <w:p w14:paraId="1AA37720">
      <w:pPr>
        <w:pStyle w:val="3"/>
        <w:keepNext w:val="0"/>
        <w:keepLines w:val="0"/>
        <w:widowControl/>
        <w:suppressLineNumbers w:val="0"/>
        <w:spacing w:before="0" w:beforeAutospacing="0"/>
        <w:ind w:left="0"/>
        <w:jc w:val="center"/>
        <w:rPr>
          <w:rFonts w:hint="eastAsia" w:ascii="黑体" w:hAnsi="黑体" w:eastAsia="黑体" w:cs="黑体"/>
          <w:b/>
          <w:bCs/>
          <w:kern w:val="44"/>
          <w:sz w:val="32"/>
          <w:szCs w:val="32"/>
        </w:rPr>
      </w:pPr>
      <w:r>
        <w:rPr>
          <w:rFonts w:hint="eastAsia" w:ascii="黑体" w:hAnsi="黑体" w:eastAsia="黑体" w:cs="黑体"/>
          <w:b/>
          <w:bCs/>
          <w:kern w:val="44"/>
          <w:sz w:val="44"/>
          <w:szCs w:val="44"/>
          <w:shd w:val="clear" w:fill="FFFFFF"/>
        </w:rPr>
        <w:t>第二部分 2022年度单位决算情况说明</w:t>
      </w:r>
    </w:p>
    <w:p w14:paraId="3F4AAE1A">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79AEE320">
      <w:pPr>
        <w:pStyle w:val="20"/>
        <w:keepNext w:val="0"/>
        <w:keepLines w:val="0"/>
        <w:widowControl/>
        <w:suppressLineNumbers w:val="0"/>
        <w:spacing w:before="0" w:beforeAutospacing="0"/>
        <w:ind w:left="0"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shd w:val="clear" w:fill="FFFFFF"/>
        </w:rPr>
        <w:t>一、收入支出决算总体情况说明</w:t>
      </w:r>
    </w:p>
    <w:p w14:paraId="413A8981">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highlight w:val="yellow"/>
          <w:lang w:val="en-US" w:eastAsia="zh-CN"/>
        </w:rPr>
      </w:pPr>
      <w:r>
        <w:rPr>
          <w:rFonts w:hint="eastAsia" w:ascii="仿宋_GB2312" w:hAnsi="仿宋_GB2312" w:eastAsia="仿宋_GB2312" w:cs="仿宋_GB2312"/>
          <w:kern w:val="0"/>
          <w:sz w:val="32"/>
          <w:szCs w:val="32"/>
          <w:shd w:val="clear" w:fill="FFFFFF"/>
        </w:rPr>
        <w:t>2022年度收、支总计7,658.69万元。与2021年相比，收、支总计各增加-7,537.61万元，增长-49.60%。</w:t>
      </w:r>
      <w:r>
        <w:rPr>
          <w:rFonts w:hint="eastAsia" w:ascii="仿宋_GB2312" w:hAnsi="仿宋_GB2312" w:eastAsia="仿宋_GB2312" w:cs="仿宋_GB2312"/>
          <w:kern w:val="0"/>
          <w:sz w:val="32"/>
          <w:szCs w:val="32"/>
          <w:highlight w:val="none"/>
          <w:shd w:val="clear" w:fill="FFFFFF"/>
        </w:rPr>
        <w:t>主要变动原因是</w:t>
      </w:r>
      <w:r>
        <w:rPr>
          <w:rFonts w:hint="eastAsia" w:ascii="仿宋_GB2312" w:hAnsi="仿宋_GB2312" w:eastAsia="仿宋_GB2312" w:cs="仿宋_GB2312"/>
          <w:kern w:val="0"/>
          <w:sz w:val="32"/>
          <w:szCs w:val="32"/>
          <w:highlight w:val="none"/>
          <w:shd w:val="clear" w:fill="FFFFFF"/>
          <w:lang w:val="en-US" w:eastAsia="zh-CN"/>
        </w:rPr>
        <w:t>2022年无财政返还款、项目减少以及事业机构单独核算。</w:t>
      </w:r>
    </w:p>
    <w:p w14:paraId="60936054">
      <w:pPr>
        <w:pStyle w:val="20"/>
        <w:keepNext w:val="0"/>
        <w:keepLines w:val="0"/>
        <w:widowControl/>
        <w:suppressLineNumbers w:val="0"/>
        <w:spacing w:before="0" w:beforeAutospacing="0"/>
        <w:ind w:left="0"/>
        <w:jc w:val="left"/>
        <w:rPr>
          <w:rFonts w:hint="eastAsia" w:ascii="仿宋_GB2312" w:hAnsi="仿宋_GB2312" w:eastAsia="仿宋_GB2312" w:cs="仿宋_GB2312"/>
          <w:kern w:val="0"/>
          <w:sz w:val="32"/>
          <w:szCs w:val="32"/>
          <w:shd w:val="clear" w:fill="FFFFFF"/>
        </w:rPr>
      </w:pPr>
    </w:p>
    <w:p w14:paraId="5AD53BB8">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（图1：收、支决算总计变动情况图）（柱状图）</w:t>
      </w:r>
    </w:p>
    <w:p w14:paraId="66E933E3">
      <w:pPr>
        <w:bidi w:val="0"/>
        <w:rPr>
          <w:rFonts w:hint="eastAsia"/>
        </w:rPr>
      </w:pPr>
    </w:p>
    <w:p w14:paraId="70A0C881">
      <w:pPr>
        <w:bidi w:val="0"/>
        <w:rPr>
          <w:rFonts w:hint="eastAsia"/>
        </w:rPr>
      </w:pPr>
    </w:p>
    <w:p w14:paraId="4F109857">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fldChar w:fldCharType="begin"/>
      </w:r>
      <w:r>
        <w:instrText xml:space="preserve">INCLUDEPICTURE \d "C:\\Users\\ADMINI~1\\AppData\\Local\\Temp\\f0b90e2961544aecbe0998a592f1a513\\Users\\ADMINI~1\\AppData\\Local\\Temp\\~tmp{ed0fa719-e2e2-4ea9-a64e-146f1651668f}4064958.files\\~tmp{ed0fa719-e2e2-4ea9-a64e-146f1651668f}40649585885.png" \* MERGEFORMATINET </w:instrText>
      </w:r>
      <w:r>
        <w:fldChar w:fldCharType="separate"/>
      </w:r>
      <w:r>
        <w:drawing>
          <wp:inline distT="0" distB="0" distL="114300" distR="114300">
            <wp:extent cx="4657725" cy="282892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4657725" cy="2828925"/>
                    </a:xfrm>
                    <a:prstGeom prst="rect">
                      <a:avLst/>
                    </a:prstGeom>
                    <a:noFill/>
                    <a:ln w="9525">
                      <a:noFill/>
                    </a:ln>
                  </pic:spPr>
                </pic:pic>
              </a:graphicData>
            </a:graphic>
          </wp:inline>
        </w:drawing>
      </w:r>
      <w:r>
        <w:fldChar w:fldCharType="end"/>
      </w:r>
    </w:p>
    <w:p w14:paraId="397C7B4A">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14:paraId="587594DB">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69F016FA">
      <w:pPr>
        <w:pStyle w:val="20"/>
        <w:keepNext w:val="0"/>
        <w:keepLines w:val="0"/>
        <w:widowControl/>
        <w:suppressLineNumbers w:val="0"/>
        <w:spacing w:before="0" w:beforeAutospacing="0"/>
        <w:ind w:left="0"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shd w:val="clear" w:fill="FFFFFF"/>
        </w:rPr>
        <w:t>二、收入决算情况说明</w:t>
      </w:r>
    </w:p>
    <w:p w14:paraId="102FBD38">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2022年本年收入合计7,658.69万元，其中：一般公共预算财政拨款收入7,658.69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041B7BA5">
      <w:pPr>
        <w:pStyle w:val="20"/>
        <w:keepNext w:val="0"/>
        <w:keepLines w:val="0"/>
        <w:widowControl/>
        <w:suppressLineNumbers w:val="0"/>
        <w:spacing w:before="0" w:beforeAutospacing="0"/>
        <w:ind w:left="0" w:firstLine="640" w:firstLineChars="200"/>
        <w:jc w:val="left"/>
        <w:rPr>
          <w:rStyle w:val="21"/>
          <w:rFonts w:hint="eastAsia" w:ascii="仿宋_GB2312" w:hAnsi="仿宋_GB2312" w:eastAsia="仿宋_GB2312" w:cs="仿宋_GB2312"/>
          <w:b w:val="0"/>
          <w:bCs w:val="0"/>
          <w:sz w:val="32"/>
          <w:szCs w:val="32"/>
          <w:shd w:val="clear" w:fill="FFFFFF"/>
        </w:rPr>
      </w:pPr>
      <w:r>
        <w:rPr>
          <w:rStyle w:val="21"/>
          <w:rFonts w:hint="eastAsia" w:ascii="仿宋_GB2312" w:hAnsi="仿宋_GB2312" w:eastAsia="仿宋_GB2312" w:cs="仿宋_GB2312"/>
          <w:b w:val="0"/>
          <w:bCs w:val="0"/>
          <w:sz w:val="32"/>
          <w:szCs w:val="32"/>
          <w:shd w:val="clear" w:fill="FFFFFF"/>
        </w:rPr>
        <w:t>（注：数据来源于财决01表，仅罗列本部门涉及的收入。）</w:t>
      </w:r>
    </w:p>
    <w:p w14:paraId="0E6E08C6">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（图2：收入决算结构图）（饼状图）</w:t>
      </w:r>
    </w:p>
    <w:p w14:paraId="772BBBC1">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fldChar w:fldCharType="begin"/>
      </w:r>
      <w:r>
        <w:instrText xml:space="preserve">INCLUDEPICTURE \d "C:\\Users\\ADMINI~1\\AppData\\Local\\Temp\\f0b90e2961544aecbe0998a592f1a513\\Users\\ADMINI~1\\AppData\\Local\\Temp\\~tmp{ed0fa719-e2e2-4ea9-a64e-146f1651668f}4064958.files\\~tmp{ed0fa719-e2e2-4ea9-a64e-146f1651668f}40649586433.png" \* MERGEFORMATINET </w:instrText>
      </w:r>
      <w:r>
        <w:fldChar w:fldCharType="separate"/>
      </w:r>
      <w:r>
        <w:drawing>
          <wp:inline distT="0" distB="0" distL="114300" distR="114300">
            <wp:extent cx="5953125" cy="2905125"/>
            <wp:effectExtent l="0" t="0" r="9525" b="9525"/>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7"/>
                    <a:stretch>
                      <a:fillRect/>
                    </a:stretch>
                  </pic:blipFill>
                  <pic:spPr>
                    <a:xfrm>
                      <a:off x="0" y="0"/>
                      <a:ext cx="5953125" cy="2905125"/>
                    </a:xfrm>
                    <a:prstGeom prst="rect">
                      <a:avLst/>
                    </a:prstGeom>
                    <a:noFill/>
                    <a:ln w="9525">
                      <a:noFill/>
                    </a:ln>
                  </pic:spPr>
                </pic:pic>
              </a:graphicData>
            </a:graphic>
          </wp:inline>
        </w:drawing>
      </w:r>
      <w:r>
        <w:fldChar w:fldCharType="end"/>
      </w:r>
    </w:p>
    <w:p w14:paraId="35294959">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1DFE7487">
      <w:pPr>
        <w:pStyle w:val="20"/>
        <w:keepNext w:val="0"/>
        <w:keepLines w:val="0"/>
        <w:widowControl/>
        <w:suppressLineNumbers w:val="0"/>
        <w:spacing w:before="0" w:beforeAutospacing="0"/>
        <w:ind w:left="0"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shd w:val="clear" w:fill="FFFFFF"/>
        </w:rPr>
        <w:t>三、支出决算情况说明</w:t>
      </w:r>
    </w:p>
    <w:p w14:paraId="604A5165">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2022年本年支出合计7,658.69万元，其中：基本支出518.75万元，占6.77%；项目支出7,139.94万元，占93.23%；上缴上级支出0.00万元，占0.00%；经营支出0.00万元，占经营支出0.00万元，占 0.00%；对附属单位补助支出0.00万元，占0.00%。</w:t>
      </w:r>
    </w:p>
    <w:p w14:paraId="4B750AF3">
      <w:pPr>
        <w:pStyle w:val="20"/>
        <w:keepNext w:val="0"/>
        <w:keepLines w:val="0"/>
        <w:widowControl/>
        <w:suppressLineNumbers w:val="0"/>
        <w:spacing w:before="0" w:beforeAutospacing="0"/>
        <w:ind w:left="0"/>
        <w:jc w:val="left"/>
        <w:rPr>
          <w:rStyle w:val="21"/>
          <w:rFonts w:hint="eastAsia" w:ascii="仿宋_GB2312" w:hAnsi="仿宋_GB2312" w:eastAsia="仿宋_GB2312" w:cs="仿宋_GB2312"/>
          <w:b/>
          <w:bCs/>
          <w:sz w:val="32"/>
          <w:szCs w:val="32"/>
          <w:shd w:val="clear" w:fill="FFFFFF"/>
        </w:rPr>
      </w:pPr>
    </w:p>
    <w:p w14:paraId="5A01C3C8">
      <w:pPr>
        <w:pStyle w:val="20"/>
        <w:keepNext w:val="0"/>
        <w:keepLines w:val="0"/>
        <w:widowControl/>
        <w:suppressLineNumbers w:val="0"/>
        <w:spacing w:before="0" w:beforeAutospacing="0"/>
        <w:ind w:left="0" w:firstLine="640" w:firstLineChars="200"/>
        <w:jc w:val="left"/>
        <w:rPr>
          <w:rStyle w:val="21"/>
          <w:rFonts w:hint="eastAsia" w:ascii="仿宋_GB2312" w:hAnsi="仿宋_GB2312" w:eastAsia="仿宋_GB2312" w:cs="仿宋_GB2312"/>
          <w:b w:val="0"/>
          <w:bCs w:val="0"/>
          <w:sz w:val="32"/>
          <w:szCs w:val="32"/>
          <w:shd w:val="clear" w:fill="FFFFFF"/>
        </w:rPr>
      </w:pPr>
      <w:r>
        <w:rPr>
          <w:rStyle w:val="21"/>
          <w:rFonts w:hint="eastAsia" w:ascii="仿宋_GB2312" w:hAnsi="仿宋_GB2312" w:eastAsia="仿宋_GB2312" w:cs="仿宋_GB2312"/>
          <w:b w:val="0"/>
          <w:bCs w:val="0"/>
          <w:sz w:val="32"/>
          <w:szCs w:val="32"/>
          <w:shd w:val="clear" w:fill="FFFFFF"/>
        </w:rPr>
        <w:t>（注：数据来源于财决04表，仅罗列本部门涉及的支出。）</w:t>
      </w:r>
    </w:p>
    <w:p w14:paraId="1BCA692B">
      <w:pPr>
        <w:pStyle w:val="20"/>
        <w:keepNext w:val="0"/>
        <w:keepLines w:val="0"/>
        <w:widowControl/>
        <w:suppressLineNumbers w:val="0"/>
        <w:spacing w:before="0" w:beforeAutospacing="0"/>
        <w:ind w:left="0" w:firstLine="640" w:firstLineChars="200"/>
        <w:jc w:val="left"/>
        <w:rPr>
          <w:rStyle w:val="21"/>
          <w:rFonts w:hint="eastAsia" w:ascii="仿宋_GB2312" w:hAnsi="仿宋_GB2312" w:eastAsia="仿宋_GB2312" w:cs="仿宋_GB2312"/>
          <w:b w:val="0"/>
          <w:bCs w:val="0"/>
          <w:sz w:val="32"/>
          <w:szCs w:val="32"/>
          <w:shd w:val="clear" w:fill="FFFFFF"/>
        </w:rPr>
      </w:pPr>
    </w:p>
    <w:p w14:paraId="05E092AB">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（图3：支出决算结构图）（饼状图）</w:t>
      </w:r>
    </w:p>
    <w:p w14:paraId="44F377B1">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fldChar w:fldCharType="begin"/>
      </w:r>
      <w:r>
        <w:instrText xml:space="preserve">INCLUDEPICTURE \d "C:\\Users\\ADMINI~1\\AppData\\Local\\Temp\\f0b90e2961544aecbe0998a592f1a513\\Users\\ADMINI~1\\AppData\\Local\\Temp\\~tmp{ed0fa719-e2e2-4ea9-a64e-146f1651668f}4064958.files\\~tmp{ed0fa719-e2e2-4ea9-a64e-146f1651668f}40649586911.png" \* MERGEFORMATINET </w:instrText>
      </w:r>
      <w:r>
        <w:fldChar w:fldCharType="separate"/>
      </w:r>
      <w:r>
        <w:drawing>
          <wp:inline distT="0" distB="0" distL="114300" distR="114300">
            <wp:extent cx="5695950" cy="2800350"/>
            <wp:effectExtent l="0" t="0" r="0" b="0"/>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8"/>
                    <a:stretch>
                      <a:fillRect/>
                    </a:stretch>
                  </pic:blipFill>
                  <pic:spPr>
                    <a:xfrm>
                      <a:off x="0" y="0"/>
                      <a:ext cx="5695950" cy="2800350"/>
                    </a:xfrm>
                    <a:prstGeom prst="rect">
                      <a:avLst/>
                    </a:prstGeom>
                    <a:noFill/>
                    <a:ln w="9525">
                      <a:noFill/>
                    </a:ln>
                  </pic:spPr>
                </pic:pic>
              </a:graphicData>
            </a:graphic>
          </wp:inline>
        </w:drawing>
      </w:r>
      <w:r>
        <w:fldChar w:fldCharType="end"/>
      </w:r>
    </w:p>
    <w:p w14:paraId="2A6106E8">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3295A10E">
      <w:pPr>
        <w:pStyle w:val="20"/>
        <w:keepNext w:val="0"/>
        <w:keepLines w:val="0"/>
        <w:widowControl/>
        <w:suppressLineNumbers w:val="0"/>
        <w:spacing w:before="0" w:beforeAutospacing="0"/>
        <w:ind w:left="0" w:firstLine="640" w:firstLineChars="200"/>
        <w:jc w:val="left"/>
        <w:rPr>
          <w:rFonts w:hint="eastAsia" w:ascii="宋体" w:hAnsi="宋体" w:eastAsia="宋体" w:cs="宋体"/>
          <w:kern w:val="0"/>
          <w:sz w:val="24"/>
          <w:szCs w:val="24"/>
        </w:rPr>
      </w:pPr>
      <w:r>
        <w:rPr>
          <w:rFonts w:hint="eastAsia" w:ascii="黑体" w:hAnsi="黑体" w:eastAsia="黑体" w:cs="黑体"/>
          <w:kern w:val="0"/>
          <w:sz w:val="32"/>
          <w:szCs w:val="32"/>
          <w:shd w:val="clear" w:fill="FFFFFF"/>
        </w:rPr>
        <w:t>四、财政拨款收入支出决算总体情况说明</w:t>
      </w:r>
    </w:p>
    <w:p w14:paraId="23BEC965">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highlight w:val="yellow"/>
          <w:lang w:val="en-US" w:eastAsia="zh-CN"/>
        </w:rPr>
      </w:pPr>
      <w:r>
        <w:rPr>
          <w:rFonts w:hint="eastAsia" w:ascii="仿宋_GB2312" w:hAnsi="仿宋_GB2312" w:eastAsia="仿宋_GB2312" w:cs="仿宋_GB2312"/>
          <w:kern w:val="0"/>
          <w:sz w:val="32"/>
          <w:szCs w:val="32"/>
          <w:shd w:val="clear" w:fill="FFFFFF"/>
        </w:rPr>
        <w:t>2022年财政拨款收、支总计7,658.69万元。与2021年相比，财政拨款收、支总计各增加-7,537.61万元，增长-49.60%。</w:t>
      </w:r>
      <w:r>
        <w:rPr>
          <w:rFonts w:hint="eastAsia" w:ascii="仿宋_GB2312" w:hAnsi="仿宋_GB2312" w:eastAsia="仿宋_GB2312" w:cs="仿宋_GB2312"/>
          <w:kern w:val="0"/>
          <w:sz w:val="32"/>
          <w:szCs w:val="32"/>
          <w:shd w:val="clear" w:fill="FFFFFF"/>
          <w:lang w:eastAsia="zh-CN"/>
        </w:rPr>
        <w:t>主要变动原因是</w:t>
      </w:r>
      <w:r>
        <w:rPr>
          <w:rFonts w:hint="eastAsia" w:ascii="仿宋_GB2312" w:hAnsi="仿宋_GB2312" w:eastAsia="仿宋_GB2312" w:cs="仿宋_GB2312"/>
          <w:kern w:val="0"/>
          <w:sz w:val="32"/>
          <w:szCs w:val="32"/>
          <w:highlight w:val="none"/>
          <w:shd w:val="clear" w:fill="FFFFFF"/>
          <w:lang w:val="en-US" w:eastAsia="zh-CN"/>
        </w:rPr>
        <w:t>2022年无财政返还款、项目减少以及事业机构单独核算。</w:t>
      </w:r>
    </w:p>
    <w:p w14:paraId="12B57D56">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rPr>
      </w:pPr>
    </w:p>
    <w:p w14:paraId="206CBC05">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val="0"/>
          <w:bCs w:val="0"/>
          <w:sz w:val="32"/>
          <w:szCs w:val="32"/>
          <w:shd w:val="clear" w:fill="FFFFFF"/>
        </w:rPr>
        <w:t>（注：数据来源于财决01-1表）</w:t>
      </w:r>
    </w:p>
    <w:p w14:paraId="3DAED0CB">
      <w:pPr>
        <w:pStyle w:val="20"/>
        <w:keepNext w:val="0"/>
        <w:keepLines w:val="0"/>
        <w:widowControl/>
        <w:suppressLineNumbers w:val="0"/>
        <w:spacing w:before="0" w:beforeAutospacing="0"/>
        <w:ind w:left="0"/>
        <w:jc w:val="left"/>
        <w:rPr>
          <w:rFonts w:hint="eastAsia" w:ascii="仿宋_GB2312" w:hAnsi="仿宋_GB2312" w:eastAsia="仿宋_GB2312" w:cs="仿宋_GB2312"/>
          <w:kern w:val="0"/>
          <w:sz w:val="32"/>
          <w:szCs w:val="32"/>
          <w:shd w:val="clear" w:fill="FFFFFF"/>
        </w:rPr>
      </w:pPr>
    </w:p>
    <w:p w14:paraId="364FF1F1">
      <w:pPr>
        <w:pStyle w:val="20"/>
        <w:keepNext w:val="0"/>
        <w:keepLines w:val="0"/>
        <w:widowControl/>
        <w:suppressLineNumbers w:val="0"/>
        <w:spacing w:before="0" w:beforeAutospacing="0"/>
        <w:jc w:val="left"/>
        <w:rPr>
          <w:rFonts w:hint="eastAsia" w:ascii="仿宋_GB2312" w:hAnsi="仿宋_GB2312" w:eastAsia="仿宋_GB2312" w:cs="仿宋_GB2312"/>
          <w:kern w:val="0"/>
          <w:sz w:val="32"/>
          <w:szCs w:val="32"/>
          <w:shd w:val="clear" w:fill="FFFFFF"/>
        </w:rPr>
      </w:pPr>
    </w:p>
    <w:p w14:paraId="11234DB9">
      <w:pPr>
        <w:pStyle w:val="20"/>
        <w:keepNext w:val="0"/>
        <w:keepLines w:val="0"/>
        <w:widowControl/>
        <w:suppressLineNumbers w:val="0"/>
        <w:spacing w:before="0" w:beforeAutospacing="0"/>
        <w:ind w:firstLine="640" w:firstLineChars="200"/>
        <w:jc w:val="left"/>
        <w:rPr>
          <w:rFonts w:hint="eastAsia" w:ascii="宋体" w:hAnsi="宋体" w:eastAsia="宋体" w:cs="宋体"/>
          <w:kern w:val="0"/>
          <w:sz w:val="24"/>
          <w:szCs w:val="24"/>
          <w:shd w:val="clear" w:fill="FFFFFF"/>
        </w:rPr>
      </w:pPr>
      <w:r>
        <w:rPr>
          <w:rFonts w:hint="eastAsia" w:ascii="仿宋_GB2312" w:hAnsi="仿宋_GB2312" w:eastAsia="仿宋_GB2312" w:cs="仿宋_GB2312"/>
          <w:kern w:val="0"/>
          <w:sz w:val="32"/>
          <w:szCs w:val="32"/>
          <w:shd w:val="clear" w:fill="FFFFFF"/>
        </w:rPr>
        <w:t>（图4：财政拨款收、支决算总计变动情况）（柱状图）</w:t>
      </w:r>
    </w:p>
    <w:p w14:paraId="4157C216">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fldChar w:fldCharType="begin"/>
      </w:r>
      <w:r>
        <w:instrText xml:space="preserve">INCLUDEPICTURE \d "C:\\Users\\ADMINI~1\\AppData\\Local\\Temp\\f0b90e2961544aecbe0998a592f1a513\\Users\\ADMINI~1\\AppData\\Local\\Temp\\~tmp{ed0fa719-e2e2-4ea9-a64e-146f1651668f}4064958.files\\~tmp{ed0fa719-e2e2-4ea9-a64e-146f1651668f}40649587332.png" \* MERGEFORMATINET </w:instrText>
      </w:r>
      <w:r>
        <w:fldChar w:fldCharType="separate"/>
      </w:r>
      <w:r>
        <w:drawing>
          <wp:inline distT="0" distB="0" distL="114300" distR="114300">
            <wp:extent cx="4657725" cy="2828925"/>
            <wp:effectExtent l="0" t="0" r="9525" b="952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9"/>
                    <a:stretch>
                      <a:fillRect/>
                    </a:stretch>
                  </pic:blipFill>
                  <pic:spPr>
                    <a:xfrm>
                      <a:off x="0" y="0"/>
                      <a:ext cx="4657725" cy="2828925"/>
                    </a:xfrm>
                    <a:prstGeom prst="rect">
                      <a:avLst/>
                    </a:prstGeom>
                    <a:noFill/>
                    <a:ln w="9525">
                      <a:noFill/>
                    </a:ln>
                  </pic:spPr>
                </pic:pic>
              </a:graphicData>
            </a:graphic>
          </wp:inline>
        </w:drawing>
      </w:r>
      <w:r>
        <w:fldChar w:fldCharType="end"/>
      </w:r>
    </w:p>
    <w:p w14:paraId="4A14E8E7">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081B20DE">
      <w:pPr>
        <w:pStyle w:val="20"/>
        <w:keepNext w:val="0"/>
        <w:keepLines w:val="0"/>
        <w:widowControl/>
        <w:suppressLineNumbers w:val="0"/>
        <w:spacing w:before="0" w:beforeAutospacing="0"/>
        <w:ind w:firstLine="640" w:firstLineChars="200"/>
        <w:jc w:val="left"/>
        <w:rPr>
          <w:rFonts w:hint="eastAsia" w:ascii="宋体" w:hAnsi="宋体" w:eastAsia="宋体" w:cs="宋体"/>
          <w:kern w:val="0"/>
          <w:sz w:val="24"/>
          <w:szCs w:val="24"/>
        </w:rPr>
      </w:pPr>
      <w:r>
        <w:rPr>
          <w:rFonts w:hint="eastAsia" w:ascii="黑体" w:hAnsi="黑体" w:eastAsia="黑体" w:cs="黑体"/>
          <w:kern w:val="0"/>
          <w:sz w:val="32"/>
          <w:szCs w:val="32"/>
          <w:shd w:val="clear" w:fill="FFFFFF"/>
        </w:rPr>
        <w:t>五、</w:t>
      </w:r>
      <w:r>
        <w:rPr>
          <w:rStyle w:val="21"/>
          <w:rFonts w:hint="eastAsia" w:ascii="黑体" w:hAnsi="黑体" w:eastAsia="黑体" w:cs="黑体"/>
          <w:b/>
          <w:bCs/>
          <w:sz w:val="32"/>
          <w:szCs w:val="32"/>
          <w:shd w:val="clear" w:fill="FFFFFF"/>
        </w:rPr>
        <w:t>一</w:t>
      </w:r>
      <w:r>
        <w:rPr>
          <w:rFonts w:hint="eastAsia" w:ascii="黑体" w:hAnsi="黑体" w:eastAsia="黑体" w:cs="黑体"/>
          <w:kern w:val="0"/>
          <w:sz w:val="32"/>
          <w:szCs w:val="32"/>
          <w:shd w:val="clear" w:fill="FFFFFF"/>
        </w:rPr>
        <w:t>般公共预算财政拨款支出决算情况说明</w:t>
      </w:r>
    </w:p>
    <w:p w14:paraId="738F5654">
      <w:pPr>
        <w:pStyle w:val="20"/>
        <w:keepNext w:val="0"/>
        <w:keepLines w:val="0"/>
        <w:widowControl/>
        <w:suppressLineNumbers w:val="0"/>
        <w:spacing w:before="0" w:beforeAutospacing="0"/>
        <w:ind w:firstLine="643" w:firstLineChars="200"/>
        <w:jc w:val="left"/>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rPr>
        <w:t>（一）一般公共预算财政拨款支出决算总体情况</w:t>
      </w:r>
    </w:p>
    <w:p w14:paraId="70B80BCE">
      <w:pPr>
        <w:pStyle w:val="20"/>
        <w:keepNext w:val="0"/>
        <w:keepLines w:val="0"/>
        <w:widowControl/>
        <w:suppressLineNumbers w:val="0"/>
        <w:spacing w:before="0" w:beforeAutospacing="0"/>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2022年一般公共预算财政拨款支出7,658.69万元，占本年支出合计的100.00%。与2021年相比，一般公共预算财政拨款支出增加-7,462.66万元，增长-49.35%。</w:t>
      </w:r>
      <w:r>
        <w:rPr>
          <w:rFonts w:hint="eastAsia" w:ascii="仿宋_GB2312" w:hAnsi="仿宋_GB2312" w:eastAsia="仿宋_GB2312" w:cs="仿宋_GB2312"/>
          <w:kern w:val="0"/>
          <w:sz w:val="32"/>
          <w:szCs w:val="32"/>
          <w:highlight w:val="none"/>
          <w:shd w:val="clear" w:fill="FFFFFF"/>
        </w:rPr>
        <w:t>主要变动原因是</w:t>
      </w:r>
      <w:r>
        <w:rPr>
          <w:rFonts w:hint="eastAsia" w:ascii="仿宋_GB2312" w:hAnsi="仿宋_GB2312" w:eastAsia="仿宋_GB2312" w:cs="仿宋_GB2312"/>
          <w:kern w:val="0"/>
          <w:sz w:val="32"/>
          <w:szCs w:val="32"/>
          <w:highlight w:val="none"/>
          <w:shd w:val="clear" w:fill="FFFFFF"/>
          <w:lang w:val="en-US" w:eastAsia="zh-CN"/>
        </w:rPr>
        <w:t>2022年无财政返还款、项目减少以及事业机构单独核算。</w:t>
      </w:r>
    </w:p>
    <w:p w14:paraId="79F69F39">
      <w:pPr>
        <w:pStyle w:val="20"/>
        <w:keepNext w:val="0"/>
        <w:keepLines w:val="0"/>
        <w:widowControl/>
        <w:suppressLineNumbers w:val="0"/>
        <w:spacing w:before="0" w:beforeAutospacing="0"/>
        <w:ind w:left="0"/>
        <w:jc w:val="left"/>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 xml:space="preserve"> </w:t>
      </w:r>
    </w:p>
    <w:p w14:paraId="3067D6E8">
      <w:pPr>
        <w:pStyle w:val="20"/>
        <w:keepNext w:val="0"/>
        <w:keepLines w:val="0"/>
        <w:widowControl/>
        <w:suppressLineNumbers w:val="0"/>
        <w:spacing w:before="0" w:beforeAutospacing="0"/>
        <w:ind w:left="0"/>
        <w:jc w:val="left"/>
        <w:rPr>
          <w:rFonts w:hint="eastAsia" w:ascii="仿宋_GB2312" w:hAnsi="仿宋_GB2312" w:eastAsia="仿宋_GB2312" w:cs="仿宋_GB2312"/>
          <w:kern w:val="0"/>
          <w:sz w:val="32"/>
          <w:szCs w:val="32"/>
          <w:shd w:val="clear" w:fill="FFFFFF"/>
        </w:rPr>
      </w:pPr>
    </w:p>
    <w:p w14:paraId="2E4D54A9">
      <w:pPr>
        <w:pStyle w:val="20"/>
        <w:keepNext w:val="0"/>
        <w:keepLines w:val="0"/>
        <w:widowControl/>
        <w:suppressLineNumbers w:val="0"/>
        <w:spacing w:before="0" w:beforeAutospacing="0"/>
        <w:ind w:left="0" w:firstLine="640" w:firstLineChars="200"/>
        <w:jc w:val="left"/>
        <w:rPr>
          <w:rFonts w:hint="eastAsia" w:ascii="宋体" w:hAnsi="宋体" w:eastAsia="宋体" w:cs="宋体"/>
          <w:kern w:val="0"/>
          <w:sz w:val="24"/>
          <w:szCs w:val="24"/>
          <w:shd w:val="clear" w:fill="FFFFFF"/>
        </w:rPr>
      </w:pPr>
      <w:r>
        <w:rPr>
          <w:rFonts w:hint="eastAsia" w:ascii="仿宋_GB2312" w:hAnsi="仿宋_GB2312" w:eastAsia="仿宋_GB2312" w:cs="仿宋_GB2312"/>
          <w:kern w:val="0"/>
          <w:sz w:val="32"/>
          <w:szCs w:val="32"/>
          <w:shd w:val="clear" w:fill="FFFFFF"/>
        </w:rPr>
        <w:t>（图5：一般公共预算财政拨款支出决算变动情况）（柱状图）</w:t>
      </w:r>
    </w:p>
    <w:p w14:paraId="6CD5A805">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fldChar w:fldCharType="begin"/>
      </w:r>
      <w:r>
        <w:instrText xml:space="preserve">INCLUDEPICTURE \d "C:\\Users\\ADMINI~1\\AppData\\Local\\Temp\\f0b90e2961544aecbe0998a592f1a513\\Users\\ADMINI~1\\AppData\\Local\\Temp\\~tmp{ed0fa719-e2e2-4ea9-a64e-146f1651668f}4064958.files\\~tmp{ed0fa719-e2e2-4ea9-a64e-146f1651668f}40649587781.png" \* MERGEFORMATINET </w:instrText>
      </w:r>
      <w:r>
        <w:fldChar w:fldCharType="separate"/>
      </w:r>
      <w:r>
        <w:drawing>
          <wp:inline distT="0" distB="0" distL="114300" distR="114300">
            <wp:extent cx="4657725" cy="2828925"/>
            <wp:effectExtent l="0" t="0" r="9525" b="9525"/>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10"/>
                    <a:stretch>
                      <a:fillRect/>
                    </a:stretch>
                  </pic:blipFill>
                  <pic:spPr>
                    <a:xfrm>
                      <a:off x="0" y="0"/>
                      <a:ext cx="4657725" cy="2828925"/>
                    </a:xfrm>
                    <a:prstGeom prst="rect">
                      <a:avLst/>
                    </a:prstGeom>
                    <a:noFill/>
                    <a:ln w="9525">
                      <a:noFill/>
                    </a:ln>
                  </pic:spPr>
                </pic:pic>
              </a:graphicData>
            </a:graphic>
          </wp:inline>
        </w:drawing>
      </w:r>
      <w:r>
        <w:fldChar w:fldCharType="end"/>
      </w:r>
    </w:p>
    <w:p w14:paraId="5A6BC870">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4AEBC485">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（二）一般公共预算财政拨款支出决算结构情况</w:t>
      </w:r>
    </w:p>
    <w:p w14:paraId="109FD5A0">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rPr>
        <w:t>2022年一般公共预算财政拨款支出7,658.69万元，主要用于以下方面</w:t>
      </w:r>
      <w:r>
        <w:rPr>
          <w:rFonts w:hint="eastAsia" w:ascii="仿宋_GB2312" w:hAnsi="仿宋_GB2312" w:eastAsia="仿宋_GB2312" w:cs="仿宋_GB2312"/>
          <w:b w:val="0"/>
          <w:bCs w:val="0"/>
          <w:kern w:val="0"/>
          <w:sz w:val="32"/>
          <w:szCs w:val="32"/>
          <w:shd w:val="clear" w:fill="FFFFFF"/>
          <w:lang w:eastAsia="zh-CN"/>
        </w:rPr>
        <w:t>：</w:t>
      </w:r>
      <w:r>
        <w:rPr>
          <w:rStyle w:val="21"/>
          <w:rFonts w:hint="eastAsia" w:ascii="仿宋_GB2312" w:hAnsi="仿宋_GB2312" w:eastAsia="仿宋_GB2312" w:cs="仿宋_GB2312"/>
          <w:b w:val="0"/>
          <w:bCs w:val="0"/>
          <w:sz w:val="32"/>
          <w:szCs w:val="32"/>
          <w:shd w:val="clear" w:fill="FFFFFF"/>
        </w:rPr>
        <w:t>一般公共服务（类）</w:t>
      </w:r>
      <w:r>
        <w:rPr>
          <w:rFonts w:hint="eastAsia" w:ascii="仿宋_GB2312" w:hAnsi="仿宋_GB2312" w:eastAsia="仿宋_GB2312" w:cs="仿宋_GB2312"/>
          <w:b w:val="0"/>
          <w:bCs w:val="0"/>
          <w:kern w:val="0"/>
          <w:sz w:val="32"/>
          <w:szCs w:val="32"/>
          <w:shd w:val="clear" w:fill="FFFFFF"/>
        </w:rPr>
        <w:t>支出0.00万元，占0.00%；</w:t>
      </w:r>
      <w:r>
        <w:rPr>
          <w:rStyle w:val="21"/>
          <w:rFonts w:hint="eastAsia" w:ascii="仿宋_GB2312" w:hAnsi="仿宋_GB2312" w:eastAsia="仿宋_GB2312" w:cs="仿宋_GB2312"/>
          <w:b w:val="0"/>
          <w:bCs w:val="0"/>
          <w:sz w:val="32"/>
          <w:szCs w:val="32"/>
          <w:shd w:val="clear" w:fill="FFFFFF"/>
        </w:rPr>
        <w:t>教育支出（类）</w:t>
      </w:r>
      <w:r>
        <w:rPr>
          <w:rFonts w:hint="eastAsia" w:ascii="仿宋_GB2312" w:hAnsi="仿宋_GB2312" w:eastAsia="仿宋_GB2312" w:cs="仿宋_GB2312"/>
          <w:b w:val="0"/>
          <w:bCs w:val="0"/>
          <w:kern w:val="0"/>
          <w:sz w:val="32"/>
          <w:szCs w:val="32"/>
          <w:shd w:val="clear" w:fill="FFFFFF"/>
        </w:rPr>
        <w:t>0.00万元，占0.00%；</w:t>
      </w:r>
      <w:r>
        <w:rPr>
          <w:rStyle w:val="21"/>
          <w:rFonts w:hint="eastAsia" w:ascii="仿宋_GB2312" w:hAnsi="仿宋_GB2312" w:eastAsia="仿宋_GB2312" w:cs="仿宋_GB2312"/>
          <w:b w:val="0"/>
          <w:bCs w:val="0"/>
          <w:sz w:val="32"/>
          <w:szCs w:val="32"/>
          <w:shd w:val="clear" w:fill="FFFFFF"/>
        </w:rPr>
        <w:t>科学技术（类）</w:t>
      </w:r>
      <w:r>
        <w:rPr>
          <w:rFonts w:hint="eastAsia" w:ascii="仿宋_GB2312" w:hAnsi="仿宋_GB2312" w:eastAsia="仿宋_GB2312" w:cs="仿宋_GB2312"/>
          <w:b w:val="0"/>
          <w:bCs w:val="0"/>
          <w:kern w:val="0"/>
          <w:sz w:val="32"/>
          <w:szCs w:val="32"/>
          <w:shd w:val="clear" w:fill="FFFFFF"/>
        </w:rPr>
        <w:t>支出0.00万元，占0.00%；</w:t>
      </w:r>
      <w:r>
        <w:rPr>
          <w:rStyle w:val="21"/>
          <w:rFonts w:hint="eastAsia" w:ascii="仿宋_GB2312" w:hAnsi="仿宋_GB2312" w:eastAsia="仿宋_GB2312" w:cs="仿宋_GB2312"/>
          <w:b w:val="0"/>
          <w:bCs w:val="0"/>
          <w:sz w:val="32"/>
          <w:szCs w:val="32"/>
          <w:shd w:val="clear" w:fill="FFFFFF"/>
        </w:rPr>
        <w:t>文化旅游体育与传媒（类）支出0.00万元，占0.00%；社会保障和就业（类）</w:t>
      </w:r>
      <w:r>
        <w:rPr>
          <w:rFonts w:hint="eastAsia" w:ascii="仿宋_GB2312" w:hAnsi="仿宋_GB2312" w:eastAsia="仿宋_GB2312" w:cs="仿宋_GB2312"/>
          <w:b w:val="0"/>
          <w:bCs w:val="0"/>
          <w:kern w:val="0"/>
          <w:sz w:val="32"/>
          <w:szCs w:val="32"/>
          <w:shd w:val="clear" w:fill="FFFFFF"/>
        </w:rPr>
        <w:t>支出43.54万元，占0.57%；</w:t>
      </w:r>
      <w:r>
        <w:rPr>
          <w:rStyle w:val="21"/>
          <w:rFonts w:hint="eastAsia" w:ascii="仿宋_GB2312" w:hAnsi="仿宋_GB2312" w:eastAsia="仿宋_GB2312" w:cs="仿宋_GB2312"/>
          <w:b w:val="0"/>
          <w:bCs w:val="0"/>
          <w:sz w:val="32"/>
          <w:szCs w:val="32"/>
          <w:shd w:val="clear" w:fill="FFFFFF"/>
        </w:rPr>
        <w:t>卫生健康支出</w:t>
      </w:r>
      <w:r>
        <w:rPr>
          <w:rFonts w:hint="eastAsia" w:ascii="仿宋_GB2312" w:hAnsi="仿宋_GB2312" w:eastAsia="仿宋_GB2312" w:cs="仿宋_GB2312"/>
          <w:b w:val="0"/>
          <w:bCs w:val="0"/>
          <w:kern w:val="0"/>
          <w:sz w:val="32"/>
          <w:szCs w:val="32"/>
          <w:shd w:val="clear" w:fill="FFFFFF"/>
        </w:rPr>
        <w:t>16.26万元，占0.21%；住房保障支出23.30万元，占0.30%；节能环保支出（类）875.84万元，占比11.43%；农林水支出（类）4783万元，占比62.45%；自然资源海洋气象（类）等支出1916.74万元，占比25.04%。</w:t>
      </w:r>
    </w:p>
    <w:p w14:paraId="05A29131">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b w:val="0"/>
          <w:bCs w:val="0"/>
          <w:kern w:val="0"/>
          <w:sz w:val="32"/>
          <w:szCs w:val="32"/>
          <w:shd w:val="clear" w:fill="FFFFFF"/>
        </w:rPr>
      </w:pPr>
      <w:r>
        <w:rPr>
          <w:rStyle w:val="21"/>
          <w:rFonts w:hint="eastAsia" w:ascii="仿宋_GB2312" w:hAnsi="仿宋_GB2312" w:eastAsia="仿宋_GB2312" w:cs="仿宋_GB2312"/>
          <w:b w:val="0"/>
          <w:bCs w:val="0"/>
          <w:sz w:val="32"/>
          <w:szCs w:val="32"/>
          <w:shd w:val="clear" w:fill="FFFFFF"/>
        </w:rPr>
        <w:t>（注：数据来源于财决01-1表，仅罗列本部门涉及的全部功能分类科目，至类级。）</w:t>
      </w:r>
    </w:p>
    <w:p w14:paraId="3BFB7E74">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仿宋_GB2312" w:hAnsi="仿宋_GB2312" w:eastAsia="仿宋_GB2312" w:cs="仿宋_GB2312"/>
          <w:b w:val="0"/>
          <w:bCs w:val="0"/>
          <w:kern w:val="0"/>
          <w:sz w:val="32"/>
          <w:szCs w:val="32"/>
          <w:shd w:val="clear" w:fill="FFFFFF"/>
        </w:rPr>
        <w:t xml:space="preserve"> </w:t>
      </w:r>
      <w:r>
        <w:rPr>
          <w:rFonts w:hint="eastAsia" w:ascii="仿宋_GB2312" w:hAnsi="仿宋_GB2312" w:eastAsia="仿宋_GB2312" w:cs="仿宋_GB2312"/>
          <w:b w:val="0"/>
          <w:bCs w:val="0"/>
          <w:kern w:val="0"/>
          <w:sz w:val="32"/>
          <w:szCs w:val="32"/>
          <w:shd w:val="clear" w:fill="FFFFFF"/>
          <w:lang w:val="en-US" w:eastAsia="zh-CN"/>
        </w:rPr>
        <w:t xml:space="preserve">   </w:t>
      </w:r>
      <w:r>
        <w:rPr>
          <w:rFonts w:hint="eastAsia" w:ascii="仿宋_GB2312" w:hAnsi="仿宋_GB2312" w:eastAsia="仿宋_GB2312" w:cs="仿宋_GB2312"/>
          <w:b w:val="0"/>
          <w:bCs w:val="0"/>
          <w:kern w:val="0"/>
          <w:sz w:val="32"/>
          <w:szCs w:val="32"/>
          <w:shd w:val="clear" w:fill="FFFFFF"/>
        </w:rPr>
        <w:t>（图6：一般公共预算财政拨款支出决算结构）（饼状图</w:t>
      </w:r>
      <w:r>
        <w:rPr>
          <w:rFonts w:hint="eastAsia" w:ascii="宋体" w:hAnsi="宋体" w:eastAsia="宋体" w:cs="宋体"/>
          <w:kern w:val="0"/>
          <w:sz w:val="24"/>
          <w:szCs w:val="24"/>
          <w:shd w:val="clear" w:fill="FFFFFF"/>
        </w:rPr>
        <w:t>）</w:t>
      </w:r>
    </w:p>
    <w:p w14:paraId="56AA42D5">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fldChar w:fldCharType="begin"/>
      </w:r>
      <w:r>
        <w:instrText xml:space="preserve">INCLUDEPICTURE \d "C:\\Users\\ADMINI~1\\AppData\\Local\\Temp\\f0b90e2961544aecbe0998a592f1a513\\Users\\ADMINI~1\\AppData\\Local\\Temp\\~tmp{ed0fa719-e2e2-4ea9-a64e-146f1651668f}4064958.files\\~tmp{ed0fa719-e2e2-4ea9-a64e-146f1651668f}40649588436.png" \* MERGEFORMATINET </w:instrText>
      </w:r>
      <w:r>
        <w:fldChar w:fldCharType="separate"/>
      </w:r>
      <w:r>
        <w:drawing>
          <wp:inline distT="0" distB="0" distL="114300" distR="114300">
            <wp:extent cx="5524500" cy="2847975"/>
            <wp:effectExtent l="0" t="0" r="0" b="9525"/>
            <wp:docPr id="2"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IMG_261"/>
                    <pic:cNvPicPr>
                      <a:picLocks noChangeAspect="1"/>
                    </pic:cNvPicPr>
                  </pic:nvPicPr>
                  <pic:blipFill>
                    <a:blip r:embed="rId11"/>
                    <a:stretch>
                      <a:fillRect/>
                    </a:stretch>
                  </pic:blipFill>
                  <pic:spPr>
                    <a:xfrm>
                      <a:off x="0" y="0"/>
                      <a:ext cx="5524500" cy="2847975"/>
                    </a:xfrm>
                    <a:prstGeom prst="rect">
                      <a:avLst/>
                    </a:prstGeom>
                    <a:noFill/>
                    <a:ln w="9525">
                      <a:noFill/>
                    </a:ln>
                  </pic:spPr>
                </pic:pic>
              </a:graphicData>
            </a:graphic>
          </wp:inline>
        </w:drawing>
      </w:r>
      <w:r>
        <w:fldChar w:fldCharType="end"/>
      </w:r>
    </w:p>
    <w:p w14:paraId="791D6386">
      <w:pPr>
        <w:pStyle w:val="20"/>
        <w:keepNext w:val="0"/>
        <w:keepLines w:val="0"/>
        <w:widowControl/>
        <w:suppressLineNumbers w:val="0"/>
        <w:spacing w:before="0" w:beforeAutospacing="0"/>
        <w:ind w:left="0" w:firstLine="643" w:firstLineChars="200"/>
        <w:jc w:val="left"/>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lang w:eastAsia="zh-CN"/>
        </w:rPr>
        <w:t>（</w:t>
      </w:r>
      <w:r>
        <w:rPr>
          <w:rStyle w:val="21"/>
          <w:rFonts w:hint="eastAsia" w:ascii="仿宋_GB2312" w:hAnsi="仿宋_GB2312" w:eastAsia="仿宋_GB2312" w:cs="仿宋_GB2312"/>
          <w:b/>
          <w:bCs/>
          <w:sz w:val="32"/>
          <w:szCs w:val="32"/>
          <w:shd w:val="clear" w:fill="FFFFFF"/>
        </w:rPr>
        <w:t>三）一般公共预算财政拨款支出决算具体情况</w:t>
      </w:r>
    </w:p>
    <w:p w14:paraId="2974B8B2">
      <w:pPr>
        <w:pStyle w:val="20"/>
        <w:keepNext w:val="0"/>
        <w:keepLines w:val="0"/>
        <w:widowControl/>
        <w:suppressLineNumbers w:val="0"/>
        <w:spacing w:before="0" w:beforeAutospacing="0"/>
        <w:ind w:left="0" w:firstLine="640" w:firstLineChars="200"/>
        <w:jc w:val="left"/>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2022年一般公共预算支出决算数为7,658.69</w:t>
      </w:r>
      <w:r>
        <w:rPr>
          <w:rFonts w:hint="eastAsia" w:ascii="仿宋_GB2312" w:hAnsi="仿宋_GB2312" w:eastAsia="仿宋_GB2312" w:cs="仿宋_GB2312"/>
          <w:b w:val="0"/>
          <w:bCs w:val="0"/>
          <w:kern w:val="0"/>
          <w:sz w:val="32"/>
          <w:szCs w:val="32"/>
          <w:shd w:val="clear" w:fill="FFFFFF"/>
        </w:rPr>
        <w:t>，</w:t>
      </w:r>
      <w:r>
        <w:rPr>
          <w:rStyle w:val="21"/>
          <w:rFonts w:hint="eastAsia" w:ascii="仿宋_GB2312" w:hAnsi="仿宋_GB2312" w:eastAsia="仿宋_GB2312" w:cs="仿宋_GB2312"/>
          <w:b w:val="0"/>
          <w:bCs w:val="0"/>
          <w:sz w:val="32"/>
          <w:szCs w:val="32"/>
          <w:shd w:val="clear" w:fill="FFFFFF"/>
        </w:rPr>
        <w:t>完成预算100.00%。其中：</w:t>
      </w:r>
    </w:p>
    <w:p w14:paraId="4326D120">
      <w:pPr>
        <w:pStyle w:val="20"/>
        <w:keepNext w:val="0"/>
        <w:keepLines w:val="0"/>
        <w:widowControl/>
        <w:suppressLineNumbers w:val="0"/>
        <w:spacing w:before="0" w:beforeAutospacing="0"/>
        <w:ind w:left="0" w:leftChars="0" w:right="0" w:rightChars="0" w:firstLine="640" w:firstLineChars="200"/>
        <w:jc w:val="left"/>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rPr>
        <w:t>1.</w:t>
      </w:r>
      <w:r>
        <w:rPr>
          <w:rStyle w:val="21"/>
          <w:rFonts w:hint="eastAsia" w:ascii="仿宋_GB2312" w:hAnsi="仿宋_GB2312" w:eastAsia="仿宋_GB2312" w:cs="仿宋_GB2312"/>
          <w:b w:val="0"/>
          <w:bCs w:val="0"/>
          <w:sz w:val="32"/>
          <w:szCs w:val="32"/>
          <w:shd w:val="clear" w:fill="FFFFFF"/>
        </w:rPr>
        <w:t>社会保障和就业（类）208（款）05（项）05: 支出决算为29.72万元，完成预算100%，决算数等于预算数。</w:t>
      </w:r>
    </w:p>
    <w:p w14:paraId="1CEDD2D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rPr>
        <w:t>2.</w:t>
      </w:r>
      <w:r>
        <w:rPr>
          <w:rStyle w:val="22"/>
          <w:rFonts w:hint="eastAsia" w:ascii="仿宋_GB2312" w:hAnsi="仿宋_GB2312" w:eastAsia="仿宋_GB2312" w:cs="仿宋_GB2312"/>
          <w:b w:val="0"/>
          <w:bCs w:val="0"/>
          <w:sz w:val="32"/>
          <w:szCs w:val="32"/>
        </w:rPr>
        <w:t>社会保障和就业（类）208（款）05（项）06: 支出决算为69.61万元，完成预算100%，决算数等于预算数。</w:t>
      </w:r>
    </w:p>
    <w:p w14:paraId="26D9DC5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3.</w:t>
      </w:r>
      <w:r>
        <w:rPr>
          <w:rStyle w:val="21"/>
          <w:rFonts w:hint="eastAsia" w:ascii="仿宋_GB2312" w:hAnsi="仿宋_GB2312" w:eastAsia="仿宋_GB2312" w:cs="仿宋_GB2312"/>
          <w:b w:val="0"/>
          <w:bCs w:val="0"/>
          <w:sz w:val="32"/>
          <w:szCs w:val="32"/>
          <w:shd w:val="clear" w:fill="FFFFFF"/>
        </w:rPr>
        <w:t>卫生健康（类）210（款）11（项）01</w:t>
      </w:r>
      <w:r>
        <w:rPr>
          <w:rStyle w:val="21"/>
          <w:rFonts w:hint="eastAsia" w:ascii="仿宋_GB2312" w:hAnsi="仿宋_GB2312" w:eastAsia="仿宋_GB2312" w:cs="仿宋_GB2312"/>
          <w:b w:val="0"/>
          <w:bCs w:val="0"/>
          <w:sz w:val="32"/>
          <w:szCs w:val="32"/>
          <w:shd w:val="clear" w:fill="FFFFFF"/>
          <w:lang w:eastAsia="zh-CN"/>
        </w:rPr>
        <w:t>：</w:t>
      </w:r>
      <w:r>
        <w:rPr>
          <w:rStyle w:val="21"/>
          <w:rFonts w:hint="eastAsia" w:ascii="仿宋_GB2312" w:hAnsi="仿宋_GB2312" w:eastAsia="仿宋_GB2312" w:cs="仿宋_GB2312"/>
          <w:b w:val="0"/>
          <w:bCs w:val="0"/>
          <w:sz w:val="32"/>
          <w:szCs w:val="32"/>
          <w:shd w:val="clear" w:fill="FFFFFF"/>
        </w:rPr>
        <w:t>支出决算为13.28万元，完成预算100%，决算数等于预算数</w:t>
      </w:r>
      <w:r>
        <w:rPr>
          <w:rStyle w:val="22"/>
          <w:rFonts w:hint="eastAsia" w:ascii="仿宋_GB2312" w:hAnsi="仿宋_GB2312" w:eastAsia="仿宋_GB2312" w:cs="仿宋_GB2312"/>
          <w:b w:val="0"/>
          <w:bCs w:val="0"/>
          <w:sz w:val="32"/>
          <w:szCs w:val="32"/>
        </w:rPr>
        <w:t>。</w:t>
      </w:r>
    </w:p>
    <w:p w14:paraId="445C9FA4">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4.</w:t>
      </w:r>
      <w:r>
        <w:rPr>
          <w:rStyle w:val="21"/>
          <w:rFonts w:hint="eastAsia" w:ascii="仿宋_GB2312" w:hAnsi="仿宋_GB2312" w:eastAsia="仿宋_GB2312" w:cs="仿宋_GB2312"/>
          <w:b w:val="0"/>
          <w:bCs w:val="0"/>
          <w:sz w:val="32"/>
          <w:szCs w:val="32"/>
          <w:shd w:val="clear" w:fill="FFFFFF"/>
        </w:rPr>
        <w:t>卫生健康（类）210（款）11（项）03</w:t>
      </w:r>
      <w:r>
        <w:rPr>
          <w:rStyle w:val="21"/>
          <w:rFonts w:hint="eastAsia" w:ascii="仿宋_GB2312" w:hAnsi="仿宋_GB2312" w:eastAsia="仿宋_GB2312" w:cs="仿宋_GB2312"/>
          <w:b w:val="0"/>
          <w:bCs w:val="0"/>
          <w:sz w:val="32"/>
          <w:szCs w:val="32"/>
          <w:shd w:val="clear" w:fill="FFFFFF"/>
          <w:lang w:eastAsia="zh-CN"/>
        </w:rPr>
        <w:t>：</w:t>
      </w:r>
      <w:r>
        <w:rPr>
          <w:rStyle w:val="21"/>
          <w:rFonts w:hint="eastAsia" w:ascii="仿宋_GB2312" w:hAnsi="仿宋_GB2312" w:eastAsia="仿宋_GB2312" w:cs="仿宋_GB2312"/>
          <w:b w:val="0"/>
          <w:bCs w:val="0"/>
          <w:sz w:val="32"/>
          <w:szCs w:val="32"/>
          <w:shd w:val="clear" w:fill="FFFFFF"/>
        </w:rPr>
        <w:t>支出决算为2.98万元，完成预算100%，决算数等于预算数</w:t>
      </w:r>
      <w:r>
        <w:rPr>
          <w:rStyle w:val="22"/>
          <w:rFonts w:hint="eastAsia" w:ascii="仿宋_GB2312" w:hAnsi="仿宋_GB2312" w:eastAsia="仿宋_GB2312" w:cs="仿宋_GB2312"/>
          <w:b w:val="0"/>
          <w:bCs w:val="0"/>
          <w:sz w:val="32"/>
          <w:szCs w:val="32"/>
        </w:rPr>
        <w:t>。</w:t>
      </w:r>
    </w:p>
    <w:p w14:paraId="24470FED">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kern w:val="0"/>
          <w:sz w:val="32"/>
          <w:szCs w:val="32"/>
        </w:rPr>
        <w:t>5.</w:t>
      </w:r>
      <w:r>
        <w:rPr>
          <w:rFonts w:hint="eastAsia" w:ascii="仿宋_GB2312" w:hAnsi="仿宋_GB2312" w:eastAsia="仿宋_GB2312" w:cs="仿宋_GB2312"/>
          <w:b w:val="0"/>
          <w:bCs w:val="0"/>
          <w:kern w:val="2"/>
          <w:sz w:val="32"/>
          <w:szCs w:val="32"/>
        </w:rPr>
        <w:t>住房保障（类）221（款）02（项）01：</w:t>
      </w:r>
      <w:r>
        <w:rPr>
          <w:rFonts w:hint="eastAsia" w:ascii="仿宋_GB2312" w:hAnsi="仿宋_GB2312" w:eastAsia="仿宋_GB2312" w:cs="仿宋_GB2312"/>
          <w:b w:val="0"/>
          <w:bCs w:val="0"/>
          <w:kern w:val="0"/>
          <w:sz w:val="32"/>
          <w:szCs w:val="32"/>
        </w:rPr>
        <w:t>支出决算为23.3万元，</w:t>
      </w:r>
      <w:r>
        <w:rPr>
          <w:rStyle w:val="22"/>
          <w:rFonts w:hint="eastAsia" w:ascii="仿宋_GB2312" w:hAnsi="仿宋_GB2312" w:eastAsia="仿宋_GB2312" w:cs="仿宋_GB2312"/>
          <w:b w:val="0"/>
          <w:bCs w:val="0"/>
          <w:sz w:val="32"/>
          <w:szCs w:val="32"/>
        </w:rPr>
        <w:t>完成预算100%，决算数等于预算数。</w:t>
      </w:r>
    </w:p>
    <w:p w14:paraId="12300D89">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6.节能环保（类）211（款）03（项）02：</w:t>
      </w:r>
      <w:r>
        <w:rPr>
          <w:rFonts w:hint="eastAsia" w:ascii="仿宋_GB2312" w:hAnsi="仿宋_GB2312" w:eastAsia="仿宋_GB2312" w:cs="仿宋_GB2312"/>
          <w:b w:val="0"/>
          <w:bCs w:val="0"/>
          <w:kern w:val="0"/>
          <w:sz w:val="32"/>
          <w:szCs w:val="32"/>
        </w:rPr>
        <w:t>支出决算为5万，</w:t>
      </w:r>
      <w:r>
        <w:rPr>
          <w:rStyle w:val="22"/>
          <w:rFonts w:hint="eastAsia" w:ascii="仿宋_GB2312" w:hAnsi="仿宋_GB2312" w:eastAsia="仿宋_GB2312" w:cs="仿宋_GB2312"/>
          <w:b w:val="0"/>
          <w:bCs w:val="0"/>
          <w:sz w:val="32"/>
          <w:szCs w:val="32"/>
        </w:rPr>
        <w:t>完成预算100%，决算数等于预算数。</w:t>
      </w:r>
    </w:p>
    <w:p w14:paraId="5AB6D939">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7.节能环保（类）211（款）04（项）01：</w:t>
      </w:r>
      <w:r>
        <w:rPr>
          <w:rFonts w:hint="eastAsia" w:ascii="仿宋_GB2312" w:hAnsi="仿宋_GB2312" w:eastAsia="仿宋_GB2312" w:cs="仿宋_GB2312"/>
          <w:b w:val="0"/>
          <w:bCs w:val="0"/>
          <w:kern w:val="0"/>
          <w:sz w:val="32"/>
          <w:szCs w:val="32"/>
        </w:rPr>
        <w:t>支出决算为584.8万，</w:t>
      </w:r>
      <w:r>
        <w:rPr>
          <w:rStyle w:val="22"/>
          <w:rFonts w:hint="eastAsia" w:ascii="仿宋_GB2312" w:hAnsi="仿宋_GB2312" w:eastAsia="仿宋_GB2312" w:cs="仿宋_GB2312"/>
          <w:b w:val="0"/>
          <w:bCs w:val="0"/>
          <w:sz w:val="32"/>
          <w:szCs w:val="32"/>
        </w:rPr>
        <w:t>完成预算100%，决算数等于预算数。</w:t>
      </w:r>
    </w:p>
    <w:p w14:paraId="06F4B204">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8.节能环保（类）211（款）04（项）05：</w:t>
      </w:r>
      <w:r>
        <w:rPr>
          <w:rFonts w:hint="eastAsia" w:ascii="仿宋_GB2312" w:hAnsi="仿宋_GB2312" w:eastAsia="仿宋_GB2312" w:cs="仿宋_GB2312"/>
          <w:b w:val="0"/>
          <w:bCs w:val="0"/>
          <w:kern w:val="0"/>
          <w:sz w:val="32"/>
          <w:szCs w:val="32"/>
        </w:rPr>
        <w:t>支出决算为60.40万，</w:t>
      </w:r>
      <w:r>
        <w:rPr>
          <w:rStyle w:val="22"/>
          <w:rFonts w:hint="eastAsia" w:ascii="仿宋_GB2312" w:hAnsi="仿宋_GB2312" w:eastAsia="仿宋_GB2312" w:cs="仿宋_GB2312"/>
          <w:b w:val="0"/>
          <w:bCs w:val="0"/>
          <w:sz w:val="32"/>
          <w:szCs w:val="32"/>
        </w:rPr>
        <w:t>完成预算100%，决算数等于预算数。</w:t>
      </w:r>
    </w:p>
    <w:p w14:paraId="7C003F1F">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9.节能环保（类）211（款）04（项）06：</w:t>
      </w:r>
      <w:r>
        <w:rPr>
          <w:rFonts w:hint="eastAsia" w:ascii="仿宋_GB2312" w:hAnsi="仿宋_GB2312" w:eastAsia="仿宋_GB2312" w:cs="仿宋_GB2312"/>
          <w:b w:val="0"/>
          <w:bCs w:val="0"/>
          <w:kern w:val="0"/>
          <w:sz w:val="32"/>
          <w:szCs w:val="32"/>
        </w:rPr>
        <w:t>支出决算为145万，</w:t>
      </w:r>
      <w:r>
        <w:rPr>
          <w:rStyle w:val="22"/>
          <w:rFonts w:hint="eastAsia" w:ascii="仿宋_GB2312" w:hAnsi="仿宋_GB2312" w:eastAsia="仿宋_GB2312" w:cs="仿宋_GB2312"/>
          <w:b w:val="0"/>
          <w:bCs w:val="0"/>
          <w:sz w:val="32"/>
          <w:szCs w:val="32"/>
        </w:rPr>
        <w:t>完成预算100%，决算数等于预算数。</w:t>
      </w:r>
    </w:p>
    <w:p w14:paraId="69538391">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10.节能环保（类）211（款）05（项）02：</w:t>
      </w:r>
      <w:r>
        <w:rPr>
          <w:rFonts w:hint="eastAsia" w:ascii="仿宋_GB2312" w:hAnsi="仿宋_GB2312" w:eastAsia="仿宋_GB2312" w:cs="仿宋_GB2312"/>
          <w:b w:val="0"/>
          <w:bCs w:val="0"/>
          <w:kern w:val="0"/>
          <w:sz w:val="32"/>
          <w:szCs w:val="32"/>
        </w:rPr>
        <w:t>支出决算为72.45万，</w:t>
      </w:r>
      <w:r>
        <w:rPr>
          <w:rStyle w:val="22"/>
          <w:rFonts w:hint="eastAsia" w:ascii="仿宋_GB2312" w:hAnsi="仿宋_GB2312" w:eastAsia="仿宋_GB2312" w:cs="仿宋_GB2312"/>
          <w:b w:val="0"/>
          <w:bCs w:val="0"/>
          <w:sz w:val="32"/>
          <w:szCs w:val="32"/>
        </w:rPr>
        <w:t>完成预算100%，决算数等于预算数。</w:t>
      </w:r>
    </w:p>
    <w:p w14:paraId="27EB7233">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leftChars="0" w:right="0" w:rightChars="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11.节能环保（类）211（款）99（项）99：</w:t>
      </w:r>
      <w:r>
        <w:rPr>
          <w:rFonts w:hint="eastAsia" w:ascii="仿宋_GB2312" w:hAnsi="仿宋_GB2312" w:eastAsia="仿宋_GB2312" w:cs="仿宋_GB2312"/>
          <w:b w:val="0"/>
          <w:bCs w:val="0"/>
          <w:kern w:val="0"/>
          <w:sz w:val="32"/>
          <w:szCs w:val="32"/>
        </w:rPr>
        <w:t>支出决算为51.19万，</w:t>
      </w:r>
      <w:r>
        <w:rPr>
          <w:rStyle w:val="22"/>
          <w:rFonts w:hint="eastAsia" w:ascii="仿宋_GB2312" w:hAnsi="仿宋_GB2312" w:eastAsia="仿宋_GB2312" w:cs="仿宋_GB2312"/>
          <w:b w:val="0"/>
          <w:bCs w:val="0"/>
          <w:sz w:val="32"/>
          <w:szCs w:val="32"/>
        </w:rPr>
        <w:t>完成预算100%，决算数等于预算数。</w:t>
      </w:r>
    </w:p>
    <w:p w14:paraId="1D10ABE3">
      <w:pPr>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kern w:val="0"/>
          <w:sz w:val="32"/>
          <w:szCs w:val="32"/>
        </w:rPr>
      </w:pPr>
      <w:r>
        <w:rPr>
          <w:rStyle w:val="22"/>
          <w:rFonts w:hint="eastAsia" w:ascii="仿宋_GB2312" w:hAnsi="仿宋_GB2312" w:eastAsia="仿宋_GB2312" w:cs="仿宋_GB2312"/>
          <w:b w:val="0"/>
          <w:bCs w:val="0"/>
          <w:sz w:val="32"/>
          <w:szCs w:val="32"/>
        </w:rPr>
        <w:t>12.</w:t>
      </w:r>
      <w:r>
        <w:rPr>
          <w:rFonts w:hint="eastAsia" w:ascii="仿宋_GB2312" w:hAnsi="仿宋_GB2312" w:eastAsia="仿宋_GB2312" w:cs="仿宋_GB2312"/>
          <w:b w:val="0"/>
          <w:bCs w:val="0"/>
          <w:kern w:val="2"/>
          <w:sz w:val="32"/>
          <w:szCs w:val="32"/>
        </w:rPr>
        <w:t>农林水（类）213（款）02（项）01：</w:t>
      </w:r>
      <w:r>
        <w:rPr>
          <w:rFonts w:hint="eastAsia" w:ascii="仿宋_GB2312" w:hAnsi="仿宋_GB2312" w:eastAsia="仿宋_GB2312" w:cs="仿宋_GB2312"/>
          <w:b w:val="0"/>
          <w:bCs w:val="0"/>
          <w:kern w:val="0"/>
          <w:sz w:val="32"/>
          <w:szCs w:val="32"/>
        </w:rPr>
        <w:t>支出决算为435.65万元，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5E9F14E5">
      <w:pPr>
        <w:pStyle w:val="13"/>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aps/>
          <w:kern w:val="0"/>
          <w:sz w:val="32"/>
          <w:szCs w:val="32"/>
        </w:rPr>
      </w:pPr>
      <w:r>
        <w:rPr>
          <w:rFonts w:hint="eastAsia" w:ascii="仿宋_GB2312" w:hAnsi="仿宋_GB2312" w:eastAsia="仿宋_GB2312" w:cs="仿宋_GB2312"/>
          <w:b w:val="0"/>
          <w:bCs w:val="0"/>
          <w:caps/>
          <w:kern w:val="2"/>
          <w:sz w:val="32"/>
          <w:szCs w:val="32"/>
        </w:rPr>
        <w:t>13.农林水（类）213（款）02（项）05：</w:t>
      </w:r>
      <w:r>
        <w:rPr>
          <w:rFonts w:hint="eastAsia" w:ascii="仿宋_GB2312" w:hAnsi="仿宋_GB2312" w:eastAsia="仿宋_GB2312" w:cs="仿宋_GB2312"/>
          <w:b w:val="0"/>
          <w:bCs w:val="0"/>
          <w:caps/>
          <w:kern w:val="0"/>
          <w:sz w:val="32"/>
          <w:szCs w:val="32"/>
        </w:rPr>
        <w:t>支出决算为1078.29万元，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17A763D1">
      <w:pPr>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14.农林水（类）213（款）02（项）07：</w:t>
      </w:r>
      <w:r>
        <w:rPr>
          <w:rFonts w:hint="eastAsia" w:ascii="仿宋_GB2312" w:hAnsi="仿宋_GB2312" w:eastAsia="仿宋_GB2312" w:cs="仿宋_GB2312"/>
          <w:b w:val="0"/>
          <w:bCs w:val="0"/>
          <w:kern w:val="0"/>
          <w:sz w:val="32"/>
          <w:szCs w:val="32"/>
        </w:rPr>
        <w:t>支出决算为633.80万元，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32679A5E">
      <w:pPr>
        <w:pStyle w:val="13"/>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aps/>
          <w:kern w:val="0"/>
          <w:sz w:val="32"/>
          <w:szCs w:val="32"/>
        </w:rPr>
      </w:pPr>
      <w:r>
        <w:rPr>
          <w:rFonts w:hint="eastAsia" w:ascii="仿宋_GB2312" w:hAnsi="仿宋_GB2312" w:eastAsia="仿宋_GB2312" w:cs="仿宋_GB2312"/>
          <w:b w:val="0"/>
          <w:bCs w:val="0"/>
          <w:caps/>
          <w:kern w:val="2"/>
          <w:sz w:val="32"/>
          <w:szCs w:val="32"/>
        </w:rPr>
        <w:t>15.农林水（类）213（款）02（项）09：</w:t>
      </w:r>
      <w:r>
        <w:rPr>
          <w:rFonts w:hint="eastAsia" w:ascii="仿宋_GB2312" w:hAnsi="仿宋_GB2312" w:eastAsia="仿宋_GB2312" w:cs="仿宋_GB2312"/>
          <w:b w:val="0"/>
          <w:bCs w:val="0"/>
          <w:caps/>
          <w:kern w:val="0"/>
          <w:sz w:val="32"/>
          <w:szCs w:val="32"/>
        </w:rPr>
        <w:t>支出决算为2054.91万元，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50E4E62F">
      <w:pPr>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16.农林水（类）213（款）02（项）12：</w:t>
      </w:r>
      <w:r>
        <w:rPr>
          <w:rFonts w:hint="eastAsia" w:ascii="仿宋_GB2312" w:hAnsi="仿宋_GB2312" w:eastAsia="仿宋_GB2312" w:cs="仿宋_GB2312"/>
          <w:b w:val="0"/>
          <w:bCs w:val="0"/>
          <w:kern w:val="0"/>
          <w:sz w:val="32"/>
          <w:szCs w:val="32"/>
        </w:rPr>
        <w:t>支出决算为371.58万元，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0ACA89E8">
      <w:pPr>
        <w:pStyle w:val="13"/>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aps/>
          <w:kern w:val="0"/>
          <w:sz w:val="32"/>
          <w:szCs w:val="32"/>
        </w:rPr>
      </w:pPr>
      <w:r>
        <w:rPr>
          <w:rFonts w:hint="eastAsia" w:ascii="仿宋_GB2312" w:hAnsi="仿宋_GB2312" w:eastAsia="仿宋_GB2312" w:cs="仿宋_GB2312"/>
          <w:b w:val="0"/>
          <w:bCs w:val="0"/>
          <w:caps/>
          <w:kern w:val="2"/>
          <w:sz w:val="32"/>
          <w:szCs w:val="32"/>
        </w:rPr>
        <w:t>17.农林水（类）213（款）02（项）17：</w:t>
      </w:r>
      <w:r>
        <w:rPr>
          <w:rFonts w:hint="eastAsia" w:ascii="仿宋_GB2312" w:hAnsi="仿宋_GB2312" w:eastAsia="仿宋_GB2312" w:cs="仿宋_GB2312"/>
          <w:b w:val="0"/>
          <w:bCs w:val="0"/>
          <w:caps/>
          <w:kern w:val="0"/>
          <w:sz w:val="32"/>
          <w:szCs w:val="32"/>
        </w:rPr>
        <w:t>支出决算为11.77万元，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6D0CC935">
      <w:pPr>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18.农林水（类）213（款）02（项）34：</w:t>
      </w:r>
      <w:r>
        <w:rPr>
          <w:rFonts w:hint="eastAsia" w:ascii="仿宋_GB2312" w:hAnsi="仿宋_GB2312" w:eastAsia="仿宋_GB2312" w:cs="仿宋_GB2312"/>
          <w:b w:val="0"/>
          <w:bCs w:val="0"/>
          <w:kern w:val="0"/>
          <w:sz w:val="32"/>
          <w:szCs w:val="32"/>
        </w:rPr>
        <w:t>支出决算为15.00万元，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02675CE8">
      <w:pPr>
        <w:pStyle w:val="13"/>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aps/>
          <w:kern w:val="0"/>
          <w:sz w:val="32"/>
          <w:szCs w:val="32"/>
        </w:rPr>
      </w:pPr>
      <w:r>
        <w:rPr>
          <w:rFonts w:hint="eastAsia" w:ascii="仿宋_GB2312" w:hAnsi="仿宋_GB2312" w:eastAsia="仿宋_GB2312" w:cs="仿宋_GB2312"/>
          <w:b w:val="0"/>
          <w:bCs w:val="0"/>
          <w:caps/>
          <w:kern w:val="2"/>
          <w:sz w:val="32"/>
          <w:szCs w:val="32"/>
        </w:rPr>
        <w:t>19.农林水（类）213（款）02（项）36：</w:t>
      </w:r>
      <w:r>
        <w:rPr>
          <w:rFonts w:hint="eastAsia" w:ascii="仿宋_GB2312" w:hAnsi="仿宋_GB2312" w:eastAsia="仿宋_GB2312" w:cs="仿宋_GB2312"/>
          <w:b w:val="0"/>
          <w:bCs w:val="0"/>
          <w:caps/>
          <w:kern w:val="0"/>
          <w:sz w:val="32"/>
          <w:szCs w:val="32"/>
        </w:rPr>
        <w:t>支出决算为110.00万元，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4658E454">
      <w:pPr>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2"/>
          <w:sz w:val="32"/>
          <w:szCs w:val="32"/>
        </w:rPr>
        <w:t>20.农林水（类）213（款）02（项）99：</w:t>
      </w:r>
      <w:r>
        <w:rPr>
          <w:rFonts w:hint="eastAsia" w:ascii="仿宋_GB2312" w:hAnsi="仿宋_GB2312" w:eastAsia="仿宋_GB2312" w:cs="仿宋_GB2312"/>
          <w:b w:val="0"/>
          <w:bCs w:val="0"/>
          <w:kern w:val="0"/>
          <w:sz w:val="32"/>
          <w:szCs w:val="32"/>
        </w:rPr>
        <w:t>支出决算为72万元，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782925DD">
      <w:pPr>
        <w:pStyle w:val="13"/>
        <w:keepNext w:val="0"/>
        <w:keepLines w:val="0"/>
        <w:pageBreakBefore w:val="0"/>
        <w:widowControl/>
        <w:suppressLineNumbers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bCs/>
          <w:caps/>
          <w:kern w:val="0"/>
          <w:sz w:val="32"/>
          <w:szCs w:val="32"/>
        </w:rPr>
      </w:pPr>
      <w:r>
        <w:rPr>
          <w:rStyle w:val="22"/>
          <w:rFonts w:hint="eastAsia" w:ascii="仿宋_GB2312" w:hAnsi="仿宋_GB2312" w:eastAsia="仿宋_GB2312" w:cs="仿宋_GB2312"/>
          <w:b w:val="0"/>
          <w:bCs w:val="0"/>
          <w:sz w:val="32"/>
          <w:szCs w:val="32"/>
        </w:rPr>
        <w:t>21.自然资源海洋气象等（类）</w:t>
      </w:r>
      <w:r>
        <w:rPr>
          <w:rFonts w:hint="eastAsia" w:ascii="仿宋_GB2312" w:hAnsi="仿宋_GB2312" w:eastAsia="仿宋_GB2312" w:cs="仿宋_GB2312"/>
          <w:b w:val="0"/>
          <w:bCs w:val="0"/>
          <w:caps/>
          <w:kern w:val="2"/>
          <w:sz w:val="32"/>
          <w:szCs w:val="32"/>
        </w:rPr>
        <w:t>220（款）01（项）06：</w:t>
      </w:r>
      <w:r>
        <w:rPr>
          <w:rFonts w:hint="eastAsia" w:ascii="仿宋_GB2312" w:hAnsi="仿宋_GB2312" w:eastAsia="仿宋_GB2312" w:cs="仿宋_GB2312"/>
          <w:b w:val="0"/>
          <w:bCs w:val="0"/>
          <w:caps/>
          <w:kern w:val="0"/>
          <w:sz w:val="32"/>
          <w:szCs w:val="32"/>
        </w:rPr>
        <w:t>支出决算为1916.74万元，</w:t>
      </w:r>
      <w:r>
        <w:rPr>
          <w:rStyle w:val="22"/>
          <w:rFonts w:hint="eastAsia" w:ascii="仿宋_GB2312" w:hAnsi="仿宋_GB2312" w:eastAsia="仿宋_GB2312" w:cs="仿宋_GB2312"/>
          <w:b w:val="0"/>
          <w:bCs w:val="0"/>
          <w:sz w:val="32"/>
          <w:szCs w:val="32"/>
        </w:rPr>
        <w:t>完成预算100%</w:t>
      </w:r>
      <w:r>
        <w:rPr>
          <w:rStyle w:val="22"/>
          <w:rFonts w:hint="eastAsia" w:ascii="仿宋_GB2312" w:hAnsi="仿宋_GB2312" w:eastAsia="仿宋_GB2312" w:cs="仿宋_GB2312"/>
          <w:b w:val="0"/>
          <w:bCs w:val="0"/>
          <w:sz w:val="32"/>
          <w:szCs w:val="32"/>
          <w:lang w:eastAsia="zh-CN"/>
        </w:rPr>
        <w:t>，</w:t>
      </w:r>
      <w:r>
        <w:rPr>
          <w:rStyle w:val="22"/>
          <w:rFonts w:hint="eastAsia" w:ascii="仿宋_GB2312" w:hAnsi="仿宋_GB2312" w:eastAsia="仿宋_GB2312" w:cs="仿宋_GB2312"/>
          <w:b w:val="0"/>
          <w:bCs w:val="0"/>
          <w:sz w:val="32"/>
          <w:szCs w:val="32"/>
        </w:rPr>
        <w:t>决算数等于预算数。</w:t>
      </w:r>
    </w:p>
    <w:p w14:paraId="6AB9F698">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宋体" w:hAnsi="宋体" w:eastAsia="宋体" w:cs="宋体"/>
          <w:b w:val="0"/>
          <w:bCs w:val="0"/>
          <w:kern w:val="0"/>
          <w:sz w:val="24"/>
          <w:szCs w:val="24"/>
        </w:rPr>
      </w:pPr>
      <w:r>
        <w:rPr>
          <w:rStyle w:val="21"/>
          <w:rFonts w:hint="eastAsia" w:ascii="仿宋_GB2312" w:hAnsi="仿宋_GB2312" w:eastAsia="仿宋_GB2312" w:cs="仿宋_GB2312"/>
          <w:b w:val="0"/>
          <w:bCs w:val="0"/>
          <w:sz w:val="32"/>
          <w:szCs w:val="32"/>
          <w:shd w:val="clear" w:fill="FFFFFF"/>
        </w:rPr>
        <w:t>（注：数据来源于财决01-1表和财决08表，仅罗列本部门涉及的全部功能分类科目，至项级。上述“预算”口径为全年预算数。增减变动原因为决算数和全年预算数比较，与预算数持平可以不写原因。）</w:t>
      </w:r>
    </w:p>
    <w:p w14:paraId="7F3C9EBB">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4B08850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宋体" w:hAnsi="宋体" w:eastAsia="宋体" w:cs="宋体"/>
          <w:kern w:val="0"/>
          <w:sz w:val="24"/>
          <w:szCs w:val="24"/>
        </w:rPr>
      </w:pPr>
      <w:r>
        <w:rPr>
          <w:rFonts w:hint="eastAsia" w:ascii="黑体" w:hAnsi="黑体" w:eastAsia="黑体" w:cs="黑体"/>
          <w:kern w:val="0"/>
          <w:sz w:val="32"/>
          <w:szCs w:val="32"/>
          <w:shd w:val="clear" w:fill="FFFFFF"/>
        </w:rPr>
        <w:t>六</w:t>
      </w:r>
      <w:r>
        <w:rPr>
          <w:rStyle w:val="21"/>
          <w:rFonts w:hint="eastAsia" w:ascii="黑体" w:hAnsi="黑体" w:eastAsia="黑体" w:cs="黑体"/>
          <w:b/>
          <w:bCs/>
          <w:sz w:val="32"/>
          <w:szCs w:val="32"/>
          <w:shd w:val="clear" w:fill="FFFFFF"/>
        </w:rPr>
        <w:t>、一</w:t>
      </w:r>
      <w:r>
        <w:rPr>
          <w:rFonts w:hint="eastAsia" w:ascii="黑体" w:hAnsi="黑体" w:eastAsia="黑体" w:cs="黑体"/>
          <w:kern w:val="0"/>
          <w:sz w:val="32"/>
          <w:szCs w:val="32"/>
          <w:shd w:val="clear" w:fill="FFFFFF"/>
        </w:rPr>
        <w:t>般公共预算财政拨款基本支出决算情况说明</w:t>
      </w:r>
      <w:r>
        <w:rPr>
          <w:rFonts w:hint="eastAsia" w:ascii="宋体" w:hAnsi="宋体" w:eastAsia="宋体" w:cs="宋体"/>
          <w:kern w:val="0"/>
          <w:sz w:val="24"/>
          <w:szCs w:val="24"/>
          <w:shd w:val="clear" w:fill="FFFFFF"/>
        </w:rPr>
        <w:t xml:space="preserve">   </w:t>
      </w:r>
    </w:p>
    <w:p w14:paraId="5743310B">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2022年一般公共预算财政拨款基本支出518.75万元，其中：</w:t>
      </w:r>
    </w:p>
    <w:p w14:paraId="3C01A3D3">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人员经费497.05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1B5AA9E1">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公用经费21.70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01A5981">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（注：数据来源于财决07表和财决08-1表，仅罗列本部门实际支出涉及的经济分类科目。）</w:t>
      </w:r>
    </w:p>
    <w:p w14:paraId="070DA375">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3A24C815">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3" w:firstLineChars="200"/>
        <w:jc w:val="left"/>
        <w:textAlignment w:val="auto"/>
        <w:rPr>
          <w:rFonts w:hint="eastAsia" w:ascii="宋体" w:hAnsi="宋体" w:eastAsia="宋体" w:cs="宋体"/>
          <w:b/>
          <w:bCs/>
          <w:kern w:val="0"/>
          <w:sz w:val="32"/>
          <w:szCs w:val="32"/>
        </w:rPr>
      </w:pPr>
      <w:r>
        <w:rPr>
          <w:rFonts w:hint="eastAsia" w:ascii="黑体" w:hAnsi="黑体" w:eastAsia="黑体" w:cs="黑体"/>
          <w:b/>
          <w:bCs/>
          <w:kern w:val="0"/>
          <w:sz w:val="32"/>
          <w:szCs w:val="32"/>
          <w:shd w:val="clear" w:fill="FFFFFF"/>
        </w:rPr>
        <w:t>七、“三公”经费财政拨款支出决算情况说明</w:t>
      </w:r>
    </w:p>
    <w:p w14:paraId="5671EC6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3" w:firstLineChars="200"/>
        <w:jc w:val="left"/>
        <w:textAlignment w:val="auto"/>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rPr>
        <w:t>（一）“三公”经费财政拨款支出决算总体情况说明</w:t>
      </w:r>
    </w:p>
    <w:p w14:paraId="783924C8">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2022年“三公”经费财政拨款支出决算为142.35万元，完成预算100.00%，决算数等于预算数。</w:t>
      </w:r>
    </w:p>
    <w:p w14:paraId="720FF0B6">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3" w:firstLineChars="200"/>
        <w:jc w:val="left"/>
        <w:textAlignment w:val="auto"/>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rPr>
        <w:t>（</w:t>
      </w:r>
      <w:r>
        <w:rPr>
          <w:rStyle w:val="21"/>
          <w:rFonts w:hint="eastAsia" w:ascii="仿宋_GB2312" w:hAnsi="仿宋_GB2312" w:eastAsia="仿宋_GB2312" w:cs="仿宋_GB2312"/>
          <w:b w:val="0"/>
          <w:bCs w:val="0"/>
          <w:sz w:val="32"/>
          <w:szCs w:val="32"/>
          <w:shd w:val="clear" w:fill="FFFFFF"/>
        </w:rPr>
        <w:t>注：上述“预算”口径为全年预算数，包括一般公共预算和政府性基金预算财政拨款支出决算情况。）</w:t>
      </w:r>
    </w:p>
    <w:p w14:paraId="38A02C66">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3" w:firstLineChars="200"/>
        <w:jc w:val="left"/>
        <w:textAlignment w:val="auto"/>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rPr>
        <w:t>（二）“三公”经费财政拨款支出决算具体情况说明</w:t>
      </w:r>
    </w:p>
    <w:p w14:paraId="216A9BBF">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2022年“三公”经费财政拨款支出决算中，因公出国（境）费支出决算0.00万元，占0.00%；公务用车购置及运行维护费支出决算142.02万元，占99.77%；公务接待费支出决算0.33万元，占0.23%。具体情况如下：</w:t>
      </w:r>
    </w:p>
    <w:p w14:paraId="72C4BDB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shd w:val="clear" w:fill="FFFFFF"/>
        </w:rPr>
      </w:pPr>
    </w:p>
    <w:p w14:paraId="24FDC726">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（图7：“三公”经费财政拨款支出结构）（饼状图）</w:t>
      </w:r>
    </w:p>
    <w:p w14:paraId="7464321F">
      <w:pPr>
        <w:bidi w:val="0"/>
        <w:rPr>
          <w:rFonts w:hint="eastAsia"/>
        </w:rPr>
      </w:pPr>
    </w:p>
    <w:p w14:paraId="60F782FD">
      <w:pPr>
        <w:bidi w:val="0"/>
        <w:rPr>
          <w:rFonts w:hint="eastAsia" w:eastAsia="宋体"/>
          <w:lang w:eastAsia="zh-CN"/>
        </w:rPr>
      </w:pPr>
      <w:r>
        <w:rPr>
          <w:rFonts w:hint="eastAsia" w:eastAsia="宋体"/>
          <w:lang w:eastAsia="zh-CN"/>
        </w:rPr>
        <w:drawing>
          <wp:inline distT="0" distB="0" distL="114300" distR="114300">
            <wp:extent cx="5256530" cy="2988310"/>
            <wp:effectExtent l="5080" t="4445" r="15240"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3B8208">
      <w:pPr>
        <w:bidi w:val="0"/>
        <w:rPr>
          <w:rFonts w:hint="eastAsia"/>
        </w:rPr>
      </w:pPr>
    </w:p>
    <w:p w14:paraId="6B5871C0">
      <w:pPr>
        <w:bidi w:val="0"/>
        <w:rPr>
          <w:rFonts w:hint="eastAsia"/>
        </w:rPr>
      </w:pPr>
    </w:p>
    <w:p w14:paraId="2F522F0B">
      <w:pPr>
        <w:bidi w:val="0"/>
        <w:rPr>
          <w:rFonts w:hint="eastAsia"/>
        </w:rPr>
      </w:pPr>
    </w:p>
    <w:p w14:paraId="39AFF6AF">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14:paraId="508B1F0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1.因公出国（境）经费支出</w:t>
      </w:r>
      <w:r>
        <w:rPr>
          <w:rFonts w:hint="eastAsia" w:ascii="仿宋_GB2312" w:hAnsi="仿宋_GB2312" w:eastAsia="仿宋_GB2312" w:cs="仿宋_GB2312"/>
          <w:b w:val="0"/>
          <w:bCs w:val="0"/>
          <w:kern w:val="0"/>
          <w:sz w:val="32"/>
          <w:szCs w:val="32"/>
          <w:shd w:val="clear" w:fill="FFFFFF"/>
        </w:rPr>
        <w:t>0.00万元，</w:t>
      </w:r>
      <w:r>
        <w:rPr>
          <w:rStyle w:val="21"/>
          <w:rFonts w:hint="eastAsia" w:ascii="仿宋_GB2312" w:hAnsi="仿宋_GB2312" w:eastAsia="仿宋_GB2312" w:cs="仿宋_GB2312"/>
          <w:b w:val="0"/>
          <w:bCs w:val="0"/>
          <w:sz w:val="32"/>
          <w:szCs w:val="32"/>
          <w:shd w:val="clear" w:fill="FFFFFF"/>
        </w:rPr>
        <w:t>完成预算0.00%。</w:t>
      </w:r>
      <w:r>
        <w:rPr>
          <w:rFonts w:hint="eastAsia" w:ascii="仿宋_GB2312" w:hAnsi="仿宋_GB2312" w:eastAsia="仿宋_GB2312" w:cs="仿宋_GB2312"/>
          <w:b w:val="0"/>
          <w:bCs w:val="0"/>
          <w:kern w:val="0"/>
          <w:sz w:val="32"/>
          <w:szCs w:val="32"/>
          <w:shd w:val="clear" w:fill="FFFFFF"/>
        </w:rPr>
        <w:t>全年安排因公出国（境）团组0次，出国（境）0人。因公出国（境）支出决算比2021年增加0.00万元，增长0.00%。</w:t>
      </w:r>
    </w:p>
    <w:p w14:paraId="1CEF2520">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2.公务用车购置及运行维护费支出</w:t>
      </w:r>
      <w:r>
        <w:rPr>
          <w:rFonts w:hint="eastAsia" w:ascii="仿宋_GB2312" w:hAnsi="仿宋_GB2312" w:eastAsia="仿宋_GB2312" w:cs="仿宋_GB2312"/>
          <w:b w:val="0"/>
          <w:bCs w:val="0"/>
          <w:kern w:val="0"/>
          <w:sz w:val="32"/>
          <w:szCs w:val="32"/>
          <w:shd w:val="clear" w:fill="FFFFFF"/>
        </w:rPr>
        <w:t>142.02万元</w:t>
      </w:r>
      <w:r>
        <w:rPr>
          <w:rFonts w:hint="eastAsia" w:ascii="仿宋_GB2312" w:hAnsi="仿宋_GB2312" w:eastAsia="仿宋_GB2312" w:cs="仿宋_GB2312"/>
          <w:b w:val="0"/>
          <w:bCs w:val="0"/>
          <w:kern w:val="0"/>
          <w:sz w:val="32"/>
          <w:szCs w:val="32"/>
          <w:shd w:val="clear" w:fill="FFFFFF"/>
          <w:lang w:eastAsia="zh-CN"/>
        </w:rPr>
        <w:t>，</w:t>
      </w:r>
      <w:r>
        <w:rPr>
          <w:rStyle w:val="21"/>
          <w:rFonts w:hint="eastAsia" w:ascii="仿宋_GB2312" w:hAnsi="仿宋_GB2312" w:eastAsia="仿宋_GB2312" w:cs="仿宋_GB2312"/>
          <w:b w:val="0"/>
          <w:bCs w:val="0"/>
          <w:sz w:val="32"/>
          <w:szCs w:val="32"/>
          <w:shd w:val="clear" w:fill="FFFFFF"/>
        </w:rPr>
        <w:t>完成预算100.00%。</w:t>
      </w:r>
      <w:r>
        <w:rPr>
          <w:rFonts w:hint="eastAsia" w:ascii="仿宋_GB2312" w:hAnsi="仿宋_GB2312" w:eastAsia="仿宋_GB2312" w:cs="仿宋_GB2312"/>
          <w:b w:val="0"/>
          <w:bCs w:val="0"/>
          <w:kern w:val="0"/>
          <w:sz w:val="32"/>
          <w:szCs w:val="32"/>
          <w:shd w:val="clear" w:fill="FFFFFF"/>
        </w:rPr>
        <w:t>公务用车购置及运行维护费支出决算比2021年增加140.08万元，增长7,212.04%。主要原因是2022年新购置公务用车。</w:t>
      </w:r>
    </w:p>
    <w:p w14:paraId="06CA7F48">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rPr>
        <w:t>其中：</w:t>
      </w:r>
      <w:r>
        <w:rPr>
          <w:rStyle w:val="21"/>
          <w:rFonts w:hint="eastAsia" w:ascii="仿宋_GB2312" w:hAnsi="仿宋_GB2312" w:eastAsia="仿宋_GB2312" w:cs="仿宋_GB2312"/>
          <w:b w:val="0"/>
          <w:bCs w:val="0"/>
          <w:sz w:val="32"/>
          <w:szCs w:val="32"/>
          <w:shd w:val="clear" w:fill="FFFFFF"/>
        </w:rPr>
        <w:t>公务用车购置支出</w:t>
      </w:r>
      <w:r>
        <w:rPr>
          <w:rFonts w:hint="eastAsia" w:ascii="仿宋_GB2312" w:hAnsi="仿宋_GB2312" w:eastAsia="仿宋_GB2312" w:cs="仿宋_GB2312"/>
          <w:b w:val="0"/>
          <w:bCs w:val="0"/>
          <w:kern w:val="0"/>
          <w:sz w:val="32"/>
          <w:szCs w:val="32"/>
          <w:shd w:val="clear" w:fill="FFFFFF"/>
        </w:rPr>
        <w:t>139.69万元。全年按规定更新购置公务用车8辆，其中：轿车0辆、金额0万元，越野车4辆、金额82.91万元，载客汽车2辆、金额59.7万元，主要用于</w:t>
      </w:r>
      <w:r>
        <w:rPr>
          <w:rFonts w:hint="eastAsia" w:ascii="仿宋_GB2312" w:hAnsi="仿宋_GB2312" w:eastAsia="仿宋_GB2312" w:cs="仿宋_GB2312"/>
          <w:b w:val="0"/>
          <w:bCs w:val="0"/>
          <w:kern w:val="0"/>
          <w:sz w:val="32"/>
          <w:szCs w:val="32"/>
          <w:shd w:val="clear" w:fill="FFFFFF"/>
          <w:lang w:eastAsia="zh-CN"/>
        </w:rPr>
        <w:t>森林草原防灭火（注：该项目</w:t>
      </w:r>
      <w:r>
        <w:rPr>
          <w:rFonts w:hint="eastAsia" w:ascii="仿宋_GB2312" w:hAnsi="仿宋_GB2312" w:eastAsia="仿宋_GB2312" w:cs="仿宋_GB2312"/>
          <w:b w:val="0"/>
          <w:bCs w:val="0"/>
          <w:kern w:val="0"/>
          <w:sz w:val="32"/>
          <w:szCs w:val="32"/>
          <w:shd w:val="clear" w:fill="FFFFFF"/>
          <w:lang w:val="en-US" w:eastAsia="zh-CN"/>
        </w:rPr>
        <w:t>2021年拨付预付款59.8667万元</w:t>
      </w:r>
      <w:r>
        <w:rPr>
          <w:rFonts w:hint="eastAsia" w:ascii="仿宋_GB2312" w:hAnsi="仿宋_GB2312" w:eastAsia="仿宋_GB2312" w:cs="仿宋_GB2312"/>
          <w:b w:val="0"/>
          <w:bCs w:val="0"/>
          <w:kern w:val="0"/>
          <w:sz w:val="32"/>
          <w:szCs w:val="32"/>
          <w:shd w:val="clear" w:fill="FFFFFF"/>
          <w:lang w:eastAsia="zh-CN"/>
        </w:rPr>
        <w:t>）</w:t>
      </w:r>
      <w:r>
        <w:rPr>
          <w:rFonts w:hint="eastAsia" w:ascii="仿宋_GB2312" w:hAnsi="仿宋_GB2312" w:eastAsia="仿宋_GB2312" w:cs="仿宋_GB2312"/>
          <w:b w:val="0"/>
          <w:bCs w:val="0"/>
          <w:kern w:val="0"/>
          <w:sz w:val="32"/>
          <w:szCs w:val="32"/>
          <w:shd w:val="clear" w:fill="FFFFFF"/>
        </w:rPr>
        <w:t>。截至2021年12月底，单位共有公务用车11辆，</w:t>
      </w:r>
      <w:r>
        <w:rPr>
          <w:rFonts w:hint="eastAsia" w:ascii="仿宋_GB2312" w:hAnsi="仿宋_GB2312" w:eastAsia="仿宋_GB2312" w:cs="仿宋_GB2312"/>
          <w:b w:val="0"/>
          <w:bCs w:val="0"/>
          <w:kern w:val="0"/>
          <w:sz w:val="32"/>
          <w:szCs w:val="32"/>
          <w:highlight w:val="none"/>
          <w:shd w:val="clear" w:fill="FFFFFF"/>
        </w:rPr>
        <w:t>其中：轿车</w:t>
      </w:r>
      <w:r>
        <w:rPr>
          <w:rFonts w:hint="eastAsia" w:ascii="仿宋_GB2312" w:hAnsi="仿宋_GB2312" w:eastAsia="仿宋_GB2312" w:cs="仿宋_GB2312"/>
          <w:b w:val="0"/>
          <w:bCs w:val="0"/>
          <w:kern w:val="0"/>
          <w:sz w:val="32"/>
          <w:szCs w:val="32"/>
          <w:highlight w:val="none"/>
          <w:shd w:val="clear" w:fill="FFFFFF"/>
          <w:lang w:val="en-US" w:eastAsia="zh-CN"/>
        </w:rPr>
        <w:t>0</w:t>
      </w:r>
      <w:r>
        <w:rPr>
          <w:rFonts w:hint="eastAsia" w:ascii="仿宋_GB2312" w:hAnsi="仿宋_GB2312" w:eastAsia="仿宋_GB2312" w:cs="仿宋_GB2312"/>
          <w:b w:val="0"/>
          <w:bCs w:val="0"/>
          <w:kern w:val="0"/>
          <w:sz w:val="32"/>
          <w:szCs w:val="32"/>
          <w:highlight w:val="none"/>
          <w:shd w:val="clear" w:fill="FFFFFF"/>
        </w:rPr>
        <w:t>辆、越野车</w:t>
      </w:r>
      <w:r>
        <w:rPr>
          <w:rFonts w:hint="eastAsia" w:ascii="仿宋_GB2312" w:hAnsi="仿宋_GB2312" w:eastAsia="仿宋_GB2312" w:cs="仿宋_GB2312"/>
          <w:b w:val="0"/>
          <w:bCs w:val="0"/>
          <w:kern w:val="0"/>
          <w:sz w:val="32"/>
          <w:szCs w:val="32"/>
          <w:highlight w:val="none"/>
          <w:shd w:val="clear" w:fill="FFFFFF"/>
          <w:lang w:val="en-US" w:eastAsia="zh-CN"/>
        </w:rPr>
        <w:t>8</w:t>
      </w:r>
      <w:r>
        <w:rPr>
          <w:rFonts w:hint="eastAsia" w:ascii="仿宋_GB2312" w:hAnsi="仿宋_GB2312" w:eastAsia="仿宋_GB2312" w:cs="仿宋_GB2312"/>
          <w:b w:val="0"/>
          <w:bCs w:val="0"/>
          <w:kern w:val="0"/>
          <w:sz w:val="32"/>
          <w:szCs w:val="32"/>
          <w:highlight w:val="none"/>
          <w:shd w:val="clear" w:fill="FFFFFF"/>
        </w:rPr>
        <w:t>辆、载客汽车</w:t>
      </w:r>
      <w:r>
        <w:rPr>
          <w:rFonts w:hint="eastAsia" w:ascii="仿宋_GB2312" w:hAnsi="仿宋_GB2312" w:eastAsia="仿宋_GB2312" w:cs="仿宋_GB2312"/>
          <w:b w:val="0"/>
          <w:bCs w:val="0"/>
          <w:kern w:val="0"/>
          <w:sz w:val="32"/>
          <w:szCs w:val="32"/>
          <w:highlight w:val="none"/>
          <w:shd w:val="clear" w:fill="FFFFFF"/>
          <w:lang w:val="en-US" w:eastAsia="zh-CN"/>
        </w:rPr>
        <w:t>3</w:t>
      </w:r>
      <w:r>
        <w:rPr>
          <w:rFonts w:hint="eastAsia" w:ascii="仿宋_GB2312" w:hAnsi="仿宋_GB2312" w:eastAsia="仿宋_GB2312" w:cs="仿宋_GB2312"/>
          <w:b w:val="0"/>
          <w:bCs w:val="0"/>
          <w:kern w:val="0"/>
          <w:sz w:val="32"/>
          <w:szCs w:val="32"/>
          <w:highlight w:val="none"/>
          <w:shd w:val="clear" w:fill="FFFFFF"/>
        </w:rPr>
        <w:t>辆。</w:t>
      </w:r>
    </w:p>
    <w:p w14:paraId="65E67548">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公务用车运行维护费支出</w:t>
      </w:r>
      <w:r>
        <w:rPr>
          <w:rFonts w:hint="eastAsia" w:ascii="仿宋_GB2312" w:hAnsi="仿宋_GB2312" w:eastAsia="仿宋_GB2312" w:cs="仿宋_GB2312"/>
          <w:b w:val="0"/>
          <w:bCs w:val="0"/>
          <w:kern w:val="0"/>
          <w:sz w:val="32"/>
          <w:szCs w:val="32"/>
          <w:shd w:val="clear" w:fill="FFFFFF"/>
        </w:rPr>
        <w:t>2.33万元。主要用于森林草原防灭火，森林资源保护，野生动植物保护，植物检疫等所需的公务用车燃料费、维修费、过路过桥费、保险费等支出。</w:t>
      </w:r>
    </w:p>
    <w:p w14:paraId="22CE04B7">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highlight w:val="none"/>
        </w:rPr>
      </w:pPr>
      <w:r>
        <w:rPr>
          <w:rStyle w:val="21"/>
          <w:rFonts w:hint="eastAsia" w:ascii="仿宋_GB2312" w:hAnsi="仿宋_GB2312" w:eastAsia="仿宋_GB2312" w:cs="仿宋_GB2312"/>
          <w:b w:val="0"/>
          <w:bCs w:val="0"/>
          <w:sz w:val="32"/>
          <w:szCs w:val="32"/>
          <w:shd w:val="clear" w:fill="FFFFFF"/>
        </w:rPr>
        <w:t>3.公务接待费支出</w:t>
      </w:r>
      <w:r>
        <w:rPr>
          <w:rFonts w:hint="eastAsia" w:ascii="仿宋_GB2312" w:hAnsi="仿宋_GB2312" w:eastAsia="仿宋_GB2312" w:cs="仿宋_GB2312"/>
          <w:b w:val="0"/>
          <w:bCs w:val="0"/>
          <w:kern w:val="0"/>
          <w:sz w:val="32"/>
          <w:szCs w:val="32"/>
          <w:shd w:val="clear" w:fill="FFFFFF"/>
        </w:rPr>
        <w:t>0.33万元，</w:t>
      </w:r>
      <w:r>
        <w:rPr>
          <w:rStyle w:val="21"/>
          <w:rFonts w:hint="eastAsia" w:ascii="仿宋_GB2312" w:hAnsi="仿宋_GB2312" w:eastAsia="仿宋_GB2312" w:cs="仿宋_GB2312"/>
          <w:b w:val="0"/>
          <w:bCs w:val="0"/>
          <w:sz w:val="32"/>
          <w:szCs w:val="32"/>
          <w:shd w:val="clear" w:fill="FFFFFF"/>
        </w:rPr>
        <w:t>完成预算100%。</w:t>
      </w:r>
      <w:r>
        <w:rPr>
          <w:rFonts w:hint="eastAsia" w:ascii="仿宋_GB2312" w:hAnsi="仿宋_GB2312" w:eastAsia="仿宋_GB2312" w:cs="仿宋_GB2312"/>
          <w:b w:val="0"/>
          <w:bCs w:val="0"/>
          <w:kern w:val="0"/>
          <w:sz w:val="32"/>
          <w:szCs w:val="32"/>
          <w:shd w:val="clear" w:fill="FFFFFF"/>
        </w:rPr>
        <w:t>公务接待费支出决算比2021年增加0.33万元，增长0.00%。其中：</w:t>
      </w:r>
      <w:r>
        <w:rPr>
          <w:rStyle w:val="21"/>
          <w:rFonts w:hint="eastAsia" w:ascii="仿宋_GB2312" w:hAnsi="仿宋_GB2312" w:eastAsia="仿宋_GB2312" w:cs="仿宋_GB2312"/>
          <w:b w:val="0"/>
          <w:bCs w:val="0"/>
          <w:sz w:val="32"/>
          <w:szCs w:val="32"/>
          <w:shd w:val="clear" w:fill="FFFFFF"/>
        </w:rPr>
        <w:t>国内公务接待支出</w:t>
      </w:r>
      <w:r>
        <w:rPr>
          <w:rFonts w:hint="eastAsia" w:ascii="仿宋_GB2312" w:hAnsi="仿宋_GB2312" w:eastAsia="仿宋_GB2312" w:cs="仿宋_GB2312"/>
          <w:b w:val="0"/>
          <w:bCs w:val="0"/>
          <w:kern w:val="0"/>
          <w:sz w:val="32"/>
          <w:szCs w:val="32"/>
          <w:shd w:val="clear" w:fill="FFFFFF"/>
        </w:rPr>
        <w:t>0.33万元，主要用于执行公务、开展业务活动开支的用餐费等。国内公务接待6批次，65人次（不包括陪同人员），共计支出0.33万元，</w:t>
      </w:r>
      <w:r>
        <w:rPr>
          <w:rFonts w:hint="eastAsia" w:ascii="仿宋_GB2312" w:hAnsi="仿宋_GB2312" w:eastAsia="仿宋_GB2312" w:cs="仿宋_GB2312"/>
          <w:b w:val="0"/>
          <w:bCs w:val="0"/>
          <w:kern w:val="0"/>
          <w:sz w:val="32"/>
          <w:szCs w:val="32"/>
          <w:highlight w:val="none"/>
          <w:shd w:val="clear" w:fill="FFFFFF"/>
        </w:rPr>
        <w:t>具体内容包括：草原生态修复工程绩效评价450元，</w:t>
      </w:r>
      <w:r>
        <w:rPr>
          <w:rFonts w:hint="eastAsia" w:ascii="仿宋_GB2312" w:hAnsi="仿宋_GB2312" w:eastAsia="仿宋_GB2312" w:cs="仿宋_GB2312"/>
          <w:b w:val="0"/>
          <w:bCs w:val="0"/>
          <w:kern w:val="0"/>
          <w:sz w:val="32"/>
          <w:szCs w:val="32"/>
          <w:highlight w:val="none"/>
          <w:shd w:val="clear" w:fill="FFFFFF"/>
          <w:lang w:eastAsia="zh-CN"/>
        </w:rPr>
        <w:t>森林草原防火督导工作</w:t>
      </w:r>
      <w:r>
        <w:rPr>
          <w:rFonts w:hint="eastAsia" w:ascii="仿宋_GB2312" w:hAnsi="仿宋_GB2312" w:eastAsia="仿宋_GB2312" w:cs="仿宋_GB2312"/>
          <w:b w:val="0"/>
          <w:bCs w:val="0"/>
          <w:kern w:val="0"/>
          <w:sz w:val="32"/>
          <w:szCs w:val="32"/>
          <w:highlight w:val="none"/>
          <w:shd w:val="clear" w:fill="FFFFFF"/>
          <w:lang w:val="en-US" w:eastAsia="zh-CN"/>
        </w:rPr>
        <w:t>450元，省级林木良种基地，采种基地申报现场工作350元等</w:t>
      </w:r>
      <w:r>
        <w:rPr>
          <w:rFonts w:hint="eastAsia" w:ascii="仿宋_GB2312" w:hAnsi="仿宋_GB2312" w:eastAsia="仿宋_GB2312" w:cs="仿宋_GB2312"/>
          <w:b w:val="0"/>
          <w:bCs w:val="0"/>
          <w:kern w:val="0"/>
          <w:sz w:val="32"/>
          <w:szCs w:val="32"/>
          <w:highlight w:val="none"/>
          <w:shd w:val="clear" w:fill="FFFFFF"/>
        </w:rPr>
        <w:t>。</w:t>
      </w:r>
    </w:p>
    <w:p w14:paraId="5113BFB3">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外事接待支出</w:t>
      </w:r>
      <w:r>
        <w:rPr>
          <w:rFonts w:hint="eastAsia" w:ascii="仿宋_GB2312" w:hAnsi="仿宋_GB2312" w:eastAsia="仿宋_GB2312" w:cs="仿宋_GB2312"/>
          <w:b w:val="0"/>
          <w:bCs w:val="0"/>
          <w:kern w:val="0"/>
          <w:sz w:val="32"/>
          <w:szCs w:val="32"/>
          <w:shd w:val="clear" w:fill="FFFFFF"/>
        </w:rPr>
        <w:t>0.00万元，外事接待0批次，0人，共计支出0.00万元。</w:t>
      </w:r>
    </w:p>
    <w:p w14:paraId="74F28304">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480" w:firstLineChars="20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shd w:val="clear" w:fill="FFFFFF"/>
        </w:rPr>
        <w:t xml:space="preserve"> </w:t>
      </w:r>
    </w:p>
    <w:p w14:paraId="52EDE0E4">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shd w:val="clear" w:fill="FFFFFF"/>
        </w:rPr>
        <w:t>八、政府性基金预算支出决算情况说明</w:t>
      </w:r>
    </w:p>
    <w:p w14:paraId="6FE4D9D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rPr>
        <w:t>2022年政府性基金预算财政拨款支出0.00万元。</w:t>
      </w:r>
    </w:p>
    <w:p w14:paraId="7D24185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480" w:firstLineChars="200"/>
        <w:jc w:val="left"/>
        <w:textAlignment w:val="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shd w:val="clear" w:fill="FFFFFF"/>
        </w:rPr>
        <w:t xml:space="preserve"> </w:t>
      </w:r>
    </w:p>
    <w:p w14:paraId="31708191">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宋体" w:hAnsi="宋体" w:eastAsia="宋体" w:cs="宋体"/>
          <w:b w:val="0"/>
          <w:bCs w:val="0"/>
          <w:kern w:val="0"/>
          <w:sz w:val="24"/>
          <w:szCs w:val="24"/>
        </w:rPr>
      </w:pPr>
      <w:r>
        <w:rPr>
          <w:rFonts w:hint="eastAsia" w:ascii="黑体" w:hAnsi="黑体" w:eastAsia="黑体" w:cs="黑体"/>
          <w:b w:val="0"/>
          <w:bCs w:val="0"/>
          <w:kern w:val="0"/>
          <w:sz w:val="32"/>
          <w:szCs w:val="32"/>
          <w:shd w:val="clear" w:fill="FFFFFF"/>
        </w:rPr>
        <w:t>九、国有资本经营预算支出决算情况说明</w:t>
      </w:r>
    </w:p>
    <w:p w14:paraId="3BBC2451">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宋体" w:hAnsi="宋体" w:eastAsia="宋体" w:cs="宋体"/>
          <w:b w:val="0"/>
          <w:bCs w:val="0"/>
          <w:kern w:val="0"/>
          <w:sz w:val="24"/>
          <w:szCs w:val="24"/>
        </w:rPr>
      </w:pPr>
      <w:r>
        <w:rPr>
          <w:rFonts w:hint="eastAsia" w:ascii="仿宋_GB2312" w:hAnsi="仿宋_GB2312" w:eastAsia="仿宋_GB2312" w:cs="仿宋_GB2312"/>
          <w:b w:val="0"/>
          <w:bCs w:val="0"/>
          <w:kern w:val="0"/>
          <w:sz w:val="32"/>
          <w:szCs w:val="32"/>
          <w:shd w:val="clear" w:fill="FFFFFF"/>
        </w:rPr>
        <w:t>2022年国有资本经营预算财政拨款支出0.00万元。</w:t>
      </w:r>
    </w:p>
    <w:p w14:paraId="1F9E0A3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center"/>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shd w:val="clear" w:fill="FFFFFF"/>
        </w:rPr>
        <w:t xml:space="preserve"> </w:t>
      </w:r>
    </w:p>
    <w:p w14:paraId="3D7BCB70">
      <w:pPr>
        <w:pStyle w:val="20"/>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default" w:ascii="宋体" w:hAnsi="宋体" w:eastAsia="宋体" w:cs="宋体"/>
          <w:b w:val="0"/>
          <w:bCs w:val="0"/>
          <w:kern w:val="0"/>
          <w:sz w:val="24"/>
          <w:szCs w:val="24"/>
          <w:shd w:val="clear" w:fill="FFFFFF"/>
          <w:lang w:val="en-US" w:eastAsia="zh-CN"/>
        </w:rPr>
      </w:pPr>
      <w:r>
        <w:rPr>
          <w:rFonts w:hint="eastAsia" w:ascii="黑体" w:hAnsi="黑体" w:eastAsia="黑体" w:cs="黑体"/>
          <w:b w:val="0"/>
          <w:bCs w:val="0"/>
          <w:kern w:val="0"/>
          <w:sz w:val="32"/>
          <w:szCs w:val="32"/>
          <w:shd w:val="clear" w:fill="FFFFFF"/>
        </w:rPr>
        <w:t>其他重要事项的情况说明</w:t>
      </w:r>
    </w:p>
    <w:p w14:paraId="2C2D084B">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3" w:firstLineChars="200"/>
        <w:jc w:val="left"/>
        <w:textAlignment w:val="auto"/>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rPr>
        <w:t>（一）机关运行经费支出情况</w:t>
      </w:r>
    </w:p>
    <w:p w14:paraId="0D108000">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2022年，阿坝州松潘县林业和草原局（本级）机关运行经费支出21.70万元，比2021年增加-42.28万元，增长-66.08%。主要原因是</w:t>
      </w:r>
      <w:r>
        <w:rPr>
          <w:rFonts w:hint="eastAsia" w:ascii="仿宋_GB2312" w:hAnsi="仿宋_GB2312" w:eastAsia="仿宋_GB2312" w:cs="仿宋_GB2312"/>
          <w:kern w:val="0"/>
          <w:sz w:val="32"/>
          <w:szCs w:val="32"/>
          <w:shd w:val="clear" w:fill="FFFFFF"/>
          <w:lang w:eastAsia="zh-CN"/>
        </w:rPr>
        <w:t>事业机构独立核算</w:t>
      </w:r>
      <w:r>
        <w:rPr>
          <w:rFonts w:hint="eastAsia" w:ascii="仿宋_GB2312" w:hAnsi="仿宋_GB2312" w:eastAsia="仿宋_GB2312" w:cs="仿宋_GB2312"/>
          <w:kern w:val="0"/>
          <w:sz w:val="32"/>
          <w:szCs w:val="32"/>
          <w:shd w:val="clear" w:fill="FFFFFF"/>
        </w:rPr>
        <w:t>。</w:t>
      </w:r>
    </w:p>
    <w:p w14:paraId="3C3BEADD">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（注：数据来源于财决附03表）</w:t>
      </w:r>
    </w:p>
    <w:p w14:paraId="46A02C2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3" w:firstLineChars="200"/>
        <w:jc w:val="left"/>
        <w:textAlignment w:val="auto"/>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rPr>
        <w:t>（二）政府采购支出情况</w:t>
      </w:r>
    </w:p>
    <w:p w14:paraId="1423744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2022年，阿坝州松潘县林业和草原局（本级）政府采购支出总额139.69万元，其中：政府采购货物支出139.69万元、政府采购工程支出0.00万元、政府采购服务支出0.00万元。主要用于森林草原防灭火车辆采购。授予中小企业合同金额199.56万元，占政府采购支出总额的142.86%，其中：授予小微企业合同金额0.00万元，占政府采购支出总额的0.00%。</w:t>
      </w:r>
    </w:p>
    <w:p w14:paraId="4014C75F">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kern w:val="0"/>
          <w:sz w:val="32"/>
          <w:szCs w:val="32"/>
          <w:shd w:val="clear" w:fill="FFFFFF"/>
        </w:rPr>
        <w:t xml:space="preserve"> </w:t>
      </w:r>
      <w:r>
        <w:rPr>
          <w:rStyle w:val="21"/>
          <w:rFonts w:hint="eastAsia" w:ascii="仿宋_GB2312" w:hAnsi="仿宋_GB2312" w:eastAsia="仿宋_GB2312" w:cs="仿宋_GB2312"/>
          <w:b w:val="0"/>
          <w:bCs w:val="0"/>
          <w:sz w:val="32"/>
          <w:szCs w:val="32"/>
          <w:shd w:val="clear" w:fill="FFFFFF"/>
        </w:rPr>
        <w:t>（注：数据来源于财决附03表）</w:t>
      </w:r>
    </w:p>
    <w:p w14:paraId="03A25C1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3" w:firstLineChars="200"/>
        <w:jc w:val="left"/>
        <w:textAlignment w:val="auto"/>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rPr>
        <w:t>（三）国有资产占有使用情况</w:t>
      </w:r>
    </w:p>
    <w:p w14:paraId="2EAD540F">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截至2022年12月31日，阿坝州松潘县林业和草原局（本级）共有车辆11辆，其中：主要领导干部用车0辆、机要通信用车0辆、应急保障用车0辆、其他用车11辆，其他用车主要是用于森林草原防灭火用车，单价100万元（含）以上设备（不含车辆）0台（套）。</w:t>
      </w:r>
    </w:p>
    <w:p w14:paraId="68D147B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（注：数据来源于财决附03表，按部门决算报表填报数据罗列车辆情况。）</w:t>
      </w:r>
    </w:p>
    <w:p w14:paraId="58E331F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3" w:firstLineChars="200"/>
        <w:jc w:val="left"/>
        <w:textAlignment w:val="auto"/>
        <w:rPr>
          <w:rFonts w:hint="eastAsia" w:ascii="仿宋_GB2312" w:hAnsi="仿宋_GB2312" w:eastAsia="仿宋_GB2312" w:cs="仿宋_GB2312"/>
          <w:kern w:val="0"/>
          <w:sz w:val="32"/>
          <w:szCs w:val="32"/>
        </w:rPr>
      </w:pPr>
      <w:r>
        <w:rPr>
          <w:rStyle w:val="21"/>
          <w:rFonts w:hint="eastAsia" w:ascii="仿宋_GB2312" w:hAnsi="仿宋_GB2312" w:eastAsia="仿宋_GB2312" w:cs="仿宋_GB2312"/>
          <w:b/>
          <w:bCs/>
          <w:sz w:val="32"/>
          <w:szCs w:val="32"/>
          <w:shd w:val="clear" w:fill="FFFFFF"/>
        </w:rPr>
        <w:t>（四）预算绩效管理情况</w:t>
      </w:r>
    </w:p>
    <w:p w14:paraId="55EF84B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宋体" w:hAnsi="宋体" w:eastAsia="宋体" w:cs="宋体"/>
          <w:kern w:val="0"/>
          <w:sz w:val="24"/>
          <w:szCs w:val="24"/>
          <w:shd w:val="clear" w:fill="FFFFFF"/>
        </w:rPr>
      </w:pPr>
      <w:r>
        <w:rPr>
          <w:rFonts w:hint="eastAsia" w:ascii="仿宋_GB2312" w:hAnsi="仿宋_GB2312" w:eastAsia="仿宋_GB2312" w:cs="仿宋_GB2312"/>
          <w:kern w:val="0"/>
          <w:sz w:val="32"/>
          <w:szCs w:val="32"/>
          <w:shd w:val="clear" w:fill="FFFFFF"/>
        </w:rPr>
        <w:t>根据预算绩效管理要求，本部门在2022年度预算编制阶段，组织对5项目（退耕还林，生态护林员，2022草原生态修复治理项目，岷江自然资源保护子项目，松潘县黄河支流生态防护带建设项目）等5个项目开展了预算事前绩效评估，对5个项目编制了绩效目标，预算执行过程中，选取5个项目开展绩效监控，组织对5个项目开展绩效自评，绩效自评表详见第四部分附件。</w:t>
      </w:r>
    </w:p>
    <w:p w14:paraId="3B0FBEB4">
      <w:pPr>
        <w:pStyle w:val="24"/>
        <w:keepNext w:val="0"/>
        <w:keepLines w:val="0"/>
        <w:pageBreakBefore w:val="0"/>
        <w:widowControl w:val="0"/>
        <w:kinsoku/>
        <w:wordWrap/>
        <w:overflowPunct/>
        <w:topLinePunct w:val="0"/>
        <w:autoSpaceDE/>
        <w:autoSpaceDN/>
        <w:bidi w:val="0"/>
        <w:spacing w:line="576" w:lineRule="exact"/>
        <w:ind w:left="0" w:leftChars="0" w:firstLine="0" w:firstLineChars="0"/>
        <w:jc w:val="center"/>
        <w:rPr>
          <w:rFonts w:hint="eastAsia" w:ascii="仿宋_GB2312" w:hAnsi="仿宋_GB2312" w:eastAsia="仿宋_GB2312" w:cs="仿宋_GB2312"/>
          <w:b w:val="0"/>
          <w:bCs w:val="0"/>
          <w:sz w:val="30"/>
          <w:szCs w:val="30"/>
          <w:u w:val="none" w:color="auto"/>
          <w:lang w:val="en-US" w:eastAsia="zh-CN"/>
        </w:rPr>
      </w:pPr>
    </w:p>
    <w:p w14:paraId="68C51515">
      <w:pPr>
        <w:pStyle w:val="24"/>
        <w:keepNext w:val="0"/>
        <w:keepLines w:val="0"/>
        <w:pageBreakBefore w:val="0"/>
        <w:widowControl w:val="0"/>
        <w:kinsoku/>
        <w:wordWrap/>
        <w:overflowPunct/>
        <w:topLinePunct w:val="0"/>
        <w:autoSpaceDE/>
        <w:autoSpaceDN/>
        <w:bidi w:val="0"/>
        <w:spacing w:line="576" w:lineRule="exact"/>
        <w:ind w:left="0" w:leftChars="0" w:firstLine="0" w:firstLineChars="0"/>
        <w:jc w:val="center"/>
        <w:rPr>
          <w:rFonts w:hint="eastAsia" w:ascii="仿宋_GB2312" w:hAnsi="仿宋_GB2312" w:eastAsia="仿宋_GB2312" w:cs="仿宋_GB2312"/>
          <w:b w:val="0"/>
          <w:bCs w:val="0"/>
          <w:sz w:val="30"/>
          <w:szCs w:val="30"/>
          <w:u w:val="none" w:color="auto"/>
          <w:lang w:val="en-US" w:eastAsia="zh-CN"/>
        </w:rPr>
      </w:pPr>
    </w:p>
    <w:p w14:paraId="39DD15A5">
      <w:pPr>
        <w:pStyle w:val="24"/>
        <w:keepNext w:val="0"/>
        <w:keepLines w:val="0"/>
        <w:pageBreakBefore w:val="0"/>
        <w:widowControl w:val="0"/>
        <w:kinsoku/>
        <w:wordWrap/>
        <w:overflowPunct/>
        <w:topLinePunct w:val="0"/>
        <w:autoSpaceDE/>
        <w:autoSpaceDN/>
        <w:bidi w:val="0"/>
        <w:spacing w:line="576" w:lineRule="exact"/>
        <w:ind w:left="0" w:leftChars="0" w:firstLine="0" w:firstLineChars="0"/>
        <w:jc w:val="center"/>
        <w:rPr>
          <w:rFonts w:hint="eastAsia" w:ascii="仿宋_GB2312" w:hAnsi="仿宋_GB2312" w:eastAsia="仿宋_GB2312" w:cs="仿宋_GB2312"/>
          <w:b w:val="0"/>
          <w:bCs w:val="0"/>
          <w:sz w:val="32"/>
          <w:szCs w:val="32"/>
          <w:u w:val="none" w:color="auto"/>
          <w:lang w:val="en-US" w:eastAsia="zh-CN"/>
        </w:rPr>
      </w:pPr>
      <w:r>
        <w:rPr>
          <w:rFonts w:hint="eastAsia" w:ascii="仿宋_GB2312" w:hAnsi="仿宋_GB2312" w:eastAsia="仿宋_GB2312" w:cs="仿宋_GB2312"/>
          <w:b w:val="0"/>
          <w:bCs w:val="0"/>
          <w:sz w:val="32"/>
          <w:szCs w:val="32"/>
          <w:u w:val="none" w:color="auto"/>
          <w:lang w:val="en-US" w:eastAsia="zh-CN"/>
        </w:rPr>
        <w:t>松潘县林业和草原局</w:t>
      </w:r>
    </w:p>
    <w:p w14:paraId="45CEA842">
      <w:pPr>
        <w:pStyle w:val="24"/>
        <w:keepNext w:val="0"/>
        <w:keepLines w:val="0"/>
        <w:pageBreakBefore w:val="0"/>
        <w:widowControl w:val="0"/>
        <w:kinsoku/>
        <w:wordWrap/>
        <w:overflowPunct/>
        <w:topLinePunct w:val="0"/>
        <w:autoSpaceDE/>
        <w:autoSpaceDN/>
        <w:bidi w:val="0"/>
        <w:spacing w:line="576" w:lineRule="exact"/>
        <w:ind w:left="0" w:leftChars="0" w:firstLine="0" w:firstLineChars="0"/>
        <w:jc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lang w:val="en-US" w:eastAsia="zh-CN"/>
        </w:rPr>
        <w:t>松潘县岷江自然资源保护子项目</w:t>
      </w:r>
      <w:r>
        <w:rPr>
          <w:rFonts w:hint="eastAsia" w:ascii="仿宋_GB2312" w:hAnsi="仿宋_GB2312" w:eastAsia="仿宋_GB2312" w:cs="仿宋_GB2312"/>
          <w:b w:val="0"/>
          <w:bCs w:val="0"/>
          <w:sz w:val="32"/>
          <w:szCs w:val="32"/>
          <w:u w:val="none" w:color="auto"/>
        </w:rPr>
        <w:t>事前绩效评估报告</w:t>
      </w:r>
    </w:p>
    <w:p w14:paraId="0F0812AD">
      <w:pPr>
        <w:pStyle w:val="24"/>
        <w:keepNext w:val="0"/>
        <w:keepLines w:val="0"/>
        <w:pageBreakBefore w:val="0"/>
        <w:widowControl w:val="0"/>
        <w:kinsoku/>
        <w:wordWrap/>
        <w:overflowPunct/>
        <w:topLinePunct w:val="0"/>
        <w:autoSpaceDE/>
        <w:autoSpaceDN/>
        <w:bidi w:val="0"/>
        <w:spacing w:line="576" w:lineRule="exact"/>
        <w:ind w:left="0" w:firstLine="640" w:firstLineChars="200"/>
        <w:jc w:val="center"/>
        <w:rPr>
          <w:rFonts w:hint="eastAsia" w:ascii="仿宋_GB2312" w:hAnsi="仿宋_GB2312" w:eastAsia="仿宋_GB2312" w:cs="仿宋_GB2312"/>
          <w:b w:val="0"/>
          <w:bCs w:val="0"/>
          <w:sz w:val="32"/>
          <w:szCs w:val="32"/>
          <w:u w:val="none" w:color="auto"/>
        </w:rPr>
      </w:pPr>
    </w:p>
    <w:p w14:paraId="1A82EF40">
      <w:pPr>
        <w:pStyle w:val="24"/>
        <w:keepNext w:val="0"/>
        <w:keepLines w:val="0"/>
        <w:pageBreakBefore w:val="0"/>
        <w:widowControl w:val="0"/>
        <w:kinsoku/>
        <w:wordWrap/>
        <w:overflowPunct/>
        <w:topLinePunct w:val="0"/>
        <w:autoSpaceDE/>
        <w:autoSpaceDN/>
        <w:bidi w:val="0"/>
        <w:spacing w:line="576" w:lineRule="exact"/>
        <w:ind w:left="0" w:leftChars="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一、项目基本情况</w:t>
      </w:r>
    </w:p>
    <w:p w14:paraId="1DC59E1A">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lang w:val="en-US" w:eastAsia="zh-CN"/>
        </w:rPr>
      </w:pPr>
      <w:r>
        <w:rPr>
          <w:rFonts w:hint="eastAsia" w:ascii="仿宋_GB2312" w:hAnsi="仿宋_GB2312" w:eastAsia="仿宋_GB2312" w:cs="仿宋_GB2312"/>
          <w:b w:val="0"/>
          <w:bCs w:val="0"/>
          <w:sz w:val="32"/>
          <w:szCs w:val="32"/>
          <w:u w:val="none" w:color="auto"/>
        </w:rPr>
        <w:t>（一）项目名称：</w:t>
      </w:r>
      <w:r>
        <w:rPr>
          <w:rFonts w:hint="eastAsia" w:ascii="仿宋_GB2312" w:hAnsi="仿宋_GB2312" w:eastAsia="仿宋_GB2312" w:cs="仿宋_GB2312"/>
          <w:b w:val="0"/>
          <w:bCs w:val="0"/>
          <w:sz w:val="32"/>
          <w:szCs w:val="32"/>
        </w:rPr>
        <w:t>岷江自然资源保护子项目</w:t>
      </w:r>
    </w:p>
    <w:p w14:paraId="004669DB">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（二）项目单位：</w:t>
      </w:r>
      <w:r>
        <w:rPr>
          <w:rFonts w:hint="eastAsia" w:ascii="仿宋_GB2312" w:hAnsi="仿宋_GB2312" w:eastAsia="仿宋_GB2312" w:cs="仿宋_GB2312"/>
          <w:b w:val="0"/>
          <w:bCs w:val="0"/>
          <w:sz w:val="32"/>
          <w:szCs w:val="32"/>
          <w:u w:val="none" w:color="auto"/>
          <w:lang w:val="en-US" w:eastAsia="zh-CN"/>
        </w:rPr>
        <w:t>松潘县林业和草原局</w:t>
      </w:r>
      <w:r>
        <w:rPr>
          <w:rFonts w:hint="eastAsia" w:ascii="仿宋_GB2312" w:hAnsi="仿宋_GB2312" w:eastAsia="仿宋_GB2312" w:cs="仿宋_GB2312"/>
          <w:b w:val="0"/>
          <w:bCs w:val="0"/>
          <w:sz w:val="32"/>
          <w:szCs w:val="32"/>
          <w:u w:val="none" w:color="auto"/>
        </w:rPr>
        <w:t xml:space="preserve">                     </w:t>
      </w:r>
    </w:p>
    <w:p w14:paraId="0338EF43">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（三）主管部门：</w:t>
      </w:r>
      <w:r>
        <w:rPr>
          <w:rFonts w:hint="eastAsia" w:ascii="仿宋_GB2312" w:hAnsi="仿宋_GB2312" w:eastAsia="仿宋_GB2312" w:cs="仿宋_GB2312"/>
          <w:b w:val="0"/>
          <w:bCs w:val="0"/>
          <w:sz w:val="32"/>
          <w:szCs w:val="32"/>
          <w:u w:val="none" w:color="auto"/>
          <w:lang w:val="en-US" w:eastAsia="zh-CN"/>
        </w:rPr>
        <w:t>松潘县人民政府</w:t>
      </w:r>
      <w:r>
        <w:rPr>
          <w:rFonts w:hint="eastAsia" w:ascii="仿宋_GB2312" w:hAnsi="仿宋_GB2312" w:eastAsia="仿宋_GB2312" w:cs="仿宋_GB2312"/>
          <w:b w:val="0"/>
          <w:bCs w:val="0"/>
          <w:sz w:val="32"/>
          <w:szCs w:val="32"/>
          <w:u w:val="none" w:color="auto"/>
        </w:rPr>
        <w:t xml:space="preserve">                   </w:t>
      </w:r>
    </w:p>
    <w:p w14:paraId="1AC1347A">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（四）项目属性：新增项目</w:t>
      </w:r>
    </w:p>
    <w:p w14:paraId="7B9B9EEB">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（五）项目起止年限：20</w:t>
      </w:r>
      <w:r>
        <w:rPr>
          <w:rFonts w:hint="eastAsia" w:ascii="仿宋_GB2312" w:hAnsi="仿宋_GB2312" w:eastAsia="仿宋_GB2312" w:cs="仿宋_GB2312"/>
          <w:b w:val="0"/>
          <w:bCs w:val="0"/>
          <w:sz w:val="32"/>
          <w:szCs w:val="32"/>
          <w:u w:val="none" w:color="auto"/>
          <w:lang w:val="en-US" w:eastAsia="zh-CN"/>
        </w:rPr>
        <w:t>23</w:t>
      </w:r>
      <w:r>
        <w:rPr>
          <w:rFonts w:hint="eastAsia" w:ascii="仿宋_GB2312" w:hAnsi="仿宋_GB2312" w:eastAsia="仿宋_GB2312" w:cs="仿宋_GB2312"/>
          <w:b w:val="0"/>
          <w:bCs w:val="0"/>
          <w:sz w:val="32"/>
          <w:szCs w:val="32"/>
          <w:u w:val="none" w:color="auto"/>
        </w:rPr>
        <w:t>年一20</w:t>
      </w:r>
      <w:r>
        <w:rPr>
          <w:rFonts w:hint="eastAsia" w:ascii="仿宋_GB2312" w:hAnsi="仿宋_GB2312" w:eastAsia="仿宋_GB2312" w:cs="仿宋_GB2312"/>
          <w:b w:val="0"/>
          <w:bCs w:val="0"/>
          <w:sz w:val="32"/>
          <w:szCs w:val="32"/>
          <w:u w:val="none" w:color="auto"/>
          <w:lang w:val="en-US" w:eastAsia="zh-CN"/>
        </w:rPr>
        <w:t>24</w:t>
      </w:r>
      <w:r>
        <w:rPr>
          <w:rFonts w:hint="eastAsia" w:ascii="仿宋_GB2312" w:hAnsi="仿宋_GB2312" w:eastAsia="仿宋_GB2312" w:cs="仿宋_GB2312"/>
          <w:b w:val="0"/>
          <w:bCs w:val="0"/>
          <w:sz w:val="32"/>
          <w:szCs w:val="32"/>
          <w:u w:val="none" w:color="auto"/>
        </w:rPr>
        <w:t>年</w:t>
      </w:r>
    </w:p>
    <w:p w14:paraId="10CA9A23">
      <w:pPr>
        <w:pStyle w:val="24"/>
        <w:keepNext w:val="0"/>
        <w:keepLines w:val="0"/>
        <w:pageBreakBefore w:val="0"/>
        <w:widowControl w:val="0"/>
        <w:kinsoku/>
        <w:wordWrap/>
        <w:overflowPunct/>
        <w:topLinePunct w:val="0"/>
        <w:autoSpaceDE/>
        <w:autoSpaceDN/>
        <w:bidi w:val="0"/>
        <w:spacing w:line="576" w:lineRule="exact"/>
        <w:ind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（六）资金申请情况：申报项目预算金额为</w:t>
      </w:r>
      <w:r>
        <w:rPr>
          <w:rFonts w:hint="eastAsia" w:ascii="仿宋_GB2312" w:hAnsi="仿宋_GB2312" w:eastAsia="仿宋_GB2312" w:cs="仿宋_GB2312"/>
          <w:b w:val="0"/>
          <w:bCs w:val="0"/>
          <w:sz w:val="32"/>
          <w:szCs w:val="32"/>
          <w:u w:val="none" w:color="auto"/>
          <w:lang w:val="en-US" w:eastAsia="zh-CN"/>
        </w:rPr>
        <w:t>5750</w:t>
      </w:r>
      <w:r>
        <w:rPr>
          <w:rFonts w:hint="eastAsia" w:ascii="仿宋_GB2312" w:hAnsi="仿宋_GB2312" w:eastAsia="仿宋_GB2312" w:cs="仿宋_GB2312"/>
          <w:b w:val="0"/>
          <w:bCs w:val="0"/>
          <w:sz w:val="32"/>
          <w:szCs w:val="32"/>
          <w:u w:val="none" w:color="auto"/>
        </w:rPr>
        <w:t>万元（资金来源为财政资金或自有资金，其中财政资金</w:t>
      </w:r>
      <w:r>
        <w:rPr>
          <w:rFonts w:hint="eastAsia" w:ascii="仿宋_GB2312" w:hAnsi="仿宋_GB2312" w:eastAsia="仿宋_GB2312" w:cs="仿宋_GB2312"/>
          <w:b w:val="0"/>
          <w:bCs w:val="0"/>
          <w:sz w:val="32"/>
          <w:szCs w:val="32"/>
          <w:u w:val="none" w:color="auto"/>
          <w:lang w:val="en-US" w:eastAsia="zh-CN"/>
        </w:rPr>
        <w:t>5750</w:t>
      </w:r>
      <w:r>
        <w:rPr>
          <w:rFonts w:hint="eastAsia" w:ascii="仿宋_GB2312" w:hAnsi="仿宋_GB2312" w:eastAsia="仿宋_GB2312" w:cs="仿宋_GB2312"/>
          <w:b w:val="0"/>
          <w:bCs w:val="0"/>
          <w:sz w:val="32"/>
          <w:szCs w:val="32"/>
          <w:u w:val="none" w:color="auto"/>
        </w:rPr>
        <w:t>万元，自有资金</w:t>
      </w:r>
      <w:r>
        <w:rPr>
          <w:rFonts w:hint="eastAsia" w:ascii="仿宋_GB2312" w:hAnsi="仿宋_GB2312" w:eastAsia="仿宋_GB2312" w:cs="仿宋_GB2312"/>
          <w:b w:val="0"/>
          <w:bCs w:val="0"/>
          <w:sz w:val="32"/>
          <w:szCs w:val="32"/>
          <w:u w:val="none" w:color="auto"/>
          <w:lang w:val="en-US" w:eastAsia="zh-CN"/>
        </w:rPr>
        <w:t>0</w:t>
      </w:r>
      <w:r>
        <w:rPr>
          <w:rFonts w:hint="eastAsia" w:ascii="仿宋_GB2312" w:hAnsi="仿宋_GB2312" w:eastAsia="仿宋_GB2312" w:cs="仿宋_GB2312"/>
          <w:b w:val="0"/>
          <w:bCs w:val="0"/>
          <w:sz w:val="32"/>
          <w:szCs w:val="32"/>
          <w:u w:val="none" w:color="auto"/>
        </w:rPr>
        <w:t>万元）</w:t>
      </w:r>
    </w:p>
    <w:p w14:paraId="14CBDC67">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（七）项目概况：</w:t>
      </w:r>
    </w:p>
    <w:p w14:paraId="2F80DA7E">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本项目的主要内容是岷江源国家湿地公园片区包括：湿地水源涵养能力提升37.30hm2、建设湿地野生动物保护提示警示系统30个、构建湿地植物群落5.26 hm2、构建和连通水系10条，共1705m、提升河岸带洼地5.5hm2、新建生态廊道5000m；尕力台片区包括：湿地水源涵养能力提升1191.10 hm2</w:t>
      </w:r>
      <w:r>
        <w:rPr>
          <w:rFonts w:hint="eastAsia" w:ascii="仿宋_GB2312" w:hAnsi="仿宋_GB2312" w:cs="仿宋_GB2312"/>
          <w:b w:val="0"/>
          <w:bCs w:val="0"/>
          <w:sz w:val="32"/>
          <w:szCs w:val="32"/>
          <w:u w:val="none" w:color="auto"/>
          <w:lang w:eastAsia="zh-CN"/>
        </w:rPr>
        <w:t>，</w:t>
      </w:r>
      <w:r>
        <w:rPr>
          <w:rFonts w:hint="eastAsia" w:ascii="仿宋_GB2312" w:hAnsi="仿宋_GB2312" w:eastAsia="仿宋_GB2312" w:cs="仿宋_GB2312"/>
          <w:b w:val="0"/>
          <w:bCs w:val="0"/>
          <w:sz w:val="32"/>
          <w:szCs w:val="32"/>
          <w:u w:val="none" w:color="auto"/>
        </w:rPr>
        <w:t>小型拦水坝3座，共计972m；辅助设施包括：配套编结网围栏长171453m、修建项目标识牌2座等</w:t>
      </w:r>
    </w:p>
    <w:p w14:paraId="3AC2F28B">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202</w:t>
      </w:r>
      <w:r>
        <w:rPr>
          <w:rFonts w:hint="eastAsia" w:ascii="仿宋_GB2312" w:hAnsi="仿宋_GB2312" w:eastAsia="仿宋_GB2312" w:cs="仿宋_GB2312"/>
          <w:b w:val="0"/>
          <w:bCs w:val="0"/>
          <w:sz w:val="32"/>
          <w:szCs w:val="32"/>
          <w:u w:val="none" w:color="auto"/>
          <w:lang w:val="en-US" w:eastAsia="zh-CN"/>
        </w:rPr>
        <w:t>2</w:t>
      </w:r>
      <w:r>
        <w:rPr>
          <w:rFonts w:hint="eastAsia" w:ascii="仿宋_GB2312" w:hAnsi="仿宋_GB2312" w:eastAsia="仿宋_GB2312" w:cs="仿宋_GB2312"/>
          <w:b w:val="0"/>
          <w:bCs w:val="0"/>
          <w:sz w:val="32"/>
          <w:szCs w:val="32"/>
          <w:u w:val="none" w:color="auto"/>
        </w:rPr>
        <w:t>年预算安排</w:t>
      </w:r>
      <w:r>
        <w:rPr>
          <w:rFonts w:hint="eastAsia" w:ascii="仿宋_GB2312" w:hAnsi="仿宋_GB2312" w:eastAsia="仿宋_GB2312" w:cs="仿宋_GB2312"/>
          <w:b w:val="0"/>
          <w:bCs w:val="0"/>
          <w:sz w:val="32"/>
          <w:szCs w:val="32"/>
          <w:u w:val="none" w:color="auto"/>
          <w:lang w:val="en-US" w:eastAsia="zh-CN"/>
        </w:rPr>
        <w:t>1248.9</w:t>
      </w:r>
      <w:r>
        <w:rPr>
          <w:rFonts w:hint="eastAsia" w:ascii="仿宋_GB2312" w:hAnsi="仿宋_GB2312" w:eastAsia="仿宋_GB2312" w:cs="仿宋_GB2312"/>
          <w:b w:val="0"/>
          <w:bCs w:val="0"/>
          <w:sz w:val="32"/>
          <w:szCs w:val="32"/>
          <w:u w:val="none" w:color="auto"/>
        </w:rPr>
        <w:t>万元，实际执行</w:t>
      </w:r>
      <w:r>
        <w:rPr>
          <w:rFonts w:hint="eastAsia" w:ascii="仿宋_GB2312" w:hAnsi="仿宋_GB2312" w:eastAsia="仿宋_GB2312" w:cs="仿宋_GB2312"/>
          <w:b w:val="0"/>
          <w:bCs w:val="0"/>
          <w:sz w:val="32"/>
          <w:szCs w:val="32"/>
          <w:u w:val="none" w:color="auto"/>
          <w:lang w:val="en-US" w:eastAsia="zh-CN"/>
        </w:rPr>
        <w:t>1249</w:t>
      </w:r>
      <w:r>
        <w:rPr>
          <w:rFonts w:hint="eastAsia" w:ascii="仿宋_GB2312" w:hAnsi="仿宋_GB2312" w:eastAsia="仿宋_GB2312" w:cs="仿宋_GB2312"/>
          <w:b w:val="0"/>
          <w:bCs w:val="0"/>
          <w:sz w:val="32"/>
          <w:szCs w:val="32"/>
          <w:u w:val="none" w:color="auto"/>
        </w:rPr>
        <w:t>万元；202</w:t>
      </w:r>
      <w:r>
        <w:rPr>
          <w:rFonts w:hint="eastAsia" w:ascii="仿宋_GB2312" w:hAnsi="仿宋_GB2312" w:eastAsia="仿宋_GB2312" w:cs="仿宋_GB2312"/>
          <w:b w:val="0"/>
          <w:bCs w:val="0"/>
          <w:sz w:val="32"/>
          <w:szCs w:val="32"/>
          <w:u w:val="none" w:color="auto"/>
          <w:lang w:val="en-US" w:eastAsia="zh-CN"/>
        </w:rPr>
        <w:t>3</w:t>
      </w:r>
      <w:r>
        <w:rPr>
          <w:rFonts w:hint="eastAsia" w:ascii="仿宋_GB2312" w:hAnsi="仿宋_GB2312" w:eastAsia="仿宋_GB2312" w:cs="仿宋_GB2312"/>
          <w:b w:val="0"/>
          <w:bCs w:val="0"/>
          <w:sz w:val="32"/>
          <w:szCs w:val="32"/>
          <w:u w:val="none" w:color="auto"/>
        </w:rPr>
        <w:t>年预算安排</w:t>
      </w:r>
      <w:r>
        <w:rPr>
          <w:rFonts w:hint="eastAsia" w:ascii="仿宋_GB2312" w:hAnsi="仿宋_GB2312" w:eastAsia="仿宋_GB2312" w:cs="仿宋_GB2312"/>
          <w:b w:val="0"/>
          <w:bCs w:val="0"/>
          <w:sz w:val="32"/>
          <w:szCs w:val="32"/>
          <w:u w:val="none" w:color="auto"/>
          <w:lang w:val="en-US" w:eastAsia="zh-CN"/>
        </w:rPr>
        <w:t>645</w:t>
      </w:r>
      <w:r>
        <w:rPr>
          <w:rFonts w:hint="eastAsia" w:ascii="仿宋_GB2312" w:hAnsi="仿宋_GB2312" w:eastAsia="仿宋_GB2312" w:cs="仿宋_GB2312"/>
          <w:b w:val="0"/>
          <w:bCs w:val="0"/>
          <w:sz w:val="32"/>
          <w:szCs w:val="32"/>
          <w:u w:val="none" w:color="auto"/>
        </w:rPr>
        <w:t>万元</w:t>
      </w:r>
      <w:r>
        <w:rPr>
          <w:rFonts w:hint="eastAsia" w:ascii="仿宋_GB2312" w:hAnsi="仿宋_GB2312" w:cs="仿宋_GB2312"/>
          <w:b w:val="0"/>
          <w:bCs w:val="0"/>
          <w:sz w:val="32"/>
          <w:szCs w:val="32"/>
          <w:u w:val="none" w:color="auto"/>
          <w:lang w:eastAsia="zh-CN"/>
        </w:rPr>
        <w:t>；</w:t>
      </w:r>
      <w:r>
        <w:rPr>
          <w:rFonts w:hint="eastAsia" w:ascii="仿宋_GB2312" w:hAnsi="仿宋_GB2312" w:eastAsia="仿宋_GB2312" w:cs="仿宋_GB2312"/>
          <w:b w:val="0"/>
          <w:bCs w:val="0"/>
          <w:sz w:val="32"/>
          <w:szCs w:val="32"/>
          <w:u w:val="none" w:color="auto"/>
          <w:lang w:val="en-US" w:eastAsia="zh-CN"/>
        </w:rPr>
        <w:t>项目建设资金根据四川黄河上游若尔盖草原湿地山水林田湖草沙一体化保护和修复工程总体任务分年度下达</w:t>
      </w:r>
      <w:r>
        <w:rPr>
          <w:rFonts w:hint="eastAsia" w:ascii="仿宋_GB2312" w:hAnsi="仿宋_GB2312" w:eastAsia="仿宋_GB2312" w:cs="仿宋_GB2312"/>
          <w:b w:val="0"/>
          <w:bCs w:val="0"/>
          <w:sz w:val="32"/>
          <w:szCs w:val="32"/>
          <w:u w:val="none" w:color="auto"/>
        </w:rPr>
        <w:t>。</w:t>
      </w:r>
    </w:p>
    <w:p w14:paraId="66EFFDD3">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二、评估原则</w:t>
      </w:r>
    </w:p>
    <w:p w14:paraId="765285C5">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根据</w:t>
      </w:r>
      <w:r>
        <w:rPr>
          <w:rFonts w:hint="eastAsia" w:ascii="仿宋_GB2312" w:hAnsi="仿宋_GB2312" w:eastAsia="仿宋_GB2312" w:cs="仿宋_GB2312"/>
          <w:b w:val="0"/>
          <w:bCs w:val="0"/>
          <w:sz w:val="32"/>
          <w:szCs w:val="32"/>
          <w:u w:val="none" w:color="auto"/>
          <w:lang w:val="en-US" w:eastAsia="zh-CN"/>
        </w:rPr>
        <w:t>2023</w:t>
      </w:r>
      <w:r>
        <w:rPr>
          <w:rFonts w:hint="eastAsia" w:ascii="仿宋_GB2312" w:hAnsi="仿宋_GB2312" w:eastAsia="仿宋_GB2312" w:cs="仿宋_GB2312"/>
          <w:b w:val="0"/>
          <w:bCs w:val="0"/>
          <w:sz w:val="32"/>
          <w:szCs w:val="32"/>
          <w:u w:val="none" w:color="auto"/>
        </w:rPr>
        <w:t>年预算编制要求，绩效评估本着真正过紧日子的原则，厉行节约、节用为民，从严从紧控制项目申报和预算安排，非必要项目和工作内容可压尽压、应压尽压，做到客观、绩效、精准。</w:t>
      </w:r>
    </w:p>
    <w:p w14:paraId="7E2D1B1E">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三、评估目的</w:t>
      </w:r>
    </w:p>
    <w:p w14:paraId="17978671">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83087E0">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四、评估程序和方法</w:t>
      </w:r>
    </w:p>
    <w:p w14:paraId="738A5387">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（一）评估程序</w:t>
      </w:r>
    </w:p>
    <w:p w14:paraId="64ABD0CC">
      <w:pPr>
        <w:pStyle w:val="24"/>
        <w:keepNext w:val="0"/>
        <w:keepLines w:val="0"/>
        <w:pageBreakBefore w:val="0"/>
        <w:widowControl w:val="0"/>
        <w:kinsoku/>
        <w:wordWrap/>
        <w:overflowPunct/>
        <w:topLinePunct w:val="0"/>
        <w:autoSpaceDE/>
        <w:autoSpaceDN/>
        <w:bidi w:val="0"/>
        <w:spacing w:line="576" w:lineRule="exact"/>
        <w:ind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lang w:val="en-US" w:eastAsia="zh-CN"/>
        </w:rPr>
        <w:t>2023</w:t>
      </w:r>
      <w:r>
        <w:rPr>
          <w:rFonts w:hint="eastAsia" w:ascii="仿宋_GB2312" w:hAnsi="仿宋_GB2312" w:eastAsia="仿宋_GB2312" w:cs="仿宋_GB2312"/>
          <w:b w:val="0"/>
          <w:bCs w:val="0"/>
          <w:sz w:val="32"/>
          <w:szCs w:val="32"/>
          <w:u w:val="none" w:color="auto"/>
        </w:rPr>
        <w:t>年度预算项目绩效评估工作通过线上与线下相结合</w:t>
      </w:r>
      <w:r>
        <w:rPr>
          <w:rFonts w:hint="eastAsia" w:ascii="仿宋_GB2312" w:hAnsi="仿宋_GB2312" w:eastAsia="仿宋_GB2312" w:cs="仿宋_GB2312"/>
          <w:b w:val="0"/>
          <w:bCs w:val="0"/>
          <w:sz w:val="32"/>
          <w:szCs w:val="32"/>
          <w:u w:val="none" w:color="auto"/>
          <w:lang w:val="en-US" w:eastAsia="zh-CN"/>
        </w:rPr>
        <w:t>的</w:t>
      </w:r>
      <w:r>
        <w:rPr>
          <w:rFonts w:hint="eastAsia" w:ascii="仿宋_GB2312" w:hAnsi="仿宋_GB2312" w:eastAsia="仿宋_GB2312" w:cs="仿宋_GB2312"/>
          <w:b w:val="0"/>
          <w:bCs w:val="0"/>
          <w:sz w:val="32"/>
          <w:szCs w:val="32"/>
          <w:u w:val="none" w:color="auto"/>
        </w:rPr>
        <w:t>方式开展。按照有关规定和工作安排，我单位开展自行评估，通过自行成立／委托下级单位成立／等方式组建评估组，通过收集被评估项目相关基础资料，并查阅资料、收集数据信息等，深入论证分析后，形成绩效评估报告。</w:t>
      </w:r>
    </w:p>
    <w:p w14:paraId="572D547D">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（二）评估方法</w:t>
      </w:r>
    </w:p>
    <w:p w14:paraId="4ADE1355">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w:t>
      </w:r>
    </w:p>
    <w:p w14:paraId="674AB3B1">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五、评估内容</w:t>
      </w:r>
    </w:p>
    <w:p w14:paraId="083CC976">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（一）立项必要性</w:t>
      </w:r>
    </w:p>
    <w:p w14:paraId="54EB2E74">
      <w:pPr>
        <w:pStyle w:val="6"/>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1.项目建设是深入贯彻</w:t>
      </w:r>
      <w:r>
        <w:rPr>
          <w:rFonts w:hint="eastAsia" w:ascii="仿宋_GB2312" w:hAnsi="仿宋_GB2312" w:eastAsia="仿宋_GB2312" w:cs="仿宋_GB2312"/>
          <w:b w:val="0"/>
          <w:bCs w:val="0"/>
          <w:sz w:val="32"/>
          <w:szCs w:val="32"/>
          <w:lang w:eastAsia="zh-CN"/>
        </w:rPr>
        <w:t>习近平生态文明思想</w:t>
      </w:r>
      <w:r>
        <w:rPr>
          <w:rFonts w:hint="eastAsia" w:ascii="仿宋_GB2312" w:hAnsi="仿宋_GB2312" w:eastAsia="仿宋_GB2312" w:cs="仿宋_GB2312"/>
          <w:b w:val="0"/>
          <w:bCs w:val="0"/>
          <w:sz w:val="32"/>
          <w:szCs w:val="32"/>
        </w:rPr>
        <w:t>的重要举措</w:t>
      </w:r>
      <w:r>
        <w:rPr>
          <w:rFonts w:hint="eastAsia" w:ascii="仿宋_GB2312" w:hAnsi="仿宋_GB2312" w:eastAsia="仿宋_GB2312" w:cs="仿宋_GB2312"/>
          <w:b w:val="0"/>
          <w:bCs w:val="0"/>
          <w:sz w:val="32"/>
          <w:szCs w:val="32"/>
          <w:lang w:eastAsia="zh-CN"/>
        </w:rPr>
        <w:t>党的十八大以来</w:t>
      </w:r>
      <w:r>
        <w:rPr>
          <w:rFonts w:hint="eastAsia" w:ascii="仿宋_GB2312" w:hAnsi="仿宋_GB2312" w:eastAsia="仿宋_GB2312" w:cs="仿宋_GB2312"/>
          <w:b w:val="0"/>
          <w:bCs w:val="0"/>
          <w:sz w:val="32"/>
          <w:szCs w:val="32"/>
        </w:rPr>
        <w:t>，习近平总书记高度重视生态文明建设，提出“生态文明建设是关系中华民族永续发展的根本大计”“绿水青山就是金山银山，冰天雪地也是金山银山”等重要论述。</w:t>
      </w:r>
      <w:r>
        <w:rPr>
          <w:rFonts w:hint="eastAsia" w:ascii="仿宋_GB2312" w:hAnsi="仿宋_GB2312" w:eastAsia="仿宋_GB2312" w:cs="仿宋_GB2312"/>
          <w:b w:val="0"/>
          <w:bCs w:val="0"/>
          <w:sz w:val="32"/>
          <w:szCs w:val="32"/>
          <w:lang w:eastAsia="zh-CN"/>
        </w:rPr>
        <w:t>习近平总书记</w:t>
      </w:r>
      <w:r>
        <w:rPr>
          <w:rFonts w:hint="eastAsia" w:ascii="仿宋_GB2312" w:hAnsi="仿宋_GB2312" w:eastAsia="仿宋_GB2312" w:cs="仿宋_GB2312"/>
          <w:b w:val="0"/>
          <w:bCs w:val="0"/>
          <w:sz w:val="32"/>
          <w:szCs w:val="32"/>
        </w:rPr>
        <w:t>亲自谋划部署推动长江、黄河流域生态保护和高质量发展，专题研究推动黄河流域生态保护和高质量发展，提出“重在保护，要在治理，高质量发展”理念，强调共同抓好大保护，协同推进大治理，让长江黄河成为造福人民的幸福河。</w:t>
      </w:r>
    </w:p>
    <w:p w14:paraId="084E829D">
      <w:pPr>
        <w:pStyle w:val="6"/>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的实施是阿坝州深入贯彻落实习近平生态文明思想，认真落实省委“一干多支、五区协同”发展战略，自觉增强黄河上游意识，担当上游责任，推进川西北阿坝生态示范区建设，加快建设“一州两区三家园”战略新目标的重要举措。</w:t>
      </w:r>
    </w:p>
    <w:p w14:paraId="34218112">
      <w:pPr>
        <w:pStyle w:val="6"/>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 项目建设是白河流域和岷江流域山水林田湖草沙冰综合治理、系统治理的重要内容山水林田湖草沙冰是一个生命共同体，项目拟实施区域位于尕力台片区和岷江源国家湿地公园片区，分别位于白河流域和岷江流域，通过对项目拟实施区域开展增湿增草增绿的综合治理工程，提升黄河流域上游水源涵养功能，统筹推进黄河流域山水林田湖草沙冰综合治理、系统治理、源头治理，实现自然与人文相融共生，经济与社会相互协调，是推动黄河流域高质量发展的重要内容。</w:t>
      </w:r>
    </w:p>
    <w:p w14:paraId="23DE3E3C">
      <w:pPr>
        <w:pStyle w:val="6"/>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 .项目建设是提升松潘重要湿地区生态环境的迫切需要受自然、经济、社会等因素的综合影响，区域生态环境现状不容乐观。松潘县的湿地退化严重，由于受到过度放牧、游客破坏等人为因素及全球气候变化等自然因素的综合影响，与</w:t>
      </w:r>
      <w:r>
        <w:rPr>
          <w:rFonts w:hint="eastAsia" w:ascii="仿宋_GB2312" w:hAnsi="仿宋_GB2312" w:eastAsia="仿宋_GB2312" w:cs="仿宋_GB2312"/>
          <w:b w:val="0"/>
          <w:bCs w:val="0"/>
          <w:sz w:val="32"/>
          <w:szCs w:val="32"/>
          <w:lang w:eastAsia="zh-CN"/>
        </w:rPr>
        <w:t>20世纪</w:t>
      </w:r>
      <w:r>
        <w:rPr>
          <w:rFonts w:hint="eastAsia" w:ascii="仿宋_GB2312" w:hAnsi="仿宋_GB2312" w:eastAsia="仿宋_GB2312" w:cs="仿宋_GB2312"/>
          <w:b w:val="0"/>
          <w:bCs w:val="0"/>
          <w:sz w:val="32"/>
          <w:szCs w:val="32"/>
        </w:rPr>
        <w:t>60年代相比，松潘县湿地面积降低了约20%，这导致湿地区植被水源涵养功能降低、植被盖度下降，进而导致水土流失，破坏湿地的生态环境，影响区域生态平衡。加快生态建设，维护生态安全，是二十一世纪人类面临的共同主题。良好的生态环境是黄河流域和长江流域经济社会可持续发展和</w:t>
      </w:r>
      <w:r>
        <w:rPr>
          <w:rFonts w:hint="eastAsia" w:ascii="仿宋_GB2312" w:hAnsi="仿宋_GB2312" w:eastAsia="仿宋_GB2312" w:cs="仿宋_GB2312"/>
          <w:b w:val="0"/>
          <w:bCs w:val="0"/>
          <w:sz w:val="32"/>
          <w:szCs w:val="32"/>
          <w:lang w:eastAsia="zh-CN"/>
        </w:rPr>
        <w:t>全面建成小康社会</w:t>
      </w:r>
      <w:r>
        <w:rPr>
          <w:rFonts w:hint="eastAsia" w:ascii="仿宋_GB2312" w:hAnsi="仿宋_GB2312" w:eastAsia="仿宋_GB2312" w:cs="仿宋_GB2312"/>
          <w:b w:val="0"/>
          <w:bCs w:val="0"/>
          <w:sz w:val="32"/>
          <w:szCs w:val="32"/>
        </w:rPr>
        <w:t>的重要基础。项目的开展，将提升实施区域湿地生态系统功能，持续发挥湿地生态系统的水源涵养、水土保持和碳增收等多种生态功能，积极改善区域生态环境。</w:t>
      </w:r>
    </w:p>
    <w:p w14:paraId="03D9EB17">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（二）投入经济性</w:t>
      </w:r>
    </w:p>
    <w:p w14:paraId="5C4BF2F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b w:val="0"/>
          <w:bCs w:val="0"/>
          <w:sz w:val="32"/>
          <w:szCs w:val="32"/>
          <w:u w:val="none" w:color="auto"/>
          <w:lang w:eastAsia="zh-CN"/>
        </w:rPr>
      </w:pPr>
      <w:r>
        <w:rPr>
          <w:rFonts w:hint="eastAsia" w:ascii="仿宋_GB2312" w:hAnsi="仿宋_GB2312" w:eastAsia="仿宋_GB2312" w:cs="仿宋_GB2312"/>
          <w:b w:val="0"/>
          <w:bCs w:val="0"/>
          <w:sz w:val="32"/>
          <w:szCs w:val="32"/>
          <w:u w:val="none" w:color="auto"/>
        </w:rPr>
        <w:t>根据</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color w:val="000000"/>
          <w:sz w:val="32"/>
          <w:szCs w:val="32"/>
          <w:u w:val="none" w:color="auto"/>
          <w:lang w:val="en-US" w:eastAsia="zh-CN"/>
        </w:rPr>
        <w:t>阿坝州财政局</w:t>
      </w:r>
      <w:r>
        <w:rPr>
          <w:rFonts w:hint="eastAsia" w:ascii="仿宋_GB2312" w:hAnsi="仿宋_GB2312" w:eastAsia="仿宋_GB2312" w:cs="仿宋_GB2312"/>
          <w:b w:val="0"/>
          <w:bCs w:val="0"/>
          <w:color w:val="000000"/>
          <w:sz w:val="32"/>
          <w:szCs w:val="32"/>
          <w:u w:val="none" w:color="auto"/>
        </w:rPr>
        <w:t xml:space="preserve"> </w:t>
      </w:r>
      <w:r>
        <w:rPr>
          <w:rFonts w:hint="eastAsia" w:ascii="仿宋_GB2312" w:hAnsi="仿宋_GB2312" w:eastAsia="仿宋_GB2312" w:cs="仿宋_GB2312"/>
          <w:b w:val="0"/>
          <w:bCs w:val="0"/>
          <w:color w:val="000000"/>
          <w:sz w:val="32"/>
          <w:szCs w:val="32"/>
          <w:u w:val="none" w:color="auto"/>
          <w:lang w:val="en-US" w:eastAsia="zh-CN"/>
        </w:rPr>
        <w:t>阿坝州自然资源局关于预</w:t>
      </w:r>
      <w:r>
        <w:rPr>
          <w:rFonts w:hint="eastAsia" w:ascii="仿宋_GB2312" w:hAnsi="仿宋_GB2312" w:eastAsia="仿宋_GB2312" w:cs="仿宋_GB2312"/>
          <w:b w:val="0"/>
          <w:bCs w:val="0"/>
          <w:color w:val="000000"/>
          <w:sz w:val="32"/>
          <w:szCs w:val="32"/>
          <w:u w:val="none" w:color="auto"/>
        </w:rPr>
        <w:t>下达202</w:t>
      </w:r>
      <w:r>
        <w:rPr>
          <w:rFonts w:hint="eastAsia" w:ascii="仿宋_GB2312" w:hAnsi="仿宋_GB2312" w:eastAsia="仿宋_GB2312" w:cs="仿宋_GB2312"/>
          <w:b w:val="0"/>
          <w:bCs w:val="0"/>
          <w:color w:val="000000"/>
          <w:sz w:val="32"/>
          <w:szCs w:val="32"/>
          <w:u w:val="none" w:color="auto"/>
          <w:lang w:val="en-US" w:eastAsia="zh-CN"/>
        </w:rPr>
        <w:t>2</w:t>
      </w:r>
      <w:r>
        <w:rPr>
          <w:rFonts w:hint="eastAsia" w:ascii="仿宋_GB2312" w:hAnsi="仿宋_GB2312" w:eastAsia="仿宋_GB2312" w:cs="仿宋_GB2312"/>
          <w:b w:val="0"/>
          <w:bCs w:val="0"/>
          <w:color w:val="000000"/>
          <w:sz w:val="32"/>
          <w:szCs w:val="32"/>
          <w:u w:val="none" w:color="auto"/>
        </w:rPr>
        <w:t>年</w:t>
      </w:r>
      <w:r>
        <w:rPr>
          <w:rFonts w:hint="eastAsia" w:ascii="仿宋_GB2312" w:hAnsi="仿宋_GB2312" w:eastAsia="仿宋_GB2312" w:cs="仿宋_GB2312"/>
          <w:b w:val="0"/>
          <w:bCs w:val="0"/>
          <w:color w:val="000000"/>
          <w:sz w:val="32"/>
          <w:szCs w:val="32"/>
          <w:u w:val="none" w:color="auto"/>
          <w:lang w:val="en-US" w:eastAsia="zh-CN"/>
        </w:rPr>
        <w:t>第二批中央重点生态保护修复治理资金预算的通知</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color w:val="000000"/>
          <w:sz w:val="32"/>
          <w:szCs w:val="32"/>
          <w:u w:val="none" w:color="auto"/>
          <w:lang w:val="en-US" w:eastAsia="zh-CN" w:bidi="ar-SA"/>
        </w:rPr>
        <w:t>阿州财资环</w:t>
      </w:r>
      <w:r>
        <w:rPr>
          <w:rFonts w:hint="eastAsia" w:ascii="仿宋_GB2312" w:hAnsi="仿宋_GB2312" w:eastAsia="仿宋_GB2312" w:cs="仿宋_GB2312"/>
          <w:b w:val="0"/>
          <w:bCs w:val="0"/>
          <w:color w:val="000000"/>
          <w:sz w:val="32"/>
          <w:szCs w:val="32"/>
          <w:u w:val="none" w:color="auto"/>
        </w:rPr>
        <w:t>〔2022〕</w:t>
      </w:r>
      <w:r>
        <w:rPr>
          <w:rFonts w:hint="eastAsia" w:ascii="仿宋_GB2312" w:hAnsi="仿宋_GB2312" w:eastAsia="仿宋_GB2312" w:cs="仿宋_GB2312"/>
          <w:b w:val="0"/>
          <w:bCs w:val="0"/>
          <w:color w:val="000000"/>
          <w:sz w:val="32"/>
          <w:szCs w:val="32"/>
          <w:u w:val="none" w:color="auto"/>
          <w:lang w:val="en-US" w:eastAsia="zh-CN"/>
        </w:rPr>
        <w:t>27</w:t>
      </w:r>
      <w:r>
        <w:rPr>
          <w:rFonts w:hint="eastAsia" w:ascii="仿宋_GB2312" w:hAnsi="仿宋_GB2312" w:eastAsia="仿宋_GB2312" w:cs="仿宋_GB2312"/>
          <w:b w:val="0"/>
          <w:bCs w:val="0"/>
          <w:color w:val="000000"/>
          <w:sz w:val="32"/>
          <w:szCs w:val="32"/>
          <w:u w:val="none" w:color="auto"/>
        </w:rPr>
        <w:t>号</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color w:val="000000"/>
          <w:sz w:val="32"/>
          <w:szCs w:val="32"/>
          <w:u w:val="none" w:color="auto"/>
          <w:lang w:eastAsia="zh-CN" w:bidi="ar-SA"/>
        </w:rPr>
        <w:t>、</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color w:val="000000"/>
          <w:sz w:val="32"/>
          <w:szCs w:val="32"/>
          <w:u w:val="none" w:color="auto"/>
          <w:lang w:val="en-US" w:eastAsia="zh-CN"/>
        </w:rPr>
        <w:t>阿坝州财政局</w:t>
      </w:r>
      <w:r>
        <w:rPr>
          <w:rFonts w:hint="eastAsia" w:ascii="仿宋_GB2312" w:hAnsi="仿宋_GB2312" w:eastAsia="仿宋_GB2312" w:cs="仿宋_GB2312"/>
          <w:b w:val="0"/>
          <w:bCs w:val="0"/>
          <w:color w:val="000000"/>
          <w:sz w:val="32"/>
          <w:szCs w:val="32"/>
          <w:u w:val="none" w:color="auto"/>
        </w:rPr>
        <w:t xml:space="preserve"> </w:t>
      </w:r>
      <w:r>
        <w:rPr>
          <w:rFonts w:hint="eastAsia" w:ascii="仿宋_GB2312" w:hAnsi="仿宋_GB2312" w:eastAsia="仿宋_GB2312" w:cs="仿宋_GB2312"/>
          <w:b w:val="0"/>
          <w:bCs w:val="0"/>
          <w:color w:val="000000"/>
          <w:sz w:val="32"/>
          <w:szCs w:val="32"/>
          <w:u w:val="none" w:color="auto"/>
          <w:lang w:val="en-US" w:eastAsia="zh-CN"/>
        </w:rPr>
        <w:t>阿坝州自然资源局关于预</w:t>
      </w:r>
      <w:r>
        <w:rPr>
          <w:rFonts w:hint="eastAsia" w:ascii="仿宋_GB2312" w:hAnsi="仿宋_GB2312" w:eastAsia="仿宋_GB2312" w:cs="仿宋_GB2312"/>
          <w:b w:val="0"/>
          <w:bCs w:val="0"/>
          <w:color w:val="000000"/>
          <w:sz w:val="32"/>
          <w:szCs w:val="32"/>
          <w:u w:val="none" w:color="auto"/>
        </w:rPr>
        <w:t>下达202</w:t>
      </w:r>
      <w:r>
        <w:rPr>
          <w:rFonts w:hint="eastAsia" w:ascii="仿宋_GB2312" w:hAnsi="仿宋_GB2312" w:eastAsia="仿宋_GB2312" w:cs="仿宋_GB2312"/>
          <w:b w:val="0"/>
          <w:bCs w:val="0"/>
          <w:color w:val="000000"/>
          <w:sz w:val="32"/>
          <w:szCs w:val="32"/>
          <w:u w:val="none" w:color="auto"/>
          <w:lang w:val="en-US" w:eastAsia="zh-CN"/>
        </w:rPr>
        <w:t>2</w:t>
      </w:r>
      <w:r>
        <w:rPr>
          <w:rFonts w:hint="eastAsia" w:ascii="仿宋_GB2312" w:hAnsi="仿宋_GB2312" w:eastAsia="仿宋_GB2312" w:cs="仿宋_GB2312"/>
          <w:b w:val="0"/>
          <w:bCs w:val="0"/>
          <w:color w:val="000000"/>
          <w:sz w:val="32"/>
          <w:szCs w:val="32"/>
          <w:u w:val="none" w:color="auto"/>
        </w:rPr>
        <w:t>年</w:t>
      </w:r>
      <w:r>
        <w:rPr>
          <w:rFonts w:hint="eastAsia" w:ascii="仿宋_GB2312" w:hAnsi="仿宋_GB2312" w:eastAsia="仿宋_GB2312" w:cs="仿宋_GB2312"/>
          <w:b w:val="0"/>
          <w:bCs w:val="0"/>
          <w:color w:val="000000"/>
          <w:sz w:val="32"/>
          <w:szCs w:val="32"/>
          <w:u w:val="none" w:color="auto"/>
          <w:lang w:val="en-US" w:eastAsia="zh-CN"/>
        </w:rPr>
        <w:t>第二批中央重点生态保护修复治理资金预算的通知</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color w:val="000000"/>
          <w:sz w:val="32"/>
          <w:szCs w:val="32"/>
          <w:u w:val="none" w:color="auto"/>
          <w:lang w:val="en-US" w:eastAsia="zh-CN" w:bidi="ar-SA"/>
        </w:rPr>
        <w:t>阿州财资环</w:t>
      </w:r>
      <w:r>
        <w:rPr>
          <w:rFonts w:hint="eastAsia" w:ascii="仿宋_GB2312" w:hAnsi="仿宋_GB2312" w:eastAsia="仿宋_GB2312" w:cs="仿宋_GB2312"/>
          <w:b w:val="0"/>
          <w:bCs w:val="0"/>
          <w:color w:val="000000"/>
          <w:sz w:val="32"/>
          <w:szCs w:val="32"/>
          <w:u w:val="none" w:color="auto"/>
        </w:rPr>
        <w:t>〔2022〕</w:t>
      </w:r>
      <w:r>
        <w:rPr>
          <w:rFonts w:hint="eastAsia" w:ascii="仿宋_GB2312" w:hAnsi="仿宋_GB2312" w:eastAsia="仿宋_GB2312" w:cs="仿宋_GB2312"/>
          <w:b w:val="0"/>
          <w:bCs w:val="0"/>
          <w:color w:val="000000"/>
          <w:sz w:val="32"/>
          <w:szCs w:val="32"/>
          <w:u w:val="none" w:color="auto"/>
          <w:lang w:val="en-US" w:eastAsia="zh-CN"/>
        </w:rPr>
        <w:t>39</w:t>
      </w:r>
      <w:r>
        <w:rPr>
          <w:rFonts w:hint="eastAsia" w:ascii="仿宋_GB2312" w:hAnsi="仿宋_GB2312" w:eastAsia="仿宋_GB2312" w:cs="仿宋_GB2312"/>
          <w:b w:val="0"/>
          <w:bCs w:val="0"/>
          <w:color w:val="000000"/>
          <w:sz w:val="32"/>
          <w:szCs w:val="32"/>
          <w:u w:val="none" w:color="auto"/>
        </w:rPr>
        <w:t>号</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color w:val="000000"/>
          <w:sz w:val="32"/>
          <w:szCs w:val="32"/>
          <w:u w:val="none" w:color="auto"/>
          <w:lang w:eastAsia="zh-CN" w:bidi="ar-SA"/>
        </w:rPr>
        <w:t>、</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color w:val="000000"/>
          <w:sz w:val="32"/>
          <w:szCs w:val="32"/>
          <w:u w:val="none" w:color="auto"/>
          <w:lang w:val="en-US" w:eastAsia="zh-CN"/>
        </w:rPr>
        <w:t>阿坝州财政局</w:t>
      </w:r>
      <w:r>
        <w:rPr>
          <w:rFonts w:hint="eastAsia" w:ascii="仿宋_GB2312" w:hAnsi="仿宋_GB2312" w:eastAsia="仿宋_GB2312" w:cs="仿宋_GB2312"/>
          <w:b w:val="0"/>
          <w:bCs w:val="0"/>
          <w:color w:val="000000"/>
          <w:sz w:val="32"/>
          <w:szCs w:val="32"/>
          <w:u w:val="none" w:color="auto"/>
        </w:rPr>
        <w:t xml:space="preserve"> </w:t>
      </w:r>
      <w:r>
        <w:rPr>
          <w:rFonts w:hint="eastAsia" w:ascii="仿宋_GB2312" w:hAnsi="仿宋_GB2312" w:eastAsia="仿宋_GB2312" w:cs="仿宋_GB2312"/>
          <w:b w:val="0"/>
          <w:bCs w:val="0"/>
          <w:color w:val="000000"/>
          <w:sz w:val="32"/>
          <w:szCs w:val="32"/>
          <w:u w:val="none" w:color="auto"/>
          <w:lang w:val="en-US" w:eastAsia="zh-CN"/>
        </w:rPr>
        <w:t>阿坝州自然资源局关于</w:t>
      </w:r>
      <w:r>
        <w:rPr>
          <w:rFonts w:hint="eastAsia" w:ascii="仿宋_GB2312" w:hAnsi="仿宋_GB2312" w:eastAsia="仿宋_GB2312" w:cs="仿宋_GB2312"/>
          <w:b w:val="0"/>
          <w:bCs w:val="0"/>
          <w:color w:val="000000"/>
          <w:sz w:val="32"/>
          <w:szCs w:val="32"/>
          <w:u w:val="none" w:color="auto"/>
        </w:rPr>
        <w:t>下达202</w:t>
      </w:r>
      <w:r>
        <w:rPr>
          <w:rFonts w:hint="eastAsia" w:ascii="仿宋_GB2312" w:hAnsi="仿宋_GB2312" w:eastAsia="仿宋_GB2312" w:cs="仿宋_GB2312"/>
          <w:b w:val="0"/>
          <w:bCs w:val="0"/>
          <w:color w:val="000000"/>
          <w:sz w:val="32"/>
          <w:szCs w:val="32"/>
          <w:u w:val="none" w:color="auto"/>
          <w:lang w:val="en-US" w:eastAsia="zh-CN"/>
        </w:rPr>
        <w:t>3</w:t>
      </w:r>
      <w:r>
        <w:rPr>
          <w:rFonts w:hint="eastAsia" w:ascii="仿宋_GB2312" w:hAnsi="仿宋_GB2312" w:eastAsia="仿宋_GB2312" w:cs="仿宋_GB2312"/>
          <w:b w:val="0"/>
          <w:bCs w:val="0"/>
          <w:color w:val="000000"/>
          <w:sz w:val="32"/>
          <w:szCs w:val="32"/>
          <w:u w:val="none" w:color="auto"/>
        </w:rPr>
        <w:t>年</w:t>
      </w:r>
      <w:r>
        <w:rPr>
          <w:rFonts w:hint="eastAsia" w:ascii="仿宋_GB2312" w:hAnsi="仿宋_GB2312" w:eastAsia="仿宋_GB2312" w:cs="仿宋_GB2312"/>
          <w:b w:val="0"/>
          <w:bCs w:val="0"/>
          <w:color w:val="000000"/>
          <w:sz w:val="32"/>
          <w:szCs w:val="32"/>
          <w:u w:val="none" w:color="auto"/>
          <w:lang w:val="en-US" w:eastAsia="zh-CN"/>
        </w:rPr>
        <w:t>第1批重点生态保护修复治理资金预算（中央）分配方案的通知</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color w:val="000000"/>
          <w:sz w:val="32"/>
          <w:szCs w:val="32"/>
          <w:u w:val="none" w:color="auto"/>
          <w:lang w:val="en-US" w:eastAsia="zh-CN" w:bidi="ar-SA"/>
        </w:rPr>
        <w:t>阿州财资环</w:t>
      </w:r>
      <w:r>
        <w:rPr>
          <w:rFonts w:hint="eastAsia" w:ascii="仿宋_GB2312" w:hAnsi="仿宋_GB2312" w:eastAsia="仿宋_GB2312" w:cs="仿宋_GB2312"/>
          <w:b w:val="0"/>
          <w:bCs w:val="0"/>
          <w:color w:val="000000"/>
          <w:sz w:val="32"/>
          <w:szCs w:val="32"/>
          <w:u w:val="none" w:color="auto"/>
        </w:rPr>
        <w:t>〔202</w:t>
      </w:r>
      <w:r>
        <w:rPr>
          <w:rFonts w:hint="eastAsia" w:ascii="仿宋_GB2312" w:hAnsi="仿宋_GB2312" w:eastAsia="仿宋_GB2312" w:cs="仿宋_GB2312"/>
          <w:b w:val="0"/>
          <w:bCs w:val="0"/>
          <w:color w:val="000000"/>
          <w:sz w:val="32"/>
          <w:szCs w:val="32"/>
          <w:u w:val="none" w:color="auto"/>
          <w:lang w:val="en-US" w:eastAsia="zh-CN"/>
        </w:rPr>
        <w:t>3</w:t>
      </w:r>
      <w:r>
        <w:rPr>
          <w:rFonts w:hint="eastAsia" w:ascii="仿宋_GB2312" w:hAnsi="仿宋_GB2312" w:eastAsia="仿宋_GB2312" w:cs="仿宋_GB2312"/>
          <w:b w:val="0"/>
          <w:bCs w:val="0"/>
          <w:color w:val="000000"/>
          <w:sz w:val="32"/>
          <w:szCs w:val="32"/>
          <w:u w:val="none" w:color="auto"/>
        </w:rPr>
        <w:t>〕</w:t>
      </w:r>
      <w:r>
        <w:rPr>
          <w:rFonts w:hint="eastAsia" w:ascii="仿宋_GB2312" w:hAnsi="仿宋_GB2312" w:eastAsia="仿宋_GB2312" w:cs="仿宋_GB2312"/>
          <w:b w:val="0"/>
          <w:bCs w:val="0"/>
          <w:color w:val="000000"/>
          <w:sz w:val="32"/>
          <w:szCs w:val="32"/>
          <w:u w:val="none" w:color="auto"/>
          <w:lang w:val="en-US" w:eastAsia="zh-CN"/>
        </w:rPr>
        <w:t>1</w:t>
      </w:r>
      <w:r>
        <w:rPr>
          <w:rFonts w:hint="eastAsia" w:ascii="仿宋_GB2312" w:hAnsi="仿宋_GB2312" w:eastAsia="仿宋_GB2312" w:cs="仿宋_GB2312"/>
          <w:b w:val="0"/>
          <w:bCs w:val="0"/>
          <w:color w:val="000000"/>
          <w:sz w:val="32"/>
          <w:szCs w:val="32"/>
          <w:u w:val="none" w:color="auto"/>
        </w:rPr>
        <w:t>号</w:t>
      </w:r>
      <w:r>
        <w:rPr>
          <w:rFonts w:hint="eastAsia" w:ascii="仿宋_GB2312" w:hAnsi="仿宋_GB2312" w:eastAsia="仿宋_GB2312" w:cs="仿宋_GB2312"/>
          <w:b w:val="0"/>
          <w:bCs w:val="0"/>
          <w:color w:val="000000"/>
          <w:sz w:val="32"/>
          <w:szCs w:val="32"/>
          <w:u w:val="none" w:color="auto"/>
          <w:lang w:bidi="ar-SA"/>
        </w:rPr>
        <w:t>）</w:t>
      </w:r>
      <w:r>
        <w:rPr>
          <w:rFonts w:hint="eastAsia" w:ascii="仿宋_GB2312" w:hAnsi="仿宋_GB2312" w:eastAsia="仿宋_GB2312" w:cs="仿宋_GB2312"/>
          <w:b w:val="0"/>
          <w:bCs w:val="0"/>
          <w:sz w:val="32"/>
          <w:szCs w:val="32"/>
          <w:u w:val="none" w:color="auto"/>
        </w:rPr>
        <w:t>文件要求</w:t>
      </w:r>
      <w:r>
        <w:rPr>
          <w:rFonts w:hint="eastAsia" w:ascii="仿宋_GB2312" w:hAnsi="仿宋_GB2312" w:eastAsia="仿宋_GB2312" w:cs="仿宋_GB2312"/>
          <w:b w:val="0"/>
          <w:bCs w:val="0"/>
          <w:i w:val="0"/>
          <w:iCs w:val="0"/>
          <w:color w:val="000000"/>
          <w:kern w:val="0"/>
          <w:sz w:val="32"/>
          <w:szCs w:val="32"/>
          <w:highlight w:val="none"/>
          <w:u w:val="none" w:color="auto"/>
          <w:vertAlign w:val="baseline"/>
          <w:lang w:val="en-US" w:eastAsia="zh-CN" w:bidi="ar-SA"/>
        </w:rPr>
        <w:t>以及相关财政预算管理要求，做好预算编制、指标安排和前期准备等相关工作。</w:t>
      </w:r>
      <w:r>
        <w:rPr>
          <w:rFonts w:hint="eastAsia" w:ascii="仿宋_GB2312" w:hAnsi="仿宋_GB2312" w:eastAsia="仿宋_GB2312" w:cs="仿宋_GB2312"/>
          <w:b w:val="0"/>
          <w:bCs w:val="0"/>
          <w:sz w:val="32"/>
          <w:szCs w:val="32"/>
          <w:u w:val="none" w:color="auto"/>
          <w:lang w:val="en-US" w:eastAsia="zh-CN"/>
        </w:rPr>
        <w:t>资金预算测算准确合理。</w:t>
      </w:r>
    </w:p>
    <w:p w14:paraId="01BD4035">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（三）目标合理性</w:t>
      </w:r>
    </w:p>
    <w:p w14:paraId="2B8416C3">
      <w:pPr>
        <w:keepNext w:val="0"/>
        <w:keepLines w:val="0"/>
        <w:pageBreakBefore w:val="0"/>
        <w:widowControl w:val="0"/>
        <w:kinsoku w:val="0"/>
        <w:wordWrap/>
        <w:autoSpaceDE/>
        <w:autoSpaceDN/>
        <w:bidi w:val="0"/>
        <w:spacing w:line="560" w:lineRule="atLeast"/>
        <w:ind w:firstLine="640" w:firstLineChars="200"/>
        <w:jc w:val="both"/>
        <w:textAlignment w:val="auto"/>
        <w:rPr>
          <w:rFonts w:hint="eastAsia" w:ascii="仿宋_GB2312" w:hAnsi="仿宋_GB2312" w:eastAsia="仿宋_GB2312" w:cs="仿宋_GB2312"/>
          <w:b w:val="0"/>
          <w:bCs w:val="0"/>
          <w:color w:val="000000"/>
          <w:kern w:val="0"/>
          <w:sz w:val="32"/>
          <w:szCs w:val="32"/>
          <w:u w:color="000000"/>
        </w:rPr>
      </w:pPr>
      <w:r>
        <w:rPr>
          <w:rFonts w:hint="eastAsia" w:ascii="仿宋_GB2312" w:hAnsi="仿宋_GB2312" w:eastAsia="仿宋_GB2312" w:cs="仿宋_GB2312"/>
          <w:b w:val="0"/>
          <w:bCs w:val="0"/>
          <w:color w:val="000000"/>
          <w:kern w:val="0"/>
          <w:sz w:val="32"/>
          <w:szCs w:val="32"/>
          <w:u w:color="000000"/>
        </w:rPr>
        <w:t>按照山水林田湖草沙系统治理思路，高质量推进湿地生态系统综合治理。通过对松潘县川主寺镇岷江源国家湿地公园片区和尕力台片区展开综合生态治理后，一是能促进退化湿地植被恢复，增加草原植被盖度，提升湿地水源涵养能力，全面提升区域湿地生态系统功能，筑牢黄河上游生态屏障；二是进一步完善区域自然生态基础设施，助力区域第三产业发展，从而分流从牧人员，增加农牧民收入，减轻湿地压力，保护湿地生态，实现生态效益和经济效益双赢。</w:t>
      </w:r>
    </w:p>
    <w:p w14:paraId="6979F214">
      <w:pPr>
        <w:pStyle w:val="24"/>
        <w:keepNext w:val="0"/>
        <w:keepLines w:val="0"/>
        <w:pageBreakBefore w:val="0"/>
        <w:widowControl w:val="0"/>
        <w:kinsoku/>
        <w:wordWrap/>
        <w:overflowPunct/>
        <w:topLinePunct w:val="0"/>
        <w:autoSpaceDE/>
        <w:autoSpaceDN/>
        <w:bidi w:val="0"/>
        <w:spacing w:line="576" w:lineRule="exact"/>
        <w:ind w:left="0" w:firstLine="640" w:firstLineChars="200"/>
        <w:jc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lang w:val="en-US" w:eastAsia="zh-CN"/>
        </w:rPr>
        <w:t>松潘县川主寺水土流失综合治理项目</w:t>
      </w:r>
      <w:r>
        <w:rPr>
          <w:rFonts w:hint="eastAsia" w:ascii="仿宋_GB2312" w:hAnsi="仿宋_GB2312" w:eastAsia="仿宋_GB2312" w:cs="仿宋_GB2312"/>
          <w:b w:val="0"/>
          <w:bCs w:val="0"/>
          <w:sz w:val="32"/>
          <w:szCs w:val="32"/>
          <w:u w:val="none" w:color="auto"/>
        </w:rPr>
        <w:t>绩效目标表</w:t>
      </w:r>
    </w:p>
    <w:tbl>
      <w:tblPr>
        <w:tblStyle w:val="17"/>
        <w:tblpPr w:leftFromText="180" w:rightFromText="180" w:vertAnchor="text" w:horzAnchor="page" w:tblpX="1905" w:tblpY="112"/>
        <w:tblW w:w="0" w:type="auto"/>
        <w:tblInd w:w="-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1"/>
        <w:gridCol w:w="1595"/>
        <w:gridCol w:w="3873"/>
        <w:gridCol w:w="1661"/>
      </w:tblGrid>
      <w:tr w14:paraId="2CDA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tcBorders>
              <w:bottom w:val="single" w:color="auto" w:sz="4" w:space="0"/>
              <w:right w:val="single" w:color="auto" w:sz="4" w:space="0"/>
            </w:tcBorders>
            <w:noWrap w:val="0"/>
            <w:vAlign w:val="center"/>
          </w:tcPr>
          <w:p w14:paraId="4273FF58">
            <w:pPr>
              <w:keepNext w:val="0"/>
              <w:keepLines w:val="0"/>
              <w:widowControl/>
              <w:suppressLineNumbers w:val="0"/>
              <w:jc w:val="center"/>
              <w:textAlignment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i w:val="0"/>
                <w:iCs w:val="0"/>
                <w:color w:val="000000"/>
                <w:kern w:val="0"/>
                <w:sz w:val="32"/>
                <w:szCs w:val="32"/>
                <w:u w:val="none"/>
                <w:lang w:val="en-US" w:eastAsia="zh-CN" w:bidi="ar"/>
              </w:rPr>
              <w:t>一级指标</w:t>
            </w:r>
          </w:p>
        </w:tc>
        <w:tc>
          <w:tcPr>
            <w:tcW w:w="1595" w:type="dxa"/>
            <w:tcBorders>
              <w:left w:val="single" w:color="auto" w:sz="4" w:space="0"/>
              <w:bottom w:val="single" w:color="auto" w:sz="4" w:space="0"/>
              <w:right w:val="single" w:color="auto" w:sz="4" w:space="0"/>
            </w:tcBorders>
            <w:noWrap w:val="0"/>
            <w:vAlign w:val="center"/>
          </w:tcPr>
          <w:p w14:paraId="68FB5040">
            <w:pPr>
              <w:keepNext w:val="0"/>
              <w:keepLines w:val="0"/>
              <w:widowControl/>
              <w:suppressLineNumbers w:val="0"/>
              <w:jc w:val="center"/>
              <w:textAlignment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i w:val="0"/>
                <w:iCs w:val="0"/>
                <w:color w:val="000000"/>
                <w:kern w:val="0"/>
                <w:sz w:val="32"/>
                <w:szCs w:val="32"/>
                <w:u w:val="none"/>
                <w:lang w:val="en-US" w:eastAsia="zh-CN" w:bidi="ar"/>
              </w:rPr>
              <w:t>二级指标</w:t>
            </w:r>
          </w:p>
        </w:tc>
        <w:tc>
          <w:tcPr>
            <w:tcW w:w="3873" w:type="dxa"/>
            <w:tcBorders>
              <w:left w:val="single" w:color="auto" w:sz="4" w:space="0"/>
              <w:bottom w:val="single" w:color="auto" w:sz="4" w:space="0"/>
              <w:right w:val="single" w:color="auto" w:sz="4" w:space="0"/>
            </w:tcBorders>
            <w:noWrap w:val="0"/>
            <w:vAlign w:val="center"/>
          </w:tcPr>
          <w:p w14:paraId="7D1FBBD5">
            <w:pPr>
              <w:keepNext w:val="0"/>
              <w:keepLines w:val="0"/>
              <w:widowControl/>
              <w:suppressLineNumbers w:val="0"/>
              <w:jc w:val="center"/>
              <w:textAlignment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i w:val="0"/>
                <w:iCs w:val="0"/>
                <w:color w:val="000000"/>
                <w:kern w:val="0"/>
                <w:sz w:val="32"/>
                <w:szCs w:val="32"/>
                <w:u w:val="none"/>
                <w:lang w:val="en-US" w:eastAsia="zh-CN" w:bidi="ar"/>
              </w:rPr>
              <w:t>三级指标</w:t>
            </w:r>
          </w:p>
        </w:tc>
        <w:tc>
          <w:tcPr>
            <w:tcW w:w="1661" w:type="dxa"/>
            <w:tcBorders>
              <w:left w:val="single" w:color="auto" w:sz="4" w:space="0"/>
              <w:bottom w:val="single" w:color="auto" w:sz="4" w:space="0"/>
            </w:tcBorders>
            <w:noWrap w:val="0"/>
            <w:vAlign w:val="center"/>
          </w:tcPr>
          <w:p w14:paraId="7BBDA997">
            <w:pPr>
              <w:keepNext w:val="0"/>
              <w:keepLines w:val="0"/>
              <w:widowControl/>
              <w:suppressLineNumbers w:val="0"/>
              <w:jc w:val="center"/>
              <w:textAlignment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i w:val="0"/>
                <w:iCs w:val="0"/>
                <w:color w:val="000000"/>
                <w:kern w:val="0"/>
                <w:sz w:val="32"/>
                <w:szCs w:val="32"/>
                <w:u w:val="none"/>
                <w:lang w:val="en-US" w:eastAsia="zh-CN" w:bidi="ar"/>
              </w:rPr>
              <w:t>指标值</w:t>
            </w:r>
          </w:p>
        </w:tc>
      </w:tr>
      <w:tr w14:paraId="25B3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restart"/>
            <w:tcBorders>
              <w:top w:val="single" w:color="auto" w:sz="4" w:space="0"/>
              <w:bottom w:val="single" w:color="auto" w:sz="4" w:space="0"/>
              <w:right w:val="single" w:color="auto" w:sz="4" w:space="0"/>
            </w:tcBorders>
            <w:noWrap w:val="0"/>
            <w:vAlign w:val="center"/>
          </w:tcPr>
          <w:p w14:paraId="4A85FA4C">
            <w:pPr>
              <w:keepNext w:val="0"/>
              <w:keepLines w:val="0"/>
              <w:widowControl/>
              <w:suppressLineNumbers w:val="0"/>
              <w:jc w:val="center"/>
              <w:textAlignment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i w:val="0"/>
                <w:iCs w:val="0"/>
                <w:color w:val="000000"/>
                <w:kern w:val="0"/>
                <w:sz w:val="32"/>
                <w:szCs w:val="32"/>
                <w:u w:val="none"/>
                <w:lang w:val="en-US" w:eastAsia="zh-CN" w:bidi="ar"/>
              </w:rPr>
              <w:t>产出指标</w:t>
            </w:r>
          </w:p>
        </w:tc>
        <w:tc>
          <w:tcPr>
            <w:tcW w:w="1595" w:type="dxa"/>
            <w:vMerge w:val="restart"/>
            <w:tcBorders>
              <w:top w:val="single" w:color="auto" w:sz="4" w:space="0"/>
              <w:left w:val="single" w:color="auto" w:sz="4" w:space="0"/>
              <w:bottom w:val="single" w:color="auto" w:sz="4" w:space="0"/>
              <w:right w:val="single" w:color="auto" w:sz="4" w:space="0"/>
            </w:tcBorders>
            <w:noWrap w:val="0"/>
            <w:vAlign w:val="center"/>
          </w:tcPr>
          <w:p w14:paraId="4AEECB4F">
            <w:pPr>
              <w:keepNext w:val="0"/>
              <w:keepLines w:val="0"/>
              <w:widowControl/>
              <w:suppressLineNumbers w:val="0"/>
              <w:jc w:val="center"/>
              <w:textAlignment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i w:val="0"/>
                <w:iCs w:val="0"/>
                <w:color w:val="000000"/>
                <w:kern w:val="0"/>
                <w:sz w:val="32"/>
                <w:szCs w:val="32"/>
                <w:u w:val="none"/>
                <w:lang w:val="en-US" w:eastAsia="zh-CN" w:bidi="ar"/>
              </w:rPr>
              <w:t>数量指标</w:t>
            </w:r>
          </w:p>
        </w:tc>
        <w:tc>
          <w:tcPr>
            <w:tcW w:w="3873" w:type="dxa"/>
            <w:tcBorders>
              <w:top w:val="single" w:color="auto" w:sz="4" w:space="0"/>
              <w:left w:val="single" w:color="auto" w:sz="4" w:space="0"/>
              <w:bottom w:val="single" w:color="auto" w:sz="4" w:space="0"/>
              <w:right w:val="single" w:color="auto" w:sz="4" w:space="0"/>
            </w:tcBorders>
            <w:noWrap w:val="0"/>
            <w:vAlign w:val="center"/>
          </w:tcPr>
          <w:p w14:paraId="6BFD26C5">
            <w:pPr>
              <w:keepNext w:val="0"/>
              <w:keepLines w:val="0"/>
              <w:widowControl/>
              <w:suppressLineNumbers w:val="0"/>
              <w:jc w:val="left"/>
              <w:textAlignment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i w:val="0"/>
                <w:iCs w:val="0"/>
                <w:color w:val="000000"/>
                <w:kern w:val="0"/>
                <w:sz w:val="32"/>
                <w:szCs w:val="32"/>
                <w:u w:val="none"/>
                <w:lang w:val="en-US" w:eastAsia="zh-CN" w:bidi="ar"/>
              </w:rPr>
              <w:t>湿地水源涵养能力提升</w:t>
            </w:r>
          </w:p>
        </w:tc>
        <w:tc>
          <w:tcPr>
            <w:tcW w:w="1661" w:type="dxa"/>
            <w:tcBorders>
              <w:top w:val="single" w:color="auto" w:sz="4" w:space="0"/>
              <w:left w:val="single" w:color="auto" w:sz="4" w:space="0"/>
              <w:bottom w:val="single" w:color="auto" w:sz="4" w:space="0"/>
            </w:tcBorders>
            <w:noWrap w:val="0"/>
            <w:vAlign w:val="center"/>
          </w:tcPr>
          <w:p w14:paraId="6312E487">
            <w:pPr>
              <w:keepNext w:val="0"/>
              <w:keepLines w:val="0"/>
              <w:widowControl/>
              <w:suppressLineNumbers w:val="0"/>
              <w:jc w:val="left"/>
              <w:textAlignment w:val="center"/>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i w:val="0"/>
                <w:iCs w:val="0"/>
                <w:color w:val="000000"/>
                <w:kern w:val="0"/>
                <w:sz w:val="32"/>
                <w:szCs w:val="32"/>
                <w:u w:val="none"/>
                <w:lang w:val="en-US" w:eastAsia="zh-CN" w:bidi="ar"/>
              </w:rPr>
              <w:t>37.30 hm2</w:t>
            </w:r>
          </w:p>
        </w:tc>
      </w:tr>
      <w:tr w14:paraId="1371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33CD415B">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056610B7">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599C80AF">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提示警示系统</w:t>
            </w:r>
          </w:p>
        </w:tc>
        <w:tc>
          <w:tcPr>
            <w:tcW w:w="1661" w:type="dxa"/>
            <w:tcBorders>
              <w:top w:val="single" w:color="auto" w:sz="4" w:space="0"/>
              <w:left w:val="single" w:color="auto" w:sz="4" w:space="0"/>
              <w:bottom w:val="single" w:color="auto" w:sz="4" w:space="0"/>
            </w:tcBorders>
            <w:noWrap w:val="0"/>
            <w:vAlign w:val="center"/>
          </w:tcPr>
          <w:p w14:paraId="60D80E7D">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30个</w:t>
            </w:r>
          </w:p>
        </w:tc>
      </w:tr>
      <w:tr w14:paraId="0539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0BE5498B">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0B14C8C7">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655CC53B">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构建湿地植物群落</w:t>
            </w:r>
          </w:p>
        </w:tc>
        <w:tc>
          <w:tcPr>
            <w:tcW w:w="1661" w:type="dxa"/>
            <w:tcBorders>
              <w:top w:val="single" w:color="auto" w:sz="4" w:space="0"/>
              <w:left w:val="single" w:color="auto" w:sz="4" w:space="0"/>
              <w:bottom w:val="single" w:color="auto" w:sz="4" w:space="0"/>
            </w:tcBorders>
            <w:noWrap w:val="0"/>
            <w:vAlign w:val="center"/>
          </w:tcPr>
          <w:p w14:paraId="449FCD08">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5.26 hm2</w:t>
            </w:r>
          </w:p>
        </w:tc>
      </w:tr>
      <w:tr w14:paraId="5EDA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22C10110">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73FD73A0">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07D5C3CC">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构建和连通水系</w:t>
            </w:r>
          </w:p>
        </w:tc>
        <w:tc>
          <w:tcPr>
            <w:tcW w:w="1661" w:type="dxa"/>
            <w:tcBorders>
              <w:top w:val="single" w:color="auto" w:sz="4" w:space="0"/>
              <w:left w:val="single" w:color="auto" w:sz="4" w:space="0"/>
              <w:bottom w:val="single" w:color="auto" w:sz="4" w:space="0"/>
            </w:tcBorders>
            <w:noWrap w:val="0"/>
            <w:vAlign w:val="center"/>
          </w:tcPr>
          <w:p w14:paraId="240A7F5B">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10条，共1705m</w:t>
            </w:r>
          </w:p>
        </w:tc>
      </w:tr>
      <w:tr w14:paraId="17B3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6A2CB4BB">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171B1811">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7A458220">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提升河岸带洼地</w:t>
            </w:r>
          </w:p>
        </w:tc>
        <w:tc>
          <w:tcPr>
            <w:tcW w:w="1661" w:type="dxa"/>
            <w:tcBorders>
              <w:top w:val="single" w:color="auto" w:sz="4" w:space="0"/>
              <w:left w:val="single" w:color="auto" w:sz="4" w:space="0"/>
              <w:bottom w:val="single" w:color="auto" w:sz="4" w:space="0"/>
            </w:tcBorders>
            <w:noWrap w:val="0"/>
            <w:vAlign w:val="center"/>
          </w:tcPr>
          <w:p w14:paraId="74A003E9">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5.5 hm2</w:t>
            </w:r>
          </w:p>
        </w:tc>
      </w:tr>
      <w:tr w14:paraId="2E76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1402B859">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718A578F">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27933E10">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生态廊道</w:t>
            </w:r>
          </w:p>
        </w:tc>
        <w:tc>
          <w:tcPr>
            <w:tcW w:w="1661" w:type="dxa"/>
            <w:tcBorders>
              <w:top w:val="single" w:color="auto" w:sz="4" w:space="0"/>
              <w:left w:val="single" w:color="auto" w:sz="4" w:space="0"/>
              <w:bottom w:val="single" w:color="auto" w:sz="4" w:space="0"/>
            </w:tcBorders>
            <w:noWrap w:val="0"/>
            <w:vAlign w:val="center"/>
          </w:tcPr>
          <w:p w14:paraId="41B7871D">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5000m</w:t>
            </w:r>
          </w:p>
        </w:tc>
      </w:tr>
      <w:tr w14:paraId="2B72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498FC079">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27461AA1">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227B6D04">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小型拦水坝</w:t>
            </w:r>
          </w:p>
        </w:tc>
        <w:tc>
          <w:tcPr>
            <w:tcW w:w="1661" w:type="dxa"/>
            <w:tcBorders>
              <w:top w:val="single" w:color="auto" w:sz="4" w:space="0"/>
              <w:left w:val="single" w:color="auto" w:sz="4" w:space="0"/>
              <w:bottom w:val="single" w:color="auto" w:sz="4" w:space="0"/>
            </w:tcBorders>
            <w:noWrap w:val="0"/>
            <w:vAlign w:val="center"/>
          </w:tcPr>
          <w:p w14:paraId="3C829F8C">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3座</w:t>
            </w:r>
          </w:p>
        </w:tc>
      </w:tr>
      <w:tr w14:paraId="7039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485E9718">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5E162DB5">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60BDEFCA">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项目标识牌</w:t>
            </w:r>
          </w:p>
        </w:tc>
        <w:tc>
          <w:tcPr>
            <w:tcW w:w="1661" w:type="dxa"/>
            <w:tcBorders>
              <w:top w:val="single" w:color="auto" w:sz="4" w:space="0"/>
              <w:left w:val="single" w:color="auto" w:sz="4" w:space="0"/>
              <w:bottom w:val="single" w:color="auto" w:sz="4" w:space="0"/>
            </w:tcBorders>
            <w:noWrap w:val="0"/>
            <w:vAlign w:val="center"/>
          </w:tcPr>
          <w:p w14:paraId="0AB34933">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2座</w:t>
            </w:r>
          </w:p>
        </w:tc>
      </w:tr>
      <w:tr w14:paraId="789E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4CE26087">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265D2A35">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6F88B3B9">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新建网围栏</w:t>
            </w:r>
          </w:p>
        </w:tc>
        <w:tc>
          <w:tcPr>
            <w:tcW w:w="1661" w:type="dxa"/>
            <w:tcBorders>
              <w:top w:val="single" w:color="auto" w:sz="4" w:space="0"/>
              <w:left w:val="single" w:color="auto" w:sz="4" w:space="0"/>
              <w:bottom w:val="single" w:color="auto" w:sz="4" w:space="0"/>
            </w:tcBorders>
            <w:noWrap w:val="0"/>
            <w:vAlign w:val="center"/>
          </w:tcPr>
          <w:p w14:paraId="0775C7FA">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171453米</w:t>
            </w:r>
          </w:p>
        </w:tc>
      </w:tr>
      <w:tr w14:paraId="39A0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137FF88E">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restart"/>
            <w:tcBorders>
              <w:top w:val="single" w:color="auto" w:sz="4" w:space="0"/>
              <w:left w:val="single" w:color="auto" w:sz="4" w:space="0"/>
              <w:bottom w:val="single" w:color="auto" w:sz="4" w:space="0"/>
              <w:right w:val="single" w:color="auto" w:sz="4" w:space="0"/>
            </w:tcBorders>
            <w:noWrap w:val="0"/>
            <w:vAlign w:val="center"/>
          </w:tcPr>
          <w:p w14:paraId="2A7CD76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质量指标</w:t>
            </w:r>
          </w:p>
        </w:tc>
        <w:tc>
          <w:tcPr>
            <w:tcW w:w="3873" w:type="dxa"/>
            <w:tcBorders>
              <w:top w:val="single" w:color="auto" w:sz="4" w:space="0"/>
              <w:left w:val="single" w:color="auto" w:sz="4" w:space="0"/>
              <w:bottom w:val="single" w:color="auto" w:sz="4" w:space="0"/>
              <w:right w:val="single" w:color="auto" w:sz="4" w:space="0"/>
            </w:tcBorders>
            <w:noWrap w:val="0"/>
            <w:vAlign w:val="center"/>
          </w:tcPr>
          <w:p w14:paraId="41481E17">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主要检测成果应用率</w:t>
            </w:r>
          </w:p>
        </w:tc>
        <w:tc>
          <w:tcPr>
            <w:tcW w:w="1661" w:type="dxa"/>
            <w:tcBorders>
              <w:top w:val="single" w:color="auto" w:sz="4" w:space="0"/>
              <w:left w:val="single" w:color="auto" w:sz="4" w:space="0"/>
              <w:bottom w:val="single" w:color="auto" w:sz="4" w:space="0"/>
            </w:tcBorders>
            <w:noWrap w:val="0"/>
            <w:vAlign w:val="center"/>
          </w:tcPr>
          <w:p w14:paraId="4ADB3615">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≧85%</w:t>
            </w:r>
          </w:p>
        </w:tc>
      </w:tr>
      <w:tr w14:paraId="21E4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09CB9B1C">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2ED70CC9">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21139667">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国家重要湿地监测率</w:t>
            </w:r>
          </w:p>
        </w:tc>
        <w:tc>
          <w:tcPr>
            <w:tcW w:w="1661" w:type="dxa"/>
            <w:tcBorders>
              <w:top w:val="single" w:color="auto" w:sz="4" w:space="0"/>
              <w:left w:val="single" w:color="auto" w:sz="4" w:space="0"/>
              <w:bottom w:val="single" w:color="auto" w:sz="4" w:space="0"/>
            </w:tcBorders>
            <w:noWrap w:val="0"/>
            <w:vAlign w:val="center"/>
          </w:tcPr>
          <w:p w14:paraId="16A0ACEB">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≧80%</w:t>
            </w:r>
          </w:p>
        </w:tc>
      </w:tr>
      <w:tr w14:paraId="76AF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restart"/>
            <w:tcBorders>
              <w:top w:val="single" w:color="auto" w:sz="4" w:space="0"/>
              <w:bottom w:val="single" w:color="auto" w:sz="4" w:space="0"/>
              <w:right w:val="single" w:color="auto" w:sz="4" w:space="0"/>
            </w:tcBorders>
            <w:noWrap w:val="0"/>
            <w:vAlign w:val="center"/>
          </w:tcPr>
          <w:p w14:paraId="129B03B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效益指标</w:t>
            </w:r>
          </w:p>
        </w:tc>
        <w:tc>
          <w:tcPr>
            <w:tcW w:w="1595" w:type="dxa"/>
            <w:vMerge w:val="restart"/>
            <w:tcBorders>
              <w:top w:val="single" w:color="auto" w:sz="4" w:space="0"/>
              <w:left w:val="single" w:color="auto" w:sz="4" w:space="0"/>
              <w:bottom w:val="single" w:color="auto" w:sz="4" w:space="0"/>
              <w:right w:val="single" w:color="auto" w:sz="4" w:space="0"/>
            </w:tcBorders>
            <w:noWrap w:val="0"/>
            <w:vAlign w:val="center"/>
          </w:tcPr>
          <w:p w14:paraId="3F59CF1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社会效益</w:t>
            </w:r>
          </w:p>
        </w:tc>
        <w:tc>
          <w:tcPr>
            <w:tcW w:w="3873" w:type="dxa"/>
            <w:tcBorders>
              <w:top w:val="single" w:color="auto" w:sz="4" w:space="0"/>
              <w:left w:val="single" w:color="auto" w:sz="4" w:space="0"/>
              <w:bottom w:val="single" w:color="auto" w:sz="4" w:space="0"/>
              <w:right w:val="single" w:color="auto" w:sz="4" w:space="0"/>
            </w:tcBorders>
            <w:noWrap w:val="0"/>
            <w:vAlign w:val="center"/>
          </w:tcPr>
          <w:p w14:paraId="1A14C285">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社会公众对湿地保护的认知度</w:t>
            </w:r>
          </w:p>
        </w:tc>
        <w:tc>
          <w:tcPr>
            <w:tcW w:w="1661" w:type="dxa"/>
            <w:tcBorders>
              <w:top w:val="single" w:color="auto" w:sz="4" w:space="0"/>
              <w:left w:val="single" w:color="auto" w:sz="4" w:space="0"/>
              <w:bottom w:val="single" w:color="auto" w:sz="4" w:space="0"/>
            </w:tcBorders>
            <w:noWrap w:val="0"/>
            <w:vAlign w:val="center"/>
          </w:tcPr>
          <w:p w14:paraId="33FBD276">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明显提高</w:t>
            </w:r>
          </w:p>
        </w:tc>
      </w:tr>
      <w:tr w14:paraId="2B5E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729D1192">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bottom w:val="single" w:color="auto" w:sz="4" w:space="0"/>
              <w:right w:val="single" w:color="auto" w:sz="4" w:space="0"/>
            </w:tcBorders>
            <w:noWrap w:val="0"/>
            <w:vAlign w:val="center"/>
          </w:tcPr>
          <w:p w14:paraId="2E93870F">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bottom w:val="single" w:color="auto" w:sz="4" w:space="0"/>
              <w:right w:val="single" w:color="auto" w:sz="4" w:space="0"/>
            </w:tcBorders>
            <w:noWrap w:val="0"/>
            <w:vAlign w:val="center"/>
          </w:tcPr>
          <w:p w14:paraId="2590AE32">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对履行国际湿地公约的支撑度</w:t>
            </w:r>
          </w:p>
        </w:tc>
        <w:tc>
          <w:tcPr>
            <w:tcW w:w="1661" w:type="dxa"/>
            <w:tcBorders>
              <w:top w:val="single" w:color="auto" w:sz="4" w:space="0"/>
              <w:left w:val="single" w:color="auto" w:sz="4" w:space="0"/>
              <w:bottom w:val="single" w:color="auto" w:sz="4" w:space="0"/>
            </w:tcBorders>
            <w:noWrap w:val="0"/>
            <w:vAlign w:val="center"/>
          </w:tcPr>
          <w:p w14:paraId="430AF25D">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有效</w:t>
            </w:r>
          </w:p>
        </w:tc>
      </w:tr>
      <w:tr w14:paraId="6BDD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bottom w:val="single" w:color="auto" w:sz="4" w:space="0"/>
              <w:right w:val="single" w:color="auto" w:sz="4" w:space="0"/>
            </w:tcBorders>
            <w:noWrap w:val="0"/>
            <w:vAlign w:val="center"/>
          </w:tcPr>
          <w:p w14:paraId="535B28E3">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restart"/>
            <w:tcBorders>
              <w:top w:val="single" w:color="auto" w:sz="4" w:space="0"/>
              <w:left w:val="single" w:color="auto" w:sz="4" w:space="0"/>
              <w:bottom w:val="single" w:color="auto" w:sz="4" w:space="0"/>
              <w:right w:val="single" w:color="auto" w:sz="4" w:space="0"/>
            </w:tcBorders>
            <w:noWrap w:val="0"/>
            <w:vAlign w:val="center"/>
          </w:tcPr>
          <w:p w14:paraId="451FB21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生态效益</w:t>
            </w:r>
          </w:p>
        </w:tc>
        <w:tc>
          <w:tcPr>
            <w:tcW w:w="3873" w:type="dxa"/>
            <w:tcBorders>
              <w:top w:val="single" w:color="auto" w:sz="4" w:space="0"/>
              <w:left w:val="single" w:color="auto" w:sz="4" w:space="0"/>
              <w:bottom w:val="single" w:color="auto" w:sz="4" w:space="0"/>
              <w:right w:val="single" w:color="auto" w:sz="4" w:space="0"/>
            </w:tcBorders>
            <w:noWrap w:val="0"/>
            <w:vAlign w:val="center"/>
          </w:tcPr>
          <w:p w14:paraId="12AB30B5">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恢复草原植被、减轻水土流失</w:t>
            </w:r>
          </w:p>
        </w:tc>
        <w:tc>
          <w:tcPr>
            <w:tcW w:w="1661" w:type="dxa"/>
            <w:tcBorders>
              <w:top w:val="single" w:color="auto" w:sz="4" w:space="0"/>
              <w:left w:val="single" w:color="auto" w:sz="4" w:space="0"/>
              <w:bottom w:val="single" w:color="auto" w:sz="4" w:space="0"/>
            </w:tcBorders>
            <w:noWrap w:val="0"/>
            <w:vAlign w:val="center"/>
          </w:tcPr>
          <w:p w14:paraId="05533DC7">
            <w:pPr>
              <w:keepNext w:val="0"/>
              <w:keepLines w:val="0"/>
              <w:widowControl/>
              <w:suppressLineNumbers w:val="0"/>
              <w:jc w:val="righ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20%</w:t>
            </w:r>
          </w:p>
        </w:tc>
      </w:tr>
      <w:tr w14:paraId="25D8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51" w:type="dxa"/>
            <w:vMerge w:val="continue"/>
            <w:tcBorders>
              <w:top w:val="single" w:color="auto" w:sz="4" w:space="0"/>
              <w:right w:val="single" w:color="auto" w:sz="4" w:space="0"/>
            </w:tcBorders>
            <w:noWrap w:val="0"/>
            <w:vAlign w:val="center"/>
          </w:tcPr>
          <w:p w14:paraId="373E1E58">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1595" w:type="dxa"/>
            <w:vMerge w:val="continue"/>
            <w:tcBorders>
              <w:top w:val="single" w:color="auto" w:sz="4" w:space="0"/>
              <w:left w:val="single" w:color="auto" w:sz="4" w:space="0"/>
              <w:right w:val="single" w:color="auto" w:sz="4" w:space="0"/>
            </w:tcBorders>
            <w:noWrap w:val="0"/>
            <w:vAlign w:val="center"/>
          </w:tcPr>
          <w:p w14:paraId="54EDCACA">
            <w:pPr>
              <w:jc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p>
        </w:tc>
        <w:tc>
          <w:tcPr>
            <w:tcW w:w="3873" w:type="dxa"/>
            <w:tcBorders>
              <w:top w:val="single" w:color="auto" w:sz="4" w:space="0"/>
              <w:left w:val="single" w:color="auto" w:sz="4" w:space="0"/>
              <w:right w:val="single" w:color="auto" w:sz="4" w:space="0"/>
            </w:tcBorders>
            <w:noWrap w:val="0"/>
            <w:vAlign w:val="center"/>
          </w:tcPr>
          <w:p w14:paraId="0E416985">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提高水源涵养能力</w:t>
            </w:r>
          </w:p>
        </w:tc>
        <w:tc>
          <w:tcPr>
            <w:tcW w:w="1661" w:type="dxa"/>
            <w:tcBorders>
              <w:top w:val="single" w:color="auto" w:sz="4" w:space="0"/>
              <w:left w:val="single" w:color="auto" w:sz="4" w:space="0"/>
            </w:tcBorders>
            <w:noWrap w:val="0"/>
            <w:vAlign w:val="center"/>
          </w:tcPr>
          <w:p w14:paraId="2D8924DB">
            <w:pPr>
              <w:keepNext w:val="0"/>
              <w:keepLines w:val="0"/>
              <w:widowControl/>
              <w:suppressLineNumbers w:val="0"/>
              <w:jc w:val="right"/>
              <w:textAlignment w:val="center"/>
              <w:rPr>
                <w:rFonts w:hint="eastAsia" w:ascii="仿宋_GB2312" w:hAnsi="仿宋_GB2312" w:eastAsia="仿宋_GB2312" w:cs="仿宋_GB2312"/>
                <w:b w:val="0"/>
                <w:bCs w:val="0"/>
                <w:i w:val="0"/>
                <w:iCs w:val="0"/>
                <w:color w:val="000000"/>
                <w:kern w:val="0"/>
                <w:sz w:val="32"/>
                <w:szCs w:val="32"/>
                <w:u w:val="none" w:color="auto"/>
                <w:lang w:val="en-US"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60%</w:t>
            </w:r>
          </w:p>
        </w:tc>
      </w:tr>
    </w:tbl>
    <w:p w14:paraId="00FB7F59">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（四）实施可行性</w:t>
      </w:r>
    </w:p>
    <w:p w14:paraId="29F842E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lang w:val="en-US" w:eastAsia="zh-CN"/>
        </w:rPr>
        <w:t>项目目标具体合理，实施内容可行，项目组织管理完善，能保障项目实施。</w:t>
      </w:r>
    </w:p>
    <w:p w14:paraId="01796EEF">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（五）筹资合规性</w:t>
      </w:r>
    </w:p>
    <w:p w14:paraId="3CA8FB98">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lang w:val="en-US" w:eastAsia="zh-CN"/>
        </w:rPr>
        <w:t>资金来源为中央重点生态保护修复治理</w:t>
      </w:r>
      <w:r>
        <w:rPr>
          <w:rFonts w:hint="eastAsia" w:ascii="仿宋_GB2312" w:hAnsi="仿宋_GB2312" w:eastAsia="仿宋_GB2312" w:cs="仿宋_GB2312"/>
          <w:b w:val="0"/>
          <w:bCs w:val="0"/>
          <w:sz w:val="32"/>
          <w:szCs w:val="32"/>
          <w:u w:val="none" w:color="auto"/>
        </w:rPr>
        <w:t>资金</w:t>
      </w:r>
      <w:r>
        <w:rPr>
          <w:rFonts w:hint="eastAsia" w:ascii="仿宋_GB2312" w:hAnsi="仿宋_GB2312" w:eastAsia="仿宋_GB2312" w:cs="仿宋_GB2312"/>
          <w:b w:val="0"/>
          <w:bCs w:val="0"/>
          <w:sz w:val="32"/>
          <w:szCs w:val="32"/>
          <w:u w:val="none" w:color="auto"/>
          <w:lang w:val="en-US" w:eastAsia="zh-CN"/>
        </w:rPr>
        <w:t>。围绕四川黄河上游若尔盖草原湿地山水林田湖草沙一体化保护和修复工程子项目建设任务，</w:t>
      </w:r>
      <w:r>
        <w:rPr>
          <w:rFonts w:hint="eastAsia" w:ascii="仿宋_GB2312" w:hAnsi="仿宋_GB2312" w:eastAsia="仿宋_GB2312" w:cs="仿宋_GB2312"/>
          <w:b w:val="0"/>
          <w:bCs w:val="0"/>
          <w:color w:val="auto"/>
          <w:sz w:val="32"/>
          <w:szCs w:val="32"/>
          <w:u w:val="none" w:color="auto"/>
          <w:lang w:val="en-US" w:eastAsia="zh-CN"/>
        </w:rPr>
        <w:t>治理岷江流域水土流失，增加植被覆盖度</w:t>
      </w:r>
      <w:r>
        <w:rPr>
          <w:rFonts w:hint="eastAsia" w:ascii="仿宋_GB2312" w:hAnsi="仿宋_GB2312" w:eastAsia="仿宋_GB2312" w:cs="仿宋_GB2312"/>
          <w:b w:val="0"/>
          <w:bCs w:val="0"/>
          <w:color w:val="auto"/>
          <w:sz w:val="32"/>
          <w:szCs w:val="32"/>
          <w:u w:val="none" w:color="auto"/>
        </w:rPr>
        <w:t>，减少水土流失，</w:t>
      </w:r>
      <w:r>
        <w:rPr>
          <w:rFonts w:hint="eastAsia" w:ascii="仿宋_GB2312" w:hAnsi="仿宋_GB2312" w:eastAsia="仿宋_GB2312" w:cs="仿宋_GB2312"/>
          <w:b w:val="0"/>
          <w:bCs w:val="0"/>
          <w:color w:val="auto"/>
          <w:sz w:val="32"/>
          <w:szCs w:val="32"/>
          <w:u w:val="none" w:color="auto"/>
          <w:lang w:val="en-US" w:eastAsia="zh-CN"/>
        </w:rPr>
        <w:t>实现水岸相印、水景共存、以水美城，奠定“一城两心三地”的水生态基础。</w:t>
      </w:r>
    </w:p>
    <w:p w14:paraId="6B29ED14">
      <w:pPr>
        <w:pStyle w:val="24"/>
        <w:keepNext w:val="0"/>
        <w:keepLines w:val="0"/>
        <w:pageBreakBefore w:val="0"/>
        <w:widowControl w:val="0"/>
        <w:kinsoku/>
        <w:wordWrap/>
        <w:overflowPunct/>
        <w:topLinePunct w:val="0"/>
        <w:autoSpaceDE/>
        <w:autoSpaceDN/>
        <w:bidi w:val="0"/>
        <w:spacing w:line="576" w:lineRule="exact"/>
        <w:ind w:left="0" w:firstLine="640" w:firstLineChars="200"/>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sz w:val="32"/>
          <w:szCs w:val="32"/>
          <w:u w:val="none" w:color="auto"/>
        </w:rPr>
        <w:t>六、评估结论</w:t>
      </w:r>
    </w:p>
    <w:p w14:paraId="6B338C92">
      <w:pPr>
        <w:pStyle w:val="20"/>
        <w:keepNext w:val="0"/>
        <w:keepLines w:val="0"/>
        <w:widowControl/>
        <w:suppressLineNumbers w:val="0"/>
        <w:spacing w:before="0" w:beforeAutospacing="0"/>
        <w:ind w:left="0"/>
        <w:jc w:val="left"/>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sz w:val="32"/>
          <w:szCs w:val="32"/>
          <w:u w:val="none" w:color="auto"/>
        </w:rPr>
        <w:t>综合前述评估内容来看，该项目立项必要性和依据充分，绩效目标明确，具备实施条件，具有公共性，符合财政资金支持方向</w:t>
      </w:r>
      <w:r>
        <w:rPr>
          <w:rFonts w:hint="eastAsia" w:ascii="仿宋_GB2312" w:hAnsi="仿宋_GB2312" w:eastAsia="仿宋_GB2312" w:cs="仿宋_GB2312"/>
          <w:b w:val="0"/>
          <w:bCs w:val="0"/>
          <w:sz w:val="32"/>
          <w:szCs w:val="32"/>
          <w:u w:val="none" w:color="auto"/>
          <w:lang w:eastAsia="zh-CN"/>
        </w:rPr>
        <w:t>，</w:t>
      </w:r>
      <w:r>
        <w:rPr>
          <w:rFonts w:hint="eastAsia" w:ascii="仿宋_GB2312" w:hAnsi="仿宋_GB2312" w:eastAsia="仿宋_GB2312" w:cs="仿宋_GB2312"/>
          <w:b w:val="0"/>
          <w:bCs w:val="0"/>
          <w:sz w:val="32"/>
          <w:szCs w:val="32"/>
          <w:u w:val="none" w:color="auto"/>
          <w:lang w:val="en-US" w:eastAsia="zh-CN"/>
        </w:rPr>
        <w:t>资金预算测算准确，资金来源及投入合规，实施内容可行，项目组织管理完善，能保障项目实施。</w:t>
      </w:r>
      <w:r>
        <w:rPr>
          <w:rFonts w:hint="eastAsia" w:ascii="仿宋_GB2312" w:hAnsi="仿宋_GB2312" w:eastAsia="仿宋_GB2312" w:cs="仿宋_GB2312"/>
          <w:b w:val="0"/>
          <w:bCs w:val="0"/>
          <w:sz w:val="32"/>
          <w:szCs w:val="32"/>
          <w:u w:val="none" w:color="auto"/>
        </w:rPr>
        <w:t>我单位将进一步优化完善实施方案和绩效目标，加强运行监控，节约财政资金并提升资金效益，提升预算绩效管理水平</w:t>
      </w:r>
      <w:r>
        <w:rPr>
          <w:rFonts w:hint="eastAsia" w:ascii="仿宋_GB2312" w:hAnsi="仿宋_GB2312" w:eastAsia="仿宋_GB2312" w:cs="仿宋_GB2312"/>
          <w:b w:val="0"/>
          <w:bCs w:val="0"/>
          <w:sz w:val="32"/>
          <w:szCs w:val="32"/>
          <w:u w:val="none" w:color="auto"/>
          <w:lang w:eastAsia="zh-CN"/>
        </w:rPr>
        <w:t>。</w:t>
      </w:r>
    </w:p>
    <w:p w14:paraId="23B002DD">
      <w:pPr>
        <w:pStyle w:val="20"/>
        <w:keepNext w:val="0"/>
        <w:keepLines w:val="0"/>
        <w:widowControl/>
        <w:suppressLineNumbers w:val="0"/>
        <w:spacing w:before="0" w:beforeAutospacing="0"/>
        <w:ind w:left="0"/>
        <w:jc w:val="left"/>
        <w:rPr>
          <w:rFonts w:hint="eastAsia" w:ascii="仿宋_GB2312" w:hAnsi="仿宋_GB2312" w:eastAsia="仿宋_GB2312" w:cs="仿宋_GB2312"/>
          <w:b w:val="0"/>
          <w:bCs w:val="0"/>
          <w:kern w:val="0"/>
          <w:sz w:val="32"/>
          <w:szCs w:val="32"/>
          <w:shd w:val="clear" w:fill="FFFFFF"/>
        </w:rPr>
      </w:pPr>
    </w:p>
    <w:p w14:paraId="1D49033C">
      <w:pPr>
        <w:pStyle w:val="20"/>
        <w:keepNext w:val="0"/>
        <w:keepLines w:val="0"/>
        <w:widowControl/>
        <w:suppressLineNumbers w:val="0"/>
        <w:spacing w:before="0" w:beforeAutospacing="0"/>
        <w:ind w:left="0"/>
        <w:jc w:val="left"/>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rPr>
        <w:t xml:space="preserve"> </w:t>
      </w:r>
    </w:p>
    <w:p w14:paraId="7D9C4F3B">
      <w:pPr>
        <w:keepNext w:val="0"/>
        <w:keepLines w:val="0"/>
        <w:pageBreakBefore w:val="0"/>
        <w:kinsoku/>
        <w:wordWrap/>
        <w:overflowPunct/>
        <w:topLinePunct w:val="0"/>
        <w:autoSpaceDE/>
        <w:autoSpaceDN/>
        <w:bidi w:val="0"/>
        <w:adjustRightInd/>
        <w:snapToGrid/>
        <w:spacing w:afterAutospacing="0" w:line="576" w:lineRule="exact"/>
        <w:ind w:left="0" w:leftChars="0" w:right="0" w:rightChars="0" w:firstLine="320" w:firstLineChars="100"/>
        <w:jc w:val="center"/>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kern w:val="0"/>
          <w:sz w:val="32"/>
          <w:szCs w:val="32"/>
          <w:shd w:val="clear" w:fill="FFFFFF"/>
        </w:rPr>
        <w:t xml:space="preserve"> </w:t>
      </w:r>
      <w:r>
        <w:rPr>
          <w:rFonts w:hint="eastAsia" w:ascii="仿宋_GB2312" w:hAnsi="仿宋_GB2312" w:eastAsia="仿宋_GB2312" w:cs="仿宋_GB2312"/>
          <w:b w:val="0"/>
          <w:bCs w:val="0"/>
          <w:sz w:val="32"/>
          <w:szCs w:val="32"/>
          <w:lang w:val="en-US" w:eastAsia="zh-CN"/>
        </w:rPr>
        <w:t>松潘县林业和草原局</w:t>
      </w:r>
    </w:p>
    <w:p w14:paraId="2152751F">
      <w:pPr>
        <w:keepNext w:val="0"/>
        <w:keepLines w:val="0"/>
        <w:pageBreakBefore w:val="0"/>
        <w:kinsoku/>
        <w:wordWrap/>
        <w:overflowPunct/>
        <w:topLinePunct w:val="0"/>
        <w:autoSpaceDE/>
        <w:autoSpaceDN/>
        <w:bidi w:val="0"/>
        <w:adjustRightInd/>
        <w:snapToGrid/>
        <w:spacing w:afterAutospacing="0" w:line="576" w:lineRule="exact"/>
        <w:ind w:right="0" w:rightChars="0"/>
        <w:jc w:val="center"/>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松潘县2022年中央财政林业草原</w:t>
      </w:r>
    </w:p>
    <w:p w14:paraId="0A35C514">
      <w:pPr>
        <w:keepNext w:val="0"/>
        <w:keepLines w:val="0"/>
        <w:pageBreakBefore w:val="0"/>
        <w:kinsoku/>
        <w:wordWrap/>
        <w:overflowPunct/>
        <w:topLinePunct w:val="0"/>
        <w:autoSpaceDE/>
        <w:autoSpaceDN/>
        <w:bidi w:val="0"/>
        <w:adjustRightInd/>
        <w:snapToGrid/>
        <w:spacing w:afterAutospacing="0" w:line="576" w:lineRule="exact"/>
        <w:ind w:right="0" w:rightChars="0"/>
        <w:jc w:val="center"/>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生态保护恢复资金生态修复治理项目</w:t>
      </w:r>
    </w:p>
    <w:p w14:paraId="244FEB44">
      <w:pPr>
        <w:keepNext w:val="0"/>
        <w:keepLines w:val="0"/>
        <w:pageBreakBefore w:val="0"/>
        <w:kinsoku/>
        <w:wordWrap/>
        <w:overflowPunct/>
        <w:topLinePunct w:val="0"/>
        <w:autoSpaceDE/>
        <w:autoSpaceDN/>
        <w:bidi w:val="0"/>
        <w:adjustRightInd/>
        <w:snapToGrid/>
        <w:spacing w:afterAutospacing="0" w:line="576" w:lineRule="exact"/>
        <w:ind w:right="0" w:rightChars="0"/>
        <w:jc w:val="center"/>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绩效自评报告</w:t>
      </w:r>
      <w:bookmarkStart w:id="18" w:name="_Toc18605"/>
      <w:bookmarkStart w:id="19" w:name="_Toc16697"/>
    </w:p>
    <w:p w14:paraId="175015E8">
      <w:pPr>
        <w:keepNext w:val="0"/>
        <w:keepLines w:val="0"/>
        <w:pageBreakBefore w:val="0"/>
        <w:kinsoku/>
        <w:wordWrap/>
        <w:overflowPunct/>
        <w:topLinePunct w:val="0"/>
        <w:autoSpaceDE/>
        <w:autoSpaceDN/>
        <w:bidi w:val="0"/>
        <w:adjustRightInd/>
        <w:snapToGrid/>
        <w:spacing w:afterAutospacing="0" w:line="576" w:lineRule="exact"/>
        <w:ind w:right="0" w:rightChars="0"/>
        <w:jc w:val="center"/>
        <w:textAlignment w:val="auto"/>
        <w:outlineLvl w:val="9"/>
        <w:rPr>
          <w:rFonts w:hint="eastAsia" w:ascii="仿宋_GB2312" w:hAnsi="仿宋_GB2312" w:eastAsia="仿宋_GB2312" w:cs="仿宋_GB2312"/>
          <w:b w:val="0"/>
          <w:bCs w:val="0"/>
          <w:sz w:val="32"/>
          <w:szCs w:val="32"/>
          <w:lang w:val="en-US" w:eastAsia="zh-CN"/>
        </w:rPr>
      </w:pPr>
    </w:p>
    <w:p w14:paraId="281076C7">
      <w:pPr>
        <w:keepNext w:val="0"/>
        <w:keepLines w:val="0"/>
        <w:pageBreakBefore w:val="0"/>
        <w:kinsoku/>
        <w:wordWrap/>
        <w:overflowPunct/>
        <w:topLinePunct w:val="0"/>
        <w:autoSpaceDE/>
        <w:autoSpaceDN/>
        <w:bidi w:val="0"/>
        <w:adjustRightInd/>
        <w:snapToGrid/>
        <w:spacing w:afterAutospacing="0" w:line="576"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rPr>
        <w:t>项目概况</w:t>
      </w:r>
      <w:bookmarkEnd w:id="18"/>
      <w:bookmarkEnd w:id="19"/>
    </w:p>
    <w:p w14:paraId="051A65A6">
      <w:pPr>
        <w:pStyle w:val="5"/>
        <w:keepNext/>
        <w:keepLines/>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建设内容</w:t>
      </w:r>
    </w:p>
    <w:p w14:paraId="64C6EBB3">
      <w:pPr>
        <w:pStyle w:val="7"/>
        <w:spacing w:line="360" w:lineRule="auto"/>
        <w:ind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人工种草生态修复15000亩，主要包括围栏223619米套和标识牌17个的采购、运输及安装、草种45000公斤和肥料270000公斤的采购及运输、项目实施人工等。</w:t>
      </w:r>
    </w:p>
    <w:p w14:paraId="32DF2C78">
      <w:pPr>
        <w:pStyle w:val="7"/>
        <w:spacing w:line="360" w:lineRule="auto"/>
        <w:ind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天然草原改良建设规模50000亩，主要包括肥料600000公斤的采购、项目实施人工等。</w:t>
      </w:r>
    </w:p>
    <w:p w14:paraId="3BDCFEF8">
      <w:pPr>
        <w:pStyle w:val="5"/>
        <w:keepNext/>
        <w:keepLines/>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sz w:val="32"/>
          <w:szCs w:val="32"/>
        </w:rPr>
        <w:t>）建设地点</w:t>
      </w:r>
    </w:p>
    <w:p w14:paraId="39D4960B">
      <w:pPr>
        <w:keepNext w:val="0"/>
        <w:keepLines w:val="0"/>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lang w:val="en-US" w:eastAsia="zh-CN"/>
        </w:rPr>
        <w:t>松潘</w:t>
      </w:r>
      <w:r>
        <w:rPr>
          <w:rFonts w:hint="eastAsia" w:ascii="仿宋_GB2312" w:hAnsi="仿宋_GB2312" w:eastAsia="仿宋_GB2312" w:cs="仿宋_GB2312"/>
          <w:b w:val="0"/>
          <w:bCs w:val="0"/>
          <w:sz w:val="32"/>
          <w:szCs w:val="32"/>
        </w:rPr>
        <w:t>县</w:t>
      </w:r>
      <w:r>
        <w:rPr>
          <w:rFonts w:hint="eastAsia" w:ascii="仿宋_GB2312" w:hAnsi="仿宋_GB2312" w:eastAsia="仿宋_GB2312" w:cs="仿宋_GB2312"/>
          <w:b w:val="0"/>
          <w:bCs w:val="0"/>
          <w:sz w:val="32"/>
          <w:szCs w:val="32"/>
          <w:lang w:val="en-US" w:eastAsia="zh-CN"/>
        </w:rPr>
        <w:t>人工种草生态修复、</w:t>
      </w:r>
      <w:r>
        <w:rPr>
          <w:rFonts w:hint="eastAsia" w:ascii="仿宋_GB2312" w:hAnsi="仿宋_GB2312" w:eastAsia="仿宋_GB2312" w:cs="仿宋_GB2312"/>
          <w:b w:val="0"/>
          <w:bCs w:val="0"/>
          <w:sz w:val="32"/>
          <w:szCs w:val="32"/>
          <w:highlight w:val="none"/>
        </w:rPr>
        <w:t>天然草原改良建设地点布局在</w:t>
      </w:r>
      <w:r>
        <w:rPr>
          <w:rFonts w:hint="eastAsia" w:ascii="仿宋_GB2312" w:hAnsi="仿宋_GB2312" w:eastAsia="仿宋_GB2312" w:cs="仿宋_GB2312"/>
          <w:b w:val="0"/>
          <w:bCs w:val="0"/>
          <w:sz w:val="32"/>
          <w:szCs w:val="32"/>
          <w:lang w:val="en-US" w:eastAsia="zh-CN"/>
        </w:rPr>
        <w:t>川主寺镇和燕云乡。</w:t>
      </w:r>
    </w:p>
    <w:p w14:paraId="00718A3A">
      <w:pPr>
        <w:pStyle w:val="5"/>
        <w:keepNext/>
        <w:keepLines/>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b w:val="0"/>
          <w:bCs w:val="0"/>
          <w:sz w:val="32"/>
          <w:szCs w:val="32"/>
        </w:rPr>
        <w:t>）项目目标</w:t>
      </w:r>
    </w:p>
    <w:p w14:paraId="759958C2">
      <w:pPr>
        <w:pStyle w:val="7"/>
        <w:spacing w:line="360" w:lineRule="auto"/>
        <w:ind w:firstLine="640" w:firstLineChars="200"/>
        <w:jc w:val="both"/>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人工种草生态修复15000亩，天然草原改良50000亩。项目建成1年后，人工种草生态修复区域植被盖度提高到85%以上，平均高度20厘米以上，鲜草产量达到300公斤/亩以上；天然草原改良区域植被盖度提高到80%以上，平均高度15厘米以上，鲜草产量达到250公斤/亩以上。通过本项目的实施，贯穿草旅融合理念，为项目区发展生态旅游业、增加农牧民收入，增强生态保护能力奠定良好的基础。</w:t>
      </w:r>
    </w:p>
    <w:p w14:paraId="7A8B0122">
      <w:pPr>
        <w:pStyle w:val="5"/>
        <w:keepNext/>
        <w:keepLines/>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（四）投资概算及资金筹措</w:t>
      </w:r>
    </w:p>
    <w:p w14:paraId="13AAAA1E">
      <w:pPr>
        <w:pStyle w:val="7"/>
        <w:spacing w:line="360" w:lineRule="auto"/>
        <w:ind w:firstLine="640" w:firstLineChars="200"/>
        <w:jc w:val="both"/>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松潘县2022年中央财政林业草原生态保护恢复资金人工种草生态修复治理项目开展人工种草生态修复15000亩，天然草原改良50000亩，投资1055.17万元，占总投资的93.79%，其中：人工种草生态修复投资859.67万元，天然草原改良投资195.50万元，项目建设其他费用69.83万元，其中：项目审计、验收等费用6.61万元，项目建设监理费34.22万元，项目实施方案编制费29.00万元。以上共计1125.00万元。全部为中央财政林业草原生态保护恢复资金。</w:t>
      </w:r>
    </w:p>
    <w:p w14:paraId="1E3BA02F">
      <w:pPr>
        <w:pStyle w:val="5"/>
        <w:keepNext/>
        <w:keepLines/>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（五）建设期限</w:t>
      </w:r>
    </w:p>
    <w:p w14:paraId="759DF1A6">
      <w:pPr>
        <w:pStyle w:val="7"/>
        <w:spacing w:line="360" w:lineRule="auto"/>
        <w:ind w:firstLine="640" w:firstLineChars="200"/>
        <w:jc w:val="both"/>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2023年1月—2023年12月。</w:t>
      </w:r>
    </w:p>
    <w:p w14:paraId="421FBCD1">
      <w:pPr>
        <w:pStyle w:val="4"/>
        <w:keepNext/>
        <w:keepLines/>
        <w:pageBreakBefore w:val="0"/>
        <w:widowControl w:val="0"/>
        <w:numPr>
          <w:ilvl w:val="0"/>
          <w:numId w:val="0"/>
        </w:numPr>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kern w:val="2"/>
          <w:sz w:val="32"/>
          <w:szCs w:val="32"/>
          <w:lang w:val="en-US" w:eastAsia="zh-CN" w:bidi="ar-SA"/>
        </w:rPr>
        <w:t>项目实施及资金使用情况</w:t>
      </w:r>
    </w:p>
    <w:p w14:paraId="60B84623">
      <w:pPr>
        <w:pStyle w:val="5"/>
        <w:keepNext/>
        <w:keepLines/>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项目实施情况</w:t>
      </w:r>
    </w:p>
    <w:p w14:paraId="0BCA05F5">
      <w:pPr>
        <w:pStyle w:val="8"/>
        <w:numPr>
          <w:ilvl w:val="0"/>
          <w:numId w:val="0"/>
        </w:numPr>
        <w:ind w:right="-120" w:rightChars="-50" w:firstLine="640" w:firstLineChars="20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截止2023年9月份完成该项目总进度约60%工程量，预计12月完成项目建设。</w:t>
      </w:r>
    </w:p>
    <w:p w14:paraId="70441A07">
      <w:pPr>
        <w:pStyle w:val="5"/>
        <w:keepNext/>
        <w:keepLines/>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二</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项目资金使用情况</w:t>
      </w:r>
    </w:p>
    <w:p w14:paraId="11E07175">
      <w:pPr>
        <w:pStyle w:val="5"/>
        <w:keepNext/>
        <w:keepLines/>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highlight w:val="yellow"/>
          <w:lang w:val="en-US"/>
        </w:rPr>
      </w:pPr>
      <w:r>
        <w:rPr>
          <w:rFonts w:hint="eastAsia" w:ascii="仿宋_GB2312" w:hAnsi="仿宋_GB2312" w:eastAsia="仿宋_GB2312" w:cs="仿宋_GB2312"/>
          <w:b w:val="0"/>
          <w:bCs w:val="0"/>
          <w:sz w:val="32"/>
          <w:szCs w:val="32"/>
          <w:highlight w:val="none"/>
          <w:lang w:val="en-US" w:eastAsia="zh-CN"/>
        </w:rPr>
        <w:t>项目总投资1125万元，资金到位1125万元，实际支付326.9万元。占项目总投资29%。</w:t>
      </w:r>
    </w:p>
    <w:p w14:paraId="5EB5A7CC">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三、项目效益情况</w:t>
      </w:r>
    </w:p>
    <w:p w14:paraId="66CA9114">
      <w:pPr>
        <w:keepNext w:val="0"/>
        <w:keepLines w:val="0"/>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rPr>
        <w:t>生态效益</w:t>
      </w:r>
    </w:p>
    <w:p w14:paraId="45C3C0ED">
      <w:pPr>
        <w:keepNext w:val="0"/>
        <w:keepLines w:val="0"/>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通过本项目的实施，项目区</w:t>
      </w:r>
      <w:r>
        <w:rPr>
          <w:rFonts w:hint="eastAsia" w:ascii="仿宋_GB2312" w:hAnsi="仿宋_GB2312" w:eastAsia="仿宋_GB2312" w:cs="仿宋_GB2312"/>
          <w:b w:val="0"/>
          <w:bCs w:val="0"/>
          <w:sz w:val="32"/>
          <w:szCs w:val="32"/>
          <w:lang w:val="en-US" w:eastAsia="zh-CN"/>
        </w:rPr>
        <w:t>天然</w:t>
      </w:r>
      <w:r>
        <w:rPr>
          <w:rFonts w:hint="eastAsia" w:ascii="仿宋_GB2312" w:hAnsi="仿宋_GB2312" w:eastAsia="仿宋_GB2312" w:cs="仿宋_GB2312"/>
          <w:b w:val="0"/>
          <w:bCs w:val="0"/>
          <w:sz w:val="32"/>
          <w:szCs w:val="32"/>
        </w:rPr>
        <w:t>草原植被得到恢复，生态环境得到改善，提高水源涵养能力，减少水土流失的发生，对于筑牢</w:t>
      </w:r>
      <w:r>
        <w:rPr>
          <w:rFonts w:hint="eastAsia" w:ascii="仿宋_GB2312" w:hAnsi="仿宋_GB2312" w:eastAsia="仿宋_GB2312" w:cs="仿宋_GB2312"/>
          <w:b w:val="0"/>
          <w:bCs w:val="0"/>
          <w:sz w:val="32"/>
          <w:szCs w:val="32"/>
          <w:lang w:val="en-US" w:eastAsia="zh-CN"/>
        </w:rPr>
        <w:t>黄河、</w:t>
      </w:r>
      <w:r>
        <w:rPr>
          <w:rFonts w:hint="eastAsia" w:ascii="仿宋_GB2312" w:hAnsi="仿宋_GB2312" w:eastAsia="仿宋_GB2312" w:cs="仿宋_GB2312"/>
          <w:b w:val="0"/>
          <w:bCs w:val="0"/>
          <w:sz w:val="32"/>
          <w:szCs w:val="32"/>
        </w:rPr>
        <w:t>长江上游生态屏障、保障中下游地区生态安全将发挥重要作用。项目建成后，人工种草生态修复区域植</w:t>
      </w:r>
      <w:r>
        <w:rPr>
          <w:rFonts w:hint="eastAsia" w:ascii="仿宋_GB2312" w:hAnsi="仿宋_GB2312" w:eastAsia="仿宋_GB2312" w:cs="仿宋_GB2312"/>
          <w:b w:val="0"/>
          <w:bCs w:val="0"/>
          <w:sz w:val="32"/>
          <w:szCs w:val="32"/>
          <w:highlight w:val="none"/>
        </w:rPr>
        <w:t>被盖度提高到85%以上，平均高度20厘米以上，鲜草产量达到</w:t>
      </w: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rPr>
        <w:t>00公斤/亩以上；天然草原改良区域植被盖度提高到80%以上，平均高度15厘米以上，鲜草产量达到</w:t>
      </w:r>
      <w:r>
        <w:rPr>
          <w:rFonts w:hint="eastAsia" w:ascii="仿宋_GB2312" w:hAnsi="仿宋_GB2312" w:eastAsia="仿宋_GB2312" w:cs="仿宋_GB2312"/>
          <w:b w:val="0"/>
          <w:bCs w:val="0"/>
          <w:sz w:val="32"/>
          <w:szCs w:val="32"/>
          <w:highlight w:val="none"/>
          <w:lang w:val="en-US" w:eastAsia="zh-CN"/>
        </w:rPr>
        <w:t>25</w:t>
      </w:r>
      <w:r>
        <w:rPr>
          <w:rFonts w:hint="eastAsia" w:ascii="仿宋_GB2312" w:hAnsi="仿宋_GB2312" w:eastAsia="仿宋_GB2312" w:cs="仿宋_GB2312"/>
          <w:b w:val="0"/>
          <w:bCs w:val="0"/>
          <w:sz w:val="32"/>
          <w:szCs w:val="32"/>
          <w:highlight w:val="none"/>
        </w:rPr>
        <w:t>0公斤/亩以上</w:t>
      </w:r>
      <w:r>
        <w:rPr>
          <w:rFonts w:hint="eastAsia" w:ascii="仿宋_GB2312" w:hAnsi="仿宋_GB2312" w:eastAsia="仿宋_GB2312" w:cs="仿宋_GB2312"/>
          <w:b w:val="0"/>
          <w:bCs w:val="0"/>
          <w:sz w:val="32"/>
          <w:szCs w:val="32"/>
        </w:rPr>
        <w:t>。</w:t>
      </w:r>
    </w:p>
    <w:p w14:paraId="40C13BB9">
      <w:pPr>
        <w:keepNext w:val="0"/>
        <w:keepLines w:val="0"/>
        <w:pageBreakBefore w:val="0"/>
        <w:widowControl w:val="0"/>
        <w:kinsoku/>
        <w:wordWrap/>
        <w:overflowPunct/>
        <w:topLinePunct w:val="0"/>
        <w:autoSpaceDE/>
        <w:autoSpaceDN/>
        <w:bidi w:val="0"/>
        <w:adjustRightInd/>
        <w:snapToGrid/>
        <w:spacing w:line="640" w:lineRule="exact"/>
        <w:ind w:right="0" w:righ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sz w:val="32"/>
          <w:szCs w:val="32"/>
        </w:rPr>
        <w:t>社会效益</w:t>
      </w:r>
    </w:p>
    <w:p w14:paraId="13AF2B89">
      <w:pPr>
        <w:pStyle w:val="7"/>
        <w:spacing w:line="360" w:lineRule="auto"/>
        <w:ind w:firstLine="64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项目的实施，通过人工种草生态修复和天然草原改良建设，不仅天然草原植被恢复产生良好效果，而且还将总结提炼一套针对不同草地类型、不同退化程度草地等行之有效的治理技术措施方案和管理模式，对今后开展天然草原生态保护恢复提供样板和经验，从而加快我省天然草原植被保护恢复的进程和步伐，有效地保护了草原，同时增加草原景观效应，吸引更多的游客观光，从而带动当地草原生态景观旅游业发展，优化草原利用方式，促进牧区产业结构调整，使部分牧民从畜牧业生产者转变为旅游业服务者，增加其经济收入，助力项目区牧民致富奔小康，提高牧民满意度和幸福指数。</w:t>
      </w:r>
    </w:p>
    <w:p w14:paraId="0DFB95FE">
      <w:pPr>
        <w:keepNext w:val="0"/>
        <w:keepLines w:val="0"/>
        <w:pageBreakBefore w:val="0"/>
        <w:widowControl w:val="0"/>
        <w:kinsoku/>
        <w:wordWrap/>
        <w:overflowPunct/>
        <w:topLinePunct w:val="0"/>
        <w:autoSpaceDE/>
        <w:autoSpaceDN/>
        <w:bidi w:val="0"/>
        <w:adjustRightInd/>
        <w:snapToGrid/>
        <w:spacing w:line="640" w:lineRule="exact"/>
        <w:ind w:right="0" w:right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经济效益</w:t>
      </w:r>
    </w:p>
    <w:p w14:paraId="26E5258D">
      <w:pPr>
        <w:pStyle w:val="7"/>
        <w:spacing w:line="360" w:lineRule="auto"/>
        <w:ind w:firstLine="64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项目建成后，草原植被盖度增加，牧草高度提高，提升鲜草质量和产量提升。开展人工种草生态修复 15000 亩，每亩可增产 120 公斤鲜草，年可增产鲜草1800 吨；天然草原改良 50000 亩，每亩可增产 70 公斤鲜草，年可增产鲜草 3500吨， 直接经济效益显著。</w:t>
      </w:r>
    </w:p>
    <w:p w14:paraId="19FA0C7B">
      <w:pPr>
        <w:pStyle w:val="7"/>
        <w:spacing w:line="360" w:lineRule="auto"/>
        <w:ind w:firstLine="64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项目建成后，草原生态环境得到改善，同时还增加其景观效应，打造大美草原，吸引游客驻足观光，从而带动当地生态景观旅游业快速发展，增加旅游业收入，其间接经济效益亦十分显著。</w:t>
      </w:r>
    </w:p>
    <w:p w14:paraId="7994453A">
      <w:pPr>
        <w:pStyle w:val="7"/>
        <w:spacing w:line="360" w:lineRule="auto"/>
        <w:ind w:firstLine="640"/>
        <w:jc w:val="both"/>
        <w:rPr>
          <w:rFonts w:hint="eastAsia" w:ascii="仿宋_GB2312" w:hAnsi="仿宋_GB2312" w:eastAsia="仿宋_GB2312" w:cs="仿宋_GB2312"/>
          <w:b w:val="0"/>
          <w:bCs w:val="0"/>
          <w:kern w:val="2"/>
          <w:sz w:val="32"/>
          <w:szCs w:val="32"/>
          <w:lang w:val="en-US" w:eastAsia="zh-CN" w:bidi="ar-SA"/>
        </w:rPr>
      </w:pPr>
    </w:p>
    <w:p w14:paraId="7D3083E6">
      <w:pPr>
        <w:pStyle w:val="25"/>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sz w:val="32"/>
          <w:szCs w:val="32"/>
          <w:lang w:val="en-US" w:eastAsia="zh-CN"/>
        </w:rPr>
      </w:pPr>
    </w:p>
    <w:p w14:paraId="6F104BA1">
      <w:pPr>
        <w:pStyle w:val="25"/>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sz w:val="32"/>
          <w:szCs w:val="32"/>
          <w:lang w:val="en-US" w:eastAsia="zh-CN"/>
        </w:rPr>
      </w:pPr>
    </w:p>
    <w:p w14:paraId="7A8B671C">
      <w:pPr>
        <w:pStyle w:val="25"/>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2022年生态管护员</w:t>
      </w:r>
      <w:r>
        <w:rPr>
          <w:rFonts w:hint="eastAsia" w:ascii="仿宋_GB2312" w:hAnsi="仿宋_GB2312" w:eastAsia="仿宋_GB2312" w:cs="仿宋_GB2312"/>
          <w:b w:val="0"/>
          <w:bCs w:val="0"/>
          <w:sz w:val="32"/>
          <w:szCs w:val="32"/>
          <w:lang w:eastAsia="zh-CN"/>
        </w:rPr>
        <w:t>专项预算项目支出</w:t>
      </w:r>
      <w:r>
        <w:rPr>
          <w:rFonts w:hint="eastAsia" w:ascii="仿宋_GB2312" w:hAnsi="仿宋_GB2312" w:eastAsia="仿宋_GB2312" w:cs="仿宋_GB2312"/>
          <w:b w:val="0"/>
          <w:bCs w:val="0"/>
          <w:sz w:val="32"/>
          <w:szCs w:val="32"/>
        </w:rPr>
        <w:t>绩效自评报告</w:t>
      </w:r>
    </w:p>
    <w:p w14:paraId="46D963F7">
      <w:pPr>
        <w:pStyle w:val="25"/>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sz w:val="32"/>
          <w:szCs w:val="32"/>
        </w:rPr>
      </w:pPr>
    </w:p>
    <w:p w14:paraId="77B70B4D">
      <w:pPr>
        <w:keepNext w:val="0"/>
        <w:keepLines w:val="0"/>
        <w:pageBreakBefore w:val="0"/>
        <w:widowControl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val="zh-CN"/>
        </w:rPr>
        <w:t>项目概况</w:t>
      </w:r>
    </w:p>
    <w:p w14:paraId="02782640">
      <w:pPr>
        <w:keepNext w:val="0"/>
        <w:keepLines w:val="0"/>
        <w:pageBreakBefore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color w:val="auto"/>
          <w:sz w:val="32"/>
          <w:szCs w:val="32"/>
          <w:highlight w:val="none"/>
          <w:u w:val="none"/>
          <w:lang w:val="zh-CN"/>
        </w:rPr>
      </w:pPr>
      <w:r>
        <w:rPr>
          <w:rFonts w:hint="eastAsia" w:ascii="仿宋_GB2312" w:hAnsi="仿宋_GB2312" w:eastAsia="仿宋_GB2312" w:cs="仿宋_GB2312"/>
          <w:b w:val="0"/>
          <w:bCs w:val="0"/>
          <w:color w:val="auto"/>
          <w:sz w:val="32"/>
          <w:szCs w:val="32"/>
          <w:highlight w:val="none"/>
          <w:u w:val="none"/>
          <w:lang w:val="zh-CN"/>
        </w:rPr>
        <w:t>（一）项目基本情况。</w:t>
      </w:r>
    </w:p>
    <w:p w14:paraId="50D83D70">
      <w:pPr>
        <w:keepNext w:val="0"/>
        <w:keepLines w:val="0"/>
        <w:pageBreakBefore w:val="0"/>
        <w:numPr>
          <w:ilvl w:val="0"/>
          <w:numId w:val="0"/>
        </w:numPr>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color w:val="000000"/>
          <w:kern w:val="2"/>
          <w:sz w:val="32"/>
          <w:szCs w:val="32"/>
          <w:lang w:val="en-US" w:eastAsia="zh-CN" w:bidi="ar-SA"/>
        </w:rPr>
        <w:t>1.2022年，采用县建、乡聘、村用的模式，</w:t>
      </w:r>
      <w:r>
        <w:rPr>
          <w:rFonts w:hint="eastAsia" w:ascii="仿宋_GB2312" w:hAnsi="仿宋_GB2312" w:eastAsia="仿宋_GB2312" w:cs="仿宋_GB2312"/>
          <w:b w:val="0"/>
          <w:bCs w:val="0"/>
          <w:color w:val="000000"/>
          <w:sz w:val="32"/>
          <w:szCs w:val="32"/>
        </w:rPr>
        <w:t>在全县</w:t>
      </w:r>
      <w:r>
        <w:rPr>
          <w:rFonts w:hint="eastAsia" w:ascii="仿宋_GB2312" w:hAnsi="仿宋_GB2312" w:eastAsia="仿宋_GB2312" w:cs="仿宋_GB2312"/>
          <w:b w:val="0"/>
          <w:bCs w:val="0"/>
          <w:color w:val="000000"/>
          <w:sz w:val="32"/>
          <w:szCs w:val="32"/>
          <w:lang w:val="en-US" w:eastAsia="zh-CN"/>
        </w:rPr>
        <w:t>17个乡镇</w:t>
      </w:r>
      <w:r>
        <w:rPr>
          <w:rFonts w:hint="eastAsia" w:ascii="仿宋_GB2312" w:hAnsi="仿宋_GB2312" w:eastAsia="仿宋_GB2312" w:cs="仿宋_GB2312"/>
          <w:b w:val="0"/>
          <w:bCs w:val="0"/>
          <w:sz w:val="32"/>
          <w:szCs w:val="32"/>
          <w:lang w:val="en-US" w:eastAsia="zh-CN"/>
        </w:rPr>
        <w:t>122个行政村</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选聘</w:t>
      </w:r>
      <w:r>
        <w:rPr>
          <w:rFonts w:hint="eastAsia" w:ascii="仿宋_GB2312" w:hAnsi="仿宋_GB2312" w:eastAsia="仿宋_GB2312" w:cs="仿宋_GB2312"/>
          <w:b w:val="0"/>
          <w:bCs w:val="0"/>
          <w:color w:val="000000"/>
          <w:sz w:val="32"/>
          <w:szCs w:val="32"/>
          <w:lang w:eastAsia="zh-CN"/>
        </w:rPr>
        <w:t>符合条件的</w:t>
      </w:r>
      <w:r>
        <w:rPr>
          <w:rFonts w:hint="eastAsia" w:ascii="仿宋_GB2312" w:hAnsi="仿宋_GB2312" w:eastAsia="仿宋_GB2312" w:cs="仿宋_GB2312"/>
          <w:b w:val="0"/>
          <w:bCs w:val="0"/>
          <w:color w:val="000000"/>
          <w:sz w:val="32"/>
          <w:szCs w:val="32"/>
        </w:rPr>
        <w:t>生态管护员</w:t>
      </w:r>
      <w:r>
        <w:rPr>
          <w:rFonts w:hint="eastAsia" w:ascii="仿宋_GB2312" w:hAnsi="仿宋_GB2312" w:eastAsia="仿宋_GB2312" w:cs="仿宋_GB2312"/>
          <w:b w:val="0"/>
          <w:bCs w:val="0"/>
          <w:color w:val="000000"/>
          <w:sz w:val="32"/>
          <w:szCs w:val="32"/>
          <w:lang w:val="en-US" w:eastAsia="zh-CN"/>
        </w:rPr>
        <w:t>1689人。</w:t>
      </w:r>
      <w:r>
        <w:rPr>
          <w:rFonts w:hint="eastAsia" w:ascii="仿宋_GB2312" w:hAnsi="仿宋_GB2312" w:eastAsia="仿宋_GB2312" w:cs="仿宋_GB2312"/>
          <w:b w:val="0"/>
          <w:bCs w:val="0"/>
          <w:color w:val="000000"/>
          <w:sz w:val="32"/>
          <w:szCs w:val="32"/>
        </w:rPr>
        <w:t>按照</w:t>
      </w:r>
      <w:r>
        <w:rPr>
          <w:rFonts w:hint="eastAsia" w:ascii="仿宋_GB2312" w:hAnsi="仿宋_GB2312" w:eastAsia="仿宋_GB2312" w:cs="仿宋_GB2312"/>
          <w:b w:val="0"/>
          <w:bCs w:val="0"/>
          <w:color w:val="000000"/>
          <w:sz w:val="32"/>
          <w:szCs w:val="32"/>
          <w:lang w:val="en-US" w:eastAsia="zh-CN"/>
        </w:rPr>
        <w:t>10000</w:t>
      </w:r>
      <w:r>
        <w:rPr>
          <w:rFonts w:hint="eastAsia" w:ascii="仿宋_GB2312" w:hAnsi="仿宋_GB2312" w:eastAsia="仿宋_GB2312" w:cs="仿宋_GB2312"/>
          <w:b w:val="0"/>
          <w:bCs w:val="0"/>
          <w:color w:val="000000"/>
          <w:sz w:val="32"/>
          <w:szCs w:val="32"/>
        </w:rPr>
        <w:t>元/人/年的补助标准，</w:t>
      </w:r>
      <w:r>
        <w:rPr>
          <w:rFonts w:hint="eastAsia" w:ascii="仿宋_GB2312" w:hAnsi="仿宋_GB2312" w:eastAsia="仿宋_GB2312" w:cs="仿宋_GB2312"/>
          <w:b w:val="0"/>
          <w:bCs w:val="0"/>
          <w:sz w:val="32"/>
          <w:szCs w:val="32"/>
          <w:lang w:val="en-US" w:eastAsia="zh-CN"/>
        </w:rPr>
        <w:t>使贫困人口农牧民每户年收入增加，巩固脱贫攻坚成果。</w:t>
      </w:r>
    </w:p>
    <w:p w14:paraId="5EF8BA5C">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spacing w:line="550" w:lineRule="exact"/>
        <w:ind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color w:val="auto"/>
          <w:kern w:val="0"/>
          <w:sz w:val="32"/>
          <w:szCs w:val="32"/>
          <w:highlight w:val="none"/>
          <w:u w:val="none"/>
          <w:shd w:val="clear" w:color="auto" w:fill="FFFFFF"/>
          <w:lang w:val="en-US" w:eastAsia="zh-CN"/>
        </w:rPr>
        <w:t>2.</w:t>
      </w:r>
      <w:r>
        <w:rPr>
          <w:rFonts w:hint="eastAsia" w:ascii="仿宋_GB2312" w:hAnsi="仿宋_GB2312" w:eastAsia="仿宋_GB2312" w:cs="仿宋_GB2312"/>
          <w:b w:val="0"/>
          <w:bCs w:val="0"/>
          <w:color w:val="auto"/>
          <w:kern w:val="0"/>
          <w:sz w:val="32"/>
          <w:szCs w:val="32"/>
          <w:highlight w:val="none"/>
          <w:u w:val="none"/>
          <w:shd w:val="clear" w:color="auto" w:fill="FFFFFF"/>
          <w:lang w:val="zh-CN"/>
        </w:rPr>
        <w:t>项目立项、资金申报的依据</w:t>
      </w:r>
      <w:r>
        <w:rPr>
          <w:rFonts w:hint="eastAsia" w:ascii="仿宋_GB2312" w:hAnsi="仿宋_GB2312" w:eastAsia="仿宋_GB2312" w:cs="仿宋_GB2312"/>
          <w:b w:val="0"/>
          <w:bCs w:val="0"/>
          <w:color w:val="auto"/>
          <w:kern w:val="0"/>
          <w:sz w:val="32"/>
          <w:szCs w:val="32"/>
          <w:lang w:eastAsia="zh-CN"/>
        </w:rPr>
        <w:t>《阿坝州财政局</w:t>
      </w:r>
      <w:r>
        <w:rPr>
          <w:rFonts w:hint="eastAsia" w:ascii="仿宋_GB2312" w:hAnsi="仿宋_GB2312" w:eastAsia="仿宋_GB2312" w:cs="仿宋_GB2312"/>
          <w:b w:val="0"/>
          <w:bCs w:val="0"/>
          <w:color w:val="auto"/>
          <w:kern w:val="0"/>
          <w:sz w:val="32"/>
          <w:szCs w:val="32"/>
          <w:lang w:val="en-US" w:eastAsia="zh-CN"/>
        </w:rPr>
        <w:t xml:space="preserve"> 阿坝州林业和草原局关于下达2022年中央财政林业改革发展资金预算（第一批）的通知》（阿州财资环〔2022〕9号）下达190万元、</w:t>
      </w:r>
      <w:r>
        <w:rPr>
          <w:rFonts w:hint="eastAsia" w:ascii="仿宋_GB2312" w:hAnsi="仿宋_GB2312" w:eastAsia="仿宋_GB2312" w:cs="仿宋_GB2312"/>
          <w:b w:val="0"/>
          <w:bCs w:val="0"/>
          <w:color w:val="auto"/>
          <w:kern w:val="0"/>
          <w:sz w:val="32"/>
          <w:szCs w:val="32"/>
          <w:lang w:eastAsia="zh-CN"/>
        </w:rPr>
        <w:t>《阿坝州财政局</w:t>
      </w:r>
      <w:r>
        <w:rPr>
          <w:rFonts w:hint="eastAsia" w:ascii="仿宋_GB2312" w:hAnsi="仿宋_GB2312" w:eastAsia="仿宋_GB2312" w:cs="仿宋_GB2312"/>
          <w:b w:val="0"/>
          <w:bCs w:val="0"/>
          <w:color w:val="auto"/>
          <w:kern w:val="0"/>
          <w:sz w:val="32"/>
          <w:szCs w:val="32"/>
          <w:lang w:val="en-US" w:eastAsia="zh-CN"/>
        </w:rPr>
        <w:t xml:space="preserve"> 阿坝州林业和草原局关于下达2022年中央财政林业草原生态保护恢复资金预算（第一批）的通知》（阿州财资环〔2022〕10号）下达107万元、</w:t>
      </w:r>
      <w:r>
        <w:rPr>
          <w:rFonts w:hint="eastAsia" w:ascii="仿宋_GB2312" w:hAnsi="仿宋_GB2312" w:eastAsia="仿宋_GB2312" w:cs="仿宋_GB2312"/>
          <w:b w:val="0"/>
          <w:bCs w:val="0"/>
          <w:color w:val="auto"/>
          <w:kern w:val="0"/>
          <w:sz w:val="32"/>
          <w:szCs w:val="32"/>
          <w:lang w:eastAsia="zh-CN"/>
        </w:rPr>
        <w:t>《阿坝州财政局</w:t>
      </w:r>
      <w:r>
        <w:rPr>
          <w:rFonts w:hint="eastAsia" w:ascii="仿宋_GB2312" w:hAnsi="仿宋_GB2312" w:eastAsia="仿宋_GB2312" w:cs="仿宋_GB2312"/>
          <w:b w:val="0"/>
          <w:bCs w:val="0"/>
          <w:color w:val="auto"/>
          <w:kern w:val="0"/>
          <w:sz w:val="32"/>
          <w:szCs w:val="32"/>
          <w:lang w:val="en-US" w:eastAsia="zh-CN"/>
        </w:rPr>
        <w:t xml:space="preserve"> 阿坝州林业和草原局关于下达2022年中央财政林业草原生态保护恢复资金预算（第二批）的通知》（阿州财资环〔2022〕12号）下达85万元、</w:t>
      </w:r>
      <w:r>
        <w:rPr>
          <w:rFonts w:hint="eastAsia" w:ascii="仿宋_GB2312" w:hAnsi="仿宋_GB2312" w:eastAsia="仿宋_GB2312" w:cs="仿宋_GB2312"/>
          <w:b w:val="0"/>
          <w:bCs w:val="0"/>
          <w:color w:val="auto"/>
          <w:kern w:val="0"/>
          <w:sz w:val="32"/>
          <w:szCs w:val="32"/>
          <w:lang w:eastAsia="zh-CN"/>
        </w:rPr>
        <w:t>《阿坝州财政局</w:t>
      </w:r>
      <w:r>
        <w:rPr>
          <w:rFonts w:hint="eastAsia" w:ascii="仿宋_GB2312" w:hAnsi="仿宋_GB2312" w:eastAsia="仿宋_GB2312" w:cs="仿宋_GB2312"/>
          <w:b w:val="0"/>
          <w:bCs w:val="0"/>
          <w:color w:val="auto"/>
          <w:kern w:val="0"/>
          <w:sz w:val="32"/>
          <w:szCs w:val="32"/>
          <w:lang w:val="en-US" w:eastAsia="zh-CN"/>
        </w:rPr>
        <w:t xml:space="preserve"> 阿坝州林业和草原局关于下达2022年州级财政生态扶贫资金的通知》（阿州财资环〔2022〕23号）实际下达110万、</w:t>
      </w:r>
      <w:r>
        <w:rPr>
          <w:rFonts w:hint="eastAsia" w:ascii="仿宋_GB2312" w:hAnsi="仿宋_GB2312" w:eastAsia="仿宋_GB2312" w:cs="仿宋_GB2312"/>
          <w:b w:val="0"/>
          <w:bCs w:val="0"/>
          <w:sz w:val="32"/>
          <w:szCs w:val="32"/>
          <w:lang w:val="en-US" w:eastAsia="zh-CN"/>
        </w:rPr>
        <w:t>《阿坝州财政局关于下达2022年国家重点生态功能区转移支付生态扶贫资金的通知》</w:t>
      </w:r>
      <w:r>
        <w:rPr>
          <w:rFonts w:hint="eastAsia" w:ascii="仿宋_GB2312" w:hAnsi="仿宋_GB2312" w:eastAsia="仿宋_GB2312" w:cs="仿宋_GB2312"/>
          <w:b w:val="0"/>
          <w:bCs w:val="0"/>
          <w:color w:val="auto"/>
          <w:kern w:val="0"/>
          <w:sz w:val="32"/>
          <w:szCs w:val="32"/>
          <w:lang w:val="en-US" w:eastAsia="zh-CN"/>
        </w:rPr>
        <w:t>（阿州财预〔2022〕41号），下达国家重点生态功能区转移支付资金1197万元。</w:t>
      </w:r>
    </w:p>
    <w:p w14:paraId="352CCCE6">
      <w:pPr>
        <w:keepNext w:val="0"/>
        <w:keepLines w:val="0"/>
        <w:pageBreakBefore w:val="0"/>
        <w:widowControl w:val="0"/>
        <w:numPr>
          <w:ilvl w:val="0"/>
          <w:numId w:val="0"/>
        </w:numPr>
        <w:kinsoku/>
        <w:wordWrap/>
        <w:overflowPunct/>
        <w:topLinePunct w:val="0"/>
        <w:autoSpaceDE/>
        <w:autoSpaceDN/>
        <w:bidi w:val="0"/>
        <w:adjustRightInd w:val="0"/>
        <w:snapToGrid w:val="0"/>
        <w:spacing w:line="550" w:lineRule="exact"/>
        <w:ind w:left="640" w:leftChars="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（二）项目绩效目标。</w:t>
      </w:r>
    </w:p>
    <w:p w14:paraId="0A487E0E">
      <w:pPr>
        <w:keepNext w:val="0"/>
        <w:keepLines w:val="0"/>
        <w:pageBreakBefore w:val="0"/>
        <w:numPr>
          <w:ilvl w:val="0"/>
          <w:numId w:val="0"/>
        </w:numPr>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color w:val="000000"/>
          <w:kern w:val="2"/>
          <w:sz w:val="32"/>
          <w:szCs w:val="32"/>
          <w:lang w:val="en-US" w:eastAsia="zh-CN" w:bidi="ar-SA"/>
        </w:rPr>
        <w:t>2022年，</w:t>
      </w:r>
      <w:r>
        <w:rPr>
          <w:rFonts w:hint="eastAsia" w:ascii="仿宋_GB2312" w:hAnsi="仿宋_GB2312" w:eastAsia="仿宋_GB2312" w:cs="仿宋_GB2312"/>
          <w:b w:val="0"/>
          <w:bCs w:val="0"/>
          <w:color w:val="000000"/>
          <w:sz w:val="32"/>
          <w:szCs w:val="32"/>
        </w:rPr>
        <w:t>在全县</w:t>
      </w:r>
      <w:r>
        <w:rPr>
          <w:rFonts w:hint="eastAsia" w:ascii="仿宋_GB2312" w:hAnsi="仿宋_GB2312" w:eastAsia="仿宋_GB2312" w:cs="仿宋_GB2312"/>
          <w:b w:val="0"/>
          <w:bCs w:val="0"/>
          <w:color w:val="000000"/>
          <w:sz w:val="32"/>
          <w:szCs w:val="32"/>
          <w:lang w:val="en-US" w:eastAsia="zh-CN"/>
        </w:rPr>
        <w:t>17个乡镇</w:t>
      </w:r>
      <w:r>
        <w:rPr>
          <w:rFonts w:hint="eastAsia" w:ascii="仿宋_GB2312" w:hAnsi="仿宋_GB2312" w:eastAsia="仿宋_GB2312" w:cs="仿宋_GB2312"/>
          <w:b w:val="0"/>
          <w:bCs w:val="0"/>
          <w:sz w:val="32"/>
          <w:szCs w:val="32"/>
          <w:lang w:val="en-US" w:eastAsia="zh-CN"/>
        </w:rPr>
        <w:t>122个行政村</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选聘</w:t>
      </w:r>
      <w:r>
        <w:rPr>
          <w:rFonts w:hint="eastAsia" w:ascii="仿宋_GB2312" w:hAnsi="仿宋_GB2312" w:eastAsia="仿宋_GB2312" w:cs="仿宋_GB2312"/>
          <w:b w:val="0"/>
          <w:bCs w:val="0"/>
          <w:color w:val="000000"/>
          <w:sz w:val="32"/>
          <w:szCs w:val="32"/>
          <w:lang w:eastAsia="zh-CN"/>
        </w:rPr>
        <w:t>符合条件的</w:t>
      </w:r>
      <w:r>
        <w:rPr>
          <w:rFonts w:hint="eastAsia" w:ascii="仿宋_GB2312" w:hAnsi="仿宋_GB2312" w:eastAsia="仿宋_GB2312" w:cs="仿宋_GB2312"/>
          <w:b w:val="0"/>
          <w:bCs w:val="0"/>
          <w:color w:val="000000"/>
          <w:sz w:val="32"/>
          <w:szCs w:val="32"/>
        </w:rPr>
        <w:t>生态管护员</w:t>
      </w:r>
      <w:r>
        <w:rPr>
          <w:rFonts w:hint="eastAsia" w:ascii="仿宋_GB2312" w:hAnsi="仿宋_GB2312" w:eastAsia="仿宋_GB2312" w:cs="仿宋_GB2312"/>
          <w:b w:val="0"/>
          <w:bCs w:val="0"/>
          <w:color w:val="000000"/>
          <w:sz w:val="32"/>
          <w:szCs w:val="32"/>
          <w:lang w:val="en-US" w:eastAsia="zh-CN"/>
        </w:rPr>
        <w:t>1689人</w:t>
      </w:r>
      <w:r>
        <w:rPr>
          <w:rFonts w:hint="eastAsia" w:ascii="仿宋_GB2312" w:hAnsi="仿宋_GB2312" w:eastAsia="仿宋_GB2312" w:cs="仿宋_GB2312"/>
          <w:b w:val="0"/>
          <w:bCs w:val="0"/>
          <w:color w:val="000000"/>
          <w:sz w:val="32"/>
          <w:szCs w:val="32"/>
        </w:rPr>
        <w:t>，按照</w:t>
      </w:r>
      <w:r>
        <w:rPr>
          <w:rFonts w:hint="eastAsia" w:ascii="仿宋_GB2312" w:hAnsi="仿宋_GB2312" w:eastAsia="仿宋_GB2312" w:cs="仿宋_GB2312"/>
          <w:b w:val="0"/>
          <w:bCs w:val="0"/>
          <w:color w:val="000000"/>
          <w:sz w:val="32"/>
          <w:szCs w:val="32"/>
          <w:lang w:val="en-US" w:eastAsia="zh-CN"/>
        </w:rPr>
        <w:t>10000</w:t>
      </w:r>
      <w:r>
        <w:rPr>
          <w:rFonts w:hint="eastAsia" w:ascii="仿宋_GB2312" w:hAnsi="仿宋_GB2312" w:eastAsia="仿宋_GB2312" w:cs="仿宋_GB2312"/>
          <w:b w:val="0"/>
          <w:bCs w:val="0"/>
          <w:color w:val="000000"/>
          <w:sz w:val="32"/>
          <w:szCs w:val="32"/>
        </w:rPr>
        <w:t>元/人/年的补助标准，</w:t>
      </w:r>
      <w:r>
        <w:rPr>
          <w:rFonts w:hint="eastAsia" w:ascii="仿宋_GB2312" w:hAnsi="仿宋_GB2312" w:eastAsia="仿宋_GB2312" w:cs="仿宋_GB2312"/>
          <w:b w:val="0"/>
          <w:bCs w:val="0"/>
          <w:color w:val="000000"/>
          <w:sz w:val="32"/>
          <w:szCs w:val="32"/>
          <w:lang w:eastAsia="zh-CN"/>
        </w:rPr>
        <w:t>根据</w:t>
      </w:r>
      <w:r>
        <w:rPr>
          <w:rFonts w:hint="eastAsia" w:ascii="仿宋_GB2312" w:hAnsi="仿宋_GB2312" w:eastAsia="仿宋_GB2312" w:cs="仿宋_GB2312"/>
          <w:b w:val="0"/>
          <w:bCs w:val="0"/>
          <w:sz w:val="32"/>
          <w:szCs w:val="32"/>
          <w:lang w:val="en-US" w:eastAsia="zh-CN"/>
        </w:rPr>
        <w:t>2022中央财政资金及州统筹资金，共计选聘生态护林员1689人，各乡镇劳务费2022年12月底已兑付完成，使贫困人口农牧民每户年收入增加，巩固脱贫攻坚成果。</w:t>
      </w:r>
    </w:p>
    <w:p w14:paraId="44279F6A">
      <w:pPr>
        <w:keepNext w:val="0"/>
        <w:keepLines w:val="0"/>
        <w:pageBreakBefore w:val="0"/>
        <w:widowControl w:val="0"/>
        <w:numPr>
          <w:ilvl w:val="0"/>
          <w:numId w:val="0"/>
        </w:numPr>
        <w:kinsoku/>
        <w:wordWrap/>
        <w:overflowPunct/>
        <w:topLinePunct w:val="0"/>
        <w:autoSpaceDE/>
        <w:autoSpaceDN/>
        <w:bidi w:val="0"/>
        <w:adjustRightInd w:val="0"/>
        <w:snapToGrid w:val="0"/>
        <w:spacing w:line="550" w:lineRule="exact"/>
        <w:ind w:left="640" w:leftChars="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（三）项目资金申报相符性。</w:t>
      </w:r>
    </w:p>
    <w:p w14:paraId="262AFCA7">
      <w:pPr>
        <w:keepNext w:val="0"/>
        <w:keepLines w:val="0"/>
        <w:pageBreakBefore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rPr>
        <w:t>根据</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松潘县2022年生态公益性岗位生态管护员选聘实施方案</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（以下简称“实施方案”），</w:t>
      </w:r>
      <w:r>
        <w:rPr>
          <w:rFonts w:hint="eastAsia" w:ascii="仿宋_GB2312" w:hAnsi="仿宋_GB2312" w:eastAsia="仿宋_GB2312" w:cs="仿宋_GB2312"/>
          <w:b w:val="0"/>
          <w:bCs w:val="0"/>
          <w:color w:val="000000"/>
          <w:sz w:val="32"/>
          <w:szCs w:val="32"/>
        </w:rPr>
        <w:t>在全县</w:t>
      </w:r>
      <w:r>
        <w:rPr>
          <w:rFonts w:hint="eastAsia" w:ascii="仿宋_GB2312" w:hAnsi="仿宋_GB2312" w:eastAsia="仿宋_GB2312" w:cs="仿宋_GB2312"/>
          <w:b w:val="0"/>
          <w:bCs w:val="0"/>
          <w:color w:val="000000"/>
          <w:sz w:val="32"/>
          <w:szCs w:val="32"/>
          <w:lang w:val="en-US" w:eastAsia="zh-CN"/>
        </w:rPr>
        <w:t>17个乡镇</w:t>
      </w: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val="en-US" w:eastAsia="zh-CN"/>
        </w:rPr>
        <w:t>08</w:t>
      </w:r>
      <w:r>
        <w:rPr>
          <w:rFonts w:hint="eastAsia" w:ascii="仿宋_GB2312" w:hAnsi="仿宋_GB2312" w:eastAsia="仿宋_GB2312" w:cs="仿宋_GB2312"/>
          <w:b w:val="0"/>
          <w:bCs w:val="0"/>
          <w:sz w:val="32"/>
          <w:szCs w:val="32"/>
        </w:rPr>
        <w:t>1户</w:t>
      </w:r>
      <w:r>
        <w:rPr>
          <w:rFonts w:hint="eastAsia" w:ascii="仿宋_GB2312" w:hAnsi="仿宋_GB2312" w:eastAsia="仿宋_GB2312" w:cs="仿宋_GB2312"/>
          <w:b w:val="0"/>
          <w:bCs w:val="0"/>
          <w:color w:val="000000"/>
          <w:sz w:val="32"/>
          <w:szCs w:val="32"/>
        </w:rPr>
        <w:t>建档立卡贫困</w:t>
      </w:r>
      <w:r>
        <w:rPr>
          <w:rFonts w:hint="eastAsia" w:ascii="仿宋_GB2312" w:hAnsi="仿宋_GB2312" w:eastAsia="仿宋_GB2312" w:cs="仿宋_GB2312"/>
          <w:b w:val="0"/>
          <w:bCs w:val="0"/>
          <w:color w:val="000000"/>
          <w:sz w:val="32"/>
          <w:szCs w:val="32"/>
          <w:lang w:eastAsia="zh-CN"/>
        </w:rPr>
        <w:t>人户中</w:t>
      </w:r>
      <w:r>
        <w:rPr>
          <w:rFonts w:hint="eastAsia" w:ascii="仿宋_GB2312" w:hAnsi="仿宋_GB2312" w:eastAsia="仿宋_GB2312" w:cs="仿宋_GB2312"/>
          <w:b w:val="0"/>
          <w:bCs w:val="0"/>
          <w:color w:val="000000"/>
          <w:sz w:val="32"/>
          <w:szCs w:val="32"/>
        </w:rPr>
        <w:t>选聘生态管护员</w:t>
      </w:r>
      <w:r>
        <w:rPr>
          <w:rFonts w:hint="eastAsia" w:ascii="仿宋_GB2312" w:hAnsi="仿宋_GB2312" w:eastAsia="仿宋_GB2312" w:cs="仿宋_GB2312"/>
          <w:b w:val="0"/>
          <w:bCs w:val="0"/>
          <w:color w:val="000000"/>
          <w:sz w:val="32"/>
          <w:szCs w:val="32"/>
          <w:lang w:val="en-US" w:eastAsia="zh-CN"/>
        </w:rPr>
        <w:t>1689</w:t>
      </w:r>
      <w:r>
        <w:rPr>
          <w:rFonts w:hint="eastAsia" w:ascii="仿宋_GB2312" w:hAnsi="仿宋_GB2312" w:eastAsia="仿宋_GB2312" w:cs="仿宋_GB2312"/>
          <w:b w:val="0"/>
          <w:bCs w:val="0"/>
          <w:color w:val="000000"/>
          <w:sz w:val="32"/>
          <w:szCs w:val="32"/>
        </w:rPr>
        <w:t>名。</w:t>
      </w:r>
    </w:p>
    <w:p w14:paraId="44171F0D">
      <w:pPr>
        <w:keepNext w:val="0"/>
        <w:keepLines w:val="0"/>
        <w:pageBreakBefore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二、项目资金申报及使用情况</w:t>
      </w:r>
    </w:p>
    <w:p w14:paraId="06F2C8C9">
      <w:pPr>
        <w:keepNext w:val="0"/>
        <w:keepLines w:val="0"/>
        <w:pageBreakBefore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b w:val="0"/>
          <w:bCs w:val="0"/>
          <w:color w:val="auto"/>
          <w:sz w:val="32"/>
          <w:szCs w:val="32"/>
          <w:highlight w:val="none"/>
          <w:u w:val="none"/>
          <w:lang w:val="zh-CN"/>
        </w:rPr>
      </w:pPr>
      <w:r>
        <w:rPr>
          <w:rFonts w:hint="eastAsia" w:ascii="仿宋_GB2312" w:hAnsi="仿宋_GB2312" w:eastAsia="仿宋_GB2312" w:cs="仿宋_GB2312"/>
          <w:b w:val="0"/>
          <w:bCs w:val="0"/>
          <w:color w:val="auto"/>
          <w:sz w:val="32"/>
          <w:szCs w:val="32"/>
          <w:highlight w:val="none"/>
          <w:u w:val="none"/>
          <w:lang w:val="zh-CN"/>
        </w:rPr>
        <w:t>（一）项目资金申报及批复情况。</w:t>
      </w:r>
    </w:p>
    <w:p w14:paraId="29DB31BE">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spacing w:line="550" w:lineRule="exact"/>
        <w:ind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20</w:t>
      </w: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生态管护员补助</w:t>
      </w:r>
      <w:r>
        <w:rPr>
          <w:rFonts w:hint="eastAsia" w:ascii="仿宋_GB2312" w:hAnsi="仿宋_GB2312" w:eastAsia="仿宋_GB2312" w:cs="仿宋_GB2312"/>
          <w:b w:val="0"/>
          <w:bCs w:val="0"/>
          <w:sz w:val="32"/>
          <w:szCs w:val="32"/>
        </w:rPr>
        <w:t>项目资金，</w:t>
      </w:r>
      <w:r>
        <w:rPr>
          <w:rFonts w:hint="eastAsia" w:ascii="仿宋_GB2312" w:hAnsi="仿宋_GB2312" w:eastAsia="仿宋_GB2312" w:cs="仿宋_GB2312"/>
          <w:b w:val="0"/>
          <w:bCs w:val="0"/>
          <w:color w:val="auto"/>
          <w:kern w:val="0"/>
          <w:sz w:val="32"/>
          <w:szCs w:val="32"/>
          <w:lang w:eastAsia="zh-CN"/>
        </w:rPr>
        <w:t>《阿坝州财政局</w:t>
      </w:r>
      <w:r>
        <w:rPr>
          <w:rFonts w:hint="eastAsia" w:ascii="仿宋_GB2312" w:hAnsi="仿宋_GB2312" w:eastAsia="仿宋_GB2312" w:cs="仿宋_GB2312"/>
          <w:b w:val="0"/>
          <w:bCs w:val="0"/>
          <w:color w:val="auto"/>
          <w:kern w:val="0"/>
          <w:sz w:val="32"/>
          <w:szCs w:val="32"/>
          <w:lang w:val="en-US" w:eastAsia="zh-CN"/>
        </w:rPr>
        <w:t xml:space="preserve"> 阿坝州林业和草原局关于下达2022年中央财政林业改革发展资金预算（第一批）的通知》（阿州财资环〔2022〕9号）下达190万元、</w:t>
      </w:r>
      <w:r>
        <w:rPr>
          <w:rFonts w:hint="eastAsia" w:ascii="仿宋_GB2312" w:hAnsi="仿宋_GB2312" w:eastAsia="仿宋_GB2312" w:cs="仿宋_GB2312"/>
          <w:b w:val="0"/>
          <w:bCs w:val="0"/>
          <w:color w:val="auto"/>
          <w:kern w:val="0"/>
          <w:sz w:val="32"/>
          <w:szCs w:val="32"/>
          <w:lang w:eastAsia="zh-CN"/>
        </w:rPr>
        <w:t>《阿坝州财政局</w:t>
      </w:r>
      <w:r>
        <w:rPr>
          <w:rFonts w:hint="eastAsia" w:ascii="仿宋_GB2312" w:hAnsi="仿宋_GB2312" w:eastAsia="仿宋_GB2312" w:cs="仿宋_GB2312"/>
          <w:b w:val="0"/>
          <w:bCs w:val="0"/>
          <w:color w:val="auto"/>
          <w:kern w:val="0"/>
          <w:sz w:val="32"/>
          <w:szCs w:val="32"/>
          <w:lang w:val="en-US" w:eastAsia="zh-CN"/>
        </w:rPr>
        <w:t xml:space="preserve"> 阿坝州林业和草原局关于下达2022年中央财政林业草原生态保护恢复资金预算（第一批）的通知》（阿州财资环〔2022〕10号）下达107万元、</w:t>
      </w:r>
      <w:r>
        <w:rPr>
          <w:rFonts w:hint="eastAsia" w:ascii="仿宋_GB2312" w:hAnsi="仿宋_GB2312" w:eastAsia="仿宋_GB2312" w:cs="仿宋_GB2312"/>
          <w:b w:val="0"/>
          <w:bCs w:val="0"/>
          <w:color w:val="auto"/>
          <w:kern w:val="0"/>
          <w:sz w:val="32"/>
          <w:szCs w:val="32"/>
          <w:lang w:eastAsia="zh-CN"/>
        </w:rPr>
        <w:t>《阿坝州财政局</w:t>
      </w:r>
      <w:r>
        <w:rPr>
          <w:rFonts w:hint="eastAsia" w:ascii="仿宋_GB2312" w:hAnsi="仿宋_GB2312" w:eastAsia="仿宋_GB2312" w:cs="仿宋_GB2312"/>
          <w:b w:val="0"/>
          <w:bCs w:val="0"/>
          <w:color w:val="auto"/>
          <w:kern w:val="0"/>
          <w:sz w:val="32"/>
          <w:szCs w:val="32"/>
          <w:lang w:val="en-US" w:eastAsia="zh-CN"/>
        </w:rPr>
        <w:t xml:space="preserve"> 阿坝州林业和草原局关于下达2022年中央财政林业草原生态保护恢复资金预算（第二批）的通知》（阿州财资环〔2022〕12号）下达85万元、</w:t>
      </w:r>
      <w:r>
        <w:rPr>
          <w:rFonts w:hint="eastAsia" w:ascii="仿宋_GB2312" w:hAnsi="仿宋_GB2312" w:eastAsia="仿宋_GB2312" w:cs="仿宋_GB2312"/>
          <w:b w:val="0"/>
          <w:bCs w:val="0"/>
          <w:color w:val="auto"/>
          <w:kern w:val="0"/>
          <w:sz w:val="32"/>
          <w:szCs w:val="32"/>
          <w:lang w:eastAsia="zh-CN"/>
        </w:rPr>
        <w:t>《阿坝州财政局</w:t>
      </w:r>
      <w:r>
        <w:rPr>
          <w:rFonts w:hint="eastAsia" w:ascii="仿宋_GB2312" w:hAnsi="仿宋_GB2312" w:eastAsia="仿宋_GB2312" w:cs="仿宋_GB2312"/>
          <w:b w:val="0"/>
          <w:bCs w:val="0"/>
          <w:color w:val="auto"/>
          <w:kern w:val="0"/>
          <w:sz w:val="32"/>
          <w:szCs w:val="32"/>
          <w:lang w:val="en-US" w:eastAsia="zh-CN"/>
        </w:rPr>
        <w:t xml:space="preserve"> 阿坝州林业和草原局关于下达2022年州级财政生态扶贫资金的通知》（阿州财资环〔2022〕23号）实际下达110万、</w:t>
      </w:r>
      <w:r>
        <w:rPr>
          <w:rFonts w:hint="eastAsia" w:ascii="仿宋_GB2312" w:hAnsi="仿宋_GB2312" w:eastAsia="仿宋_GB2312" w:cs="仿宋_GB2312"/>
          <w:b w:val="0"/>
          <w:bCs w:val="0"/>
          <w:sz w:val="32"/>
          <w:szCs w:val="32"/>
          <w:lang w:val="en-US" w:eastAsia="zh-CN"/>
        </w:rPr>
        <w:t>《阿坝州财政局关于下达2022年国家重点生态功能区转移支付生态扶贫资金的通知》</w:t>
      </w:r>
      <w:r>
        <w:rPr>
          <w:rFonts w:hint="eastAsia" w:ascii="仿宋_GB2312" w:hAnsi="仿宋_GB2312" w:eastAsia="仿宋_GB2312" w:cs="仿宋_GB2312"/>
          <w:b w:val="0"/>
          <w:bCs w:val="0"/>
          <w:color w:val="auto"/>
          <w:kern w:val="0"/>
          <w:sz w:val="32"/>
          <w:szCs w:val="32"/>
          <w:lang w:val="en-US" w:eastAsia="zh-CN"/>
        </w:rPr>
        <w:t>（阿州财预〔2022〕41号），下达国家重点生态功能区转移支付资金1197万元。</w:t>
      </w:r>
    </w:p>
    <w:p w14:paraId="04D2D9E9">
      <w:pPr>
        <w:keepNext w:val="0"/>
        <w:keepLines w:val="0"/>
        <w:pageBreakBefore w:val="0"/>
        <w:widowControl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color w:val="auto"/>
          <w:sz w:val="32"/>
          <w:szCs w:val="32"/>
          <w:highlight w:val="none"/>
          <w:u w:val="none"/>
          <w:lang w:val="zh-CN"/>
        </w:rPr>
      </w:pPr>
      <w:r>
        <w:rPr>
          <w:rFonts w:hint="eastAsia" w:ascii="仿宋_GB2312" w:hAnsi="仿宋_GB2312" w:eastAsia="仿宋_GB2312" w:cs="仿宋_GB2312"/>
          <w:b w:val="0"/>
          <w:bCs w:val="0"/>
          <w:color w:val="auto"/>
          <w:sz w:val="32"/>
          <w:szCs w:val="32"/>
          <w:highlight w:val="none"/>
          <w:u w:val="none"/>
          <w:lang w:val="zh-CN"/>
        </w:rPr>
        <w:t>（二）资金计划、到位及使用情况</w:t>
      </w:r>
    </w:p>
    <w:p w14:paraId="36CB2B69">
      <w:pPr>
        <w:keepNext w:val="0"/>
        <w:keepLines w:val="0"/>
        <w:pageBreakBefore w:val="0"/>
        <w:widowControl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zh-CN"/>
        </w:rPr>
        <w:t>1．资金计划及到位。</w:t>
      </w:r>
      <w:r>
        <w:rPr>
          <w:rFonts w:hint="eastAsia" w:ascii="仿宋_GB2312" w:hAnsi="仿宋_GB2312" w:eastAsia="仿宋_GB2312" w:cs="仿宋_GB2312"/>
          <w:b w:val="0"/>
          <w:bCs w:val="0"/>
          <w:sz w:val="32"/>
          <w:szCs w:val="32"/>
        </w:rPr>
        <w:t>20</w:t>
      </w: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州级财政资金筹措</w:t>
      </w:r>
      <w:r>
        <w:rPr>
          <w:rFonts w:hint="eastAsia" w:ascii="仿宋_GB2312" w:hAnsi="仿宋_GB2312" w:eastAsia="仿宋_GB2312" w:cs="仿宋_GB2312"/>
          <w:b w:val="0"/>
          <w:bCs w:val="0"/>
          <w:sz w:val="32"/>
          <w:szCs w:val="32"/>
        </w:rPr>
        <w:t>下达20</w:t>
      </w: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生态管护员补助</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eastAsia="zh-CN"/>
        </w:rPr>
        <w:t>资金</w:t>
      </w:r>
      <w:r>
        <w:rPr>
          <w:rFonts w:hint="eastAsia" w:ascii="仿宋_GB2312" w:hAnsi="仿宋_GB2312" w:eastAsia="仿宋_GB2312" w:cs="仿宋_GB2312"/>
          <w:b w:val="0"/>
          <w:bCs w:val="0"/>
          <w:sz w:val="32"/>
          <w:szCs w:val="32"/>
          <w:lang w:val="en-US" w:eastAsia="zh-CN"/>
        </w:rPr>
        <w:t>1689</w:t>
      </w:r>
      <w:r>
        <w:rPr>
          <w:rFonts w:hint="eastAsia" w:ascii="仿宋_GB2312" w:hAnsi="仿宋_GB2312" w:eastAsia="仿宋_GB2312" w:cs="仿宋_GB2312"/>
          <w:b w:val="0"/>
          <w:bCs w:val="0"/>
          <w:snapToGrid w:val="0"/>
          <w:sz w:val="32"/>
          <w:szCs w:val="32"/>
        </w:rPr>
        <w:t>万元</w:t>
      </w:r>
      <w:r>
        <w:rPr>
          <w:rFonts w:hint="eastAsia" w:ascii="仿宋_GB2312" w:hAnsi="仿宋_GB2312" w:eastAsia="仿宋_GB2312" w:cs="仿宋_GB2312"/>
          <w:b w:val="0"/>
          <w:bCs w:val="0"/>
          <w:snapToGrid w:val="0"/>
          <w:sz w:val="32"/>
          <w:szCs w:val="32"/>
          <w:lang w:eastAsia="zh-CN"/>
        </w:rPr>
        <w:t>，</w:t>
      </w:r>
      <w:r>
        <w:rPr>
          <w:rFonts w:hint="eastAsia" w:ascii="仿宋_GB2312" w:hAnsi="仿宋_GB2312" w:eastAsia="仿宋_GB2312" w:cs="仿宋_GB2312"/>
          <w:b w:val="0"/>
          <w:bCs w:val="0"/>
          <w:sz w:val="32"/>
          <w:szCs w:val="32"/>
        </w:rPr>
        <w:t>资金到位及时，到位率为100%。</w:t>
      </w:r>
    </w:p>
    <w:p w14:paraId="57C10756">
      <w:pPr>
        <w:keepNext w:val="0"/>
        <w:keepLines w:val="0"/>
        <w:pageBreakBefore w:val="0"/>
        <w:kinsoku/>
        <w:wordWrap/>
        <w:overflowPunct/>
        <w:topLinePunct w:val="0"/>
        <w:autoSpaceDE/>
        <w:autoSpaceDN/>
        <w:bidi w:val="0"/>
        <w:snapToGrid/>
        <w:spacing w:line="550" w:lineRule="exact"/>
        <w:ind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2．资金使用。</w:t>
      </w:r>
      <w:r>
        <w:rPr>
          <w:rFonts w:hint="eastAsia" w:ascii="仿宋_GB2312" w:hAnsi="仿宋_GB2312" w:eastAsia="仿宋_GB2312" w:cs="仿宋_GB2312"/>
          <w:b w:val="0"/>
          <w:bCs w:val="0"/>
          <w:kern w:val="0"/>
          <w:sz w:val="32"/>
          <w:szCs w:val="32"/>
        </w:rPr>
        <w:t>项目总投资</w:t>
      </w:r>
      <w:r>
        <w:rPr>
          <w:rFonts w:hint="eastAsia" w:ascii="仿宋_GB2312" w:hAnsi="仿宋_GB2312" w:eastAsia="仿宋_GB2312" w:cs="仿宋_GB2312"/>
          <w:b w:val="0"/>
          <w:bCs w:val="0"/>
          <w:kern w:val="0"/>
          <w:sz w:val="32"/>
          <w:szCs w:val="32"/>
          <w:lang w:val="en-US" w:eastAsia="zh-CN"/>
        </w:rPr>
        <w:t>1689</w:t>
      </w:r>
      <w:r>
        <w:rPr>
          <w:rFonts w:hint="eastAsia" w:ascii="仿宋_GB2312" w:hAnsi="仿宋_GB2312" w:eastAsia="仿宋_GB2312" w:cs="仿宋_GB2312"/>
          <w:b w:val="0"/>
          <w:bCs w:val="0"/>
          <w:kern w:val="0"/>
          <w:sz w:val="32"/>
          <w:szCs w:val="32"/>
        </w:rPr>
        <w:t>万元</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snapToGrid w:val="0"/>
          <w:sz w:val="32"/>
          <w:szCs w:val="32"/>
        </w:rPr>
        <w:t>20</w:t>
      </w:r>
      <w:r>
        <w:rPr>
          <w:rFonts w:hint="eastAsia" w:ascii="仿宋_GB2312" w:hAnsi="仿宋_GB2312" w:eastAsia="仿宋_GB2312" w:cs="仿宋_GB2312"/>
          <w:b w:val="0"/>
          <w:bCs w:val="0"/>
          <w:snapToGrid w:val="0"/>
          <w:sz w:val="32"/>
          <w:szCs w:val="32"/>
          <w:lang w:val="en-US" w:eastAsia="zh-CN"/>
        </w:rPr>
        <w:t>22</w:t>
      </w:r>
      <w:r>
        <w:rPr>
          <w:rFonts w:hint="eastAsia" w:ascii="仿宋_GB2312" w:hAnsi="仿宋_GB2312" w:eastAsia="仿宋_GB2312" w:cs="仿宋_GB2312"/>
          <w:b w:val="0"/>
          <w:bCs w:val="0"/>
          <w:snapToGrid w:val="0"/>
          <w:sz w:val="32"/>
          <w:szCs w:val="32"/>
        </w:rPr>
        <w:t>年，</w:t>
      </w:r>
      <w:r>
        <w:rPr>
          <w:rFonts w:hint="eastAsia" w:ascii="仿宋_GB2312" w:hAnsi="仿宋_GB2312" w:eastAsia="仿宋_GB2312" w:cs="仿宋_GB2312"/>
          <w:b w:val="0"/>
          <w:bCs w:val="0"/>
          <w:snapToGrid w:val="0"/>
          <w:sz w:val="32"/>
          <w:szCs w:val="32"/>
          <w:lang w:eastAsia="zh-CN"/>
        </w:rPr>
        <w:t>根据</w:t>
      </w:r>
      <w:r>
        <w:rPr>
          <w:rFonts w:hint="eastAsia" w:ascii="仿宋_GB2312" w:hAnsi="仿宋_GB2312" w:eastAsia="仿宋_GB2312" w:cs="仿宋_GB2312"/>
          <w:b w:val="0"/>
          <w:bCs w:val="0"/>
          <w:kern w:val="0"/>
          <w:sz w:val="32"/>
          <w:szCs w:val="32"/>
        </w:rPr>
        <w:t>资金使用年度</w:t>
      </w:r>
      <w:r>
        <w:rPr>
          <w:rFonts w:hint="eastAsia" w:ascii="仿宋_GB2312" w:hAnsi="仿宋_GB2312" w:eastAsia="仿宋_GB2312" w:cs="仿宋_GB2312"/>
          <w:b w:val="0"/>
          <w:bCs w:val="0"/>
          <w:kern w:val="0"/>
          <w:sz w:val="32"/>
          <w:szCs w:val="32"/>
          <w:lang w:eastAsia="zh-CN"/>
        </w:rPr>
        <w:t>季度</w:t>
      </w:r>
      <w:r>
        <w:rPr>
          <w:rFonts w:hint="eastAsia" w:ascii="仿宋_GB2312" w:hAnsi="仿宋_GB2312" w:eastAsia="仿宋_GB2312" w:cs="仿宋_GB2312"/>
          <w:b w:val="0"/>
          <w:bCs w:val="0"/>
          <w:kern w:val="0"/>
          <w:sz w:val="32"/>
          <w:szCs w:val="32"/>
        </w:rPr>
        <w:t>进行分配。</w:t>
      </w:r>
      <w:r>
        <w:rPr>
          <w:rFonts w:hint="eastAsia" w:ascii="仿宋_GB2312" w:hAnsi="仿宋_GB2312" w:eastAsia="仿宋_GB2312" w:cs="仿宋_GB2312"/>
          <w:b w:val="0"/>
          <w:bCs w:val="0"/>
          <w:snapToGrid w:val="0"/>
          <w:sz w:val="32"/>
          <w:szCs w:val="32"/>
        </w:rPr>
        <w:t>按照项目进度、</w:t>
      </w:r>
      <w:r>
        <w:rPr>
          <w:rFonts w:hint="eastAsia" w:ascii="仿宋_GB2312" w:hAnsi="仿宋_GB2312" w:eastAsia="仿宋_GB2312" w:cs="仿宋_GB2312"/>
          <w:b w:val="0"/>
          <w:bCs w:val="0"/>
          <w:snapToGrid w:val="0"/>
          <w:sz w:val="32"/>
          <w:szCs w:val="32"/>
          <w:lang w:eastAsia="zh-CN"/>
        </w:rPr>
        <w:t>季</w:t>
      </w:r>
      <w:r>
        <w:rPr>
          <w:rFonts w:hint="eastAsia" w:ascii="仿宋_GB2312" w:hAnsi="仿宋_GB2312" w:eastAsia="仿宋_GB2312" w:cs="仿宋_GB2312"/>
          <w:b w:val="0"/>
          <w:bCs w:val="0"/>
          <w:snapToGrid w:val="0"/>
          <w:sz w:val="32"/>
          <w:szCs w:val="32"/>
        </w:rPr>
        <w:t>度检查</w:t>
      </w:r>
      <w:r>
        <w:rPr>
          <w:rFonts w:hint="eastAsia" w:ascii="仿宋_GB2312" w:hAnsi="仿宋_GB2312" w:eastAsia="仿宋_GB2312" w:cs="仿宋_GB2312"/>
          <w:b w:val="0"/>
          <w:bCs w:val="0"/>
          <w:snapToGrid w:val="0"/>
          <w:sz w:val="32"/>
          <w:szCs w:val="32"/>
          <w:lang w:eastAsia="zh-CN"/>
        </w:rPr>
        <w:t>考核及年底绩效考评</w:t>
      </w:r>
      <w:r>
        <w:rPr>
          <w:rFonts w:hint="eastAsia" w:ascii="仿宋_GB2312" w:hAnsi="仿宋_GB2312" w:eastAsia="仿宋_GB2312" w:cs="仿宋_GB2312"/>
          <w:b w:val="0"/>
          <w:bCs w:val="0"/>
          <w:snapToGrid w:val="0"/>
          <w:sz w:val="32"/>
          <w:szCs w:val="32"/>
        </w:rPr>
        <w:t>结果拨付</w:t>
      </w:r>
      <w:r>
        <w:rPr>
          <w:rFonts w:hint="eastAsia" w:ascii="仿宋_GB2312" w:hAnsi="仿宋_GB2312" w:eastAsia="仿宋_GB2312" w:cs="仿宋_GB2312"/>
          <w:b w:val="0"/>
          <w:bCs w:val="0"/>
          <w:sz w:val="32"/>
          <w:szCs w:val="32"/>
        </w:rPr>
        <w:t>资金</w:t>
      </w:r>
      <w:r>
        <w:rPr>
          <w:rFonts w:hint="eastAsia" w:ascii="仿宋_GB2312" w:hAnsi="仿宋_GB2312" w:eastAsia="仿宋_GB2312" w:cs="仿宋_GB2312"/>
          <w:b w:val="0"/>
          <w:bCs w:val="0"/>
          <w:sz w:val="32"/>
          <w:szCs w:val="32"/>
          <w:lang w:val="en-US" w:eastAsia="zh-CN"/>
        </w:rPr>
        <w:t>1689</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w:t>
      </w:r>
      <w:r>
        <w:rPr>
          <w:rFonts w:hint="eastAsia" w:ascii="仿宋_GB2312" w:hAnsi="仿宋_GB2312" w:eastAsia="仿宋_GB2312" w:cs="仿宋_GB2312"/>
          <w:b w:val="0"/>
          <w:bCs w:val="0"/>
          <w:snapToGrid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sz w:val="32"/>
          <w:szCs w:val="32"/>
        </w:rPr>
        <w:t>资金支付与预算</w:t>
      </w:r>
      <w:r>
        <w:rPr>
          <w:rFonts w:hint="eastAsia" w:ascii="仿宋_GB2312" w:hAnsi="仿宋_GB2312" w:eastAsia="仿宋_GB2312" w:cs="仿宋_GB2312"/>
          <w:b w:val="0"/>
          <w:bCs w:val="0"/>
          <w:sz w:val="32"/>
          <w:szCs w:val="32"/>
          <w:lang w:eastAsia="zh-CN"/>
        </w:rPr>
        <w:t>基本</w:t>
      </w:r>
      <w:r>
        <w:rPr>
          <w:rFonts w:hint="eastAsia" w:ascii="仿宋_GB2312" w:hAnsi="仿宋_GB2312" w:eastAsia="仿宋_GB2312" w:cs="仿宋_GB2312"/>
          <w:b w:val="0"/>
          <w:bCs w:val="0"/>
          <w:sz w:val="32"/>
          <w:szCs w:val="32"/>
        </w:rPr>
        <w:t>相符，没有挪用和截留现象。</w:t>
      </w:r>
    </w:p>
    <w:p w14:paraId="227374A5">
      <w:pPr>
        <w:keepNext w:val="0"/>
        <w:keepLines w:val="0"/>
        <w:pageBreakBefore w:val="0"/>
        <w:widowControl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color w:val="auto"/>
          <w:sz w:val="32"/>
          <w:szCs w:val="32"/>
          <w:highlight w:val="none"/>
          <w:u w:val="none"/>
          <w:lang w:val="zh-CN"/>
        </w:rPr>
        <w:t>（三）</w:t>
      </w:r>
      <w:r>
        <w:rPr>
          <w:rFonts w:hint="eastAsia" w:ascii="仿宋_GB2312" w:hAnsi="仿宋_GB2312" w:eastAsia="仿宋_GB2312" w:cs="仿宋_GB2312"/>
          <w:b w:val="0"/>
          <w:bCs w:val="0"/>
          <w:sz w:val="32"/>
          <w:szCs w:val="32"/>
          <w:lang w:val="zh-CN"/>
        </w:rPr>
        <w:t>财务管理情况。</w:t>
      </w:r>
    </w:p>
    <w:p w14:paraId="157F5EC2">
      <w:pPr>
        <w:pStyle w:val="15"/>
        <w:keepNext w:val="0"/>
        <w:keepLines w:val="0"/>
        <w:pageBreakBefore w:val="0"/>
        <w:widowControl/>
        <w:kinsoku/>
        <w:wordWrap/>
        <w:overflowPunct/>
        <w:topLinePunct w:val="0"/>
        <w:autoSpaceDE/>
        <w:autoSpaceDN/>
        <w:bidi w:val="0"/>
        <w:snapToGrid/>
        <w:spacing w:line="550" w:lineRule="exact"/>
        <w:ind w:firstLine="640" w:firstLineChars="200"/>
        <w:jc w:val="both"/>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为确保</w:t>
      </w:r>
      <w:r>
        <w:rPr>
          <w:rFonts w:hint="eastAsia" w:ascii="仿宋_GB2312" w:hAnsi="仿宋_GB2312" w:eastAsia="仿宋_GB2312" w:cs="仿宋_GB2312"/>
          <w:b w:val="0"/>
          <w:bCs w:val="0"/>
          <w:sz w:val="32"/>
          <w:szCs w:val="32"/>
          <w:lang w:val="en-US" w:eastAsia="zh-CN"/>
        </w:rPr>
        <w:t>2022年生态建设扶贫</w:t>
      </w:r>
      <w:r>
        <w:rPr>
          <w:rFonts w:hint="eastAsia" w:ascii="仿宋_GB2312" w:hAnsi="仿宋_GB2312" w:eastAsia="仿宋_GB2312" w:cs="仿宋_GB2312"/>
          <w:b w:val="0"/>
          <w:bCs w:val="0"/>
          <w:sz w:val="32"/>
          <w:szCs w:val="32"/>
        </w:rPr>
        <w:t>专项</w:t>
      </w:r>
      <w:r>
        <w:rPr>
          <w:rFonts w:hint="eastAsia" w:ascii="仿宋_GB2312" w:hAnsi="仿宋_GB2312" w:eastAsia="仿宋_GB2312" w:cs="仿宋_GB2312"/>
          <w:b w:val="0"/>
          <w:bCs w:val="0"/>
          <w:sz w:val="32"/>
          <w:szCs w:val="32"/>
          <w:lang w:eastAsia="zh-CN"/>
        </w:rPr>
        <w:t>选聘生态管护员补助</w:t>
      </w:r>
      <w:r>
        <w:rPr>
          <w:rFonts w:hint="eastAsia" w:ascii="仿宋_GB2312" w:hAnsi="仿宋_GB2312" w:eastAsia="仿宋_GB2312" w:cs="仿宋_GB2312"/>
          <w:b w:val="0"/>
          <w:bCs w:val="0"/>
          <w:sz w:val="32"/>
          <w:szCs w:val="32"/>
        </w:rPr>
        <w:t>项目资金依法管理，一是严格执行《</w:t>
      </w:r>
      <w:r>
        <w:rPr>
          <w:rFonts w:hint="eastAsia" w:ascii="仿宋_GB2312" w:hAnsi="仿宋_GB2312" w:eastAsia="仿宋_GB2312" w:cs="仿宋_GB2312"/>
          <w:b w:val="0"/>
          <w:bCs w:val="0"/>
          <w:sz w:val="32"/>
          <w:szCs w:val="32"/>
          <w:lang w:eastAsia="zh-CN"/>
        </w:rPr>
        <w:t>中央对地方重点生态功能区转移支付办法</w:t>
      </w:r>
      <w:r>
        <w:rPr>
          <w:rFonts w:hint="eastAsia" w:ascii="仿宋_GB2312" w:hAnsi="仿宋_GB2312" w:eastAsia="仿宋_GB2312" w:cs="仿宋_GB2312"/>
          <w:b w:val="0"/>
          <w:bCs w:val="0"/>
          <w:sz w:val="32"/>
          <w:szCs w:val="32"/>
        </w:rPr>
        <w:t>的通知》（财</w:t>
      </w:r>
      <w:r>
        <w:rPr>
          <w:rFonts w:hint="eastAsia" w:ascii="仿宋_GB2312" w:hAnsi="仿宋_GB2312" w:eastAsia="仿宋_GB2312" w:cs="仿宋_GB2312"/>
          <w:b w:val="0"/>
          <w:bCs w:val="0"/>
          <w:sz w:val="32"/>
          <w:szCs w:val="32"/>
          <w:lang w:eastAsia="zh-CN"/>
        </w:rPr>
        <w:t>预</w:t>
      </w:r>
      <w:r>
        <w:rPr>
          <w:rFonts w:hint="eastAsia" w:ascii="仿宋_GB2312" w:hAnsi="仿宋_GB2312" w:eastAsia="仿宋_GB2312" w:cs="仿宋_GB2312"/>
          <w:b w:val="0"/>
          <w:bCs w:val="0"/>
          <w:sz w:val="32"/>
          <w:szCs w:val="32"/>
        </w:rPr>
        <w:t>〔2017〕1</w:t>
      </w:r>
      <w:r>
        <w:rPr>
          <w:rFonts w:hint="eastAsia" w:ascii="仿宋_GB2312" w:hAnsi="仿宋_GB2312" w:eastAsia="仿宋_GB2312" w:cs="仿宋_GB2312"/>
          <w:b w:val="0"/>
          <w:bCs w:val="0"/>
          <w:sz w:val="32"/>
          <w:szCs w:val="32"/>
          <w:lang w:val="en-US" w:eastAsia="zh-CN"/>
        </w:rPr>
        <w:t>26</w:t>
      </w:r>
      <w:r>
        <w:rPr>
          <w:rFonts w:hint="eastAsia" w:ascii="仿宋_GB2312" w:hAnsi="仿宋_GB2312" w:eastAsia="仿宋_GB2312" w:cs="仿宋_GB2312"/>
          <w:b w:val="0"/>
          <w:bCs w:val="0"/>
          <w:sz w:val="32"/>
          <w:szCs w:val="32"/>
        </w:rPr>
        <w:t>号）</w:t>
      </w:r>
      <w:r>
        <w:rPr>
          <w:rFonts w:hint="eastAsia" w:ascii="仿宋_GB2312" w:hAnsi="仿宋_GB2312" w:eastAsia="仿宋_GB2312" w:cs="仿宋_GB2312"/>
          <w:b w:val="0"/>
          <w:bCs w:val="0"/>
          <w:sz w:val="32"/>
          <w:szCs w:val="32"/>
          <w:lang w:eastAsia="zh-CN"/>
        </w:rPr>
        <w:t>及《阿坝州财政局</w:t>
      </w:r>
      <w:r>
        <w:rPr>
          <w:rFonts w:hint="eastAsia" w:ascii="仿宋_GB2312" w:hAnsi="仿宋_GB2312" w:eastAsia="仿宋_GB2312" w:cs="仿宋_GB2312"/>
          <w:b w:val="0"/>
          <w:bCs w:val="0"/>
          <w:sz w:val="32"/>
          <w:szCs w:val="32"/>
          <w:lang w:val="en-US" w:eastAsia="zh-CN"/>
        </w:rPr>
        <w:t xml:space="preserve">  阿坝州州扶贫和移民局 阿坝州林业局 阿坝州农牧局 阿坝州水务局关于印发〈阿坝州生态扶贫资金管理办法〉的通知（阿州财农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2018</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15号）</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从制度和机制上确保财政资金专款专用及安全运行；二是项目专项资金严格执行县级报账制、专账核算等制度。专项资金的支付按照财政国库管理制度有关规定执行。从自检情况看，没有挪用和截留现象，财务制度管理规范。</w:t>
      </w:r>
      <w:r>
        <w:rPr>
          <w:rFonts w:hint="eastAsia" w:ascii="仿宋_GB2312" w:hAnsi="仿宋_GB2312" w:eastAsia="仿宋_GB2312" w:cs="仿宋_GB2312"/>
          <w:b w:val="0"/>
          <w:bCs w:val="0"/>
          <w:sz w:val="32"/>
          <w:szCs w:val="32"/>
          <w:lang w:eastAsia="zh-CN"/>
        </w:rPr>
        <w:t>均完成了省、州、县下达的指标。</w:t>
      </w:r>
    </w:p>
    <w:p w14:paraId="5B9784A6">
      <w:pPr>
        <w:keepNext w:val="0"/>
        <w:keepLines w:val="0"/>
        <w:pageBreakBefore w:val="0"/>
        <w:widowControl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项目实施及管理情况</w:t>
      </w:r>
    </w:p>
    <w:p w14:paraId="0F3ED909">
      <w:pPr>
        <w:pStyle w:val="16"/>
        <w:keepNext w:val="0"/>
        <w:keepLines w:val="0"/>
        <w:pageBreakBefore w:val="0"/>
        <w:shd w:val="clear" w:color="auto" w:fill="auto"/>
        <w:kinsoku/>
        <w:wordWrap/>
        <w:overflowPunct/>
        <w:topLinePunct w:val="0"/>
        <w:autoSpaceDE/>
        <w:autoSpaceDN/>
        <w:bidi w:val="0"/>
        <w:adjustRightInd w:val="0"/>
        <w:spacing w:after="0" w:afterLines="0" w:line="55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u w:val="none"/>
          <w:lang w:val="zh-CN"/>
        </w:rPr>
      </w:pPr>
      <w:r>
        <w:rPr>
          <w:rFonts w:hint="eastAsia" w:ascii="仿宋_GB2312" w:hAnsi="仿宋_GB2312" w:eastAsia="仿宋_GB2312" w:cs="仿宋_GB2312"/>
          <w:b w:val="0"/>
          <w:bCs w:val="0"/>
          <w:color w:val="auto"/>
          <w:sz w:val="32"/>
          <w:szCs w:val="32"/>
          <w:highlight w:val="none"/>
          <w:u w:val="none"/>
          <w:lang w:val="zh-CN"/>
        </w:rPr>
        <w:t>（一）项目组织架构及实施流程。</w:t>
      </w:r>
    </w:p>
    <w:p w14:paraId="5EEA5184">
      <w:pPr>
        <w:keepNext w:val="0"/>
        <w:keepLines w:val="0"/>
        <w:pageBreakBefore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根据</w:t>
      </w:r>
      <w:r>
        <w:rPr>
          <w:rFonts w:hint="eastAsia" w:ascii="仿宋_GB2312" w:hAnsi="仿宋_GB2312" w:eastAsia="仿宋_GB2312" w:cs="仿宋_GB2312"/>
          <w:b w:val="0"/>
          <w:bCs w:val="0"/>
          <w:sz w:val="32"/>
          <w:szCs w:val="32"/>
          <w:lang w:val="en-US" w:eastAsia="zh-CN"/>
        </w:rPr>
        <w:t>松潘县2022年生态公益性岗位生态管护员选聘实施方案（以下简称“实施方案”），</w:t>
      </w:r>
      <w:r>
        <w:rPr>
          <w:rFonts w:hint="eastAsia" w:ascii="仿宋_GB2312" w:hAnsi="仿宋_GB2312" w:eastAsia="仿宋_GB2312" w:cs="仿宋_GB2312"/>
          <w:b w:val="0"/>
          <w:bCs w:val="0"/>
          <w:color w:val="000000"/>
          <w:sz w:val="32"/>
          <w:szCs w:val="32"/>
        </w:rPr>
        <w:t>在全县</w:t>
      </w:r>
      <w:r>
        <w:rPr>
          <w:rFonts w:hint="eastAsia" w:ascii="仿宋_GB2312" w:hAnsi="仿宋_GB2312" w:eastAsia="仿宋_GB2312" w:cs="仿宋_GB2312"/>
          <w:b w:val="0"/>
          <w:bCs w:val="0"/>
          <w:color w:val="000000"/>
          <w:sz w:val="32"/>
          <w:szCs w:val="32"/>
          <w:lang w:val="en-US" w:eastAsia="zh-CN"/>
        </w:rPr>
        <w:t>17个乡镇</w:t>
      </w: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val="en-US" w:eastAsia="zh-CN"/>
        </w:rPr>
        <w:t>08</w:t>
      </w:r>
      <w:r>
        <w:rPr>
          <w:rFonts w:hint="eastAsia" w:ascii="仿宋_GB2312" w:hAnsi="仿宋_GB2312" w:eastAsia="仿宋_GB2312" w:cs="仿宋_GB2312"/>
          <w:b w:val="0"/>
          <w:bCs w:val="0"/>
          <w:sz w:val="32"/>
          <w:szCs w:val="32"/>
        </w:rPr>
        <w:t>1户</w:t>
      </w:r>
      <w:r>
        <w:rPr>
          <w:rFonts w:hint="eastAsia" w:ascii="仿宋_GB2312" w:hAnsi="仿宋_GB2312" w:eastAsia="仿宋_GB2312" w:cs="仿宋_GB2312"/>
          <w:b w:val="0"/>
          <w:bCs w:val="0"/>
          <w:color w:val="000000"/>
          <w:sz w:val="32"/>
          <w:szCs w:val="32"/>
        </w:rPr>
        <w:t>建档立卡贫困</w:t>
      </w:r>
      <w:r>
        <w:rPr>
          <w:rFonts w:hint="eastAsia" w:ascii="仿宋_GB2312" w:hAnsi="仿宋_GB2312" w:eastAsia="仿宋_GB2312" w:cs="仿宋_GB2312"/>
          <w:b w:val="0"/>
          <w:bCs w:val="0"/>
          <w:color w:val="000000"/>
          <w:sz w:val="32"/>
          <w:szCs w:val="32"/>
          <w:lang w:eastAsia="zh-CN"/>
        </w:rPr>
        <w:t>人户中</w:t>
      </w:r>
      <w:r>
        <w:rPr>
          <w:rFonts w:hint="eastAsia" w:ascii="仿宋_GB2312" w:hAnsi="仿宋_GB2312" w:eastAsia="仿宋_GB2312" w:cs="仿宋_GB2312"/>
          <w:b w:val="0"/>
          <w:bCs w:val="0"/>
          <w:color w:val="000000"/>
          <w:sz w:val="32"/>
          <w:szCs w:val="32"/>
        </w:rPr>
        <w:t>选聘生态管护员</w:t>
      </w:r>
      <w:r>
        <w:rPr>
          <w:rFonts w:hint="eastAsia" w:ascii="仿宋_GB2312" w:hAnsi="仿宋_GB2312" w:eastAsia="仿宋_GB2312" w:cs="仿宋_GB2312"/>
          <w:b w:val="0"/>
          <w:bCs w:val="0"/>
          <w:color w:val="000000"/>
          <w:sz w:val="32"/>
          <w:szCs w:val="32"/>
          <w:lang w:val="en-US" w:eastAsia="zh-CN"/>
        </w:rPr>
        <w:t>1689</w:t>
      </w:r>
      <w:r>
        <w:rPr>
          <w:rFonts w:hint="eastAsia" w:ascii="仿宋_GB2312" w:hAnsi="仿宋_GB2312" w:eastAsia="仿宋_GB2312" w:cs="仿宋_GB2312"/>
          <w:b w:val="0"/>
          <w:bCs w:val="0"/>
          <w:color w:val="000000"/>
          <w:sz w:val="32"/>
          <w:szCs w:val="32"/>
        </w:rPr>
        <w:t>名。</w:t>
      </w:r>
      <w:r>
        <w:rPr>
          <w:rFonts w:hint="eastAsia" w:ascii="仿宋_GB2312" w:hAnsi="仿宋_GB2312" w:eastAsia="仿宋_GB2312" w:cs="仿宋_GB2312"/>
          <w:b w:val="0"/>
          <w:bCs w:val="0"/>
          <w:color w:val="auto"/>
          <w:sz w:val="32"/>
          <w:szCs w:val="32"/>
        </w:rPr>
        <w:t>生态管护员选</w:t>
      </w:r>
      <w:r>
        <w:rPr>
          <w:rFonts w:hint="eastAsia" w:ascii="仿宋_GB2312" w:hAnsi="仿宋_GB2312" w:eastAsia="仿宋_GB2312" w:cs="仿宋_GB2312"/>
          <w:b w:val="0"/>
          <w:bCs w:val="0"/>
          <w:color w:val="auto"/>
          <w:sz w:val="32"/>
          <w:szCs w:val="32"/>
          <w:lang w:eastAsia="zh-CN"/>
        </w:rPr>
        <w:t>（续）</w:t>
      </w:r>
      <w:r>
        <w:rPr>
          <w:rFonts w:hint="eastAsia" w:ascii="仿宋_GB2312" w:hAnsi="仿宋_GB2312" w:eastAsia="仿宋_GB2312" w:cs="仿宋_GB2312"/>
          <w:b w:val="0"/>
          <w:bCs w:val="0"/>
          <w:color w:val="auto"/>
          <w:sz w:val="32"/>
          <w:szCs w:val="32"/>
        </w:rPr>
        <w:t>聘</w:t>
      </w:r>
      <w:r>
        <w:rPr>
          <w:rFonts w:hint="eastAsia" w:ascii="仿宋_GB2312" w:hAnsi="仿宋_GB2312" w:eastAsia="仿宋_GB2312" w:cs="仿宋_GB2312"/>
          <w:b w:val="0"/>
          <w:bCs w:val="0"/>
          <w:color w:val="auto"/>
          <w:sz w:val="32"/>
          <w:szCs w:val="32"/>
          <w:lang w:eastAsia="zh-CN"/>
        </w:rPr>
        <w:t>坚持自愿、公开、公正持续和统一管理的原则，</w:t>
      </w:r>
      <w:r>
        <w:rPr>
          <w:rStyle w:val="26"/>
          <w:rFonts w:hint="eastAsia" w:ascii="仿宋_GB2312" w:hAnsi="仿宋_GB2312" w:eastAsia="仿宋_GB2312" w:cs="仿宋_GB2312"/>
          <w:b w:val="0"/>
          <w:bCs w:val="0"/>
          <w:color w:val="auto"/>
          <w:spacing w:val="-6"/>
          <w:sz w:val="32"/>
          <w:szCs w:val="32"/>
          <w:lang w:eastAsia="zh-CN"/>
        </w:rPr>
        <w:t>生态管护员</w:t>
      </w:r>
      <w:r>
        <w:rPr>
          <w:rStyle w:val="26"/>
          <w:rFonts w:hint="eastAsia" w:ascii="仿宋_GB2312" w:hAnsi="仿宋_GB2312" w:eastAsia="仿宋_GB2312" w:cs="仿宋_GB2312"/>
          <w:b w:val="0"/>
          <w:bCs w:val="0"/>
          <w:color w:val="auto"/>
          <w:spacing w:val="-6"/>
          <w:sz w:val="32"/>
          <w:szCs w:val="32"/>
        </w:rPr>
        <w:t>实行一年一聘，动态管理</w:t>
      </w:r>
      <w:r>
        <w:rPr>
          <w:rStyle w:val="26"/>
          <w:rFonts w:hint="eastAsia" w:ascii="仿宋_GB2312" w:hAnsi="仿宋_GB2312" w:eastAsia="仿宋_GB2312" w:cs="仿宋_GB2312"/>
          <w:b w:val="0"/>
          <w:bCs w:val="0"/>
          <w:color w:val="auto"/>
          <w:spacing w:val="-6"/>
          <w:sz w:val="32"/>
          <w:szCs w:val="32"/>
          <w:lang w:eastAsia="zh-CN"/>
        </w:rPr>
        <w:t>。</w:t>
      </w:r>
      <w:r>
        <w:rPr>
          <w:rStyle w:val="26"/>
          <w:rFonts w:hint="eastAsia" w:ascii="仿宋_GB2312" w:hAnsi="仿宋_GB2312" w:eastAsia="仿宋_GB2312" w:cs="仿宋_GB2312"/>
          <w:b w:val="0"/>
          <w:bCs w:val="0"/>
          <w:color w:val="auto"/>
          <w:spacing w:val="-6"/>
          <w:sz w:val="32"/>
          <w:szCs w:val="32"/>
        </w:rPr>
        <w:t>各村应</w:t>
      </w:r>
      <w:r>
        <w:rPr>
          <w:rStyle w:val="26"/>
          <w:rFonts w:hint="eastAsia" w:ascii="仿宋_GB2312" w:hAnsi="仿宋_GB2312" w:eastAsia="仿宋_GB2312" w:cs="仿宋_GB2312"/>
          <w:b w:val="0"/>
          <w:bCs w:val="0"/>
          <w:color w:val="auto"/>
          <w:spacing w:val="-6"/>
          <w:sz w:val="32"/>
          <w:szCs w:val="32"/>
          <w:lang w:eastAsia="zh-CN"/>
        </w:rPr>
        <w:t>至少</w:t>
      </w:r>
      <w:r>
        <w:rPr>
          <w:rStyle w:val="26"/>
          <w:rFonts w:hint="eastAsia" w:ascii="仿宋_GB2312" w:hAnsi="仿宋_GB2312" w:eastAsia="仿宋_GB2312" w:cs="仿宋_GB2312"/>
          <w:b w:val="0"/>
          <w:bCs w:val="0"/>
          <w:color w:val="auto"/>
          <w:spacing w:val="-6"/>
          <w:sz w:val="32"/>
          <w:szCs w:val="32"/>
        </w:rPr>
        <w:t>选聘一名专职生态管护员。</w:t>
      </w:r>
    </w:p>
    <w:p w14:paraId="60277D6C">
      <w:pPr>
        <w:pStyle w:val="9"/>
        <w:keepNext w:val="0"/>
        <w:keepLines w:val="0"/>
        <w:pageBreakBefore w:val="0"/>
        <w:numPr>
          <w:ilvl w:val="0"/>
          <w:numId w:val="4"/>
        </w:numPr>
        <w:shd w:val="clear" w:color="auto" w:fill="auto"/>
        <w:kinsoku/>
        <w:wordWrap/>
        <w:overflowPunct/>
        <w:topLinePunct w:val="0"/>
        <w:autoSpaceDE/>
        <w:autoSpaceDN/>
        <w:bidi w:val="0"/>
        <w:adjustRightInd w:val="0"/>
        <w:snapToGrid/>
        <w:spacing w:line="550" w:lineRule="exact"/>
        <w:ind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项目管理情况。</w:t>
      </w:r>
    </w:p>
    <w:p w14:paraId="1A01FFB4">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line="550" w:lineRule="exact"/>
        <w:ind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color w:val="auto"/>
          <w:sz w:val="32"/>
          <w:szCs w:val="32"/>
          <w:lang w:val="en-US" w:eastAsia="zh-CN"/>
        </w:rPr>
        <w:t>阿坝州生态公益性岗位管理办法（试行），</w:t>
      </w:r>
      <w:r>
        <w:rPr>
          <w:rFonts w:hint="eastAsia" w:ascii="仿宋_GB2312" w:hAnsi="仿宋_GB2312" w:eastAsia="仿宋_GB2312" w:cs="仿宋_GB2312"/>
          <w:b w:val="0"/>
          <w:bCs w:val="0"/>
          <w:color w:val="auto"/>
          <w:sz w:val="32"/>
          <w:szCs w:val="32"/>
        </w:rPr>
        <w:t>按照动态管理、按需设岗、以岗聘任、在岗领补、有序退岗的管理机制</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kern w:val="0"/>
          <w:sz w:val="32"/>
          <w:szCs w:val="32"/>
        </w:rPr>
        <w:t>县林草局</w:t>
      </w:r>
      <w:r>
        <w:rPr>
          <w:rFonts w:hint="eastAsia" w:ascii="仿宋_GB2312" w:hAnsi="仿宋_GB2312" w:eastAsia="仿宋_GB2312" w:cs="仿宋_GB2312"/>
          <w:b w:val="0"/>
          <w:bCs w:val="0"/>
          <w:color w:val="auto"/>
          <w:kern w:val="0"/>
          <w:sz w:val="32"/>
          <w:szCs w:val="32"/>
          <w:lang w:eastAsia="zh-CN"/>
        </w:rPr>
        <w:t>和</w:t>
      </w:r>
      <w:r>
        <w:rPr>
          <w:rFonts w:hint="eastAsia" w:ascii="仿宋_GB2312" w:hAnsi="仿宋_GB2312" w:eastAsia="仿宋_GB2312" w:cs="仿宋_GB2312"/>
          <w:b w:val="0"/>
          <w:bCs w:val="0"/>
          <w:color w:val="auto"/>
          <w:kern w:val="0"/>
          <w:sz w:val="32"/>
          <w:szCs w:val="32"/>
          <w:lang w:val="en-US" w:eastAsia="zh-CN"/>
        </w:rPr>
        <w:t>县</w:t>
      </w:r>
      <w:r>
        <w:rPr>
          <w:rFonts w:hint="eastAsia" w:ascii="仿宋_GB2312" w:hAnsi="仿宋_GB2312" w:eastAsia="仿宋_GB2312" w:cs="仿宋_GB2312"/>
          <w:b w:val="0"/>
          <w:bCs w:val="0"/>
          <w:color w:val="auto"/>
          <w:kern w:val="0"/>
          <w:sz w:val="32"/>
          <w:szCs w:val="32"/>
          <w:lang w:eastAsia="zh-CN"/>
        </w:rPr>
        <w:t>水务局</w:t>
      </w:r>
      <w:r>
        <w:rPr>
          <w:rFonts w:hint="eastAsia" w:ascii="仿宋_GB2312" w:hAnsi="仿宋_GB2312" w:eastAsia="仿宋_GB2312" w:cs="仿宋_GB2312"/>
          <w:b w:val="0"/>
          <w:bCs w:val="0"/>
          <w:color w:val="auto"/>
          <w:kern w:val="0"/>
          <w:sz w:val="32"/>
          <w:szCs w:val="32"/>
        </w:rPr>
        <w:t>指导、监督生态管护员的选聘及管理，</w:t>
      </w:r>
      <w:r>
        <w:rPr>
          <w:rFonts w:hint="eastAsia" w:ascii="仿宋_GB2312" w:hAnsi="仿宋_GB2312" w:eastAsia="仿宋_GB2312" w:cs="仿宋_GB2312"/>
          <w:b w:val="0"/>
          <w:bCs w:val="0"/>
          <w:color w:val="auto"/>
          <w:kern w:val="0"/>
          <w:sz w:val="32"/>
          <w:szCs w:val="32"/>
          <w:lang w:eastAsia="zh-CN"/>
        </w:rPr>
        <w:t>乡镇人民政府</w:t>
      </w:r>
      <w:r>
        <w:rPr>
          <w:rFonts w:hint="eastAsia" w:ascii="仿宋_GB2312" w:hAnsi="仿宋_GB2312" w:eastAsia="仿宋_GB2312" w:cs="仿宋_GB2312"/>
          <w:b w:val="0"/>
          <w:bCs w:val="0"/>
          <w:color w:val="auto"/>
          <w:kern w:val="0"/>
          <w:sz w:val="32"/>
          <w:szCs w:val="32"/>
        </w:rPr>
        <w:t>及时更新上报生态</w:t>
      </w:r>
      <w:r>
        <w:rPr>
          <w:rFonts w:hint="eastAsia" w:ascii="仿宋_GB2312" w:hAnsi="仿宋_GB2312" w:eastAsia="仿宋_GB2312" w:cs="仿宋_GB2312"/>
          <w:b w:val="0"/>
          <w:bCs w:val="0"/>
          <w:color w:val="auto"/>
          <w:kern w:val="0"/>
          <w:sz w:val="32"/>
          <w:szCs w:val="32"/>
          <w:lang w:eastAsia="zh-CN"/>
        </w:rPr>
        <w:t>管护</w:t>
      </w:r>
      <w:r>
        <w:rPr>
          <w:rFonts w:hint="eastAsia" w:ascii="仿宋_GB2312" w:hAnsi="仿宋_GB2312" w:eastAsia="仿宋_GB2312" w:cs="仿宋_GB2312"/>
          <w:b w:val="0"/>
          <w:bCs w:val="0"/>
          <w:color w:val="auto"/>
          <w:kern w:val="0"/>
          <w:sz w:val="32"/>
          <w:szCs w:val="32"/>
        </w:rPr>
        <w:t>员动态变化情况，组织生态管护员按照管护劳务协议开展业务工作，加强生态</w:t>
      </w:r>
      <w:r>
        <w:rPr>
          <w:rFonts w:hint="eastAsia" w:ascii="仿宋_GB2312" w:hAnsi="仿宋_GB2312" w:eastAsia="仿宋_GB2312" w:cs="仿宋_GB2312"/>
          <w:b w:val="0"/>
          <w:bCs w:val="0"/>
          <w:color w:val="auto"/>
          <w:kern w:val="0"/>
          <w:sz w:val="32"/>
          <w:szCs w:val="32"/>
          <w:lang w:eastAsia="zh-CN"/>
        </w:rPr>
        <w:t>管护</w:t>
      </w:r>
      <w:r>
        <w:rPr>
          <w:rFonts w:hint="eastAsia" w:ascii="仿宋_GB2312" w:hAnsi="仿宋_GB2312" w:eastAsia="仿宋_GB2312" w:cs="仿宋_GB2312"/>
          <w:b w:val="0"/>
          <w:bCs w:val="0"/>
          <w:color w:val="auto"/>
          <w:kern w:val="0"/>
          <w:sz w:val="32"/>
          <w:szCs w:val="32"/>
        </w:rPr>
        <w:t>员日常管理。</w:t>
      </w:r>
    </w:p>
    <w:p w14:paraId="2A576551">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spacing w:line="55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highlight w:val="none"/>
          <w:u w:val="none"/>
          <w:lang w:val="zh-CN"/>
        </w:rPr>
        <w:t>（三）项目监管情况。</w:t>
      </w:r>
      <w:r>
        <w:rPr>
          <w:rFonts w:hint="eastAsia" w:ascii="仿宋_GB2312" w:hAnsi="仿宋_GB2312" w:eastAsia="仿宋_GB2312" w:cs="仿宋_GB2312"/>
          <w:b w:val="0"/>
          <w:bCs w:val="0"/>
          <w:color w:val="auto"/>
          <w:sz w:val="32"/>
          <w:szCs w:val="32"/>
        </w:rPr>
        <w:t>生态管护公益性岗位</w:t>
      </w:r>
      <w:r>
        <w:rPr>
          <w:rFonts w:hint="eastAsia" w:ascii="仿宋_GB2312" w:hAnsi="仿宋_GB2312" w:eastAsia="仿宋_GB2312" w:cs="仿宋_GB2312"/>
          <w:b w:val="0"/>
          <w:bCs w:val="0"/>
          <w:color w:val="auto"/>
          <w:sz w:val="32"/>
          <w:szCs w:val="32"/>
          <w:lang w:eastAsia="zh-CN"/>
        </w:rPr>
        <w:t>实行</w:t>
      </w:r>
      <w:r>
        <w:rPr>
          <w:rFonts w:hint="eastAsia" w:ascii="仿宋_GB2312" w:hAnsi="仿宋_GB2312" w:eastAsia="仿宋_GB2312" w:cs="仿宋_GB2312"/>
          <w:b w:val="0"/>
          <w:bCs w:val="0"/>
          <w:color w:val="auto"/>
          <w:sz w:val="32"/>
          <w:szCs w:val="32"/>
        </w:rPr>
        <w:t>“县建、乡聘、村用”</w:t>
      </w:r>
      <w:r>
        <w:rPr>
          <w:rFonts w:hint="eastAsia" w:ascii="仿宋_GB2312" w:hAnsi="仿宋_GB2312" w:eastAsia="仿宋_GB2312" w:cs="仿宋_GB2312"/>
          <w:b w:val="0"/>
          <w:bCs w:val="0"/>
          <w:color w:val="auto"/>
          <w:sz w:val="32"/>
          <w:szCs w:val="32"/>
          <w:lang w:eastAsia="zh-CN"/>
        </w:rPr>
        <w:t>和“目标、任务、资金、责任”到县的管理机制</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一是县林草局、</w:t>
      </w:r>
      <w:r>
        <w:rPr>
          <w:rFonts w:hint="eastAsia" w:ascii="仿宋_GB2312" w:hAnsi="仿宋_GB2312" w:eastAsia="仿宋_GB2312" w:cs="仿宋_GB2312"/>
          <w:b w:val="0"/>
          <w:bCs w:val="0"/>
          <w:color w:val="auto"/>
          <w:sz w:val="32"/>
          <w:szCs w:val="32"/>
          <w:lang w:val="en-US" w:eastAsia="zh-CN"/>
        </w:rPr>
        <w:t>县</w:t>
      </w:r>
      <w:r>
        <w:rPr>
          <w:rFonts w:hint="eastAsia" w:ascii="仿宋_GB2312" w:hAnsi="仿宋_GB2312" w:eastAsia="仿宋_GB2312" w:cs="仿宋_GB2312"/>
          <w:b w:val="0"/>
          <w:bCs w:val="0"/>
          <w:color w:val="auto"/>
          <w:sz w:val="32"/>
          <w:szCs w:val="32"/>
          <w:lang w:eastAsia="zh-CN"/>
        </w:rPr>
        <w:t>水务局分别负责制定各自生态公益性岗位管理制度及管理办法，指导乡镇人民政府开展选聘、培训及相关管理工作，会同乡镇人民政府村两委划定管护区域及面积；二是县财政部门负责生态管护员资金管理工作；三是县乡村振兴局负责安置人员身份审定；四是乡镇人民政府负责生态管护员选聘、培训、考核及管理工作。</w:t>
      </w:r>
    </w:p>
    <w:p w14:paraId="38876472">
      <w:pPr>
        <w:keepNext w:val="0"/>
        <w:keepLines w:val="0"/>
        <w:pageBreakBefore w:val="0"/>
        <w:widowControl w:val="0"/>
        <w:shd w:val="clear" w:color="auto" w:fill="auto"/>
        <w:kinsoku/>
        <w:wordWrap/>
        <w:overflowPunct/>
        <w:topLinePunct w:val="0"/>
        <w:autoSpaceDE/>
        <w:autoSpaceDN/>
        <w:bidi w:val="0"/>
        <w:adjustRightInd w:val="0"/>
        <w:snapToGrid w:val="0"/>
        <w:spacing w:line="550" w:lineRule="exact"/>
        <w:ind w:firstLine="608"/>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color w:val="auto"/>
          <w:spacing w:val="-8"/>
          <w:sz w:val="32"/>
          <w:szCs w:val="32"/>
          <w:lang w:val="en-US" w:eastAsia="zh-CN"/>
        </w:rPr>
        <w:t>由</w:t>
      </w:r>
      <w:r>
        <w:rPr>
          <w:rFonts w:hint="eastAsia" w:ascii="仿宋_GB2312" w:hAnsi="仿宋_GB2312" w:eastAsia="仿宋_GB2312" w:cs="仿宋_GB2312"/>
          <w:b w:val="0"/>
          <w:bCs w:val="0"/>
          <w:color w:val="auto"/>
          <w:spacing w:val="-8"/>
          <w:sz w:val="32"/>
          <w:szCs w:val="32"/>
        </w:rPr>
        <w:t>县林草</w:t>
      </w:r>
      <w:r>
        <w:rPr>
          <w:rFonts w:hint="eastAsia" w:ascii="仿宋_GB2312" w:hAnsi="仿宋_GB2312" w:eastAsia="仿宋_GB2312" w:cs="仿宋_GB2312"/>
          <w:b w:val="0"/>
          <w:bCs w:val="0"/>
          <w:color w:val="auto"/>
          <w:spacing w:val="-8"/>
          <w:sz w:val="32"/>
          <w:szCs w:val="32"/>
          <w:lang w:eastAsia="zh-CN"/>
        </w:rPr>
        <w:t>局牵头，会同</w:t>
      </w:r>
      <w:r>
        <w:rPr>
          <w:rFonts w:hint="eastAsia" w:ascii="仿宋_GB2312" w:hAnsi="仿宋_GB2312" w:eastAsia="仿宋_GB2312" w:cs="仿宋_GB2312"/>
          <w:b w:val="0"/>
          <w:bCs w:val="0"/>
          <w:color w:val="auto"/>
          <w:spacing w:val="-8"/>
          <w:sz w:val="32"/>
          <w:szCs w:val="32"/>
        </w:rPr>
        <w:t>县财政</w:t>
      </w:r>
      <w:r>
        <w:rPr>
          <w:rFonts w:hint="eastAsia" w:ascii="仿宋_GB2312" w:hAnsi="仿宋_GB2312" w:eastAsia="仿宋_GB2312" w:cs="仿宋_GB2312"/>
          <w:b w:val="0"/>
          <w:bCs w:val="0"/>
          <w:color w:val="auto"/>
          <w:spacing w:val="-8"/>
          <w:sz w:val="32"/>
          <w:szCs w:val="32"/>
          <w:lang w:eastAsia="zh-CN"/>
        </w:rPr>
        <w:t>局</w:t>
      </w:r>
      <w:r>
        <w:rPr>
          <w:rFonts w:hint="eastAsia" w:ascii="仿宋_GB2312" w:hAnsi="仿宋_GB2312" w:eastAsia="仿宋_GB2312" w:cs="仿宋_GB2312"/>
          <w:b w:val="0"/>
          <w:bCs w:val="0"/>
          <w:color w:val="auto"/>
          <w:spacing w:val="-8"/>
          <w:sz w:val="32"/>
          <w:szCs w:val="32"/>
        </w:rPr>
        <w:t>、县</w:t>
      </w:r>
      <w:r>
        <w:rPr>
          <w:rFonts w:hint="eastAsia" w:ascii="仿宋_GB2312" w:hAnsi="仿宋_GB2312" w:eastAsia="仿宋_GB2312" w:cs="仿宋_GB2312"/>
          <w:b w:val="0"/>
          <w:bCs w:val="0"/>
          <w:color w:val="auto"/>
          <w:spacing w:val="-8"/>
          <w:sz w:val="32"/>
          <w:szCs w:val="32"/>
          <w:lang w:eastAsia="zh-CN"/>
        </w:rPr>
        <w:t>水务局、</w:t>
      </w:r>
      <w:r>
        <w:rPr>
          <w:rFonts w:hint="eastAsia" w:ascii="仿宋_GB2312" w:hAnsi="仿宋_GB2312" w:eastAsia="仿宋_GB2312" w:cs="仿宋_GB2312"/>
          <w:b w:val="0"/>
          <w:bCs w:val="0"/>
          <w:color w:val="auto"/>
          <w:spacing w:val="-8"/>
          <w:sz w:val="32"/>
          <w:szCs w:val="32"/>
          <w:lang w:val="en-US" w:eastAsia="zh-CN"/>
        </w:rPr>
        <w:t>县</w:t>
      </w:r>
      <w:r>
        <w:rPr>
          <w:rFonts w:hint="eastAsia" w:ascii="仿宋_GB2312" w:hAnsi="仿宋_GB2312" w:eastAsia="仿宋_GB2312" w:cs="仿宋_GB2312"/>
          <w:b w:val="0"/>
          <w:bCs w:val="0"/>
          <w:color w:val="auto"/>
          <w:spacing w:val="-8"/>
          <w:sz w:val="32"/>
          <w:szCs w:val="32"/>
        </w:rPr>
        <w:t>乡</w:t>
      </w:r>
      <w:r>
        <w:rPr>
          <w:rFonts w:hint="eastAsia" w:ascii="仿宋_GB2312" w:hAnsi="仿宋_GB2312" w:eastAsia="仿宋_GB2312" w:cs="仿宋_GB2312"/>
          <w:b w:val="0"/>
          <w:bCs w:val="0"/>
          <w:color w:val="auto"/>
          <w:spacing w:val="-8"/>
          <w:sz w:val="32"/>
          <w:szCs w:val="32"/>
          <w:lang w:eastAsia="zh-CN"/>
        </w:rPr>
        <w:t>村</w:t>
      </w:r>
      <w:r>
        <w:rPr>
          <w:rFonts w:hint="eastAsia" w:ascii="仿宋_GB2312" w:hAnsi="仿宋_GB2312" w:eastAsia="仿宋_GB2312" w:cs="仿宋_GB2312"/>
          <w:b w:val="0"/>
          <w:bCs w:val="0"/>
          <w:color w:val="auto"/>
          <w:spacing w:val="-8"/>
          <w:sz w:val="32"/>
          <w:szCs w:val="32"/>
        </w:rPr>
        <w:t>振兴</w:t>
      </w:r>
      <w:r>
        <w:rPr>
          <w:rFonts w:hint="eastAsia" w:ascii="仿宋_GB2312" w:hAnsi="仿宋_GB2312" w:eastAsia="仿宋_GB2312" w:cs="仿宋_GB2312"/>
          <w:b w:val="0"/>
          <w:bCs w:val="0"/>
          <w:color w:val="auto"/>
          <w:spacing w:val="-8"/>
          <w:sz w:val="32"/>
          <w:szCs w:val="32"/>
          <w:lang w:eastAsia="zh-CN"/>
        </w:rPr>
        <w:t>局、</w:t>
      </w:r>
      <w:r>
        <w:rPr>
          <w:rFonts w:hint="eastAsia" w:ascii="仿宋_GB2312" w:hAnsi="仿宋_GB2312" w:eastAsia="仿宋_GB2312" w:cs="仿宋_GB2312"/>
          <w:b w:val="0"/>
          <w:bCs w:val="0"/>
          <w:color w:val="auto"/>
          <w:spacing w:val="-8"/>
          <w:sz w:val="32"/>
          <w:szCs w:val="32"/>
          <w:lang w:val="en-US" w:eastAsia="zh-CN"/>
        </w:rPr>
        <w:t>县</w:t>
      </w:r>
      <w:r>
        <w:rPr>
          <w:rFonts w:hint="eastAsia" w:ascii="仿宋_GB2312" w:hAnsi="仿宋_GB2312" w:eastAsia="仿宋_GB2312" w:cs="仿宋_GB2312"/>
          <w:b w:val="0"/>
          <w:bCs w:val="0"/>
          <w:color w:val="auto"/>
          <w:spacing w:val="-8"/>
          <w:sz w:val="32"/>
          <w:szCs w:val="32"/>
          <w:lang w:eastAsia="zh-CN"/>
        </w:rPr>
        <w:t>就业局</w:t>
      </w:r>
      <w:r>
        <w:rPr>
          <w:rFonts w:hint="eastAsia" w:ascii="仿宋_GB2312" w:hAnsi="仿宋_GB2312" w:eastAsia="仿宋_GB2312" w:cs="仿宋_GB2312"/>
          <w:b w:val="0"/>
          <w:bCs w:val="0"/>
          <w:color w:val="auto"/>
          <w:spacing w:val="-8"/>
          <w:sz w:val="32"/>
          <w:szCs w:val="32"/>
        </w:rPr>
        <w:t>等部门加强组织领导，强化责任担当，落实工作责任</w:t>
      </w:r>
      <w:r>
        <w:rPr>
          <w:rFonts w:hint="eastAsia" w:ascii="仿宋_GB2312" w:hAnsi="仿宋_GB2312" w:eastAsia="仿宋_GB2312" w:cs="仿宋_GB2312"/>
          <w:b w:val="0"/>
          <w:bCs w:val="0"/>
          <w:color w:val="auto"/>
          <w:spacing w:val="-8"/>
          <w:sz w:val="32"/>
          <w:szCs w:val="32"/>
          <w:lang w:eastAsia="zh-CN"/>
        </w:rPr>
        <w:t>；</w:t>
      </w:r>
      <w:r>
        <w:rPr>
          <w:rFonts w:hint="eastAsia" w:ascii="仿宋_GB2312" w:hAnsi="仿宋_GB2312" w:eastAsia="仿宋_GB2312" w:cs="仿宋_GB2312"/>
          <w:b w:val="0"/>
          <w:bCs w:val="0"/>
          <w:color w:val="auto"/>
          <w:spacing w:val="-8"/>
          <w:sz w:val="32"/>
          <w:szCs w:val="32"/>
          <w:lang w:val="en-US" w:eastAsia="zh-CN"/>
        </w:rPr>
        <w:t>各</w:t>
      </w:r>
      <w:r>
        <w:rPr>
          <w:rFonts w:hint="eastAsia" w:ascii="仿宋_GB2312" w:hAnsi="仿宋_GB2312" w:eastAsia="仿宋_GB2312" w:cs="仿宋_GB2312"/>
          <w:b w:val="0"/>
          <w:bCs w:val="0"/>
          <w:color w:val="auto"/>
          <w:spacing w:val="-8"/>
          <w:sz w:val="32"/>
          <w:szCs w:val="32"/>
        </w:rPr>
        <w:t>乡镇人民政府要高度重视生态管护员选聘工作，各尽其责，密切协作，有力有序推进202</w:t>
      </w:r>
      <w:r>
        <w:rPr>
          <w:rFonts w:hint="eastAsia" w:ascii="仿宋_GB2312" w:hAnsi="仿宋_GB2312" w:eastAsia="仿宋_GB2312" w:cs="仿宋_GB2312"/>
          <w:b w:val="0"/>
          <w:bCs w:val="0"/>
          <w:color w:val="auto"/>
          <w:spacing w:val="-8"/>
          <w:sz w:val="32"/>
          <w:szCs w:val="32"/>
          <w:lang w:val="en-US" w:eastAsia="zh-CN"/>
        </w:rPr>
        <w:t>2</w:t>
      </w:r>
      <w:r>
        <w:rPr>
          <w:rFonts w:hint="eastAsia" w:ascii="仿宋_GB2312" w:hAnsi="仿宋_GB2312" w:eastAsia="仿宋_GB2312" w:cs="仿宋_GB2312"/>
          <w:b w:val="0"/>
          <w:bCs w:val="0"/>
          <w:color w:val="auto"/>
          <w:spacing w:val="-8"/>
          <w:sz w:val="32"/>
          <w:szCs w:val="32"/>
        </w:rPr>
        <w:t>年度生态管护员的选聘工作</w:t>
      </w:r>
      <w:r>
        <w:rPr>
          <w:rFonts w:hint="eastAsia" w:ascii="仿宋_GB2312" w:hAnsi="仿宋_GB2312" w:eastAsia="仿宋_GB2312" w:cs="仿宋_GB2312"/>
          <w:b w:val="0"/>
          <w:bCs w:val="0"/>
          <w:color w:val="auto"/>
          <w:spacing w:val="-8"/>
          <w:sz w:val="32"/>
          <w:szCs w:val="32"/>
          <w:lang w:eastAsia="zh-CN"/>
        </w:rPr>
        <w:t>。</w:t>
      </w:r>
      <w:r>
        <w:rPr>
          <w:rFonts w:hint="eastAsia" w:ascii="仿宋_GB2312" w:hAnsi="仿宋_GB2312" w:eastAsia="仿宋_GB2312" w:cs="仿宋_GB2312"/>
          <w:b w:val="0"/>
          <w:bCs w:val="0"/>
          <w:color w:val="auto"/>
          <w:spacing w:val="0"/>
          <w:sz w:val="32"/>
          <w:szCs w:val="32"/>
          <w:lang w:eastAsia="zh-CN"/>
        </w:rPr>
        <w:t>按照资金管理相关政策规定，县林草局负责生态管护员资金使用管理工作，</w:t>
      </w:r>
      <w:r>
        <w:rPr>
          <w:rFonts w:hint="eastAsia" w:ascii="仿宋_GB2312" w:hAnsi="仿宋_GB2312" w:eastAsia="仿宋_GB2312" w:cs="仿宋_GB2312"/>
          <w:b w:val="0"/>
          <w:bCs w:val="0"/>
          <w:color w:val="auto"/>
          <w:spacing w:val="0"/>
          <w:sz w:val="32"/>
          <w:szCs w:val="32"/>
        </w:rPr>
        <w:t>县财政局负责</w:t>
      </w:r>
      <w:r>
        <w:rPr>
          <w:rFonts w:hint="eastAsia" w:ascii="仿宋_GB2312" w:hAnsi="仿宋_GB2312" w:eastAsia="仿宋_GB2312" w:cs="仿宋_GB2312"/>
          <w:b w:val="0"/>
          <w:bCs w:val="0"/>
          <w:color w:val="auto"/>
          <w:spacing w:val="0"/>
          <w:sz w:val="32"/>
          <w:szCs w:val="32"/>
          <w:lang w:eastAsia="zh-CN"/>
        </w:rPr>
        <w:t>资</w:t>
      </w:r>
      <w:r>
        <w:rPr>
          <w:rFonts w:hint="eastAsia" w:ascii="仿宋_GB2312" w:hAnsi="仿宋_GB2312" w:eastAsia="仿宋_GB2312" w:cs="仿宋_GB2312"/>
          <w:b w:val="0"/>
          <w:bCs w:val="0"/>
          <w:color w:val="auto"/>
          <w:spacing w:val="0"/>
          <w:sz w:val="32"/>
          <w:szCs w:val="32"/>
        </w:rPr>
        <w:t>金</w:t>
      </w:r>
      <w:r>
        <w:rPr>
          <w:rFonts w:hint="eastAsia" w:ascii="仿宋_GB2312" w:hAnsi="仿宋_GB2312" w:eastAsia="仿宋_GB2312" w:cs="仿宋_GB2312"/>
          <w:b w:val="0"/>
          <w:bCs w:val="0"/>
          <w:color w:val="auto"/>
          <w:spacing w:val="0"/>
          <w:sz w:val="32"/>
          <w:szCs w:val="32"/>
          <w:lang w:eastAsia="zh-CN"/>
        </w:rPr>
        <w:t>监管</w:t>
      </w:r>
      <w:r>
        <w:rPr>
          <w:rFonts w:hint="eastAsia" w:ascii="仿宋_GB2312" w:hAnsi="仿宋_GB2312" w:eastAsia="仿宋_GB2312" w:cs="仿宋_GB2312"/>
          <w:b w:val="0"/>
          <w:bCs w:val="0"/>
          <w:color w:val="auto"/>
          <w:spacing w:val="0"/>
          <w:sz w:val="32"/>
          <w:szCs w:val="32"/>
        </w:rPr>
        <w:t>工作，</w:t>
      </w:r>
      <w:r>
        <w:rPr>
          <w:rFonts w:hint="eastAsia" w:ascii="仿宋_GB2312" w:hAnsi="仿宋_GB2312" w:eastAsia="仿宋_GB2312" w:cs="仿宋_GB2312"/>
          <w:b w:val="0"/>
          <w:bCs w:val="0"/>
          <w:color w:val="auto"/>
          <w:spacing w:val="0"/>
          <w:sz w:val="32"/>
          <w:szCs w:val="32"/>
          <w:lang w:val="en-US" w:eastAsia="zh-CN"/>
        </w:rPr>
        <w:t>各</w:t>
      </w:r>
      <w:r>
        <w:rPr>
          <w:rFonts w:hint="eastAsia" w:ascii="仿宋_GB2312" w:hAnsi="仿宋_GB2312" w:eastAsia="仿宋_GB2312" w:cs="仿宋_GB2312"/>
          <w:b w:val="0"/>
          <w:bCs w:val="0"/>
          <w:color w:val="auto"/>
          <w:spacing w:val="0"/>
          <w:sz w:val="32"/>
          <w:szCs w:val="32"/>
        </w:rPr>
        <w:t>乡镇人民政府</w:t>
      </w:r>
      <w:r>
        <w:rPr>
          <w:rFonts w:hint="eastAsia" w:ascii="仿宋_GB2312" w:hAnsi="仿宋_GB2312" w:eastAsia="仿宋_GB2312" w:cs="仿宋_GB2312"/>
          <w:b w:val="0"/>
          <w:bCs w:val="0"/>
          <w:color w:val="auto"/>
          <w:spacing w:val="0"/>
          <w:sz w:val="32"/>
          <w:szCs w:val="32"/>
          <w:lang w:eastAsia="zh-CN"/>
        </w:rPr>
        <w:t>及村两委</w:t>
      </w:r>
      <w:r>
        <w:rPr>
          <w:rFonts w:hint="eastAsia" w:ascii="仿宋_GB2312" w:hAnsi="仿宋_GB2312" w:eastAsia="仿宋_GB2312" w:cs="仿宋_GB2312"/>
          <w:b w:val="0"/>
          <w:bCs w:val="0"/>
          <w:color w:val="auto"/>
          <w:spacing w:val="0"/>
          <w:sz w:val="32"/>
          <w:szCs w:val="32"/>
        </w:rPr>
        <w:t>负责生态</w:t>
      </w:r>
      <w:r>
        <w:rPr>
          <w:rFonts w:hint="eastAsia" w:ascii="仿宋_GB2312" w:hAnsi="仿宋_GB2312" w:eastAsia="仿宋_GB2312" w:cs="仿宋_GB2312"/>
          <w:b w:val="0"/>
          <w:bCs w:val="0"/>
          <w:color w:val="auto"/>
          <w:spacing w:val="0"/>
          <w:sz w:val="32"/>
          <w:szCs w:val="32"/>
          <w:lang w:eastAsia="zh-CN"/>
        </w:rPr>
        <w:t>管</w:t>
      </w:r>
      <w:r>
        <w:rPr>
          <w:rFonts w:hint="eastAsia" w:ascii="仿宋_GB2312" w:hAnsi="仿宋_GB2312" w:eastAsia="仿宋_GB2312" w:cs="仿宋_GB2312"/>
          <w:b w:val="0"/>
          <w:bCs w:val="0"/>
          <w:color w:val="auto"/>
          <w:spacing w:val="0"/>
          <w:sz w:val="32"/>
          <w:szCs w:val="32"/>
        </w:rPr>
        <w:t>护</w:t>
      </w:r>
      <w:r>
        <w:rPr>
          <w:rFonts w:hint="eastAsia" w:ascii="仿宋_GB2312" w:hAnsi="仿宋_GB2312" w:eastAsia="仿宋_GB2312" w:cs="仿宋_GB2312"/>
          <w:b w:val="0"/>
          <w:bCs w:val="0"/>
          <w:color w:val="auto"/>
          <w:spacing w:val="0"/>
          <w:sz w:val="32"/>
          <w:szCs w:val="32"/>
          <w:lang w:eastAsia="zh-CN"/>
        </w:rPr>
        <w:t>员</w:t>
      </w:r>
      <w:r>
        <w:rPr>
          <w:rFonts w:hint="eastAsia" w:ascii="仿宋_GB2312" w:hAnsi="仿宋_GB2312" w:eastAsia="仿宋_GB2312" w:cs="仿宋_GB2312"/>
          <w:b w:val="0"/>
          <w:bCs w:val="0"/>
          <w:color w:val="auto"/>
          <w:spacing w:val="0"/>
          <w:sz w:val="32"/>
          <w:szCs w:val="32"/>
        </w:rPr>
        <w:t>考核及管理工作</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生态</w:t>
      </w:r>
      <w:r>
        <w:rPr>
          <w:rFonts w:hint="eastAsia" w:ascii="仿宋_GB2312" w:hAnsi="仿宋_GB2312" w:eastAsia="仿宋_GB2312" w:cs="仿宋_GB2312"/>
          <w:b w:val="0"/>
          <w:bCs w:val="0"/>
          <w:color w:val="auto"/>
          <w:spacing w:val="0"/>
          <w:sz w:val="32"/>
          <w:szCs w:val="32"/>
          <w:lang w:eastAsia="zh-CN"/>
        </w:rPr>
        <w:t>管</w:t>
      </w:r>
      <w:r>
        <w:rPr>
          <w:rFonts w:hint="eastAsia" w:ascii="仿宋_GB2312" w:hAnsi="仿宋_GB2312" w:eastAsia="仿宋_GB2312" w:cs="仿宋_GB2312"/>
          <w:b w:val="0"/>
          <w:bCs w:val="0"/>
          <w:color w:val="auto"/>
          <w:spacing w:val="0"/>
          <w:sz w:val="32"/>
          <w:szCs w:val="32"/>
        </w:rPr>
        <w:t>护</w:t>
      </w:r>
      <w:r>
        <w:rPr>
          <w:rFonts w:hint="eastAsia" w:ascii="仿宋_GB2312" w:hAnsi="仿宋_GB2312" w:eastAsia="仿宋_GB2312" w:cs="仿宋_GB2312"/>
          <w:b w:val="0"/>
          <w:bCs w:val="0"/>
          <w:color w:val="auto"/>
          <w:spacing w:val="0"/>
          <w:sz w:val="32"/>
          <w:szCs w:val="32"/>
          <w:lang w:eastAsia="zh-CN"/>
        </w:rPr>
        <w:t>员</w:t>
      </w:r>
      <w:r>
        <w:rPr>
          <w:rFonts w:hint="eastAsia" w:ascii="仿宋_GB2312" w:hAnsi="仿宋_GB2312" w:eastAsia="仿宋_GB2312" w:cs="仿宋_GB2312"/>
          <w:b w:val="0"/>
          <w:bCs w:val="0"/>
          <w:color w:val="auto"/>
          <w:spacing w:val="0"/>
          <w:sz w:val="32"/>
          <w:szCs w:val="32"/>
        </w:rPr>
        <w:t>管护劳务</w:t>
      </w:r>
      <w:r>
        <w:rPr>
          <w:rFonts w:hint="eastAsia" w:ascii="仿宋_GB2312" w:hAnsi="仿宋_GB2312" w:eastAsia="仿宋_GB2312" w:cs="仿宋_GB2312"/>
          <w:b w:val="0"/>
          <w:bCs w:val="0"/>
          <w:color w:val="auto"/>
          <w:spacing w:val="0"/>
          <w:sz w:val="32"/>
          <w:szCs w:val="32"/>
          <w:lang w:eastAsia="zh-CN"/>
        </w:rPr>
        <w:t>补助</w:t>
      </w:r>
      <w:r>
        <w:rPr>
          <w:rFonts w:hint="eastAsia" w:ascii="仿宋_GB2312" w:hAnsi="仿宋_GB2312" w:eastAsia="仿宋_GB2312" w:cs="仿宋_GB2312"/>
          <w:b w:val="0"/>
          <w:bCs w:val="0"/>
          <w:color w:val="auto"/>
          <w:spacing w:val="0"/>
          <w:sz w:val="32"/>
          <w:szCs w:val="32"/>
        </w:rPr>
        <w:t>由县林草局</w:t>
      </w:r>
      <w:r>
        <w:rPr>
          <w:rFonts w:hint="eastAsia" w:ascii="仿宋_GB2312" w:hAnsi="仿宋_GB2312" w:eastAsia="仿宋_GB2312" w:cs="仿宋_GB2312"/>
          <w:b w:val="0"/>
          <w:bCs w:val="0"/>
          <w:color w:val="auto"/>
          <w:spacing w:val="0"/>
          <w:sz w:val="32"/>
          <w:szCs w:val="32"/>
          <w:lang w:eastAsia="zh-CN"/>
        </w:rPr>
        <w:t>和县水务局</w:t>
      </w:r>
      <w:r>
        <w:rPr>
          <w:rFonts w:hint="eastAsia" w:ascii="仿宋_GB2312" w:hAnsi="仿宋_GB2312" w:eastAsia="仿宋_GB2312" w:cs="仿宋_GB2312"/>
          <w:b w:val="0"/>
          <w:bCs w:val="0"/>
          <w:color w:val="auto"/>
          <w:spacing w:val="0"/>
          <w:sz w:val="32"/>
          <w:szCs w:val="32"/>
        </w:rPr>
        <w:t>根据考核结果及时支付到人。</w:t>
      </w:r>
    </w:p>
    <w:p w14:paraId="436AA778">
      <w:pPr>
        <w:keepNext w:val="0"/>
        <w:keepLines w:val="0"/>
        <w:pageBreakBefore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color w:val="auto"/>
          <w:sz w:val="32"/>
          <w:szCs w:val="32"/>
          <w:highlight w:val="none"/>
          <w:u w:val="none"/>
          <w:lang w:val="zh-CN"/>
        </w:rPr>
      </w:pPr>
      <w:r>
        <w:rPr>
          <w:rFonts w:hint="eastAsia" w:ascii="仿宋_GB2312" w:hAnsi="仿宋_GB2312" w:eastAsia="仿宋_GB2312" w:cs="仿宋_GB2312"/>
          <w:b w:val="0"/>
          <w:bCs w:val="0"/>
          <w:color w:val="auto"/>
          <w:sz w:val="32"/>
          <w:szCs w:val="32"/>
          <w:highlight w:val="none"/>
          <w:u w:val="none"/>
        </w:rPr>
        <w:t>四、项目绩效情况</w:t>
      </w:r>
      <w:r>
        <w:rPr>
          <w:rFonts w:hint="eastAsia" w:ascii="仿宋_GB2312" w:hAnsi="仿宋_GB2312" w:eastAsia="仿宋_GB2312" w:cs="仿宋_GB2312"/>
          <w:b w:val="0"/>
          <w:bCs w:val="0"/>
          <w:color w:val="auto"/>
          <w:sz w:val="32"/>
          <w:szCs w:val="32"/>
          <w:highlight w:val="none"/>
          <w:u w:val="none"/>
          <w:lang w:val="zh-CN"/>
        </w:rPr>
        <w:tab/>
      </w:r>
    </w:p>
    <w:p w14:paraId="1FDE99F7">
      <w:pPr>
        <w:keepNext w:val="0"/>
        <w:keepLines w:val="0"/>
        <w:pageBreakBefore w:val="0"/>
        <w:widowControl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（一）项目完成情况。</w:t>
      </w:r>
    </w:p>
    <w:p w14:paraId="55FB28B7">
      <w:pPr>
        <w:keepNext w:val="0"/>
        <w:keepLines w:val="0"/>
        <w:pageBreakBefore w:val="0"/>
        <w:widowControl w:val="0"/>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color w:val="000000"/>
          <w:kern w:val="2"/>
          <w:sz w:val="32"/>
          <w:szCs w:val="32"/>
          <w:lang w:val="en-US" w:eastAsia="zh-CN" w:bidi="ar-SA"/>
        </w:rPr>
        <w:t>2022年，</w:t>
      </w:r>
      <w:r>
        <w:rPr>
          <w:rFonts w:hint="eastAsia" w:ascii="仿宋_GB2312" w:hAnsi="仿宋_GB2312" w:eastAsia="仿宋_GB2312" w:cs="仿宋_GB2312"/>
          <w:b w:val="0"/>
          <w:bCs w:val="0"/>
          <w:color w:val="000000"/>
          <w:sz w:val="32"/>
          <w:szCs w:val="32"/>
        </w:rPr>
        <w:t>在全县</w:t>
      </w:r>
      <w:r>
        <w:rPr>
          <w:rFonts w:hint="eastAsia" w:ascii="仿宋_GB2312" w:hAnsi="仿宋_GB2312" w:eastAsia="仿宋_GB2312" w:cs="仿宋_GB2312"/>
          <w:b w:val="0"/>
          <w:bCs w:val="0"/>
          <w:color w:val="000000"/>
          <w:sz w:val="32"/>
          <w:szCs w:val="32"/>
          <w:lang w:val="en-US" w:eastAsia="zh-CN"/>
        </w:rPr>
        <w:t>17个乡镇</w:t>
      </w:r>
      <w:r>
        <w:rPr>
          <w:rFonts w:hint="eastAsia" w:ascii="仿宋_GB2312" w:hAnsi="仿宋_GB2312" w:eastAsia="仿宋_GB2312" w:cs="仿宋_GB2312"/>
          <w:b w:val="0"/>
          <w:bCs w:val="0"/>
          <w:sz w:val="32"/>
          <w:szCs w:val="32"/>
          <w:lang w:val="en-US" w:eastAsia="zh-CN"/>
        </w:rPr>
        <w:t>122个行政村</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选聘</w:t>
      </w:r>
      <w:r>
        <w:rPr>
          <w:rFonts w:hint="eastAsia" w:ascii="仿宋_GB2312" w:hAnsi="仿宋_GB2312" w:eastAsia="仿宋_GB2312" w:cs="仿宋_GB2312"/>
          <w:b w:val="0"/>
          <w:bCs w:val="0"/>
          <w:color w:val="000000"/>
          <w:sz w:val="32"/>
          <w:szCs w:val="32"/>
          <w:lang w:eastAsia="zh-CN"/>
        </w:rPr>
        <w:t>符合条件的</w:t>
      </w:r>
      <w:r>
        <w:rPr>
          <w:rFonts w:hint="eastAsia" w:ascii="仿宋_GB2312" w:hAnsi="仿宋_GB2312" w:eastAsia="仿宋_GB2312" w:cs="仿宋_GB2312"/>
          <w:b w:val="0"/>
          <w:bCs w:val="0"/>
          <w:color w:val="000000"/>
          <w:sz w:val="32"/>
          <w:szCs w:val="32"/>
        </w:rPr>
        <w:t>生态管护员</w:t>
      </w:r>
      <w:r>
        <w:rPr>
          <w:rFonts w:hint="eastAsia" w:ascii="仿宋_GB2312" w:hAnsi="仿宋_GB2312" w:eastAsia="仿宋_GB2312" w:cs="仿宋_GB2312"/>
          <w:b w:val="0"/>
          <w:bCs w:val="0"/>
          <w:color w:val="000000"/>
          <w:sz w:val="32"/>
          <w:szCs w:val="32"/>
          <w:lang w:val="en-US" w:eastAsia="zh-CN"/>
        </w:rPr>
        <w:t>1689人</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sz w:val="32"/>
          <w:szCs w:val="32"/>
          <w:lang w:val="en-US" w:eastAsia="zh-CN"/>
        </w:rPr>
        <w:t>劳务费2022年12月底已兑付完成。使贫困人口农牧民每户年收入增加，巩固脱贫攻坚成果。</w:t>
      </w:r>
    </w:p>
    <w:p w14:paraId="3689D5AB">
      <w:pPr>
        <w:keepNext w:val="0"/>
        <w:keepLines w:val="0"/>
        <w:pageBreakBefore w:val="0"/>
        <w:widowControl w:val="0"/>
        <w:numPr>
          <w:ilvl w:val="0"/>
          <w:numId w:val="5"/>
        </w:numPr>
        <w:kinsoku/>
        <w:wordWrap/>
        <w:overflowPunct/>
        <w:topLinePunct w:val="0"/>
        <w:autoSpaceDE/>
        <w:autoSpaceDN/>
        <w:bidi w:val="0"/>
        <w:adjustRightInd w:val="0"/>
        <w:snapToGrid w:val="0"/>
        <w:spacing w:line="55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项目效益情况。</w:t>
      </w:r>
    </w:p>
    <w:p w14:paraId="1CF9957D">
      <w:pPr>
        <w:keepNext w:val="0"/>
        <w:keepLines w:val="0"/>
        <w:pageBreakBefore w:val="0"/>
        <w:kinsoku/>
        <w:wordWrap/>
        <w:overflowPunct/>
        <w:topLinePunct w:val="0"/>
        <w:autoSpaceDE/>
        <w:autoSpaceDN/>
        <w:bidi w:val="0"/>
        <w:snapToGrid/>
        <w:spacing w:line="55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项目实施后，</w:t>
      </w:r>
      <w:r>
        <w:rPr>
          <w:rFonts w:hint="eastAsia" w:ascii="仿宋_GB2312" w:hAnsi="仿宋_GB2312" w:eastAsia="仿宋_GB2312" w:cs="仿宋_GB2312"/>
          <w:b w:val="0"/>
          <w:bCs w:val="0"/>
          <w:sz w:val="32"/>
          <w:szCs w:val="32"/>
          <w:lang w:eastAsia="zh-CN"/>
        </w:rPr>
        <w:t>全县生态环境</w:t>
      </w:r>
      <w:r>
        <w:rPr>
          <w:rFonts w:hint="eastAsia" w:ascii="仿宋_GB2312" w:hAnsi="仿宋_GB2312" w:eastAsia="仿宋_GB2312" w:cs="仿宋_GB2312"/>
          <w:b w:val="0"/>
          <w:bCs w:val="0"/>
          <w:sz w:val="32"/>
          <w:szCs w:val="32"/>
        </w:rPr>
        <w:t>得到</w:t>
      </w:r>
      <w:r>
        <w:rPr>
          <w:rFonts w:hint="eastAsia" w:ascii="仿宋_GB2312" w:hAnsi="仿宋_GB2312" w:eastAsia="仿宋_GB2312" w:cs="仿宋_GB2312"/>
          <w:b w:val="0"/>
          <w:bCs w:val="0"/>
          <w:sz w:val="32"/>
          <w:szCs w:val="32"/>
          <w:lang w:eastAsia="zh-CN"/>
        </w:rPr>
        <w:t>明显</w:t>
      </w:r>
      <w:r>
        <w:rPr>
          <w:rFonts w:hint="eastAsia" w:ascii="仿宋_GB2312" w:hAnsi="仿宋_GB2312" w:eastAsia="仿宋_GB2312" w:cs="仿宋_GB2312"/>
          <w:b w:val="0"/>
          <w:bCs w:val="0"/>
          <w:sz w:val="32"/>
          <w:szCs w:val="32"/>
        </w:rPr>
        <w:t>改善，能有效减轻</w:t>
      </w:r>
      <w:r>
        <w:rPr>
          <w:rFonts w:hint="eastAsia" w:ascii="仿宋_GB2312" w:hAnsi="仿宋_GB2312" w:eastAsia="仿宋_GB2312" w:cs="仿宋_GB2312"/>
          <w:b w:val="0"/>
          <w:bCs w:val="0"/>
          <w:kern w:val="0"/>
          <w:sz w:val="32"/>
          <w:szCs w:val="32"/>
        </w:rPr>
        <w:t>水土</w:t>
      </w:r>
      <w:r>
        <w:rPr>
          <w:rFonts w:hint="eastAsia" w:ascii="仿宋_GB2312" w:hAnsi="仿宋_GB2312" w:eastAsia="仿宋_GB2312" w:cs="仿宋_GB2312"/>
          <w:b w:val="0"/>
          <w:bCs w:val="0"/>
          <w:sz w:val="32"/>
          <w:szCs w:val="32"/>
        </w:rPr>
        <w:t>流失，</w:t>
      </w:r>
      <w:r>
        <w:rPr>
          <w:rFonts w:hint="eastAsia" w:ascii="仿宋_GB2312" w:hAnsi="仿宋_GB2312" w:eastAsia="仿宋_GB2312" w:cs="仿宋_GB2312"/>
          <w:b w:val="0"/>
          <w:bCs w:val="0"/>
          <w:sz w:val="32"/>
          <w:szCs w:val="32"/>
          <w:lang w:eastAsia="zh-CN"/>
        </w:rPr>
        <w:t>森林植被覆盖度提高</w:t>
      </w:r>
      <w:r>
        <w:rPr>
          <w:rFonts w:hint="eastAsia" w:ascii="仿宋_GB2312" w:hAnsi="仿宋_GB2312" w:eastAsia="仿宋_GB2312" w:cs="仿宋_GB2312"/>
          <w:b w:val="0"/>
          <w:bCs w:val="0"/>
          <w:sz w:val="32"/>
          <w:szCs w:val="32"/>
        </w:rPr>
        <w:t>，促进区域生物多样性保</w:t>
      </w:r>
      <w:r>
        <w:rPr>
          <w:rFonts w:hint="eastAsia" w:ascii="仿宋_GB2312" w:hAnsi="仿宋_GB2312" w:eastAsia="仿宋_GB2312" w:cs="仿宋_GB2312"/>
          <w:b w:val="0"/>
          <w:bCs w:val="0"/>
          <w:kern w:val="0"/>
          <w:sz w:val="32"/>
          <w:szCs w:val="32"/>
        </w:rPr>
        <w:t>护</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kern w:val="0"/>
          <w:sz w:val="32"/>
          <w:szCs w:val="32"/>
        </w:rPr>
        <w:t>项目建设</w:t>
      </w:r>
      <w:r>
        <w:rPr>
          <w:rFonts w:hint="eastAsia" w:ascii="仿宋_GB2312" w:hAnsi="仿宋_GB2312" w:eastAsia="仿宋_GB2312" w:cs="仿宋_GB2312"/>
          <w:b w:val="0"/>
          <w:bCs w:val="0"/>
          <w:sz w:val="32"/>
          <w:szCs w:val="32"/>
        </w:rPr>
        <w:t>有利于</w:t>
      </w:r>
      <w:r>
        <w:rPr>
          <w:rFonts w:hint="eastAsia" w:ascii="仿宋_GB2312" w:hAnsi="仿宋_GB2312" w:eastAsia="仿宋_GB2312" w:cs="仿宋_GB2312"/>
          <w:b w:val="0"/>
          <w:bCs w:val="0"/>
          <w:kern w:val="0"/>
          <w:sz w:val="32"/>
          <w:szCs w:val="32"/>
        </w:rPr>
        <w:t>增强农牧民保护生态的意识，为项目区提供</w:t>
      </w:r>
      <w:r>
        <w:rPr>
          <w:rFonts w:hint="eastAsia" w:ascii="仿宋_GB2312" w:hAnsi="仿宋_GB2312" w:eastAsia="仿宋_GB2312" w:cs="仿宋_GB2312"/>
          <w:b w:val="0"/>
          <w:bCs w:val="0"/>
          <w:kern w:val="0"/>
          <w:sz w:val="32"/>
          <w:szCs w:val="32"/>
          <w:lang w:eastAsia="zh-CN"/>
        </w:rPr>
        <w:t>生态公益性</w:t>
      </w:r>
      <w:r>
        <w:rPr>
          <w:rFonts w:hint="eastAsia" w:ascii="仿宋_GB2312" w:hAnsi="仿宋_GB2312" w:eastAsia="仿宋_GB2312" w:cs="仿宋_GB2312"/>
          <w:b w:val="0"/>
          <w:bCs w:val="0"/>
          <w:kern w:val="0"/>
          <w:sz w:val="32"/>
          <w:szCs w:val="32"/>
        </w:rPr>
        <w:t>社会就业</w:t>
      </w:r>
      <w:r>
        <w:rPr>
          <w:rFonts w:hint="eastAsia" w:ascii="仿宋_GB2312" w:hAnsi="仿宋_GB2312" w:eastAsia="仿宋_GB2312" w:cs="仿宋_GB2312"/>
          <w:b w:val="0"/>
          <w:bCs w:val="0"/>
          <w:kern w:val="0"/>
          <w:sz w:val="32"/>
          <w:szCs w:val="32"/>
          <w:lang w:eastAsia="zh-CN"/>
        </w:rPr>
        <w:t>岗位</w:t>
      </w:r>
      <w:r>
        <w:rPr>
          <w:rFonts w:hint="eastAsia" w:ascii="仿宋_GB2312" w:hAnsi="仿宋_GB2312" w:eastAsia="仿宋_GB2312" w:cs="仿宋_GB2312"/>
          <w:b w:val="0"/>
          <w:bCs w:val="0"/>
          <w:kern w:val="0"/>
          <w:sz w:val="32"/>
          <w:szCs w:val="32"/>
        </w:rPr>
        <w:t>机会，繁荣地方农村经济；</w:t>
      </w:r>
      <w:r>
        <w:rPr>
          <w:rFonts w:hint="eastAsia" w:ascii="仿宋_GB2312" w:hAnsi="仿宋_GB2312" w:eastAsia="仿宋_GB2312" w:cs="仿宋_GB2312"/>
          <w:b w:val="0"/>
          <w:bCs w:val="0"/>
          <w:sz w:val="32"/>
          <w:szCs w:val="32"/>
        </w:rPr>
        <w:t>同时，促进了区域经济的发展，为当地农牧民将带来一定的经济收益。进一步规范财政专项资金管理，提高政府管理效能和财政资金使用效益。</w:t>
      </w:r>
    </w:p>
    <w:p w14:paraId="17C21754">
      <w:pPr>
        <w:pStyle w:val="7"/>
        <w:spacing w:line="360" w:lineRule="auto"/>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2.项目绩效阶段性目标。结合我县实际，通过近两年</w:t>
      </w:r>
      <w:r>
        <w:rPr>
          <w:rFonts w:hint="eastAsia" w:ascii="仿宋_GB2312" w:hAnsi="仿宋_GB2312" w:eastAsia="仿宋_GB2312" w:cs="仿宋_GB2312"/>
          <w:b w:val="0"/>
          <w:bCs w:val="0"/>
          <w:sz w:val="32"/>
          <w:szCs w:val="32"/>
          <w:lang w:eastAsia="zh-CN"/>
        </w:rPr>
        <w:t>生态公益性岗位生态管护员的宣传和巡护</w:t>
      </w:r>
      <w:r>
        <w:rPr>
          <w:rFonts w:hint="eastAsia" w:ascii="仿宋_GB2312" w:hAnsi="仿宋_GB2312" w:eastAsia="仿宋_GB2312" w:cs="仿宋_GB2312"/>
          <w:b w:val="0"/>
          <w:bCs w:val="0"/>
          <w:sz w:val="32"/>
          <w:szCs w:val="32"/>
        </w:rPr>
        <w:t>，提高贫困村贫困户的经济收入，加大岷</w:t>
      </w:r>
      <w:r>
        <w:rPr>
          <w:rFonts w:hint="eastAsia" w:ascii="仿宋_GB2312" w:hAnsi="仿宋_GB2312" w:eastAsia="仿宋_GB2312" w:cs="仿宋_GB2312"/>
          <w:b w:val="0"/>
          <w:bCs w:val="0"/>
          <w:sz w:val="32"/>
          <w:szCs w:val="32"/>
          <w:lang w:eastAsia="zh-CN"/>
        </w:rPr>
        <w:t>、涪</w:t>
      </w:r>
      <w:r>
        <w:rPr>
          <w:rFonts w:hint="eastAsia" w:ascii="仿宋_GB2312" w:hAnsi="仿宋_GB2312" w:eastAsia="仿宋_GB2312" w:cs="仿宋_GB2312"/>
          <w:b w:val="0"/>
          <w:bCs w:val="0"/>
          <w:sz w:val="32"/>
          <w:szCs w:val="32"/>
        </w:rPr>
        <w:t>江流域水源涵养和植被保护力度，全面提升生态质量效益和</w:t>
      </w:r>
      <w:r>
        <w:rPr>
          <w:rFonts w:hint="eastAsia" w:ascii="仿宋_GB2312" w:hAnsi="仿宋_GB2312" w:eastAsia="仿宋_GB2312" w:cs="仿宋_GB2312"/>
          <w:b w:val="0"/>
          <w:bCs w:val="0"/>
          <w:sz w:val="32"/>
          <w:szCs w:val="32"/>
          <w:lang w:eastAsia="zh-CN"/>
        </w:rPr>
        <w:t>脱</w:t>
      </w:r>
      <w:r>
        <w:rPr>
          <w:rFonts w:hint="eastAsia" w:ascii="仿宋_GB2312" w:hAnsi="仿宋_GB2312" w:eastAsia="仿宋_GB2312" w:cs="仿宋_GB2312"/>
          <w:b w:val="0"/>
          <w:bCs w:val="0"/>
          <w:sz w:val="32"/>
          <w:szCs w:val="32"/>
        </w:rPr>
        <w:t>贫县人民群众的家庭收入，</w:t>
      </w:r>
      <w:r>
        <w:rPr>
          <w:rFonts w:hint="eastAsia" w:ascii="仿宋_GB2312" w:hAnsi="仿宋_GB2312" w:eastAsia="仿宋_GB2312" w:cs="仿宋_GB2312"/>
          <w:b w:val="0"/>
          <w:bCs w:val="0"/>
          <w:sz w:val="32"/>
          <w:szCs w:val="32"/>
          <w:lang w:eastAsia="zh-CN"/>
        </w:rPr>
        <w:t>保巩固脱贫攻坚成果</w:t>
      </w:r>
      <w:r>
        <w:rPr>
          <w:rFonts w:hint="eastAsia" w:ascii="仿宋_GB2312" w:hAnsi="仿宋_GB2312" w:eastAsia="仿宋_GB2312" w:cs="仿宋_GB2312"/>
          <w:b w:val="0"/>
          <w:bCs w:val="0"/>
          <w:sz w:val="32"/>
          <w:szCs w:val="32"/>
        </w:rPr>
        <w:t>。</w:t>
      </w:r>
    </w:p>
    <w:p w14:paraId="5FE1955E">
      <w:pPr>
        <w:pStyle w:val="7"/>
        <w:spacing w:line="360" w:lineRule="auto"/>
        <w:jc w:val="both"/>
        <w:rPr>
          <w:rFonts w:hint="eastAsia" w:ascii="仿宋_GB2312" w:hAnsi="仿宋_GB2312" w:eastAsia="仿宋_GB2312" w:cs="仿宋_GB2312"/>
          <w:b w:val="0"/>
          <w:bCs w:val="0"/>
          <w:sz w:val="32"/>
          <w:szCs w:val="32"/>
        </w:rPr>
      </w:pPr>
    </w:p>
    <w:p w14:paraId="17E0C8E1">
      <w:pPr>
        <w:pStyle w:val="25"/>
        <w:keepNext w:val="0"/>
        <w:keepLines w:val="0"/>
        <w:pageBreakBefore w:val="0"/>
        <w:widowControl w:val="0"/>
        <w:kinsoku/>
        <w:wordWrap/>
        <w:overflowPunct/>
        <w:topLinePunct w:val="0"/>
        <w:autoSpaceDE/>
        <w:autoSpaceDN/>
        <w:bidi w:val="0"/>
        <w:spacing w:line="600" w:lineRule="exact"/>
        <w:jc w:val="center"/>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松潘县林业和草原局</w:t>
      </w:r>
    </w:p>
    <w:p w14:paraId="24B3027F">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关于前一轮补助政策到期退耕还生态</w:t>
      </w:r>
    </w:p>
    <w:p w14:paraId="2A97987D">
      <w:pPr>
        <w:pStyle w:val="25"/>
        <w:keepNext w:val="0"/>
        <w:keepLines w:val="0"/>
        <w:pageBreakBefore w:val="0"/>
        <w:widowControl w:val="0"/>
        <w:kinsoku/>
        <w:wordWrap/>
        <w:overflowPunct/>
        <w:topLinePunct w:val="0"/>
        <w:autoSpaceDE/>
        <w:autoSpaceDN/>
        <w:bidi w:val="0"/>
        <w:spacing w:line="60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森林抚育补助资金</w:t>
      </w:r>
      <w:r>
        <w:rPr>
          <w:rFonts w:hint="eastAsia" w:ascii="仿宋_GB2312" w:hAnsi="仿宋_GB2312" w:eastAsia="仿宋_GB2312" w:cs="仿宋_GB2312"/>
          <w:b w:val="0"/>
          <w:bCs w:val="0"/>
          <w:sz w:val="32"/>
          <w:szCs w:val="32"/>
          <w:lang w:eastAsia="zh-CN"/>
        </w:rPr>
        <w:t>支出</w:t>
      </w:r>
      <w:r>
        <w:rPr>
          <w:rFonts w:hint="eastAsia" w:ascii="仿宋_GB2312" w:hAnsi="仿宋_GB2312" w:eastAsia="仿宋_GB2312" w:cs="仿宋_GB2312"/>
          <w:b w:val="0"/>
          <w:bCs w:val="0"/>
          <w:sz w:val="32"/>
          <w:szCs w:val="32"/>
        </w:rPr>
        <w:t>绩效自评报告</w:t>
      </w:r>
    </w:p>
    <w:p w14:paraId="22DEC6DD">
      <w:pPr>
        <w:pStyle w:val="25"/>
        <w:keepNext w:val="0"/>
        <w:keepLines w:val="0"/>
        <w:pageBreakBefore w:val="0"/>
        <w:widowControl w:val="0"/>
        <w:kinsoku/>
        <w:wordWrap/>
        <w:overflowPunct/>
        <w:topLinePunct w:val="0"/>
        <w:autoSpaceDE/>
        <w:autoSpaceDN/>
        <w:bidi w:val="0"/>
        <w:spacing w:line="600" w:lineRule="exact"/>
        <w:jc w:val="center"/>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118万</w:t>
      </w:r>
      <w:r>
        <w:rPr>
          <w:rFonts w:hint="eastAsia" w:ascii="仿宋_GB2312" w:hAnsi="仿宋_GB2312" w:eastAsia="仿宋_GB2312" w:cs="仿宋_GB2312"/>
          <w:b w:val="0"/>
          <w:bCs w:val="0"/>
          <w:sz w:val="32"/>
          <w:szCs w:val="32"/>
          <w:lang w:eastAsia="zh-CN"/>
        </w:rPr>
        <w:t>）</w:t>
      </w:r>
    </w:p>
    <w:p w14:paraId="1805D69D">
      <w:pPr>
        <w:pStyle w:val="25"/>
        <w:keepNext w:val="0"/>
        <w:keepLines w:val="0"/>
        <w:pageBreakBefore w:val="0"/>
        <w:widowControl w:val="0"/>
        <w:kinsoku/>
        <w:wordWrap/>
        <w:overflowPunct/>
        <w:topLinePunct w:val="0"/>
        <w:autoSpaceDE/>
        <w:autoSpaceDN/>
        <w:bidi w:val="0"/>
        <w:spacing w:line="600" w:lineRule="exact"/>
        <w:ind w:firstLine="640"/>
        <w:jc w:val="center"/>
        <w:textAlignment w:val="auto"/>
        <w:rPr>
          <w:rFonts w:hint="eastAsia" w:ascii="仿宋_GB2312" w:hAnsi="仿宋_GB2312" w:eastAsia="仿宋_GB2312" w:cs="仿宋_GB2312"/>
          <w:b w:val="0"/>
          <w:bCs w:val="0"/>
          <w:color w:val="auto"/>
          <w:kern w:val="2"/>
          <w:sz w:val="32"/>
          <w:szCs w:val="32"/>
        </w:rPr>
      </w:pPr>
    </w:p>
    <w:p w14:paraId="440F962E">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val="zh-CN"/>
        </w:rPr>
        <w:t>项目概况</w:t>
      </w:r>
    </w:p>
    <w:p w14:paraId="6D99A816">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zh-CN"/>
        </w:rPr>
        <w:t>项目概况</w:t>
      </w:r>
    </w:p>
    <w:p w14:paraId="3AF92387">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我县于2000年退耕还林截至2020年底，全县完成退耕还林工程16.9万亩，其中：前一轮（2000年—2006年）退耕还林完成5.9万亩，完成配套荒山造林封山育林10.4万亩；工程建设涉及24个乡镇，142个村，地块18706亩，涉及农户12860户，人口48732人享受国家补助政策；累计兑现政策补助资金24180万元。退耕还林实施以来，户均获得退耕还林政策补助资金1.76万元、人均0.46万元。新一轮（2014年—2016年）完成退耕还林0.6万亩，工程建设涉及13个乡镇，涉及农户1593户。全县共有6212人享受国家补助政策。退耕还林已成为我县林业生态建设史上涉及面最广、国家投入最多、群众参与度最高的德政工程、民心工程和阳光工程。农牧民得到了增收，全面促进了我县生态环境建设。 </w:t>
      </w:r>
    </w:p>
    <w:p w14:paraId="2A9D1600">
      <w:pPr>
        <w:pStyle w:val="27"/>
        <w:numPr>
          <w:ilvl w:val="0"/>
          <w:numId w:val="6"/>
        </w:numPr>
        <w:shd w:val="clear" w:color="auto" w:fill="FFFFFF"/>
        <w:spacing w:before="0" w:beforeAutospacing="0" w:after="0" w:afterAutospacing="0"/>
        <w:ind w:firstLine="640" w:firstLineChars="200"/>
        <w:rPr>
          <w:rFonts w:hint="eastAsia" w:ascii="仿宋_GB2312" w:hAnsi="仿宋_GB2312" w:eastAsia="仿宋_GB2312" w:cs="仿宋_GB2312"/>
          <w:b w:val="0"/>
          <w:bCs w:val="0"/>
          <w:kern w:val="2"/>
          <w:sz w:val="32"/>
          <w:szCs w:val="32"/>
          <w:lang w:val="zh-CN" w:eastAsia="zh-CN" w:bidi="ar-SA"/>
        </w:rPr>
      </w:pPr>
      <w:r>
        <w:rPr>
          <w:rFonts w:hint="eastAsia" w:ascii="仿宋_GB2312" w:hAnsi="仿宋_GB2312" w:eastAsia="仿宋_GB2312" w:cs="仿宋_GB2312"/>
          <w:b w:val="0"/>
          <w:bCs w:val="0"/>
          <w:kern w:val="2"/>
          <w:sz w:val="32"/>
          <w:szCs w:val="32"/>
          <w:lang w:val="zh-CN" w:eastAsia="zh-CN" w:bidi="ar-SA"/>
        </w:rPr>
        <w:t>项目资金申报及批复情况。</w:t>
      </w:r>
    </w:p>
    <w:p w14:paraId="69409E06">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根据松潘县土地和坡耕地的情况，我县区划并申报松潘县前一轮退耕还林5.9万亩，新增退耕还林面积0.6万亩。2022年兑现前一轮退耕还生态林森林抚育补助资金118万元，根据《阿坝州财政局   阿坝州林业和草原局关于下达2022年中央财政林业改革发展资金预算（第一批）的通知》（阿州财资环[2022]9号）文件下达资金。</w:t>
      </w:r>
    </w:p>
    <w:p w14:paraId="4CFCD252">
      <w:pPr>
        <w:pStyle w:val="27"/>
        <w:numPr>
          <w:ilvl w:val="0"/>
          <w:numId w:val="6"/>
        </w:numPr>
        <w:shd w:val="clear" w:color="auto" w:fill="FFFFFF"/>
        <w:spacing w:before="0" w:beforeAutospacing="0" w:after="0" w:afterAutospacing="0"/>
        <w:ind w:firstLine="640" w:firstLineChars="200"/>
        <w:rPr>
          <w:rFonts w:hint="eastAsia" w:ascii="仿宋_GB2312" w:hAnsi="仿宋_GB2312" w:eastAsia="仿宋_GB2312" w:cs="仿宋_GB2312"/>
          <w:b w:val="0"/>
          <w:bCs w:val="0"/>
          <w:kern w:val="2"/>
          <w:sz w:val="32"/>
          <w:szCs w:val="32"/>
          <w:lang w:val="zh-CN" w:eastAsia="zh-CN" w:bidi="ar-SA"/>
        </w:rPr>
      </w:pPr>
      <w:r>
        <w:rPr>
          <w:rFonts w:hint="eastAsia" w:ascii="仿宋_GB2312" w:hAnsi="仿宋_GB2312" w:eastAsia="仿宋_GB2312" w:cs="仿宋_GB2312"/>
          <w:b w:val="0"/>
          <w:bCs w:val="0"/>
          <w:kern w:val="2"/>
          <w:sz w:val="32"/>
          <w:szCs w:val="32"/>
          <w:lang w:val="zh-CN" w:eastAsia="zh-CN" w:bidi="ar-SA"/>
        </w:rPr>
        <w:t>项目绩效目标。</w:t>
      </w:r>
    </w:p>
    <w:p w14:paraId="116F4D12">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项目绩效总目标。围绕加强退耕还林管理，提高森林生态功能目标，进一步规范财政专项资金管理，提高政府管理效能和财政资金使用效益，落实退耕还林资金的国家级和省级退耕还林责任，切实维护林退耕还林农户权益，实现我县生态补偿资金的效益最大化。改善县域生态环境，弘扬生态文化，保障民本民生，形成完备的森林生态体系、发达的生态产业体系和繁荣的生态文化体系，打造我县“川西北地区绿色生态明珠”，营造宜居利居乐居的森林生态环境，维护和稳定现有退耕还林面积，加强森林、野生动物保护和森林防火工作，加有害生物防治力度，使退耕还林实现效益最大化。</w:t>
      </w:r>
    </w:p>
    <w:p w14:paraId="054F25BF">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绩效阶段性目标。结合我县实际，合理划分生态功能区，通过加大工程造林、封山育林力度，加强林业有害生物监测、预警和防治工作，强化“禁火”“禁伐”“禁荒”“禁猎”“禁牧”等措施，进一步加强森林生态及生物多样性保护，加大境内岷江、涪江水源涵养区和沙化区及干旱河谷区的森林植被保护力度，全面提升森林质量和效益。</w:t>
      </w:r>
    </w:p>
    <w:p w14:paraId="2DFA37F8">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p>
    <w:p w14:paraId="63A08E6E">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（三）项目资金申报相符性。</w:t>
      </w:r>
    </w:p>
    <w:p w14:paraId="4814B313">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兑现前一轮退耕还生态林森林抚育补助资金118万元，均与实施内容和申报目标相符。（前一轮退耕还生态林森林抚育5.9万亩）</w:t>
      </w:r>
    </w:p>
    <w:p w14:paraId="01C865B8">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二、项目实施及管理情况</w:t>
      </w:r>
    </w:p>
    <w:p w14:paraId="7B9DCF03">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ab/>
      </w:r>
      <w:r>
        <w:rPr>
          <w:rFonts w:hint="eastAsia" w:ascii="仿宋_GB2312" w:hAnsi="仿宋_GB2312" w:eastAsia="仿宋_GB2312" w:cs="仿宋_GB2312"/>
          <w:b w:val="0"/>
          <w:bCs w:val="0"/>
          <w:sz w:val="32"/>
          <w:szCs w:val="32"/>
          <w:lang w:val="zh-CN"/>
        </w:rPr>
        <w:t>（一）资金计划、到位及使用情况。</w:t>
      </w:r>
    </w:p>
    <w:p w14:paraId="488B2BA1">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zh-CN" w:eastAsia="zh-CN"/>
        </w:rPr>
        <w:t>（</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zh-CN" w:eastAsia="zh-CN"/>
        </w:rPr>
        <w:t>）资金计划及到位。</w:t>
      </w:r>
      <w:r>
        <w:rPr>
          <w:rFonts w:hint="eastAsia" w:ascii="仿宋_GB2312" w:hAnsi="仿宋_GB2312" w:eastAsia="仿宋_GB2312" w:cs="仿宋_GB2312"/>
          <w:b w:val="0"/>
          <w:bCs w:val="0"/>
          <w:sz w:val="32"/>
          <w:szCs w:val="32"/>
          <w:lang w:val="en-US" w:eastAsia="zh-CN"/>
        </w:rPr>
        <w:t>根据《阿坝州财政局   阿坝州林业和草原局关于下达2022年中央财政林业改革发展资金预算（第一批）的通知》（阿州财资环[2022]9号）文件下达资金，资金到位118万元。</w:t>
      </w:r>
    </w:p>
    <w:p w14:paraId="4D8A4026">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zh-CN" w:eastAsia="zh-CN"/>
        </w:rPr>
        <w:t>（</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val="zh-CN" w:eastAsia="zh-CN"/>
        </w:rPr>
        <w:t>）资金使用。</w:t>
      </w:r>
      <w:r>
        <w:rPr>
          <w:rFonts w:hint="eastAsia" w:ascii="仿宋_GB2312" w:hAnsi="仿宋_GB2312" w:eastAsia="仿宋_GB2312" w:cs="仿宋_GB2312"/>
          <w:b w:val="0"/>
          <w:bCs w:val="0"/>
          <w:sz w:val="32"/>
          <w:szCs w:val="32"/>
          <w:lang w:val="en-US" w:eastAsia="zh-CN"/>
        </w:rPr>
        <w:t>118万已全部兑现</w:t>
      </w:r>
      <w:r>
        <w:rPr>
          <w:rFonts w:hint="eastAsia" w:ascii="仿宋_GB2312" w:hAnsi="仿宋_GB2312" w:eastAsia="仿宋_GB2312" w:cs="仿宋_GB2312"/>
          <w:b w:val="0"/>
          <w:bCs w:val="0"/>
          <w:sz w:val="32"/>
          <w:szCs w:val="32"/>
          <w:lang w:val="zh-CN" w:eastAsia="zh-CN"/>
        </w:rPr>
        <w:t>。</w:t>
      </w:r>
    </w:p>
    <w:p w14:paraId="58764B2F">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（二）项目财务管理情况。</w:t>
      </w:r>
    </w:p>
    <w:p w14:paraId="22B22398">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确保生态补偿资金依法管理，一是严格执行《退耕还林条例》和相关政策，从制度和机制上确保财政补偿资金安全运行；二是财政退耕还林资金由县财政局专账管理，专款专用。通过乡镇财政所和对退耕还林资金实行专账管理，全部实行一卡通形式发放，确保管护资金及时、足额发放到位；资金管理方面，为规范我县财政补偿资金发放，我局每年都要组织对退耕还林情况检查验收，对验收质量欠缺的，要求实施单位及时整改，验收合格后按标准及时发放补偿资金。各乡财政所负责自检情况看，没有挪用和截留现象，财务制度管理规范。</w:t>
      </w:r>
    </w:p>
    <w:p w14:paraId="3CBC467B">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（三）项目组织实施情况。</w:t>
      </w:r>
    </w:p>
    <w:p w14:paraId="0791ECFE">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按照“林权是核心，供粮是关键，种苗要先行，干部是保证”的要求，切实抓好规划设计、种苗准备、宣传发动、组织实施、检查验收、政策兑现、后期管护等工作，确保了退耕还林工程顺利实施。</w:t>
      </w:r>
    </w:p>
    <w:p w14:paraId="4987090C">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组织领导。组建县、乡（镇）退耕还林领导机构，实行行政首长负责制，形成“党委、政府亲自抓，林业部门全力抓，相关部门配合抓，人大、政协监督抓”的工作格局；县委、县政府多次召开会议研究部署退耕还林工作，及时解决退耕还林工作中遇到的困难和问题；抽调业务技术人员，组建了县退耕还林办事机构，制定、完善了工作制度和系列操作规程；完善县、乡、村4级目标管理体系，工程建设纳入党政年度目标考核，实行“一票否决制”。</w:t>
      </w:r>
    </w:p>
    <w:p w14:paraId="2723307A">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2、科学合理规划。以“生态建设”为主线，把退耕还林工作与治理生态环境、调整农牧业产业结构和增加农牧民收入有机结合起来，在总体布局、优化造林模式、调整树种结构、探索经营模式等方面，认真研究，合理规划；充分尊重农牧民意愿，加强政策引导与农民自愿相结合，做到退耕还林既符合国家政策要求，又符合农村实际和农牧民需求。 </w:t>
      </w:r>
    </w:p>
    <w:p w14:paraId="5F1BF318">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强化质量管理。组织技术人员经常深入田间地头，讲解栽植、管护措施，指导农牧民栽植苗木，切实解决其技术难题，提高了技术服务质量。依照《退耕还林条例》《退耕还林工程检查验收办法》等规定，实行“县自查、省复查、国家核查三级验收制度”和“谁验收谁负责”制度，抽调业务骨干逐乡、逐村、逐户、逐地块严格检查验收，提高了工程建设质量。认真开展苗木补植工作，积极探索、推广适宜本地区的造林经验，采用土围墙、刺围栏等多种形式进行管护，提高后期管护质量。</w:t>
      </w:r>
    </w:p>
    <w:p w14:paraId="44A6024F">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落实政策兑现。严格执行国家退耕还林的各项政策规定，把政策兑现与成效紧密结合起来落实补助；多渠道、多手段广泛开展退耕还林政策、法规等宣传活动，增强退耕还林政策的透明度，提高农牧民的知晓度、参与度。并通过录入</w:t>
      </w:r>
      <w:r>
        <w:rPr>
          <w:rFonts w:hint="eastAsia" w:ascii="仿宋_GB2312" w:hAnsi="仿宋_GB2312" w:eastAsia="仿宋_GB2312" w:cs="仿宋_GB2312"/>
          <w:b w:val="0"/>
          <w:bCs w:val="0"/>
          <w:color w:val="000000"/>
          <w:spacing w:val="0"/>
          <w:w w:val="100"/>
          <w:kern w:val="2"/>
          <w:sz w:val="32"/>
          <w:szCs w:val="32"/>
          <w:lang w:val="en-US" w:eastAsia="zh-CN" w:bidi="ar-SA"/>
        </w:rPr>
        <w:t>四川省惠民惠农财政补贴项目资格审批基础支撑平台推送至“一卡通”，</w:t>
      </w:r>
      <w:r>
        <w:rPr>
          <w:rFonts w:hint="eastAsia" w:ascii="仿宋_GB2312" w:hAnsi="仿宋_GB2312" w:eastAsia="仿宋_GB2312" w:cs="仿宋_GB2312"/>
          <w:b w:val="0"/>
          <w:bCs w:val="0"/>
          <w:sz w:val="32"/>
          <w:szCs w:val="32"/>
          <w:lang w:val="en-US" w:eastAsia="zh-CN"/>
        </w:rPr>
        <w:t>及时、足额将补助兑现到退耕还林验收合格的农牧民手中。建设资金“专户存储、专款专用、封闭运行、单独核算”，并自觉接受专门监督、社会监督、群众监督。截至目前，未发生虚报冒领、截留、挪用、贪污的违法行为。</w:t>
      </w:r>
    </w:p>
    <w:p w14:paraId="01E43A1A">
      <w:pPr>
        <w:ind w:firstLine="640" w:firstLineChars="20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en-US" w:eastAsia="zh-CN"/>
        </w:rPr>
        <w:t>三、</w:t>
      </w:r>
      <w:r>
        <w:rPr>
          <w:rFonts w:hint="eastAsia" w:ascii="仿宋_GB2312" w:hAnsi="仿宋_GB2312" w:eastAsia="仿宋_GB2312" w:cs="仿宋_GB2312"/>
          <w:b w:val="0"/>
          <w:bCs w:val="0"/>
          <w:sz w:val="32"/>
          <w:szCs w:val="32"/>
          <w:lang w:val="zh-CN"/>
        </w:rPr>
        <w:t>项目组织实施情况。</w:t>
      </w:r>
    </w:p>
    <w:p w14:paraId="76645767">
      <w:pPr>
        <w:ind w:firstLine="640" w:firstLineChars="20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eastAsia="zh-CN"/>
        </w:rPr>
        <w:t>本项目采取项目工作领导小组负责制，全体成员积极配合、通力合作。项目工作领导小组负责协调相关工作，项目实施及资金管理。项目资金按投资计划，制定管理制度，对项目资金按项目单独核算实行“专款专用、专人管理”，不得挤占挪用项目资金。强化监督，项目的正常实施监督检查是保障。指派专人长期对项目的实施定期或不定期的进行现场检查和监督，在政务公开栏及时进行了三公开，保证项目质量。</w:t>
      </w:r>
    </w:p>
    <w:p w14:paraId="17B5EDEF">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p>
    <w:p w14:paraId="2531123C">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eastAsia="zh-CN"/>
        </w:rPr>
        <w:t>四</w:t>
      </w:r>
      <w:r>
        <w:rPr>
          <w:rFonts w:hint="eastAsia" w:ascii="仿宋_GB2312" w:hAnsi="仿宋_GB2312" w:eastAsia="仿宋_GB2312" w:cs="仿宋_GB2312"/>
          <w:b w:val="0"/>
          <w:bCs w:val="0"/>
          <w:sz w:val="32"/>
          <w:szCs w:val="32"/>
        </w:rPr>
        <w:t>、项目绩效情况</w:t>
      </w:r>
      <w:r>
        <w:rPr>
          <w:rFonts w:hint="eastAsia" w:ascii="仿宋_GB2312" w:hAnsi="仿宋_GB2312" w:eastAsia="仿宋_GB2312" w:cs="仿宋_GB2312"/>
          <w:b w:val="0"/>
          <w:bCs w:val="0"/>
          <w:sz w:val="32"/>
          <w:szCs w:val="32"/>
          <w:lang w:val="zh-CN"/>
        </w:rPr>
        <w:tab/>
      </w:r>
    </w:p>
    <w:p w14:paraId="4F6E20B6">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zh-CN"/>
        </w:rPr>
        <w:t>（一）项目完成情况。</w:t>
      </w:r>
    </w:p>
    <w:p w14:paraId="1CF37530">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巩固退耕还林成果6.5万亩，落实管护责任，优化管护措施；强化补植补造，确保退耕还林成效；加强田间管理，增加退耕地收益。实施2014年新一轮退耕还林0.6万亩，加快推进建设任务落地，定位“三个结合”发展思路，因地制宜，科学规划，将新一轮退耕还林工程与产业发展相结合，确保退耕还林工程的延续性和巩固好成果。</w:t>
      </w:r>
    </w:p>
    <w:p w14:paraId="3AC9D662">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（二）项目效益情况。</w:t>
      </w:r>
    </w:p>
    <w:p w14:paraId="53032921">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退耕还林工程的实施不仅得到了各族干部群众的衷心拥护、积极参与和支持，也带来了巨大的生态、经济和社会效益。山更绿了、水更清了，农牧民的生存条件发生了较大改变，促进了人与自然的统一与和谐。</w:t>
      </w:r>
    </w:p>
    <w:p w14:paraId="50EBBB76">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1、生态环境明显改善。一是新增林地16.9万亩，二是水土流失量减少，三是土壤保水保肥能力增强了。</w:t>
      </w:r>
    </w:p>
    <w:p w14:paraId="3E74B6E0">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经济效益日益显现。退耕还林工程的实施，延伸了林业产业链条，加快了经济结构调整，特别是农业产业结构、种养殖业结构的调整步伐，解放了农村的低效劳动力向高效劳动力转变；也从促进了生态旅游、生态能源和生态农牧业的协调发展，拉动了全县经济建设，实现了我县“木头财政”向“水电、旅游”财政的质的转变。为全县的脱贫起到重要作用。</w:t>
      </w:r>
    </w:p>
    <w:p w14:paraId="4A57D470">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社会效益较为突出。在工程建设过程中，通过深入开展生态保护与建设的教育，全民生态意识不断增强，加强生态保护和建设、遏制水土流失和草场沙化、扩大林草覆盖率等已成为社会各界的广泛共识，广大农牧民自觉投身于生态工程建设，真正成为生态保护与建设的主体。退耕还林工程的实施，增加了农户的收入，促进了农村基础设施建设发展，加快了农村能源建设，改善了农牧民的生活条件，对解决群众的基本生活问题起到了良好的促进作用，群众得到了实实在在的实惠，使退耕还林工程成为一项深得广大群众欢迎的阳关工程、扶贫工程。</w:t>
      </w:r>
    </w:p>
    <w:p w14:paraId="2CC472CC">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五</w:t>
      </w:r>
      <w:r>
        <w:rPr>
          <w:rFonts w:hint="eastAsia" w:ascii="仿宋_GB2312" w:hAnsi="仿宋_GB2312" w:eastAsia="仿宋_GB2312" w:cs="仿宋_GB2312"/>
          <w:b w:val="0"/>
          <w:bCs w:val="0"/>
          <w:sz w:val="32"/>
          <w:szCs w:val="32"/>
        </w:rPr>
        <w:t>、问题及建议</w:t>
      </w:r>
    </w:p>
    <w:p w14:paraId="04D6935B">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农户对退耕还林政策补助依赖较强。我县是“老少边穷”地区，受地理自然条件、地方病等因素制约，农牧民文化素质较低、土地广种薄收、生产力水平低下、自主发展能力较差，二、三产业收入较低，退耕还林政策在一定程度上减轻了群众的劳动强度、增加了经济收入、改善了生活质量，补助资金实际上成了部分贫困群众家庭经济收入的重要组成部分，农户对退耕还林政策补助依赖较强。</w:t>
      </w:r>
    </w:p>
    <w:p w14:paraId="2CEE8FCE">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（二）退耕还林后续产业发展困难。经济林占比较小，在已实施的前一轮退耕还林工程中，经济林仅为0.5万亩， 占0.07%。生态林短期见效难，生态林地处高山陡坡，立地条件差，生长周期长，主要发挥生态效益，在今后相当长一段时期内，退耕农户要从中获得较大直接经济收益十分困难。退耕还林地处边远，基础能力薄弱，后续产业发展有限。</w:t>
      </w:r>
    </w:p>
    <w:p w14:paraId="6168211E">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退耕农户呼吁提高补助标准。从2004年起，退耕还林粮食补助改为现金补助。我州属粮食销区，运输距离远，运输成本高，各类口粮均价约2.0—2.2元/斤，与现行0.80元/斤补助标准差距甚远，群众强烈呼吁继续兑现粮食实物补助或提高现金补助标准。</w:t>
      </w:r>
    </w:p>
    <w:p w14:paraId="1FD784CE">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在退耕还林和陡坡治理等生态建设工程的辐射县，全县生态林增加16.9万亩；同时通过工程的实施有效推动农村富余劳动力向城镇和二三产业转移，足进退耕还林农户由原来种植养殖为主的生产方式向多元化格局转变，为我边远的贫困县经济健康发展奠定了良好基础。</w:t>
      </w:r>
    </w:p>
    <w:p w14:paraId="6BBDEC1B">
      <w:pPr>
        <w:pStyle w:val="7"/>
        <w:spacing w:line="360" w:lineRule="auto"/>
        <w:jc w:val="both"/>
        <w:rPr>
          <w:rFonts w:hint="eastAsia" w:ascii="仿宋" w:hAnsi="仿宋" w:eastAsia="仿宋"/>
          <w:sz w:val="32"/>
          <w:szCs w:val="32"/>
          <w:lang w:val="en-US" w:eastAsia="zh-CN"/>
        </w:rPr>
      </w:pPr>
    </w:p>
    <w:p w14:paraId="02038529">
      <w:pPr>
        <w:pStyle w:val="20"/>
        <w:keepNext w:val="0"/>
        <w:keepLines w:val="0"/>
        <w:widowControl/>
        <w:suppressLineNumbers w:val="0"/>
        <w:spacing w:before="0" w:beforeAutospacing="0"/>
        <w:ind w:left="0"/>
        <w:jc w:val="left"/>
        <w:rPr>
          <w:rFonts w:hint="eastAsia" w:ascii="仿宋_GB2312" w:hAnsi="仿宋_GB2312" w:eastAsia="仿宋_GB2312" w:cs="仿宋_GB2312"/>
          <w:b w:val="0"/>
          <w:bCs w:val="0"/>
          <w:kern w:val="0"/>
          <w:sz w:val="32"/>
          <w:szCs w:val="32"/>
        </w:rPr>
      </w:pPr>
    </w:p>
    <w:p w14:paraId="250A1AD3">
      <w:pPr>
        <w:jc w:val="center"/>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松潘县黄河支流生态防护带建设项目</w:t>
      </w:r>
    </w:p>
    <w:p w14:paraId="79D23607">
      <w:pPr>
        <w:jc w:val="cente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2022</w:t>
      </w:r>
      <w:r>
        <w:rPr>
          <w:rFonts w:hint="eastAsia" w:ascii="仿宋_GB2312" w:hAnsi="仿宋_GB2312" w:eastAsia="仿宋_GB2312" w:cs="仿宋_GB2312"/>
          <w:b w:val="0"/>
          <w:bCs w:val="0"/>
          <w:sz w:val="32"/>
          <w:szCs w:val="32"/>
        </w:rPr>
        <w:t>年度</w:t>
      </w:r>
      <w:r>
        <w:rPr>
          <w:rFonts w:hint="eastAsia" w:ascii="仿宋_GB2312" w:hAnsi="仿宋_GB2312" w:eastAsia="仿宋_GB2312" w:cs="仿宋_GB2312"/>
          <w:b w:val="0"/>
          <w:bCs w:val="0"/>
          <w:sz w:val="32"/>
          <w:szCs w:val="32"/>
          <w:lang w:eastAsia="zh-CN"/>
        </w:rPr>
        <w:t>部门预算项目</w:t>
      </w:r>
      <w:r>
        <w:rPr>
          <w:rFonts w:hint="eastAsia" w:ascii="仿宋_GB2312" w:hAnsi="仿宋_GB2312" w:eastAsia="仿宋_GB2312" w:cs="仿宋_GB2312"/>
          <w:b w:val="0"/>
          <w:bCs w:val="0"/>
          <w:sz w:val="32"/>
          <w:szCs w:val="32"/>
        </w:rPr>
        <w:t>绩效</w:t>
      </w:r>
      <w:r>
        <w:rPr>
          <w:rFonts w:hint="eastAsia" w:ascii="仿宋_GB2312" w:hAnsi="仿宋_GB2312" w:eastAsia="仿宋_GB2312" w:cs="仿宋_GB2312"/>
          <w:b w:val="0"/>
          <w:bCs w:val="0"/>
          <w:sz w:val="32"/>
          <w:szCs w:val="32"/>
          <w:lang w:eastAsia="zh-CN"/>
        </w:rPr>
        <w:t>目标</w:t>
      </w:r>
      <w:r>
        <w:rPr>
          <w:rFonts w:hint="eastAsia" w:ascii="仿宋_GB2312" w:hAnsi="仿宋_GB2312" w:eastAsia="仿宋_GB2312" w:cs="仿宋_GB2312"/>
          <w:b w:val="0"/>
          <w:bCs w:val="0"/>
          <w:sz w:val="32"/>
          <w:szCs w:val="32"/>
        </w:rPr>
        <w:t>自评报告</w:t>
      </w:r>
    </w:p>
    <w:p w14:paraId="0C063BCA">
      <w:pPr>
        <w:keepNext w:val="0"/>
        <w:pageBreakBefore w:val="0"/>
        <w:widowControl w:val="0"/>
        <w:kinsoku/>
        <w:wordWrap/>
        <w:overflowPunct/>
        <w:topLinePunct w:val="0"/>
        <w:autoSpaceDE/>
        <w:autoSpaceDN/>
        <w:bidi w:val="0"/>
        <w:adjustRightInd/>
        <w:snapToGrid/>
        <w:spacing w:line="360" w:lineRule="auto"/>
        <w:rPr>
          <w:rFonts w:hint="eastAsia" w:ascii="仿宋_GB2312" w:hAnsi="仿宋_GB2312" w:eastAsia="仿宋_GB2312" w:cs="仿宋_GB2312"/>
          <w:b w:val="0"/>
          <w:bCs w:val="0"/>
          <w:sz w:val="32"/>
          <w:szCs w:val="32"/>
        </w:rPr>
      </w:pPr>
    </w:p>
    <w:p w14:paraId="095ABD6D">
      <w:pPr>
        <w:keepNext w:val="0"/>
        <w:pageBreakBefore w:val="0"/>
        <w:widowControl w:val="0"/>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一、基本情况</w:t>
      </w:r>
    </w:p>
    <w:p w14:paraId="5E45C0CA">
      <w:pPr>
        <w:keepNext w:val="0"/>
        <w:pageBreakBefore w:val="0"/>
        <w:widowControl w:val="0"/>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eastAsia="zh-CN"/>
        </w:rPr>
        <w:t>项目</w:t>
      </w:r>
      <w:r>
        <w:rPr>
          <w:rFonts w:hint="eastAsia" w:ascii="仿宋_GB2312" w:hAnsi="仿宋_GB2312" w:eastAsia="仿宋_GB2312" w:cs="仿宋_GB2312"/>
          <w:b w:val="0"/>
          <w:bCs w:val="0"/>
          <w:sz w:val="32"/>
          <w:szCs w:val="32"/>
        </w:rPr>
        <w:t>支付概况</w:t>
      </w:r>
    </w:p>
    <w:p w14:paraId="726D9918">
      <w:pPr>
        <w:keepNext w:val="0"/>
        <w:keepLines/>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3"/>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山水林田湖草沙一体化保护和修复工程”是国家总体战略、发展重大机遇、民生重大工程，统筹推进好“山水工程”，是贯彻落实习近平生态文明思想的具体体现，是践行绿水青山就是金山银山理念的具体实践，是推进川西北生态示范区建设的重要途径，对推进黄河流域生态保护和高质量发展战略在松潘县落地生根、筑牢黄河上游生态屏障和加快建设川西北阿坝州生态示范区具有十分重要的意义。</w:t>
      </w:r>
    </w:p>
    <w:p w14:paraId="160BE874">
      <w:pPr>
        <w:keepNext w:val="0"/>
        <w:keepLines/>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3"/>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2022年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日，阿坝州财政局</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阿坝州自然资源局</w:t>
      </w:r>
      <w:r>
        <w:rPr>
          <w:rFonts w:hint="eastAsia" w:ascii="仿宋_GB2312" w:hAnsi="仿宋_GB2312" w:eastAsia="仿宋_GB2312" w:cs="仿宋_GB2312"/>
          <w:b w:val="0"/>
          <w:bCs w:val="0"/>
          <w:sz w:val="32"/>
          <w:szCs w:val="32"/>
          <w:lang w:eastAsia="zh-CN"/>
        </w:rPr>
        <w:t>联合发文下发《</w:t>
      </w:r>
      <w:r>
        <w:rPr>
          <w:rFonts w:hint="eastAsia" w:ascii="仿宋_GB2312" w:hAnsi="仿宋_GB2312" w:eastAsia="仿宋_GB2312" w:cs="仿宋_GB2312"/>
          <w:b w:val="0"/>
          <w:bCs w:val="0"/>
          <w:sz w:val="32"/>
          <w:szCs w:val="32"/>
        </w:rPr>
        <w:t>阿坝州财政局</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阿坝州自然资源局关于预下达2022年第二批中央重点生态保护修复治理资金预算的通知</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（阿州财资环〔</w:t>
      </w:r>
      <w:r>
        <w:rPr>
          <w:rFonts w:hint="eastAsia" w:ascii="仿宋_GB2312" w:hAnsi="仿宋_GB2312" w:eastAsia="仿宋_GB2312" w:cs="仿宋_GB2312"/>
          <w:b w:val="0"/>
          <w:bCs w:val="0"/>
          <w:sz w:val="32"/>
          <w:szCs w:val="32"/>
          <w:lang w:val="en-US" w:eastAsia="zh-CN"/>
        </w:rPr>
        <w:t>2022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27</w:t>
      </w:r>
      <w:r>
        <w:rPr>
          <w:rFonts w:hint="eastAsia" w:ascii="仿宋_GB2312" w:hAnsi="仿宋_GB2312" w:eastAsia="仿宋_GB2312" w:cs="仿宋_GB2312"/>
          <w:b w:val="0"/>
          <w:bCs w:val="0"/>
          <w:sz w:val="32"/>
          <w:szCs w:val="32"/>
        </w:rPr>
        <w:t>号）</w:t>
      </w:r>
      <w:r>
        <w:rPr>
          <w:rFonts w:hint="eastAsia" w:ascii="仿宋_GB2312" w:hAnsi="仿宋_GB2312" w:eastAsia="仿宋_GB2312" w:cs="仿宋_GB2312"/>
          <w:b w:val="0"/>
          <w:bCs w:val="0"/>
          <w:sz w:val="32"/>
          <w:szCs w:val="32"/>
          <w:lang w:eastAsia="zh-CN"/>
        </w:rPr>
        <w:t>资金文件</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项目</w:t>
      </w:r>
      <w:r>
        <w:rPr>
          <w:rFonts w:hint="eastAsia" w:ascii="仿宋_GB2312" w:hAnsi="仿宋_GB2312" w:eastAsia="仿宋_GB2312" w:cs="仿宋_GB2312"/>
          <w:b w:val="0"/>
          <w:bCs w:val="0"/>
          <w:sz w:val="32"/>
          <w:szCs w:val="32"/>
        </w:rPr>
        <w:t>投资为</w:t>
      </w:r>
      <w:r>
        <w:rPr>
          <w:rFonts w:hint="eastAsia" w:ascii="仿宋_GB2312" w:hAnsi="仿宋_GB2312" w:eastAsia="仿宋_GB2312" w:cs="仿宋_GB2312"/>
          <w:b w:val="0"/>
          <w:bCs w:val="0"/>
          <w:sz w:val="32"/>
          <w:szCs w:val="32"/>
          <w:lang w:val="en-US" w:eastAsia="zh-CN"/>
        </w:rPr>
        <w:t>296</w:t>
      </w:r>
      <w:r>
        <w:rPr>
          <w:rFonts w:hint="eastAsia" w:ascii="仿宋_GB2312" w:hAnsi="仿宋_GB2312" w:eastAsia="仿宋_GB2312" w:cs="仿宋_GB2312"/>
          <w:b w:val="0"/>
          <w:bCs w:val="0"/>
          <w:sz w:val="32"/>
          <w:szCs w:val="32"/>
        </w:rPr>
        <w:t>.00万元，其中</w:t>
      </w:r>
      <w:r>
        <w:rPr>
          <w:rFonts w:hint="eastAsia" w:ascii="仿宋_GB2312" w:hAnsi="仿宋_GB2312" w:eastAsia="仿宋_GB2312" w:cs="仿宋_GB2312"/>
          <w:b w:val="0"/>
          <w:bCs w:val="0"/>
          <w:sz w:val="32"/>
          <w:szCs w:val="32"/>
          <w:lang w:eastAsia="zh-CN"/>
        </w:rPr>
        <w:t>：工程</w:t>
      </w:r>
      <w:r>
        <w:rPr>
          <w:rFonts w:hint="eastAsia" w:ascii="仿宋_GB2312" w:hAnsi="仿宋_GB2312" w:eastAsia="仿宋_GB2312" w:cs="仿宋_GB2312"/>
          <w:b w:val="0"/>
          <w:bCs w:val="0"/>
          <w:sz w:val="32"/>
          <w:szCs w:val="32"/>
        </w:rPr>
        <w:t>建设直接费用</w:t>
      </w:r>
      <w:r>
        <w:rPr>
          <w:rFonts w:hint="eastAsia" w:ascii="仿宋_GB2312" w:hAnsi="仿宋_GB2312" w:eastAsia="仿宋_GB2312" w:cs="仿宋_GB2312"/>
          <w:b w:val="0"/>
          <w:bCs w:val="0"/>
          <w:sz w:val="32"/>
          <w:szCs w:val="32"/>
          <w:lang w:val="en-US" w:eastAsia="zh-CN"/>
        </w:rPr>
        <w:t>267.33</w:t>
      </w:r>
      <w:r>
        <w:rPr>
          <w:rFonts w:hint="eastAsia" w:ascii="仿宋_GB2312" w:hAnsi="仿宋_GB2312" w:eastAsia="仿宋_GB2312" w:cs="仿宋_GB2312"/>
          <w:b w:val="0"/>
          <w:bCs w:val="0"/>
          <w:sz w:val="32"/>
          <w:szCs w:val="32"/>
        </w:rPr>
        <w:t>万元，占总投资90</w:t>
      </w:r>
      <w:r>
        <w:rPr>
          <w:rFonts w:hint="eastAsia" w:ascii="仿宋_GB2312" w:hAnsi="仿宋_GB2312" w:eastAsia="仿宋_GB2312" w:cs="仿宋_GB2312"/>
          <w:b w:val="0"/>
          <w:bCs w:val="0"/>
          <w:sz w:val="32"/>
          <w:szCs w:val="32"/>
          <w:lang w:val="en-US" w:eastAsia="zh-CN"/>
        </w:rPr>
        <w:t>.31</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工程建设</w:t>
      </w:r>
      <w:r>
        <w:rPr>
          <w:rFonts w:hint="eastAsia" w:ascii="仿宋_GB2312" w:hAnsi="仿宋_GB2312" w:eastAsia="仿宋_GB2312" w:cs="仿宋_GB2312"/>
          <w:b w:val="0"/>
          <w:bCs w:val="0"/>
          <w:sz w:val="32"/>
          <w:szCs w:val="32"/>
        </w:rPr>
        <w:t>其他费用</w:t>
      </w:r>
      <w:r>
        <w:rPr>
          <w:rFonts w:hint="eastAsia" w:ascii="仿宋_GB2312" w:hAnsi="仿宋_GB2312" w:eastAsia="仿宋_GB2312" w:cs="仿宋_GB2312"/>
          <w:b w:val="0"/>
          <w:bCs w:val="0"/>
          <w:sz w:val="32"/>
          <w:szCs w:val="32"/>
          <w:lang w:val="en-US" w:eastAsia="zh-CN"/>
        </w:rPr>
        <w:t>28.67</w:t>
      </w:r>
      <w:r>
        <w:rPr>
          <w:rFonts w:hint="eastAsia" w:ascii="仿宋_GB2312" w:hAnsi="仿宋_GB2312" w:eastAsia="仿宋_GB2312" w:cs="仿宋_GB2312"/>
          <w:b w:val="0"/>
          <w:bCs w:val="0"/>
          <w:sz w:val="32"/>
          <w:szCs w:val="32"/>
        </w:rPr>
        <w:t>万元，占总投资</w:t>
      </w:r>
      <w:r>
        <w:rPr>
          <w:rFonts w:hint="eastAsia" w:ascii="仿宋_GB2312" w:hAnsi="仿宋_GB2312" w:eastAsia="仿宋_GB2312" w:cs="仿宋_GB2312"/>
          <w:b w:val="0"/>
          <w:bCs w:val="0"/>
          <w:sz w:val="32"/>
          <w:szCs w:val="32"/>
          <w:lang w:val="en-US" w:eastAsia="zh-CN"/>
        </w:rPr>
        <w:t>9.69</w:t>
      </w:r>
      <w:r>
        <w:rPr>
          <w:rFonts w:hint="eastAsia" w:ascii="仿宋_GB2312" w:hAnsi="仿宋_GB2312" w:eastAsia="仿宋_GB2312" w:cs="仿宋_GB2312"/>
          <w:b w:val="0"/>
          <w:bCs w:val="0"/>
          <w:sz w:val="32"/>
          <w:szCs w:val="32"/>
        </w:rPr>
        <w:t>%。</w:t>
      </w:r>
    </w:p>
    <w:p w14:paraId="6718F29A">
      <w:pPr>
        <w:keepNext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sz w:val="32"/>
          <w:szCs w:val="32"/>
        </w:rPr>
        <w:t>整体绩效目标情况</w:t>
      </w:r>
    </w:p>
    <w:p w14:paraId="53ECF4E6">
      <w:pPr>
        <w:pStyle w:val="7"/>
        <w:keepNext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本项目按照山水林田湖草沙系统治理思路，高质量推进</w:t>
      </w:r>
      <w:r>
        <w:rPr>
          <w:rFonts w:hint="eastAsia" w:ascii="仿宋_GB2312" w:hAnsi="仿宋_GB2312" w:eastAsia="仿宋_GB2312" w:cs="仿宋_GB2312"/>
          <w:b w:val="0"/>
          <w:bCs w:val="0"/>
          <w:sz w:val="32"/>
          <w:szCs w:val="32"/>
          <w:lang w:eastAsia="zh-CN"/>
        </w:rPr>
        <w:t>黄河流域生态环境</w:t>
      </w:r>
      <w:r>
        <w:rPr>
          <w:rFonts w:hint="eastAsia" w:ascii="仿宋_GB2312" w:hAnsi="仿宋_GB2312" w:eastAsia="仿宋_GB2312" w:cs="仿宋_GB2312"/>
          <w:b w:val="0"/>
          <w:bCs w:val="0"/>
          <w:sz w:val="32"/>
          <w:szCs w:val="32"/>
        </w:rPr>
        <w:t>综合治理。通过项目的实施，维护黄河</w:t>
      </w:r>
      <w:r>
        <w:rPr>
          <w:rFonts w:hint="eastAsia" w:ascii="仿宋_GB2312" w:hAnsi="仿宋_GB2312" w:eastAsia="仿宋_GB2312" w:cs="仿宋_GB2312"/>
          <w:b w:val="0"/>
          <w:bCs w:val="0"/>
          <w:sz w:val="32"/>
          <w:szCs w:val="32"/>
          <w:lang w:eastAsia="zh-CN"/>
        </w:rPr>
        <w:t>流域</w:t>
      </w:r>
      <w:r>
        <w:rPr>
          <w:rFonts w:hint="eastAsia" w:ascii="仿宋_GB2312" w:hAnsi="仿宋_GB2312" w:eastAsia="仿宋_GB2312" w:cs="仿宋_GB2312"/>
          <w:b w:val="0"/>
          <w:bCs w:val="0"/>
          <w:sz w:val="32"/>
          <w:szCs w:val="32"/>
        </w:rPr>
        <w:t>生态安全，整体提升岸线林草生态系统防风、防沙、固土能力，全面推进生态防护带建设。</w:t>
      </w:r>
    </w:p>
    <w:p w14:paraId="0B675A0C">
      <w:pPr>
        <w:keepNext w:val="0"/>
        <w:pageBreakBefore w:val="0"/>
        <w:widowControl w:val="0"/>
        <w:numPr>
          <w:ilvl w:val="0"/>
          <w:numId w:val="0"/>
        </w:numPr>
        <w:kinsoku/>
        <w:wordWrap/>
        <w:overflowPunct/>
        <w:topLinePunct w:val="0"/>
        <w:autoSpaceDE/>
        <w:autoSpaceDN/>
        <w:bidi w:val="0"/>
        <w:adjustRightInd/>
        <w:snapToGrid/>
        <w:spacing w:line="360" w:lineRule="auto"/>
        <w:ind w:leftChars="200"/>
        <w:outlineLvl w:val="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区域绩效目标情况</w:t>
      </w:r>
    </w:p>
    <w:p w14:paraId="6A75125D">
      <w:pPr>
        <w:keepNext w:val="0"/>
        <w:pageBreakBefore w:val="0"/>
        <w:widowControl w:val="0"/>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到202</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年项目建设完成后，</w:t>
      </w:r>
      <w:r>
        <w:rPr>
          <w:rFonts w:hint="eastAsia" w:ascii="仿宋_GB2312" w:hAnsi="仿宋_GB2312" w:eastAsia="仿宋_GB2312" w:cs="仿宋_GB2312"/>
          <w:b w:val="0"/>
          <w:bCs w:val="0"/>
          <w:sz w:val="32"/>
          <w:szCs w:val="32"/>
          <w:lang w:eastAsia="zh-CN"/>
        </w:rPr>
        <w:t>为项目区群众增收</w:t>
      </w:r>
      <w:r>
        <w:rPr>
          <w:rFonts w:hint="eastAsia" w:ascii="仿宋_GB2312" w:hAnsi="仿宋_GB2312" w:eastAsia="仿宋_GB2312" w:cs="仿宋_GB2312"/>
          <w:b w:val="0"/>
          <w:bCs w:val="0"/>
          <w:sz w:val="32"/>
          <w:szCs w:val="32"/>
          <w:lang w:val="en-US" w:eastAsia="zh-CN"/>
        </w:rPr>
        <w:t>70万元，社会公众对松潘县黄河支流生态防护带建设的认知度明显提升，</w:t>
      </w:r>
      <w:r>
        <w:rPr>
          <w:rFonts w:hint="eastAsia" w:ascii="仿宋_GB2312" w:hAnsi="仿宋_GB2312" w:eastAsia="仿宋_GB2312" w:cs="仿宋_GB2312"/>
          <w:b w:val="0"/>
          <w:bCs w:val="0"/>
          <w:sz w:val="32"/>
          <w:szCs w:val="32"/>
        </w:rPr>
        <w:t>恢复林草植被、改善生态环境，提高防风</w:t>
      </w:r>
      <w:r>
        <w:rPr>
          <w:rFonts w:hint="eastAsia" w:ascii="仿宋_GB2312" w:hAnsi="仿宋_GB2312" w:eastAsia="仿宋_GB2312" w:cs="仿宋_GB2312"/>
          <w:b w:val="0"/>
          <w:bCs w:val="0"/>
          <w:sz w:val="32"/>
          <w:szCs w:val="32"/>
          <w:lang w:eastAsia="zh-CN"/>
        </w:rPr>
        <w:t>固土</w:t>
      </w:r>
      <w:r>
        <w:rPr>
          <w:rFonts w:hint="eastAsia" w:ascii="仿宋_GB2312" w:hAnsi="仿宋_GB2312" w:eastAsia="仿宋_GB2312" w:cs="仿宋_GB2312"/>
          <w:b w:val="0"/>
          <w:bCs w:val="0"/>
          <w:sz w:val="32"/>
          <w:szCs w:val="32"/>
        </w:rPr>
        <w:t>固沙能力，提升生态碳汇能力、助力碳达峰碳中和</w:t>
      </w:r>
      <w:r>
        <w:rPr>
          <w:rFonts w:hint="eastAsia" w:ascii="仿宋_GB2312" w:hAnsi="仿宋_GB2312" w:eastAsia="仿宋_GB2312" w:cs="仿宋_GB2312"/>
          <w:b w:val="0"/>
          <w:bCs w:val="0"/>
          <w:sz w:val="32"/>
          <w:szCs w:val="32"/>
          <w:lang w:eastAsia="zh-CN"/>
        </w:rPr>
        <w:t>，治理</w:t>
      </w:r>
      <w:r>
        <w:rPr>
          <w:rFonts w:hint="eastAsia" w:ascii="仿宋_GB2312" w:hAnsi="仿宋_GB2312" w:eastAsia="仿宋_GB2312" w:cs="仿宋_GB2312"/>
          <w:b w:val="0"/>
          <w:bCs w:val="0"/>
          <w:sz w:val="32"/>
          <w:szCs w:val="32"/>
          <w:lang w:val="en-US" w:eastAsia="zh-CN"/>
        </w:rPr>
        <w:t>林草</w:t>
      </w:r>
      <w:r>
        <w:rPr>
          <w:rFonts w:hint="eastAsia" w:ascii="仿宋_GB2312" w:hAnsi="仿宋_GB2312" w:eastAsia="仿宋_GB2312" w:cs="仿宋_GB2312"/>
          <w:b w:val="0"/>
          <w:bCs w:val="0"/>
          <w:sz w:val="32"/>
          <w:szCs w:val="32"/>
        </w:rPr>
        <w:t>生态防护带</w:t>
      </w:r>
      <w:r>
        <w:rPr>
          <w:rFonts w:hint="eastAsia" w:ascii="仿宋_GB2312" w:hAnsi="仿宋_GB2312" w:eastAsia="仿宋_GB2312" w:cs="仿宋_GB2312"/>
          <w:b w:val="0"/>
          <w:bCs w:val="0"/>
          <w:sz w:val="32"/>
          <w:szCs w:val="32"/>
          <w:lang w:eastAsia="zh-CN"/>
        </w:rPr>
        <w:t>长度</w:t>
      </w:r>
      <w:r>
        <w:rPr>
          <w:rFonts w:hint="eastAsia" w:ascii="仿宋_GB2312" w:hAnsi="仿宋_GB2312" w:eastAsia="仿宋_GB2312" w:cs="仿宋_GB2312"/>
          <w:b w:val="0"/>
          <w:bCs w:val="0"/>
          <w:sz w:val="32"/>
          <w:szCs w:val="32"/>
        </w:rPr>
        <w:t>25.030公里，</w:t>
      </w:r>
      <w:r>
        <w:rPr>
          <w:rFonts w:hint="eastAsia" w:ascii="仿宋_GB2312" w:hAnsi="仿宋_GB2312" w:eastAsia="仿宋_GB2312" w:cs="仿宋_GB2312"/>
          <w:b w:val="0"/>
          <w:bCs w:val="0"/>
          <w:sz w:val="32"/>
          <w:szCs w:val="32"/>
          <w:lang w:eastAsia="zh-CN"/>
        </w:rPr>
        <w:t>治理</w:t>
      </w:r>
      <w:r>
        <w:rPr>
          <w:rFonts w:hint="eastAsia" w:ascii="仿宋_GB2312" w:hAnsi="仿宋_GB2312" w:eastAsia="仿宋_GB2312" w:cs="仿宋_GB2312"/>
          <w:b w:val="0"/>
          <w:bCs w:val="0"/>
          <w:sz w:val="32"/>
          <w:szCs w:val="32"/>
        </w:rPr>
        <w:t>面积93.40公顷。</w:t>
      </w:r>
    </w:p>
    <w:p w14:paraId="674A2939">
      <w:pPr>
        <w:keepNext w:val="0"/>
        <w:pageBreakBefore w:val="0"/>
        <w:widowControl w:val="0"/>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二、综合评价结论</w:t>
      </w:r>
    </w:p>
    <w:p w14:paraId="58DE2A3E">
      <w:pPr>
        <w:keepNext w:val="0"/>
        <w:pageBreakBefore w:val="0"/>
        <w:widowControl w:val="0"/>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该</w:t>
      </w:r>
      <w:r>
        <w:rPr>
          <w:rFonts w:hint="eastAsia" w:ascii="仿宋_GB2312" w:hAnsi="仿宋_GB2312" w:eastAsia="仿宋_GB2312" w:cs="仿宋_GB2312"/>
          <w:b w:val="0"/>
          <w:bCs w:val="0"/>
          <w:sz w:val="32"/>
          <w:szCs w:val="32"/>
        </w:rPr>
        <w:t>项目符合《黄河流域生态保护和高质量发展纲要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阿坝州黄河干支流生态防护带建设项目可行性研究报告》</w:t>
      </w:r>
      <w:r>
        <w:rPr>
          <w:rFonts w:hint="eastAsia" w:ascii="仿宋_GB2312" w:hAnsi="仿宋_GB2312" w:eastAsia="仿宋_GB2312" w:cs="仿宋_GB2312"/>
          <w:b w:val="0"/>
          <w:bCs w:val="0"/>
          <w:sz w:val="32"/>
          <w:szCs w:val="32"/>
        </w:rPr>
        <w:t>等相关规划，是</w:t>
      </w:r>
      <w:r>
        <w:rPr>
          <w:rFonts w:hint="eastAsia" w:ascii="仿宋_GB2312" w:hAnsi="仿宋_GB2312" w:eastAsia="仿宋_GB2312" w:cs="仿宋_GB2312"/>
          <w:b w:val="0"/>
          <w:bCs w:val="0"/>
          <w:sz w:val="32"/>
          <w:szCs w:val="32"/>
          <w:lang w:val="en-US" w:eastAsia="zh-CN"/>
        </w:rPr>
        <w:t>松潘县</w:t>
      </w:r>
      <w:r>
        <w:rPr>
          <w:rFonts w:hint="eastAsia" w:ascii="仿宋_GB2312" w:hAnsi="仿宋_GB2312" w:eastAsia="仿宋_GB2312" w:cs="仿宋_GB2312"/>
          <w:b w:val="0"/>
          <w:bCs w:val="0"/>
          <w:sz w:val="32"/>
          <w:szCs w:val="32"/>
        </w:rPr>
        <w:t>黄河流域生态保护和高质量发展、黄河流域山水林田湖草沙冰综合治理、系统治理改善黄河流域生态环境、巩固脱贫攻坚成果推进乡村振兴、推动区域内经济社会可持续发展迫切需要。因而，项目建设具有必要性。</w:t>
      </w:r>
    </w:p>
    <w:p w14:paraId="30401175">
      <w:pPr>
        <w:keepNext w:val="0"/>
        <w:pageBreakBefore w:val="0"/>
        <w:widowControl w:val="0"/>
        <w:kinsoku/>
        <w:wordWrap/>
        <w:overflowPunct/>
        <w:topLinePunct w:val="0"/>
        <w:autoSpaceDE/>
        <w:autoSpaceDN/>
        <w:bidi w:val="0"/>
        <w:adjustRightInd/>
        <w:snapToGrid/>
        <w:spacing w:line="360" w:lineRule="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实施区有相对较好建设条件，具备生态治理修复工程实践基础，涉及农牧民脱贫攻坚成果巩固、乡村振兴对生态治理恢复有迫切需求，建设单位有专门的生态恢复和保护专业队伍，施工区工程治理主要材料来源有保障。因而，项目建设具有可行性。</w:t>
      </w:r>
    </w:p>
    <w:p w14:paraId="53BF8C3F">
      <w:pPr>
        <w:keepNext w:val="0"/>
        <w:pageBreakBefore w:val="0"/>
        <w:widowControl w:val="0"/>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项目属生态公益性基础项目，项目建成后使治理区域的水土保持能力增强，生态系统功能将得到有效恢复提升。生态修复还可以促进区域自然生态资源的改善，促进地方生态旅游业发展，保障区域经济社会可持续发展。因此，项目的生态、社会、经济效益显著。</w:t>
      </w:r>
    </w:p>
    <w:p w14:paraId="3B311B9F">
      <w:pPr>
        <w:keepNext w:val="0"/>
        <w:pageBreakBefore w:val="0"/>
        <w:widowControl w:val="0"/>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综上所述，项目符合</w:t>
      </w:r>
      <w:r>
        <w:rPr>
          <w:rFonts w:hint="eastAsia" w:ascii="仿宋_GB2312" w:hAnsi="仿宋_GB2312" w:eastAsia="仿宋_GB2312" w:cs="仿宋_GB2312"/>
          <w:b w:val="0"/>
          <w:bCs w:val="0"/>
          <w:sz w:val="32"/>
          <w:szCs w:val="32"/>
          <w:lang w:eastAsia="zh-CN"/>
        </w:rPr>
        <w:t>法律法规</w:t>
      </w:r>
      <w:r>
        <w:rPr>
          <w:rFonts w:hint="eastAsia" w:ascii="仿宋_GB2312" w:hAnsi="仿宋_GB2312" w:eastAsia="仿宋_GB2312" w:cs="仿宋_GB2312"/>
          <w:b w:val="0"/>
          <w:bCs w:val="0"/>
          <w:sz w:val="32"/>
          <w:szCs w:val="32"/>
        </w:rPr>
        <w:t>、规章和国家方针政策的规定，建设布局合理，建设规模适度，工程措施生态环保，环境负面影响小，各项保障措施有力，生态和社会效益显著，项目建设时机和条件成熟，整体上无社会稳定性风险，项目建设具有必要性和可行性</w:t>
      </w:r>
      <w:r>
        <w:rPr>
          <w:rFonts w:hint="eastAsia" w:ascii="仿宋_GB2312" w:hAnsi="仿宋_GB2312" w:eastAsia="仿宋_GB2312" w:cs="仿宋_GB2312"/>
          <w:b w:val="0"/>
          <w:bCs w:val="0"/>
          <w:sz w:val="32"/>
          <w:szCs w:val="32"/>
          <w:lang w:eastAsia="zh-CN"/>
        </w:rPr>
        <w:t>。</w:t>
      </w:r>
    </w:p>
    <w:p w14:paraId="79DD0979">
      <w:pPr>
        <w:keepNext w:val="0"/>
        <w:pageBreakBefore w:val="0"/>
        <w:widowControl w:val="0"/>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三、绩效情况分析</w:t>
      </w:r>
    </w:p>
    <w:p w14:paraId="654D8A17">
      <w:pPr>
        <w:keepNext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highlight w:val="none"/>
          <w:lang w:eastAsia="zh-CN"/>
        </w:rPr>
        <w:t>（一）资金情况分析。</w:t>
      </w:r>
      <w:r>
        <w:rPr>
          <w:rFonts w:hint="eastAsia" w:ascii="仿宋_GB2312" w:hAnsi="仿宋_GB2312" w:eastAsia="仿宋_GB2312" w:cs="仿宋_GB2312"/>
          <w:b w:val="0"/>
          <w:bCs w:val="0"/>
          <w:sz w:val="32"/>
          <w:szCs w:val="32"/>
        </w:rPr>
        <w:t>2022年8月至12月先后下达资金</w:t>
      </w:r>
      <w:r>
        <w:rPr>
          <w:rFonts w:hint="eastAsia" w:ascii="仿宋_GB2312" w:hAnsi="仿宋_GB2312" w:eastAsia="仿宋_GB2312" w:cs="仿宋_GB2312"/>
          <w:b w:val="0"/>
          <w:bCs w:val="0"/>
          <w:sz w:val="32"/>
          <w:szCs w:val="32"/>
          <w:lang w:val="en-US" w:eastAsia="zh-CN"/>
        </w:rPr>
        <w:t>12.15</w:t>
      </w:r>
      <w:r>
        <w:rPr>
          <w:rFonts w:hint="eastAsia" w:ascii="仿宋_GB2312" w:hAnsi="仿宋_GB2312" w:eastAsia="仿宋_GB2312" w:cs="仿宋_GB2312"/>
          <w:b w:val="0"/>
          <w:bCs w:val="0"/>
          <w:sz w:val="32"/>
          <w:szCs w:val="32"/>
        </w:rPr>
        <w:t>万元。到位</w:t>
      </w:r>
      <w:r>
        <w:rPr>
          <w:rFonts w:hint="eastAsia" w:ascii="仿宋_GB2312" w:hAnsi="仿宋_GB2312" w:eastAsia="仿宋_GB2312" w:cs="仿宋_GB2312"/>
          <w:b w:val="0"/>
          <w:bCs w:val="0"/>
          <w:sz w:val="32"/>
          <w:szCs w:val="32"/>
          <w:lang w:val="en-US" w:eastAsia="zh-CN"/>
        </w:rPr>
        <w:t>12.15</w:t>
      </w:r>
      <w:r>
        <w:rPr>
          <w:rFonts w:hint="eastAsia" w:ascii="仿宋_GB2312" w:hAnsi="仿宋_GB2312" w:eastAsia="仿宋_GB2312" w:cs="仿宋_GB2312"/>
          <w:b w:val="0"/>
          <w:bCs w:val="0"/>
          <w:sz w:val="32"/>
          <w:szCs w:val="32"/>
        </w:rPr>
        <w:t>万元，同时完成支付</w:t>
      </w:r>
      <w:r>
        <w:rPr>
          <w:rFonts w:hint="eastAsia" w:ascii="仿宋_GB2312" w:hAnsi="仿宋_GB2312" w:eastAsia="仿宋_GB2312" w:cs="仿宋_GB2312"/>
          <w:b w:val="0"/>
          <w:bCs w:val="0"/>
          <w:sz w:val="32"/>
          <w:szCs w:val="32"/>
          <w:lang w:val="en-US" w:eastAsia="zh-CN"/>
        </w:rPr>
        <w:t>12.15</w:t>
      </w:r>
      <w:r>
        <w:rPr>
          <w:rFonts w:hint="eastAsia" w:ascii="仿宋_GB2312" w:hAnsi="仿宋_GB2312" w:eastAsia="仿宋_GB2312" w:cs="仿宋_GB2312"/>
          <w:b w:val="0"/>
          <w:bCs w:val="0"/>
          <w:sz w:val="32"/>
          <w:szCs w:val="32"/>
        </w:rPr>
        <w:t>万元。</w:t>
      </w:r>
    </w:p>
    <w:p w14:paraId="42F86DA0">
      <w:pPr>
        <w:keepNext w:val="0"/>
        <w:pageBreakBefore w:val="0"/>
        <w:widowControl w:val="0"/>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（二）资金管理情况分析。</w:t>
      </w:r>
      <w:r>
        <w:rPr>
          <w:rFonts w:hint="eastAsia" w:ascii="仿宋_GB2312" w:hAnsi="仿宋_GB2312" w:eastAsia="仿宋_GB2312" w:cs="仿宋_GB2312"/>
          <w:b w:val="0"/>
          <w:bCs w:val="0"/>
          <w:sz w:val="32"/>
          <w:szCs w:val="32"/>
        </w:rPr>
        <w:t>2022年8月至12月先后下达资金</w:t>
      </w:r>
      <w:r>
        <w:rPr>
          <w:rFonts w:hint="eastAsia" w:ascii="仿宋_GB2312" w:hAnsi="仿宋_GB2312" w:eastAsia="仿宋_GB2312" w:cs="仿宋_GB2312"/>
          <w:b w:val="0"/>
          <w:bCs w:val="0"/>
          <w:sz w:val="32"/>
          <w:szCs w:val="32"/>
          <w:lang w:val="en-US" w:eastAsia="zh-CN"/>
        </w:rPr>
        <w:t>12.15</w:t>
      </w:r>
      <w:r>
        <w:rPr>
          <w:rFonts w:hint="eastAsia" w:ascii="仿宋_GB2312" w:hAnsi="仿宋_GB2312" w:eastAsia="仿宋_GB2312" w:cs="仿宋_GB2312"/>
          <w:b w:val="0"/>
          <w:bCs w:val="0"/>
          <w:sz w:val="32"/>
          <w:szCs w:val="32"/>
        </w:rPr>
        <w:t>万元。到位</w:t>
      </w:r>
      <w:r>
        <w:rPr>
          <w:rFonts w:hint="eastAsia" w:ascii="仿宋_GB2312" w:hAnsi="仿宋_GB2312" w:eastAsia="仿宋_GB2312" w:cs="仿宋_GB2312"/>
          <w:b w:val="0"/>
          <w:bCs w:val="0"/>
          <w:sz w:val="32"/>
          <w:szCs w:val="32"/>
          <w:lang w:val="en-US" w:eastAsia="zh-CN"/>
        </w:rPr>
        <w:t>12.15</w:t>
      </w:r>
      <w:r>
        <w:rPr>
          <w:rFonts w:hint="eastAsia" w:ascii="仿宋_GB2312" w:hAnsi="仿宋_GB2312" w:eastAsia="仿宋_GB2312" w:cs="仿宋_GB2312"/>
          <w:b w:val="0"/>
          <w:bCs w:val="0"/>
          <w:sz w:val="32"/>
          <w:szCs w:val="32"/>
        </w:rPr>
        <w:t>万元，同时完成支付</w:t>
      </w:r>
      <w:r>
        <w:rPr>
          <w:rFonts w:hint="eastAsia" w:ascii="仿宋_GB2312" w:hAnsi="仿宋_GB2312" w:eastAsia="仿宋_GB2312" w:cs="仿宋_GB2312"/>
          <w:b w:val="0"/>
          <w:bCs w:val="0"/>
          <w:sz w:val="32"/>
          <w:szCs w:val="32"/>
          <w:lang w:val="en-US" w:eastAsia="zh-CN"/>
        </w:rPr>
        <w:t>12.15</w:t>
      </w:r>
      <w:r>
        <w:rPr>
          <w:rFonts w:hint="eastAsia" w:ascii="仿宋_GB2312" w:hAnsi="仿宋_GB2312" w:eastAsia="仿宋_GB2312" w:cs="仿宋_GB2312"/>
          <w:b w:val="0"/>
          <w:bCs w:val="0"/>
          <w:sz w:val="32"/>
          <w:szCs w:val="32"/>
        </w:rPr>
        <w:t>万元。采取授权支付形式，由林草局财务股，按工程进度严格按照项目资金管理办法对资金进行计划申请、划拨、使用、及时、规范对收支进行账务处理和会计核算。</w:t>
      </w:r>
    </w:p>
    <w:p w14:paraId="44A328C2">
      <w:pPr>
        <w:keepNext w:val="0"/>
        <w:keepLines/>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3"/>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（三）总体目标完成情况分析。</w:t>
      </w:r>
      <w:r>
        <w:rPr>
          <w:rFonts w:hint="eastAsia" w:ascii="仿宋_GB2312" w:hAnsi="仿宋_GB2312" w:eastAsia="仿宋_GB2312" w:cs="仿宋_GB2312"/>
          <w:b w:val="0"/>
          <w:bCs w:val="0"/>
          <w:sz w:val="32"/>
          <w:szCs w:val="32"/>
        </w:rPr>
        <w:t>按照该项目2022年度目标任务实际完成率为100%。</w:t>
      </w:r>
    </w:p>
    <w:p w14:paraId="48F4351B">
      <w:pPr>
        <w:keepNext w:val="0"/>
        <w:pageBreakBefore w:val="0"/>
        <w:widowControl w:val="0"/>
        <w:kinsoku/>
        <w:wordWrap/>
        <w:overflowPunct/>
        <w:topLinePunct w:val="0"/>
        <w:autoSpaceDE/>
        <w:autoSpaceDN/>
        <w:bidi w:val="0"/>
        <w:adjustRightInd/>
        <w:snapToGrid/>
        <w:spacing w:line="360" w:lineRule="auto"/>
        <w:ind w:firstLine="56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（四）绩效指标完成情况分析。</w:t>
      </w:r>
      <w:r>
        <w:rPr>
          <w:rFonts w:hint="eastAsia" w:ascii="仿宋_GB2312" w:hAnsi="仿宋_GB2312" w:eastAsia="仿宋_GB2312" w:cs="仿宋_GB2312"/>
          <w:b w:val="0"/>
          <w:bCs w:val="0"/>
          <w:sz w:val="32"/>
          <w:szCs w:val="32"/>
        </w:rPr>
        <w:t>该项目属于生态型社会公益性项目，项目建设具有显著的生态效益、社会效益，经济效益良好。</w:t>
      </w:r>
    </w:p>
    <w:p w14:paraId="6E24D9FC">
      <w:pPr>
        <w:pStyle w:val="4"/>
        <w:pageBreakBefore w:val="0"/>
        <w:widowControl w:val="0"/>
        <w:kinsoku/>
        <w:wordWrap/>
        <w:overflowPunct/>
        <w:topLinePunct w:val="0"/>
        <w:autoSpaceDE/>
        <w:autoSpaceDN/>
        <w:bidi w:val="0"/>
        <w:adjustRightInd/>
        <w:spacing w:before="190" w:after="190" w:line="360" w:lineRule="auto"/>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生态效益</w:t>
      </w:r>
    </w:p>
    <w:p w14:paraId="742565F8">
      <w:pPr>
        <w:pStyle w:val="4"/>
        <w:pageBreakBefore w:val="0"/>
        <w:widowControl w:val="0"/>
        <w:kinsoku/>
        <w:wordWrap/>
        <w:overflowPunct/>
        <w:topLinePunct w:val="0"/>
        <w:autoSpaceDE/>
        <w:autoSpaceDN/>
        <w:bidi w:val="0"/>
        <w:adjustRightInd/>
        <w:spacing w:before="190" w:after="190" w:line="360" w:lineRule="auto"/>
        <w:ind w:firstLine="640" w:firstLineChars="200"/>
        <w:rPr>
          <w:rFonts w:hint="eastAsia" w:ascii="仿宋_GB2312" w:hAnsi="仿宋_GB2312" w:eastAsia="仿宋_GB2312" w:cs="仿宋_GB2312"/>
          <w:b w:val="0"/>
          <w:bCs w:val="0"/>
          <w:snapToGrid w:val="0"/>
          <w:sz w:val="32"/>
          <w:szCs w:val="32"/>
        </w:rPr>
      </w:pPr>
      <w:r>
        <w:rPr>
          <w:rFonts w:hint="eastAsia" w:ascii="仿宋_GB2312" w:hAnsi="仿宋_GB2312" w:eastAsia="仿宋_GB2312" w:cs="仿宋_GB2312"/>
          <w:b w:val="0"/>
          <w:bCs w:val="0"/>
          <w:snapToGrid w:val="0"/>
          <w:sz w:val="32"/>
          <w:szCs w:val="32"/>
          <w:lang w:eastAsia="zh-CN"/>
        </w:rPr>
        <w:t>一是</w:t>
      </w:r>
      <w:r>
        <w:rPr>
          <w:rFonts w:hint="eastAsia" w:ascii="仿宋_GB2312" w:hAnsi="仿宋_GB2312" w:eastAsia="仿宋_GB2312" w:cs="仿宋_GB2312"/>
          <w:b w:val="0"/>
          <w:bCs w:val="0"/>
          <w:snapToGrid w:val="0"/>
          <w:sz w:val="32"/>
          <w:szCs w:val="32"/>
        </w:rPr>
        <w:t>松潘县黄河支流生态防护</w:t>
      </w:r>
      <w:r>
        <w:rPr>
          <w:rFonts w:hint="eastAsia" w:ascii="仿宋_GB2312" w:hAnsi="仿宋_GB2312" w:eastAsia="仿宋_GB2312" w:cs="仿宋_GB2312"/>
          <w:b w:val="0"/>
          <w:bCs w:val="0"/>
          <w:snapToGrid w:val="0"/>
          <w:sz w:val="32"/>
          <w:szCs w:val="32"/>
          <w:lang w:val="en-US" w:eastAsia="zh-CN"/>
        </w:rPr>
        <w:t>带</w:t>
      </w:r>
      <w:r>
        <w:rPr>
          <w:rFonts w:hint="eastAsia" w:ascii="仿宋_GB2312" w:hAnsi="仿宋_GB2312" w:eastAsia="仿宋_GB2312" w:cs="仿宋_GB2312"/>
          <w:b w:val="0"/>
          <w:bCs w:val="0"/>
          <w:snapToGrid w:val="0"/>
          <w:sz w:val="32"/>
          <w:szCs w:val="32"/>
        </w:rPr>
        <w:t>建设</w:t>
      </w:r>
      <w:r>
        <w:rPr>
          <w:rFonts w:hint="eastAsia" w:ascii="仿宋_GB2312" w:hAnsi="仿宋_GB2312" w:eastAsia="仿宋_GB2312" w:cs="仿宋_GB2312"/>
          <w:b w:val="0"/>
          <w:bCs w:val="0"/>
          <w:snapToGrid w:val="0"/>
          <w:sz w:val="32"/>
          <w:szCs w:val="32"/>
          <w:lang w:val="en-US" w:eastAsia="zh-CN"/>
        </w:rPr>
        <w:t>项目</w:t>
      </w:r>
      <w:r>
        <w:rPr>
          <w:rFonts w:hint="eastAsia" w:ascii="仿宋_GB2312" w:hAnsi="仿宋_GB2312" w:eastAsia="仿宋_GB2312" w:cs="仿宋_GB2312"/>
          <w:b w:val="0"/>
          <w:bCs w:val="0"/>
          <w:snapToGrid w:val="0"/>
          <w:sz w:val="32"/>
          <w:szCs w:val="32"/>
        </w:rPr>
        <w:t>的实施将有效恢复治理区内湿地、草原生态系统的生态功能，地面植被将逐步恢复，覆盖度提高，有效地拦截雨水，水源涵养能力，并促进生物多样性保护，实现生态系统良性循环，人与自然和谐共处。</w:t>
      </w:r>
      <w:r>
        <w:rPr>
          <w:rFonts w:hint="eastAsia" w:ascii="仿宋_GB2312" w:hAnsi="仿宋_GB2312" w:eastAsia="仿宋_GB2312" w:cs="仿宋_GB2312"/>
          <w:b w:val="0"/>
          <w:bCs w:val="0"/>
          <w:snapToGrid w:val="0"/>
          <w:sz w:val="32"/>
          <w:szCs w:val="32"/>
          <w:lang w:eastAsia="zh-CN"/>
        </w:rPr>
        <w:t>二是</w:t>
      </w:r>
      <w:r>
        <w:rPr>
          <w:rFonts w:hint="eastAsia" w:ascii="仿宋_GB2312" w:hAnsi="仿宋_GB2312" w:eastAsia="仿宋_GB2312" w:cs="仿宋_GB2312"/>
          <w:b w:val="0"/>
          <w:bCs w:val="0"/>
          <w:snapToGrid w:val="0"/>
          <w:sz w:val="32"/>
          <w:szCs w:val="32"/>
        </w:rPr>
        <w:t>保障区域生态安全。项目的实施使该地区独特的湿地生态系统、水域、水源得到有效保护，保证有源源不断的水流注入黄河流域。这对极度缺水的黄河中下游地区来讲，具有极大的生态价值，同时也能在一定程度上保障黄河流域的生态安全。</w:t>
      </w:r>
      <w:r>
        <w:rPr>
          <w:rFonts w:hint="eastAsia" w:ascii="仿宋_GB2312" w:hAnsi="仿宋_GB2312" w:eastAsia="仿宋_GB2312" w:cs="仿宋_GB2312"/>
          <w:b w:val="0"/>
          <w:bCs w:val="0"/>
          <w:snapToGrid w:val="0"/>
          <w:sz w:val="32"/>
          <w:szCs w:val="32"/>
          <w:lang w:eastAsia="zh-CN"/>
        </w:rPr>
        <w:t>三是</w:t>
      </w:r>
      <w:r>
        <w:rPr>
          <w:rFonts w:hint="eastAsia" w:ascii="仿宋_GB2312" w:hAnsi="仿宋_GB2312" w:eastAsia="仿宋_GB2312" w:cs="仿宋_GB2312"/>
          <w:b w:val="0"/>
          <w:bCs w:val="0"/>
          <w:snapToGrid w:val="0"/>
          <w:sz w:val="32"/>
          <w:szCs w:val="32"/>
        </w:rPr>
        <w:t>保护生物多样性。项目的实施能够切实保护各种野生动植物赖以生存的生境资源，维护和完善生态系统中的食物链，拓展生物的生存空间，维持或提高项目区的生物多样性水平。尤其对湿地珍稀鸟类的生存、繁衍和保护有重大的意义，充分体现出生物多样性保护的价值。</w:t>
      </w:r>
      <w:r>
        <w:rPr>
          <w:rFonts w:hint="eastAsia" w:ascii="仿宋_GB2312" w:hAnsi="仿宋_GB2312" w:eastAsia="仿宋_GB2312" w:cs="仿宋_GB2312"/>
          <w:b w:val="0"/>
          <w:bCs w:val="0"/>
          <w:snapToGrid w:val="0"/>
          <w:sz w:val="32"/>
          <w:szCs w:val="32"/>
          <w:lang w:eastAsia="zh-CN"/>
        </w:rPr>
        <w:t>四是</w:t>
      </w:r>
      <w:r>
        <w:rPr>
          <w:rFonts w:hint="eastAsia" w:ascii="仿宋_GB2312" w:hAnsi="仿宋_GB2312" w:eastAsia="仿宋_GB2312" w:cs="仿宋_GB2312"/>
          <w:b w:val="0"/>
          <w:bCs w:val="0"/>
          <w:snapToGrid w:val="0"/>
          <w:sz w:val="32"/>
          <w:szCs w:val="32"/>
        </w:rPr>
        <w:t>缓解区域温室效应。项目所在区域位于国家重要湿地，项目实施对减少大气CO</w:t>
      </w:r>
      <w:r>
        <w:rPr>
          <w:rFonts w:hint="eastAsia" w:ascii="仿宋_GB2312" w:hAnsi="仿宋_GB2312" w:eastAsia="仿宋_GB2312" w:cs="仿宋_GB2312"/>
          <w:b w:val="0"/>
          <w:bCs w:val="0"/>
          <w:snapToGrid w:val="0"/>
          <w:sz w:val="32"/>
          <w:szCs w:val="32"/>
          <w:vertAlign w:val="subscript"/>
        </w:rPr>
        <w:t>2</w:t>
      </w:r>
      <w:r>
        <w:rPr>
          <w:rFonts w:hint="eastAsia" w:ascii="仿宋_GB2312" w:hAnsi="仿宋_GB2312" w:eastAsia="仿宋_GB2312" w:cs="仿宋_GB2312"/>
          <w:b w:val="0"/>
          <w:bCs w:val="0"/>
          <w:snapToGrid w:val="0"/>
          <w:sz w:val="32"/>
          <w:szCs w:val="32"/>
        </w:rPr>
        <w:t>等温室气体浓度，从而降低温室效应，稳定气候具有重要的作用。项目的实施将有效维持湿地面积，提高其中泥炭的碳储量，从而降低局部大气中CO</w:t>
      </w:r>
      <w:r>
        <w:rPr>
          <w:rFonts w:hint="eastAsia" w:ascii="仿宋_GB2312" w:hAnsi="仿宋_GB2312" w:eastAsia="仿宋_GB2312" w:cs="仿宋_GB2312"/>
          <w:b w:val="0"/>
          <w:bCs w:val="0"/>
          <w:snapToGrid w:val="0"/>
          <w:sz w:val="32"/>
          <w:szCs w:val="32"/>
          <w:vertAlign w:val="subscript"/>
        </w:rPr>
        <w:t>2</w:t>
      </w:r>
      <w:r>
        <w:rPr>
          <w:rFonts w:hint="eastAsia" w:ascii="仿宋_GB2312" w:hAnsi="仿宋_GB2312" w:eastAsia="仿宋_GB2312" w:cs="仿宋_GB2312"/>
          <w:b w:val="0"/>
          <w:bCs w:val="0"/>
          <w:snapToGrid w:val="0"/>
          <w:sz w:val="32"/>
          <w:szCs w:val="32"/>
        </w:rPr>
        <w:t>浓度，缓解日益加剧的温室效应。</w:t>
      </w:r>
    </w:p>
    <w:p w14:paraId="40E02F09">
      <w:pPr>
        <w:pStyle w:val="4"/>
        <w:pageBreakBefore w:val="0"/>
        <w:widowControl w:val="0"/>
        <w:kinsoku/>
        <w:wordWrap/>
        <w:overflowPunct/>
        <w:topLinePunct w:val="0"/>
        <w:autoSpaceDE/>
        <w:autoSpaceDN/>
        <w:bidi w:val="0"/>
        <w:adjustRightInd/>
        <w:spacing w:before="190" w:after="190" w:line="360" w:lineRule="auto"/>
        <w:ind w:firstLine="640" w:firstLineChars="200"/>
        <w:rPr>
          <w:rFonts w:hint="eastAsia" w:ascii="仿宋_GB2312" w:hAnsi="仿宋_GB2312" w:eastAsia="仿宋_GB2312" w:cs="仿宋_GB2312"/>
          <w:b w:val="0"/>
          <w:bCs w:val="0"/>
          <w:sz w:val="32"/>
          <w:szCs w:val="32"/>
        </w:rPr>
      </w:pPr>
      <w:bookmarkStart w:id="20" w:name="_Toc20058"/>
      <w:bookmarkStart w:id="21" w:name="_Toc496884250"/>
      <w:bookmarkStart w:id="22" w:name="_Toc379846357"/>
      <w:bookmarkStart w:id="23" w:name="_Toc375692016"/>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社会效益</w:t>
      </w:r>
      <w:bookmarkEnd w:id="20"/>
      <w:bookmarkEnd w:id="21"/>
      <w:bookmarkEnd w:id="22"/>
      <w:bookmarkEnd w:id="23"/>
    </w:p>
    <w:p w14:paraId="61AF53EA">
      <w:pPr>
        <w:pageBreakBefore w:val="0"/>
        <w:widowControl w:val="0"/>
        <w:kinsoku/>
        <w:wordWrap/>
        <w:overflowPunct/>
        <w:topLinePunct w:val="0"/>
        <w:autoSpaceDE/>
        <w:autoSpaceDN/>
        <w:bidi w:val="0"/>
        <w:adjustRightInd/>
        <w:spacing w:line="360" w:lineRule="auto"/>
        <w:ind w:firstLine="640" w:firstLineChars="200"/>
        <w:rPr>
          <w:rFonts w:hint="eastAsia" w:ascii="仿宋_GB2312" w:hAnsi="仿宋_GB2312" w:eastAsia="仿宋_GB2312" w:cs="仿宋_GB2312"/>
          <w:b w:val="0"/>
          <w:bCs w:val="0"/>
          <w:snapToGrid w:val="0"/>
          <w:sz w:val="32"/>
          <w:szCs w:val="32"/>
        </w:rPr>
      </w:pPr>
      <w:r>
        <w:rPr>
          <w:rFonts w:hint="eastAsia" w:ascii="仿宋_GB2312" w:hAnsi="仿宋_GB2312" w:eastAsia="仿宋_GB2312" w:cs="仿宋_GB2312"/>
          <w:b w:val="0"/>
          <w:bCs w:val="0"/>
          <w:snapToGrid w:val="0"/>
          <w:sz w:val="32"/>
          <w:szCs w:val="32"/>
          <w:lang w:eastAsia="zh-CN"/>
        </w:rPr>
        <w:t>一是</w:t>
      </w:r>
      <w:r>
        <w:rPr>
          <w:rFonts w:hint="eastAsia" w:ascii="仿宋_GB2312" w:hAnsi="仿宋_GB2312" w:eastAsia="仿宋_GB2312" w:cs="仿宋_GB2312"/>
          <w:b w:val="0"/>
          <w:bCs w:val="0"/>
          <w:snapToGrid w:val="0"/>
          <w:sz w:val="32"/>
          <w:szCs w:val="32"/>
        </w:rPr>
        <w:t>改善农牧民生产生活条件</w:t>
      </w:r>
      <w:r>
        <w:rPr>
          <w:rFonts w:hint="eastAsia" w:ascii="仿宋_GB2312" w:hAnsi="仿宋_GB2312" w:eastAsia="仿宋_GB2312" w:cs="仿宋_GB2312"/>
          <w:b w:val="0"/>
          <w:bCs w:val="0"/>
          <w:snapToGrid w:val="0"/>
          <w:sz w:val="32"/>
          <w:szCs w:val="32"/>
          <w:lang w:eastAsia="zh-CN"/>
        </w:rPr>
        <w:t>。</w:t>
      </w:r>
      <w:r>
        <w:rPr>
          <w:rFonts w:hint="eastAsia" w:ascii="仿宋_GB2312" w:hAnsi="仿宋_GB2312" w:eastAsia="仿宋_GB2312" w:cs="仿宋_GB2312"/>
          <w:b w:val="0"/>
          <w:bCs w:val="0"/>
          <w:snapToGrid w:val="0"/>
          <w:sz w:val="32"/>
          <w:szCs w:val="32"/>
        </w:rPr>
        <w:t>开展黄河支流生态防护带建设，将促进农牧业产业结构调整、优化，引导牧民从靠天养畜、掠夺式经营向建设养畜、科学利用草地资源转变，并有效地将环境保护、畜牧业结构调整、地方经济发展等结合起来，提高畜牧业科技水平，提供社会就业机会，增加项目区村民的劳务收入，繁荣地方经济；同时，随着项目的实施，区域生态环境的改善，将促进商业、旅游等二、三产业发展，带动地区经济的可持续发展，加快该地区小康建设步伐，实现各民族共同富裕，促进社会、经济、文化全面进步。</w:t>
      </w:r>
    </w:p>
    <w:p w14:paraId="3B71AB46">
      <w:pPr>
        <w:pageBreakBefore w:val="0"/>
        <w:widowControl w:val="0"/>
        <w:kinsoku/>
        <w:wordWrap/>
        <w:overflowPunct/>
        <w:topLinePunct w:val="0"/>
        <w:autoSpaceDE/>
        <w:autoSpaceDN/>
        <w:bidi w:val="0"/>
        <w:adjustRightInd/>
        <w:spacing w:line="360" w:lineRule="auto"/>
        <w:ind w:firstLine="640" w:firstLineChars="200"/>
        <w:rPr>
          <w:rFonts w:hint="eastAsia" w:ascii="仿宋_GB2312" w:hAnsi="仿宋_GB2312" w:eastAsia="仿宋_GB2312" w:cs="仿宋_GB2312"/>
          <w:b w:val="0"/>
          <w:bCs w:val="0"/>
          <w:snapToGrid w:val="0"/>
          <w:sz w:val="32"/>
          <w:szCs w:val="32"/>
        </w:rPr>
      </w:pPr>
      <w:r>
        <w:rPr>
          <w:rFonts w:hint="eastAsia" w:ascii="仿宋_GB2312" w:hAnsi="仿宋_GB2312" w:eastAsia="仿宋_GB2312" w:cs="仿宋_GB2312"/>
          <w:b w:val="0"/>
          <w:bCs w:val="0"/>
          <w:snapToGrid w:val="0"/>
          <w:sz w:val="32"/>
          <w:szCs w:val="32"/>
          <w:lang w:eastAsia="zh-CN"/>
        </w:rPr>
        <w:t>二是</w:t>
      </w:r>
      <w:r>
        <w:rPr>
          <w:rFonts w:hint="eastAsia" w:ascii="仿宋_GB2312" w:hAnsi="仿宋_GB2312" w:eastAsia="仿宋_GB2312" w:cs="仿宋_GB2312"/>
          <w:b w:val="0"/>
          <w:bCs w:val="0"/>
          <w:snapToGrid w:val="0"/>
          <w:sz w:val="32"/>
          <w:szCs w:val="32"/>
        </w:rPr>
        <w:t>增加劳动力就业机会，助推乡村振兴</w:t>
      </w:r>
      <w:r>
        <w:rPr>
          <w:rFonts w:hint="eastAsia" w:ascii="仿宋_GB2312" w:hAnsi="仿宋_GB2312" w:eastAsia="仿宋_GB2312" w:cs="仿宋_GB2312"/>
          <w:b w:val="0"/>
          <w:bCs w:val="0"/>
          <w:snapToGrid w:val="0"/>
          <w:sz w:val="32"/>
          <w:szCs w:val="32"/>
          <w:lang w:eastAsia="zh-CN"/>
        </w:rPr>
        <w:t>。</w:t>
      </w:r>
      <w:r>
        <w:rPr>
          <w:rFonts w:hint="eastAsia" w:ascii="仿宋_GB2312" w:hAnsi="仿宋_GB2312" w:eastAsia="仿宋_GB2312" w:cs="仿宋_GB2312"/>
          <w:b w:val="0"/>
          <w:bCs w:val="0"/>
          <w:snapToGrid w:val="0"/>
          <w:sz w:val="32"/>
          <w:szCs w:val="32"/>
        </w:rPr>
        <w:t>项目建设产生的劳务用工，对增加当地农牧民收入尤其是推进生态产业发展起到积极作用。项目实施还可助推区域旅游业</w:t>
      </w:r>
      <w:r>
        <w:rPr>
          <w:rFonts w:hint="eastAsia" w:ascii="仿宋_GB2312" w:hAnsi="仿宋_GB2312" w:eastAsia="仿宋_GB2312" w:cs="仿宋_GB2312"/>
          <w:b w:val="0"/>
          <w:bCs w:val="0"/>
          <w:snapToGrid w:val="0"/>
          <w:sz w:val="32"/>
          <w:szCs w:val="32"/>
          <w:lang w:eastAsia="zh-CN"/>
        </w:rPr>
        <w:t>和其他</w:t>
      </w:r>
      <w:r>
        <w:rPr>
          <w:rFonts w:hint="eastAsia" w:ascii="仿宋_GB2312" w:hAnsi="仿宋_GB2312" w:eastAsia="仿宋_GB2312" w:cs="仿宋_GB2312"/>
          <w:b w:val="0"/>
          <w:bCs w:val="0"/>
          <w:snapToGrid w:val="0"/>
          <w:sz w:val="32"/>
          <w:szCs w:val="32"/>
        </w:rPr>
        <w:t>相关二、三产业的发展，也将带来大量的农村劳动力就业机会，直接助推项目区乡村振兴的进程。</w:t>
      </w:r>
    </w:p>
    <w:p w14:paraId="69301B83">
      <w:pPr>
        <w:pageBreakBefore w:val="0"/>
        <w:widowControl w:val="0"/>
        <w:kinsoku/>
        <w:wordWrap/>
        <w:overflowPunct/>
        <w:topLinePunct w:val="0"/>
        <w:autoSpaceDE/>
        <w:autoSpaceDN/>
        <w:bidi w:val="0"/>
        <w:adjustRightInd/>
        <w:spacing w:line="360" w:lineRule="auto"/>
        <w:ind w:firstLine="640" w:firstLineChars="200"/>
        <w:rPr>
          <w:rFonts w:hint="eastAsia" w:ascii="仿宋_GB2312" w:hAnsi="仿宋_GB2312" w:eastAsia="仿宋_GB2312" w:cs="仿宋_GB2312"/>
          <w:b w:val="0"/>
          <w:bCs w:val="0"/>
          <w:snapToGrid w:val="0"/>
          <w:sz w:val="32"/>
          <w:szCs w:val="32"/>
        </w:rPr>
      </w:pPr>
      <w:r>
        <w:rPr>
          <w:rFonts w:hint="eastAsia" w:ascii="仿宋_GB2312" w:hAnsi="仿宋_GB2312" w:eastAsia="仿宋_GB2312" w:cs="仿宋_GB2312"/>
          <w:b w:val="0"/>
          <w:bCs w:val="0"/>
          <w:snapToGrid w:val="0"/>
          <w:sz w:val="32"/>
          <w:szCs w:val="32"/>
          <w:lang w:eastAsia="zh-CN"/>
        </w:rPr>
        <w:t>三是</w:t>
      </w:r>
      <w:r>
        <w:rPr>
          <w:rFonts w:hint="eastAsia" w:ascii="仿宋_GB2312" w:hAnsi="仿宋_GB2312" w:eastAsia="仿宋_GB2312" w:cs="仿宋_GB2312"/>
          <w:b w:val="0"/>
          <w:bCs w:val="0"/>
          <w:snapToGrid w:val="0"/>
          <w:sz w:val="32"/>
          <w:szCs w:val="32"/>
        </w:rPr>
        <w:t>增强社会各界生态保护意识</w:t>
      </w:r>
      <w:r>
        <w:rPr>
          <w:rFonts w:hint="eastAsia" w:ascii="仿宋_GB2312" w:hAnsi="仿宋_GB2312" w:eastAsia="仿宋_GB2312" w:cs="仿宋_GB2312"/>
          <w:b w:val="0"/>
          <w:bCs w:val="0"/>
          <w:snapToGrid w:val="0"/>
          <w:sz w:val="32"/>
          <w:szCs w:val="32"/>
          <w:lang w:eastAsia="zh-CN"/>
        </w:rPr>
        <w:t>。</w:t>
      </w:r>
      <w:r>
        <w:rPr>
          <w:rFonts w:hint="eastAsia" w:ascii="仿宋_GB2312" w:hAnsi="仿宋_GB2312" w:eastAsia="仿宋_GB2312" w:cs="仿宋_GB2312"/>
          <w:b w:val="0"/>
          <w:bCs w:val="0"/>
          <w:snapToGrid w:val="0"/>
          <w:sz w:val="32"/>
          <w:szCs w:val="32"/>
        </w:rPr>
        <w:t>通过宣教，让更多人知道生态系统、野生动植物、生物圈等对人类生存发展的重要性，树立尊重自然、保护自然、善待自然的科学理念，营造全社会关心、支持生态保护的良好氛围，引导、鼓励广大农牧民从业者节约资源和使用清洁能源，增强全民生态保护意识和责任意识，加强生态保护与建设重要理念深入人心。</w:t>
      </w:r>
    </w:p>
    <w:p w14:paraId="3F2EE0C3">
      <w:pPr>
        <w:pageBreakBefore w:val="0"/>
        <w:widowControl w:val="0"/>
        <w:kinsoku/>
        <w:wordWrap/>
        <w:overflowPunct/>
        <w:topLinePunct w:val="0"/>
        <w:autoSpaceDE/>
        <w:autoSpaceDN/>
        <w:bidi w:val="0"/>
        <w:adjustRightInd/>
        <w:spacing w:line="360" w:lineRule="auto"/>
        <w:ind w:firstLine="640" w:firstLineChars="200"/>
        <w:rPr>
          <w:rFonts w:hint="eastAsia" w:ascii="仿宋_GB2312" w:hAnsi="仿宋_GB2312" w:eastAsia="仿宋_GB2312" w:cs="仿宋_GB2312"/>
          <w:b w:val="0"/>
          <w:bCs w:val="0"/>
          <w:snapToGrid w:val="0"/>
          <w:sz w:val="32"/>
          <w:szCs w:val="32"/>
        </w:rPr>
      </w:pPr>
      <w:r>
        <w:rPr>
          <w:rFonts w:hint="eastAsia" w:ascii="仿宋_GB2312" w:hAnsi="仿宋_GB2312" w:eastAsia="仿宋_GB2312" w:cs="仿宋_GB2312"/>
          <w:b w:val="0"/>
          <w:bCs w:val="0"/>
          <w:snapToGrid w:val="0"/>
          <w:sz w:val="32"/>
          <w:szCs w:val="32"/>
          <w:lang w:eastAsia="zh-CN"/>
        </w:rPr>
        <w:t>四是</w:t>
      </w:r>
      <w:r>
        <w:rPr>
          <w:rFonts w:hint="eastAsia" w:ascii="仿宋_GB2312" w:hAnsi="仿宋_GB2312" w:eastAsia="仿宋_GB2312" w:cs="仿宋_GB2312"/>
          <w:b w:val="0"/>
          <w:bCs w:val="0"/>
          <w:snapToGrid w:val="0"/>
          <w:sz w:val="32"/>
          <w:szCs w:val="32"/>
        </w:rPr>
        <w:t>促进民族团结社会和谐</w:t>
      </w:r>
      <w:r>
        <w:rPr>
          <w:rFonts w:hint="eastAsia" w:ascii="仿宋_GB2312" w:hAnsi="仿宋_GB2312" w:eastAsia="仿宋_GB2312" w:cs="仿宋_GB2312"/>
          <w:b w:val="0"/>
          <w:bCs w:val="0"/>
          <w:snapToGrid w:val="0"/>
          <w:sz w:val="32"/>
          <w:szCs w:val="32"/>
          <w:lang w:eastAsia="zh-CN"/>
        </w:rPr>
        <w:t>。</w:t>
      </w:r>
      <w:r>
        <w:rPr>
          <w:rFonts w:hint="eastAsia" w:ascii="仿宋_GB2312" w:hAnsi="仿宋_GB2312" w:eastAsia="仿宋_GB2312" w:cs="仿宋_GB2312"/>
          <w:b w:val="0"/>
          <w:bCs w:val="0"/>
          <w:snapToGrid w:val="0"/>
          <w:sz w:val="32"/>
          <w:szCs w:val="32"/>
        </w:rPr>
        <w:t>通过区域湿地治理项目治理，在改善当地生态环境的同时，将改善农牧业基本生产条件，提高农牧民群众的生产、生活水平，地区公共基础设施和服务手段得到改善，为农牧区经济发展提供外部条件。此外，通过项目资金投入，可激活县内外生产力要素市场，促进地区经济社会可持续发展，从而促进区域经济的发展和繁荣，进一步加强民族团结和保持社会稳定。</w:t>
      </w:r>
    </w:p>
    <w:p w14:paraId="62EA7782">
      <w:pPr>
        <w:pStyle w:val="4"/>
        <w:pageBreakBefore w:val="0"/>
        <w:widowControl w:val="0"/>
        <w:numPr>
          <w:ilvl w:val="0"/>
          <w:numId w:val="0"/>
        </w:numPr>
        <w:kinsoku/>
        <w:wordWrap/>
        <w:overflowPunct/>
        <w:topLinePunct w:val="0"/>
        <w:autoSpaceDE/>
        <w:autoSpaceDN/>
        <w:bidi w:val="0"/>
        <w:adjustRightInd/>
        <w:spacing w:before="190" w:after="190" w:line="360" w:lineRule="auto"/>
        <w:ind w:firstLine="640" w:firstLineChars="200"/>
        <w:rPr>
          <w:rFonts w:hint="eastAsia" w:ascii="仿宋_GB2312" w:hAnsi="仿宋_GB2312" w:eastAsia="仿宋_GB2312" w:cs="仿宋_GB2312"/>
          <w:b w:val="0"/>
          <w:bCs w:val="0"/>
          <w:sz w:val="32"/>
          <w:szCs w:val="32"/>
        </w:rPr>
      </w:pPr>
      <w:bookmarkStart w:id="24" w:name="_Toc496884251"/>
      <w:bookmarkStart w:id="25" w:name="_Toc379846358"/>
      <w:bookmarkStart w:id="26" w:name="_Toc10020"/>
      <w:bookmarkStart w:id="27" w:name="_Toc375692017"/>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经济效益</w:t>
      </w:r>
      <w:bookmarkEnd w:id="24"/>
      <w:bookmarkEnd w:id="25"/>
      <w:bookmarkEnd w:id="26"/>
      <w:bookmarkEnd w:id="27"/>
    </w:p>
    <w:p w14:paraId="3D8DCE45">
      <w:pPr>
        <w:pStyle w:val="4"/>
        <w:pageBreakBefore w:val="0"/>
        <w:widowControl w:val="0"/>
        <w:numPr>
          <w:ilvl w:val="0"/>
          <w:numId w:val="0"/>
        </w:numPr>
        <w:kinsoku/>
        <w:wordWrap/>
        <w:overflowPunct/>
        <w:topLinePunct w:val="0"/>
        <w:autoSpaceDE/>
        <w:autoSpaceDN/>
        <w:bidi w:val="0"/>
        <w:adjustRightInd/>
        <w:spacing w:before="190" w:after="190" w:line="360" w:lineRule="auto"/>
        <w:ind w:firstLine="640" w:firstLineChars="200"/>
        <w:rPr>
          <w:rFonts w:hint="eastAsia" w:ascii="仿宋_GB2312" w:hAnsi="仿宋_GB2312" w:eastAsia="仿宋_GB2312" w:cs="仿宋_GB2312"/>
          <w:b w:val="0"/>
          <w:bCs w:val="0"/>
          <w:snapToGrid w:val="0"/>
          <w:sz w:val="32"/>
          <w:szCs w:val="32"/>
        </w:rPr>
      </w:pPr>
      <w:r>
        <w:rPr>
          <w:rFonts w:hint="eastAsia" w:ascii="仿宋_GB2312" w:hAnsi="仿宋_GB2312" w:eastAsia="仿宋_GB2312" w:cs="仿宋_GB2312"/>
          <w:b w:val="0"/>
          <w:bCs w:val="0"/>
          <w:snapToGrid w:val="0"/>
          <w:sz w:val="32"/>
          <w:szCs w:val="32"/>
        </w:rPr>
        <w:t>项目实施后，除了能够产生劳务收益外，后期牧草生长后，通过收割、出售，还能得到收入。同时，项目区生态系统功能的恢复和增强将产生间接经济效益，主要体现在林草植被本身具有的涵养水源、固土保肥、碳氧平衡等生态功能以及洪灾、泥石流、旱灾、病虫鼠害等自然灾害减少，提高单位产草量等。除上述直接经济效益外，还能带动区域投资环境改善和生态旅游发展，也会产生一定的间接经济效益。</w:t>
      </w:r>
    </w:p>
    <w:p w14:paraId="1648BAD9">
      <w:pPr>
        <w:keepNext w:val="0"/>
        <w:pageBreakBefore w:val="0"/>
        <w:widowControl w:val="0"/>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四、发现的主要问题和改进措施</w:t>
      </w:r>
    </w:p>
    <w:p w14:paraId="56CCAB30">
      <w:pPr>
        <w:keepNext w:val="0"/>
        <w:pageBreakBefore w:val="0"/>
        <w:widowControl w:val="0"/>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无。</w:t>
      </w:r>
    </w:p>
    <w:p w14:paraId="089F5240">
      <w:pPr>
        <w:keepNext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五、绩效自评结果拟应用和公开情况</w:t>
      </w:r>
    </w:p>
    <w:p w14:paraId="0FC65FAB">
      <w:pPr>
        <w:pStyle w:val="10"/>
        <w:keepNext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本项目采取项目工作领导小组负责制，全体成员积极配合、通力合作。项目工作领导小组负责协调相关工作，项目实施及资金管理。项目资金按投资计划，制定管理制度，对项目资金按项目单独核算实行“专款专用、专人管理”，不得挤占挪用项目资金。强化监督，项目的正常实施监督检查是保障</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。指派专人长期对项目的实施定期或不定期的进行现场检查和监督，在政务公开栏及时进行了三公开，保证项目质量。</w:t>
      </w:r>
    </w:p>
    <w:p w14:paraId="0979D89A">
      <w:pPr>
        <w:keepNext w:val="0"/>
        <w:pageBreakBefore w:val="0"/>
        <w:widowControl w:val="0"/>
        <w:kinsoku/>
        <w:wordWrap/>
        <w:overflowPunct/>
        <w:topLinePunct w:val="0"/>
        <w:autoSpaceDE/>
        <w:autoSpaceDN/>
        <w:bidi w:val="0"/>
        <w:adjustRightInd/>
        <w:snapToGrid/>
        <w:spacing w:line="360" w:lineRule="auto"/>
        <w:outlineLvl w:val="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六、绩效自评工作开展情况</w:t>
      </w:r>
    </w:p>
    <w:p w14:paraId="2292AD43">
      <w:pPr>
        <w:pStyle w:val="7"/>
        <w:keepNext w:val="0"/>
        <w:pageBreakBefore w:val="0"/>
        <w:widowControl w:val="0"/>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按时完成2022年度目标，资金投入到位，资金管理情况分配科学、下达及时、拨付合规、使用规范、执行准确，严格执行事前、事中、事后绩效评价，服务对象满意度良好。</w:t>
      </w:r>
    </w:p>
    <w:p w14:paraId="5925661B">
      <w:pPr>
        <w:keepNext w:val="0"/>
        <w:pageBreakBefore w:val="0"/>
        <w:widowControl w:val="0"/>
        <w:kinsoku/>
        <w:wordWrap/>
        <w:overflowPunct/>
        <w:topLinePunct w:val="0"/>
        <w:autoSpaceDE/>
        <w:autoSpaceDN/>
        <w:bidi w:val="0"/>
        <w:adjustRightInd/>
        <w:snapToGrid/>
        <w:spacing w:line="360" w:lineRule="auto"/>
        <w:ind w:firstLine="640" w:firstLineChars="200"/>
        <w:outlineLvl w:val="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七、其他需要说明的问题</w:t>
      </w:r>
    </w:p>
    <w:p w14:paraId="1BBB4D0C">
      <w:pPr>
        <w:pStyle w:val="7"/>
        <w:keepNext w:val="0"/>
        <w:pageBreakBefore w:val="0"/>
        <w:widowControl w:val="0"/>
        <w:kinsoku/>
        <w:wordWrap/>
        <w:overflowPunct/>
        <w:topLinePunct w:val="0"/>
        <w:autoSpaceDE/>
        <w:autoSpaceDN/>
        <w:bidi w:val="0"/>
        <w:adjustRightInd/>
        <w:snapToGrid/>
        <w:spacing w:line="360" w:lineRule="auto"/>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无</w:t>
      </w:r>
      <w:r>
        <w:rPr>
          <w:rFonts w:hint="eastAsia" w:ascii="仿宋_GB2312" w:hAnsi="仿宋_GB2312" w:eastAsia="仿宋_GB2312" w:cs="仿宋_GB2312"/>
          <w:b w:val="0"/>
          <w:bCs w:val="0"/>
          <w:sz w:val="32"/>
          <w:szCs w:val="32"/>
          <w:lang w:eastAsia="zh-CN"/>
        </w:rPr>
        <w:t>。</w:t>
      </w:r>
    </w:p>
    <w:p w14:paraId="27AE9DFF">
      <w:pPr>
        <w:pStyle w:val="20"/>
        <w:keepNext w:val="0"/>
        <w:keepLines w:val="0"/>
        <w:widowControl/>
        <w:suppressLineNumbers w:val="0"/>
        <w:spacing w:before="0" w:beforeAutospacing="0"/>
        <w:ind w:left="0"/>
        <w:jc w:val="center"/>
        <w:rPr>
          <w:rStyle w:val="21"/>
          <w:rFonts w:hint="eastAsia" w:ascii="宋体" w:hAnsi="宋体" w:eastAsia="宋体" w:cs="宋体"/>
          <w:b/>
          <w:bCs/>
          <w:sz w:val="39"/>
          <w:szCs w:val="39"/>
          <w:shd w:val="clear" w:fill="FFFFFF"/>
        </w:rPr>
      </w:pPr>
    </w:p>
    <w:p w14:paraId="7AF51416">
      <w:pPr>
        <w:pStyle w:val="20"/>
        <w:keepNext w:val="0"/>
        <w:keepLines w:val="0"/>
        <w:widowControl/>
        <w:suppressLineNumbers w:val="0"/>
        <w:spacing w:before="0" w:beforeAutospacing="0"/>
        <w:ind w:left="0"/>
        <w:jc w:val="center"/>
        <w:rPr>
          <w:rStyle w:val="21"/>
          <w:rFonts w:hint="eastAsia" w:ascii="黑体" w:hAnsi="黑体" w:eastAsia="黑体" w:cs="黑体"/>
          <w:b/>
          <w:bCs/>
          <w:sz w:val="44"/>
          <w:szCs w:val="44"/>
          <w:shd w:val="clear" w:fill="FFFFFF"/>
        </w:rPr>
      </w:pPr>
    </w:p>
    <w:p w14:paraId="50428CB5">
      <w:pPr>
        <w:pStyle w:val="20"/>
        <w:keepNext w:val="0"/>
        <w:keepLines w:val="0"/>
        <w:widowControl/>
        <w:suppressLineNumbers w:val="0"/>
        <w:spacing w:before="0" w:beforeAutospacing="0"/>
        <w:ind w:left="0"/>
        <w:jc w:val="center"/>
        <w:rPr>
          <w:rStyle w:val="21"/>
          <w:rFonts w:hint="eastAsia" w:ascii="黑体" w:hAnsi="黑体" w:eastAsia="黑体" w:cs="黑体"/>
          <w:b/>
          <w:bCs/>
          <w:sz w:val="44"/>
          <w:szCs w:val="44"/>
          <w:shd w:val="clear" w:fill="FFFFFF"/>
        </w:rPr>
      </w:pPr>
    </w:p>
    <w:p w14:paraId="5A1BA40D">
      <w:pPr>
        <w:pStyle w:val="20"/>
        <w:keepNext w:val="0"/>
        <w:keepLines w:val="0"/>
        <w:widowControl/>
        <w:suppressLineNumbers w:val="0"/>
        <w:spacing w:before="0" w:beforeAutospacing="0"/>
        <w:ind w:left="0"/>
        <w:jc w:val="center"/>
        <w:rPr>
          <w:rFonts w:hint="eastAsia" w:ascii="黑体" w:hAnsi="黑体" w:eastAsia="黑体" w:cs="黑体"/>
          <w:kern w:val="0"/>
          <w:sz w:val="44"/>
          <w:szCs w:val="44"/>
        </w:rPr>
      </w:pPr>
      <w:r>
        <w:rPr>
          <w:rStyle w:val="21"/>
          <w:rFonts w:hint="eastAsia" w:ascii="黑体" w:hAnsi="黑体" w:eastAsia="黑体" w:cs="黑体"/>
          <w:b/>
          <w:bCs/>
          <w:sz w:val="44"/>
          <w:szCs w:val="44"/>
          <w:shd w:val="clear" w:fill="FFFFFF"/>
        </w:rPr>
        <w:t>第三部分 名词解释</w:t>
      </w:r>
    </w:p>
    <w:p w14:paraId="0404E986">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1E74ED4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480" w:firstLineChars="200"/>
        <w:jc w:val="left"/>
        <w:textAlignment w:val="auto"/>
        <w:rPr>
          <w:rFonts w:hint="eastAsia" w:ascii="仿宋_GB2312" w:hAnsi="仿宋_GB2312" w:eastAsia="仿宋_GB2312" w:cs="仿宋_GB2312"/>
          <w:b w:val="0"/>
          <w:bCs w:val="0"/>
          <w:kern w:val="0"/>
          <w:sz w:val="32"/>
          <w:szCs w:val="32"/>
        </w:rPr>
      </w:pPr>
      <w:r>
        <w:rPr>
          <w:rFonts w:hint="eastAsia" w:ascii="宋体" w:hAnsi="宋体" w:eastAsia="宋体" w:cs="宋体"/>
          <w:kern w:val="0"/>
          <w:sz w:val="24"/>
          <w:szCs w:val="24"/>
          <w:shd w:val="clear" w:fill="FFFFFF"/>
        </w:rPr>
        <w:t>1</w:t>
      </w:r>
      <w:r>
        <w:rPr>
          <w:rFonts w:hint="eastAsia" w:ascii="仿宋_GB2312" w:hAnsi="仿宋_GB2312" w:eastAsia="仿宋_GB2312" w:cs="仿宋_GB2312"/>
          <w:b w:val="0"/>
          <w:bCs w:val="0"/>
          <w:kern w:val="0"/>
          <w:sz w:val="32"/>
          <w:szCs w:val="32"/>
          <w:shd w:val="clear" w:fill="FFFFFF"/>
        </w:rPr>
        <w:t>.财政拨款收入：指单位从同级财政部门取得的财政预算资金。</w:t>
      </w:r>
    </w:p>
    <w:p w14:paraId="57E51CC3">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2</w:t>
      </w:r>
      <w:r>
        <w:rPr>
          <w:rFonts w:hint="eastAsia" w:ascii="仿宋_GB2312" w:hAnsi="仿宋_GB2312" w:eastAsia="仿宋_GB2312" w:cs="仿宋_GB2312"/>
          <w:b w:val="0"/>
          <w:bCs w:val="0"/>
          <w:kern w:val="0"/>
          <w:sz w:val="32"/>
          <w:szCs w:val="32"/>
          <w:shd w:val="clear" w:fill="FFFFFF"/>
        </w:rPr>
        <w:t>.使用非财政拨款结余：指事业单位使用以前年度积累的非财政拨款结余弥补当年收支差额的金额。</w:t>
      </w:r>
    </w:p>
    <w:p w14:paraId="5E05379D">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3</w:t>
      </w:r>
      <w:r>
        <w:rPr>
          <w:rFonts w:hint="eastAsia" w:ascii="仿宋_GB2312" w:hAnsi="仿宋_GB2312" w:eastAsia="仿宋_GB2312" w:cs="仿宋_GB2312"/>
          <w:b w:val="0"/>
          <w:bCs w:val="0"/>
          <w:kern w:val="0"/>
          <w:sz w:val="32"/>
          <w:szCs w:val="32"/>
          <w:shd w:val="clear" w:fill="FFFFFF"/>
        </w:rPr>
        <w:t>.年初结转和结余：指以前年度尚未完成、结转到本年按有关规定继续使用的资金。</w:t>
      </w:r>
    </w:p>
    <w:p w14:paraId="1C4965F7">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4</w:t>
      </w:r>
      <w:r>
        <w:rPr>
          <w:rFonts w:hint="eastAsia" w:ascii="仿宋_GB2312" w:hAnsi="仿宋_GB2312" w:eastAsia="仿宋_GB2312" w:cs="仿宋_GB2312"/>
          <w:b w:val="0"/>
          <w:bCs w:val="0"/>
          <w:kern w:val="0"/>
          <w:sz w:val="32"/>
          <w:szCs w:val="32"/>
          <w:shd w:val="clear" w:fill="FFFFFF"/>
        </w:rPr>
        <w:t>.结余分配：指事业单位按照会计制度规定缴纳的所得税、提取的专用结余以及转入非财政拨款结余的金额等。</w:t>
      </w:r>
    </w:p>
    <w:p w14:paraId="507F0526">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5</w:t>
      </w:r>
      <w:r>
        <w:rPr>
          <w:rFonts w:hint="eastAsia" w:ascii="仿宋_GB2312" w:hAnsi="仿宋_GB2312" w:eastAsia="仿宋_GB2312" w:cs="仿宋_GB2312"/>
          <w:b w:val="0"/>
          <w:bCs w:val="0"/>
          <w:kern w:val="0"/>
          <w:sz w:val="32"/>
          <w:szCs w:val="32"/>
          <w:shd w:val="clear" w:fill="FFFFFF"/>
        </w:rPr>
        <w:t>、年末结转和结余：指单位按有关规定结转到下年或以后年度继续使用的资金。</w:t>
      </w:r>
    </w:p>
    <w:p w14:paraId="7C0FE216">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6</w:t>
      </w:r>
      <w:r>
        <w:rPr>
          <w:rFonts w:hint="eastAsia" w:ascii="仿宋_GB2312" w:hAnsi="仿宋_GB2312" w:eastAsia="仿宋_GB2312" w:cs="仿宋_GB2312"/>
          <w:b w:val="0"/>
          <w:bCs w:val="0"/>
          <w:kern w:val="0"/>
          <w:sz w:val="32"/>
          <w:szCs w:val="32"/>
          <w:shd w:val="clear" w:fill="FFFFFF"/>
        </w:rPr>
        <w:t>.社会保障和就业（类）208（款）05（项）05：指机关事业单位基本养老保险缴费支出。</w:t>
      </w:r>
    </w:p>
    <w:p w14:paraId="650B90DD">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7</w:t>
      </w:r>
      <w:r>
        <w:rPr>
          <w:rFonts w:hint="eastAsia" w:ascii="仿宋_GB2312" w:hAnsi="仿宋_GB2312" w:eastAsia="仿宋_GB2312" w:cs="仿宋_GB2312"/>
          <w:b w:val="0"/>
          <w:bCs w:val="0"/>
          <w:kern w:val="0"/>
          <w:sz w:val="32"/>
          <w:szCs w:val="32"/>
          <w:shd w:val="clear" w:fill="FFFFFF"/>
        </w:rPr>
        <w:t>.社会保障和就业（类）208（款）05（项）06：指机关事业单位职业年金缴费支出。</w:t>
      </w:r>
    </w:p>
    <w:p w14:paraId="751D5AB0">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8</w:t>
      </w:r>
      <w:r>
        <w:rPr>
          <w:rFonts w:hint="eastAsia" w:ascii="仿宋_GB2312" w:hAnsi="仿宋_GB2312" w:eastAsia="仿宋_GB2312" w:cs="仿宋_GB2312"/>
          <w:b w:val="0"/>
          <w:bCs w:val="0"/>
          <w:kern w:val="0"/>
          <w:sz w:val="32"/>
          <w:szCs w:val="32"/>
          <w:shd w:val="clear" w:fill="FFFFFF"/>
        </w:rPr>
        <w:t>.卫生健康（类）210（款）11（项）01：指行政单位医疗。</w:t>
      </w:r>
    </w:p>
    <w:p w14:paraId="55455D7F">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9</w:t>
      </w:r>
      <w:r>
        <w:rPr>
          <w:rFonts w:hint="eastAsia" w:ascii="仿宋_GB2312" w:hAnsi="仿宋_GB2312" w:eastAsia="仿宋_GB2312" w:cs="仿宋_GB2312"/>
          <w:b w:val="0"/>
          <w:bCs w:val="0"/>
          <w:kern w:val="0"/>
          <w:sz w:val="32"/>
          <w:szCs w:val="32"/>
          <w:shd w:val="clear" w:fill="FFFFFF"/>
        </w:rPr>
        <w:t>.卫生健康（类）210（款）11（项）03：指公务员医疗补助。</w:t>
      </w:r>
    </w:p>
    <w:p w14:paraId="14D8EDD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10</w:t>
      </w:r>
      <w:r>
        <w:rPr>
          <w:rFonts w:hint="eastAsia" w:ascii="仿宋_GB2312" w:hAnsi="仿宋_GB2312" w:eastAsia="仿宋_GB2312" w:cs="仿宋_GB2312"/>
          <w:b w:val="0"/>
          <w:bCs w:val="0"/>
          <w:kern w:val="0"/>
          <w:sz w:val="32"/>
          <w:szCs w:val="32"/>
          <w:shd w:val="clear" w:fill="FFFFFF"/>
        </w:rPr>
        <w:t>.节能环保（类）211（款）03（项）02：指水体。</w:t>
      </w:r>
    </w:p>
    <w:p w14:paraId="0E86D02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11</w:t>
      </w:r>
      <w:r>
        <w:rPr>
          <w:rFonts w:hint="eastAsia" w:ascii="仿宋_GB2312" w:hAnsi="仿宋_GB2312" w:eastAsia="仿宋_GB2312" w:cs="仿宋_GB2312"/>
          <w:b w:val="0"/>
          <w:bCs w:val="0"/>
          <w:kern w:val="0"/>
          <w:sz w:val="32"/>
          <w:szCs w:val="32"/>
          <w:shd w:val="clear" w:fill="FFFFFF"/>
        </w:rPr>
        <w:t>.节能环保（类）211（款）04（项）01：指生态保护。</w:t>
      </w:r>
    </w:p>
    <w:p w14:paraId="38344D04">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12</w:t>
      </w:r>
      <w:r>
        <w:rPr>
          <w:rFonts w:hint="eastAsia" w:ascii="仿宋_GB2312" w:hAnsi="仿宋_GB2312" w:eastAsia="仿宋_GB2312" w:cs="仿宋_GB2312"/>
          <w:b w:val="0"/>
          <w:bCs w:val="0"/>
          <w:kern w:val="0"/>
          <w:sz w:val="32"/>
          <w:szCs w:val="32"/>
          <w:shd w:val="clear" w:fill="FFFFFF"/>
        </w:rPr>
        <w:t>.节能环保（类）211（款）04（项）05：指草原生态修复治理。</w:t>
      </w:r>
    </w:p>
    <w:p w14:paraId="1EEDA4B5">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13</w:t>
      </w:r>
      <w:r>
        <w:rPr>
          <w:rFonts w:hint="eastAsia" w:ascii="仿宋_GB2312" w:hAnsi="仿宋_GB2312" w:eastAsia="仿宋_GB2312" w:cs="仿宋_GB2312"/>
          <w:b w:val="0"/>
          <w:bCs w:val="0"/>
          <w:kern w:val="0"/>
          <w:sz w:val="32"/>
          <w:szCs w:val="32"/>
          <w:shd w:val="clear" w:fill="FFFFFF"/>
        </w:rPr>
        <w:t>.节能环保（类）211（款）04（项）06：指自然保护地。</w:t>
      </w:r>
    </w:p>
    <w:p w14:paraId="4FBADF1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14</w:t>
      </w:r>
      <w:r>
        <w:rPr>
          <w:rFonts w:hint="eastAsia" w:ascii="仿宋_GB2312" w:hAnsi="仿宋_GB2312" w:eastAsia="仿宋_GB2312" w:cs="仿宋_GB2312"/>
          <w:b w:val="0"/>
          <w:bCs w:val="0"/>
          <w:kern w:val="0"/>
          <w:sz w:val="32"/>
          <w:szCs w:val="32"/>
          <w:shd w:val="clear" w:fill="FFFFFF"/>
        </w:rPr>
        <w:t>.节能环保（类）211（款）05（项）02：指社会保险补助。</w:t>
      </w:r>
    </w:p>
    <w:p w14:paraId="64C83930">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15</w:t>
      </w:r>
      <w:r>
        <w:rPr>
          <w:rFonts w:hint="eastAsia" w:ascii="仿宋_GB2312" w:hAnsi="仿宋_GB2312" w:eastAsia="仿宋_GB2312" w:cs="仿宋_GB2312"/>
          <w:b w:val="0"/>
          <w:bCs w:val="0"/>
          <w:kern w:val="0"/>
          <w:sz w:val="32"/>
          <w:szCs w:val="32"/>
          <w:shd w:val="clear" w:fill="FFFFFF"/>
        </w:rPr>
        <w:t>.节能环保（类）211（款）99（项）99：指其他节能环保支出。</w:t>
      </w:r>
    </w:p>
    <w:p w14:paraId="2FFE753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16</w:t>
      </w:r>
      <w:r>
        <w:rPr>
          <w:rFonts w:hint="eastAsia" w:ascii="仿宋_GB2312" w:hAnsi="仿宋_GB2312" w:eastAsia="仿宋_GB2312" w:cs="仿宋_GB2312"/>
          <w:b w:val="0"/>
          <w:bCs w:val="0"/>
          <w:kern w:val="0"/>
          <w:sz w:val="32"/>
          <w:szCs w:val="32"/>
          <w:shd w:val="clear" w:fill="FFFFFF"/>
        </w:rPr>
        <w:t>.农林水（类）213（款）02（项）01：指行政运行。</w:t>
      </w:r>
    </w:p>
    <w:p w14:paraId="1D8D51E4">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17</w:t>
      </w:r>
      <w:r>
        <w:rPr>
          <w:rFonts w:hint="eastAsia" w:ascii="仿宋_GB2312" w:hAnsi="仿宋_GB2312" w:eastAsia="仿宋_GB2312" w:cs="仿宋_GB2312"/>
          <w:b w:val="0"/>
          <w:bCs w:val="0"/>
          <w:kern w:val="0"/>
          <w:sz w:val="32"/>
          <w:szCs w:val="32"/>
          <w:shd w:val="clear" w:fill="FFFFFF"/>
        </w:rPr>
        <w:t>.农林水（类）213（款）02（项）05：指森林资源培育。</w:t>
      </w:r>
    </w:p>
    <w:p w14:paraId="52EBCBC6">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18</w:t>
      </w:r>
      <w:r>
        <w:rPr>
          <w:rFonts w:hint="eastAsia" w:ascii="仿宋_GB2312" w:hAnsi="仿宋_GB2312" w:eastAsia="仿宋_GB2312" w:cs="仿宋_GB2312"/>
          <w:b w:val="0"/>
          <w:bCs w:val="0"/>
          <w:kern w:val="0"/>
          <w:sz w:val="32"/>
          <w:szCs w:val="32"/>
          <w:shd w:val="clear" w:fill="FFFFFF"/>
        </w:rPr>
        <w:t>.农林水（类）213（款）02（项）07：指森林资源管理。</w:t>
      </w:r>
    </w:p>
    <w:p w14:paraId="2BF156EC">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19</w:t>
      </w:r>
      <w:r>
        <w:rPr>
          <w:rFonts w:hint="eastAsia" w:ascii="仿宋_GB2312" w:hAnsi="仿宋_GB2312" w:eastAsia="仿宋_GB2312" w:cs="仿宋_GB2312"/>
          <w:b w:val="0"/>
          <w:bCs w:val="0"/>
          <w:kern w:val="0"/>
          <w:sz w:val="32"/>
          <w:szCs w:val="32"/>
          <w:shd w:val="clear" w:fill="FFFFFF"/>
        </w:rPr>
        <w:t>.农林水（类）213（款）02（项）09：指森林生态效益补偿。</w:t>
      </w:r>
    </w:p>
    <w:p w14:paraId="04309B1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20</w:t>
      </w:r>
      <w:r>
        <w:rPr>
          <w:rFonts w:hint="eastAsia" w:ascii="仿宋_GB2312" w:hAnsi="仿宋_GB2312" w:eastAsia="仿宋_GB2312" w:cs="仿宋_GB2312"/>
          <w:b w:val="0"/>
          <w:bCs w:val="0"/>
          <w:kern w:val="0"/>
          <w:sz w:val="32"/>
          <w:szCs w:val="32"/>
          <w:shd w:val="clear" w:fill="FFFFFF"/>
        </w:rPr>
        <w:t>.农林水（类）213（款）02（项）12：指湿地保护。</w:t>
      </w:r>
    </w:p>
    <w:p w14:paraId="1E546D59">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21</w:t>
      </w:r>
      <w:r>
        <w:rPr>
          <w:rFonts w:hint="eastAsia" w:ascii="仿宋_GB2312" w:hAnsi="仿宋_GB2312" w:eastAsia="仿宋_GB2312" w:cs="仿宋_GB2312"/>
          <w:b w:val="0"/>
          <w:bCs w:val="0"/>
          <w:kern w:val="0"/>
          <w:sz w:val="32"/>
          <w:szCs w:val="32"/>
          <w:shd w:val="clear" w:fill="FFFFFF"/>
        </w:rPr>
        <w:t>.农林水（类）213（款）02（项）17：指防沙治沙。</w:t>
      </w:r>
    </w:p>
    <w:p w14:paraId="7BB5B48A">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22</w:t>
      </w:r>
      <w:r>
        <w:rPr>
          <w:rFonts w:hint="eastAsia" w:ascii="仿宋_GB2312" w:hAnsi="仿宋_GB2312" w:eastAsia="仿宋_GB2312" w:cs="仿宋_GB2312"/>
          <w:b w:val="0"/>
          <w:bCs w:val="0"/>
          <w:kern w:val="0"/>
          <w:sz w:val="32"/>
          <w:szCs w:val="32"/>
          <w:shd w:val="clear" w:fill="FFFFFF"/>
        </w:rPr>
        <w:t>.农林水（类）213（款）02（项）34：指林业草原防灾减灾。</w:t>
      </w:r>
    </w:p>
    <w:p w14:paraId="324D66AE">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23</w:t>
      </w:r>
      <w:r>
        <w:rPr>
          <w:rFonts w:hint="eastAsia" w:ascii="仿宋_GB2312" w:hAnsi="仿宋_GB2312" w:eastAsia="仿宋_GB2312" w:cs="仿宋_GB2312"/>
          <w:b w:val="0"/>
          <w:bCs w:val="0"/>
          <w:kern w:val="0"/>
          <w:sz w:val="32"/>
          <w:szCs w:val="32"/>
          <w:shd w:val="clear" w:fill="FFFFFF"/>
        </w:rPr>
        <w:t>.农林水（类）213（款）02（项）36：指草原管理。</w:t>
      </w:r>
    </w:p>
    <w:p w14:paraId="140D3270">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24</w:t>
      </w:r>
      <w:r>
        <w:rPr>
          <w:rFonts w:hint="eastAsia" w:ascii="仿宋_GB2312" w:hAnsi="仿宋_GB2312" w:eastAsia="仿宋_GB2312" w:cs="仿宋_GB2312"/>
          <w:b w:val="0"/>
          <w:bCs w:val="0"/>
          <w:kern w:val="0"/>
          <w:sz w:val="32"/>
          <w:szCs w:val="32"/>
          <w:shd w:val="clear" w:fill="FFFFFF"/>
        </w:rPr>
        <w:t>.农林水（类）213（款）02（项）99：指其他林业草原支出。</w:t>
      </w:r>
    </w:p>
    <w:p w14:paraId="31B20C59">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25</w:t>
      </w:r>
      <w:r>
        <w:rPr>
          <w:rFonts w:hint="eastAsia" w:ascii="仿宋_GB2312" w:hAnsi="仿宋_GB2312" w:eastAsia="仿宋_GB2312" w:cs="仿宋_GB2312"/>
          <w:b w:val="0"/>
          <w:bCs w:val="0"/>
          <w:kern w:val="0"/>
          <w:sz w:val="32"/>
          <w:szCs w:val="32"/>
          <w:shd w:val="clear" w:fill="FFFFFF"/>
        </w:rPr>
        <w:t>.自然资源海洋气象等（类）220（款）01（项）06：指自然资源利用与保护。</w:t>
      </w:r>
    </w:p>
    <w:p w14:paraId="3C7B4617">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shd w:val="clear" w:fill="FFFFFF"/>
        </w:rPr>
      </w:pPr>
      <w:r>
        <w:rPr>
          <w:rFonts w:hint="eastAsia" w:ascii="仿宋_GB2312" w:hAnsi="仿宋_GB2312" w:eastAsia="仿宋_GB2312" w:cs="仿宋_GB2312"/>
          <w:b w:val="0"/>
          <w:bCs w:val="0"/>
          <w:kern w:val="0"/>
          <w:sz w:val="32"/>
          <w:szCs w:val="32"/>
          <w:shd w:val="clear" w:fill="FFFFFF"/>
          <w:lang w:val="en-US" w:eastAsia="zh-CN"/>
        </w:rPr>
        <w:t>26</w:t>
      </w:r>
      <w:r>
        <w:rPr>
          <w:rFonts w:hint="eastAsia" w:ascii="仿宋_GB2312" w:hAnsi="仿宋_GB2312" w:eastAsia="仿宋_GB2312" w:cs="仿宋_GB2312"/>
          <w:b w:val="0"/>
          <w:bCs w:val="0"/>
          <w:kern w:val="0"/>
          <w:sz w:val="32"/>
          <w:szCs w:val="32"/>
          <w:shd w:val="clear" w:fill="FFFFFF"/>
        </w:rPr>
        <w:t>.住房保障（类）221（款）02（项）01：指住房公积金。</w:t>
      </w:r>
    </w:p>
    <w:p w14:paraId="6A4A670C">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（解释本部门决算报表中涉及的全部功能分类科目至项级，不涉及的科目请自行删除。请参照《2022年政府收支分类科目》增减内容。）</w:t>
      </w:r>
    </w:p>
    <w:p w14:paraId="02A423BD">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27</w:t>
      </w:r>
      <w:r>
        <w:rPr>
          <w:rFonts w:hint="eastAsia" w:ascii="仿宋_GB2312" w:hAnsi="仿宋_GB2312" w:eastAsia="仿宋_GB2312" w:cs="仿宋_GB2312"/>
          <w:b w:val="0"/>
          <w:bCs w:val="0"/>
          <w:kern w:val="0"/>
          <w:sz w:val="32"/>
          <w:szCs w:val="32"/>
          <w:shd w:val="clear" w:fill="FFFFFF"/>
        </w:rPr>
        <w:t>.基本支出：指为保障机构正常运转、完成日常工作任务而发生的人员支出和公用支出。</w:t>
      </w:r>
    </w:p>
    <w:p w14:paraId="6505E06F">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28</w:t>
      </w:r>
      <w:r>
        <w:rPr>
          <w:rFonts w:hint="eastAsia" w:ascii="仿宋_GB2312" w:hAnsi="仿宋_GB2312" w:eastAsia="仿宋_GB2312" w:cs="仿宋_GB2312"/>
          <w:b w:val="0"/>
          <w:bCs w:val="0"/>
          <w:kern w:val="0"/>
          <w:sz w:val="32"/>
          <w:szCs w:val="32"/>
          <w:shd w:val="clear" w:fill="FFFFFF"/>
        </w:rPr>
        <w:t>.项目支出：指在基本支出之外为完成特定行政任务和事业发展目标所发生的支出。</w:t>
      </w:r>
    </w:p>
    <w:p w14:paraId="6BD03962">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29</w:t>
      </w:r>
      <w:r>
        <w:rPr>
          <w:rFonts w:hint="eastAsia" w:ascii="仿宋_GB2312" w:hAnsi="仿宋_GB2312" w:eastAsia="仿宋_GB2312" w:cs="仿宋_GB2312"/>
          <w:b w:val="0"/>
          <w:bCs w:val="0"/>
          <w:kern w:val="0"/>
          <w:sz w:val="32"/>
          <w:szCs w:val="32"/>
          <w:shd w:val="clear" w:fill="FFFFFF"/>
        </w:rPr>
        <w:t>.经营支出：指事业单位在专业业务活动及其辅助活动之外开展非独立核算经营活动发生的支出。</w:t>
      </w:r>
    </w:p>
    <w:p w14:paraId="4D0F3EFF">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30</w:t>
      </w:r>
      <w:r>
        <w:rPr>
          <w:rFonts w:hint="eastAsia" w:ascii="仿宋_GB2312" w:hAnsi="仿宋_GB2312" w:eastAsia="仿宋_GB2312" w:cs="仿宋_GB2312"/>
          <w:b w:val="0"/>
          <w:bCs w:val="0"/>
          <w:kern w:val="0"/>
          <w:sz w:val="32"/>
          <w:szCs w:val="32"/>
          <w:shd w:val="clear"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03A7A54">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31</w:t>
      </w:r>
      <w:r>
        <w:rPr>
          <w:rFonts w:hint="eastAsia" w:ascii="仿宋_GB2312" w:hAnsi="仿宋_GB2312" w:eastAsia="仿宋_GB2312" w:cs="仿宋_GB2312"/>
          <w:b w:val="0"/>
          <w:bCs w:val="0"/>
          <w:kern w:val="0"/>
          <w:sz w:val="32"/>
          <w:szCs w:val="32"/>
          <w:shd w:val="clear"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CC587CD">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lang w:val="en-US" w:eastAsia="zh-CN"/>
        </w:rPr>
        <w:t>32</w:t>
      </w:r>
      <w:r>
        <w:rPr>
          <w:rFonts w:hint="eastAsia" w:ascii="仿宋_GB2312" w:hAnsi="仿宋_GB2312" w:eastAsia="仿宋_GB2312" w:cs="仿宋_GB2312"/>
          <w:b w:val="0"/>
          <w:bCs w:val="0"/>
          <w:kern w:val="0"/>
          <w:sz w:val="32"/>
          <w:szCs w:val="32"/>
          <w:shd w:val="clear" w:fill="FFFFFF"/>
        </w:rPr>
        <w:t>.……。</w:t>
      </w:r>
    </w:p>
    <w:p w14:paraId="72B098C9">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shd w:val="clear" w:fill="FFFFFF"/>
        </w:rPr>
        <w:t xml:space="preserve"> </w:t>
      </w:r>
    </w:p>
    <w:p w14:paraId="3C205291">
      <w:pPr>
        <w:pStyle w:val="20"/>
        <w:keepNext w:val="0"/>
        <w:keepLines w:val="0"/>
        <w:pageBreakBefore w:val="0"/>
        <w:widowControl/>
        <w:suppressLineNumbers w:val="0"/>
        <w:kinsoku/>
        <w:wordWrap/>
        <w:overflowPunct/>
        <w:topLinePunct w:val="0"/>
        <w:autoSpaceDE/>
        <w:autoSpaceDN/>
        <w:bidi w:val="0"/>
        <w:adjustRightInd/>
        <w:snapToGrid/>
        <w:spacing w:before="0" w:beforeAutospacing="0"/>
        <w:ind w:left="0" w:firstLine="640" w:firstLineChars="200"/>
        <w:jc w:val="left"/>
        <w:textAlignment w:val="auto"/>
        <w:rPr>
          <w:rFonts w:hint="eastAsia" w:ascii="仿宋_GB2312" w:hAnsi="仿宋_GB2312" w:eastAsia="仿宋_GB2312" w:cs="仿宋_GB2312"/>
          <w:b w:val="0"/>
          <w:bCs w:val="0"/>
          <w:kern w:val="0"/>
          <w:sz w:val="32"/>
          <w:szCs w:val="32"/>
        </w:rPr>
      </w:pPr>
      <w:r>
        <w:rPr>
          <w:rStyle w:val="21"/>
          <w:rFonts w:hint="eastAsia" w:ascii="仿宋_GB2312" w:hAnsi="仿宋_GB2312" w:eastAsia="仿宋_GB2312" w:cs="仿宋_GB2312"/>
          <w:b w:val="0"/>
          <w:bCs w:val="0"/>
          <w:sz w:val="32"/>
          <w:szCs w:val="32"/>
          <w:shd w:val="clear" w:fill="FFFFFF"/>
        </w:rPr>
        <w:t>（名词解释部分请根据各部门实际列支情况罗列，并根据本部门职责职能增减名词解释内容。）</w:t>
      </w:r>
    </w:p>
    <w:p w14:paraId="60495EF6">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7997D759">
      <w:pPr>
        <w:pStyle w:val="20"/>
        <w:keepNext w:val="0"/>
        <w:keepLines w:val="0"/>
        <w:widowControl/>
        <w:suppressLineNumbers w:val="0"/>
        <w:spacing w:before="0" w:beforeAutospacing="0"/>
        <w:ind w:left="0"/>
        <w:jc w:val="center"/>
        <w:rPr>
          <w:rFonts w:hint="eastAsia" w:ascii="黑体" w:hAnsi="黑体" w:eastAsia="黑体" w:cs="黑体"/>
          <w:kern w:val="0"/>
          <w:sz w:val="44"/>
          <w:szCs w:val="44"/>
        </w:rPr>
      </w:pPr>
      <w:r>
        <w:rPr>
          <w:rStyle w:val="21"/>
          <w:rFonts w:hint="eastAsia" w:ascii="黑体" w:hAnsi="黑体" w:eastAsia="黑体" w:cs="黑体"/>
          <w:b/>
          <w:bCs/>
          <w:sz w:val="44"/>
          <w:szCs w:val="44"/>
          <w:shd w:val="clear" w:fill="FFFFFF"/>
        </w:rPr>
        <w:t>第四部分 附件</w:t>
      </w:r>
    </w:p>
    <w:p w14:paraId="598485EF">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63FFCF6C">
      <w:pPr>
        <w:pStyle w:val="20"/>
        <w:keepNext w:val="0"/>
        <w:keepLines w:val="0"/>
        <w:widowControl/>
        <w:suppressLineNumbers w:val="0"/>
        <w:spacing w:before="0" w:beforeAutospacing="0"/>
        <w:ind w:left="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部门预算项目支出绩效自评表（2022年度）</w:t>
      </w:r>
    </w:p>
    <w:p w14:paraId="0E726476">
      <w:pPr>
        <w:pStyle w:val="20"/>
        <w:keepNext w:val="0"/>
        <w:keepLines w:val="0"/>
        <w:widowControl/>
        <w:suppressLineNumbers w:val="0"/>
        <w:spacing w:before="0" w:beforeAutospacing="0"/>
        <w:ind w:left="0"/>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 xml:space="preserve"> </w:t>
      </w:r>
    </w:p>
    <w:p w14:paraId="66D83E39">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仿宋_GB2312" w:hAnsi="仿宋_GB2312" w:eastAsia="仿宋_GB2312" w:cs="仿宋_GB2312"/>
          <w:kern w:val="0"/>
          <w:sz w:val="32"/>
          <w:szCs w:val="32"/>
          <w:shd w:val="clear" w:fill="FFFFFF"/>
        </w:rPr>
        <w:t>（备注：按照绩效自评工作安排，各单位可在预算管理一体化系统—综合报表查询—预算绩效报表模块中下载本单位“部门预算项目支出绩效自评表（2022年度）”，该表格应作为附件予以公开。）</w:t>
      </w:r>
    </w:p>
    <w:p w14:paraId="52D16B2E">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09F475E6">
      <w:pPr>
        <w:pStyle w:val="20"/>
        <w:keepNext w:val="0"/>
        <w:keepLines w:val="0"/>
        <w:widowControl/>
        <w:suppressLineNumbers w:val="0"/>
        <w:spacing w:before="0" w:beforeAutospacing="0"/>
        <w:ind w:left="0"/>
        <w:jc w:val="left"/>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附表</w:t>
      </w:r>
    </w:p>
    <w:p w14:paraId="3BD03FBB">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14:paraId="25B6C9F3">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tbl>
      <w:tblPr>
        <w:tblStyle w:val="17"/>
        <w:tblW w:w="0" w:type="auto"/>
        <w:tblInd w:w="32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43"/>
        <w:gridCol w:w="958"/>
        <w:gridCol w:w="1361"/>
        <w:gridCol w:w="994"/>
        <w:gridCol w:w="1030"/>
        <w:gridCol w:w="2004"/>
      </w:tblGrid>
      <w:tr w14:paraId="6D1E43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82" w:hRule="atLeast"/>
        </w:trPr>
        <w:tc>
          <w:tcPr>
            <w:tcW w:w="8580"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14:paraId="1C1A6F7F">
            <w:pPr>
              <w:pStyle w:val="20"/>
              <w:keepNext w:val="0"/>
              <w:keepLines w:val="0"/>
              <w:widowControl/>
              <w:suppressLineNumbers w:val="0"/>
              <w:jc w:val="center"/>
              <w:rPr>
                <w:rFonts w:hint="eastAsia" w:ascii="宋体" w:hAnsi="宋体" w:eastAsia="宋体" w:cs="宋体"/>
                <w:b w:val="0"/>
                <w:bCs w:val="0"/>
                <w:kern w:val="0"/>
                <w:sz w:val="24"/>
                <w:szCs w:val="24"/>
              </w:rPr>
            </w:pPr>
            <w:r>
              <w:rPr>
                <w:rStyle w:val="23"/>
                <w:rFonts w:hint="eastAsia" w:ascii="宋体" w:hAnsi="宋体" w:eastAsia="宋体" w:cs="宋体"/>
                <w:b w:val="0"/>
                <w:bCs w:val="0"/>
                <w:sz w:val="24"/>
                <w:szCs w:val="24"/>
              </w:rPr>
              <w:t>2022年100万元以上（含）特定目标类部门预算项目绩效目标自评</w:t>
            </w:r>
          </w:p>
        </w:tc>
      </w:tr>
      <w:tr w14:paraId="42F4F7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0" w:hRule="atLeast"/>
        </w:trPr>
        <w:tc>
          <w:tcPr>
            <w:tcW w:w="2793"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57DDAD8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主管部门及代码</w:t>
            </w:r>
          </w:p>
        </w:tc>
        <w:tc>
          <w:tcPr>
            <w:tcW w:w="2529" w:type="dxa"/>
            <w:gridSpan w:val="2"/>
            <w:tcBorders>
              <w:top w:val="outset" w:color="auto" w:sz="6" w:space="0"/>
              <w:left w:val="nil"/>
              <w:bottom w:val="outset" w:color="auto" w:sz="6" w:space="0"/>
              <w:right w:val="outset" w:color="auto" w:sz="6" w:space="0"/>
            </w:tcBorders>
            <w:shd w:val="clear" w:color="auto" w:fill="auto"/>
            <w:noWrap/>
            <w:vAlign w:val="center"/>
          </w:tcPr>
          <w:p w14:paraId="1E6AEB2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〔169〕国家林业和草原局 </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363A1C1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实施单位</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0AFF579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松潘县林业和草原局 </w:t>
            </w:r>
          </w:p>
        </w:tc>
      </w:tr>
      <w:tr w14:paraId="7DE8EF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63" w:hRule="atLeast"/>
        </w:trPr>
        <w:tc>
          <w:tcPr>
            <w:tcW w:w="2793" w:type="dxa"/>
            <w:gridSpan w:val="2"/>
            <w:vMerge w:val="restart"/>
            <w:tcBorders>
              <w:top w:val="nil"/>
              <w:left w:val="outset" w:color="auto" w:sz="6" w:space="0"/>
              <w:bottom w:val="outset" w:color="auto" w:sz="6" w:space="0"/>
              <w:right w:val="outset" w:color="auto" w:sz="6" w:space="0"/>
            </w:tcBorders>
            <w:shd w:val="clear" w:color="auto" w:fill="auto"/>
            <w:noWrap/>
            <w:vAlign w:val="center"/>
          </w:tcPr>
          <w:p w14:paraId="51081D9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项目预算</w:t>
            </w:r>
          </w:p>
          <w:p w14:paraId="295C0F8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执行情况</w:t>
            </w:r>
          </w:p>
          <w:p w14:paraId="625D181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（万元）</w:t>
            </w: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38301FD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预算数：</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4166B1F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5750</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631297B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执行数：</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4BB28A0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5750 </w:t>
            </w:r>
          </w:p>
        </w:tc>
      </w:tr>
      <w:tr w14:paraId="2DCD94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4" w:hRule="atLeast"/>
        </w:trPr>
        <w:tc>
          <w:tcPr>
            <w:tcW w:w="2793"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44BAC877">
            <w:pPr>
              <w:rPr>
                <w:rFonts w:hint="eastAsia" w:ascii="宋体" w:hAnsi="宋体" w:eastAsia="宋体" w:cs="宋体"/>
                <w:b w:val="0"/>
                <w:bCs w:val="0"/>
                <w:sz w:val="24"/>
                <w:szCs w:val="24"/>
              </w:rPr>
            </w:pP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45D637E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p>
          <w:p w14:paraId="5983DB0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财政拨款</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3CE1AFE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5750</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116BB93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p>
          <w:p w14:paraId="5B91200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财政拨款</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4C98CFC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5750</w:t>
            </w:r>
          </w:p>
        </w:tc>
      </w:tr>
      <w:tr w14:paraId="238D95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53" w:hRule="atLeast"/>
        </w:trPr>
        <w:tc>
          <w:tcPr>
            <w:tcW w:w="2793"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16FD7AE2">
            <w:pPr>
              <w:rPr>
                <w:rFonts w:hint="eastAsia" w:ascii="宋体" w:hAnsi="宋体" w:eastAsia="宋体" w:cs="宋体"/>
                <w:b w:val="0"/>
                <w:bCs w:val="0"/>
                <w:sz w:val="24"/>
                <w:szCs w:val="24"/>
              </w:rPr>
            </w:pP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31E6F6C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4B04151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015624D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71C6873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r>
      <w:tr w14:paraId="3A826C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1" w:hRule="atLeast"/>
        </w:trPr>
        <w:tc>
          <w:tcPr>
            <w:tcW w:w="1765" w:type="dxa"/>
            <w:vMerge w:val="restart"/>
            <w:tcBorders>
              <w:top w:val="nil"/>
              <w:left w:val="outset" w:color="auto" w:sz="6" w:space="0"/>
              <w:bottom w:val="outset" w:color="auto" w:sz="6" w:space="0"/>
              <w:right w:val="outset" w:color="auto" w:sz="6" w:space="0"/>
            </w:tcBorders>
            <w:shd w:val="clear" w:color="auto" w:fill="auto"/>
            <w:noWrap/>
            <w:vAlign w:val="center"/>
          </w:tcPr>
          <w:p w14:paraId="21EF56A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年度总体目标</w:t>
            </w:r>
          </w:p>
          <w:p w14:paraId="7285E4E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完成情况</w:t>
            </w:r>
          </w:p>
        </w:tc>
        <w:tc>
          <w:tcPr>
            <w:tcW w:w="3557" w:type="dxa"/>
            <w:gridSpan w:val="3"/>
            <w:tcBorders>
              <w:top w:val="outset" w:color="auto" w:sz="6" w:space="0"/>
              <w:left w:val="nil"/>
              <w:bottom w:val="outset" w:color="auto" w:sz="6" w:space="0"/>
              <w:right w:val="outset" w:color="auto" w:sz="6" w:space="0"/>
            </w:tcBorders>
            <w:shd w:val="clear" w:color="auto" w:fill="auto"/>
            <w:noWrap/>
            <w:vAlign w:val="center"/>
          </w:tcPr>
          <w:p w14:paraId="7656B53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预期目标</w:t>
            </w:r>
          </w:p>
        </w:tc>
        <w:tc>
          <w:tcPr>
            <w:tcW w:w="3258" w:type="dxa"/>
            <w:gridSpan w:val="2"/>
            <w:tcBorders>
              <w:top w:val="outset" w:color="auto" w:sz="6" w:space="0"/>
              <w:left w:val="nil"/>
              <w:bottom w:val="outset" w:color="auto" w:sz="6" w:space="0"/>
              <w:right w:val="outset" w:color="auto" w:sz="6" w:space="0"/>
            </w:tcBorders>
            <w:shd w:val="clear" w:color="auto" w:fill="auto"/>
            <w:noWrap/>
            <w:vAlign w:val="center"/>
          </w:tcPr>
          <w:p w14:paraId="65D4B9E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目标实际完成情况</w:t>
            </w:r>
          </w:p>
        </w:tc>
      </w:tr>
      <w:tr w14:paraId="1F256C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707"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6ED375BD">
            <w:pPr>
              <w:rPr>
                <w:rFonts w:hint="eastAsia" w:ascii="宋体" w:hAnsi="宋体" w:eastAsia="宋体" w:cs="宋体"/>
                <w:b w:val="0"/>
                <w:bCs w:val="0"/>
                <w:sz w:val="24"/>
                <w:szCs w:val="24"/>
              </w:rPr>
            </w:pPr>
          </w:p>
        </w:tc>
        <w:tc>
          <w:tcPr>
            <w:tcW w:w="3557" w:type="dxa"/>
            <w:gridSpan w:val="3"/>
            <w:tcBorders>
              <w:top w:val="outset" w:color="auto" w:sz="6" w:space="0"/>
              <w:left w:val="nil"/>
              <w:bottom w:val="outset" w:color="auto" w:sz="6" w:space="0"/>
              <w:right w:val="outset" w:color="auto" w:sz="6" w:space="0"/>
            </w:tcBorders>
            <w:shd w:val="clear" w:color="auto" w:fill="auto"/>
            <w:noWrap/>
            <w:vAlign w:val="center"/>
          </w:tcPr>
          <w:p w14:paraId="3AF97BD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岷江源国家湿地公园片区完成：湿地水源涵养能力提升37.30 hm2、建设湿地野生动物保护提示警示系统30个、构建湿地植物群落5.26 hm2、构建和连通水系10条，共1705m、提升河岸带洼地5.5 hm2、新建生态廊道5000 m；尕力台片区完成：湿地水源涵养能力提升1191.10 hm2，小型拦水坝3座，共计972 m；辅助设施建设内容及规模包括：配套编结网围栏长171453 m、修建项目标识牌2座 </w:t>
            </w:r>
          </w:p>
        </w:tc>
        <w:tc>
          <w:tcPr>
            <w:tcW w:w="3258" w:type="dxa"/>
            <w:gridSpan w:val="2"/>
            <w:tcBorders>
              <w:top w:val="outset" w:color="auto" w:sz="6" w:space="0"/>
              <w:left w:val="nil"/>
              <w:bottom w:val="outset" w:color="auto" w:sz="6" w:space="0"/>
              <w:right w:val="outset" w:color="auto" w:sz="6" w:space="0"/>
            </w:tcBorders>
            <w:shd w:val="clear" w:color="auto" w:fill="auto"/>
            <w:noWrap/>
            <w:vAlign w:val="center"/>
          </w:tcPr>
          <w:p w14:paraId="76835A6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岷江源国家湿地公园片区完成：湿地水源涵养能力提升37.30 hm2、建设湿地野生动物保护提示警示系统30个、构建湿地植物群落5.26 hm2、构建和连通水系10条，尕力台片区完成：湿地水源涵养能力提升500 hm2，小型拦水坝3座，共计972 m；辅助设施建设内容及规模包括：配套编结网围栏长71453 m。 </w:t>
            </w:r>
          </w:p>
        </w:tc>
      </w:tr>
      <w:tr w14:paraId="6A3CE2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7" w:hRule="atLeast"/>
        </w:trPr>
        <w:tc>
          <w:tcPr>
            <w:tcW w:w="1765" w:type="dxa"/>
            <w:vMerge w:val="restart"/>
            <w:tcBorders>
              <w:top w:val="nil"/>
              <w:left w:val="outset" w:color="auto" w:sz="6" w:space="0"/>
              <w:bottom w:val="outset" w:color="auto" w:sz="6" w:space="0"/>
              <w:right w:val="outset" w:color="auto" w:sz="6" w:space="0"/>
            </w:tcBorders>
            <w:shd w:val="clear" w:color="auto" w:fill="auto"/>
            <w:noWrap/>
            <w:vAlign w:val="center"/>
          </w:tcPr>
          <w:p w14:paraId="30411E5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年度绩效指标完成情况</w:t>
            </w:r>
          </w:p>
        </w:tc>
        <w:tc>
          <w:tcPr>
            <w:tcW w:w="1028" w:type="dxa"/>
            <w:tcBorders>
              <w:top w:val="outset" w:color="auto" w:sz="6" w:space="0"/>
              <w:left w:val="nil"/>
              <w:bottom w:val="outset" w:color="auto" w:sz="6" w:space="0"/>
              <w:right w:val="outset" w:color="auto" w:sz="6" w:space="0"/>
            </w:tcBorders>
            <w:shd w:val="clear" w:color="auto" w:fill="auto"/>
            <w:noWrap/>
            <w:vAlign w:val="center"/>
          </w:tcPr>
          <w:p w14:paraId="7E1AA3E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一级</w:t>
            </w:r>
          </w:p>
          <w:p w14:paraId="23C69DA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13AD855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二级</w:t>
            </w:r>
          </w:p>
          <w:p w14:paraId="0509712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4C848ED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三级</w:t>
            </w:r>
          </w:p>
          <w:p w14:paraId="4A28192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14177B0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预期指标值</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33C3AC6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实际完成指标值</w:t>
            </w:r>
          </w:p>
        </w:tc>
      </w:tr>
      <w:tr w14:paraId="35A9A65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0"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0247A8A9">
            <w:pPr>
              <w:rPr>
                <w:rFonts w:hint="eastAsia" w:ascii="宋体" w:hAnsi="宋体" w:eastAsia="宋体" w:cs="宋体"/>
                <w:b w:val="0"/>
                <w:bCs w:val="0"/>
                <w:sz w:val="24"/>
                <w:szCs w:val="24"/>
              </w:rPr>
            </w:pPr>
          </w:p>
        </w:tc>
        <w:tc>
          <w:tcPr>
            <w:tcW w:w="1028" w:type="dxa"/>
            <w:vMerge w:val="restart"/>
            <w:tcBorders>
              <w:top w:val="nil"/>
              <w:left w:val="nil"/>
              <w:bottom w:val="outset" w:color="auto" w:sz="6" w:space="0"/>
              <w:right w:val="outset" w:color="auto" w:sz="6" w:space="0"/>
            </w:tcBorders>
            <w:shd w:val="clear" w:color="auto" w:fill="auto"/>
            <w:noWrap/>
            <w:vAlign w:val="center"/>
          </w:tcPr>
          <w:p w14:paraId="756BC7D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w:t>
            </w:r>
          </w:p>
          <w:p w14:paraId="6439E08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554F063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332E482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湿地水涵养提升</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183FA2C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834</w:t>
            </w:r>
            <w:r>
              <w:rPr>
                <w:rFonts w:hint="eastAsia" w:ascii="宋体" w:hAnsi="宋体" w:eastAsia="宋体" w:cs="宋体"/>
                <w:b w:val="0"/>
                <w:bCs w:val="0"/>
                <w:color w:val="000000"/>
                <w:kern w:val="0"/>
                <w:sz w:val="24"/>
                <w:szCs w:val="24"/>
              </w:rPr>
              <w:t>hm²</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105E3A7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color w:val="000000"/>
                <w:kern w:val="0"/>
                <w:sz w:val="24"/>
                <w:szCs w:val="24"/>
              </w:rPr>
              <w:t>1128hm²</w:t>
            </w:r>
            <w:r>
              <w:rPr>
                <w:rFonts w:hint="eastAsia" w:ascii="宋体" w:hAnsi="宋体" w:eastAsia="宋体" w:cs="宋体"/>
                <w:b w:val="0"/>
                <w:bCs w:val="0"/>
                <w:kern w:val="0"/>
                <w:sz w:val="24"/>
                <w:szCs w:val="24"/>
              </w:rPr>
              <w:t> </w:t>
            </w:r>
          </w:p>
        </w:tc>
      </w:tr>
      <w:tr w14:paraId="6BE6DC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38"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692FFA4B">
            <w:pPr>
              <w:rPr>
                <w:rFonts w:hint="eastAsia" w:ascii="宋体" w:hAnsi="宋体" w:eastAsia="宋体" w:cs="宋体"/>
                <w:b w:val="0"/>
                <w:bCs w:val="0"/>
                <w:sz w:val="24"/>
                <w:szCs w:val="24"/>
              </w:rPr>
            </w:pPr>
          </w:p>
        </w:tc>
        <w:tc>
          <w:tcPr>
            <w:tcW w:w="1028" w:type="dxa"/>
            <w:vMerge w:val="continue"/>
            <w:tcBorders>
              <w:top w:val="nil"/>
              <w:left w:val="nil"/>
              <w:bottom w:val="outset" w:color="auto" w:sz="6" w:space="0"/>
              <w:right w:val="outset" w:color="auto" w:sz="6" w:space="0"/>
            </w:tcBorders>
            <w:shd w:val="clear" w:color="auto" w:fill="auto"/>
            <w:noWrap/>
            <w:vAlign w:val="center"/>
          </w:tcPr>
          <w:p w14:paraId="2353EB84">
            <w:pPr>
              <w:rPr>
                <w:rFonts w:hint="eastAsia" w:ascii="宋体" w:hAnsi="宋体" w:eastAsia="宋体" w:cs="宋体"/>
                <w:b w:val="0"/>
                <w:bCs w:val="0"/>
                <w:sz w:val="24"/>
                <w:szCs w:val="24"/>
              </w:rPr>
            </w:pP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424C2F3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质量指标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3638D5B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主要检测成果应用率 </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7AEE3C6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≧85%</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770DFB7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≧85 </w:t>
            </w:r>
          </w:p>
        </w:tc>
      </w:tr>
      <w:tr w14:paraId="6C8D4F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5"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5F9AF5D6">
            <w:pPr>
              <w:rPr>
                <w:rFonts w:hint="eastAsia" w:ascii="宋体" w:hAnsi="宋体" w:eastAsia="宋体" w:cs="宋体"/>
                <w:b w:val="0"/>
                <w:bCs w:val="0"/>
                <w:sz w:val="24"/>
                <w:szCs w:val="24"/>
              </w:rPr>
            </w:pPr>
          </w:p>
        </w:tc>
        <w:tc>
          <w:tcPr>
            <w:tcW w:w="1028" w:type="dxa"/>
            <w:vMerge w:val="continue"/>
            <w:tcBorders>
              <w:top w:val="nil"/>
              <w:left w:val="nil"/>
              <w:bottom w:val="outset" w:color="auto" w:sz="6" w:space="0"/>
              <w:right w:val="outset" w:color="auto" w:sz="6" w:space="0"/>
            </w:tcBorders>
            <w:shd w:val="clear" w:color="auto" w:fill="auto"/>
            <w:noWrap/>
            <w:vAlign w:val="center"/>
          </w:tcPr>
          <w:p w14:paraId="2F8D5202">
            <w:pPr>
              <w:rPr>
                <w:rFonts w:hint="eastAsia" w:ascii="宋体" w:hAnsi="宋体" w:eastAsia="宋体" w:cs="宋体"/>
                <w:b w:val="0"/>
                <w:bCs w:val="0"/>
                <w:sz w:val="24"/>
                <w:szCs w:val="24"/>
              </w:rPr>
            </w:pP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7E9BF1D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时效指标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2126662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color w:val="000000"/>
                <w:kern w:val="0"/>
                <w:sz w:val="24"/>
                <w:szCs w:val="24"/>
              </w:rPr>
              <w:t>项目按时执行率</w:t>
            </w:r>
            <w:r>
              <w:rPr>
                <w:rFonts w:hint="eastAsia" w:ascii="宋体" w:hAnsi="宋体" w:eastAsia="宋体" w:cs="宋体"/>
                <w:b w:val="0"/>
                <w:bCs w:val="0"/>
                <w:kern w:val="0"/>
                <w:sz w:val="24"/>
                <w:szCs w:val="24"/>
              </w:rPr>
              <w:t> </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2A5B19E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r>
              <w:rPr>
                <w:rFonts w:hint="eastAsia" w:ascii="宋体" w:hAnsi="宋体" w:eastAsia="宋体" w:cs="宋体"/>
                <w:b w:val="0"/>
                <w:bCs w:val="0"/>
                <w:color w:val="000000"/>
                <w:kern w:val="0"/>
                <w:sz w:val="24"/>
                <w:szCs w:val="24"/>
              </w:rPr>
              <w:t>100%</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48A5072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color w:val="000000"/>
                <w:kern w:val="0"/>
                <w:sz w:val="24"/>
                <w:szCs w:val="24"/>
              </w:rPr>
              <w:t>100%</w:t>
            </w:r>
            <w:r>
              <w:rPr>
                <w:rFonts w:hint="eastAsia" w:ascii="宋体" w:hAnsi="宋体" w:eastAsia="宋体" w:cs="宋体"/>
                <w:b w:val="0"/>
                <w:bCs w:val="0"/>
                <w:kern w:val="0"/>
                <w:sz w:val="24"/>
                <w:szCs w:val="24"/>
              </w:rPr>
              <w:t> </w:t>
            </w:r>
          </w:p>
        </w:tc>
      </w:tr>
      <w:tr w14:paraId="7F45DB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5"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5DC84550">
            <w:pPr>
              <w:rPr>
                <w:rFonts w:hint="eastAsia" w:ascii="宋体" w:hAnsi="宋体" w:eastAsia="宋体" w:cs="宋体"/>
                <w:b w:val="0"/>
                <w:bCs w:val="0"/>
                <w:sz w:val="24"/>
                <w:szCs w:val="24"/>
              </w:rPr>
            </w:pPr>
          </w:p>
        </w:tc>
        <w:tc>
          <w:tcPr>
            <w:tcW w:w="1028" w:type="dxa"/>
            <w:vMerge w:val="continue"/>
            <w:tcBorders>
              <w:top w:val="nil"/>
              <w:left w:val="nil"/>
              <w:bottom w:val="outset" w:color="auto" w:sz="6" w:space="0"/>
              <w:right w:val="outset" w:color="auto" w:sz="6" w:space="0"/>
            </w:tcBorders>
            <w:shd w:val="clear" w:color="auto" w:fill="auto"/>
            <w:noWrap/>
            <w:vAlign w:val="center"/>
          </w:tcPr>
          <w:p w14:paraId="353147D2">
            <w:pPr>
              <w:rPr>
                <w:rFonts w:hint="eastAsia" w:ascii="宋体" w:hAnsi="宋体" w:eastAsia="宋体" w:cs="宋体"/>
                <w:b w:val="0"/>
                <w:bCs w:val="0"/>
                <w:sz w:val="24"/>
                <w:szCs w:val="24"/>
              </w:rPr>
            </w:pP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761EDF6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成本指标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02B7134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r>
              <w:rPr>
                <w:rFonts w:hint="eastAsia" w:ascii="宋体" w:hAnsi="宋体" w:eastAsia="宋体" w:cs="宋体"/>
                <w:b w:val="0"/>
                <w:bCs w:val="0"/>
                <w:color w:val="000000"/>
                <w:kern w:val="0"/>
                <w:sz w:val="24"/>
                <w:szCs w:val="24"/>
              </w:rPr>
              <w:t>单位成本控制数</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32A797E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25.5万元/km</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084E157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25.5万元/km </w:t>
            </w:r>
          </w:p>
        </w:tc>
      </w:tr>
      <w:tr w14:paraId="7FE1A0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4"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563F9F1E">
            <w:pPr>
              <w:rPr>
                <w:rFonts w:hint="eastAsia" w:ascii="宋体" w:hAnsi="宋体" w:eastAsia="宋体" w:cs="宋体"/>
                <w:b w:val="0"/>
                <w:bCs w:val="0"/>
                <w:sz w:val="24"/>
                <w:szCs w:val="24"/>
              </w:rPr>
            </w:pPr>
          </w:p>
        </w:tc>
        <w:tc>
          <w:tcPr>
            <w:tcW w:w="1028" w:type="dxa"/>
            <w:vMerge w:val="restart"/>
            <w:tcBorders>
              <w:top w:val="nil"/>
              <w:left w:val="nil"/>
              <w:bottom w:val="outset" w:color="auto" w:sz="6" w:space="0"/>
              <w:right w:val="outset" w:color="auto" w:sz="6" w:space="0"/>
            </w:tcBorders>
            <w:shd w:val="clear" w:color="auto" w:fill="auto"/>
            <w:noWrap/>
            <w:vAlign w:val="center"/>
          </w:tcPr>
          <w:p w14:paraId="6BF6CDD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效益</w:t>
            </w:r>
          </w:p>
          <w:p w14:paraId="0ECF4AB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6769E58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经济效益指标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4E7C549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0 </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7E71EAD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0 </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542FEB2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0 </w:t>
            </w:r>
          </w:p>
        </w:tc>
      </w:tr>
      <w:tr w14:paraId="1B7740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5"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6479D8E5">
            <w:pPr>
              <w:rPr>
                <w:rFonts w:hint="eastAsia" w:ascii="宋体" w:hAnsi="宋体" w:eastAsia="宋体" w:cs="宋体"/>
                <w:b w:val="0"/>
                <w:bCs w:val="0"/>
                <w:sz w:val="24"/>
                <w:szCs w:val="24"/>
              </w:rPr>
            </w:pPr>
          </w:p>
        </w:tc>
        <w:tc>
          <w:tcPr>
            <w:tcW w:w="1028" w:type="dxa"/>
            <w:vMerge w:val="continue"/>
            <w:tcBorders>
              <w:top w:val="nil"/>
              <w:left w:val="nil"/>
              <w:bottom w:val="outset" w:color="auto" w:sz="6" w:space="0"/>
              <w:right w:val="outset" w:color="auto" w:sz="6" w:space="0"/>
            </w:tcBorders>
            <w:shd w:val="clear" w:color="auto" w:fill="auto"/>
            <w:noWrap/>
            <w:vAlign w:val="center"/>
          </w:tcPr>
          <w:p w14:paraId="6EDAB1E5">
            <w:pPr>
              <w:rPr>
                <w:rFonts w:hint="eastAsia" w:ascii="宋体" w:hAnsi="宋体" w:eastAsia="宋体" w:cs="宋体"/>
                <w:b w:val="0"/>
                <w:bCs w:val="0"/>
                <w:sz w:val="24"/>
                <w:szCs w:val="24"/>
              </w:rPr>
            </w:pP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560985D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社会效益指标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1F0B88C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r>
              <w:rPr>
                <w:rFonts w:hint="eastAsia" w:ascii="宋体" w:hAnsi="宋体" w:eastAsia="宋体" w:cs="宋体"/>
                <w:b w:val="0"/>
                <w:bCs w:val="0"/>
                <w:color w:val="000000"/>
                <w:kern w:val="0"/>
                <w:sz w:val="24"/>
                <w:szCs w:val="24"/>
              </w:rPr>
              <w:t>人居环境改善</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5A7F4A4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≧85%</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5D89806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≧85% </w:t>
            </w:r>
          </w:p>
        </w:tc>
      </w:tr>
      <w:tr w14:paraId="55B5D5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86"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034E9A4C">
            <w:pPr>
              <w:rPr>
                <w:rFonts w:hint="eastAsia" w:ascii="宋体" w:hAnsi="宋体" w:eastAsia="宋体" w:cs="宋体"/>
                <w:b w:val="0"/>
                <w:bCs w:val="0"/>
                <w:sz w:val="24"/>
                <w:szCs w:val="24"/>
              </w:rPr>
            </w:pPr>
          </w:p>
        </w:tc>
        <w:tc>
          <w:tcPr>
            <w:tcW w:w="1028" w:type="dxa"/>
            <w:vMerge w:val="continue"/>
            <w:tcBorders>
              <w:top w:val="nil"/>
              <w:left w:val="nil"/>
              <w:bottom w:val="outset" w:color="auto" w:sz="6" w:space="0"/>
              <w:right w:val="outset" w:color="auto" w:sz="6" w:space="0"/>
            </w:tcBorders>
            <w:shd w:val="clear" w:color="auto" w:fill="auto"/>
            <w:noWrap/>
            <w:vAlign w:val="center"/>
          </w:tcPr>
          <w:p w14:paraId="7D3B4A97">
            <w:pPr>
              <w:rPr>
                <w:rFonts w:hint="eastAsia" w:ascii="宋体" w:hAnsi="宋体" w:eastAsia="宋体" w:cs="宋体"/>
                <w:b w:val="0"/>
                <w:bCs w:val="0"/>
                <w:sz w:val="24"/>
                <w:szCs w:val="24"/>
              </w:rPr>
            </w:pP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2E10643E">
            <w:pPr>
              <w:pStyle w:val="20"/>
              <w:keepNext w:val="0"/>
              <w:keepLines w:val="0"/>
              <w:widowControl/>
              <w:suppressLineNumbers w:val="0"/>
              <w:ind w:left="423"/>
              <w:jc w:val="both"/>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生态效益指标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1D1855F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r>
              <w:rPr>
                <w:rFonts w:hint="eastAsia" w:ascii="宋体" w:hAnsi="宋体" w:eastAsia="宋体" w:cs="宋体"/>
                <w:b w:val="0"/>
                <w:bCs w:val="0"/>
                <w:color w:val="000000"/>
                <w:kern w:val="0"/>
                <w:sz w:val="24"/>
                <w:szCs w:val="24"/>
              </w:rPr>
              <w:t>区域生态系统质量和稳定性</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7FE1162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加强 </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5936FD9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加强</w:t>
            </w:r>
          </w:p>
        </w:tc>
      </w:tr>
      <w:tr w14:paraId="73668F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65"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4A6FF419">
            <w:pPr>
              <w:rPr>
                <w:rFonts w:hint="eastAsia" w:ascii="宋体" w:hAnsi="宋体" w:eastAsia="宋体" w:cs="宋体"/>
                <w:b w:val="0"/>
                <w:bCs w:val="0"/>
                <w:sz w:val="24"/>
                <w:szCs w:val="24"/>
              </w:rPr>
            </w:pPr>
          </w:p>
        </w:tc>
        <w:tc>
          <w:tcPr>
            <w:tcW w:w="1028" w:type="dxa"/>
            <w:vMerge w:val="continue"/>
            <w:tcBorders>
              <w:top w:val="nil"/>
              <w:left w:val="nil"/>
              <w:bottom w:val="outset" w:color="auto" w:sz="6" w:space="0"/>
              <w:right w:val="outset" w:color="auto" w:sz="6" w:space="0"/>
            </w:tcBorders>
            <w:shd w:val="clear" w:color="auto" w:fill="auto"/>
            <w:noWrap/>
            <w:vAlign w:val="center"/>
          </w:tcPr>
          <w:p w14:paraId="2F5458B0">
            <w:pPr>
              <w:rPr>
                <w:rFonts w:hint="eastAsia" w:ascii="宋体" w:hAnsi="宋体" w:eastAsia="宋体" w:cs="宋体"/>
                <w:b w:val="0"/>
                <w:bCs w:val="0"/>
                <w:sz w:val="24"/>
                <w:szCs w:val="24"/>
              </w:rPr>
            </w:pP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7C30846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可持续影响指标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4C31603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无 </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2EEA4AE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无 </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673B496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无</w:t>
            </w:r>
          </w:p>
        </w:tc>
      </w:tr>
      <w:tr w14:paraId="7B47FD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30" w:hRule="atLeast"/>
        </w:trPr>
        <w:tc>
          <w:tcPr>
            <w:tcW w:w="1765" w:type="dxa"/>
            <w:vMerge w:val="continue"/>
            <w:tcBorders>
              <w:top w:val="nil"/>
              <w:left w:val="outset" w:color="auto" w:sz="6" w:space="0"/>
              <w:bottom w:val="outset" w:color="auto" w:sz="6" w:space="0"/>
              <w:right w:val="outset" w:color="auto" w:sz="6" w:space="0"/>
            </w:tcBorders>
            <w:shd w:val="clear" w:color="auto" w:fill="auto"/>
            <w:noWrap/>
            <w:vAlign w:val="center"/>
          </w:tcPr>
          <w:p w14:paraId="018653A4">
            <w:pPr>
              <w:rPr>
                <w:rFonts w:hint="eastAsia" w:ascii="宋体" w:hAnsi="宋体" w:eastAsia="宋体" w:cs="宋体"/>
                <w:b w:val="0"/>
                <w:bCs w:val="0"/>
                <w:sz w:val="24"/>
                <w:szCs w:val="24"/>
              </w:rPr>
            </w:pPr>
          </w:p>
        </w:tc>
        <w:tc>
          <w:tcPr>
            <w:tcW w:w="1028" w:type="dxa"/>
            <w:tcBorders>
              <w:top w:val="outset" w:color="auto" w:sz="6" w:space="0"/>
              <w:left w:val="nil"/>
              <w:bottom w:val="outset" w:color="auto" w:sz="6" w:space="0"/>
              <w:right w:val="outset" w:color="auto" w:sz="6" w:space="0"/>
            </w:tcBorders>
            <w:shd w:val="clear" w:color="auto" w:fill="auto"/>
            <w:noWrap/>
            <w:vAlign w:val="center"/>
          </w:tcPr>
          <w:p w14:paraId="24360BB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w:t>
            </w:r>
          </w:p>
          <w:p w14:paraId="0D6269E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度指标</w:t>
            </w:r>
          </w:p>
        </w:tc>
        <w:tc>
          <w:tcPr>
            <w:tcW w:w="1462" w:type="dxa"/>
            <w:tcBorders>
              <w:top w:val="outset" w:color="auto" w:sz="6" w:space="0"/>
              <w:left w:val="nil"/>
              <w:bottom w:val="outset" w:color="auto" w:sz="6" w:space="0"/>
              <w:right w:val="outset" w:color="auto" w:sz="6" w:space="0"/>
            </w:tcBorders>
            <w:shd w:val="clear" w:color="auto" w:fill="auto"/>
            <w:noWrap/>
            <w:vAlign w:val="center"/>
          </w:tcPr>
          <w:p w14:paraId="0E312DA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满意度</w:t>
            </w:r>
          </w:p>
          <w:p w14:paraId="69D991C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067" w:type="dxa"/>
            <w:tcBorders>
              <w:top w:val="outset" w:color="auto" w:sz="6" w:space="0"/>
              <w:left w:val="nil"/>
              <w:bottom w:val="outset" w:color="auto" w:sz="6" w:space="0"/>
              <w:right w:val="outset" w:color="auto" w:sz="6" w:space="0"/>
            </w:tcBorders>
            <w:shd w:val="clear" w:color="auto" w:fill="auto"/>
            <w:noWrap/>
            <w:vAlign w:val="center"/>
          </w:tcPr>
          <w:p w14:paraId="69BFA20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color w:val="000000"/>
                <w:kern w:val="0"/>
                <w:sz w:val="24"/>
                <w:szCs w:val="24"/>
              </w:rPr>
              <w:t>工程实施群众满意度</w:t>
            </w:r>
            <w:r>
              <w:rPr>
                <w:rFonts w:hint="eastAsia" w:ascii="宋体" w:hAnsi="宋体" w:eastAsia="宋体" w:cs="宋体"/>
                <w:b w:val="0"/>
                <w:bCs w:val="0"/>
                <w:kern w:val="0"/>
                <w:sz w:val="24"/>
                <w:szCs w:val="24"/>
              </w:rPr>
              <w:t> </w:t>
            </w:r>
          </w:p>
        </w:tc>
        <w:tc>
          <w:tcPr>
            <w:tcW w:w="1106" w:type="dxa"/>
            <w:tcBorders>
              <w:top w:val="outset" w:color="auto" w:sz="6" w:space="0"/>
              <w:left w:val="nil"/>
              <w:bottom w:val="outset" w:color="auto" w:sz="6" w:space="0"/>
              <w:right w:val="outset" w:color="auto" w:sz="6" w:space="0"/>
            </w:tcBorders>
            <w:shd w:val="clear" w:color="auto" w:fill="auto"/>
            <w:noWrap/>
            <w:vAlign w:val="center"/>
          </w:tcPr>
          <w:p w14:paraId="7B9079F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r>
              <w:rPr>
                <w:rFonts w:hint="eastAsia" w:ascii="宋体" w:hAnsi="宋体" w:eastAsia="宋体" w:cs="宋体"/>
                <w:b w:val="0"/>
                <w:bCs w:val="0"/>
                <w:color w:val="000000"/>
                <w:kern w:val="0"/>
                <w:sz w:val="24"/>
                <w:szCs w:val="24"/>
              </w:rPr>
              <w:t>≥95%</w:t>
            </w:r>
          </w:p>
        </w:tc>
        <w:tc>
          <w:tcPr>
            <w:tcW w:w="2152" w:type="dxa"/>
            <w:tcBorders>
              <w:top w:val="outset" w:color="auto" w:sz="6" w:space="0"/>
              <w:left w:val="nil"/>
              <w:bottom w:val="outset" w:color="auto" w:sz="6" w:space="0"/>
              <w:right w:val="outset" w:color="auto" w:sz="6" w:space="0"/>
            </w:tcBorders>
            <w:shd w:val="clear" w:color="auto" w:fill="auto"/>
            <w:noWrap/>
            <w:vAlign w:val="center"/>
          </w:tcPr>
          <w:p w14:paraId="269C1A8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color w:val="000000"/>
                <w:kern w:val="0"/>
                <w:sz w:val="24"/>
                <w:szCs w:val="24"/>
              </w:rPr>
              <w:t>≥95%</w:t>
            </w:r>
            <w:r>
              <w:rPr>
                <w:rFonts w:hint="eastAsia" w:ascii="宋体" w:hAnsi="宋体" w:eastAsia="宋体" w:cs="宋体"/>
                <w:b w:val="0"/>
                <w:bCs w:val="0"/>
                <w:kern w:val="0"/>
                <w:sz w:val="24"/>
                <w:szCs w:val="24"/>
              </w:rPr>
              <w:t> </w:t>
            </w:r>
          </w:p>
        </w:tc>
      </w:tr>
    </w:tbl>
    <w:p w14:paraId="72E3049C">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r>
        <w:rPr>
          <w:rFonts w:hint="eastAsia" w:ascii="宋体" w:hAnsi="宋体" w:eastAsia="宋体" w:cs="宋体"/>
          <w:b w:val="0"/>
          <w:bCs w:val="0"/>
          <w:kern w:val="0"/>
          <w:sz w:val="24"/>
          <w:szCs w:val="24"/>
          <w:shd w:val="clear" w:fill="FFFFFF"/>
        </w:rPr>
        <w:t xml:space="preserve"> </w:t>
      </w:r>
    </w:p>
    <w:p w14:paraId="5D161177">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tbl>
      <w:tblPr>
        <w:tblStyle w:val="17"/>
        <w:tblW w:w="8098" w:type="dxa"/>
        <w:tblInd w:w="21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6"/>
        <w:gridCol w:w="971"/>
        <w:gridCol w:w="1381"/>
        <w:gridCol w:w="1008"/>
        <w:gridCol w:w="1046"/>
        <w:gridCol w:w="2026"/>
      </w:tblGrid>
      <w:tr w14:paraId="3E43A8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trPr>
        <w:tc>
          <w:tcPr>
            <w:tcW w:w="8098"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14:paraId="6F6636EB">
            <w:pPr>
              <w:pStyle w:val="20"/>
              <w:keepNext w:val="0"/>
              <w:keepLines w:val="0"/>
              <w:widowControl/>
              <w:suppressLineNumbers w:val="0"/>
              <w:jc w:val="center"/>
              <w:rPr>
                <w:rFonts w:hint="eastAsia" w:ascii="宋体" w:hAnsi="宋体" w:eastAsia="宋体" w:cs="宋体"/>
                <w:b w:val="0"/>
                <w:bCs w:val="0"/>
                <w:kern w:val="0"/>
                <w:sz w:val="24"/>
                <w:szCs w:val="24"/>
              </w:rPr>
            </w:pPr>
            <w:r>
              <w:rPr>
                <w:rStyle w:val="21"/>
                <w:rFonts w:hint="eastAsia" w:ascii="宋体" w:hAnsi="宋体" w:eastAsia="宋体" w:cs="宋体"/>
                <w:b w:val="0"/>
                <w:bCs w:val="0"/>
                <w:sz w:val="24"/>
                <w:szCs w:val="24"/>
              </w:rPr>
              <w:t>2022年100万元以上（含）特定目标类部门预算项目绩效目标自评</w:t>
            </w:r>
          </w:p>
        </w:tc>
      </w:tr>
      <w:tr w14:paraId="6A885F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56" w:hRule="atLeast"/>
        </w:trPr>
        <w:tc>
          <w:tcPr>
            <w:tcW w:w="2637"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3342E4A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主管部门及代码</w:t>
            </w:r>
          </w:p>
        </w:tc>
        <w:tc>
          <w:tcPr>
            <w:tcW w:w="2389" w:type="dxa"/>
            <w:gridSpan w:val="2"/>
            <w:tcBorders>
              <w:top w:val="outset" w:color="auto" w:sz="6" w:space="0"/>
              <w:left w:val="nil"/>
              <w:bottom w:val="outset" w:color="auto" w:sz="6" w:space="0"/>
              <w:right w:val="outset" w:color="auto" w:sz="6" w:space="0"/>
            </w:tcBorders>
            <w:shd w:val="clear" w:color="auto" w:fill="auto"/>
            <w:noWrap/>
            <w:vAlign w:val="center"/>
          </w:tcPr>
          <w:p w14:paraId="05F836D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〔169〕国家林业和草原局  </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37E548A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实施单位</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71D2F4F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松潘县林草局</w:t>
            </w:r>
            <w:r>
              <w:rPr>
                <w:rFonts w:hint="eastAsia" w:ascii="宋体" w:hAnsi="宋体" w:eastAsia="宋体" w:cs="宋体"/>
                <w:b w:val="0"/>
                <w:bCs w:val="0"/>
                <w:kern w:val="0"/>
                <w:sz w:val="24"/>
                <w:szCs w:val="24"/>
              </w:rPr>
              <w:t> </w:t>
            </w:r>
          </w:p>
        </w:tc>
      </w:tr>
      <w:tr w14:paraId="3E0125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rPr>
        <w:tc>
          <w:tcPr>
            <w:tcW w:w="2637" w:type="dxa"/>
            <w:gridSpan w:val="2"/>
            <w:vMerge w:val="restart"/>
            <w:tcBorders>
              <w:top w:val="nil"/>
              <w:left w:val="outset" w:color="auto" w:sz="6" w:space="0"/>
              <w:bottom w:val="outset" w:color="auto" w:sz="6" w:space="0"/>
              <w:right w:val="outset" w:color="auto" w:sz="6" w:space="0"/>
            </w:tcBorders>
            <w:shd w:val="clear" w:color="auto" w:fill="auto"/>
            <w:noWrap/>
            <w:vAlign w:val="center"/>
          </w:tcPr>
          <w:p w14:paraId="032F2E8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项目预算</w:t>
            </w:r>
          </w:p>
          <w:p w14:paraId="59C59B3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执行情况</w:t>
            </w:r>
          </w:p>
          <w:p w14:paraId="2682974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（万元）</w:t>
            </w: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2960BF7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预算数：</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738DB34D">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1689</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24697FA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执行数：</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207BC68B">
            <w:pPr>
              <w:keepNext w:val="0"/>
              <w:keepLines w:val="0"/>
              <w:widowControl/>
              <w:suppressLineNumbers w:val="0"/>
              <w:ind w:left="0" w:leftChars="0" w:right="0" w:rightChars="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1656.14</w:t>
            </w:r>
          </w:p>
        </w:tc>
      </w:tr>
      <w:tr w14:paraId="74EDCB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5" w:hRule="atLeast"/>
        </w:trPr>
        <w:tc>
          <w:tcPr>
            <w:tcW w:w="2637"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1CBE9506">
            <w:pPr>
              <w:rPr>
                <w:rFonts w:hint="eastAsia" w:ascii="宋体" w:hAnsi="宋体" w:eastAsia="宋体" w:cs="宋体"/>
                <w:b w:val="0"/>
                <w:bCs w:val="0"/>
                <w:sz w:val="24"/>
                <w:szCs w:val="24"/>
              </w:rPr>
            </w:pP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2476320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r>
              <w:rPr>
                <w:rFonts w:hint="eastAsia" w:ascii="宋体" w:hAnsi="宋体" w:eastAsia="宋体" w:cs="宋体"/>
                <w:b w:val="0"/>
                <w:bCs w:val="0"/>
                <w:kern w:val="0"/>
                <w:sz w:val="24"/>
                <w:szCs w:val="24"/>
                <w:lang w:val="en-US" w:eastAsia="zh-CN"/>
              </w:rPr>
              <w:t>1689</w:t>
            </w:r>
          </w:p>
          <w:p w14:paraId="1C7E052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财政拨款</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69CE8EA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6B58931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r>
              <w:rPr>
                <w:rFonts w:hint="eastAsia" w:ascii="宋体" w:hAnsi="宋体" w:eastAsia="宋体" w:cs="宋体"/>
                <w:b w:val="0"/>
                <w:bCs w:val="0"/>
                <w:kern w:val="0"/>
                <w:sz w:val="24"/>
                <w:szCs w:val="24"/>
                <w:lang w:val="en-US" w:eastAsia="zh-CN"/>
              </w:rPr>
              <w:t>1689</w:t>
            </w:r>
            <w:r>
              <w:rPr>
                <w:rFonts w:hint="eastAsia" w:ascii="宋体" w:hAnsi="宋体" w:eastAsia="宋体" w:cs="宋体"/>
                <w:b w:val="0"/>
                <w:bCs w:val="0"/>
                <w:kern w:val="0"/>
                <w:sz w:val="24"/>
                <w:szCs w:val="24"/>
              </w:rPr>
              <w:t>：</w:t>
            </w:r>
          </w:p>
          <w:p w14:paraId="7BD35B9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财政拨款</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0B4849A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r>
      <w:tr w14:paraId="1165A3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rPr>
        <w:tc>
          <w:tcPr>
            <w:tcW w:w="2637"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6636E03F">
            <w:pPr>
              <w:rPr>
                <w:rFonts w:hint="eastAsia" w:ascii="宋体" w:hAnsi="宋体" w:eastAsia="宋体" w:cs="宋体"/>
                <w:b w:val="0"/>
                <w:bCs w:val="0"/>
                <w:sz w:val="24"/>
                <w:szCs w:val="24"/>
              </w:rPr>
            </w:pP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253E874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24012B97">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0</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5F1F637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6DA7D467">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0</w:t>
            </w:r>
          </w:p>
        </w:tc>
      </w:tr>
      <w:tr w14:paraId="0A81EC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11" w:hRule="atLeast"/>
        </w:trPr>
        <w:tc>
          <w:tcPr>
            <w:tcW w:w="1666" w:type="dxa"/>
            <w:vMerge w:val="restart"/>
            <w:tcBorders>
              <w:top w:val="nil"/>
              <w:left w:val="outset" w:color="auto" w:sz="6" w:space="0"/>
              <w:bottom w:val="outset" w:color="auto" w:sz="6" w:space="0"/>
              <w:right w:val="outset" w:color="auto" w:sz="6" w:space="0"/>
            </w:tcBorders>
            <w:shd w:val="clear" w:color="auto" w:fill="auto"/>
            <w:noWrap/>
            <w:vAlign w:val="center"/>
          </w:tcPr>
          <w:p w14:paraId="6A1B635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年度总体目标</w:t>
            </w:r>
          </w:p>
          <w:p w14:paraId="5618BD1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完成情况</w:t>
            </w:r>
          </w:p>
        </w:tc>
        <w:tc>
          <w:tcPr>
            <w:tcW w:w="3360" w:type="dxa"/>
            <w:gridSpan w:val="3"/>
            <w:tcBorders>
              <w:top w:val="outset" w:color="auto" w:sz="6" w:space="0"/>
              <w:left w:val="nil"/>
              <w:bottom w:val="outset" w:color="auto" w:sz="6" w:space="0"/>
              <w:right w:val="outset" w:color="auto" w:sz="6" w:space="0"/>
            </w:tcBorders>
            <w:shd w:val="clear" w:color="auto" w:fill="auto"/>
            <w:noWrap/>
            <w:vAlign w:val="center"/>
          </w:tcPr>
          <w:p w14:paraId="2B0C18F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预期目标</w:t>
            </w:r>
          </w:p>
        </w:tc>
        <w:tc>
          <w:tcPr>
            <w:tcW w:w="3072" w:type="dxa"/>
            <w:gridSpan w:val="2"/>
            <w:tcBorders>
              <w:top w:val="outset" w:color="auto" w:sz="6" w:space="0"/>
              <w:left w:val="nil"/>
              <w:bottom w:val="outset" w:color="auto" w:sz="6" w:space="0"/>
              <w:right w:val="outset" w:color="auto" w:sz="6" w:space="0"/>
            </w:tcBorders>
            <w:shd w:val="clear" w:color="auto" w:fill="auto"/>
            <w:noWrap/>
            <w:vAlign w:val="center"/>
          </w:tcPr>
          <w:p w14:paraId="79A7C2C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目标实际完成情况</w:t>
            </w:r>
          </w:p>
        </w:tc>
      </w:tr>
      <w:tr w14:paraId="6C60C2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30081F04">
            <w:pPr>
              <w:rPr>
                <w:rFonts w:hint="eastAsia" w:ascii="宋体" w:hAnsi="宋体" w:eastAsia="宋体" w:cs="宋体"/>
                <w:b w:val="0"/>
                <w:bCs w:val="0"/>
                <w:sz w:val="24"/>
                <w:szCs w:val="24"/>
              </w:rPr>
            </w:pPr>
          </w:p>
        </w:tc>
        <w:tc>
          <w:tcPr>
            <w:tcW w:w="3360" w:type="dxa"/>
            <w:gridSpan w:val="3"/>
            <w:tcBorders>
              <w:top w:val="outset" w:color="auto" w:sz="6" w:space="0"/>
              <w:left w:val="nil"/>
              <w:bottom w:val="outset" w:color="auto" w:sz="6" w:space="0"/>
              <w:right w:val="outset" w:color="auto" w:sz="6" w:space="0"/>
            </w:tcBorders>
            <w:shd w:val="clear" w:color="auto" w:fill="auto"/>
            <w:noWrap/>
            <w:vAlign w:val="center"/>
          </w:tcPr>
          <w:p w14:paraId="2715F233">
            <w:pPr>
              <w:pStyle w:val="20"/>
              <w:keepNext w:val="0"/>
              <w:keepLines w:val="0"/>
              <w:widowControl/>
              <w:suppressLineNumbers w:val="0"/>
              <w:jc w:val="both"/>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eastAsia="zh-CN"/>
              </w:rPr>
              <w:t>安置生态公益性岗位</w:t>
            </w:r>
            <w:r>
              <w:rPr>
                <w:rFonts w:hint="eastAsia" w:ascii="宋体" w:hAnsi="宋体" w:eastAsia="宋体" w:cs="宋体"/>
                <w:b w:val="0"/>
                <w:bCs w:val="0"/>
                <w:kern w:val="0"/>
                <w:sz w:val="24"/>
                <w:szCs w:val="24"/>
                <w:lang w:val="en-US" w:eastAsia="zh-CN"/>
              </w:rPr>
              <w:t>1689个</w:t>
            </w:r>
          </w:p>
        </w:tc>
        <w:tc>
          <w:tcPr>
            <w:tcW w:w="3072" w:type="dxa"/>
            <w:gridSpan w:val="2"/>
            <w:tcBorders>
              <w:top w:val="outset" w:color="auto" w:sz="6" w:space="0"/>
              <w:left w:val="nil"/>
              <w:bottom w:val="outset" w:color="auto" w:sz="6" w:space="0"/>
              <w:right w:val="outset" w:color="auto" w:sz="6" w:space="0"/>
            </w:tcBorders>
            <w:shd w:val="clear" w:color="auto" w:fill="auto"/>
            <w:noWrap/>
            <w:vAlign w:val="center"/>
          </w:tcPr>
          <w:p w14:paraId="7E652970">
            <w:pPr>
              <w:pStyle w:val="20"/>
              <w:keepNext w:val="0"/>
              <w:keepLines w:val="0"/>
              <w:widowControl/>
              <w:suppressLineNumbers w:val="0"/>
              <w:jc w:val="both"/>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完成年度目标，安置生态公益性岗位</w:t>
            </w:r>
            <w:r>
              <w:rPr>
                <w:rFonts w:hint="eastAsia" w:ascii="宋体" w:hAnsi="宋体" w:eastAsia="宋体" w:cs="宋体"/>
                <w:b w:val="0"/>
                <w:bCs w:val="0"/>
                <w:kern w:val="0"/>
                <w:sz w:val="24"/>
                <w:szCs w:val="24"/>
                <w:lang w:val="en-US" w:eastAsia="zh-CN"/>
              </w:rPr>
              <w:t>1689个</w:t>
            </w:r>
            <w:r>
              <w:rPr>
                <w:rFonts w:hint="eastAsia" w:ascii="宋体" w:hAnsi="宋体" w:eastAsia="宋体" w:cs="宋体"/>
                <w:b w:val="0"/>
                <w:bCs w:val="0"/>
                <w:kern w:val="0"/>
                <w:sz w:val="24"/>
                <w:szCs w:val="24"/>
              </w:rPr>
              <w:t> </w:t>
            </w:r>
          </w:p>
        </w:tc>
      </w:tr>
      <w:tr w14:paraId="038445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trPr>
        <w:tc>
          <w:tcPr>
            <w:tcW w:w="1666" w:type="dxa"/>
            <w:vMerge w:val="restart"/>
            <w:tcBorders>
              <w:top w:val="nil"/>
              <w:left w:val="outset" w:color="auto" w:sz="6" w:space="0"/>
              <w:bottom w:val="outset" w:color="auto" w:sz="6" w:space="0"/>
              <w:right w:val="outset" w:color="auto" w:sz="6" w:space="0"/>
            </w:tcBorders>
            <w:shd w:val="clear" w:color="auto" w:fill="auto"/>
            <w:noWrap/>
            <w:vAlign w:val="center"/>
          </w:tcPr>
          <w:p w14:paraId="18D3B30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年度绩效指标完成情况</w:t>
            </w:r>
          </w:p>
        </w:tc>
        <w:tc>
          <w:tcPr>
            <w:tcW w:w="971" w:type="dxa"/>
            <w:tcBorders>
              <w:top w:val="outset" w:color="auto" w:sz="6" w:space="0"/>
              <w:left w:val="nil"/>
              <w:bottom w:val="outset" w:color="auto" w:sz="6" w:space="0"/>
              <w:right w:val="outset" w:color="auto" w:sz="6" w:space="0"/>
            </w:tcBorders>
            <w:shd w:val="clear" w:color="auto" w:fill="auto"/>
            <w:noWrap/>
            <w:vAlign w:val="center"/>
          </w:tcPr>
          <w:p w14:paraId="671337E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一级</w:t>
            </w:r>
          </w:p>
          <w:p w14:paraId="2F0B258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40DCE57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二级</w:t>
            </w:r>
          </w:p>
          <w:p w14:paraId="6B05FB2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2A7573D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三级</w:t>
            </w:r>
          </w:p>
          <w:p w14:paraId="3913208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0775A9C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预期指标值</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51F83CB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实际完成指标值</w:t>
            </w:r>
          </w:p>
        </w:tc>
      </w:tr>
      <w:tr w14:paraId="2989FA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5F4659DD">
            <w:pPr>
              <w:rPr>
                <w:rFonts w:hint="eastAsia" w:ascii="宋体" w:hAnsi="宋体" w:eastAsia="宋体" w:cs="宋体"/>
                <w:b w:val="0"/>
                <w:bCs w:val="0"/>
                <w:sz w:val="24"/>
                <w:szCs w:val="24"/>
              </w:rPr>
            </w:pPr>
          </w:p>
        </w:tc>
        <w:tc>
          <w:tcPr>
            <w:tcW w:w="971" w:type="dxa"/>
            <w:vMerge w:val="restart"/>
            <w:tcBorders>
              <w:top w:val="nil"/>
              <w:left w:val="nil"/>
              <w:bottom w:val="outset" w:color="auto" w:sz="6" w:space="0"/>
              <w:right w:val="outset" w:color="auto" w:sz="6" w:space="0"/>
            </w:tcBorders>
            <w:shd w:val="clear" w:color="auto" w:fill="auto"/>
            <w:noWrap/>
            <w:vAlign w:val="center"/>
          </w:tcPr>
          <w:p w14:paraId="5DBED81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w:t>
            </w:r>
          </w:p>
          <w:p w14:paraId="149F352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3A42D16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5E64D31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安置人员</w:t>
            </w:r>
            <w:r>
              <w:rPr>
                <w:rFonts w:hint="eastAsia" w:ascii="宋体" w:hAnsi="宋体" w:eastAsia="宋体" w:cs="宋体"/>
                <w:b w:val="0"/>
                <w:bCs w:val="0"/>
                <w:kern w:val="0"/>
                <w:sz w:val="24"/>
                <w:szCs w:val="24"/>
              </w:rPr>
              <w:t> </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07A82BB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1689</w:t>
            </w:r>
            <w:r>
              <w:rPr>
                <w:rFonts w:hint="eastAsia" w:ascii="宋体" w:hAnsi="宋体" w:eastAsia="宋体" w:cs="宋体"/>
                <w:b w:val="0"/>
                <w:bCs w:val="0"/>
                <w:kern w:val="0"/>
                <w:sz w:val="24"/>
                <w:szCs w:val="24"/>
              </w:rPr>
              <w:t> </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13DB24F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1689</w:t>
            </w:r>
            <w:r>
              <w:rPr>
                <w:rFonts w:hint="eastAsia" w:ascii="宋体" w:hAnsi="宋体" w:eastAsia="宋体" w:cs="宋体"/>
                <w:b w:val="0"/>
                <w:bCs w:val="0"/>
                <w:kern w:val="0"/>
                <w:sz w:val="24"/>
                <w:szCs w:val="24"/>
              </w:rPr>
              <w:t> </w:t>
            </w:r>
          </w:p>
        </w:tc>
      </w:tr>
      <w:tr w14:paraId="32016F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0BA9BE65">
            <w:pPr>
              <w:rPr>
                <w:rFonts w:hint="eastAsia" w:ascii="宋体" w:hAnsi="宋体" w:eastAsia="宋体" w:cs="宋体"/>
                <w:b w:val="0"/>
                <w:bCs w:val="0"/>
                <w:sz w:val="24"/>
                <w:szCs w:val="24"/>
              </w:rPr>
            </w:pPr>
          </w:p>
        </w:tc>
        <w:tc>
          <w:tcPr>
            <w:tcW w:w="971" w:type="dxa"/>
            <w:vMerge w:val="continue"/>
            <w:tcBorders>
              <w:top w:val="nil"/>
              <w:left w:val="nil"/>
              <w:bottom w:val="outset" w:color="auto" w:sz="6" w:space="0"/>
              <w:right w:val="outset" w:color="auto" w:sz="6" w:space="0"/>
            </w:tcBorders>
            <w:shd w:val="clear" w:color="auto" w:fill="auto"/>
            <w:noWrap/>
            <w:vAlign w:val="center"/>
          </w:tcPr>
          <w:p w14:paraId="385E35EF">
            <w:pPr>
              <w:rPr>
                <w:rFonts w:hint="eastAsia" w:ascii="宋体" w:hAnsi="宋体" w:eastAsia="宋体" w:cs="宋体"/>
                <w:b w:val="0"/>
                <w:bCs w:val="0"/>
                <w:sz w:val="24"/>
                <w:szCs w:val="24"/>
              </w:rPr>
            </w:pP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6365230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质量指标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43F457A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安置人员履职率</w:t>
            </w:r>
            <w:r>
              <w:rPr>
                <w:rFonts w:hint="eastAsia" w:ascii="宋体" w:hAnsi="宋体" w:eastAsia="宋体" w:cs="宋体"/>
                <w:b w:val="0"/>
                <w:bCs w:val="0"/>
                <w:kern w:val="0"/>
                <w:sz w:val="24"/>
                <w:szCs w:val="24"/>
              </w:rPr>
              <w:t> </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07FE687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100%</w:t>
            </w:r>
            <w:r>
              <w:rPr>
                <w:rFonts w:hint="eastAsia" w:ascii="宋体" w:hAnsi="宋体" w:eastAsia="宋体" w:cs="宋体"/>
                <w:b w:val="0"/>
                <w:bCs w:val="0"/>
                <w:kern w:val="0"/>
                <w:sz w:val="24"/>
                <w:szCs w:val="24"/>
              </w:rPr>
              <w:t> </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062D43B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100%</w:t>
            </w:r>
            <w:r>
              <w:rPr>
                <w:rFonts w:hint="eastAsia" w:ascii="宋体" w:hAnsi="宋体" w:eastAsia="宋体" w:cs="宋体"/>
                <w:b w:val="0"/>
                <w:bCs w:val="0"/>
                <w:kern w:val="0"/>
                <w:sz w:val="24"/>
                <w:szCs w:val="24"/>
              </w:rPr>
              <w:t> </w:t>
            </w:r>
          </w:p>
        </w:tc>
      </w:tr>
      <w:tr w14:paraId="11B4F8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6BD8CDB3">
            <w:pPr>
              <w:rPr>
                <w:rFonts w:hint="eastAsia" w:ascii="宋体" w:hAnsi="宋体" w:eastAsia="宋体" w:cs="宋体"/>
                <w:b w:val="0"/>
                <w:bCs w:val="0"/>
                <w:sz w:val="24"/>
                <w:szCs w:val="24"/>
              </w:rPr>
            </w:pPr>
          </w:p>
        </w:tc>
        <w:tc>
          <w:tcPr>
            <w:tcW w:w="971" w:type="dxa"/>
            <w:vMerge w:val="continue"/>
            <w:tcBorders>
              <w:top w:val="nil"/>
              <w:left w:val="nil"/>
              <w:bottom w:val="outset" w:color="auto" w:sz="6" w:space="0"/>
              <w:right w:val="outset" w:color="auto" w:sz="6" w:space="0"/>
            </w:tcBorders>
            <w:shd w:val="clear" w:color="auto" w:fill="auto"/>
            <w:noWrap/>
            <w:vAlign w:val="center"/>
          </w:tcPr>
          <w:p w14:paraId="6C2DE41E">
            <w:pPr>
              <w:rPr>
                <w:rFonts w:hint="eastAsia" w:ascii="宋体" w:hAnsi="宋体" w:eastAsia="宋体" w:cs="宋体"/>
                <w:b w:val="0"/>
                <w:bCs w:val="0"/>
                <w:sz w:val="24"/>
                <w:szCs w:val="24"/>
              </w:rPr>
            </w:pP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73E4508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时效指标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0DDDE69D">
            <w:pPr>
              <w:pStyle w:val="20"/>
              <w:keepNext w:val="0"/>
              <w:keepLines w:val="0"/>
              <w:widowControl/>
              <w:suppressLineNumbers w:val="0"/>
              <w:jc w:val="center"/>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lang w:eastAsia="zh-CN"/>
              </w:rPr>
              <w:t>劳务费兑付及时率</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704FA33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100%</w:t>
            </w:r>
            <w:r>
              <w:rPr>
                <w:rFonts w:hint="eastAsia" w:ascii="宋体" w:hAnsi="宋体" w:eastAsia="宋体" w:cs="宋体"/>
                <w:b w:val="0"/>
                <w:bCs w:val="0"/>
                <w:kern w:val="0"/>
                <w:sz w:val="24"/>
                <w:szCs w:val="24"/>
              </w:rPr>
              <w:t> </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0CFBF7D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100%</w:t>
            </w:r>
            <w:r>
              <w:rPr>
                <w:rFonts w:hint="eastAsia" w:ascii="宋体" w:hAnsi="宋体" w:eastAsia="宋体" w:cs="宋体"/>
                <w:b w:val="0"/>
                <w:bCs w:val="0"/>
                <w:kern w:val="0"/>
                <w:sz w:val="24"/>
                <w:szCs w:val="24"/>
              </w:rPr>
              <w:t> </w:t>
            </w:r>
          </w:p>
        </w:tc>
      </w:tr>
      <w:tr w14:paraId="10DD17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444455E8">
            <w:pPr>
              <w:rPr>
                <w:rFonts w:hint="eastAsia" w:ascii="宋体" w:hAnsi="宋体" w:eastAsia="宋体" w:cs="宋体"/>
                <w:b w:val="0"/>
                <w:bCs w:val="0"/>
                <w:sz w:val="24"/>
                <w:szCs w:val="24"/>
              </w:rPr>
            </w:pPr>
          </w:p>
        </w:tc>
        <w:tc>
          <w:tcPr>
            <w:tcW w:w="971" w:type="dxa"/>
            <w:vMerge w:val="continue"/>
            <w:tcBorders>
              <w:top w:val="nil"/>
              <w:left w:val="nil"/>
              <w:bottom w:val="outset" w:color="auto" w:sz="6" w:space="0"/>
              <w:right w:val="outset" w:color="auto" w:sz="6" w:space="0"/>
            </w:tcBorders>
            <w:shd w:val="clear" w:color="auto" w:fill="auto"/>
            <w:noWrap/>
            <w:vAlign w:val="center"/>
          </w:tcPr>
          <w:p w14:paraId="15FB1A08">
            <w:pPr>
              <w:rPr>
                <w:rFonts w:hint="eastAsia" w:ascii="宋体" w:hAnsi="宋体" w:eastAsia="宋体" w:cs="宋体"/>
                <w:b w:val="0"/>
                <w:bCs w:val="0"/>
                <w:sz w:val="24"/>
                <w:szCs w:val="24"/>
              </w:rPr>
            </w:pP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53716DD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成本指标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4546807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4358063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52E08A8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r>
      <w:tr w14:paraId="47DA543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24A8B2B2">
            <w:pPr>
              <w:rPr>
                <w:rFonts w:hint="eastAsia" w:ascii="宋体" w:hAnsi="宋体" w:eastAsia="宋体" w:cs="宋体"/>
                <w:b w:val="0"/>
                <w:bCs w:val="0"/>
                <w:sz w:val="24"/>
                <w:szCs w:val="24"/>
              </w:rPr>
            </w:pPr>
          </w:p>
        </w:tc>
        <w:tc>
          <w:tcPr>
            <w:tcW w:w="971" w:type="dxa"/>
            <w:vMerge w:val="restart"/>
            <w:tcBorders>
              <w:top w:val="nil"/>
              <w:left w:val="nil"/>
              <w:bottom w:val="outset" w:color="auto" w:sz="6" w:space="0"/>
              <w:right w:val="outset" w:color="auto" w:sz="6" w:space="0"/>
            </w:tcBorders>
            <w:shd w:val="clear" w:color="auto" w:fill="auto"/>
            <w:noWrap/>
            <w:vAlign w:val="center"/>
          </w:tcPr>
          <w:p w14:paraId="47D9D05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效益</w:t>
            </w:r>
          </w:p>
          <w:p w14:paraId="5C67DA1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039A48F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经济效益指标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645242E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7A3BD92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18A9EEF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r>
      <w:tr w14:paraId="6248AA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0E246564">
            <w:pPr>
              <w:rPr>
                <w:rFonts w:hint="eastAsia" w:ascii="宋体" w:hAnsi="宋体" w:eastAsia="宋体" w:cs="宋体"/>
                <w:b w:val="0"/>
                <w:bCs w:val="0"/>
                <w:sz w:val="24"/>
                <w:szCs w:val="24"/>
              </w:rPr>
            </w:pPr>
          </w:p>
        </w:tc>
        <w:tc>
          <w:tcPr>
            <w:tcW w:w="971" w:type="dxa"/>
            <w:vMerge w:val="continue"/>
            <w:tcBorders>
              <w:top w:val="nil"/>
              <w:left w:val="nil"/>
              <w:bottom w:val="outset" w:color="auto" w:sz="6" w:space="0"/>
              <w:right w:val="outset" w:color="auto" w:sz="6" w:space="0"/>
            </w:tcBorders>
            <w:shd w:val="clear" w:color="auto" w:fill="auto"/>
            <w:noWrap/>
            <w:vAlign w:val="center"/>
          </w:tcPr>
          <w:p w14:paraId="03DF2741">
            <w:pPr>
              <w:rPr>
                <w:rFonts w:hint="eastAsia" w:ascii="宋体" w:hAnsi="宋体" w:eastAsia="宋体" w:cs="宋体"/>
                <w:b w:val="0"/>
                <w:bCs w:val="0"/>
                <w:sz w:val="24"/>
                <w:szCs w:val="24"/>
              </w:rPr>
            </w:pP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022B220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社会效益指标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199FA543">
            <w:pPr>
              <w:pStyle w:val="20"/>
              <w:keepNext w:val="0"/>
              <w:keepLines w:val="0"/>
              <w:widowControl/>
              <w:suppressLineNumbers w:val="0"/>
              <w:jc w:val="center"/>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rPr>
              <w:t> </w:t>
            </w:r>
            <w:r>
              <w:rPr>
                <w:rFonts w:hint="eastAsia" w:ascii="宋体" w:hAnsi="宋体" w:eastAsia="宋体" w:cs="宋体"/>
                <w:b w:val="0"/>
                <w:bCs w:val="0"/>
                <w:kern w:val="0"/>
                <w:sz w:val="24"/>
                <w:szCs w:val="24"/>
                <w:lang w:eastAsia="zh-CN"/>
              </w:rPr>
              <w:t>提供就业岗位</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7906074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1689</w:t>
            </w:r>
            <w:r>
              <w:rPr>
                <w:rFonts w:hint="eastAsia" w:ascii="宋体" w:hAnsi="宋体" w:eastAsia="宋体" w:cs="宋体"/>
                <w:b w:val="0"/>
                <w:bCs w:val="0"/>
                <w:kern w:val="0"/>
                <w:sz w:val="24"/>
                <w:szCs w:val="24"/>
              </w:rPr>
              <w:t> </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73A0108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1689</w:t>
            </w:r>
            <w:r>
              <w:rPr>
                <w:rFonts w:hint="eastAsia" w:ascii="宋体" w:hAnsi="宋体" w:eastAsia="宋体" w:cs="宋体"/>
                <w:b w:val="0"/>
                <w:bCs w:val="0"/>
                <w:kern w:val="0"/>
                <w:sz w:val="24"/>
                <w:szCs w:val="24"/>
              </w:rPr>
              <w:t> </w:t>
            </w:r>
          </w:p>
        </w:tc>
      </w:tr>
      <w:tr w14:paraId="0EDFE8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0"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18B0B18E">
            <w:pPr>
              <w:rPr>
                <w:rFonts w:hint="eastAsia" w:ascii="宋体" w:hAnsi="宋体" w:eastAsia="宋体" w:cs="宋体"/>
                <w:b w:val="0"/>
                <w:bCs w:val="0"/>
                <w:sz w:val="24"/>
                <w:szCs w:val="24"/>
              </w:rPr>
            </w:pPr>
          </w:p>
        </w:tc>
        <w:tc>
          <w:tcPr>
            <w:tcW w:w="971" w:type="dxa"/>
            <w:vMerge w:val="continue"/>
            <w:tcBorders>
              <w:top w:val="nil"/>
              <w:left w:val="nil"/>
              <w:bottom w:val="outset" w:color="auto" w:sz="6" w:space="0"/>
              <w:right w:val="outset" w:color="auto" w:sz="6" w:space="0"/>
            </w:tcBorders>
            <w:shd w:val="clear" w:color="auto" w:fill="auto"/>
            <w:noWrap/>
            <w:vAlign w:val="center"/>
          </w:tcPr>
          <w:p w14:paraId="5044DD6F">
            <w:pPr>
              <w:rPr>
                <w:rFonts w:hint="eastAsia" w:ascii="宋体" w:hAnsi="宋体" w:eastAsia="宋体" w:cs="宋体"/>
                <w:b w:val="0"/>
                <w:bCs w:val="0"/>
                <w:sz w:val="24"/>
                <w:szCs w:val="24"/>
              </w:rPr>
            </w:pP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40626521">
            <w:pPr>
              <w:pStyle w:val="20"/>
              <w:keepNext w:val="0"/>
              <w:keepLines w:val="0"/>
              <w:widowControl/>
              <w:suppressLineNumbers w:val="0"/>
              <w:jc w:val="both"/>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生态效益指标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6971E5C0">
            <w:pPr>
              <w:pStyle w:val="20"/>
              <w:keepNext w:val="0"/>
              <w:keepLines w:val="0"/>
              <w:widowControl/>
              <w:suppressLineNumbers w:val="0"/>
              <w:jc w:val="center"/>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rPr>
              <w:t>保持</w:t>
            </w:r>
            <w:r>
              <w:rPr>
                <w:rFonts w:hint="eastAsia" w:ascii="宋体" w:hAnsi="宋体" w:eastAsia="宋体" w:cs="宋体"/>
                <w:b w:val="0"/>
                <w:bCs w:val="0"/>
                <w:kern w:val="0"/>
                <w:sz w:val="24"/>
                <w:szCs w:val="24"/>
                <w:lang w:eastAsia="zh-CN"/>
              </w:rPr>
              <w:t>森林草原不受破坏面积（亩）</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34CF08F8">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3100509</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16E340F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3100509</w:t>
            </w:r>
          </w:p>
        </w:tc>
      </w:tr>
      <w:tr w14:paraId="69112E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17F928C9">
            <w:pPr>
              <w:rPr>
                <w:rFonts w:hint="eastAsia" w:ascii="宋体" w:hAnsi="宋体" w:eastAsia="宋体" w:cs="宋体"/>
                <w:b w:val="0"/>
                <w:bCs w:val="0"/>
                <w:sz w:val="24"/>
                <w:szCs w:val="24"/>
              </w:rPr>
            </w:pPr>
          </w:p>
        </w:tc>
        <w:tc>
          <w:tcPr>
            <w:tcW w:w="971" w:type="dxa"/>
            <w:vMerge w:val="continue"/>
            <w:tcBorders>
              <w:top w:val="nil"/>
              <w:left w:val="nil"/>
              <w:bottom w:val="outset" w:color="auto" w:sz="6" w:space="0"/>
              <w:right w:val="outset" w:color="auto" w:sz="6" w:space="0"/>
            </w:tcBorders>
            <w:shd w:val="clear" w:color="auto" w:fill="auto"/>
            <w:noWrap/>
            <w:vAlign w:val="center"/>
          </w:tcPr>
          <w:p w14:paraId="789FB461">
            <w:pPr>
              <w:rPr>
                <w:rFonts w:hint="eastAsia" w:ascii="宋体" w:hAnsi="宋体" w:eastAsia="宋体" w:cs="宋体"/>
                <w:b w:val="0"/>
                <w:bCs w:val="0"/>
                <w:sz w:val="24"/>
                <w:szCs w:val="24"/>
              </w:rPr>
            </w:pP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12697CA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可持续影响指标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67B50B7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0F8C9BE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2E9DC30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r>
      <w:tr w14:paraId="07BA5F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5" w:hRule="atLeast"/>
        </w:trPr>
        <w:tc>
          <w:tcPr>
            <w:tcW w:w="1666" w:type="dxa"/>
            <w:vMerge w:val="continue"/>
            <w:tcBorders>
              <w:top w:val="nil"/>
              <w:left w:val="outset" w:color="auto" w:sz="6" w:space="0"/>
              <w:bottom w:val="outset" w:color="auto" w:sz="6" w:space="0"/>
              <w:right w:val="outset" w:color="auto" w:sz="6" w:space="0"/>
            </w:tcBorders>
            <w:shd w:val="clear" w:color="auto" w:fill="auto"/>
            <w:noWrap/>
            <w:vAlign w:val="center"/>
          </w:tcPr>
          <w:p w14:paraId="18D540FF">
            <w:pPr>
              <w:rPr>
                <w:rFonts w:hint="eastAsia" w:ascii="宋体" w:hAnsi="宋体" w:eastAsia="宋体" w:cs="宋体"/>
                <w:b w:val="0"/>
                <w:bCs w:val="0"/>
                <w:sz w:val="24"/>
                <w:szCs w:val="24"/>
              </w:rPr>
            </w:pPr>
          </w:p>
        </w:tc>
        <w:tc>
          <w:tcPr>
            <w:tcW w:w="971" w:type="dxa"/>
            <w:tcBorders>
              <w:top w:val="outset" w:color="auto" w:sz="6" w:space="0"/>
              <w:left w:val="nil"/>
              <w:bottom w:val="outset" w:color="auto" w:sz="6" w:space="0"/>
              <w:right w:val="outset" w:color="auto" w:sz="6" w:space="0"/>
            </w:tcBorders>
            <w:shd w:val="clear" w:color="auto" w:fill="auto"/>
            <w:noWrap/>
            <w:vAlign w:val="center"/>
          </w:tcPr>
          <w:p w14:paraId="7FA7F16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w:t>
            </w:r>
          </w:p>
          <w:p w14:paraId="0301412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度指标</w:t>
            </w:r>
          </w:p>
        </w:tc>
        <w:tc>
          <w:tcPr>
            <w:tcW w:w="1381" w:type="dxa"/>
            <w:tcBorders>
              <w:top w:val="outset" w:color="auto" w:sz="6" w:space="0"/>
              <w:left w:val="nil"/>
              <w:bottom w:val="outset" w:color="auto" w:sz="6" w:space="0"/>
              <w:right w:val="outset" w:color="auto" w:sz="6" w:space="0"/>
            </w:tcBorders>
            <w:shd w:val="clear" w:color="auto" w:fill="auto"/>
            <w:noWrap/>
            <w:vAlign w:val="center"/>
          </w:tcPr>
          <w:p w14:paraId="1731BF7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满意度</w:t>
            </w:r>
          </w:p>
          <w:p w14:paraId="7A0D666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008" w:type="dxa"/>
            <w:tcBorders>
              <w:top w:val="outset" w:color="auto" w:sz="6" w:space="0"/>
              <w:left w:val="nil"/>
              <w:bottom w:val="outset" w:color="auto" w:sz="6" w:space="0"/>
              <w:right w:val="outset" w:color="auto" w:sz="6" w:space="0"/>
            </w:tcBorders>
            <w:shd w:val="clear" w:color="auto" w:fill="auto"/>
            <w:noWrap/>
            <w:vAlign w:val="center"/>
          </w:tcPr>
          <w:p w14:paraId="690F7DF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区域内群众对生态环境质量提高满意度 </w:t>
            </w:r>
          </w:p>
        </w:tc>
        <w:tc>
          <w:tcPr>
            <w:tcW w:w="1046" w:type="dxa"/>
            <w:tcBorders>
              <w:top w:val="outset" w:color="auto" w:sz="6" w:space="0"/>
              <w:left w:val="nil"/>
              <w:bottom w:val="outset" w:color="auto" w:sz="6" w:space="0"/>
              <w:right w:val="outset" w:color="auto" w:sz="6" w:space="0"/>
            </w:tcBorders>
            <w:shd w:val="clear" w:color="auto" w:fill="auto"/>
            <w:noWrap/>
            <w:vAlign w:val="center"/>
          </w:tcPr>
          <w:p w14:paraId="09415763">
            <w:pPr>
              <w:pStyle w:val="20"/>
              <w:keepNext w:val="0"/>
              <w:keepLines w:val="0"/>
              <w:widowControl/>
              <w:suppressLineNumbers w:val="0"/>
              <w:jc w:val="both"/>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lang w:eastAsia="zh-CN"/>
              </w:rPr>
              <w:t>满意</w:t>
            </w:r>
          </w:p>
        </w:tc>
        <w:tc>
          <w:tcPr>
            <w:tcW w:w="2026" w:type="dxa"/>
            <w:tcBorders>
              <w:top w:val="outset" w:color="auto" w:sz="6" w:space="0"/>
              <w:left w:val="nil"/>
              <w:bottom w:val="outset" w:color="auto" w:sz="6" w:space="0"/>
              <w:right w:val="outset" w:color="auto" w:sz="6" w:space="0"/>
            </w:tcBorders>
            <w:shd w:val="clear" w:color="auto" w:fill="auto"/>
            <w:noWrap/>
            <w:vAlign w:val="center"/>
          </w:tcPr>
          <w:p w14:paraId="178635F5">
            <w:pPr>
              <w:pStyle w:val="20"/>
              <w:keepNext w:val="0"/>
              <w:keepLines w:val="0"/>
              <w:widowControl/>
              <w:suppressLineNumbers w:val="0"/>
              <w:jc w:val="both"/>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lang w:eastAsia="zh-CN"/>
              </w:rPr>
              <w:t>满意</w:t>
            </w:r>
          </w:p>
        </w:tc>
      </w:tr>
    </w:tbl>
    <w:p w14:paraId="3200F13C">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44D7AB45">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176DA10D">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2CA1ACC0">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tbl>
      <w:tblPr>
        <w:tblStyle w:val="17"/>
        <w:tblW w:w="7990" w:type="dxa"/>
        <w:tblInd w:w="32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43"/>
        <w:gridCol w:w="958"/>
        <w:gridCol w:w="1361"/>
        <w:gridCol w:w="994"/>
        <w:gridCol w:w="1030"/>
        <w:gridCol w:w="2004"/>
      </w:tblGrid>
      <w:tr w14:paraId="77E44D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82" w:hRule="atLeast"/>
        </w:trPr>
        <w:tc>
          <w:tcPr>
            <w:tcW w:w="7990"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14:paraId="1F8F8309">
            <w:pPr>
              <w:pStyle w:val="20"/>
              <w:keepNext w:val="0"/>
              <w:keepLines w:val="0"/>
              <w:widowControl/>
              <w:suppressLineNumbers w:val="0"/>
              <w:jc w:val="center"/>
              <w:rPr>
                <w:rFonts w:hint="eastAsia" w:ascii="宋体" w:hAnsi="宋体" w:eastAsia="宋体" w:cs="宋体"/>
                <w:b w:val="0"/>
                <w:bCs w:val="0"/>
                <w:kern w:val="0"/>
                <w:sz w:val="24"/>
                <w:szCs w:val="24"/>
              </w:rPr>
            </w:pPr>
            <w:r>
              <w:rPr>
                <w:rStyle w:val="23"/>
                <w:rFonts w:hint="eastAsia" w:ascii="宋体" w:hAnsi="宋体" w:eastAsia="宋体" w:cs="宋体"/>
                <w:b w:val="0"/>
                <w:bCs w:val="0"/>
                <w:sz w:val="24"/>
                <w:szCs w:val="24"/>
              </w:rPr>
              <w:t>2022年100万元以上（含）特定目标类部门预算项目绩效目标自评</w:t>
            </w:r>
          </w:p>
        </w:tc>
      </w:tr>
      <w:tr w14:paraId="448880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trPr>
        <w:tc>
          <w:tcPr>
            <w:tcW w:w="2601"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197728B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主管部门及代码</w:t>
            </w:r>
          </w:p>
        </w:tc>
        <w:tc>
          <w:tcPr>
            <w:tcW w:w="2355" w:type="dxa"/>
            <w:gridSpan w:val="2"/>
            <w:tcBorders>
              <w:top w:val="outset" w:color="auto" w:sz="6" w:space="0"/>
              <w:left w:val="nil"/>
              <w:bottom w:val="outset" w:color="auto" w:sz="6" w:space="0"/>
              <w:right w:val="outset" w:color="auto" w:sz="6" w:space="0"/>
            </w:tcBorders>
            <w:shd w:val="clear" w:color="auto" w:fill="auto"/>
            <w:noWrap/>
            <w:vAlign w:val="center"/>
          </w:tcPr>
          <w:p w14:paraId="17269C9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〔169〕国家林业和草原局 </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01664CD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实施单位</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1B41076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松潘县林业和草原局 </w:t>
            </w:r>
          </w:p>
        </w:tc>
      </w:tr>
      <w:tr w14:paraId="1397E1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63" w:hRule="atLeast"/>
        </w:trPr>
        <w:tc>
          <w:tcPr>
            <w:tcW w:w="2601" w:type="dxa"/>
            <w:gridSpan w:val="2"/>
            <w:vMerge w:val="restart"/>
            <w:tcBorders>
              <w:top w:val="nil"/>
              <w:left w:val="outset" w:color="auto" w:sz="6" w:space="0"/>
              <w:bottom w:val="outset" w:color="auto" w:sz="6" w:space="0"/>
              <w:right w:val="outset" w:color="auto" w:sz="6" w:space="0"/>
            </w:tcBorders>
            <w:shd w:val="clear" w:color="auto" w:fill="auto"/>
            <w:noWrap/>
            <w:vAlign w:val="center"/>
          </w:tcPr>
          <w:p w14:paraId="05BCF55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项目预算</w:t>
            </w:r>
          </w:p>
          <w:p w14:paraId="10E4C2D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执行情况</w:t>
            </w:r>
          </w:p>
          <w:p w14:paraId="522AD11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（万元）</w:t>
            </w: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64157DA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预算数：</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6E5C82C1">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rPr>
              <w:t>1378</w:t>
            </w:r>
            <w:r>
              <w:rPr>
                <w:rFonts w:hint="eastAsia" w:ascii="宋体" w:hAnsi="宋体" w:eastAsia="宋体" w:cs="宋体"/>
                <w:b w:val="0"/>
                <w:bCs w:val="0"/>
                <w:kern w:val="0"/>
                <w:sz w:val="24"/>
                <w:szCs w:val="24"/>
              </w:rPr>
              <w:t> </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41F13910">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 xml:space="preserve"> 执行数：</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1771EFAF">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rPr>
              <w:t>1125</w:t>
            </w:r>
            <w:r>
              <w:rPr>
                <w:rFonts w:hint="eastAsia" w:ascii="宋体" w:hAnsi="宋体" w:eastAsia="宋体" w:cs="宋体"/>
                <w:b w:val="0"/>
                <w:bCs w:val="0"/>
                <w:kern w:val="0"/>
                <w:sz w:val="24"/>
                <w:szCs w:val="24"/>
              </w:rPr>
              <w:t> </w:t>
            </w:r>
          </w:p>
        </w:tc>
      </w:tr>
      <w:tr w14:paraId="3BDC02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4" w:hRule="atLeast"/>
        </w:trPr>
        <w:tc>
          <w:tcPr>
            <w:tcW w:w="2601"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7C08838D">
            <w:pPr>
              <w:rPr>
                <w:rFonts w:hint="eastAsia" w:ascii="宋体" w:hAnsi="宋体" w:eastAsia="宋体" w:cs="宋体"/>
                <w:b w:val="0"/>
                <w:bCs w:val="0"/>
                <w:sz w:val="24"/>
                <w:szCs w:val="24"/>
              </w:rPr>
            </w:pP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2A5B548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p>
          <w:p w14:paraId="4D08545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财政拨款</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73242EC7">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rPr>
              <w:t>326.9</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26C914C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p>
          <w:p w14:paraId="4317C37D">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财政拨款</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31B6A18F">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rPr>
              <w:t>326.9</w:t>
            </w:r>
            <w:r>
              <w:rPr>
                <w:rFonts w:hint="eastAsia" w:ascii="宋体" w:hAnsi="宋体" w:eastAsia="宋体" w:cs="宋体"/>
                <w:b w:val="0"/>
                <w:bCs w:val="0"/>
                <w:kern w:val="0"/>
                <w:sz w:val="24"/>
                <w:szCs w:val="24"/>
              </w:rPr>
              <w:t> </w:t>
            </w:r>
          </w:p>
        </w:tc>
      </w:tr>
      <w:tr w14:paraId="77388A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53" w:hRule="atLeast"/>
        </w:trPr>
        <w:tc>
          <w:tcPr>
            <w:tcW w:w="2601"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617AC491">
            <w:pPr>
              <w:rPr>
                <w:rFonts w:hint="eastAsia" w:ascii="宋体" w:hAnsi="宋体" w:eastAsia="宋体" w:cs="宋体"/>
                <w:b w:val="0"/>
                <w:bCs w:val="0"/>
                <w:sz w:val="24"/>
                <w:szCs w:val="24"/>
              </w:rPr>
            </w:pP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2C43392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6FD3DFB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54229D7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3D2BB27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r>
      <w:tr w14:paraId="7EE19F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1" w:hRule="atLeast"/>
        </w:trPr>
        <w:tc>
          <w:tcPr>
            <w:tcW w:w="1643" w:type="dxa"/>
            <w:vMerge w:val="restart"/>
            <w:tcBorders>
              <w:top w:val="nil"/>
              <w:left w:val="outset" w:color="auto" w:sz="6" w:space="0"/>
              <w:bottom w:val="outset" w:color="auto" w:sz="6" w:space="0"/>
              <w:right w:val="outset" w:color="auto" w:sz="6" w:space="0"/>
            </w:tcBorders>
            <w:shd w:val="clear" w:color="auto" w:fill="auto"/>
            <w:noWrap/>
            <w:vAlign w:val="center"/>
          </w:tcPr>
          <w:p w14:paraId="1211236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年度总体目标</w:t>
            </w:r>
          </w:p>
          <w:p w14:paraId="0511A69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完成情况</w:t>
            </w:r>
          </w:p>
        </w:tc>
        <w:tc>
          <w:tcPr>
            <w:tcW w:w="3313" w:type="dxa"/>
            <w:gridSpan w:val="3"/>
            <w:tcBorders>
              <w:top w:val="outset" w:color="auto" w:sz="6" w:space="0"/>
              <w:left w:val="nil"/>
              <w:bottom w:val="outset" w:color="auto" w:sz="6" w:space="0"/>
              <w:right w:val="outset" w:color="auto" w:sz="6" w:space="0"/>
            </w:tcBorders>
            <w:shd w:val="clear" w:color="auto" w:fill="auto"/>
            <w:noWrap/>
            <w:vAlign w:val="center"/>
          </w:tcPr>
          <w:p w14:paraId="63935AA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预期目标</w:t>
            </w:r>
          </w:p>
        </w:tc>
        <w:tc>
          <w:tcPr>
            <w:tcW w:w="3034" w:type="dxa"/>
            <w:gridSpan w:val="2"/>
            <w:tcBorders>
              <w:top w:val="outset" w:color="auto" w:sz="6" w:space="0"/>
              <w:left w:val="nil"/>
              <w:bottom w:val="outset" w:color="auto" w:sz="6" w:space="0"/>
              <w:right w:val="outset" w:color="auto" w:sz="6" w:space="0"/>
            </w:tcBorders>
            <w:shd w:val="clear" w:color="auto" w:fill="auto"/>
            <w:noWrap/>
            <w:vAlign w:val="center"/>
          </w:tcPr>
          <w:p w14:paraId="6775160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目标实际完成情况</w:t>
            </w:r>
          </w:p>
        </w:tc>
      </w:tr>
      <w:tr w14:paraId="020F2B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07"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64FFA858">
            <w:pPr>
              <w:rPr>
                <w:rFonts w:hint="eastAsia" w:ascii="宋体" w:hAnsi="宋体" w:eastAsia="宋体" w:cs="宋体"/>
                <w:b w:val="0"/>
                <w:bCs w:val="0"/>
                <w:sz w:val="24"/>
                <w:szCs w:val="24"/>
              </w:rPr>
            </w:pPr>
          </w:p>
        </w:tc>
        <w:tc>
          <w:tcPr>
            <w:tcW w:w="3313" w:type="dxa"/>
            <w:gridSpan w:val="3"/>
            <w:tcBorders>
              <w:top w:val="outset" w:color="auto" w:sz="6" w:space="0"/>
              <w:left w:val="nil"/>
              <w:bottom w:val="outset" w:color="auto" w:sz="6" w:space="0"/>
              <w:right w:val="outset" w:color="auto" w:sz="6" w:space="0"/>
            </w:tcBorders>
            <w:shd w:val="clear" w:color="auto" w:fill="auto"/>
            <w:noWrap/>
            <w:vAlign w:val="center"/>
          </w:tcPr>
          <w:p w14:paraId="0C891877">
            <w:pPr>
              <w:pStyle w:val="20"/>
              <w:keepNext w:val="0"/>
              <w:keepLines w:val="0"/>
              <w:widowControl/>
              <w:suppressLineNumbers w:val="0"/>
              <w:ind w:left="0" w:leftChars="0" w:right="0" w:rightChars="0"/>
              <w:jc w:val="left"/>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2"/>
                <w:sz w:val="24"/>
                <w:szCs w:val="24"/>
                <w:lang w:val="en-US" w:eastAsia="zh-CN" w:bidi="ar-SA"/>
              </w:rPr>
              <w:t xml:space="preserve">  人工种草生态修复15000亩（1000hm2），天然草原改良建设规模50000亩（3333.33hm2），</w:t>
            </w:r>
            <w:r>
              <w:rPr>
                <w:rFonts w:hint="eastAsia" w:ascii="宋体" w:hAnsi="宋体" w:eastAsia="宋体" w:cs="宋体"/>
                <w:b w:val="0"/>
                <w:bCs w:val="0"/>
                <w:kern w:val="2"/>
                <w:sz w:val="24"/>
                <w:szCs w:val="24"/>
                <w:highlight w:val="none"/>
                <w:lang w:val="en-US" w:eastAsia="zh-CN" w:bidi="ar-SA"/>
              </w:rPr>
              <w:t>人工种草生态修复区域植被盖度提高到85%以上，平均高度20厘米以上，鲜草产量达到300公斤/亩以上；天然草原改良区域植被盖度提高到80%以上，平均高度15厘米以上，鲜草产量达到250公斤/亩。生态环境得到改善和美化；群众参与生态修复工程积极提高，生态保护意识增强，为提高生态保护能力奠定良好的基础。</w:t>
            </w:r>
          </w:p>
        </w:tc>
        <w:tc>
          <w:tcPr>
            <w:tcW w:w="3034" w:type="dxa"/>
            <w:gridSpan w:val="2"/>
            <w:tcBorders>
              <w:top w:val="outset" w:color="auto" w:sz="6" w:space="0"/>
              <w:left w:val="nil"/>
              <w:bottom w:val="outset" w:color="auto" w:sz="6" w:space="0"/>
              <w:right w:val="outset" w:color="auto" w:sz="6" w:space="0"/>
            </w:tcBorders>
            <w:shd w:val="clear" w:color="auto" w:fill="auto"/>
            <w:noWrap/>
            <w:vAlign w:val="center"/>
          </w:tcPr>
          <w:p w14:paraId="78589330">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2"/>
                <w:sz w:val="24"/>
                <w:szCs w:val="24"/>
                <w:lang w:val="en-US" w:eastAsia="zh-CN" w:bidi="ar-SA"/>
              </w:rPr>
              <w:t>人工种草生态修复9000亩（600hm2），天然草原改良建设规模30000亩（2000hm2）</w:t>
            </w:r>
          </w:p>
        </w:tc>
      </w:tr>
      <w:tr w14:paraId="4E5125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7" w:hRule="atLeast"/>
        </w:trPr>
        <w:tc>
          <w:tcPr>
            <w:tcW w:w="1643" w:type="dxa"/>
            <w:vMerge w:val="restart"/>
            <w:tcBorders>
              <w:top w:val="nil"/>
              <w:left w:val="outset" w:color="auto" w:sz="6" w:space="0"/>
              <w:bottom w:val="outset" w:color="auto" w:sz="6" w:space="0"/>
              <w:right w:val="outset" w:color="auto" w:sz="6" w:space="0"/>
            </w:tcBorders>
            <w:shd w:val="clear" w:color="auto" w:fill="auto"/>
            <w:noWrap/>
            <w:vAlign w:val="center"/>
          </w:tcPr>
          <w:p w14:paraId="346F1D1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年度绩效指标完成情况</w:t>
            </w:r>
          </w:p>
        </w:tc>
        <w:tc>
          <w:tcPr>
            <w:tcW w:w="958" w:type="dxa"/>
            <w:tcBorders>
              <w:top w:val="outset" w:color="auto" w:sz="6" w:space="0"/>
              <w:left w:val="nil"/>
              <w:bottom w:val="outset" w:color="auto" w:sz="6" w:space="0"/>
              <w:right w:val="outset" w:color="auto" w:sz="6" w:space="0"/>
            </w:tcBorders>
            <w:shd w:val="clear" w:color="auto" w:fill="auto"/>
            <w:noWrap/>
            <w:vAlign w:val="center"/>
          </w:tcPr>
          <w:p w14:paraId="05B9D9D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一级</w:t>
            </w:r>
          </w:p>
          <w:p w14:paraId="67104A7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14486E4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二级</w:t>
            </w:r>
          </w:p>
          <w:p w14:paraId="03B392B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00B9B5F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三级</w:t>
            </w:r>
          </w:p>
          <w:p w14:paraId="6B594EB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0127815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预期指标值</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152C37E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实际完成指标值</w:t>
            </w:r>
          </w:p>
        </w:tc>
      </w:tr>
      <w:tr w14:paraId="0C5807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0"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5A9118C0">
            <w:pPr>
              <w:rPr>
                <w:rFonts w:hint="eastAsia" w:ascii="宋体" w:hAnsi="宋体" w:eastAsia="宋体" w:cs="宋体"/>
                <w:b w:val="0"/>
                <w:bCs w:val="0"/>
                <w:sz w:val="24"/>
                <w:szCs w:val="24"/>
              </w:rPr>
            </w:pPr>
          </w:p>
        </w:tc>
        <w:tc>
          <w:tcPr>
            <w:tcW w:w="958" w:type="dxa"/>
            <w:vMerge w:val="restart"/>
            <w:tcBorders>
              <w:top w:val="nil"/>
              <w:left w:val="nil"/>
              <w:bottom w:val="outset" w:color="auto" w:sz="6" w:space="0"/>
              <w:right w:val="outset" w:color="auto" w:sz="6" w:space="0"/>
            </w:tcBorders>
            <w:shd w:val="clear" w:color="auto" w:fill="auto"/>
            <w:noWrap/>
            <w:vAlign w:val="center"/>
          </w:tcPr>
          <w:p w14:paraId="14237CD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w:t>
            </w:r>
          </w:p>
          <w:p w14:paraId="06EA11D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6F072969">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数量指标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308C44CC">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人工种草生态修复治理</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20D4B7DA">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2"/>
                <w:sz w:val="24"/>
                <w:szCs w:val="24"/>
                <w:lang w:val="en-US" w:eastAsia="zh-CN" w:bidi="ar-SA"/>
              </w:rPr>
              <w:t>1000hm2</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506F2BC7">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 </w:t>
            </w:r>
            <w:r>
              <w:rPr>
                <w:rFonts w:hint="eastAsia" w:ascii="宋体" w:hAnsi="宋体" w:eastAsia="宋体" w:cs="宋体"/>
                <w:b w:val="0"/>
                <w:bCs w:val="0"/>
                <w:kern w:val="2"/>
                <w:sz w:val="24"/>
                <w:szCs w:val="24"/>
                <w:lang w:val="en-US" w:eastAsia="zh-CN" w:bidi="ar-SA"/>
              </w:rPr>
              <w:t>600hm2</w:t>
            </w:r>
          </w:p>
        </w:tc>
      </w:tr>
      <w:tr w14:paraId="2086D3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38"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3E026EF3">
            <w:pPr>
              <w:rPr>
                <w:rFonts w:hint="eastAsia" w:ascii="宋体" w:hAnsi="宋体" w:eastAsia="宋体" w:cs="宋体"/>
                <w:b w:val="0"/>
                <w:bCs w:val="0"/>
                <w:sz w:val="24"/>
                <w:szCs w:val="24"/>
              </w:rPr>
            </w:pPr>
          </w:p>
        </w:tc>
        <w:tc>
          <w:tcPr>
            <w:tcW w:w="958" w:type="dxa"/>
            <w:vMerge w:val="continue"/>
            <w:tcBorders>
              <w:top w:val="nil"/>
              <w:left w:val="nil"/>
              <w:bottom w:val="outset" w:color="auto" w:sz="6" w:space="0"/>
              <w:right w:val="outset" w:color="auto" w:sz="6" w:space="0"/>
            </w:tcBorders>
            <w:shd w:val="clear" w:color="auto" w:fill="auto"/>
            <w:noWrap/>
            <w:vAlign w:val="center"/>
          </w:tcPr>
          <w:p w14:paraId="0EA2440D">
            <w:pPr>
              <w:rPr>
                <w:rFonts w:hint="eastAsia" w:ascii="宋体" w:hAnsi="宋体" w:eastAsia="宋体" w:cs="宋体"/>
                <w:b w:val="0"/>
                <w:bCs w:val="0"/>
                <w:sz w:val="24"/>
                <w:szCs w:val="24"/>
              </w:rPr>
            </w:pP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317E61E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质量指标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73FB7873">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人工种草生态修复治理区域植被盖度</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196C39AE">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≧85%</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6B91C43B">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 </w:t>
            </w:r>
          </w:p>
        </w:tc>
      </w:tr>
      <w:tr w14:paraId="5D8307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5"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15A4D669">
            <w:pPr>
              <w:rPr>
                <w:rFonts w:hint="eastAsia" w:ascii="宋体" w:hAnsi="宋体" w:eastAsia="宋体" w:cs="宋体"/>
                <w:b w:val="0"/>
                <w:bCs w:val="0"/>
                <w:sz w:val="24"/>
                <w:szCs w:val="24"/>
              </w:rPr>
            </w:pPr>
          </w:p>
        </w:tc>
        <w:tc>
          <w:tcPr>
            <w:tcW w:w="958" w:type="dxa"/>
            <w:vMerge w:val="continue"/>
            <w:tcBorders>
              <w:top w:val="nil"/>
              <w:left w:val="nil"/>
              <w:bottom w:val="outset" w:color="auto" w:sz="6" w:space="0"/>
              <w:right w:val="outset" w:color="auto" w:sz="6" w:space="0"/>
            </w:tcBorders>
            <w:shd w:val="clear" w:color="auto" w:fill="auto"/>
            <w:noWrap/>
            <w:vAlign w:val="center"/>
          </w:tcPr>
          <w:p w14:paraId="0E6883A7">
            <w:pPr>
              <w:rPr>
                <w:rFonts w:hint="eastAsia" w:ascii="宋体" w:hAnsi="宋体" w:eastAsia="宋体" w:cs="宋体"/>
                <w:b w:val="0"/>
                <w:bCs w:val="0"/>
                <w:sz w:val="24"/>
                <w:szCs w:val="24"/>
              </w:rPr>
            </w:pP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79B13A0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时效指标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0A3F3156">
            <w:pPr>
              <w:pStyle w:val="20"/>
              <w:keepNext w:val="0"/>
              <w:keepLines w:val="0"/>
              <w:widowControl/>
              <w:suppressLineNumbers w:val="0"/>
              <w:tabs>
                <w:tab w:val="left" w:pos="431"/>
              </w:tabs>
              <w:ind w:left="0" w:leftChars="0" w:right="0" w:rightChars="0"/>
              <w:jc w:val="center"/>
              <w:rPr>
                <w:rFonts w:hint="eastAsia" w:ascii="宋体" w:hAnsi="宋体" w:eastAsia="宋体" w:cs="宋体"/>
                <w:b w:val="0"/>
                <w:bCs w:val="0"/>
                <w:kern w:val="0"/>
                <w:sz w:val="24"/>
                <w:szCs w:val="24"/>
                <w:lang w:val="en-US" w:eastAsia="zh-CN" w:bidi="ar"/>
              </w:rPr>
            </w:pP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33596B63">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644B4D02">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p>
        </w:tc>
      </w:tr>
      <w:tr w14:paraId="7282C1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03"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12749B81">
            <w:pPr>
              <w:rPr>
                <w:rFonts w:hint="eastAsia" w:ascii="宋体" w:hAnsi="宋体" w:eastAsia="宋体" w:cs="宋体"/>
                <w:b w:val="0"/>
                <w:bCs w:val="0"/>
                <w:sz w:val="24"/>
                <w:szCs w:val="24"/>
              </w:rPr>
            </w:pPr>
          </w:p>
        </w:tc>
        <w:tc>
          <w:tcPr>
            <w:tcW w:w="958" w:type="dxa"/>
            <w:vMerge w:val="continue"/>
            <w:tcBorders>
              <w:top w:val="nil"/>
              <w:left w:val="nil"/>
              <w:bottom w:val="outset" w:color="auto" w:sz="6" w:space="0"/>
              <w:right w:val="outset" w:color="auto" w:sz="6" w:space="0"/>
            </w:tcBorders>
            <w:shd w:val="clear" w:color="auto" w:fill="auto"/>
            <w:noWrap/>
            <w:vAlign w:val="center"/>
          </w:tcPr>
          <w:p w14:paraId="3C614281">
            <w:pPr>
              <w:rPr>
                <w:rFonts w:hint="eastAsia" w:ascii="宋体" w:hAnsi="宋体" w:eastAsia="宋体" w:cs="宋体"/>
                <w:b w:val="0"/>
                <w:bCs w:val="0"/>
                <w:sz w:val="24"/>
                <w:szCs w:val="24"/>
              </w:rPr>
            </w:pP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5162AD07">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质量指标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23152F1C">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75A22BAA">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4D0E047F">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 </w:t>
            </w:r>
          </w:p>
        </w:tc>
      </w:tr>
      <w:tr w14:paraId="6F09C0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4"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6B836D4F">
            <w:pPr>
              <w:rPr>
                <w:rFonts w:hint="eastAsia" w:ascii="宋体" w:hAnsi="宋体" w:eastAsia="宋体" w:cs="宋体"/>
                <w:b w:val="0"/>
                <w:bCs w:val="0"/>
                <w:sz w:val="24"/>
                <w:szCs w:val="24"/>
              </w:rPr>
            </w:pPr>
          </w:p>
        </w:tc>
        <w:tc>
          <w:tcPr>
            <w:tcW w:w="958" w:type="dxa"/>
            <w:vMerge w:val="restart"/>
            <w:tcBorders>
              <w:top w:val="nil"/>
              <w:left w:val="nil"/>
              <w:bottom w:val="outset" w:color="auto" w:sz="6" w:space="0"/>
              <w:right w:val="outset" w:color="auto" w:sz="6" w:space="0"/>
            </w:tcBorders>
            <w:shd w:val="clear" w:color="auto" w:fill="auto"/>
            <w:noWrap/>
            <w:vAlign w:val="center"/>
          </w:tcPr>
          <w:p w14:paraId="3DDBA65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效益</w:t>
            </w:r>
          </w:p>
          <w:p w14:paraId="68794AB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65411C3A">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经济效益指标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33946DA4">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2"/>
                <w:sz w:val="24"/>
                <w:szCs w:val="24"/>
                <w:lang w:val="en-US" w:eastAsia="zh-CN" w:bidi="ar-SA"/>
              </w:rPr>
              <w:t>生态景观旅游业快速发展，增加旅游业收入</w:t>
            </w:r>
            <w:r>
              <w:rPr>
                <w:rFonts w:hint="eastAsia" w:ascii="宋体" w:hAnsi="宋体" w:eastAsia="宋体" w:cs="宋体"/>
                <w:b w:val="0"/>
                <w:bCs w:val="0"/>
                <w:kern w:val="0"/>
                <w:sz w:val="24"/>
                <w:szCs w:val="24"/>
              </w:rPr>
              <w:t> </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6017CEFF">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369FFBB9">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p>
        </w:tc>
      </w:tr>
      <w:tr w14:paraId="7FCA15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5"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16010887">
            <w:pPr>
              <w:rPr>
                <w:rFonts w:hint="eastAsia" w:ascii="宋体" w:hAnsi="宋体" w:eastAsia="宋体" w:cs="宋体"/>
                <w:b w:val="0"/>
                <w:bCs w:val="0"/>
                <w:sz w:val="24"/>
                <w:szCs w:val="24"/>
              </w:rPr>
            </w:pPr>
          </w:p>
        </w:tc>
        <w:tc>
          <w:tcPr>
            <w:tcW w:w="958" w:type="dxa"/>
            <w:vMerge w:val="continue"/>
            <w:tcBorders>
              <w:top w:val="nil"/>
              <w:left w:val="nil"/>
              <w:bottom w:val="outset" w:color="auto" w:sz="6" w:space="0"/>
              <w:right w:val="outset" w:color="auto" w:sz="6" w:space="0"/>
            </w:tcBorders>
            <w:shd w:val="clear" w:color="auto" w:fill="auto"/>
            <w:noWrap/>
            <w:vAlign w:val="center"/>
          </w:tcPr>
          <w:p w14:paraId="0C338587">
            <w:pPr>
              <w:rPr>
                <w:rFonts w:hint="eastAsia" w:ascii="宋体" w:hAnsi="宋体" w:eastAsia="宋体" w:cs="宋体"/>
                <w:b w:val="0"/>
                <w:bCs w:val="0"/>
                <w:sz w:val="24"/>
                <w:szCs w:val="24"/>
              </w:rPr>
            </w:pP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3577887B">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社会效益指标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7D948388">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社会公众对湿地保护的认知度</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43AA0BA5">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 </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2FD3EEAE">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 </w:t>
            </w:r>
          </w:p>
        </w:tc>
      </w:tr>
      <w:tr w14:paraId="1530D7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86"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0567333E">
            <w:pPr>
              <w:rPr>
                <w:rFonts w:hint="eastAsia" w:ascii="宋体" w:hAnsi="宋体" w:eastAsia="宋体" w:cs="宋体"/>
                <w:b w:val="0"/>
                <w:bCs w:val="0"/>
                <w:sz w:val="24"/>
                <w:szCs w:val="24"/>
              </w:rPr>
            </w:pPr>
          </w:p>
        </w:tc>
        <w:tc>
          <w:tcPr>
            <w:tcW w:w="958" w:type="dxa"/>
            <w:vMerge w:val="continue"/>
            <w:tcBorders>
              <w:top w:val="nil"/>
              <w:left w:val="nil"/>
              <w:bottom w:val="outset" w:color="auto" w:sz="6" w:space="0"/>
              <w:right w:val="outset" w:color="auto" w:sz="6" w:space="0"/>
            </w:tcBorders>
            <w:shd w:val="clear" w:color="auto" w:fill="auto"/>
            <w:noWrap/>
            <w:vAlign w:val="center"/>
          </w:tcPr>
          <w:p w14:paraId="11F6207C">
            <w:pPr>
              <w:rPr>
                <w:rFonts w:hint="eastAsia" w:ascii="宋体" w:hAnsi="宋体" w:eastAsia="宋体" w:cs="宋体"/>
                <w:b w:val="0"/>
                <w:bCs w:val="0"/>
                <w:sz w:val="24"/>
                <w:szCs w:val="24"/>
              </w:rPr>
            </w:pP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5DF5B297">
            <w:pPr>
              <w:pStyle w:val="20"/>
              <w:keepNext w:val="0"/>
              <w:keepLines w:val="0"/>
              <w:widowControl/>
              <w:suppressLineNumbers w:val="0"/>
              <w:ind w:left="0" w:leftChars="0" w:right="0" w:rightChars="0"/>
              <w:jc w:val="both"/>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生态效益指标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287C5CA9">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恢复草原植被、减轻水土流失</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1A618F93">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 </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55AF227C">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 </w:t>
            </w:r>
          </w:p>
        </w:tc>
      </w:tr>
      <w:tr w14:paraId="6381F9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65"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251CC9FD">
            <w:pPr>
              <w:rPr>
                <w:rFonts w:hint="eastAsia" w:ascii="宋体" w:hAnsi="宋体" w:eastAsia="宋体" w:cs="宋体"/>
                <w:b w:val="0"/>
                <w:bCs w:val="0"/>
                <w:sz w:val="24"/>
                <w:szCs w:val="24"/>
              </w:rPr>
            </w:pPr>
          </w:p>
        </w:tc>
        <w:tc>
          <w:tcPr>
            <w:tcW w:w="958" w:type="dxa"/>
            <w:vMerge w:val="continue"/>
            <w:tcBorders>
              <w:top w:val="nil"/>
              <w:left w:val="nil"/>
              <w:bottom w:val="outset" w:color="auto" w:sz="6" w:space="0"/>
              <w:right w:val="outset" w:color="auto" w:sz="6" w:space="0"/>
            </w:tcBorders>
            <w:shd w:val="clear" w:color="auto" w:fill="auto"/>
            <w:noWrap/>
            <w:vAlign w:val="center"/>
          </w:tcPr>
          <w:p w14:paraId="234CDA3E">
            <w:pPr>
              <w:rPr>
                <w:rFonts w:hint="eastAsia" w:ascii="宋体" w:hAnsi="宋体" w:eastAsia="宋体" w:cs="宋体"/>
                <w:b w:val="0"/>
                <w:bCs w:val="0"/>
                <w:sz w:val="24"/>
                <w:szCs w:val="24"/>
              </w:rPr>
            </w:pP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0CD12202">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可持续影响指标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1C1EF8B3">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改善环境，促进生物多样性保护 </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39C9670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无 </w:t>
            </w: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0499A49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无</w:t>
            </w:r>
          </w:p>
        </w:tc>
      </w:tr>
      <w:tr w14:paraId="31F08A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30" w:hRule="atLeast"/>
        </w:trPr>
        <w:tc>
          <w:tcPr>
            <w:tcW w:w="1643" w:type="dxa"/>
            <w:vMerge w:val="continue"/>
            <w:tcBorders>
              <w:top w:val="nil"/>
              <w:left w:val="outset" w:color="auto" w:sz="6" w:space="0"/>
              <w:bottom w:val="outset" w:color="auto" w:sz="6" w:space="0"/>
              <w:right w:val="outset" w:color="auto" w:sz="6" w:space="0"/>
            </w:tcBorders>
            <w:shd w:val="clear" w:color="auto" w:fill="auto"/>
            <w:noWrap/>
            <w:vAlign w:val="center"/>
          </w:tcPr>
          <w:p w14:paraId="7EB8AB23">
            <w:pPr>
              <w:rPr>
                <w:rFonts w:hint="eastAsia" w:ascii="宋体" w:hAnsi="宋体" w:eastAsia="宋体" w:cs="宋体"/>
                <w:b w:val="0"/>
                <w:bCs w:val="0"/>
                <w:sz w:val="24"/>
                <w:szCs w:val="24"/>
              </w:rPr>
            </w:pPr>
          </w:p>
        </w:tc>
        <w:tc>
          <w:tcPr>
            <w:tcW w:w="958" w:type="dxa"/>
            <w:tcBorders>
              <w:top w:val="outset" w:color="auto" w:sz="6" w:space="0"/>
              <w:left w:val="nil"/>
              <w:bottom w:val="outset" w:color="auto" w:sz="6" w:space="0"/>
              <w:right w:val="outset" w:color="auto" w:sz="6" w:space="0"/>
            </w:tcBorders>
            <w:shd w:val="clear" w:color="auto" w:fill="auto"/>
            <w:noWrap/>
            <w:vAlign w:val="center"/>
          </w:tcPr>
          <w:p w14:paraId="15A828C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w:t>
            </w:r>
          </w:p>
          <w:p w14:paraId="51C27BB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度指标</w:t>
            </w:r>
          </w:p>
        </w:tc>
        <w:tc>
          <w:tcPr>
            <w:tcW w:w="1361" w:type="dxa"/>
            <w:tcBorders>
              <w:top w:val="outset" w:color="auto" w:sz="6" w:space="0"/>
              <w:left w:val="nil"/>
              <w:bottom w:val="outset" w:color="auto" w:sz="6" w:space="0"/>
              <w:right w:val="outset" w:color="auto" w:sz="6" w:space="0"/>
            </w:tcBorders>
            <w:shd w:val="clear" w:color="auto" w:fill="auto"/>
            <w:noWrap/>
            <w:vAlign w:val="center"/>
          </w:tcPr>
          <w:p w14:paraId="4CF846D3">
            <w:pPr>
              <w:pStyle w:val="20"/>
              <w:keepNext w:val="0"/>
              <w:keepLines w:val="0"/>
              <w:widowControl/>
              <w:suppressLineNumbers w:val="0"/>
              <w:ind w:left="0" w:leftChars="0" w:right="0" w:rightChars="0"/>
              <w:jc w:val="both"/>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满意度指标</w:t>
            </w:r>
          </w:p>
        </w:tc>
        <w:tc>
          <w:tcPr>
            <w:tcW w:w="994" w:type="dxa"/>
            <w:tcBorders>
              <w:top w:val="outset" w:color="auto" w:sz="6" w:space="0"/>
              <w:left w:val="nil"/>
              <w:bottom w:val="outset" w:color="auto" w:sz="6" w:space="0"/>
              <w:right w:val="outset" w:color="auto" w:sz="6" w:space="0"/>
            </w:tcBorders>
            <w:shd w:val="clear" w:color="auto" w:fill="auto"/>
            <w:noWrap/>
            <w:vAlign w:val="center"/>
          </w:tcPr>
          <w:p w14:paraId="52A4D92C">
            <w:pPr>
              <w:pStyle w:val="20"/>
              <w:keepNext w:val="0"/>
              <w:keepLines w:val="0"/>
              <w:widowControl/>
              <w:suppressLineNumbers w:val="0"/>
              <w:ind w:left="0" w:leftChars="0" w:right="0" w:rightChars="0"/>
              <w:jc w:val="center"/>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rPr>
              <w:t>社会公众满意度</w:t>
            </w:r>
          </w:p>
        </w:tc>
        <w:tc>
          <w:tcPr>
            <w:tcW w:w="1030" w:type="dxa"/>
            <w:tcBorders>
              <w:top w:val="outset" w:color="auto" w:sz="6" w:space="0"/>
              <w:left w:val="nil"/>
              <w:bottom w:val="outset" w:color="auto" w:sz="6" w:space="0"/>
              <w:right w:val="outset" w:color="auto" w:sz="6" w:space="0"/>
            </w:tcBorders>
            <w:shd w:val="clear" w:color="auto" w:fill="auto"/>
            <w:noWrap/>
            <w:vAlign w:val="center"/>
          </w:tcPr>
          <w:p w14:paraId="1AB9782B">
            <w:pPr>
              <w:pStyle w:val="20"/>
              <w:keepNext w:val="0"/>
              <w:keepLines w:val="0"/>
              <w:widowControl/>
              <w:suppressLineNumbers w:val="0"/>
              <w:jc w:val="both"/>
              <w:rPr>
                <w:rFonts w:hint="eastAsia" w:ascii="宋体" w:hAnsi="宋体" w:eastAsia="宋体" w:cs="宋体"/>
                <w:b w:val="0"/>
                <w:bCs w:val="0"/>
                <w:kern w:val="0"/>
                <w:sz w:val="24"/>
                <w:szCs w:val="24"/>
              </w:rPr>
            </w:pPr>
          </w:p>
        </w:tc>
        <w:tc>
          <w:tcPr>
            <w:tcW w:w="2004" w:type="dxa"/>
            <w:tcBorders>
              <w:top w:val="outset" w:color="auto" w:sz="6" w:space="0"/>
              <w:left w:val="nil"/>
              <w:bottom w:val="outset" w:color="auto" w:sz="6" w:space="0"/>
              <w:right w:val="outset" w:color="auto" w:sz="6" w:space="0"/>
            </w:tcBorders>
            <w:shd w:val="clear" w:color="auto" w:fill="auto"/>
            <w:noWrap/>
            <w:vAlign w:val="center"/>
          </w:tcPr>
          <w:p w14:paraId="3C410D47">
            <w:pPr>
              <w:pStyle w:val="20"/>
              <w:keepNext w:val="0"/>
              <w:keepLines w:val="0"/>
              <w:widowControl/>
              <w:suppressLineNumbers w:val="0"/>
              <w:jc w:val="both"/>
              <w:rPr>
                <w:rFonts w:hint="eastAsia" w:ascii="宋体" w:hAnsi="宋体" w:eastAsia="宋体" w:cs="宋体"/>
                <w:b w:val="0"/>
                <w:bCs w:val="0"/>
                <w:kern w:val="0"/>
                <w:sz w:val="24"/>
                <w:szCs w:val="24"/>
              </w:rPr>
            </w:pPr>
          </w:p>
        </w:tc>
      </w:tr>
    </w:tbl>
    <w:p w14:paraId="541997F8">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095050D5">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1F7B28BF">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26D8A5E5">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tbl>
      <w:tblPr>
        <w:tblStyle w:val="17"/>
        <w:tblW w:w="0" w:type="auto"/>
        <w:tblInd w:w="21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6"/>
        <w:gridCol w:w="971"/>
        <w:gridCol w:w="1381"/>
        <w:gridCol w:w="1008"/>
        <w:gridCol w:w="1046"/>
        <w:gridCol w:w="2026"/>
      </w:tblGrid>
      <w:tr w14:paraId="69420D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rPr>
        <w:tc>
          <w:tcPr>
            <w:tcW w:w="9765"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14:paraId="0746DB4A">
            <w:pPr>
              <w:pStyle w:val="20"/>
              <w:keepNext w:val="0"/>
              <w:keepLines w:val="0"/>
              <w:widowControl/>
              <w:suppressLineNumbers w:val="0"/>
              <w:jc w:val="center"/>
              <w:rPr>
                <w:rStyle w:val="21"/>
                <w:rFonts w:hint="eastAsia" w:ascii="宋体" w:hAnsi="宋体" w:eastAsia="宋体" w:cs="宋体"/>
                <w:b w:val="0"/>
                <w:bCs w:val="0"/>
                <w:sz w:val="24"/>
                <w:szCs w:val="24"/>
              </w:rPr>
            </w:pPr>
            <w:r>
              <w:rPr>
                <w:rStyle w:val="21"/>
                <w:rFonts w:hint="eastAsia" w:ascii="宋体" w:hAnsi="宋体" w:eastAsia="宋体" w:cs="宋体"/>
                <w:b w:val="0"/>
                <w:bCs w:val="0"/>
                <w:sz w:val="24"/>
                <w:szCs w:val="24"/>
              </w:rPr>
              <w:t>2022年100万元以上（含）特定目标类部门预算项目绩效目标自评</w:t>
            </w:r>
          </w:p>
          <w:p w14:paraId="482279E7">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Style w:val="21"/>
                <w:rFonts w:hint="eastAsia" w:ascii="宋体" w:hAnsi="宋体" w:eastAsia="宋体" w:cs="宋体"/>
                <w:b w:val="0"/>
                <w:bCs w:val="0"/>
                <w:sz w:val="24"/>
                <w:szCs w:val="24"/>
                <w:lang w:eastAsia="zh-CN"/>
              </w:rPr>
              <w:t>（2022年度退耕还生态林森林抚育补助资金）</w:t>
            </w:r>
            <w:r>
              <w:rPr>
                <w:rStyle w:val="21"/>
                <w:rFonts w:hint="eastAsia" w:ascii="宋体" w:hAnsi="宋体" w:eastAsia="宋体" w:cs="宋体"/>
                <w:b w:val="0"/>
                <w:bCs w:val="0"/>
                <w:sz w:val="24"/>
                <w:szCs w:val="24"/>
                <w:lang w:val="en-US" w:eastAsia="zh-CN"/>
              </w:rPr>
              <w:t>118万元</w:t>
            </w:r>
          </w:p>
        </w:tc>
      </w:tr>
      <w:tr w14:paraId="267805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56" w:hRule="atLeast"/>
        </w:trPr>
        <w:tc>
          <w:tcPr>
            <w:tcW w:w="3180"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14B1B23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主管部门及代码</w:t>
            </w:r>
          </w:p>
        </w:tc>
        <w:tc>
          <w:tcPr>
            <w:tcW w:w="2880" w:type="dxa"/>
            <w:gridSpan w:val="2"/>
            <w:tcBorders>
              <w:top w:val="outset" w:color="auto" w:sz="6" w:space="0"/>
              <w:left w:val="nil"/>
              <w:bottom w:val="outset" w:color="auto" w:sz="6" w:space="0"/>
              <w:right w:val="outset" w:color="auto" w:sz="6" w:space="0"/>
            </w:tcBorders>
            <w:shd w:val="clear" w:color="auto" w:fill="auto"/>
            <w:noWrap/>
            <w:vAlign w:val="center"/>
          </w:tcPr>
          <w:p w14:paraId="5D9B39AC">
            <w:pPr>
              <w:pStyle w:val="20"/>
              <w:keepNext w:val="0"/>
              <w:keepLines w:val="0"/>
              <w:widowControl/>
              <w:suppressLineNumbers w:val="0"/>
              <w:tabs>
                <w:tab w:val="left" w:pos="528"/>
                <w:tab w:val="center" w:pos="1247"/>
              </w:tabs>
              <w:jc w:val="left"/>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ab/>
            </w:r>
            <w:r>
              <w:rPr>
                <w:rFonts w:hint="eastAsia" w:ascii="宋体" w:hAnsi="宋体" w:eastAsia="宋体" w:cs="宋体"/>
                <w:b w:val="0"/>
                <w:bCs w:val="0"/>
                <w:kern w:val="0"/>
                <w:sz w:val="24"/>
                <w:szCs w:val="24"/>
              </w:rPr>
              <w:t>〔169〕国家林业和草原局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1EBD80F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实施单位</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2D0A054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各乡镇 </w:t>
            </w:r>
          </w:p>
        </w:tc>
      </w:tr>
      <w:tr w14:paraId="531292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rPr>
        <w:tc>
          <w:tcPr>
            <w:tcW w:w="3180" w:type="dxa"/>
            <w:gridSpan w:val="2"/>
            <w:vMerge w:val="restart"/>
            <w:tcBorders>
              <w:top w:val="nil"/>
              <w:left w:val="outset" w:color="auto" w:sz="6" w:space="0"/>
              <w:bottom w:val="outset" w:color="auto" w:sz="6" w:space="0"/>
              <w:right w:val="outset" w:color="auto" w:sz="6" w:space="0"/>
            </w:tcBorders>
            <w:shd w:val="clear" w:color="auto" w:fill="auto"/>
            <w:noWrap/>
            <w:vAlign w:val="center"/>
          </w:tcPr>
          <w:p w14:paraId="3131A49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项目预算</w:t>
            </w:r>
          </w:p>
          <w:p w14:paraId="4B8F9D7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执行情况</w:t>
            </w:r>
          </w:p>
          <w:p w14:paraId="261B2FC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（万元）</w:t>
            </w: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65061FD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预算数：</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717E58A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118</w:t>
            </w:r>
            <w:r>
              <w:rPr>
                <w:rFonts w:hint="eastAsia" w:ascii="宋体" w:hAnsi="宋体" w:eastAsia="宋体" w:cs="宋体"/>
                <w:b w:val="0"/>
                <w:bCs w:val="0"/>
                <w:kern w:val="0"/>
                <w:sz w:val="24"/>
                <w:szCs w:val="24"/>
              </w:rPr>
              <w:t>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22DA2D4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执行数：</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0783128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118</w:t>
            </w:r>
            <w:r>
              <w:rPr>
                <w:rFonts w:hint="eastAsia" w:ascii="宋体" w:hAnsi="宋体" w:eastAsia="宋体" w:cs="宋体"/>
                <w:b w:val="0"/>
                <w:bCs w:val="0"/>
                <w:kern w:val="0"/>
                <w:sz w:val="24"/>
                <w:szCs w:val="24"/>
              </w:rPr>
              <w:t> </w:t>
            </w:r>
          </w:p>
        </w:tc>
      </w:tr>
      <w:tr w14:paraId="5C7C47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5" w:hRule="atLeast"/>
        </w:trPr>
        <w:tc>
          <w:tcPr>
            <w:tcW w:w="3180"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5F990C8A">
            <w:pPr>
              <w:rPr>
                <w:rFonts w:hint="eastAsia" w:ascii="宋体" w:hAnsi="宋体" w:eastAsia="宋体" w:cs="宋体"/>
                <w:b w:val="0"/>
                <w:bCs w:val="0"/>
                <w:sz w:val="24"/>
                <w:szCs w:val="24"/>
              </w:rPr>
            </w:pP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78BC464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p>
          <w:p w14:paraId="676A623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财政拨款</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290DE55C">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rPr>
              <w:t> </w:t>
            </w:r>
            <w:r>
              <w:rPr>
                <w:rFonts w:hint="eastAsia" w:ascii="宋体" w:hAnsi="宋体" w:eastAsia="宋体" w:cs="宋体"/>
                <w:b w:val="0"/>
                <w:bCs w:val="0"/>
                <w:kern w:val="0"/>
                <w:sz w:val="24"/>
                <w:szCs w:val="24"/>
                <w:lang w:val="en-US" w:eastAsia="zh-CN"/>
              </w:rPr>
              <w:t>118</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634F28B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p>
          <w:p w14:paraId="651EB2F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财政拨款</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32C2438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118</w:t>
            </w:r>
            <w:r>
              <w:rPr>
                <w:rFonts w:hint="eastAsia" w:ascii="宋体" w:hAnsi="宋体" w:eastAsia="宋体" w:cs="宋体"/>
                <w:b w:val="0"/>
                <w:bCs w:val="0"/>
                <w:kern w:val="0"/>
                <w:sz w:val="24"/>
                <w:szCs w:val="24"/>
              </w:rPr>
              <w:t> </w:t>
            </w:r>
          </w:p>
        </w:tc>
      </w:tr>
      <w:tr w14:paraId="01FC36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rPr>
        <w:tc>
          <w:tcPr>
            <w:tcW w:w="3180"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1187469E">
            <w:pPr>
              <w:rPr>
                <w:rFonts w:hint="eastAsia" w:ascii="宋体" w:hAnsi="宋体" w:eastAsia="宋体" w:cs="宋体"/>
                <w:b w:val="0"/>
                <w:bCs w:val="0"/>
                <w:sz w:val="24"/>
                <w:szCs w:val="24"/>
              </w:rPr>
            </w:pP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088EFAA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3035EDDE">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516B069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02907C9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p>
        </w:tc>
      </w:tr>
      <w:tr w14:paraId="269304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11" w:hRule="atLeast"/>
        </w:trPr>
        <w:tc>
          <w:tcPr>
            <w:tcW w:w="2010" w:type="dxa"/>
            <w:vMerge w:val="restart"/>
            <w:tcBorders>
              <w:top w:val="nil"/>
              <w:left w:val="outset" w:color="auto" w:sz="6" w:space="0"/>
              <w:bottom w:val="outset" w:color="auto" w:sz="6" w:space="0"/>
              <w:right w:val="outset" w:color="auto" w:sz="6" w:space="0"/>
            </w:tcBorders>
            <w:shd w:val="clear" w:color="auto" w:fill="auto"/>
            <w:noWrap/>
            <w:vAlign w:val="center"/>
          </w:tcPr>
          <w:p w14:paraId="694515E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年度总体目标</w:t>
            </w:r>
          </w:p>
          <w:p w14:paraId="185912A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完成情况</w:t>
            </w:r>
          </w:p>
        </w:tc>
        <w:tc>
          <w:tcPr>
            <w:tcW w:w="4050" w:type="dxa"/>
            <w:gridSpan w:val="3"/>
            <w:tcBorders>
              <w:top w:val="outset" w:color="auto" w:sz="6" w:space="0"/>
              <w:left w:val="nil"/>
              <w:bottom w:val="outset" w:color="auto" w:sz="6" w:space="0"/>
              <w:right w:val="outset" w:color="auto" w:sz="6" w:space="0"/>
            </w:tcBorders>
            <w:shd w:val="clear" w:color="auto" w:fill="auto"/>
            <w:noWrap/>
            <w:vAlign w:val="center"/>
          </w:tcPr>
          <w:p w14:paraId="3BE50C5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预期目标</w:t>
            </w:r>
          </w:p>
        </w:tc>
        <w:tc>
          <w:tcPr>
            <w:tcW w:w="3705" w:type="dxa"/>
            <w:gridSpan w:val="2"/>
            <w:tcBorders>
              <w:top w:val="outset" w:color="auto" w:sz="6" w:space="0"/>
              <w:left w:val="nil"/>
              <w:bottom w:val="outset" w:color="auto" w:sz="6" w:space="0"/>
              <w:right w:val="outset" w:color="auto" w:sz="6" w:space="0"/>
            </w:tcBorders>
            <w:shd w:val="clear" w:color="auto" w:fill="auto"/>
            <w:noWrap/>
            <w:vAlign w:val="center"/>
          </w:tcPr>
          <w:p w14:paraId="76B70A9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目标实际完成情况</w:t>
            </w:r>
          </w:p>
        </w:tc>
      </w:tr>
      <w:tr w14:paraId="3B2FA7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5"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777D9FFE">
            <w:pPr>
              <w:rPr>
                <w:rFonts w:hint="eastAsia" w:ascii="宋体" w:hAnsi="宋体" w:eastAsia="宋体" w:cs="宋体"/>
                <w:b w:val="0"/>
                <w:bCs w:val="0"/>
                <w:sz w:val="24"/>
                <w:szCs w:val="24"/>
              </w:rPr>
            </w:pPr>
          </w:p>
        </w:tc>
        <w:tc>
          <w:tcPr>
            <w:tcW w:w="4050" w:type="dxa"/>
            <w:gridSpan w:val="3"/>
            <w:tcBorders>
              <w:top w:val="outset" w:color="auto" w:sz="6" w:space="0"/>
              <w:left w:val="nil"/>
              <w:bottom w:val="outset" w:color="auto" w:sz="6" w:space="0"/>
              <w:right w:val="outset" w:color="auto" w:sz="6" w:space="0"/>
            </w:tcBorders>
            <w:shd w:val="clear" w:color="auto" w:fill="auto"/>
            <w:noWrap/>
            <w:vAlign w:val="center"/>
          </w:tcPr>
          <w:p w14:paraId="2DBDB90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2022年前一轮到期退耕还生态林森林抚育补助兑现年度2000-2006年度实施，应兑现面积共计59000亩，标准：20元/亩，涉及17个乡镇，12860户退耕农户，48732人，兑现补助资金118万元，通过经各乡镇录入四川省惠民惠农财政补贴项目资格审批基础支撑平台进行审核，再系统和村进行兑现线上线下同时公示，最后推送到“阿坝州惠民惠农财政补贴资金社会保障卡一卡通发放监管系统”发放到退耕农户手中。 </w:t>
            </w:r>
          </w:p>
        </w:tc>
        <w:tc>
          <w:tcPr>
            <w:tcW w:w="3705" w:type="dxa"/>
            <w:gridSpan w:val="2"/>
            <w:tcBorders>
              <w:top w:val="outset" w:color="auto" w:sz="6" w:space="0"/>
              <w:left w:val="nil"/>
              <w:bottom w:val="outset" w:color="auto" w:sz="6" w:space="0"/>
              <w:right w:val="outset" w:color="auto" w:sz="6" w:space="0"/>
            </w:tcBorders>
            <w:shd w:val="clear" w:color="auto" w:fill="auto"/>
            <w:noWrap/>
            <w:vAlign w:val="center"/>
          </w:tcPr>
          <w:p w14:paraId="6FFF363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2022年前一轮到期退耕还生态林森林抚育补助兑现年度2000-2006年度实施，应兑现面积共59000亩，标准：20元/亩，涉及17个乡镇，12860户退耕农户，48732人，退耕还林工程资金经各乡镇录入四川省惠民惠农财政补贴项目资格审批基础支撑平台进行审核，再系统和村进行兑现线上线下同时公示，最后推送到“阿坝州惠民惠农财政补贴资金社会保障卡一卡通发放监管系统”，全部发放到退耕农户手中，兑现完成率100% </w:t>
            </w:r>
          </w:p>
        </w:tc>
      </w:tr>
      <w:tr w14:paraId="587807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0" w:hRule="atLeast"/>
        </w:trPr>
        <w:tc>
          <w:tcPr>
            <w:tcW w:w="2010" w:type="dxa"/>
            <w:vMerge w:val="restart"/>
            <w:tcBorders>
              <w:top w:val="nil"/>
              <w:left w:val="outset" w:color="auto" w:sz="6" w:space="0"/>
              <w:bottom w:val="outset" w:color="auto" w:sz="6" w:space="0"/>
              <w:right w:val="outset" w:color="auto" w:sz="6" w:space="0"/>
            </w:tcBorders>
            <w:shd w:val="clear" w:color="auto" w:fill="auto"/>
            <w:noWrap/>
            <w:vAlign w:val="center"/>
          </w:tcPr>
          <w:p w14:paraId="5AECA51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年度绩效指标完成情况</w:t>
            </w:r>
          </w:p>
        </w:tc>
        <w:tc>
          <w:tcPr>
            <w:tcW w:w="1170" w:type="dxa"/>
            <w:tcBorders>
              <w:top w:val="outset" w:color="auto" w:sz="6" w:space="0"/>
              <w:left w:val="nil"/>
              <w:bottom w:val="outset" w:color="auto" w:sz="6" w:space="0"/>
              <w:right w:val="outset" w:color="auto" w:sz="6" w:space="0"/>
            </w:tcBorders>
            <w:shd w:val="clear" w:color="auto" w:fill="auto"/>
            <w:noWrap/>
            <w:vAlign w:val="center"/>
          </w:tcPr>
          <w:p w14:paraId="42C6ACF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一级</w:t>
            </w:r>
          </w:p>
          <w:p w14:paraId="7399162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289C805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二级</w:t>
            </w:r>
          </w:p>
          <w:p w14:paraId="15B16D2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43689BA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三级</w:t>
            </w:r>
          </w:p>
          <w:p w14:paraId="2F35EF8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7F5B712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预期指标值</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6FA488D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实际完成指标值</w:t>
            </w:r>
          </w:p>
        </w:tc>
      </w:tr>
      <w:tr w14:paraId="484DB3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5AB7FA32">
            <w:pPr>
              <w:rPr>
                <w:rFonts w:hint="eastAsia" w:ascii="宋体" w:hAnsi="宋体" w:eastAsia="宋体" w:cs="宋体"/>
                <w:b w:val="0"/>
                <w:bCs w:val="0"/>
                <w:sz w:val="24"/>
                <w:szCs w:val="24"/>
              </w:rPr>
            </w:pPr>
          </w:p>
        </w:tc>
        <w:tc>
          <w:tcPr>
            <w:tcW w:w="1170" w:type="dxa"/>
            <w:vMerge w:val="restart"/>
            <w:tcBorders>
              <w:top w:val="nil"/>
              <w:left w:val="nil"/>
              <w:bottom w:val="outset" w:color="auto" w:sz="6" w:space="0"/>
              <w:right w:val="outset" w:color="auto" w:sz="6" w:space="0"/>
            </w:tcBorders>
            <w:shd w:val="clear" w:color="auto" w:fill="auto"/>
            <w:noWrap/>
            <w:vAlign w:val="center"/>
          </w:tcPr>
          <w:p w14:paraId="57216E8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w:t>
            </w:r>
          </w:p>
          <w:p w14:paraId="64E7398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305EF14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3996468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前一轮到期退耕还生态林森林抚育补助兑现面积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73A7B86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59000亩</w:t>
            </w:r>
            <w:r>
              <w:rPr>
                <w:rFonts w:hint="eastAsia" w:ascii="宋体" w:hAnsi="宋体" w:eastAsia="宋体" w:cs="宋体"/>
                <w:b w:val="0"/>
                <w:bCs w:val="0"/>
                <w:kern w:val="0"/>
                <w:sz w:val="24"/>
                <w:szCs w:val="24"/>
              </w:rPr>
              <w:t> </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4F7A013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59000亩</w:t>
            </w:r>
            <w:r>
              <w:rPr>
                <w:rFonts w:hint="eastAsia" w:ascii="宋体" w:hAnsi="宋体" w:eastAsia="宋体" w:cs="宋体"/>
                <w:b w:val="0"/>
                <w:bCs w:val="0"/>
                <w:kern w:val="0"/>
                <w:sz w:val="24"/>
                <w:szCs w:val="24"/>
              </w:rPr>
              <w:t> </w:t>
            </w:r>
          </w:p>
        </w:tc>
      </w:tr>
      <w:tr w14:paraId="2D89A2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0D5B9C43">
            <w:pPr>
              <w:rPr>
                <w:rFonts w:hint="eastAsia" w:ascii="宋体" w:hAnsi="宋体" w:eastAsia="宋体" w:cs="宋体"/>
                <w:b w:val="0"/>
                <w:bCs w:val="0"/>
                <w:sz w:val="24"/>
                <w:szCs w:val="24"/>
              </w:rPr>
            </w:pPr>
          </w:p>
        </w:tc>
        <w:tc>
          <w:tcPr>
            <w:tcW w:w="1170" w:type="dxa"/>
            <w:vMerge w:val="continue"/>
            <w:tcBorders>
              <w:top w:val="nil"/>
              <w:left w:val="nil"/>
              <w:bottom w:val="outset" w:color="auto" w:sz="6" w:space="0"/>
              <w:right w:val="outset" w:color="auto" w:sz="6" w:space="0"/>
            </w:tcBorders>
            <w:shd w:val="clear" w:color="auto" w:fill="auto"/>
            <w:noWrap/>
            <w:vAlign w:val="center"/>
          </w:tcPr>
          <w:p w14:paraId="7F246EF5">
            <w:pPr>
              <w:rPr>
                <w:rFonts w:hint="eastAsia" w:ascii="宋体" w:hAnsi="宋体" w:eastAsia="宋体" w:cs="宋体"/>
                <w:b w:val="0"/>
                <w:bCs w:val="0"/>
                <w:sz w:val="24"/>
                <w:szCs w:val="24"/>
              </w:rPr>
            </w:pP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5AB1C54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质量指标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7083976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前一轮退耕还林和森林抚育补助资金兑现率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45E738AA">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rPr>
              <w:t> </w:t>
            </w:r>
            <w:r>
              <w:rPr>
                <w:rFonts w:hint="eastAsia" w:ascii="宋体" w:hAnsi="宋体" w:eastAsia="宋体" w:cs="宋体"/>
                <w:b w:val="0"/>
                <w:bCs w:val="0"/>
                <w:kern w:val="0"/>
                <w:sz w:val="24"/>
                <w:szCs w:val="24"/>
                <w:lang w:val="en-US" w:eastAsia="zh-CN"/>
              </w:rPr>
              <w:t>100%</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318DDF4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100%</w:t>
            </w:r>
            <w:r>
              <w:rPr>
                <w:rFonts w:hint="eastAsia" w:ascii="宋体" w:hAnsi="宋体" w:eastAsia="宋体" w:cs="宋体"/>
                <w:b w:val="0"/>
                <w:bCs w:val="0"/>
                <w:kern w:val="0"/>
                <w:sz w:val="24"/>
                <w:szCs w:val="24"/>
              </w:rPr>
              <w:t> </w:t>
            </w:r>
          </w:p>
        </w:tc>
      </w:tr>
      <w:tr w14:paraId="3DD5E5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327F7121">
            <w:pPr>
              <w:rPr>
                <w:rFonts w:hint="eastAsia" w:ascii="宋体" w:hAnsi="宋体" w:eastAsia="宋体" w:cs="宋体"/>
                <w:b w:val="0"/>
                <w:bCs w:val="0"/>
                <w:sz w:val="24"/>
                <w:szCs w:val="24"/>
              </w:rPr>
            </w:pPr>
          </w:p>
        </w:tc>
        <w:tc>
          <w:tcPr>
            <w:tcW w:w="1170" w:type="dxa"/>
            <w:vMerge w:val="continue"/>
            <w:tcBorders>
              <w:top w:val="nil"/>
              <w:left w:val="nil"/>
              <w:bottom w:val="outset" w:color="auto" w:sz="6" w:space="0"/>
              <w:right w:val="outset" w:color="auto" w:sz="6" w:space="0"/>
            </w:tcBorders>
            <w:shd w:val="clear" w:color="auto" w:fill="auto"/>
            <w:noWrap/>
            <w:vAlign w:val="center"/>
          </w:tcPr>
          <w:p w14:paraId="0E877F6F">
            <w:pPr>
              <w:rPr>
                <w:rFonts w:hint="eastAsia" w:ascii="宋体" w:hAnsi="宋体" w:eastAsia="宋体" w:cs="宋体"/>
                <w:b w:val="0"/>
                <w:bCs w:val="0"/>
                <w:sz w:val="24"/>
                <w:szCs w:val="24"/>
              </w:rPr>
            </w:pP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7FDAC1C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时效指标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79274CA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一年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7405356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2022年1月－2022年12月 </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312A674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2022年1月－2022年12月 </w:t>
            </w:r>
          </w:p>
        </w:tc>
      </w:tr>
      <w:tr w14:paraId="08E26B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039AA7E5">
            <w:pPr>
              <w:rPr>
                <w:rFonts w:hint="eastAsia" w:ascii="宋体" w:hAnsi="宋体" w:eastAsia="宋体" w:cs="宋体"/>
                <w:b w:val="0"/>
                <w:bCs w:val="0"/>
                <w:sz w:val="24"/>
                <w:szCs w:val="24"/>
              </w:rPr>
            </w:pPr>
          </w:p>
        </w:tc>
        <w:tc>
          <w:tcPr>
            <w:tcW w:w="1170" w:type="dxa"/>
            <w:vMerge w:val="continue"/>
            <w:tcBorders>
              <w:top w:val="nil"/>
              <w:left w:val="nil"/>
              <w:bottom w:val="outset" w:color="auto" w:sz="6" w:space="0"/>
              <w:right w:val="outset" w:color="auto" w:sz="6" w:space="0"/>
            </w:tcBorders>
            <w:shd w:val="clear" w:color="auto" w:fill="auto"/>
            <w:noWrap/>
            <w:vAlign w:val="center"/>
          </w:tcPr>
          <w:p w14:paraId="47A2DCE1">
            <w:pPr>
              <w:rPr>
                <w:rFonts w:hint="eastAsia" w:ascii="宋体" w:hAnsi="宋体" w:eastAsia="宋体" w:cs="宋体"/>
                <w:b w:val="0"/>
                <w:bCs w:val="0"/>
                <w:sz w:val="24"/>
                <w:szCs w:val="24"/>
              </w:rPr>
            </w:pP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575BE3E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成本指标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04CF2E9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前一轮补助政策到期退耕还生态</w:t>
            </w:r>
            <w:r>
              <w:rPr>
                <w:rFonts w:hint="eastAsia" w:cs="宋体"/>
                <w:b w:val="0"/>
                <w:bCs w:val="0"/>
                <w:kern w:val="0"/>
                <w:sz w:val="24"/>
                <w:szCs w:val="24"/>
                <w:lang w:eastAsia="zh-CN"/>
              </w:rPr>
              <w:t>林森林抚育</w:t>
            </w:r>
            <w:r>
              <w:rPr>
                <w:rFonts w:hint="eastAsia" w:ascii="宋体" w:hAnsi="宋体" w:eastAsia="宋体" w:cs="宋体"/>
                <w:b w:val="0"/>
                <w:bCs w:val="0"/>
                <w:kern w:val="0"/>
                <w:sz w:val="24"/>
                <w:szCs w:val="24"/>
              </w:rPr>
              <w:t>补助标准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69A9A88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20元/亩</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1165538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20元/亩</w:t>
            </w:r>
          </w:p>
        </w:tc>
      </w:tr>
      <w:tr w14:paraId="0BE095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5C12C27C">
            <w:pPr>
              <w:rPr>
                <w:rFonts w:hint="eastAsia" w:ascii="宋体" w:hAnsi="宋体" w:eastAsia="宋体" w:cs="宋体"/>
                <w:b w:val="0"/>
                <w:bCs w:val="0"/>
                <w:sz w:val="24"/>
                <w:szCs w:val="24"/>
              </w:rPr>
            </w:pPr>
          </w:p>
        </w:tc>
        <w:tc>
          <w:tcPr>
            <w:tcW w:w="1170" w:type="dxa"/>
            <w:vMerge w:val="restart"/>
            <w:tcBorders>
              <w:top w:val="nil"/>
              <w:left w:val="nil"/>
              <w:bottom w:val="outset" w:color="auto" w:sz="6" w:space="0"/>
              <w:right w:val="outset" w:color="auto" w:sz="6" w:space="0"/>
            </w:tcBorders>
            <w:shd w:val="clear" w:color="auto" w:fill="auto"/>
            <w:noWrap/>
            <w:vAlign w:val="center"/>
          </w:tcPr>
          <w:p w14:paraId="565DDB0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效益</w:t>
            </w:r>
          </w:p>
          <w:p w14:paraId="2AB7F82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058E8B0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经济效益指标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3CE0046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促进退耕农户增收，使退耕农户稳定脱贫</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795953C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12860户、48732人 </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29E145A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12860户、48732人 </w:t>
            </w:r>
          </w:p>
        </w:tc>
      </w:tr>
      <w:tr w14:paraId="4DC699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45444578">
            <w:pPr>
              <w:rPr>
                <w:rFonts w:hint="eastAsia" w:ascii="宋体" w:hAnsi="宋体" w:eastAsia="宋体" w:cs="宋体"/>
                <w:b w:val="0"/>
                <w:bCs w:val="0"/>
                <w:sz w:val="24"/>
                <w:szCs w:val="24"/>
              </w:rPr>
            </w:pPr>
          </w:p>
        </w:tc>
        <w:tc>
          <w:tcPr>
            <w:tcW w:w="1170" w:type="dxa"/>
            <w:vMerge w:val="continue"/>
            <w:tcBorders>
              <w:top w:val="nil"/>
              <w:left w:val="nil"/>
              <w:bottom w:val="outset" w:color="auto" w:sz="6" w:space="0"/>
              <w:right w:val="outset" w:color="auto" w:sz="6" w:space="0"/>
            </w:tcBorders>
            <w:shd w:val="clear" w:color="auto" w:fill="auto"/>
            <w:noWrap/>
            <w:vAlign w:val="center"/>
          </w:tcPr>
          <w:p w14:paraId="6DED464A">
            <w:pPr>
              <w:rPr>
                <w:rFonts w:hint="eastAsia" w:ascii="宋体" w:hAnsi="宋体" w:eastAsia="宋体" w:cs="宋体"/>
                <w:b w:val="0"/>
                <w:bCs w:val="0"/>
                <w:sz w:val="24"/>
                <w:szCs w:val="24"/>
              </w:rPr>
            </w:pP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4BD7C0F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社会效益指标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5C81572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森林覆盖率得到了提升</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6B83050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明显</w:t>
            </w:r>
            <w:r>
              <w:rPr>
                <w:rFonts w:hint="eastAsia" w:ascii="宋体" w:hAnsi="宋体" w:eastAsia="宋体" w:cs="宋体"/>
                <w:b w:val="0"/>
                <w:bCs w:val="0"/>
                <w:kern w:val="0"/>
                <w:sz w:val="24"/>
                <w:szCs w:val="24"/>
              </w:rPr>
              <w:t> </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7E983C7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明显</w:t>
            </w:r>
            <w:r>
              <w:rPr>
                <w:rFonts w:hint="eastAsia" w:ascii="宋体" w:hAnsi="宋体" w:eastAsia="宋体" w:cs="宋体"/>
                <w:b w:val="0"/>
                <w:bCs w:val="0"/>
                <w:kern w:val="0"/>
                <w:sz w:val="24"/>
                <w:szCs w:val="24"/>
              </w:rPr>
              <w:t> </w:t>
            </w:r>
          </w:p>
        </w:tc>
      </w:tr>
      <w:tr w14:paraId="29E9EE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70"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51314469">
            <w:pPr>
              <w:rPr>
                <w:rFonts w:hint="eastAsia" w:ascii="宋体" w:hAnsi="宋体" w:eastAsia="宋体" w:cs="宋体"/>
                <w:b w:val="0"/>
                <w:bCs w:val="0"/>
                <w:sz w:val="24"/>
                <w:szCs w:val="24"/>
              </w:rPr>
            </w:pPr>
          </w:p>
        </w:tc>
        <w:tc>
          <w:tcPr>
            <w:tcW w:w="1170" w:type="dxa"/>
            <w:vMerge w:val="continue"/>
            <w:tcBorders>
              <w:top w:val="nil"/>
              <w:left w:val="nil"/>
              <w:bottom w:val="outset" w:color="auto" w:sz="6" w:space="0"/>
              <w:right w:val="outset" w:color="auto" w:sz="6" w:space="0"/>
            </w:tcBorders>
            <w:shd w:val="clear" w:color="auto" w:fill="auto"/>
            <w:noWrap/>
            <w:vAlign w:val="center"/>
          </w:tcPr>
          <w:p w14:paraId="7434C0BD">
            <w:pPr>
              <w:rPr>
                <w:rFonts w:hint="eastAsia" w:ascii="宋体" w:hAnsi="宋体" w:eastAsia="宋体" w:cs="宋体"/>
                <w:b w:val="0"/>
                <w:bCs w:val="0"/>
                <w:sz w:val="24"/>
                <w:szCs w:val="24"/>
              </w:rPr>
            </w:pP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6F140E1B">
            <w:pPr>
              <w:pStyle w:val="20"/>
              <w:keepNext w:val="0"/>
              <w:keepLines w:val="0"/>
              <w:widowControl/>
              <w:suppressLineNumbers w:val="0"/>
              <w:ind w:left="423"/>
              <w:jc w:val="both"/>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生态效益指标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586818B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提高森林质量，加强自然保护区、湿地保护区能力建设，生态环境进一步改善。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67B008F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w:t>
            </w:r>
            <w:r>
              <w:rPr>
                <w:rFonts w:hint="eastAsia" w:ascii="宋体" w:hAnsi="宋体" w:eastAsia="宋体" w:cs="宋体"/>
                <w:b w:val="0"/>
                <w:bCs w:val="0"/>
                <w:kern w:val="0"/>
                <w:sz w:val="24"/>
                <w:szCs w:val="24"/>
                <w:lang w:eastAsia="zh-CN"/>
              </w:rPr>
              <w:t>明显</w:t>
            </w:r>
            <w:r>
              <w:rPr>
                <w:rFonts w:hint="eastAsia" w:ascii="宋体" w:hAnsi="宋体" w:eastAsia="宋体" w:cs="宋体"/>
                <w:b w:val="0"/>
                <w:bCs w:val="0"/>
                <w:kern w:val="0"/>
                <w:sz w:val="24"/>
                <w:szCs w:val="24"/>
              </w:rPr>
              <w:t> </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5433C39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明显</w:t>
            </w:r>
            <w:r>
              <w:rPr>
                <w:rFonts w:hint="eastAsia" w:ascii="宋体" w:hAnsi="宋体" w:eastAsia="宋体" w:cs="宋体"/>
                <w:b w:val="0"/>
                <w:bCs w:val="0"/>
                <w:kern w:val="0"/>
                <w:sz w:val="24"/>
                <w:szCs w:val="24"/>
              </w:rPr>
              <w:t> </w:t>
            </w:r>
          </w:p>
        </w:tc>
      </w:tr>
      <w:tr w14:paraId="1703BD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0"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1D11240D">
            <w:pPr>
              <w:rPr>
                <w:rFonts w:hint="eastAsia" w:ascii="宋体" w:hAnsi="宋体" w:eastAsia="宋体" w:cs="宋体"/>
                <w:b w:val="0"/>
                <w:bCs w:val="0"/>
                <w:sz w:val="24"/>
                <w:szCs w:val="24"/>
              </w:rPr>
            </w:pPr>
          </w:p>
        </w:tc>
        <w:tc>
          <w:tcPr>
            <w:tcW w:w="1170" w:type="dxa"/>
            <w:vMerge w:val="continue"/>
            <w:tcBorders>
              <w:top w:val="nil"/>
              <w:left w:val="nil"/>
              <w:bottom w:val="outset" w:color="auto" w:sz="6" w:space="0"/>
              <w:right w:val="outset" w:color="auto" w:sz="6" w:space="0"/>
            </w:tcBorders>
            <w:shd w:val="clear" w:color="auto" w:fill="auto"/>
            <w:noWrap/>
            <w:vAlign w:val="center"/>
          </w:tcPr>
          <w:p w14:paraId="62A43CE8">
            <w:pPr>
              <w:rPr>
                <w:rFonts w:hint="eastAsia" w:ascii="宋体" w:hAnsi="宋体" w:eastAsia="宋体" w:cs="宋体"/>
                <w:b w:val="0"/>
                <w:bCs w:val="0"/>
                <w:sz w:val="24"/>
                <w:szCs w:val="24"/>
              </w:rPr>
            </w:pP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45725E6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可持续影响指标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2571C67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使昔日的荒山秃岭变为</w:t>
            </w:r>
            <w:r>
              <w:rPr>
                <w:rFonts w:hint="eastAsia" w:cs="宋体"/>
                <w:b w:val="0"/>
                <w:bCs w:val="0"/>
                <w:kern w:val="0"/>
                <w:sz w:val="24"/>
                <w:szCs w:val="24"/>
                <w:lang w:eastAsia="zh-CN"/>
              </w:rPr>
              <w:t>绿洲</w:t>
            </w:r>
            <w:r>
              <w:rPr>
                <w:rFonts w:hint="eastAsia" w:ascii="宋体" w:hAnsi="宋体" w:eastAsia="宋体" w:cs="宋体"/>
                <w:b w:val="0"/>
                <w:bCs w:val="0"/>
                <w:kern w:val="0"/>
                <w:sz w:val="24"/>
                <w:szCs w:val="24"/>
              </w:rPr>
              <w:t>，森林覆盖率也得到了提升，有效</w:t>
            </w:r>
            <w:r>
              <w:rPr>
                <w:rFonts w:hint="eastAsia" w:cs="宋体"/>
                <w:b w:val="0"/>
                <w:bCs w:val="0"/>
                <w:kern w:val="0"/>
                <w:sz w:val="24"/>
                <w:szCs w:val="24"/>
                <w:lang w:eastAsia="zh-CN"/>
              </w:rPr>
              <w:t>地</w:t>
            </w:r>
            <w:r>
              <w:rPr>
                <w:rFonts w:hint="eastAsia" w:ascii="宋体" w:hAnsi="宋体" w:eastAsia="宋体" w:cs="宋体"/>
                <w:b w:val="0"/>
                <w:bCs w:val="0"/>
                <w:kern w:val="0"/>
                <w:sz w:val="24"/>
                <w:szCs w:val="24"/>
              </w:rPr>
              <w:t>净化了空气、水源，改善了生态环境、保持水土。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54D7373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明显</w:t>
            </w:r>
            <w:r>
              <w:rPr>
                <w:rFonts w:hint="eastAsia" w:ascii="宋体" w:hAnsi="宋体" w:eastAsia="宋体" w:cs="宋体"/>
                <w:b w:val="0"/>
                <w:bCs w:val="0"/>
                <w:kern w:val="0"/>
                <w:sz w:val="24"/>
                <w:szCs w:val="24"/>
              </w:rPr>
              <w:t>  </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1E2112A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明显</w:t>
            </w:r>
            <w:r>
              <w:rPr>
                <w:rFonts w:hint="eastAsia" w:ascii="宋体" w:hAnsi="宋体" w:eastAsia="宋体" w:cs="宋体"/>
                <w:b w:val="0"/>
                <w:bCs w:val="0"/>
                <w:kern w:val="0"/>
                <w:sz w:val="24"/>
                <w:szCs w:val="24"/>
              </w:rPr>
              <w:t>  </w:t>
            </w:r>
          </w:p>
        </w:tc>
      </w:tr>
      <w:tr w14:paraId="37D079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5" w:hRule="atLeast"/>
        </w:trPr>
        <w:tc>
          <w:tcPr>
            <w:tcW w:w="2010" w:type="dxa"/>
            <w:vMerge w:val="continue"/>
            <w:tcBorders>
              <w:top w:val="nil"/>
              <w:left w:val="outset" w:color="auto" w:sz="6" w:space="0"/>
              <w:bottom w:val="outset" w:color="auto" w:sz="6" w:space="0"/>
              <w:right w:val="outset" w:color="auto" w:sz="6" w:space="0"/>
            </w:tcBorders>
            <w:shd w:val="clear" w:color="auto" w:fill="auto"/>
            <w:noWrap/>
            <w:vAlign w:val="center"/>
          </w:tcPr>
          <w:p w14:paraId="59D5E85C">
            <w:pPr>
              <w:rPr>
                <w:rFonts w:hint="eastAsia" w:ascii="宋体" w:hAnsi="宋体" w:eastAsia="宋体" w:cs="宋体"/>
                <w:b w:val="0"/>
                <w:bCs w:val="0"/>
                <w:sz w:val="24"/>
                <w:szCs w:val="24"/>
              </w:rPr>
            </w:pPr>
          </w:p>
        </w:tc>
        <w:tc>
          <w:tcPr>
            <w:tcW w:w="1170" w:type="dxa"/>
            <w:tcBorders>
              <w:top w:val="outset" w:color="auto" w:sz="6" w:space="0"/>
              <w:left w:val="nil"/>
              <w:bottom w:val="outset" w:color="auto" w:sz="6" w:space="0"/>
              <w:right w:val="outset" w:color="auto" w:sz="6" w:space="0"/>
            </w:tcBorders>
            <w:shd w:val="clear" w:color="auto" w:fill="auto"/>
            <w:noWrap/>
            <w:vAlign w:val="center"/>
          </w:tcPr>
          <w:p w14:paraId="76E0DDE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w:t>
            </w:r>
          </w:p>
          <w:p w14:paraId="005C937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度指标</w:t>
            </w:r>
          </w:p>
        </w:tc>
        <w:tc>
          <w:tcPr>
            <w:tcW w:w="1665" w:type="dxa"/>
            <w:tcBorders>
              <w:top w:val="outset" w:color="auto" w:sz="6" w:space="0"/>
              <w:left w:val="nil"/>
              <w:bottom w:val="outset" w:color="auto" w:sz="6" w:space="0"/>
              <w:right w:val="outset" w:color="auto" w:sz="6" w:space="0"/>
            </w:tcBorders>
            <w:shd w:val="clear" w:color="auto" w:fill="auto"/>
            <w:noWrap/>
            <w:vAlign w:val="center"/>
          </w:tcPr>
          <w:p w14:paraId="6FA1C87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满意度</w:t>
            </w:r>
          </w:p>
          <w:p w14:paraId="71CF4DD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指标</w:t>
            </w:r>
          </w:p>
        </w:tc>
        <w:tc>
          <w:tcPr>
            <w:tcW w:w="1215" w:type="dxa"/>
            <w:tcBorders>
              <w:top w:val="outset" w:color="auto" w:sz="6" w:space="0"/>
              <w:left w:val="nil"/>
              <w:bottom w:val="outset" w:color="auto" w:sz="6" w:space="0"/>
              <w:right w:val="outset" w:color="auto" w:sz="6" w:space="0"/>
            </w:tcBorders>
            <w:shd w:val="clear" w:color="auto" w:fill="auto"/>
            <w:noWrap/>
            <w:vAlign w:val="center"/>
          </w:tcPr>
          <w:p w14:paraId="478B5A6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退耕农户满意度 </w:t>
            </w:r>
          </w:p>
        </w:tc>
        <w:tc>
          <w:tcPr>
            <w:tcW w:w="1260" w:type="dxa"/>
            <w:tcBorders>
              <w:top w:val="outset" w:color="auto" w:sz="6" w:space="0"/>
              <w:left w:val="nil"/>
              <w:bottom w:val="outset" w:color="auto" w:sz="6" w:space="0"/>
              <w:right w:val="outset" w:color="auto" w:sz="6" w:space="0"/>
            </w:tcBorders>
            <w:shd w:val="clear" w:color="auto" w:fill="auto"/>
            <w:noWrap/>
            <w:vAlign w:val="center"/>
          </w:tcPr>
          <w:p w14:paraId="0C9C760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≧90% </w:t>
            </w:r>
          </w:p>
        </w:tc>
        <w:tc>
          <w:tcPr>
            <w:tcW w:w="2445" w:type="dxa"/>
            <w:tcBorders>
              <w:top w:val="outset" w:color="auto" w:sz="6" w:space="0"/>
              <w:left w:val="nil"/>
              <w:bottom w:val="outset" w:color="auto" w:sz="6" w:space="0"/>
              <w:right w:val="outset" w:color="auto" w:sz="6" w:space="0"/>
            </w:tcBorders>
            <w:shd w:val="clear" w:color="auto" w:fill="auto"/>
            <w:noWrap/>
            <w:vAlign w:val="center"/>
          </w:tcPr>
          <w:p w14:paraId="7DF3C1E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≧90% </w:t>
            </w:r>
          </w:p>
        </w:tc>
      </w:tr>
    </w:tbl>
    <w:p w14:paraId="6C2C98BB">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231AC264">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09F0A917">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tbl>
      <w:tblPr>
        <w:tblStyle w:val="17"/>
        <w:tblW w:w="8308" w:type="dxa"/>
        <w:tblInd w:w="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275"/>
        <w:gridCol w:w="1200"/>
        <w:gridCol w:w="1545"/>
        <w:gridCol w:w="1695"/>
        <w:gridCol w:w="1410"/>
        <w:gridCol w:w="1183"/>
      </w:tblGrid>
      <w:tr w14:paraId="5B47AF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rPr>
        <w:tc>
          <w:tcPr>
            <w:tcW w:w="8308"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14:paraId="286DBD89">
            <w:pPr>
              <w:pStyle w:val="20"/>
              <w:keepNext w:val="0"/>
              <w:keepLines w:val="0"/>
              <w:widowControl/>
              <w:suppressLineNumbers w:val="0"/>
              <w:jc w:val="center"/>
              <w:rPr>
                <w:rFonts w:hint="eastAsia" w:ascii="宋体" w:hAnsi="宋体" w:eastAsia="宋体" w:cs="宋体"/>
                <w:b w:val="0"/>
                <w:bCs w:val="0"/>
                <w:kern w:val="0"/>
                <w:sz w:val="24"/>
                <w:szCs w:val="24"/>
                <w:lang w:eastAsia="zh-CN"/>
              </w:rPr>
            </w:pPr>
            <w:r>
              <w:rPr>
                <w:rStyle w:val="21"/>
                <w:rFonts w:hint="eastAsia" w:ascii="宋体" w:hAnsi="宋体" w:eastAsia="宋体" w:cs="宋体"/>
                <w:b w:val="0"/>
                <w:bCs w:val="0"/>
                <w:sz w:val="24"/>
                <w:szCs w:val="24"/>
                <w:lang w:val="en-US" w:eastAsia="zh-CN"/>
              </w:rPr>
              <w:t>2022年松潘县黄河支流生态防护带建设项目</w:t>
            </w:r>
            <w:r>
              <w:rPr>
                <w:rStyle w:val="21"/>
                <w:rFonts w:hint="eastAsia" w:ascii="宋体" w:hAnsi="宋体" w:eastAsia="宋体" w:cs="宋体"/>
                <w:b w:val="0"/>
                <w:bCs w:val="0"/>
                <w:sz w:val="24"/>
                <w:szCs w:val="24"/>
              </w:rPr>
              <w:t>部门预算项目绩效目标自评</w:t>
            </w:r>
            <w:r>
              <w:rPr>
                <w:rStyle w:val="21"/>
                <w:rFonts w:hint="eastAsia" w:ascii="宋体" w:hAnsi="宋体" w:eastAsia="宋体" w:cs="宋体"/>
                <w:b w:val="0"/>
                <w:bCs w:val="0"/>
                <w:sz w:val="24"/>
                <w:szCs w:val="24"/>
                <w:lang w:eastAsia="zh-CN"/>
              </w:rPr>
              <w:t>表</w:t>
            </w:r>
          </w:p>
        </w:tc>
      </w:tr>
      <w:tr w14:paraId="32F285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9" w:hRule="atLeast"/>
        </w:trPr>
        <w:tc>
          <w:tcPr>
            <w:tcW w:w="2475"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14:paraId="025799B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主管部门及代码</w:t>
            </w:r>
          </w:p>
        </w:tc>
        <w:tc>
          <w:tcPr>
            <w:tcW w:w="3240" w:type="dxa"/>
            <w:gridSpan w:val="2"/>
            <w:tcBorders>
              <w:top w:val="outset" w:color="auto" w:sz="6" w:space="0"/>
              <w:left w:val="nil"/>
              <w:bottom w:val="outset" w:color="auto" w:sz="6" w:space="0"/>
              <w:right w:val="outset" w:color="auto" w:sz="6" w:space="0"/>
            </w:tcBorders>
            <w:shd w:val="clear" w:color="auto" w:fill="auto"/>
            <w:noWrap/>
            <w:vAlign w:val="center"/>
          </w:tcPr>
          <w:p w14:paraId="58FDE49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松潘县人民政府</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6F81F87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实施单位</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702AA1A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松潘县林草局</w:t>
            </w:r>
          </w:p>
        </w:tc>
      </w:tr>
      <w:tr w14:paraId="41963D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0" w:hRule="atLeast"/>
        </w:trPr>
        <w:tc>
          <w:tcPr>
            <w:tcW w:w="2475" w:type="dxa"/>
            <w:gridSpan w:val="2"/>
            <w:vMerge w:val="restart"/>
            <w:tcBorders>
              <w:top w:val="nil"/>
              <w:left w:val="outset" w:color="auto" w:sz="6" w:space="0"/>
              <w:bottom w:val="outset" w:color="auto" w:sz="6" w:space="0"/>
              <w:right w:val="outset" w:color="auto" w:sz="6" w:space="0"/>
            </w:tcBorders>
            <w:shd w:val="clear" w:color="auto" w:fill="auto"/>
            <w:noWrap/>
            <w:vAlign w:val="center"/>
          </w:tcPr>
          <w:p w14:paraId="05D0E8C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项目预算执行情况</w:t>
            </w:r>
          </w:p>
          <w:p w14:paraId="4359488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（万元）</w:t>
            </w: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3DE56D9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预算数：</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6C082045">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296</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065B2B3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执行数：</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2319B6B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12.15</w:t>
            </w:r>
          </w:p>
        </w:tc>
      </w:tr>
      <w:tr w14:paraId="55E6EB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19" w:hRule="atLeast"/>
        </w:trPr>
        <w:tc>
          <w:tcPr>
            <w:tcW w:w="2475"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25F6FE34">
            <w:pPr>
              <w:jc w:val="center"/>
              <w:rPr>
                <w:rFonts w:hint="eastAsia" w:ascii="宋体" w:hAnsi="宋体" w:eastAsia="宋体" w:cs="宋体"/>
                <w:b w:val="0"/>
                <w:bCs w:val="0"/>
                <w:sz w:val="24"/>
                <w:szCs w:val="24"/>
              </w:rPr>
            </w:pP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544D6D5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财政拨款</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461E748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12.15</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5B01A4C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其中：</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财政拨款</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39A1B88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12.15</w:t>
            </w:r>
          </w:p>
        </w:tc>
      </w:tr>
      <w:tr w14:paraId="19A090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47" w:hRule="atLeast"/>
        </w:trPr>
        <w:tc>
          <w:tcPr>
            <w:tcW w:w="2475" w:type="dxa"/>
            <w:gridSpan w:val="2"/>
            <w:vMerge w:val="continue"/>
            <w:tcBorders>
              <w:top w:val="nil"/>
              <w:left w:val="outset" w:color="auto" w:sz="6" w:space="0"/>
              <w:bottom w:val="outset" w:color="auto" w:sz="6" w:space="0"/>
              <w:right w:val="outset" w:color="auto" w:sz="6" w:space="0"/>
            </w:tcBorders>
            <w:shd w:val="clear" w:color="auto" w:fill="auto"/>
            <w:noWrap/>
            <w:vAlign w:val="center"/>
          </w:tcPr>
          <w:p w14:paraId="0E225371">
            <w:pPr>
              <w:jc w:val="center"/>
              <w:rPr>
                <w:rFonts w:hint="eastAsia" w:ascii="宋体" w:hAnsi="宋体" w:eastAsia="宋体" w:cs="宋体"/>
                <w:b w:val="0"/>
                <w:bCs w:val="0"/>
                <w:sz w:val="24"/>
                <w:szCs w:val="24"/>
              </w:rPr>
            </w:pP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4BE9667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77117447">
            <w:pPr>
              <w:pStyle w:val="20"/>
              <w:keepNext w:val="0"/>
              <w:keepLines w:val="0"/>
              <w:widowControl/>
              <w:suppressLineNumbers w:val="0"/>
              <w:jc w:val="center"/>
              <w:rPr>
                <w:rFonts w:hint="eastAsia" w:ascii="宋体" w:hAnsi="宋体" w:eastAsia="宋体" w:cs="宋体"/>
                <w:b w:val="0"/>
                <w:bCs w:val="0"/>
                <w:kern w:val="0"/>
                <w:sz w:val="24"/>
                <w:szCs w:val="24"/>
              </w:rPr>
            </w:pP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4743399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其他资金</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2B91C128">
            <w:pPr>
              <w:pStyle w:val="20"/>
              <w:keepNext w:val="0"/>
              <w:keepLines w:val="0"/>
              <w:widowControl/>
              <w:suppressLineNumbers w:val="0"/>
              <w:jc w:val="center"/>
              <w:rPr>
                <w:rFonts w:hint="eastAsia" w:ascii="宋体" w:hAnsi="宋体" w:eastAsia="宋体" w:cs="宋体"/>
                <w:b w:val="0"/>
                <w:bCs w:val="0"/>
                <w:kern w:val="0"/>
                <w:sz w:val="24"/>
                <w:szCs w:val="24"/>
              </w:rPr>
            </w:pPr>
          </w:p>
        </w:tc>
      </w:tr>
      <w:tr w14:paraId="318333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2" w:hRule="atLeast"/>
        </w:trPr>
        <w:tc>
          <w:tcPr>
            <w:tcW w:w="1275" w:type="dxa"/>
            <w:vMerge w:val="restart"/>
            <w:tcBorders>
              <w:top w:val="nil"/>
              <w:left w:val="outset" w:color="auto" w:sz="6" w:space="0"/>
              <w:bottom w:val="outset" w:color="auto" w:sz="6" w:space="0"/>
              <w:right w:val="outset" w:color="auto" w:sz="6" w:space="0"/>
            </w:tcBorders>
            <w:shd w:val="clear" w:color="auto" w:fill="auto"/>
            <w:noWrap/>
            <w:vAlign w:val="center"/>
          </w:tcPr>
          <w:p w14:paraId="04E6EE8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年度总体目标完成情况</w:t>
            </w:r>
          </w:p>
        </w:tc>
        <w:tc>
          <w:tcPr>
            <w:tcW w:w="4440" w:type="dxa"/>
            <w:gridSpan w:val="3"/>
            <w:tcBorders>
              <w:top w:val="outset" w:color="auto" w:sz="6" w:space="0"/>
              <w:left w:val="nil"/>
              <w:bottom w:val="outset" w:color="auto" w:sz="6" w:space="0"/>
              <w:right w:val="outset" w:color="auto" w:sz="6" w:space="0"/>
            </w:tcBorders>
            <w:shd w:val="clear" w:color="auto" w:fill="auto"/>
            <w:noWrap/>
            <w:vAlign w:val="center"/>
          </w:tcPr>
          <w:p w14:paraId="458F888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预期目标</w:t>
            </w:r>
          </w:p>
        </w:tc>
        <w:tc>
          <w:tcPr>
            <w:tcW w:w="2593" w:type="dxa"/>
            <w:gridSpan w:val="2"/>
            <w:tcBorders>
              <w:top w:val="outset" w:color="auto" w:sz="6" w:space="0"/>
              <w:left w:val="nil"/>
              <w:bottom w:val="outset" w:color="auto" w:sz="6" w:space="0"/>
              <w:right w:val="outset" w:color="auto" w:sz="6" w:space="0"/>
            </w:tcBorders>
            <w:shd w:val="clear" w:color="auto" w:fill="auto"/>
            <w:noWrap/>
            <w:vAlign w:val="center"/>
          </w:tcPr>
          <w:p w14:paraId="3035311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目标实际完成情况</w:t>
            </w:r>
          </w:p>
        </w:tc>
      </w:tr>
      <w:tr w14:paraId="3B0C54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56"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2208272E">
            <w:pPr>
              <w:rPr>
                <w:rFonts w:hint="eastAsia" w:ascii="宋体" w:hAnsi="宋体" w:eastAsia="宋体" w:cs="宋体"/>
                <w:b w:val="0"/>
                <w:bCs w:val="0"/>
                <w:sz w:val="24"/>
                <w:szCs w:val="24"/>
              </w:rPr>
            </w:pPr>
          </w:p>
        </w:tc>
        <w:tc>
          <w:tcPr>
            <w:tcW w:w="4440" w:type="dxa"/>
            <w:gridSpan w:val="3"/>
            <w:tcBorders>
              <w:top w:val="outset" w:color="auto" w:sz="6" w:space="0"/>
              <w:left w:val="nil"/>
              <w:bottom w:val="outset" w:color="auto" w:sz="6" w:space="0"/>
              <w:right w:val="outset" w:color="auto" w:sz="6" w:space="0"/>
            </w:tcBorders>
            <w:shd w:val="clear" w:color="auto" w:fill="auto"/>
            <w:noWrap/>
            <w:vAlign w:val="center"/>
          </w:tcPr>
          <w:p w14:paraId="0CD719D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按照实施方案完成2022年度</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项目前期工作 </w:t>
            </w:r>
          </w:p>
        </w:tc>
        <w:tc>
          <w:tcPr>
            <w:tcW w:w="2593" w:type="dxa"/>
            <w:gridSpan w:val="2"/>
            <w:tcBorders>
              <w:top w:val="outset" w:color="auto" w:sz="6" w:space="0"/>
              <w:left w:val="nil"/>
              <w:bottom w:val="outset" w:color="auto" w:sz="6" w:space="0"/>
              <w:right w:val="outset" w:color="auto" w:sz="6" w:space="0"/>
            </w:tcBorders>
            <w:shd w:val="clear" w:color="auto" w:fill="auto"/>
            <w:noWrap/>
            <w:vAlign w:val="center"/>
          </w:tcPr>
          <w:p w14:paraId="68AC65CA">
            <w:pPr>
              <w:pStyle w:val="20"/>
              <w:keepNext w:val="0"/>
              <w:keepLines w:val="0"/>
              <w:widowControl/>
              <w:suppressLineNumbers w:val="0"/>
              <w:jc w:val="left"/>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按照实施方案完成2022年度项目前期工作，为施工进场做准备工作。 </w:t>
            </w:r>
          </w:p>
        </w:tc>
      </w:tr>
      <w:tr w14:paraId="33B840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0" w:hRule="atLeast"/>
        </w:trPr>
        <w:tc>
          <w:tcPr>
            <w:tcW w:w="1275" w:type="dxa"/>
            <w:vMerge w:val="restart"/>
            <w:tcBorders>
              <w:top w:val="nil"/>
              <w:left w:val="outset" w:color="auto" w:sz="6" w:space="0"/>
              <w:bottom w:val="outset" w:color="auto" w:sz="6" w:space="0"/>
              <w:right w:val="outset" w:color="auto" w:sz="6" w:space="0"/>
            </w:tcBorders>
            <w:shd w:val="clear" w:color="auto" w:fill="auto"/>
            <w:noWrap/>
            <w:vAlign w:val="center"/>
          </w:tcPr>
          <w:p w14:paraId="06F014C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年度绩效指标完成情况</w:t>
            </w:r>
          </w:p>
        </w:tc>
        <w:tc>
          <w:tcPr>
            <w:tcW w:w="1200" w:type="dxa"/>
            <w:tcBorders>
              <w:top w:val="outset" w:color="auto" w:sz="6" w:space="0"/>
              <w:left w:val="nil"/>
              <w:bottom w:val="outset" w:color="auto" w:sz="6" w:space="0"/>
              <w:right w:val="outset" w:color="auto" w:sz="6" w:space="0"/>
            </w:tcBorders>
            <w:shd w:val="clear" w:color="auto" w:fill="auto"/>
            <w:noWrap/>
            <w:vAlign w:val="center"/>
          </w:tcPr>
          <w:p w14:paraId="392850E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一级指标</w:t>
            </w: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20A2FBF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二级指标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08CCB45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三级指标</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34EFA1D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预期指标值</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010B0CD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实际完成</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指标值</w:t>
            </w:r>
          </w:p>
        </w:tc>
      </w:tr>
      <w:tr w14:paraId="756521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85"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6CFF90FE">
            <w:pPr>
              <w:rPr>
                <w:rFonts w:hint="eastAsia" w:ascii="宋体" w:hAnsi="宋体" w:eastAsia="宋体" w:cs="宋体"/>
                <w:b w:val="0"/>
                <w:bCs w:val="0"/>
                <w:sz w:val="24"/>
                <w:szCs w:val="24"/>
              </w:rPr>
            </w:pPr>
          </w:p>
        </w:tc>
        <w:tc>
          <w:tcPr>
            <w:tcW w:w="1200" w:type="dxa"/>
            <w:vMerge w:val="restart"/>
            <w:tcBorders>
              <w:top w:val="nil"/>
              <w:left w:val="nil"/>
              <w:bottom w:val="outset" w:color="auto" w:sz="6" w:space="0"/>
              <w:right w:val="outset" w:color="auto" w:sz="6" w:space="0"/>
            </w:tcBorders>
            <w:shd w:val="clear" w:color="auto" w:fill="auto"/>
            <w:noWrap/>
            <w:vAlign w:val="center"/>
          </w:tcPr>
          <w:p w14:paraId="709A322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完成指标</w:t>
            </w: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7191CFE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数量指标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2512C0A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eastAsia="zh-CN"/>
              </w:rPr>
              <w:t>建设黄河支流生态防护带建设长度和面积</w:t>
            </w:r>
            <w:r>
              <w:rPr>
                <w:rFonts w:hint="eastAsia" w:ascii="宋体" w:hAnsi="宋体" w:eastAsia="宋体" w:cs="宋体"/>
                <w:b w:val="0"/>
                <w:bCs w:val="0"/>
                <w:kern w:val="0"/>
                <w:sz w:val="24"/>
                <w:szCs w:val="24"/>
              </w:rPr>
              <w:t> </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1015A97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25.03公里和93.4公顷</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27141FB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0</w:t>
            </w:r>
          </w:p>
        </w:tc>
      </w:tr>
      <w:tr w14:paraId="4B8BF1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606AE3EF">
            <w:pPr>
              <w:rPr>
                <w:rFonts w:hint="eastAsia" w:ascii="宋体" w:hAnsi="宋体" w:eastAsia="宋体" w:cs="宋体"/>
                <w:b w:val="0"/>
                <w:bCs w:val="0"/>
                <w:sz w:val="24"/>
                <w:szCs w:val="24"/>
              </w:rPr>
            </w:pPr>
          </w:p>
        </w:tc>
        <w:tc>
          <w:tcPr>
            <w:tcW w:w="1200" w:type="dxa"/>
            <w:vMerge w:val="continue"/>
            <w:tcBorders>
              <w:top w:val="nil"/>
              <w:left w:val="nil"/>
              <w:bottom w:val="outset" w:color="auto" w:sz="6" w:space="0"/>
              <w:right w:val="outset" w:color="auto" w:sz="6" w:space="0"/>
            </w:tcBorders>
            <w:shd w:val="clear" w:color="auto" w:fill="auto"/>
            <w:noWrap/>
            <w:vAlign w:val="center"/>
          </w:tcPr>
          <w:p w14:paraId="2F174D11">
            <w:pPr>
              <w:rPr>
                <w:rFonts w:hint="eastAsia" w:ascii="宋体" w:hAnsi="宋体" w:eastAsia="宋体" w:cs="宋体"/>
                <w:b w:val="0"/>
                <w:bCs w:val="0"/>
                <w:sz w:val="24"/>
                <w:szCs w:val="24"/>
              </w:rPr>
            </w:pP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11579CE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质量指标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57CCCFA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造林当年成活率</w:t>
            </w:r>
            <w:r>
              <w:rPr>
                <w:rFonts w:hint="eastAsia" w:ascii="宋体" w:hAnsi="宋体" w:eastAsia="宋体" w:cs="宋体"/>
                <w:b w:val="0"/>
                <w:bCs w:val="0"/>
                <w:kern w:val="0"/>
                <w:sz w:val="24"/>
                <w:szCs w:val="24"/>
                <w:lang w:eastAsia="zh-CN"/>
              </w:rPr>
              <w:t>、面积</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lang w:eastAsia="zh-CN"/>
              </w:rPr>
              <w:t>保存率</w:t>
            </w:r>
            <w:r>
              <w:rPr>
                <w:rFonts w:hint="eastAsia" w:ascii="宋体" w:hAnsi="宋体" w:eastAsia="宋体" w:cs="宋体"/>
                <w:b w:val="0"/>
                <w:bCs w:val="0"/>
                <w:kern w:val="0"/>
                <w:sz w:val="24"/>
                <w:szCs w:val="24"/>
              </w:rPr>
              <w:t> </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45A9CA6D">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≥85%</w:t>
            </w:r>
            <w:r>
              <w:rPr>
                <w:rFonts w:hint="eastAsia" w:ascii="宋体" w:hAnsi="宋体" w:eastAsia="宋体" w:cs="宋体"/>
                <w:b w:val="0"/>
                <w:bCs w:val="0"/>
                <w:kern w:val="0"/>
                <w:sz w:val="24"/>
                <w:szCs w:val="24"/>
                <w:lang w:eastAsia="zh-CN"/>
              </w:rPr>
              <w:t>、100%</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5D6E1F9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0</w:t>
            </w:r>
          </w:p>
        </w:tc>
      </w:tr>
      <w:tr w14:paraId="07394D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39FF1CA6">
            <w:pPr>
              <w:rPr>
                <w:rFonts w:hint="eastAsia" w:ascii="宋体" w:hAnsi="宋体" w:eastAsia="宋体" w:cs="宋体"/>
                <w:b w:val="0"/>
                <w:bCs w:val="0"/>
                <w:sz w:val="24"/>
                <w:szCs w:val="24"/>
              </w:rPr>
            </w:pPr>
          </w:p>
        </w:tc>
        <w:tc>
          <w:tcPr>
            <w:tcW w:w="1200" w:type="dxa"/>
            <w:vMerge w:val="continue"/>
            <w:tcBorders>
              <w:top w:val="nil"/>
              <w:left w:val="nil"/>
              <w:bottom w:val="outset" w:color="auto" w:sz="6" w:space="0"/>
              <w:right w:val="outset" w:color="auto" w:sz="6" w:space="0"/>
            </w:tcBorders>
            <w:shd w:val="clear" w:color="auto" w:fill="auto"/>
            <w:noWrap/>
            <w:vAlign w:val="center"/>
          </w:tcPr>
          <w:p w14:paraId="7E175D46">
            <w:pPr>
              <w:rPr>
                <w:rFonts w:hint="eastAsia" w:ascii="宋体" w:hAnsi="宋体" w:eastAsia="宋体" w:cs="宋体"/>
                <w:b w:val="0"/>
                <w:bCs w:val="0"/>
                <w:sz w:val="24"/>
                <w:szCs w:val="24"/>
              </w:rPr>
            </w:pP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19200E2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时效指标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11AD582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项目按时完成率</w:t>
            </w:r>
            <w:r>
              <w:rPr>
                <w:rFonts w:hint="eastAsia" w:ascii="宋体" w:hAnsi="宋体" w:eastAsia="宋体" w:cs="宋体"/>
                <w:b w:val="0"/>
                <w:bCs w:val="0"/>
                <w:kern w:val="0"/>
                <w:sz w:val="24"/>
                <w:szCs w:val="24"/>
                <w:lang w:eastAsia="zh-CN"/>
              </w:rPr>
              <w:t>、分年度项目开工率、项目</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lang w:eastAsia="zh-CN"/>
              </w:rPr>
              <w:t>验收率</w:t>
            </w:r>
            <w:r>
              <w:rPr>
                <w:rFonts w:hint="eastAsia" w:ascii="宋体" w:hAnsi="宋体" w:eastAsia="宋体" w:cs="宋体"/>
                <w:b w:val="0"/>
                <w:bCs w:val="0"/>
                <w:kern w:val="0"/>
                <w:sz w:val="24"/>
                <w:szCs w:val="24"/>
              </w:rPr>
              <w:t> </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3853DDA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100%</w:t>
            </w:r>
            <w:r>
              <w:rPr>
                <w:rFonts w:hint="eastAsia" w:ascii="宋体" w:hAnsi="宋体" w:eastAsia="宋体" w:cs="宋体"/>
                <w:b w:val="0"/>
                <w:bCs w:val="0"/>
                <w:kern w:val="0"/>
                <w:sz w:val="24"/>
                <w:szCs w:val="24"/>
                <w:lang w:eastAsia="zh-CN"/>
              </w:rPr>
              <w:t>、100%、100%</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25DA363D">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100</w:t>
            </w:r>
          </w:p>
        </w:tc>
      </w:tr>
      <w:tr w14:paraId="7CE8C4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15"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5E35EB61">
            <w:pPr>
              <w:rPr>
                <w:rFonts w:hint="eastAsia" w:ascii="宋体" w:hAnsi="宋体" w:eastAsia="宋体" w:cs="宋体"/>
                <w:b w:val="0"/>
                <w:bCs w:val="0"/>
                <w:sz w:val="24"/>
                <w:szCs w:val="24"/>
              </w:rPr>
            </w:pPr>
          </w:p>
        </w:tc>
        <w:tc>
          <w:tcPr>
            <w:tcW w:w="1200" w:type="dxa"/>
            <w:vMerge w:val="continue"/>
            <w:tcBorders>
              <w:top w:val="nil"/>
              <w:left w:val="nil"/>
              <w:bottom w:val="outset" w:color="auto" w:sz="6" w:space="0"/>
              <w:right w:val="outset" w:color="auto" w:sz="6" w:space="0"/>
            </w:tcBorders>
            <w:shd w:val="clear" w:color="auto" w:fill="auto"/>
            <w:noWrap/>
            <w:vAlign w:val="center"/>
          </w:tcPr>
          <w:p w14:paraId="4FCBC892">
            <w:pPr>
              <w:rPr>
                <w:rFonts w:hint="eastAsia" w:ascii="宋体" w:hAnsi="宋体" w:eastAsia="宋体" w:cs="宋体"/>
                <w:b w:val="0"/>
                <w:bCs w:val="0"/>
                <w:sz w:val="24"/>
                <w:szCs w:val="24"/>
              </w:rPr>
            </w:pP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32AB201B">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成本指标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41F20C9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单位成本</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控制数</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1E57D11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1827元/亩</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05C666D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100</w:t>
            </w:r>
          </w:p>
        </w:tc>
      </w:tr>
      <w:tr w14:paraId="39C01C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056C08AE">
            <w:pPr>
              <w:rPr>
                <w:rFonts w:hint="eastAsia" w:ascii="宋体" w:hAnsi="宋体" w:eastAsia="宋体" w:cs="宋体"/>
                <w:b w:val="0"/>
                <w:bCs w:val="0"/>
                <w:sz w:val="24"/>
                <w:szCs w:val="24"/>
              </w:rPr>
            </w:pPr>
          </w:p>
        </w:tc>
        <w:tc>
          <w:tcPr>
            <w:tcW w:w="1200" w:type="dxa"/>
            <w:vMerge w:val="restart"/>
            <w:tcBorders>
              <w:top w:val="nil"/>
              <w:left w:val="nil"/>
              <w:bottom w:val="outset" w:color="auto" w:sz="6" w:space="0"/>
              <w:right w:val="outset" w:color="auto" w:sz="6" w:space="0"/>
            </w:tcBorders>
            <w:shd w:val="clear" w:color="auto" w:fill="auto"/>
            <w:noWrap/>
            <w:vAlign w:val="center"/>
          </w:tcPr>
          <w:p w14:paraId="1846F512">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效益指标</w:t>
            </w: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17F55DC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经济效益指标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0D5E9A0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为项目区群众</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增收 </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2017368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70万元</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004010B5">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0</w:t>
            </w:r>
          </w:p>
        </w:tc>
      </w:tr>
      <w:tr w14:paraId="47E0B7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2DF3179A">
            <w:pPr>
              <w:rPr>
                <w:rFonts w:hint="eastAsia" w:ascii="宋体" w:hAnsi="宋体" w:eastAsia="宋体" w:cs="宋体"/>
                <w:b w:val="0"/>
                <w:bCs w:val="0"/>
                <w:sz w:val="24"/>
                <w:szCs w:val="24"/>
              </w:rPr>
            </w:pPr>
          </w:p>
        </w:tc>
        <w:tc>
          <w:tcPr>
            <w:tcW w:w="1200" w:type="dxa"/>
            <w:vMerge w:val="continue"/>
            <w:tcBorders>
              <w:top w:val="nil"/>
              <w:left w:val="nil"/>
              <w:bottom w:val="outset" w:color="auto" w:sz="6" w:space="0"/>
              <w:right w:val="outset" w:color="auto" w:sz="6" w:space="0"/>
            </w:tcBorders>
            <w:shd w:val="clear" w:color="auto" w:fill="auto"/>
            <w:noWrap/>
            <w:vAlign w:val="center"/>
          </w:tcPr>
          <w:p w14:paraId="47F28EEE">
            <w:pPr>
              <w:rPr>
                <w:rFonts w:hint="eastAsia" w:ascii="宋体" w:hAnsi="宋体" w:eastAsia="宋体" w:cs="宋体"/>
                <w:b w:val="0"/>
                <w:bCs w:val="0"/>
                <w:sz w:val="24"/>
                <w:szCs w:val="24"/>
              </w:rPr>
            </w:pP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32667ACF">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社会效益指标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27915139">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为当地居民提供社会就业机会 </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3BE070B4">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有效 </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2A97E9A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100</w:t>
            </w:r>
          </w:p>
        </w:tc>
      </w:tr>
      <w:tr w14:paraId="22C3CA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9"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55814288">
            <w:pPr>
              <w:rPr>
                <w:rFonts w:hint="eastAsia" w:ascii="宋体" w:hAnsi="宋体" w:eastAsia="宋体" w:cs="宋体"/>
                <w:b w:val="0"/>
                <w:bCs w:val="0"/>
                <w:sz w:val="24"/>
                <w:szCs w:val="24"/>
              </w:rPr>
            </w:pPr>
          </w:p>
        </w:tc>
        <w:tc>
          <w:tcPr>
            <w:tcW w:w="1200" w:type="dxa"/>
            <w:vMerge w:val="continue"/>
            <w:tcBorders>
              <w:top w:val="nil"/>
              <w:left w:val="nil"/>
              <w:bottom w:val="outset" w:color="auto" w:sz="6" w:space="0"/>
              <w:right w:val="outset" w:color="auto" w:sz="6" w:space="0"/>
            </w:tcBorders>
            <w:shd w:val="clear" w:color="auto" w:fill="auto"/>
            <w:noWrap/>
            <w:vAlign w:val="center"/>
          </w:tcPr>
          <w:p w14:paraId="77984B7D">
            <w:pPr>
              <w:rPr>
                <w:rFonts w:hint="eastAsia" w:ascii="宋体" w:hAnsi="宋体" w:eastAsia="宋体" w:cs="宋体"/>
                <w:b w:val="0"/>
                <w:bCs w:val="0"/>
                <w:sz w:val="24"/>
                <w:szCs w:val="24"/>
              </w:rPr>
            </w:pP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44AA8679">
            <w:pPr>
              <w:pStyle w:val="20"/>
              <w:keepNext w:val="0"/>
              <w:keepLines w:val="0"/>
              <w:widowControl/>
              <w:suppressLineNumbers w:val="0"/>
              <w:ind w:left="480" w:hanging="480" w:hangingChars="20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生态</w:t>
            </w:r>
            <w:r>
              <w:rPr>
                <w:rFonts w:hint="eastAsia" w:cs="宋体"/>
                <w:b w:val="0"/>
                <w:bCs w:val="0"/>
                <w:kern w:val="0"/>
                <w:sz w:val="24"/>
                <w:szCs w:val="24"/>
                <w:lang w:eastAsia="zh-CN"/>
              </w:rPr>
              <w:t>效益</w:t>
            </w:r>
            <w:r>
              <w:rPr>
                <w:rFonts w:hint="eastAsia" w:ascii="宋体" w:hAnsi="宋体" w:eastAsia="宋体" w:cs="宋体"/>
                <w:b w:val="0"/>
                <w:bCs w:val="0"/>
                <w:kern w:val="0"/>
                <w:sz w:val="24"/>
                <w:szCs w:val="24"/>
              </w:rPr>
              <w:t>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0DE68A81">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新增人工造林</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面积 </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46BB6286">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1401亩 </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5CAE92BB">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100</w:t>
            </w:r>
          </w:p>
        </w:tc>
      </w:tr>
      <w:tr w14:paraId="7978BE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9"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540812A8">
            <w:pPr>
              <w:rPr>
                <w:rFonts w:hint="eastAsia" w:ascii="宋体" w:hAnsi="宋体" w:eastAsia="宋体" w:cs="宋体"/>
                <w:b w:val="0"/>
                <w:bCs w:val="0"/>
                <w:sz w:val="24"/>
                <w:szCs w:val="24"/>
              </w:rPr>
            </w:pPr>
          </w:p>
        </w:tc>
        <w:tc>
          <w:tcPr>
            <w:tcW w:w="1200" w:type="dxa"/>
            <w:vMerge w:val="continue"/>
            <w:tcBorders>
              <w:top w:val="nil"/>
              <w:left w:val="nil"/>
              <w:bottom w:val="outset" w:color="auto" w:sz="6" w:space="0"/>
              <w:right w:val="outset" w:color="auto" w:sz="6" w:space="0"/>
            </w:tcBorders>
            <w:shd w:val="clear" w:color="auto" w:fill="auto"/>
            <w:noWrap/>
            <w:vAlign w:val="center"/>
          </w:tcPr>
          <w:p w14:paraId="29580F7D">
            <w:pPr>
              <w:rPr>
                <w:rFonts w:hint="eastAsia" w:ascii="宋体" w:hAnsi="宋体" w:eastAsia="宋体" w:cs="宋体"/>
                <w:b w:val="0"/>
                <w:bCs w:val="0"/>
                <w:sz w:val="24"/>
                <w:szCs w:val="24"/>
              </w:rPr>
            </w:pP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305DAB80">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可持续影响</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3AF407A8">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后期管护持续时间</w:t>
            </w:r>
            <w:r>
              <w:rPr>
                <w:rFonts w:hint="eastAsia" w:ascii="宋体" w:hAnsi="宋体" w:eastAsia="宋体" w:cs="宋体"/>
                <w:b w:val="0"/>
                <w:bCs w:val="0"/>
                <w:kern w:val="0"/>
                <w:sz w:val="24"/>
                <w:szCs w:val="24"/>
                <w:lang w:eastAsia="zh-CN"/>
              </w:rPr>
              <w:t>、项目成果巩固维持年限</w:t>
            </w:r>
            <w:r>
              <w:rPr>
                <w:rFonts w:hint="eastAsia" w:ascii="宋体" w:hAnsi="宋体" w:eastAsia="宋体" w:cs="宋体"/>
                <w:b w:val="0"/>
                <w:bCs w:val="0"/>
                <w:kern w:val="0"/>
                <w:sz w:val="24"/>
                <w:szCs w:val="24"/>
              </w:rPr>
              <w:t> </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3AB283F9">
            <w:pPr>
              <w:pStyle w:val="20"/>
              <w:keepNext w:val="0"/>
              <w:keepLines w:val="0"/>
              <w:widowControl/>
              <w:suppressLineNumbers w:val="0"/>
              <w:jc w:val="center"/>
              <w:rPr>
                <w:rFonts w:hint="eastAsia" w:ascii="宋体" w:hAnsi="宋体" w:eastAsia="宋体" w:cs="宋体"/>
                <w:b w:val="0"/>
                <w:bCs w:val="0"/>
                <w:kern w:val="0"/>
                <w:sz w:val="24"/>
                <w:szCs w:val="24"/>
                <w:lang w:eastAsia="zh-CN"/>
              </w:rPr>
            </w:pPr>
            <w:r>
              <w:rPr>
                <w:rFonts w:hint="eastAsia" w:ascii="宋体" w:hAnsi="宋体" w:eastAsia="宋体" w:cs="宋体"/>
                <w:b w:val="0"/>
                <w:bCs w:val="0"/>
                <w:sz w:val="24"/>
                <w:szCs w:val="24"/>
              </w:rPr>
              <w:t>≥2年</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eastAsia="zh-CN"/>
              </w:rPr>
              <w:t>≥3年</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5B7575C3">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lang w:val="en-US" w:eastAsia="zh-CN"/>
              </w:rPr>
              <w:t>100</w:t>
            </w:r>
          </w:p>
        </w:tc>
      </w:tr>
      <w:tr w14:paraId="3D6A89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40" w:hRule="atLeast"/>
        </w:trPr>
        <w:tc>
          <w:tcPr>
            <w:tcW w:w="1275" w:type="dxa"/>
            <w:vMerge w:val="continue"/>
            <w:tcBorders>
              <w:top w:val="nil"/>
              <w:left w:val="outset" w:color="auto" w:sz="6" w:space="0"/>
              <w:bottom w:val="outset" w:color="auto" w:sz="6" w:space="0"/>
              <w:right w:val="outset" w:color="auto" w:sz="6" w:space="0"/>
            </w:tcBorders>
            <w:shd w:val="clear" w:color="auto" w:fill="auto"/>
            <w:noWrap/>
            <w:vAlign w:val="center"/>
          </w:tcPr>
          <w:p w14:paraId="2465EBE7">
            <w:pPr>
              <w:rPr>
                <w:rFonts w:hint="eastAsia" w:ascii="宋体" w:hAnsi="宋体" w:eastAsia="宋体" w:cs="宋体"/>
                <w:b w:val="0"/>
                <w:bCs w:val="0"/>
                <w:sz w:val="24"/>
                <w:szCs w:val="24"/>
              </w:rPr>
            </w:pPr>
          </w:p>
        </w:tc>
        <w:tc>
          <w:tcPr>
            <w:tcW w:w="1200" w:type="dxa"/>
            <w:tcBorders>
              <w:top w:val="outset" w:color="auto" w:sz="6" w:space="0"/>
              <w:left w:val="nil"/>
              <w:bottom w:val="outset" w:color="auto" w:sz="6" w:space="0"/>
              <w:right w:val="outset" w:color="auto" w:sz="6" w:space="0"/>
            </w:tcBorders>
            <w:shd w:val="clear" w:color="auto" w:fill="auto"/>
            <w:noWrap/>
            <w:vAlign w:val="center"/>
          </w:tcPr>
          <w:p w14:paraId="6659324A">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满意度</w:t>
            </w:r>
            <w:r>
              <w:rPr>
                <w:rFonts w:hint="eastAsia" w:ascii="宋体" w:hAnsi="宋体" w:eastAsia="宋体" w:cs="宋体"/>
                <w:b w:val="0"/>
                <w:bCs w:val="0"/>
                <w:kern w:val="0"/>
                <w:sz w:val="24"/>
                <w:szCs w:val="24"/>
                <w:lang w:val="en-US" w:eastAsia="zh-CN"/>
              </w:rPr>
              <w:t xml:space="preserve">  </w:t>
            </w:r>
            <w:r>
              <w:rPr>
                <w:rFonts w:hint="eastAsia" w:ascii="宋体" w:hAnsi="宋体" w:eastAsia="宋体" w:cs="宋体"/>
                <w:b w:val="0"/>
                <w:bCs w:val="0"/>
                <w:kern w:val="0"/>
                <w:sz w:val="24"/>
                <w:szCs w:val="24"/>
              </w:rPr>
              <w:t>指标</w:t>
            </w:r>
          </w:p>
        </w:tc>
        <w:tc>
          <w:tcPr>
            <w:tcW w:w="1545" w:type="dxa"/>
            <w:tcBorders>
              <w:top w:val="outset" w:color="auto" w:sz="6" w:space="0"/>
              <w:left w:val="nil"/>
              <w:bottom w:val="outset" w:color="auto" w:sz="6" w:space="0"/>
              <w:right w:val="outset" w:color="auto" w:sz="6" w:space="0"/>
            </w:tcBorders>
            <w:shd w:val="clear" w:color="auto" w:fill="auto"/>
            <w:noWrap/>
            <w:vAlign w:val="center"/>
          </w:tcPr>
          <w:p w14:paraId="59EE75FC">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满意度指标</w:t>
            </w:r>
          </w:p>
        </w:tc>
        <w:tc>
          <w:tcPr>
            <w:tcW w:w="1695" w:type="dxa"/>
            <w:tcBorders>
              <w:top w:val="outset" w:color="auto" w:sz="6" w:space="0"/>
              <w:left w:val="nil"/>
              <w:bottom w:val="outset" w:color="auto" w:sz="6" w:space="0"/>
              <w:right w:val="outset" w:color="auto" w:sz="6" w:space="0"/>
            </w:tcBorders>
            <w:shd w:val="clear" w:color="auto" w:fill="auto"/>
            <w:noWrap/>
            <w:vAlign w:val="center"/>
          </w:tcPr>
          <w:p w14:paraId="58149BD7">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实施区社会公众满意度 </w:t>
            </w:r>
          </w:p>
        </w:tc>
        <w:tc>
          <w:tcPr>
            <w:tcW w:w="1410" w:type="dxa"/>
            <w:tcBorders>
              <w:top w:val="outset" w:color="auto" w:sz="6" w:space="0"/>
              <w:left w:val="nil"/>
              <w:bottom w:val="outset" w:color="auto" w:sz="6" w:space="0"/>
              <w:right w:val="outset" w:color="auto" w:sz="6" w:space="0"/>
            </w:tcBorders>
            <w:shd w:val="clear" w:color="auto" w:fill="auto"/>
            <w:noWrap/>
            <w:vAlign w:val="center"/>
          </w:tcPr>
          <w:p w14:paraId="63973CC5">
            <w:pPr>
              <w:pStyle w:val="20"/>
              <w:keepNext w:val="0"/>
              <w:keepLines w:val="0"/>
              <w:widowControl/>
              <w:suppressLineNumbers w:val="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≧90% </w:t>
            </w:r>
          </w:p>
        </w:tc>
        <w:tc>
          <w:tcPr>
            <w:tcW w:w="1183" w:type="dxa"/>
            <w:tcBorders>
              <w:top w:val="outset" w:color="auto" w:sz="6" w:space="0"/>
              <w:left w:val="nil"/>
              <w:bottom w:val="outset" w:color="auto" w:sz="6" w:space="0"/>
              <w:right w:val="outset" w:color="auto" w:sz="6" w:space="0"/>
            </w:tcBorders>
            <w:shd w:val="clear" w:color="auto" w:fill="auto"/>
            <w:noWrap/>
            <w:vAlign w:val="center"/>
          </w:tcPr>
          <w:p w14:paraId="239961C9">
            <w:pPr>
              <w:pStyle w:val="20"/>
              <w:keepNext w:val="0"/>
              <w:keepLines w:val="0"/>
              <w:widowControl/>
              <w:suppressLineNumbers w:val="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100</w:t>
            </w:r>
          </w:p>
        </w:tc>
      </w:tr>
    </w:tbl>
    <w:p w14:paraId="4CDC8A6D">
      <w:pPr>
        <w:pStyle w:val="20"/>
        <w:keepNext w:val="0"/>
        <w:keepLines w:val="0"/>
        <w:widowControl/>
        <w:suppressLineNumbers w:val="0"/>
        <w:spacing w:before="0" w:beforeAutospacing="0"/>
        <w:ind w:left="0"/>
        <w:jc w:val="left"/>
        <w:rPr>
          <w:rFonts w:hint="eastAsia" w:ascii="宋体" w:hAnsi="宋体" w:eastAsia="宋体" w:cs="宋体"/>
          <w:b w:val="0"/>
          <w:bCs w:val="0"/>
          <w:kern w:val="0"/>
          <w:sz w:val="24"/>
          <w:szCs w:val="24"/>
          <w:shd w:val="clear" w:fill="FFFFFF"/>
        </w:rPr>
      </w:pPr>
    </w:p>
    <w:p w14:paraId="499C92AF">
      <w:pPr>
        <w:pStyle w:val="20"/>
        <w:keepNext w:val="0"/>
        <w:keepLines w:val="0"/>
        <w:widowControl/>
        <w:suppressLineNumbers w:val="0"/>
        <w:spacing w:before="0" w:beforeAutospacing="0"/>
        <w:ind w:left="0"/>
        <w:jc w:val="left"/>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（注：有两个及以上100万元以上（含）特定目标类部门预算项目的，需分别开展绩效目标自评并填写附表）</w:t>
      </w:r>
    </w:p>
    <w:p w14:paraId="769372A3">
      <w:pPr>
        <w:pStyle w:val="20"/>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14:paraId="2348BFA6">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7F5ECD64">
      <w:pPr>
        <w:pStyle w:val="20"/>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14:paraId="3043FE7F">
      <w:pPr>
        <w:pStyle w:val="20"/>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21"/>
          <w:rFonts w:hint="eastAsia" w:ascii="黑体" w:hAnsi="黑体" w:eastAsia="黑体" w:cs="黑体"/>
          <w:b/>
          <w:bCs/>
          <w:sz w:val="44"/>
          <w:szCs w:val="44"/>
          <w:shd w:val="clear" w:fill="FFFFFF"/>
        </w:rPr>
        <w:t>第五部分 附表</w:t>
      </w:r>
    </w:p>
    <w:p w14:paraId="3E284263">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一、收入支出决算总表</w:t>
      </w:r>
    </w:p>
    <w:p w14:paraId="56CD1B1B">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二、收入决算表</w:t>
      </w:r>
    </w:p>
    <w:p w14:paraId="28186F24">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三、支出决算表</w:t>
      </w:r>
    </w:p>
    <w:p w14:paraId="137DE106">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四、财政拨款收入支出决算总表</w:t>
      </w:r>
    </w:p>
    <w:p w14:paraId="21D3B648">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五、财政拨款支出决算明细表</w:t>
      </w:r>
    </w:p>
    <w:p w14:paraId="3BBDCD4D">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六、一般公共预算财政拨款支出决算表</w:t>
      </w:r>
    </w:p>
    <w:p w14:paraId="1CB89F82">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七、一般公共预算财政拨款支出决算明细表</w:t>
      </w:r>
    </w:p>
    <w:p w14:paraId="484004DB">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八、一般公共预算财政拨款基本支出决算表</w:t>
      </w:r>
    </w:p>
    <w:p w14:paraId="4EB08555">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九、一般公共预算财政拨款项目支出决算表</w:t>
      </w:r>
    </w:p>
    <w:p w14:paraId="574541C2">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十、政府性基金预算财政拨款收入支出决算表</w:t>
      </w:r>
    </w:p>
    <w:p w14:paraId="694319DC">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十一、国有资本经营预算财政拨款收入支出决算表</w:t>
      </w:r>
    </w:p>
    <w:p w14:paraId="611A7168">
      <w:pPr>
        <w:pStyle w:val="4"/>
        <w:keepNext w:val="0"/>
        <w:keepLines w:val="0"/>
        <w:widowControl/>
        <w:suppressLineNumbers w:val="0"/>
        <w:spacing w:before="0" w:beforeAutospacing="0"/>
        <w:ind w:left="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shd w:val="clear" w:fill="FFFFFF"/>
        </w:rPr>
        <w:t>十二、国有资本经营预算财政拨款支出决算表</w:t>
      </w:r>
    </w:p>
    <w:p w14:paraId="4FF4D9B4">
      <w:pPr>
        <w:pStyle w:val="4"/>
        <w:keepNext w:val="0"/>
        <w:keepLines w:val="0"/>
        <w:widowControl/>
        <w:suppressLineNumbers w:val="0"/>
        <w:spacing w:before="0" w:beforeAutospacing="0"/>
        <w:ind w:left="0"/>
        <w:jc w:val="left"/>
        <w:rPr>
          <w:rFonts w:hint="eastAsia" w:ascii="宋体" w:hAnsi="宋体" w:eastAsia="宋体" w:cs="宋体"/>
          <w:b/>
          <w:bCs/>
          <w:kern w:val="0"/>
          <w:sz w:val="36"/>
          <w:szCs w:val="36"/>
        </w:rPr>
      </w:pPr>
      <w:r>
        <w:rPr>
          <w:rFonts w:hint="eastAsia" w:ascii="仿宋_GB2312" w:hAnsi="仿宋_GB2312" w:eastAsia="仿宋_GB2312" w:cs="仿宋_GB2312"/>
          <w:b/>
          <w:bCs/>
          <w:kern w:val="0"/>
          <w:sz w:val="32"/>
          <w:szCs w:val="32"/>
          <w:shd w:val="clear" w:fill="FFFFFF"/>
        </w:rPr>
        <w:t>十三、财政拨款“三公”经费支出决算表</w:t>
      </w:r>
    </w:p>
    <w:p w14:paraId="702A5A28"/>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3A48F">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63D96">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9063D96">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3195F"/>
    <w:multiLevelType w:val="multilevel"/>
    <w:tmpl w:val="8753195F"/>
    <w:lvl w:ilvl="0" w:tentative="0">
      <w:start w:val="1"/>
      <w:numFmt w:val="decimal"/>
      <w:lvlText w:val="%1."/>
      <w:lvlJc w:val="left"/>
      <w:pPr>
        <w:tabs>
          <w:tab w:val="left" w:pos="0"/>
        </w:tabs>
        <w:ind w:left="1152" w:hanging="480"/>
      </w:pPr>
      <w:rPr>
        <w:rFonts w:hint="default" w:ascii="Times New Roman" w:hAnsi="Times New Roman" w:cs="Times New Roman"/>
      </w:rPr>
    </w:lvl>
    <w:lvl w:ilvl="1" w:tentative="0">
      <w:start w:val="1"/>
      <w:numFmt w:val="lowerLetter"/>
      <w:lvlText w:val="%2)"/>
      <w:lvlJc w:val="left"/>
      <w:pPr>
        <w:tabs>
          <w:tab w:val="left" w:pos="0"/>
        </w:tabs>
        <w:ind w:left="1512" w:hanging="420"/>
      </w:pPr>
      <w:rPr>
        <w:rFonts w:hint="default" w:ascii="Times New Roman" w:hAnsi="Times New Roman" w:cs="Times New Roman"/>
      </w:rPr>
    </w:lvl>
    <w:lvl w:ilvl="2" w:tentative="0">
      <w:start w:val="1"/>
      <w:numFmt w:val="lowerRoman"/>
      <w:lvlText w:val="%3."/>
      <w:lvlJc w:val="right"/>
      <w:pPr>
        <w:tabs>
          <w:tab w:val="left" w:pos="0"/>
        </w:tabs>
        <w:ind w:left="1932" w:hanging="420"/>
      </w:pPr>
      <w:rPr>
        <w:rFonts w:hint="default" w:ascii="Times New Roman" w:hAnsi="Times New Roman" w:cs="Times New Roman"/>
      </w:rPr>
    </w:lvl>
    <w:lvl w:ilvl="3" w:tentative="0">
      <w:start w:val="1"/>
      <w:numFmt w:val="decimal"/>
      <w:lvlText w:val="%4."/>
      <w:lvlJc w:val="left"/>
      <w:pPr>
        <w:tabs>
          <w:tab w:val="left" w:pos="0"/>
        </w:tabs>
        <w:ind w:left="2352" w:hanging="420"/>
      </w:pPr>
      <w:rPr>
        <w:rFonts w:hint="default" w:ascii="Times New Roman" w:hAnsi="Times New Roman" w:cs="Times New Roman"/>
      </w:rPr>
    </w:lvl>
    <w:lvl w:ilvl="4" w:tentative="0">
      <w:start w:val="1"/>
      <w:numFmt w:val="lowerLetter"/>
      <w:lvlText w:val="%5)"/>
      <w:lvlJc w:val="left"/>
      <w:pPr>
        <w:tabs>
          <w:tab w:val="left" w:pos="0"/>
        </w:tabs>
        <w:ind w:left="2772" w:hanging="420"/>
      </w:pPr>
      <w:rPr>
        <w:rFonts w:hint="default" w:ascii="Times New Roman" w:hAnsi="Times New Roman" w:cs="Times New Roman"/>
      </w:rPr>
    </w:lvl>
    <w:lvl w:ilvl="5" w:tentative="0">
      <w:start w:val="1"/>
      <w:numFmt w:val="lowerRoman"/>
      <w:lvlText w:val="%6."/>
      <w:lvlJc w:val="right"/>
      <w:pPr>
        <w:tabs>
          <w:tab w:val="left" w:pos="0"/>
        </w:tabs>
        <w:ind w:left="3192" w:hanging="420"/>
      </w:pPr>
      <w:rPr>
        <w:rFonts w:hint="default" w:ascii="Times New Roman" w:hAnsi="Times New Roman" w:cs="Times New Roman"/>
      </w:rPr>
    </w:lvl>
    <w:lvl w:ilvl="6" w:tentative="0">
      <w:start w:val="1"/>
      <w:numFmt w:val="decimal"/>
      <w:lvlText w:val="%7."/>
      <w:lvlJc w:val="left"/>
      <w:pPr>
        <w:tabs>
          <w:tab w:val="left" w:pos="0"/>
        </w:tabs>
        <w:ind w:left="3612" w:hanging="420"/>
      </w:pPr>
      <w:rPr>
        <w:rFonts w:hint="default" w:ascii="Times New Roman" w:hAnsi="Times New Roman" w:cs="Times New Roman"/>
      </w:rPr>
    </w:lvl>
    <w:lvl w:ilvl="7" w:tentative="0">
      <w:start w:val="1"/>
      <w:numFmt w:val="lowerLetter"/>
      <w:lvlText w:val="%8)"/>
      <w:lvlJc w:val="left"/>
      <w:pPr>
        <w:tabs>
          <w:tab w:val="left" w:pos="0"/>
        </w:tabs>
        <w:ind w:left="4032" w:hanging="420"/>
      </w:pPr>
      <w:rPr>
        <w:rFonts w:hint="default" w:ascii="Times New Roman" w:hAnsi="Times New Roman" w:cs="Times New Roman"/>
      </w:rPr>
    </w:lvl>
    <w:lvl w:ilvl="8" w:tentative="0">
      <w:start w:val="1"/>
      <w:numFmt w:val="lowerRoman"/>
      <w:lvlText w:val="%9."/>
      <w:lvlJc w:val="right"/>
      <w:pPr>
        <w:tabs>
          <w:tab w:val="left" w:pos="0"/>
        </w:tabs>
        <w:ind w:left="4452" w:hanging="420"/>
      </w:pPr>
      <w:rPr>
        <w:rFonts w:hint="default" w:ascii="Times New Roman" w:hAnsi="Times New Roman" w:cs="Times New Roman"/>
      </w:rPr>
    </w:lvl>
  </w:abstractNum>
  <w:abstractNum w:abstractNumId="1">
    <w:nsid w:val="90784EF2"/>
    <w:multiLevelType w:val="singleLevel"/>
    <w:tmpl w:val="90784EF2"/>
    <w:lvl w:ilvl="0" w:tentative="0">
      <w:start w:val="10"/>
      <w:numFmt w:val="chineseCounting"/>
      <w:suff w:val="nothing"/>
      <w:lvlText w:val="%1、"/>
      <w:lvlJc w:val="left"/>
      <w:rPr>
        <w:rFonts w:hint="eastAsia"/>
      </w:rPr>
    </w:lvl>
  </w:abstractNum>
  <w:abstractNum w:abstractNumId="2">
    <w:nsid w:val="C4A7E590"/>
    <w:multiLevelType w:val="singleLevel"/>
    <w:tmpl w:val="C4A7E590"/>
    <w:lvl w:ilvl="0" w:tentative="0">
      <w:start w:val="2"/>
      <w:numFmt w:val="chineseCounting"/>
      <w:suff w:val="nothing"/>
      <w:lvlText w:val="（%1）"/>
      <w:lvlJc w:val="left"/>
      <w:rPr>
        <w:rFonts w:hint="eastAsia"/>
      </w:rPr>
    </w:lvl>
  </w:abstractNum>
  <w:abstractNum w:abstractNumId="3">
    <w:nsid w:val="D315938F"/>
    <w:multiLevelType w:val="singleLevel"/>
    <w:tmpl w:val="D315938F"/>
    <w:lvl w:ilvl="0" w:tentative="0">
      <w:start w:val="1"/>
      <w:numFmt w:val="chineseCounting"/>
      <w:suff w:val="nothing"/>
      <w:lvlText w:val="（%1）"/>
      <w:lvlJc w:val="left"/>
      <w:rPr>
        <w:rFonts w:hint="eastAsia"/>
      </w:rPr>
    </w:lvl>
  </w:abstractNum>
  <w:abstractNum w:abstractNumId="4">
    <w:nsid w:val="F18EDED6"/>
    <w:multiLevelType w:val="singleLevel"/>
    <w:tmpl w:val="F18EDED6"/>
    <w:lvl w:ilvl="0" w:tentative="0">
      <w:start w:val="1"/>
      <w:numFmt w:val="chineseCounting"/>
      <w:suff w:val="nothing"/>
      <w:lvlText w:val="（%1）"/>
      <w:lvlJc w:val="left"/>
      <w:rPr>
        <w:rFonts w:hint="eastAsia"/>
      </w:rPr>
    </w:lvl>
  </w:abstractNum>
  <w:abstractNum w:abstractNumId="5">
    <w:nsid w:val="F98E3834"/>
    <w:multiLevelType w:val="singleLevel"/>
    <w:tmpl w:val="F98E3834"/>
    <w:lvl w:ilvl="0" w:tentative="0">
      <w:start w:val="2"/>
      <w:numFmt w:val="chineseCounting"/>
      <w:suff w:val="nothing"/>
      <w:lvlText w:val="（%1）"/>
      <w:lvlJc w:val="left"/>
      <w:rPr>
        <w:rFonts w:hint="eastAsia"/>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xYmIxOGQyMmFkYzIxMGJmYTcyYWQyNzc5MmRhZDEifQ=="/>
  </w:docVars>
  <w:rsids>
    <w:rsidRoot w:val="14EB46E3"/>
    <w:rsid w:val="04AC23CD"/>
    <w:rsid w:val="0771065A"/>
    <w:rsid w:val="087F0711"/>
    <w:rsid w:val="0A5B1A89"/>
    <w:rsid w:val="0EDA48F5"/>
    <w:rsid w:val="12137217"/>
    <w:rsid w:val="14EB46E3"/>
    <w:rsid w:val="155E4C4D"/>
    <w:rsid w:val="19D105E6"/>
    <w:rsid w:val="1A8634D1"/>
    <w:rsid w:val="1D434628"/>
    <w:rsid w:val="1E0345E3"/>
    <w:rsid w:val="20AC4ABE"/>
    <w:rsid w:val="270072B2"/>
    <w:rsid w:val="2B533A0E"/>
    <w:rsid w:val="2B9920E3"/>
    <w:rsid w:val="2C9C1E8B"/>
    <w:rsid w:val="2D7E77E3"/>
    <w:rsid w:val="2D915690"/>
    <w:rsid w:val="2F7F76C6"/>
    <w:rsid w:val="311C409B"/>
    <w:rsid w:val="353F729D"/>
    <w:rsid w:val="35F42D38"/>
    <w:rsid w:val="35FC0710"/>
    <w:rsid w:val="3CA37266"/>
    <w:rsid w:val="3CCD20D4"/>
    <w:rsid w:val="3D567E34"/>
    <w:rsid w:val="3FD31C10"/>
    <w:rsid w:val="40C65124"/>
    <w:rsid w:val="412070D7"/>
    <w:rsid w:val="43F30E4A"/>
    <w:rsid w:val="453D6E18"/>
    <w:rsid w:val="475C24EB"/>
    <w:rsid w:val="4B201A81"/>
    <w:rsid w:val="55D97ABC"/>
    <w:rsid w:val="5CA16D20"/>
    <w:rsid w:val="5D2B2C34"/>
    <w:rsid w:val="5EF7632D"/>
    <w:rsid w:val="60EE1FAE"/>
    <w:rsid w:val="61F93300"/>
    <w:rsid w:val="634B193A"/>
    <w:rsid w:val="647924D6"/>
    <w:rsid w:val="65FB6495"/>
    <w:rsid w:val="698A0CE2"/>
    <w:rsid w:val="6C711CE5"/>
    <w:rsid w:val="6D7221B9"/>
    <w:rsid w:val="6F89267D"/>
    <w:rsid w:val="736F3422"/>
    <w:rsid w:val="73DA175F"/>
    <w:rsid w:val="7595791A"/>
    <w:rsid w:val="75F23E97"/>
    <w:rsid w:val="7608190C"/>
    <w:rsid w:val="78CF04BF"/>
    <w:rsid w:val="790C3715"/>
    <w:rsid w:val="7CCF4F32"/>
    <w:rsid w:val="7F282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1"/>
    <w:basedOn w:val="1"/>
    <w:next w:val="1"/>
    <w:qFormat/>
    <w:uiPriority w:val="0"/>
    <w:pPr>
      <w:spacing w:before="0" w:beforeAutospacing="1" w:after="0" w:afterAutospacing="1"/>
      <w:ind w:left="0" w:right="0"/>
      <w:jc w:val="left"/>
    </w:pPr>
    <w:rPr>
      <w:rFonts w:hint="eastAsia" w:ascii="宋体" w:hAnsi="宋体" w:eastAsia="宋体" w:cs="宋体"/>
      <w:b/>
      <w:bCs/>
      <w:kern w:val="44"/>
      <w:sz w:val="48"/>
      <w:szCs w:val="48"/>
      <w:lang w:val="en-US" w:eastAsia="zh-CN" w:bidi="ar"/>
    </w:rPr>
  </w:style>
  <w:style w:type="paragraph" w:styleId="4">
    <w:name w:val="heading 2"/>
    <w:basedOn w:val="1"/>
    <w:next w:val="1"/>
    <w:link w:val="28"/>
    <w:qFormat/>
    <w:uiPriority w:val="0"/>
    <w:pPr>
      <w:spacing w:before="0" w:beforeAutospacing="1" w:after="0" w:afterAutospacing="1"/>
      <w:ind w:left="0" w:right="0"/>
      <w:jc w:val="left"/>
    </w:pPr>
    <w:rPr>
      <w:rFonts w:hint="eastAsia" w:ascii="宋体" w:hAnsi="宋体" w:eastAsia="宋体" w:cs="宋体"/>
      <w:b/>
      <w:bCs/>
      <w:kern w:val="0"/>
      <w:sz w:val="36"/>
      <w:szCs w:val="36"/>
      <w:lang w:val="en-US" w:eastAsia="zh-CN" w:bidi="ar"/>
    </w:rPr>
  </w:style>
  <w:style w:type="paragraph" w:styleId="5">
    <w:name w:val="heading 3"/>
    <w:basedOn w:val="1"/>
    <w:next w:val="1"/>
    <w:qFormat/>
    <w:uiPriority w:val="0"/>
    <w:pPr>
      <w:keepNext/>
      <w:keepLines/>
      <w:spacing w:before="60" w:after="60" w:line="240" w:lineRule="auto"/>
      <w:ind w:right="0" w:rightChars="0" w:firstLine="284" w:firstLineChars="0"/>
      <w:outlineLvl w:val="2"/>
    </w:pPr>
    <w:rPr>
      <w:rFonts w:eastAsia="黑体"/>
      <w:sz w:val="30"/>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sz w:val="24"/>
    </w:rPr>
  </w:style>
  <w:style w:type="paragraph" w:styleId="6">
    <w:name w:val="index 5"/>
    <w:basedOn w:val="1"/>
    <w:next w:val="1"/>
    <w:qFormat/>
    <w:uiPriority w:val="0"/>
    <w:pPr>
      <w:ind w:left="1680"/>
    </w:pPr>
  </w:style>
  <w:style w:type="paragraph" w:styleId="7">
    <w:name w:val="Body Text"/>
    <w:basedOn w:val="1"/>
    <w:next w:val="1"/>
    <w:qFormat/>
    <w:uiPriority w:val="99"/>
    <w:pPr>
      <w:spacing w:before="0" w:beforeLines="30" w:beforeAutospacing="0" w:after="0" w:afterAutospacing="0"/>
      <w:ind w:left="0" w:right="0"/>
      <w:jc w:val="left"/>
    </w:pPr>
    <w:rPr>
      <w:rFonts w:hint="eastAsia" w:ascii="仿宋_GB2312" w:hAnsi="宋体" w:eastAsia="仿宋_GB2312" w:cs="宋体"/>
      <w:kern w:val="0"/>
      <w:sz w:val="24"/>
      <w:szCs w:val="24"/>
      <w:lang w:val="en-US" w:eastAsia="zh-CN" w:bidi="ar"/>
    </w:rPr>
  </w:style>
  <w:style w:type="paragraph" w:styleId="8">
    <w:name w:val="Body Text Indent"/>
    <w:basedOn w:val="1"/>
    <w:qFormat/>
    <w:uiPriority w:val="0"/>
    <w:pPr>
      <w:spacing w:line="360" w:lineRule="auto"/>
      <w:ind w:firstLine="538" w:firstLineChars="192"/>
    </w:pPr>
    <w:rPr>
      <w:rFonts w:ascii="宋体" w:hAnsi="宋体"/>
      <w:sz w:val="28"/>
    </w:rPr>
  </w:style>
  <w:style w:type="paragraph" w:styleId="9">
    <w:name w:val="Plain Text"/>
    <w:basedOn w:val="1"/>
    <w:qFormat/>
    <w:uiPriority w:val="0"/>
    <w:rPr>
      <w:rFonts w:ascii="宋体" w:hAnsi="Courier New" w:cs="Courier New"/>
      <w:szCs w:val="21"/>
    </w:rPr>
  </w:style>
  <w:style w:type="paragraph" w:styleId="10">
    <w:name w:val="Body Text Indent 2"/>
    <w:basedOn w:val="1"/>
    <w:unhideWhenUsed/>
    <w:qFormat/>
    <w:uiPriority w:val="0"/>
    <w:pPr>
      <w:spacing w:after="120" w:line="480" w:lineRule="auto"/>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39"/>
    <w:pPr>
      <w:spacing w:before="120" w:beforeAutospacing="0" w:after="120" w:afterAutospacing="0"/>
      <w:ind w:left="0" w:right="0"/>
      <w:jc w:val="left"/>
    </w:pPr>
    <w:rPr>
      <w:rFonts w:hint="default" w:ascii="Calibri" w:hAnsi="宋体" w:eastAsia="宋体" w:cs="宋体"/>
      <w:b/>
      <w:bCs/>
      <w:caps/>
      <w:kern w:val="0"/>
      <w:sz w:val="20"/>
      <w:szCs w:val="20"/>
      <w:lang w:val="en-US" w:eastAsia="zh-CN" w:bidi="ar"/>
    </w:rPr>
  </w:style>
  <w:style w:type="paragraph" w:styleId="14">
    <w:name w:val="table of figures"/>
    <w:basedOn w:val="1"/>
    <w:next w:val="1"/>
    <w:unhideWhenUsed/>
    <w:qFormat/>
    <w:uiPriority w:val="99"/>
    <w:pPr>
      <w:spacing w:before="100" w:beforeAutospacing="1" w:after="100" w:afterAutospacing="1"/>
      <w:ind w:left="200" w:leftChars="200" w:hanging="200" w:hangingChars="200"/>
    </w:pPr>
    <w:rPr>
      <w:rFonts w:ascii="Calibri" w:hAnsi="Calibri" w:eastAsia="宋体"/>
    </w:rPr>
  </w:style>
  <w:style w:type="paragraph" w:styleId="15">
    <w:name w:val="Normal (Web)"/>
    <w:basedOn w:val="1"/>
    <w:qFormat/>
    <w:uiPriority w:val="0"/>
    <w:pPr>
      <w:jc w:val="left"/>
    </w:pPr>
    <w:rPr>
      <w:kern w:val="0"/>
      <w:sz w:val="24"/>
    </w:rPr>
  </w:style>
  <w:style w:type="paragraph" w:styleId="16">
    <w:name w:val="Body Text First Indent 2"/>
    <w:basedOn w:val="8"/>
    <w:qFormat/>
    <w:uiPriority w:val="0"/>
    <w:pPr>
      <w:widowControl w:val="0"/>
      <w:adjustRightInd/>
      <w:snapToGrid/>
      <w:ind w:firstLine="420" w:firstLineChars="200"/>
      <w:jc w:val="both"/>
    </w:pPr>
    <w:rPr>
      <w:rFonts w:ascii="Calibri" w:hAnsi="Calibri" w:eastAsia="宋体"/>
      <w:kern w:val="2"/>
      <w:sz w:val="21"/>
      <w:szCs w:val="24"/>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customStyle="1" w:styleId="20">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1">
    <w:name w:val="16"/>
    <w:basedOn w:val="18"/>
    <w:qFormat/>
    <w:uiPriority w:val="0"/>
    <w:rPr>
      <w:rFonts w:hint="default" w:ascii="Times New Roman" w:hAnsi="Times New Roman" w:cs="Times New Roman"/>
      <w:b/>
      <w:bCs/>
    </w:rPr>
  </w:style>
  <w:style w:type="character" w:customStyle="1" w:styleId="22">
    <w:name w:val="17"/>
    <w:basedOn w:val="18"/>
    <w:qFormat/>
    <w:uiPriority w:val="0"/>
    <w:rPr>
      <w:rFonts w:hint="default" w:ascii="Times New Roman" w:hAnsi="Times New Roman" w:cs="Times New Roman"/>
      <w:b/>
    </w:rPr>
  </w:style>
  <w:style w:type="character" w:customStyle="1" w:styleId="23">
    <w:name w:val="18"/>
    <w:basedOn w:val="18"/>
    <w:qFormat/>
    <w:uiPriority w:val="0"/>
    <w:rPr>
      <w:rFonts w:hint="default" w:ascii="Times New Roman" w:hAnsi="Times New Roman" w:cs="Times New Roman"/>
    </w:rPr>
  </w:style>
  <w:style w:type="paragraph" w:customStyle="1" w:styleId="24">
    <w:name w:val="NormalIndent"/>
    <w:next w:val="6"/>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 w:type="paragraph" w:customStyle="1" w:styleId="25">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26">
    <w:name w:val="NormalCharacter"/>
    <w:qFormat/>
    <w:uiPriority w:val="99"/>
  </w:style>
  <w:style w:type="paragraph" w:customStyle="1" w:styleId="27">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character" w:customStyle="1" w:styleId="28">
    <w:name w:val="标题 2 Char"/>
    <w:basedOn w:val="18"/>
    <w:link w:val="4"/>
    <w:qFormat/>
    <w:uiPriority w:val="9"/>
    <w:rPr>
      <w:rFonts w:hint="eastAsia" w:ascii="宋体" w:hAnsi="宋体" w:eastAsia="宋体" w:cs="宋体"/>
      <w:b/>
      <w:bCs/>
      <w:kern w:val="0"/>
      <w:sz w:val="36"/>
      <w:szCs w:val="36"/>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125030200531529"/>
                  <c:y val="0.025499362515937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29466628426392"/>
                  <c:y val="0.011308104463238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0%</c:formatCode>
                <c:ptCount val="3"/>
                <c:pt idx="0">
                  <c:v>0</c:v>
                </c:pt>
                <c:pt idx="1" c:formatCode="0.00%">
                  <c:v>0.9977</c:v>
                </c:pt>
                <c:pt idx="2" c:formatCode="0.00%">
                  <c:v>0.0023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da3874c-fad4-4d50-863a-17b9b18f56b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12677</Words>
  <Characters>15083</Characters>
  <Lines>0</Lines>
  <Paragraphs>0</Paragraphs>
  <TotalTime>6</TotalTime>
  <ScaleCrop>false</ScaleCrop>
  <LinksUpToDate>false</LinksUpToDate>
  <CharactersWithSpaces>15368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2023-09-07T09:46:00Z</dcterms:created>
  <dc:creator>小小小小小新</dc:creator>
  <cp:lastModifiedBy>对影成三人</cp:lastModifiedBy>
  <dcterms:modified xsi:type="dcterms:W3CDTF">2026-08-10T08:35:53Z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C873D965ED3940B2A62532977FA6F221_11</vt:lpwstr>
  </property>
  <property fmtid="{D5CDD505-2E9C-101B-9397-08002B2CF9AE}" pid="4" name="KSOTemplateDocerSaveRecord">
    <vt:lpwstr>eyJoZGlkIjoiYjA1ZDg3Y2Y1MzJlNDVjZjA5NTk4YjViYTliYmM3NTYiLCJ1c2VySWQiOiIyNDIyNDYwNDUifQ==</vt:lpwstr>
  </property>
</Properties>
</file>