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193"/>
      <w:bookmarkStart w:id="1" w:name="_Toc15306267"/>
      <w:bookmarkStart w:id="2" w:name="_Toc15377425"/>
      <w:bookmarkStart w:id="3" w:name="_Toc15396475"/>
      <w:bookmarkStart w:id="4" w:name="_Toc15396597"/>
      <w:bookmarkStart w:id="5" w:name="_Toc15378441"/>
    </w:p>
    <w:bookmarkEnd w:id="0"/>
    <w:bookmarkEnd w:id="1"/>
    <w:bookmarkEnd w:id="2"/>
    <w:bookmarkEnd w:id="3"/>
    <w:bookmarkEnd w:id="4"/>
    <w:bookmarkEnd w:id="5"/>
    <w:p w14:paraId="63E8B00A">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2025年度松潘县交通运输局本级</w:t>
      </w: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p>
    <w:p w14:paraId="5A01B508">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510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2F62B55">
          <w:pPr>
            <w:spacing w:before="0" w:beforeLines="0" w:after="0" w:afterLines="0" w:line="240" w:lineRule="auto"/>
            <w:ind w:left="0" w:leftChars="0" w:right="0" w:rightChars="0" w:firstLine="0" w:firstLineChars="0"/>
            <w:jc w:val="center"/>
          </w:pPr>
        </w:p>
        <w:p w14:paraId="60B70661">
          <w:pPr>
            <w:pStyle w:val="12"/>
            <w:tabs>
              <w:tab w:val="right" w:leader="dot" w:pos="8306"/>
              <w:tab w:val="clear" w:pos="8296"/>
            </w:tabs>
          </w:pPr>
          <w:r>
            <w:fldChar w:fldCharType="begin"/>
          </w:r>
          <w:r>
            <w:instrText xml:space="preserve">TOC \o "1-9" \h \u </w:instrText>
          </w:r>
          <w:r>
            <w:fldChar w:fldCharType="separate"/>
          </w:r>
          <w:r>
            <w:fldChar w:fldCharType="begin"/>
          </w:r>
          <w:r>
            <w:instrText xml:space="preserve"> HYPERLINK \l _Toc14722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_Toc14722 \h </w:instrText>
          </w:r>
          <w:r>
            <w:fldChar w:fldCharType="separate"/>
          </w:r>
          <w:r>
            <w:t>3</w:t>
          </w:r>
          <w:r>
            <w:fldChar w:fldCharType="end"/>
          </w:r>
          <w:r>
            <w:fldChar w:fldCharType="end"/>
          </w:r>
        </w:p>
        <w:p w14:paraId="0B8DC123">
          <w:pPr>
            <w:pStyle w:val="12"/>
            <w:tabs>
              <w:tab w:val="right" w:leader="dot" w:pos="8306"/>
              <w:tab w:val="clear" w:pos="8296"/>
            </w:tabs>
          </w:pPr>
          <w:r>
            <w:rPr>
              <w:rFonts w:hint="eastAsia"/>
              <w:lang w:val="en-US" w:eastAsia="zh-CN"/>
            </w:rPr>
            <w:t xml:space="preserve">  </w:t>
          </w:r>
          <w:r>
            <w:fldChar w:fldCharType="begin"/>
          </w:r>
          <w:r>
            <w:instrText xml:space="preserve"> HYPERLINK \l _Toc11227 </w:instrText>
          </w:r>
          <w: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_Toc11227 \h </w:instrText>
          </w:r>
          <w:r>
            <w:fldChar w:fldCharType="separate"/>
          </w:r>
          <w:r>
            <w:t>3</w:t>
          </w:r>
          <w:r>
            <w:fldChar w:fldCharType="end"/>
          </w:r>
          <w:r>
            <w:fldChar w:fldCharType="end"/>
          </w:r>
        </w:p>
        <w:p w14:paraId="46B8EB55">
          <w:pPr>
            <w:pStyle w:val="12"/>
            <w:tabs>
              <w:tab w:val="right" w:leader="dot" w:pos="8306"/>
              <w:tab w:val="clear" w:pos="8296"/>
            </w:tabs>
          </w:pPr>
          <w:r>
            <w:rPr>
              <w:rFonts w:hint="eastAsia"/>
              <w:lang w:val="en-US" w:eastAsia="zh-CN"/>
            </w:rPr>
            <w:t xml:space="preserve">  </w:t>
          </w:r>
          <w:r>
            <w:fldChar w:fldCharType="begin"/>
          </w:r>
          <w:r>
            <w:instrText xml:space="preserve"> HYPERLINK \l _Toc22016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_Toc22016 \h </w:instrText>
          </w:r>
          <w:r>
            <w:fldChar w:fldCharType="separate"/>
          </w:r>
          <w:r>
            <w:t>5</w:t>
          </w:r>
          <w:r>
            <w:fldChar w:fldCharType="end"/>
          </w:r>
          <w:r>
            <w:fldChar w:fldCharType="end"/>
          </w:r>
        </w:p>
        <w:p w14:paraId="13CE6611">
          <w:pPr>
            <w:pStyle w:val="12"/>
            <w:tabs>
              <w:tab w:val="right" w:leader="dot" w:pos="8306"/>
              <w:tab w:val="clear" w:pos="8296"/>
            </w:tabs>
          </w:pPr>
          <w:r>
            <w:fldChar w:fldCharType="begin"/>
          </w:r>
          <w:r>
            <w:instrText xml:space="preserve"> HYPERLINK \l _Toc23952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_Toc23952 \h </w:instrText>
          </w:r>
          <w:r>
            <w:fldChar w:fldCharType="separate"/>
          </w:r>
          <w:r>
            <w:t>10</w:t>
          </w:r>
          <w:r>
            <w:fldChar w:fldCharType="end"/>
          </w:r>
          <w:r>
            <w:fldChar w:fldCharType="end"/>
          </w:r>
        </w:p>
        <w:p w14:paraId="27A980EB">
          <w:pPr>
            <w:pStyle w:val="12"/>
            <w:tabs>
              <w:tab w:val="right" w:leader="dot" w:pos="8306"/>
              <w:tab w:val="clear" w:pos="8296"/>
            </w:tabs>
          </w:pPr>
          <w:r>
            <w:rPr>
              <w:rFonts w:hint="eastAsia"/>
              <w:lang w:val="en-US" w:eastAsia="zh-CN"/>
            </w:rPr>
            <w:t xml:space="preserve">  </w:t>
          </w:r>
          <w:r>
            <w:fldChar w:fldCharType="begin"/>
          </w:r>
          <w:r>
            <w:instrText xml:space="preserve"> HYPERLINK \l _Toc32190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_Toc32190 \h </w:instrText>
          </w:r>
          <w:r>
            <w:fldChar w:fldCharType="separate"/>
          </w:r>
          <w:r>
            <w:t>10</w:t>
          </w:r>
          <w:r>
            <w:fldChar w:fldCharType="end"/>
          </w:r>
          <w:r>
            <w:fldChar w:fldCharType="end"/>
          </w:r>
        </w:p>
        <w:p w14:paraId="5F490D0B">
          <w:pPr>
            <w:pStyle w:val="12"/>
            <w:tabs>
              <w:tab w:val="right" w:leader="dot" w:pos="8306"/>
              <w:tab w:val="clear" w:pos="8296"/>
            </w:tabs>
          </w:pPr>
          <w:r>
            <w:rPr>
              <w:rFonts w:hint="eastAsia"/>
              <w:lang w:val="en-US" w:eastAsia="zh-CN"/>
            </w:rPr>
            <w:t xml:space="preserve">  </w:t>
          </w:r>
          <w:r>
            <w:fldChar w:fldCharType="begin"/>
          </w:r>
          <w:r>
            <w:instrText xml:space="preserve"> HYPERLINK \l _Toc24753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_Toc24753 \h </w:instrText>
          </w:r>
          <w:r>
            <w:fldChar w:fldCharType="separate"/>
          </w:r>
          <w:r>
            <w:t>10</w:t>
          </w:r>
          <w:r>
            <w:fldChar w:fldCharType="end"/>
          </w:r>
          <w:r>
            <w:fldChar w:fldCharType="end"/>
          </w:r>
        </w:p>
        <w:p w14:paraId="0710CF2C">
          <w:pPr>
            <w:pStyle w:val="12"/>
            <w:tabs>
              <w:tab w:val="right" w:leader="dot" w:pos="8306"/>
              <w:tab w:val="clear" w:pos="8296"/>
            </w:tabs>
          </w:pPr>
          <w:r>
            <w:rPr>
              <w:rFonts w:hint="eastAsia"/>
              <w:lang w:val="en-US" w:eastAsia="zh-CN"/>
            </w:rPr>
            <w:t xml:space="preserve">  </w:t>
          </w:r>
          <w:r>
            <w:fldChar w:fldCharType="begin"/>
          </w:r>
          <w:r>
            <w:instrText xml:space="preserve"> HYPERLINK \l _Toc7887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_Toc7887 \h </w:instrText>
          </w:r>
          <w:r>
            <w:fldChar w:fldCharType="separate"/>
          </w:r>
          <w:r>
            <w:t>11</w:t>
          </w:r>
          <w:r>
            <w:fldChar w:fldCharType="end"/>
          </w:r>
          <w:r>
            <w:fldChar w:fldCharType="end"/>
          </w:r>
        </w:p>
        <w:p w14:paraId="21BFDAB5">
          <w:pPr>
            <w:pStyle w:val="12"/>
            <w:tabs>
              <w:tab w:val="right" w:leader="dot" w:pos="8306"/>
              <w:tab w:val="clear" w:pos="8296"/>
            </w:tabs>
          </w:pPr>
          <w:r>
            <w:rPr>
              <w:rFonts w:hint="eastAsia"/>
              <w:lang w:val="en-US" w:eastAsia="zh-CN"/>
            </w:rPr>
            <w:t xml:space="preserve">  </w:t>
          </w:r>
          <w:r>
            <w:fldChar w:fldCharType="begin"/>
          </w:r>
          <w:r>
            <w:instrText xml:space="preserve"> HYPERLINK \l _Toc23360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_Toc23360 \h </w:instrText>
          </w:r>
          <w:r>
            <w:fldChar w:fldCharType="separate"/>
          </w:r>
          <w:r>
            <w:t>12</w:t>
          </w:r>
          <w:r>
            <w:fldChar w:fldCharType="end"/>
          </w:r>
          <w:r>
            <w:fldChar w:fldCharType="end"/>
          </w:r>
        </w:p>
        <w:p w14:paraId="6FD8600D">
          <w:pPr>
            <w:pStyle w:val="12"/>
            <w:tabs>
              <w:tab w:val="right" w:leader="dot" w:pos="8306"/>
              <w:tab w:val="clear" w:pos="8296"/>
            </w:tabs>
          </w:pPr>
          <w:r>
            <w:rPr>
              <w:rFonts w:hint="eastAsia"/>
              <w:lang w:val="en-US" w:eastAsia="zh-CN"/>
            </w:rPr>
            <w:t xml:space="preserve">  </w:t>
          </w:r>
          <w:r>
            <w:fldChar w:fldCharType="begin"/>
          </w:r>
          <w:r>
            <w:instrText xml:space="preserve"> HYPERLINK \l _Toc32382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_Toc32382 \h </w:instrText>
          </w:r>
          <w:r>
            <w:fldChar w:fldCharType="separate"/>
          </w:r>
          <w:r>
            <w:t>13</w:t>
          </w:r>
          <w:r>
            <w:fldChar w:fldCharType="end"/>
          </w:r>
          <w:r>
            <w:fldChar w:fldCharType="end"/>
          </w:r>
        </w:p>
        <w:p w14:paraId="0C5260FD">
          <w:pPr>
            <w:pStyle w:val="12"/>
            <w:tabs>
              <w:tab w:val="right" w:leader="dot" w:pos="8306"/>
              <w:tab w:val="clear" w:pos="8296"/>
            </w:tabs>
          </w:pPr>
          <w:r>
            <w:rPr>
              <w:rFonts w:hint="eastAsia"/>
              <w:lang w:val="en-US" w:eastAsia="zh-CN"/>
            </w:rPr>
            <w:t xml:space="preserve">  </w:t>
          </w:r>
          <w:r>
            <w:fldChar w:fldCharType="begin"/>
          </w:r>
          <w:r>
            <w:instrText xml:space="preserve"> HYPERLINK \l _Toc14497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_Toc14497 \h </w:instrText>
          </w:r>
          <w:r>
            <w:fldChar w:fldCharType="separate"/>
          </w:r>
          <w:r>
            <w:t>16</w:t>
          </w:r>
          <w:r>
            <w:fldChar w:fldCharType="end"/>
          </w:r>
          <w:r>
            <w:fldChar w:fldCharType="end"/>
          </w:r>
        </w:p>
        <w:p w14:paraId="59DB3133">
          <w:pPr>
            <w:pStyle w:val="12"/>
            <w:tabs>
              <w:tab w:val="right" w:leader="dot" w:pos="8306"/>
              <w:tab w:val="clear" w:pos="8296"/>
            </w:tabs>
          </w:pPr>
          <w:r>
            <w:rPr>
              <w:rFonts w:hint="eastAsia"/>
              <w:lang w:val="en-US" w:eastAsia="zh-CN"/>
            </w:rPr>
            <w:t xml:space="preserve">  </w:t>
          </w:r>
          <w:r>
            <w:fldChar w:fldCharType="begin"/>
          </w:r>
          <w:r>
            <w:instrText xml:space="preserve"> HYPERLINK \l _Toc2519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_Toc2519 \h </w:instrText>
          </w:r>
          <w:r>
            <w:fldChar w:fldCharType="separate"/>
          </w:r>
          <w:r>
            <w:t>17</w:t>
          </w:r>
          <w:r>
            <w:fldChar w:fldCharType="end"/>
          </w:r>
          <w:r>
            <w:fldChar w:fldCharType="end"/>
          </w:r>
        </w:p>
        <w:p w14:paraId="3B1BC4CC">
          <w:pPr>
            <w:pStyle w:val="12"/>
            <w:tabs>
              <w:tab w:val="right" w:leader="dot" w:pos="8306"/>
              <w:tab w:val="clear" w:pos="8296"/>
            </w:tabs>
          </w:pPr>
          <w:r>
            <w:rPr>
              <w:rFonts w:hint="eastAsia"/>
              <w:lang w:val="en-US" w:eastAsia="zh-CN"/>
            </w:rPr>
            <w:t xml:space="preserve">  </w:t>
          </w:r>
          <w:r>
            <w:fldChar w:fldCharType="begin"/>
          </w:r>
          <w:r>
            <w:instrText xml:space="preserve"> HYPERLINK \l _Toc6224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_Toc6224 \h </w:instrText>
          </w:r>
          <w:r>
            <w:fldChar w:fldCharType="separate"/>
          </w:r>
          <w:r>
            <w:t>19</w:t>
          </w:r>
          <w:r>
            <w:fldChar w:fldCharType="end"/>
          </w:r>
          <w:r>
            <w:fldChar w:fldCharType="end"/>
          </w:r>
        </w:p>
        <w:p w14:paraId="55C74CB8">
          <w:pPr>
            <w:pStyle w:val="12"/>
            <w:tabs>
              <w:tab w:val="right" w:leader="dot" w:pos="8306"/>
              <w:tab w:val="clear" w:pos="8296"/>
            </w:tabs>
          </w:pPr>
          <w:r>
            <w:rPr>
              <w:rFonts w:hint="eastAsia"/>
              <w:lang w:val="en-US" w:eastAsia="zh-CN"/>
            </w:rPr>
            <w:t xml:space="preserve">  </w:t>
          </w:r>
          <w:r>
            <w:fldChar w:fldCharType="begin"/>
          </w:r>
          <w:r>
            <w:instrText xml:space="preserve"> HYPERLINK \l _Toc31492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_Toc31492 \h </w:instrText>
          </w:r>
          <w:r>
            <w:fldChar w:fldCharType="separate"/>
          </w:r>
          <w:r>
            <w:t>19</w:t>
          </w:r>
          <w:r>
            <w:fldChar w:fldCharType="end"/>
          </w:r>
          <w:r>
            <w:fldChar w:fldCharType="end"/>
          </w:r>
        </w:p>
        <w:p w14:paraId="137BF0F3">
          <w:pPr>
            <w:pStyle w:val="12"/>
            <w:tabs>
              <w:tab w:val="right" w:leader="dot" w:pos="8306"/>
              <w:tab w:val="clear" w:pos="8296"/>
            </w:tabs>
          </w:pPr>
          <w:r>
            <w:rPr>
              <w:rFonts w:hint="eastAsia"/>
              <w:lang w:val="en-US" w:eastAsia="zh-CN"/>
            </w:rPr>
            <w:t xml:space="preserve">  </w:t>
          </w:r>
          <w:r>
            <w:fldChar w:fldCharType="begin"/>
          </w:r>
          <w:r>
            <w:instrText xml:space="preserve"> HYPERLINK \l _Toc28797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_Toc28797 \h </w:instrText>
          </w:r>
          <w:r>
            <w:fldChar w:fldCharType="separate"/>
          </w:r>
          <w:r>
            <w:t>19</w:t>
          </w:r>
          <w:r>
            <w:fldChar w:fldCharType="end"/>
          </w:r>
          <w:r>
            <w:fldChar w:fldCharType="end"/>
          </w:r>
        </w:p>
        <w:p w14:paraId="2E608625">
          <w:pPr>
            <w:pStyle w:val="12"/>
            <w:tabs>
              <w:tab w:val="right" w:leader="dot" w:pos="8306"/>
              <w:tab w:val="clear" w:pos="8296"/>
            </w:tabs>
          </w:pPr>
          <w:r>
            <w:fldChar w:fldCharType="begin"/>
          </w:r>
          <w:r>
            <w:instrText xml:space="preserve"> HYPERLINK \l _Toc7191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_Toc7191 \h </w:instrText>
          </w:r>
          <w:r>
            <w:fldChar w:fldCharType="separate"/>
          </w:r>
          <w:r>
            <w:t>21</w:t>
          </w:r>
          <w:r>
            <w:fldChar w:fldCharType="end"/>
          </w:r>
          <w:r>
            <w:fldChar w:fldCharType="end"/>
          </w:r>
        </w:p>
        <w:p w14:paraId="3B18ED86">
          <w:pPr>
            <w:pStyle w:val="12"/>
            <w:tabs>
              <w:tab w:val="right" w:leader="dot" w:pos="8306"/>
              <w:tab w:val="clear" w:pos="8296"/>
            </w:tabs>
          </w:pPr>
          <w:r>
            <w:fldChar w:fldCharType="begin"/>
          </w:r>
          <w:r>
            <w:instrText xml:space="preserve"> HYPERLINK \l _Toc17602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_Toc17602 \h </w:instrText>
          </w:r>
          <w:r>
            <w:fldChar w:fldCharType="separate"/>
          </w:r>
          <w:r>
            <w:t>23</w:t>
          </w:r>
          <w:r>
            <w:fldChar w:fldCharType="end"/>
          </w:r>
          <w:r>
            <w:fldChar w:fldCharType="end"/>
          </w:r>
        </w:p>
        <w:p w14:paraId="2073FE9A">
          <w:pPr>
            <w:pStyle w:val="12"/>
            <w:tabs>
              <w:tab w:val="right" w:leader="dot" w:pos="8306"/>
              <w:tab w:val="clear" w:pos="8296"/>
            </w:tabs>
          </w:pPr>
          <w:r>
            <w:fldChar w:fldCharType="begin"/>
          </w:r>
          <w:r>
            <w:instrText xml:space="preserve"> HYPERLINK \l _Toc23557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_Toc23557 \h </w:instrText>
          </w:r>
          <w:r>
            <w:fldChar w:fldCharType="separate"/>
          </w:r>
          <w:r>
            <w:t>29</w:t>
          </w:r>
          <w:r>
            <w:fldChar w:fldCharType="end"/>
          </w:r>
          <w:r>
            <w:fldChar w:fldCharType="end"/>
          </w:r>
        </w:p>
        <w:p w14:paraId="124909A7">
          <w:r>
            <w:fldChar w:fldCharType="end"/>
          </w:r>
        </w:p>
      </w:sdtContent>
    </w:sdt>
    <w:p w14:paraId="48493A1E"/>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3D7E6214">
      <w:pPr>
        <w:pStyle w:val="2"/>
        <w:jc w:val="center"/>
        <w:rPr>
          <w:rStyle w:val="29"/>
          <w:rFonts w:hint="eastAsia" w:ascii="Times New Roman" w:hAnsi="Times New Roman" w:eastAsia="方正小标宋简体" w:cs="方正小标宋简体"/>
          <w:b/>
          <w:bCs w:val="0"/>
          <w:color w:val="auto"/>
          <w:highlight w:val="none"/>
        </w:rPr>
      </w:pPr>
      <w:bookmarkStart w:id="6" w:name="_Toc14722"/>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p>
    <w:p w14:paraId="223282B0">
      <w:pPr>
        <w:widowControl/>
        <w:jc w:val="left"/>
        <w:rPr>
          <w:rFonts w:ascii="Times New Roman" w:hAnsi="Times New Roman" w:eastAsia="黑体"/>
          <w:color w:val="auto"/>
          <w:sz w:val="32"/>
          <w:szCs w:val="32"/>
          <w:highlight w:val="none"/>
        </w:rPr>
      </w:pPr>
    </w:p>
    <w:p w14:paraId="38B18226">
      <w:pPr>
        <w:pStyle w:val="3"/>
        <w:outlineLvl w:val="0"/>
        <w:rPr>
          <w:rFonts w:hint="eastAsia" w:ascii="Times New Roman" w:hAnsi="Times New Roman" w:eastAsia="黑体"/>
          <w:b w:val="0"/>
          <w:color w:val="auto"/>
          <w:highlight w:val="none"/>
          <w:lang w:eastAsia="zh-CN"/>
        </w:rPr>
      </w:pPr>
      <w:bookmarkStart w:id="7" w:name="_Toc15377197"/>
      <w:bookmarkStart w:id="8" w:name="_Toc15396600"/>
      <w:bookmarkStart w:id="9" w:name="_Toc11227"/>
      <w:r>
        <w:rPr>
          <w:rFonts w:hint="eastAsia" w:ascii="Times New Roman" w:hAnsi="Times New Roman" w:eastAsia="黑体"/>
          <w:b w:val="0"/>
          <w:color w:val="auto"/>
          <w:highlight w:val="none"/>
        </w:rPr>
        <w:t>一、</w:t>
      </w:r>
      <w:bookmarkEnd w:id="7"/>
      <w:bookmarkEnd w:id="8"/>
      <w:r>
        <w:rPr>
          <w:rFonts w:hint="eastAsia" w:ascii="Times New Roman" w:hAnsi="Times New Roman" w:eastAsia="黑体"/>
          <w:b w:val="0"/>
          <w:color w:val="auto"/>
          <w:highlight w:val="none"/>
          <w:lang w:eastAsia="zh-CN"/>
        </w:rPr>
        <w:t>部门职责</w:t>
      </w:r>
      <w:bookmarkEnd w:id="9"/>
    </w:p>
    <w:p w14:paraId="38CC9767">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lang w:val="zh-CN"/>
        </w:rPr>
        <w:t>）贯彻执行国家、省、州有关交通运输行业的方针、政策和</w:t>
      </w:r>
      <w:bookmarkStart w:id="99" w:name="_GoBack"/>
      <w:r>
        <w:rPr>
          <w:rFonts w:hint="eastAsia" w:ascii="仿宋_GB2312" w:eastAsia="仿宋_GB2312" w:cs="仿宋_GB2312"/>
          <w:kern w:val="0"/>
          <w:sz w:val="32"/>
          <w:szCs w:val="32"/>
          <w:lang w:val="zh-CN"/>
        </w:rPr>
        <w:t>法律法规</w:t>
      </w:r>
      <w:bookmarkEnd w:id="99"/>
      <w:r>
        <w:rPr>
          <w:rFonts w:hint="eastAsia" w:ascii="仿宋_GB2312" w:eastAsia="仿宋_GB2312" w:cs="仿宋_GB2312"/>
          <w:kern w:val="0"/>
          <w:sz w:val="32"/>
          <w:szCs w:val="32"/>
          <w:lang w:val="zh-CN"/>
        </w:rPr>
        <w:t>。组织拟订并监督实施公路、水路等行业规划、政策和标准，会同有关部门资质编制综合运输体系规划，参与拟订物流业发展战略和规划。</w:t>
      </w:r>
    </w:p>
    <w:p w14:paraId="56B18976">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2</w:t>
      </w:r>
      <w:r>
        <w:rPr>
          <w:rFonts w:hint="eastAsia" w:ascii="仿宋_GB2312" w:eastAsia="仿宋_GB2312" w:cs="仿宋_GB2312"/>
          <w:kern w:val="0"/>
          <w:sz w:val="32"/>
          <w:szCs w:val="32"/>
          <w:lang w:val="zh-CN"/>
        </w:rPr>
        <w:t>）拟订全县交通运输地方性法规、规章草案，负责本系统、本部门依法行政工作，落实行政执法责任制。指导公路、水路行业有关体制改革工作，承担全县高速公路协调管理的有关工作。</w:t>
      </w:r>
    </w:p>
    <w:p w14:paraId="66EFC3A1">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3</w:t>
      </w:r>
      <w:r>
        <w:rPr>
          <w:rFonts w:hint="eastAsia" w:ascii="仿宋_GB2312" w:eastAsia="仿宋_GB2312" w:cs="仿宋_GB2312"/>
          <w:kern w:val="0"/>
          <w:sz w:val="32"/>
          <w:szCs w:val="32"/>
          <w:lang w:val="zh-CN"/>
        </w:rPr>
        <w:t>）承担道路、水路交通运输市场监管责任，组织制定道路、水路运输有关政策、技术标准和运营规范并监督实施，指导城乡客运管理工作，指导出租汽车行业管理工作，会同有关部门制定运输价格。</w:t>
      </w:r>
    </w:p>
    <w:p w14:paraId="5661880B">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4</w:t>
      </w:r>
      <w:r>
        <w:rPr>
          <w:rFonts w:hint="eastAsia" w:ascii="仿宋_GB2312" w:eastAsia="仿宋_GB2312" w:cs="仿宋_GB2312"/>
          <w:kern w:val="0"/>
          <w:sz w:val="32"/>
          <w:szCs w:val="32"/>
          <w:lang w:val="zh-CN"/>
        </w:rPr>
        <w:t>）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或参与事故调查处理工作。</w:t>
      </w:r>
    </w:p>
    <w:p w14:paraId="62489B71">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val="zh-CN"/>
        </w:rPr>
        <w:t>）负责提出公路、水路固定资产投资规模和方向、县财政性资金安排建议，组织实施省、州、县规划内和年度计划规模内固定资产投资项目。会同有关部门拟定公路、水路有关规费政策并监督实施，提出有关财政、土地、价格等政策建议。指导交通运输行业审计工作。</w:t>
      </w:r>
    </w:p>
    <w:p w14:paraId="27F5469A">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6</w:t>
      </w:r>
      <w:r>
        <w:rPr>
          <w:rFonts w:hint="eastAsia" w:ascii="仿宋_GB2312" w:eastAsia="仿宋_GB2312" w:cs="仿宋_GB2312"/>
          <w:kern w:val="0"/>
          <w:sz w:val="32"/>
          <w:szCs w:val="32"/>
          <w:lang w:val="zh-CN"/>
        </w:rPr>
        <w:t>）承担公路、水路建设市场监管责任。拟定公路、水路工程建设相关政策、技术标准并监督实施，组织协调公路、水路有关重点工程建设和工程质量、安全生产监督管理工作。负责对交通行业和产业项目的招标投标活动的监督执法。指导交通运输基础设施管理和维护，承担有关重要设施的管理和维护。按规定负责码头规划和码头岸线使用管理工作，指导交通运输行业基础设施管理和维护，承担有关重要设施的管理和维护。按规定负责码头规划和码头岸线使用管理工作，指导交通运输行业特许经营管理，会同有关部门组织实施交通运输行业职业资格管理。</w:t>
      </w:r>
    </w:p>
    <w:p w14:paraId="2251F7F2">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7</w:t>
      </w:r>
      <w:r>
        <w:rPr>
          <w:rFonts w:hint="eastAsia" w:ascii="仿宋_GB2312" w:eastAsia="仿宋_GB2312" w:cs="仿宋_GB2312"/>
          <w:kern w:val="0"/>
          <w:sz w:val="32"/>
          <w:szCs w:val="32"/>
          <w:lang w:val="zh-CN"/>
        </w:rPr>
        <w:t>）指导公路、水路行业安全生产和应急管理工作，按规定组织协调重点物资和紧急客货运输，负责全县境内高速公路及重点干线路网运行监测和协调。组织协调地方交通战备工作，承担国防动员有关工作。</w:t>
      </w:r>
    </w:p>
    <w:p w14:paraId="0FFB3DFA">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8</w:t>
      </w:r>
      <w:r>
        <w:rPr>
          <w:rFonts w:hint="eastAsia" w:ascii="仿宋_GB2312" w:eastAsia="仿宋_GB2312" w:cs="仿宋_GB2312"/>
          <w:kern w:val="0"/>
          <w:sz w:val="32"/>
          <w:szCs w:val="32"/>
          <w:lang w:val="zh-CN"/>
        </w:rPr>
        <w:t>）制定交通运输科技政策并监督实施，组织重大科技开发。指导全县交通运输信息化建设，监测分析运行情况，开展相关统计工作，发布有关信息。指导公路、水路行业环境保护和节能减排工作。</w:t>
      </w:r>
    </w:p>
    <w:p w14:paraId="005A69D3">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9</w:t>
      </w:r>
      <w:r>
        <w:rPr>
          <w:rFonts w:hint="eastAsia" w:ascii="仿宋_GB2312" w:eastAsia="仿宋_GB2312" w:cs="仿宋_GB2312"/>
          <w:kern w:val="0"/>
          <w:sz w:val="32"/>
          <w:szCs w:val="32"/>
          <w:lang w:val="zh-CN"/>
        </w:rPr>
        <w:t>）负责公路、水路有关涉外工作，开展对外经济交流与合作，指导全县交通运输行业招商引资和利用外资工作。</w:t>
      </w:r>
    </w:p>
    <w:p w14:paraId="3F72F03C">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10</w:t>
      </w:r>
      <w:r>
        <w:rPr>
          <w:rFonts w:hint="eastAsia" w:ascii="仿宋_GB2312" w:eastAsia="仿宋_GB2312" w:cs="仿宋_GB2312"/>
          <w:kern w:val="0"/>
          <w:sz w:val="32"/>
          <w:szCs w:val="32"/>
          <w:lang w:val="zh-CN"/>
        </w:rPr>
        <w:t>）承担县政府公布的有关行政审批事项。</w:t>
      </w:r>
    </w:p>
    <w:p w14:paraId="096E5375">
      <w:pPr>
        <w:autoSpaceDE w:val="0"/>
        <w:autoSpaceDN w:val="0"/>
        <w:adjustRightInd w:val="0"/>
        <w:spacing w:line="600" w:lineRule="atLeast"/>
        <w:ind w:firstLine="640"/>
        <w:jc w:val="left"/>
        <w:rPr>
          <w:rFonts w:hint="eastAsia"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11</w:t>
      </w:r>
      <w:r>
        <w:rPr>
          <w:rFonts w:hint="eastAsia" w:ascii="仿宋_GB2312" w:eastAsia="仿宋_GB2312" w:cs="仿宋_GB2312"/>
          <w:kern w:val="0"/>
          <w:sz w:val="32"/>
          <w:szCs w:val="32"/>
          <w:lang w:val="zh-CN"/>
        </w:rPr>
        <w:t>）承办县政府交办的其他事项。</w:t>
      </w:r>
    </w:p>
    <w:p w14:paraId="563D9713">
      <w:pPr>
        <w:autoSpaceDE w:val="0"/>
        <w:autoSpaceDN w:val="0"/>
        <w:adjustRightInd w:val="0"/>
        <w:spacing w:line="600" w:lineRule="atLeast"/>
        <w:ind w:firstLine="640"/>
        <w:jc w:val="left"/>
        <w:rPr>
          <w:rFonts w:hint="eastAsia" w:ascii="仿宋_GB2312" w:eastAsia="仿宋_GB2312" w:cs="仿宋_GB2312"/>
          <w:kern w:val="0"/>
          <w:sz w:val="32"/>
          <w:szCs w:val="32"/>
          <w:lang w:val="zh-CN"/>
        </w:rPr>
      </w:pPr>
    </w:p>
    <w:p w14:paraId="57D10320">
      <w:pPr>
        <w:rPr>
          <w:rFonts w:hint="eastAsia"/>
          <w:lang w:eastAsia="zh-CN"/>
        </w:rPr>
      </w:pPr>
    </w:p>
    <w:p w14:paraId="3E28CBBA">
      <w:pPr>
        <w:pStyle w:val="3"/>
        <w:outlineLvl w:val="0"/>
        <w:rPr>
          <w:rStyle w:val="30"/>
          <w:rFonts w:ascii="Times New Roman" w:hAnsi="Times New Roman"/>
          <w:b w:val="0"/>
          <w:bCs w:val="0"/>
          <w:color w:val="auto"/>
          <w:highlight w:val="none"/>
        </w:rPr>
      </w:pPr>
      <w:bookmarkStart w:id="10" w:name="_Toc15377200"/>
      <w:bookmarkStart w:id="11" w:name="_Toc15396601"/>
      <w:bookmarkStart w:id="12" w:name="_Toc22016"/>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bookmarkEnd w:id="12"/>
    </w:p>
    <w:p w14:paraId="6B4DA8E9">
      <w:pPr>
        <w:autoSpaceDE w:val="0"/>
        <w:autoSpaceDN w:val="0"/>
        <w:adjustRightInd w:val="0"/>
        <w:spacing w:line="600" w:lineRule="atLeast"/>
        <w:ind w:firstLine="640" w:firstLineChars="0"/>
        <w:jc w:val="left"/>
        <w:outlineLvl w:val="1"/>
        <w:rPr>
          <w:rFonts w:ascii="仿宋_GB2312" w:eastAsia="仿宋_GB2312" w:cs="仿宋_GB2312"/>
          <w:kern w:val="0"/>
          <w:sz w:val="32"/>
          <w:szCs w:val="32"/>
          <w:lang w:val="zh-CN"/>
        </w:rPr>
      </w:pPr>
      <w:bookmarkStart w:id="13" w:name="_Toc28528"/>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lang w:val="zh-CN"/>
        </w:rPr>
        <w:t>）办公室</w:t>
      </w:r>
      <w:bookmarkEnd w:id="13"/>
    </w:p>
    <w:p w14:paraId="1883D5CF">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组织协调局机关工作；负责文秘、政务信息、目标管理、督办、提案办理、档案、机要、保密、值班、接待工作；负责起草局的重要报告、综合性文件；负责有关会议组织工作；负责局机关行政后勤管理工作；指导全县交通行业的精神文明建设、宣传报道工作。依法监督本单位的财务收支及其他经济活动；组织实施对交通投资建设项目和专项资金使用及管理情况的审计或审计调查工作，组织实施全县交通行业财务会计章程制度，指导和监督全县交通行业会计核算，财务管理工作；贯彻执行国家财经法规；负责编制部门预算；负责局及直属单位财务收支、预算、决算管理工作；负责交通专项资金的筹集、监督、管理；负责县属交通各单位国有资产管理和保值增值的监督；监督管理全县水陆干线基础设施国有资产的使用；负责局机关的计划财务和局机关职工的社会保险和医疗保险工作。负责交通扶贫以工代赈资金的管理工作；负责管理交通综合统计工作。负责局机关机构编制、人事管理、劳动工资、社会保险和年度考核工作；负责局机关人才队伍建设、智力引进、专业技术等级的培训、劳动保护及职业病防治工作；管理专业技术人员聘用工作；负责局机关离防治工作；管理专业技术人员聘用工作；负责局机关离退休干部工作；负责接待、处理群众来信来访，督查督办信访案件，协调处理群体性上访事件。组织拟订交通运输行业教育发展规划、政策、制度并监督实施，指导交通运输行业职业教育和培训工作。</w:t>
      </w:r>
    </w:p>
    <w:p w14:paraId="5E3C91EC">
      <w:pPr>
        <w:autoSpaceDE w:val="0"/>
        <w:autoSpaceDN w:val="0"/>
        <w:adjustRightInd w:val="0"/>
        <w:spacing w:line="600" w:lineRule="atLeast"/>
        <w:ind w:firstLine="640" w:firstLineChars="0"/>
        <w:jc w:val="left"/>
        <w:outlineLvl w:val="1"/>
        <w:rPr>
          <w:rFonts w:ascii="仿宋_GB2312" w:eastAsia="仿宋_GB2312" w:cs="仿宋_GB2312"/>
          <w:kern w:val="0"/>
          <w:sz w:val="32"/>
          <w:szCs w:val="32"/>
          <w:lang w:val="zh-CN"/>
        </w:rPr>
      </w:pPr>
      <w:bookmarkStart w:id="14" w:name="_Toc18737"/>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2</w:t>
      </w:r>
      <w:r>
        <w:rPr>
          <w:rFonts w:hint="eastAsia" w:ascii="仿宋_GB2312" w:eastAsia="仿宋_GB2312" w:cs="仿宋_GB2312"/>
          <w:kern w:val="0"/>
          <w:sz w:val="32"/>
          <w:szCs w:val="32"/>
          <w:lang w:val="zh-CN"/>
        </w:rPr>
        <w:t>）交通建设规划管理股</w:t>
      </w:r>
      <w:bookmarkEnd w:id="14"/>
    </w:p>
    <w:p w14:paraId="4286D1DE">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编制综合运输体系规划，研究拟定公路和水路行业发展战备、投融资政策，组织拟订公路和运输枢纽等行业发展规划、中长期规划、年度计划并监督实施；审核专用公路规划，参与拟订物流业发展战备和规划；承担公路、水路重点建设项目的前期工作和后期评价工作和后期评价工作，承担地方交通建设项目审查工作；承担公路、桥梁、隧道收取通道费、战卡设置的协调和管理以及经营权转让的行业管理工作；承担交通扶贫管理工作、公路和水路行业的统计及预测工作。指导交通运输行业招商引资工作，组织开展经济技术合作，组织开展经济技术合作与交流，指导交通行业特许经营管理工作；承担交通运输有关外事工作。组织拟订交通运输行业工程建设政策、制度和技术标准；监督管理公路、水路建设项目实施，维护公路、水路建设市场秩序；承担公路、水路建设从业单位和从业人员的信用评价、资质管理工作；承担建设工程项目设计文件审查、施工许可审查和竣工验收；负责对交通建设工程项目的招标投标活动的监督执法；监督建设工程的工程进度、工程质量、工程造价；指导公路、水路基础设施建设的维护和管理。组织拟订交通运输行业科技发展规划、政策、制度并监督实施，组织实施交通运输重大科技项目、科技信息交流工程，组织重大科技成果鉴定和评审、推广工作，承担交通运输行业有关标准、计量工作。</w:t>
      </w:r>
    </w:p>
    <w:p w14:paraId="77F2F449">
      <w:pPr>
        <w:autoSpaceDE w:val="0"/>
        <w:autoSpaceDN w:val="0"/>
        <w:adjustRightInd w:val="0"/>
        <w:spacing w:line="600" w:lineRule="atLeast"/>
        <w:ind w:firstLine="640" w:firstLineChars="0"/>
        <w:jc w:val="left"/>
        <w:outlineLvl w:val="1"/>
        <w:rPr>
          <w:rFonts w:ascii="仿宋_GB2312" w:eastAsia="仿宋_GB2312" w:cs="仿宋_GB2312"/>
          <w:kern w:val="0"/>
          <w:sz w:val="32"/>
          <w:szCs w:val="32"/>
          <w:lang w:val="zh-CN"/>
        </w:rPr>
      </w:pPr>
      <w:bookmarkStart w:id="15" w:name="_Toc16555"/>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3</w:t>
      </w:r>
      <w:r>
        <w:rPr>
          <w:rFonts w:hint="eastAsia" w:ascii="仿宋_GB2312" w:eastAsia="仿宋_GB2312" w:cs="仿宋_GB2312"/>
          <w:kern w:val="0"/>
          <w:sz w:val="32"/>
          <w:szCs w:val="32"/>
          <w:lang w:val="zh-CN"/>
        </w:rPr>
        <w:t>）安全运输管理股</w:t>
      </w:r>
      <w:bookmarkEnd w:id="15"/>
    </w:p>
    <w:p w14:paraId="0979054C">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参与拟订综合运输发展战略，承担综合运输体系建设有关协调工作；组织拟订公路、水路运输行业发展政策、发展规划、中长期计划及有关标准规划并监督实施；指导公路、水路运输市场监督管理和公路、水路客货运输及站场、车辆维修、汽车租赁、驾驶员培训等行业管理；组织协调重点运输、紧急客货运输和公路、水路联合运输，承担公路、水路运输业经济运行分析，参与运输价格管理；按规定承担物流市场有关管理工作。指导交通运输行业节能减排的有关管理工作。组织拟订城市公共客运的行业管理政策、标准和规范并监督实施；指导城市公共客运及有关设施规划和监管工作，指导出租汽车行业管理工作；指导城市公共客运服务质量的监督管理工作。组织拟订公路、水路行业安全生产正常和综合性安全生产、应急管理的相关制度并监督实施；指导交通运输行业应急处置体系建设；依法组织或参与有关事故调查处理工作。承担局机关的安全保卫、社会治安综合治理的反恐维稳相关工作。</w:t>
      </w:r>
    </w:p>
    <w:p w14:paraId="557CB8C4">
      <w:pPr>
        <w:autoSpaceDE w:val="0"/>
        <w:autoSpaceDN w:val="0"/>
        <w:adjustRightInd w:val="0"/>
        <w:spacing w:line="600" w:lineRule="atLeast"/>
        <w:ind w:firstLine="640" w:firstLineChars="0"/>
        <w:jc w:val="left"/>
        <w:outlineLvl w:val="1"/>
        <w:rPr>
          <w:rFonts w:ascii="仿宋_GB2312" w:eastAsia="仿宋_GB2312" w:cs="仿宋_GB2312"/>
          <w:kern w:val="0"/>
          <w:sz w:val="32"/>
          <w:szCs w:val="32"/>
          <w:lang w:val="zh-CN"/>
        </w:rPr>
      </w:pPr>
      <w:bookmarkStart w:id="16" w:name="_Toc10039"/>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3</w:t>
      </w:r>
      <w:r>
        <w:rPr>
          <w:rFonts w:hint="eastAsia" w:ascii="仿宋_GB2312" w:eastAsia="仿宋_GB2312" w:cs="仿宋_GB2312"/>
          <w:kern w:val="0"/>
          <w:sz w:val="32"/>
          <w:szCs w:val="32"/>
          <w:lang w:val="zh-CN"/>
        </w:rPr>
        <w:t>）松潘县交通战备办公室（松潘县保护通信线路安全办公室）</w:t>
      </w:r>
      <w:bookmarkEnd w:id="16"/>
    </w:p>
    <w:p w14:paraId="19C8750B">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负责草拟全县交通战备规章草案，制定有关政策和措施，规划全县交通道路网布局，对县内交通建设提出有关国防要求的建议；监督检查和协助组织国防交通要求的贯彻落实；拟订全县国防交通保障计划，组织国防交通保障队伍；负责抢险救灾等突发事件的交通保障、物资调用协调工作负责全县的国防运输动员和运输征用；负责全县保护通信线路安全工作的组织、协调，督促工作，参与有关保护通信线路安全的综合治理工作；组织全县国防交通科学成果的推广、应用；负责指导，检查和监督全县交通、邮电、航运等部门的交通国防工作，协调处理有关问题。</w:t>
      </w:r>
    </w:p>
    <w:p w14:paraId="4BE4CA9B">
      <w:pPr>
        <w:autoSpaceDE w:val="0"/>
        <w:autoSpaceDN w:val="0"/>
        <w:adjustRightInd w:val="0"/>
        <w:spacing w:line="600" w:lineRule="atLeast"/>
        <w:ind w:firstLine="640" w:firstLineChars="0"/>
        <w:jc w:val="left"/>
        <w:outlineLvl w:val="1"/>
        <w:rPr>
          <w:rFonts w:ascii="仿宋_GB2312" w:eastAsia="仿宋_GB2312" w:cs="仿宋_GB2312"/>
          <w:kern w:val="0"/>
          <w:sz w:val="32"/>
          <w:szCs w:val="32"/>
          <w:lang w:val="zh-CN"/>
        </w:rPr>
      </w:pPr>
      <w:bookmarkStart w:id="17" w:name="_Toc15130"/>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val="zh-CN"/>
        </w:rPr>
        <w:t>）行政审批股</w:t>
      </w:r>
      <w:bookmarkEnd w:id="17"/>
    </w:p>
    <w:p w14:paraId="5BED241F">
      <w:pPr>
        <w:autoSpaceDE w:val="0"/>
        <w:autoSpaceDN w:val="0"/>
        <w:adjustRightInd w:val="0"/>
        <w:spacing w:line="600" w:lineRule="atLeast"/>
        <w:ind w:firstLine="640"/>
        <w:jc w:val="left"/>
        <w:rPr>
          <w:rFonts w:hint="eastAsia" w:ascii="仿宋_GB2312" w:eastAsia="仿宋_GB2312" w:cs="仿宋_GB2312"/>
          <w:kern w:val="0"/>
          <w:sz w:val="32"/>
          <w:szCs w:val="32"/>
          <w:lang w:val="zh-CN"/>
        </w:rPr>
      </w:pPr>
      <w:r>
        <w:rPr>
          <w:rFonts w:hint="eastAsia" w:ascii="仿宋_GB2312" w:eastAsia="仿宋_GB2312" w:cs="仿宋_GB2312"/>
          <w:kern w:val="0"/>
          <w:sz w:val="32"/>
          <w:szCs w:val="32"/>
          <w:lang w:val="zh-CN"/>
        </w:rPr>
        <w:t>组织开展交通运输行业重大政策研究，指导交通运输行业体制改革工作；组织起草交通运输地方性法规、规章草案；承担本系统、本部门推进依法行政工作的组织协调和督促指导；承担行政执法监督、行政复议、行政应诉和规范性文件审核备案工作；指导交通运输法治宣传教育工作；组织拟订交通运输行政执法装备标准规范并监督实施，管理交通运输执法文件；承办有关行政审批工作。承担局机关党风廉政建设、精神文明、党建和行业作风建设工作；承担局机关工、青、妇工作。</w:t>
      </w:r>
    </w:p>
    <w:p w14:paraId="4E81DDF0">
      <w:pPr>
        <w:widowControl/>
        <w:jc w:val="left"/>
        <w:rPr>
          <w:rFonts w:ascii="Times New Roman" w:hAnsi="Times New Roman" w:eastAsia="仿宋"/>
          <w:color w:val="auto"/>
          <w:kern w:val="0"/>
          <w:sz w:val="32"/>
          <w:szCs w:val="32"/>
          <w:highlight w:val="none"/>
        </w:rPr>
      </w:pPr>
    </w:p>
    <w:p w14:paraId="54134C8A">
      <w:pPr>
        <w:rPr>
          <w:rFonts w:hint="eastAsia" w:ascii="Times New Roman" w:hAnsi="Times New Roman" w:eastAsia="方正小标宋简体" w:cs="方正小标宋简体"/>
          <w:b w:val="0"/>
          <w:color w:val="auto"/>
          <w:highlight w:val="none"/>
        </w:rPr>
      </w:pPr>
      <w:bookmarkStart w:id="18" w:name="_Toc15377204"/>
      <w:bookmarkStart w:id="19" w:name="_Toc15396602"/>
      <w:r>
        <w:rPr>
          <w:rFonts w:hint="eastAsia" w:ascii="Times New Roman" w:hAnsi="Times New Roman" w:eastAsia="方正小标宋简体" w:cs="方正小标宋简体"/>
          <w:b w:val="0"/>
          <w:color w:val="auto"/>
          <w:highlight w:val="none"/>
        </w:rPr>
        <w:br w:type="page"/>
      </w:r>
    </w:p>
    <w:p w14:paraId="742DCE99">
      <w:pPr>
        <w:pStyle w:val="2"/>
        <w:jc w:val="center"/>
        <w:rPr>
          <w:rFonts w:hint="eastAsia" w:ascii="Times New Roman" w:hAnsi="Times New Roman" w:eastAsia="方正小标宋简体" w:cs="方正小标宋简体"/>
          <w:b w:val="0"/>
          <w:color w:val="auto"/>
          <w:highlight w:val="none"/>
        </w:rPr>
      </w:pPr>
      <w:bookmarkStart w:id="20" w:name="_Toc2395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bookmarkEnd w:id="20"/>
    </w:p>
    <w:p w14:paraId="16527B05">
      <w:pPr>
        <w:rPr>
          <w:rFonts w:ascii="Times New Roman" w:hAnsi="Times New Roman"/>
          <w:color w:val="auto"/>
          <w:highlight w:val="none"/>
        </w:rPr>
      </w:pPr>
    </w:p>
    <w:p w14:paraId="7E5CD0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0"/>
          <w:rFonts w:hint="eastAsia" w:ascii="Times New Roman" w:hAnsi="Times New Roman" w:eastAsia="黑体"/>
          <w:b w:val="0"/>
          <w:color w:val="auto"/>
          <w:highlight w:val="none"/>
        </w:rPr>
      </w:pPr>
      <w:bookmarkStart w:id="21" w:name="_Toc15396603"/>
      <w:bookmarkStart w:id="22" w:name="_Toc15377205"/>
      <w:bookmarkStart w:id="23" w:name="_Toc32190"/>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1"/>
      <w:bookmarkEnd w:id="22"/>
      <w:bookmarkEnd w:id="23"/>
    </w:p>
    <w:p w14:paraId="24372E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ascii="仿宋" w:hAnsi="仿宋" w:eastAsia="仿宋"/>
          <w:color w:val="000000"/>
          <w:sz w:val="32"/>
          <w:szCs w:val="32"/>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rPr>
        <w:t>年度收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5655.8</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1602.62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22.08</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_GB2312" w:hAnsi="仿宋_GB2312" w:eastAsia="仿宋_GB2312" w:cs="仿宋_GB2312"/>
          <w:b w:val="0"/>
          <w:bCs w:val="0"/>
          <w:sz w:val="32"/>
          <w:szCs w:val="32"/>
          <w:lang w:val="en-US" w:eastAsia="zh-CN"/>
        </w:rPr>
        <w:t>新建交通基础设施建设项目</w:t>
      </w:r>
      <w:r>
        <w:rPr>
          <w:rFonts w:hint="eastAsia" w:ascii="仿宋_GB2312" w:hAnsi="仿宋_GB2312" w:cs="仿宋_GB2312"/>
          <w:b w:val="0"/>
          <w:bCs w:val="0"/>
          <w:sz w:val="32"/>
          <w:szCs w:val="32"/>
          <w:lang w:val="en-US" w:eastAsia="zh-CN"/>
        </w:rPr>
        <w:t>及续建项目减少</w:t>
      </w:r>
      <w:r>
        <w:rPr>
          <w:rFonts w:hint="eastAsia" w:ascii="仿宋_GB2312" w:hAnsi="仿宋_GB2312" w:eastAsia="仿宋_GB2312" w:cs="仿宋_GB2312"/>
          <w:b w:val="0"/>
          <w:bCs w:val="0"/>
          <w:sz w:val="32"/>
          <w:szCs w:val="32"/>
          <w:lang w:val="en-US" w:eastAsia="zh-CN"/>
        </w:rPr>
        <w:t>。</w:t>
      </w:r>
      <w:r>
        <w:rPr>
          <w:rFonts w:hint="eastAsia" w:ascii="仿宋" w:hAnsi="仿宋" w:eastAsia="仿宋"/>
          <w:color w:val="000000"/>
          <w:sz w:val="32"/>
          <w:szCs w:val="32"/>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rPr>
        <w:t>年度</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5998.51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减少1259.91</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减少17.36</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单位续建</w:t>
      </w:r>
      <w:r>
        <w:rPr>
          <w:rFonts w:hint="eastAsia" w:ascii="仿宋_GB2312" w:hAnsi="仿宋_GB2312" w:eastAsia="仿宋_GB2312" w:cs="仿宋_GB2312"/>
          <w:b w:val="0"/>
          <w:bCs w:val="0"/>
          <w:sz w:val="32"/>
          <w:szCs w:val="32"/>
          <w:lang w:val="en-US" w:eastAsia="zh-CN"/>
        </w:rPr>
        <w:t>交通基础设施建设项目</w:t>
      </w:r>
      <w:r>
        <w:rPr>
          <w:rFonts w:hint="eastAsia" w:ascii="仿宋_GB2312" w:hAnsi="仿宋_GB2312" w:cs="仿宋_GB2312"/>
          <w:b w:val="0"/>
          <w:bCs w:val="0"/>
          <w:sz w:val="32"/>
          <w:szCs w:val="32"/>
          <w:lang w:val="en-US" w:eastAsia="zh-CN"/>
        </w:rPr>
        <w:t>减少</w:t>
      </w:r>
      <w:r>
        <w:rPr>
          <w:rFonts w:hint="eastAsia"/>
          <w:lang w:val="en-US" w:eastAsia="zh-CN"/>
        </w:rPr>
        <w:t xml:space="preserve"> 。 </w:t>
      </w:r>
    </w:p>
    <w:p w14:paraId="1B7DF3D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drawing>
          <wp:inline distT="0" distB="0" distL="114300" distR="114300">
            <wp:extent cx="4572000" cy="2743200"/>
            <wp:effectExtent l="4445" t="4445" r="14605" b="14605"/>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5D00D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Fonts w:hint="eastAsia" w:ascii="Times New Roman" w:hAnsi="Times New Roman" w:eastAsia="黑体"/>
          <w:color w:val="auto"/>
          <w:sz w:val="32"/>
          <w:szCs w:val="32"/>
          <w:highlight w:val="none"/>
          <w:lang w:eastAsia="zh-CN"/>
        </w:rPr>
      </w:pPr>
      <w:bookmarkStart w:id="24" w:name="_Toc15377206"/>
      <w:bookmarkStart w:id="25" w:name="_Toc15396604"/>
      <w:bookmarkStart w:id="26" w:name="_Toc24753"/>
      <w:r>
        <w:rPr>
          <w:rFonts w:hint="eastAsia" w:ascii="Times New Roman" w:hAnsi="Times New Roman" w:eastAsia="黑体"/>
          <w:color w:val="auto"/>
          <w:sz w:val="32"/>
          <w:szCs w:val="32"/>
          <w:highlight w:val="none"/>
          <w:lang w:eastAsia="zh-CN"/>
        </w:rPr>
        <w:t>二、收入决算情况说明</w:t>
      </w:r>
      <w:bookmarkEnd w:id="24"/>
      <w:bookmarkEnd w:id="25"/>
      <w:bookmarkEnd w:id="26"/>
    </w:p>
    <w:p w14:paraId="3666A598">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202</w:t>
      </w:r>
      <w:r>
        <w:rPr>
          <w:rFonts w:hint="eastAsia" w:ascii="仿宋_GB2312" w:hAnsi="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年本年收入合计</w:t>
      </w:r>
      <w:r>
        <w:rPr>
          <w:rFonts w:hint="eastAsia" w:ascii="仿宋_GB2312" w:hAnsi="仿宋_GB2312" w:cs="仿宋_GB2312"/>
          <w:sz w:val="32"/>
          <w:szCs w:val="32"/>
          <w:shd w:val="clear" w:color="auto" w:fill="FFFFFF"/>
          <w:lang w:val="en-US" w:eastAsia="zh-CN"/>
        </w:rPr>
        <w:t>5655.8</w:t>
      </w:r>
      <w:r>
        <w:rPr>
          <w:rFonts w:hint="eastAsia" w:ascii="仿宋_GB2312" w:hAnsi="仿宋_GB2312" w:eastAsia="仿宋_GB2312" w:cs="仿宋_GB2312"/>
          <w:sz w:val="32"/>
          <w:szCs w:val="32"/>
          <w:shd w:val="clear" w:color="auto" w:fill="FFFFFF"/>
        </w:rPr>
        <w:t>万元，其中：一般公共预算财政拨款收入</w:t>
      </w:r>
      <w:r>
        <w:rPr>
          <w:rFonts w:hint="eastAsia" w:ascii="仿宋_GB2312" w:hAnsi="仿宋_GB2312" w:cs="仿宋_GB2312"/>
          <w:sz w:val="32"/>
          <w:szCs w:val="32"/>
          <w:shd w:val="clear" w:color="auto" w:fill="FFFFFF"/>
          <w:lang w:val="en-US" w:eastAsia="zh-CN"/>
        </w:rPr>
        <w:t>5236.26</w:t>
      </w:r>
      <w:r>
        <w:rPr>
          <w:rFonts w:hint="eastAsia" w:ascii="仿宋_GB2312" w:hAnsi="仿宋_GB2312" w:eastAsia="仿宋_GB2312" w:cs="仿宋_GB2312"/>
          <w:sz w:val="32"/>
          <w:szCs w:val="32"/>
          <w:shd w:val="clear" w:color="auto" w:fill="FFFFFF"/>
        </w:rPr>
        <w:t>万元，占</w:t>
      </w:r>
      <w:r>
        <w:rPr>
          <w:rFonts w:hint="eastAsia" w:ascii="仿宋_GB2312" w:hAnsi="仿宋_GB2312" w:cs="仿宋_GB2312"/>
          <w:sz w:val="32"/>
          <w:szCs w:val="32"/>
          <w:shd w:val="clear" w:color="auto" w:fill="FFFFFF"/>
          <w:lang w:val="en-US" w:eastAsia="zh-CN"/>
        </w:rPr>
        <w:t>92.58</w:t>
      </w:r>
      <w:r>
        <w:rPr>
          <w:rFonts w:hint="eastAsia" w:ascii="仿宋_GB2312" w:hAnsi="仿宋_GB2312" w:eastAsia="仿宋_GB2312" w:cs="仿宋_GB2312"/>
          <w:sz w:val="32"/>
          <w:szCs w:val="32"/>
          <w:shd w:val="clear" w:color="auto" w:fill="FFFFFF"/>
        </w:rPr>
        <w:t>%；政府性基金预算财政拨款收入</w:t>
      </w:r>
      <w:r>
        <w:rPr>
          <w:rFonts w:hint="eastAsia" w:ascii="仿宋_GB2312" w:hAnsi="仿宋_GB2312" w:cs="仿宋_GB2312"/>
          <w:sz w:val="32"/>
          <w:szCs w:val="32"/>
          <w:shd w:val="clear" w:color="auto" w:fill="FFFFFF"/>
          <w:lang w:val="en-US" w:eastAsia="zh-CN"/>
        </w:rPr>
        <w:t>419.54</w:t>
      </w:r>
      <w:r>
        <w:rPr>
          <w:rFonts w:hint="eastAsia" w:ascii="仿宋_GB2312" w:hAnsi="仿宋_GB2312" w:eastAsia="仿宋_GB2312" w:cs="仿宋_GB2312"/>
          <w:sz w:val="32"/>
          <w:szCs w:val="32"/>
          <w:shd w:val="clear" w:color="auto" w:fill="FFFFFF"/>
        </w:rPr>
        <w:t>万元，占</w:t>
      </w:r>
      <w:r>
        <w:rPr>
          <w:rFonts w:hint="eastAsia" w:ascii="仿宋_GB2312" w:hAnsi="仿宋_GB2312" w:cs="仿宋_GB2312"/>
          <w:sz w:val="32"/>
          <w:szCs w:val="32"/>
          <w:shd w:val="clear" w:color="auto" w:fill="FFFFFF"/>
          <w:lang w:val="en-US" w:eastAsia="zh-CN"/>
        </w:rPr>
        <w:t>7.42</w:t>
      </w:r>
      <w:r>
        <w:rPr>
          <w:rFonts w:hint="eastAsia" w:ascii="仿宋_GB2312" w:hAnsi="仿宋_GB2312" w:eastAsia="仿宋_GB2312" w:cs="仿宋_GB2312"/>
          <w:sz w:val="32"/>
          <w:szCs w:val="32"/>
          <w:shd w:val="clear" w:color="auto" w:fill="FFFFFF"/>
        </w:rPr>
        <w:t>%；国有资本经营预算财政拨款收入0.00万元，占0.00%；上级补助收入0.00万元，占0.00%；事业收入0.00万元，占0.00%%；经营收入0.00万元，占0.00%%；附属单位上缴收入0.00万元，占0.00%；其他收入0.00万元，占0.00%。</w:t>
      </w:r>
    </w:p>
    <w:p w14:paraId="3BACC1C0">
      <w:pPr>
        <w:pStyle w:val="15"/>
        <w:keepNext w:val="0"/>
        <w:keepLines w:val="0"/>
        <w:widowControl/>
        <w:suppressLineNumbers w:val="0"/>
        <w:spacing w:before="0" w:beforeAutospacing="0"/>
        <w:jc w:val="left"/>
        <w:rPr>
          <w:rFonts w:hint="eastAsia" w:ascii="仿宋_GB2312" w:hAnsi="仿宋_GB2312" w:eastAsia="仿宋_GB2312" w:cs="仿宋_GB2312"/>
          <w:sz w:val="32"/>
          <w:szCs w:val="32"/>
          <w:shd w:val="clear" w:color="auto" w:fill="FFFFFF"/>
        </w:rPr>
      </w:pPr>
    </w:p>
    <w:p w14:paraId="79DD487E">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sz w:val="32"/>
          <w:szCs w:val="32"/>
          <w:shd w:val="clear" w:color="auto" w:fill="FFFFFF"/>
          <w:lang w:eastAsia="zh-CN"/>
        </w:rPr>
      </w:pPr>
      <w:r>
        <w:rPr>
          <w:shd w:val="clear" w:color="auto" w:fill="FFFFFF"/>
        </w:rPr>
        <w:object>
          <v:shape id="_x0000_i1025" o:spt="75" type="#_x0000_t75" style="height:245.05pt;width:363.55pt;" o:ole="t" filled="f" o:preferrelative="t" stroked="f" coordsize="21600,21600">
            <v:path/>
            <v:fill on="f" focussize="0,0"/>
            <v:stroke on="f"/>
            <v:imagedata r:id="rId11" o:title=""/>
            <o:lock v:ext="edit" aspectratio="t"/>
            <w10:wrap type="none"/>
            <w10:anchorlock/>
          </v:shape>
          <o:OLEObject Type="Embed" ProgID="Excel.Chart.8" ShapeID="_x0000_i1025" DrawAspect="Content" ObjectID="_1468075725" r:id="rId10">
            <o:LockedField>false</o:LockedField>
          </o:OLEObject>
        </w:object>
      </w:r>
    </w:p>
    <w:p w14:paraId="59D3FDB5">
      <w:pPr>
        <w:ind w:firstLine="800" w:firstLineChars="250"/>
        <w:rPr>
          <w:rFonts w:hint="eastAsia" w:ascii="Times New Roman" w:hAnsi="Times New Roman" w:eastAsia="仿宋_GB2312" w:cs="仿宋_GB2312"/>
          <w:color w:val="auto"/>
          <w:sz w:val="32"/>
          <w:szCs w:val="32"/>
          <w:highlight w:val="none"/>
          <w:lang w:eastAsia="zh-CN"/>
        </w:rPr>
      </w:pPr>
    </w:p>
    <w:p w14:paraId="5C129DB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0"/>
          <w:rFonts w:hint="eastAsia" w:ascii="Times New Roman" w:hAnsi="Times New Roman" w:eastAsia="黑体"/>
          <w:b w:val="0"/>
          <w:color w:val="auto"/>
          <w:highlight w:val="none"/>
        </w:rPr>
      </w:pPr>
      <w:bookmarkStart w:id="27" w:name="_Toc15396605"/>
      <w:bookmarkStart w:id="28" w:name="_Toc15377207"/>
      <w:bookmarkStart w:id="29" w:name="_Toc788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7"/>
      <w:bookmarkEnd w:id="28"/>
      <w:bookmarkEnd w:id="29"/>
    </w:p>
    <w:p w14:paraId="02F68758">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202</w:t>
      </w:r>
      <w:r>
        <w:rPr>
          <w:rFonts w:hint="eastAsia" w:ascii="仿宋_GB2312" w:hAnsi="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年本年支出合计</w:t>
      </w:r>
      <w:r>
        <w:rPr>
          <w:rFonts w:hint="eastAsia" w:ascii="仿宋_GB2312" w:hAnsi="仿宋_GB2312" w:cs="仿宋_GB2312"/>
          <w:sz w:val="32"/>
          <w:szCs w:val="32"/>
          <w:shd w:val="clear" w:color="auto" w:fill="FFFFFF"/>
          <w:lang w:val="en-US" w:eastAsia="zh-CN"/>
        </w:rPr>
        <w:t>5998.51</w:t>
      </w:r>
      <w:r>
        <w:rPr>
          <w:rFonts w:hint="eastAsia" w:ascii="仿宋_GB2312" w:hAnsi="仿宋_GB2312" w:eastAsia="仿宋_GB2312" w:cs="仿宋_GB2312"/>
          <w:sz w:val="32"/>
          <w:szCs w:val="32"/>
          <w:shd w:val="clear" w:color="auto" w:fill="FFFFFF"/>
        </w:rPr>
        <w:t>万元，其中：基本支出</w:t>
      </w:r>
      <w:r>
        <w:rPr>
          <w:rFonts w:hint="eastAsia" w:ascii="仿宋_GB2312" w:hAnsi="仿宋_GB2312" w:cs="仿宋_GB2312"/>
          <w:sz w:val="32"/>
          <w:szCs w:val="32"/>
          <w:shd w:val="clear" w:color="auto" w:fill="FFFFFF"/>
          <w:lang w:val="en-US" w:eastAsia="zh-CN"/>
        </w:rPr>
        <w:t>338.59</w:t>
      </w:r>
      <w:r>
        <w:rPr>
          <w:rFonts w:hint="eastAsia" w:ascii="仿宋_GB2312" w:hAnsi="仿宋_GB2312" w:eastAsia="仿宋_GB2312" w:cs="仿宋_GB2312"/>
          <w:sz w:val="32"/>
          <w:szCs w:val="32"/>
          <w:shd w:val="clear" w:color="auto" w:fill="FFFFFF"/>
        </w:rPr>
        <w:t>万元，占</w:t>
      </w:r>
      <w:r>
        <w:rPr>
          <w:rFonts w:hint="eastAsia" w:ascii="仿宋_GB2312" w:hAnsi="仿宋_GB2312" w:cs="仿宋_GB2312"/>
          <w:sz w:val="32"/>
          <w:szCs w:val="32"/>
          <w:shd w:val="clear" w:color="auto" w:fill="FFFFFF"/>
          <w:lang w:val="en-US" w:eastAsia="zh-CN"/>
        </w:rPr>
        <w:t>5.64</w:t>
      </w:r>
      <w:r>
        <w:rPr>
          <w:rFonts w:hint="eastAsia" w:ascii="仿宋_GB2312" w:hAnsi="仿宋_GB2312" w:eastAsia="仿宋_GB2312" w:cs="仿宋_GB2312"/>
          <w:sz w:val="32"/>
          <w:szCs w:val="32"/>
          <w:shd w:val="clear" w:color="auto" w:fill="FFFFFF"/>
        </w:rPr>
        <w:t>%；项目支出</w:t>
      </w:r>
      <w:r>
        <w:rPr>
          <w:rFonts w:hint="eastAsia" w:ascii="仿宋_GB2312" w:hAnsi="仿宋_GB2312" w:cs="仿宋_GB2312"/>
          <w:sz w:val="32"/>
          <w:szCs w:val="32"/>
          <w:shd w:val="clear" w:color="auto" w:fill="FFFFFF"/>
          <w:lang w:val="en-US" w:eastAsia="zh-CN"/>
        </w:rPr>
        <w:t>5659.92</w:t>
      </w:r>
      <w:r>
        <w:rPr>
          <w:rFonts w:hint="eastAsia" w:ascii="仿宋_GB2312" w:hAnsi="仿宋_GB2312" w:eastAsia="仿宋_GB2312" w:cs="仿宋_GB2312"/>
          <w:sz w:val="32"/>
          <w:szCs w:val="32"/>
          <w:shd w:val="clear" w:color="auto" w:fill="FFFFFF"/>
        </w:rPr>
        <w:t>万元，占</w:t>
      </w:r>
      <w:r>
        <w:rPr>
          <w:rFonts w:hint="eastAsia" w:ascii="仿宋_GB2312" w:hAnsi="仿宋_GB2312" w:cs="仿宋_GB2312"/>
          <w:sz w:val="32"/>
          <w:szCs w:val="32"/>
          <w:shd w:val="clear" w:color="auto" w:fill="FFFFFF"/>
          <w:lang w:val="en-US" w:eastAsia="zh-CN"/>
        </w:rPr>
        <w:t>94.36</w:t>
      </w:r>
      <w:r>
        <w:rPr>
          <w:rFonts w:hint="eastAsia" w:ascii="仿宋_GB2312" w:hAnsi="仿宋_GB2312" w:eastAsia="仿宋_GB2312" w:cs="仿宋_GB2312"/>
          <w:sz w:val="32"/>
          <w:szCs w:val="32"/>
          <w:shd w:val="clear" w:color="auto" w:fill="FFFFFF"/>
        </w:rPr>
        <w:t>%；上缴上级支出0.00万元，占0.00%；经营支出0.00万元，占经营支出0.00万元，占 0.00%；对附属单位补助支出0.00万元，占0.00%。</w:t>
      </w:r>
    </w:p>
    <w:p w14:paraId="7233A2C1">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sz w:val="32"/>
          <w:szCs w:val="32"/>
          <w:shd w:val="clear" w:color="auto" w:fill="FFFFFF"/>
        </w:rPr>
      </w:pPr>
      <w:r>
        <w:rPr>
          <w:shd w:val="clear" w:color="auto" w:fill="FFFFFF"/>
        </w:rPr>
        <w:object>
          <v:shape id="_x0000_i1026" o:spt="75" type="#_x0000_t75" style="height:222.75pt;width:366.75pt;" o:ole="t" filled="f" o:preferrelative="t" stroked="f" coordsize="21600,21600">
            <v:path/>
            <v:fill on="f" focussize="0,0"/>
            <v:stroke on="f"/>
            <v:imagedata r:id="rId13" o:title=""/>
            <o:lock v:ext="edit" aspectratio="t"/>
            <w10:wrap type="none"/>
            <w10:anchorlock/>
          </v:shape>
          <o:OLEObject Type="Embed" ProgID="Excel.Chart.8" ShapeID="_x0000_i1026" DrawAspect="Content" ObjectID="_1468075726" r:id="rId12">
            <o:LockedField>false</o:LockedField>
          </o:OLEObject>
        </w:object>
      </w:r>
    </w:p>
    <w:p w14:paraId="72BD3D20">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sz w:val="32"/>
          <w:szCs w:val="32"/>
          <w:shd w:val="clear" w:color="auto" w:fill="FFFFFF"/>
          <w:lang w:eastAsia="zh-CN"/>
        </w:rPr>
      </w:pPr>
    </w:p>
    <w:p w14:paraId="5E4D6293">
      <w:pPr>
        <w:spacing w:line="600" w:lineRule="exact"/>
        <w:ind w:firstLine="640" w:firstLineChars="200"/>
        <w:outlineLvl w:val="0"/>
        <w:rPr>
          <w:rStyle w:val="30"/>
          <w:rFonts w:ascii="Times New Roman" w:hAnsi="Times New Roman" w:eastAsia="黑体"/>
          <w:b w:val="0"/>
          <w:color w:val="auto"/>
          <w:highlight w:val="none"/>
        </w:rPr>
      </w:pPr>
      <w:bookmarkStart w:id="30" w:name="_Toc23360"/>
      <w:bookmarkStart w:id="31" w:name="_Toc15377208"/>
      <w:bookmarkStart w:id="32"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0"/>
      <w:bookmarkEnd w:id="31"/>
      <w:bookmarkEnd w:id="32"/>
    </w:p>
    <w:p w14:paraId="4A525D44">
      <w:pPr>
        <w:pStyle w:val="15"/>
        <w:keepNext w:val="0"/>
        <w:keepLines w:val="0"/>
        <w:widowControl/>
        <w:suppressLineNumbers w:val="0"/>
        <w:spacing w:before="0" w:beforeAutospacing="0"/>
        <w:ind w:left="0" w:firstLine="640" w:firstLineChars="200"/>
        <w:jc w:val="left"/>
        <w:rPr>
          <w:rFonts w:hint="eastAsia"/>
          <w:lang w:val="en-US" w:eastAsia="zh-CN"/>
        </w:rPr>
      </w:pPr>
      <w:r>
        <w:rPr>
          <w:rFonts w:hint="eastAsia" w:ascii="仿宋_GB2312" w:hAnsi="仿宋_GB2312" w:eastAsia="仿宋_GB2312" w:cs="仿宋_GB2312"/>
          <w:sz w:val="32"/>
          <w:szCs w:val="32"/>
          <w:shd w:val="clear" w:color="auto" w:fill="FFFFFF"/>
        </w:rPr>
        <w:t>202</w:t>
      </w:r>
      <w:r>
        <w:rPr>
          <w:rFonts w:hint="eastAsia" w:ascii="仿宋_GB2312" w:hAnsi="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年财政拨款</w:t>
      </w:r>
      <w:r>
        <w:rPr>
          <w:rFonts w:hint="eastAsia" w:ascii="仿宋" w:hAnsi="仿宋" w:eastAsia="仿宋"/>
          <w:color w:val="000000"/>
          <w:sz w:val="32"/>
          <w:szCs w:val="32"/>
        </w:rPr>
        <w:t>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5236.26</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2020.95</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27.85</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_GB2312" w:hAnsi="仿宋_GB2312" w:eastAsia="仿宋_GB2312" w:cs="仿宋_GB2312"/>
          <w:b w:val="0"/>
          <w:bCs w:val="0"/>
          <w:sz w:val="32"/>
          <w:szCs w:val="32"/>
          <w:lang w:val="en-US" w:eastAsia="zh-CN"/>
        </w:rPr>
        <w:t>新建交通基础设施建设项目</w:t>
      </w:r>
      <w:r>
        <w:rPr>
          <w:rFonts w:hint="eastAsia" w:ascii="仿宋_GB2312" w:hAnsi="仿宋_GB2312" w:cs="仿宋_GB2312"/>
          <w:b w:val="0"/>
          <w:bCs w:val="0"/>
          <w:sz w:val="32"/>
          <w:szCs w:val="32"/>
          <w:lang w:val="en-US" w:eastAsia="zh-CN"/>
        </w:rPr>
        <w:t>及续建项目减少</w:t>
      </w:r>
      <w:r>
        <w:rPr>
          <w:rFonts w:hint="eastAsia" w:ascii="仿宋_GB2312" w:hAnsi="仿宋_GB2312" w:eastAsia="仿宋_GB2312" w:cs="仿宋_GB2312"/>
          <w:b w:val="0"/>
          <w:bCs w:val="0"/>
          <w:sz w:val="32"/>
          <w:szCs w:val="32"/>
          <w:lang w:val="en-US" w:eastAsia="zh-CN"/>
        </w:rPr>
        <w:t>。</w:t>
      </w:r>
      <w:r>
        <w:rPr>
          <w:rFonts w:hint="eastAsia" w:ascii="仿宋" w:hAnsi="仿宋" w:eastAsia="仿宋"/>
          <w:color w:val="000000"/>
          <w:sz w:val="32"/>
          <w:szCs w:val="32"/>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rPr>
        <w:t>年度</w:t>
      </w:r>
      <w:r>
        <w:rPr>
          <w:rFonts w:hint="eastAsia" w:ascii="仿宋" w:hAnsi="仿宋" w:eastAsia="仿宋"/>
          <w:color w:val="000000"/>
          <w:sz w:val="32"/>
          <w:szCs w:val="32"/>
          <w:lang w:eastAsia="zh-CN"/>
        </w:rPr>
        <w:t>财政拨款支出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5578.97</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与20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减少1678.24</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减少23.13</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单位新建及续建</w:t>
      </w:r>
      <w:r>
        <w:rPr>
          <w:rFonts w:hint="eastAsia" w:ascii="仿宋_GB2312" w:hAnsi="仿宋_GB2312" w:eastAsia="仿宋_GB2312" w:cs="仿宋_GB2312"/>
          <w:b w:val="0"/>
          <w:bCs w:val="0"/>
          <w:sz w:val="32"/>
          <w:szCs w:val="32"/>
          <w:lang w:val="en-US" w:eastAsia="zh-CN"/>
        </w:rPr>
        <w:t>交通基础设施建设项目</w:t>
      </w:r>
      <w:r>
        <w:rPr>
          <w:rFonts w:hint="eastAsia" w:ascii="仿宋_GB2312" w:hAnsi="仿宋_GB2312" w:cs="仿宋_GB2312"/>
          <w:b w:val="0"/>
          <w:bCs w:val="0"/>
          <w:sz w:val="32"/>
          <w:szCs w:val="32"/>
          <w:lang w:val="en-US" w:eastAsia="zh-CN"/>
        </w:rPr>
        <w:t>减少</w:t>
      </w:r>
      <w:r>
        <w:rPr>
          <w:rFonts w:hint="eastAsia"/>
          <w:lang w:val="en-US" w:eastAsia="zh-CN"/>
        </w:rPr>
        <w:t xml:space="preserve"> 。 </w:t>
      </w:r>
    </w:p>
    <w:p w14:paraId="002CA73B">
      <w:pPr>
        <w:pStyle w:val="15"/>
        <w:keepNext w:val="0"/>
        <w:keepLines w:val="0"/>
        <w:widowControl/>
        <w:suppressLineNumbers w:val="0"/>
        <w:spacing w:before="0" w:beforeAutospacing="0"/>
        <w:ind w:left="0" w:firstLine="640" w:firstLineChars="200"/>
        <w:jc w:val="left"/>
        <w:rPr>
          <w:rFonts w:hint="eastAsia"/>
          <w:lang w:val="en-US" w:eastAsia="zh-CN"/>
        </w:rPr>
      </w:pPr>
    </w:p>
    <w:p w14:paraId="414C0F51">
      <w:pPr>
        <w:pStyle w:val="15"/>
        <w:keepNext w:val="0"/>
        <w:keepLines w:val="0"/>
        <w:widowControl/>
        <w:suppressLineNumbers w:val="0"/>
        <w:spacing w:before="0" w:beforeAutospacing="0"/>
        <w:ind w:left="0" w:firstLine="640" w:firstLineChars="200"/>
        <w:jc w:val="left"/>
        <w:rPr>
          <w:rFonts w:hint="eastAsia"/>
          <w:lang w:val="en-US" w:eastAsia="zh-CN"/>
        </w:rPr>
      </w:pPr>
      <w:r>
        <w:rPr>
          <w:shd w:val="clear" w:color="auto" w:fill="FFFFFF"/>
        </w:rPr>
        <w:object>
          <v:shape id="_x0000_i1027" o:spt="75" type="#_x0000_t75" style="height:218.85pt;width:337pt;" o:ole="t" filled="f" o:preferrelative="t" stroked="f" coordsize="21600,21600">
            <v:path/>
            <v:fill on="f" focussize="0,0"/>
            <v:stroke on="f"/>
            <v:imagedata r:id="rId15" o:title=""/>
            <o:lock v:ext="edit" aspectratio="t"/>
            <w10:wrap type="none"/>
            <w10:anchorlock/>
          </v:shape>
          <o:OLEObject Type="Embed" ProgID="Excel.Chart.8" ShapeID="_x0000_i1027" DrawAspect="Content" ObjectID="_1468075727" r:id="rId14">
            <o:LockedField>false</o:LockedField>
          </o:OLEObject>
        </w:object>
      </w:r>
    </w:p>
    <w:p w14:paraId="291C7DE9">
      <w:pPr>
        <w:spacing w:line="600" w:lineRule="exact"/>
        <w:ind w:firstLine="640" w:firstLineChars="200"/>
        <w:outlineLvl w:val="0"/>
        <w:rPr>
          <w:rStyle w:val="30"/>
          <w:rFonts w:ascii="Times New Roman" w:hAnsi="Times New Roman" w:eastAsia="黑体"/>
          <w:b w:val="0"/>
          <w:color w:val="auto"/>
          <w:highlight w:val="none"/>
        </w:rPr>
      </w:pPr>
      <w:bookmarkStart w:id="33" w:name="_Toc15377209"/>
      <w:bookmarkStart w:id="34" w:name="_Toc32382"/>
      <w:bookmarkStart w:id="3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3"/>
      <w:bookmarkEnd w:id="34"/>
      <w:bookmarkEnd w:id="35"/>
    </w:p>
    <w:p w14:paraId="3A0D1BE4">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6" w:name="_Toc15377210"/>
      <w:bookmarkStart w:id="37" w:name="_Toc5187"/>
      <w:r>
        <w:rPr>
          <w:rFonts w:hint="eastAsia" w:ascii="Times New Roman" w:hAnsi="Times New Roman" w:eastAsia="楷体_GB2312" w:cs="楷体_GB2312"/>
          <w:b/>
          <w:color w:val="auto"/>
          <w:sz w:val="32"/>
          <w:szCs w:val="32"/>
          <w:highlight w:val="none"/>
        </w:rPr>
        <w:t>（一）一般公共预算财政拨款支出决算总体情况</w:t>
      </w:r>
      <w:bookmarkEnd w:id="36"/>
      <w:bookmarkEnd w:id="37"/>
    </w:p>
    <w:p w14:paraId="6DF848E4">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shd w:val="clear" w:color="auto" w:fill="FFFFFF"/>
        </w:rPr>
        <w:t>202</w:t>
      </w:r>
      <w:r>
        <w:rPr>
          <w:rFonts w:hint="eastAsia" w:ascii="仿宋_GB2312" w:hAnsi="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年一般公共预算财政拨款支出</w:t>
      </w:r>
      <w:r>
        <w:rPr>
          <w:rFonts w:hint="eastAsia" w:ascii="仿宋_GB2312" w:hAnsi="仿宋_GB2312" w:cs="仿宋_GB2312"/>
          <w:sz w:val="32"/>
          <w:szCs w:val="32"/>
          <w:shd w:val="clear" w:color="auto" w:fill="FFFFFF"/>
          <w:lang w:val="en-US" w:eastAsia="zh-CN"/>
        </w:rPr>
        <w:t>5578.97</w:t>
      </w:r>
      <w:r>
        <w:rPr>
          <w:rFonts w:hint="eastAsia" w:ascii="仿宋_GB2312" w:hAnsi="仿宋_GB2312" w:eastAsia="仿宋_GB2312" w:cs="仿宋_GB2312"/>
          <w:sz w:val="32"/>
          <w:szCs w:val="32"/>
          <w:shd w:val="clear" w:color="auto" w:fill="FFFFFF"/>
        </w:rPr>
        <w:t>万元，占本年支出合计的</w:t>
      </w:r>
      <w:r>
        <w:rPr>
          <w:rFonts w:hint="eastAsia" w:ascii="仿宋_GB2312" w:hAnsi="仿宋_GB2312" w:cs="仿宋_GB2312"/>
          <w:sz w:val="32"/>
          <w:szCs w:val="32"/>
          <w:shd w:val="clear" w:color="auto" w:fill="FFFFFF"/>
          <w:lang w:val="en-US" w:eastAsia="zh-CN"/>
        </w:rPr>
        <w:t>93.01</w:t>
      </w:r>
      <w:r>
        <w:rPr>
          <w:rFonts w:hint="eastAsia" w:ascii="仿宋_GB2312" w:hAnsi="仿宋_GB2312" w:eastAsia="仿宋_GB2312" w:cs="仿宋_GB2312"/>
          <w:sz w:val="32"/>
          <w:szCs w:val="32"/>
          <w:shd w:val="clear" w:color="auto" w:fill="FFFFFF"/>
        </w:rPr>
        <w:t>%。与202</w:t>
      </w:r>
      <w:r>
        <w:rPr>
          <w:rFonts w:hint="eastAsia" w:ascii="仿宋_GB2312" w:hAnsi="仿宋_GB2312" w:cs="仿宋_GB2312"/>
          <w:sz w:val="32"/>
          <w:szCs w:val="32"/>
          <w:shd w:val="clear" w:color="auto" w:fill="FFFFFF"/>
          <w:lang w:val="en-US" w:eastAsia="zh-CN"/>
        </w:rPr>
        <w:t>4</w:t>
      </w:r>
      <w:r>
        <w:rPr>
          <w:rFonts w:hint="eastAsia" w:ascii="仿宋_GB2312" w:hAnsi="仿宋_GB2312" w:eastAsia="仿宋_GB2312" w:cs="仿宋_GB2312"/>
          <w:sz w:val="32"/>
          <w:szCs w:val="32"/>
          <w:shd w:val="clear" w:color="auto" w:fill="FFFFFF"/>
        </w:rPr>
        <w:t>年相比，一般公共预算财政拨款支出</w:t>
      </w:r>
      <w:r>
        <w:rPr>
          <w:rFonts w:hint="eastAsia" w:ascii="仿宋_GB2312" w:hAnsi="仿宋_GB2312" w:cs="仿宋_GB2312"/>
          <w:sz w:val="32"/>
          <w:szCs w:val="32"/>
          <w:shd w:val="clear" w:color="auto" w:fill="FFFFFF"/>
          <w:lang w:eastAsia="zh-CN"/>
        </w:rPr>
        <w:t>减少</w:t>
      </w:r>
      <w:r>
        <w:rPr>
          <w:rFonts w:hint="eastAsia" w:ascii="仿宋_GB2312" w:hAnsi="仿宋_GB2312" w:cs="仿宋_GB2312"/>
          <w:sz w:val="32"/>
          <w:szCs w:val="32"/>
          <w:shd w:val="clear" w:color="auto" w:fill="FFFFFF"/>
          <w:lang w:val="en-US" w:eastAsia="zh-CN"/>
        </w:rPr>
        <w:t>1678.24</w:t>
      </w:r>
      <w:r>
        <w:rPr>
          <w:rFonts w:hint="eastAsia" w:ascii="仿宋_GB2312" w:hAnsi="仿宋_GB2312" w:eastAsia="仿宋_GB2312" w:cs="仿宋_GB2312"/>
          <w:sz w:val="32"/>
          <w:szCs w:val="32"/>
          <w:shd w:val="clear" w:color="auto" w:fill="FFFFFF"/>
        </w:rPr>
        <w:t>万元，</w:t>
      </w:r>
      <w:r>
        <w:rPr>
          <w:rFonts w:hint="eastAsia" w:ascii="仿宋_GB2312" w:hAnsi="仿宋_GB2312" w:cs="仿宋_GB2312"/>
          <w:sz w:val="32"/>
          <w:szCs w:val="32"/>
          <w:shd w:val="clear" w:color="auto" w:fill="FFFFFF"/>
          <w:lang w:eastAsia="zh-CN"/>
        </w:rPr>
        <w:t>减少</w:t>
      </w:r>
      <w:r>
        <w:rPr>
          <w:rFonts w:hint="eastAsia" w:ascii="仿宋_GB2312" w:hAnsi="仿宋_GB2312" w:cs="仿宋_GB2312"/>
          <w:sz w:val="32"/>
          <w:szCs w:val="32"/>
          <w:shd w:val="clear" w:color="auto" w:fill="FFFFFF"/>
          <w:lang w:val="en-US" w:eastAsia="zh-CN"/>
        </w:rPr>
        <w:t>23.13</w:t>
      </w:r>
      <w:r>
        <w:rPr>
          <w:rFonts w:hint="eastAsia" w:ascii="仿宋_GB2312" w:hAnsi="仿宋_GB2312" w:eastAsia="仿宋_GB2312" w:cs="仿宋_GB2312"/>
          <w:sz w:val="32"/>
          <w:szCs w:val="32"/>
          <w:shd w:val="clear" w:color="auto" w:fill="FFFFFF"/>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单位</w:t>
      </w:r>
      <w:r>
        <w:rPr>
          <w:rFonts w:hint="eastAsia" w:ascii="仿宋_GB2312" w:hAnsi="仿宋_GB2312" w:eastAsia="仿宋_GB2312" w:cs="仿宋_GB2312"/>
          <w:b w:val="0"/>
          <w:bCs w:val="0"/>
          <w:sz w:val="32"/>
          <w:szCs w:val="32"/>
          <w:lang w:val="en-US" w:eastAsia="zh-CN"/>
        </w:rPr>
        <w:t>新建</w:t>
      </w:r>
      <w:r>
        <w:rPr>
          <w:rFonts w:hint="eastAsia" w:ascii="仿宋_GB2312" w:hAnsi="仿宋_GB2312" w:cs="仿宋_GB2312"/>
          <w:b w:val="0"/>
          <w:bCs w:val="0"/>
          <w:sz w:val="32"/>
          <w:szCs w:val="32"/>
          <w:lang w:val="en-US" w:eastAsia="zh-CN"/>
        </w:rPr>
        <w:t>及续建</w:t>
      </w:r>
      <w:r>
        <w:rPr>
          <w:rFonts w:hint="eastAsia" w:ascii="仿宋_GB2312" w:hAnsi="仿宋_GB2312" w:eastAsia="仿宋_GB2312" w:cs="仿宋_GB2312"/>
          <w:b w:val="0"/>
          <w:bCs w:val="0"/>
          <w:sz w:val="32"/>
          <w:szCs w:val="32"/>
          <w:lang w:val="en-US" w:eastAsia="zh-CN"/>
        </w:rPr>
        <w:t>交通基础设施建设项目</w:t>
      </w:r>
      <w:r>
        <w:rPr>
          <w:rFonts w:hint="eastAsia" w:ascii="仿宋_GB2312" w:hAnsi="仿宋_GB2312" w:cs="仿宋_GB2312"/>
          <w:b w:val="0"/>
          <w:bCs w:val="0"/>
          <w:sz w:val="32"/>
          <w:szCs w:val="32"/>
          <w:lang w:val="en-US" w:eastAsia="zh-CN"/>
        </w:rPr>
        <w:t>减少</w:t>
      </w:r>
      <w:r>
        <w:rPr>
          <w:rFonts w:hint="eastAsia" w:ascii="仿宋_GB2312" w:hAnsi="仿宋_GB2312" w:eastAsia="仿宋_GB2312" w:cs="仿宋_GB2312"/>
          <w:b w:val="0"/>
          <w:bCs w:val="0"/>
          <w:sz w:val="32"/>
          <w:szCs w:val="32"/>
          <w:lang w:val="en-US" w:eastAsia="zh-CN"/>
        </w:rPr>
        <w:t>。</w:t>
      </w:r>
    </w:p>
    <w:p w14:paraId="30442D08">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b w:val="0"/>
          <w:bCs w:val="0"/>
          <w:sz w:val="32"/>
          <w:szCs w:val="32"/>
          <w:lang w:val="en-US" w:eastAsia="zh-CN"/>
        </w:rPr>
      </w:pPr>
    </w:p>
    <w:p w14:paraId="7DE6B357">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b w:val="0"/>
          <w:bCs w:val="0"/>
          <w:sz w:val="32"/>
          <w:szCs w:val="32"/>
          <w:lang w:val="en-US" w:eastAsia="zh-CN"/>
        </w:rPr>
      </w:pPr>
      <w:r>
        <w:rPr>
          <w:shd w:val="clear" w:color="auto" w:fill="FFFFFF"/>
        </w:rPr>
        <w:object>
          <v:shape id="_x0000_i1028" o:spt="75" type="#_x0000_t75" style="height:234pt;width:410.25pt;" o:ole="t" filled="f" o:preferrelative="t" stroked="f" coordsize="21600,21600">
            <v:path/>
            <v:fill on="f" focussize="0,0"/>
            <v:stroke on="f"/>
            <v:imagedata r:id="rId17" o:title=""/>
            <o:lock v:ext="edit" aspectratio="t"/>
            <w10:wrap type="none"/>
            <w10:anchorlock/>
          </v:shape>
          <o:OLEObject Type="Embed" ProgID="Excel.Chart.8" ShapeID="_x0000_i1028" DrawAspect="Content" ObjectID="_1468075728" r:id="rId16">
            <o:LockedField>false</o:LockedField>
          </o:OLEObject>
        </w:object>
      </w:r>
    </w:p>
    <w:p w14:paraId="79A9045D">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b w:val="0"/>
          <w:bCs w:val="0"/>
          <w:sz w:val="32"/>
          <w:szCs w:val="32"/>
          <w:lang w:val="en-US" w:eastAsia="zh-CN"/>
        </w:rPr>
      </w:pPr>
    </w:p>
    <w:p w14:paraId="727F067A">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8" w:name="_Toc15377211"/>
      <w:bookmarkStart w:id="39" w:name="_Toc30952"/>
      <w:r>
        <w:rPr>
          <w:rFonts w:hint="eastAsia" w:ascii="Times New Roman" w:hAnsi="Times New Roman" w:eastAsia="楷体_GB2312" w:cs="楷体_GB2312"/>
          <w:b/>
          <w:color w:val="auto"/>
          <w:sz w:val="32"/>
          <w:szCs w:val="32"/>
          <w:highlight w:val="none"/>
        </w:rPr>
        <w:t>（二）一般公共预算财政拨款支出决算结构情况</w:t>
      </w:r>
      <w:bookmarkEnd w:id="38"/>
      <w:bookmarkEnd w:id="39"/>
    </w:p>
    <w:p w14:paraId="52966925">
      <w:pPr>
        <w:spacing w:before="0" w:after="0" w:line="600" w:lineRule="auto"/>
        <w:ind w:left="0" w:right="0" w:firstLine="640"/>
        <w:jc w:val="both"/>
        <w:rPr>
          <w:rFonts w:hint="eastAsia" w:ascii="仿宋_GB2312" w:hAnsi="仿宋_GB2312" w:eastAsia="仿宋_GB2312" w:cs="仿宋_GB2312"/>
          <w:color w:val="000000"/>
          <w:spacing w:val="0"/>
          <w:position w:val="0"/>
          <w:sz w:val="32"/>
          <w:shd w:val="clear" w:color="auto" w:fill="auto"/>
          <w:lang w:val="en-US" w:eastAsia="zh-CN"/>
        </w:rPr>
      </w:pPr>
      <w:r>
        <w:rPr>
          <w:rFonts w:ascii="仿宋" w:hAnsi="仿宋" w:eastAsia="仿宋"/>
          <w:color w:val="000000"/>
          <w:sz w:val="32"/>
          <w:szCs w:val="32"/>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5578.97</w:t>
      </w:r>
      <w:r>
        <w:rPr>
          <w:rFonts w:hint="eastAsia" w:ascii="仿宋" w:hAnsi="仿宋" w:eastAsia="仿宋"/>
          <w:color w:val="000000"/>
          <w:sz w:val="32"/>
          <w:szCs w:val="32"/>
        </w:rPr>
        <w:t>万元，主要用于以下方面</w:t>
      </w:r>
      <w:r>
        <w:rPr>
          <w:rFonts w:hint="eastAsia" w:ascii="仿宋" w:hAnsi="仿宋" w:eastAsia="仿宋"/>
          <w:color w:val="000000"/>
          <w:sz w:val="32"/>
          <w:szCs w:val="32"/>
          <w:lang w:eastAsia="zh-CN"/>
        </w:rPr>
        <w:t>：教育支出</w:t>
      </w:r>
      <w:r>
        <w:rPr>
          <w:rFonts w:hint="eastAsia" w:ascii="仿宋" w:hAnsi="仿宋" w:eastAsia="仿宋"/>
          <w:color w:val="000000"/>
          <w:sz w:val="32"/>
          <w:szCs w:val="32"/>
          <w:lang w:val="en-US" w:eastAsia="zh-CN"/>
        </w:rPr>
        <w:t>11.16万元，占0.2 %；</w:t>
      </w:r>
      <w:r>
        <w:rPr>
          <w:rFonts w:ascii="仿宋_GB2312" w:hAnsi="仿宋_GB2312" w:eastAsia="仿宋_GB2312" w:cs="仿宋_GB2312"/>
          <w:color w:val="000000"/>
          <w:spacing w:val="0"/>
          <w:position w:val="0"/>
          <w:sz w:val="32"/>
          <w:shd w:val="clear" w:color="auto" w:fill="auto"/>
        </w:rPr>
        <w:t>交通运输支出</w:t>
      </w:r>
      <w:r>
        <w:rPr>
          <w:rFonts w:hint="eastAsia" w:ascii="仿宋_GB2312" w:hAnsi="仿宋_GB2312" w:eastAsia="仿宋_GB2312" w:cs="仿宋_GB2312"/>
          <w:color w:val="000000"/>
          <w:spacing w:val="0"/>
          <w:position w:val="0"/>
          <w:sz w:val="32"/>
          <w:shd w:val="clear" w:color="auto" w:fill="auto"/>
          <w:lang w:val="en-US" w:eastAsia="zh-CN"/>
        </w:rPr>
        <w:t>4606.09</w:t>
      </w:r>
      <w:r>
        <w:rPr>
          <w:rFonts w:ascii="仿宋_GB2312" w:hAnsi="仿宋_GB2312" w:eastAsia="仿宋_GB2312" w:cs="仿宋_GB2312"/>
          <w:color w:val="000000"/>
          <w:spacing w:val="0"/>
          <w:position w:val="0"/>
          <w:sz w:val="32"/>
          <w:shd w:val="clear" w:color="auto" w:fill="auto"/>
        </w:rPr>
        <w:t>万元，占</w:t>
      </w:r>
      <w:r>
        <w:rPr>
          <w:rFonts w:hint="eastAsia" w:ascii="仿宋_GB2312" w:hAnsi="仿宋_GB2312" w:eastAsia="仿宋_GB2312" w:cs="仿宋_GB2312"/>
          <w:color w:val="000000"/>
          <w:spacing w:val="0"/>
          <w:position w:val="0"/>
          <w:sz w:val="32"/>
          <w:shd w:val="clear" w:color="auto" w:fill="auto"/>
          <w:lang w:val="en-US" w:eastAsia="zh-CN"/>
        </w:rPr>
        <w:t>82.56</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eastAsia="zh-CN"/>
        </w:rPr>
        <w:t>；</w:t>
      </w:r>
      <w:r>
        <w:rPr>
          <w:rFonts w:ascii="仿宋_GB2312" w:hAnsi="仿宋_GB2312" w:eastAsia="仿宋_GB2312" w:cs="仿宋_GB2312"/>
          <w:color w:val="000000"/>
          <w:spacing w:val="0"/>
          <w:position w:val="0"/>
          <w:sz w:val="32"/>
          <w:shd w:val="clear" w:color="auto" w:fill="auto"/>
        </w:rPr>
        <w:t>社会保障和就业（类）支出</w:t>
      </w:r>
      <w:r>
        <w:rPr>
          <w:rFonts w:hint="eastAsia" w:ascii="仿宋_GB2312" w:hAnsi="仿宋_GB2312" w:eastAsia="仿宋_GB2312" w:cs="仿宋_GB2312"/>
          <w:color w:val="000000"/>
          <w:spacing w:val="0"/>
          <w:position w:val="0"/>
          <w:sz w:val="32"/>
          <w:shd w:val="clear" w:color="auto" w:fill="auto"/>
          <w:lang w:val="en-US" w:eastAsia="zh-CN"/>
        </w:rPr>
        <w:t>39.05</w:t>
      </w:r>
      <w:r>
        <w:rPr>
          <w:rFonts w:ascii="仿宋_GB2312" w:hAnsi="仿宋_GB2312" w:eastAsia="仿宋_GB2312" w:cs="仿宋_GB2312"/>
          <w:color w:val="000000"/>
          <w:spacing w:val="0"/>
          <w:position w:val="0"/>
          <w:sz w:val="32"/>
          <w:shd w:val="clear" w:color="auto" w:fill="auto"/>
        </w:rPr>
        <w:t>万元，占</w:t>
      </w:r>
      <w:r>
        <w:rPr>
          <w:rFonts w:hint="eastAsia" w:ascii="仿宋_GB2312" w:hAnsi="仿宋_GB2312" w:eastAsia="仿宋_GB2312" w:cs="仿宋_GB2312"/>
          <w:color w:val="000000"/>
          <w:spacing w:val="0"/>
          <w:position w:val="0"/>
          <w:sz w:val="32"/>
          <w:shd w:val="clear" w:color="auto" w:fill="auto"/>
          <w:lang w:val="en-US" w:eastAsia="zh-CN"/>
        </w:rPr>
        <w:t>0.7</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eastAsia="zh-CN"/>
        </w:rPr>
        <w:t>卫生健康支出</w:t>
      </w:r>
      <w:r>
        <w:rPr>
          <w:rFonts w:hint="eastAsia" w:ascii="仿宋_GB2312" w:hAnsi="仿宋_GB2312" w:eastAsia="仿宋_GB2312" w:cs="仿宋_GB2312"/>
          <w:color w:val="000000"/>
          <w:spacing w:val="0"/>
          <w:position w:val="0"/>
          <w:sz w:val="32"/>
          <w:shd w:val="clear" w:color="auto" w:fill="auto"/>
          <w:lang w:val="en-US" w:eastAsia="zh-CN"/>
        </w:rPr>
        <w:t>14.20</w:t>
      </w:r>
      <w:r>
        <w:rPr>
          <w:rFonts w:ascii="仿宋_GB2312" w:hAnsi="仿宋_GB2312" w:eastAsia="仿宋_GB2312" w:cs="仿宋_GB2312"/>
          <w:color w:val="000000"/>
          <w:spacing w:val="0"/>
          <w:position w:val="0"/>
          <w:sz w:val="32"/>
          <w:shd w:val="clear" w:color="auto" w:fill="auto"/>
        </w:rPr>
        <w:t>万元，占</w:t>
      </w:r>
      <w:r>
        <w:rPr>
          <w:rFonts w:hint="eastAsia" w:ascii="仿宋_GB2312" w:hAnsi="仿宋_GB2312" w:eastAsia="仿宋_GB2312" w:cs="仿宋_GB2312"/>
          <w:color w:val="000000"/>
          <w:spacing w:val="0"/>
          <w:position w:val="0"/>
          <w:sz w:val="32"/>
          <w:shd w:val="clear" w:color="auto" w:fill="auto"/>
          <w:lang w:val="en-US" w:eastAsia="zh-CN"/>
        </w:rPr>
        <w:t>0.25</w:t>
      </w:r>
      <w:r>
        <w:rPr>
          <w:rFonts w:ascii="仿宋_GB2312" w:hAnsi="仿宋_GB2312" w:eastAsia="仿宋_GB2312" w:cs="仿宋_GB2312"/>
          <w:color w:val="000000"/>
          <w:spacing w:val="0"/>
          <w:position w:val="0"/>
          <w:sz w:val="32"/>
          <w:shd w:val="clear" w:color="auto" w:fill="auto"/>
        </w:rPr>
        <w:t>%；住房保障支出</w:t>
      </w:r>
      <w:r>
        <w:rPr>
          <w:rFonts w:hint="eastAsia" w:ascii="仿宋_GB2312" w:hAnsi="仿宋_GB2312" w:eastAsia="仿宋_GB2312" w:cs="仿宋_GB2312"/>
          <w:color w:val="000000"/>
          <w:spacing w:val="0"/>
          <w:position w:val="0"/>
          <w:sz w:val="32"/>
          <w:shd w:val="clear" w:color="auto" w:fill="auto"/>
          <w:lang w:val="en-US" w:eastAsia="zh-CN"/>
        </w:rPr>
        <w:t>20.94</w:t>
      </w:r>
      <w:r>
        <w:rPr>
          <w:rFonts w:ascii="仿宋_GB2312" w:hAnsi="仿宋_GB2312" w:eastAsia="仿宋_GB2312" w:cs="仿宋_GB2312"/>
          <w:color w:val="000000"/>
          <w:spacing w:val="0"/>
          <w:position w:val="0"/>
          <w:sz w:val="32"/>
          <w:shd w:val="clear" w:color="auto" w:fill="auto"/>
        </w:rPr>
        <w:t>万元，占</w:t>
      </w:r>
      <w:r>
        <w:rPr>
          <w:rFonts w:hint="eastAsia" w:ascii="仿宋_GB2312" w:hAnsi="仿宋_GB2312" w:eastAsia="仿宋_GB2312" w:cs="仿宋_GB2312"/>
          <w:color w:val="000000"/>
          <w:spacing w:val="0"/>
          <w:position w:val="0"/>
          <w:sz w:val="32"/>
          <w:shd w:val="clear" w:color="auto" w:fill="auto"/>
          <w:lang w:val="en-US" w:eastAsia="zh-CN"/>
        </w:rPr>
        <w:t>0.38</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eastAsia="zh-CN"/>
        </w:rPr>
        <w:t>；资源勘探工业信息等支出</w:t>
      </w:r>
      <w:r>
        <w:rPr>
          <w:rFonts w:hint="eastAsia" w:ascii="仿宋_GB2312" w:hAnsi="仿宋_GB2312" w:eastAsia="仿宋_GB2312" w:cs="仿宋_GB2312"/>
          <w:color w:val="000000"/>
          <w:spacing w:val="0"/>
          <w:position w:val="0"/>
          <w:sz w:val="32"/>
          <w:shd w:val="clear" w:color="auto" w:fill="auto"/>
          <w:lang w:val="en-US" w:eastAsia="zh-CN"/>
        </w:rPr>
        <w:t>3.5万元，占0.06%；自然资源海洋气象等支出884.03万元，占15.85%。</w:t>
      </w:r>
    </w:p>
    <w:p w14:paraId="032630B0">
      <w:pPr>
        <w:spacing w:before="0" w:after="0" w:line="600" w:lineRule="auto"/>
        <w:ind w:left="0" w:right="0" w:firstLine="640"/>
        <w:jc w:val="both"/>
        <w:rPr>
          <w:rFonts w:hint="eastAsia" w:ascii="仿宋_GB2312" w:hAnsi="仿宋_GB2312" w:eastAsia="仿宋_GB2312" w:cs="仿宋_GB2312"/>
          <w:color w:val="000000"/>
          <w:spacing w:val="0"/>
          <w:position w:val="0"/>
          <w:sz w:val="32"/>
          <w:shd w:val="clear" w:color="auto" w:fill="auto"/>
          <w:lang w:val="en-US" w:eastAsia="zh-CN"/>
        </w:rPr>
      </w:pPr>
    </w:p>
    <w:p w14:paraId="25BBF35D">
      <w:pPr>
        <w:spacing w:before="0" w:after="0" w:line="600" w:lineRule="auto"/>
        <w:ind w:left="0" w:right="0" w:firstLine="640"/>
        <w:jc w:val="center"/>
        <w:rPr>
          <w:rFonts w:hint="eastAsia" w:ascii="仿宋_GB2312" w:hAnsi="仿宋_GB2312" w:eastAsia="仿宋_GB2312" w:cs="仿宋_GB2312"/>
          <w:color w:val="000000"/>
          <w:spacing w:val="0"/>
          <w:position w:val="0"/>
          <w:sz w:val="32"/>
          <w:shd w:val="clear" w:color="auto" w:fill="auto"/>
          <w:lang w:val="en-US" w:eastAsia="zh-CN"/>
        </w:rPr>
      </w:pPr>
      <w:r>
        <w:rPr>
          <w:shd w:val="clear" w:color="auto" w:fill="FFFFFF"/>
        </w:rPr>
        <w:object>
          <v:shape id="_x0000_i1029" o:spt="75" type="#_x0000_t75" style="height:191.55pt;width:431.9pt;" o:ole="t" filled="f" o:preferrelative="t" stroked="f" coordsize="21600,21600">
            <v:path/>
            <v:fill on="f" focussize="0,0"/>
            <v:stroke on="f"/>
            <v:imagedata r:id="rId19" o:title=""/>
            <o:lock v:ext="edit" aspectratio="t"/>
            <w10:wrap type="none"/>
            <w10:anchorlock/>
          </v:shape>
          <o:OLEObject Type="Embed" ProgID="Excel.Chart.8" ShapeID="_x0000_i1029" DrawAspect="Content" ObjectID="_1468075729" r:id="rId18">
            <o:LockedField>false</o:LockedField>
          </o:OLEObject>
        </w:object>
      </w:r>
    </w:p>
    <w:p w14:paraId="620E83FD">
      <w:pPr>
        <w:spacing w:before="0" w:after="0" w:line="600" w:lineRule="auto"/>
        <w:ind w:left="0" w:right="0" w:firstLine="640"/>
        <w:jc w:val="both"/>
        <w:rPr>
          <w:rFonts w:hint="eastAsia" w:ascii="仿宋_GB2312" w:hAnsi="仿宋_GB2312" w:eastAsia="仿宋_GB2312" w:cs="仿宋_GB2312"/>
          <w:color w:val="000000"/>
          <w:spacing w:val="0"/>
          <w:position w:val="0"/>
          <w:sz w:val="32"/>
          <w:shd w:val="clear" w:color="auto" w:fill="auto"/>
          <w:lang w:val="en-US" w:eastAsia="zh-CN"/>
        </w:rPr>
      </w:pPr>
    </w:p>
    <w:p w14:paraId="5183803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0" w:name="_Toc15377212"/>
      <w:bookmarkStart w:id="41" w:name="_Toc11210"/>
      <w:r>
        <w:rPr>
          <w:rFonts w:hint="eastAsia" w:ascii="Times New Roman" w:hAnsi="Times New Roman" w:eastAsia="楷体_GB2312" w:cs="楷体_GB2312"/>
          <w:b/>
          <w:color w:val="auto"/>
          <w:sz w:val="32"/>
          <w:szCs w:val="32"/>
          <w:highlight w:val="none"/>
        </w:rPr>
        <w:t>（三）一般公共预算财政拨款支出决算具体情况</w:t>
      </w:r>
      <w:bookmarkEnd w:id="40"/>
      <w:bookmarkEnd w:id="41"/>
    </w:p>
    <w:p w14:paraId="3533493E">
      <w:pPr>
        <w:spacing w:line="600" w:lineRule="exact"/>
        <w:ind w:firstLine="640" w:firstLineChars="200"/>
        <w:outlineLvl w:val="9"/>
        <w:rPr>
          <w:rFonts w:ascii="仿宋" w:hAnsi="仿宋" w:eastAsia="仿宋"/>
          <w:color w:val="FF0000"/>
          <w:sz w:val="32"/>
          <w:szCs w:val="32"/>
        </w:rPr>
      </w:pPr>
      <w:bookmarkStart w:id="42" w:name="_Toc15378460"/>
      <w:bookmarkStart w:id="43" w:name="_Toc15377444"/>
      <w:bookmarkStart w:id="44" w:name="_Toc15377213"/>
      <w:r>
        <w:rPr>
          <w:rFonts w:hint="eastAsia" w:ascii="仿宋" w:hAnsi="仿宋" w:eastAsia="仿宋"/>
          <w:b w:val="0"/>
          <w:bCs/>
          <w:color w:val="000000"/>
          <w:sz w:val="32"/>
          <w:szCs w:val="32"/>
        </w:rPr>
        <w:t>20</w:t>
      </w:r>
      <w:r>
        <w:rPr>
          <w:rFonts w:hint="eastAsia" w:ascii="仿宋" w:hAnsi="仿宋" w:eastAsia="仿宋"/>
          <w:b w:val="0"/>
          <w:bCs/>
          <w:color w:val="000000"/>
          <w:sz w:val="32"/>
          <w:szCs w:val="32"/>
          <w:lang w:val="en-US" w:eastAsia="zh-CN"/>
        </w:rPr>
        <w:t>25</w:t>
      </w:r>
      <w:r>
        <w:rPr>
          <w:rFonts w:hint="eastAsia" w:ascii="仿宋" w:hAnsi="仿宋" w:eastAsia="仿宋"/>
          <w:b w:val="0"/>
          <w:bCs/>
          <w:color w:val="000000"/>
          <w:sz w:val="32"/>
          <w:szCs w:val="32"/>
        </w:rPr>
        <w:t>年</w:t>
      </w:r>
      <w:r>
        <w:rPr>
          <w:rFonts w:hint="eastAsia" w:ascii="仿宋" w:hAnsi="仿宋" w:eastAsia="仿宋"/>
          <w:b w:val="0"/>
          <w:bCs/>
          <w:color w:val="000000"/>
          <w:sz w:val="32"/>
          <w:szCs w:val="32"/>
          <w:lang w:eastAsia="zh-CN"/>
        </w:rPr>
        <w:t>一</w:t>
      </w:r>
      <w:r>
        <w:rPr>
          <w:rFonts w:hint="eastAsia" w:ascii="仿宋" w:hAnsi="仿宋" w:eastAsia="仿宋"/>
          <w:b w:val="0"/>
          <w:bCs/>
          <w:color w:val="000000"/>
          <w:sz w:val="32"/>
          <w:szCs w:val="32"/>
        </w:rPr>
        <w:t>般公共预算支出决算数为</w:t>
      </w:r>
      <w:r>
        <w:rPr>
          <w:rFonts w:hint="eastAsia" w:ascii="仿宋" w:hAnsi="仿宋" w:eastAsia="仿宋"/>
          <w:b w:val="0"/>
          <w:bCs/>
          <w:color w:val="000000"/>
          <w:sz w:val="32"/>
          <w:szCs w:val="32"/>
          <w:lang w:val="en-US" w:eastAsia="zh-CN"/>
        </w:rPr>
        <w:t>5578.97</w:t>
      </w:r>
      <w:r>
        <w:rPr>
          <w:rFonts w:hint="eastAsia" w:ascii="仿宋" w:hAnsi="仿宋" w:eastAsia="仿宋"/>
          <w:b w:val="0"/>
          <w:bCs/>
          <w:color w:val="000000"/>
          <w:sz w:val="32"/>
          <w:szCs w:val="32"/>
        </w:rPr>
        <w:t>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。其中：</w:t>
      </w:r>
      <w:bookmarkEnd w:id="42"/>
      <w:bookmarkEnd w:id="43"/>
      <w:bookmarkEnd w:id="44"/>
    </w:p>
    <w:p w14:paraId="229818B1">
      <w:pPr>
        <w:numPr>
          <w:ilvl w:val="0"/>
          <w:numId w:val="0"/>
        </w:numPr>
        <w:spacing w:line="600" w:lineRule="exact"/>
        <w:ind w:firstLine="640" w:firstLineChars="200"/>
        <w:rPr>
          <w:rStyle w:val="18"/>
          <w:rFonts w:hint="eastAsia" w:ascii="仿宋" w:hAnsi="仿宋" w:eastAsia="仿宋"/>
          <w:b w:val="0"/>
          <w:bCs/>
          <w:color w:val="000000"/>
          <w:sz w:val="32"/>
          <w:szCs w:val="32"/>
        </w:rPr>
      </w:pPr>
      <w:r>
        <w:rPr>
          <w:rFonts w:hint="eastAsia" w:ascii="仿宋_GB2312" w:hAnsi="仿宋_GB2312" w:eastAsia="仿宋_GB2312" w:cs="仿宋_GB2312"/>
          <w:color w:val="000000"/>
          <w:spacing w:val="0"/>
          <w:position w:val="0"/>
          <w:sz w:val="32"/>
          <w:shd w:val="clear" w:color="auto" w:fill="auto"/>
          <w:lang w:eastAsia="zh-CN"/>
        </w:rPr>
        <w:t>（</w:t>
      </w:r>
      <w:r>
        <w:rPr>
          <w:rFonts w:hint="eastAsia" w:ascii="仿宋_GB2312" w:hAnsi="仿宋_GB2312" w:eastAsia="仿宋_GB2312" w:cs="仿宋_GB2312"/>
          <w:color w:val="000000"/>
          <w:spacing w:val="0"/>
          <w:position w:val="0"/>
          <w:sz w:val="32"/>
          <w:shd w:val="clear" w:color="auto" w:fill="auto"/>
          <w:lang w:val="en-US" w:eastAsia="zh-CN"/>
        </w:rPr>
        <w:t>1</w:t>
      </w:r>
      <w:r>
        <w:rPr>
          <w:rFonts w:hint="eastAsia" w:ascii="仿宋_GB2312" w:hAnsi="仿宋_GB2312" w:eastAsia="仿宋_GB2312" w:cs="仿宋_GB2312"/>
          <w:color w:val="000000"/>
          <w:spacing w:val="0"/>
          <w:position w:val="0"/>
          <w:sz w:val="32"/>
          <w:shd w:val="clear" w:color="auto" w:fill="auto"/>
          <w:lang w:eastAsia="zh-CN"/>
        </w:rPr>
        <w:t>）</w:t>
      </w:r>
      <w:r>
        <w:rPr>
          <w:rFonts w:ascii="仿宋_GB2312" w:hAnsi="仿宋_GB2312" w:eastAsia="仿宋_GB2312" w:cs="仿宋_GB2312"/>
          <w:color w:val="000000"/>
          <w:spacing w:val="0"/>
          <w:position w:val="0"/>
          <w:sz w:val="32"/>
          <w:shd w:val="clear" w:color="auto" w:fill="auto"/>
        </w:rPr>
        <w:t>交通运输支出</w:t>
      </w:r>
      <w:r>
        <w:rPr>
          <w:rFonts w:hint="eastAsia" w:ascii="仿宋_GB2312" w:hAnsi="仿宋_GB2312" w:eastAsia="仿宋_GB2312" w:cs="仿宋_GB2312"/>
          <w:color w:val="000000"/>
          <w:spacing w:val="0"/>
          <w:position w:val="0"/>
          <w:sz w:val="32"/>
          <w:shd w:val="clear" w:color="auto" w:fill="auto"/>
          <w:lang w:val="en-US" w:eastAsia="zh-CN"/>
        </w:rPr>
        <w:t>214，其中（2140101）行政运行</w:t>
      </w:r>
      <w:r>
        <w:rPr>
          <w:rStyle w:val="18"/>
          <w:rFonts w:hint="eastAsia" w:ascii="仿宋" w:hAnsi="仿宋" w:eastAsia="仿宋"/>
          <w:b w:val="0"/>
          <w:bCs/>
          <w:color w:val="000000"/>
          <w:sz w:val="32"/>
          <w:szCs w:val="32"/>
        </w:rPr>
        <w:t>支出决算为</w:t>
      </w:r>
      <w:r>
        <w:rPr>
          <w:rFonts w:hint="eastAsia" w:ascii="仿宋_GB2312" w:hAnsi="仿宋_GB2312" w:eastAsia="仿宋_GB2312" w:cs="仿宋_GB2312"/>
          <w:color w:val="000000"/>
          <w:spacing w:val="0"/>
          <w:position w:val="0"/>
          <w:sz w:val="32"/>
          <w:shd w:val="clear" w:color="auto" w:fill="auto"/>
          <w:lang w:val="en-US" w:eastAsia="zh-CN"/>
        </w:rPr>
        <w:t>264.40</w:t>
      </w:r>
      <w:r>
        <w:rPr>
          <w:rFonts w:ascii="仿宋_GB2312" w:hAnsi="仿宋_GB2312" w:eastAsia="仿宋_GB2312" w:cs="仿宋_GB2312"/>
          <w:color w:val="000000"/>
          <w:spacing w:val="0"/>
          <w:position w:val="0"/>
          <w:sz w:val="32"/>
          <w:shd w:val="clear" w:color="auto" w:fill="auto"/>
        </w:rPr>
        <w:t>万元</w:t>
      </w:r>
      <w:r>
        <w:rPr>
          <w:rFonts w:hint="eastAsia" w:ascii="仿宋_GB2312" w:hAnsi="仿宋_GB2312" w:eastAsia="仿宋_GB2312" w:cs="仿宋_GB2312"/>
          <w:color w:val="000000"/>
          <w:spacing w:val="0"/>
          <w:position w:val="0"/>
          <w:sz w:val="32"/>
          <w:shd w:val="clear" w:color="auto" w:fill="auto"/>
          <w:lang w:eastAsia="zh-CN"/>
        </w:rPr>
        <w:t>，</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；（2140104）公路建设支出决算数为</w:t>
      </w:r>
      <w:r>
        <w:rPr>
          <w:rStyle w:val="18"/>
          <w:rFonts w:hint="eastAsia" w:ascii="仿宋" w:hAnsi="仿宋" w:eastAsia="仿宋"/>
          <w:b w:val="0"/>
          <w:bCs/>
          <w:color w:val="000000"/>
          <w:sz w:val="32"/>
          <w:szCs w:val="32"/>
          <w:lang w:val="en-US" w:eastAsia="zh-CN"/>
        </w:rPr>
        <w:t>3398.38万元，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；（2140106）公路养护支出决算数为</w:t>
      </w:r>
      <w:r>
        <w:rPr>
          <w:rStyle w:val="18"/>
          <w:rFonts w:hint="eastAsia" w:ascii="仿宋" w:hAnsi="仿宋" w:eastAsia="仿宋"/>
          <w:b w:val="0"/>
          <w:bCs/>
          <w:color w:val="000000"/>
          <w:sz w:val="32"/>
          <w:szCs w:val="32"/>
          <w:lang w:val="en-US" w:eastAsia="zh-CN"/>
        </w:rPr>
        <w:t>389.21万元，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2140109</w:t>
      </w: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其他铁路运输支出79.43万元，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；（2140199）其他公路水路运输支出决算数为</w:t>
      </w:r>
      <w:r>
        <w:rPr>
          <w:rStyle w:val="18"/>
          <w:rFonts w:hint="eastAsia" w:ascii="仿宋" w:hAnsi="仿宋" w:eastAsia="仿宋"/>
          <w:b w:val="0"/>
          <w:bCs/>
          <w:color w:val="000000"/>
          <w:sz w:val="32"/>
          <w:szCs w:val="32"/>
          <w:lang w:val="en-US" w:eastAsia="zh-CN"/>
        </w:rPr>
        <w:t>120.36万元，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2140206</w:t>
      </w:r>
      <w:r>
        <w:rPr>
          <w:rStyle w:val="18"/>
          <w:rFonts w:hint="eastAsia" w:ascii="仿宋" w:hAnsi="仿宋" w:eastAsia="仿宋"/>
          <w:b w:val="0"/>
          <w:bCs/>
          <w:color w:val="000000"/>
          <w:sz w:val="32"/>
          <w:szCs w:val="32"/>
          <w:lang w:eastAsia="zh-CN"/>
        </w:rPr>
        <w:t>）铁路安全支出决算数为</w:t>
      </w:r>
      <w:r>
        <w:rPr>
          <w:rStyle w:val="18"/>
          <w:rFonts w:hint="eastAsia" w:ascii="仿宋" w:hAnsi="仿宋" w:eastAsia="仿宋"/>
          <w:b w:val="0"/>
          <w:bCs/>
          <w:color w:val="000000"/>
          <w:sz w:val="32"/>
          <w:szCs w:val="32"/>
          <w:lang w:val="en-US" w:eastAsia="zh-CN"/>
        </w:rPr>
        <w:t>19.90万元，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2140299）其他铁路运输支出决算数96.57万元，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2149999</w:t>
      </w:r>
      <w:r>
        <w:rPr>
          <w:rStyle w:val="18"/>
          <w:rFonts w:hint="eastAsia" w:ascii="仿宋" w:hAnsi="仿宋" w:eastAsia="仿宋"/>
          <w:b w:val="0"/>
          <w:bCs/>
          <w:color w:val="000000"/>
          <w:sz w:val="32"/>
          <w:szCs w:val="32"/>
          <w:lang w:eastAsia="zh-CN"/>
        </w:rPr>
        <w:t>）其他交通运输支出决算数为</w:t>
      </w:r>
      <w:r>
        <w:rPr>
          <w:rStyle w:val="18"/>
          <w:rFonts w:hint="eastAsia" w:ascii="仿宋" w:hAnsi="仿宋" w:eastAsia="仿宋"/>
          <w:b w:val="0"/>
          <w:bCs/>
          <w:color w:val="000000"/>
          <w:sz w:val="32"/>
          <w:szCs w:val="32"/>
          <w:lang w:val="en-US" w:eastAsia="zh-CN"/>
        </w:rPr>
        <w:t>237.84万元，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p>
    <w:p w14:paraId="30060CCD">
      <w:pPr>
        <w:numPr>
          <w:ilvl w:val="0"/>
          <w:numId w:val="0"/>
        </w:numPr>
        <w:spacing w:line="600" w:lineRule="exact"/>
        <w:ind w:firstLine="640" w:firstLineChars="200"/>
        <w:rPr>
          <w:rStyle w:val="18"/>
          <w:rFonts w:hint="eastAsia" w:ascii="仿宋" w:hAnsi="仿宋" w:eastAsia="仿宋"/>
          <w:b w:val="0"/>
          <w:bCs/>
          <w:color w:val="000000"/>
          <w:sz w:val="32"/>
          <w:szCs w:val="32"/>
        </w:rPr>
      </w:pPr>
      <w:r>
        <w:rPr>
          <w:rFonts w:hint="eastAsia" w:ascii="仿宋_GB2312" w:hAnsi="仿宋_GB2312" w:eastAsia="仿宋_GB2312" w:cs="仿宋_GB2312"/>
          <w:color w:val="000000"/>
          <w:spacing w:val="0"/>
          <w:position w:val="0"/>
          <w:sz w:val="32"/>
          <w:shd w:val="clear" w:color="auto" w:fill="auto"/>
          <w:lang w:eastAsia="zh-CN"/>
        </w:rPr>
        <w:t>（</w:t>
      </w:r>
      <w:r>
        <w:rPr>
          <w:rFonts w:hint="eastAsia" w:ascii="仿宋_GB2312" w:hAnsi="仿宋_GB2312" w:eastAsia="仿宋_GB2312" w:cs="仿宋_GB2312"/>
          <w:color w:val="000000"/>
          <w:spacing w:val="0"/>
          <w:position w:val="0"/>
          <w:sz w:val="32"/>
          <w:shd w:val="clear" w:color="auto" w:fill="auto"/>
          <w:lang w:val="en-US" w:eastAsia="zh-CN"/>
        </w:rPr>
        <w:t>2</w:t>
      </w:r>
      <w:r>
        <w:rPr>
          <w:rFonts w:hint="eastAsia" w:ascii="仿宋_GB2312" w:hAnsi="仿宋_GB2312" w:eastAsia="仿宋_GB2312" w:cs="仿宋_GB2312"/>
          <w:color w:val="000000"/>
          <w:spacing w:val="0"/>
          <w:position w:val="0"/>
          <w:sz w:val="32"/>
          <w:shd w:val="clear" w:color="auto" w:fill="auto"/>
          <w:lang w:eastAsia="zh-CN"/>
        </w:rPr>
        <w:t>）</w:t>
      </w:r>
      <w:r>
        <w:rPr>
          <w:rFonts w:ascii="仿宋_GB2312" w:hAnsi="仿宋_GB2312" w:eastAsia="仿宋_GB2312" w:cs="仿宋_GB2312"/>
          <w:color w:val="000000"/>
          <w:spacing w:val="0"/>
          <w:position w:val="0"/>
          <w:sz w:val="32"/>
          <w:shd w:val="clear" w:color="auto" w:fill="auto"/>
        </w:rPr>
        <w:t>社会保障和就业支出</w:t>
      </w:r>
      <w:r>
        <w:rPr>
          <w:rFonts w:hint="eastAsia" w:ascii="仿宋_GB2312" w:hAnsi="仿宋_GB2312" w:eastAsia="仿宋_GB2312" w:cs="仿宋_GB2312"/>
          <w:color w:val="000000"/>
          <w:spacing w:val="0"/>
          <w:position w:val="0"/>
          <w:sz w:val="32"/>
          <w:shd w:val="clear" w:color="auto" w:fill="auto"/>
          <w:lang w:val="en-US" w:eastAsia="zh-CN"/>
        </w:rPr>
        <w:t>208</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eastAsia="zh-CN"/>
        </w:rPr>
        <w:t>其中（2080505）机关事业单位基本养老保险缴费支出</w:t>
      </w:r>
      <w:r>
        <w:rPr>
          <w:rStyle w:val="18"/>
          <w:rFonts w:hint="eastAsia" w:ascii="仿宋" w:hAnsi="仿宋" w:eastAsia="仿宋"/>
          <w:b w:val="0"/>
          <w:bCs/>
          <w:color w:val="000000"/>
          <w:sz w:val="32"/>
          <w:szCs w:val="32"/>
        </w:rPr>
        <w:t>决算为</w:t>
      </w:r>
      <w:r>
        <w:rPr>
          <w:rFonts w:hint="eastAsia" w:ascii="仿宋_GB2312" w:hAnsi="仿宋_GB2312" w:eastAsia="仿宋_GB2312" w:cs="仿宋_GB2312"/>
          <w:color w:val="000000"/>
          <w:spacing w:val="0"/>
          <w:position w:val="0"/>
          <w:sz w:val="32"/>
          <w:shd w:val="clear" w:color="auto" w:fill="auto"/>
          <w:lang w:val="en-US" w:eastAsia="zh-CN"/>
        </w:rPr>
        <w:t>26.03</w:t>
      </w:r>
      <w:r>
        <w:rPr>
          <w:rFonts w:ascii="仿宋_GB2312" w:hAnsi="仿宋_GB2312" w:eastAsia="仿宋_GB2312" w:cs="仿宋_GB2312"/>
          <w:color w:val="000000"/>
          <w:spacing w:val="0"/>
          <w:position w:val="0"/>
          <w:sz w:val="32"/>
          <w:shd w:val="clear" w:color="auto" w:fill="auto"/>
        </w:rPr>
        <w:t>万元</w:t>
      </w:r>
      <w:r>
        <w:rPr>
          <w:rFonts w:hint="eastAsia" w:ascii="仿宋_GB2312" w:hAnsi="仿宋_GB2312" w:eastAsia="仿宋_GB2312" w:cs="仿宋_GB2312"/>
          <w:color w:val="000000"/>
          <w:spacing w:val="0"/>
          <w:position w:val="0"/>
          <w:sz w:val="32"/>
          <w:shd w:val="clear" w:color="auto" w:fill="auto"/>
          <w:lang w:eastAsia="zh-CN"/>
        </w:rPr>
        <w:t>，</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；（2080506）机关事业单位职业年金缴费支出决算数为</w:t>
      </w:r>
      <w:r>
        <w:rPr>
          <w:rStyle w:val="18"/>
          <w:rFonts w:hint="eastAsia" w:ascii="仿宋" w:hAnsi="仿宋" w:eastAsia="仿宋"/>
          <w:b w:val="0"/>
          <w:bCs/>
          <w:color w:val="000000"/>
          <w:sz w:val="32"/>
          <w:szCs w:val="32"/>
          <w:lang w:val="en-US" w:eastAsia="zh-CN"/>
        </w:rPr>
        <w:t>13.02万元，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p>
    <w:p w14:paraId="5C7850A6">
      <w:pPr>
        <w:numPr>
          <w:ilvl w:val="0"/>
          <w:numId w:val="0"/>
        </w:numPr>
        <w:spacing w:line="600" w:lineRule="exact"/>
        <w:ind w:firstLine="640" w:firstLineChars="200"/>
        <w:rPr>
          <w:rStyle w:val="18"/>
          <w:rFonts w:hint="eastAsia" w:ascii="仿宋" w:hAnsi="仿宋" w:eastAsia="仿宋"/>
          <w:b w:val="0"/>
          <w:bCs/>
          <w:color w:val="000000"/>
          <w:sz w:val="32"/>
          <w:szCs w:val="32"/>
        </w:rPr>
      </w:pPr>
      <w:r>
        <w:rPr>
          <w:rFonts w:hint="eastAsia" w:ascii="仿宋_GB2312" w:hAnsi="仿宋_GB2312" w:eastAsia="仿宋_GB2312" w:cs="仿宋_GB2312"/>
          <w:color w:val="000000"/>
          <w:spacing w:val="0"/>
          <w:position w:val="0"/>
          <w:sz w:val="32"/>
          <w:shd w:val="clear" w:color="auto" w:fill="auto"/>
          <w:lang w:eastAsia="zh-CN"/>
        </w:rPr>
        <w:t>（</w:t>
      </w:r>
      <w:r>
        <w:rPr>
          <w:rFonts w:hint="eastAsia" w:ascii="仿宋_GB2312" w:hAnsi="仿宋_GB2312" w:eastAsia="仿宋_GB2312" w:cs="仿宋_GB2312"/>
          <w:color w:val="000000"/>
          <w:spacing w:val="0"/>
          <w:position w:val="0"/>
          <w:sz w:val="32"/>
          <w:shd w:val="clear" w:color="auto" w:fill="auto"/>
          <w:lang w:val="en-US" w:eastAsia="zh-CN"/>
        </w:rPr>
        <w:t>3</w:t>
      </w:r>
      <w:r>
        <w:rPr>
          <w:rFonts w:hint="eastAsia" w:ascii="仿宋_GB2312" w:hAnsi="仿宋_GB2312" w:eastAsia="仿宋_GB2312" w:cs="仿宋_GB2312"/>
          <w:color w:val="000000"/>
          <w:spacing w:val="0"/>
          <w:position w:val="0"/>
          <w:sz w:val="32"/>
          <w:shd w:val="clear" w:color="auto" w:fill="auto"/>
          <w:lang w:eastAsia="zh-CN"/>
        </w:rPr>
        <w:t>）卫生健康支出</w:t>
      </w:r>
      <w:r>
        <w:rPr>
          <w:rFonts w:hint="eastAsia" w:ascii="仿宋_GB2312" w:hAnsi="仿宋_GB2312" w:eastAsia="仿宋_GB2312" w:cs="仿宋_GB2312"/>
          <w:color w:val="000000"/>
          <w:spacing w:val="0"/>
          <w:position w:val="0"/>
          <w:sz w:val="32"/>
          <w:shd w:val="clear" w:color="auto" w:fill="auto"/>
          <w:lang w:val="en-US" w:eastAsia="zh-CN"/>
        </w:rPr>
        <w:t>210</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eastAsia="zh-CN"/>
        </w:rPr>
        <w:t>其中</w:t>
      </w:r>
      <w:r>
        <w:rPr>
          <w:rStyle w:val="18"/>
          <w:rFonts w:hint="eastAsia" w:ascii="仿宋" w:hAnsi="仿宋" w:eastAsia="仿宋"/>
          <w:b w:val="0"/>
          <w:bCs/>
          <w:color w:val="000000"/>
          <w:sz w:val="32"/>
          <w:szCs w:val="32"/>
          <w:lang w:eastAsia="zh-CN"/>
        </w:rPr>
        <w:t>（2101101）行政单位医疗支出决算数为</w:t>
      </w:r>
      <w:r>
        <w:rPr>
          <w:rStyle w:val="18"/>
          <w:rFonts w:hint="eastAsia" w:ascii="仿宋" w:hAnsi="仿宋" w:eastAsia="仿宋"/>
          <w:b w:val="0"/>
          <w:bCs/>
          <w:color w:val="000000"/>
          <w:sz w:val="32"/>
          <w:szCs w:val="32"/>
          <w:lang w:val="en-US" w:eastAsia="zh-CN"/>
        </w:rPr>
        <w:t>12.23万元，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；（2101103）公务员医疗补助支出决算数为</w:t>
      </w:r>
      <w:r>
        <w:rPr>
          <w:rStyle w:val="18"/>
          <w:rFonts w:hint="eastAsia" w:ascii="仿宋" w:hAnsi="仿宋" w:eastAsia="仿宋"/>
          <w:b w:val="0"/>
          <w:bCs/>
          <w:color w:val="000000"/>
          <w:sz w:val="32"/>
          <w:szCs w:val="32"/>
          <w:lang w:val="en-US" w:eastAsia="zh-CN"/>
        </w:rPr>
        <w:t>1.97万元，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lang w:eastAsia="zh-CN"/>
        </w:rPr>
        <w:t>。</w:t>
      </w:r>
    </w:p>
    <w:p w14:paraId="2FFE6AEA">
      <w:pPr>
        <w:numPr>
          <w:ilvl w:val="0"/>
          <w:numId w:val="0"/>
        </w:numPr>
        <w:spacing w:line="600" w:lineRule="exact"/>
        <w:ind w:firstLine="640" w:firstLineChars="200"/>
        <w:rPr>
          <w:rStyle w:val="18"/>
          <w:rFonts w:hint="eastAsia" w:ascii="仿宋" w:hAnsi="仿宋" w:eastAsia="仿宋"/>
          <w:b w:val="0"/>
          <w:bCs/>
          <w:color w:val="000000"/>
          <w:sz w:val="32"/>
          <w:szCs w:val="32"/>
        </w:rPr>
      </w:pPr>
      <w:r>
        <w:rPr>
          <w:rFonts w:hint="eastAsia" w:ascii="仿宋_GB2312" w:hAnsi="仿宋_GB2312" w:eastAsia="仿宋_GB2312" w:cs="仿宋_GB2312"/>
          <w:color w:val="000000"/>
          <w:spacing w:val="0"/>
          <w:position w:val="0"/>
          <w:sz w:val="32"/>
          <w:shd w:val="clear" w:color="auto" w:fill="auto"/>
          <w:lang w:eastAsia="zh-CN"/>
        </w:rPr>
        <w:t>（</w:t>
      </w:r>
      <w:r>
        <w:rPr>
          <w:rFonts w:hint="eastAsia" w:ascii="仿宋_GB2312" w:hAnsi="仿宋_GB2312" w:eastAsia="仿宋_GB2312" w:cs="仿宋_GB2312"/>
          <w:color w:val="000000"/>
          <w:spacing w:val="0"/>
          <w:position w:val="0"/>
          <w:sz w:val="32"/>
          <w:shd w:val="clear" w:color="auto" w:fill="auto"/>
          <w:lang w:val="en-US" w:eastAsia="zh-CN"/>
        </w:rPr>
        <w:t>4</w:t>
      </w:r>
      <w:r>
        <w:rPr>
          <w:rFonts w:hint="eastAsia" w:ascii="仿宋_GB2312" w:hAnsi="仿宋_GB2312" w:eastAsia="仿宋_GB2312" w:cs="仿宋_GB2312"/>
          <w:color w:val="000000"/>
          <w:spacing w:val="0"/>
          <w:position w:val="0"/>
          <w:sz w:val="32"/>
          <w:shd w:val="clear" w:color="auto" w:fill="auto"/>
          <w:lang w:eastAsia="zh-CN"/>
        </w:rPr>
        <w:t>）</w:t>
      </w:r>
      <w:r>
        <w:rPr>
          <w:rFonts w:ascii="仿宋_GB2312" w:hAnsi="仿宋_GB2312" w:eastAsia="仿宋_GB2312" w:cs="仿宋_GB2312"/>
          <w:color w:val="000000"/>
          <w:spacing w:val="0"/>
          <w:position w:val="0"/>
          <w:sz w:val="32"/>
          <w:shd w:val="clear" w:color="auto" w:fill="auto"/>
        </w:rPr>
        <w:t>住房保障支出</w:t>
      </w:r>
      <w:r>
        <w:rPr>
          <w:rFonts w:hint="eastAsia" w:ascii="仿宋_GB2312" w:hAnsi="仿宋_GB2312" w:eastAsia="仿宋_GB2312" w:cs="仿宋_GB2312"/>
          <w:color w:val="000000"/>
          <w:spacing w:val="0"/>
          <w:position w:val="0"/>
          <w:sz w:val="32"/>
          <w:shd w:val="clear" w:color="auto" w:fill="auto"/>
          <w:lang w:val="en-US" w:eastAsia="zh-CN"/>
        </w:rPr>
        <w:t>221</w:t>
      </w:r>
      <w:r>
        <w:rPr>
          <w:rFonts w:hint="eastAsia" w:ascii="仿宋_GB2312" w:hAnsi="仿宋_GB2312" w:eastAsia="仿宋_GB2312" w:cs="仿宋_GB2312"/>
          <w:color w:val="000000"/>
          <w:spacing w:val="0"/>
          <w:position w:val="0"/>
          <w:sz w:val="32"/>
          <w:shd w:val="clear" w:color="auto" w:fill="auto"/>
          <w:lang w:eastAsia="zh-CN"/>
        </w:rPr>
        <w:t>（2210201）住房公积金</w:t>
      </w:r>
      <w:r>
        <w:rPr>
          <w:rStyle w:val="18"/>
          <w:rFonts w:hint="eastAsia" w:ascii="仿宋" w:hAnsi="仿宋" w:eastAsia="仿宋"/>
          <w:b w:val="0"/>
          <w:bCs/>
          <w:color w:val="000000"/>
          <w:sz w:val="32"/>
          <w:szCs w:val="32"/>
        </w:rPr>
        <w:t>支出决算为</w:t>
      </w:r>
      <w:r>
        <w:rPr>
          <w:rFonts w:hint="eastAsia" w:ascii="仿宋_GB2312" w:hAnsi="仿宋_GB2312" w:eastAsia="仿宋_GB2312" w:cs="仿宋_GB2312"/>
          <w:color w:val="000000"/>
          <w:spacing w:val="0"/>
          <w:position w:val="0"/>
          <w:sz w:val="32"/>
          <w:shd w:val="clear" w:color="auto" w:fill="auto"/>
          <w:lang w:val="en-US" w:eastAsia="zh-CN"/>
        </w:rPr>
        <w:t>20.94</w:t>
      </w:r>
      <w:r>
        <w:rPr>
          <w:rFonts w:ascii="仿宋_GB2312" w:hAnsi="仿宋_GB2312" w:eastAsia="仿宋_GB2312" w:cs="仿宋_GB2312"/>
          <w:color w:val="000000"/>
          <w:spacing w:val="0"/>
          <w:position w:val="0"/>
          <w:sz w:val="32"/>
          <w:shd w:val="clear" w:color="auto" w:fill="auto"/>
        </w:rPr>
        <w:t>万元</w:t>
      </w:r>
      <w:r>
        <w:rPr>
          <w:rFonts w:hint="eastAsia" w:ascii="仿宋_GB2312" w:hAnsi="仿宋_GB2312" w:eastAsia="仿宋_GB2312" w:cs="仿宋_GB2312"/>
          <w:color w:val="000000"/>
          <w:spacing w:val="0"/>
          <w:position w:val="0"/>
          <w:sz w:val="32"/>
          <w:shd w:val="clear" w:color="auto" w:fill="auto"/>
          <w:lang w:eastAsia="zh-CN"/>
        </w:rPr>
        <w:t>，</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2112A442">
      <w:pPr>
        <w:numPr>
          <w:ilvl w:val="0"/>
          <w:numId w:val="0"/>
        </w:numPr>
        <w:spacing w:line="600" w:lineRule="exact"/>
        <w:ind w:firstLine="640" w:firstLineChars="200"/>
        <w:rPr>
          <w:rStyle w:val="18"/>
          <w:rFonts w:hint="eastAsia" w:ascii="仿宋" w:hAnsi="仿宋" w:eastAsia="仿宋"/>
          <w:b w:val="0"/>
          <w:bCs/>
          <w:color w:val="000000"/>
          <w:sz w:val="32"/>
          <w:szCs w:val="32"/>
        </w:rPr>
      </w:pP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5</w:t>
      </w:r>
      <w:r>
        <w:rPr>
          <w:rStyle w:val="18"/>
          <w:rFonts w:hint="eastAsia" w:ascii="仿宋" w:hAnsi="仿宋" w:eastAsia="仿宋"/>
          <w:b w:val="0"/>
          <w:bCs/>
          <w:color w:val="000000"/>
          <w:sz w:val="32"/>
          <w:szCs w:val="32"/>
          <w:lang w:eastAsia="zh-CN"/>
        </w:rPr>
        <w:t>）教育支出（</w:t>
      </w:r>
      <w:r>
        <w:rPr>
          <w:rStyle w:val="18"/>
          <w:rFonts w:hint="eastAsia" w:ascii="仿宋" w:hAnsi="仿宋" w:eastAsia="仿宋"/>
          <w:b w:val="0"/>
          <w:bCs/>
          <w:color w:val="000000"/>
          <w:sz w:val="32"/>
          <w:szCs w:val="32"/>
          <w:lang w:val="en-US" w:eastAsia="zh-CN"/>
        </w:rPr>
        <w:t>205</w:t>
      </w:r>
      <w:r>
        <w:rPr>
          <w:rStyle w:val="18"/>
          <w:rFonts w:hint="eastAsia" w:ascii="仿宋" w:hAnsi="仿宋" w:eastAsia="仿宋"/>
          <w:b w:val="0"/>
          <w:bCs/>
          <w:color w:val="000000"/>
          <w:sz w:val="32"/>
          <w:szCs w:val="32"/>
          <w:lang w:eastAsia="zh-CN"/>
        </w:rPr>
        <w:t>），其中（</w:t>
      </w:r>
      <w:r>
        <w:rPr>
          <w:rStyle w:val="18"/>
          <w:rFonts w:hint="eastAsia" w:ascii="仿宋" w:hAnsi="仿宋" w:eastAsia="仿宋"/>
          <w:b w:val="0"/>
          <w:bCs/>
          <w:color w:val="000000"/>
          <w:sz w:val="32"/>
          <w:szCs w:val="32"/>
          <w:lang w:val="en-US" w:eastAsia="zh-CN"/>
        </w:rPr>
        <w:t>2050803</w:t>
      </w:r>
      <w:r>
        <w:rPr>
          <w:rStyle w:val="18"/>
          <w:rFonts w:hint="eastAsia" w:ascii="仿宋" w:hAnsi="仿宋" w:eastAsia="仿宋"/>
          <w:b w:val="0"/>
          <w:bCs/>
          <w:color w:val="000000"/>
          <w:sz w:val="32"/>
          <w:szCs w:val="32"/>
          <w:lang w:eastAsia="zh-CN"/>
        </w:rPr>
        <w:t>）培训支出决算数为</w:t>
      </w:r>
      <w:r>
        <w:rPr>
          <w:rStyle w:val="18"/>
          <w:rFonts w:hint="eastAsia" w:ascii="仿宋" w:hAnsi="仿宋" w:eastAsia="仿宋"/>
          <w:b w:val="0"/>
          <w:bCs/>
          <w:color w:val="000000"/>
          <w:sz w:val="32"/>
          <w:szCs w:val="32"/>
          <w:lang w:val="en-US" w:eastAsia="zh-CN"/>
        </w:rPr>
        <w:t>11.16万元，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7FAE7EED">
      <w:pPr>
        <w:numPr>
          <w:ilvl w:val="0"/>
          <w:numId w:val="0"/>
        </w:numPr>
        <w:spacing w:line="600" w:lineRule="exact"/>
        <w:ind w:firstLine="640" w:firstLineChars="200"/>
        <w:rPr>
          <w:rStyle w:val="18"/>
          <w:rFonts w:hint="eastAsia" w:ascii="仿宋" w:hAnsi="仿宋" w:eastAsia="仿宋"/>
          <w:b w:val="0"/>
          <w:bCs/>
          <w:color w:val="000000"/>
          <w:sz w:val="32"/>
          <w:szCs w:val="32"/>
        </w:rPr>
      </w:pP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6</w:t>
      </w:r>
      <w:r>
        <w:rPr>
          <w:rStyle w:val="18"/>
          <w:rFonts w:hint="eastAsia" w:ascii="仿宋" w:hAnsi="仿宋" w:eastAsia="仿宋"/>
          <w:b w:val="0"/>
          <w:bCs/>
          <w:color w:val="000000"/>
          <w:sz w:val="32"/>
          <w:szCs w:val="32"/>
          <w:lang w:eastAsia="zh-CN"/>
        </w:rPr>
        <w:t>）资源勘探工业信息等支出（</w:t>
      </w:r>
      <w:r>
        <w:rPr>
          <w:rStyle w:val="18"/>
          <w:rFonts w:hint="eastAsia" w:ascii="仿宋" w:hAnsi="仿宋" w:eastAsia="仿宋"/>
          <w:b w:val="0"/>
          <w:bCs/>
          <w:color w:val="000000"/>
          <w:sz w:val="32"/>
          <w:szCs w:val="32"/>
          <w:lang w:val="en-US" w:eastAsia="zh-CN"/>
        </w:rPr>
        <w:t>215</w:t>
      </w:r>
      <w:r>
        <w:rPr>
          <w:rStyle w:val="18"/>
          <w:rFonts w:hint="eastAsia" w:ascii="仿宋" w:hAnsi="仿宋" w:eastAsia="仿宋"/>
          <w:b w:val="0"/>
          <w:bCs/>
          <w:color w:val="000000"/>
          <w:sz w:val="32"/>
          <w:szCs w:val="32"/>
          <w:lang w:eastAsia="zh-CN"/>
        </w:rPr>
        <w:t>），其中（</w:t>
      </w:r>
      <w:r>
        <w:rPr>
          <w:rStyle w:val="18"/>
          <w:rFonts w:hint="eastAsia" w:ascii="仿宋" w:hAnsi="仿宋" w:eastAsia="仿宋"/>
          <w:b w:val="0"/>
          <w:bCs/>
          <w:color w:val="000000"/>
          <w:sz w:val="32"/>
          <w:szCs w:val="32"/>
          <w:lang w:val="en-US" w:eastAsia="zh-CN"/>
        </w:rPr>
        <w:t>2150299</w:t>
      </w:r>
      <w:r>
        <w:rPr>
          <w:rStyle w:val="18"/>
          <w:rFonts w:hint="eastAsia" w:ascii="仿宋" w:hAnsi="仿宋" w:eastAsia="仿宋"/>
          <w:b w:val="0"/>
          <w:bCs/>
          <w:color w:val="000000"/>
          <w:sz w:val="32"/>
          <w:szCs w:val="32"/>
          <w:lang w:eastAsia="zh-CN"/>
        </w:rPr>
        <w:t>）其他制造业支出决算数为</w:t>
      </w:r>
      <w:r>
        <w:rPr>
          <w:rStyle w:val="18"/>
          <w:rFonts w:hint="eastAsia" w:ascii="仿宋" w:hAnsi="仿宋" w:eastAsia="仿宋"/>
          <w:b w:val="0"/>
          <w:bCs/>
          <w:color w:val="000000"/>
          <w:sz w:val="32"/>
          <w:szCs w:val="32"/>
          <w:lang w:val="en-US" w:eastAsia="zh-CN"/>
        </w:rPr>
        <w:t>3.5万元，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7A5B7214">
      <w:pPr>
        <w:numPr>
          <w:ilvl w:val="0"/>
          <w:numId w:val="0"/>
        </w:numPr>
        <w:spacing w:line="600" w:lineRule="exact"/>
        <w:ind w:firstLine="640" w:firstLineChars="200"/>
        <w:rPr>
          <w:rStyle w:val="18"/>
          <w:rFonts w:hint="default" w:ascii="仿宋" w:hAnsi="仿宋" w:eastAsia="仿宋"/>
          <w:b w:val="0"/>
          <w:bCs/>
          <w:color w:val="000000"/>
          <w:sz w:val="32"/>
          <w:szCs w:val="32"/>
          <w:lang w:val="en-US" w:eastAsia="zh-CN"/>
        </w:rPr>
      </w:pPr>
      <w:r>
        <w:rPr>
          <w:rStyle w:val="18"/>
          <w:rFonts w:hint="eastAsia" w:ascii="仿宋" w:hAnsi="仿宋" w:eastAsia="仿宋"/>
          <w:b w:val="0"/>
          <w:bCs/>
          <w:color w:val="000000"/>
          <w:sz w:val="32"/>
          <w:szCs w:val="32"/>
          <w:lang w:eastAsia="zh-CN"/>
        </w:rPr>
        <w:t>（</w:t>
      </w:r>
      <w:r>
        <w:rPr>
          <w:rStyle w:val="18"/>
          <w:rFonts w:hint="eastAsia" w:ascii="仿宋" w:hAnsi="仿宋" w:eastAsia="仿宋"/>
          <w:b w:val="0"/>
          <w:bCs/>
          <w:color w:val="000000"/>
          <w:sz w:val="32"/>
          <w:szCs w:val="32"/>
          <w:lang w:val="en-US" w:eastAsia="zh-CN"/>
        </w:rPr>
        <w:t>7</w:t>
      </w:r>
      <w:r>
        <w:rPr>
          <w:rStyle w:val="18"/>
          <w:rFonts w:hint="eastAsia" w:ascii="仿宋" w:hAnsi="仿宋" w:eastAsia="仿宋"/>
          <w:b w:val="0"/>
          <w:bCs/>
          <w:color w:val="000000"/>
          <w:sz w:val="32"/>
          <w:szCs w:val="32"/>
          <w:lang w:eastAsia="zh-CN"/>
        </w:rPr>
        <w:t>）自然资源海洋气象等支出（</w:t>
      </w:r>
      <w:r>
        <w:rPr>
          <w:rStyle w:val="18"/>
          <w:rFonts w:hint="eastAsia" w:ascii="仿宋" w:hAnsi="仿宋" w:eastAsia="仿宋"/>
          <w:b w:val="0"/>
          <w:bCs/>
          <w:color w:val="000000"/>
          <w:sz w:val="32"/>
          <w:szCs w:val="32"/>
          <w:lang w:val="en-US" w:eastAsia="zh-CN"/>
        </w:rPr>
        <w:t>220</w:t>
      </w:r>
      <w:r>
        <w:rPr>
          <w:rStyle w:val="18"/>
          <w:rFonts w:hint="eastAsia" w:ascii="仿宋" w:hAnsi="仿宋" w:eastAsia="仿宋"/>
          <w:b w:val="0"/>
          <w:bCs/>
          <w:color w:val="000000"/>
          <w:sz w:val="32"/>
          <w:szCs w:val="32"/>
          <w:lang w:eastAsia="zh-CN"/>
        </w:rPr>
        <w:t>），其中（</w:t>
      </w:r>
      <w:r>
        <w:rPr>
          <w:rStyle w:val="18"/>
          <w:rFonts w:hint="eastAsia" w:ascii="仿宋" w:hAnsi="仿宋" w:eastAsia="仿宋"/>
          <w:b w:val="0"/>
          <w:bCs/>
          <w:color w:val="000000"/>
          <w:sz w:val="32"/>
          <w:szCs w:val="32"/>
          <w:lang w:val="en-US" w:eastAsia="zh-CN"/>
        </w:rPr>
        <w:t>2200106</w:t>
      </w:r>
      <w:r>
        <w:rPr>
          <w:rStyle w:val="18"/>
          <w:rFonts w:hint="eastAsia" w:ascii="仿宋" w:hAnsi="仿宋" w:eastAsia="仿宋"/>
          <w:b w:val="0"/>
          <w:bCs/>
          <w:color w:val="000000"/>
          <w:sz w:val="32"/>
          <w:szCs w:val="32"/>
          <w:lang w:eastAsia="zh-CN"/>
        </w:rPr>
        <w:t>）自然资源利用与保护支出决算数为</w:t>
      </w:r>
      <w:r>
        <w:rPr>
          <w:rStyle w:val="18"/>
          <w:rFonts w:hint="eastAsia" w:ascii="仿宋" w:hAnsi="仿宋" w:eastAsia="仿宋"/>
          <w:b w:val="0"/>
          <w:bCs/>
          <w:color w:val="000000"/>
          <w:sz w:val="32"/>
          <w:szCs w:val="32"/>
          <w:lang w:val="en-US" w:eastAsia="zh-CN"/>
        </w:rPr>
        <w:t>884.03万元，</w:t>
      </w:r>
      <w:r>
        <w:rPr>
          <w:rStyle w:val="18"/>
          <w:rFonts w:hint="eastAsia" w:ascii="仿宋" w:hAnsi="仿宋" w:eastAsia="仿宋"/>
          <w:b w:val="0"/>
          <w:bCs/>
          <w:color w:val="000000"/>
          <w:sz w:val="32"/>
          <w:szCs w:val="32"/>
        </w:rPr>
        <w:t>完成预算</w:t>
      </w:r>
      <w:r>
        <w:rPr>
          <w:rStyle w:val="18"/>
          <w:rFonts w:hint="eastAsia" w:ascii="仿宋" w:hAnsi="仿宋" w:eastAsia="仿宋"/>
          <w:b w:val="0"/>
          <w:bCs/>
          <w:color w:val="000000"/>
          <w:sz w:val="32"/>
          <w:szCs w:val="32"/>
          <w:lang w:val="en-US" w:eastAsia="zh-CN"/>
        </w:rPr>
        <w:t>100</w:t>
      </w:r>
      <w:r>
        <w:rPr>
          <w:rStyle w:val="18"/>
          <w:rFonts w:ascii="仿宋" w:hAnsi="仿宋" w:eastAsia="仿宋"/>
          <w:b w:val="0"/>
          <w:bCs/>
          <w:color w:val="000000"/>
          <w:sz w:val="32"/>
          <w:szCs w:val="32"/>
        </w:rPr>
        <w:t>%</w:t>
      </w:r>
      <w:r>
        <w:rPr>
          <w:rStyle w:val="18"/>
          <w:rFonts w:hint="eastAsia" w:ascii="仿宋" w:hAnsi="仿宋" w:eastAsia="仿宋"/>
          <w:b w:val="0"/>
          <w:bCs/>
          <w:color w:val="000000"/>
          <w:sz w:val="32"/>
          <w:szCs w:val="32"/>
        </w:rPr>
        <w:t>。</w:t>
      </w:r>
    </w:p>
    <w:p w14:paraId="008242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1A80FF">
      <w:pPr>
        <w:tabs>
          <w:tab w:val="right" w:pos="8306"/>
        </w:tabs>
        <w:spacing w:line="600" w:lineRule="exact"/>
        <w:ind w:firstLine="640" w:firstLineChars="0"/>
        <w:outlineLvl w:val="0"/>
        <w:rPr>
          <w:rStyle w:val="30"/>
          <w:rFonts w:ascii="Times New Roman" w:hAnsi="Times New Roman"/>
          <w:color w:val="auto"/>
          <w:highlight w:val="none"/>
        </w:rPr>
      </w:pPr>
      <w:bookmarkStart w:id="45" w:name="_Toc14497"/>
      <w:bookmarkStart w:id="46" w:name="_Toc15396608"/>
      <w:bookmarkStart w:id="4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5"/>
      <w:bookmarkEnd w:id="46"/>
      <w:bookmarkEnd w:id="47"/>
      <w:r>
        <w:rPr>
          <w:rStyle w:val="30"/>
          <w:rFonts w:ascii="Times New Roman" w:hAnsi="Times New Roman" w:eastAsia="黑体"/>
          <w:b w:val="0"/>
          <w:color w:val="auto"/>
          <w:highlight w:val="none"/>
        </w:rPr>
        <w:tab/>
      </w:r>
    </w:p>
    <w:p w14:paraId="2EB9DEC9">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sz w:val="32"/>
          <w:szCs w:val="32"/>
          <w:shd w:val="clear" w:color="auto" w:fill="FFFFFF"/>
        </w:rPr>
      </w:pPr>
      <w:bookmarkStart w:id="48" w:name="_Toc15396609"/>
      <w:bookmarkStart w:id="49" w:name="_Toc15377215"/>
      <w:r>
        <w:rPr>
          <w:rFonts w:hint="eastAsia" w:ascii="仿宋_GB2312" w:hAnsi="仿宋_GB2312" w:eastAsia="仿宋_GB2312" w:cs="仿宋_GB2312"/>
          <w:sz w:val="32"/>
          <w:szCs w:val="32"/>
          <w:shd w:val="clear" w:color="auto" w:fill="FFFFFF"/>
        </w:rPr>
        <w:t>202</w:t>
      </w:r>
      <w:r>
        <w:rPr>
          <w:rFonts w:hint="eastAsia" w:ascii="仿宋_GB2312" w:hAnsi="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年一般公共预算财政拨款基本支出</w:t>
      </w:r>
      <w:r>
        <w:rPr>
          <w:rFonts w:hint="eastAsia" w:ascii="仿宋_GB2312" w:hAnsi="仿宋_GB2312" w:cs="仿宋_GB2312"/>
          <w:sz w:val="32"/>
          <w:szCs w:val="32"/>
          <w:shd w:val="clear" w:color="auto" w:fill="FFFFFF"/>
          <w:lang w:val="en-US" w:eastAsia="zh-CN"/>
        </w:rPr>
        <w:t>338.59</w:t>
      </w:r>
      <w:r>
        <w:rPr>
          <w:rFonts w:hint="eastAsia" w:ascii="仿宋_GB2312" w:hAnsi="仿宋_GB2312" w:eastAsia="仿宋_GB2312" w:cs="仿宋_GB2312"/>
          <w:sz w:val="32"/>
          <w:szCs w:val="32"/>
          <w:shd w:val="clear" w:color="auto" w:fill="FFFFFF"/>
        </w:rPr>
        <w:t>万元，其中：</w:t>
      </w:r>
    </w:p>
    <w:p w14:paraId="16B348B8">
      <w:pPr>
        <w:pStyle w:val="15"/>
        <w:keepNext w:val="0"/>
        <w:keepLines w:val="0"/>
        <w:widowControl/>
        <w:suppressLineNumbers w:val="0"/>
        <w:spacing w:before="0" w:beforeAutospacing="0"/>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人员经费</w:t>
      </w:r>
      <w:r>
        <w:rPr>
          <w:rFonts w:hint="eastAsia" w:ascii="仿宋_GB2312" w:hAnsi="仿宋_GB2312" w:cs="仿宋_GB2312"/>
          <w:sz w:val="32"/>
          <w:szCs w:val="32"/>
          <w:shd w:val="clear" w:color="auto" w:fill="FFFFFF"/>
          <w:lang w:val="en-US" w:eastAsia="zh-CN"/>
        </w:rPr>
        <w:t>308.95</w:t>
      </w:r>
      <w:r>
        <w:rPr>
          <w:rFonts w:hint="eastAsia" w:ascii="仿宋_GB2312" w:hAnsi="仿宋_GB2312" w:eastAsia="仿宋_GB2312" w:cs="仿宋_GB2312"/>
          <w:sz w:val="32"/>
          <w:szCs w:val="32"/>
          <w:shd w:val="clear" w:color="auto" w:fill="FFFFFF"/>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29BEF6B1">
      <w:pPr>
        <w:pStyle w:val="15"/>
        <w:keepNext w:val="0"/>
        <w:keepLines w:val="0"/>
        <w:widowControl/>
        <w:suppressLineNumbers w:val="0"/>
        <w:spacing w:before="0" w:beforeAutospacing="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公用经费</w:t>
      </w:r>
      <w:r>
        <w:rPr>
          <w:rFonts w:hint="eastAsia" w:ascii="仿宋_GB2312" w:hAnsi="仿宋_GB2312" w:cs="仿宋_GB2312"/>
          <w:sz w:val="32"/>
          <w:szCs w:val="32"/>
          <w:shd w:val="clear" w:color="auto" w:fill="FFFFFF"/>
          <w:lang w:val="en-US" w:eastAsia="zh-CN"/>
        </w:rPr>
        <w:t>29.64</w:t>
      </w:r>
      <w:r>
        <w:rPr>
          <w:rFonts w:hint="eastAsia" w:ascii="仿宋_GB2312" w:hAnsi="仿宋_GB2312" w:eastAsia="仿宋_GB2312" w:cs="仿宋_GB2312"/>
          <w:sz w:val="32"/>
          <w:szCs w:val="32"/>
          <w:shd w:val="clear" w:color="auto" w:fill="FFFFFF"/>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5F8E462">
      <w:pPr>
        <w:spacing w:line="600" w:lineRule="exact"/>
        <w:ind w:firstLine="640" w:firstLineChars="0"/>
        <w:outlineLvl w:val="0"/>
        <w:rPr>
          <w:rStyle w:val="30"/>
          <w:rFonts w:ascii="Times New Roman" w:hAnsi="Times New Roman" w:eastAsia="黑体"/>
          <w:b w:val="0"/>
          <w:color w:val="auto"/>
          <w:highlight w:val="none"/>
        </w:rPr>
      </w:pPr>
      <w:bookmarkStart w:id="50" w:name="_Toc251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8"/>
      <w:bookmarkEnd w:id="49"/>
      <w:bookmarkEnd w:id="50"/>
    </w:p>
    <w:p w14:paraId="3D024534">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1" w:name="_Toc13940"/>
      <w:bookmarkStart w:id="5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1"/>
      <w:bookmarkEnd w:id="52"/>
    </w:p>
    <w:p w14:paraId="221861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2025年“三公”经费财政拨款支出决算为6.26万元，完成预算100.00%。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0.97</w:t>
      </w:r>
      <w:r>
        <w:rPr>
          <w:rFonts w:hint="eastAsia" w:ascii="Times New Roman" w:hAnsi="Times New Roman" w:eastAsia="仿宋_GB2312" w:cs="仿宋_GB2312"/>
          <w:color w:val="auto"/>
          <w:kern w:val="2"/>
          <w:sz w:val="32"/>
          <w:szCs w:val="32"/>
          <w:highlight w:val="none"/>
          <w:lang w:val="en-US" w:eastAsia="zh-CN" w:bidi="ar-SA"/>
        </w:rPr>
        <w:t>%。</w:t>
      </w:r>
    </w:p>
    <w:p w14:paraId="2085D4A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3" w:name="_Toc31120"/>
      <w:bookmarkStart w:id="5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3"/>
      <w:bookmarkEnd w:id="54"/>
    </w:p>
    <w:p w14:paraId="4224F3F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2025年“三公”经费财政拨款支出决算中，因公出国（境）费支出决算0.00万元，占0.00%；公务用车购置及运行维护费支出决算6.26万元，占100.00%；公务接待费支出决算0.00万元，占0.00%。具体情况如下：</w:t>
      </w:r>
    </w:p>
    <w:p w14:paraId="125C394B">
      <w:pPr>
        <w:pStyle w:val="13"/>
        <w:jc w:val="center"/>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shd w:val="clear" w:color="auto" w:fill="FFFFFF"/>
          <w:lang w:eastAsia="zh-CN"/>
        </w:rPr>
        <w:object>
          <v:shape id="_x0000_i1030" o:spt="75" type="#_x0000_t75" style="height:222.75pt;width:366.75pt;" o:ole="t" filled="f" o:preferrelative="t" stroked="f" coordsize="21600,21600">
            <v:path/>
            <v:fill on="f" focussize="0,0"/>
            <v:stroke on="f"/>
            <v:imagedata r:id="rId21" o:title=""/>
            <o:lock v:ext="edit" aspectratio="t"/>
            <w10:wrap type="none"/>
            <w10:anchorlock/>
          </v:shape>
          <o:OLEObject Type="Embed" ProgID="Excel.Chart.8" ShapeID="_x0000_i1030" DrawAspect="Content" ObjectID="_1468075730" r:id="rId20">
            <o:LockedField>false</o:LockedField>
          </o:OLEObject>
        </w:object>
      </w:r>
    </w:p>
    <w:p w14:paraId="7AE2EC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04E8F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全年安排因公出国（境）团组0次，出国（境）0人。因公出国（境）支出决算与上年度持平，均为0万元。主要原因是本年未安排因公出国（境）事项。</w:t>
      </w:r>
    </w:p>
    <w:p w14:paraId="238B25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2.公务用车购置及运行维护费支出6.26万元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完成预算90.6%。</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公务用车购置及运行维护费支出决算比上年度增加0.06万元，增长1%。主要原因是公务用车运行维护费略有增加。</w:t>
      </w:r>
    </w:p>
    <w:p w14:paraId="7D72F3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越野车</w:t>
      </w:r>
      <w:r>
        <w:rPr>
          <w:rFonts w:hint="eastAsia" w:ascii="Times New Roman" w:hAnsi="Times New Roman" w:eastAsia="仿宋_GB2312" w:cs="仿宋_GB2312"/>
          <w:color w:val="auto"/>
          <w:kern w:val="2"/>
          <w:sz w:val="32"/>
          <w:szCs w:val="32"/>
          <w:highlight w:val="none"/>
          <w:lang w:val="en-US" w:eastAsia="zh-CN" w:bidi="ar-SA"/>
        </w:rPr>
        <w:t>2辆</w:t>
      </w:r>
      <w:r>
        <w:rPr>
          <w:rFonts w:hint="eastAsia" w:eastAsia="仿宋_GB2312" w:cs="仿宋_GB2312"/>
          <w:color w:val="auto"/>
          <w:kern w:val="2"/>
          <w:sz w:val="32"/>
          <w:szCs w:val="32"/>
          <w:highlight w:val="none"/>
          <w:lang w:val="en-US" w:eastAsia="zh-CN" w:bidi="ar-SA"/>
        </w:rPr>
        <w:t>。</w:t>
      </w:r>
    </w:p>
    <w:p w14:paraId="4E7607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公务用车运行维护费支出6.26万元。主要用于公务用车油费</w:t>
      </w:r>
      <w:r>
        <w:rPr>
          <w:rFonts w:hint="eastAsia" w:eastAsia="仿宋_GB2312" w:cs="仿宋_GB2312"/>
          <w:color w:val="auto"/>
          <w:kern w:val="2"/>
          <w:sz w:val="32"/>
          <w:szCs w:val="32"/>
          <w:highlight w:val="none"/>
          <w:lang w:val="en-US" w:eastAsia="zh-CN" w:bidi="ar-SA"/>
        </w:rPr>
        <w:t>、保险费等</w:t>
      </w:r>
      <w:r>
        <w:rPr>
          <w:rFonts w:hint="eastAsia" w:ascii="Times New Roman" w:hAnsi="Times New Roman" w:eastAsia="仿宋_GB2312" w:cs="仿宋_GB2312"/>
          <w:color w:val="auto"/>
          <w:kern w:val="2"/>
          <w:sz w:val="32"/>
          <w:szCs w:val="32"/>
          <w:highlight w:val="none"/>
          <w:lang w:val="en-US" w:eastAsia="zh-CN" w:bidi="ar-SA"/>
        </w:rPr>
        <w:t>支出。</w:t>
      </w:r>
    </w:p>
    <w:p w14:paraId="581E0F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公务接待费支出决算与上年度持平，均为0万元。主要原因是严格执行公务接待管理规定，压减公务接待支出。其中：</w:t>
      </w:r>
    </w:p>
    <w:p w14:paraId="3CB7B6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国内公务接待支出0万元。国内公务接待0批次，0人次，共计支出0万元。</w:t>
      </w:r>
    </w:p>
    <w:p w14:paraId="00CA43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外事接待支出0万元。外事接待0批次，0人次，共计支出0万元。</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5" w:name="_Toc15377218"/>
      <w:bookmarkStart w:id="56" w:name="_Toc15396610"/>
    </w:p>
    <w:p w14:paraId="6F9E1414">
      <w:pPr>
        <w:spacing w:line="600" w:lineRule="exact"/>
        <w:ind w:firstLine="640" w:firstLineChars="0"/>
        <w:outlineLvl w:val="0"/>
        <w:rPr>
          <w:rStyle w:val="30"/>
          <w:rFonts w:ascii="Times New Roman" w:hAnsi="Times New Roman" w:eastAsia="黑体"/>
          <w:color w:val="auto"/>
          <w:highlight w:val="none"/>
        </w:rPr>
      </w:pPr>
      <w:bookmarkStart w:id="57" w:name="_Toc6224"/>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5"/>
      <w:bookmarkEnd w:id="56"/>
      <w:bookmarkEnd w:id="57"/>
    </w:p>
    <w:p w14:paraId="792D7098">
      <w:pPr>
        <w:spacing w:line="600"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419.54</w:t>
      </w:r>
      <w:r>
        <w:rPr>
          <w:rFonts w:hint="eastAsia" w:ascii="仿宋_GB2312" w:eastAsia="仿宋_GB2312"/>
          <w:color w:val="000000"/>
          <w:sz w:val="32"/>
          <w:szCs w:val="32"/>
        </w:rPr>
        <w:t>万元。</w:t>
      </w:r>
      <w:r>
        <w:rPr>
          <w:rFonts w:hint="eastAsia" w:ascii="仿宋_GB2312" w:hAnsi="仿宋_GB2312" w:eastAsia="仿宋_GB2312" w:cs="仿宋_GB2312"/>
          <w:color w:val="000000"/>
          <w:spacing w:val="0"/>
          <w:position w:val="0"/>
          <w:sz w:val="32"/>
          <w:shd w:val="clear" w:color="auto" w:fill="auto"/>
          <w:lang w:val="en-US" w:eastAsia="zh-CN"/>
        </w:rPr>
        <w:t>其中（215）资源勘探工业信息等支出43.5万元</w:t>
      </w:r>
      <w:r>
        <w:rPr>
          <w:rFonts w:hint="eastAsia" w:ascii="仿宋_GB2312" w:eastAsia="仿宋_GB2312"/>
          <w:color w:val="000000"/>
          <w:sz w:val="32"/>
          <w:szCs w:val="32"/>
          <w:lang w:val="en-US" w:eastAsia="zh-CN"/>
        </w:rPr>
        <w:t>用于货车以旧换新补贴费用支出；（212）城乡社区支出376.04万元，用于过境路失地农民基本养老保险支出。</w:t>
      </w:r>
    </w:p>
    <w:p w14:paraId="5D22B74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923FD2C">
      <w:pPr>
        <w:numPr>
          <w:ilvl w:val="0"/>
          <w:numId w:val="0"/>
        </w:numPr>
        <w:spacing w:line="600" w:lineRule="exact"/>
        <w:ind w:left="630" w:leftChars="0" w:firstLine="0" w:firstLineChars="0"/>
        <w:outlineLvl w:val="0"/>
        <w:rPr>
          <w:rStyle w:val="30"/>
          <w:rFonts w:ascii="Times New Roman" w:hAnsi="Times New Roman" w:eastAsia="黑体"/>
          <w:b w:val="0"/>
          <w:color w:val="auto"/>
          <w:highlight w:val="none"/>
        </w:rPr>
      </w:pPr>
      <w:bookmarkStart w:id="58" w:name="_Toc15377219"/>
      <w:bookmarkStart w:id="59" w:name="_Toc15396611"/>
      <w:bookmarkStart w:id="60" w:name="_Toc31492"/>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8"/>
      <w:bookmarkEnd w:id="59"/>
      <w:bookmarkEnd w:id="60"/>
    </w:p>
    <w:p w14:paraId="59529145">
      <w:pPr>
        <w:spacing w:line="600" w:lineRule="exact"/>
        <w:ind w:firstLine="640"/>
        <w:rPr>
          <w:rFonts w:hint="eastAsia"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7F0C0D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A6DDEB">
      <w:pPr>
        <w:numPr>
          <w:ilvl w:val="0"/>
          <w:numId w:val="0"/>
        </w:numPr>
        <w:spacing w:line="600" w:lineRule="exact"/>
        <w:ind w:left="630" w:leftChars="0" w:firstLine="0" w:firstLineChars="0"/>
        <w:outlineLvl w:val="0"/>
        <w:rPr>
          <w:rStyle w:val="30"/>
          <w:rFonts w:hint="eastAsia" w:ascii="Times New Roman" w:hAnsi="Times New Roman" w:eastAsia="黑体"/>
          <w:b w:val="0"/>
          <w:color w:val="auto"/>
          <w:highlight w:val="none"/>
        </w:rPr>
      </w:pPr>
      <w:bookmarkStart w:id="61" w:name="_Toc15396612"/>
      <w:bookmarkStart w:id="62" w:name="_Toc28797"/>
      <w:bookmarkStart w:id="63"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1"/>
      <w:bookmarkEnd w:id="62"/>
      <w:bookmarkEnd w:id="63"/>
    </w:p>
    <w:p w14:paraId="254443A8">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4" w:name="_Toc26628"/>
      <w:bookmarkStart w:id="65" w:name="_Toc15377222"/>
      <w:r>
        <w:rPr>
          <w:rFonts w:hint="eastAsia" w:ascii="Times New Roman" w:hAnsi="Times New Roman" w:eastAsia="楷体_GB2312" w:cs="楷体_GB2312"/>
          <w:b/>
          <w:color w:val="auto"/>
          <w:sz w:val="32"/>
          <w:szCs w:val="32"/>
          <w:highlight w:val="none"/>
        </w:rPr>
        <w:t>（一）机关运行经费支出情况</w:t>
      </w:r>
      <w:bookmarkEnd w:id="64"/>
      <w:bookmarkEnd w:id="65"/>
    </w:p>
    <w:p w14:paraId="0C95FB94">
      <w:pPr>
        <w:pStyle w:val="15"/>
        <w:keepNext w:val="0"/>
        <w:keepLines w:val="0"/>
        <w:widowControl/>
        <w:suppressLineNumbers w:val="0"/>
        <w:spacing w:before="0" w:beforeAutospacing="0"/>
        <w:ind w:left="0"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shd w:val="clear" w:color="auto" w:fill="FFFFFF"/>
        </w:rPr>
        <w:t>202</w:t>
      </w:r>
      <w:r>
        <w:rPr>
          <w:rFonts w:hint="eastAsia" w:ascii="仿宋_GB2312" w:hAnsi="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年，阿坝州松潘县交通局机关运行经费支出</w:t>
      </w:r>
      <w:r>
        <w:rPr>
          <w:rFonts w:hint="eastAsia" w:ascii="仿宋_GB2312" w:hAnsi="仿宋_GB2312" w:cs="仿宋_GB2312"/>
          <w:sz w:val="32"/>
          <w:szCs w:val="32"/>
          <w:shd w:val="clear" w:color="auto" w:fill="FFFFFF"/>
          <w:lang w:val="en-US" w:eastAsia="zh-CN"/>
        </w:rPr>
        <w:t>29.64</w:t>
      </w:r>
      <w:r>
        <w:rPr>
          <w:rFonts w:hint="eastAsia" w:ascii="仿宋_GB2312" w:hAnsi="仿宋_GB2312" w:eastAsia="仿宋_GB2312" w:cs="仿宋_GB2312"/>
          <w:sz w:val="32"/>
          <w:szCs w:val="32"/>
          <w:shd w:val="clear" w:color="auto" w:fill="FFFFFF"/>
        </w:rPr>
        <w:t>万元，比202</w:t>
      </w:r>
      <w:r>
        <w:rPr>
          <w:rFonts w:hint="eastAsia" w:ascii="仿宋_GB2312" w:hAnsi="仿宋_GB2312" w:cs="仿宋_GB2312"/>
          <w:sz w:val="32"/>
          <w:szCs w:val="32"/>
          <w:shd w:val="clear" w:color="auto" w:fill="FFFFFF"/>
          <w:lang w:val="en-US" w:eastAsia="zh-CN"/>
        </w:rPr>
        <w:t>4</w:t>
      </w:r>
      <w:r>
        <w:rPr>
          <w:rFonts w:hint="eastAsia" w:ascii="仿宋_GB2312" w:hAnsi="仿宋_GB2312" w:eastAsia="仿宋_GB2312" w:cs="仿宋_GB2312"/>
          <w:sz w:val="32"/>
          <w:szCs w:val="32"/>
          <w:shd w:val="clear" w:color="auto" w:fill="FFFFFF"/>
        </w:rPr>
        <w:t>年</w:t>
      </w:r>
      <w:r>
        <w:rPr>
          <w:rFonts w:hint="eastAsia" w:ascii="仿宋_GB2312" w:hAnsi="仿宋_GB2312" w:cs="仿宋_GB2312"/>
          <w:sz w:val="32"/>
          <w:szCs w:val="32"/>
          <w:shd w:val="clear" w:color="auto" w:fill="FFFFFF"/>
          <w:lang w:eastAsia="zh-CN"/>
        </w:rPr>
        <w:t>减少</w:t>
      </w:r>
      <w:r>
        <w:rPr>
          <w:rFonts w:hint="eastAsia" w:ascii="仿宋_GB2312" w:hAnsi="仿宋_GB2312" w:cs="仿宋_GB2312"/>
          <w:sz w:val="32"/>
          <w:szCs w:val="32"/>
          <w:shd w:val="clear" w:color="auto" w:fill="FFFFFF"/>
          <w:lang w:val="en-US" w:eastAsia="zh-CN"/>
        </w:rPr>
        <w:t>20.96</w:t>
      </w:r>
      <w:r>
        <w:rPr>
          <w:rFonts w:hint="eastAsia" w:ascii="仿宋_GB2312" w:hAnsi="仿宋_GB2312" w:eastAsia="仿宋_GB2312" w:cs="仿宋_GB2312"/>
          <w:sz w:val="32"/>
          <w:szCs w:val="32"/>
          <w:shd w:val="clear" w:color="auto" w:fill="FFFFFF"/>
        </w:rPr>
        <w:t>万元，</w:t>
      </w:r>
      <w:r>
        <w:rPr>
          <w:rFonts w:hint="eastAsia" w:ascii="仿宋_GB2312" w:hAnsi="仿宋_GB2312" w:cs="仿宋_GB2312"/>
          <w:sz w:val="32"/>
          <w:szCs w:val="32"/>
          <w:shd w:val="clear" w:color="auto" w:fill="FFFFFF"/>
          <w:lang w:eastAsia="zh-CN"/>
        </w:rPr>
        <w:t>减少</w:t>
      </w:r>
      <w:r>
        <w:rPr>
          <w:rFonts w:hint="eastAsia" w:ascii="仿宋_GB2312" w:hAnsi="仿宋_GB2312" w:cs="仿宋_GB2312"/>
          <w:sz w:val="32"/>
          <w:szCs w:val="32"/>
          <w:shd w:val="clear" w:color="auto" w:fill="FFFFFF"/>
          <w:lang w:val="en-US" w:eastAsia="zh-CN"/>
        </w:rPr>
        <w:t>41.43</w:t>
      </w:r>
      <w:r>
        <w:rPr>
          <w:rFonts w:hint="eastAsia" w:ascii="仿宋_GB2312" w:hAnsi="仿宋_GB2312" w:eastAsia="仿宋_GB2312" w:cs="仿宋_GB2312"/>
          <w:sz w:val="32"/>
          <w:szCs w:val="32"/>
          <w:shd w:val="clear" w:color="auto" w:fill="FFFFFF"/>
        </w:rPr>
        <w:t>%。</w:t>
      </w:r>
      <w:r>
        <w:rPr>
          <w:rFonts w:hint="eastAsia" w:ascii="仿宋" w:hAnsi="仿宋" w:eastAsia="仿宋"/>
          <w:color w:val="000000"/>
          <w:sz w:val="32"/>
          <w:szCs w:val="32"/>
        </w:rPr>
        <w:t>主要变动原因是</w:t>
      </w:r>
      <w:r>
        <w:rPr>
          <w:rFonts w:hint="eastAsia" w:ascii="仿宋_GB2312" w:hAnsi="仿宋_GB2312" w:eastAsia="仿宋_GB2312" w:cs="仿宋_GB2312"/>
          <w:color w:val="000000"/>
          <w:spacing w:val="0"/>
          <w:position w:val="0"/>
          <w:sz w:val="32"/>
          <w:shd w:val="clear" w:color="auto" w:fill="auto"/>
          <w:lang w:val="en-US" w:eastAsia="zh-CN"/>
        </w:rPr>
        <w:t>高速公路项目推进协调专班</w:t>
      </w:r>
      <w:r>
        <w:rPr>
          <w:rFonts w:hint="eastAsia" w:ascii="仿宋" w:hAnsi="仿宋" w:eastAsia="仿宋"/>
          <w:color w:val="000000"/>
          <w:sz w:val="32"/>
          <w:szCs w:val="32"/>
          <w:lang w:val="en-US" w:eastAsia="zh-CN"/>
        </w:rPr>
        <w:t>办公经费分摊到二级单位</w:t>
      </w:r>
      <w:r>
        <w:rPr>
          <w:rFonts w:hint="eastAsia" w:ascii="仿宋_GB2312" w:hAnsi="仿宋_GB2312" w:eastAsia="仿宋_GB2312" w:cs="仿宋_GB2312"/>
          <w:b w:val="0"/>
          <w:bCs w:val="0"/>
          <w:sz w:val="32"/>
          <w:szCs w:val="32"/>
          <w:lang w:val="en-US" w:eastAsia="zh-CN"/>
        </w:rPr>
        <w:t>。</w:t>
      </w:r>
    </w:p>
    <w:p w14:paraId="3FD89F33">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6" w:name="_Toc10121"/>
      <w:bookmarkStart w:id="67" w:name="_Toc15377223"/>
      <w:r>
        <w:rPr>
          <w:rFonts w:hint="eastAsia" w:ascii="Times New Roman" w:hAnsi="Times New Roman" w:eastAsia="楷体_GB2312" w:cs="楷体_GB2312"/>
          <w:b/>
          <w:color w:val="auto"/>
          <w:sz w:val="32"/>
          <w:szCs w:val="32"/>
          <w:highlight w:val="none"/>
        </w:rPr>
        <w:t>（二）政府采购支出情况</w:t>
      </w:r>
      <w:bookmarkEnd w:id="66"/>
      <w:bookmarkEnd w:id="67"/>
    </w:p>
    <w:p w14:paraId="5014EAFA">
      <w:pPr>
        <w:numPr>
          <w:ilvl w:val="0"/>
          <w:numId w:val="0"/>
        </w:numPr>
        <w:autoSpaceDE w:val="0"/>
        <w:autoSpaceDN w:val="0"/>
        <w:adjustRightInd w:val="0"/>
        <w:spacing w:line="600" w:lineRule="exact"/>
        <w:ind w:left="0" w:leftChars="0" w:firstLine="640" w:firstLineChars="200"/>
        <w:jc w:val="left"/>
        <w:outlineLvl w:val="9"/>
        <w:rPr>
          <w:rFonts w:hint="default" w:eastAsia="仿宋_GB2312"/>
          <w:lang w:val="en-US" w:eastAsia="zh-CN"/>
        </w:rPr>
      </w:pPr>
      <w:bookmarkStart w:id="68" w:name="_Toc15377224"/>
      <w:r>
        <w:rPr>
          <w:rFonts w:ascii="仿宋_GB2312" w:hAnsi="仿宋_GB2312" w:eastAsia="仿宋_GB2312" w:cs="仿宋_GB2312"/>
          <w:color w:val="000000"/>
          <w:spacing w:val="0"/>
          <w:position w:val="0"/>
          <w:sz w:val="32"/>
          <w:shd w:val="clear" w:color="auto" w:fill="auto"/>
        </w:rPr>
        <w:t>我单位20</w:t>
      </w:r>
      <w:r>
        <w:rPr>
          <w:rFonts w:hint="eastAsia" w:ascii="仿宋_GB2312" w:hAnsi="仿宋_GB2312" w:eastAsia="仿宋_GB2312" w:cs="仿宋_GB2312"/>
          <w:color w:val="000000"/>
          <w:spacing w:val="0"/>
          <w:position w:val="0"/>
          <w:sz w:val="32"/>
          <w:shd w:val="clear" w:color="auto" w:fill="auto"/>
          <w:lang w:val="en-US" w:eastAsia="zh-CN"/>
        </w:rPr>
        <w:t>25</w:t>
      </w:r>
      <w:r>
        <w:rPr>
          <w:rFonts w:ascii="仿宋_GB2312" w:hAnsi="仿宋_GB2312" w:eastAsia="仿宋_GB2312" w:cs="仿宋_GB2312"/>
          <w:color w:val="000000"/>
          <w:spacing w:val="0"/>
          <w:position w:val="0"/>
          <w:sz w:val="32"/>
          <w:shd w:val="clear" w:color="auto" w:fill="auto"/>
        </w:rPr>
        <w:t>年政府采购支出</w:t>
      </w:r>
      <w:r>
        <w:rPr>
          <w:rFonts w:hint="eastAsia" w:ascii="仿宋_GB2312" w:hAnsi="仿宋_GB2312" w:eastAsia="仿宋_GB2312" w:cs="仿宋_GB2312"/>
          <w:color w:val="000000"/>
          <w:spacing w:val="0"/>
          <w:position w:val="0"/>
          <w:sz w:val="32"/>
          <w:shd w:val="clear" w:color="auto" w:fill="auto"/>
          <w:lang w:val="en-US" w:eastAsia="zh-CN"/>
        </w:rPr>
        <w:t>469.82万元</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val="en-US" w:eastAsia="zh-CN"/>
        </w:rPr>
        <w:t>其中松潘县X036岷大路幸福美丽乡村路监理费用11.14万元；高速公路项目推进协调专班高速公路拆迁补偿项目测绘与资产评估费用315.11万元；松潘县国道及岷江干流沿线生态退化区域生态修复项目勘察设计费142.74万元；单位车辆保险费用0.83万元。</w:t>
      </w:r>
    </w:p>
    <w:p w14:paraId="206EB066">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9" w:name="_Toc11490"/>
      <w:r>
        <w:rPr>
          <w:rFonts w:hint="eastAsia" w:ascii="Times New Roman" w:hAnsi="Times New Roman" w:eastAsia="楷体_GB2312" w:cs="楷体_GB2312"/>
          <w:b/>
          <w:color w:val="auto"/>
          <w:sz w:val="32"/>
          <w:szCs w:val="32"/>
          <w:highlight w:val="none"/>
        </w:rPr>
        <w:t>（三）国有资产占有使用情况</w:t>
      </w:r>
      <w:bookmarkEnd w:id="68"/>
      <w:bookmarkEnd w:id="69"/>
    </w:p>
    <w:p w14:paraId="0D6E1B59">
      <w:pPr>
        <w:autoSpaceDE w:val="0"/>
        <w:autoSpaceDN w:val="0"/>
        <w:adjustRightInd w:val="0"/>
        <w:spacing w:line="600"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000000"/>
          <w:sz w:val="32"/>
          <w:szCs w:val="32"/>
        </w:rPr>
        <w:t>截至</w:t>
      </w:r>
      <w:r>
        <w:rPr>
          <w:rFonts w:ascii="仿宋_GB2312" w:eastAsia="仿宋_GB2312"/>
          <w:color w:val="000000"/>
          <w:sz w:val="32"/>
          <w:szCs w:val="32"/>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eastAsia="zh-CN"/>
        </w:rPr>
        <w:t>交通运输局</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辆</w:t>
      </w:r>
      <w:r>
        <w:rPr>
          <w:rFonts w:hint="eastAsia" w:ascii="仿宋_GB2312" w:eastAsia="仿宋_GB2312"/>
          <w:color w:val="000000"/>
          <w:sz w:val="32"/>
          <w:szCs w:val="32"/>
          <w:lang w:eastAsia="zh-CN"/>
        </w:rPr>
        <w:t>、执法执勤用车</w:t>
      </w:r>
      <w:r>
        <w:rPr>
          <w:rFonts w:hint="eastAsia" w:ascii="仿宋_GB2312" w:eastAsia="仿宋_GB2312"/>
          <w:color w:val="000000"/>
          <w:sz w:val="32"/>
          <w:szCs w:val="32"/>
          <w:lang w:val="en-US" w:eastAsia="zh-CN"/>
        </w:rPr>
        <w:t>2辆</w:t>
      </w:r>
      <w:r>
        <w:rPr>
          <w:rFonts w:hint="eastAsia" w:ascii="仿宋_GB2312" w:eastAsia="仿宋_GB2312"/>
          <w:color w:val="000000"/>
          <w:sz w:val="32"/>
          <w:szCs w:val="32"/>
          <w:lang w:eastAsia="zh-CN"/>
        </w:rPr>
        <w:t>。</w:t>
      </w:r>
    </w:p>
    <w:p w14:paraId="3B4B8C2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70" w:name="_Toc28302"/>
      <w:r>
        <w:rPr>
          <w:rFonts w:hint="eastAsia" w:ascii="Times New Roman" w:hAnsi="Times New Roman" w:eastAsia="楷体_GB2312" w:cs="楷体_GB2312"/>
          <w:b/>
          <w:color w:val="auto"/>
          <w:sz w:val="32"/>
          <w:szCs w:val="32"/>
          <w:highlight w:val="none"/>
        </w:rPr>
        <w:t>（四）预算绩效管理情况</w:t>
      </w:r>
      <w:bookmarkEnd w:id="70"/>
    </w:p>
    <w:p w14:paraId="1D0F21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根据预算绩效管理要求，松潘县交通运输局在2025年度，组织对松潘县安牟路提升改造工程等11个项目开展了预算事前绩效评估，对11个项目编制了绩效目标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9DCED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F38130">
      <w:pPr>
        <w:rPr>
          <w:rFonts w:hint="eastAsia" w:ascii="Times New Roman" w:hAnsi="Times New Roman" w:eastAsia="黑体"/>
          <w:color w:val="auto"/>
          <w:sz w:val="44"/>
          <w:szCs w:val="44"/>
          <w:highlight w:val="none"/>
        </w:rPr>
      </w:pPr>
      <w:bookmarkStart w:id="71" w:name="_Toc15396613"/>
      <w:bookmarkStart w:id="72" w:name="_Toc15377225"/>
      <w:r>
        <w:rPr>
          <w:rFonts w:hint="eastAsia" w:ascii="Times New Roman" w:hAnsi="Times New Roman" w:eastAsia="黑体"/>
          <w:color w:val="auto"/>
          <w:sz w:val="44"/>
          <w:szCs w:val="44"/>
          <w:highlight w:val="none"/>
        </w:rPr>
        <w:br w:type="page"/>
      </w: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3" w:name="_Toc719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1"/>
      <w:bookmarkEnd w:id="72"/>
      <w:bookmarkEnd w:id="73"/>
    </w:p>
    <w:p w14:paraId="0C359775">
      <w:pPr>
        <w:spacing w:line="600" w:lineRule="exact"/>
        <w:jc w:val="left"/>
        <w:rPr>
          <w:rFonts w:ascii="Times New Roman" w:hAnsi="Times New Roman"/>
          <w:b/>
          <w:color w:val="auto"/>
          <w:sz w:val="44"/>
          <w:szCs w:val="44"/>
          <w:highlight w:val="none"/>
        </w:rPr>
      </w:pPr>
    </w:p>
    <w:p w14:paraId="028A11A2">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9FC5BF9">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2.年初结转和结余：指以前年度尚未完成、结转到本年按有关规定继续使用的资金。 </w:t>
      </w:r>
    </w:p>
    <w:p w14:paraId="110CBCF0">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3.结余分配：指事业单位按照事业单位会计制度的规定从非财政补助结余中分配的事业基金和职工福利基金等。</w:t>
      </w:r>
    </w:p>
    <w:p w14:paraId="108B29AC">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4.年末结转和结余：指单位按有关规定结转到下年或以后年度继续使用的资金。</w:t>
      </w:r>
    </w:p>
    <w:p w14:paraId="064291EE">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5.社会保障和就业2080505：指机关事业单位实施养老保险制度由单位缴纳的基本养老保险费支出。</w:t>
      </w:r>
    </w:p>
    <w:p w14:paraId="451478F4">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6.卫生健康21011：指财政部门安排的行政单位基本医疗保险缴费经费及公务员医疗补助经费。</w:t>
      </w:r>
    </w:p>
    <w:p w14:paraId="29A78A54">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7.节能环保2110501：指专项用于森林资源管护所发生的各项补助支出。</w:t>
      </w:r>
    </w:p>
    <w:p w14:paraId="7F168920">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8.农林水2130504：指用于农村贫困地区乡村道路、住房、基本农田、水利设施、人畜饮水、生态环境保护等生产生活条件改善方面的支出。</w:t>
      </w:r>
    </w:p>
    <w:p w14:paraId="00D4896C">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9.交通运输21401：指与公路、水路运输相关的支出。</w:t>
      </w:r>
    </w:p>
    <w:p w14:paraId="314D76C7">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10.商业服务业2169999：指其他商业服务业等支出。</w:t>
      </w:r>
    </w:p>
    <w:p w14:paraId="383D66B5">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11.住房保障2210201：指行政事业单位按人力资源和社会保障部、财政部规定的基本工资和津贴补贴以及规定比例为职工缴纳的住房公积金。</w:t>
      </w:r>
    </w:p>
    <w:p w14:paraId="5418EAAA">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12.基本支出：指为保障机构正常运转、完成日常工作任务而发生的人员支出和公用支出。</w:t>
      </w:r>
    </w:p>
    <w:p w14:paraId="7E69AE41">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13.项目支出：指在基本支出之外为完成特定行政任务和事业发展目标所发生的支出。 </w:t>
      </w:r>
    </w:p>
    <w:p w14:paraId="5C22C4D6">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CE5380A">
      <w:pPr>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74" w:name="_Toc15396618"/>
      <w:bookmarkStart w:id="75" w:name="_Toc15377226"/>
    </w:p>
    <w:p w14:paraId="19AC62FA">
      <w:pPr>
        <w:rPr>
          <w:rFonts w:hint="eastAsia" w:ascii="Times New Roman" w:hAnsi="Times New Roman" w:eastAsia="黑体"/>
          <w:color w:val="auto"/>
          <w:sz w:val="44"/>
          <w:szCs w:val="44"/>
          <w:highlight w:val="none"/>
        </w:rPr>
      </w:pPr>
      <w:bookmarkStart w:id="76" w:name="_Toc15396614"/>
      <w:r>
        <w:rPr>
          <w:rFonts w:hint="eastAsia" w:ascii="Times New Roman" w:hAnsi="Times New Roman" w:eastAsia="黑体"/>
          <w:color w:val="auto"/>
          <w:sz w:val="44"/>
          <w:szCs w:val="44"/>
          <w:highlight w:val="none"/>
        </w:rPr>
        <w:br w:type="page"/>
      </w:r>
    </w:p>
    <w:p w14:paraId="0FEF02AE">
      <w:pPr>
        <w:pStyle w:val="15"/>
        <w:keepNext w:val="0"/>
        <w:keepLines w:val="0"/>
        <w:widowControl w:val="0"/>
        <w:suppressLineNumbers w:val="0"/>
        <w:autoSpaceDE w:val="0"/>
        <w:autoSpaceDN/>
        <w:spacing w:before="0" w:beforeAutospacing="0" w:after="0" w:afterAutospacing="0" w:line="578" w:lineRule="exact"/>
        <w:ind w:left="0" w:leftChars="0" w:right="0" w:rightChars="0" w:firstLine="0" w:firstLineChars="0"/>
        <w:jc w:val="center"/>
        <w:outlineLvl w:val="0"/>
        <w:rPr>
          <w:rFonts w:hint="eastAsia" w:ascii="Times New Roman" w:hAnsi="Times New Roman" w:eastAsia="黑体"/>
          <w:color w:val="auto"/>
          <w:sz w:val="44"/>
          <w:szCs w:val="44"/>
          <w:highlight w:val="none"/>
        </w:rPr>
      </w:pPr>
      <w:bookmarkStart w:id="77" w:name="_Toc17602"/>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6"/>
      <w:bookmarkEnd w:id="77"/>
    </w:p>
    <w:p w14:paraId="23B2865C">
      <w:pPr>
        <w:pStyle w:val="15"/>
        <w:keepNext w:val="0"/>
        <w:keepLines w:val="0"/>
        <w:widowControl w:val="0"/>
        <w:suppressLineNumbers w:val="0"/>
        <w:autoSpaceDE w:val="0"/>
        <w:autoSpaceDN/>
        <w:spacing w:before="0" w:beforeAutospacing="0" w:after="0" w:afterAutospacing="0" w:line="578" w:lineRule="exact"/>
        <w:ind w:left="0" w:leftChars="0" w:right="0" w:rightChars="0" w:firstLine="0" w:firstLineChars="0"/>
        <w:jc w:val="center"/>
        <w:outlineLvl w:val="0"/>
        <w:rPr>
          <w:rFonts w:hint="eastAsia" w:ascii="方正小标宋简体" w:hAnsi="方正小标宋简体" w:eastAsia="方正小标宋简体" w:cs="方正小标宋简体"/>
          <w:color w:val="000000"/>
          <w:kern w:val="2"/>
          <w:sz w:val="44"/>
          <w:szCs w:val="44"/>
          <w:lang w:val="en-US" w:eastAsia="zh-CN" w:bidi="ar"/>
        </w:rPr>
      </w:pPr>
      <w:bookmarkStart w:id="78" w:name="_Toc23580"/>
      <w:r>
        <w:rPr>
          <w:rFonts w:hint="eastAsia" w:ascii="方正小标宋简体" w:hAnsi="方正小标宋简体" w:eastAsia="方正小标宋简体" w:cs="方正小标宋简体"/>
          <w:color w:val="000000"/>
          <w:kern w:val="2"/>
          <w:sz w:val="44"/>
          <w:szCs w:val="44"/>
          <w:lang w:val="en-US" w:eastAsia="zh-CN" w:bidi="ar"/>
        </w:rPr>
        <w:t>专项预算绩效自评报告</w:t>
      </w:r>
      <w:bookmarkEnd w:id="78"/>
    </w:p>
    <w:p w14:paraId="05AA2734">
      <w:pPr>
        <w:pStyle w:val="15"/>
        <w:keepNext w:val="0"/>
        <w:keepLines w:val="0"/>
        <w:widowControl w:val="0"/>
        <w:suppressLineNumbers w:val="0"/>
        <w:autoSpaceDE w:val="0"/>
        <w:autoSpaceDN/>
        <w:spacing w:before="0" w:beforeAutospacing="0" w:after="0" w:afterAutospacing="0" w:line="578" w:lineRule="exact"/>
        <w:ind w:left="0" w:leftChars="0" w:right="0"/>
        <w:jc w:val="center"/>
        <w:rPr>
          <w:rFonts w:hint="default" w:ascii="Times New Roman" w:hAnsi="Times New Roman" w:eastAsia="宋体" w:cs="Times New Roman"/>
          <w:kern w:val="2"/>
          <w:sz w:val="32"/>
          <w:szCs w:val="32"/>
        </w:rPr>
      </w:pPr>
      <w:r>
        <w:rPr>
          <w:rFonts w:hint="default" w:ascii="Times New Roman" w:hAnsi="Times New Roman" w:eastAsia="宋体" w:cs="Times New Roman"/>
          <w:color w:val="000000"/>
          <w:kern w:val="2"/>
          <w:sz w:val="32"/>
          <w:szCs w:val="32"/>
          <w:lang w:val="en-US" w:eastAsia="zh-CN" w:bidi="ar"/>
        </w:rPr>
        <w:t xml:space="preserve"> </w:t>
      </w:r>
    </w:p>
    <w:p w14:paraId="7C4211E2">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rightChars="0" w:firstLine="640" w:firstLineChars="200"/>
        <w:jc w:val="both"/>
        <w:outlineLvl w:val="0"/>
        <w:rPr>
          <w:rFonts w:hint="default" w:ascii="Times New Roman" w:hAnsi="Times New Roman" w:eastAsia="黑体" w:cs="Times New Roman"/>
          <w:kern w:val="2"/>
          <w:sz w:val="32"/>
          <w:szCs w:val="32"/>
        </w:rPr>
      </w:pPr>
      <w:bookmarkStart w:id="79" w:name="_Toc12913"/>
      <w:r>
        <w:rPr>
          <w:rFonts w:hint="eastAsia" w:ascii="黑体" w:hAnsi="宋体" w:eastAsia="黑体" w:cs="黑体"/>
          <w:kern w:val="2"/>
          <w:sz w:val="32"/>
          <w:szCs w:val="32"/>
          <w:lang w:val="en-US" w:eastAsia="zh-CN" w:bidi="ar"/>
        </w:rPr>
        <w:t>一、项目概况</w:t>
      </w:r>
      <w:bookmarkEnd w:id="79"/>
    </w:p>
    <w:p w14:paraId="3E28F70F">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（一）设立背景及基本情况</w:t>
      </w:r>
    </w:p>
    <w:p w14:paraId="25583DAF">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0" w:firstLineChars="20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松潘县</w:t>
      </w:r>
      <w:r>
        <w:rPr>
          <w:rFonts w:hint="default" w:ascii="Times New Roman" w:hAnsi="Times New Roman" w:eastAsia="仿宋_GB2312" w:cs="Times New Roman"/>
          <w:kern w:val="0"/>
          <w:sz w:val="32"/>
          <w:szCs w:val="32"/>
          <w:shd w:val="clear" w:fill="FFFFFF"/>
          <w:lang w:val="en-US" w:eastAsia="zh-CN" w:bidi="ar"/>
        </w:rPr>
        <w:t>Y004</w:t>
      </w:r>
      <w:r>
        <w:rPr>
          <w:rFonts w:hint="eastAsia" w:ascii="仿宋_GB2312" w:hAnsi="Times New Roman" w:eastAsia="仿宋_GB2312" w:cs="仿宋_GB2312"/>
          <w:kern w:val="0"/>
          <w:sz w:val="32"/>
          <w:szCs w:val="32"/>
          <w:shd w:val="clear" w:fill="FFFFFF"/>
          <w:lang w:val="en-US" w:eastAsia="zh-CN" w:bidi="ar"/>
        </w:rPr>
        <w:t>解双路解双桥改建工程。项目位于松潘县镇坪乡，是连接解放村与双泉村的关键通道。原解双桥经专业检测评定为五类危桥，桥体病害严重，存在重大安全隐患，且桥面宽度等指标不满足现行公路工程技术标准，严重制约当地交通安全与经济社会发展。为消除安全隐患、保障民生、服务区域旅游产业发展与乡村振兴战略，本项目立项实施。项目建设规模及主要内容：桥梁长</w:t>
      </w:r>
      <w:r>
        <w:rPr>
          <w:rFonts w:hint="default" w:ascii="Times New Roman" w:hAnsi="Times New Roman" w:eastAsia="仿宋_GB2312" w:cs="Times New Roman"/>
          <w:kern w:val="0"/>
          <w:sz w:val="32"/>
          <w:szCs w:val="32"/>
          <w:shd w:val="clear" w:fill="FFFFFF"/>
          <w:lang w:val="en-US" w:eastAsia="zh-CN" w:bidi="ar"/>
        </w:rPr>
        <w:t>66</w:t>
      </w:r>
      <w:r>
        <w:rPr>
          <w:rFonts w:hint="eastAsia" w:ascii="仿宋_GB2312" w:hAnsi="Times New Roman" w:eastAsia="仿宋_GB2312" w:cs="仿宋_GB2312"/>
          <w:kern w:val="0"/>
          <w:sz w:val="32"/>
          <w:szCs w:val="32"/>
          <w:shd w:val="clear" w:fill="FFFFFF"/>
          <w:lang w:val="en-US" w:eastAsia="zh-CN" w:bidi="ar"/>
        </w:rPr>
        <w:t>米，宽</w:t>
      </w:r>
      <w:r>
        <w:rPr>
          <w:rFonts w:hint="default" w:ascii="Times New Roman" w:hAnsi="Times New Roman" w:eastAsia="仿宋_GB2312" w:cs="Times New Roman"/>
          <w:kern w:val="0"/>
          <w:sz w:val="32"/>
          <w:szCs w:val="32"/>
          <w:shd w:val="clear" w:fill="FFFFFF"/>
          <w:lang w:val="en-US" w:eastAsia="zh-CN" w:bidi="ar"/>
        </w:rPr>
        <w:t>7.5</w:t>
      </w:r>
      <w:r>
        <w:rPr>
          <w:rFonts w:hint="eastAsia" w:ascii="仿宋_GB2312" w:hAnsi="Times New Roman" w:eastAsia="仿宋_GB2312" w:cs="仿宋_GB2312"/>
          <w:kern w:val="0"/>
          <w:sz w:val="32"/>
          <w:szCs w:val="32"/>
          <w:shd w:val="clear" w:fill="FFFFFF"/>
          <w:lang w:val="en-US" w:eastAsia="zh-CN" w:bidi="ar"/>
        </w:rPr>
        <w:t>米，桥梁采用</w:t>
      </w:r>
      <w:r>
        <w:rPr>
          <w:rFonts w:hint="default" w:ascii="Times New Roman" w:hAnsi="Times New Roman" w:eastAsia="仿宋_GB2312" w:cs="Times New Roman"/>
          <w:kern w:val="0"/>
          <w:sz w:val="32"/>
          <w:szCs w:val="32"/>
          <w:shd w:val="clear" w:fill="FFFFFF"/>
          <w:lang w:val="en-US" w:eastAsia="zh-CN" w:bidi="ar"/>
        </w:rPr>
        <w:t>2*30m</w:t>
      </w:r>
      <w:r>
        <w:rPr>
          <w:rFonts w:hint="eastAsia" w:ascii="仿宋_GB2312" w:hAnsi="Times New Roman" w:eastAsia="仿宋_GB2312" w:cs="仿宋_GB2312"/>
          <w:kern w:val="0"/>
          <w:sz w:val="32"/>
          <w:szCs w:val="32"/>
          <w:shd w:val="clear" w:fill="FFFFFF"/>
          <w:lang w:val="en-US" w:eastAsia="zh-CN" w:bidi="ar"/>
        </w:rPr>
        <w:t xml:space="preserve">预应力简支小箱梁；等附属设施。 </w:t>
      </w:r>
    </w:p>
    <w:p w14:paraId="4A847D86">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（二）实施目的及支持方向</w:t>
      </w:r>
    </w:p>
    <w:p w14:paraId="041D9033">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b/>
          <w:bCs w:val="0"/>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彻底消除重大安全风险，保障人民生命财产与应急通道畅通，并以此为基础恢复和提升交通能力，服务区域经济社会发展与乡村振兴。项目高度契合国家</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危旧桥梁改造</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基础设施补短板、乡村振兴等战略，可从交通运输部专项资金、中央预算内投资、地方政府债券等多渠道获得重点支持。实施中应坚持前瞻设计，兼顾扩容提质、耐久性与全寿命成本，确保新建桥梁不仅安全可靠，更能适应长远发展需求。</w:t>
      </w:r>
    </w:p>
    <w:p w14:paraId="1CA02B14">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（三）预算安排及分配管理</w:t>
      </w:r>
    </w:p>
    <w:p w14:paraId="0620F57A">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0" w:firstLineChars="20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预算安排与分配管理遵循</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规划引领、分级负责、全程监管</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原则。资金主要来源于中央和省级专项补助、地方财政配套及地方政府债券。上级补助通常采用因素法（如危桥数量、地区经济水平等）</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切块</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分配至地方，并实行</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项目库管理</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，只有入库且完成前期工作的项目方可获得资金。资金管理要求专款专用，严禁挤占挪用，并实施全过程绩效管理，将拨付与项目进度、绩效目标挂钩，同时接受财政、审计等多方监督，确保资金安全高效使用。</w:t>
      </w:r>
    </w:p>
    <w:p w14:paraId="4BDC3D66">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（四）项目绩效目标设置</w:t>
      </w:r>
    </w:p>
    <w:p w14:paraId="1D4A6619">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围绕产出、效益与满意度三大维度系统构建。产出目标需量化，确保工程验收合格率</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、工期延误率低于</w:t>
      </w:r>
      <w:r>
        <w:rPr>
          <w:rFonts w:hint="default" w:ascii="Times New Roman" w:hAnsi="Times New Roman" w:eastAsia="仿宋_GB2312" w:cs="Times New Roman"/>
          <w:kern w:val="0"/>
          <w:sz w:val="32"/>
          <w:szCs w:val="32"/>
          <w:shd w:val="clear" w:fill="FFFFFF"/>
          <w:lang w:val="en-US" w:eastAsia="zh-CN" w:bidi="ar"/>
        </w:rPr>
        <w:t>5%</w:t>
      </w:r>
      <w:r>
        <w:rPr>
          <w:rFonts w:hint="eastAsia" w:ascii="仿宋_GB2312" w:hAnsi="Times New Roman" w:eastAsia="仿宋_GB2312" w:cs="仿宋_GB2312"/>
          <w:kern w:val="0"/>
          <w:sz w:val="32"/>
          <w:szCs w:val="32"/>
          <w:shd w:val="clear" w:fill="FFFFFF"/>
          <w:lang w:val="en-US" w:eastAsia="zh-CN" w:bidi="ar"/>
        </w:rPr>
        <w:t>、总投资不超概算，并满足设计通行标准。效益目标强调安全与综合价值，核心是彻底消除安全隐患、保障应急通行，并力争提升区域交通效率、降低污染，且施工期环保措施到位。满意度目标以公众和主管部门为核心，通过规范调查确保满意度均达</w:t>
      </w:r>
      <w:r>
        <w:rPr>
          <w:rFonts w:hint="default" w:ascii="Times New Roman" w:hAnsi="Times New Roman" w:eastAsia="仿宋_GB2312" w:cs="Times New Roman"/>
          <w:kern w:val="0"/>
          <w:sz w:val="32"/>
          <w:szCs w:val="32"/>
          <w:shd w:val="clear" w:fill="FFFFFF"/>
          <w:lang w:val="en-US" w:eastAsia="zh-CN" w:bidi="ar"/>
        </w:rPr>
        <w:t>90%</w:t>
      </w:r>
      <w:r>
        <w:rPr>
          <w:rFonts w:hint="eastAsia" w:ascii="仿宋_GB2312" w:hAnsi="Times New Roman" w:eastAsia="仿宋_GB2312" w:cs="仿宋_GB2312"/>
          <w:kern w:val="0"/>
          <w:sz w:val="32"/>
          <w:szCs w:val="32"/>
          <w:shd w:val="clear" w:fill="FFFFFF"/>
          <w:lang w:val="en-US" w:eastAsia="zh-CN" w:bidi="ar"/>
        </w:rPr>
        <w:t>以上。所有目标均需对应明确的评估证据与方法，并贯穿项目全周期，实现从建设到运营的闭环管理。</w:t>
      </w:r>
    </w:p>
    <w:p w14:paraId="0DA7F668">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严格开展全过程绩效自评。项目法人依据批复的绩效目标，在建设期进行动态监控，对关键工期节点、资金执行及质量安全等核心指标进行跟踪自查。项目完工后，系统对照产出、效益、满意度等目标逐项自评，形成报告，重点评估工程质量、安全效益达成度及公众满意度，并分析偏差原因。自评结果直接用于指导项目整改、竣工结算及管理问责，并作为重要档案，为上级部门考核、审计及后续同类项目决策提供基础依据，确保绩效管理形成实效闭环。</w:t>
      </w:r>
    </w:p>
    <w:p w14:paraId="0706F16E">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rightChars="0" w:firstLine="640" w:firstLineChars="200"/>
        <w:jc w:val="both"/>
        <w:outlineLvl w:val="0"/>
        <w:rPr>
          <w:rFonts w:hint="default" w:ascii="Times New Roman" w:hAnsi="Times New Roman" w:eastAsia="黑体" w:cs="Times New Roman"/>
          <w:kern w:val="2"/>
          <w:sz w:val="32"/>
          <w:szCs w:val="32"/>
        </w:rPr>
      </w:pPr>
      <w:bookmarkStart w:id="80" w:name="_Toc10485"/>
      <w:r>
        <w:rPr>
          <w:rFonts w:hint="eastAsia" w:ascii="黑体" w:hAnsi="宋体" w:eastAsia="黑体" w:cs="黑体"/>
          <w:kern w:val="2"/>
          <w:sz w:val="32"/>
          <w:szCs w:val="32"/>
          <w:lang w:val="en-US" w:eastAsia="zh-CN" w:bidi="ar"/>
        </w:rPr>
        <w:t>二、评价实施</w:t>
      </w:r>
      <w:bookmarkEnd w:id="80"/>
    </w:p>
    <w:p w14:paraId="6F9F24A5">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（一）评价目的</w:t>
      </w:r>
    </w:p>
    <w:p w14:paraId="0FE62F6C">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确保公共财政资金投入的科学性、有效性与问责性，实现从</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投了钱</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到</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办了事</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再到</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产生了实效</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的闭环管理。具体而言：一是检验决策成效，通过客观数据验证项目是否精准达成了消除安全隐患、提升通行能力的核心目标；二是管控实施过程，以绩效目标为标尺监督建设质量、工期与成本，防范风险；三是衡量综合效益，系统评估项目在安全、经济、社会及环境等方面的长远价值；四是强化责任约束，将评价结果与责任主体考核、未来资金分配挂钩，倒逼管理水平提升；最终是为优化公共资源配置提供实证依据，推动基础设施建设从</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重量</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向</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重质</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的战略转型。</w:t>
      </w:r>
    </w:p>
    <w:p w14:paraId="0030FA55">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（二）预设问题及评价重点</w:t>
      </w:r>
    </w:p>
    <w:p w14:paraId="567BB453">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本绩效评价旨在通过预设的关键问题</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即目标达成度、过程合规性、效益可持续性及公众获得感</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聚焦四大评价重点：一是核查工程产出是否严格符合设计与质量标准；二是审视资金使用的经济性与规范性；三是客观验证安全、经济、社会等综合效益的实现程度；四是评估项目全过程管理的合规性与有效性。评价以证据为基础，旨在系统衡量财政资金使用的综合效果与长期价值。</w:t>
      </w:r>
    </w:p>
    <w:p w14:paraId="6EAFAE64">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（三）评价方法</w:t>
      </w:r>
    </w:p>
    <w:p w14:paraId="2885D8C7">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本项目绩效评价将采用</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三位一体</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的实用方法组合：以单位自评报告为基础依据，通过实地勘察对工程实体质量与管理记录进行现场核实，并借助问卷调查直接获取公众与管理部门的使用感受与满意度。 三种方法相互关联、交叉验证</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用实地情况检验自评真实性，以公众反馈衡量效益达成度，从而形成从内部管理到外部效果、从书面证据到实物观感的完整证据链，确保评价结论客观、全面且可信。</w:t>
      </w:r>
    </w:p>
    <w:p w14:paraId="4BD2EF02">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rightChars="0" w:firstLine="640" w:firstLineChars="200"/>
        <w:jc w:val="both"/>
        <w:outlineLvl w:val="0"/>
        <w:rPr>
          <w:rFonts w:hint="default" w:ascii="Times New Roman" w:hAnsi="Times New Roman" w:eastAsia="仿宋_GB2312" w:cs="Times New Roman"/>
          <w:kern w:val="2"/>
          <w:sz w:val="32"/>
          <w:szCs w:val="32"/>
        </w:rPr>
      </w:pPr>
      <w:bookmarkStart w:id="81" w:name="_Toc11471"/>
      <w:r>
        <w:rPr>
          <w:rFonts w:hint="eastAsia" w:ascii="黑体" w:hAnsi="宋体" w:eastAsia="黑体" w:cs="黑体"/>
          <w:kern w:val="2"/>
          <w:sz w:val="32"/>
          <w:szCs w:val="32"/>
          <w:lang w:val="en-US" w:eastAsia="zh-CN" w:bidi="ar"/>
        </w:rPr>
        <w:t>三、绩效分析</w:t>
      </w:r>
      <w:bookmarkEnd w:id="81"/>
    </w:p>
    <w:p w14:paraId="6953B91A">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个性指标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涉及二、三级指标进行逐项绩效分析并评分。</w:t>
      </w:r>
    </w:p>
    <w:p w14:paraId="078B9BCC">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530BC60F">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1. </w:t>
      </w:r>
      <w:r>
        <w:rPr>
          <w:rFonts w:hint="eastAsia" w:ascii="仿宋_GB2312" w:hAnsi="Times New Roman" w:eastAsia="仿宋_GB2312" w:cs="仿宋_GB2312"/>
          <w:kern w:val="2"/>
          <w:sz w:val="32"/>
          <w:szCs w:val="32"/>
          <w:lang w:val="en-US" w:eastAsia="zh-CN" w:bidi="ar"/>
        </w:rPr>
        <w:t>项目决策（</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分）：立项程序规范、论证充分、资金投向精准，得</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分；若存在程序瑕疵或论证不足，酌情扣</w:t>
      </w:r>
      <w:r>
        <w:rPr>
          <w:rFonts w:hint="default" w:ascii="Times New Roman" w:hAnsi="Times New Roman" w:eastAsia="仿宋_GB2312" w:cs="Times New Roman"/>
          <w:kern w:val="2"/>
          <w:sz w:val="32"/>
          <w:szCs w:val="32"/>
          <w:lang w:val="en-US" w:eastAsia="zh-CN" w:bidi="ar"/>
        </w:rPr>
        <w:t>2</w:t>
      </w:r>
      <w:r>
        <w:rPr>
          <w:rFonts w:hint="eastAsia"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分。</w:t>
      </w:r>
    </w:p>
    <w:p w14:paraId="52798483">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2. </w:t>
      </w:r>
      <w:r>
        <w:rPr>
          <w:rFonts w:hint="eastAsia" w:ascii="仿宋_GB2312" w:hAnsi="Times New Roman" w:eastAsia="仿宋_GB2312" w:cs="仿宋_GB2312"/>
          <w:kern w:val="2"/>
          <w:sz w:val="32"/>
          <w:szCs w:val="32"/>
          <w:lang w:val="en-US" w:eastAsia="zh-CN" w:bidi="ar"/>
        </w:rPr>
        <w:t>项目管理（</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分）：制度健全、资金分配合理、绩效监管有效，得</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分；任一环节存在疏漏扣</w:t>
      </w:r>
      <w:r>
        <w:rPr>
          <w:rFonts w:hint="default" w:ascii="Times New Roman" w:hAnsi="Times New Roman" w:eastAsia="仿宋_GB2312" w:cs="Times New Roman"/>
          <w:kern w:val="2"/>
          <w:sz w:val="32"/>
          <w:szCs w:val="32"/>
          <w:lang w:val="en-US" w:eastAsia="zh-CN" w:bidi="ar"/>
        </w:rPr>
        <w:t>3</w:t>
      </w:r>
      <w:r>
        <w:rPr>
          <w:rFonts w:hint="eastAsia"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分。</w:t>
      </w:r>
    </w:p>
    <w:p w14:paraId="7687AA3E">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3. </w:t>
      </w:r>
      <w:r>
        <w:rPr>
          <w:rFonts w:hint="eastAsia" w:ascii="仿宋_GB2312" w:hAnsi="Times New Roman" w:eastAsia="仿宋_GB2312" w:cs="仿宋_GB2312"/>
          <w:kern w:val="2"/>
          <w:sz w:val="32"/>
          <w:szCs w:val="32"/>
          <w:lang w:val="en-US" w:eastAsia="zh-CN" w:bidi="ar"/>
        </w:rPr>
        <w:t>项目实施（</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分）：预算执行率在</w:t>
      </w:r>
      <w:r>
        <w:rPr>
          <w:rFonts w:hint="eastAsia" w:ascii="仿宋_GB2312" w:eastAsia="仿宋_GB2312" w:cs="仿宋_GB2312"/>
          <w:kern w:val="2"/>
          <w:sz w:val="32"/>
          <w:szCs w:val="32"/>
          <w:lang w:val="en-US" w:eastAsia="zh-CN" w:bidi="ar"/>
        </w:rPr>
        <w:t>95%—105%</w:t>
      </w:r>
      <w:r>
        <w:rPr>
          <w:rFonts w:hint="eastAsia" w:ascii="仿宋_GB2312" w:hAnsi="Times New Roman" w:eastAsia="仿宋_GB2312" w:cs="仿宋_GB2312"/>
          <w:kern w:val="2"/>
          <w:sz w:val="32"/>
          <w:szCs w:val="32"/>
          <w:lang w:val="en-US" w:eastAsia="zh-CN" w:bidi="ar"/>
        </w:rPr>
        <w:t>区间且资金使用合规，得</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分；执行率每偏离</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或发现违规支出扣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28D59DFF">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4. </w:t>
      </w:r>
      <w:r>
        <w:rPr>
          <w:rFonts w:hint="eastAsia" w:ascii="仿宋_GB2312" w:hAnsi="Times New Roman" w:eastAsia="仿宋_GB2312" w:cs="仿宋_GB2312"/>
          <w:kern w:val="2"/>
          <w:sz w:val="32"/>
          <w:szCs w:val="32"/>
          <w:lang w:val="en-US" w:eastAsia="zh-CN" w:bidi="ar"/>
        </w:rPr>
        <w:t>项目结果（</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分）：核心目标全面达成且按期完工，得</w:t>
      </w:r>
      <w:r>
        <w:rPr>
          <w:rFonts w:hint="default" w:ascii="Times New Roman" w:hAnsi="Times New Roman" w:eastAsia="仿宋_GB2312" w:cs="Times New Roman"/>
          <w:kern w:val="2"/>
          <w:sz w:val="32"/>
          <w:szCs w:val="32"/>
          <w:lang w:val="en-US" w:eastAsia="zh-CN" w:bidi="ar"/>
        </w:rPr>
        <w:t>15</w:t>
      </w:r>
      <w:r>
        <w:rPr>
          <w:rFonts w:hint="eastAsia" w:ascii="仿宋_GB2312" w:hAnsi="Times New Roman" w:eastAsia="仿宋_GB2312" w:cs="仿宋_GB2312"/>
          <w:kern w:val="2"/>
          <w:sz w:val="32"/>
          <w:szCs w:val="32"/>
          <w:lang w:val="en-US" w:eastAsia="zh-CN" w:bidi="ar"/>
        </w:rPr>
        <w:t>分；功能未完全实现或工期延误，按影响程度扣</w:t>
      </w:r>
      <w:r>
        <w:rPr>
          <w:rFonts w:hint="default" w:ascii="Times New Roman" w:hAnsi="Times New Roman" w:eastAsia="仿宋_GB2312" w:cs="Times New Roman"/>
          <w:kern w:val="2"/>
          <w:sz w:val="32"/>
          <w:szCs w:val="32"/>
          <w:lang w:val="en-US" w:eastAsia="zh-CN" w:bidi="ar"/>
        </w:rPr>
        <w:t>5</w:t>
      </w:r>
      <w:r>
        <w:rPr>
          <w:rFonts w:hint="eastAsia"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w:t>
      </w:r>
    </w:p>
    <w:p w14:paraId="0EFBB1C8">
      <w:pPr>
        <w:keepNext w:val="0"/>
        <w:keepLines w:val="0"/>
        <w:widowControl w:val="0"/>
        <w:suppressLineNumbers w:val="0"/>
        <w:autoSpaceDE w:val="0"/>
        <w:autoSpaceDN/>
        <w:spacing w:before="0" w:beforeAutospacing="0" w:after="0" w:afterAutospacing="0" w:line="578" w:lineRule="exact"/>
        <w:ind w:left="0" w:leftChars="0" w:right="0" w:firstLine="643" w:firstLineChars="20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47741323">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项目验收规范性（</w:t>
      </w:r>
      <w:r>
        <w:rPr>
          <w:rFonts w:hint="default" w:ascii="Times New Roman" w:hAnsi="Times New Roman" w:eastAsia="仿宋_GB2312" w:cs="Times New Roman"/>
          <w:kern w:val="2"/>
          <w:sz w:val="32"/>
          <w:szCs w:val="32"/>
          <w:lang w:val="en-US" w:eastAsia="zh-CN" w:bidi="ar"/>
        </w:rPr>
        <w:t>8</w:t>
      </w:r>
      <w:r>
        <w:rPr>
          <w:rFonts w:hint="eastAsia" w:ascii="仿宋_GB2312" w:hAnsi="Times New Roman" w:eastAsia="仿宋_GB2312" w:cs="仿宋_GB2312"/>
          <w:kern w:val="2"/>
          <w:sz w:val="32"/>
          <w:szCs w:val="32"/>
          <w:lang w:val="en-US" w:eastAsia="zh-CN" w:bidi="ar"/>
        </w:rPr>
        <w:t>分）：验收资料完整、程序合规得满分，否则扣</w:t>
      </w:r>
      <w:r>
        <w:rPr>
          <w:rFonts w:hint="default" w:ascii="Times New Roman" w:hAnsi="Times New Roman" w:eastAsia="仿宋_GB2312" w:cs="Times New Roman"/>
          <w:kern w:val="2"/>
          <w:sz w:val="32"/>
          <w:szCs w:val="32"/>
          <w:lang w:val="en-US" w:eastAsia="zh-CN" w:bidi="ar"/>
        </w:rPr>
        <w:t>4</w:t>
      </w:r>
      <w:r>
        <w:rPr>
          <w:rFonts w:hint="eastAsia"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8</w:t>
      </w:r>
      <w:r>
        <w:rPr>
          <w:rFonts w:hint="eastAsia" w:ascii="仿宋_GB2312" w:hAnsi="Times New Roman" w:eastAsia="仿宋_GB2312" w:cs="仿宋_GB2312"/>
          <w:kern w:val="2"/>
          <w:sz w:val="32"/>
          <w:szCs w:val="32"/>
          <w:lang w:val="en-US" w:eastAsia="zh-CN" w:bidi="ar"/>
        </w:rPr>
        <w:t>分。</w:t>
      </w:r>
    </w:p>
    <w:p w14:paraId="5F6AF201">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设计功能实现度（</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分）：通行能力、安全等级等完全达标得满分，未达标项每项扣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284E813E">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楷体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后续管护健全性（</w:t>
      </w:r>
      <w:r>
        <w:rPr>
          <w:rFonts w:hint="default" w:ascii="Times New Roman" w:hAnsi="Times New Roman" w:eastAsia="仿宋_GB2312" w:cs="Times New Roman"/>
          <w:kern w:val="2"/>
          <w:sz w:val="32"/>
          <w:szCs w:val="32"/>
          <w:lang w:val="en-US" w:eastAsia="zh-CN" w:bidi="ar"/>
        </w:rPr>
        <w:t>7</w:t>
      </w:r>
      <w:r>
        <w:rPr>
          <w:rFonts w:hint="eastAsia" w:ascii="仿宋_GB2312" w:hAnsi="Times New Roman" w:eastAsia="仿宋_GB2312" w:cs="仿宋_GB2312"/>
          <w:kern w:val="2"/>
          <w:sz w:val="32"/>
          <w:szCs w:val="32"/>
          <w:lang w:val="en-US" w:eastAsia="zh-CN" w:bidi="ar"/>
        </w:rPr>
        <w:t>分）：管养责任、机制及经费明确得满分，否则扣</w:t>
      </w:r>
      <w:r>
        <w:rPr>
          <w:rFonts w:hint="default" w:ascii="Times New Roman" w:hAnsi="Times New Roman" w:eastAsia="仿宋_GB2312" w:cs="Times New Roman"/>
          <w:kern w:val="2"/>
          <w:sz w:val="32"/>
          <w:szCs w:val="32"/>
          <w:lang w:val="en-US" w:eastAsia="zh-CN" w:bidi="ar"/>
        </w:rPr>
        <w:t>3</w:t>
      </w:r>
      <w:r>
        <w:rPr>
          <w:rFonts w:hint="eastAsia"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7</w:t>
      </w:r>
      <w:r>
        <w:rPr>
          <w:rFonts w:hint="eastAsia" w:ascii="仿宋_GB2312" w:hAnsi="Times New Roman" w:eastAsia="仿宋_GB2312" w:cs="仿宋_GB2312"/>
          <w:kern w:val="2"/>
          <w:sz w:val="32"/>
          <w:szCs w:val="32"/>
          <w:lang w:val="en-US" w:eastAsia="zh-CN" w:bidi="ar"/>
        </w:rPr>
        <w:t>分。</w:t>
      </w:r>
    </w:p>
    <w:p w14:paraId="10AF9D76">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4A819B51">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安全隐患消除率（</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分）：彻底消除得满分，否则不得分。</w:t>
      </w:r>
    </w:p>
    <w:p w14:paraId="4FB800CF">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公众满意度（</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分）：调查结果≥</w:t>
      </w:r>
      <w:r>
        <w:rPr>
          <w:rFonts w:hint="default" w:ascii="Times New Roman" w:hAnsi="Times New Roman" w:eastAsia="仿宋_GB2312" w:cs="Times New Roman"/>
          <w:kern w:val="2"/>
          <w:sz w:val="32"/>
          <w:szCs w:val="32"/>
          <w:lang w:val="en-US" w:eastAsia="zh-CN" w:bidi="ar"/>
        </w:rPr>
        <w:t>90%</w:t>
      </w:r>
      <w:r>
        <w:rPr>
          <w:rFonts w:hint="eastAsia" w:ascii="仿宋_GB2312" w:hAnsi="Times New Roman" w:eastAsia="仿宋_GB2312" w:cs="仿宋_GB2312"/>
          <w:kern w:val="2"/>
          <w:sz w:val="32"/>
          <w:szCs w:val="32"/>
          <w:lang w:val="en-US" w:eastAsia="zh-CN" w:bidi="ar"/>
        </w:rPr>
        <w:t>得满分，每降低</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扣</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7AFDBCCD">
      <w:pPr>
        <w:keepNext w:val="0"/>
        <w:keepLines w:val="0"/>
        <w:widowControl w:val="0"/>
        <w:suppressLineNumbers w:val="0"/>
        <w:autoSpaceDE w:val="0"/>
        <w:autoSpaceDN/>
        <w:spacing w:before="0" w:beforeAutospacing="0" w:after="0" w:afterAutospacing="0" w:line="578" w:lineRule="exact"/>
        <w:ind w:left="0" w:leftChars="0" w:right="0" w:firstLine="64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通行效率提升率（</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分）：达到预期目标得满分，未达成按比例扣分。</w:t>
      </w:r>
    </w:p>
    <w:p w14:paraId="6EDAEE3E">
      <w:pPr>
        <w:pStyle w:val="15"/>
        <w:keepNext w:val="0"/>
        <w:keepLines w:val="0"/>
        <w:widowControl w:val="0"/>
        <w:suppressLineNumbers w:val="0"/>
        <w:tabs>
          <w:tab w:val="left" w:pos="2160"/>
        </w:tabs>
        <w:autoSpaceDE w:val="0"/>
        <w:autoSpaceDN/>
        <w:spacing w:before="0" w:beforeAutospacing="0" w:after="0" w:afterAutospacing="0" w:line="578" w:lineRule="exact"/>
        <w:ind w:left="0" w:leftChars="0" w:right="0" w:rightChars="0" w:firstLine="640" w:firstLineChars="200"/>
        <w:jc w:val="both"/>
        <w:outlineLvl w:val="0"/>
        <w:rPr>
          <w:rFonts w:hint="default" w:ascii="Times New Roman" w:hAnsi="Times New Roman" w:eastAsia="黑体" w:cs="Times New Roman"/>
          <w:kern w:val="0"/>
          <w:position w:val="3"/>
          <w:sz w:val="32"/>
          <w:szCs w:val="32"/>
        </w:rPr>
      </w:pPr>
      <w:bookmarkStart w:id="82" w:name="_Toc12102"/>
      <w:r>
        <w:rPr>
          <w:rFonts w:hint="eastAsia" w:ascii="黑体" w:hAnsi="宋体" w:eastAsia="黑体" w:cs="黑体"/>
          <w:kern w:val="0"/>
          <w:position w:val="3"/>
          <w:sz w:val="32"/>
          <w:szCs w:val="32"/>
          <w:lang w:val="en-US" w:eastAsia="zh-CN" w:bidi="ar"/>
        </w:rPr>
        <w:t>四、评价结论</w:t>
      </w:r>
      <w:bookmarkEnd w:id="82"/>
    </w:p>
    <w:p w14:paraId="2F56D39D">
      <w:pPr>
        <w:pStyle w:val="15"/>
        <w:keepNext w:val="0"/>
        <w:keepLines w:val="0"/>
        <w:widowControl w:val="0"/>
        <w:suppressLineNumbers w:val="0"/>
        <w:tabs>
          <w:tab w:val="left" w:pos="2160"/>
        </w:tabs>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本项目绩效自评总体结论为</w:t>
      </w:r>
      <w:r>
        <w:rPr>
          <w:rFonts w:hint="default" w:ascii="Times New Roman" w:hAnsi="Times New Roman" w:eastAsia="仿宋_GB2312" w:cs="Times New Roman"/>
          <w:b w:val="0"/>
          <w:bCs w:val="0"/>
          <w:kern w:val="0"/>
          <w:position w:val="3"/>
          <w:sz w:val="32"/>
          <w:szCs w:val="32"/>
          <w:lang w:val="en-US" w:eastAsia="zh-CN" w:bidi="ar"/>
        </w:rPr>
        <w:t>“</w:t>
      </w:r>
      <w:r>
        <w:rPr>
          <w:rFonts w:hint="eastAsia" w:ascii="仿宋_GB2312" w:hAnsi="Times New Roman" w:eastAsia="仿宋_GB2312" w:cs="仿宋_GB2312"/>
          <w:b w:val="0"/>
          <w:bCs w:val="0"/>
          <w:kern w:val="0"/>
          <w:position w:val="3"/>
          <w:sz w:val="32"/>
          <w:szCs w:val="32"/>
          <w:lang w:val="en-US" w:eastAsia="zh-CN" w:bidi="ar"/>
        </w:rPr>
        <w:t>优</w:t>
      </w:r>
      <w:r>
        <w:rPr>
          <w:rFonts w:hint="default" w:ascii="Times New Roman" w:hAnsi="Times New Roman" w:eastAsia="仿宋_GB2312" w:cs="Times New Roman"/>
          <w:b w:val="0"/>
          <w:bCs w:val="0"/>
          <w:kern w:val="0"/>
          <w:position w:val="3"/>
          <w:sz w:val="32"/>
          <w:szCs w:val="32"/>
          <w:lang w:val="en-US" w:eastAsia="zh-CN" w:bidi="ar"/>
        </w:rPr>
        <w:t>”</w:t>
      </w:r>
      <w:r>
        <w:rPr>
          <w:rFonts w:hint="eastAsia" w:ascii="仿宋_GB2312" w:hAnsi="Times New Roman" w:eastAsia="仿宋_GB2312" w:cs="仿宋_GB2312"/>
          <w:b w:val="0"/>
          <w:bCs w:val="0"/>
          <w:kern w:val="0"/>
          <w:position w:val="3"/>
          <w:sz w:val="32"/>
          <w:szCs w:val="32"/>
          <w:lang w:val="en-US" w:eastAsia="zh-CN" w:bidi="ar"/>
        </w:rPr>
        <w:t>，综合得分</w:t>
      </w:r>
      <w:r>
        <w:rPr>
          <w:rFonts w:hint="default" w:ascii="Times New Roman" w:hAnsi="Times New Roman" w:eastAsia="仿宋_GB2312" w:cs="Times New Roman"/>
          <w:b w:val="0"/>
          <w:bCs w:val="0"/>
          <w:kern w:val="0"/>
          <w:position w:val="3"/>
          <w:sz w:val="32"/>
          <w:szCs w:val="32"/>
          <w:lang w:val="en-US" w:eastAsia="zh-CN" w:bidi="ar"/>
        </w:rPr>
        <w:t>92</w:t>
      </w:r>
      <w:r>
        <w:rPr>
          <w:rFonts w:hint="eastAsia" w:ascii="仿宋_GB2312" w:hAnsi="Times New Roman" w:eastAsia="仿宋_GB2312" w:cs="仿宋_GB2312"/>
          <w:b w:val="0"/>
          <w:bCs w:val="0"/>
          <w:kern w:val="0"/>
          <w:position w:val="3"/>
          <w:sz w:val="32"/>
          <w:szCs w:val="32"/>
          <w:lang w:val="en-US" w:eastAsia="zh-CN" w:bidi="ar"/>
        </w:rPr>
        <w:t>分。项目已按标准建成，彻底消除安全隐患，核心功能全面实现；资金使用合规，预算执行率达</w:t>
      </w:r>
      <w:r>
        <w:rPr>
          <w:rFonts w:hint="default" w:ascii="Times New Roman" w:hAnsi="Times New Roman" w:eastAsia="仿宋_GB2312" w:cs="Times New Roman"/>
          <w:b w:val="0"/>
          <w:bCs w:val="0"/>
          <w:kern w:val="0"/>
          <w:position w:val="3"/>
          <w:sz w:val="32"/>
          <w:szCs w:val="32"/>
          <w:lang w:val="en-US" w:eastAsia="zh-CN" w:bidi="ar"/>
        </w:rPr>
        <w:t>98%</w:t>
      </w:r>
      <w:r>
        <w:rPr>
          <w:rFonts w:hint="eastAsia" w:ascii="仿宋_GB2312" w:hAnsi="Times New Roman" w:eastAsia="仿宋_GB2312" w:cs="仿宋_GB2312"/>
          <w:b w:val="0"/>
          <w:bCs w:val="0"/>
          <w:kern w:val="0"/>
          <w:position w:val="3"/>
          <w:sz w:val="32"/>
          <w:szCs w:val="32"/>
          <w:lang w:val="en-US" w:eastAsia="zh-CN" w:bidi="ar"/>
        </w:rPr>
        <w:t>，过程管理规范；社会效益显著，公众满意度达</w:t>
      </w:r>
      <w:r>
        <w:rPr>
          <w:rFonts w:hint="default" w:ascii="Times New Roman" w:hAnsi="Times New Roman" w:eastAsia="仿宋_GB2312" w:cs="Times New Roman"/>
          <w:b w:val="0"/>
          <w:bCs w:val="0"/>
          <w:kern w:val="0"/>
          <w:position w:val="3"/>
          <w:sz w:val="32"/>
          <w:szCs w:val="32"/>
          <w:lang w:val="en-US" w:eastAsia="zh-CN" w:bidi="ar"/>
        </w:rPr>
        <w:t>93%</w:t>
      </w:r>
      <w:r>
        <w:rPr>
          <w:rFonts w:hint="eastAsia" w:ascii="仿宋_GB2312" w:hAnsi="Times New Roman" w:eastAsia="仿宋_GB2312" w:cs="仿宋_GB2312"/>
          <w:b w:val="0"/>
          <w:bCs w:val="0"/>
          <w:kern w:val="0"/>
          <w:position w:val="3"/>
          <w:sz w:val="32"/>
          <w:szCs w:val="32"/>
          <w:lang w:val="en-US" w:eastAsia="zh-CN" w:bidi="ar"/>
        </w:rPr>
        <w:t>。后续需优化细节管护以巩固长期成效。</w:t>
      </w:r>
    </w:p>
    <w:p w14:paraId="784F520F">
      <w:pPr>
        <w:pStyle w:val="15"/>
        <w:keepNext w:val="0"/>
        <w:keepLines w:val="0"/>
        <w:widowControl w:val="0"/>
        <w:suppressLineNumbers w:val="0"/>
        <w:tabs>
          <w:tab w:val="left" w:pos="2160"/>
        </w:tabs>
        <w:autoSpaceDE w:val="0"/>
        <w:autoSpaceDN/>
        <w:spacing w:before="0" w:beforeAutospacing="0" w:after="0" w:afterAutospacing="0" w:line="578" w:lineRule="exact"/>
        <w:ind w:left="0" w:leftChars="0" w:right="0" w:rightChars="0" w:firstLine="640" w:firstLineChars="200"/>
        <w:jc w:val="both"/>
        <w:outlineLvl w:val="0"/>
        <w:rPr>
          <w:rFonts w:hint="default" w:ascii="Times New Roman" w:hAnsi="Times New Roman" w:eastAsia="黑体" w:cs="Times New Roman"/>
          <w:kern w:val="0"/>
          <w:position w:val="3"/>
          <w:sz w:val="32"/>
          <w:szCs w:val="32"/>
        </w:rPr>
      </w:pPr>
      <w:bookmarkStart w:id="83" w:name="_Toc28989"/>
      <w:r>
        <w:rPr>
          <w:rFonts w:hint="eastAsia" w:ascii="黑体" w:hAnsi="宋体" w:eastAsia="黑体" w:cs="黑体"/>
          <w:kern w:val="0"/>
          <w:position w:val="3"/>
          <w:sz w:val="32"/>
          <w:szCs w:val="32"/>
          <w:lang w:val="en-US" w:eastAsia="zh-CN" w:bidi="ar"/>
        </w:rPr>
        <w:t>五、存在主要问题</w:t>
      </w:r>
      <w:bookmarkEnd w:id="83"/>
    </w:p>
    <w:p w14:paraId="2C0EF77B">
      <w:pPr>
        <w:pStyle w:val="15"/>
        <w:keepNext w:val="0"/>
        <w:keepLines w:val="0"/>
        <w:widowControl w:val="0"/>
        <w:suppressLineNumbers w:val="0"/>
        <w:tabs>
          <w:tab w:val="left" w:pos="2160"/>
        </w:tabs>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本次绩效自评发现，项目核心短板在于长效管养的资金保障机制缺失。尽管项目建设阶段管理规范、未发生设计变更，且竣工后养护责任主体明确，但未能同步落实与养护责任相匹配的专项管养及监测资金，导致健康监测、预防性养护等常态化专业工作缺乏稳定预算支撑，存在设施长期安全运行与性能维持的潜在风险。</w:t>
      </w:r>
    </w:p>
    <w:p w14:paraId="71313375">
      <w:pPr>
        <w:pStyle w:val="15"/>
        <w:keepNext w:val="0"/>
        <w:keepLines w:val="0"/>
        <w:widowControl w:val="0"/>
        <w:suppressLineNumbers w:val="0"/>
        <w:tabs>
          <w:tab w:val="left" w:pos="2160"/>
        </w:tabs>
        <w:autoSpaceDE w:val="0"/>
        <w:autoSpaceDN/>
        <w:spacing w:before="0" w:beforeAutospacing="0" w:after="0" w:afterAutospacing="0" w:line="578" w:lineRule="exact"/>
        <w:ind w:left="0" w:leftChars="0" w:right="0" w:rightChars="0" w:firstLine="640" w:firstLineChars="200"/>
        <w:jc w:val="both"/>
        <w:outlineLvl w:val="0"/>
        <w:rPr>
          <w:rFonts w:hint="default" w:ascii="Times New Roman" w:hAnsi="Times New Roman" w:eastAsia="黑体" w:cs="Times New Roman"/>
          <w:kern w:val="0"/>
          <w:position w:val="3"/>
          <w:sz w:val="32"/>
          <w:szCs w:val="32"/>
        </w:rPr>
      </w:pPr>
      <w:bookmarkStart w:id="84" w:name="_Toc13551"/>
      <w:r>
        <w:rPr>
          <w:rFonts w:hint="eastAsia" w:ascii="黑体" w:hAnsi="宋体" w:eastAsia="黑体" w:cs="黑体"/>
          <w:kern w:val="0"/>
          <w:position w:val="3"/>
          <w:sz w:val="32"/>
          <w:szCs w:val="32"/>
          <w:lang w:val="en-US" w:eastAsia="zh-CN" w:bidi="ar"/>
        </w:rPr>
        <w:t>六、下一步改进措施</w:t>
      </w:r>
      <w:bookmarkEnd w:id="84"/>
    </w:p>
    <w:p w14:paraId="1E82AD13">
      <w:pPr>
        <w:keepNext w:val="0"/>
        <w:keepLines w:val="0"/>
        <w:widowControl w:val="0"/>
        <w:suppressLineNumbers w:val="0"/>
        <w:tabs>
          <w:tab w:val="left" w:pos="1911"/>
        </w:tabs>
        <w:autoSpaceDE w:val="0"/>
        <w:autoSpaceDN/>
        <w:spacing w:before="0" w:beforeAutospacing="0" w:after="0" w:afterAutospacing="0" w:line="578" w:lineRule="exact"/>
        <w:ind w:left="0" w:leftChars="0" w:right="0"/>
        <w:jc w:val="both"/>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kern w:val="0"/>
          <w:sz w:val="32"/>
          <w:szCs w:val="32"/>
          <w:shd w:val="clear" w:fill="FFFFFF"/>
          <w:lang w:val="en-US" w:eastAsia="zh-CN" w:bidi="ar"/>
        </w:rPr>
        <w:t xml:space="preserve"> </w:t>
      </w:r>
      <w:r>
        <w:rPr>
          <w:rFonts w:hint="default" w:ascii="Times New Roman" w:hAnsi="Times New Roman" w:eastAsia="仿宋_GB2312" w:cs="Times New Roman"/>
          <w:b w:val="0"/>
          <w:bCs w:val="0"/>
          <w:kern w:val="0"/>
          <w:sz w:val="32"/>
          <w:szCs w:val="32"/>
          <w:lang w:val="en-US" w:eastAsia="zh-CN" w:bidi="ar"/>
        </w:rPr>
        <w:t xml:space="preserve">   </w:t>
      </w:r>
      <w:r>
        <w:rPr>
          <w:rFonts w:hint="eastAsia" w:ascii="仿宋_GB2312" w:hAnsi="Times New Roman" w:eastAsia="仿宋_GB2312" w:cs="仿宋_GB2312"/>
          <w:b w:val="0"/>
          <w:bCs w:val="0"/>
          <w:kern w:val="0"/>
          <w:sz w:val="32"/>
          <w:szCs w:val="32"/>
          <w:lang w:val="en-US" w:eastAsia="zh-CN" w:bidi="ar"/>
        </w:rPr>
        <w:t>针对自评发现的长效管养资金保障缺失问题，提出以下改进措施：一是立即协调财政部门与主管部门，明确将桥梁后续健康监测与常规养护经费纳入本级年度财政预算或设立专项养护基金，确保资金稳定来源；二是制定并签订正式的管养移交协议，在协议中固化资金拨付流程、管养标准与考核机制，实现权责利对等；三是探索</w:t>
      </w:r>
      <w:r>
        <w:rPr>
          <w:rFonts w:hint="default" w:ascii="Times New Roman" w:hAnsi="Times New Roman" w:eastAsia="仿宋_GB2312" w:cs="Times New Roman"/>
          <w:b w:val="0"/>
          <w:bCs w:val="0"/>
          <w:kern w:val="0"/>
          <w:sz w:val="32"/>
          <w:szCs w:val="32"/>
          <w:lang w:val="en-US" w:eastAsia="zh-CN" w:bidi="ar"/>
        </w:rPr>
        <w:t>“</w:t>
      </w:r>
      <w:r>
        <w:rPr>
          <w:rFonts w:hint="eastAsia" w:ascii="仿宋_GB2312" w:hAnsi="Times New Roman" w:eastAsia="仿宋_GB2312" w:cs="仿宋_GB2312"/>
          <w:b w:val="0"/>
          <w:bCs w:val="0"/>
          <w:kern w:val="0"/>
          <w:sz w:val="32"/>
          <w:szCs w:val="32"/>
          <w:lang w:val="en-US" w:eastAsia="zh-CN" w:bidi="ar"/>
        </w:rPr>
        <w:t>建管养一体化</w:t>
      </w:r>
      <w:r>
        <w:rPr>
          <w:rFonts w:hint="default" w:ascii="Times New Roman" w:hAnsi="Times New Roman" w:eastAsia="仿宋_GB2312" w:cs="Times New Roman"/>
          <w:b w:val="0"/>
          <w:bCs w:val="0"/>
          <w:kern w:val="0"/>
          <w:sz w:val="32"/>
          <w:szCs w:val="32"/>
          <w:lang w:val="en-US" w:eastAsia="zh-CN" w:bidi="ar"/>
        </w:rPr>
        <w:t>”</w:t>
      </w:r>
      <w:r>
        <w:rPr>
          <w:rFonts w:hint="eastAsia" w:ascii="仿宋_GB2312" w:hAnsi="Times New Roman" w:eastAsia="仿宋_GB2312" w:cs="仿宋_GB2312"/>
          <w:b w:val="0"/>
          <w:bCs w:val="0"/>
          <w:kern w:val="0"/>
          <w:sz w:val="32"/>
          <w:szCs w:val="32"/>
          <w:lang w:val="en-US" w:eastAsia="zh-CN" w:bidi="ar"/>
        </w:rPr>
        <w:t>模式，在未来同类项目中要求编制全生命周期成本预算，从源头保障运营维护资金。</w:t>
      </w:r>
    </w:p>
    <w:p w14:paraId="40054A07">
      <w:pPr>
        <w:pStyle w:val="7"/>
        <w:keepNext w:val="0"/>
        <w:keepLines w:val="0"/>
        <w:widowControl w:val="0"/>
        <w:suppressLineNumbers w:val="0"/>
        <w:autoSpaceDE w:val="0"/>
        <w:autoSpaceDN/>
        <w:spacing w:before="0" w:beforeAutospacing="1" w:after="0" w:afterAutospacing="0" w:line="20" w:lineRule="exact"/>
        <w:ind w:left="420" w:leftChars="200" w:right="0"/>
        <w:rPr>
          <w:rFonts w:hint="default" w:ascii="Times New Roman" w:hAnsi="Times New Roman" w:eastAsia="黑体" w:cs="Times New Roman"/>
          <w:kern w:val="2"/>
          <w:sz w:val="24"/>
          <w:szCs w:val="24"/>
        </w:rPr>
      </w:pPr>
    </w:p>
    <w:p w14:paraId="537547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E139E48">
      <w:pP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br w:type="page"/>
      </w:r>
    </w:p>
    <w:p w14:paraId="649A3BD1">
      <w:pPr>
        <w:widowControl/>
        <w:jc w:val="center"/>
        <w:outlineLvl w:val="0"/>
        <w:rPr>
          <w:rFonts w:hint="eastAsia" w:ascii="Times New Roman" w:hAnsi="Times New Roman" w:eastAsia="仿宋"/>
          <w:b w:val="0"/>
          <w:color w:val="auto"/>
          <w:highlight w:val="none"/>
        </w:rPr>
      </w:pPr>
      <w:bookmarkStart w:id="85" w:name="_Toc23557"/>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74"/>
      <w:bookmarkEnd w:id="75"/>
      <w:bookmarkEnd w:id="85"/>
      <w:bookmarkStart w:id="86" w:name="_Toc15396619"/>
    </w:p>
    <w:p w14:paraId="333B7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6"/>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0"/>
      <w:r>
        <w:rPr>
          <w:rFonts w:hint="eastAsia" w:ascii="Times New Roman" w:hAnsi="Times New Roman" w:eastAsia="仿宋_GB2312" w:cs="仿宋_GB2312"/>
          <w:color w:val="auto"/>
          <w:sz w:val="32"/>
          <w:szCs w:val="32"/>
          <w:highlight w:val="none"/>
        </w:rPr>
        <w:t>二、收入决算表</w:t>
      </w:r>
      <w:bookmarkEnd w:id="87"/>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1"/>
      <w:r>
        <w:rPr>
          <w:rFonts w:hint="eastAsia" w:ascii="Times New Roman" w:hAnsi="Times New Roman" w:eastAsia="仿宋_GB2312" w:cs="仿宋_GB2312"/>
          <w:color w:val="auto"/>
          <w:sz w:val="32"/>
          <w:szCs w:val="32"/>
          <w:highlight w:val="none"/>
        </w:rPr>
        <w:t>三、支出决算表</w:t>
      </w:r>
      <w:bookmarkEnd w:id="88"/>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2"/>
      <w:r>
        <w:rPr>
          <w:rFonts w:hint="eastAsia" w:ascii="Times New Roman" w:hAnsi="Times New Roman" w:eastAsia="仿宋_GB2312" w:cs="仿宋_GB2312"/>
          <w:color w:val="auto"/>
          <w:sz w:val="32"/>
          <w:szCs w:val="32"/>
          <w:highlight w:val="none"/>
        </w:rPr>
        <w:t>四、财政拨款收入支出决算总表</w:t>
      </w:r>
      <w:bookmarkEnd w:id="89"/>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3"/>
      <w:r>
        <w:rPr>
          <w:rFonts w:hint="eastAsia" w:ascii="Times New Roman" w:hAnsi="Times New Roman" w:eastAsia="仿宋_GB2312" w:cs="仿宋_GB2312"/>
          <w:color w:val="auto"/>
          <w:sz w:val="32"/>
          <w:szCs w:val="32"/>
          <w:highlight w:val="none"/>
        </w:rPr>
        <w:t>五、财政拨款支出决算明细表</w:t>
      </w:r>
      <w:bookmarkEnd w:id="90"/>
      <w:bookmarkStart w:id="91"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1"/>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5"/>
      <w:r>
        <w:rPr>
          <w:rFonts w:hint="eastAsia" w:ascii="Times New Roman" w:hAnsi="Times New Roman" w:eastAsia="仿宋_GB2312" w:cs="仿宋_GB2312"/>
          <w:color w:val="auto"/>
          <w:sz w:val="32"/>
          <w:szCs w:val="32"/>
          <w:highlight w:val="none"/>
        </w:rPr>
        <w:t>七、一般公共预算财政拨款支出决算明细表</w:t>
      </w:r>
      <w:bookmarkEnd w:id="92"/>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6"/>
      <w:r>
        <w:rPr>
          <w:rFonts w:hint="eastAsia" w:ascii="Times New Roman" w:hAnsi="Times New Roman" w:eastAsia="仿宋_GB2312" w:cs="仿宋_GB2312"/>
          <w:color w:val="auto"/>
          <w:sz w:val="32"/>
          <w:szCs w:val="32"/>
          <w:highlight w:val="none"/>
        </w:rPr>
        <w:t>八、一般公共预算财政拨款基本支出决算表</w:t>
      </w:r>
      <w:bookmarkEnd w:id="93"/>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7"/>
      <w:r>
        <w:rPr>
          <w:rFonts w:hint="eastAsia" w:ascii="Times New Roman" w:hAnsi="Times New Roman" w:eastAsia="仿宋_GB2312" w:cs="仿宋_GB2312"/>
          <w:color w:val="auto"/>
          <w:sz w:val="32"/>
          <w:szCs w:val="32"/>
          <w:highlight w:val="none"/>
        </w:rPr>
        <w:t>九、一般公共预算财政拨款项目支出决算表</w:t>
      </w:r>
      <w:bookmarkEnd w:id="94"/>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8"/>
      <w:r>
        <w:rPr>
          <w:rFonts w:hint="eastAsia" w:ascii="Times New Roman" w:hAnsi="Times New Roman" w:eastAsia="仿宋_GB2312" w:cs="仿宋_GB2312"/>
          <w:color w:val="auto"/>
          <w:sz w:val="32"/>
          <w:szCs w:val="32"/>
          <w:highlight w:val="none"/>
        </w:rPr>
        <w:t>十、</w:t>
      </w:r>
      <w:bookmarkEnd w:id="95"/>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9"/>
      <w:r>
        <w:rPr>
          <w:rFonts w:hint="eastAsia" w:ascii="Times New Roman" w:hAnsi="Times New Roman" w:eastAsia="仿宋_GB2312" w:cs="仿宋_GB2312"/>
          <w:color w:val="auto"/>
          <w:sz w:val="32"/>
          <w:szCs w:val="32"/>
          <w:highlight w:val="none"/>
        </w:rPr>
        <w:t>十一、</w:t>
      </w:r>
      <w:bookmarkEnd w:id="9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30"/>
      <w:r>
        <w:rPr>
          <w:rFonts w:hint="eastAsia" w:ascii="Times New Roman" w:hAnsi="Times New Roman" w:eastAsia="仿宋_GB2312" w:cs="仿宋_GB2312"/>
          <w:color w:val="auto"/>
          <w:sz w:val="32"/>
          <w:szCs w:val="32"/>
          <w:highlight w:val="none"/>
        </w:rPr>
        <w:t>十二、</w:t>
      </w:r>
      <w:bookmarkEnd w:id="97"/>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8" w:name="_Toc15396631"/>
      <w:r>
        <w:rPr>
          <w:rFonts w:hint="eastAsia" w:ascii="Times New Roman" w:hAnsi="Times New Roman" w:eastAsia="仿宋_GB2312" w:cs="仿宋_GB2312"/>
          <w:color w:val="auto"/>
          <w:sz w:val="32"/>
          <w:szCs w:val="32"/>
          <w:highlight w:val="none"/>
        </w:rPr>
        <w:t>十三、</w:t>
      </w:r>
      <w:bookmarkEnd w:id="98"/>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CE1194-8E8C-4A99-AC48-1839599BA8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0963EAD-958F-4C57-A7D2-89DC6D7D4038}"/>
  </w:font>
  <w:font w:name="仿宋">
    <w:panose1 w:val="02010609060101010101"/>
    <w:charset w:val="86"/>
    <w:family w:val="modern"/>
    <w:pitch w:val="default"/>
    <w:sig w:usb0="800002BF" w:usb1="38CF7CFA" w:usb2="00000016" w:usb3="00000000" w:csb0="00040001" w:csb1="00000000"/>
    <w:embedRegular r:id="rId3" w:fontKey="{3476E746-B0B8-401E-88FF-649C499FDE0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35323F61-1A86-4A9C-A380-7D96C100F6AA}"/>
  </w:font>
  <w:font w:name="楷体_GB2312">
    <w:panose1 w:val="02010609030101010101"/>
    <w:charset w:val="86"/>
    <w:family w:val="auto"/>
    <w:pitch w:val="default"/>
    <w:sig w:usb0="00000001" w:usb1="080E0000" w:usb2="00000000" w:usb3="00000000" w:csb0="00040000" w:csb1="00000000"/>
    <w:embedRegular r:id="rId5" w:fontKey="{532D1D41-B826-4A0A-BB45-8BD21174FB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0"/>
      <w:jc w:val="center"/>
    </w:pPr>
  </w:p>
  <w:p w14:paraId="75CB51B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3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0"/>
      <w:jc w:val="center"/>
    </w:pPr>
  </w:p>
  <w:p w14:paraId="667E39E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8E61E86"/>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616034"/>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8AD0F4E"/>
    <w:rsid w:val="49176D9B"/>
    <w:rsid w:val="4A627F82"/>
    <w:rsid w:val="4AF55130"/>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555E40"/>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7F56A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8C357C"/>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next w:val="1"/>
    <w:unhideWhenUsed/>
    <w:qFormat/>
    <w:uiPriority w:val="99"/>
    <w:pPr>
      <w:keepNext w:val="0"/>
      <w:keepLines w:val="0"/>
      <w:widowControl w:val="0"/>
      <w:suppressLineNumbers w:val="0"/>
      <w:spacing w:after="120" w:afterAutospacing="0"/>
      <w:ind w:leftChars="200" w:firstLine="420" w:firstLineChars="200"/>
      <w:jc w:val="both"/>
    </w:pPr>
    <w:rPr>
      <w:rFonts w:hint="eastAsia" w:ascii="仿宋_GB2312" w:hAnsi="Times New Roman" w:eastAsia="仿宋_GB2312" w:cs="Times New Roman"/>
      <w:kern w:val="2"/>
      <w:sz w:val="32"/>
      <w:szCs w:val="32"/>
      <w:lang w:val="en-US" w:eastAsia="zh-CN" w:bidi="ar"/>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firstLine="1440" w:firstLineChars="200"/>
      <w:jc w:val="left"/>
    </w:pPr>
    <w:rPr>
      <w:rFonts w:ascii="Calibri" w:hAnsi="Calibri" w:eastAsia="仿宋_GB2312"/>
      <w:sz w:val="32"/>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20&#24037;&#20316;&#34920;%2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图</a:t>
            </a:r>
            <a:r>
              <a:rPr lang="en-US" altLang="zh-CN"/>
              <a:t>1</a:t>
            </a:r>
            <a:r>
              <a:rPr altLang="en-US"/>
              <a:t>：收入、支出决算总计变动图</a:t>
            </a:r>
            <a:endParaRPr altLang="en-US"/>
          </a:p>
        </c:rich>
      </c:tx>
      <c:layout/>
      <c:overlay val="0"/>
      <c:spPr>
        <a:noFill/>
        <a:ln>
          <a:noFill/>
        </a:ln>
        <a:effectLst/>
      </c:spPr>
    </c:title>
    <c:autoTitleDeleted val="0"/>
    <c:plotArea>
      <c:layout/>
      <c:barChart>
        <c:barDir val="col"/>
        <c:grouping val="clustered"/>
        <c:varyColors val="0"/>
        <c:ser>
          <c:idx val="0"/>
          <c:order val="0"/>
          <c:tx>
            <c:strRef>
              <c:f>'[新建 XLS 工作表 (2).xls]Sheet1'!$A$5</c:f>
              <c:strCache>
                <c:ptCount val="1"/>
                <c:pt idx="0">
                  <c:v>2024年</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XLS 工作表 (2).xls]Sheet1'!$B$4:$C$4</c:f>
              <c:strCache>
                <c:ptCount val="2"/>
                <c:pt idx="0">
                  <c:v>收入（万元）</c:v>
                </c:pt>
                <c:pt idx="1">
                  <c:v>支出（万元）</c:v>
                </c:pt>
              </c:strCache>
            </c:strRef>
          </c:cat>
          <c:val>
            <c:numRef>
              <c:f>'[新建 XLS 工作表 (2).xls]Sheet1'!$B$5:$C$5</c:f>
              <c:numCache>
                <c:formatCode>General</c:formatCode>
                <c:ptCount val="2"/>
                <c:pt idx="0">
                  <c:v>7258.41</c:v>
                </c:pt>
                <c:pt idx="1">
                  <c:v>7258.41</c:v>
                </c:pt>
              </c:numCache>
            </c:numRef>
          </c:val>
        </c:ser>
        <c:ser>
          <c:idx val="1"/>
          <c:order val="1"/>
          <c:tx>
            <c:strRef>
              <c:f>'[新建 XLS 工作表 (2).xls]Sheet1'!$A$6</c:f>
              <c:strCache>
                <c:ptCount val="1"/>
                <c:pt idx="0">
                  <c:v>2025年</c:v>
                </c:pt>
              </c:strCache>
            </c:strRef>
          </c:tx>
          <c:spPr>
            <a:solidFill>
              <a:srgbClr val="C0504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XLS 工作表 (2).xls]Sheet1'!$B$4:$C$4</c:f>
              <c:strCache>
                <c:ptCount val="2"/>
                <c:pt idx="0">
                  <c:v>收入（万元）</c:v>
                </c:pt>
                <c:pt idx="1">
                  <c:v>支出（万元）</c:v>
                </c:pt>
              </c:strCache>
            </c:strRef>
          </c:cat>
          <c:val>
            <c:numRef>
              <c:f>'[新建 XLS 工作表 (2).xls]Sheet1'!$B$6:$C$6</c:f>
              <c:numCache>
                <c:formatCode>General</c:formatCode>
                <c:ptCount val="2"/>
                <c:pt idx="0">
                  <c:v>5656.8</c:v>
                </c:pt>
                <c:pt idx="1">
                  <c:v>5998.51</c:v>
                </c:pt>
              </c:numCache>
            </c:numRef>
          </c:val>
        </c:ser>
        <c:dLbls>
          <c:showLegendKey val="0"/>
          <c:showVal val="1"/>
          <c:showCatName val="0"/>
          <c:showSerName val="0"/>
          <c:showPercent val="0"/>
          <c:showBubbleSize val="0"/>
        </c:dLbls>
        <c:gapWidth val="219"/>
        <c:overlap val="-27"/>
        <c:axId val="695850059"/>
        <c:axId val="784622539"/>
      </c:barChart>
      <c:catAx>
        <c:axId val="695850059"/>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784622539"/>
        <c:crosses val="autoZero"/>
        <c:auto val="1"/>
        <c:lblAlgn val="ctr"/>
        <c:lblOffset val="100"/>
        <c:noMultiLvlLbl val="0"/>
      </c:catAx>
      <c:valAx>
        <c:axId val="784622539"/>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6958500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0597e919-1a87-478b-a099-bb6a3ca2120c}"/>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9878</Words>
  <Characters>10750</Characters>
  <Lines>1</Lines>
  <Paragraphs>1</Paragraphs>
  <TotalTime>2</TotalTime>
  <ScaleCrop>false</ScaleCrop>
  <LinksUpToDate>false</LinksUpToDate>
  <CharactersWithSpaces>10863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2026-10-16T01:52:39Z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