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40EAF">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8441"/>
      <w:bookmarkStart w:id="2" w:name="_Toc15396475"/>
      <w:bookmarkStart w:id="3" w:name="_Toc15306267"/>
      <w:bookmarkStart w:id="4" w:name="_Toc15377193"/>
      <w:bookmarkStart w:id="5" w:name="_Toc15377425"/>
    </w:p>
    <w:p w14:paraId="251C1A88">
      <w:pPr>
        <w:pStyle w:val="5"/>
        <w:rPr>
          <w:rFonts w:hint="eastAsia" w:ascii="Times New Roman" w:hAnsi="Times New Roman" w:eastAsia="方正小标宋简体" w:cs="Times New Roman"/>
          <w:color w:val="auto"/>
          <w:kern w:val="2"/>
          <w:sz w:val="72"/>
          <w:szCs w:val="72"/>
          <w:highlight w:val="none"/>
          <w:lang w:val="en-US" w:eastAsia="zh-CN" w:bidi="ar-SA"/>
        </w:rPr>
      </w:pPr>
    </w:p>
    <w:p w14:paraId="657FE7E4">
      <w:pPr>
        <w:pStyle w:val="5"/>
        <w:rPr>
          <w:rFonts w:hint="eastAsia" w:ascii="Times New Roman" w:hAnsi="Times New Roman" w:eastAsia="方正小标宋简体" w:cs="Times New Roman"/>
          <w:color w:val="auto"/>
          <w:kern w:val="2"/>
          <w:sz w:val="72"/>
          <w:szCs w:val="72"/>
          <w:highlight w:val="none"/>
          <w:lang w:val="en-US" w:eastAsia="zh-CN" w:bidi="ar-SA"/>
        </w:rPr>
      </w:pPr>
    </w:p>
    <w:p w14:paraId="17541406">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方正小标宋简体" w:hAnsi="宋体" w:eastAsia="方正小标宋简体" w:cs="Times New Roman"/>
          <w:color w:val="auto"/>
          <w:kern w:val="2"/>
          <w:sz w:val="44"/>
          <w:szCs w:val="44"/>
          <w:highlight w:val="none"/>
          <w:lang w:val="en-US" w:eastAsia="zh-CN" w:bidi="ar-SA"/>
        </w:rPr>
        <w:t>松潘县住房和城乡建设局</w:t>
      </w:r>
    </w:p>
    <w:p w14:paraId="3BA61863">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w:t>
      </w:r>
    </w:p>
    <w:p w14:paraId="18CBFCB1">
      <w:pPr>
        <w:spacing w:line="600" w:lineRule="exact"/>
        <w:jc w:val="center"/>
        <w:outlineLvl w:val="0"/>
        <w:rPr>
          <w:rFonts w:ascii="Times New Roman" w:hAnsi="Times New Roman" w:eastAsia="方正小标宋简体"/>
          <w:color w:val="auto"/>
          <w:sz w:val="72"/>
          <w:szCs w:val="72"/>
          <w:highlight w:val="none"/>
        </w:rPr>
      </w:pPr>
    </w:p>
    <w:p w14:paraId="7534FAD0">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0B849691">
      <w:pPr>
        <w:rPr>
          <w:rFonts w:ascii="Times New Roman" w:hAnsi="Times New Roman"/>
        </w:rPr>
      </w:pPr>
    </w:p>
    <w:bookmarkEnd w:id="0"/>
    <w:bookmarkEnd w:id="1"/>
    <w:bookmarkEnd w:id="2"/>
    <w:bookmarkEnd w:id="3"/>
    <w:bookmarkEnd w:id="4"/>
    <w:bookmarkEnd w:id="5"/>
    <w:p w14:paraId="2D8E0C4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BC75AF7">
      <w:pPr>
        <w:widowControl/>
        <w:jc w:val="center"/>
        <w:rPr>
          <w:rFonts w:ascii="Times New Roman" w:hAnsi="Times New Roman" w:eastAsia="黑体" w:cstheme="minorBidi"/>
          <w:color w:val="auto"/>
          <w:sz w:val="28"/>
          <w:szCs w:val="28"/>
          <w:highlight w:val="none"/>
        </w:rPr>
      </w:pPr>
    </w:p>
    <w:p w14:paraId="657CC284">
      <w:pPr>
        <w:pStyle w:val="12"/>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公开时间：</w:t>
      </w:r>
      <w:r>
        <w:rPr>
          <w:rFonts w:hint="eastAsia" w:ascii="Times New Roman" w:hAnsi="Times New Roman"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15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7259"/>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4D70011B">
          <w:pPr>
            <w:spacing w:before="0" w:beforeLines="0" w:after="0" w:afterLines="0" w:line="240" w:lineRule="auto"/>
            <w:ind w:left="0" w:leftChars="0" w:right="0" w:rightChars="0" w:firstLine="0" w:firstLineChars="0"/>
            <w:jc w:val="center"/>
          </w:pPr>
          <w:r>
            <w:rPr>
              <w:rFonts w:ascii="宋体" w:hAnsi="宋体" w:eastAsia="宋体"/>
              <w:sz w:val="21"/>
            </w:rPr>
            <w:t>目录</w:t>
          </w:r>
        </w:p>
        <w:p w14:paraId="163CDD8A">
          <w:pPr>
            <w:pStyle w:val="12"/>
            <w:tabs>
              <w:tab w:val="right" w:leader="dot" w:pos="8306"/>
              <w:tab w:val="clear" w:pos="8296"/>
            </w:tabs>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ascii="Times New Roman" w:hAnsi="Times New Roman"/>
              <w:color w:val="auto"/>
              <w:highlight w:val="none"/>
            </w:rPr>
            <w:fldChar w:fldCharType="begin"/>
          </w:r>
          <w:r>
            <w:rPr>
              <w:rFonts w:ascii="Times New Roman" w:hAnsi="Times New Roman"/>
              <w:highlight w:val="none"/>
            </w:rPr>
            <w:instrText xml:space="preserve"> HYPERLINK \l _Toc2935 </w:instrText>
          </w:r>
          <w:r>
            <w:rPr>
              <w:rFonts w:ascii="Times New Roman" w:hAnsi="Times New Roman"/>
              <w:highlight w:val="none"/>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_Toc2935 \h </w:instrText>
          </w:r>
          <w:r>
            <w:fldChar w:fldCharType="separate"/>
          </w:r>
          <w:r>
            <w:t>- 2 -</w:t>
          </w:r>
          <w:r>
            <w:fldChar w:fldCharType="end"/>
          </w:r>
          <w:r>
            <w:rPr>
              <w:rFonts w:ascii="Times New Roman" w:hAnsi="Times New Roman"/>
              <w:color w:val="auto"/>
              <w:highlight w:val="none"/>
            </w:rPr>
            <w:fldChar w:fldCharType="end"/>
          </w:r>
        </w:p>
        <w:p w14:paraId="5076809C">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_Toc13791 </w:instrText>
          </w:r>
          <w:r>
            <w:rPr>
              <w:rFonts w:ascii="Times New Roman" w:hAnsi="Times New Roman"/>
              <w:highlight w:val="none"/>
            </w:rPr>
            <w:fldChar w:fldCharType="separate"/>
          </w:r>
          <w:r>
            <w:rPr>
              <w:rFonts w:hint="eastAsia" w:ascii="Times New Roman" w:hAnsi="Times New Roman" w:eastAsia="黑体"/>
              <w:highlight w:val="none"/>
            </w:rPr>
            <w:t>一、</w:t>
          </w:r>
          <w:r>
            <w:rPr>
              <w:rFonts w:hint="eastAsia" w:ascii="Times New Roman" w:hAnsi="Times New Roman" w:eastAsia="黑体"/>
              <w:highlight w:val="none"/>
              <w:lang w:eastAsia="zh-CN"/>
            </w:rPr>
            <w:t>部门职责</w:t>
          </w:r>
          <w:r>
            <w:tab/>
          </w:r>
          <w:r>
            <w:fldChar w:fldCharType="begin"/>
          </w:r>
          <w:r>
            <w:instrText xml:space="preserve"> PAGEREF _Toc13791 \h </w:instrText>
          </w:r>
          <w:r>
            <w:fldChar w:fldCharType="separate"/>
          </w:r>
          <w:r>
            <w:t>- 2 -</w:t>
          </w:r>
          <w:r>
            <w:fldChar w:fldCharType="end"/>
          </w:r>
          <w:r>
            <w:rPr>
              <w:rFonts w:ascii="Times New Roman" w:hAnsi="Times New Roman"/>
              <w:color w:val="auto"/>
              <w:highlight w:val="none"/>
            </w:rPr>
            <w:fldChar w:fldCharType="end"/>
          </w:r>
        </w:p>
        <w:p w14:paraId="309B8954">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_Toc31827 </w:instrText>
          </w:r>
          <w:r>
            <w:rPr>
              <w:rFonts w:ascii="Times New Roman" w:hAnsi="Times New Roman"/>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_Toc31827 \h </w:instrText>
          </w:r>
          <w:r>
            <w:fldChar w:fldCharType="separate"/>
          </w:r>
          <w:r>
            <w:t>- 4 -</w:t>
          </w:r>
          <w:r>
            <w:fldChar w:fldCharType="end"/>
          </w:r>
          <w:r>
            <w:rPr>
              <w:rFonts w:ascii="Times New Roman" w:hAnsi="Times New Roman"/>
              <w:color w:val="auto"/>
              <w:highlight w:val="none"/>
            </w:rPr>
            <w:fldChar w:fldCharType="end"/>
          </w:r>
        </w:p>
        <w:p w14:paraId="02D3BA32">
          <w:pPr>
            <w:pStyle w:val="12"/>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_Toc25441 </w:instrText>
          </w:r>
          <w:r>
            <w:rPr>
              <w:rFonts w:ascii="Times New Roman" w:hAnsi="Times New Roman"/>
              <w:highlight w:val="none"/>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_Toc25441 \h </w:instrText>
          </w:r>
          <w:r>
            <w:fldChar w:fldCharType="separate"/>
          </w:r>
          <w:r>
            <w:t>- 6 -</w:t>
          </w:r>
          <w:r>
            <w:fldChar w:fldCharType="end"/>
          </w:r>
          <w:r>
            <w:rPr>
              <w:rFonts w:ascii="Times New Roman" w:hAnsi="Times New Roman"/>
              <w:color w:val="auto"/>
              <w:highlight w:val="none"/>
            </w:rPr>
            <w:fldChar w:fldCharType="end"/>
          </w:r>
        </w:p>
        <w:p w14:paraId="3CB09093">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_Toc7331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_Toc7331 \h </w:instrText>
          </w:r>
          <w:r>
            <w:fldChar w:fldCharType="separate"/>
          </w:r>
          <w:r>
            <w:t>- 6 -</w:t>
          </w:r>
          <w:r>
            <w:fldChar w:fldCharType="end"/>
          </w:r>
          <w:r>
            <w:rPr>
              <w:rFonts w:ascii="Times New Roman" w:hAnsi="Times New Roman"/>
              <w:color w:val="auto"/>
              <w:highlight w:val="none"/>
            </w:rPr>
            <w:fldChar w:fldCharType="end"/>
          </w:r>
        </w:p>
        <w:p w14:paraId="7E71AE52">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_Toc3207 </w:instrText>
          </w:r>
          <w:r>
            <w:rPr>
              <w:rFonts w:ascii="Times New Roman" w:hAnsi="Times New Roman"/>
              <w:highlight w:val="none"/>
            </w:rPr>
            <w:fldChar w:fldCharType="separate"/>
          </w:r>
          <w:r>
            <w:rPr>
              <w:rFonts w:hint="eastAsia" w:eastAsia="仿宋_GB2312" w:cs="仿宋_GB2312"/>
              <w:szCs w:val="32"/>
              <w:highlight w:val="none"/>
              <w:lang w:eastAsia="zh-CN"/>
            </w:rPr>
            <w:t>2025</w:t>
          </w:r>
          <w:r>
            <w:rPr>
              <w:rFonts w:hint="eastAsia" w:ascii="Times New Roman" w:hAnsi="Times New Roman" w:eastAsia="仿宋_GB2312" w:cs="仿宋_GB2312"/>
              <w:szCs w:val="32"/>
              <w:highlight w:val="none"/>
              <w:lang w:eastAsia="zh-CN"/>
            </w:rPr>
            <w:t>年度收入</w:t>
          </w:r>
          <w:r>
            <w:rPr>
              <w:rFonts w:hint="eastAsia" w:ascii="Times New Roman" w:hAnsi="Times New Roman" w:eastAsia="仿宋_GB2312" w:cs="仿宋_GB2312"/>
              <w:szCs w:val="32"/>
              <w:highlight w:val="none"/>
            </w:rPr>
            <w:t>、</w:t>
          </w:r>
          <w:r>
            <w:rPr>
              <w:rFonts w:hint="eastAsia" w:ascii="Times New Roman" w:hAnsi="Times New Roman" w:eastAsia="仿宋_GB2312" w:cs="仿宋_GB2312"/>
              <w:szCs w:val="32"/>
              <w:highlight w:val="none"/>
              <w:lang w:eastAsia="zh-CN"/>
            </w:rPr>
            <w:t>支出</w:t>
          </w:r>
          <w:r>
            <w:rPr>
              <w:rFonts w:hint="eastAsia" w:ascii="Times New Roman" w:hAnsi="Times New Roman" w:eastAsia="仿宋_GB2312" w:cs="仿宋_GB2312"/>
              <w:szCs w:val="32"/>
              <w:highlight w:val="none"/>
            </w:rPr>
            <w:t>总计</w:t>
          </w:r>
          <w:r>
            <w:rPr>
              <w:rFonts w:hint="eastAsia" w:ascii="Times New Roman" w:hAnsi="Times New Roman" w:eastAsia="仿宋_GB2312" w:cs="仿宋_GB2312"/>
              <w:szCs w:val="32"/>
              <w:highlight w:val="none"/>
              <w:lang w:eastAsia="zh-CN"/>
            </w:rPr>
            <w:t>均为</w:t>
          </w:r>
          <w:r>
            <w:rPr>
              <w:rFonts w:hint="eastAsia" w:ascii="仿宋_GB2312" w:hAnsi="仿宋_GB2312" w:eastAsia="仿宋_GB2312" w:cs="仿宋_GB2312"/>
              <w:szCs w:val="32"/>
            </w:rPr>
            <w:t>4046.62</w:t>
          </w:r>
          <w:r>
            <w:rPr>
              <w:rFonts w:hint="eastAsia" w:ascii="Times New Roman" w:hAnsi="Times New Roman" w:eastAsia="仿宋_GB2312" w:cs="仿宋_GB2312"/>
              <w:szCs w:val="32"/>
              <w:highlight w:val="none"/>
            </w:rPr>
            <w:t>万元。与</w:t>
          </w:r>
          <w:r>
            <w:rPr>
              <w:rFonts w:hint="eastAsia" w:eastAsia="仿宋_GB2312" w:cs="仿宋_GB2312"/>
              <w:szCs w:val="32"/>
              <w:highlight w:val="none"/>
              <w:lang w:eastAsia="zh-CN"/>
            </w:rPr>
            <w:t>2024</w:t>
          </w:r>
          <w:r>
            <w:rPr>
              <w:rFonts w:hint="eastAsia" w:ascii="Times New Roman" w:hAnsi="Times New Roman" w:eastAsia="仿宋_GB2312" w:cs="仿宋_GB2312"/>
              <w:szCs w:val="32"/>
              <w:highlight w:val="none"/>
            </w:rPr>
            <w:t>年</w:t>
          </w:r>
          <w:r>
            <w:rPr>
              <w:rFonts w:hint="eastAsia" w:ascii="Times New Roman" w:hAnsi="Times New Roman" w:eastAsia="仿宋_GB2312" w:cs="仿宋_GB2312"/>
              <w:szCs w:val="32"/>
              <w:highlight w:val="none"/>
              <w:lang w:eastAsia="zh-CN"/>
            </w:rPr>
            <w:t>度</w:t>
          </w:r>
          <w:r>
            <w:rPr>
              <w:rFonts w:hint="eastAsia" w:ascii="Times New Roman" w:hAnsi="Times New Roman" w:eastAsia="仿宋_GB2312" w:cs="仿宋_GB2312"/>
              <w:szCs w:val="32"/>
              <w:highlight w:val="none"/>
            </w:rPr>
            <w:t>相比，</w:t>
          </w:r>
          <w:r>
            <w:rPr>
              <w:rFonts w:hint="eastAsia" w:ascii="Times New Roman" w:hAnsi="Times New Roman" w:eastAsia="仿宋_GB2312" w:cs="仿宋_GB2312"/>
              <w:szCs w:val="32"/>
              <w:highlight w:val="none"/>
              <w:lang w:eastAsia="zh-CN"/>
            </w:rPr>
            <w:t>收入</w:t>
          </w:r>
          <w:r>
            <w:rPr>
              <w:rFonts w:hint="eastAsia" w:ascii="Times New Roman" w:hAnsi="Times New Roman" w:eastAsia="仿宋_GB2312" w:cs="仿宋_GB2312"/>
              <w:szCs w:val="32"/>
              <w:highlight w:val="none"/>
            </w:rPr>
            <w:t>、</w:t>
          </w:r>
          <w:r>
            <w:rPr>
              <w:rFonts w:hint="eastAsia" w:ascii="Times New Roman" w:hAnsi="Times New Roman" w:eastAsia="仿宋_GB2312" w:cs="仿宋_GB2312"/>
              <w:szCs w:val="32"/>
              <w:highlight w:val="none"/>
              <w:lang w:eastAsia="zh-CN"/>
            </w:rPr>
            <w:t>支出</w:t>
          </w:r>
          <w:r>
            <w:rPr>
              <w:rFonts w:hint="eastAsia" w:ascii="Times New Roman" w:hAnsi="Times New Roman" w:eastAsia="仿宋_GB2312" w:cs="仿宋_GB2312"/>
              <w:szCs w:val="32"/>
              <w:highlight w:val="none"/>
            </w:rPr>
            <w:t>总计各减少</w:t>
          </w:r>
          <w:r>
            <w:rPr>
              <w:rFonts w:hint="eastAsia" w:eastAsia="仿宋_GB2312" w:cs="仿宋_GB2312"/>
              <w:szCs w:val="32"/>
              <w:highlight w:val="none"/>
              <w:lang w:val="en-US" w:eastAsia="zh-CN"/>
            </w:rPr>
            <w:t>6225.43</w:t>
          </w:r>
          <w:r>
            <w:rPr>
              <w:rFonts w:hint="eastAsia" w:ascii="Times New Roman" w:hAnsi="Times New Roman" w:eastAsia="仿宋_GB2312" w:cs="仿宋_GB2312"/>
              <w:szCs w:val="32"/>
              <w:highlight w:val="none"/>
            </w:rPr>
            <w:t>万元，下降</w:t>
          </w:r>
          <w:r>
            <w:rPr>
              <w:rFonts w:hint="eastAsia" w:eastAsia="仿宋_GB2312" w:cs="仿宋_GB2312"/>
              <w:szCs w:val="32"/>
              <w:highlight w:val="none"/>
              <w:lang w:val="en-US" w:eastAsia="zh-CN"/>
            </w:rPr>
            <w:t>61</w:t>
          </w:r>
          <w:r>
            <w:rPr>
              <w:rFonts w:hint="eastAsia" w:ascii="Times New Roman" w:hAnsi="Times New Roman" w:eastAsia="仿宋_GB2312" w:cs="仿宋_GB2312"/>
              <w:szCs w:val="32"/>
              <w:highlight w:val="none"/>
            </w:rPr>
            <w:t>%。主要变动原因是</w:t>
          </w:r>
          <w:r>
            <w:rPr>
              <w:rFonts w:hint="eastAsia" w:eastAsia="仿宋_GB2312" w:cs="仿宋_GB2312"/>
              <w:szCs w:val="32"/>
              <w:highlight w:val="none"/>
              <w:lang w:eastAsia="zh-CN"/>
            </w:rPr>
            <w:t>人员变动、项目资金减少，</w:t>
          </w:r>
          <w:r>
            <w:tab/>
          </w:r>
          <w:r>
            <w:fldChar w:fldCharType="begin"/>
          </w:r>
          <w:r>
            <w:instrText xml:space="preserve"> PAGEREF _Toc3207 \h </w:instrText>
          </w:r>
          <w:r>
            <w:fldChar w:fldCharType="separate"/>
          </w:r>
          <w:r>
            <w:t>- 6 -</w:t>
          </w:r>
          <w:r>
            <w:fldChar w:fldCharType="end"/>
          </w:r>
          <w:r>
            <w:rPr>
              <w:rFonts w:ascii="Times New Roman" w:hAnsi="Times New Roman"/>
              <w:color w:val="auto"/>
              <w:highlight w:val="none"/>
            </w:rPr>
            <w:fldChar w:fldCharType="end"/>
          </w:r>
        </w:p>
        <w:p w14:paraId="0976C1FA">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_Toc29969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_Toc29969 \h </w:instrText>
          </w:r>
          <w:r>
            <w:fldChar w:fldCharType="separate"/>
          </w:r>
          <w:r>
            <w:t>- 6 -</w:t>
          </w:r>
          <w:r>
            <w:fldChar w:fldCharType="end"/>
          </w:r>
          <w:r>
            <w:rPr>
              <w:rFonts w:ascii="Times New Roman" w:hAnsi="Times New Roman"/>
              <w:color w:val="auto"/>
              <w:highlight w:val="none"/>
            </w:rPr>
            <w:fldChar w:fldCharType="end"/>
          </w:r>
        </w:p>
        <w:p w14:paraId="2081EB9F">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_Toc12611 </w:instrText>
          </w:r>
          <w:r>
            <w:rPr>
              <w:rFonts w:ascii="Times New Roman" w:hAnsi="Times New Roman"/>
              <w:highlight w:val="none"/>
            </w:rPr>
            <w:fldChar w:fldCharType="separate"/>
          </w:r>
          <w:r>
            <w:rPr>
              <w:rFonts w:hint="eastAsia" w:ascii="仿宋_GB2312" w:hAnsi="仿宋_GB2312" w:eastAsia="仿宋_GB2312" w:cs="仿宋_GB2312"/>
              <w:szCs w:val="32"/>
              <w:highlight w:val="none"/>
              <w:lang w:eastAsia="zh-CN"/>
            </w:rPr>
            <w:t>2025年度本年收入合计</w:t>
          </w:r>
          <w:r>
            <w:rPr>
              <w:rFonts w:hint="eastAsia" w:ascii="仿宋_GB2312" w:hAnsi="仿宋_GB2312" w:eastAsia="仿宋_GB2312" w:cs="仿宋_GB2312"/>
              <w:szCs w:val="32"/>
            </w:rPr>
            <w:t>3661.44万元，其中：一般公共预算财政拨款收入3526.85</w:t>
          </w:r>
          <w:r>
            <w:rPr>
              <w:rFonts w:hint="eastAsia" w:ascii="仿宋_GB2312" w:hAnsi="仿宋_GB2312" w:eastAsia="仿宋_GB2312" w:cs="仿宋_GB2312"/>
              <w:szCs w:val="32"/>
              <w:highlight w:val="none"/>
              <w:lang w:eastAsia="zh-CN"/>
            </w:rPr>
            <w:t>万元，占</w:t>
          </w:r>
          <w:r>
            <w:rPr>
              <w:rFonts w:hint="eastAsia" w:ascii="仿宋_GB2312" w:hAnsi="仿宋_GB2312" w:eastAsia="仿宋_GB2312" w:cs="仿宋_GB2312"/>
              <w:szCs w:val="32"/>
            </w:rPr>
            <w:t>96.32</w:t>
          </w:r>
          <w:r>
            <w:rPr>
              <w:rFonts w:hint="eastAsia" w:ascii="仿宋_GB2312" w:hAnsi="仿宋_GB2312" w:eastAsia="仿宋_GB2312" w:cs="仿宋_GB2312"/>
              <w:szCs w:val="32"/>
              <w:highlight w:val="none"/>
              <w:lang w:eastAsia="zh-CN"/>
            </w:rPr>
            <w:t>%；政府性基金预算财政拨款收入</w:t>
          </w:r>
          <w:r>
            <w:rPr>
              <w:rFonts w:hint="eastAsia" w:ascii="仿宋_GB2312" w:hAnsi="仿宋_GB2312" w:eastAsia="仿宋_GB2312" w:cs="仿宋_GB2312"/>
              <w:szCs w:val="32"/>
            </w:rPr>
            <w:t>134.58</w:t>
          </w:r>
          <w:r>
            <w:rPr>
              <w:rFonts w:hint="eastAsia" w:ascii="仿宋_GB2312" w:hAnsi="仿宋_GB2312" w:eastAsia="仿宋_GB2312" w:cs="仿宋_GB2312"/>
              <w:szCs w:val="32"/>
              <w:highlight w:val="none"/>
              <w:lang w:eastAsia="zh-CN"/>
            </w:rPr>
            <w:t>万元，占</w:t>
          </w:r>
          <w:r>
            <w:rPr>
              <w:rFonts w:hint="eastAsia" w:ascii="仿宋_GB2312" w:hAnsi="仿宋_GB2312" w:eastAsia="仿宋_GB2312" w:cs="仿宋_GB2312"/>
              <w:szCs w:val="32"/>
            </w:rPr>
            <w:t>3.67%</w:t>
          </w:r>
          <w:r>
            <w:rPr>
              <w:rFonts w:hint="eastAsia" w:ascii="仿宋_GB2312" w:hAnsi="仿宋_GB2312" w:eastAsia="仿宋_GB2312" w:cs="仿宋_GB2312"/>
              <w:szCs w:val="32"/>
              <w:highlight w:val="none"/>
              <w:lang w:eastAsia="zh-CN"/>
            </w:rPr>
            <w:t>%。</w:t>
          </w:r>
          <w:r>
            <w:rPr>
              <w:rFonts w:hint="eastAsia" w:ascii="Times New Roman" w:hAnsi="Times New Roman" w:eastAsia="仿宋_GB2312" w:cs="仿宋_GB2312"/>
              <w:bCs/>
              <w:szCs w:val="32"/>
              <w:highlight w:val="none"/>
              <w:lang w:eastAsia="zh-CN"/>
            </w:rPr>
            <w:t>（注：仅罗列本部门涉及的收入）</w:t>
          </w:r>
          <w:r>
            <w:tab/>
          </w:r>
          <w:r>
            <w:fldChar w:fldCharType="begin"/>
          </w:r>
          <w:r>
            <w:instrText xml:space="preserve"> PAGEREF _Toc12611 \h </w:instrText>
          </w:r>
          <w:r>
            <w:fldChar w:fldCharType="separate"/>
          </w:r>
          <w:r>
            <w:t>- 6 -</w:t>
          </w:r>
          <w:r>
            <w:fldChar w:fldCharType="end"/>
          </w:r>
          <w:r>
            <w:rPr>
              <w:rFonts w:ascii="Times New Roman" w:hAnsi="Times New Roman"/>
              <w:color w:val="auto"/>
              <w:highlight w:val="none"/>
            </w:rPr>
            <w:fldChar w:fldCharType="end"/>
          </w:r>
        </w:p>
        <w:p w14:paraId="54E6AD7D">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_Toc32745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_Toc32745 \h </w:instrText>
          </w:r>
          <w:r>
            <w:fldChar w:fldCharType="separate"/>
          </w:r>
          <w:r>
            <w:t>- 7 -</w:t>
          </w:r>
          <w:r>
            <w:fldChar w:fldCharType="end"/>
          </w:r>
          <w:r>
            <w:rPr>
              <w:rFonts w:ascii="Times New Roman" w:hAnsi="Times New Roman"/>
              <w:color w:val="auto"/>
              <w:highlight w:val="none"/>
            </w:rPr>
            <w:fldChar w:fldCharType="end"/>
          </w:r>
        </w:p>
        <w:p w14:paraId="6BA9AB08">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_Toc7219 </w:instrText>
          </w:r>
          <w:r>
            <w:rPr>
              <w:rFonts w:ascii="Times New Roman" w:hAnsi="Times New Roman"/>
              <w:highlight w:val="none"/>
            </w:rPr>
            <w:fldChar w:fldCharType="separate"/>
          </w:r>
          <w:r>
            <w:rPr>
              <w:rFonts w:hint="eastAsia" w:ascii="仿宋_GB2312" w:hAnsi="仿宋_GB2312" w:eastAsia="仿宋_GB2312" w:cs="仿宋_GB2312"/>
              <w:szCs w:val="32"/>
              <w:highlight w:val="none"/>
              <w:lang w:eastAsia="zh-CN"/>
            </w:rPr>
            <w:t>2025年度本年支出合计</w:t>
          </w:r>
          <w:r>
            <w:rPr>
              <w:rFonts w:hint="eastAsia" w:ascii="仿宋_GB2312" w:hAnsi="仿宋_GB2312" w:eastAsia="仿宋_GB2312" w:cs="仿宋_GB2312"/>
              <w:szCs w:val="32"/>
            </w:rPr>
            <w:t>4046.62</w:t>
          </w:r>
          <w:r>
            <w:rPr>
              <w:rFonts w:hint="eastAsia" w:ascii="仿宋_GB2312" w:hAnsi="仿宋_GB2312" w:eastAsia="仿宋_GB2312" w:cs="仿宋_GB2312"/>
              <w:szCs w:val="32"/>
              <w:highlight w:val="none"/>
              <w:lang w:eastAsia="zh-CN"/>
            </w:rPr>
            <w:t>万元，其中：基本支出</w:t>
          </w:r>
          <w:r>
            <w:rPr>
              <w:rFonts w:hint="eastAsia" w:ascii="仿宋_GB2312" w:hAnsi="仿宋_GB2312" w:eastAsia="仿宋_GB2312" w:cs="仿宋_GB2312"/>
              <w:szCs w:val="32"/>
            </w:rPr>
            <w:t>189.86</w:t>
          </w:r>
          <w:r>
            <w:rPr>
              <w:rFonts w:hint="eastAsia" w:ascii="仿宋_GB2312" w:hAnsi="仿宋_GB2312" w:eastAsia="仿宋_GB2312" w:cs="仿宋_GB2312"/>
              <w:szCs w:val="32"/>
              <w:highlight w:val="none"/>
              <w:lang w:eastAsia="zh-CN"/>
            </w:rPr>
            <w:t>万元，占</w:t>
          </w:r>
          <w:r>
            <w:rPr>
              <w:rFonts w:hint="eastAsia" w:ascii="仿宋_GB2312" w:hAnsi="仿宋_GB2312" w:eastAsia="仿宋_GB2312" w:cs="仿宋_GB2312"/>
              <w:szCs w:val="32"/>
            </w:rPr>
            <w:t>4.69</w:t>
          </w:r>
          <w:r>
            <w:rPr>
              <w:rFonts w:hint="eastAsia" w:ascii="仿宋_GB2312" w:hAnsi="仿宋_GB2312" w:eastAsia="仿宋_GB2312" w:cs="仿宋_GB2312"/>
              <w:szCs w:val="32"/>
              <w:highlight w:val="none"/>
              <w:lang w:eastAsia="zh-CN"/>
            </w:rPr>
            <w:t>%；项目支出</w:t>
          </w:r>
          <w:r>
            <w:rPr>
              <w:rFonts w:hint="eastAsia" w:ascii="仿宋_GB2312" w:hAnsi="仿宋_GB2312" w:eastAsia="仿宋_GB2312" w:cs="仿宋_GB2312"/>
              <w:szCs w:val="32"/>
            </w:rPr>
            <w:t>3856.75</w:t>
          </w:r>
          <w:r>
            <w:rPr>
              <w:rFonts w:hint="eastAsia" w:ascii="仿宋_GB2312" w:hAnsi="仿宋_GB2312" w:eastAsia="仿宋_GB2312" w:cs="仿宋_GB2312"/>
              <w:szCs w:val="32"/>
              <w:highlight w:val="none"/>
              <w:lang w:eastAsia="zh-CN"/>
            </w:rPr>
            <w:t>万元，占</w:t>
          </w:r>
          <w:r>
            <w:rPr>
              <w:rFonts w:hint="eastAsia" w:ascii="仿宋_GB2312" w:hAnsi="仿宋_GB2312" w:eastAsia="仿宋_GB2312" w:cs="仿宋_GB2312"/>
              <w:szCs w:val="32"/>
            </w:rPr>
            <w:t>95.3</w:t>
          </w:r>
          <w:r>
            <w:rPr>
              <w:rFonts w:hint="eastAsia" w:ascii="仿宋_GB2312" w:hAnsi="仿宋_GB2312" w:eastAsia="仿宋_GB2312" w:cs="仿宋_GB2312"/>
              <w:szCs w:val="32"/>
              <w:highlight w:val="none"/>
              <w:lang w:eastAsia="zh-CN"/>
            </w:rPr>
            <w:t>%。</w:t>
          </w:r>
          <w:r>
            <w:rPr>
              <w:rFonts w:hint="eastAsia" w:ascii="Times New Roman" w:hAnsi="Times New Roman" w:eastAsia="仿宋_GB2312" w:cs="仿宋_GB2312"/>
              <w:bCs/>
              <w:szCs w:val="32"/>
              <w:highlight w:val="none"/>
              <w:lang w:eastAsia="zh-CN"/>
            </w:rPr>
            <w:t>（注：仅罗列本部门涉及的支出）</w:t>
          </w:r>
          <w:r>
            <w:tab/>
          </w:r>
          <w:r>
            <w:fldChar w:fldCharType="begin"/>
          </w:r>
          <w:r>
            <w:instrText xml:space="preserve"> PAGEREF _Toc7219 \h </w:instrText>
          </w:r>
          <w:r>
            <w:fldChar w:fldCharType="separate"/>
          </w:r>
          <w:r>
            <w:t>- 7 -</w:t>
          </w:r>
          <w:r>
            <w:fldChar w:fldCharType="end"/>
          </w:r>
          <w:r>
            <w:rPr>
              <w:rFonts w:ascii="Times New Roman" w:hAnsi="Times New Roman"/>
              <w:color w:val="auto"/>
              <w:highlight w:val="none"/>
            </w:rPr>
            <w:fldChar w:fldCharType="end"/>
          </w:r>
        </w:p>
        <w:p w14:paraId="18E42D72">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_Toc14544 </w:instrText>
          </w:r>
          <w:r>
            <w:rPr>
              <w:rFonts w:ascii="Times New Roman" w:hAnsi="Times New Roman"/>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_Toc14544 \h </w:instrText>
          </w:r>
          <w:r>
            <w:fldChar w:fldCharType="separate"/>
          </w:r>
          <w:r>
            <w:t>- 8 -</w:t>
          </w:r>
          <w:r>
            <w:fldChar w:fldCharType="end"/>
          </w:r>
          <w:r>
            <w:rPr>
              <w:rFonts w:ascii="Times New Roman" w:hAnsi="Times New Roman"/>
              <w:color w:val="auto"/>
              <w:highlight w:val="none"/>
            </w:rPr>
            <w:fldChar w:fldCharType="end"/>
          </w:r>
        </w:p>
        <w:p w14:paraId="4ABF281E">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_Toc12284 </w:instrText>
          </w:r>
          <w:r>
            <w:rPr>
              <w:rFonts w:ascii="Times New Roman" w:hAnsi="Times New Roman"/>
              <w:highlight w:val="none"/>
            </w:rPr>
            <w:fldChar w:fldCharType="separate"/>
          </w:r>
          <w:r>
            <w:rPr>
              <w:rFonts w:hint="eastAsia" w:eastAsia="仿宋_GB2312" w:cs="仿宋_GB2312"/>
              <w:kern w:val="2"/>
              <w:szCs w:val="32"/>
              <w:highlight w:val="none"/>
              <w:lang w:val="en-US" w:eastAsia="zh-CN" w:bidi="ar-SA"/>
            </w:rPr>
            <w:t>2025</w:t>
          </w:r>
          <w:r>
            <w:rPr>
              <w:rFonts w:hint="eastAsia" w:ascii="Times New Roman" w:hAnsi="Times New Roman" w:eastAsia="仿宋_GB2312" w:cs="仿宋_GB2312"/>
              <w:kern w:val="2"/>
              <w:szCs w:val="32"/>
              <w:highlight w:val="none"/>
              <w:lang w:val="en-US" w:eastAsia="zh-CN" w:bidi="ar-SA"/>
            </w:rPr>
            <w:t>年度财政拨款收入、支出总计均为</w:t>
          </w:r>
          <w:r>
            <w:rPr>
              <w:rFonts w:hint="eastAsia" w:ascii="仿宋_GB2312" w:hAnsi="仿宋_GB2312" w:eastAsia="仿宋_GB2312" w:cs="仿宋_GB2312"/>
              <w:szCs w:val="32"/>
            </w:rPr>
            <w:t>4046.62</w:t>
          </w:r>
          <w:r>
            <w:rPr>
              <w:rFonts w:hint="eastAsia" w:ascii="Times New Roman" w:hAnsi="Times New Roman" w:eastAsia="仿宋_GB2312" w:cs="仿宋_GB2312"/>
              <w:kern w:val="2"/>
              <w:szCs w:val="32"/>
              <w:highlight w:val="none"/>
              <w:lang w:val="en-US" w:eastAsia="zh-CN" w:bidi="ar-SA"/>
            </w:rPr>
            <w:t>万元。与</w:t>
          </w:r>
          <w:r>
            <w:rPr>
              <w:rFonts w:hint="eastAsia" w:eastAsia="仿宋_GB2312" w:cs="仿宋_GB2312"/>
              <w:kern w:val="2"/>
              <w:szCs w:val="32"/>
              <w:highlight w:val="none"/>
              <w:lang w:val="en-US" w:eastAsia="zh-CN" w:bidi="ar-SA"/>
            </w:rPr>
            <w:t>2024</w:t>
          </w:r>
          <w:r>
            <w:rPr>
              <w:rFonts w:hint="eastAsia" w:ascii="Times New Roman" w:hAnsi="Times New Roman" w:eastAsia="仿宋_GB2312" w:cs="仿宋_GB2312"/>
              <w:kern w:val="2"/>
              <w:szCs w:val="32"/>
              <w:highlight w:val="none"/>
              <w:lang w:val="en-US" w:eastAsia="zh-CN" w:bidi="ar-SA"/>
            </w:rPr>
            <w:t>年度相比，财政拨款收入总计、支出总计各</w:t>
          </w:r>
          <w:r>
            <w:rPr>
              <w:rFonts w:hint="eastAsia" w:ascii="Times New Roman" w:hAnsi="Times New Roman" w:eastAsia="仿宋_GB2312" w:cs="仿宋_GB2312"/>
              <w:szCs w:val="32"/>
              <w:highlight w:val="none"/>
            </w:rPr>
            <w:t>减少</w:t>
          </w:r>
          <w:r>
            <w:rPr>
              <w:rFonts w:hint="eastAsia" w:eastAsia="仿宋_GB2312" w:cs="仿宋_GB2312"/>
              <w:szCs w:val="32"/>
              <w:highlight w:val="none"/>
              <w:lang w:val="en-US" w:eastAsia="zh-CN"/>
            </w:rPr>
            <w:t>6225.43</w:t>
          </w:r>
          <w:r>
            <w:rPr>
              <w:rFonts w:hint="eastAsia" w:ascii="Times New Roman" w:hAnsi="Times New Roman" w:eastAsia="仿宋_GB2312" w:cs="仿宋_GB2312"/>
              <w:szCs w:val="32"/>
              <w:highlight w:val="none"/>
            </w:rPr>
            <w:t>万元，下降</w:t>
          </w:r>
          <w:r>
            <w:rPr>
              <w:rFonts w:hint="eastAsia" w:eastAsia="仿宋_GB2312" w:cs="仿宋_GB2312"/>
              <w:szCs w:val="32"/>
              <w:highlight w:val="none"/>
              <w:lang w:val="en-US" w:eastAsia="zh-CN"/>
            </w:rPr>
            <w:t>61</w:t>
          </w:r>
          <w:r>
            <w:rPr>
              <w:rFonts w:hint="eastAsia" w:ascii="Times New Roman" w:hAnsi="Times New Roman" w:eastAsia="仿宋_GB2312" w:cs="仿宋_GB2312"/>
              <w:szCs w:val="32"/>
              <w:highlight w:val="none"/>
            </w:rPr>
            <w:t>%。主要变动原因是</w:t>
          </w:r>
          <w:r>
            <w:rPr>
              <w:rFonts w:hint="eastAsia" w:eastAsia="仿宋_GB2312" w:cs="仿宋_GB2312"/>
              <w:szCs w:val="32"/>
              <w:highlight w:val="none"/>
              <w:lang w:eastAsia="zh-CN"/>
            </w:rPr>
            <w:t>人员变动、项目资金减少。</w:t>
          </w:r>
          <w:r>
            <w:tab/>
          </w:r>
          <w:r>
            <w:fldChar w:fldCharType="begin"/>
          </w:r>
          <w:r>
            <w:instrText xml:space="preserve"> PAGEREF _Toc12284 \h </w:instrText>
          </w:r>
          <w:r>
            <w:fldChar w:fldCharType="separate"/>
          </w:r>
          <w:r>
            <w:t>- 8 -</w:t>
          </w:r>
          <w:r>
            <w:fldChar w:fldCharType="end"/>
          </w:r>
          <w:r>
            <w:rPr>
              <w:rFonts w:ascii="Times New Roman" w:hAnsi="Times New Roman"/>
              <w:color w:val="auto"/>
              <w:highlight w:val="none"/>
            </w:rPr>
            <w:fldChar w:fldCharType="end"/>
          </w:r>
        </w:p>
        <w:p w14:paraId="323CB985">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_Toc16159 </w:instrText>
          </w:r>
          <w:r>
            <w:rPr>
              <w:rFonts w:ascii="Times New Roman" w:hAnsi="Times New Roman"/>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_Toc16159 \h </w:instrText>
          </w:r>
          <w:r>
            <w:fldChar w:fldCharType="separate"/>
          </w:r>
          <w:r>
            <w:t>- 8 -</w:t>
          </w:r>
          <w:r>
            <w:fldChar w:fldCharType="end"/>
          </w:r>
          <w:r>
            <w:rPr>
              <w:rFonts w:ascii="Times New Roman" w:hAnsi="Times New Roman"/>
              <w:color w:val="auto"/>
              <w:highlight w:val="none"/>
            </w:rPr>
            <w:fldChar w:fldCharType="end"/>
          </w:r>
        </w:p>
        <w:p w14:paraId="2E9721E1">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_Toc24753 </w:instrText>
          </w:r>
          <w:r>
            <w:rPr>
              <w:rFonts w:ascii="Times New Roman" w:hAnsi="Times New Roman"/>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_Toc24753 \h </w:instrText>
          </w:r>
          <w:r>
            <w:fldChar w:fldCharType="separate"/>
          </w:r>
          <w:r>
            <w:t>- 12 -</w:t>
          </w:r>
          <w:r>
            <w:fldChar w:fldCharType="end"/>
          </w:r>
          <w:r>
            <w:rPr>
              <w:rFonts w:ascii="Times New Roman" w:hAnsi="Times New Roman"/>
              <w:color w:val="auto"/>
              <w:highlight w:val="none"/>
            </w:rPr>
            <w:fldChar w:fldCharType="end"/>
          </w:r>
        </w:p>
        <w:p w14:paraId="3487911C">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_Toc18486 </w:instrText>
          </w:r>
          <w:r>
            <w:rPr>
              <w:rFonts w:ascii="Times New Roman" w:hAnsi="Times New Roman"/>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_Toc18486 \h </w:instrText>
          </w:r>
          <w:r>
            <w:fldChar w:fldCharType="separate"/>
          </w:r>
          <w:r>
            <w:t>- 13 -</w:t>
          </w:r>
          <w:r>
            <w:fldChar w:fldCharType="end"/>
          </w:r>
          <w:r>
            <w:rPr>
              <w:rFonts w:ascii="Times New Roman" w:hAnsi="Times New Roman"/>
              <w:color w:val="auto"/>
              <w:highlight w:val="none"/>
            </w:rPr>
            <w:fldChar w:fldCharType="end"/>
          </w:r>
        </w:p>
        <w:p w14:paraId="3D176181">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_Toc16743 </w:instrText>
          </w:r>
          <w:r>
            <w:rPr>
              <w:rFonts w:ascii="Times New Roman" w:hAnsi="Times New Roman"/>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_Toc16743 \h </w:instrText>
          </w:r>
          <w:r>
            <w:fldChar w:fldCharType="separate"/>
          </w:r>
          <w:r>
            <w:t>- 15 -</w:t>
          </w:r>
          <w:r>
            <w:fldChar w:fldCharType="end"/>
          </w:r>
          <w:r>
            <w:rPr>
              <w:rFonts w:ascii="Times New Roman" w:hAnsi="Times New Roman"/>
              <w:color w:val="auto"/>
              <w:highlight w:val="none"/>
            </w:rPr>
            <w:fldChar w:fldCharType="end"/>
          </w:r>
        </w:p>
        <w:p w14:paraId="20BC5B13">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_Toc18753 </w:instrText>
          </w:r>
          <w:r>
            <w:rPr>
              <w:rFonts w:ascii="Times New Roman" w:hAnsi="Times New Roman"/>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_Toc18753 \h </w:instrText>
          </w:r>
          <w:r>
            <w:fldChar w:fldCharType="separate"/>
          </w:r>
          <w:r>
            <w:t>- 15 -</w:t>
          </w:r>
          <w:r>
            <w:fldChar w:fldCharType="end"/>
          </w:r>
          <w:r>
            <w:rPr>
              <w:rFonts w:ascii="Times New Roman" w:hAnsi="Times New Roman"/>
              <w:color w:val="auto"/>
              <w:highlight w:val="none"/>
            </w:rPr>
            <w:fldChar w:fldCharType="end"/>
          </w:r>
        </w:p>
        <w:p w14:paraId="50CA75EE">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_Toc3932 </w:instrText>
          </w:r>
          <w:r>
            <w:rPr>
              <w:rFonts w:ascii="Times New Roman" w:hAnsi="Times New Roman"/>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_Toc3932 \h </w:instrText>
          </w:r>
          <w:r>
            <w:fldChar w:fldCharType="separate"/>
          </w:r>
          <w:r>
            <w:t>- 15 -</w:t>
          </w:r>
          <w:r>
            <w:fldChar w:fldCharType="end"/>
          </w:r>
          <w:r>
            <w:rPr>
              <w:rFonts w:ascii="Times New Roman" w:hAnsi="Times New Roman"/>
              <w:color w:val="auto"/>
              <w:highlight w:val="none"/>
            </w:rPr>
            <w:fldChar w:fldCharType="end"/>
          </w:r>
        </w:p>
        <w:p w14:paraId="4A598052">
          <w:pPr>
            <w:pStyle w:val="12"/>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_Toc15427 </w:instrText>
          </w:r>
          <w:r>
            <w:rPr>
              <w:rFonts w:ascii="Times New Roman" w:hAnsi="Times New Roman"/>
              <w:highlight w:val="none"/>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_Toc15427 \h </w:instrText>
          </w:r>
          <w:r>
            <w:fldChar w:fldCharType="separate"/>
          </w:r>
          <w:r>
            <w:t>- 16 -</w:t>
          </w:r>
          <w:r>
            <w:fldChar w:fldCharType="end"/>
          </w:r>
          <w:r>
            <w:rPr>
              <w:rFonts w:ascii="Times New Roman" w:hAnsi="Times New Roman"/>
              <w:color w:val="auto"/>
              <w:highlight w:val="none"/>
            </w:rPr>
            <w:fldChar w:fldCharType="end"/>
          </w:r>
        </w:p>
        <w:p w14:paraId="55BB7169">
          <w:pPr>
            <w:rPr>
              <w:rFonts w:hint="eastAsia" w:ascii="Times New Roman" w:hAnsi="Times New Roman" w:eastAsia="方正小标宋简体" w:cs="方正小标宋简体"/>
              <w:b w:val="0"/>
              <w:color w:val="auto"/>
              <w:highlight w:val="none"/>
              <w:lang w:val="en-US" w:eastAsia="zh-CN"/>
            </w:rPr>
          </w:pPr>
          <w:r>
            <w:rPr>
              <w:rFonts w:ascii="Times New Roman" w:hAnsi="Times New Roman"/>
              <w:color w:val="auto"/>
              <w:highlight w:val="none"/>
            </w:rPr>
            <w:fldChar w:fldCharType="end"/>
          </w:r>
          <w:bookmarkStart w:id="6" w:name="_Toc15377196"/>
          <w:bookmarkStart w:id="7" w:name="_Toc15396599"/>
        </w:p>
      </w:sdtContent>
    </w:sdt>
    <w:p w14:paraId="2ED25C3C">
      <w:pPr>
        <w:pStyle w:val="2"/>
        <w:jc w:val="center"/>
        <w:rPr>
          <w:rFonts w:ascii="Times New Roman" w:hAnsi="Times New Roman" w:eastAsia="黑体"/>
          <w:color w:val="auto"/>
          <w:sz w:val="32"/>
          <w:szCs w:val="32"/>
          <w:highlight w:val="none"/>
        </w:rPr>
      </w:pPr>
      <w:bookmarkStart w:id="8" w:name="_Toc2935"/>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14:paraId="2389C7B1">
      <w:pPr>
        <w:pStyle w:val="3"/>
        <w:rPr>
          <w:rFonts w:hint="eastAsia" w:ascii="Times New Roman" w:hAnsi="Times New Roman" w:eastAsia="黑体"/>
          <w:b w:val="0"/>
          <w:color w:val="auto"/>
          <w:highlight w:val="none"/>
          <w:lang w:eastAsia="zh-CN"/>
        </w:rPr>
      </w:pPr>
      <w:bookmarkStart w:id="9" w:name="_Toc15396600"/>
      <w:bookmarkStart w:id="10" w:name="_Toc15377197"/>
      <w:bookmarkStart w:id="11" w:name="_Toc13791"/>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14:paraId="67CFEF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贯彻执行国家、省、州住房和城乡建设的法律法规和方针、政策。研究拟定住房保障、城乡规划、工程建设、城乡建设、建筑业、房屋装饰装修业、住宅与房地产业、勘察设计咨询业、负责本系统、本部门依法行政工作，落实行政执法责任制。</w:t>
      </w:r>
    </w:p>
    <w:p w14:paraId="24F57D6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2.承担推进住房制度改革、保障城镇低收入家庭住房的责任。拟订全县住房及住房保障相关政策并指导实施，指导住房建设和住房制度改革。拟订廉租住房规划及政策，会同有关部门做好国家、省、州有关廉租住房资金安排并组织实施。编制住房保障发展规划和年度计划并监督实施。</w:t>
      </w:r>
    </w:p>
    <w:p w14:paraId="6337C4E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3.承担建立全县工程建设标准体系的责任。组织实施工程建设实施阶段的国家标准、四川省统一定额和行业标准定额，组织制定工程建设的地方标准，组织制定和发布全县统一定额，拟定建设项目可行性研究评价方法、经济参数、建设标准和工程造价的管理制度，指导监督各类工程建设标准定额的实施和工程造价计价，负责收集、上报地方工程造价信息。</w:t>
      </w:r>
    </w:p>
    <w:p w14:paraId="7A51B85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 xml:space="preserve"> 4.承担规范房地产市场秩序、监督管理房地产市场的责任。会同有关部门组织拟订房地产市场监督管理政策并监督执行，提出房地产业的行业发展规划和产业政策，制定房地产开发、房屋权属管理、房屋租赁、房屋面积管理、危房鉴定、白蚁防治、房屋征收拆迁的规章制度并监督执行。</w:t>
      </w:r>
    </w:p>
    <w:p w14:paraId="4D313CE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 xml:space="preserve"> 5.承担监督管理建筑市场、规范建筑市场各方主体行为的责任。指导全县建筑活动，拟订工程建设、建筑业及装饰装修业发展战略、中长期规划、改革方案、产业政策、规章制度并监督执行。配合相关部门开展房屋建筑项目招投标活动的监督。拟订建设工程施工、监理以及规范建筑市场各方主体行为的规章制度并监督执行。负责建筑工程质量安全的监督管理工作，拟订建筑工程质量、建筑安全生产和竣工验收备案的政策、规章制度并监督执行，组织或参与工程重大质量、安全事故的调查处理。</w:t>
      </w:r>
    </w:p>
    <w:p w14:paraId="732A3DF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6.承担监督管理勘察设计咨询市场秩序和勘察设计咨询质量的责任。拟订工程勘察设计咨询业的战略、中长期规划、改革方案、产业和技术政策、规章制度并指导实施。指导建设工程抗震设防工作，组织编制并实施房屋建筑和市政设施抗震技术地方规范和标准图集，组织开展城镇建筑物抗震性能普查、鉴定加固和改造工作，指导村镇和农村建设抗震工作，指导和组织灾后恢复重建工作。</w:t>
      </w:r>
    </w:p>
    <w:p w14:paraId="4D17B2C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7.承担指导城镇建设管理的责任。拟订城镇建设的政策、规划并指导实施，指导城镇供水、节水、排水、燃气、污水和垃圾处理等市政公用设施的建设管理，指导城镇市容环境综合治理管理工作，指导城镇防汛防洪排涝工作，指导和组织各类城镇建设试点工作，指导城镇建设档案管理工作。会同有关部门做好城市维护资金安排并监督地方组织实施。</w:t>
      </w:r>
    </w:p>
    <w:p w14:paraId="2856A89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8.承担规范和指导村镇建设的责任。拟订村庄和小城镇建设政策并指导实施，指导村镇规划编制、农村住房建设管理和危房改造，指导小城镇和村庄人居生态环境的改善工作，指导和组织各类村镇建设试点工作，指导受灾村镇及国家大型重点建设项目地区村镇迁建、重建的规划建设和管理工作。</w:t>
      </w:r>
    </w:p>
    <w:p w14:paraId="49A9938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9.承担推进建筑节能、城镇减排的责任。会同有关部门拟订建筑节能政策、规划并监督实施，推广使用散装水泥，进行新型墙体材料改</w:t>
      </w:r>
      <w:bookmarkStart w:id="81" w:name="_GoBack"/>
      <w:r>
        <w:rPr>
          <w:rFonts w:hint="eastAsia" w:ascii="仿宋_GB2312" w:hAnsi="仿宋_GB2312" w:eastAsia="仿宋_GB2312" w:cs="仿宋_GB2312"/>
          <w:i w:val="0"/>
          <w:caps w:val="0"/>
          <w:color w:val="333333"/>
          <w:spacing w:val="0"/>
          <w:kern w:val="0"/>
          <w:sz w:val="32"/>
          <w:szCs w:val="32"/>
          <w:shd w:val="clear" w:color="080000" w:fill="FFFFFF"/>
          <w:lang w:val="en-US" w:eastAsia="zh-CN"/>
        </w:rPr>
        <w:t>革和</w:t>
      </w:r>
      <w:bookmarkEnd w:id="81"/>
      <w:r>
        <w:rPr>
          <w:rFonts w:hint="eastAsia" w:ascii="仿宋_GB2312" w:hAnsi="仿宋_GB2312" w:eastAsia="仿宋_GB2312" w:cs="仿宋_GB2312"/>
          <w:i w:val="0"/>
          <w:caps w:val="0"/>
          <w:color w:val="333333"/>
          <w:spacing w:val="0"/>
          <w:kern w:val="0"/>
          <w:sz w:val="32"/>
          <w:szCs w:val="32"/>
          <w:shd w:val="clear" w:color="080000" w:fill="FFFFFF"/>
          <w:lang w:val="en-US" w:eastAsia="zh-CN"/>
        </w:rPr>
        <w:t>技术推广，组织实施重大建筑节能项目，推进城镇减排。组织实施重大科技项目成果转化工作，承担推进墙体材料革新的责任。</w:t>
      </w:r>
    </w:p>
    <w:p w14:paraId="1656664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10.制订建设行业人才培养和教育发展规划并组织实施，指导建设行业科技人才队伍建设和执业资格管理工作。指导监督全县建设行业民间组织管理工作。负责指导住房和城乡建设系统的信访工作，督查督办重大信访案件。开展住房和城乡建设方面的交流与合作。管理局机关及直属事业单位的人事、机构编制、劳动工资工作；指导行业廉政建设、社会保险、劳动标准和专业技术职称工作。</w:t>
      </w:r>
    </w:p>
    <w:p w14:paraId="4E89849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11.承担县政府公布的有关政审批事项。</w:t>
      </w:r>
    </w:p>
    <w:p w14:paraId="08B75FE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lang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12.承办县政府交办的其他事项。</w:t>
      </w:r>
    </w:p>
    <w:p w14:paraId="6409B61A">
      <w:pPr>
        <w:rPr>
          <w:rFonts w:hint="eastAsia"/>
          <w:lang w:eastAsia="zh-CN"/>
        </w:rPr>
      </w:pPr>
    </w:p>
    <w:p w14:paraId="63E25AB0">
      <w:pPr>
        <w:pStyle w:val="3"/>
        <w:rPr>
          <w:rStyle w:val="29"/>
          <w:rFonts w:ascii="Times New Roman" w:hAnsi="Times New Roman"/>
          <w:b w:val="0"/>
          <w:bCs w:val="0"/>
          <w:color w:val="auto"/>
          <w:highlight w:val="none"/>
        </w:rPr>
      </w:pPr>
      <w:bookmarkStart w:id="12" w:name="_Toc15377200"/>
      <w:bookmarkStart w:id="13" w:name="_Toc15396601"/>
      <w:bookmarkStart w:id="14" w:name="_Toc31827"/>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2"/>
      <w:bookmarkEnd w:id="13"/>
      <w:bookmarkEnd w:id="14"/>
    </w:p>
    <w:p w14:paraId="7D37A0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松潘县住房和城乡建设局是行政单位，内设7个股室，下属二级单位为质量安全监督站、房地产管理所、消防中心，项目建设中心。</w:t>
      </w:r>
    </w:p>
    <w:p w14:paraId="60FA43FC">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1CDDD72">
      <w:pPr>
        <w:pStyle w:val="2"/>
        <w:jc w:val="center"/>
        <w:rPr>
          <w:rFonts w:hint="eastAsia" w:ascii="Times New Roman" w:hAnsi="Times New Roman" w:eastAsia="方正小标宋简体" w:cs="方正小标宋简体"/>
          <w:b w:val="0"/>
          <w:color w:val="auto"/>
          <w:highlight w:val="none"/>
        </w:rPr>
      </w:pPr>
      <w:bookmarkStart w:id="15" w:name="_Toc15396602"/>
      <w:bookmarkStart w:id="16" w:name="_Toc25441"/>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5"/>
      <w:bookmarkEnd w:id="16"/>
      <w:bookmarkEnd w:id="17"/>
    </w:p>
    <w:p w14:paraId="6A44BFC8">
      <w:pPr>
        <w:rPr>
          <w:rFonts w:ascii="Times New Roman" w:hAnsi="Times New Roman"/>
          <w:color w:val="auto"/>
          <w:highlight w:val="none"/>
        </w:rPr>
      </w:pPr>
    </w:p>
    <w:p w14:paraId="376E53D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7331"/>
      <w:bookmarkStart w:id="19" w:name="_Toc15377205"/>
      <w:bookmarkStart w:id="2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bookmarkEnd w:id="20"/>
    </w:p>
    <w:p w14:paraId="5E5DE65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1" w:name="_Toc3207"/>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23562.29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19515.67</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在增加</w:t>
      </w:r>
      <w:r>
        <w:rPr>
          <w:rFonts w:hint="eastAsia" w:eastAsia="仿宋_GB2312" w:cs="仿宋_GB2312"/>
          <w:color w:val="auto"/>
          <w:sz w:val="32"/>
          <w:szCs w:val="32"/>
          <w:highlight w:val="none"/>
          <w:lang w:val="en-US" w:eastAsia="zh-CN"/>
        </w:rPr>
        <w:t>61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人员变动、项目资金增加</w:t>
      </w:r>
      <w:bookmarkEnd w:id="21"/>
      <w:r>
        <w:rPr>
          <w:rFonts w:hint="eastAsia" w:eastAsia="仿宋_GB2312" w:cs="仿宋_GB2312"/>
          <w:color w:val="auto"/>
          <w:sz w:val="32"/>
          <w:szCs w:val="32"/>
          <w:highlight w:val="none"/>
          <w:lang w:eastAsia="zh-CN"/>
        </w:rPr>
        <w:t>。</w:t>
      </w:r>
    </w:p>
    <w:p w14:paraId="3DA4D2C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5576DD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826000" cy="2743200"/>
            <wp:effectExtent l="4445" t="4445" r="825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8CAE80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29969"/>
      <w:bookmarkStart w:id="24" w:name="_Toc15377206"/>
      <w:r>
        <w:rPr>
          <w:rFonts w:hint="eastAsia" w:ascii="Times New Roman" w:hAnsi="Times New Roman" w:eastAsia="黑体"/>
          <w:color w:val="auto"/>
          <w:sz w:val="32"/>
          <w:szCs w:val="32"/>
          <w:highlight w:val="none"/>
          <w:lang w:eastAsia="zh-CN"/>
        </w:rPr>
        <w:t>二、收入决算情况说明</w:t>
      </w:r>
      <w:bookmarkEnd w:id="22"/>
      <w:bookmarkEnd w:id="23"/>
      <w:bookmarkEnd w:id="24"/>
    </w:p>
    <w:p w14:paraId="7A53837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25" w:name="_Toc12611"/>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rPr>
        <w:t>23562.29万元，其中：一般公共预算财政拨款收入16088.74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7473.54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bookmarkEnd w:id="25"/>
    </w:p>
    <w:p w14:paraId="7902D82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0D4B73DA">
      <w:pPr>
        <w:ind w:firstLine="800" w:firstLineChars="250"/>
        <w:rPr>
          <w:rFonts w:hint="eastAsia" w:ascii="Times New Roman" w:hAnsi="Times New Roman" w:eastAsia="仿宋_GB2312" w:cs="仿宋_GB2312"/>
          <w:color w:val="auto"/>
          <w:sz w:val="32"/>
          <w:szCs w:val="32"/>
          <w:highlight w:val="none"/>
          <w:lang w:eastAsia="zh-CN"/>
        </w:rPr>
      </w:pPr>
    </w:p>
    <w:p w14:paraId="74B1C06C">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178935" cy="1996440"/>
            <wp:effectExtent l="4445" t="5080" r="7620" b="1016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55C4112">
      <w:pPr>
        <w:ind w:firstLine="800" w:firstLineChars="250"/>
        <w:rPr>
          <w:rFonts w:hint="eastAsia" w:ascii="Times New Roman" w:hAnsi="Times New Roman" w:eastAsia="仿宋_GB2312" w:cs="仿宋_GB2312"/>
          <w:color w:val="auto"/>
          <w:sz w:val="32"/>
          <w:szCs w:val="32"/>
          <w:highlight w:val="none"/>
          <w:lang w:eastAsia="zh-CN"/>
        </w:rPr>
      </w:pPr>
    </w:p>
    <w:p w14:paraId="3BE73F8B">
      <w:pPr>
        <w:ind w:firstLine="800" w:firstLineChars="250"/>
        <w:rPr>
          <w:rFonts w:hint="eastAsia" w:ascii="Times New Roman" w:hAnsi="Times New Roman" w:eastAsia="仿宋_GB2312" w:cs="仿宋_GB2312"/>
          <w:color w:val="auto"/>
          <w:sz w:val="32"/>
          <w:szCs w:val="32"/>
          <w:highlight w:val="none"/>
          <w:lang w:eastAsia="zh-CN"/>
        </w:rPr>
      </w:pPr>
    </w:p>
    <w:p w14:paraId="6CC34625">
      <w:pPr>
        <w:ind w:firstLine="800" w:firstLineChars="250"/>
        <w:rPr>
          <w:rFonts w:hint="eastAsia" w:ascii="Times New Roman" w:hAnsi="Times New Roman" w:eastAsia="仿宋_GB2312" w:cs="仿宋_GB2312"/>
          <w:color w:val="auto"/>
          <w:sz w:val="32"/>
          <w:szCs w:val="32"/>
          <w:highlight w:val="none"/>
          <w:lang w:eastAsia="zh-CN"/>
        </w:rPr>
      </w:pPr>
    </w:p>
    <w:p w14:paraId="249F537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6" w:name="_Toc15396605"/>
      <w:bookmarkStart w:id="27" w:name="_Toc32745"/>
      <w:bookmarkStart w:id="28"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6"/>
      <w:bookmarkEnd w:id="27"/>
      <w:bookmarkEnd w:id="28"/>
    </w:p>
    <w:p w14:paraId="6C2FFA1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bookmarkStart w:id="29" w:name="_Toc7219"/>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rPr>
        <w:t>23562.29</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206.85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0.88</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23355.43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99.12</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bookmarkEnd w:id="29"/>
    </w:p>
    <w:p w14:paraId="141498B6">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43B353E">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422140" cy="2179320"/>
            <wp:effectExtent l="5080" t="4445" r="7620" b="1079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227AA71">
      <w:pPr>
        <w:ind w:firstLine="800" w:firstLineChars="250"/>
        <w:rPr>
          <w:rFonts w:hint="eastAsia" w:ascii="Times New Roman" w:hAnsi="Times New Roman" w:eastAsia="仿宋_GB2312" w:cs="仿宋_GB2312"/>
          <w:color w:val="auto"/>
          <w:sz w:val="32"/>
          <w:szCs w:val="32"/>
          <w:highlight w:val="none"/>
          <w:lang w:eastAsia="zh-CN"/>
        </w:rPr>
      </w:pPr>
    </w:p>
    <w:p w14:paraId="7FF63155">
      <w:pPr>
        <w:ind w:firstLine="800" w:firstLineChars="250"/>
        <w:rPr>
          <w:rFonts w:hint="eastAsia" w:ascii="Times New Roman" w:hAnsi="Times New Roman" w:eastAsia="仿宋_GB2312" w:cs="仿宋_GB2312"/>
          <w:color w:val="auto"/>
          <w:sz w:val="32"/>
          <w:szCs w:val="32"/>
          <w:highlight w:val="none"/>
          <w:lang w:eastAsia="zh-CN"/>
        </w:rPr>
      </w:pPr>
    </w:p>
    <w:p w14:paraId="2874F3CD">
      <w:pPr>
        <w:ind w:firstLine="800" w:firstLineChars="250"/>
        <w:rPr>
          <w:rFonts w:hint="eastAsia" w:ascii="Times New Roman" w:hAnsi="Times New Roman" w:eastAsia="仿宋_GB2312" w:cs="仿宋_GB2312"/>
          <w:color w:val="auto"/>
          <w:sz w:val="32"/>
          <w:szCs w:val="32"/>
          <w:highlight w:val="none"/>
          <w:lang w:eastAsia="zh-CN"/>
        </w:rPr>
      </w:pPr>
    </w:p>
    <w:p w14:paraId="29F1483B">
      <w:pPr>
        <w:ind w:firstLine="800" w:firstLineChars="250"/>
        <w:rPr>
          <w:rFonts w:hint="eastAsia" w:ascii="Times New Roman" w:hAnsi="Times New Roman" w:eastAsia="仿宋_GB2312" w:cs="仿宋_GB2312"/>
          <w:color w:val="auto"/>
          <w:sz w:val="32"/>
          <w:szCs w:val="32"/>
          <w:highlight w:val="none"/>
          <w:lang w:eastAsia="zh-CN"/>
        </w:rPr>
      </w:pPr>
    </w:p>
    <w:p w14:paraId="11527DA9">
      <w:pPr>
        <w:ind w:firstLine="800" w:firstLineChars="250"/>
        <w:rPr>
          <w:rFonts w:hint="eastAsia" w:ascii="Times New Roman" w:hAnsi="Times New Roman" w:eastAsia="仿宋_GB2312" w:cs="仿宋_GB2312"/>
          <w:color w:val="auto"/>
          <w:sz w:val="32"/>
          <w:szCs w:val="32"/>
          <w:highlight w:val="none"/>
          <w:lang w:eastAsia="zh-CN"/>
        </w:rPr>
      </w:pPr>
    </w:p>
    <w:p w14:paraId="286FF318">
      <w:pPr>
        <w:spacing w:line="600" w:lineRule="exact"/>
        <w:ind w:firstLine="640" w:firstLineChars="200"/>
        <w:outlineLvl w:val="1"/>
        <w:rPr>
          <w:rStyle w:val="29"/>
          <w:rFonts w:ascii="Times New Roman" w:hAnsi="Times New Roman" w:eastAsia="黑体"/>
          <w:b w:val="0"/>
          <w:color w:val="auto"/>
          <w:highlight w:val="none"/>
        </w:rPr>
      </w:pPr>
      <w:bookmarkStart w:id="30" w:name="_Toc14544"/>
      <w:bookmarkStart w:id="31" w:name="_Toc15377208"/>
      <w:bookmarkStart w:id="32"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0"/>
      <w:bookmarkEnd w:id="31"/>
      <w:bookmarkEnd w:id="32"/>
    </w:p>
    <w:p w14:paraId="76A4632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3" w:name="_Toc1228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rPr>
        <w:t>23562.29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bookmarkEnd w:id="33"/>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19515.67</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在增加</w:t>
      </w:r>
      <w:r>
        <w:rPr>
          <w:rFonts w:hint="eastAsia" w:eastAsia="仿宋_GB2312" w:cs="仿宋_GB2312"/>
          <w:color w:val="auto"/>
          <w:sz w:val="32"/>
          <w:szCs w:val="32"/>
          <w:highlight w:val="none"/>
          <w:lang w:val="en-US" w:eastAsia="zh-CN"/>
        </w:rPr>
        <w:t>61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人员变动、项目资金增加。</w:t>
      </w:r>
    </w:p>
    <w:p w14:paraId="5FA0C7F7">
      <w:pPr>
        <w:spacing w:line="600" w:lineRule="exact"/>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83820</wp:posOffset>
            </wp:positionH>
            <wp:positionV relativeFrom="paragraph">
              <wp:posOffset>318770</wp:posOffset>
            </wp:positionV>
            <wp:extent cx="4826000" cy="2743200"/>
            <wp:effectExtent l="4445" t="4445" r="8255" b="14605"/>
            <wp:wrapNone/>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7BDE1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DB6C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32A3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CE70E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EB4451">
      <w:pPr>
        <w:spacing w:line="600" w:lineRule="exact"/>
        <w:ind w:firstLine="640" w:firstLineChars="200"/>
        <w:outlineLvl w:val="1"/>
        <w:rPr>
          <w:rFonts w:hint="eastAsia" w:ascii="Times New Roman" w:hAnsi="Times New Roman" w:eastAsia="黑体"/>
          <w:color w:val="auto"/>
          <w:sz w:val="32"/>
          <w:szCs w:val="32"/>
          <w:highlight w:val="none"/>
        </w:rPr>
      </w:pPr>
      <w:bookmarkStart w:id="34" w:name="_Toc15396607"/>
      <w:bookmarkStart w:id="35" w:name="_Toc15377209"/>
    </w:p>
    <w:p w14:paraId="42922BC8">
      <w:pPr>
        <w:spacing w:line="600" w:lineRule="exact"/>
        <w:ind w:firstLine="640" w:firstLineChars="200"/>
        <w:outlineLvl w:val="1"/>
        <w:rPr>
          <w:rFonts w:hint="eastAsia" w:ascii="Times New Roman" w:hAnsi="Times New Roman" w:eastAsia="黑体"/>
          <w:color w:val="auto"/>
          <w:sz w:val="32"/>
          <w:szCs w:val="32"/>
          <w:highlight w:val="none"/>
        </w:rPr>
      </w:pPr>
    </w:p>
    <w:p w14:paraId="0C1BC745">
      <w:pPr>
        <w:spacing w:line="600" w:lineRule="exact"/>
        <w:outlineLvl w:val="1"/>
        <w:rPr>
          <w:rFonts w:hint="eastAsia" w:ascii="Times New Roman" w:hAnsi="Times New Roman" w:eastAsia="黑体"/>
          <w:color w:val="auto"/>
          <w:sz w:val="32"/>
          <w:szCs w:val="32"/>
          <w:highlight w:val="none"/>
        </w:rPr>
      </w:pPr>
    </w:p>
    <w:p w14:paraId="7483F1F6">
      <w:pPr>
        <w:spacing w:line="600" w:lineRule="exact"/>
        <w:ind w:firstLine="640" w:firstLineChars="200"/>
        <w:outlineLvl w:val="1"/>
        <w:rPr>
          <w:rStyle w:val="29"/>
          <w:rFonts w:ascii="Times New Roman" w:hAnsi="Times New Roman" w:eastAsia="黑体"/>
          <w:b w:val="0"/>
          <w:color w:val="auto"/>
          <w:highlight w:val="none"/>
        </w:rPr>
      </w:pPr>
      <w:bookmarkStart w:id="36" w:name="_Toc1615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4"/>
      <w:bookmarkEnd w:id="35"/>
      <w:bookmarkEnd w:id="36"/>
    </w:p>
    <w:p w14:paraId="7D1ABD6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7"/>
    </w:p>
    <w:p w14:paraId="69E6B3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3912.03</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96.67</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%。与2024年度相比，一般公共预算财政拨款支出减少5948.89万元，增长/下降**%。主要变动原因是2025年无存量资金，项目资金减少。</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62D77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1" locked="0" layoutInCell="1" allowOverlap="1">
            <wp:simplePos x="0" y="0"/>
            <wp:positionH relativeFrom="column">
              <wp:posOffset>410845</wp:posOffset>
            </wp:positionH>
            <wp:positionV relativeFrom="paragraph">
              <wp:posOffset>-2449195</wp:posOffset>
            </wp:positionV>
            <wp:extent cx="4513580" cy="2279015"/>
            <wp:effectExtent l="4445" t="4445" r="38735" b="48260"/>
            <wp:wrapTight wrapText="bothSides">
              <wp:wrapPolygon>
                <wp:start x="-21" y="-42"/>
                <wp:lineTo x="-21" y="21480"/>
                <wp:lineTo x="21567" y="21480"/>
                <wp:lineTo x="21567" y="-42"/>
                <wp:lineTo x="-21" y="-42"/>
              </wp:wrapPolygon>
            </wp:wrapTight>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B2D4D1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8"/>
    </w:p>
    <w:p w14:paraId="490A54D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rPr>
        <w:t>16088.74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：教育支出</w:t>
      </w:r>
      <w:r>
        <w:rPr>
          <w:rFonts w:hint="eastAsia" w:ascii="Times New Roman" w:hAnsi="Times New Roman" w:eastAsia="仿宋_GB2312" w:cs="仿宋_GB2312"/>
          <w:color w:val="auto"/>
          <w:kern w:val="2"/>
          <w:sz w:val="32"/>
          <w:szCs w:val="32"/>
          <w:highlight w:val="none"/>
          <w:lang w:val="en-US" w:eastAsia="zh-CN" w:bidi="ar-SA"/>
        </w:rPr>
        <w:t>948.46万元，占</w:t>
      </w:r>
      <w:r>
        <w:rPr>
          <w:rFonts w:hint="eastAsia" w:eastAsia="仿宋_GB2312" w:cs="仿宋_GB2312"/>
          <w:color w:val="auto"/>
          <w:kern w:val="2"/>
          <w:sz w:val="32"/>
          <w:szCs w:val="32"/>
          <w:highlight w:val="none"/>
          <w:lang w:val="en-US" w:eastAsia="zh-CN" w:bidi="ar-SA"/>
        </w:rPr>
        <w:t>5.9</w:t>
      </w:r>
      <w:r>
        <w:rPr>
          <w:rFonts w:hint="eastAsia" w:ascii="Times New Roman" w:hAnsi="Times New Roman" w:eastAsia="仿宋_GB2312" w:cs="仿宋_GB2312"/>
          <w:color w:val="auto"/>
          <w:kern w:val="2"/>
          <w:sz w:val="32"/>
          <w:szCs w:val="32"/>
          <w:highlight w:val="none"/>
          <w:lang w:val="en-US" w:eastAsia="zh-CN" w:bidi="ar-SA"/>
        </w:rPr>
        <w:t>%；节能环保支出1189.71万元，占</w:t>
      </w:r>
      <w:r>
        <w:rPr>
          <w:rFonts w:hint="eastAsia" w:eastAsia="仿宋_GB2312" w:cs="仿宋_GB2312"/>
          <w:color w:val="auto"/>
          <w:kern w:val="2"/>
          <w:sz w:val="32"/>
          <w:szCs w:val="32"/>
          <w:highlight w:val="none"/>
          <w:lang w:val="en-US" w:eastAsia="zh-CN" w:bidi="ar-SA"/>
        </w:rPr>
        <w:t>7.39</w:t>
      </w:r>
      <w:r>
        <w:rPr>
          <w:rFonts w:hint="eastAsia" w:ascii="Times New Roman" w:hAnsi="Times New Roman" w:eastAsia="仿宋_GB2312" w:cs="仿宋_GB2312"/>
          <w:color w:val="auto"/>
          <w:kern w:val="2"/>
          <w:sz w:val="32"/>
          <w:szCs w:val="32"/>
          <w:highlight w:val="none"/>
          <w:lang w:val="en-US" w:eastAsia="zh-CN" w:bidi="ar-SA"/>
        </w:rPr>
        <w:t>%；文化旅游体育与传媒支出148.59万元，占</w:t>
      </w:r>
      <w:r>
        <w:rPr>
          <w:rFonts w:hint="eastAsia" w:eastAsia="仿宋_GB2312" w:cs="仿宋_GB2312"/>
          <w:color w:val="auto"/>
          <w:kern w:val="2"/>
          <w:sz w:val="32"/>
          <w:szCs w:val="32"/>
          <w:highlight w:val="none"/>
          <w:lang w:val="en-US" w:eastAsia="zh-CN" w:bidi="ar-SA"/>
        </w:rPr>
        <w:t>0.92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33.23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0.21</w:t>
      </w:r>
      <w:r>
        <w:rPr>
          <w:rFonts w:hint="eastAsia" w:ascii="Times New Roman" w:hAnsi="Times New Roman" w:eastAsia="仿宋_GB2312" w:cs="仿宋_GB2312"/>
          <w:color w:val="auto"/>
          <w:kern w:val="2"/>
          <w:sz w:val="32"/>
          <w:szCs w:val="32"/>
          <w:highlight w:val="none"/>
          <w:lang w:val="en-US" w:eastAsia="zh-CN" w:bidi="ar-SA"/>
        </w:rPr>
        <w:t>%；卫生健康支出8.41万元，占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%；城乡社区支出12994.11万元，占</w:t>
      </w:r>
      <w:r>
        <w:rPr>
          <w:rFonts w:hint="eastAsia" w:eastAsia="仿宋_GB2312" w:cs="仿宋_GB2312"/>
          <w:color w:val="auto"/>
          <w:kern w:val="2"/>
          <w:sz w:val="32"/>
          <w:szCs w:val="32"/>
          <w:highlight w:val="none"/>
          <w:lang w:val="en-US" w:eastAsia="zh-CN" w:bidi="ar-SA"/>
        </w:rPr>
        <w:t>80.84</w:t>
      </w:r>
      <w:r>
        <w:rPr>
          <w:rFonts w:hint="eastAsia" w:ascii="Times New Roman" w:hAnsi="Times New Roman" w:eastAsia="仿宋_GB2312" w:cs="仿宋_GB2312"/>
          <w:color w:val="auto"/>
          <w:kern w:val="2"/>
          <w:sz w:val="32"/>
          <w:szCs w:val="32"/>
          <w:highlight w:val="none"/>
          <w:lang w:val="en-US" w:eastAsia="zh-CN" w:bidi="ar-SA"/>
        </w:rPr>
        <w:t>%；农林水支出742.55万元，占</w:t>
      </w:r>
      <w:r>
        <w:rPr>
          <w:rFonts w:hint="eastAsia" w:eastAsia="仿宋_GB2312" w:cs="仿宋_GB2312"/>
          <w:color w:val="auto"/>
          <w:kern w:val="2"/>
          <w:sz w:val="32"/>
          <w:szCs w:val="32"/>
          <w:highlight w:val="none"/>
          <w:lang w:val="en-US" w:eastAsia="zh-CN" w:bidi="ar-SA"/>
        </w:rPr>
        <w:t>4.62</w:t>
      </w:r>
      <w:r>
        <w:rPr>
          <w:rFonts w:hint="eastAsia" w:ascii="Times New Roman" w:hAnsi="Times New Roman" w:eastAsia="仿宋_GB2312" w:cs="仿宋_GB2312"/>
          <w:color w:val="auto"/>
          <w:kern w:val="2"/>
          <w:sz w:val="32"/>
          <w:szCs w:val="32"/>
          <w:highlight w:val="none"/>
          <w:lang w:val="en-US" w:eastAsia="zh-CN" w:bidi="ar-SA"/>
        </w:rPr>
        <w:t>%；资源勘探工业信息等支出10万元，占</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7971FB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1" locked="0" layoutInCell="1" allowOverlap="1">
            <wp:simplePos x="0" y="0"/>
            <wp:positionH relativeFrom="column">
              <wp:posOffset>669925</wp:posOffset>
            </wp:positionH>
            <wp:positionV relativeFrom="paragraph">
              <wp:posOffset>349250</wp:posOffset>
            </wp:positionV>
            <wp:extent cx="4664075" cy="2359025"/>
            <wp:effectExtent l="4445" t="4445" r="17780" b="17780"/>
            <wp:wrapNone/>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E749B40">
      <w:pPr>
        <w:spacing w:line="600" w:lineRule="exact"/>
        <w:ind w:firstLine="640"/>
      </w:pPr>
    </w:p>
    <w:p w14:paraId="51BA05E4">
      <w:pPr>
        <w:spacing w:line="600" w:lineRule="exact"/>
        <w:ind w:firstLine="640"/>
      </w:pPr>
    </w:p>
    <w:p w14:paraId="48080CC5">
      <w:pPr>
        <w:spacing w:line="600" w:lineRule="exact"/>
        <w:ind w:firstLine="640"/>
      </w:pPr>
    </w:p>
    <w:p w14:paraId="6EE346E9">
      <w:pPr>
        <w:spacing w:line="600" w:lineRule="exact"/>
        <w:ind w:firstLine="640"/>
      </w:pPr>
    </w:p>
    <w:p w14:paraId="188ECE65">
      <w:pPr>
        <w:spacing w:line="600" w:lineRule="exact"/>
        <w:ind w:firstLine="640"/>
      </w:pPr>
    </w:p>
    <w:p w14:paraId="498E1F7A">
      <w:pPr>
        <w:spacing w:line="600" w:lineRule="exact"/>
        <w:ind w:firstLine="640"/>
      </w:pPr>
    </w:p>
    <w:p w14:paraId="7FCBE7C6">
      <w:pPr>
        <w:spacing w:line="600" w:lineRule="exact"/>
        <w:ind w:firstLine="640"/>
      </w:pPr>
    </w:p>
    <w:p w14:paraId="088787B2">
      <w:pPr>
        <w:spacing w:line="600" w:lineRule="exact"/>
        <w:ind w:firstLine="640"/>
        <w:rPr>
          <w:rFonts w:hint="eastAsia"/>
          <w:lang w:val="en-US" w:eastAsia="zh-CN"/>
        </w:rPr>
      </w:pPr>
    </w:p>
    <w:p w14:paraId="61BAAB4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9"/>
    </w:p>
    <w:p w14:paraId="298830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78460"/>
      <w:bookmarkStart w:id="41" w:name="_Toc15377444"/>
      <w:bookmarkStart w:id="42" w:name="_Toc15377213"/>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rPr>
        <w:t>16088.74</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0"/>
      <w:bookmarkEnd w:id="41"/>
      <w:bookmarkEnd w:id="42"/>
    </w:p>
    <w:p w14:paraId="38A980A4">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1.节能环保211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788D9E3">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2.节能环保211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932.72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4C70122">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3.节能环保211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98.98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BD0F0D3">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教育</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948.46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BA6F4E1">
      <w:pPr>
        <w:numPr>
          <w:ilvl w:val="0"/>
          <w:numId w:val="0"/>
        </w:num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5.农林水213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742.55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28912949">
      <w:pPr>
        <w:numPr>
          <w:ilvl w:val="0"/>
          <w:numId w:val="0"/>
        </w:numPr>
        <w:spacing w:line="600" w:lineRule="exact"/>
        <w:ind w:firstLine="320" w:firstLineChars="10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6.农林水213</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（类）</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05</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（款）</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99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p>
    <w:p w14:paraId="4B560484">
      <w:pPr>
        <w:numPr>
          <w:ilvl w:val="0"/>
          <w:numId w:val="0"/>
        </w:numPr>
        <w:spacing w:line="600" w:lineRule="exact"/>
        <w:ind w:firstLine="320" w:firstLineChars="10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7.农林水213</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（类）</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07</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（款）</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p>
    <w:p w14:paraId="70438953">
      <w:pPr>
        <w:numPr>
          <w:ilvl w:val="0"/>
          <w:numId w:val="0"/>
        </w:num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8.资源勘探工业信息等支出215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135A62DA">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文化旅游体育与传媒</w:t>
      </w:r>
      <w:r>
        <w:rPr>
          <w:rFonts w:hint="eastAsia" w:eastAsia="仿宋_GB2312" w:cs="仿宋_GB2312"/>
          <w:color w:val="auto"/>
          <w:kern w:val="2"/>
          <w:sz w:val="32"/>
          <w:szCs w:val="32"/>
          <w:highlight w:val="none"/>
          <w:lang w:val="en-US" w:eastAsia="zh-CN" w:bidi="ar-SA"/>
        </w:rPr>
        <w:t>207</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148.59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C9A4B2B">
      <w:p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E3A7D30">
      <w:p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17.86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FE025E1">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7.17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D5B4257">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A238511">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138.23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D18F630">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6ABA42F">
      <w:pPr>
        <w:spacing w:line="600" w:lineRule="exact"/>
        <w:ind w:firstLine="320" w:firstLineChars="100"/>
        <w:rPr>
          <w:rFonts w:hint="eastAsia" w:ascii="Times New Roman" w:hAnsi="Times New Roman" w:eastAsia="仿宋_GB2312" w:cs="仿宋_GB2312"/>
          <w:color w:val="C0504D" w:themeColor="accent2"/>
          <w:kern w:val="2"/>
          <w:sz w:val="32"/>
          <w:szCs w:val="32"/>
          <w:highlight w:val="none"/>
          <w:lang w:val="en-US" w:eastAsia="zh-CN" w:bidi="ar-SA"/>
          <w14:textFill>
            <w14:solidFill>
              <w14:schemeClr w14:val="accent2"/>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16.城乡社区支出212</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（类）</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99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（款）</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99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556.28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279FC32F">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179205E">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561C49D">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19.城乡社区公共设施212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10091.45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CC8D1F4">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20.城乡社区公共设施212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2035.64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0CE97FF">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21.城乡社区环境卫生212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83.8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BC1B6B8">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22.住房保障221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4327260">
      <w:p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23.住房保障221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26CDD0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7A6826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BF530BC">
      <w:pPr>
        <w:tabs>
          <w:tab w:val="right" w:pos="8306"/>
        </w:tabs>
        <w:spacing w:line="600" w:lineRule="exact"/>
        <w:ind w:firstLine="640"/>
        <w:outlineLvl w:val="1"/>
        <w:rPr>
          <w:rStyle w:val="29"/>
          <w:rFonts w:ascii="Times New Roman" w:hAnsi="Times New Roman"/>
          <w:color w:val="auto"/>
          <w:highlight w:val="none"/>
        </w:rPr>
      </w:pPr>
      <w:bookmarkStart w:id="43" w:name="_Toc24753"/>
      <w:bookmarkStart w:id="44" w:name="_Toc15396608"/>
      <w:bookmarkStart w:id="4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3"/>
      <w:bookmarkEnd w:id="44"/>
      <w:bookmarkEnd w:id="45"/>
      <w:r>
        <w:rPr>
          <w:rStyle w:val="29"/>
          <w:rFonts w:ascii="Times New Roman" w:hAnsi="Times New Roman" w:eastAsia="黑体"/>
          <w:b w:val="0"/>
          <w:color w:val="auto"/>
          <w:highlight w:val="none"/>
        </w:rPr>
        <w:tab/>
      </w:r>
    </w:p>
    <w:p w14:paraId="63585E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rPr>
        <w:t>206.85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5CDEB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187.71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19.14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EFFF43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690D6C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DB2D13B">
      <w:pPr>
        <w:spacing w:line="600" w:lineRule="exact"/>
        <w:ind w:firstLine="640"/>
        <w:outlineLvl w:val="1"/>
        <w:rPr>
          <w:rStyle w:val="29"/>
          <w:rFonts w:ascii="Times New Roman" w:hAnsi="Times New Roman" w:eastAsia="黑体"/>
          <w:b w:val="0"/>
          <w:color w:val="auto"/>
          <w:highlight w:val="none"/>
        </w:rPr>
      </w:pPr>
      <w:bookmarkStart w:id="46" w:name="_Toc15377215"/>
      <w:bookmarkStart w:id="47" w:name="_Toc15396609"/>
      <w:bookmarkStart w:id="48" w:name="_Toc18486"/>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6"/>
      <w:bookmarkEnd w:id="47"/>
      <w:bookmarkEnd w:id="48"/>
    </w:p>
    <w:p w14:paraId="0E71A02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9"/>
    </w:p>
    <w:p w14:paraId="157AC30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4</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减少37.3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下降90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2025年无新产生公务用车购置费。</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5BAB6F3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50"/>
    </w:p>
    <w:p w14:paraId="0CC9533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4</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039B78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038B0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1" locked="0" layoutInCell="1" allowOverlap="1">
            <wp:simplePos x="0" y="0"/>
            <wp:positionH relativeFrom="column">
              <wp:posOffset>275590</wp:posOffset>
            </wp:positionH>
            <wp:positionV relativeFrom="paragraph">
              <wp:posOffset>259715</wp:posOffset>
            </wp:positionV>
            <wp:extent cx="4407535" cy="2377440"/>
            <wp:effectExtent l="4445" t="4445" r="38100" b="56515"/>
            <wp:wrapTight wrapText="bothSides">
              <wp:wrapPolygon>
                <wp:start x="-22" y="-40"/>
                <wp:lineTo x="-22" y="21560"/>
                <wp:lineTo x="21563" y="21560"/>
                <wp:lineTo x="21563" y="-40"/>
                <wp:lineTo x="-22" y="-40"/>
              </wp:wrapPolygon>
            </wp:wrapTight>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6ECF66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5D1D3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64BD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BBD5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9A9E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675813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04C1E2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减少37.3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下降90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2025年无新产生公务用车购置费。</w:t>
      </w:r>
    </w:p>
    <w:p w14:paraId="51C857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0EBFDB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建设工地建设情况、工程质量安全检查，相关业务出差，公务用车过路费</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84FEA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270E73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万元，具体内容包括：……（接待具体项目、金额）。</w:t>
      </w:r>
    </w:p>
    <w:p w14:paraId="138552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人次（不包括陪同人员），共计支出**万</w:t>
      </w:r>
      <w:r>
        <w:rPr>
          <w:rFonts w:hint="eastAsia" w:ascii="Times New Roman" w:hAnsi="Times New Roman" w:eastAsia="仿宋_GB2312" w:cs="仿宋_GB2312"/>
          <w:color w:val="auto"/>
          <w:kern w:val="2"/>
          <w:sz w:val="32"/>
          <w:szCs w:val="32"/>
          <w:highlight w:val="none"/>
          <w:lang w:val="en-US" w:eastAsia="zh-CN" w:bidi="ar-SA"/>
        </w:rPr>
        <w:t>元。</w:t>
      </w:r>
    </w:p>
    <w:p w14:paraId="498B49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1" w:name="_Toc15396610"/>
      <w:bookmarkStart w:id="52" w:name="_Toc15377218"/>
    </w:p>
    <w:p w14:paraId="3AB6A6D7">
      <w:pPr>
        <w:spacing w:line="600" w:lineRule="exact"/>
        <w:ind w:firstLine="640"/>
        <w:outlineLvl w:val="1"/>
        <w:rPr>
          <w:rStyle w:val="29"/>
          <w:rFonts w:ascii="Times New Roman" w:hAnsi="Times New Roman" w:eastAsia="黑体"/>
          <w:color w:val="auto"/>
          <w:highlight w:val="none"/>
        </w:rPr>
      </w:pPr>
      <w:bookmarkStart w:id="53" w:name="_Toc16743"/>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1"/>
      <w:bookmarkEnd w:id="52"/>
      <w:bookmarkEnd w:id="53"/>
    </w:p>
    <w:p w14:paraId="3C7644B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7473.54</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31.72</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增加7338.96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增加5453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基金类项目增加。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1A476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F81154">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4" w:name="_Toc15377219"/>
      <w:bookmarkStart w:id="55" w:name="_Toc15396611"/>
      <w:bookmarkStart w:id="56" w:name="_Toc18753"/>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4"/>
      <w:bookmarkEnd w:id="55"/>
      <w:bookmarkEnd w:id="56"/>
    </w:p>
    <w:p w14:paraId="3DD3BA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42F55A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8D8E8C">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7" w:name="_Toc3932"/>
      <w:bookmarkStart w:id="58" w:name="_Toc15396612"/>
      <w:bookmarkStart w:id="59"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7"/>
      <w:bookmarkEnd w:id="58"/>
      <w:bookmarkEnd w:id="59"/>
    </w:p>
    <w:p w14:paraId="5817F50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22"/>
      <w:r>
        <w:rPr>
          <w:rFonts w:hint="eastAsia" w:ascii="Times New Roman" w:hAnsi="Times New Roman" w:eastAsia="楷体_GB2312" w:cs="楷体_GB2312"/>
          <w:b/>
          <w:color w:val="auto"/>
          <w:sz w:val="32"/>
          <w:szCs w:val="32"/>
          <w:highlight w:val="none"/>
        </w:rPr>
        <w:t>（一）机关运行经费支出情况</w:t>
      </w:r>
      <w:bookmarkEnd w:id="60"/>
    </w:p>
    <w:p w14:paraId="34E5A1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松潘县住房和城乡建设局本级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19.14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增加1.47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增加8.3</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人员增加。</w:t>
      </w:r>
    </w:p>
    <w:p w14:paraId="7548844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23"/>
      <w:r>
        <w:rPr>
          <w:rFonts w:hint="eastAsia" w:ascii="Times New Roman" w:hAnsi="Times New Roman" w:eastAsia="楷体_GB2312" w:cs="楷体_GB2312"/>
          <w:b/>
          <w:color w:val="auto"/>
          <w:sz w:val="32"/>
          <w:szCs w:val="32"/>
          <w:highlight w:val="none"/>
        </w:rPr>
        <w:t>（二）政府采购支出情况</w:t>
      </w:r>
      <w:bookmarkEnd w:id="61"/>
    </w:p>
    <w:p w14:paraId="0965B24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松潘县住房和城乡建设局本级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436.23</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436.23</w:t>
      </w:r>
      <w:r>
        <w:rPr>
          <w:rFonts w:hint="eastAsia" w:ascii="仿宋_GB2312" w:hAnsi="仿宋_GB2312" w:eastAsia="仿宋_GB2312" w:cs="仿宋_GB2312"/>
          <w:color w:val="auto"/>
          <w:kern w:val="2"/>
          <w:sz w:val="32"/>
          <w:szCs w:val="32"/>
          <w:highlight w:val="none"/>
          <w:lang w:val="en-US" w:eastAsia="zh-CN" w:bidi="ar-SA"/>
        </w:rPr>
        <w:t>万元。主要用于工程建设工程项目的二类费用。授予中小企业合同金额</w:t>
      </w:r>
      <w:r>
        <w:rPr>
          <w:rFonts w:hint="eastAsia" w:ascii="仿宋_GB2312" w:hAnsi="仿宋_GB2312" w:eastAsia="仿宋_GB2312" w:cs="仿宋_GB2312"/>
          <w:sz w:val="32"/>
          <w:szCs w:val="32"/>
          <w:lang w:val="en-US" w:eastAsia="zh-CN"/>
        </w:rPr>
        <w:t>436.23</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41</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p>
    <w:p w14:paraId="464A46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A9A22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24"/>
      <w:r>
        <w:rPr>
          <w:rFonts w:hint="eastAsia" w:ascii="Times New Roman" w:hAnsi="Times New Roman" w:eastAsia="楷体_GB2312" w:cs="楷体_GB2312"/>
          <w:b/>
          <w:color w:val="auto"/>
          <w:sz w:val="32"/>
          <w:szCs w:val="32"/>
          <w:highlight w:val="none"/>
        </w:rPr>
        <w:t>（三）国有资产占有使用情况</w:t>
      </w:r>
      <w:bookmarkEnd w:id="62"/>
    </w:p>
    <w:p w14:paraId="415161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松潘县住房和城乡建设局本级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6</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6</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建设工地建设情况、工程质量安全检查，相关业务出差</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11DC61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330023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26478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松潘县川主寺镇推进乡村建设重点基础设施项目、松潘县川主寺镇进安镇自来水厂管网更新改造项目</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预算执行过程中，选取个项目开展绩效监控。</w:t>
      </w:r>
    </w:p>
    <w:p w14:paraId="09F17A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20FB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3" w:name="_Toc15377225"/>
      <w:bookmarkStart w:id="64" w:name="_Toc15396613"/>
      <w:bookmarkStart w:id="65" w:name="_Toc15427"/>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3"/>
      <w:bookmarkEnd w:id="64"/>
      <w:bookmarkEnd w:id="65"/>
    </w:p>
    <w:p w14:paraId="5B8AEE67">
      <w:pPr>
        <w:spacing w:line="600" w:lineRule="exact"/>
        <w:jc w:val="left"/>
        <w:rPr>
          <w:rFonts w:ascii="Times New Roman" w:hAnsi="Times New Roman"/>
          <w:b/>
          <w:color w:val="auto"/>
          <w:sz w:val="44"/>
          <w:szCs w:val="44"/>
          <w:highlight w:val="none"/>
        </w:rPr>
      </w:pPr>
    </w:p>
    <w:p w14:paraId="6274C1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CE60A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217E8B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5E3E8C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40EC95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445FF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E8090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C5B9E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940F34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9.教育</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反映各部门举办的小学教育支出。政府各部门对社会组织等举办的小学的资助，如捐赠、补贴等，也在科目中反映。</w:t>
      </w:r>
    </w:p>
    <w:p w14:paraId="3CFA4F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10.文化旅游体育与传媒</w:t>
      </w:r>
      <w:r>
        <w:rPr>
          <w:rFonts w:hint="eastAsia" w:eastAsia="仿宋_GB2312" w:cs="仿宋_GB2312"/>
          <w:color w:val="auto"/>
          <w:kern w:val="2"/>
          <w:sz w:val="32"/>
          <w:szCs w:val="32"/>
          <w:highlight w:val="none"/>
          <w:lang w:val="en-US" w:eastAsia="zh-CN" w:bidi="ar-SA"/>
        </w:rPr>
        <w:t>207</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反映除上述项目以外其他用于文化旅游体育与传媒方面的支出。</w:t>
      </w:r>
    </w:p>
    <w:p w14:paraId="65D9C9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反映机关事业单位实施养老保险制度由单位缴纳的基本养老保险费支出。</w:t>
      </w:r>
    </w:p>
    <w:p w14:paraId="0E5287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反映机关事业单位实施养老保险制度由单位实际缴纳的职业年金支出（含职业年金补记支出）。</w:t>
      </w:r>
    </w:p>
    <w:p w14:paraId="7B522E54">
      <w:pPr>
        <w:numPr>
          <w:ilvl w:val="0"/>
          <w:numId w:val="0"/>
        </w:numPr>
        <w:spacing w:line="600" w:lineRule="exact"/>
        <w:ind w:firstLine="640" w:firstLineChars="20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反映财政部门安排的行政单位（包括实行公务员管理的事业单位，下同）基本医疗保险缴费经费，未参加医疗保险的行政单位的公费医疗经费，按国家规定享受离休人员、红军老战士待遇人员的医疗经费。</w:t>
      </w:r>
    </w:p>
    <w:p w14:paraId="274EE938">
      <w:pPr>
        <w:numPr>
          <w:ilvl w:val="0"/>
          <w:numId w:val="0"/>
        </w:numPr>
        <w:spacing w:line="600" w:lineRule="exact"/>
        <w:ind w:firstLine="640" w:firstLineChars="200"/>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14.210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反映财政部门安排的公务员医疗补助经费。</w:t>
      </w:r>
    </w:p>
    <w:p w14:paraId="0FF3C9A0">
      <w:pPr>
        <w:numPr>
          <w:ilvl w:val="0"/>
          <w:numId w:val="0"/>
        </w:numPr>
        <w:spacing w:line="600" w:lineRule="exact"/>
        <w:ind w:left="84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15.节能环保</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反映政府在排水、污水处理、水污染防治、湖库生态环境保护、水源地保护、国土江河综合整治、河流治理与保护、地下水修复与保护等方面的支出。</w:t>
      </w:r>
    </w:p>
    <w:p w14:paraId="152AE105">
      <w:pPr>
        <w:numPr>
          <w:ilvl w:val="0"/>
          <w:numId w:val="0"/>
        </w:numPr>
        <w:spacing w:line="600" w:lineRule="exact"/>
        <w:ind w:leftChars="200"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反映用于生态功能区、生态示范区、生态省（市、县）管理及能力建设、日常管护、宣教、试点示范等支出，生态修复支出，资源开发生态监管支出，生态护林员的劳务报酬等支出。</w:t>
      </w:r>
    </w:p>
    <w:p w14:paraId="7D804284">
      <w:pPr>
        <w:numPr>
          <w:ilvl w:val="0"/>
          <w:numId w:val="0"/>
        </w:numPr>
        <w:spacing w:line="600" w:lineRule="exact"/>
        <w:ind w:leftChars="200"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反映用于农村环境保护方面的支出。有关事项包括：农村环境综合整治，如生活垃圾、污水处理，农村饮用水源地监测与保护等；小城镇环境保护，如小城镇环境保护能力建设及环境基础设施建设，环境优美乡镇及生态村创建等；农用化学品（化肥、农药、农膜等）污染防治、畜禽养殖污染防治、土壤污染防治；农产品产地环境监测与监管，有机食品基地建设与管理，秸秆等农业废弃物综合利用；农村环境保护能力建设、宣教、试点示范等。</w:t>
      </w:r>
    </w:p>
    <w:p w14:paraId="44B0253C">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w:t>
      </w:r>
      <w:r>
        <w:rPr>
          <w:rFonts w:hint="eastAsia" w:eastAsia="仿宋_GB2312" w:cs="仿宋_GB2312"/>
          <w:color w:val="auto"/>
          <w:kern w:val="2"/>
          <w:sz w:val="32"/>
          <w:szCs w:val="32"/>
          <w:highlight w:val="none"/>
          <w:lang w:val="en-US" w:eastAsia="zh-CN" w:bidi="ar-SA"/>
        </w:rPr>
        <w:t>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反映行政单位（包括实行公务员管理的事业单位）的基本支出。</w:t>
      </w:r>
    </w:p>
    <w:p w14:paraId="0F6496EC">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反映行政单位（包括实行公务员管理的事业单位）未单独设置项级科目的其他项目支出。</w:t>
      </w:r>
    </w:p>
    <w:p w14:paraId="6F78D71E">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反映调控建设市场运行、拟定建设市场法规、实施建筑工程质量、安全、工程勘察设计监管等方面的支出。</w:t>
      </w:r>
    </w:p>
    <w:p w14:paraId="5A064C18">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反映调控房地产市场运行、研究拟定城镇住房制度改革法规、对住房公积金和其他房改资金进行政策指导并监督使用等方面的支出。</w:t>
      </w:r>
    </w:p>
    <w:p w14:paraId="7CD1D81E">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反映除上述项目以外其他用于城乡社区管理事务方面的支出。</w:t>
      </w:r>
    </w:p>
    <w:p w14:paraId="6DD2444F">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反映用于小城镇路、气、水、电等基础建设方面的支出。</w:t>
      </w:r>
    </w:p>
    <w:p w14:paraId="37EF32A6">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反映除上述项目以外其他用于城乡社区公共设施方面的支出。</w:t>
      </w:r>
    </w:p>
    <w:p w14:paraId="21894746">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反映城乡社区道路清扫、垃圾清运与处理、公厕建设与维护、园林绿化等方面的支出。</w:t>
      </w:r>
    </w:p>
    <w:p w14:paraId="66DA2851">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26.农林水</w:t>
      </w:r>
      <w:r>
        <w:rPr>
          <w:rFonts w:hint="eastAsia" w:eastAsia="仿宋_GB2312" w:cs="仿宋_GB2312"/>
          <w:color w:val="auto"/>
          <w:kern w:val="2"/>
          <w:sz w:val="32"/>
          <w:szCs w:val="32"/>
          <w:highlight w:val="none"/>
          <w:lang w:val="en-US" w:eastAsia="zh-CN" w:bidi="ar-SA"/>
        </w:rPr>
        <w:t>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反映用于农村欠发达地区发展种植业、养殖业、畜牧业、农副产品加工、林果地建设等生产发展项目以及相关技术推广等方面的项目支出。</w:t>
      </w:r>
    </w:p>
    <w:p w14:paraId="34034A52">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27.213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反映除上述项目以外其他用于巩固拓展脱贫攻坚成果同乡村振兴有效衔接方面的支出。</w:t>
      </w:r>
    </w:p>
    <w:p w14:paraId="6D729F6D">
      <w:pPr>
        <w:numPr>
          <w:ilvl w:val="0"/>
          <w:numId w:val="0"/>
        </w:numPr>
        <w:spacing w:line="600" w:lineRule="exact"/>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28.213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 xml:space="preserve">反映农村综合改革方面的支出。 </w:t>
      </w:r>
    </w:p>
    <w:p w14:paraId="6DD0652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28.资源勘探工业信息等</w:t>
      </w:r>
      <w:r>
        <w:rPr>
          <w:rFonts w:hint="eastAsia" w:eastAsia="仿宋_GB2312" w:cs="仿宋_GB2312"/>
          <w:color w:val="auto"/>
          <w:kern w:val="2"/>
          <w:sz w:val="32"/>
          <w:szCs w:val="32"/>
          <w:highlight w:val="none"/>
          <w:lang w:val="en-US" w:eastAsia="zh-CN" w:bidi="ar-SA"/>
        </w:rPr>
        <w:t>215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反映除上述项目以外其他用于建筑业方面的支出。</w:t>
      </w:r>
    </w:p>
    <w:p w14:paraId="5C903378">
      <w:pPr>
        <w:spacing w:line="600" w:lineRule="exact"/>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反映用于农村危房改造方面的支出。</w:t>
      </w:r>
    </w:p>
    <w:p w14:paraId="4B29BDAB">
      <w:p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30.221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14:paraId="2F8101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《2025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1A377D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2ED9A1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762EA3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54F7CF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680CD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CD66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33CEB60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4F7345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6" w:name="_Toc15377226"/>
      <w:r>
        <w:rPr>
          <w:rFonts w:hint="eastAsia" w:ascii="Times New Roman" w:hAnsi="Times New Roman" w:eastAsia="仿宋_GB2312" w:cs="仿宋_GB2312"/>
          <w:color w:val="auto"/>
          <w:kern w:val="2"/>
          <w:sz w:val="32"/>
          <w:szCs w:val="32"/>
          <w:highlight w:val="none"/>
          <w:lang w:val="en-US" w:eastAsia="zh-CN" w:bidi="ar-SA"/>
        </w:rPr>
        <w:br w:type="page"/>
      </w:r>
    </w:p>
    <w:p w14:paraId="672BBD8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5C7466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590BE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07FF519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eastAsia="黑体"/>
          <w:b w:val="0"/>
          <w:color w:val="auto"/>
          <w:highlight w:val="none"/>
          <w:lang w:eastAsia="zh-CN"/>
        </w:rPr>
        <w:t>四</w:t>
      </w:r>
      <w:r>
        <w:rPr>
          <w:rStyle w:val="28"/>
          <w:rFonts w:hint="eastAsia" w:ascii="Times New Roman" w:hAnsi="Times New Roman" w:eastAsia="黑体"/>
          <w:b w:val="0"/>
          <w:color w:val="auto"/>
          <w:highlight w:val="none"/>
        </w:rPr>
        <w:t>部分 附表</w:t>
      </w:r>
      <w:bookmarkEnd w:id="66"/>
      <w:bookmarkEnd w:id="67"/>
      <w:bookmarkStart w:id="68" w:name="_Toc15396619"/>
    </w:p>
    <w:p w14:paraId="2D7673C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722C4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8"/>
    </w:p>
    <w:p w14:paraId="72DA8EA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0"/>
      <w:r>
        <w:rPr>
          <w:rFonts w:hint="eastAsia" w:ascii="Times New Roman" w:hAnsi="Times New Roman" w:eastAsia="仿宋_GB2312" w:cs="仿宋_GB2312"/>
          <w:color w:val="auto"/>
          <w:sz w:val="32"/>
          <w:szCs w:val="32"/>
          <w:highlight w:val="none"/>
        </w:rPr>
        <w:t>二、收入决算表</w:t>
      </w:r>
      <w:bookmarkEnd w:id="69"/>
    </w:p>
    <w:p w14:paraId="39620FA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1"/>
      <w:r>
        <w:rPr>
          <w:rFonts w:hint="eastAsia" w:ascii="Times New Roman" w:hAnsi="Times New Roman" w:eastAsia="仿宋_GB2312" w:cs="仿宋_GB2312"/>
          <w:color w:val="auto"/>
          <w:sz w:val="32"/>
          <w:szCs w:val="32"/>
          <w:highlight w:val="none"/>
        </w:rPr>
        <w:t>三、支出决算表</w:t>
      </w:r>
      <w:bookmarkEnd w:id="70"/>
    </w:p>
    <w:p w14:paraId="5FD9167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2"/>
      <w:r>
        <w:rPr>
          <w:rFonts w:hint="eastAsia" w:ascii="Times New Roman" w:hAnsi="Times New Roman" w:eastAsia="仿宋_GB2312" w:cs="仿宋_GB2312"/>
          <w:color w:val="auto"/>
          <w:sz w:val="32"/>
          <w:szCs w:val="32"/>
          <w:highlight w:val="none"/>
        </w:rPr>
        <w:t>四、财政拨款收入支出决算总表</w:t>
      </w:r>
      <w:bookmarkEnd w:id="71"/>
    </w:p>
    <w:p w14:paraId="294E3AE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3"/>
      <w:r>
        <w:rPr>
          <w:rFonts w:hint="eastAsia" w:ascii="Times New Roman" w:hAnsi="Times New Roman" w:eastAsia="仿宋_GB2312" w:cs="仿宋_GB2312"/>
          <w:color w:val="auto"/>
          <w:sz w:val="32"/>
          <w:szCs w:val="32"/>
          <w:highlight w:val="none"/>
        </w:rPr>
        <w:t>五、财政拨款支出决算明细表</w:t>
      </w:r>
      <w:bookmarkEnd w:id="72"/>
      <w:bookmarkStart w:id="73" w:name="_Toc15396624"/>
    </w:p>
    <w:p w14:paraId="55D5C1A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3"/>
    </w:p>
    <w:p w14:paraId="0B46ECF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5"/>
      <w:r>
        <w:rPr>
          <w:rFonts w:hint="eastAsia" w:ascii="Times New Roman" w:hAnsi="Times New Roman" w:eastAsia="仿宋_GB2312" w:cs="仿宋_GB2312"/>
          <w:color w:val="auto"/>
          <w:sz w:val="32"/>
          <w:szCs w:val="32"/>
          <w:highlight w:val="none"/>
        </w:rPr>
        <w:t>七、一般公共预算财政拨款支出决算明细表</w:t>
      </w:r>
      <w:bookmarkEnd w:id="74"/>
    </w:p>
    <w:p w14:paraId="018E3E7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6"/>
      <w:r>
        <w:rPr>
          <w:rFonts w:hint="eastAsia" w:ascii="Times New Roman" w:hAnsi="Times New Roman" w:eastAsia="仿宋_GB2312" w:cs="仿宋_GB2312"/>
          <w:color w:val="auto"/>
          <w:sz w:val="32"/>
          <w:szCs w:val="32"/>
          <w:highlight w:val="none"/>
        </w:rPr>
        <w:t>八、一般公共预算财政拨款基本支出决算表</w:t>
      </w:r>
      <w:bookmarkEnd w:id="75"/>
    </w:p>
    <w:p w14:paraId="0085530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7"/>
      <w:r>
        <w:rPr>
          <w:rFonts w:hint="eastAsia" w:ascii="Times New Roman" w:hAnsi="Times New Roman" w:eastAsia="仿宋_GB2312" w:cs="仿宋_GB2312"/>
          <w:color w:val="auto"/>
          <w:sz w:val="32"/>
          <w:szCs w:val="32"/>
          <w:highlight w:val="none"/>
        </w:rPr>
        <w:t>九、一般公共预算财政拨款项目支出决算表</w:t>
      </w:r>
      <w:bookmarkEnd w:id="76"/>
    </w:p>
    <w:p w14:paraId="4E97DB7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8"/>
      <w:r>
        <w:rPr>
          <w:rFonts w:hint="eastAsia" w:ascii="Times New Roman" w:hAnsi="Times New Roman" w:eastAsia="仿宋_GB2312" w:cs="仿宋_GB2312"/>
          <w:color w:val="auto"/>
          <w:sz w:val="32"/>
          <w:szCs w:val="32"/>
          <w:highlight w:val="none"/>
        </w:rPr>
        <w:t>十、</w:t>
      </w:r>
      <w:bookmarkEnd w:id="77"/>
      <w:r>
        <w:rPr>
          <w:rFonts w:hint="eastAsia" w:ascii="Times New Roman" w:hAnsi="Times New Roman" w:eastAsia="仿宋_GB2312" w:cs="仿宋_GB2312"/>
          <w:color w:val="auto"/>
          <w:sz w:val="32"/>
          <w:szCs w:val="32"/>
          <w:highlight w:val="none"/>
        </w:rPr>
        <w:t>政府性基金预算财政拨款收入支出决算表</w:t>
      </w:r>
    </w:p>
    <w:p w14:paraId="5C4520D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9"/>
      <w:r>
        <w:rPr>
          <w:rFonts w:hint="eastAsia" w:ascii="Times New Roman" w:hAnsi="Times New Roman" w:eastAsia="仿宋_GB2312" w:cs="仿宋_GB2312"/>
          <w:color w:val="auto"/>
          <w:sz w:val="32"/>
          <w:szCs w:val="32"/>
          <w:highlight w:val="none"/>
        </w:rPr>
        <w:t>十一、</w:t>
      </w:r>
      <w:bookmarkEnd w:id="7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E37389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30"/>
      <w:r>
        <w:rPr>
          <w:rFonts w:hint="eastAsia" w:ascii="Times New Roman" w:hAnsi="Times New Roman" w:eastAsia="仿宋_GB2312" w:cs="仿宋_GB2312"/>
          <w:color w:val="auto"/>
          <w:sz w:val="32"/>
          <w:szCs w:val="32"/>
          <w:highlight w:val="none"/>
        </w:rPr>
        <w:t>十二、</w:t>
      </w:r>
      <w:bookmarkEnd w:id="79"/>
      <w:r>
        <w:rPr>
          <w:rFonts w:hint="eastAsia" w:ascii="Times New Roman" w:hAnsi="Times New Roman" w:eastAsia="仿宋_GB2312" w:cs="仿宋_GB2312"/>
          <w:color w:val="auto"/>
          <w:sz w:val="32"/>
          <w:szCs w:val="32"/>
          <w:highlight w:val="none"/>
          <w:lang w:eastAsia="zh-CN"/>
        </w:rPr>
        <w:t>国有资本经营预算财政拨款支出决算表</w:t>
      </w:r>
    </w:p>
    <w:p w14:paraId="2F43D0E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0" w:name="_Toc15396631"/>
      <w:r>
        <w:rPr>
          <w:rFonts w:hint="eastAsia" w:ascii="Times New Roman" w:hAnsi="Times New Roman" w:eastAsia="仿宋_GB2312" w:cs="仿宋_GB2312"/>
          <w:color w:val="auto"/>
          <w:sz w:val="32"/>
          <w:szCs w:val="32"/>
          <w:highlight w:val="none"/>
        </w:rPr>
        <w:t>十三、</w:t>
      </w:r>
      <w:bookmarkEnd w:id="80"/>
      <w:r>
        <w:rPr>
          <w:rFonts w:hint="eastAsia" w:ascii="Times New Roman" w:hAnsi="Times New Roman" w:eastAsia="仿宋_GB2312" w:cs="仿宋_GB2312"/>
          <w:color w:val="auto"/>
          <w:sz w:val="32"/>
          <w:szCs w:val="32"/>
          <w:highlight w:val="none"/>
          <w:lang w:eastAsia="zh-CN"/>
        </w:rPr>
        <w:t>财政拨款“三公”经费支出决算表</w:t>
      </w:r>
    </w:p>
    <w:p w14:paraId="3E652700">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E1BF88-1068-4A36-8C58-E5545DAF52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60CC567-ABB1-47E0-9D57-19EC6E32997D}"/>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9971B657-0D2E-4589-A2FC-4F74FF3A2651}"/>
  </w:font>
  <w:font w:name="仿宋">
    <w:panose1 w:val="02010609060101010101"/>
    <w:charset w:val="86"/>
    <w:family w:val="modern"/>
    <w:pitch w:val="default"/>
    <w:sig w:usb0="800002BF" w:usb1="38CF7CFA" w:usb2="00000016" w:usb3="00000000" w:csb0="00040001" w:csb1="00000000"/>
    <w:embedRegular r:id="rId4" w:fontKey="{2DE65F99-AF81-4946-BA15-343D0674A85B}"/>
  </w:font>
  <w:font w:name="??">
    <w:altName w:val="FFont-Family"/>
    <w:panose1 w:val="00000000000000000000"/>
    <w:charset w:val="00"/>
    <w:family w:val="roman"/>
    <w:pitch w:val="default"/>
    <w:sig w:usb0="00000000" w:usb1="00000000" w:usb2="00000000" w:usb3="00000000" w:csb0="00000000" w:csb1="00000000"/>
  </w:font>
  <w:font w:name="C059">
    <w:altName w:val="FFont-Family"/>
    <w:panose1 w:val="00000500000000000000"/>
    <w:charset w:val="00"/>
    <w:family w:val="auto"/>
    <w:pitch w:val="default"/>
    <w:sig w:usb0="00000000" w:usb1="00000000" w:usb2="00000000" w:usb3="00000000" w:csb0="6000009F" w:csb1="00000000"/>
  </w:font>
  <w:font w:name="方正小标宋简体">
    <w:panose1 w:val="02010600010101010101"/>
    <w:charset w:val="86"/>
    <w:family w:val="script"/>
    <w:pitch w:val="default"/>
    <w:sig w:usb0="00000001" w:usb1="080E0000" w:usb2="00000000" w:usb3="00000000" w:csb0="00040000" w:csb1="00000000"/>
    <w:embedRegular r:id="rId5" w:fontKey="{16A1FA2A-08E7-4504-8AA5-6337E7DC0546}"/>
  </w:font>
  <w:font w:name="楷体_GB2312">
    <w:panose1 w:val="02010609030101010101"/>
    <w:charset w:val="86"/>
    <w:family w:val="auto"/>
    <w:pitch w:val="default"/>
    <w:sig w:usb0="00000001" w:usb1="080E0000" w:usb2="00000000" w:usb3="00000000" w:csb0="00040000" w:csb1="00000000"/>
    <w:embedRegular r:id="rId6" w:fontKey="{3CEB2F59-9D68-4F12-B05D-713AD193551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05A4F">
    <w:pPr>
      <w:pStyle w:val="10"/>
      <w:jc w:val="center"/>
    </w:pPr>
  </w:p>
  <w:p w14:paraId="2268E01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72E8E">
    <w:pPr>
      <w:pStyle w:val="10"/>
      <w:jc w:val="center"/>
    </w:pPr>
  </w:p>
  <w:p w14:paraId="1AF6F23A">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9856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9ECA0">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D0CE9"/>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06786"/>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31B9"/>
    <w:rsid w:val="00F45853"/>
    <w:rsid w:val="00F602DF"/>
    <w:rsid w:val="00F754A1"/>
    <w:rsid w:val="00F81FD9"/>
    <w:rsid w:val="00F841AA"/>
    <w:rsid w:val="00F84A94"/>
    <w:rsid w:val="00F87E96"/>
    <w:rsid w:val="00FA23E8"/>
    <w:rsid w:val="00FD3CC1"/>
    <w:rsid w:val="00FF1E02"/>
    <w:rsid w:val="00FF30B4"/>
    <w:rsid w:val="012A5EC2"/>
    <w:rsid w:val="015975B8"/>
    <w:rsid w:val="02D259AA"/>
    <w:rsid w:val="02FEBE30"/>
    <w:rsid w:val="03AF1619"/>
    <w:rsid w:val="03E219EE"/>
    <w:rsid w:val="04351B1E"/>
    <w:rsid w:val="04916F1E"/>
    <w:rsid w:val="055406CA"/>
    <w:rsid w:val="05BC50F9"/>
    <w:rsid w:val="06141C07"/>
    <w:rsid w:val="06147E59"/>
    <w:rsid w:val="06194570"/>
    <w:rsid w:val="061E35DE"/>
    <w:rsid w:val="0624009C"/>
    <w:rsid w:val="066E0107"/>
    <w:rsid w:val="07996F6E"/>
    <w:rsid w:val="07DFD8BA"/>
    <w:rsid w:val="090331ED"/>
    <w:rsid w:val="09867E8F"/>
    <w:rsid w:val="0A2032A3"/>
    <w:rsid w:val="0A5F6638"/>
    <w:rsid w:val="0BC47C2C"/>
    <w:rsid w:val="0CA8290A"/>
    <w:rsid w:val="0CF10C4B"/>
    <w:rsid w:val="0D35B1ED"/>
    <w:rsid w:val="0DA87805"/>
    <w:rsid w:val="0DC9777B"/>
    <w:rsid w:val="0DDF6FD0"/>
    <w:rsid w:val="0E254B6B"/>
    <w:rsid w:val="0F98263C"/>
    <w:rsid w:val="0FCE72CB"/>
    <w:rsid w:val="101860EC"/>
    <w:rsid w:val="101F47CC"/>
    <w:rsid w:val="10C055FF"/>
    <w:rsid w:val="11694EBD"/>
    <w:rsid w:val="11772AA4"/>
    <w:rsid w:val="118107EC"/>
    <w:rsid w:val="129B1D1F"/>
    <w:rsid w:val="12E24EE2"/>
    <w:rsid w:val="13203999"/>
    <w:rsid w:val="13A46379"/>
    <w:rsid w:val="13D50BC4"/>
    <w:rsid w:val="143F42F3"/>
    <w:rsid w:val="14B17F78"/>
    <w:rsid w:val="15B3530E"/>
    <w:rsid w:val="15DE5D55"/>
    <w:rsid w:val="165E0673"/>
    <w:rsid w:val="16AE13DE"/>
    <w:rsid w:val="16B72867"/>
    <w:rsid w:val="16B831D5"/>
    <w:rsid w:val="16BB723D"/>
    <w:rsid w:val="17CF124D"/>
    <w:rsid w:val="17E50567"/>
    <w:rsid w:val="186504BB"/>
    <w:rsid w:val="189310B2"/>
    <w:rsid w:val="18C9062F"/>
    <w:rsid w:val="196640D0"/>
    <w:rsid w:val="19A445FC"/>
    <w:rsid w:val="1B666609"/>
    <w:rsid w:val="1B99253B"/>
    <w:rsid w:val="1BE8440E"/>
    <w:rsid w:val="1CA24147"/>
    <w:rsid w:val="1D155CEE"/>
    <w:rsid w:val="1D1638FE"/>
    <w:rsid w:val="1DF75C3F"/>
    <w:rsid w:val="1E012619"/>
    <w:rsid w:val="1E312DEB"/>
    <w:rsid w:val="1E740ACF"/>
    <w:rsid w:val="1EAE1CB8"/>
    <w:rsid w:val="1F95570F"/>
    <w:rsid w:val="1FF35744"/>
    <w:rsid w:val="1FF6BC77"/>
    <w:rsid w:val="20646707"/>
    <w:rsid w:val="216435EB"/>
    <w:rsid w:val="2186353C"/>
    <w:rsid w:val="21C1459A"/>
    <w:rsid w:val="221E19EC"/>
    <w:rsid w:val="22721D38"/>
    <w:rsid w:val="2378512C"/>
    <w:rsid w:val="23860B96"/>
    <w:rsid w:val="240371BF"/>
    <w:rsid w:val="244F3473"/>
    <w:rsid w:val="24C97D99"/>
    <w:rsid w:val="25854CC1"/>
    <w:rsid w:val="25A718F0"/>
    <w:rsid w:val="25BB59F6"/>
    <w:rsid w:val="260F557C"/>
    <w:rsid w:val="2650413E"/>
    <w:rsid w:val="26970054"/>
    <w:rsid w:val="26C12C8A"/>
    <w:rsid w:val="27D172E0"/>
    <w:rsid w:val="281408E2"/>
    <w:rsid w:val="290C4C94"/>
    <w:rsid w:val="29B76B70"/>
    <w:rsid w:val="29E21551"/>
    <w:rsid w:val="29F23CC0"/>
    <w:rsid w:val="29FD04D3"/>
    <w:rsid w:val="2AE35581"/>
    <w:rsid w:val="2B1243C4"/>
    <w:rsid w:val="2B2D2CA0"/>
    <w:rsid w:val="2BB1567F"/>
    <w:rsid w:val="2BFF7BC6"/>
    <w:rsid w:val="2C0F23A5"/>
    <w:rsid w:val="2C8A61B5"/>
    <w:rsid w:val="2D8E211C"/>
    <w:rsid w:val="2DD83397"/>
    <w:rsid w:val="2DF04E50"/>
    <w:rsid w:val="2DF75BB4"/>
    <w:rsid w:val="2E586DFA"/>
    <w:rsid w:val="2F040D46"/>
    <w:rsid w:val="2F6B035B"/>
    <w:rsid w:val="2FAE5751"/>
    <w:rsid w:val="2FB1A395"/>
    <w:rsid w:val="2FD9A7D8"/>
    <w:rsid w:val="2FDBF714"/>
    <w:rsid w:val="30AB6865"/>
    <w:rsid w:val="30B005FB"/>
    <w:rsid w:val="31703ED9"/>
    <w:rsid w:val="319F7F4E"/>
    <w:rsid w:val="32290665"/>
    <w:rsid w:val="32BD1EF1"/>
    <w:rsid w:val="32FC111B"/>
    <w:rsid w:val="3304709D"/>
    <w:rsid w:val="33A773CB"/>
    <w:rsid w:val="33E45AA4"/>
    <w:rsid w:val="34000F51"/>
    <w:rsid w:val="342509B8"/>
    <w:rsid w:val="349D6851"/>
    <w:rsid w:val="34FB5BBD"/>
    <w:rsid w:val="35646107"/>
    <w:rsid w:val="36AA5135"/>
    <w:rsid w:val="36BE0DA7"/>
    <w:rsid w:val="376B6AA6"/>
    <w:rsid w:val="376D39B2"/>
    <w:rsid w:val="37E16F03"/>
    <w:rsid w:val="37F53A3B"/>
    <w:rsid w:val="389B6C89"/>
    <w:rsid w:val="38D469F0"/>
    <w:rsid w:val="393671C3"/>
    <w:rsid w:val="396024C0"/>
    <w:rsid w:val="39627CCD"/>
    <w:rsid w:val="397BAF1F"/>
    <w:rsid w:val="39F71049"/>
    <w:rsid w:val="3AB79AF3"/>
    <w:rsid w:val="3AE834C0"/>
    <w:rsid w:val="3B7EF35A"/>
    <w:rsid w:val="3B7F4E52"/>
    <w:rsid w:val="3B9FDB6C"/>
    <w:rsid w:val="3BEF15A2"/>
    <w:rsid w:val="3BF5BC2F"/>
    <w:rsid w:val="3C033CD5"/>
    <w:rsid w:val="3CEBA265"/>
    <w:rsid w:val="3D98207C"/>
    <w:rsid w:val="3DCF01AC"/>
    <w:rsid w:val="3DEE7CF3"/>
    <w:rsid w:val="3E740A63"/>
    <w:rsid w:val="3E78745D"/>
    <w:rsid w:val="3ED25BE0"/>
    <w:rsid w:val="3EE17838"/>
    <w:rsid w:val="3F375A43"/>
    <w:rsid w:val="3F55381A"/>
    <w:rsid w:val="3F760C61"/>
    <w:rsid w:val="3F7F7599"/>
    <w:rsid w:val="3FEF7450"/>
    <w:rsid w:val="3FF4CAE0"/>
    <w:rsid w:val="3FF534CE"/>
    <w:rsid w:val="3FF7B227"/>
    <w:rsid w:val="40460634"/>
    <w:rsid w:val="41202C33"/>
    <w:rsid w:val="419D0727"/>
    <w:rsid w:val="419E1DAA"/>
    <w:rsid w:val="44E268DA"/>
    <w:rsid w:val="44F7014F"/>
    <w:rsid w:val="450D13D7"/>
    <w:rsid w:val="45506656"/>
    <w:rsid w:val="472745EF"/>
    <w:rsid w:val="48677399"/>
    <w:rsid w:val="486A6C7A"/>
    <w:rsid w:val="48897310"/>
    <w:rsid w:val="48CD1FDB"/>
    <w:rsid w:val="49557B3A"/>
    <w:rsid w:val="499109DF"/>
    <w:rsid w:val="4A627F82"/>
    <w:rsid w:val="4B0E749A"/>
    <w:rsid w:val="4B2477C4"/>
    <w:rsid w:val="4B4F25DA"/>
    <w:rsid w:val="4BBBCC12"/>
    <w:rsid w:val="4BE068DB"/>
    <w:rsid w:val="4C5E6D05"/>
    <w:rsid w:val="4D0F7FFF"/>
    <w:rsid w:val="4D577224"/>
    <w:rsid w:val="4DAD3AA0"/>
    <w:rsid w:val="4DBF1CEB"/>
    <w:rsid w:val="4DF0007C"/>
    <w:rsid w:val="4DF01BDF"/>
    <w:rsid w:val="4E4B5067"/>
    <w:rsid w:val="4E7B1C7A"/>
    <w:rsid w:val="4EAB630A"/>
    <w:rsid w:val="4ECE2238"/>
    <w:rsid w:val="4F610FE6"/>
    <w:rsid w:val="4F833267"/>
    <w:rsid w:val="4FE9BD67"/>
    <w:rsid w:val="4FFB052F"/>
    <w:rsid w:val="501A73E7"/>
    <w:rsid w:val="503126AC"/>
    <w:rsid w:val="511D2CEB"/>
    <w:rsid w:val="512A18AC"/>
    <w:rsid w:val="513D338D"/>
    <w:rsid w:val="51646B6C"/>
    <w:rsid w:val="52C31DAF"/>
    <w:rsid w:val="537E6D0A"/>
    <w:rsid w:val="53F74C96"/>
    <w:rsid w:val="55170BA8"/>
    <w:rsid w:val="552F7491"/>
    <w:rsid w:val="553218C9"/>
    <w:rsid w:val="55C0251B"/>
    <w:rsid w:val="567E1AA5"/>
    <w:rsid w:val="569A3030"/>
    <w:rsid w:val="56E47B74"/>
    <w:rsid w:val="57175D52"/>
    <w:rsid w:val="57BD3DD4"/>
    <w:rsid w:val="58C46142"/>
    <w:rsid w:val="5A4412E8"/>
    <w:rsid w:val="5AF92295"/>
    <w:rsid w:val="5B070568"/>
    <w:rsid w:val="5B250254"/>
    <w:rsid w:val="5B424169"/>
    <w:rsid w:val="5B4A41AC"/>
    <w:rsid w:val="5B5639C9"/>
    <w:rsid w:val="5BDD79E6"/>
    <w:rsid w:val="5BF561CA"/>
    <w:rsid w:val="5BFF5DFC"/>
    <w:rsid w:val="5CD71FC4"/>
    <w:rsid w:val="5D1F11B5"/>
    <w:rsid w:val="5D695134"/>
    <w:rsid w:val="5DAE1B18"/>
    <w:rsid w:val="5DBB5D65"/>
    <w:rsid w:val="5DE7D9E5"/>
    <w:rsid w:val="5DFDF46C"/>
    <w:rsid w:val="5E066D96"/>
    <w:rsid w:val="5E0F7E5F"/>
    <w:rsid w:val="5E311551"/>
    <w:rsid w:val="5E9D36BD"/>
    <w:rsid w:val="5ECEC941"/>
    <w:rsid w:val="5EE058DB"/>
    <w:rsid w:val="5EE8A081"/>
    <w:rsid w:val="5F5A7800"/>
    <w:rsid w:val="5F776D2F"/>
    <w:rsid w:val="5F8CFE11"/>
    <w:rsid w:val="5FBF0C3A"/>
    <w:rsid w:val="5FBF2B65"/>
    <w:rsid w:val="5FBF72FE"/>
    <w:rsid w:val="5FBF9FF3"/>
    <w:rsid w:val="5FCD4E2C"/>
    <w:rsid w:val="5FDB7B33"/>
    <w:rsid w:val="5FEF394A"/>
    <w:rsid w:val="5FF67715"/>
    <w:rsid w:val="62683FE2"/>
    <w:rsid w:val="62BF3928"/>
    <w:rsid w:val="62EC69C1"/>
    <w:rsid w:val="63B3701E"/>
    <w:rsid w:val="63D27965"/>
    <w:rsid w:val="647F5392"/>
    <w:rsid w:val="649E2EA6"/>
    <w:rsid w:val="64C00105"/>
    <w:rsid w:val="64F47DAF"/>
    <w:rsid w:val="64FE478A"/>
    <w:rsid w:val="657750ED"/>
    <w:rsid w:val="65E66580"/>
    <w:rsid w:val="664B1D71"/>
    <w:rsid w:val="664B4E8E"/>
    <w:rsid w:val="66A355E9"/>
    <w:rsid w:val="66AF21DF"/>
    <w:rsid w:val="67277B67"/>
    <w:rsid w:val="67A7735B"/>
    <w:rsid w:val="67AA3209"/>
    <w:rsid w:val="67C71CE4"/>
    <w:rsid w:val="67DA1302"/>
    <w:rsid w:val="67EFF0FD"/>
    <w:rsid w:val="67F65BEC"/>
    <w:rsid w:val="68152516"/>
    <w:rsid w:val="695928D6"/>
    <w:rsid w:val="698D0931"/>
    <w:rsid w:val="69E403F2"/>
    <w:rsid w:val="6A7FE5F3"/>
    <w:rsid w:val="6B053271"/>
    <w:rsid w:val="6B3804DD"/>
    <w:rsid w:val="6BDD78B3"/>
    <w:rsid w:val="6C2471CC"/>
    <w:rsid w:val="6C2527E2"/>
    <w:rsid w:val="6C2C7E2E"/>
    <w:rsid w:val="6C4A05C8"/>
    <w:rsid w:val="6C8742B8"/>
    <w:rsid w:val="6CF43042"/>
    <w:rsid w:val="6D4B0788"/>
    <w:rsid w:val="6DBF5E93"/>
    <w:rsid w:val="6DC9559E"/>
    <w:rsid w:val="6DFF077E"/>
    <w:rsid w:val="6E714EF0"/>
    <w:rsid w:val="6E7E3605"/>
    <w:rsid w:val="6E7FDCC7"/>
    <w:rsid w:val="6EB04502"/>
    <w:rsid w:val="6ED6A62E"/>
    <w:rsid w:val="6EE00B15"/>
    <w:rsid w:val="6F6FB3EB"/>
    <w:rsid w:val="6F8731EA"/>
    <w:rsid w:val="6FCE6052"/>
    <w:rsid w:val="6FD57C00"/>
    <w:rsid w:val="6FEFFFD8"/>
    <w:rsid w:val="6FF5CC65"/>
    <w:rsid w:val="6FFB47EC"/>
    <w:rsid w:val="6FFF034A"/>
    <w:rsid w:val="700D5B4F"/>
    <w:rsid w:val="70484440"/>
    <w:rsid w:val="712A28F1"/>
    <w:rsid w:val="715C0E4B"/>
    <w:rsid w:val="71992E7C"/>
    <w:rsid w:val="71C31235"/>
    <w:rsid w:val="72115DD1"/>
    <w:rsid w:val="72233669"/>
    <w:rsid w:val="72451C4A"/>
    <w:rsid w:val="72734D90"/>
    <w:rsid w:val="73160E6D"/>
    <w:rsid w:val="7332FE48"/>
    <w:rsid w:val="73AB61DA"/>
    <w:rsid w:val="73AD73D5"/>
    <w:rsid w:val="73B6EB34"/>
    <w:rsid w:val="73FA497D"/>
    <w:rsid w:val="73FBDF8C"/>
    <w:rsid w:val="744731E5"/>
    <w:rsid w:val="74BBD01D"/>
    <w:rsid w:val="74ED5379"/>
    <w:rsid w:val="74F17146"/>
    <w:rsid w:val="75DEEEC2"/>
    <w:rsid w:val="75E32345"/>
    <w:rsid w:val="76C26ECB"/>
    <w:rsid w:val="76E3355F"/>
    <w:rsid w:val="76FF5125"/>
    <w:rsid w:val="77044E51"/>
    <w:rsid w:val="775F37AE"/>
    <w:rsid w:val="776F6FFA"/>
    <w:rsid w:val="777109C5"/>
    <w:rsid w:val="778769C8"/>
    <w:rsid w:val="77A75DCA"/>
    <w:rsid w:val="77C5B68E"/>
    <w:rsid w:val="77DC22F5"/>
    <w:rsid w:val="783E271A"/>
    <w:rsid w:val="78540E39"/>
    <w:rsid w:val="78616DE9"/>
    <w:rsid w:val="78DD2BDC"/>
    <w:rsid w:val="78E875D7"/>
    <w:rsid w:val="79086DAD"/>
    <w:rsid w:val="793FB4B7"/>
    <w:rsid w:val="799FEB90"/>
    <w:rsid w:val="79D7FD79"/>
    <w:rsid w:val="79DF60EE"/>
    <w:rsid w:val="79EE5BA4"/>
    <w:rsid w:val="7A49604F"/>
    <w:rsid w:val="7A894339"/>
    <w:rsid w:val="7AB23BF5"/>
    <w:rsid w:val="7AC83418"/>
    <w:rsid w:val="7AD284E8"/>
    <w:rsid w:val="7AFF7572"/>
    <w:rsid w:val="7B6C7DFB"/>
    <w:rsid w:val="7BBFBED0"/>
    <w:rsid w:val="7BC3E394"/>
    <w:rsid w:val="7BEEACA2"/>
    <w:rsid w:val="7C1F3737"/>
    <w:rsid w:val="7C705B15"/>
    <w:rsid w:val="7CBFC87B"/>
    <w:rsid w:val="7CFE0F48"/>
    <w:rsid w:val="7D1663F4"/>
    <w:rsid w:val="7D1E4121"/>
    <w:rsid w:val="7D272ABC"/>
    <w:rsid w:val="7D7EC23E"/>
    <w:rsid w:val="7D7F5947"/>
    <w:rsid w:val="7DBF38AC"/>
    <w:rsid w:val="7DFFD648"/>
    <w:rsid w:val="7E8ADEBF"/>
    <w:rsid w:val="7EB048EF"/>
    <w:rsid w:val="7EB62184"/>
    <w:rsid w:val="7ED4682F"/>
    <w:rsid w:val="7EDBF06D"/>
    <w:rsid w:val="7EEF11D3"/>
    <w:rsid w:val="7EEF6152"/>
    <w:rsid w:val="7EF73D1C"/>
    <w:rsid w:val="7EFE4840"/>
    <w:rsid w:val="7F025CEB"/>
    <w:rsid w:val="7F0971A6"/>
    <w:rsid w:val="7F1D62E7"/>
    <w:rsid w:val="7F3F679B"/>
    <w:rsid w:val="7F4FC4EF"/>
    <w:rsid w:val="7F563851"/>
    <w:rsid w:val="7F5E4D54"/>
    <w:rsid w:val="7F6E0135"/>
    <w:rsid w:val="7F79F205"/>
    <w:rsid w:val="7FA30C79"/>
    <w:rsid w:val="7FA79C44"/>
    <w:rsid w:val="7FAF8ABF"/>
    <w:rsid w:val="7FB7269E"/>
    <w:rsid w:val="7FC96657"/>
    <w:rsid w:val="7FD2956E"/>
    <w:rsid w:val="7FDA9588"/>
    <w:rsid w:val="7FDF220F"/>
    <w:rsid w:val="7FEDC5F7"/>
    <w:rsid w:val="7FEDD9DE"/>
    <w:rsid w:val="7FF5890D"/>
    <w:rsid w:val="7FF93490"/>
    <w:rsid w:val="7FFD39D9"/>
    <w:rsid w:val="99FF2014"/>
    <w:rsid w:val="A6DD0D7F"/>
    <w:rsid w:val="ACFF4FBB"/>
    <w:rsid w:val="ADC6F725"/>
    <w:rsid w:val="AF3B835D"/>
    <w:rsid w:val="B2933E42"/>
    <w:rsid w:val="B4E7021F"/>
    <w:rsid w:val="B7CF06AB"/>
    <w:rsid w:val="B7CFA926"/>
    <w:rsid w:val="B7F8786B"/>
    <w:rsid w:val="BABB6AA1"/>
    <w:rsid w:val="BB2F4199"/>
    <w:rsid w:val="BCFFB442"/>
    <w:rsid w:val="BD079C78"/>
    <w:rsid w:val="BD733540"/>
    <w:rsid w:val="BF3735D5"/>
    <w:rsid w:val="BF7F09AC"/>
    <w:rsid w:val="BFD475C3"/>
    <w:rsid w:val="BFDE5EA6"/>
    <w:rsid w:val="BFFF3A85"/>
    <w:rsid w:val="CF6FC6F3"/>
    <w:rsid w:val="CFD3D3D7"/>
    <w:rsid w:val="CFDF1009"/>
    <w:rsid w:val="D7D7B16A"/>
    <w:rsid w:val="D8D6DB89"/>
    <w:rsid w:val="DB6F4CAB"/>
    <w:rsid w:val="DB777682"/>
    <w:rsid w:val="DC7FA633"/>
    <w:rsid w:val="DD1FB521"/>
    <w:rsid w:val="DEFBFEAE"/>
    <w:rsid w:val="DF1F3B80"/>
    <w:rsid w:val="DF5BD302"/>
    <w:rsid w:val="DF6F9789"/>
    <w:rsid w:val="DFE9BE81"/>
    <w:rsid w:val="DFFFA9E8"/>
    <w:rsid w:val="DFFFB792"/>
    <w:rsid w:val="E5F4E9DC"/>
    <w:rsid w:val="E70FE695"/>
    <w:rsid w:val="E71F1DDE"/>
    <w:rsid w:val="EB2E368B"/>
    <w:rsid w:val="EBDD623C"/>
    <w:rsid w:val="ECFED1BC"/>
    <w:rsid w:val="ED1D69BB"/>
    <w:rsid w:val="ED7FD312"/>
    <w:rsid w:val="EF2E1AC6"/>
    <w:rsid w:val="EF53993F"/>
    <w:rsid w:val="EF65C014"/>
    <w:rsid w:val="EF6FD633"/>
    <w:rsid w:val="EFBFB2F4"/>
    <w:rsid w:val="EFBFFA21"/>
    <w:rsid w:val="EFDB280E"/>
    <w:rsid w:val="F2BEBCB8"/>
    <w:rsid w:val="F36FB518"/>
    <w:rsid w:val="F3DE1A04"/>
    <w:rsid w:val="F3F722E5"/>
    <w:rsid w:val="F4FBCD07"/>
    <w:rsid w:val="FA076771"/>
    <w:rsid w:val="FA5F1E70"/>
    <w:rsid w:val="FA5FDB97"/>
    <w:rsid w:val="FA777B84"/>
    <w:rsid w:val="FA9F598F"/>
    <w:rsid w:val="FB7F486A"/>
    <w:rsid w:val="FBFF5B2E"/>
    <w:rsid w:val="FCFCEFB2"/>
    <w:rsid w:val="FD329065"/>
    <w:rsid w:val="FD7FFE2B"/>
    <w:rsid w:val="FDEE196B"/>
    <w:rsid w:val="FDFDE253"/>
    <w:rsid w:val="FDFE6575"/>
    <w:rsid w:val="FEDFDDC2"/>
    <w:rsid w:val="FEED32F6"/>
    <w:rsid w:val="FEF781DD"/>
    <w:rsid w:val="FF3F6B68"/>
    <w:rsid w:val="FF3F7E3F"/>
    <w:rsid w:val="FFBA12D7"/>
    <w:rsid w:val="FFCBD314"/>
    <w:rsid w:val="FFDFF91C"/>
    <w:rsid w:val="FFDFFAEE"/>
    <w:rsid w:val="FFEF463D"/>
    <w:rsid w:val="FFEF6777"/>
    <w:rsid w:val="FFF9B57B"/>
    <w:rsid w:val="FFFD61D9"/>
    <w:rsid w:val="FFFD8F59"/>
    <w:rsid w:val="FFFF2BB1"/>
    <w:rsid w:val="FFFFB04D"/>
    <w:rsid w:val="FFFFB91D"/>
    <w:rsid w:val="FFFFD99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9992;&#25143;&#30446;&#24405;\Desktop\&#26032;&#24314;%20XLSX%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9992;&#25143;&#30446;&#24405;\Desktop\&#26032;&#24314;%20XLSX%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29992;&#25143;&#30446;&#24405;\Desktop\&#26032;&#24314;%20XLSX%20&#24037;&#20316;&#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9992;&#25143;&#30446;&#24405;\Desktop\&#26032;&#24314;%20XLSX%20&#24037;&#20316;&#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9992;&#25143;&#30446;&#24405;\Desktop\&#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收入、支出变动</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4046.62</c:v>
                </c:pt>
                <c:pt idx="1">
                  <c:v>23562.29</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4046.62</c:v>
                </c:pt>
                <c:pt idx="1">
                  <c:v>23562.29</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d40acf-be5b-44ec-a0aa-bde8b72910f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年（万元）</a:t>
            </a:r>
          </a:p>
        </c:rich>
      </c:tx>
      <c:layout/>
      <c:overlay val="0"/>
      <c:spPr>
        <a:noFill/>
        <a:ln>
          <a:noFill/>
        </a:ln>
        <a:effectLst/>
      </c:spPr>
    </c:title>
    <c:autoTitleDeleted val="0"/>
    <c:plotArea>
      <c:layout/>
      <c:pieChart>
        <c:varyColors val="1"/>
        <c:ser>
          <c:idx val="0"/>
          <c:order val="0"/>
          <c:tx>
            <c:strRef>
              <c:f>'[新建 XLSX 工作表.xlsx]Sheet1'!$L$22</c:f>
              <c:strCache>
                <c:ptCount val="1"/>
                <c:pt idx="0">
                  <c:v>2024年（万元）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16088.74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7473.54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工作表.xlsx]Sheet1'!$K$23:$K$24</c:f>
              <c:strCache>
                <c:ptCount val="2"/>
                <c:pt idx="0">
                  <c:v>一般公共预算财政拨款收入</c:v>
                </c:pt>
                <c:pt idx="1">
                  <c:v>政府性基金预算财政拨款收入</c:v>
                </c:pt>
              </c:strCache>
            </c:strRef>
          </c:cat>
          <c:val>
            <c:numRef>
              <c:f>'[新建 XLSX 工作表.xlsx]Sheet1'!$L$23:$L$24</c:f>
              <c:numCache>
                <c:formatCode>General</c:formatCode>
                <c:ptCount val="2"/>
                <c:pt idx="0">
                  <c:v>3526.85</c:v>
                </c:pt>
                <c:pt idx="1">
                  <c:v>134.58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e54d520-d592-4d6d-a12c-b71496a182f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年（万元）</a:t>
            </a:r>
          </a:p>
        </c:rich>
      </c:tx>
      <c:layout/>
      <c:overlay val="0"/>
      <c:spPr>
        <a:noFill/>
        <a:ln>
          <a:noFill/>
        </a:ln>
        <a:effectLst/>
      </c:spPr>
    </c:title>
    <c:autoTitleDeleted val="0"/>
    <c:plotArea>
      <c:layout/>
      <c:pieChart>
        <c:varyColors val="1"/>
        <c:ser>
          <c:idx val="0"/>
          <c:order val="0"/>
          <c:tx>
            <c:strRef>
              <c:f>'[新建 XLSX 工作表.xlsx]Sheet1'!$B$36</c:f>
              <c:strCache>
                <c:ptCount val="1"/>
                <c:pt idx="0">
                  <c:v>2024年（万元）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206.85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23355.43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工作表.xlsx]Sheet1'!$A$37:$A$38</c:f>
              <c:strCache>
                <c:ptCount val="2"/>
                <c:pt idx="0">
                  <c:v>基本支出</c:v>
                </c:pt>
                <c:pt idx="1">
                  <c:v>项目支出</c:v>
                </c:pt>
              </c:strCache>
            </c:strRef>
          </c:cat>
          <c:val>
            <c:numRef>
              <c:f>'[新建 XLSX 工作表.xlsx]Sheet1'!$B$37:$B$38</c:f>
              <c:numCache>
                <c:formatCode>General</c:formatCode>
                <c:ptCount val="2"/>
                <c:pt idx="0">
                  <c:v>189.86</c:v>
                </c:pt>
                <c:pt idx="1">
                  <c:v>3856.75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a038b6a-8878-484e-ab67-bf81a5aebb8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收入、支出变动</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4046.62</c:v>
                </c:pt>
                <c:pt idx="1">
                  <c:v>23562.29</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4046.62</c:v>
                </c:pt>
                <c:pt idx="1">
                  <c:v>23562.29</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d40acf-be5b-44ec-a0aa-bde8b72910f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一般公共预算财政拨款支出（万元）</a:t>
            </a:r>
          </a:p>
        </c:rich>
      </c:tx>
      <c:layout>
        <c:manualLayout>
          <c:xMode val="edge"/>
          <c:yMode val="edge"/>
          <c:x val="0.253421052631579"/>
          <c:y val="0.0527777777777778"/>
        </c:manualLayout>
      </c:layout>
      <c:overlay val="0"/>
      <c:spPr>
        <a:noFill/>
        <a:ln>
          <a:noFill/>
        </a:ln>
        <a:effectLst/>
      </c:spPr>
    </c:title>
    <c:autoTitleDeleted val="0"/>
    <c:plotArea>
      <c:layout/>
      <c:barChart>
        <c:barDir val="col"/>
        <c:grouping val="clustered"/>
        <c:varyColors val="0"/>
        <c:ser>
          <c:idx val="0"/>
          <c:order val="0"/>
          <c:tx>
            <c:strRef>
              <c:f>'[新建 XLSX 工作表.xlsx]Sheet1'!$B$52</c:f>
              <c:strCache>
                <c:ptCount val="1"/>
                <c:pt idx="0">
                  <c:v>支出（万元）</c:v>
                </c:pt>
              </c:strCache>
            </c:strRef>
          </c:tx>
          <c:spPr>
            <a:solidFill>
              <a:schemeClr val="accent1"/>
            </a:solidFill>
            <a:ln>
              <a:noFill/>
            </a:ln>
            <a:effectLst/>
          </c:spPr>
          <c:invertIfNegative val="0"/>
          <c:dLbls>
            <c:delete val="1"/>
          </c:dLbls>
          <c:cat>
            <c:strRef>
              <c:f>'[新建 XLSX 工作表.xlsx]Sheet1'!$A$53:$A$54</c:f>
              <c:strCache>
                <c:ptCount val="2"/>
                <c:pt idx="0">
                  <c:v>2024年</c:v>
                </c:pt>
                <c:pt idx="1">
                  <c:v>2023年</c:v>
                </c:pt>
              </c:strCache>
            </c:strRef>
          </c:cat>
          <c:val>
            <c:numRef>
              <c:f>'[新建 XLSX 工作表.xlsx]Sheet1'!$B$53:$B$54</c:f>
              <c:numCache>
                <c:formatCode>General</c:formatCode>
                <c:ptCount val="2"/>
                <c:pt idx="0">
                  <c:v>3912.03</c:v>
                </c:pt>
                <c:pt idx="1">
                  <c:v>9860.92</c:v>
                </c:pt>
              </c:numCache>
            </c:numRef>
          </c:val>
        </c:ser>
        <c:dLbls>
          <c:showLegendKey val="0"/>
          <c:showVal val="0"/>
          <c:showCatName val="0"/>
          <c:showSerName val="0"/>
          <c:showPercent val="0"/>
          <c:showBubbleSize val="0"/>
        </c:dLbls>
        <c:gapWidth val="246"/>
        <c:overlap val="-28"/>
        <c:axId val="231317167"/>
        <c:axId val="340104777"/>
      </c:barChart>
      <c:catAx>
        <c:axId val="23131716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104777"/>
        <c:crosses val="autoZero"/>
        <c:auto val="1"/>
        <c:lblAlgn val="ctr"/>
        <c:lblOffset val="100"/>
        <c:noMultiLvlLbl val="0"/>
      </c:catAx>
      <c:valAx>
        <c:axId val="34010477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13171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b5cbb12-da9a-43bf-b4f1-b975f2da733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年一般公共预算财政拨款支出（万元）</a:t>
            </a:r>
          </a:p>
        </c:rich>
      </c:tx>
      <c:layout/>
      <c:overlay val="0"/>
      <c:spPr>
        <a:noFill/>
        <a:ln>
          <a:noFill/>
        </a:ln>
        <a:effectLst/>
      </c:spPr>
    </c:title>
    <c:autoTitleDeleted val="0"/>
    <c:plotArea>
      <c:layout/>
      <c:pieChart>
        <c:varyColors val="1"/>
        <c:ser>
          <c:idx val="0"/>
          <c:order val="0"/>
          <c:tx>
            <c:strRef>
              <c:f>'[新建 XLSX 工作表.xlsx]Sheet1'!$B$88</c:f>
              <c:strCache>
                <c:ptCount val="1"/>
                <c:pt idx="0">
                  <c:v>2024年一般公共预算财政拨款支出（万元）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Lbls>
            <c:delete val="1"/>
          </c:dLbls>
          <c:cat>
            <c:strRef>
              <c:f>'[新建 XLSX 工作表.xlsx]Sheet1'!$A$89:$A$97</c:f>
              <c:strCache>
                <c:ptCount val="9"/>
                <c:pt idx="0">
                  <c:v>教育支出</c:v>
                </c:pt>
                <c:pt idx="1">
                  <c:v>文化旅游体育与传媒支出</c:v>
                </c:pt>
                <c:pt idx="2">
                  <c:v>社会保障和就业支出</c:v>
                </c:pt>
                <c:pt idx="3">
                  <c:v>卫生健康支出</c:v>
                </c:pt>
                <c:pt idx="4">
                  <c:v>节能环保支出</c:v>
                </c:pt>
                <c:pt idx="5">
                  <c:v>城乡社区支出</c:v>
                </c:pt>
                <c:pt idx="6">
                  <c:v>农林水支出</c:v>
                </c:pt>
                <c:pt idx="7">
                  <c:v>资源勘探工业信息等支出</c:v>
                </c:pt>
                <c:pt idx="8">
                  <c:v>住房保障支出</c:v>
                </c:pt>
              </c:strCache>
            </c:strRef>
          </c:cat>
          <c:val>
            <c:numRef>
              <c:f>'[新建 XLSX 工作表.xlsx]Sheet1'!$B$89:$B$97</c:f>
              <c:numCache>
                <c:formatCode>General</c:formatCode>
                <c:ptCount val="9"/>
                <c:pt idx="0">
                  <c:v>889.75</c:v>
                </c:pt>
                <c:pt idx="1">
                  <c:v>103.58</c:v>
                </c:pt>
                <c:pt idx="2">
                  <c:v>28.25</c:v>
                </c:pt>
                <c:pt idx="3">
                  <c:v>10.57</c:v>
                </c:pt>
                <c:pt idx="4">
                  <c:v>613.66</c:v>
                </c:pt>
                <c:pt idx="5" c:formatCode="#,##0.00">
                  <c:v>1326.41</c:v>
                </c:pt>
                <c:pt idx="6">
                  <c:v>821.07</c:v>
                </c:pt>
                <c:pt idx="7">
                  <c:v>47.93</c:v>
                </c:pt>
                <c:pt idx="8">
                  <c:v>70.82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397695595614198"/>
          <c:y val="0.14571165078389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af74560-e657-4387-90a7-4044c0bb419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'[新建 XLSX 工作表.xlsx]Sheet1'!$A$83</c:f>
              <c:strCache>
                <c:ptCount val="1"/>
                <c:pt idx="0">
                  <c:v>公务用车购置及运行维护费支出</c:v>
                </c:pt>
              </c:strCache>
            </c:strRef>
          </c:tx>
          <c:spPr/>
          <c:explosion val="0"/>
          <c:dPt>
            <c:idx val="0"/>
            <c:bubble3D val="0"/>
            <c:spPr>
              <a:solidFill>
                <a:schemeClr val="accent1"/>
              </a:solidFill>
              <a:ln>
                <a:solidFill>
                  <a:schemeClr val="bg1"/>
                </a:solidFill>
              </a:ln>
              <a:effectLst/>
            </c:spPr>
          </c:dPt>
          <c:dLbls>
            <c:dLbl>
              <c:idx val="0"/>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工作表.xlsx]Sheet1'!$B$82</c:f>
              <c:strCache>
                <c:ptCount val="1"/>
                <c:pt idx="0">
                  <c:v>20204年（万元）</c:v>
                </c:pt>
              </c:strCache>
            </c:strRef>
          </c:cat>
          <c:val>
            <c:numRef>
              <c:f>'[新建 XLSX 工作表.xlsx]Sheet1'!$B$83</c:f>
              <c:numCache>
                <c:formatCode>General</c:formatCode>
                <c:ptCount val="1"/>
                <c:pt idx="0">
                  <c:v>41.3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ca24a596-3e5e-490a-a6a9-c6672f0d523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6cfb968c-c0c4-4b39-9b06-a2d844c232d9</errorID>
      <errorWord>革</errorWord>
      <group>L1_Word</group>
      <groupName>字词问题</groupName>
      <ability>L2_Typo</ability>
      <abilityName>字词错误</abilityName>
      <candidateList>
        <item>革和</item>
      </candidateList>
      <explain/>
      <paraID>49A99384</paraID>
      <start>60</start>
      <end>62</end>
      <status>modified</status>
      <modifiedWord>革和</modifiedWord>
      <trackRevisions>false</trackRevisions>
    </reviewItem>
    <reviewItem>
      <errorID>e4b85939-ffda-48bf-87c3-8ad3ab1a1d17</errorID>
      <errorWord>重点科技项目</errorWord>
      <group>L1_Political</group>
      <groupName>政治性问题</groupName>
      <ability>L2_Keyword</ability>
      <abilityName>固定表述</abilityName>
      <candidateList>
        <item>重大科技项目</item>
      </candidateList>
      <explain>词汇“重大科技项目”在特定场景下为固定表述形式，请确认此处的“重点科技项目”是否存在不当。</explain>
      <paraID>49A99384</paraID>
      <start>91</start>
      <end>97</end>
      <status>modified</status>
      <modifiedWord>重大科技项目</modifiedWord>
      <trackRevisions>false</trackRevisions>
    </reviewItem>
    <reviewItem>
      <errorID>623ff7f3-bc1f-412a-8d57-721a6c1cd038</errorID>
      <errorWord>支出支出</errorWord>
      <group>L1_Word</group>
      <groupName>字词问题</groupName>
      <ability>L2_Typo</ability>
      <abilityName>字词错误</abilityName>
      <candidateList>
        <item>支出</item>
      </candidateList>
      <explain/>
      <paraID>490A54D4</paraID>
      <start>40</start>
      <end>42</end>
      <status>modified</status>
      <modifiedWord>支出</modifiedWord>
      <trackRevisions>false</trackRevisions>
    </reviewItem>
    <reviewItem>
      <errorID>148e7b13-82f7-4867-a332-72fa774f8453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38A980A4</paraID>
      <start>0</start>
      <end>2</end>
      <status>modified</status>
      <modifiedWord>1.</modifiedWord>
      <trackRevisions>false</trackRevisions>
    </reviewItem>
    <reviewItem>
      <errorID>09bd2fac-cc96-4953-83db-3a903d3e9fc6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1788D9E3</paraID>
      <start>0</start>
      <end>2</end>
      <status>modified</status>
      <modifiedWord>2.</modifiedWord>
      <trackRevisions>false</trackRevisions>
    </reviewItem>
    <reviewItem>
      <errorID>0bb52f37-665a-44fe-a347-8605a90c708b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14C70122</paraID>
      <start>0</start>
      <end>2</end>
      <status>modified</status>
      <modifiedWord>3.</modifiedWord>
      <trackRevisions>false</trackRevisions>
    </reviewItem>
    <reviewItem>
      <errorID>ba2547f1-aa9e-4d0f-869b-f52e28b65098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2BD0F0D3</paraID>
      <start>0</start>
      <end>2</end>
      <status>modified</status>
      <modifiedWord>4.</modifiedWord>
      <trackRevisions>false</trackRevisions>
    </reviewItem>
    <reviewItem>
      <errorID>70d872c9-5879-4c68-86c6-5a881a6a4f97</errorID>
      <errorWord>:</errorWord>
      <group>L1_Format</group>
      <groupName>格式问题</groupName>
      <ability>L2_HalfPunc_CN</ability>
      <abilityName>全半角问题</abilityName>
      <candidateList>
        <item>：</item>
      </candidateList>
      <explain>文本全半角错误。</explain>
      <paraID>2BD0F0D3</paraID>
      <start>20</start>
      <end>21</end>
      <status>modified</status>
      <modifiedWord>：</modifiedWord>
      <trackRevisions>false</trackRevisions>
    </reviewItem>
    <reviewItem>
      <errorID>23d8fd4b-e50a-4788-b8f0-cb024ab553e6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1BA6F4E1</paraID>
      <start>0</start>
      <end>2</end>
      <status>modified</status>
      <modifiedWord>5.</modifiedWord>
      <trackRevisions>false</trackRevisions>
    </reviewItem>
    <reviewItem>
      <errorID>f12fb98f-8744-4ee9-acbf-d66950fa55fa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28912949</paraID>
      <start>0</start>
      <end>2</end>
      <status>modified</status>
      <modifiedWord>6.</modifiedWord>
      <trackRevisions>false</trackRevisions>
    </reviewItem>
    <reviewItem>
      <errorID>22bd4333-daf4-4783-9925-60558751fe76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4B560484</paraID>
      <start>0</start>
      <end>2</end>
      <status>modified</status>
      <modifiedWord>7.</modifiedWord>
      <trackRevisions>false</trackRevisions>
    </reviewItem>
    <reviewItem>
      <errorID>fbc820a8-a7d8-4c25-a900-a67f6b2adb0b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70438953</paraID>
      <start>0</start>
      <end>2</end>
      <status>modified</status>
      <modifiedWord>8.</modifiedWord>
      <trackRevisions>false</trackRevisions>
    </reviewItem>
    <reviewItem>
      <errorID>84f08c4f-b3e0-4296-b32e-a3cc2fe48b0e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5FE025E1</paraID>
      <start>0</start>
      <end>3</end>
      <status>modified</status>
      <modifiedWord>12.</modifiedWord>
      <trackRevisions>false</trackRevisions>
    </reviewItem>
    <reviewItem>
      <errorID>851a7e06-39ed-4cbb-9584-7629acad864e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D5B4257</paraID>
      <start>0</start>
      <end>3</end>
      <status>modified</status>
      <modifiedWord>13.</modifiedWord>
      <trackRevisions>false</trackRevisions>
    </reviewItem>
    <reviewItem>
      <errorID>8b1093a9-ca5d-421d-8b39-5496446db58d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2A238511</paraID>
      <start>0</start>
      <end>3</end>
      <status>modified</status>
      <modifiedWord>14.</modifiedWord>
      <trackRevisions>false</trackRevisions>
    </reviewItem>
    <reviewItem>
      <errorID>70e826c3-f55d-4da7-bdb5-5b67a6cde6e5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2D18F630</paraID>
      <start>0</start>
      <end>3</end>
      <status>modified</status>
      <modifiedWord>15.</modifiedWord>
      <trackRevisions>false</trackRevisions>
    </reviewItem>
    <reviewItem>
      <errorID>eacda814-b323-4831-9700-22ce498f10ea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56ABA42F</paraID>
      <start>0</start>
      <end>3</end>
      <status>modified</status>
      <modifiedWord>16.</modifiedWord>
      <trackRevisions>false</trackRevisions>
    </reviewItem>
    <reviewItem>
      <errorID>0cebe45f-289a-477d-9aac-f2a7ad5ed353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279FC32F</paraID>
      <start>0</start>
      <end>3</end>
      <status>modified</status>
      <modifiedWord>17.</modifiedWord>
      <trackRevisions>false</trackRevisions>
    </reviewItem>
    <reviewItem>
      <errorID>c45c5808-a65d-4169-a7fd-4a56bd3a18c3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6179205E</paraID>
      <start>0</start>
      <end>3</end>
      <status>modified</status>
      <modifiedWord>18.</modifiedWord>
      <trackRevisions>false</trackRevisions>
    </reviewItem>
    <reviewItem>
      <errorID>bcdc245f-2393-44ee-811a-2271253183e4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7561C49D</paraID>
      <start>0</start>
      <end>3</end>
      <status>modified</status>
      <modifiedWord>19.</modifiedWord>
      <trackRevisions>false</trackRevisions>
    </reviewItem>
    <reviewItem>
      <errorID>c2de68bf-8532-4375-bfdc-83454578376d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5CC8D1F4</paraID>
      <start>0</start>
      <end>3</end>
      <status>modified</status>
      <modifiedWord>20.</modifiedWord>
      <trackRevisions>false</trackRevisions>
    </reviewItem>
    <reviewItem>
      <errorID>a106bd38-1239-43f9-830a-577d5121048e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20CE97FF</paraID>
      <start>0</start>
      <end>3</end>
      <status>modified</status>
      <modifiedWord>21.</modifiedWord>
      <trackRevisions>false</trackRevisions>
    </reviewItem>
    <reviewItem>
      <errorID>61201566-59d6-4cc8-9a13-1c862bf5ebae</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6BC1B6B8</paraID>
      <start>0</start>
      <end>3</end>
      <status>modified</status>
      <modifiedWord>22.</modifiedWord>
      <trackRevisions>false</trackRevisions>
    </reviewItem>
    <reviewItem>
      <errorID>50d03d6b-7117-495a-965e-c22334f522a2</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44327260</paraID>
      <start>0</start>
      <end>3</end>
      <status>modified</status>
      <modifiedWord>23.</modifiedWord>
      <trackRevisions>false</trackRevisions>
    </reviewItem>
    <reviewItem>
      <errorID>edb563c9-8e35-49be-810d-df8254baa3cf</errorID>
      <errorWord>&lt;</errorWord>
      <group>L1_Format</group>
      <groupName>格式问题</groupName>
      <ability>L2_HalfPunc_CN</ability>
      <abilityName>全半角问题</abilityName>
      <candidateList>
        <item>〈</item>
      </candidateList>
      <explain>文本全半角错误。</explain>
      <paraID>626CDD05</paraID>
      <start>50</start>
      <end>51</end>
      <status>modified</status>
      <modifiedWord>〈</modifiedWord>
      <trackRevisions>false</trackRevisions>
    </reviewItem>
    <reviewItem>
      <errorID>c1c10e71-df65-478a-99e0-e07aa0feed90</errorID>
      <errorWord>&gt;</errorWord>
      <group>L1_Format</group>
      <groupName>格式问题</groupName>
      <ability>L2_HalfPunc_CN</ability>
      <abilityName>全半角问题</abilityName>
      <candidateList>
        <item>〉</item>
      </candidateList>
      <explain>文本全半角错误。</explain>
      <paraID>626CDD05</paraID>
      <start>53</start>
      <end>54</end>
      <status>modified</status>
      <modifiedWord>〉</modifiedWord>
      <trackRevisions>false</trackRevisions>
    </reviewItem>
    <reviewItem>
      <errorID>edd70888-2665-40e9-a440-a271d0553b6f</errorID>
      <errorWord>&lt;</errorWord>
      <group>L1_Format</group>
      <groupName>格式问题</groupName>
      <ability>L2_HalfPunc_CN</ability>
      <abilityName>全半角问题</abilityName>
      <candidateList>
        <item>〈</item>
      </candidateList>
      <explain>文本全半角错误。</explain>
      <paraID>626CDD05</paraID>
      <start>60</start>
      <end>61</end>
      <status>modified</status>
      <modifiedWord>〈</modifiedWord>
      <trackRevisions>false</trackRevisions>
    </reviewItem>
    <reviewItem>
      <errorID>2530dc5c-bd76-4765-a8d6-2d391aaebe48</errorID>
      <errorWord>&gt;</errorWord>
      <group>L1_Format</group>
      <groupName>格式问题</groupName>
      <ability>L2_HalfPunc_CN</ability>
      <abilityName>全半角问题</abilityName>
      <candidateList>
        <item>〉</item>
      </candidateList>
      <explain>文本全半角错误。</explain>
      <paraID>626CDD05</paraID>
      <start>63</start>
      <end>64</end>
      <status>modified</status>
      <modifiedWord>〉</modifiedWord>
      <trackRevisions>false</trackRevisions>
    </reviewItem>
    <reviewItem>
      <errorID>411d8fd0-3068-4add-8e58-2f7dcddbc76e</errorID>
      <errorWord>(</errorWord>
      <group>L1_Format</group>
      <groupName>格式问题</groupName>
      <ability>L2_HalfPunc_CN</ability>
      <abilityName>全半角问题</abilityName>
      <candidateList>
        <item>（</item>
      </candidateList>
      <explain>文本全半角错误。</explain>
      <paraID>270E73B5</paraID>
      <start>18</start>
      <end>19</end>
      <status>modified</status>
      <modifiedWord>（</modifiedWord>
      <trackRevisions>false</trackRevisions>
    </reviewItem>
    <reviewItem>
      <errorID>8b2cda8b-3ca9-4750-b380-ecabd379d46c</errorID>
      <errorWord>)</errorWord>
      <group>L1_Format</group>
      <groupName>格式问题</groupName>
      <ability>L2_HalfPunc_CN</ability>
      <abilityName>全半角问题</abilityName>
      <candidateList>
        <item>）</item>
      </candidateList>
      <explain>文本全半角错误。</explain>
      <paraID>270E73B5</paraID>
      <start>45</start>
      <end>46</end>
      <status>modified</status>
      <modifiedWord>）</modifiedWord>
      <trackRevisions>false</trackRevisions>
    </reviewItem>
    <reviewItem>
      <errorID>2b38c35c-7ad6-4375-822a-df856a4b9a9e</errorID>
      <errorWord>.</errorWord>
      <group>L1_Format</group>
      <groupName>格式问题</groupName>
      <ability>L2_HalfPunc_CN</ability>
      <abilityName>全半角问题</abilityName>
      <candidateList>
        <item>。</item>
      </candidateList>
      <explain>文本全半角错误。</explain>
      <paraID>34E5A17C</paraID>
      <start>83</start>
      <end>84</end>
      <status>modified</status>
      <modifiedWord>。</modifiedWord>
      <trackRevisions>false</trackRevisions>
    </reviewItem>
    <reviewItem>
      <errorID>1d9eea49-028d-4d6b-a0cd-ec6761638590</errorID>
      <errorWord>自来水官</errorWord>
      <group>L1_Knowledge</group>
      <groupName>知识性问题</groupName>
      <ability>L2_Term</ability>
      <abilityName>专业术语</abilityName>
      <candidateList>
        <item>自来水厂</item>
      </candidateList>
      <explain/>
      <paraID>526478FE</paraID>
      <start>60</start>
      <end>64</end>
      <status>modified</status>
      <modifiedWord>自来水厂</modifiedWord>
      <trackRevisions>false</trackRevisions>
    </reviewItem>
    <reviewItem>
      <errorID>54927f4a-3759-4ec8-8c17-41822462afdc</errorID>
      <errorWord>跟新改造</errorWord>
      <group>L1_Word</group>
      <groupName>字词问题</groupName>
      <ability>L2_Typo</ability>
      <abilityName>字词错误</abilityName>
      <candidateList>
        <item>更新改造</item>
      </candidateList>
      <explain/>
      <paraID>526478FE</paraID>
      <start>66</start>
      <end>70</end>
      <status>modified</status>
      <modifiedWord>更新改造</modifiedWord>
      <trackRevisions>false</trackRevisions>
    </reviewItem>
    <reviewItem>
      <errorID>74598b5d-9727-4bd6-93a9-3bae9ea30da1</errorID>
      <errorWord>，</errorWord>
      <group>L1_Word</group>
      <groupName>字词问题</groupName>
      <ability>L2_Typo</ability>
      <abilityName>字词错误</abilityName>
      <candidateList>
        <item>，在</item>
      </candidateList>
      <explain/>
      <paraID>526478FE</paraID>
      <start>109</start>
      <end>111</end>
      <status>modified</status>
      <modifiedWord>，在</modifiedWord>
      <trackRevisions>false</trackRevisions>
    </reviewItem>
    <reviewItem>
      <errorID>ba3da441-3a5a-434c-8d14-3ece8f380bf0</errorID>
      <errorWord>道理</errorWord>
      <group>L1_Word</group>
      <groupName>字词问题</groupName>
      <ability>L2_Typo</ability>
      <abilityName>字词错误</abilityName>
      <candidateList>
        <item>道路</item>
      </candidateList>
      <explain/>
      <paraID>21894746</paraID>
      <start>27</start>
      <end>29</end>
      <status>modified</status>
      <modifiedWord>道路</modifiedWord>
      <trackRevisions>false</trackRevisions>
    </reviewItem>
  </reviewItems>
  <config/>
</contractReview>
</file>

<file path=customXml/itemProps1.xml><?xml version="1.0" encoding="utf-8"?>
<ds:datastoreItem xmlns:ds="http://schemas.openxmlformats.org/officeDocument/2006/customXml" ds:itemID="{536605ac-e62f-463d-b8e0-c2f4eddf528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8446</Words>
  <Characters>9409</Characters>
  <Lines>61</Lines>
  <Paragraphs>17</Paragraphs>
  <TotalTime>28</TotalTime>
  <ScaleCrop>false</ScaleCrop>
  <LinksUpToDate>false</LinksUpToDate>
  <CharactersWithSpaces>9533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奕夕^_^</cp:lastModifiedBy>
  <cp:lastPrinted>2025-08-07T01:34:00Z</cp:lastPrinted>
  <dcterms:modified xsi:type="dcterms:W3CDTF">2026-10-15T01:24:52Z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eyJoZGlkIjoiNTU1MWNhN2ZmY2ZhZmY3ODhlYTg0MWU5OGMyY2QwZmUiLCJ1c2VySWQiOiI0MzQ2NTM0NzEifQ==</vt:lpwstr>
  </property>
</Properties>
</file>